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50A8" w:rsidRPr="00A9231D" w:rsidRDefault="008D50A8" w:rsidP="008D50A8">
      <w:pPr>
        <w:pStyle w:val="Glava"/>
        <w:tabs>
          <w:tab w:val="clear" w:pos="8640"/>
          <w:tab w:val="left" w:pos="5112"/>
          <w:tab w:val="left" w:pos="8641"/>
        </w:tabs>
        <w:spacing w:before="340" w:line="240" w:lineRule="exact"/>
        <w:ind w:left="-765"/>
        <w:rPr>
          <w:rFonts w:cs="Arial"/>
          <w:sz w:val="16"/>
        </w:rPr>
      </w:pPr>
      <w:bookmarkStart w:id="0" w:name="_Hlk98245576"/>
      <w:r w:rsidRPr="00CE234E">
        <w:rPr>
          <w:noProof/>
          <w:lang w:val="sl-SI"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8D50A8" w:rsidRPr="00A9231D" w:rsidRDefault="008D50A8" w:rsidP="008D50A8">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8D50A8" w:rsidRPr="00A9231D" w:rsidRDefault="008D50A8" w:rsidP="008D50A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8D50A8" w:rsidRPr="00A9231D" w:rsidRDefault="008D50A8" w:rsidP="008D50A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8D50A8" w:rsidRPr="00A9231D" w:rsidRDefault="008D50A8" w:rsidP="008D50A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8D50A8" w:rsidRDefault="008D50A8" w:rsidP="008D50A8">
      <w:pPr>
        <w:spacing w:line="260" w:lineRule="exact"/>
        <w:jc w:val="right"/>
        <w:rPr>
          <w:rFonts w:cs="Arial"/>
          <w:b/>
          <w:szCs w:val="20"/>
        </w:rPr>
      </w:pPr>
    </w:p>
    <w:p w:rsidR="008D50A8" w:rsidRDefault="008D50A8" w:rsidP="008D50A8">
      <w:pPr>
        <w:spacing w:line="260" w:lineRule="exact"/>
        <w:jc w:val="right"/>
        <w:rPr>
          <w:rFonts w:cs="Arial"/>
          <w:b/>
          <w:szCs w:val="20"/>
        </w:rPr>
      </w:pPr>
    </w:p>
    <w:p w:rsidR="00593595" w:rsidRPr="00732B0A" w:rsidRDefault="008D50A8" w:rsidP="008D50A8">
      <w:pPr>
        <w:spacing w:line="260" w:lineRule="exact"/>
        <w:jc w:val="right"/>
        <w:rPr>
          <w:rFonts w:cs="Arial"/>
          <w:b/>
          <w:szCs w:val="20"/>
        </w:rPr>
      </w:pPr>
      <w:r>
        <w:rPr>
          <w:rFonts w:cs="Arial"/>
          <w:b/>
          <w:szCs w:val="20"/>
        </w:rPr>
        <w:t>PREDLOG</w:t>
      </w:r>
    </w:p>
    <w:p w:rsidR="00794674" w:rsidRPr="00732B0A" w:rsidRDefault="00794674" w:rsidP="00794674">
      <w:pPr>
        <w:spacing w:line="260" w:lineRule="exact"/>
        <w:jc w:val="right"/>
        <w:rPr>
          <w:rFonts w:cs="Arial"/>
          <w:b/>
          <w:szCs w:val="20"/>
        </w:rPr>
      </w:pPr>
      <w:r w:rsidRPr="00732B0A">
        <w:rPr>
          <w:rFonts w:cs="Arial"/>
          <w:b/>
          <w:szCs w:val="20"/>
        </w:rPr>
        <w:t>EVA</w:t>
      </w:r>
      <w:r w:rsidR="00CD54A2">
        <w:rPr>
          <w:rFonts w:cs="Arial"/>
          <w:b/>
          <w:szCs w:val="20"/>
        </w:rPr>
        <w:t xml:space="preserve"> </w:t>
      </w:r>
      <w:r w:rsidR="00A47891" w:rsidRPr="00A47891">
        <w:rPr>
          <w:rFonts w:cs="Arial"/>
          <w:b/>
          <w:szCs w:val="20"/>
        </w:rPr>
        <w:t>2025-1611-0032</w:t>
      </w:r>
    </w:p>
    <w:p w:rsidR="00794674" w:rsidRDefault="008D50A8" w:rsidP="00794674">
      <w:pPr>
        <w:spacing w:line="260" w:lineRule="exact"/>
        <w:jc w:val="right"/>
        <w:rPr>
          <w:rFonts w:cs="Arial"/>
          <w:bCs/>
          <w:szCs w:val="20"/>
        </w:rPr>
      </w:pPr>
      <w:r>
        <w:rPr>
          <w:rFonts w:cs="Arial"/>
          <w:bCs/>
          <w:szCs w:val="20"/>
        </w:rPr>
        <w:t>SKRAJŠANI POSTOPEK</w:t>
      </w:r>
    </w:p>
    <w:p w:rsidR="008D50A8" w:rsidRPr="00732B0A" w:rsidRDefault="008D50A8" w:rsidP="00794674">
      <w:pPr>
        <w:spacing w:line="260" w:lineRule="exact"/>
        <w:jc w:val="right"/>
        <w:rPr>
          <w:rFonts w:cs="Arial"/>
          <w:bCs/>
          <w:szCs w:val="20"/>
        </w:rPr>
      </w:pPr>
    </w:p>
    <w:p w:rsidR="00621206" w:rsidRPr="00445B9C" w:rsidRDefault="00621206" w:rsidP="00621206">
      <w:pPr>
        <w:pStyle w:val="Vrstapredpisa"/>
        <w:spacing w:before="0"/>
        <w:rPr>
          <w:sz w:val="20"/>
          <w:szCs w:val="20"/>
        </w:rPr>
      </w:pPr>
      <w:bookmarkStart w:id="1" w:name="_Hlk66266060"/>
      <w:r w:rsidRPr="00445B9C">
        <w:rPr>
          <w:sz w:val="20"/>
          <w:szCs w:val="20"/>
        </w:rPr>
        <w:t>ZAKON</w:t>
      </w:r>
    </w:p>
    <w:p w:rsidR="00621206" w:rsidRPr="00445B9C" w:rsidRDefault="00621206" w:rsidP="00621206">
      <w:pPr>
        <w:pStyle w:val="Naslovpredpisa"/>
        <w:rPr>
          <w:rFonts w:cs="Arial"/>
          <w:sz w:val="20"/>
        </w:rPr>
      </w:pPr>
      <w:r w:rsidRPr="00445B9C">
        <w:rPr>
          <w:rFonts w:cs="Arial"/>
          <w:sz w:val="20"/>
        </w:rPr>
        <w:t>O</w:t>
      </w:r>
      <w:r w:rsidR="00A5037A" w:rsidRPr="00445B9C">
        <w:rPr>
          <w:rFonts w:cs="Arial"/>
          <w:sz w:val="20"/>
        </w:rPr>
        <w:t xml:space="preserve"> SPREMEMBAH</w:t>
      </w:r>
      <w:r w:rsidR="00734F0F" w:rsidRPr="00445B9C">
        <w:rPr>
          <w:rFonts w:cs="Arial"/>
          <w:sz w:val="20"/>
        </w:rPr>
        <w:t xml:space="preserve"> IN DOPOLNITVAH</w:t>
      </w:r>
      <w:r w:rsidR="00A5037A" w:rsidRPr="00445B9C">
        <w:rPr>
          <w:rFonts w:cs="Arial"/>
          <w:sz w:val="20"/>
        </w:rPr>
        <w:t xml:space="preserve"> ZAKONA </w:t>
      </w:r>
      <w:r w:rsidR="00ED36BF" w:rsidRPr="00445B9C">
        <w:rPr>
          <w:rFonts w:cs="Arial"/>
          <w:sz w:val="20"/>
        </w:rPr>
        <w:t xml:space="preserve">O TRGU FINANČNIH INSTRUMENTOV </w:t>
      </w:r>
    </w:p>
    <w:bookmarkEnd w:id="1"/>
    <w:p w:rsidR="00621206" w:rsidRPr="00445B9C" w:rsidRDefault="00621206" w:rsidP="00621206">
      <w:pPr>
        <w:spacing w:line="240" w:lineRule="auto"/>
        <w:ind w:left="1080" w:hanging="720"/>
        <w:rPr>
          <w:rFonts w:cs="Arial"/>
          <w:szCs w:val="20"/>
        </w:rPr>
      </w:pPr>
    </w:p>
    <w:p w:rsidR="00621206" w:rsidRPr="00445B9C" w:rsidRDefault="00621206" w:rsidP="00A35558">
      <w:pPr>
        <w:numPr>
          <w:ilvl w:val="0"/>
          <w:numId w:val="13"/>
        </w:numPr>
        <w:spacing w:line="240" w:lineRule="auto"/>
        <w:rPr>
          <w:rFonts w:cs="Arial"/>
          <w:b/>
          <w:szCs w:val="20"/>
        </w:rPr>
      </w:pPr>
      <w:r w:rsidRPr="00445B9C">
        <w:rPr>
          <w:rFonts w:cs="Arial"/>
          <w:b/>
          <w:szCs w:val="20"/>
        </w:rPr>
        <w:t>UVOD</w:t>
      </w:r>
    </w:p>
    <w:p w:rsidR="00621206" w:rsidRPr="00445B9C" w:rsidRDefault="00621206" w:rsidP="00621206">
      <w:pPr>
        <w:spacing w:line="240" w:lineRule="auto"/>
        <w:jc w:val="both"/>
        <w:rPr>
          <w:rFonts w:cs="Arial"/>
          <w:szCs w:val="20"/>
        </w:rPr>
      </w:pPr>
    </w:p>
    <w:p w:rsidR="00621206" w:rsidRPr="00445B9C" w:rsidRDefault="00621206" w:rsidP="00A35558">
      <w:pPr>
        <w:numPr>
          <w:ilvl w:val="0"/>
          <w:numId w:val="12"/>
        </w:numPr>
        <w:spacing w:line="240" w:lineRule="auto"/>
        <w:rPr>
          <w:rFonts w:cs="Arial"/>
          <w:b/>
          <w:szCs w:val="20"/>
        </w:rPr>
      </w:pPr>
      <w:bookmarkStart w:id="2" w:name="_Hlk55770662"/>
      <w:r w:rsidRPr="00445B9C">
        <w:rPr>
          <w:rFonts w:cs="Arial"/>
          <w:b/>
          <w:szCs w:val="20"/>
        </w:rPr>
        <w:t>OCENA STANJA IN RAZLOGI ZA SPREJEM PREDLOGA ZAKONA</w:t>
      </w:r>
    </w:p>
    <w:p w:rsidR="00621206" w:rsidRPr="00445B9C" w:rsidRDefault="00621206" w:rsidP="00621206">
      <w:pPr>
        <w:spacing w:line="240" w:lineRule="auto"/>
        <w:jc w:val="both"/>
        <w:rPr>
          <w:rFonts w:cs="Arial"/>
          <w:szCs w:val="20"/>
        </w:rPr>
      </w:pPr>
      <w:bookmarkStart w:id="3" w:name="_Hlk55770710"/>
      <w:bookmarkEnd w:id="2"/>
    </w:p>
    <w:bookmarkEnd w:id="0"/>
    <w:bookmarkEnd w:id="3"/>
    <w:p w:rsidR="004F2F8C" w:rsidRPr="00445B9C" w:rsidRDefault="00ED48B9" w:rsidP="00ED48B9">
      <w:pPr>
        <w:spacing w:line="260" w:lineRule="exact"/>
        <w:jc w:val="both"/>
        <w:rPr>
          <w:rFonts w:cs="Arial"/>
          <w:szCs w:val="20"/>
        </w:rPr>
      </w:pPr>
      <w:r w:rsidRPr="00445B9C">
        <w:rPr>
          <w:rFonts w:cs="Arial"/>
          <w:szCs w:val="20"/>
        </w:rPr>
        <w:t xml:space="preserve">Zakon o trgu finančnih instrumentov (Uradni list RS, št. 77/18, 17/19 – popr., 66/19, 123/21 in 45/24; v nadaljnjem besedilu: ZTFI-1) </w:t>
      </w:r>
      <w:r w:rsidR="00FD2424">
        <w:rPr>
          <w:rFonts w:cs="Arial"/>
          <w:szCs w:val="20"/>
        </w:rPr>
        <w:t>je</w:t>
      </w:r>
      <w:r w:rsidR="00FD2424" w:rsidRPr="00445B9C">
        <w:rPr>
          <w:rFonts w:cs="Arial"/>
          <w:szCs w:val="20"/>
        </w:rPr>
        <w:t xml:space="preserve"> </w:t>
      </w:r>
      <w:r w:rsidRPr="00445B9C">
        <w:rPr>
          <w:rFonts w:cs="Arial"/>
          <w:szCs w:val="20"/>
        </w:rPr>
        <w:t>temeljni pravni okvir, ki ureja delovanje slovenskega trga kapitala, saj med drugim ureja organiz</w:t>
      </w:r>
      <w:r w:rsidR="008D31EB">
        <w:rPr>
          <w:rFonts w:cs="Arial"/>
          <w:szCs w:val="20"/>
        </w:rPr>
        <w:t>iranost</w:t>
      </w:r>
      <w:r w:rsidRPr="00445B9C">
        <w:rPr>
          <w:rFonts w:cs="Arial"/>
          <w:szCs w:val="20"/>
        </w:rPr>
        <w:t>, delovanje in nadzor nad trgovanjem z različnimi finančnimi instrumenti</w:t>
      </w:r>
      <w:r w:rsidR="008D31EB">
        <w:rPr>
          <w:rFonts w:cs="Arial"/>
          <w:szCs w:val="20"/>
        </w:rPr>
        <w:t xml:space="preserve"> in</w:t>
      </w:r>
      <w:r w:rsidRPr="00445B9C">
        <w:rPr>
          <w:rFonts w:cs="Arial"/>
          <w:szCs w:val="20"/>
        </w:rPr>
        <w:t xml:space="preserve"> pogoje za vstop na trg, zagotavlja preglednost trga ter </w:t>
      </w:r>
      <w:r w:rsidR="008D31EB">
        <w:rPr>
          <w:rFonts w:cs="Arial"/>
          <w:szCs w:val="20"/>
        </w:rPr>
        <w:t xml:space="preserve">postavlja </w:t>
      </w:r>
      <w:r w:rsidRPr="00445B9C">
        <w:rPr>
          <w:rFonts w:cs="Arial"/>
          <w:szCs w:val="20"/>
        </w:rPr>
        <w:t>pravila za zaščito vlagateljev. Z ZTFI-1 so v pravni red prenesene direktive Evropske unije (v nadaljnjem besedilu: EU) s področja trga kapitala, prav tako pa zakon podrobneje ureja izvajanje nekaterih uredb EU</w:t>
      </w:r>
      <w:r w:rsidR="004F2F8C" w:rsidRPr="00445B9C">
        <w:rPr>
          <w:rFonts w:cs="Arial"/>
          <w:szCs w:val="20"/>
        </w:rPr>
        <w:t>, s čimer zagotavlja skladnost slovenskega trga finančnih instrumentov s pravnim okvirjem EU</w:t>
      </w:r>
      <w:r w:rsidRPr="00445B9C">
        <w:rPr>
          <w:rFonts w:cs="Arial"/>
          <w:szCs w:val="20"/>
        </w:rPr>
        <w:t>.</w:t>
      </w:r>
      <w:r w:rsidR="004F2F8C" w:rsidRPr="00445B9C">
        <w:rPr>
          <w:rFonts w:cs="Arial"/>
          <w:szCs w:val="20"/>
        </w:rPr>
        <w:t xml:space="preserve"> ZTFI-1 zagotavlja pravno varnost in jasna pravila za vse udeležence na trgu finančnih instrumentov in s tem prispeva k stabilnosti in učinkovitosti finančnega sistema, krepi zaupanje vlagateljev ter omogoča boljšo </w:t>
      </w:r>
      <w:r w:rsidR="008D31EB">
        <w:rPr>
          <w:rFonts w:cs="Arial"/>
          <w:szCs w:val="20"/>
        </w:rPr>
        <w:t>vključenost</w:t>
      </w:r>
      <w:r w:rsidR="008D31EB" w:rsidRPr="00445B9C">
        <w:rPr>
          <w:rFonts w:cs="Arial"/>
          <w:szCs w:val="20"/>
        </w:rPr>
        <w:t xml:space="preserve"> </w:t>
      </w:r>
      <w:r w:rsidR="004F2F8C" w:rsidRPr="00445B9C">
        <w:rPr>
          <w:rFonts w:cs="Arial"/>
          <w:szCs w:val="20"/>
        </w:rPr>
        <w:t xml:space="preserve">slovenskega trga v širši evropski finančni prostor. </w:t>
      </w:r>
    </w:p>
    <w:p w:rsidR="003C4E4A" w:rsidRPr="00445B9C" w:rsidRDefault="003C4E4A" w:rsidP="00ED48B9">
      <w:pPr>
        <w:spacing w:line="260" w:lineRule="exact"/>
        <w:jc w:val="both"/>
        <w:rPr>
          <w:rFonts w:cs="Arial"/>
          <w:szCs w:val="20"/>
        </w:rPr>
      </w:pPr>
    </w:p>
    <w:p w:rsidR="003C4E4A" w:rsidRPr="00445B9C" w:rsidRDefault="003C4E4A" w:rsidP="003C4E4A">
      <w:pPr>
        <w:spacing w:line="260" w:lineRule="exact"/>
        <w:jc w:val="both"/>
        <w:rPr>
          <w:rFonts w:cs="Arial"/>
          <w:szCs w:val="20"/>
        </w:rPr>
      </w:pPr>
      <w:r w:rsidRPr="00445B9C">
        <w:rPr>
          <w:rFonts w:cs="Arial"/>
          <w:szCs w:val="20"/>
        </w:rPr>
        <w:t>Zahteve po javnem razkritju določenih informacij so bile uvedene – med drugim – za zagotovitev visoke ravni varstv</w:t>
      </w:r>
      <w:r w:rsidR="006E5198" w:rsidRPr="00445B9C">
        <w:rPr>
          <w:rFonts w:cs="Arial"/>
          <w:szCs w:val="20"/>
        </w:rPr>
        <w:t>a</w:t>
      </w:r>
      <w:r w:rsidRPr="00445B9C">
        <w:rPr>
          <w:rFonts w:cs="Arial"/>
          <w:szCs w:val="20"/>
        </w:rPr>
        <w:t xml:space="preserve"> vlagateljev, olajšanje čezmejnih naložb, zmanjšanje asimetrije informacij med osebami z dostopom do notranjih informacij družbe ter zunanjimi vlagatelji in udeleženci na trgu. Zaupanje vlagateljev in pripravljenost vlagati na kapitalskih trgih so odvisn</w:t>
      </w:r>
      <w:r w:rsidR="006E5198" w:rsidRPr="00445B9C">
        <w:rPr>
          <w:rFonts w:cs="Arial"/>
          <w:szCs w:val="20"/>
        </w:rPr>
        <w:t>i</w:t>
      </w:r>
      <w:r w:rsidRPr="00445B9C">
        <w:rPr>
          <w:rFonts w:cs="Arial"/>
          <w:szCs w:val="20"/>
        </w:rPr>
        <w:t xml:space="preserve"> od dostopnosti, kakovosti in primerljivosti informacij, saj vlagatelji lahko sprejemajo dobre investicijske odločitv</w:t>
      </w:r>
      <w:r w:rsidR="006E5198" w:rsidRPr="00445B9C">
        <w:rPr>
          <w:rFonts w:cs="Arial"/>
          <w:szCs w:val="20"/>
        </w:rPr>
        <w:t>e</w:t>
      </w:r>
      <w:r w:rsidRPr="00445B9C">
        <w:rPr>
          <w:rFonts w:cs="Arial"/>
          <w:szCs w:val="20"/>
        </w:rPr>
        <w:t xml:space="preserve"> le, če imajo dostop do potrebnih informacij.</w:t>
      </w:r>
    </w:p>
    <w:p w:rsidR="003C4E4A" w:rsidRPr="00445B9C" w:rsidRDefault="003C4E4A" w:rsidP="003C4E4A">
      <w:pPr>
        <w:spacing w:line="260" w:lineRule="exact"/>
        <w:jc w:val="both"/>
        <w:rPr>
          <w:rFonts w:cs="Arial"/>
          <w:szCs w:val="20"/>
        </w:rPr>
      </w:pPr>
    </w:p>
    <w:p w:rsidR="003C4E4A" w:rsidRPr="00445B9C" w:rsidRDefault="003C4E4A" w:rsidP="003C4E4A">
      <w:pPr>
        <w:spacing w:line="260" w:lineRule="exact"/>
        <w:jc w:val="both"/>
        <w:rPr>
          <w:rFonts w:cs="Arial"/>
          <w:szCs w:val="20"/>
        </w:rPr>
      </w:pPr>
      <w:r w:rsidRPr="00445B9C">
        <w:rPr>
          <w:rFonts w:cs="Arial"/>
          <w:szCs w:val="20"/>
        </w:rPr>
        <w:t>Večina zakonodaje na področju finančnih storitev in kapitalskih trgov zahteva razkritje informacij javnosti. Zasebni subjekti, tj. gospodarske družbe, ki so izdajatelji vrednostnih papirjev, upravljavci premoženja, skladi, banke, zavarovalnice, bonitetne agencije, revizorji in svetovalci</w:t>
      </w:r>
      <w:r w:rsidR="00FB1B5C">
        <w:rPr>
          <w:rFonts w:cs="Arial"/>
          <w:szCs w:val="20"/>
        </w:rPr>
        <w:t>,</w:t>
      </w:r>
      <w:r w:rsidRPr="00445B9C">
        <w:rPr>
          <w:rFonts w:cs="Arial"/>
          <w:szCs w:val="20"/>
        </w:rPr>
        <w:t xml:space="preserve"> so zavezani </w:t>
      </w:r>
      <w:r w:rsidR="00FB1B5C">
        <w:rPr>
          <w:rFonts w:cs="Arial"/>
          <w:szCs w:val="20"/>
        </w:rPr>
        <w:t>številnim</w:t>
      </w:r>
      <w:r w:rsidRPr="00445B9C">
        <w:rPr>
          <w:rFonts w:cs="Arial"/>
          <w:szCs w:val="20"/>
        </w:rPr>
        <w:t xml:space="preserve"> obveznosti</w:t>
      </w:r>
      <w:r w:rsidR="00FB1B5C">
        <w:rPr>
          <w:rFonts w:cs="Arial"/>
          <w:szCs w:val="20"/>
        </w:rPr>
        <w:t>m</w:t>
      </w:r>
      <w:r w:rsidRPr="00445B9C">
        <w:rPr>
          <w:rFonts w:cs="Arial"/>
          <w:szCs w:val="20"/>
        </w:rPr>
        <w:t xml:space="preserve"> za poročanje. Obstajajo različne vrste informacij, ki jih morajo subjekti objaviti zaradi obveznosti poročanja, večina teh pa je povezanih z merjenjem finančne uspešnosti podjetja, opisom njegovega vodenja in njegovih okoljskih ali socialnih politik. Informacije, povezane s produkti, so naslednja tipična vrsta informacij, na primer dokumenti s ključnimi informacijami, ki jih pripravijo tisti, ki prodajajo naložbene produkte. Nekaj dodatnih obveznosti poročanja se nanaša na izpolnjevanje </w:t>
      </w:r>
      <w:r w:rsidR="00FB1B5C">
        <w:rPr>
          <w:rFonts w:cs="Arial"/>
          <w:szCs w:val="20"/>
        </w:rPr>
        <w:t>zadevnih</w:t>
      </w:r>
      <w:r w:rsidR="00FB1B5C" w:rsidRPr="00445B9C">
        <w:rPr>
          <w:rFonts w:cs="Arial"/>
          <w:szCs w:val="20"/>
        </w:rPr>
        <w:t xml:space="preserve"> </w:t>
      </w:r>
      <w:r w:rsidRPr="00445B9C">
        <w:rPr>
          <w:rFonts w:cs="Arial"/>
          <w:szCs w:val="20"/>
        </w:rPr>
        <w:t xml:space="preserve">pravil oziroma na </w:t>
      </w:r>
      <w:r w:rsidR="00FB1B5C">
        <w:rPr>
          <w:rFonts w:cs="Arial"/>
          <w:szCs w:val="20"/>
        </w:rPr>
        <w:t xml:space="preserve">nekatere </w:t>
      </w:r>
      <w:r w:rsidRPr="00445B9C">
        <w:rPr>
          <w:rFonts w:cs="Arial"/>
          <w:szCs w:val="20"/>
        </w:rPr>
        <w:t xml:space="preserve">dogodke, pomembne za trge. </w:t>
      </w:r>
    </w:p>
    <w:p w:rsidR="003C4E4A" w:rsidRPr="00445B9C" w:rsidRDefault="003C4E4A" w:rsidP="003C4E4A">
      <w:pPr>
        <w:spacing w:line="260" w:lineRule="exact"/>
        <w:jc w:val="both"/>
        <w:rPr>
          <w:rFonts w:cs="Arial"/>
          <w:szCs w:val="20"/>
        </w:rPr>
      </w:pPr>
    </w:p>
    <w:p w:rsidR="003C4E4A" w:rsidRPr="00445B9C" w:rsidRDefault="003C4E4A" w:rsidP="003C4E4A">
      <w:pPr>
        <w:spacing w:line="260" w:lineRule="exact"/>
        <w:jc w:val="both"/>
        <w:rPr>
          <w:rFonts w:cs="Arial"/>
          <w:szCs w:val="20"/>
        </w:rPr>
      </w:pPr>
      <w:r w:rsidRPr="00445B9C">
        <w:rPr>
          <w:rFonts w:cs="Arial"/>
          <w:szCs w:val="20"/>
        </w:rPr>
        <w:t xml:space="preserve">Razdrobljenost informacijskih tokov na evropskih trgih povečuje stroške odkrivanja, dostopanja in obdelave informacij, ki jih uporabniki potrebujejo, kar </w:t>
      </w:r>
      <w:r w:rsidR="00FB1B5C">
        <w:rPr>
          <w:rFonts w:cs="Arial"/>
          <w:szCs w:val="20"/>
        </w:rPr>
        <w:t>pomeni</w:t>
      </w:r>
      <w:r w:rsidR="00FB1B5C" w:rsidRPr="00445B9C">
        <w:rPr>
          <w:rFonts w:cs="Arial"/>
          <w:szCs w:val="20"/>
        </w:rPr>
        <w:t xml:space="preserve"> </w:t>
      </w:r>
      <w:r w:rsidRPr="00445B9C">
        <w:rPr>
          <w:rFonts w:cs="Arial"/>
          <w:szCs w:val="20"/>
        </w:rPr>
        <w:t xml:space="preserve">tudi oviro za optimalno </w:t>
      </w:r>
      <w:r w:rsidRPr="00445B9C">
        <w:rPr>
          <w:rFonts w:cs="Arial"/>
          <w:szCs w:val="20"/>
        </w:rPr>
        <w:lastRenderedPageBreak/>
        <w:t xml:space="preserve">razporeditev kapitala. </w:t>
      </w:r>
      <w:r w:rsidR="00FB1B5C">
        <w:rPr>
          <w:rFonts w:cs="Arial"/>
          <w:szCs w:val="20"/>
        </w:rPr>
        <w:t>T</w:t>
      </w:r>
      <w:r w:rsidRPr="00445B9C">
        <w:rPr>
          <w:rFonts w:cs="Arial"/>
          <w:szCs w:val="20"/>
        </w:rPr>
        <w:t xml:space="preserve">o </w:t>
      </w:r>
      <w:r w:rsidR="00FB1B5C">
        <w:rPr>
          <w:rFonts w:cs="Arial"/>
          <w:szCs w:val="20"/>
        </w:rPr>
        <w:t xml:space="preserve">je tudi </w:t>
      </w:r>
      <w:r w:rsidRPr="00445B9C">
        <w:rPr>
          <w:rFonts w:cs="Arial"/>
          <w:szCs w:val="20"/>
        </w:rPr>
        <w:t>težav</w:t>
      </w:r>
      <w:r w:rsidR="00FB1B5C">
        <w:rPr>
          <w:rFonts w:cs="Arial"/>
          <w:szCs w:val="20"/>
        </w:rPr>
        <w:t>a</w:t>
      </w:r>
      <w:r w:rsidRPr="00445B9C">
        <w:rPr>
          <w:rFonts w:cs="Arial"/>
          <w:szCs w:val="20"/>
        </w:rPr>
        <w:t xml:space="preserve"> z vidika pridobivanja financiranja za manjša podjetja </w:t>
      </w:r>
      <w:r w:rsidR="006E5198" w:rsidRPr="00445B9C">
        <w:rPr>
          <w:rFonts w:cs="Arial"/>
          <w:szCs w:val="20"/>
        </w:rPr>
        <w:t xml:space="preserve">oziroma </w:t>
      </w:r>
      <w:r w:rsidRPr="00445B9C">
        <w:rPr>
          <w:rFonts w:cs="Arial"/>
          <w:szCs w:val="20"/>
        </w:rPr>
        <w:t xml:space="preserve">podjetja na manjših kapitalskih trgih, ki so zaradi razmer na splošno manj prepoznavna. Zaradi tega njihova privlačnost za vlagatelje ni optimalna, zlasti </w:t>
      </w:r>
      <w:r w:rsidR="00FB1B5C">
        <w:rPr>
          <w:rFonts w:cs="Arial"/>
          <w:szCs w:val="20"/>
        </w:rPr>
        <w:t>z</w:t>
      </w:r>
      <w:r w:rsidRPr="00445B9C">
        <w:rPr>
          <w:rFonts w:cs="Arial"/>
          <w:szCs w:val="20"/>
        </w:rPr>
        <w:t xml:space="preserve"> vidika tujih (čezmejnih) vlaganj.</w:t>
      </w:r>
    </w:p>
    <w:p w:rsidR="008E0CFF" w:rsidRPr="00445B9C" w:rsidRDefault="008E0CFF" w:rsidP="003C4E4A">
      <w:pPr>
        <w:spacing w:line="260" w:lineRule="exact"/>
        <w:jc w:val="both"/>
        <w:rPr>
          <w:rFonts w:cs="Arial"/>
          <w:szCs w:val="20"/>
        </w:rPr>
      </w:pPr>
    </w:p>
    <w:p w:rsidR="008E0CFF" w:rsidRPr="00445B9C" w:rsidRDefault="008E0CFF" w:rsidP="003C4E4A">
      <w:pPr>
        <w:spacing w:line="260" w:lineRule="exact"/>
        <w:jc w:val="both"/>
        <w:rPr>
          <w:rFonts w:cs="Arial"/>
          <w:szCs w:val="20"/>
        </w:rPr>
      </w:pPr>
      <w:r w:rsidRPr="00445B9C">
        <w:rPr>
          <w:rFonts w:cs="Arial"/>
          <w:szCs w:val="20"/>
        </w:rPr>
        <w:t xml:space="preserve">Odsotnost </w:t>
      </w:r>
      <w:r w:rsidR="00FB1B5C">
        <w:rPr>
          <w:rFonts w:cs="Arial"/>
          <w:szCs w:val="20"/>
        </w:rPr>
        <w:t>usklajenega</w:t>
      </w:r>
      <w:r w:rsidR="00FB1B5C" w:rsidRPr="00445B9C">
        <w:rPr>
          <w:rFonts w:cs="Arial"/>
          <w:szCs w:val="20"/>
        </w:rPr>
        <w:t xml:space="preserve"> </w:t>
      </w:r>
      <w:r w:rsidRPr="00445B9C">
        <w:rPr>
          <w:rFonts w:cs="Arial"/>
          <w:szCs w:val="20"/>
        </w:rPr>
        <w:t xml:space="preserve">pogleda na cene in likvidnost </w:t>
      </w:r>
      <w:r w:rsidR="00FB1B5C">
        <w:rPr>
          <w:rFonts w:cs="Arial"/>
          <w:szCs w:val="20"/>
        </w:rPr>
        <w:t>je</w:t>
      </w:r>
      <w:r w:rsidR="00FB1B5C" w:rsidRPr="00445B9C">
        <w:rPr>
          <w:rFonts w:cs="Arial"/>
          <w:szCs w:val="20"/>
        </w:rPr>
        <w:t xml:space="preserve"> </w:t>
      </w:r>
      <w:r w:rsidRPr="00445B9C">
        <w:rPr>
          <w:rFonts w:cs="Arial"/>
          <w:szCs w:val="20"/>
        </w:rPr>
        <w:t>težav</w:t>
      </w:r>
      <w:r w:rsidR="00FB1B5C">
        <w:rPr>
          <w:rFonts w:cs="Arial"/>
          <w:szCs w:val="20"/>
        </w:rPr>
        <w:t>a</w:t>
      </w:r>
      <w:r w:rsidRPr="00445B9C">
        <w:rPr>
          <w:rFonts w:cs="Arial"/>
          <w:szCs w:val="20"/>
        </w:rPr>
        <w:t xml:space="preserve">, ko je finančni instrument na voljo za trgovanje ne samo na enem mestu </w:t>
      </w:r>
      <w:r w:rsidR="00944186" w:rsidRPr="00445B9C">
        <w:rPr>
          <w:rFonts w:cs="Arial"/>
          <w:szCs w:val="20"/>
        </w:rPr>
        <w:t>trgovanja</w:t>
      </w:r>
      <w:r w:rsidRPr="00445B9C">
        <w:rPr>
          <w:rFonts w:cs="Arial"/>
          <w:szCs w:val="20"/>
        </w:rPr>
        <w:t xml:space="preserve">, temveč na več konkurenčnih mestih. To preprečuje vlagateljem, da bi imeli celosten vpogled v tržne podatke, kar onemogoča pravilno oceno, ali so posredniki dosegli najboljšo možno izvedbo za njihova naročila. </w:t>
      </w:r>
      <w:r w:rsidR="001128FD" w:rsidRPr="00445B9C">
        <w:rPr>
          <w:rFonts w:cs="Arial"/>
          <w:szCs w:val="20"/>
        </w:rPr>
        <w:t>Borznoposredniške družbe</w:t>
      </w:r>
      <w:r w:rsidRPr="00445B9C">
        <w:rPr>
          <w:rFonts w:cs="Arial"/>
          <w:szCs w:val="20"/>
        </w:rPr>
        <w:t xml:space="preserve"> so namreč odgovorn</w:t>
      </w:r>
      <w:r w:rsidR="006E5198" w:rsidRPr="00445B9C">
        <w:rPr>
          <w:rFonts w:cs="Arial"/>
          <w:szCs w:val="20"/>
        </w:rPr>
        <w:t>e</w:t>
      </w:r>
      <w:r w:rsidRPr="00445B9C">
        <w:rPr>
          <w:rFonts w:cs="Arial"/>
          <w:szCs w:val="20"/>
        </w:rPr>
        <w:t xml:space="preserve"> za dosego najugodnejše transakcije </w:t>
      </w:r>
      <w:r w:rsidR="00D96B46">
        <w:rPr>
          <w:rFonts w:cs="Arial"/>
          <w:szCs w:val="20"/>
        </w:rPr>
        <w:t>z vidika</w:t>
      </w:r>
      <w:r w:rsidRPr="00445B9C">
        <w:rPr>
          <w:rFonts w:cs="Arial"/>
          <w:szCs w:val="20"/>
        </w:rPr>
        <w:t xml:space="preserve"> cene in celotnih stroškov, tako eksplicitnih kot implicitnih, vendar brez </w:t>
      </w:r>
      <w:r w:rsidR="00D96B46">
        <w:rPr>
          <w:rFonts w:cs="Arial"/>
          <w:szCs w:val="20"/>
        </w:rPr>
        <w:t>ustrezn</w:t>
      </w:r>
      <w:r w:rsidR="005E61F7">
        <w:rPr>
          <w:rFonts w:cs="Arial"/>
          <w:szCs w:val="20"/>
        </w:rPr>
        <w:t>ega</w:t>
      </w:r>
      <w:r w:rsidRPr="00445B9C">
        <w:rPr>
          <w:rFonts w:cs="Arial"/>
          <w:szCs w:val="20"/>
        </w:rPr>
        <w:t xml:space="preserve"> </w:t>
      </w:r>
      <w:r w:rsidR="005E61F7">
        <w:rPr>
          <w:rFonts w:cs="Arial"/>
          <w:szCs w:val="20"/>
        </w:rPr>
        <w:t xml:space="preserve">celovitega </w:t>
      </w:r>
      <w:r w:rsidRPr="00445B9C">
        <w:rPr>
          <w:rFonts w:cs="Arial"/>
          <w:szCs w:val="20"/>
        </w:rPr>
        <w:t xml:space="preserve">pregleda </w:t>
      </w:r>
      <w:r w:rsidR="00DC16DC" w:rsidRPr="00445B9C">
        <w:rPr>
          <w:rFonts w:cs="Arial"/>
          <w:szCs w:val="20"/>
        </w:rPr>
        <w:t>to zelo težko zagotovijo</w:t>
      </w:r>
      <w:r w:rsidRPr="00445B9C">
        <w:rPr>
          <w:rFonts w:cs="Arial"/>
          <w:szCs w:val="20"/>
        </w:rPr>
        <w:t>. Brez podatkov o cenah in količinah na različnih trgih vlagatelji ne morejo ustrezno oceniti, ali je bila dosežena najboljša izvedba njihovih naročil, kar povečuje tveganja in stroške za vse udeležence na trgu, še posebej za manjše vlagatelje in izdajatelje. Navedeno se kaže tudi v izvajanju storitev na način »plačilo za tok naročil« (ang</w:t>
      </w:r>
      <w:r w:rsidR="00421509">
        <w:rPr>
          <w:rFonts w:cs="Arial"/>
          <w:szCs w:val="20"/>
        </w:rPr>
        <w:t>l</w:t>
      </w:r>
      <w:r w:rsidRPr="00445B9C">
        <w:rPr>
          <w:rFonts w:cs="Arial"/>
          <w:szCs w:val="20"/>
        </w:rPr>
        <w:t xml:space="preserve">. </w:t>
      </w:r>
      <w:proofErr w:type="spellStart"/>
      <w:r w:rsidRPr="00445B9C">
        <w:rPr>
          <w:rFonts w:cs="Arial"/>
          <w:i/>
          <w:iCs/>
          <w:szCs w:val="20"/>
        </w:rPr>
        <w:t>payment</w:t>
      </w:r>
      <w:proofErr w:type="spellEnd"/>
      <w:r w:rsidRPr="00445B9C">
        <w:rPr>
          <w:rFonts w:cs="Arial"/>
          <w:i/>
          <w:iCs/>
          <w:szCs w:val="20"/>
        </w:rPr>
        <w:t xml:space="preserve"> </w:t>
      </w:r>
      <w:proofErr w:type="spellStart"/>
      <w:r w:rsidRPr="00445B9C">
        <w:rPr>
          <w:rFonts w:cs="Arial"/>
          <w:i/>
          <w:iCs/>
          <w:szCs w:val="20"/>
        </w:rPr>
        <w:t>for</w:t>
      </w:r>
      <w:proofErr w:type="spellEnd"/>
      <w:r w:rsidRPr="00445B9C">
        <w:rPr>
          <w:rFonts w:cs="Arial"/>
          <w:i/>
          <w:iCs/>
          <w:szCs w:val="20"/>
        </w:rPr>
        <w:t xml:space="preserve"> </w:t>
      </w:r>
      <w:proofErr w:type="spellStart"/>
      <w:r w:rsidRPr="00445B9C">
        <w:rPr>
          <w:rFonts w:cs="Arial"/>
          <w:i/>
          <w:iCs/>
          <w:szCs w:val="20"/>
        </w:rPr>
        <w:t>order</w:t>
      </w:r>
      <w:proofErr w:type="spellEnd"/>
      <w:r w:rsidRPr="00445B9C">
        <w:rPr>
          <w:rFonts w:cs="Arial"/>
          <w:i/>
          <w:iCs/>
          <w:szCs w:val="20"/>
        </w:rPr>
        <w:t xml:space="preserve"> </w:t>
      </w:r>
      <w:proofErr w:type="spellStart"/>
      <w:r w:rsidRPr="00445B9C">
        <w:rPr>
          <w:rFonts w:cs="Arial"/>
          <w:i/>
          <w:iCs/>
          <w:szCs w:val="20"/>
        </w:rPr>
        <w:t>flow</w:t>
      </w:r>
      <w:proofErr w:type="spellEnd"/>
      <w:r w:rsidRPr="00445B9C">
        <w:rPr>
          <w:rFonts w:cs="Arial"/>
          <w:szCs w:val="20"/>
        </w:rPr>
        <w:t xml:space="preserve">), kjer borznoposredniška hiša morda usmerja naročila k določenemu vzdrževalcu trga ali mestu izvrševanja z vidika lastne koristi (da čim bolj poveča plačilo, ki ga prejme za naročilo, preusmerjeno k izvršilnemu posredniku ali mestu izvajanja), in ne v najboljšem interesu vlagatelja. Mali vlagatelji, ki običajno trgujejo z manjšimi naročili, nimajo objektivne primerjalne cene, da bi ocenili, ali je </w:t>
      </w:r>
      <w:r w:rsidR="002774B9" w:rsidRPr="00445B9C">
        <w:rPr>
          <w:rFonts w:cs="Arial"/>
          <w:szCs w:val="20"/>
        </w:rPr>
        <w:t xml:space="preserve">»plačilo za tok naročil« </w:t>
      </w:r>
      <w:r w:rsidRPr="00445B9C">
        <w:rPr>
          <w:rFonts w:cs="Arial"/>
          <w:szCs w:val="20"/>
        </w:rPr>
        <w:t>pozitivno ali negativno vplival</w:t>
      </w:r>
      <w:r w:rsidR="006E5198" w:rsidRPr="00445B9C">
        <w:rPr>
          <w:rFonts w:cs="Arial"/>
          <w:szCs w:val="20"/>
        </w:rPr>
        <w:t>o</w:t>
      </w:r>
      <w:r w:rsidRPr="00445B9C">
        <w:rPr>
          <w:rFonts w:cs="Arial"/>
          <w:szCs w:val="20"/>
        </w:rPr>
        <w:t xml:space="preserve"> na cene, ki jih plačajo za vrednostni papir, ali na donos, ki ga prejmejo s prodajo vrednostnega papirja.</w:t>
      </w:r>
    </w:p>
    <w:p w:rsidR="004F2F8C" w:rsidRPr="00445B9C" w:rsidRDefault="004F2F8C" w:rsidP="00ED48B9">
      <w:pPr>
        <w:spacing w:line="260" w:lineRule="exact"/>
        <w:jc w:val="both"/>
        <w:rPr>
          <w:rFonts w:cs="Arial"/>
          <w:szCs w:val="20"/>
        </w:rPr>
      </w:pPr>
    </w:p>
    <w:p w:rsidR="00537885" w:rsidRPr="00445B9C" w:rsidRDefault="00537885" w:rsidP="00537885">
      <w:pPr>
        <w:spacing w:line="260" w:lineRule="exact"/>
        <w:jc w:val="both"/>
        <w:rPr>
          <w:rFonts w:cs="Arial"/>
          <w:szCs w:val="20"/>
        </w:rPr>
      </w:pPr>
      <w:r w:rsidRPr="00445B9C">
        <w:rPr>
          <w:rFonts w:cs="Arial"/>
          <w:szCs w:val="20"/>
        </w:rPr>
        <w:t xml:space="preserve">V preteklih desetletjih smo </w:t>
      </w:r>
      <w:r w:rsidR="005E61F7">
        <w:rPr>
          <w:rFonts w:cs="Arial"/>
          <w:szCs w:val="20"/>
        </w:rPr>
        <w:t>doživeli</w:t>
      </w:r>
      <w:r w:rsidRPr="00445B9C">
        <w:rPr>
          <w:rFonts w:cs="Arial"/>
          <w:szCs w:val="20"/>
        </w:rPr>
        <w:t xml:space="preserve"> pomemb</w:t>
      </w:r>
      <w:r w:rsidR="005E61F7">
        <w:rPr>
          <w:rFonts w:cs="Arial"/>
          <w:szCs w:val="20"/>
        </w:rPr>
        <w:t>e</w:t>
      </w:r>
      <w:r w:rsidRPr="00445B9C">
        <w:rPr>
          <w:rFonts w:cs="Arial"/>
          <w:szCs w:val="20"/>
        </w:rPr>
        <w:t>n napred</w:t>
      </w:r>
      <w:r w:rsidR="005E61F7">
        <w:rPr>
          <w:rFonts w:cs="Arial"/>
          <w:szCs w:val="20"/>
        </w:rPr>
        <w:t>e</w:t>
      </w:r>
      <w:r w:rsidRPr="00445B9C">
        <w:rPr>
          <w:rFonts w:cs="Arial"/>
          <w:szCs w:val="20"/>
        </w:rPr>
        <w:t xml:space="preserve">k in </w:t>
      </w:r>
      <w:r w:rsidR="005E61F7">
        <w:rPr>
          <w:rFonts w:cs="Arial"/>
          <w:szCs w:val="20"/>
        </w:rPr>
        <w:t xml:space="preserve">se soočali z </w:t>
      </w:r>
      <w:r w:rsidRPr="00445B9C">
        <w:rPr>
          <w:rFonts w:cs="Arial"/>
          <w:szCs w:val="20"/>
        </w:rPr>
        <w:t>vse večj</w:t>
      </w:r>
      <w:r w:rsidR="005E61F7">
        <w:rPr>
          <w:rFonts w:cs="Arial"/>
          <w:szCs w:val="20"/>
        </w:rPr>
        <w:t>o</w:t>
      </w:r>
      <w:r w:rsidRPr="00445B9C">
        <w:rPr>
          <w:rFonts w:cs="Arial"/>
          <w:szCs w:val="20"/>
        </w:rPr>
        <w:t xml:space="preserve"> </w:t>
      </w:r>
      <w:r w:rsidR="005E61F7">
        <w:rPr>
          <w:rFonts w:cs="Arial"/>
          <w:szCs w:val="20"/>
        </w:rPr>
        <w:t>zahtevnostjo</w:t>
      </w:r>
      <w:r w:rsidR="005E61F7" w:rsidRPr="00445B9C">
        <w:rPr>
          <w:rFonts w:cs="Arial"/>
          <w:szCs w:val="20"/>
        </w:rPr>
        <w:t xml:space="preserve"> </w:t>
      </w:r>
      <w:r w:rsidRPr="00445B9C">
        <w:rPr>
          <w:rFonts w:cs="Arial"/>
          <w:szCs w:val="20"/>
        </w:rPr>
        <w:t>uporabe informacijskih in komunikacijskih tehnologij (v nadalj</w:t>
      </w:r>
      <w:r w:rsidR="0091147A" w:rsidRPr="00445B9C">
        <w:rPr>
          <w:rFonts w:cs="Arial"/>
          <w:szCs w:val="20"/>
        </w:rPr>
        <w:t>njem besedil</w:t>
      </w:r>
      <w:r w:rsidRPr="00445B9C">
        <w:rPr>
          <w:rFonts w:cs="Arial"/>
          <w:szCs w:val="20"/>
        </w:rPr>
        <w:t xml:space="preserve">u: IKT) v finančnem sistemu. Digitalizacija je pomembna </w:t>
      </w:r>
      <w:r w:rsidR="005E61F7">
        <w:rPr>
          <w:rFonts w:cs="Arial"/>
          <w:szCs w:val="20"/>
        </w:rPr>
        <w:t xml:space="preserve">spodbuda </w:t>
      </w:r>
      <w:r w:rsidRPr="00445B9C">
        <w:rPr>
          <w:rFonts w:cs="Arial"/>
          <w:szCs w:val="20"/>
        </w:rPr>
        <w:t xml:space="preserve">pri preobrazbi finančnega sistema. Zanašanje na digitalne tehnologije pa prinaša tudi pomisleke in tveganja, zato morajo biti podjetja sposobna obvladovati morebitne motnje IKT (kibernetski incidenti in grožnje) ter zagotavljati neprekinjeno izvajanje storitev. V današnjem </w:t>
      </w:r>
      <w:r w:rsidR="00E807A7">
        <w:rPr>
          <w:rFonts w:cs="Arial"/>
          <w:szCs w:val="20"/>
        </w:rPr>
        <w:t>zelo</w:t>
      </w:r>
      <w:r w:rsidR="00E807A7" w:rsidRPr="00445B9C">
        <w:rPr>
          <w:rFonts w:cs="Arial"/>
          <w:szCs w:val="20"/>
        </w:rPr>
        <w:t xml:space="preserve"> </w:t>
      </w:r>
      <w:r w:rsidR="00E807A7">
        <w:rPr>
          <w:rFonts w:cs="Arial"/>
          <w:szCs w:val="20"/>
        </w:rPr>
        <w:t xml:space="preserve">povezljivem, </w:t>
      </w:r>
      <w:r w:rsidRPr="00445B9C">
        <w:rPr>
          <w:rFonts w:cs="Arial"/>
          <w:szCs w:val="20"/>
        </w:rPr>
        <w:t xml:space="preserve">integriranem finančnem sektorju, ki nudi ključne storitve za realno gospodarstvo, je odvisnost od IKT izrazita, še posebej zaradi globoke in široke uporabe IKT ter možnosti, da se učinki operativnega incidenta v enem finančnem podjetju ali finančnem podsektorju hitro razširijo na druga podjetja ali dele finančnega sektorja in nenazadnje na celotno gospodarstvo. </w:t>
      </w:r>
    </w:p>
    <w:p w:rsidR="00537885" w:rsidRPr="00445B9C" w:rsidRDefault="00537885" w:rsidP="00537885">
      <w:pPr>
        <w:spacing w:line="260" w:lineRule="exact"/>
        <w:jc w:val="both"/>
        <w:rPr>
          <w:rFonts w:cs="Arial"/>
          <w:szCs w:val="20"/>
        </w:rPr>
      </w:pPr>
    </w:p>
    <w:p w:rsidR="00537885" w:rsidRPr="00445B9C" w:rsidRDefault="00537885" w:rsidP="00537885">
      <w:pPr>
        <w:spacing w:line="260" w:lineRule="exact"/>
        <w:jc w:val="both"/>
        <w:rPr>
          <w:rFonts w:cs="Arial"/>
          <w:szCs w:val="20"/>
        </w:rPr>
      </w:pPr>
      <w:r w:rsidRPr="00445B9C">
        <w:rPr>
          <w:rFonts w:cs="Arial"/>
          <w:szCs w:val="20"/>
        </w:rPr>
        <w:t xml:space="preserve">V zadnjih letih so tveganja, povezana z IKT, postala ena </w:t>
      </w:r>
      <w:r w:rsidR="00E807A7">
        <w:rPr>
          <w:rFonts w:cs="Arial"/>
          <w:szCs w:val="20"/>
        </w:rPr>
        <w:t>o</w:t>
      </w:r>
      <w:r w:rsidRPr="00445B9C">
        <w:rPr>
          <w:rFonts w:cs="Arial"/>
          <w:szCs w:val="20"/>
        </w:rPr>
        <w:t xml:space="preserve">d osrednjih tem na </w:t>
      </w:r>
      <w:r w:rsidR="00E807A7">
        <w:rPr>
          <w:rFonts w:cs="Arial"/>
          <w:szCs w:val="20"/>
        </w:rPr>
        <w:t>državni</w:t>
      </w:r>
      <w:r w:rsidRPr="00445B9C">
        <w:rPr>
          <w:rFonts w:cs="Arial"/>
          <w:szCs w:val="20"/>
        </w:rPr>
        <w:t xml:space="preserve">, evropski in mednarodni ravni, saj te nevarnosti ne poznajo meja. Oblikovalci politik, </w:t>
      </w:r>
      <w:r w:rsidR="00E807A7">
        <w:rPr>
          <w:rFonts w:cs="Arial"/>
          <w:szCs w:val="20"/>
        </w:rPr>
        <w:t>zakonodajalci</w:t>
      </w:r>
      <w:r w:rsidR="00E807A7" w:rsidRPr="00445B9C">
        <w:rPr>
          <w:rFonts w:cs="Arial"/>
          <w:szCs w:val="20"/>
        </w:rPr>
        <w:t xml:space="preserve"> </w:t>
      </w:r>
      <w:r w:rsidRPr="00445B9C">
        <w:rPr>
          <w:rFonts w:cs="Arial"/>
          <w:szCs w:val="20"/>
        </w:rPr>
        <w:t>in organi za določanje standardov se v</w:t>
      </w:r>
      <w:r w:rsidR="00E807A7">
        <w:rPr>
          <w:rFonts w:cs="Arial"/>
          <w:szCs w:val="20"/>
        </w:rPr>
        <w:t>s</w:t>
      </w:r>
      <w:r w:rsidRPr="00445B9C">
        <w:rPr>
          <w:rFonts w:cs="Arial"/>
          <w:szCs w:val="20"/>
        </w:rPr>
        <w:t xml:space="preserve">e bolj osredotočajo na krepitev odpornosti sistemov, vzpostavitev skupnih standardov ter </w:t>
      </w:r>
      <w:r w:rsidR="001B2A9F">
        <w:rPr>
          <w:rFonts w:cs="Arial"/>
          <w:szCs w:val="20"/>
        </w:rPr>
        <w:t>usklajevanje</w:t>
      </w:r>
      <w:r w:rsidR="001B2A9F" w:rsidRPr="00445B9C">
        <w:rPr>
          <w:rFonts w:cs="Arial"/>
          <w:szCs w:val="20"/>
        </w:rPr>
        <w:t xml:space="preserve"> </w:t>
      </w:r>
      <w:r w:rsidR="00E807A7">
        <w:rPr>
          <w:rFonts w:cs="Arial"/>
          <w:szCs w:val="20"/>
        </w:rPr>
        <w:t>zakonodajnih</w:t>
      </w:r>
      <w:r w:rsidR="00E807A7" w:rsidRPr="00445B9C">
        <w:rPr>
          <w:rFonts w:cs="Arial"/>
          <w:szCs w:val="20"/>
        </w:rPr>
        <w:t xml:space="preserve"> </w:t>
      </w:r>
      <w:r w:rsidRPr="00445B9C">
        <w:rPr>
          <w:rFonts w:cs="Arial"/>
          <w:szCs w:val="20"/>
        </w:rPr>
        <w:t xml:space="preserve">in nadzornih </w:t>
      </w:r>
      <w:r w:rsidR="00E807A7">
        <w:rPr>
          <w:rFonts w:cs="Arial"/>
          <w:szCs w:val="20"/>
        </w:rPr>
        <w:t>načinov dela</w:t>
      </w:r>
      <w:r w:rsidRPr="00445B9C">
        <w:rPr>
          <w:rFonts w:cs="Arial"/>
          <w:szCs w:val="20"/>
        </w:rPr>
        <w:t xml:space="preserve">. Ta pristop se prilagaja značilnostim posameznih sektorjev in je bil uspešno izveden v različnih panogah, pri čemer ima še posebej pomembno vlogo sektor finančnih storitev, kjer lahko posledice </w:t>
      </w:r>
      <w:r w:rsidR="00E807A7" w:rsidRPr="00445B9C">
        <w:rPr>
          <w:rFonts w:cs="Arial"/>
          <w:szCs w:val="20"/>
        </w:rPr>
        <w:t xml:space="preserve">incidentov </w:t>
      </w:r>
      <w:r w:rsidRPr="00445B9C">
        <w:rPr>
          <w:rFonts w:cs="Arial"/>
          <w:szCs w:val="20"/>
        </w:rPr>
        <w:t>IKT hitro presežejo meje posameznih organizacij in vplivajo na širše gospodarstvo.</w:t>
      </w:r>
    </w:p>
    <w:p w:rsidR="00537885" w:rsidRPr="00445B9C" w:rsidRDefault="00537885" w:rsidP="00537885">
      <w:pPr>
        <w:spacing w:line="260" w:lineRule="exact"/>
        <w:jc w:val="both"/>
        <w:rPr>
          <w:rFonts w:cs="Arial"/>
          <w:szCs w:val="20"/>
        </w:rPr>
      </w:pPr>
    </w:p>
    <w:p w:rsidR="00ED36BF" w:rsidRPr="00445B9C" w:rsidRDefault="00537885" w:rsidP="00ED36BF">
      <w:pPr>
        <w:spacing w:line="260" w:lineRule="exact"/>
        <w:jc w:val="both"/>
        <w:rPr>
          <w:rFonts w:cs="Arial"/>
          <w:szCs w:val="20"/>
        </w:rPr>
      </w:pPr>
      <w:r w:rsidRPr="00445B9C">
        <w:rPr>
          <w:rFonts w:cs="Arial"/>
          <w:szCs w:val="20"/>
        </w:rPr>
        <w:t>Pravni okvir, ki zajema tveganje IKT in operativno odpornost v celotnem finančnem sistemu</w:t>
      </w:r>
      <w:r w:rsidR="0017355B" w:rsidRPr="00445B9C">
        <w:rPr>
          <w:rFonts w:cs="Arial"/>
          <w:szCs w:val="20"/>
        </w:rPr>
        <w:t>,</w:t>
      </w:r>
      <w:r w:rsidRPr="00445B9C">
        <w:rPr>
          <w:rFonts w:cs="Arial"/>
          <w:szCs w:val="20"/>
        </w:rPr>
        <w:t xml:space="preserve"> je razdrobljen, saj so bile določbe oblikovane v različnih časovnih obdobjih in poskušajo obravnavati glavna tveganja, ugotovljena v tistem času, zato se med sektorji finančnih storitev zelo razlikujejo. To povzroča nedoslednosti v zmogljivostih zaščite, odkrivanja, obvladovanja in odzivanja na incidente.</w:t>
      </w:r>
    </w:p>
    <w:p w:rsidR="00ED36BF" w:rsidRPr="00445B9C" w:rsidRDefault="00ED36BF" w:rsidP="00ED36BF">
      <w:pPr>
        <w:spacing w:line="260" w:lineRule="exact"/>
        <w:jc w:val="both"/>
        <w:rPr>
          <w:rFonts w:cs="Arial"/>
          <w:szCs w:val="20"/>
        </w:rPr>
      </w:pPr>
    </w:p>
    <w:p w:rsidR="00ED36BF" w:rsidRPr="00445B9C" w:rsidRDefault="00CF0FDA" w:rsidP="003B0F61">
      <w:pPr>
        <w:numPr>
          <w:ilvl w:val="0"/>
          <w:numId w:val="12"/>
        </w:numPr>
        <w:spacing w:line="260" w:lineRule="exact"/>
        <w:rPr>
          <w:rFonts w:cs="Arial"/>
          <w:b/>
          <w:szCs w:val="20"/>
        </w:rPr>
      </w:pPr>
      <w:r w:rsidRPr="00445B9C">
        <w:rPr>
          <w:rFonts w:cs="Arial"/>
          <w:b/>
          <w:szCs w:val="20"/>
        </w:rPr>
        <w:t>CILJI, NAČELA IN POGLAVITNE REŠITVE PREDLOGA ZAKONA</w:t>
      </w:r>
    </w:p>
    <w:p w:rsidR="00ED36BF" w:rsidRPr="00445B9C" w:rsidRDefault="00ED36BF" w:rsidP="00ED36BF">
      <w:pPr>
        <w:spacing w:line="260" w:lineRule="exact"/>
        <w:jc w:val="both"/>
        <w:rPr>
          <w:rFonts w:cs="Arial"/>
          <w:szCs w:val="20"/>
        </w:rPr>
      </w:pPr>
    </w:p>
    <w:p w:rsidR="00ED36BF" w:rsidRPr="00445B9C" w:rsidRDefault="00ED36BF" w:rsidP="00ED36BF">
      <w:pPr>
        <w:spacing w:line="260" w:lineRule="exact"/>
        <w:jc w:val="both"/>
        <w:rPr>
          <w:rFonts w:cs="Arial"/>
          <w:b/>
          <w:szCs w:val="20"/>
        </w:rPr>
      </w:pPr>
      <w:r w:rsidRPr="00445B9C">
        <w:rPr>
          <w:rFonts w:cs="Arial"/>
          <w:b/>
          <w:szCs w:val="20"/>
        </w:rPr>
        <w:t>2.1. Cilji</w:t>
      </w:r>
    </w:p>
    <w:p w:rsidR="00ED36BF" w:rsidRPr="00445B9C" w:rsidRDefault="00ED36BF" w:rsidP="00ED36BF">
      <w:pPr>
        <w:spacing w:line="260" w:lineRule="exact"/>
        <w:jc w:val="both"/>
        <w:rPr>
          <w:rFonts w:cs="Arial"/>
          <w:szCs w:val="20"/>
        </w:rPr>
      </w:pPr>
    </w:p>
    <w:p w:rsidR="00F35458" w:rsidRPr="00445B9C" w:rsidRDefault="00F35458" w:rsidP="00ED36BF">
      <w:pPr>
        <w:spacing w:line="260" w:lineRule="exact"/>
        <w:jc w:val="both"/>
        <w:rPr>
          <w:rFonts w:cs="Arial"/>
          <w:szCs w:val="20"/>
        </w:rPr>
      </w:pPr>
      <w:r w:rsidRPr="00445B9C">
        <w:rPr>
          <w:rFonts w:cs="Arial"/>
          <w:szCs w:val="20"/>
        </w:rPr>
        <w:t>Glavni cilj predloga zakona je urediti prenos</w:t>
      </w:r>
      <w:r w:rsidR="0017355B" w:rsidRPr="00445B9C">
        <w:rPr>
          <w:rFonts w:cs="Arial"/>
          <w:szCs w:val="20"/>
        </w:rPr>
        <w:t>:</w:t>
      </w:r>
    </w:p>
    <w:p w:rsidR="00F35458" w:rsidRPr="00445B9C" w:rsidRDefault="00F35458" w:rsidP="00ED36BF">
      <w:pPr>
        <w:spacing w:line="260" w:lineRule="exact"/>
        <w:jc w:val="both"/>
        <w:rPr>
          <w:rFonts w:cs="Arial"/>
          <w:szCs w:val="20"/>
        </w:rPr>
      </w:pPr>
    </w:p>
    <w:p w:rsidR="00F35458" w:rsidRPr="00445B9C" w:rsidRDefault="00F35458" w:rsidP="00F810E6">
      <w:pPr>
        <w:pStyle w:val="Odstavekseznama"/>
        <w:numPr>
          <w:ilvl w:val="0"/>
          <w:numId w:val="20"/>
        </w:numPr>
        <w:spacing w:line="260" w:lineRule="exact"/>
        <w:jc w:val="both"/>
        <w:rPr>
          <w:rFonts w:cs="Arial"/>
          <w:szCs w:val="20"/>
        </w:rPr>
      </w:pPr>
      <w:r w:rsidRPr="00445B9C">
        <w:rPr>
          <w:rFonts w:cs="Arial"/>
          <w:szCs w:val="20"/>
        </w:rPr>
        <w:lastRenderedPageBreak/>
        <w:t>Direktive (EU) 2022/2556 Evropskega parlamenta in Sveta z dne 14. decembra 2022 o spremembi direktiv 2009/65/ES, 2009/138/ES, 2011/61/EU, 2013/36/EU, 2014/59/EU, 2014/65/EU, (EU) 2015/2366 in (EU) 2016/2341 glede digitalne operativne odpornosti za finančni sektor</w:t>
      </w:r>
      <w:r w:rsidR="00D04184" w:rsidRPr="00445B9C">
        <w:rPr>
          <w:rFonts w:cs="Arial"/>
          <w:szCs w:val="20"/>
        </w:rPr>
        <w:t xml:space="preserve"> (UL L št. 333 z dne 27. 12. 2022, str. 153</w:t>
      </w:r>
      <w:r w:rsidR="0017355B" w:rsidRPr="00445B9C">
        <w:rPr>
          <w:rFonts w:cs="Arial"/>
          <w:szCs w:val="20"/>
        </w:rPr>
        <w:t>;</w:t>
      </w:r>
      <w:r w:rsidR="00D04184" w:rsidRPr="00445B9C">
        <w:rPr>
          <w:rFonts w:cs="Arial"/>
          <w:szCs w:val="20"/>
        </w:rPr>
        <w:t xml:space="preserve"> v nadaljnjem besedilu: Direktiva 2022/2556/EU)</w:t>
      </w:r>
      <w:r w:rsidRPr="00445B9C">
        <w:rPr>
          <w:rFonts w:cs="Arial"/>
          <w:szCs w:val="20"/>
        </w:rPr>
        <w:t xml:space="preserve">; </w:t>
      </w:r>
    </w:p>
    <w:p w:rsidR="00F35458" w:rsidRPr="00445B9C" w:rsidRDefault="00F35458" w:rsidP="00F810E6">
      <w:pPr>
        <w:pStyle w:val="Odstavekseznama"/>
        <w:numPr>
          <w:ilvl w:val="0"/>
          <w:numId w:val="20"/>
        </w:numPr>
        <w:spacing w:line="260" w:lineRule="exact"/>
        <w:jc w:val="both"/>
        <w:rPr>
          <w:rFonts w:cs="Arial"/>
          <w:szCs w:val="20"/>
        </w:rPr>
      </w:pPr>
      <w:r w:rsidRPr="00445B9C">
        <w:rPr>
          <w:rFonts w:cs="Arial"/>
          <w:szCs w:val="20"/>
        </w:rPr>
        <w:t>Direktive (EU) 2023/2864 Evropskega parlamenta in Sveta z dne 13. decembra 2023 o spremembi nekaterih direktiv glede vzpostavitve in delovanja evropske enotne točke dostopa</w:t>
      </w:r>
      <w:r w:rsidR="00D04184" w:rsidRPr="00445B9C">
        <w:rPr>
          <w:rFonts w:cs="Arial"/>
          <w:szCs w:val="20"/>
        </w:rPr>
        <w:t xml:space="preserve"> (UL L št. </w:t>
      </w:r>
      <w:r w:rsidR="0017355B" w:rsidRPr="00445B9C">
        <w:rPr>
          <w:rFonts w:cs="Arial"/>
          <w:szCs w:val="20"/>
        </w:rPr>
        <w:t>2023/</w:t>
      </w:r>
      <w:r w:rsidR="00D04184" w:rsidRPr="00445B9C">
        <w:rPr>
          <w:rFonts w:cs="Arial"/>
          <w:szCs w:val="20"/>
        </w:rPr>
        <w:t>2864 z dne 20. 12. 2023</w:t>
      </w:r>
      <w:r w:rsidR="0017355B" w:rsidRPr="00445B9C">
        <w:rPr>
          <w:rFonts w:cs="Arial"/>
          <w:szCs w:val="20"/>
        </w:rPr>
        <w:t>;</w:t>
      </w:r>
      <w:r w:rsidR="00D04184" w:rsidRPr="00445B9C">
        <w:rPr>
          <w:rFonts w:cs="Arial"/>
          <w:szCs w:val="20"/>
        </w:rPr>
        <w:t xml:space="preserve"> v nadaljnjem besedilu: Direktiva 2023/2864/EU)</w:t>
      </w:r>
      <w:r w:rsidRPr="00445B9C">
        <w:rPr>
          <w:rFonts w:cs="Arial"/>
          <w:szCs w:val="20"/>
        </w:rPr>
        <w:t xml:space="preserve"> in</w:t>
      </w:r>
    </w:p>
    <w:p w:rsidR="00F35458" w:rsidRPr="00445B9C" w:rsidRDefault="000123B1" w:rsidP="00F810E6">
      <w:pPr>
        <w:pStyle w:val="Odstavekseznama"/>
        <w:numPr>
          <w:ilvl w:val="0"/>
          <w:numId w:val="20"/>
        </w:numPr>
        <w:spacing w:line="260" w:lineRule="exact"/>
        <w:jc w:val="both"/>
        <w:rPr>
          <w:rFonts w:cs="Arial"/>
          <w:szCs w:val="20"/>
        </w:rPr>
      </w:pPr>
      <w:r w:rsidRPr="00445B9C">
        <w:rPr>
          <w:rFonts w:cs="Arial"/>
          <w:szCs w:val="20"/>
        </w:rPr>
        <w:t xml:space="preserve">sprememb Direktive 2014/65/EU o trgih finančnih instrumentov, ki </w:t>
      </w:r>
      <w:r w:rsidR="0017355B" w:rsidRPr="00445B9C">
        <w:rPr>
          <w:rFonts w:cs="Arial"/>
          <w:szCs w:val="20"/>
        </w:rPr>
        <w:t>jih določa</w:t>
      </w:r>
      <w:r w:rsidRPr="00445B9C">
        <w:rPr>
          <w:rFonts w:cs="Arial"/>
          <w:szCs w:val="20"/>
        </w:rPr>
        <w:t xml:space="preserve"> </w:t>
      </w:r>
      <w:r w:rsidR="00D04184" w:rsidRPr="00445B9C">
        <w:rPr>
          <w:rFonts w:cs="Arial"/>
          <w:szCs w:val="20"/>
        </w:rPr>
        <w:t>Direktiv</w:t>
      </w:r>
      <w:r w:rsidR="0017355B" w:rsidRPr="00445B9C">
        <w:rPr>
          <w:rFonts w:cs="Arial"/>
          <w:szCs w:val="20"/>
        </w:rPr>
        <w:t>a</w:t>
      </w:r>
      <w:r w:rsidR="00D04184" w:rsidRPr="00445B9C">
        <w:rPr>
          <w:rFonts w:cs="Arial"/>
          <w:szCs w:val="20"/>
        </w:rPr>
        <w:t xml:space="preserve"> (EU) 2024/790 Evropskega parlamenta in Sveta z dne 28. februarja 2024 o spremembi Direktive 2014/65/EU o trgih finančnih instrumentov (UL L št. </w:t>
      </w:r>
      <w:r w:rsidR="0017355B" w:rsidRPr="00445B9C">
        <w:rPr>
          <w:rFonts w:cs="Arial"/>
          <w:szCs w:val="20"/>
        </w:rPr>
        <w:t>2024/</w:t>
      </w:r>
      <w:r w:rsidR="00D04184" w:rsidRPr="00445B9C">
        <w:rPr>
          <w:rFonts w:cs="Arial"/>
          <w:szCs w:val="20"/>
        </w:rPr>
        <w:t>790 z dne 8. 3. 2024</w:t>
      </w:r>
      <w:r w:rsidR="0017355B" w:rsidRPr="00445B9C">
        <w:rPr>
          <w:rFonts w:cs="Arial"/>
          <w:szCs w:val="20"/>
        </w:rPr>
        <w:t>;</w:t>
      </w:r>
      <w:r w:rsidR="00D04184" w:rsidRPr="00445B9C">
        <w:rPr>
          <w:rFonts w:cs="Arial"/>
          <w:szCs w:val="20"/>
        </w:rPr>
        <w:t xml:space="preserve"> v nadaljnjem besedilu: Direktiva 2014/65/EU)</w:t>
      </w:r>
      <w:r w:rsidR="003B77AC" w:rsidRPr="00445B9C">
        <w:rPr>
          <w:rFonts w:cs="Arial"/>
          <w:szCs w:val="20"/>
        </w:rPr>
        <w:t>.</w:t>
      </w:r>
    </w:p>
    <w:p w:rsidR="00687215" w:rsidRPr="00445B9C" w:rsidRDefault="00687215" w:rsidP="00ED36BF">
      <w:pPr>
        <w:spacing w:line="260" w:lineRule="exact"/>
        <w:jc w:val="both"/>
        <w:rPr>
          <w:rFonts w:cs="Arial"/>
          <w:szCs w:val="20"/>
        </w:rPr>
      </w:pPr>
    </w:p>
    <w:p w:rsidR="00687215" w:rsidRPr="00445B9C" w:rsidRDefault="007C0792" w:rsidP="00ED36BF">
      <w:pPr>
        <w:spacing w:line="260" w:lineRule="exact"/>
        <w:jc w:val="both"/>
        <w:rPr>
          <w:rFonts w:cs="Arial"/>
          <w:szCs w:val="20"/>
        </w:rPr>
      </w:pPr>
      <w:r w:rsidRPr="007C0792">
        <w:rPr>
          <w:rFonts w:cs="Arial"/>
          <w:szCs w:val="20"/>
        </w:rPr>
        <w:t>Hkrati je cilj predloga zakona zagotoviti ustrezno izvajanje Uredbe (EU) št. 600/2014 Evropskega parlamenta in Sveta z dne 15. maja 2014 o trgih finančnih instrumentov in spremembi Uredbe (EU) št. 648/2012 (UL L št. 173 z dne 12. 6. 2014, str. 84), zadnjič spremenjeno z Uredbo (EU) 2024/791 Evropskega parlamenta in Sveta z dne 28. februarja 2024 o spremembi Uredbe (EU) št. 600/2014 v zvezi z izboljšanjem preglednosti podatkov, odpravo ovir za vzpostavitev sistema stalnih informacij, optimizacijo obveznosti trgovanja in prepovedjo prejemanja plačil za tok naročil (UL L št. 2024/791 z dne 8. 3. 2024), (v nadaljnjem besedilu: Uredba 600/2014/EU).</w:t>
      </w:r>
    </w:p>
    <w:p w:rsidR="00202106" w:rsidRPr="00445B9C" w:rsidRDefault="00202106" w:rsidP="00ED36BF">
      <w:pPr>
        <w:spacing w:line="260" w:lineRule="exact"/>
        <w:jc w:val="both"/>
        <w:rPr>
          <w:rFonts w:cs="Arial"/>
          <w:szCs w:val="20"/>
        </w:rPr>
      </w:pPr>
    </w:p>
    <w:p w:rsidR="00B277D5" w:rsidRPr="00445B9C" w:rsidRDefault="00F274C7" w:rsidP="00ED36BF">
      <w:pPr>
        <w:spacing w:line="260" w:lineRule="exact"/>
        <w:jc w:val="both"/>
        <w:rPr>
          <w:rFonts w:cs="Arial"/>
          <w:szCs w:val="20"/>
        </w:rPr>
      </w:pPr>
      <w:r>
        <w:rPr>
          <w:rFonts w:cs="Arial"/>
          <w:szCs w:val="20"/>
        </w:rPr>
        <w:t>Nadalje se z</w:t>
      </w:r>
      <w:r w:rsidR="00B277D5" w:rsidRPr="00445B9C">
        <w:rPr>
          <w:rFonts w:cs="Arial"/>
          <w:szCs w:val="20"/>
        </w:rPr>
        <w:t xml:space="preserve"> zakon</w:t>
      </w:r>
      <w:r>
        <w:rPr>
          <w:rFonts w:cs="Arial"/>
          <w:szCs w:val="20"/>
        </w:rPr>
        <w:t>om</w:t>
      </w:r>
      <w:r w:rsidR="00B277D5" w:rsidRPr="00445B9C">
        <w:rPr>
          <w:rFonts w:cs="Arial"/>
          <w:szCs w:val="20"/>
        </w:rPr>
        <w:t xml:space="preserve"> </w:t>
      </w:r>
      <w:r>
        <w:rPr>
          <w:rFonts w:cs="Arial"/>
          <w:szCs w:val="20"/>
        </w:rPr>
        <w:t xml:space="preserve">želita zagotoviti </w:t>
      </w:r>
      <w:r w:rsidR="00B277D5" w:rsidRPr="00445B9C">
        <w:rPr>
          <w:rFonts w:cs="Arial"/>
          <w:szCs w:val="20"/>
        </w:rPr>
        <w:t>tudi:</w:t>
      </w:r>
    </w:p>
    <w:p w:rsidR="00B277D5" w:rsidRPr="00445B9C" w:rsidRDefault="00B277D5" w:rsidP="00ED36BF">
      <w:pPr>
        <w:spacing w:line="260" w:lineRule="exact"/>
        <w:jc w:val="both"/>
        <w:rPr>
          <w:rFonts w:cs="Arial"/>
          <w:szCs w:val="20"/>
        </w:rPr>
      </w:pPr>
    </w:p>
    <w:p w:rsidR="00B277D5" w:rsidRPr="00445B9C" w:rsidRDefault="00B277D5" w:rsidP="00F810E6">
      <w:pPr>
        <w:pStyle w:val="Odstavekseznama"/>
        <w:numPr>
          <w:ilvl w:val="0"/>
          <w:numId w:val="21"/>
        </w:numPr>
        <w:spacing w:line="260" w:lineRule="exact"/>
        <w:jc w:val="both"/>
        <w:rPr>
          <w:rFonts w:cs="Arial"/>
          <w:szCs w:val="20"/>
        </w:rPr>
      </w:pPr>
      <w:r w:rsidRPr="00445B9C">
        <w:rPr>
          <w:rFonts w:cs="Arial"/>
          <w:szCs w:val="20"/>
        </w:rPr>
        <w:t>odprava neskladnosti</w:t>
      </w:r>
      <w:r w:rsidR="00183C2B" w:rsidRPr="00445B9C">
        <w:rPr>
          <w:rFonts w:cs="Arial"/>
          <w:szCs w:val="20"/>
        </w:rPr>
        <w:t xml:space="preserve"> 133.</w:t>
      </w:r>
      <w:r w:rsidR="004D69D4" w:rsidRPr="00445B9C">
        <w:rPr>
          <w:rFonts w:cs="Arial"/>
          <w:szCs w:val="20"/>
        </w:rPr>
        <w:t xml:space="preserve"> in</w:t>
      </w:r>
      <w:r w:rsidR="00183C2B" w:rsidRPr="00445B9C">
        <w:rPr>
          <w:rFonts w:cs="Arial"/>
          <w:szCs w:val="20"/>
        </w:rPr>
        <w:t xml:space="preserve"> 134</w:t>
      </w:r>
      <w:r w:rsidR="004D69D4" w:rsidRPr="00445B9C">
        <w:rPr>
          <w:rFonts w:cs="Arial"/>
          <w:szCs w:val="20"/>
        </w:rPr>
        <w:t>. člena</w:t>
      </w:r>
      <w:r w:rsidR="00183C2B" w:rsidRPr="00445B9C">
        <w:rPr>
          <w:rFonts w:cs="Arial"/>
          <w:szCs w:val="20"/>
        </w:rPr>
        <w:t xml:space="preserve"> </w:t>
      </w:r>
      <w:r w:rsidR="004D69D4" w:rsidRPr="00445B9C">
        <w:rPr>
          <w:rFonts w:cs="Arial"/>
          <w:szCs w:val="20"/>
        </w:rPr>
        <w:t>ter</w:t>
      </w:r>
      <w:r w:rsidRPr="00445B9C">
        <w:rPr>
          <w:rFonts w:cs="Arial"/>
          <w:szCs w:val="20"/>
        </w:rPr>
        <w:t xml:space="preserve"> četrtega odstavka 141. člena ZTFI-1; </w:t>
      </w:r>
      <w:r w:rsidR="00731826" w:rsidRPr="00445B9C">
        <w:rPr>
          <w:rFonts w:cs="Arial"/>
          <w:szCs w:val="20"/>
        </w:rPr>
        <w:t>in</w:t>
      </w:r>
    </w:p>
    <w:p w:rsidR="00B277D5" w:rsidRPr="00445B9C" w:rsidRDefault="00B277D5" w:rsidP="00F810E6">
      <w:pPr>
        <w:pStyle w:val="Odstavekseznama"/>
        <w:numPr>
          <w:ilvl w:val="0"/>
          <w:numId w:val="21"/>
        </w:numPr>
        <w:spacing w:line="260" w:lineRule="exact"/>
        <w:jc w:val="both"/>
        <w:rPr>
          <w:rFonts w:cs="Arial"/>
          <w:szCs w:val="20"/>
        </w:rPr>
      </w:pPr>
      <w:r w:rsidRPr="00445B9C">
        <w:rPr>
          <w:rFonts w:cs="Arial"/>
          <w:szCs w:val="20"/>
        </w:rPr>
        <w:t xml:space="preserve">opredelitev kreditne </w:t>
      </w:r>
      <w:r w:rsidR="0083719D" w:rsidRPr="00445B9C">
        <w:rPr>
          <w:rFonts w:cs="Arial"/>
          <w:szCs w:val="20"/>
        </w:rPr>
        <w:t xml:space="preserve">družbe </w:t>
      </w:r>
      <w:r w:rsidRPr="00445B9C">
        <w:rPr>
          <w:rFonts w:cs="Arial"/>
          <w:szCs w:val="20"/>
        </w:rPr>
        <w:t xml:space="preserve">v skladu z </w:t>
      </w:r>
      <w:r w:rsidR="00916868" w:rsidRPr="00916868">
        <w:rPr>
          <w:rFonts w:cs="Arial"/>
          <w:szCs w:val="20"/>
        </w:rPr>
        <w:t>Uredbo (EU) št. 575/2013 Evropskega parlamenta in Sveta z dne 26. junija 2013 o bonitetnih zahtevah za kreditne institucije in investicijska podjetja ter o spremembi Uredbe (EU) št. 648/2012 (UL L št. 176, z dne 27. 6. 2013, str. 1), zadnjič spremenjeno z Uredbo (EU) 2024/2987 Evropskega parlamenta in Sveta z dne 27. novembra 2024 o spremembi uredb (EU) št. 648/2012, (EU) št. 575/2013 in (EU) 2017/1131 v zvezi z ukrepi za zmanjšanje prekomerne izpostavljenosti do centralnih nasprotnih strank iz tretjih držav in izboljšanje učinkovitosti klirinških trgov Unije (UL L št. 2024/2987 z dne 4. 12. 2024)</w:t>
      </w:r>
      <w:r w:rsidR="00D87BCB">
        <w:rPr>
          <w:rFonts w:cs="Arial"/>
          <w:szCs w:val="20"/>
        </w:rPr>
        <w:t xml:space="preserve">, </w:t>
      </w:r>
      <w:r w:rsidR="00D87BCB" w:rsidRPr="00D87BCB">
        <w:rPr>
          <w:rFonts w:cs="Arial"/>
          <w:szCs w:val="20"/>
        </w:rPr>
        <w:t xml:space="preserve">(v nadaljnjem besedilu: Uredba </w:t>
      </w:r>
      <w:r w:rsidR="00D87BCB" w:rsidRPr="00916868">
        <w:rPr>
          <w:rFonts w:cs="Arial"/>
          <w:szCs w:val="20"/>
        </w:rPr>
        <w:t>575/2013</w:t>
      </w:r>
      <w:r w:rsidR="00D87BCB" w:rsidRPr="00D87BCB">
        <w:rPr>
          <w:rFonts w:cs="Arial"/>
          <w:szCs w:val="20"/>
        </w:rPr>
        <w:t>/EU)</w:t>
      </w:r>
      <w:r w:rsidR="00731826" w:rsidRPr="00445B9C">
        <w:rPr>
          <w:rFonts w:cs="Arial"/>
          <w:szCs w:val="20"/>
        </w:rPr>
        <w:t>.</w:t>
      </w:r>
      <w:r w:rsidRPr="00445B9C">
        <w:rPr>
          <w:rFonts w:cs="Arial"/>
          <w:szCs w:val="20"/>
        </w:rPr>
        <w:t xml:space="preserve"> </w:t>
      </w:r>
    </w:p>
    <w:p w:rsidR="00ED36BF" w:rsidRPr="00445B9C" w:rsidRDefault="00ED36BF" w:rsidP="00ED36BF">
      <w:pPr>
        <w:spacing w:line="260" w:lineRule="exact"/>
        <w:jc w:val="both"/>
        <w:rPr>
          <w:rFonts w:cs="Arial"/>
          <w:szCs w:val="20"/>
        </w:rPr>
      </w:pPr>
    </w:p>
    <w:p w:rsidR="00ED36BF" w:rsidRPr="00445B9C" w:rsidRDefault="00ED36BF" w:rsidP="00ED36BF">
      <w:pPr>
        <w:spacing w:line="260" w:lineRule="exact"/>
        <w:jc w:val="both"/>
        <w:rPr>
          <w:rFonts w:cs="Arial"/>
          <w:b/>
          <w:szCs w:val="20"/>
        </w:rPr>
      </w:pPr>
      <w:r w:rsidRPr="00445B9C">
        <w:rPr>
          <w:rFonts w:cs="Arial"/>
          <w:b/>
          <w:szCs w:val="20"/>
        </w:rPr>
        <w:t>2.2. Načela</w:t>
      </w:r>
    </w:p>
    <w:p w:rsidR="00ED36BF" w:rsidRPr="00445B9C" w:rsidRDefault="00ED36BF" w:rsidP="00ED36BF">
      <w:pPr>
        <w:autoSpaceDE w:val="0"/>
        <w:autoSpaceDN w:val="0"/>
        <w:adjustRightInd w:val="0"/>
        <w:spacing w:line="240" w:lineRule="auto"/>
        <w:jc w:val="both"/>
        <w:rPr>
          <w:rFonts w:cs="Arial"/>
          <w:szCs w:val="20"/>
        </w:rPr>
      </w:pPr>
    </w:p>
    <w:p w:rsidR="007D0C8B" w:rsidRPr="00445B9C" w:rsidRDefault="007D0C8B" w:rsidP="00ED36BF">
      <w:pPr>
        <w:autoSpaceDE w:val="0"/>
        <w:autoSpaceDN w:val="0"/>
        <w:adjustRightInd w:val="0"/>
        <w:spacing w:line="240" w:lineRule="auto"/>
        <w:jc w:val="both"/>
        <w:rPr>
          <w:rFonts w:cs="Arial"/>
          <w:szCs w:val="20"/>
        </w:rPr>
      </w:pPr>
      <w:r w:rsidRPr="00445B9C">
        <w:rPr>
          <w:rFonts w:cs="Arial"/>
          <w:szCs w:val="20"/>
        </w:rPr>
        <w:t xml:space="preserve">Predlog zakona upošteva </w:t>
      </w:r>
      <w:r w:rsidR="00F274C7">
        <w:rPr>
          <w:rFonts w:cs="Arial"/>
          <w:szCs w:val="20"/>
        </w:rPr>
        <w:t>ta</w:t>
      </w:r>
      <w:r w:rsidR="00F274C7" w:rsidRPr="00445B9C">
        <w:rPr>
          <w:rFonts w:cs="Arial"/>
          <w:szCs w:val="20"/>
        </w:rPr>
        <w:t xml:space="preserve"> </w:t>
      </w:r>
      <w:r w:rsidRPr="00445B9C">
        <w:rPr>
          <w:rFonts w:cs="Arial"/>
          <w:szCs w:val="20"/>
        </w:rPr>
        <w:t>načela:</w:t>
      </w:r>
    </w:p>
    <w:p w:rsidR="007D0C8B" w:rsidRPr="00445B9C" w:rsidRDefault="007D0C8B" w:rsidP="00ED36BF">
      <w:pPr>
        <w:autoSpaceDE w:val="0"/>
        <w:autoSpaceDN w:val="0"/>
        <w:adjustRightInd w:val="0"/>
        <w:spacing w:line="240" w:lineRule="auto"/>
        <w:jc w:val="both"/>
        <w:rPr>
          <w:rFonts w:cs="Arial"/>
          <w:szCs w:val="20"/>
        </w:rPr>
      </w:pPr>
    </w:p>
    <w:p w:rsidR="008456AE" w:rsidRPr="00445B9C" w:rsidRDefault="008456AE" w:rsidP="00261892">
      <w:pPr>
        <w:pStyle w:val="Odstavekseznama"/>
        <w:numPr>
          <w:ilvl w:val="0"/>
          <w:numId w:val="27"/>
        </w:numPr>
        <w:autoSpaceDE w:val="0"/>
        <w:autoSpaceDN w:val="0"/>
        <w:adjustRightInd w:val="0"/>
        <w:spacing w:line="240" w:lineRule="auto"/>
        <w:jc w:val="both"/>
        <w:rPr>
          <w:rFonts w:cs="Arial"/>
          <w:szCs w:val="20"/>
        </w:rPr>
      </w:pPr>
      <w:r w:rsidRPr="00445B9C">
        <w:rPr>
          <w:rFonts w:cs="Arial"/>
          <w:b/>
          <w:bCs/>
          <w:szCs w:val="20"/>
        </w:rPr>
        <w:t>Načelo sorazmernosti</w:t>
      </w:r>
      <w:r w:rsidR="00341046" w:rsidRPr="0005085F">
        <w:rPr>
          <w:rFonts w:cs="Arial"/>
          <w:b/>
          <w:szCs w:val="20"/>
        </w:rPr>
        <w:t>:</w:t>
      </w:r>
      <w:r w:rsidRPr="00445B9C">
        <w:rPr>
          <w:rFonts w:cs="Arial"/>
          <w:szCs w:val="20"/>
        </w:rPr>
        <w:t xml:space="preserve"> predlagana ureditev se uporablja sorazmerno glede na velikost, </w:t>
      </w:r>
      <w:r w:rsidR="008E24C9">
        <w:rPr>
          <w:rFonts w:cs="Arial"/>
          <w:szCs w:val="20"/>
        </w:rPr>
        <w:t>vrsto</w:t>
      </w:r>
      <w:r w:rsidR="008E24C9" w:rsidRPr="00445B9C">
        <w:rPr>
          <w:rFonts w:cs="Arial"/>
          <w:szCs w:val="20"/>
        </w:rPr>
        <w:t xml:space="preserve"> </w:t>
      </w:r>
      <w:r w:rsidRPr="00445B9C">
        <w:rPr>
          <w:rFonts w:cs="Arial"/>
          <w:szCs w:val="20"/>
        </w:rPr>
        <w:t xml:space="preserve">in kompleksnost finančnih subjektov, kar zagotavlja, da zahteve ne </w:t>
      </w:r>
      <w:r w:rsidR="008E24C9">
        <w:rPr>
          <w:rFonts w:cs="Arial"/>
          <w:szCs w:val="20"/>
        </w:rPr>
        <w:t>pomenijo</w:t>
      </w:r>
      <w:r w:rsidR="008E24C9" w:rsidRPr="00445B9C">
        <w:rPr>
          <w:rFonts w:cs="Arial"/>
          <w:szCs w:val="20"/>
        </w:rPr>
        <w:t xml:space="preserve"> </w:t>
      </w:r>
      <w:r w:rsidRPr="00445B9C">
        <w:rPr>
          <w:rFonts w:cs="Arial"/>
          <w:szCs w:val="20"/>
        </w:rPr>
        <w:t>nesorazmernega bremena za manjše subjekte.</w:t>
      </w:r>
    </w:p>
    <w:p w:rsidR="008456AE" w:rsidRPr="00445B9C" w:rsidRDefault="008456AE" w:rsidP="008456AE">
      <w:pPr>
        <w:autoSpaceDE w:val="0"/>
        <w:autoSpaceDN w:val="0"/>
        <w:adjustRightInd w:val="0"/>
        <w:spacing w:line="240" w:lineRule="auto"/>
        <w:jc w:val="both"/>
        <w:rPr>
          <w:rFonts w:cs="Arial"/>
          <w:szCs w:val="20"/>
        </w:rPr>
      </w:pPr>
    </w:p>
    <w:p w:rsidR="008456AE" w:rsidRPr="00445B9C" w:rsidRDefault="008456AE" w:rsidP="00261892">
      <w:pPr>
        <w:pStyle w:val="Odstavekseznama"/>
        <w:numPr>
          <w:ilvl w:val="0"/>
          <w:numId w:val="27"/>
        </w:numPr>
        <w:autoSpaceDE w:val="0"/>
        <w:autoSpaceDN w:val="0"/>
        <w:adjustRightInd w:val="0"/>
        <w:spacing w:line="240" w:lineRule="auto"/>
        <w:jc w:val="both"/>
        <w:rPr>
          <w:rFonts w:cs="Arial"/>
          <w:szCs w:val="20"/>
        </w:rPr>
      </w:pPr>
      <w:r w:rsidRPr="00445B9C">
        <w:rPr>
          <w:rFonts w:cs="Arial"/>
          <w:b/>
          <w:bCs/>
          <w:szCs w:val="20"/>
        </w:rPr>
        <w:t>Načelo proaktivnega upravljanja tveganj:</w:t>
      </w:r>
      <w:r w:rsidRPr="00445B9C">
        <w:rPr>
          <w:rFonts w:cs="Arial"/>
          <w:szCs w:val="20"/>
        </w:rPr>
        <w:t xml:space="preserve"> nova ureditev spodbuja finančne subjekte, da proaktivno prepoznavajo, ocenjujejo in obvladujejo tveganja ter razvijajo učinkovite strategije za obvladovanje teh tveganj.</w:t>
      </w:r>
    </w:p>
    <w:p w:rsidR="008456AE" w:rsidRPr="00445B9C" w:rsidRDefault="008456AE" w:rsidP="008456AE">
      <w:pPr>
        <w:autoSpaceDE w:val="0"/>
        <w:autoSpaceDN w:val="0"/>
        <w:adjustRightInd w:val="0"/>
        <w:spacing w:line="240" w:lineRule="auto"/>
        <w:jc w:val="both"/>
        <w:rPr>
          <w:rFonts w:cs="Arial"/>
          <w:szCs w:val="20"/>
        </w:rPr>
      </w:pPr>
    </w:p>
    <w:p w:rsidR="008456AE" w:rsidRPr="00445B9C" w:rsidRDefault="008456AE" w:rsidP="00261892">
      <w:pPr>
        <w:pStyle w:val="Odstavekseznama"/>
        <w:numPr>
          <w:ilvl w:val="0"/>
          <w:numId w:val="27"/>
        </w:numPr>
        <w:autoSpaceDE w:val="0"/>
        <w:autoSpaceDN w:val="0"/>
        <w:adjustRightInd w:val="0"/>
        <w:spacing w:line="240" w:lineRule="auto"/>
        <w:jc w:val="both"/>
        <w:rPr>
          <w:rFonts w:cs="Arial"/>
          <w:szCs w:val="20"/>
        </w:rPr>
      </w:pPr>
      <w:r w:rsidRPr="00445B9C">
        <w:rPr>
          <w:rFonts w:cs="Arial"/>
          <w:b/>
          <w:bCs/>
          <w:szCs w:val="20"/>
        </w:rPr>
        <w:t>Načelo stalnega izboljševanja:</w:t>
      </w:r>
      <w:r w:rsidRPr="00445B9C">
        <w:rPr>
          <w:rFonts w:cs="Arial"/>
          <w:szCs w:val="20"/>
        </w:rPr>
        <w:t xml:space="preserve"> </w:t>
      </w:r>
      <w:r w:rsidR="00341046" w:rsidRPr="00445B9C">
        <w:rPr>
          <w:rFonts w:cs="Arial"/>
          <w:szCs w:val="20"/>
        </w:rPr>
        <w:t>predlagana ureditev zavezuje</w:t>
      </w:r>
      <w:r w:rsidRPr="00445B9C">
        <w:rPr>
          <w:rFonts w:cs="Arial"/>
          <w:szCs w:val="20"/>
        </w:rPr>
        <w:t xml:space="preserve"> finančn</w:t>
      </w:r>
      <w:r w:rsidR="00341046" w:rsidRPr="00445B9C">
        <w:rPr>
          <w:rFonts w:cs="Arial"/>
          <w:szCs w:val="20"/>
        </w:rPr>
        <w:t>e</w:t>
      </w:r>
      <w:r w:rsidRPr="00445B9C">
        <w:rPr>
          <w:rFonts w:cs="Arial"/>
          <w:szCs w:val="20"/>
        </w:rPr>
        <w:t xml:space="preserve"> subjekt</w:t>
      </w:r>
      <w:r w:rsidR="00341046" w:rsidRPr="00445B9C">
        <w:rPr>
          <w:rFonts w:cs="Arial"/>
          <w:szCs w:val="20"/>
        </w:rPr>
        <w:t>e, da</w:t>
      </w:r>
      <w:r w:rsidRPr="00445B9C">
        <w:rPr>
          <w:rFonts w:cs="Arial"/>
          <w:szCs w:val="20"/>
        </w:rPr>
        <w:t xml:space="preserve"> redno pregledujejo in posodabljajo svoje sisteme za upravljanje tveganj IKT ter izvajajo teste digitalne operativne odpornosti, da se prilagajajo spreminjajočim se grožnjam in tehnologijam.</w:t>
      </w:r>
    </w:p>
    <w:p w:rsidR="008456AE" w:rsidRPr="00445B9C" w:rsidRDefault="008456AE" w:rsidP="008456AE">
      <w:pPr>
        <w:autoSpaceDE w:val="0"/>
        <w:autoSpaceDN w:val="0"/>
        <w:adjustRightInd w:val="0"/>
        <w:spacing w:line="240" w:lineRule="auto"/>
        <w:jc w:val="both"/>
        <w:rPr>
          <w:rFonts w:cs="Arial"/>
          <w:szCs w:val="20"/>
        </w:rPr>
      </w:pPr>
    </w:p>
    <w:p w:rsidR="008456AE" w:rsidRPr="00445B9C" w:rsidRDefault="008456AE" w:rsidP="00261892">
      <w:pPr>
        <w:pStyle w:val="Odstavekseznama"/>
        <w:numPr>
          <w:ilvl w:val="0"/>
          <w:numId w:val="27"/>
        </w:numPr>
        <w:autoSpaceDE w:val="0"/>
        <w:autoSpaceDN w:val="0"/>
        <w:adjustRightInd w:val="0"/>
        <w:spacing w:line="240" w:lineRule="auto"/>
        <w:jc w:val="both"/>
        <w:rPr>
          <w:rFonts w:cs="Arial"/>
          <w:szCs w:val="20"/>
        </w:rPr>
      </w:pPr>
      <w:r w:rsidRPr="00445B9C">
        <w:rPr>
          <w:rFonts w:cs="Arial"/>
          <w:b/>
          <w:bCs/>
          <w:szCs w:val="20"/>
        </w:rPr>
        <w:t>Načelo sodelovanja in izmenjave informacij:</w:t>
      </w:r>
      <w:r w:rsidRPr="00445B9C">
        <w:rPr>
          <w:rFonts w:cs="Arial"/>
          <w:szCs w:val="20"/>
        </w:rPr>
        <w:t xml:space="preserve"> </w:t>
      </w:r>
      <w:r w:rsidR="00341046" w:rsidRPr="00445B9C">
        <w:rPr>
          <w:rFonts w:cs="Arial"/>
          <w:szCs w:val="20"/>
        </w:rPr>
        <w:t>predlagana ureditev s</w:t>
      </w:r>
      <w:r w:rsidRPr="00445B9C">
        <w:rPr>
          <w:rFonts w:cs="Arial"/>
          <w:szCs w:val="20"/>
        </w:rPr>
        <w:t xml:space="preserve">podbuja sodelovanje med finančnimi subjekti, </w:t>
      </w:r>
      <w:r w:rsidR="0005085F">
        <w:rPr>
          <w:rFonts w:cs="Arial"/>
          <w:szCs w:val="20"/>
        </w:rPr>
        <w:t xml:space="preserve">organi </w:t>
      </w:r>
      <w:proofErr w:type="spellStart"/>
      <w:r w:rsidR="0005085F">
        <w:rPr>
          <w:rFonts w:cs="Arial"/>
          <w:szCs w:val="20"/>
        </w:rPr>
        <w:t>nadzora</w:t>
      </w:r>
      <w:r w:rsidR="008E24C9">
        <w:rPr>
          <w:rFonts w:cs="Arial"/>
          <w:szCs w:val="20"/>
        </w:rPr>
        <w:t>zakonodajalci</w:t>
      </w:r>
      <w:proofErr w:type="spellEnd"/>
      <w:r w:rsidR="008E24C9" w:rsidRPr="00445B9C">
        <w:rPr>
          <w:rFonts w:cs="Arial"/>
          <w:szCs w:val="20"/>
        </w:rPr>
        <w:t xml:space="preserve"> </w:t>
      </w:r>
      <w:r w:rsidRPr="00445B9C">
        <w:rPr>
          <w:rFonts w:cs="Arial"/>
          <w:szCs w:val="20"/>
        </w:rPr>
        <w:t xml:space="preserve">in drugimi deležniki ter </w:t>
      </w:r>
      <w:r w:rsidR="00341046" w:rsidRPr="00445B9C">
        <w:rPr>
          <w:rFonts w:cs="Arial"/>
          <w:szCs w:val="20"/>
        </w:rPr>
        <w:t xml:space="preserve">nalaga pošiljanje </w:t>
      </w:r>
      <w:r w:rsidR="008E24C9">
        <w:rPr>
          <w:rFonts w:cs="Arial"/>
          <w:szCs w:val="20"/>
        </w:rPr>
        <w:t xml:space="preserve">zadevnih </w:t>
      </w:r>
      <w:r w:rsidRPr="00445B9C">
        <w:rPr>
          <w:rFonts w:cs="Arial"/>
          <w:szCs w:val="20"/>
        </w:rPr>
        <w:t>informacij</w:t>
      </w:r>
      <w:r w:rsidR="00341046" w:rsidRPr="00445B9C">
        <w:rPr>
          <w:rFonts w:cs="Arial"/>
          <w:szCs w:val="20"/>
        </w:rPr>
        <w:t xml:space="preserve"> pristojnim organom</w:t>
      </w:r>
      <w:r w:rsidR="008E24C9">
        <w:rPr>
          <w:rFonts w:cs="Arial"/>
          <w:szCs w:val="20"/>
        </w:rPr>
        <w:t>.</w:t>
      </w:r>
    </w:p>
    <w:p w:rsidR="008456AE" w:rsidRPr="00445B9C" w:rsidRDefault="008456AE" w:rsidP="008456AE">
      <w:pPr>
        <w:autoSpaceDE w:val="0"/>
        <w:autoSpaceDN w:val="0"/>
        <w:adjustRightInd w:val="0"/>
        <w:spacing w:line="240" w:lineRule="auto"/>
        <w:jc w:val="both"/>
        <w:rPr>
          <w:rFonts w:cs="Arial"/>
          <w:szCs w:val="20"/>
        </w:rPr>
      </w:pPr>
    </w:p>
    <w:p w:rsidR="008456AE" w:rsidRPr="00445B9C" w:rsidRDefault="008456AE" w:rsidP="0054178C">
      <w:pPr>
        <w:pStyle w:val="Odstavekseznama"/>
        <w:numPr>
          <w:ilvl w:val="0"/>
          <w:numId w:val="27"/>
        </w:numPr>
        <w:autoSpaceDE w:val="0"/>
        <w:autoSpaceDN w:val="0"/>
        <w:adjustRightInd w:val="0"/>
        <w:spacing w:line="240" w:lineRule="auto"/>
        <w:jc w:val="both"/>
        <w:rPr>
          <w:rFonts w:cs="Arial"/>
          <w:szCs w:val="20"/>
        </w:rPr>
      </w:pPr>
      <w:r w:rsidRPr="00445B9C">
        <w:rPr>
          <w:rFonts w:cs="Arial"/>
          <w:b/>
          <w:bCs/>
          <w:szCs w:val="20"/>
        </w:rPr>
        <w:t xml:space="preserve">Načelo odgovornosti in </w:t>
      </w:r>
      <w:r w:rsidR="008E24C9">
        <w:rPr>
          <w:rFonts w:cs="Arial"/>
          <w:b/>
          <w:bCs/>
          <w:szCs w:val="20"/>
        </w:rPr>
        <w:t>preglednosti</w:t>
      </w:r>
      <w:r w:rsidRPr="00445B9C">
        <w:rPr>
          <w:rFonts w:cs="Arial"/>
          <w:b/>
          <w:bCs/>
          <w:szCs w:val="20"/>
        </w:rPr>
        <w:t>:</w:t>
      </w:r>
      <w:r w:rsidRPr="00445B9C">
        <w:rPr>
          <w:rFonts w:cs="Arial"/>
          <w:szCs w:val="20"/>
        </w:rPr>
        <w:t xml:space="preserve"> </w:t>
      </w:r>
      <w:r w:rsidR="00341046" w:rsidRPr="00445B9C">
        <w:rPr>
          <w:rFonts w:cs="Arial"/>
          <w:szCs w:val="20"/>
        </w:rPr>
        <w:t>predlagana ureditev spodbuja finančne subjekte k</w:t>
      </w:r>
      <w:r w:rsidR="00261892" w:rsidRPr="00445B9C">
        <w:rPr>
          <w:rFonts w:cs="Arial"/>
          <w:szCs w:val="20"/>
        </w:rPr>
        <w:t xml:space="preserve"> </w:t>
      </w:r>
      <w:r w:rsidR="00341046" w:rsidRPr="00445B9C">
        <w:rPr>
          <w:rFonts w:cs="Arial"/>
          <w:szCs w:val="20"/>
        </w:rPr>
        <w:t>odgovornosti</w:t>
      </w:r>
      <w:r w:rsidRPr="00445B9C">
        <w:rPr>
          <w:rFonts w:cs="Arial"/>
          <w:szCs w:val="20"/>
        </w:rPr>
        <w:t xml:space="preserve"> za svoje sisteme in postopke za upravljanje tveganj ter </w:t>
      </w:r>
      <w:r w:rsidR="008E24C9">
        <w:rPr>
          <w:rFonts w:cs="Arial"/>
          <w:szCs w:val="20"/>
        </w:rPr>
        <w:t>k preglednemu</w:t>
      </w:r>
      <w:r w:rsidR="008E24C9" w:rsidRPr="00445B9C">
        <w:rPr>
          <w:rFonts w:cs="Arial"/>
          <w:szCs w:val="20"/>
        </w:rPr>
        <w:t xml:space="preserve"> </w:t>
      </w:r>
      <w:r w:rsidRPr="00445B9C">
        <w:rPr>
          <w:rFonts w:cs="Arial"/>
          <w:szCs w:val="20"/>
        </w:rPr>
        <w:t>poroča</w:t>
      </w:r>
      <w:r w:rsidR="00C9513C" w:rsidRPr="00445B9C">
        <w:rPr>
          <w:rFonts w:cs="Arial"/>
          <w:szCs w:val="20"/>
        </w:rPr>
        <w:t>n</w:t>
      </w:r>
      <w:r w:rsidRPr="00445B9C">
        <w:rPr>
          <w:rFonts w:cs="Arial"/>
          <w:szCs w:val="20"/>
        </w:rPr>
        <w:t>j</w:t>
      </w:r>
      <w:r w:rsidR="00C9513C" w:rsidRPr="00445B9C">
        <w:rPr>
          <w:rFonts w:cs="Arial"/>
          <w:szCs w:val="20"/>
        </w:rPr>
        <w:t>u.</w:t>
      </w:r>
      <w:r w:rsidRPr="00445B9C">
        <w:rPr>
          <w:rFonts w:cs="Arial"/>
          <w:szCs w:val="20"/>
        </w:rPr>
        <w:t xml:space="preserve"> </w:t>
      </w:r>
    </w:p>
    <w:p w:rsidR="00ED36BF" w:rsidRPr="00445B9C" w:rsidRDefault="00ED36BF" w:rsidP="00ED36BF">
      <w:pPr>
        <w:spacing w:line="260" w:lineRule="exact"/>
        <w:jc w:val="both"/>
        <w:rPr>
          <w:rFonts w:cs="Arial"/>
          <w:szCs w:val="20"/>
        </w:rPr>
      </w:pPr>
    </w:p>
    <w:p w:rsidR="00ED36BF" w:rsidRPr="00445B9C" w:rsidRDefault="00ED36BF" w:rsidP="00ED36BF">
      <w:pPr>
        <w:spacing w:line="260" w:lineRule="exact"/>
        <w:jc w:val="both"/>
        <w:rPr>
          <w:rFonts w:cs="Arial"/>
          <w:b/>
          <w:szCs w:val="20"/>
        </w:rPr>
      </w:pPr>
      <w:bookmarkStart w:id="4" w:name="_Hlk55899654"/>
      <w:bookmarkStart w:id="5" w:name="_Hlk36040354"/>
      <w:r w:rsidRPr="00445B9C">
        <w:rPr>
          <w:rFonts w:cs="Arial"/>
          <w:b/>
          <w:szCs w:val="20"/>
        </w:rPr>
        <w:t>2.3. Poglavitne rešitve</w:t>
      </w:r>
    </w:p>
    <w:bookmarkEnd w:id="4"/>
    <w:p w:rsidR="00ED36BF" w:rsidRPr="00445B9C" w:rsidRDefault="00ED36BF" w:rsidP="00ED36BF">
      <w:pPr>
        <w:spacing w:line="260" w:lineRule="exact"/>
        <w:jc w:val="both"/>
        <w:rPr>
          <w:rFonts w:cs="Arial"/>
          <w:szCs w:val="20"/>
        </w:rPr>
      </w:pPr>
    </w:p>
    <w:p w:rsidR="009E626A" w:rsidRPr="00445B9C" w:rsidRDefault="008E24C9" w:rsidP="009E626A">
      <w:pPr>
        <w:spacing w:line="260" w:lineRule="exact"/>
        <w:jc w:val="both"/>
        <w:rPr>
          <w:rFonts w:cs="Arial"/>
          <w:szCs w:val="20"/>
        </w:rPr>
      </w:pPr>
      <w:r>
        <w:rPr>
          <w:rFonts w:cs="Arial"/>
          <w:szCs w:val="20"/>
        </w:rPr>
        <w:t>V</w:t>
      </w:r>
      <w:r w:rsidR="009E626A" w:rsidRPr="00445B9C">
        <w:rPr>
          <w:rFonts w:cs="Arial"/>
          <w:szCs w:val="20"/>
        </w:rPr>
        <w:t xml:space="preserve"> Uradnem listu EU </w:t>
      </w:r>
      <w:r w:rsidRPr="00445B9C">
        <w:rPr>
          <w:rFonts w:cs="Arial"/>
          <w:szCs w:val="20"/>
        </w:rPr>
        <w:t xml:space="preserve">je bil 27. decembra 2022 </w:t>
      </w:r>
      <w:r w:rsidR="009E626A" w:rsidRPr="00445B9C">
        <w:rPr>
          <w:rFonts w:cs="Arial"/>
          <w:szCs w:val="20"/>
        </w:rPr>
        <w:t>objavljen zakonodajni paket o digitalni operativni odpornosti za finančni sektor (v nadalj</w:t>
      </w:r>
      <w:r w:rsidR="00C9513C" w:rsidRPr="00445B9C">
        <w:rPr>
          <w:rFonts w:cs="Arial"/>
          <w:szCs w:val="20"/>
        </w:rPr>
        <w:t>njem besedil</w:t>
      </w:r>
      <w:r w:rsidR="009E626A" w:rsidRPr="00445B9C">
        <w:rPr>
          <w:rFonts w:cs="Arial"/>
          <w:szCs w:val="20"/>
        </w:rPr>
        <w:t xml:space="preserve">u: DORA), ki vključuje Uredbo (EU) 2022/2554 Evropskega parlamenta in Sveta z dne 14. decembra 2022 o digitalni operativni odpornosti za finančni sektor in spremembi uredb (ES) št. 1060/2009, (EU) št. 648/2012, (EU) št. 600/2014, (EU) št. 909/2014 in (EU) 2016/1011 (UL L </w:t>
      </w:r>
      <w:r w:rsidR="00461940" w:rsidRPr="00445B9C">
        <w:rPr>
          <w:rFonts w:cs="Arial"/>
          <w:szCs w:val="20"/>
        </w:rPr>
        <w:t xml:space="preserve">št. </w:t>
      </w:r>
      <w:r w:rsidR="009E626A" w:rsidRPr="00445B9C">
        <w:rPr>
          <w:rFonts w:cs="Arial"/>
          <w:szCs w:val="20"/>
        </w:rPr>
        <w:t>333</w:t>
      </w:r>
      <w:r w:rsidR="00461940" w:rsidRPr="00445B9C">
        <w:rPr>
          <w:rFonts w:cs="Arial"/>
          <w:szCs w:val="20"/>
        </w:rPr>
        <w:t xml:space="preserve"> z dne</w:t>
      </w:r>
      <w:r w:rsidR="009E626A" w:rsidRPr="00445B9C">
        <w:rPr>
          <w:rFonts w:cs="Arial"/>
          <w:szCs w:val="20"/>
        </w:rPr>
        <w:t xml:space="preserve"> 27</w:t>
      </w:r>
      <w:r w:rsidR="00461940" w:rsidRPr="00445B9C">
        <w:rPr>
          <w:rFonts w:cs="Arial"/>
          <w:szCs w:val="20"/>
        </w:rPr>
        <w:t xml:space="preserve">. </w:t>
      </w:r>
      <w:r w:rsidR="009E626A" w:rsidRPr="00445B9C">
        <w:rPr>
          <w:rFonts w:cs="Arial"/>
          <w:szCs w:val="20"/>
        </w:rPr>
        <w:t>12</w:t>
      </w:r>
      <w:r w:rsidR="00461940" w:rsidRPr="00445B9C">
        <w:rPr>
          <w:rFonts w:cs="Arial"/>
          <w:szCs w:val="20"/>
        </w:rPr>
        <w:t xml:space="preserve">. </w:t>
      </w:r>
      <w:r w:rsidR="009E626A" w:rsidRPr="00445B9C">
        <w:rPr>
          <w:rFonts w:cs="Arial"/>
          <w:szCs w:val="20"/>
        </w:rPr>
        <w:t>2022)</w:t>
      </w:r>
      <w:r w:rsidR="006438D8" w:rsidRPr="00445B9C">
        <w:rPr>
          <w:rFonts w:cs="Arial"/>
          <w:szCs w:val="20"/>
        </w:rPr>
        <w:t xml:space="preserve">, </w:t>
      </w:r>
      <w:r w:rsidR="00916868">
        <w:rPr>
          <w:rFonts w:cs="Arial"/>
          <w:szCs w:val="20"/>
        </w:rPr>
        <w:t>zadnjič</w:t>
      </w:r>
      <w:r w:rsidR="00916868" w:rsidRPr="00445B9C">
        <w:rPr>
          <w:rFonts w:cs="Arial"/>
          <w:szCs w:val="20"/>
        </w:rPr>
        <w:t xml:space="preserve"> </w:t>
      </w:r>
      <w:r w:rsidR="006438D8" w:rsidRPr="00445B9C">
        <w:rPr>
          <w:rFonts w:cs="Arial"/>
          <w:szCs w:val="20"/>
        </w:rPr>
        <w:t>spremenjen</w:t>
      </w:r>
      <w:r w:rsidR="00557D36">
        <w:rPr>
          <w:rFonts w:cs="Arial"/>
          <w:szCs w:val="20"/>
        </w:rPr>
        <w:t>o</w:t>
      </w:r>
      <w:r w:rsidR="006438D8" w:rsidRPr="00445B9C">
        <w:rPr>
          <w:rFonts w:cs="Arial"/>
          <w:szCs w:val="20"/>
        </w:rPr>
        <w:t xml:space="preserve"> z Delegirano uredbo Komisije (EU) 2025/420 z dne 16. decembra 2024 o dopolnitvi Uredbe 2022/2554/EU Evropskega parlamenta in Sveta v zvezi z regulativnimi tehničnimi standardi, v katerih se določijo merila za določitev sestave skupne </w:t>
      </w:r>
      <w:proofErr w:type="spellStart"/>
      <w:r w:rsidR="006438D8" w:rsidRPr="00445B9C">
        <w:rPr>
          <w:rFonts w:cs="Arial"/>
          <w:szCs w:val="20"/>
        </w:rPr>
        <w:t>pregledniške</w:t>
      </w:r>
      <w:proofErr w:type="spellEnd"/>
      <w:r w:rsidR="006438D8" w:rsidRPr="00445B9C">
        <w:rPr>
          <w:rFonts w:cs="Arial"/>
          <w:szCs w:val="20"/>
        </w:rPr>
        <w:t xml:space="preserve"> ekipe, ki zagotavljajo uravnoteženo udeležbo članov osebja iz evropskih nadzornih organov in ustreznih pristojnih organov, njihovo imenovanje, naloge in delovne dogovore</w:t>
      </w:r>
      <w:r w:rsidR="006438D8" w:rsidRPr="00445B9C" w:rsidDel="006174E0">
        <w:rPr>
          <w:rFonts w:cs="Arial"/>
          <w:szCs w:val="20"/>
        </w:rPr>
        <w:t xml:space="preserve"> </w:t>
      </w:r>
      <w:r w:rsidR="006438D8" w:rsidRPr="00445B9C">
        <w:rPr>
          <w:rFonts w:cs="Arial"/>
          <w:szCs w:val="20"/>
        </w:rPr>
        <w:t>(UL L št. 2025/420 z dne 24. 3. 2025)</w:t>
      </w:r>
      <w:r w:rsidR="00D87BCB">
        <w:rPr>
          <w:rFonts w:cs="Arial"/>
          <w:szCs w:val="20"/>
        </w:rPr>
        <w:t xml:space="preserve">, </w:t>
      </w:r>
      <w:r w:rsidR="00D87BCB" w:rsidRPr="00D87BCB">
        <w:rPr>
          <w:rFonts w:cs="Arial"/>
          <w:szCs w:val="20"/>
        </w:rPr>
        <w:t xml:space="preserve">(v nadaljnjem besedilu: Uredba </w:t>
      </w:r>
      <w:r w:rsidR="00D87BCB" w:rsidRPr="00445B9C">
        <w:rPr>
          <w:rFonts w:cs="Arial"/>
          <w:szCs w:val="20"/>
        </w:rPr>
        <w:t>2022/2554</w:t>
      </w:r>
      <w:r w:rsidR="00D87BCB" w:rsidRPr="00D87BCB">
        <w:rPr>
          <w:rFonts w:cs="Arial"/>
          <w:szCs w:val="20"/>
        </w:rPr>
        <w:t>/EU)</w:t>
      </w:r>
      <w:r w:rsidR="009E626A" w:rsidRPr="00445B9C">
        <w:rPr>
          <w:rFonts w:cs="Arial"/>
          <w:szCs w:val="20"/>
        </w:rPr>
        <w:t xml:space="preserve"> in Direktivo 2022/2556</w:t>
      </w:r>
      <w:r w:rsidR="00D87BCB">
        <w:rPr>
          <w:rFonts w:cs="Arial"/>
          <w:szCs w:val="20"/>
        </w:rPr>
        <w:t>/EU</w:t>
      </w:r>
      <w:r w:rsidR="009E626A" w:rsidRPr="00445B9C">
        <w:rPr>
          <w:rFonts w:cs="Arial"/>
          <w:szCs w:val="20"/>
        </w:rPr>
        <w:t>.</w:t>
      </w:r>
      <w:r w:rsidR="001A4517" w:rsidRPr="00445B9C">
        <w:rPr>
          <w:rFonts w:cs="Arial"/>
          <w:szCs w:val="20"/>
        </w:rPr>
        <w:t xml:space="preserve"> </w:t>
      </w:r>
      <w:r w:rsidR="009E626A" w:rsidRPr="00445B9C">
        <w:rPr>
          <w:rFonts w:cs="Arial"/>
          <w:szCs w:val="20"/>
        </w:rPr>
        <w:t>DORA velja za širok nabor finančnih subjektov in prvič združuje določbe, ki obravnavajo digitalno operativno tveganje v finančnem sektorju</w:t>
      </w:r>
      <w:r w:rsidR="00557D36">
        <w:rPr>
          <w:rFonts w:cs="Arial"/>
          <w:szCs w:val="20"/>
        </w:rPr>
        <w:t>,</w:t>
      </w:r>
      <w:r w:rsidR="009E626A" w:rsidRPr="00445B9C">
        <w:rPr>
          <w:rFonts w:cs="Arial"/>
          <w:szCs w:val="20"/>
        </w:rPr>
        <w:t xml:space="preserve"> na dosleden način v enem samem zakonodajnem paketu.</w:t>
      </w:r>
    </w:p>
    <w:p w:rsidR="006D49F7" w:rsidRPr="00445B9C" w:rsidRDefault="006D49F7" w:rsidP="00ED36BF">
      <w:pPr>
        <w:spacing w:line="260" w:lineRule="exact"/>
        <w:jc w:val="both"/>
        <w:rPr>
          <w:rFonts w:cs="Arial"/>
          <w:szCs w:val="20"/>
        </w:rPr>
      </w:pPr>
    </w:p>
    <w:p w:rsidR="00562370" w:rsidRPr="00445B9C" w:rsidRDefault="008306BF" w:rsidP="00ED36BF">
      <w:pPr>
        <w:spacing w:line="260" w:lineRule="exact"/>
        <w:jc w:val="both"/>
        <w:rPr>
          <w:rFonts w:cs="Arial"/>
          <w:szCs w:val="20"/>
        </w:rPr>
      </w:pPr>
      <w:r w:rsidRPr="00445B9C">
        <w:rPr>
          <w:rFonts w:cs="Arial"/>
          <w:szCs w:val="20"/>
        </w:rPr>
        <w:t>S</w:t>
      </w:r>
      <w:r w:rsidR="00235B8D" w:rsidRPr="00445B9C">
        <w:rPr>
          <w:rFonts w:cs="Arial"/>
          <w:szCs w:val="20"/>
        </w:rPr>
        <w:t xml:space="preserve"> prenosom </w:t>
      </w:r>
      <w:r w:rsidR="006D49F7" w:rsidRPr="00445B9C">
        <w:rPr>
          <w:rFonts w:cs="Arial"/>
          <w:szCs w:val="20"/>
        </w:rPr>
        <w:t>določb</w:t>
      </w:r>
      <w:r w:rsidR="00235B8D" w:rsidRPr="00445B9C">
        <w:rPr>
          <w:rFonts w:cs="Arial"/>
          <w:szCs w:val="20"/>
        </w:rPr>
        <w:t xml:space="preserve"> </w:t>
      </w:r>
      <w:r w:rsidR="00034636" w:rsidRPr="00445B9C">
        <w:rPr>
          <w:rFonts w:cs="Arial"/>
          <w:szCs w:val="20"/>
        </w:rPr>
        <w:t>D</w:t>
      </w:r>
      <w:r w:rsidR="00235B8D" w:rsidRPr="00445B9C">
        <w:rPr>
          <w:rFonts w:cs="Arial"/>
          <w:szCs w:val="20"/>
        </w:rPr>
        <w:t>irektive 2022/2556/EU</w:t>
      </w:r>
      <w:r w:rsidR="006D49F7" w:rsidRPr="00445B9C">
        <w:rPr>
          <w:rFonts w:cs="Arial"/>
          <w:szCs w:val="20"/>
        </w:rPr>
        <w:t xml:space="preserve"> v delu, ki </w:t>
      </w:r>
      <w:r w:rsidR="00E2592D" w:rsidRPr="00445B9C">
        <w:rPr>
          <w:rFonts w:cs="Arial"/>
          <w:szCs w:val="20"/>
        </w:rPr>
        <w:t>sprem</w:t>
      </w:r>
      <w:r w:rsidR="004D69D4" w:rsidRPr="00445B9C">
        <w:rPr>
          <w:rFonts w:cs="Arial"/>
          <w:szCs w:val="20"/>
        </w:rPr>
        <w:t>inja</w:t>
      </w:r>
      <w:r w:rsidR="006D49F7" w:rsidRPr="00445B9C">
        <w:rPr>
          <w:rFonts w:cs="Arial"/>
          <w:szCs w:val="20"/>
        </w:rPr>
        <w:t xml:space="preserve"> Direktivo 201</w:t>
      </w:r>
      <w:r w:rsidR="00B527D4" w:rsidRPr="00445B9C">
        <w:rPr>
          <w:rFonts w:cs="Arial"/>
          <w:szCs w:val="20"/>
        </w:rPr>
        <w:t>4</w:t>
      </w:r>
      <w:r w:rsidR="006D49F7" w:rsidRPr="00445B9C">
        <w:rPr>
          <w:rFonts w:cs="Arial"/>
          <w:szCs w:val="20"/>
        </w:rPr>
        <w:t>/65/EU</w:t>
      </w:r>
      <w:r w:rsidR="004D69D4" w:rsidRPr="00445B9C">
        <w:rPr>
          <w:rFonts w:cs="Arial"/>
          <w:szCs w:val="20"/>
        </w:rPr>
        <w:t>,</w:t>
      </w:r>
      <w:r w:rsidR="00034636" w:rsidRPr="00445B9C">
        <w:rPr>
          <w:rFonts w:cs="Arial"/>
          <w:szCs w:val="20"/>
        </w:rPr>
        <w:t xml:space="preserve"> s pred</w:t>
      </w:r>
      <w:r w:rsidR="004D69D4" w:rsidRPr="00445B9C">
        <w:rPr>
          <w:rFonts w:cs="Arial"/>
          <w:szCs w:val="20"/>
        </w:rPr>
        <w:t>laganimi spremembami in dopolnitvami ZTFI-1</w:t>
      </w:r>
      <w:r w:rsidR="00034636" w:rsidRPr="00445B9C">
        <w:rPr>
          <w:rFonts w:cs="Arial"/>
          <w:szCs w:val="20"/>
        </w:rPr>
        <w:t xml:space="preserve"> </w:t>
      </w:r>
      <w:r w:rsidR="00235B8D" w:rsidRPr="00445B9C">
        <w:rPr>
          <w:rFonts w:cs="Arial"/>
          <w:szCs w:val="20"/>
        </w:rPr>
        <w:t>se s</w:t>
      </w:r>
      <w:r w:rsidRPr="00445B9C">
        <w:rPr>
          <w:rFonts w:cs="Arial"/>
          <w:szCs w:val="20"/>
        </w:rPr>
        <w:t xml:space="preserve"> poenostavitvijo in nadgradnjo </w:t>
      </w:r>
      <w:r w:rsidR="00557D36">
        <w:rPr>
          <w:rFonts w:cs="Arial"/>
          <w:szCs w:val="20"/>
        </w:rPr>
        <w:t>uveljavljenih</w:t>
      </w:r>
      <w:r w:rsidR="00557D36" w:rsidRPr="00445B9C">
        <w:rPr>
          <w:rFonts w:cs="Arial"/>
          <w:szCs w:val="20"/>
        </w:rPr>
        <w:t xml:space="preserve"> </w:t>
      </w:r>
      <w:r w:rsidRPr="00445B9C">
        <w:rPr>
          <w:rFonts w:cs="Arial"/>
          <w:szCs w:val="20"/>
        </w:rPr>
        <w:t>pravil ter uvedbo novih zahtev želi okrepiti digitaln</w:t>
      </w:r>
      <w:r w:rsidR="00557D36">
        <w:rPr>
          <w:rFonts w:cs="Arial"/>
          <w:szCs w:val="20"/>
        </w:rPr>
        <w:t>a</w:t>
      </w:r>
      <w:r w:rsidRPr="00445B9C">
        <w:rPr>
          <w:rFonts w:cs="Arial"/>
          <w:szCs w:val="20"/>
        </w:rPr>
        <w:t xml:space="preserve"> operativn</w:t>
      </w:r>
      <w:r w:rsidR="00557D36">
        <w:rPr>
          <w:rFonts w:cs="Arial"/>
          <w:szCs w:val="20"/>
        </w:rPr>
        <w:t>a</w:t>
      </w:r>
      <w:r w:rsidRPr="00445B9C">
        <w:rPr>
          <w:rFonts w:cs="Arial"/>
          <w:szCs w:val="20"/>
        </w:rPr>
        <w:t xml:space="preserve"> odpornost </w:t>
      </w:r>
      <w:r w:rsidR="008F6AC6" w:rsidRPr="00445B9C">
        <w:rPr>
          <w:rFonts w:cs="Arial"/>
          <w:szCs w:val="20"/>
        </w:rPr>
        <w:t>investicijskih podjetij</w:t>
      </w:r>
      <w:r w:rsidR="008D6099" w:rsidRPr="00445B9C">
        <w:rPr>
          <w:rFonts w:cs="Arial"/>
          <w:szCs w:val="20"/>
        </w:rPr>
        <w:t xml:space="preserve"> in borze ter </w:t>
      </w:r>
      <w:r w:rsidRPr="00445B9C">
        <w:rPr>
          <w:rFonts w:cs="Arial"/>
          <w:szCs w:val="20"/>
        </w:rPr>
        <w:t>s tem prispevati k splošni odpornosti celotnega gospodarstva.</w:t>
      </w:r>
      <w:r w:rsidR="006F7F73" w:rsidRPr="00445B9C">
        <w:rPr>
          <w:rFonts w:cs="Arial"/>
          <w:szCs w:val="20"/>
        </w:rPr>
        <w:t xml:space="preserve"> </w:t>
      </w:r>
    </w:p>
    <w:p w:rsidR="00562370" w:rsidRPr="00445B9C" w:rsidRDefault="00562370" w:rsidP="00ED36BF">
      <w:pPr>
        <w:spacing w:line="260" w:lineRule="exact"/>
        <w:jc w:val="both"/>
        <w:rPr>
          <w:rFonts w:cs="Arial"/>
          <w:szCs w:val="20"/>
        </w:rPr>
      </w:pPr>
    </w:p>
    <w:p w:rsidR="00306036" w:rsidRPr="00445B9C" w:rsidRDefault="00306036" w:rsidP="00306036">
      <w:pPr>
        <w:spacing w:line="260" w:lineRule="exact"/>
        <w:jc w:val="both"/>
        <w:rPr>
          <w:rFonts w:cs="Arial"/>
          <w:szCs w:val="20"/>
        </w:rPr>
      </w:pPr>
      <w:r w:rsidRPr="00445B9C">
        <w:rPr>
          <w:rFonts w:cs="Arial"/>
          <w:szCs w:val="20"/>
        </w:rPr>
        <w:t>V skladu s pred</w:t>
      </w:r>
      <w:r w:rsidR="004D69D4" w:rsidRPr="00445B9C">
        <w:rPr>
          <w:rFonts w:cs="Arial"/>
          <w:szCs w:val="20"/>
        </w:rPr>
        <w:t xml:space="preserve">laganimi spremembami in dopolnitvami ZTFI-1 </w:t>
      </w:r>
      <w:r w:rsidRPr="00445B9C">
        <w:rPr>
          <w:rFonts w:cs="Arial"/>
          <w:szCs w:val="20"/>
        </w:rPr>
        <w:t xml:space="preserve">morajo investicijska podjetja zagotoviti visoko raven varnosti in odpornosti IKT. To pomeni vzpostavitev ustreznih sistemov IKT in njihovo upravljanje </w:t>
      </w:r>
      <w:r w:rsidR="00421509">
        <w:rPr>
          <w:rFonts w:cs="Arial"/>
          <w:szCs w:val="20"/>
        </w:rPr>
        <w:t xml:space="preserve">v </w:t>
      </w:r>
      <w:r w:rsidRPr="00445B9C">
        <w:rPr>
          <w:rFonts w:cs="Arial"/>
          <w:szCs w:val="20"/>
        </w:rPr>
        <w:t>sklad</w:t>
      </w:r>
      <w:r w:rsidR="00421509">
        <w:rPr>
          <w:rFonts w:cs="Arial"/>
          <w:szCs w:val="20"/>
        </w:rPr>
        <w:t>u</w:t>
      </w:r>
      <w:r w:rsidRPr="00445B9C">
        <w:rPr>
          <w:rFonts w:cs="Arial"/>
          <w:szCs w:val="20"/>
        </w:rPr>
        <w:t xml:space="preserve"> z zakonodajnimi zahtevami ter uvedbo varnostnih mehanizmov za zaščito pred nepooblaščenim dostopom, izgubo podatkov in uhajanjem informacij. Zaradi naraščajočih tveganj v digitalnem poslovnem okolju </w:t>
      </w:r>
      <w:r w:rsidR="004D69D4" w:rsidRPr="00445B9C">
        <w:rPr>
          <w:rFonts w:cs="Arial"/>
          <w:szCs w:val="20"/>
        </w:rPr>
        <w:t xml:space="preserve">se </w:t>
      </w:r>
      <w:r w:rsidRPr="00445B9C">
        <w:rPr>
          <w:rFonts w:cs="Arial"/>
          <w:szCs w:val="20"/>
        </w:rPr>
        <w:t>uvaja</w:t>
      </w:r>
      <w:r w:rsidR="004D69D4" w:rsidRPr="00445B9C">
        <w:rPr>
          <w:rFonts w:cs="Arial"/>
          <w:szCs w:val="20"/>
        </w:rPr>
        <w:t>jo</w:t>
      </w:r>
      <w:r w:rsidRPr="00445B9C">
        <w:rPr>
          <w:rFonts w:cs="Arial"/>
          <w:szCs w:val="20"/>
        </w:rPr>
        <w:t xml:space="preserve"> strožje zahteve za upravljanje tveganj. Investicijska podjetja morajo vzpostaviti učinkovite postopke za </w:t>
      </w:r>
      <w:r w:rsidR="00921646">
        <w:rPr>
          <w:rFonts w:cs="Arial"/>
          <w:szCs w:val="20"/>
        </w:rPr>
        <w:t xml:space="preserve">njihovo </w:t>
      </w:r>
      <w:r w:rsidRPr="00445B9C">
        <w:rPr>
          <w:rFonts w:cs="Arial"/>
          <w:szCs w:val="20"/>
        </w:rPr>
        <w:t>prepoznavanje in obvladovanje, vključno s tveganji na področju IKT, ter zagotoviti notranje kontrolne mehanizme, ki omogočajo pravočasno odkrivanje nepravilnosti</w:t>
      </w:r>
      <w:r w:rsidR="00D31F43" w:rsidRPr="00445B9C">
        <w:rPr>
          <w:rFonts w:cs="Arial"/>
          <w:szCs w:val="20"/>
        </w:rPr>
        <w:t xml:space="preserve"> (dopolnitev drugega odstavka 236. člena ZTFI-1)</w:t>
      </w:r>
      <w:r w:rsidRPr="00445B9C">
        <w:rPr>
          <w:rFonts w:cs="Arial"/>
          <w:szCs w:val="20"/>
        </w:rPr>
        <w:t xml:space="preserve">. </w:t>
      </w:r>
    </w:p>
    <w:p w:rsidR="00306036" w:rsidRPr="00445B9C" w:rsidRDefault="00306036" w:rsidP="00306036">
      <w:pPr>
        <w:spacing w:line="260" w:lineRule="exact"/>
        <w:jc w:val="both"/>
        <w:rPr>
          <w:rFonts w:cs="Arial"/>
          <w:szCs w:val="20"/>
        </w:rPr>
      </w:pPr>
    </w:p>
    <w:p w:rsidR="00306036" w:rsidRPr="00445B9C" w:rsidRDefault="00306036" w:rsidP="00306036">
      <w:pPr>
        <w:spacing w:line="260" w:lineRule="exact"/>
        <w:jc w:val="both"/>
        <w:rPr>
          <w:rFonts w:cs="Arial"/>
          <w:szCs w:val="20"/>
        </w:rPr>
      </w:pPr>
      <w:r w:rsidRPr="00445B9C">
        <w:rPr>
          <w:rFonts w:cs="Arial"/>
          <w:szCs w:val="20"/>
        </w:rPr>
        <w:t xml:space="preserve">Spremembe so uvedene tudi na področju algoritmičnega trgovanja, saj </w:t>
      </w:r>
      <w:r w:rsidR="004D69D4" w:rsidRPr="00445B9C">
        <w:rPr>
          <w:rFonts w:cs="Arial"/>
          <w:szCs w:val="20"/>
        </w:rPr>
        <w:t xml:space="preserve">se </w:t>
      </w:r>
      <w:r w:rsidRPr="00445B9C">
        <w:rPr>
          <w:rFonts w:cs="Arial"/>
          <w:szCs w:val="20"/>
        </w:rPr>
        <w:t>določa</w:t>
      </w:r>
      <w:r w:rsidR="004D69D4" w:rsidRPr="00445B9C">
        <w:rPr>
          <w:rFonts w:cs="Arial"/>
          <w:szCs w:val="20"/>
        </w:rPr>
        <w:t>jo</w:t>
      </w:r>
      <w:r w:rsidRPr="00445B9C">
        <w:rPr>
          <w:rFonts w:cs="Arial"/>
          <w:szCs w:val="20"/>
        </w:rPr>
        <w:t xml:space="preserve"> dodatne zahteve za podjetja, ki uporabljajo ta način trgovanja. Namen teh ukrepov je zagotavljanje stabilnosti in zanesljivosti sistemov, pri čemer </w:t>
      </w:r>
      <w:r w:rsidR="00921646">
        <w:rPr>
          <w:rFonts w:cs="Arial"/>
          <w:szCs w:val="20"/>
        </w:rPr>
        <w:t>morajo</w:t>
      </w:r>
      <w:r w:rsidR="00921646" w:rsidRPr="00445B9C">
        <w:rPr>
          <w:rFonts w:cs="Arial"/>
          <w:szCs w:val="20"/>
        </w:rPr>
        <w:t xml:space="preserve"> </w:t>
      </w:r>
      <w:r w:rsidRPr="00445B9C">
        <w:rPr>
          <w:rFonts w:cs="Arial"/>
          <w:szCs w:val="20"/>
        </w:rPr>
        <w:t>podjetja preprečevati neurejene tržne razmere s strogim nadzorom nad delovanjem algoritmov</w:t>
      </w:r>
      <w:r w:rsidR="00D31F43" w:rsidRPr="00445B9C">
        <w:rPr>
          <w:rFonts w:cs="Arial"/>
          <w:szCs w:val="20"/>
        </w:rPr>
        <w:t xml:space="preserve"> (dopolnitev prvega odstavka 242. člena ZT</w:t>
      </w:r>
      <w:r w:rsidR="00A965AF">
        <w:rPr>
          <w:rFonts w:cs="Arial"/>
          <w:szCs w:val="20"/>
        </w:rPr>
        <w:t>F</w:t>
      </w:r>
      <w:r w:rsidR="00D31F43" w:rsidRPr="00445B9C">
        <w:rPr>
          <w:rFonts w:cs="Arial"/>
          <w:szCs w:val="20"/>
        </w:rPr>
        <w:t>I-1)</w:t>
      </w:r>
      <w:r w:rsidRPr="00445B9C">
        <w:rPr>
          <w:rFonts w:cs="Arial"/>
          <w:szCs w:val="20"/>
        </w:rPr>
        <w:t xml:space="preserve">. </w:t>
      </w:r>
    </w:p>
    <w:p w:rsidR="00306036" w:rsidRPr="00445B9C" w:rsidRDefault="00306036" w:rsidP="00306036">
      <w:pPr>
        <w:spacing w:line="260" w:lineRule="exact"/>
        <w:jc w:val="both"/>
        <w:rPr>
          <w:rFonts w:cs="Arial"/>
          <w:szCs w:val="20"/>
        </w:rPr>
      </w:pPr>
    </w:p>
    <w:p w:rsidR="00306036" w:rsidRPr="00445B9C" w:rsidRDefault="00306036" w:rsidP="00306036">
      <w:pPr>
        <w:spacing w:line="260" w:lineRule="exact"/>
        <w:jc w:val="both"/>
        <w:rPr>
          <w:rFonts w:cs="Arial"/>
          <w:szCs w:val="20"/>
        </w:rPr>
      </w:pPr>
      <w:r w:rsidRPr="00445B9C">
        <w:rPr>
          <w:rFonts w:cs="Arial"/>
          <w:szCs w:val="20"/>
        </w:rPr>
        <w:t xml:space="preserve">Za zagotavljanje neprekinjenega poslovanja in učinkovitega odzivanja na krizne razmere morajo investicijska podjetja in </w:t>
      </w:r>
      <w:r w:rsidR="002F5892" w:rsidRPr="00445B9C">
        <w:rPr>
          <w:rFonts w:cs="Arial"/>
          <w:szCs w:val="20"/>
        </w:rPr>
        <w:t>borza</w:t>
      </w:r>
      <w:r w:rsidRPr="00445B9C">
        <w:rPr>
          <w:rFonts w:cs="Arial"/>
          <w:szCs w:val="20"/>
        </w:rPr>
        <w:t xml:space="preserve"> vzpostaviti sisteme za zaznavo in zmanjšanje tveganj, povezanih z izpadi sistemov. To vključuje pripravo načrtov okrevanja po morebitnih incidentih, vzpostavitev varnostnih mehanizmov ter redno testiranje sistemov in spremljanje njihovega delovanja. Takšni ukrepi so ključni za zagotovitev skladnosti s predpisanimi standardi ter zmanjšanje vpliva nepredvidenih dogodkov na finančne trge</w:t>
      </w:r>
      <w:r w:rsidR="002F5892" w:rsidRPr="00445B9C">
        <w:rPr>
          <w:rFonts w:cs="Arial"/>
          <w:szCs w:val="20"/>
        </w:rPr>
        <w:t xml:space="preserve"> (dopolnitev drugega odstavka 234. člena in drugi odstavek 328. člena ZTFI-1)</w:t>
      </w:r>
      <w:r w:rsidRPr="00445B9C">
        <w:rPr>
          <w:rFonts w:cs="Arial"/>
          <w:szCs w:val="20"/>
        </w:rPr>
        <w:t>.</w:t>
      </w:r>
    </w:p>
    <w:p w:rsidR="00306036" w:rsidRPr="00445B9C" w:rsidRDefault="00306036" w:rsidP="00306036">
      <w:pPr>
        <w:spacing w:line="260" w:lineRule="exact"/>
        <w:jc w:val="both"/>
        <w:rPr>
          <w:rFonts w:cs="Arial"/>
          <w:szCs w:val="20"/>
        </w:rPr>
      </w:pPr>
    </w:p>
    <w:p w:rsidR="00306036" w:rsidRPr="00445B9C" w:rsidRDefault="00306036" w:rsidP="00306036">
      <w:pPr>
        <w:spacing w:line="260" w:lineRule="exact"/>
        <w:jc w:val="both"/>
        <w:rPr>
          <w:rFonts w:cs="Arial"/>
          <w:szCs w:val="20"/>
        </w:rPr>
      </w:pPr>
      <w:r w:rsidRPr="00445B9C">
        <w:rPr>
          <w:rFonts w:cs="Arial"/>
          <w:szCs w:val="20"/>
        </w:rPr>
        <w:t xml:space="preserve">Dodatno se za </w:t>
      </w:r>
      <w:r w:rsidR="00737821" w:rsidRPr="00445B9C">
        <w:rPr>
          <w:rFonts w:cs="Arial"/>
          <w:szCs w:val="20"/>
        </w:rPr>
        <w:t>borzo</w:t>
      </w:r>
      <w:r w:rsidRPr="00445B9C">
        <w:rPr>
          <w:rFonts w:cs="Arial"/>
          <w:szCs w:val="20"/>
        </w:rPr>
        <w:t xml:space="preserve"> uvajajo strožje zahteve, ki zagotavljajo operativno odpornost in zadostne zmogljivosti</w:t>
      </w:r>
      <w:r w:rsidR="0005085F">
        <w:rPr>
          <w:rFonts w:cs="Arial"/>
          <w:szCs w:val="20"/>
        </w:rPr>
        <w:t xml:space="preserve"> borze</w:t>
      </w:r>
      <w:r w:rsidRPr="00445B9C">
        <w:rPr>
          <w:rFonts w:cs="Arial"/>
          <w:szCs w:val="20"/>
        </w:rPr>
        <w:t xml:space="preserve"> za obdelavo velikih količin naročil</w:t>
      </w:r>
      <w:r w:rsidR="00737821" w:rsidRPr="00445B9C">
        <w:rPr>
          <w:rFonts w:cs="Arial"/>
          <w:szCs w:val="20"/>
        </w:rPr>
        <w:t xml:space="preserve"> (dopolnitev drugega odstavka 382. člena </w:t>
      </w:r>
      <w:r w:rsidR="00737821" w:rsidRPr="00445B9C">
        <w:rPr>
          <w:rFonts w:cs="Arial"/>
          <w:szCs w:val="20"/>
        </w:rPr>
        <w:lastRenderedPageBreak/>
        <w:t>ZTFI-1)</w:t>
      </w:r>
      <w:r w:rsidRPr="00445B9C">
        <w:rPr>
          <w:rFonts w:cs="Arial"/>
          <w:szCs w:val="20"/>
        </w:rPr>
        <w:t xml:space="preserve">. </w:t>
      </w:r>
      <w:r w:rsidR="00737821" w:rsidRPr="00445B9C">
        <w:rPr>
          <w:rFonts w:cs="Arial"/>
          <w:szCs w:val="20"/>
        </w:rPr>
        <w:t>Borza</w:t>
      </w:r>
      <w:r w:rsidRPr="00445B9C">
        <w:rPr>
          <w:rFonts w:cs="Arial"/>
          <w:szCs w:val="20"/>
        </w:rPr>
        <w:t xml:space="preserve"> mora </w:t>
      </w:r>
      <w:r w:rsidR="00EB36F4" w:rsidRPr="00445B9C">
        <w:rPr>
          <w:rFonts w:cs="Arial"/>
          <w:szCs w:val="20"/>
        </w:rPr>
        <w:t xml:space="preserve">od članov ali udeležencev </w:t>
      </w:r>
      <w:r w:rsidRPr="00445B9C">
        <w:rPr>
          <w:rFonts w:cs="Arial"/>
          <w:szCs w:val="20"/>
        </w:rPr>
        <w:t>zahtevati, da izvedejo ustrezno preizkušanje algoritmov. Cilj teh ukrepov je preprečevanje neurejenih tržnih razmer ter obvladovanje morebitnih motenj, ki bi lahko nastale zaradi algoritmičnega trgovanja</w:t>
      </w:r>
      <w:r w:rsidR="00737821" w:rsidRPr="00445B9C">
        <w:rPr>
          <w:rFonts w:cs="Arial"/>
          <w:szCs w:val="20"/>
        </w:rPr>
        <w:t xml:space="preserve"> (dopolnitev drugega odstavka 376. člena ZTFI-1)</w:t>
      </w:r>
      <w:r w:rsidRPr="00445B9C">
        <w:rPr>
          <w:rFonts w:cs="Arial"/>
          <w:szCs w:val="20"/>
        </w:rPr>
        <w:t>. Dodatno se uvajajo omejitve glede deleža neizvršenih naročil in mehanizmi za upočasnitev toka naročil ob nevarnosti preobremenitve sistema ter določitev minimalnega koraka kotacije na trgu</w:t>
      </w:r>
      <w:r w:rsidR="00FB5065" w:rsidRPr="00445B9C">
        <w:rPr>
          <w:rFonts w:cs="Arial"/>
          <w:szCs w:val="20"/>
        </w:rPr>
        <w:t xml:space="preserve"> (dopolnitev drugega odstavka 377. člena ZTFI-1)</w:t>
      </w:r>
      <w:r w:rsidRPr="00445B9C">
        <w:rPr>
          <w:rFonts w:cs="Arial"/>
          <w:szCs w:val="20"/>
        </w:rPr>
        <w:t>.</w:t>
      </w:r>
    </w:p>
    <w:p w:rsidR="00306036" w:rsidRPr="00445B9C" w:rsidRDefault="00306036" w:rsidP="00306036">
      <w:pPr>
        <w:spacing w:line="260" w:lineRule="exact"/>
        <w:jc w:val="both"/>
        <w:rPr>
          <w:rFonts w:cs="Arial"/>
          <w:szCs w:val="20"/>
        </w:rPr>
      </w:pPr>
    </w:p>
    <w:p w:rsidR="00562370" w:rsidRPr="00445B9C" w:rsidRDefault="00306036" w:rsidP="00306036">
      <w:pPr>
        <w:spacing w:line="260" w:lineRule="exact"/>
        <w:jc w:val="both"/>
        <w:rPr>
          <w:rFonts w:cs="Arial"/>
          <w:szCs w:val="20"/>
        </w:rPr>
      </w:pPr>
      <w:r w:rsidRPr="00445B9C">
        <w:rPr>
          <w:rFonts w:cs="Arial"/>
          <w:szCs w:val="20"/>
        </w:rPr>
        <w:t xml:space="preserve">Predlagane spremembe </w:t>
      </w:r>
      <w:r w:rsidR="00B5723F">
        <w:rPr>
          <w:rFonts w:cs="Arial"/>
          <w:szCs w:val="20"/>
        </w:rPr>
        <w:t>so</w:t>
      </w:r>
      <w:r w:rsidR="00B5723F" w:rsidRPr="00445B9C">
        <w:rPr>
          <w:rFonts w:cs="Arial"/>
          <w:szCs w:val="20"/>
        </w:rPr>
        <w:t xml:space="preserve"> </w:t>
      </w:r>
      <w:r w:rsidRPr="00445B9C">
        <w:rPr>
          <w:rFonts w:cs="Arial"/>
          <w:szCs w:val="20"/>
        </w:rPr>
        <w:t xml:space="preserve">korak k povečanju odpornosti in stabilnosti finančnih trgov, saj se vzpostavljajo celoviti varnostni in nadzorni mehanizmi, ki zmanjšujejo tveganja, povezana s tehnološkimi grožnjami, krepijo varnost informacijskih sistemov ter zagotavljajo večjo regulativno skladnost investicijskih podjetij in </w:t>
      </w:r>
      <w:r w:rsidR="0022324C" w:rsidRPr="00445B9C">
        <w:rPr>
          <w:rFonts w:cs="Arial"/>
          <w:szCs w:val="20"/>
        </w:rPr>
        <w:t>borze</w:t>
      </w:r>
      <w:r w:rsidRPr="00445B9C">
        <w:rPr>
          <w:rFonts w:cs="Arial"/>
          <w:szCs w:val="20"/>
        </w:rPr>
        <w:t xml:space="preserve">. </w:t>
      </w:r>
      <w:r w:rsidR="00B5723F">
        <w:rPr>
          <w:rFonts w:cs="Arial"/>
          <w:szCs w:val="20"/>
        </w:rPr>
        <w:t>Sprejetje</w:t>
      </w:r>
      <w:r w:rsidR="00B5723F" w:rsidRPr="00445B9C">
        <w:rPr>
          <w:rFonts w:cs="Arial"/>
          <w:szCs w:val="20"/>
        </w:rPr>
        <w:t xml:space="preserve"> </w:t>
      </w:r>
      <w:r w:rsidRPr="00445B9C">
        <w:rPr>
          <w:rFonts w:cs="Arial"/>
          <w:szCs w:val="20"/>
        </w:rPr>
        <w:t>teh ukrepov je potrebn</w:t>
      </w:r>
      <w:r w:rsidR="00B5723F">
        <w:rPr>
          <w:rFonts w:cs="Arial"/>
          <w:szCs w:val="20"/>
        </w:rPr>
        <w:t>o</w:t>
      </w:r>
      <w:r w:rsidRPr="00445B9C">
        <w:rPr>
          <w:rFonts w:cs="Arial"/>
          <w:szCs w:val="20"/>
        </w:rPr>
        <w:t xml:space="preserve"> za dolgoročno stabilnost in varnost finančnega sektorja, pri čemer je nujno, da podjetja pravočasno prilagodijo svoje poslovne modele in procese, da bodo v celoti izpolnjevala nove zahteve.</w:t>
      </w:r>
    </w:p>
    <w:p w:rsidR="00D90F02" w:rsidRPr="00445B9C" w:rsidRDefault="00D90F02" w:rsidP="00306036">
      <w:pPr>
        <w:spacing w:line="260" w:lineRule="exact"/>
        <w:jc w:val="both"/>
        <w:rPr>
          <w:rFonts w:cs="Arial"/>
          <w:szCs w:val="20"/>
        </w:rPr>
      </w:pPr>
    </w:p>
    <w:p w:rsidR="00D90F02" w:rsidRPr="00445B9C" w:rsidRDefault="00D90F02" w:rsidP="00D90F02">
      <w:pPr>
        <w:spacing w:line="260" w:lineRule="exact"/>
        <w:jc w:val="both"/>
        <w:rPr>
          <w:rFonts w:cs="Arial"/>
          <w:szCs w:val="20"/>
        </w:rPr>
      </w:pPr>
      <w:r w:rsidRPr="00445B9C">
        <w:rPr>
          <w:rFonts w:cs="Arial"/>
          <w:szCs w:val="20"/>
        </w:rPr>
        <w:t xml:space="preserve">S spremembo </w:t>
      </w:r>
      <w:r w:rsidR="003B2C0F" w:rsidRPr="00445B9C">
        <w:rPr>
          <w:rFonts w:cs="Arial"/>
          <w:szCs w:val="20"/>
        </w:rPr>
        <w:t xml:space="preserve">Uredbe </w:t>
      </w:r>
      <w:r w:rsidRPr="00445B9C">
        <w:rPr>
          <w:rFonts w:cs="Arial"/>
          <w:szCs w:val="20"/>
        </w:rPr>
        <w:t xml:space="preserve">600/2014/EU, ki se je spremenila hkrati z </w:t>
      </w:r>
      <w:r w:rsidR="003B2C0F" w:rsidRPr="00445B9C">
        <w:rPr>
          <w:rFonts w:cs="Arial"/>
          <w:szCs w:val="20"/>
        </w:rPr>
        <w:t xml:space="preserve">Direktivo </w:t>
      </w:r>
      <w:r w:rsidRPr="00445B9C">
        <w:rPr>
          <w:rFonts w:cs="Arial"/>
          <w:szCs w:val="20"/>
        </w:rPr>
        <w:t xml:space="preserve">2014/65/EU, so se odpravile glavne ovire, ki so preprečevale vzpostavitev sistema stalnih informacij. Uvedlo se je obvezno prispevanje podatkov ponudniku stalnih informacij in izboljšala kakovost podatkov, med drugim z uskladitvijo sinhronizacije poslovnih ur. Prav tako so se uvedle izboljšave obveznosti trgovanja in prepoved prejemanja plačil za izvrševanje naročil nekaterih strank na določenem mestu ali za </w:t>
      </w:r>
      <w:r w:rsidR="00BD5F1C">
        <w:rPr>
          <w:rFonts w:cs="Arial"/>
          <w:szCs w:val="20"/>
        </w:rPr>
        <w:t>podajo</w:t>
      </w:r>
      <w:r w:rsidR="00BD5F1C" w:rsidRPr="00445B9C">
        <w:rPr>
          <w:rFonts w:cs="Arial"/>
          <w:szCs w:val="20"/>
        </w:rPr>
        <w:t xml:space="preserve"> </w:t>
      </w:r>
      <w:r w:rsidRPr="00445B9C">
        <w:rPr>
          <w:rFonts w:cs="Arial"/>
          <w:szCs w:val="20"/>
        </w:rPr>
        <w:t xml:space="preserve">naročil teh strank kateri koli tretji osebi za njihovo izvršitev na določenem mestu. Ker </w:t>
      </w:r>
      <w:r w:rsidR="009F57FF" w:rsidRPr="00445B9C">
        <w:rPr>
          <w:rFonts w:cs="Arial"/>
          <w:szCs w:val="20"/>
        </w:rPr>
        <w:t xml:space="preserve">so </w:t>
      </w:r>
      <w:r w:rsidRPr="00445B9C">
        <w:rPr>
          <w:rFonts w:cs="Arial"/>
          <w:szCs w:val="20"/>
        </w:rPr>
        <w:t xml:space="preserve">določbe </w:t>
      </w:r>
      <w:r w:rsidR="009F57FF" w:rsidRPr="00445B9C">
        <w:rPr>
          <w:rFonts w:cs="Arial"/>
          <w:szCs w:val="20"/>
        </w:rPr>
        <w:t>Direktiv</w:t>
      </w:r>
      <w:r w:rsidR="00BD5F1C">
        <w:rPr>
          <w:rFonts w:cs="Arial"/>
          <w:szCs w:val="20"/>
        </w:rPr>
        <w:t>e</w:t>
      </w:r>
      <w:r w:rsidR="009F57FF" w:rsidRPr="00445B9C">
        <w:rPr>
          <w:rFonts w:cs="Arial"/>
          <w:szCs w:val="20"/>
        </w:rPr>
        <w:t xml:space="preserve"> 2014/65/EU </w:t>
      </w:r>
      <w:r w:rsidRPr="00445B9C">
        <w:rPr>
          <w:rFonts w:cs="Arial"/>
          <w:szCs w:val="20"/>
        </w:rPr>
        <w:t>v zvezi s sistemi stalnih informacij in preglednostjo</w:t>
      </w:r>
      <w:r w:rsidR="009F57FF" w:rsidRPr="00445B9C">
        <w:rPr>
          <w:rFonts w:cs="Arial"/>
          <w:szCs w:val="20"/>
        </w:rPr>
        <w:t xml:space="preserve"> spremenjene</w:t>
      </w:r>
      <w:r w:rsidR="00BD5F1C">
        <w:rPr>
          <w:rFonts w:cs="Arial"/>
          <w:szCs w:val="20"/>
        </w:rPr>
        <w:t>,</w:t>
      </w:r>
      <w:r w:rsidRPr="00445B9C">
        <w:rPr>
          <w:rFonts w:cs="Arial"/>
          <w:szCs w:val="20"/>
        </w:rPr>
        <w:t xml:space="preserve"> se </w:t>
      </w:r>
      <w:r w:rsidR="009F57FF" w:rsidRPr="00445B9C">
        <w:rPr>
          <w:rFonts w:cs="Arial"/>
          <w:szCs w:val="20"/>
        </w:rPr>
        <w:t xml:space="preserve">to </w:t>
      </w:r>
      <w:r w:rsidRPr="00445B9C">
        <w:rPr>
          <w:rFonts w:cs="Arial"/>
          <w:szCs w:val="20"/>
        </w:rPr>
        <w:t>mora odražati tudi v ZTFI-1.</w:t>
      </w:r>
    </w:p>
    <w:p w:rsidR="00D90F02" w:rsidRPr="00445B9C" w:rsidRDefault="00D90F02" w:rsidP="00D90F02">
      <w:pPr>
        <w:spacing w:line="260" w:lineRule="exact"/>
        <w:jc w:val="both"/>
        <w:rPr>
          <w:rFonts w:cs="Arial"/>
          <w:szCs w:val="20"/>
        </w:rPr>
      </w:pPr>
    </w:p>
    <w:p w:rsidR="00D90F02" w:rsidRPr="00445B9C" w:rsidRDefault="00D90F02" w:rsidP="00D90F02">
      <w:pPr>
        <w:spacing w:line="260" w:lineRule="exact"/>
        <w:jc w:val="both"/>
        <w:rPr>
          <w:rFonts w:cs="Arial"/>
          <w:szCs w:val="20"/>
        </w:rPr>
      </w:pPr>
      <w:r w:rsidRPr="00445B9C">
        <w:rPr>
          <w:rFonts w:cs="Arial"/>
          <w:szCs w:val="20"/>
        </w:rPr>
        <w:t>S prenosom</w:t>
      </w:r>
      <w:r w:rsidR="0054122B" w:rsidRPr="00445B9C">
        <w:rPr>
          <w:rFonts w:cs="Arial"/>
          <w:szCs w:val="20"/>
        </w:rPr>
        <w:t xml:space="preserve"> </w:t>
      </w:r>
      <w:r w:rsidR="003B2C0F" w:rsidRPr="00445B9C">
        <w:rPr>
          <w:rFonts w:cs="Arial"/>
          <w:szCs w:val="20"/>
        </w:rPr>
        <w:t xml:space="preserve">Direktive </w:t>
      </w:r>
      <w:r w:rsidRPr="00445B9C">
        <w:rPr>
          <w:rFonts w:cs="Arial"/>
          <w:szCs w:val="20"/>
        </w:rPr>
        <w:t xml:space="preserve">2024/790/EU, s katero se je spremenila </w:t>
      </w:r>
      <w:r w:rsidR="003817D0" w:rsidRPr="00445B9C">
        <w:rPr>
          <w:rFonts w:cs="Arial"/>
          <w:szCs w:val="20"/>
        </w:rPr>
        <w:t>D</w:t>
      </w:r>
      <w:r w:rsidRPr="00445B9C">
        <w:rPr>
          <w:rFonts w:cs="Arial"/>
          <w:szCs w:val="20"/>
        </w:rPr>
        <w:t>irektiva 2014/65/EU</w:t>
      </w:r>
      <w:r w:rsidR="003817D0" w:rsidRPr="00445B9C">
        <w:rPr>
          <w:rFonts w:cs="Arial"/>
          <w:szCs w:val="20"/>
        </w:rPr>
        <w:t>,</w:t>
      </w:r>
      <w:r w:rsidRPr="00445B9C">
        <w:rPr>
          <w:rFonts w:cs="Arial"/>
          <w:szCs w:val="20"/>
        </w:rPr>
        <w:t xml:space="preserve"> se izboljšuje preglednost in učinkovitost finančnih trgov.</w:t>
      </w:r>
      <w:r w:rsidR="00DE65B4" w:rsidRPr="00445B9C">
        <w:rPr>
          <w:rFonts w:cs="Arial"/>
          <w:szCs w:val="20"/>
        </w:rPr>
        <w:t xml:space="preserve"> Z namenom poenotenja ter preglednosti se predlaga črtanje določb</w:t>
      </w:r>
      <w:r w:rsidR="00BD5F1C">
        <w:rPr>
          <w:rFonts w:cs="Arial"/>
          <w:szCs w:val="20"/>
        </w:rPr>
        <w:t>e</w:t>
      </w:r>
      <w:r w:rsidR="00DE65B4" w:rsidRPr="00445B9C">
        <w:rPr>
          <w:rFonts w:cs="Arial"/>
          <w:szCs w:val="20"/>
        </w:rPr>
        <w:t xml:space="preserve"> o večstranskih sistemih, ki je po novem urejena z </w:t>
      </w:r>
      <w:r w:rsidR="003817D0" w:rsidRPr="00445B9C">
        <w:rPr>
          <w:rFonts w:cs="Arial"/>
          <w:szCs w:val="20"/>
        </w:rPr>
        <w:t>U</w:t>
      </w:r>
      <w:r w:rsidR="00DE65B4" w:rsidRPr="00445B9C">
        <w:rPr>
          <w:rFonts w:cs="Arial"/>
          <w:szCs w:val="20"/>
        </w:rPr>
        <w:t>redbo 600/2014/EU</w:t>
      </w:r>
      <w:r w:rsidR="00BA05F6" w:rsidRPr="00445B9C">
        <w:rPr>
          <w:rFonts w:cs="Arial"/>
          <w:szCs w:val="20"/>
        </w:rPr>
        <w:t xml:space="preserve"> (sprememba 28. člena ZTFI-1)</w:t>
      </w:r>
      <w:r w:rsidR="00DE65B4" w:rsidRPr="00445B9C">
        <w:rPr>
          <w:rFonts w:cs="Arial"/>
          <w:szCs w:val="20"/>
        </w:rPr>
        <w:t xml:space="preserve">. Zahteva po vsaj treh dejansko aktivnih članih ali udeležencih se z </w:t>
      </w:r>
      <w:r w:rsidR="00863203" w:rsidRPr="00445B9C">
        <w:rPr>
          <w:rFonts w:cs="Arial"/>
          <w:szCs w:val="20"/>
        </w:rPr>
        <w:t xml:space="preserve">večstranskega sistema trgovanja (v nadaljnjem besedilu: </w:t>
      </w:r>
      <w:r w:rsidR="00DE65B4" w:rsidRPr="00445B9C">
        <w:rPr>
          <w:rFonts w:cs="Arial"/>
          <w:szCs w:val="20"/>
        </w:rPr>
        <w:t>MTF</w:t>
      </w:r>
      <w:r w:rsidR="00863203" w:rsidRPr="00445B9C">
        <w:rPr>
          <w:rFonts w:cs="Arial"/>
          <w:szCs w:val="20"/>
        </w:rPr>
        <w:t>)</w:t>
      </w:r>
      <w:r w:rsidR="00DE65B4" w:rsidRPr="00445B9C">
        <w:rPr>
          <w:rFonts w:cs="Arial"/>
          <w:szCs w:val="20"/>
        </w:rPr>
        <w:t xml:space="preserve"> in </w:t>
      </w:r>
      <w:r w:rsidR="00863203" w:rsidRPr="00445B9C">
        <w:rPr>
          <w:rFonts w:cs="Arial"/>
          <w:szCs w:val="20"/>
        </w:rPr>
        <w:t xml:space="preserve">organiziranega sistema trgovanja (v nadaljnjem besedilu: </w:t>
      </w:r>
      <w:r w:rsidR="00DE65B4" w:rsidRPr="00445B9C">
        <w:rPr>
          <w:rFonts w:cs="Arial"/>
          <w:szCs w:val="20"/>
        </w:rPr>
        <w:t>OTF</w:t>
      </w:r>
      <w:r w:rsidR="00863203" w:rsidRPr="00445B9C">
        <w:rPr>
          <w:rFonts w:cs="Arial"/>
          <w:szCs w:val="20"/>
        </w:rPr>
        <w:t>)</w:t>
      </w:r>
      <w:r w:rsidR="00DE65B4" w:rsidRPr="00445B9C">
        <w:rPr>
          <w:rFonts w:cs="Arial"/>
          <w:szCs w:val="20"/>
        </w:rPr>
        <w:t xml:space="preserve"> razširja tudi na </w:t>
      </w:r>
      <w:r w:rsidR="00BA05F6" w:rsidRPr="00445B9C">
        <w:rPr>
          <w:rFonts w:cs="Arial"/>
          <w:szCs w:val="20"/>
        </w:rPr>
        <w:t>borzo (dopolnitev 373. člena ZTFI-1)</w:t>
      </w:r>
      <w:r w:rsidR="00DE65B4" w:rsidRPr="00445B9C">
        <w:rPr>
          <w:rFonts w:cs="Arial"/>
          <w:szCs w:val="20"/>
        </w:rPr>
        <w:t xml:space="preserve">. Prav tako se spreminja opredelitev sistematičnih </w:t>
      </w:r>
      <w:proofErr w:type="spellStart"/>
      <w:r w:rsidR="00DE65B4" w:rsidRPr="00445B9C">
        <w:rPr>
          <w:rFonts w:cs="Arial"/>
          <w:szCs w:val="20"/>
        </w:rPr>
        <w:t>internalizatorjev</w:t>
      </w:r>
      <w:proofErr w:type="spellEnd"/>
      <w:r w:rsidR="00BA05F6" w:rsidRPr="00445B9C">
        <w:rPr>
          <w:rFonts w:cs="Arial"/>
          <w:szCs w:val="20"/>
        </w:rPr>
        <w:t xml:space="preserve"> (dopolnitev 373. člena ZTFI-1)</w:t>
      </w:r>
      <w:r w:rsidR="00DE65B4" w:rsidRPr="00445B9C">
        <w:rPr>
          <w:rFonts w:cs="Arial"/>
          <w:szCs w:val="20"/>
        </w:rPr>
        <w:t>. Poleg tega se ukinja</w:t>
      </w:r>
      <w:r w:rsidR="003817D0" w:rsidRPr="00445B9C">
        <w:rPr>
          <w:rFonts w:cs="Arial"/>
          <w:szCs w:val="20"/>
        </w:rPr>
        <w:t>jo</w:t>
      </w:r>
      <w:r w:rsidR="00DE65B4" w:rsidRPr="00445B9C">
        <w:rPr>
          <w:rFonts w:cs="Arial"/>
          <w:szCs w:val="20"/>
        </w:rPr>
        <w:t xml:space="preserve"> zahteve glede poročanja o najboljšem izvrševanju naročil, saj so se pokazale kot neučinkovite</w:t>
      </w:r>
      <w:r w:rsidR="00BA05F6" w:rsidRPr="00445B9C">
        <w:rPr>
          <w:rFonts w:cs="Arial"/>
          <w:szCs w:val="20"/>
        </w:rPr>
        <w:t xml:space="preserve"> (267. člena ZTFI-1)</w:t>
      </w:r>
      <w:r w:rsidR="00DE65B4" w:rsidRPr="00445B9C">
        <w:rPr>
          <w:rFonts w:cs="Arial"/>
          <w:szCs w:val="20"/>
        </w:rPr>
        <w:t xml:space="preserve">. Povečuje se preglednost mehanizmov za omejevanje </w:t>
      </w:r>
      <w:r w:rsidR="00BD5F1C">
        <w:rPr>
          <w:rFonts w:cs="Arial"/>
          <w:szCs w:val="20"/>
        </w:rPr>
        <w:t>čez</w:t>
      </w:r>
      <w:r w:rsidR="00DE65B4" w:rsidRPr="00445B9C">
        <w:rPr>
          <w:rFonts w:cs="Arial"/>
          <w:szCs w:val="20"/>
        </w:rPr>
        <w:t xml:space="preserve">merne nestanovitnosti na trgih izvedenih finančnih instrumentov in zahteva, da </w:t>
      </w:r>
      <w:r w:rsidR="00BA05F6" w:rsidRPr="00445B9C">
        <w:rPr>
          <w:rFonts w:cs="Arial"/>
          <w:szCs w:val="20"/>
        </w:rPr>
        <w:t>borza</w:t>
      </w:r>
      <w:r w:rsidR="00DE65B4" w:rsidRPr="00445B9C">
        <w:rPr>
          <w:rFonts w:cs="Arial"/>
          <w:szCs w:val="20"/>
        </w:rPr>
        <w:t xml:space="preserve"> objavi informacije o okoliščinah, ki vodijo do ustavitev ali omejitev trgovanja</w:t>
      </w:r>
      <w:r w:rsidR="00BA05F6" w:rsidRPr="00445B9C">
        <w:rPr>
          <w:rFonts w:cs="Arial"/>
          <w:szCs w:val="20"/>
        </w:rPr>
        <w:t xml:space="preserve"> (dopolnitev 375. člena ZTFI-1)</w:t>
      </w:r>
      <w:r w:rsidR="00DE65B4" w:rsidRPr="00445B9C">
        <w:rPr>
          <w:rFonts w:cs="Arial"/>
          <w:szCs w:val="20"/>
        </w:rPr>
        <w:t>.</w:t>
      </w:r>
    </w:p>
    <w:p w:rsidR="00562370" w:rsidRPr="00445B9C" w:rsidRDefault="00562370" w:rsidP="00ED36BF">
      <w:pPr>
        <w:spacing w:line="260" w:lineRule="exact"/>
        <w:jc w:val="both"/>
        <w:rPr>
          <w:rFonts w:cs="Arial"/>
          <w:szCs w:val="20"/>
        </w:rPr>
      </w:pPr>
    </w:p>
    <w:p w:rsidR="00562370" w:rsidRPr="00445B9C" w:rsidRDefault="00C61D59" w:rsidP="00C61D59">
      <w:pPr>
        <w:spacing w:line="260" w:lineRule="exact"/>
        <w:jc w:val="both"/>
        <w:rPr>
          <w:rFonts w:cs="Arial"/>
          <w:szCs w:val="20"/>
        </w:rPr>
      </w:pPr>
      <w:r w:rsidRPr="00445B9C">
        <w:rPr>
          <w:rFonts w:cs="Arial"/>
          <w:szCs w:val="20"/>
        </w:rPr>
        <w:t>Direktiva 2023/2864/EU je del svežnja, ki ga sestavlja</w:t>
      </w:r>
      <w:r w:rsidR="003817D0" w:rsidRPr="00445B9C">
        <w:rPr>
          <w:rFonts w:cs="Arial"/>
          <w:szCs w:val="20"/>
        </w:rPr>
        <w:t>ta</w:t>
      </w:r>
      <w:r w:rsidRPr="00445B9C">
        <w:rPr>
          <w:rFonts w:cs="Arial"/>
          <w:szCs w:val="20"/>
        </w:rPr>
        <w:t xml:space="preserve"> še Uredba (EU) 2023/2859 Evropskega parlamenta in Sveta z dne 13. decembra 2023 o vzpostavitvi evropske enotne točke dostopa, ki zagotavlja centraliziran dostop do javno dostopnih informacij, pomembnih za finančne storitve, kapitalske trge in trajnostnost (UL L</w:t>
      </w:r>
      <w:r w:rsidR="00461940" w:rsidRPr="00445B9C">
        <w:rPr>
          <w:rFonts w:cs="Arial"/>
          <w:szCs w:val="20"/>
        </w:rPr>
        <w:t xml:space="preserve"> št.</w:t>
      </w:r>
      <w:r w:rsidRPr="00445B9C">
        <w:rPr>
          <w:rFonts w:cs="Arial"/>
          <w:szCs w:val="20"/>
        </w:rPr>
        <w:t xml:space="preserve"> 2023/2859</w:t>
      </w:r>
      <w:r w:rsidR="00461940" w:rsidRPr="00445B9C">
        <w:rPr>
          <w:rFonts w:cs="Arial"/>
          <w:szCs w:val="20"/>
        </w:rPr>
        <w:t xml:space="preserve"> z dne</w:t>
      </w:r>
      <w:r w:rsidRPr="00445B9C">
        <w:rPr>
          <w:rFonts w:cs="Arial"/>
          <w:szCs w:val="20"/>
        </w:rPr>
        <w:t xml:space="preserve"> 20.</w:t>
      </w:r>
      <w:r w:rsidR="00461940" w:rsidRPr="00445B9C">
        <w:rPr>
          <w:rFonts w:cs="Arial"/>
          <w:szCs w:val="20"/>
        </w:rPr>
        <w:t xml:space="preserve"> </w:t>
      </w:r>
      <w:r w:rsidRPr="00445B9C">
        <w:rPr>
          <w:rFonts w:cs="Arial"/>
          <w:szCs w:val="20"/>
        </w:rPr>
        <w:t>12.</w:t>
      </w:r>
      <w:r w:rsidR="00461940" w:rsidRPr="00445B9C">
        <w:rPr>
          <w:rFonts w:cs="Arial"/>
          <w:szCs w:val="20"/>
        </w:rPr>
        <w:t xml:space="preserve"> </w:t>
      </w:r>
      <w:r w:rsidRPr="00445B9C">
        <w:rPr>
          <w:rFonts w:cs="Arial"/>
          <w:szCs w:val="20"/>
        </w:rPr>
        <w:t>2023)</w:t>
      </w:r>
      <w:r w:rsidR="00461940" w:rsidRPr="00445B9C">
        <w:rPr>
          <w:rFonts w:cs="Arial"/>
          <w:szCs w:val="20"/>
        </w:rPr>
        <w:t xml:space="preserve">, </w:t>
      </w:r>
      <w:r w:rsidR="00BD5F1C">
        <w:rPr>
          <w:rFonts w:cs="Arial"/>
          <w:szCs w:val="20"/>
        </w:rPr>
        <w:t>na</w:t>
      </w:r>
      <w:r w:rsidR="00461940" w:rsidRPr="00445B9C">
        <w:rPr>
          <w:rFonts w:cs="Arial"/>
          <w:szCs w:val="20"/>
        </w:rPr>
        <w:t>zadnj</w:t>
      </w:r>
      <w:r w:rsidR="00BD5F1C">
        <w:rPr>
          <w:rFonts w:cs="Arial"/>
          <w:szCs w:val="20"/>
        </w:rPr>
        <w:t>e</w:t>
      </w:r>
      <w:r w:rsidR="00461940" w:rsidRPr="00445B9C">
        <w:rPr>
          <w:rFonts w:cs="Arial"/>
          <w:szCs w:val="20"/>
        </w:rPr>
        <w:t xml:space="preserve"> spremenjena z Uredbo (EU) 2024/3005 Evropskega parlamenta in Sveta z dne 27. novembra 2024 o preglednosti in celovitosti dejavnosti ocenjevanja okoljskih, socialnih in upravljavskih (ESG) dejavnikov ter spremembi uredb (EU) 2019/2088 in (EU) 2023/2859 (UL L št. 2024/3005 z dne 12. 12. 2024)</w:t>
      </w:r>
      <w:r w:rsidR="00BD5F1C">
        <w:rPr>
          <w:rFonts w:cs="Arial"/>
          <w:szCs w:val="20"/>
        </w:rPr>
        <w:t>,</w:t>
      </w:r>
      <w:r w:rsidRPr="00445B9C">
        <w:rPr>
          <w:rFonts w:cs="Arial"/>
          <w:szCs w:val="20"/>
        </w:rPr>
        <w:t xml:space="preserve"> in Uredba (EU) 2023/2869 Evropskega parlamenta in Sveta z dne 13. decembra 2023 o spremembi nekaterih uredb glede vzpostavitve in delovanja evropske enotne točke dostopa (UL L</w:t>
      </w:r>
      <w:r w:rsidR="00461940" w:rsidRPr="00445B9C">
        <w:rPr>
          <w:rFonts w:cs="Arial"/>
          <w:szCs w:val="20"/>
        </w:rPr>
        <w:t xml:space="preserve"> št. </w:t>
      </w:r>
      <w:r w:rsidRPr="00445B9C">
        <w:rPr>
          <w:rFonts w:cs="Arial"/>
          <w:szCs w:val="20"/>
        </w:rPr>
        <w:t>2023/2869</w:t>
      </w:r>
      <w:r w:rsidR="00C04E4C" w:rsidRPr="00445B9C">
        <w:rPr>
          <w:rFonts w:cs="Arial"/>
          <w:szCs w:val="20"/>
        </w:rPr>
        <w:t xml:space="preserve"> </w:t>
      </w:r>
      <w:r w:rsidR="00461940" w:rsidRPr="00445B9C">
        <w:rPr>
          <w:rFonts w:cs="Arial"/>
          <w:szCs w:val="20"/>
        </w:rPr>
        <w:t>z dne</w:t>
      </w:r>
      <w:r w:rsidRPr="00445B9C">
        <w:rPr>
          <w:rFonts w:cs="Arial"/>
          <w:szCs w:val="20"/>
        </w:rPr>
        <w:t xml:space="preserve"> 20.</w:t>
      </w:r>
      <w:r w:rsidR="00461940" w:rsidRPr="00445B9C">
        <w:rPr>
          <w:rFonts w:cs="Arial"/>
          <w:szCs w:val="20"/>
        </w:rPr>
        <w:t xml:space="preserve"> </w:t>
      </w:r>
      <w:r w:rsidRPr="00445B9C">
        <w:rPr>
          <w:rFonts w:cs="Arial"/>
          <w:szCs w:val="20"/>
        </w:rPr>
        <w:t>12.</w:t>
      </w:r>
      <w:r w:rsidR="00461940" w:rsidRPr="00445B9C">
        <w:rPr>
          <w:rFonts w:cs="Arial"/>
          <w:szCs w:val="20"/>
        </w:rPr>
        <w:t xml:space="preserve"> </w:t>
      </w:r>
      <w:r w:rsidRPr="00445B9C">
        <w:rPr>
          <w:rFonts w:cs="Arial"/>
          <w:szCs w:val="20"/>
        </w:rPr>
        <w:t>2023).</w:t>
      </w:r>
      <w:r w:rsidR="003F33B8" w:rsidRPr="00445B9C">
        <w:rPr>
          <w:rFonts w:cs="Arial"/>
          <w:szCs w:val="20"/>
        </w:rPr>
        <w:t xml:space="preserve"> </w:t>
      </w:r>
      <w:r w:rsidRPr="00445B9C">
        <w:rPr>
          <w:rFonts w:cs="Arial"/>
          <w:szCs w:val="20"/>
        </w:rPr>
        <w:t xml:space="preserve">Podjetja v </w:t>
      </w:r>
      <w:r w:rsidR="008845E1" w:rsidRPr="00445B9C">
        <w:rPr>
          <w:rFonts w:cs="Arial"/>
          <w:szCs w:val="20"/>
        </w:rPr>
        <w:t xml:space="preserve">Republiki </w:t>
      </w:r>
      <w:r w:rsidRPr="00445B9C">
        <w:rPr>
          <w:rFonts w:cs="Arial"/>
          <w:szCs w:val="20"/>
        </w:rPr>
        <w:t>Sloveniji in EU imajo obveznost objavljanja določenih podatkov (finančni izkazi, podatki o vzdržnih financah i</w:t>
      </w:r>
      <w:r w:rsidR="00BD5F1C">
        <w:rPr>
          <w:rFonts w:cs="Arial"/>
          <w:szCs w:val="20"/>
        </w:rPr>
        <w:t>n po</w:t>
      </w:r>
      <w:r w:rsidRPr="00445B9C">
        <w:rPr>
          <w:rFonts w:cs="Arial"/>
          <w:szCs w:val="20"/>
        </w:rPr>
        <w:t>d</w:t>
      </w:r>
      <w:r w:rsidR="00BD5F1C">
        <w:rPr>
          <w:rFonts w:cs="Arial"/>
          <w:szCs w:val="20"/>
        </w:rPr>
        <w:t>obno</w:t>
      </w:r>
      <w:r w:rsidRPr="00445B9C">
        <w:rPr>
          <w:rFonts w:cs="Arial"/>
          <w:szCs w:val="20"/>
        </w:rPr>
        <w:t xml:space="preserve">). Zato je namen </w:t>
      </w:r>
      <w:r w:rsidR="00C04E4C" w:rsidRPr="00445B9C">
        <w:rPr>
          <w:rFonts w:cs="Arial"/>
          <w:szCs w:val="20"/>
        </w:rPr>
        <w:t xml:space="preserve">zakonodajnega </w:t>
      </w:r>
      <w:r w:rsidRPr="00445B9C">
        <w:rPr>
          <w:rFonts w:cs="Arial"/>
          <w:szCs w:val="20"/>
        </w:rPr>
        <w:t>paketa</w:t>
      </w:r>
      <w:r w:rsidR="00C04E4C" w:rsidRPr="00445B9C">
        <w:rPr>
          <w:rFonts w:cs="Arial"/>
          <w:szCs w:val="20"/>
        </w:rPr>
        <w:t xml:space="preserve"> EU</w:t>
      </w:r>
      <w:r w:rsidRPr="00445B9C">
        <w:rPr>
          <w:rFonts w:cs="Arial"/>
          <w:szCs w:val="20"/>
        </w:rPr>
        <w:t xml:space="preserve"> vzpostaviti evropsko enotno točko dostopa (v nadalj</w:t>
      </w:r>
      <w:r w:rsidR="008845E1" w:rsidRPr="00445B9C">
        <w:rPr>
          <w:rFonts w:cs="Arial"/>
          <w:szCs w:val="20"/>
        </w:rPr>
        <w:t>njem besedil</w:t>
      </w:r>
      <w:r w:rsidRPr="00445B9C">
        <w:rPr>
          <w:rFonts w:cs="Arial"/>
          <w:szCs w:val="20"/>
        </w:rPr>
        <w:t>u: ESAP) do informacij o finančnih in nefinančnih podjetjih. Spletni portali ali druga sredstva bodo vlagateljem omogočala hiter in enostaven dostop brez nepotrebnega obremenjevanja podjetij. Nekateri podatki bodo na voljo v strojno berljivi obliki, kar bo uporabnikom olajšalo iskanje in primerjavo podatkov.</w:t>
      </w:r>
    </w:p>
    <w:p w:rsidR="00A15CBA" w:rsidRPr="00445B9C" w:rsidRDefault="00A15CBA" w:rsidP="00C61D59">
      <w:pPr>
        <w:spacing w:line="260" w:lineRule="exact"/>
        <w:jc w:val="both"/>
        <w:rPr>
          <w:rFonts w:cs="Arial"/>
          <w:szCs w:val="20"/>
        </w:rPr>
      </w:pPr>
    </w:p>
    <w:p w:rsidR="00ED36BF" w:rsidRPr="00445B9C" w:rsidRDefault="00A15CBA" w:rsidP="00A15CBA">
      <w:pPr>
        <w:spacing w:line="260" w:lineRule="exact"/>
        <w:jc w:val="both"/>
        <w:rPr>
          <w:rFonts w:cs="Arial"/>
          <w:szCs w:val="20"/>
        </w:rPr>
      </w:pPr>
      <w:r w:rsidRPr="00445B9C">
        <w:rPr>
          <w:rFonts w:cs="Arial"/>
          <w:szCs w:val="20"/>
        </w:rPr>
        <w:t>S predl</w:t>
      </w:r>
      <w:r w:rsidR="000520BD" w:rsidRPr="00445B9C">
        <w:rPr>
          <w:rFonts w:cs="Arial"/>
          <w:szCs w:val="20"/>
        </w:rPr>
        <w:t>aganimi spremembami in dopolnitvami ZTFI-1</w:t>
      </w:r>
      <w:r w:rsidR="0054122B" w:rsidRPr="00445B9C">
        <w:rPr>
          <w:rFonts w:cs="Arial"/>
          <w:szCs w:val="20"/>
        </w:rPr>
        <w:t>, s katerim</w:t>
      </w:r>
      <w:r w:rsidR="000520BD" w:rsidRPr="00445B9C">
        <w:rPr>
          <w:rFonts w:cs="Arial"/>
          <w:szCs w:val="20"/>
        </w:rPr>
        <w:t>i</w:t>
      </w:r>
      <w:r w:rsidR="0054122B" w:rsidRPr="00445B9C">
        <w:rPr>
          <w:rFonts w:cs="Arial"/>
          <w:szCs w:val="20"/>
        </w:rPr>
        <w:t xml:space="preserve"> se prenaša </w:t>
      </w:r>
      <w:r w:rsidR="000520BD" w:rsidRPr="00445B9C">
        <w:rPr>
          <w:rFonts w:cs="Arial"/>
          <w:szCs w:val="20"/>
        </w:rPr>
        <w:t>D</w:t>
      </w:r>
      <w:r w:rsidR="0054122B" w:rsidRPr="00445B9C">
        <w:rPr>
          <w:rFonts w:cs="Arial"/>
          <w:szCs w:val="20"/>
        </w:rPr>
        <w:t xml:space="preserve">irektiva 2023/2864/EU v delu, ki </w:t>
      </w:r>
      <w:r w:rsidR="00E2592D" w:rsidRPr="00445B9C">
        <w:rPr>
          <w:rFonts w:cs="Arial"/>
          <w:szCs w:val="20"/>
        </w:rPr>
        <w:t>sprem</w:t>
      </w:r>
      <w:r w:rsidR="000520BD" w:rsidRPr="00445B9C">
        <w:rPr>
          <w:rFonts w:cs="Arial"/>
          <w:szCs w:val="20"/>
        </w:rPr>
        <w:t>inja</w:t>
      </w:r>
      <w:r w:rsidR="0054122B" w:rsidRPr="00445B9C">
        <w:rPr>
          <w:rFonts w:cs="Arial"/>
          <w:szCs w:val="20"/>
        </w:rPr>
        <w:t xml:space="preserve"> Direktivo </w:t>
      </w:r>
      <w:r w:rsidR="00B32DC6" w:rsidRPr="00445B9C">
        <w:rPr>
          <w:rFonts w:cs="Arial"/>
          <w:szCs w:val="20"/>
        </w:rPr>
        <w:t xml:space="preserve">2004/2019/ES in Direktivo </w:t>
      </w:r>
      <w:r w:rsidR="0054122B" w:rsidRPr="00445B9C">
        <w:rPr>
          <w:rFonts w:cs="Arial"/>
          <w:szCs w:val="20"/>
        </w:rPr>
        <w:t>2014/65/EU</w:t>
      </w:r>
      <w:r w:rsidR="000520BD" w:rsidRPr="00445B9C">
        <w:rPr>
          <w:rFonts w:cs="Arial"/>
          <w:szCs w:val="20"/>
        </w:rPr>
        <w:t>,</w:t>
      </w:r>
      <w:r w:rsidRPr="00445B9C">
        <w:rPr>
          <w:rFonts w:cs="Arial"/>
          <w:szCs w:val="20"/>
        </w:rPr>
        <w:t xml:space="preserve"> se predlaga, da morajo biti vse informacije, dokumenti in poročila, ki jih subjekt objavi v skladu z zakonskimi zahtevami, vključno z izdajatelji vrednostnih papirjev, investicijskimi podjetji in upravljavci trga, istočasno s to objavo predloženi organu za zbiranje v formatu, ki omogoča izvoz podatkov, ali, kadar se to zahteva, v strojno berljivem formatu</w:t>
      </w:r>
      <w:r w:rsidR="00567C88" w:rsidRPr="00445B9C">
        <w:rPr>
          <w:rFonts w:cs="Arial"/>
          <w:szCs w:val="20"/>
        </w:rPr>
        <w:t xml:space="preserve"> (dopolnitev 169., 278., 321., 326, 368.</w:t>
      </w:r>
      <w:r w:rsidR="00C83C12" w:rsidRPr="00445B9C">
        <w:rPr>
          <w:rFonts w:cs="Arial"/>
          <w:szCs w:val="20"/>
        </w:rPr>
        <w:t xml:space="preserve"> in</w:t>
      </w:r>
      <w:r w:rsidR="00567C88" w:rsidRPr="00445B9C">
        <w:rPr>
          <w:rFonts w:cs="Arial"/>
          <w:szCs w:val="20"/>
        </w:rPr>
        <w:t xml:space="preserve"> 406.</w:t>
      </w:r>
      <w:r w:rsidR="00C83C12" w:rsidRPr="00445B9C">
        <w:rPr>
          <w:rFonts w:cs="Arial"/>
          <w:szCs w:val="20"/>
        </w:rPr>
        <w:t xml:space="preserve"> člen ZTFI-1)</w:t>
      </w:r>
      <w:r w:rsidRPr="00445B9C">
        <w:rPr>
          <w:rFonts w:cs="Arial"/>
          <w:szCs w:val="20"/>
        </w:rPr>
        <w:t xml:space="preserve">. Določa se tudi organ za zbiranje podatkov, ki mu morajo </w:t>
      </w:r>
      <w:r w:rsidR="00506C92" w:rsidRPr="00445B9C">
        <w:rPr>
          <w:rFonts w:cs="Arial"/>
          <w:szCs w:val="20"/>
        </w:rPr>
        <w:t xml:space="preserve">biti </w:t>
      </w:r>
      <w:r w:rsidRPr="00445B9C">
        <w:rPr>
          <w:rFonts w:cs="Arial"/>
          <w:szCs w:val="20"/>
        </w:rPr>
        <w:t xml:space="preserve">podatki predloženi, </w:t>
      </w:r>
      <w:r w:rsidR="00656E7B" w:rsidRPr="00445B9C">
        <w:rPr>
          <w:rFonts w:cs="Arial"/>
          <w:szCs w:val="20"/>
        </w:rPr>
        <w:t>to</w:t>
      </w:r>
      <w:r w:rsidRPr="00445B9C">
        <w:rPr>
          <w:rFonts w:cs="Arial"/>
          <w:szCs w:val="20"/>
        </w:rPr>
        <w:t xml:space="preserve"> je A</w:t>
      </w:r>
      <w:r w:rsidR="000520BD" w:rsidRPr="00445B9C">
        <w:rPr>
          <w:rFonts w:cs="Arial"/>
          <w:szCs w:val="20"/>
        </w:rPr>
        <w:t>gencija za trg vrednostnih papirjev</w:t>
      </w:r>
      <w:r w:rsidRPr="00445B9C">
        <w:rPr>
          <w:rFonts w:cs="Arial"/>
          <w:szCs w:val="20"/>
        </w:rPr>
        <w:t xml:space="preserve"> (nov</w:t>
      </w:r>
      <w:r w:rsidR="00A965AF">
        <w:rPr>
          <w:rFonts w:cs="Arial"/>
          <w:szCs w:val="20"/>
        </w:rPr>
        <w:t>a</w:t>
      </w:r>
      <w:r w:rsidRPr="00445B9C">
        <w:rPr>
          <w:rFonts w:cs="Arial"/>
          <w:szCs w:val="20"/>
        </w:rPr>
        <w:t xml:space="preserve"> 357.a </w:t>
      </w:r>
      <w:r w:rsidR="00567C88" w:rsidRPr="00445B9C">
        <w:rPr>
          <w:rFonts w:cs="Arial"/>
          <w:szCs w:val="20"/>
        </w:rPr>
        <w:t xml:space="preserve">in 429.a </w:t>
      </w:r>
      <w:r w:rsidRPr="00445B9C">
        <w:rPr>
          <w:rFonts w:cs="Arial"/>
          <w:szCs w:val="20"/>
        </w:rPr>
        <w:t>člen ZTFI-1).</w:t>
      </w:r>
      <w:bookmarkEnd w:id="5"/>
    </w:p>
    <w:p w:rsidR="00562370" w:rsidRPr="00445B9C" w:rsidRDefault="00562370" w:rsidP="00ED36BF">
      <w:pPr>
        <w:spacing w:line="260" w:lineRule="exact"/>
        <w:ind w:left="360"/>
        <w:contextualSpacing/>
        <w:jc w:val="both"/>
        <w:rPr>
          <w:rFonts w:cs="Arial"/>
          <w:szCs w:val="20"/>
        </w:rPr>
      </w:pPr>
    </w:p>
    <w:p w:rsidR="00562370" w:rsidRPr="00445B9C" w:rsidRDefault="00562370" w:rsidP="00ED36BF">
      <w:pPr>
        <w:spacing w:line="260" w:lineRule="exact"/>
        <w:ind w:left="360"/>
        <w:contextualSpacing/>
        <w:jc w:val="both"/>
        <w:rPr>
          <w:rFonts w:cs="Arial"/>
          <w:szCs w:val="20"/>
        </w:rPr>
      </w:pPr>
    </w:p>
    <w:p w:rsidR="00ED36BF" w:rsidRPr="00445B9C" w:rsidRDefault="00ED36BF" w:rsidP="00ED36BF">
      <w:pPr>
        <w:numPr>
          <w:ilvl w:val="0"/>
          <w:numId w:val="12"/>
        </w:numPr>
        <w:spacing w:line="260" w:lineRule="exact"/>
        <w:rPr>
          <w:rFonts w:cs="Arial"/>
          <w:b/>
          <w:szCs w:val="20"/>
        </w:rPr>
      </w:pPr>
      <w:r w:rsidRPr="00445B9C">
        <w:rPr>
          <w:rFonts w:cs="Arial"/>
          <w:b/>
          <w:szCs w:val="20"/>
        </w:rPr>
        <w:t>OCENA FINANČNIH POSLEDIC PREDLOGA ZAKONA ZA DRŽAVNI PRORAČUN IN DRUGA JAVNA FINANČNA SREDSTVA</w:t>
      </w:r>
      <w:r w:rsidR="00506C92">
        <w:rPr>
          <w:rFonts w:cs="Arial"/>
          <w:b/>
          <w:szCs w:val="20"/>
        </w:rPr>
        <w:t xml:space="preserve"> </w:t>
      </w:r>
    </w:p>
    <w:p w:rsidR="00ED36BF" w:rsidRPr="00445B9C" w:rsidRDefault="00ED36BF" w:rsidP="00ED36BF">
      <w:pPr>
        <w:spacing w:line="260" w:lineRule="exact"/>
        <w:rPr>
          <w:rFonts w:cs="Arial"/>
          <w:b/>
          <w:szCs w:val="20"/>
        </w:rPr>
      </w:pPr>
    </w:p>
    <w:p w:rsidR="00FB4136" w:rsidRPr="00445B9C" w:rsidRDefault="00FB4136" w:rsidP="00ED36BF">
      <w:pPr>
        <w:spacing w:line="260" w:lineRule="exact"/>
        <w:rPr>
          <w:rFonts w:cs="Arial"/>
          <w:bCs/>
          <w:szCs w:val="20"/>
        </w:rPr>
      </w:pPr>
      <w:r w:rsidRPr="00445B9C">
        <w:rPr>
          <w:rFonts w:cs="Arial"/>
          <w:bCs/>
          <w:szCs w:val="20"/>
        </w:rPr>
        <w:t>Predlog zakona nima finančnih posledic za državni proračun in druga javna finančna sredstva</w:t>
      </w:r>
      <w:r w:rsidR="00506C92">
        <w:rPr>
          <w:rFonts w:cs="Arial"/>
          <w:bCs/>
          <w:szCs w:val="20"/>
        </w:rPr>
        <w:t>.</w:t>
      </w:r>
    </w:p>
    <w:p w:rsidR="00ED36BF" w:rsidRPr="00445B9C" w:rsidRDefault="00ED36BF" w:rsidP="00ED36BF">
      <w:pPr>
        <w:spacing w:line="288" w:lineRule="auto"/>
        <w:rPr>
          <w:rFonts w:cs="Arial"/>
          <w:bCs/>
          <w:szCs w:val="20"/>
        </w:rPr>
      </w:pPr>
    </w:p>
    <w:p w:rsidR="00ED36BF" w:rsidRPr="00445B9C" w:rsidRDefault="00ED36BF" w:rsidP="00ED36BF">
      <w:pPr>
        <w:numPr>
          <w:ilvl w:val="0"/>
          <w:numId w:val="12"/>
        </w:numPr>
        <w:spacing w:line="260" w:lineRule="exact"/>
        <w:jc w:val="both"/>
        <w:rPr>
          <w:rFonts w:cs="Arial"/>
          <w:b/>
          <w:szCs w:val="20"/>
        </w:rPr>
      </w:pPr>
      <w:r w:rsidRPr="00445B9C">
        <w:rPr>
          <w:rFonts w:cs="Arial"/>
          <w:b/>
          <w:szCs w:val="20"/>
        </w:rPr>
        <w:t>NAVEDBA, DA SO SREDSTVA ZA IZVAJANJE ZAKONA V DRŽAVNEM PRORAČUNU ZAGOTOVLJENA, ČE PREDLOG ZAKONA PREDVIDEVA PORABO PRORAČUNSKIH SREDSTEV V OBDOBJU, ZA KATERO JE BIL DRŽAVNI PRORAČUN ŽE SPREJET</w:t>
      </w:r>
    </w:p>
    <w:p w:rsidR="00ED36BF" w:rsidRPr="00445B9C" w:rsidRDefault="00ED36BF" w:rsidP="00ED36BF">
      <w:pPr>
        <w:spacing w:line="288" w:lineRule="auto"/>
        <w:rPr>
          <w:rFonts w:cs="Arial"/>
          <w:szCs w:val="20"/>
        </w:rPr>
      </w:pPr>
    </w:p>
    <w:p w:rsidR="00343239" w:rsidRPr="00445B9C" w:rsidRDefault="00343239" w:rsidP="00A965AF">
      <w:pPr>
        <w:spacing w:line="288" w:lineRule="auto"/>
        <w:jc w:val="both"/>
        <w:rPr>
          <w:rFonts w:cs="Arial"/>
          <w:szCs w:val="20"/>
        </w:rPr>
      </w:pPr>
      <w:r w:rsidRPr="00445B9C">
        <w:rPr>
          <w:rFonts w:cs="Arial"/>
          <w:szCs w:val="20"/>
        </w:rPr>
        <w:t>Predlog zakona ne predvideva porabe proračunskih sredstev v obdobju, za katero je bil proračun že sprejet.</w:t>
      </w:r>
    </w:p>
    <w:p w:rsidR="00343239" w:rsidRPr="00445B9C" w:rsidRDefault="00343239" w:rsidP="00ED36BF">
      <w:pPr>
        <w:spacing w:line="288" w:lineRule="auto"/>
        <w:rPr>
          <w:rFonts w:cs="Arial"/>
          <w:szCs w:val="20"/>
        </w:rPr>
      </w:pPr>
    </w:p>
    <w:p w:rsidR="00ED36BF" w:rsidRPr="00445B9C" w:rsidRDefault="00ED36BF" w:rsidP="00ED36BF">
      <w:pPr>
        <w:spacing w:line="260" w:lineRule="exact"/>
        <w:jc w:val="both"/>
        <w:rPr>
          <w:rFonts w:cs="Arial"/>
          <w:szCs w:val="20"/>
        </w:rPr>
      </w:pPr>
    </w:p>
    <w:p w:rsidR="00ED36BF" w:rsidRPr="00445B9C" w:rsidRDefault="00ED36BF" w:rsidP="00ED36BF">
      <w:pPr>
        <w:numPr>
          <w:ilvl w:val="0"/>
          <w:numId w:val="12"/>
        </w:numPr>
        <w:spacing w:line="260" w:lineRule="exact"/>
        <w:jc w:val="both"/>
        <w:rPr>
          <w:rFonts w:cs="Arial"/>
          <w:b/>
          <w:szCs w:val="20"/>
        </w:rPr>
      </w:pPr>
      <w:bookmarkStart w:id="6" w:name="_Hlk55537161"/>
      <w:r w:rsidRPr="00445B9C">
        <w:rPr>
          <w:rFonts w:cs="Arial"/>
          <w:b/>
          <w:szCs w:val="20"/>
        </w:rPr>
        <w:t xml:space="preserve">PRIKAZ UREDITVE V DRUGIH PRAVNIH SISTEMIH </w:t>
      </w:r>
      <w:bookmarkEnd w:id="6"/>
      <w:r w:rsidRPr="00445B9C">
        <w:rPr>
          <w:rFonts w:cs="Arial"/>
          <w:b/>
          <w:szCs w:val="20"/>
        </w:rPr>
        <w:t>IN PRILAGOJENOSTI PREDLAGANE UREDITVE PRAVU EVROPSKE UNIJE</w:t>
      </w:r>
    </w:p>
    <w:p w:rsidR="000266FA" w:rsidRPr="00445B9C" w:rsidRDefault="000266FA" w:rsidP="00ED36BF">
      <w:pPr>
        <w:autoSpaceDE w:val="0"/>
        <w:autoSpaceDN w:val="0"/>
        <w:adjustRightInd w:val="0"/>
        <w:spacing w:line="240" w:lineRule="auto"/>
        <w:jc w:val="both"/>
        <w:rPr>
          <w:rFonts w:cs="Arial"/>
          <w:b/>
          <w:bCs/>
          <w:szCs w:val="20"/>
        </w:rPr>
      </w:pPr>
    </w:p>
    <w:p w:rsidR="00856482" w:rsidRPr="00445B9C" w:rsidRDefault="00CD4635" w:rsidP="00ED36BF">
      <w:pPr>
        <w:autoSpaceDE w:val="0"/>
        <w:autoSpaceDN w:val="0"/>
        <w:adjustRightInd w:val="0"/>
        <w:spacing w:line="240" w:lineRule="auto"/>
        <w:jc w:val="both"/>
        <w:rPr>
          <w:rFonts w:cs="Arial"/>
          <w:b/>
          <w:bCs/>
          <w:szCs w:val="20"/>
        </w:rPr>
      </w:pPr>
      <w:r w:rsidRPr="00445B9C">
        <w:rPr>
          <w:rFonts w:cs="Arial"/>
          <w:b/>
          <w:bCs/>
          <w:szCs w:val="20"/>
        </w:rPr>
        <w:t>Češka Republika</w:t>
      </w:r>
    </w:p>
    <w:p w:rsidR="00CD4635" w:rsidRPr="00445B9C" w:rsidRDefault="00CD4635" w:rsidP="00CD4635">
      <w:pPr>
        <w:autoSpaceDE w:val="0"/>
        <w:autoSpaceDN w:val="0"/>
        <w:adjustRightInd w:val="0"/>
        <w:spacing w:line="240" w:lineRule="auto"/>
        <w:jc w:val="both"/>
        <w:rPr>
          <w:rFonts w:cs="Arial"/>
          <w:szCs w:val="20"/>
        </w:rPr>
      </w:pPr>
    </w:p>
    <w:p w:rsidR="00CD4635" w:rsidRPr="00445B9C" w:rsidRDefault="00CD4635" w:rsidP="00286CFD">
      <w:pPr>
        <w:spacing w:line="260" w:lineRule="exact"/>
        <w:jc w:val="both"/>
        <w:rPr>
          <w:rFonts w:cs="Arial"/>
          <w:szCs w:val="20"/>
        </w:rPr>
      </w:pPr>
      <w:r w:rsidRPr="00445B9C">
        <w:rPr>
          <w:rFonts w:cs="Arial"/>
          <w:szCs w:val="20"/>
        </w:rPr>
        <w:t xml:space="preserve">Zakon št. 32/2025 </w:t>
      </w:r>
      <w:proofErr w:type="spellStart"/>
      <w:r w:rsidRPr="00445B9C">
        <w:rPr>
          <w:rFonts w:cs="Arial"/>
          <w:szCs w:val="20"/>
        </w:rPr>
        <w:t>Sb</w:t>
      </w:r>
      <w:proofErr w:type="spellEnd"/>
      <w:r w:rsidRPr="00445B9C">
        <w:rPr>
          <w:rFonts w:cs="Arial"/>
          <w:szCs w:val="20"/>
        </w:rPr>
        <w:t xml:space="preserve">. Češke </w:t>
      </w:r>
      <w:r w:rsidR="00CA0B86" w:rsidRPr="00445B9C">
        <w:rPr>
          <w:rFonts w:cs="Arial"/>
          <w:szCs w:val="20"/>
        </w:rPr>
        <w:t>R</w:t>
      </w:r>
      <w:r w:rsidRPr="00445B9C">
        <w:rPr>
          <w:rFonts w:cs="Arial"/>
          <w:szCs w:val="20"/>
        </w:rPr>
        <w:t>epublike</w:t>
      </w:r>
      <w:r w:rsidR="00CA0B86" w:rsidRPr="00445B9C">
        <w:rPr>
          <w:rFonts w:cs="Arial"/>
          <w:szCs w:val="20"/>
        </w:rPr>
        <w:t xml:space="preserve"> (</w:t>
      </w:r>
      <w:r w:rsidR="00CA0B86" w:rsidRPr="00445B9C">
        <w:rPr>
          <w:rFonts w:cs="Arial"/>
          <w:i/>
          <w:iCs/>
          <w:szCs w:val="20"/>
        </w:rPr>
        <w:t xml:space="preserve">Zákon č. 32/2025 </w:t>
      </w:r>
      <w:proofErr w:type="spellStart"/>
      <w:r w:rsidR="00CA0B86" w:rsidRPr="00445B9C">
        <w:rPr>
          <w:rFonts w:cs="Arial"/>
          <w:i/>
          <w:iCs/>
          <w:szCs w:val="20"/>
        </w:rPr>
        <w:t>Sb</w:t>
      </w:r>
      <w:proofErr w:type="spellEnd"/>
      <w:r w:rsidR="00CA0B86" w:rsidRPr="00445B9C">
        <w:rPr>
          <w:rFonts w:cs="Arial"/>
          <w:i/>
          <w:iCs/>
          <w:szCs w:val="20"/>
        </w:rPr>
        <w:t xml:space="preserve">., </w:t>
      </w:r>
      <w:proofErr w:type="spellStart"/>
      <w:r w:rsidR="00CA0B86" w:rsidRPr="00445B9C">
        <w:rPr>
          <w:rFonts w:cs="Arial"/>
          <w:i/>
          <w:iCs/>
          <w:szCs w:val="20"/>
        </w:rPr>
        <w:t>kterým</w:t>
      </w:r>
      <w:proofErr w:type="spellEnd"/>
      <w:r w:rsidR="00CA0B86" w:rsidRPr="00445B9C">
        <w:rPr>
          <w:rFonts w:cs="Arial"/>
          <w:i/>
          <w:iCs/>
          <w:szCs w:val="20"/>
        </w:rPr>
        <w:t xml:space="preserve"> se </w:t>
      </w:r>
      <w:proofErr w:type="spellStart"/>
      <w:r w:rsidR="00CA0B86" w:rsidRPr="00445B9C">
        <w:rPr>
          <w:rFonts w:cs="Arial"/>
          <w:i/>
          <w:iCs/>
          <w:szCs w:val="20"/>
        </w:rPr>
        <w:t>mění</w:t>
      </w:r>
      <w:proofErr w:type="spellEnd"/>
      <w:r w:rsidR="00CA0B86" w:rsidRPr="00445B9C">
        <w:rPr>
          <w:rFonts w:cs="Arial"/>
          <w:i/>
          <w:iCs/>
          <w:szCs w:val="20"/>
        </w:rPr>
        <w:t xml:space="preserve"> </w:t>
      </w:r>
      <w:proofErr w:type="spellStart"/>
      <w:r w:rsidR="00CA0B86" w:rsidRPr="00445B9C">
        <w:rPr>
          <w:rFonts w:cs="Arial"/>
          <w:i/>
          <w:iCs/>
          <w:szCs w:val="20"/>
        </w:rPr>
        <w:t>některé</w:t>
      </w:r>
      <w:proofErr w:type="spellEnd"/>
      <w:r w:rsidR="00CA0B86" w:rsidRPr="00445B9C">
        <w:rPr>
          <w:rFonts w:cs="Arial"/>
          <w:i/>
          <w:iCs/>
          <w:szCs w:val="20"/>
        </w:rPr>
        <w:t xml:space="preserve"> </w:t>
      </w:r>
      <w:proofErr w:type="spellStart"/>
      <w:r w:rsidR="00CA0B86" w:rsidRPr="00445B9C">
        <w:rPr>
          <w:rFonts w:cs="Arial"/>
          <w:i/>
          <w:iCs/>
          <w:szCs w:val="20"/>
        </w:rPr>
        <w:t>zákony</w:t>
      </w:r>
      <w:proofErr w:type="spellEnd"/>
      <w:r w:rsidR="00CA0B86" w:rsidRPr="00445B9C">
        <w:rPr>
          <w:rFonts w:cs="Arial"/>
          <w:i/>
          <w:iCs/>
          <w:szCs w:val="20"/>
        </w:rPr>
        <w:t xml:space="preserve"> v </w:t>
      </w:r>
      <w:proofErr w:type="spellStart"/>
      <w:r w:rsidR="00CA0B86" w:rsidRPr="00445B9C">
        <w:rPr>
          <w:rFonts w:cs="Arial"/>
          <w:i/>
          <w:iCs/>
          <w:szCs w:val="20"/>
        </w:rPr>
        <w:t>souvislosti</w:t>
      </w:r>
      <w:proofErr w:type="spellEnd"/>
      <w:r w:rsidR="00CA0B86" w:rsidRPr="00445B9C">
        <w:rPr>
          <w:rFonts w:cs="Arial"/>
          <w:i/>
          <w:iCs/>
          <w:szCs w:val="20"/>
        </w:rPr>
        <w:t xml:space="preserve"> s </w:t>
      </w:r>
      <w:proofErr w:type="spellStart"/>
      <w:r w:rsidR="00CA0B86" w:rsidRPr="00445B9C">
        <w:rPr>
          <w:rFonts w:cs="Arial"/>
          <w:i/>
          <w:iCs/>
          <w:szCs w:val="20"/>
        </w:rPr>
        <w:t>implementací</w:t>
      </w:r>
      <w:proofErr w:type="spellEnd"/>
      <w:r w:rsidR="00CA0B86" w:rsidRPr="00445B9C">
        <w:rPr>
          <w:rFonts w:cs="Arial"/>
          <w:i/>
          <w:iCs/>
          <w:szCs w:val="20"/>
        </w:rPr>
        <w:t xml:space="preserve"> </w:t>
      </w:r>
      <w:proofErr w:type="spellStart"/>
      <w:r w:rsidR="00CA0B86" w:rsidRPr="00445B9C">
        <w:rPr>
          <w:rFonts w:cs="Arial"/>
          <w:i/>
          <w:iCs/>
          <w:szCs w:val="20"/>
        </w:rPr>
        <w:t>předpisů</w:t>
      </w:r>
      <w:proofErr w:type="spellEnd"/>
      <w:r w:rsidR="00CA0B86" w:rsidRPr="00445B9C">
        <w:rPr>
          <w:rFonts w:cs="Arial"/>
          <w:i/>
          <w:iCs/>
          <w:szCs w:val="20"/>
        </w:rPr>
        <w:t xml:space="preserve"> Evropské </w:t>
      </w:r>
      <w:proofErr w:type="spellStart"/>
      <w:r w:rsidR="00CA0B86" w:rsidRPr="00445B9C">
        <w:rPr>
          <w:rFonts w:cs="Arial"/>
          <w:i/>
          <w:iCs/>
          <w:szCs w:val="20"/>
        </w:rPr>
        <w:t>unie</w:t>
      </w:r>
      <w:proofErr w:type="spellEnd"/>
      <w:r w:rsidR="00CA0B86" w:rsidRPr="00445B9C">
        <w:rPr>
          <w:rFonts w:cs="Arial"/>
          <w:i/>
          <w:iCs/>
          <w:szCs w:val="20"/>
        </w:rPr>
        <w:t xml:space="preserve"> v oblasti </w:t>
      </w:r>
      <w:proofErr w:type="spellStart"/>
      <w:r w:rsidR="00CA0B86" w:rsidRPr="00445B9C">
        <w:rPr>
          <w:rFonts w:cs="Arial"/>
          <w:i/>
          <w:iCs/>
          <w:szCs w:val="20"/>
        </w:rPr>
        <w:t>digitalizace</w:t>
      </w:r>
      <w:proofErr w:type="spellEnd"/>
      <w:r w:rsidR="00CA0B86" w:rsidRPr="00445B9C">
        <w:rPr>
          <w:rFonts w:cs="Arial"/>
          <w:i/>
          <w:iCs/>
          <w:szCs w:val="20"/>
        </w:rPr>
        <w:t xml:space="preserve"> </w:t>
      </w:r>
      <w:proofErr w:type="spellStart"/>
      <w:r w:rsidR="00CA0B86" w:rsidRPr="00445B9C">
        <w:rPr>
          <w:rFonts w:cs="Arial"/>
          <w:i/>
          <w:iCs/>
          <w:szCs w:val="20"/>
        </w:rPr>
        <w:t>finančního</w:t>
      </w:r>
      <w:proofErr w:type="spellEnd"/>
      <w:r w:rsidR="00CA0B86" w:rsidRPr="00445B9C">
        <w:rPr>
          <w:rFonts w:cs="Arial"/>
          <w:i/>
          <w:iCs/>
          <w:szCs w:val="20"/>
        </w:rPr>
        <w:t xml:space="preserve"> </w:t>
      </w:r>
      <w:proofErr w:type="spellStart"/>
      <w:r w:rsidR="00CA0B86" w:rsidRPr="00445B9C">
        <w:rPr>
          <w:rFonts w:cs="Arial"/>
          <w:i/>
          <w:iCs/>
          <w:szCs w:val="20"/>
        </w:rPr>
        <w:t>trhu</w:t>
      </w:r>
      <w:proofErr w:type="spellEnd"/>
      <w:r w:rsidR="00CA0B86" w:rsidRPr="00445B9C">
        <w:rPr>
          <w:rFonts w:cs="Arial"/>
          <w:i/>
          <w:iCs/>
          <w:szCs w:val="20"/>
        </w:rPr>
        <w:t xml:space="preserve"> a </w:t>
      </w:r>
      <w:proofErr w:type="spellStart"/>
      <w:r w:rsidR="00CA0B86" w:rsidRPr="00445B9C">
        <w:rPr>
          <w:rFonts w:cs="Arial"/>
          <w:i/>
          <w:iCs/>
          <w:szCs w:val="20"/>
        </w:rPr>
        <w:t>financování</w:t>
      </w:r>
      <w:proofErr w:type="spellEnd"/>
      <w:r w:rsidR="00CA0B86" w:rsidRPr="00445B9C">
        <w:rPr>
          <w:rFonts w:cs="Arial"/>
          <w:i/>
          <w:iCs/>
          <w:szCs w:val="20"/>
        </w:rPr>
        <w:t xml:space="preserve"> </w:t>
      </w:r>
      <w:proofErr w:type="spellStart"/>
      <w:r w:rsidR="00CA0B86" w:rsidRPr="00445B9C">
        <w:rPr>
          <w:rFonts w:cs="Arial"/>
          <w:i/>
          <w:iCs/>
          <w:szCs w:val="20"/>
        </w:rPr>
        <w:t>udržitelnosti</w:t>
      </w:r>
      <w:proofErr w:type="spellEnd"/>
      <w:r w:rsidR="00CA0B86" w:rsidRPr="00445B9C">
        <w:rPr>
          <w:rFonts w:cs="Arial"/>
          <w:szCs w:val="20"/>
        </w:rPr>
        <w:t>)</w:t>
      </w:r>
      <w:r w:rsidRPr="00445B9C">
        <w:rPr>
          <w:rFonts w:cs="Arial"/>
          <w:szCs w:val="20"/>
        </w:rPr>
        <w:t xml:space="preserve"> prinaša spremembe v češki pravni red, povezane z izvajanjem predpisov </w:t>
      </w:r>
      <w:r w:rsidR="00E34076" w:rsidRPr="00445B9C">
        <w:rPr>
          <w:rFonts w:cs="Arial"/>
          <w:szCs w:val="20"/>
        </w:rPr>
        <w:t xml:space="preserve">EU </w:t>
      </w:r>
      <w:r w:rsidRPr="00445B9C">
        <w:rPr>
          <w:rFonts w:cs="Arial"/>
          <w:szCs w:val="20"/>
        </w:rPr>
        <w:t>na področju digitalizacije finančnega trga in financiranja trajnosti. Njegov osrednji cilj je okrepiti digitalno operativno odpornost finančnega sektorja, s čimer se odziva na naraščajoče kibernetske grožnje. Zakon določa zahteve za finančne subjekte, da učinkoviteje upravljajo tveganja, povezana z IKT. To vključuje ukrepe za obvladovanje incidentov, testiranje odpornosti in upravljanje tveganj, ki izhajajo iz sodelovanja s tretjimi ponudniki storitev IKT. Hkrati zakon prilagaja zakonodajo, da bi bila skladna z novimi standardi</w:t>
      </w:r>
      <w:r w:rsidR="00E34076" w:rsidRPr="00445B9C">
        <w:rPr>
          <w:rFonts w:cs="Arial"/>
          <w:szCs w:val="20"/>
        </w:rPr>
        <w:t xml:space="preserve"> EU</w:t>
      </w:r>
      <w:r w:rsidRPr="00445B9C">
        <w:rPr>
          <w:rFonts w:cs="Arial"/>
          <w:szCs w:val="20"/>
        </w:rPr>
        <w:t xml:space="preserve">, kar </w:t>
      </w:r>
      <w:r w:rsidR="0097456D">
        <w:rPr>
          <w:rFonts w:cs="Arial"/>
          <w:szCs w:val="20"/>
        </w:rPr>
        <w:t>prinaša</w:t>
      </w:r>
      <w:r w:rsidR="0097456D" w:rsidRPr="00445B9C">
        <w:rPr>
          <w:rFonts w:cs="Arial"/>
          <w:szCs w:val="20"/>
        </w:rPr>
        <w:t xml:space="preserve"> </w:t>
      </w:r>
      <w:r w:rsidRPr="00445B9C">
        <w:rPr>
          <w:rFonts w:cs="Arial"/>
          <w:szCs w:val="20"/>
        </w:rPr>
        <w:t xml:space="preserve">tudi spremembe v povezavi z </w:t>
      </w:r>
      <w:r w:rsidR="00CA0B86" w:rsidRPr="00445B9C">
        <w:rPr>
          <w:rFonts w:cs="Arial"/>
          <w:szCs w:val="20"/>
        </w:rPr>
        <w:t>Direktivo 2014/65/EU</w:t>
      </w:r>
      <w:r w:rsidRPr="00445B9C">
        <w:rPr>
          <w:rFonts w:cs="Arial"/>
          <w:szCs w:val="20"/>
        </w:rPr>
        <w:t>. Zakon je bil objavljen 14. februarja 2025 in je začel veljati 15. februarja 2025.</w:t>
      </w:r>
    </w:p>
    <w:p w:rsidR="00856482" w:rsidRPr="00445B9C" w:rsidRDefault="00856482" w:rsidP="00ED36BF">
      <w:pPr>
        <w:autoSpaceDE w:val="0"/>
        <w:autoSpaceDN w:val="0"/>
        <w:adjustRightInd w:val="0"/>
        <w:spacing w:line="240" w:lineRule="auto"/>
        <w:jc w:val="both"/>
        <w:rPr>
          <w:rFonts w:cs="Arial"/>
          <w:b/>
          <w:bCs/>
          <w:szCs w:val="20"/>
        </w:rPr>
      </w:pPr>
    </w:p>
    <w:p w:rsidR="00BB252D" w:rsidRPr="00445B9C" w:rsidRDefault="00557C6E" w:rsidP="00ED36BF">
      <w:pPr>
        <w:autoSpaceDE w:val="0"/>
        <w:autoSpaceDN w:val="0"/>
        <w:adjustRightInd w:val="0"/>
        <w:spacing w:line="240" w:lineRule="auto"/>
        <w:jc w:val="both"/>
        <w:rPr>
          <w:rFonts w:cs="Arial"/>
          <w:b/>
          <w:bCs/>
          <w:szCs w:val="20"/>
        </w:rPr>
      </w:pPr>
      <w:r w:rsidRPr="00445B9C">
        <w:rPr>
          <w:rFonts w:cs="Arial"/>
          <w:b/>
          <w:bCs/>
          <w:szCs w:val="20"/>
        </w:rPr>
        <w:t>Republika Hrvaška</w:t>
      </w:r>
    </w:p>
    <w:p w:rsidR="00557C6E" w:rsidRPr="00445B9C" w:rsidRDefault="00557C6E" w:rsidP="00ED36BF">
      <w:pPr>
        <w:autoSpaceDE w:val="0"/>
        <w:autoSpaceDN w:val="0"/>
        <w:adjustRightInd w:val="0"/>
        <w:spacing w:line="240" w:lineRule="auto"/>
        <w:jc w:val="both"/>
        <w:rPr>
          <w:rFonts w:cs="Arial"/>
          <w:b/>
          <w:bCs/>
          <w:szCs w:val="20"/>
        </w:rPr>
      </w:pPr>
    </w:p>
    <w:p w:rsidR="00557C6E" w:rsidRPr="00445B9C" w:rsidRDefault="00557C6E" w:rsidP="00286CFD">
      <w:pPr>
        <w:spacing w:line="260" w:lineRule="exact"/>
        <w:jc w:val="both"/>
        <w:rPr>
          <w:rFonts w:cs="Arial"/>
          <w:szCs w:val="20"/>
        </w:rPr>
      </w:pPr>
      <w:r w:rsidRPr="00445B9C">
        <w:rPr>
          <w:rFonts w:cs="Arial"/>
          <w:i/>
          <w:iCs/>
          <w:szCs w:val="20"/>
        </w:rPr>
        <w:t xml:space="preserve">Zakon o </w:t>
      </w:r>
      <w:proofErr w:type="spellStart"/>
      <w:r w:rsidRPr="00445B9C">
        <w:rPr>
          <w:rFonts w:cs="Arial"/>
          <w:i/>
          <w:iCs/>
          <w:szCs w:val="20"/>
        </w:rPr>
        <w:t>tržištu</w:t>
      </w:r>
      <w:proofErr w:type="spellEnd"/>
      <w:r w:rsidRPr="00445B9C">
        <w:rPr>
          <w:rFonts w:cs="Arial"/>
          <w:i/>
          <w:iCs/>
          <w:szCs w:val="20"/>
        </w:rPr>
        <w:t xml:space="preserve"> kapitala</w:t>
      </w:r>
      <w:r w:rsidRPr="00445B9C">
        <w:rPr>
          <w:rFonts w:cs="Arial"/>
          <w:szCs w:val="20"/>
        </w:rPr>
        <w:t xml:space="preserve"> v Republiki Hrvaški ureja delovanje in poslovanje investicijskih družb, tržnih operaterjev, ponudnikov storitev poročanja podatkov ter pogoje za ponudbo vrednostnih papirjev javnosti in njihovo uvrstitev </w:t>
      </w:r>
      <w:r w:rsidR="0097456D">
        <w:rPr>
          <w:rFonts w:cs="Arial"/>
          <w:szCs w:val="20"/>
        </w:rPr>
        <w:t>v</w:t>
      </w:r>
      <w:r w:rsidRPr="00445B9C">
        <w:rPr>
          <w:rFonts w:cs="Arial"/>
          <w:szCs w:val="20"/>
        </w:rPr>
        <w:t xml:space="preserve"> urejeno trgovanje. Zakon vključuje tudi obveznosti glede objavljanja informacij o izdajateljih vrednostnih papirjev, prepoved zlorabe trga, hrambo finančnih instrumentov ter poravnavo s finančnimi instrumenti. Poleg tega zakon določa sodelovanje pristojnih organov in pooblastila ter </w:t>
      </w:r>
      <w:r w:rsidR="0097456D">
        <w:rPr>
          <w:rFonts w:cs="Arial"/>
          <w:szCs w:val="20"/>
        </w:rPr>
        <w:t>delovanje</w:t>
      </w:r>
      <w:r w:rsidR="0097456D" w:rsidRPr="00445B9C">
        <w:rPr>
          <w:rFonts w:cs="Arial"/>
          <w:szCs w:val="20"/>
        </w:rPr>
        <w:t xml:space="preserve"> </w:t>
      </w:r>
      <w:r w:rsidRPr="00445B9C">
        <w:rPr>
          <w:rFonts w:cs="Arial"/>
          <w:szCs w:val="20"/>
        </w:rPr>
        <w:t xml:space="preserve">Hrvatske agencije za nadzor </w:t>
      </w:r>
      <w:proofErr w:type="spellStart"/>
      <w:r w:rsidRPr="00445B9C">
        <w:rPr>
          <w:rFonts w:cs="Arial"/>
          <w:szCs w:val="20"/>
        </w:rPr>
        <w:t>financijskih</w:t>
      </w:r>
      <w:proofErr w:type="spellEnd"/>
      <w:r w:rsidRPr="00445B9C">
        <w:rPr>
          <w:rFonts w:cs="Arial"/>
          <w:szCs w:val="20"/>
        </w:rPr>
        <w:t xml:space="preserve"> usluga (HANFA) pri izvajanju zakona. Z vidika obsega urejanja je ta zakon podoben ZTFI-1.</w:t>
      </w:r>
    </w:p>
    <w:p w:rsidR="00557C6E" w:rsidRPr="00445B9C" w:rsidRDefault="00557C6E" w:rsidP="00286CFD">
      <w:pPr>
        <w:spacing w:line="260" w:lineRule="exact"/>
        <w:jc w:val="both"/>
        <w:rPr>
          <w:rFonts w:cs="Arial"/>
          <w:szCs w:val="20"/>
        </w:rPr>
      </w:pPr>
    </w:p>
    <w:p w:rsidR="00557C6E" w:rsidRPr="00445B9C" w:rsidRDefault="00557C6E" w:rsidP="00286CFD">
      <w:pPr>
        <w:spacing w:line="260" w:lineRule="exact"/>
        <w:jc w:val="both"/>
        <w:rPr>
          <w:rFonts w:cs="Arial"/>
          <w:szCs w:val="20"/>
        </w:rPr>
      </w:pPr>
      <w:r w:rsidRPr="00445B9C">
        <w:rPr>
          <w:rFonts w:cs="Arial"/>
          <w:szCs w:val="20"/>
        </w:rPr>
        <w:lastRenderedPageBreak/>
        <w:t xml:space="preserve">V zvezi s svežnjem DORA je bil za izvajanje Uredbe 2022/2554/EU sprejet </w:t>
      </w:r>
      <w:r w:rsidRPr="00445B9C">
        <w:rPr>
          <w:rFonts w:cs="Arial"/>
          <w:i/>
          <w:iCs/>
          <w:szCs w:val="20"/>
        </w:rPr>
        <w:t xml:space="preserve">Zakon o </w:t>
      </w:r>
      <w:proofErr w:type="spellStart"/>
      <w:r w:rsidRPr="00445B9C">
        <w:rPr>
          <w:rFonts w:cs="Arial"/>
          <w:i/>
          <w:iCs/>
          <w:szCs w:val="20"/>
        </w:rPr>
        <w:t>provedbi</w:t>
      </w:r>
      <w:proofErr w:type="spellEnd"/>
      <w:r w:rsidRPr="00445B9C">
        <w:rPr>
          <w:rFonts w:cs="Arial"/>
          <w:i/>
          <w:iCs/>
          <w:szCs w:val="20"/>
        </w:rPr>
        <w:t xml:space="preserve"> Uredbe (EU) 2022/2554 o </w:t>
      </w:r>
      <w:proofErr w:type="spellStart"/>
      <w:r w:rsidRPr="00445B9C">
        <w:rPr>
          <w:rFonts w:cs="Arial"/>
          <w:i/>
          <w:iCs/>
          <w:szCs w:val="20"/>
        </w:rPr>
        <w:t>digitalnoj</w:t>
      </w:r>
      <w:proofErr w:type="spellEnd"/>
      <w:r w:rsidRPr="00445B9C">
        <w:rPr>
          <w:rFonts w:cs="Arial"/>
          <w:i/>
          <w:iCs/>
          <w:szCs w:val="20"/>
        </w:rPr>
        <w:t xml:space="preserve"> </w:t>
      </w:r>
      <w:proofErr w:type="spellStart"/>
      <w:r w:rsidRPr="00445B9C">
        <w:rPr>
          <w:rFonts w:cs="Arial"/>
          <w:i/>
          <w:iCs/>
          <w:szCs w:val="20"/>
        </w:rPr>
        <w:t>operativnoj</w:t>
      </w:r>
      <w:proofErr w:type="spellEnd"/>
      <w:r w:rsidRPr="00445B9C">
        <w:rPr>
          <w:rFonts w:cs="Arial"/>
          <w:i/>
          <w:iCs/>
          <w:szCs w:val="20"/>
        </w:rPr>
        <w:t xml:space="preserve"> </w:t>
      </w:r>
      <w:proofErr w:type="spellStart"/>
      <w:r w:rsidRPr="00445B9C">
        <w:rPr>
          <w:rFonts w:cs="Arial"/>
          <w:i/>
          <w:iCs/>
          <w:szCs w:val="20"/>
        </w:rPr>
        <w:t>otpornosti</w:t>
      </w:r>
      <w:proofErr w:type="spellEnd"/>
      <w:r w:rsidRPr="00445B9C">
        <w:rPr>
          <w:rFonts w:cs="Arial"/>
          <w:i/>
          <w:iCs/>
          <w:szCs w:val="20"/>
        </w:rPr>
        <w:t xml:space="preserve"> za </w:t>
      </w:r>
      <w:proofErr w:type="spellStart"/>
      <w:r w:rsidRPr="00445B9C">
        <w:rPr>
          <w:rFonts w:cs="Arial"/>
          <w:i/>
          <w:iCs/>
          <w:szCs w:val="20"/>
        </w:rPr>
        <w:t>financijski</w:t>
      </w:r>
      <w:proofErr w:type="spellEnd"/>
      <w:r w:rsidRPr="00445B9C">
        <w:rPr>
          <w:rFonts w:cs="Arial"/>
          <w:i/>
          <w:iCs/>
          <w:szCs w:val="20"/>
        </w:rPr>
        <w:t xml:space="preserve"> sektor</w:t>
      </w:r>
      <w:r w:rsidRPr="00445B9C">
        <w:rPr>
          <w:rFonts w:cs="Arial"/>
          <w:szCs w:val="20"/>
        </w:rPr>
        <w:t xml:space="preserve">, </w:t>
      </w:r>
      <w:r w:rsidR="00EC4C76">
        <w:rPr>
          <w:rFonts w:cs="Arial"/>
          <w:szCs w:val="20"/>
        </w:rPr>
        <w:t>prenos</w:t>
      </w:r>
      <w:r w:rsidRPr="00445B9C">
        <w:rPr>
          <w:rFonts w:cs="Arial"/>
          <w:szCs w:val="20"/>
        </w:rPr>
        <w:t xml:space="preserve"> Direktive 2022/2556/EU pa je izvršen s sprejetjem</w:t>
      </w:r>
      <w:r w:rsidR="009A3992" w:rsidRPr="00445B9C">
        <w:rPr>
          <w:rFonts w:cs="Arial"/>
          <w:szCs w:val="20"/>
        </w:rPr>
        <w:t xml:space="preserve"> </w:t>
      </w:r>
      <w:r w:rsidR="009A3992" w:rsidRPr="00445B9C">
        <w:rPr>
          <w:rFonts w:cs="Arial"/>
          <w:i/>
          <w:iCs/>
          <w:szCs w:val="20"/>
        </w:rPr>
        <w:t xml:space="preserve">Zakona o </w:t>
      </w:r>
      <w:proofErr w:type="spellStart"/>
      <w:r w:rsidR="009A3992" w:rsidRPr="00445B9C">
        <w:rPr>
          <w:rFonts w:cs="Arial"/>
          <w:i/>
          <w:iCs/>
          <w:szCs w:val="20"/>
        </w:rPr>
        <w:t>izmjenama</w:t>
      </w:r>
      <w:proofErr w:type="spellEnd"/>
      <w:r w:rsidR="009A3992" w:rsidRPr="00445B9C">
        <w:rPr>
          <w:rFonts w:cs="Arial"/>
          <w:i/>
          <w:iCs/>
          <w:szCs w:val="20"/>
        </w:rPr>
        <w:t xml:space="preserve"> i </w:t>
      </w:r>
      <w:proofErr w:type="spellStart"/>
      <w:r w:rsidR="009A3992" w:rsidRPr="00445B9C">
        <w:rPr>
          <w:rFonts w:cs="Arial"/>
          <w:i/>
          <w:iCs/>
          <w:szCs w:val="20"/>
        </w:rPr>
        <w:t>dopunama</w:t>
      </w:r>
      <w:proofErr w:type="spellEnd"/>
      <w:r w:rsidR="009A3992" w:rsidRPr="00445B9C">
        <w:rPr>
          <w:rFonts w:cs="Arial"/>
          <w:i/>
          <w:iCs/>
          <w:szCs w:val="20"/>
        </w:rPr>
        <w:t xml:space="preserve"> Zakona o </w:t>
      </w:r>
      <w:proofErr w:type="spellStart"/>
      <w:r w:rsidR="009A3992" w:rsidRPr="00445B9C">
        <w:rPr>
          <w:rFonts w:cs="Arial"/>
          <w:i/>
          <w:iCs/>
          <w:szCs w:val="20"/>
        </w:rPr>
        <w:t>tržištu</w:t>
      </w:r>
      <w:proofErr w:type="spellEnd"/>
      <w:r w:rsidR="009A3992" w:rsidRPr="00445B9C">
        <w:rPr>
          <w:rFonts w:cs="Arial"/>
          <w:i/>
          <w:iCs/>
          <w:szCs w:val="20"/>
        </w:rPr>
        <w:t xml:space="preserve"> kapitala (NN 85/2024)</w:t>
      </w:r>
      <w:r w:rsidR="009A3992" w:rsidRPr="00445B9C">
        <w:rPr>
          <w:rFonts w:cs="Arial"/>
          <w:szCs w:val="20"/>
        </w:rPr>
        <w:t>, sprejet</w:t>
      </w:r>
      <w:r w:rsidR="00EC4C76">
        <w:rPr>
          <w:rFonts w:cs="Arial"/>
          <w:szCs w:val="20"/>
        </w:rPr>
        <w:t>im</w:t>
      </w:r>
      <w:r w:rsidR="009A3992" w:rsidRPr="00445B9C">
        <w:rPr>
          <w:rFonts w:cs="Arial"/>
          <w:szCs w:val="20"/>
        </w:rPr>
        <w:t xml:space="preserve"> 12. julija 2024 </w:t>
      </w:r>
      <w:r w:rsidR="00EC4C76">
        <w:rPr>
          <w:rFonts w:cs="Arial"/>
          <w:szCs w:val="20"/>
        </w:rPr>
        <w:t xml:space="preserve">Zakon je začel </w:t>
      </w:r>
      <w:r w:rsidR="009A3992" w:rsidRPr="00445B9C">
        <w:rPr>
          <w:rFonts w:cs="Arial"/>
          <w:szCs w:val="20"/>
        </w:rPr>
        <w:t>v</w:t>
      </w:r>
      <w:r w:rsidR="00E34076" w:rsidRPr="00445B9C">
        <w:rPr>
          <w:rFonts w:cs="Arial"/>
          <w:szCs w:val="20"/>
        </w:rPr>
        <w:t xml:space="preserve">eljati </w:t>
      </w:r>
      <w:r w:rsidR="009A3992" w:rsidRPr="00445B9C">
        <w:rPr>
          <w:rFonts w:cs="Arial"/>
          <w:szCs w:val="20"/>
        </w:rPr>
        <w:t>27. julija 2024.</w:t>
      </w:r>
      <w:r w:rsidR="00EF6273" w:rsidRPr="00445B9C">
        <w:rPr>
          <w:rFonts w:cs="Arial"/>
          <w:szCs w:val="20"/>
        </w:rPr>
        <w:t xml:space="preserve"> </w:t>
      </w:r>
      <w:r w:rsidR="00EC4C76">
        <w:rPr>
          <w:rFonts w:cs="Arial"/>
          <w:szCs w:val="20"/>
        </w:rPr>
        <w:t xml:space="preserve">Njegov </w:t>
      </w:r>
      <w:r w:rsidR="00EF6273" w:rsidRPr="00445B9C">
        <w:rPr>
          <w:rFonts w:cs="Arial"/>
          <w:szCs w:val="20"/>
        </w:rPr>
        <w:t xml:space="preserve">namen </w:t>
      </w:r>
      <w:r w:rsidR="00EC4C76">
        <w:rPr>
          <w:rFonts w:cs="Arial"/>
          <w:szCs w:val="20"/>
        </w:rPr>
        <w:t xml:space="preserve">je </w:t>
      </w:r>
      <w:r w:rsidR="00EF6273" w:rsidRPr="00445B9C">
        <w:rPr>
          <w:rFonts w:cs="Arial"/>
          <w:szCs w:val="20"/>
        </w:rPr>
        <w:t>uskladit</w:t>
      </w:r>
      <w:r w:rsidR="00EC4C76">
        <w:rPr>
          <w:rFonts w:cs="Arial"/>
          <w:szCs w:val="20"/>
        </w:rPr>
        <w:t>e</w:t>
      </w:r>
      <w:r w:rsidR="00EF6273" w:rsidRPr="00445B9C">
        <w:rPr>
          <w:rFonts w:cs="Arial"/>
          <w:szCs w:val="20"/>
        </w:rPr>
        <w:t xml:space="preserve">v hrvaške zakonodaje z direktivama </w:t>
      </w:r>
      <w:proofErr w:type="spellStart"/>
      <w:r w:rsidR="00EF6273" w:rsidRPr="00445B9C">
        <w:rPr>
          <w:rFonts w:cs="Arial"/>
          <w:szCs w:val="20"/>
        </w:rPr>
        <w:t>EUs</w:t>
      </w:r>
      <w:proofErr w:type="spellEnd"/>
      <w:r w:rsidR="00EF6273" w:rsidRPr="00445B9C">
        <w:rPr>
          <w:rFonts w:cs="Arial"/>
          <w:szCs w:val="20"/>
        </w:rPr>
        <w:t xml:space="preserve"> poudarkom na izboljšanju </w:t>
      </w:r>
      <w:r w:rsidR="00EC4C76">
        <w:rPr>
          <w:rFonts w:cs="Arial"/>
          <w:szCs w:val="20"/>
        </w:rPr>
        <w:t xml:space="preserve">preglednosti </w:t>
      </w:r>
      <w:r w:rsidR="00EF6273" w:rsidRPr="00445B9C">
        <w:rPr>
          <w:rFonts w:cs="Arial"/>
          <w:szCs w:val="20"/>
        </w:rPr>
        <w:t>objav izdajateljev vrednostnih papirjev in krepitvi digitalne operativne odpornosti investicijskih družb ter operaterjev urejenega trga. Zakon prinaša spremembe, potrebne za prenos Direktive 2022/2464/EU, ki se osredotoča na trajnostno poročanje</w:t>
      </w:r>
      <w:r w:rsidR="00E34076" w:rsidRPr="00445B9C">
        <w:rPr>
          <w:rFonts w:cs="Arial"/>
          <w:szCs w:val="20"/>
        </w:rPr>
        <w:t>,</w:t>
      </w:r>
      <w:r w:rsidR="00EF6273" w:rsidRPr="00445B9C">
        <w:rPr>
          <w:rFonts w:cs="Arial"/>
          <w:szCs w:val="20"/>
        </w:rPr>
        <w:t xml:space="preserve"> in Direktive 2022/2556/EU, ki se nanaša na digitalno operativno odpornost finančnega sektorja. S tem se zagotavlja</w:t>
      </w:r>
      <w:r w:rsidR="00EC4C76">
        <w:rPr>
          <w:rFonts w:cs="Arial"/>
          <w:szCs w:val="20"/>
        </w:rPr>
        <w:t>ta</w:t>
      </w:r>
      <w:r w:rsidR="00EF6273" w:rsidRPr="00445B9C">
        <w:rPr>
          <w:rFonts w:cs="Arial"/>
          <w:szCs w:val="20"/>
        </w:rPr>
        <w:t xml:space="preserve"> večja zaščita investitorjev in krepitev varnosti finančnega sistema pred kibernetskimi grožnjami. Spremembe od izdajateljev vrednostnih papirjev </w:t>
      </w:r>
      <w:r w:rsidR="00E34076" w:rsidRPr="00445B9C">
        <w:rPr>
          <w:rFonts w:cs="Arial"/>
          <w:szCs w:val="20"/>
        </w:rPr>
        <w:t xml:space="preserve">zahtevajo </w:t>
      </w:r>
      <w:r w:rsidR="00EF6273" w:rsidRPr="00445B9C">
        <w:rPr>
          <w:rFonts w:cs="Arial"/>
          <w:szCs w:val="20"/>
        </w:rPr>
        <w:t>bolj podrobne informacije, zlasti v zvezi s trajnostnim poročanjem, in od investicijskih družb ter operaterjev urejenega trga, da izboljšajo svojo sposobnost preprečevanja, odzivanja in obnavljanja po kibernetskih napadih.</w:t>
      </w:r>
    </w:p>
    <w:p w:rsidR="0040250B" w:rsidRPr="00445B9C" w:rsidRDefault="0040250B" w:rsidP="007A35FC">
      <w:pPr>
        <w:autoSpaceDE w:val="0"/>
        <w:autoSpaceDN w:val="0"/>
        <w:adjustRightInd w:val="0"/>
        <w:spacing w:line="240" w:lineRule="auto"/>
        <w:jc w:val="both"/>
        <w:rPr>
          <w:rFonts w:cs="Arial"/>
          <w:b/>
          <w:bCs/>
          <w:szCs w:val="20"/>
        </w:rPr>
      </w:pPr>
    </w:p>
    <w:p w:rsidR="007A35FC" w:rsidRPr="00445B9C" w:rsidRDefault="007A35FC" w:rsidP="007A35FC">
      <w:pPr>
        <w:autoSpaceDE w:val="0"/>
        <w:autoSpaceDN w:val="0"/>
        <w:adjustRightInd w:val="0"/>
        <w:spacing w:line="240" w:lineRule="auto"/>
        <w:jc w:val="both"/>
        <w:rPr>
          <w:rFonts w:cs="Arial"/>
          <w:b/>
          <w:bCs/>
          <w:szCs w:val="20"/>
        </w:rPr>
      </w:pPr>
      <w:r w:rsidRPr="00445B9C">
        <w:rPr>
          <w:rFonts w:cs="Arial"/>
          <w:b/>
          <w:bCs/>
          <w:szCs w:val="20"/>
        </w:rPr>
        <w:t>Republika Avstrija</w:t>
      </w:r>
    </w:p>
    <w:p w:rsidR="007A35FC" w:rsidRPr="00445B9C" w:rsidRDefault="007A35FC" w:rsidP="00286CFD">
      <w:pPr>
        <w:spacing w:line="260" w:lineRule="exact"/>
        <w:jc w:val="both"/>
        <w:rPr>
          <w:rFonts w:cs="Arial"/>
          <w:szCs w:val="20"/>
        </w:rPr>
      </w:pPr>
    </w:p>
    <w:p w:rsidR="00BB252D" w:rsidRPr="00445B9C" w:rsidRDefault="007A35FC" w:rsidP="0084108B">
      <w:pPr>
        <w:spacing w:line="260" w:lineRule="exact"/>
        <w:jc w:val="both"/>
        <w:rPr>
          <w:rFonts w:cs="Arial"/>
          <w:szCs w:val="20"/>
        </w:rPr>
      </w:pPr>
      <w:r w:rsidRPr="00445B9C">
        <w:rPr>
          <w:rFonts w:cs="Arial"/>
          <w:szCs w:val="20"/>
        </w:rPr>
        <w:t xml:space="preserve">Avstrijski zakon </w:t>
      </w:r>
      <w:proofErr w:type="spellStart"/>
      <w:r w:rsidRPr="00445B9C">
        <w:rPr>
          <w:rFonts w:cs="Arial"/>
          <w:i/>
          <w:iCs/>
          <w:szCs w:val="20"/>
        </w:rPr>
        <w:t>Bundesgesetz</w:t>
      </w:r>
      <w:proofErr w:type="spellEnd"/>
      <w:r w:rsidRPr="00445B9C">
        <w:rPr>
          <w:rFonts w:cs="Arial"/>
          <w:i/>
          <w:iCs/>
          <w:szCs w:val="20"/>
        </w:rPr>
        <w:t xml:space="preserve">, mit dem </w:t>
      </w:r>
      <w:proofErr w:type="spellStart"/>
      <w:r w:rsidRPr="00445B9C">
        <w:rPr>
          <w:rFonts w:cs="Arial"/>
          <w:i/>
          <w:iCs/>
          <w:szCs w:val="20"/>
        </w:rPr>
        <w:t>ein</w:t>
      </w:r>
      <w:proofErr w:type="spellEnd"/>
      <w:r w:rsidRPr="00445B9C">
        <w:rPr>
          <w:rFonts w:cs="Arial"/>
          <w:i/>
          <w:iCs/>
          <w:szCs w:val="20"/>
        </w:rPr>
        <w:t xml:space="preserve"> DORA-</w:t>
      </w:r>
      <w:proofErr w:type="spellStart"/>
      <w:r w:rsidRPr="00445B9C">
        <w:rPr>
          <w:rFonts w:cs="Arial"/>
          <w:i/>
          <w:iCs/>
          <w:szCs w:val="20"/>
        </w:rPr>
        <w:t>Vollzugsgesetz</w:t>
      </w:r>
      <w:proofErr w:type="spellEnd"/>
      <w:r w:rsidRPr="00445B9C">
        <w:rPr>
          <w:rFonts w:cs="Arial"/>
          <w:i/>
          <w:iCs/>
          <w:szCs w:val="20"/>
        </w:rPr>
        <w:t xml:space="preserve"> </w:t>
      </w:r>
      <w:proofErr w:type="spellStart"/>
      <w:r w:rsidRPr="00445B9C">
        <w:rPr>
          <w:rFonts w:cs="Arial"/>
          <w:i/>
          <w:iCs/>
          <w:szCs w:val="20"/>
        </w:rPr>
        <w:t>erlassen</w:t>
      </w:r>
      <w:proofErr w:type="spellEnd"/>
      <w:r w:rsidRPr="00445B9C">
        <w:rPr>
          <w:rFonts w:cs="Arial"/>
          <w:i/>
          <w:iCs/>
          <w:szCs w:val="20"/>
        </w:rPr>
        <w:t xml:space="preserve"> </w:t>
      </w:r>
      <w:proofErr w:type="spellStart"/>
      <w:r w:rsidRPr="00445B9C">
        <w:rPr>
          <w:rFonts w:cs="Arial"/>
          <w:i/>
          <w:iCs/>
          <w:szCs w:val="20"/>
        </w:rPr>
        <w:t>und</w:t>
      </w:r>
      <w:proofErr w:type="spellEnd"/>
      <w:r w:rsidRPr="00445B9C">
        <w:rPr>
          <w:rFonts w:cs="Arial"/>
          <w:i/>
          <w:iCs/>
          <w:szCs w:val="20"/>
        </w:rPr>
        <w:t xml:space="preserve"> </w:t>
      </w:r>
      <w:proofErr w:type="spellStart"/>
      <w:r w:rsidRPr="00445B9C">
        <w:rPr>
          <w:rFonts w:cs="Arial"/>
          <w:i/>
          <w:iCs/>
          <w:szCs w:val="20"/>
        </w:rPr>
        <w:t>das</w:t>
      </w:r>
      <w:proofErr w:type="spellEnd"/>
      <w:r w:rsidRPr="00445B9C">
        <w:rPr>
          <w:rFonts w:cs="Arial"/>
          <w:i/>
          <w:iCs/>
          <w:szCs w:val="20"/>
        </w:rPr>
        <w:t xml:space="preserve"> Alternative </w:t>
      </w:r>
      <w:proofErr w:type="spellStart"/>
      <w:r w:rsidRPr="00445B9C">
        <w:rPr>
          <w:rFonts w:cs="Arial"/>
          <w:i/>
          <w:iCs/>
          <w:szCs w:val="20"/>
        </w:rPr>
        <w:t>Investmentfonds</w:t>
      </w:r>
      <w:proofErr w:type="spellEnd"/>
      <w:r w:rsidRPr="00445B9C">
        <w:rPr>
          <w:rFonts w:cs="Arial"/>
          <w:i/>
          <w:iCs/>
          <w:szCs w:val="20"/>
        </w:rPr>
        <w:t xml:space="preserve"> Manager-</w:t>
      </w:r>
      <w:proofErr w:type="spellStart"/>
      <w:r w:rsidRPr="00445B9C">
        <w:rPr>
          <w:rFonts w:cs="Arial"/>
          <w:i/>
          <w:iCs/>
          <w:szCs w:val="20"/>
        </w:rPr>
        <w:t>Gesetz</w:t>
      </w:r>
      <w:proofErr w:type="spellEnd"/>
      <w:r w:rsidRPr="00445B9C">
        <w:rPr>
          <w:rFonts w:cs="Arial"/>
          <w:i/>
          <w:iCs/>
          <w:szCs w:val="20"/>
        </w:rPr>
        <w:t xml:space="preserve">, </w:t>
      </w:r>
      <w:proofErr w:type="spellStart"/>
      <w:r w:rsidRPr="00445B9C">
        <w:rPr>
          <w:rFonts w:cs="Arial"/>
          <w:i/>
          <w:iCs/>
          <w:szCs w:val="20"/>
        </w:rPr>
        <w:t>das</w:t>
      </w:r>
      <w:proofErr w:type="spellEnd"/>
      <w:r w:rsidRPr="00445B9C">
        <w:rPr>
          <w:rFonts w:cs="Arial"/>
          <w:i/>
          <w:iCs/>
          <w:szCs w:val="20"/>
        </w:rPr>
        <w:t xml:space="preserve"> </w:t>
      </w:r>
      <w:proofErr w:type="spellStart"/>
      <w:r w:rsidRPr="00445B9C">
        <w:rPr>
          <w:rFonts w:cs="Arial"/>
          <w:i/>
          <w:iCs/>
          <w:szCs w:val="20"/>
        </w:rPr>
        <w:t>Bankwesengesetz</w:t>
      </w:r>
      <w:proofErr w:type="spellEnd"/>
      <w:r w:rsidRPr="00445B9C">
        <w:rPr>
          <w:rFonts w:cs="Arial"/>
          <w:i/>
          <w:iCs/>
          <w:szCs w:val="20"/>
        </w:rPr>
        <w:t xml:space="preserve">, </w:t>
      </w:r>
      <w:proofErr w:type="spellStart"/>
      <w:r w:rsidRPr="00445B9C">
        <w:rPr>
          <w:rFonts w:cs="Arial"/>
          <w:i/>
          <w:iCs/>
          <w:szCs w:val="20"/>
        </w:rPr>
        <w:t>das</w:t>
      </w:r>
      <w:proofErr w:type="spellEnd"/>
      <w:r w:rsidRPr="00445B9C">
        <w:rPr>
          <w:rFonts w:cs="Arial"/>
          <w:i/>
          <w:iCs/>
          <w:szCs w:val="20"/>
        </w:rPr>
        <w:t xml:space="preserve"> </w:t>
      </w:r>
      <w:proofErr w:type="spellStart"/>
      <w:r w:rsidRPr="00445B9C">
        <w:rPr>
          <w:rFonts w:cs="Arial"/>
          <w:i/>
          <w:iCs/>
          <w:szCs w:val="20"/>
        </w:rPr>
        <w:t>Börsegesetz</w:t>
      </w:r>
      <w:proofErr w:type="spellEnd"/>
      <w:r w:rsidRPr="00445B9C">
        <w:rPr>
          <w:rFonts w:cs="Arial"/>
          <w:i/>
          <w:iCs/>
          <w:szCs w:val="20"/>
        </w:rPr>
        <w:t xml:space="preserve"> 2018, </w:t>
      </w:r>
      <w:proofErr w:type="spellStart"/>
      <w:r w:rsidRPr="00445B9C">
        <w:rPr>
          <w:rFonts w:cs="Arial"/>
          <w:i/>
          <w:iCs/>
          <w:szCs w:val="20"/>
        </w:rPr>
        <w:t>das</w:t>
      </w:r>
      <w:proofErr w:type="spellEnd"/>
      <w:r w:rsidRPr="00445B9C">
        <w:rPr>
          <w:rFonts w:cs="Arial"/>
          <w:i/>
          <w:iCs/>
          <w:szCs w:val="20"/>
        </w:rPr>
        <w:t xml:space="preserve"> </w:t>
      </w:r>
      <w:proofErr w:type="spellStart"/>
      <w:r w:rsidRPr="00445B9C">
        <w:rPr>
          <w:rFonts w:cs="Arial"/>
          <w:i/>
          <w:iCs/>
          <w:szCs w:val="20"/>
        </w:rPr>
        <w:t>Finanzmarktaufsichtsbehördengesetz</w:t>
      </w:r>
      <w:proofErr w:type="spellEnd"/>
      <w:r w:rsidRPr="00445B9C">
        <w:rPr>
          <w:rFonts w:cs="Arial"/>
          <w:i/>
          <w:iCs/>
          <w:szCs w:val="20"/>
        </w:rPr>
        <w:t xml:space="preserve">, </w:t>
      </w:r>
      <w:proofErr w:type="spellStart"/>
      <w:r w:rsidRPr="00445B9C">
        <w:rPr>
          <w:rFonts w:cs="Arial"/>
          <w:i/>
          <w:iCs/>
          <w:szCs w:val="20"/>
        </w:rPr>
        <w:t>das</w:t>
      </w:r>
      <w:proofErr w:type="spellEnd"/>
      <w:r w:rsidRPr="00445B9C">
        <w:rPr>
          <w:rFonts w:cs="Arial"/>
          <w:i/>
          <w:iCs/>
          <w:szCs w:val="20"/>
        </w:rPr>
        <w:t xml:space="preserve"> </w:t>
      </w:r>
      <w:proofErr w:type="spellStart"/>
      <w:r w:rsidRPr="00445B9C">
        <w:rPr>
          <w:rFonts w:cs="Arial"/>
          <w:i/>
          <w:iCs/>
          <w:szCs w:val="20"/>
        </w:rPr>
        <w:t>Investmentfondsgesetz</w:t>
      </w:r>
      <w:proofErr w:type="spellEnd"/>
      <w:r w:rsidRPr="00445B9C">
        <w:rPr>
          <w:rFonts w:cs="Arial"/>
          <w:i/>
          <w:iCs/>
          <w:szCs w:val="20"/>
        </w:rPr>
        <w:t xml:space="preserve"> 2011, </w:t>
      </w:r>
      <w:proofErr w:type="spellStart"/>
      <w:r w:rsidRPr="00445B9C">
        <w:rPr>
          <w:rFonts w:cs="Arial"/>
          <w:i/>
          <w:iCs/>
          <w:szCs w:val="20"/>
        </w:rPr>
        <w:t>das</w:t>
      </w:r>
      <w:proofErr w:type="spellEnd"/>
      <w:r w:rsidRPr="00445B9C">
        <w:rPr>
          <w:rFonts w:cs="Arial"/>
          <w:i/>
          <w:iCs/>
          <w:szCs w:val="20"/>
        </w:rPr>
        <w:t xml:space="preserve"> </w:t>
      </w:r>
      <w:proofErr w:type="spellStart"/>
      <w:r w:rsidRPr="00445B9C">
        <w:rPr>
          <w:rFonts w:cs="Arial"/>
          <w:i/>
          <w:iCs/>
          <w:szCs w:val="20"/>
        </w:rPr>
        <w:t>Pensionskassengesetz</w:t>
      </w:r>
      <w:proofErr w:type="spellEnd"/>
      <w:r w:rsidRPr="00445B9C">
        <w:rPr>
          <w:rFonts w:cs="Arial"/>
          <w:i/>
          <w:iCs/>
          <w:szCs w:val="20"/>
        </w:rPr>
        <w:t xml:space="preserve">, </w:t>
      </w:r>
      <w:proofErr w:type="spellStart"/>
      <w:r w:rsidRPr="00445B9C">
        <w:rPr>
          <w:rFonts w:cs="Arial"/>
          <w:i/>
          <w:iCs/>
          <w:szCs w:val="20"/>
        </w:rPr>
        <w:t>das</w:t>
      </w:r>
      <w:proofErr w:type="spellEnd"/>
      <w:r w:rsidRPr="00445B9C">
        <w:rPr>
          <w:rFonts w:cs="Arial"/>
          <w:i/>
          <w:iCs/>
          <w:szCs w:val="20"/>
        </w:rPr>
        <w:t xml:space="preserve"> </w:t>
      </w:r>
      <w:proofErr w:type="spellStart"/>
      <w:r w:rsidRPr="00445B9C">
        <w:rPr>
          <w:rFonts w:cs="Arial"/>
          <w:i/>
          <w:iCs/>
          <w:szCs w:val="20"/>
        </w:rPr>
        <w:t>Sanierungs</w:t>
      </w:r>
      <w:proofErr w:type="spellEnd"/>
      <w:r w:rsidRPr="00445B9C">
        <w:rPr>
          <w:rFonts w:cs="Arial"/>
          <w:i/>
          <w:iCs/>
          <w:szCs w:val="20"/>
        </w:rPr>
        <w:t xml:space="preserve">- </w:t>
      </w:r>
      <w:proofErr w:type="spellStart"/>
      <w:r w:rsidRPr="00445B9C">
        <w:rPr>
          <w:rFonts w:cs="Arial"/>
          <w:i/>
          <w:iCs/>
          <w:szCs w:val="20"/>
        </w:rPr>
        <w:t>und</w:t>
      </w:r>
      <w:proofErr w:type="spellEnd"/>
      <w:r w:rsidRPr="00445B9C">
        <w:rPr>
          <w:rFonts w:cs="Arial"/>
          <w:i/>
          <w:iCs/>
          <w:szCs w:val="20"/>
        </w:rPr>
        <w:t xml:space="preserve"> </w:t>
      </w:r>
      <w:proofErr w:type="spellStart"/>
      <w:r w:rsidRPr="00445B9C">
        <w:rPr>
          <w:rFonts w:cs="Arial"/>
          <w:i/>
          <w:iCs/>
          <w:szCs w:val="20"/>
        </w:rPr>
        <w:t>Abwicklungsgesetz</w:t>
      </w:r>
      <w:proofErr w:type="spellEnd"/>
      <w:r w:rsidRPr="00445B9C">
        <w:rPr>
          <w:rFonts w:cs="Arial"/>
          <w:i/>
          <w:iCs/>
          <w:szCs w:val="20"/>
        </w:rPr>
        <w:t xml:space="preserve">, </w:t>
      </w:r>
      <w:proofErr w:type="spellStart"/>
      <w:r w:rsidRPr="00445B9C">
        <w:rPr>
          <w:rFonts w:cs="Arial"/>
          <w:i/>
          <w:iCs/>
          <w:szCs w:val="20"/>
        </w:rPr>
        <w:t>das</w:t>
      </w:r>
      <w:proofErr w:type="spellEnd"/>
      <w:r w:rsidRPr="00445B9C">
        <w:rPr>
          <w:rFonts w:cs="Arial"/>
          <w:i/>
          <w:iCs/>
          <w:szCs w:val="20"/>
        </w:rPr>
        <w:t xml:space="preserve"> </w:t>
      </w:r>
      <w:proofErr w:type="spellStart"/>
      <w:r w:rsidRPr="00445B9C">
        <w:rPr>
          <w:rFonts w:cs="Arial"/>
          <w:i/>
          <w:iCs/>
          <w:szCs w:val="20"/>
        </w:rPr>
        <w:t>Versicherungsaufsichtsgesetz</w:t>
      </w:r>
      <w:proofErr w:type="spellEnd"/>
      <w:r w:rsidRPr="00445B9C">
        <w:rPr>
          <w:rFonts w:cs="Arial"/>
          <w:i/>
          <w:iCs/>
          <w:szCs w:val="20"/>
        </w:rPr>
        <w:t xml:space="preserve"> 2016, </w:t>
      </w:r>
      <w:proofErr w:type="spellStart"/>
      <w:r w:rsidRPr="00445B9C">
        <w:rPr>
          <w:rFonts w:cs="Arial"/>
          <w:i/>
          <w:iCs/>
          <w:szCs w:val="20"/>
        </w:rPr>
        <w:t>das</w:t>
      </w:r>
      <w:proofErr w:type="spellEnd"/>
      <w:r w:rsidRPr="00445B9C">
        <w:rPr>
          <w:rFonts w:cs="Arial"/>
          <w:i/>
          <w:iCs/>
          <w:szCs w:val="20"/>
        </w:rPr>
        <w:t xml:space="preserve"> </w:t>
      </w:r>
      <w:proofErr w:type="spellStart"/>
      <w:r w:rsidRPr="00445B9C">
        <w:rPr>
          <w:rFonts w:cs="Arial"/>
          <w:i/>
          <w:iCs/>
          <w:szCs w:val="20"/>
        </w:rPr>
        <w:t>Wertpapieraufsichtsgesetz</w:t>
      </w:r>
      <w:proofErr w:type="spellEnd"/>
      <w:r w:rsidRPr="00445B9C">
        <w:rPr>
          <w:rFonts w:cs="Arial"/>
          <w:i/>
          <w:iCs/>
          <w:szCs w:val="20"/>
        </w:rPr>
        <w:t xml:space="preserve"> 2018 </w:t>
      </w:r>
      <w:proofErr w:type="spellStart"/>
      <w:r w:rsidRPr="00445B9C">
        <w:rPr>
          <w:rFonts w:cs="Arial"/>
          <w:i/>
          <w:iCs/>
          <w:szCs w:val="20"/>
        </w:rPr>
        <w:t>und</w:t>
      </w:r>
      <w:proofErr w:type="spellEnd"/>
      <w:r w:rsidRPr="00445B9C">
        <w:rPr>
          <w:rFonts w:cs="Arial"/>
          <w:i/>
          <w:iCs/>
          <w:szCs w:val="20"/>
        </w:rPr>
        <w:t xml:space="preserve"> </w:t>
      </w:r>
      <w:proofErr w:type="spellStart"/>
      <w:r w:rsidRPr="00445B9C">
        <w:rPr>
          <w:rFonts w:cs="Arial"/>
          <w:i/>
          <w:iCs/>
          <w:szCs w:val="20"/>
        </w:rPr>
        <w:t>das</w:t>
      </w:r>
      <w:proofErr w:type="spellEnd"/>
      <w:r w:rsidRPr="00445B9C">
        <w:rPr>
          <w:rFonts w:cs="Arial"/>
          <w:i/>
          <w:iCs/>
          <w:szCs w:val="20"/>
        </w:rPr>
        <w:t xml:space="preserve"> </w:t>
      </w:r>
      <w:proofErr w:type="spellStart"/>
      <w:r w:rsidRPr="00445B9C">
        <w:rPr>
          <w:rFonts w:cs="Arial"/>
          <w:i/>
          <w:iCs/>
          <w:szCs w:val="20"/>
        </w:rPr>
        <w:t>Zahlungsdienstegesetz</w:t>
      </w:r>
      <w:proofErr w:type="spellEnd"/>
      <w:r w:rsidRPr="00445B9C">
        <w:rPr>
          <w:rFonts w:cs="Arial"/>
          <w:i/>
          <w:iCs/>
          <w:szCs w:val="20"/>
        </w:rPr>
        <w:t xml:space="preserve"> 2018 </w:t>
      </w:r>
      <w:proofErr w:type="spellStart"/>
      <w:r w:rsidRPr="00445B9C">
        <w:rPr>
          <w:rFonts w:cs="Arial"/>
          <w:i/>
          <w:iCs/>
          <w:szCs w:val="20"/>
        </w:rPr>
        <w:t>geändert</w:t>
      </w:r>
      <w:proofErr w:type="spellEnd"/>
      <w:r w:rsidRPr="00445B9C">
        <w:rPr>
          <w:rFonts w:cs="Arial"/>
          <w:i/>
          <w:iCs/>
          <w:szCs w:val="20"/>
        </w:rPr>
        <w:t xml:space="preserve"> </w:t>
      </w:r>
      <w:proofErr w:type="spellStart"/>
      <w:r w:rsidRPr="00445B9C">
        <w:rPr>
          <w:rFonts w:cs="Arial"/>
          <w:i/>
          <w:iCs/>
          <w:szCs w:val="20"/>
        </w:rPr>
        <w:t>werden</w:t>
      </w:r>
      <w:proofErr w:type="spellEnd"/>
      <w:r w:rsidRPr="00445B9C">
        <w:rPr>
          <w:rFonts w:cs="Arial"/>
          <w:i/>
          <w:iCs/>
          <w:szCs w:val="20"/>
        </w:rPr>
        <w:t xml:space="preserve"> (DORA-</w:t>
      </w:r>
      <w:proofErr w:type="spellStart"/>
      <w:r w:rsidRPr="00445B9C">
        <w:rPr>
          <w:rFonts w:cs="Arial"/>
          <w:i/>
          <w:iCs/>
          <w:szCs w:val="20"/>
        </w:rPr>
        <w:t>Vollzugsgesetz</w:t>
      </w:r>
      <w:proofErr w:type="spellEnd"/>
      <w:r w:rsidRPr="00445B9C">
        <w:rPr>
          <w:rFonts w:cs="Arial"/>
          <w:i/>
          <w:iCs/>
          <w:szCs w:val="20"/>
        </w:rPr>
        <w:t>)</w:t>
      </w:r>
      <w:r w:rsidRPr="00445B9C">
        <w:rPr>
          <w:rFonts w:cs="Arial"/>
          <w:szCs w:val="20"/>
        </w:rPr>
        <w:t xml:space="preserve"> je bil sprejet z namenom </w:t>
      </w:r>
      <w:r w:rsidR="00EC4C76">
        <w:rPr>
          <w:rFonts w:cs="Arial"/>
          <w:szCs w:val="20"/>
        </w:rPr>
        <w:t>prenosa</w:t>
      </w:r>
      <w:r w:rsidR="00EC4C76" w:rsidRPr="00445B9C">
        <w:rPr>
          <w:rFonts w:cs="Arial"/>
          <w:szCs w:val="20"/>
        </w:rPr>
        <w:t xml:space="preserve"> </w:t>
      </w:r>
      <w:r w:rsidRPr="00445B9C">
        <w:rPr>
          <w:rFonts w:cs="Arial"/>
          <w:szCs w:val="20"/>
        </w:rPr>
        <w:t xml:space="preserve">Uredbe 2022/2554/EU in Direktive 2022/2556/EU v avstrijski pravni red. Z </w:t>
      </w:r>
      <w:r w:rsidR="00EC4C76">
        <w:rPr>
          <w:rFonts w:cs="Arial"/>
          <w:szCs w:val="20"/>
        </w:rPr>
        <w:t>njegovim sprejetjem</w:t>
      </w:r>
      <w:r w:rsidR="00EC4C76" w:rsidRPr="00445B9C">
        <w:rPr>
          <w:rFonts w:cs="Arial"/>
          <w:szCs w:val="20"/>
        </w:rPr>
        <w:t xml:space="preserve"> </w:t>
      </w:r>
      <w:r w:rsidRPr="00445B9C">
        <w:rPr>
          <w:rFonts w:cs="Arial"/>
          <w:szCs w:val="20"/>
        </w:rPr>
        <w:t xml:space="preserve">se je spremenilo več </w:t>
      </w:r>
      <w:r w:rsidR="00E34076" w:rsidRPr="00445B9C">
        <w:rPr>
          <w:rFonts w:cs="Arial"/>
          <w:szCs w:val="20"/>
        </w:rPr>
        <w:t xml:space="preserve">zakonov </w:t>
      </w:r>
      <w:r w:rsidRPr="00445B9C">
        <w:rPr>
          <w:rFonts w:cs="Arial"/>
          <w:szCs w:val="20"/>
        </w:rPr>
        <w:t xml:space="preserve">s področja finančnega sistema, med drugim Zakona o upravljavcih alternativnih investicijskih skladov, Bančnega zakona, Zakona o borzi 2018, Zakona o finančnem nadzoru, Zakona o investicijskih skladih 2011, Zakona o pokojninskih skladih, Zakona o sanaciji in reševanju, Zakona o nadzoru zavarovalnic 2016, Zakona o nadzoru vrednostnih papirjev 2018 in Zakona o plačilnih storitvah 2018. </w:t>
      </w:r>
      <w:r w:rsidR="00EC4C76">
        <w:rPr>
          <w:rFonts w:cs="Arial"/>
          <w:szCs w:val="20"/>
        </w:rPr>
        <w:t>Tako</w:t>
      </w:r>
      <w:r w:rsidRPr="00445B9C">
        <w:rPr>
          <w:rFonts w:cs="Arial"/>
          <w:szCs w:val="20"/>
        </w:rPr>
        <w:t xml:space="preserve"> se je zagotovilo, da avstrijski finančni sektor izpolnjuje standarde digitalne operativne odpornosti, določene v svežnju DORA, ki med drugim vključujejo vzpostavitev robustnih IKT</w:t>
      </w:r>
      <w:r w:rsidR="00EC4C76">
        <w:rPr>
          <w:rFonts w:cs="Arial"/>
          <w:szCs w:val="20"/>
        </w:rPr>
        <w:t>-</w:t>
      </w:r>
      <w:r w:rsidRPr="00445B9C">
        <w:rPr>
          <w:rFonts w:cs="Arial"/>
          <w:szCs w:val="20"/>
        </w:rPr>
        <w:t>sistemov, redno testiranje njihove odpornosti, obveznost poročanja o incidentih in nadzor nad tretjimi ponudniki IKT</w:t>
      </w:r>
      <w:r w:rsidR="00EC4C76">
        <w:rPr>
          <w:rFonts w:cs="Arial"/>
          <w:szCs w:val="20"/>
        </w:rPr>
        <w:t>-</w:t>
      </w:r>
      <w:r w:rsidRPr="00445B9C">
        <w:rPr>
          <w:rFonts w:cs="Arial"/>
          <w:szCs w:val="20"/>
        </w:rPr>
        <w:t>storitev.</w:t>
      </w:r>
    </w:p>
    <w:p w:rsidR="00856482" w:rsidRPr="00445B9C" w:rsidRDefault="00856482" w:rsidP="00ED36BF">
      <w:pPr>
        <w:autoSpaceDE w:val="0"/>
        <w:autoSpaceDN w:val="0"/>
        <w:adjustRightInd w:val="0"/>
        <w:spacing w:line="240" w:lineRule="auto"/>
        <w:jc w:val="both"/>
        <w:rPr>
          <w:rFonts w:cs="Arial"/>
          <w:b/>
          <w:bCs/>
          <w:szCs w:val="20"/>
        </w:rPr>
      </w:pPr>
    </w:p>
    <w:p w:rsidR="00ED36BF" w:rsidRPr="00445B9C" w:rsidRDefault="00ED36BF" w:rsidP="00ED36BF">
      <w:pPr>
        <w:autoSpaceDE w:val="0"/>
        <w:autoSpaceDN w:val="0"/>
        <w:adjustRightInd w:val="0"/>
        <w:spacing w:line="240" w:lineRule="auto"/>
        <w:jc w:val="both"/>
        <w:rPr>
          <w:rFonts w:cs="Arial"/>
          <w:b/>
          <w:bCs/>
          <w:szCs w:val="20"/>
        </w:rPr>
      </w:pPr>
      <w:r w:rsidRPr="00445B9C">
        <w:rPr>
          <w:rFonts w:cs="Arial"/>
          <w:b/>
          <w:bCs/>
          <w:szCs w:val="20"/>
        </w:rPr>
        <w:t>Prilagojenost predlagane ureditve pravu Evropske unije</w:t>
      </w:r>
    </w:p>
    <w:p w:rsidR="00EE2284" w:rsidRPr="00445B9C" w:rsidRDefault="00EE2284" w:rsidP="00ED36BF">
      <w:pPr>
        <w:autoSpaceDE w:val="0"/>
        <w:autoSpaceDN w:val="0"/>
        <w:adjustRightInd w:val="0"/>
        <w:spacing w:line="240" w:lineRule="auto"/>
        <w:jc w:val="both"/>
        <w:rPr>
          <w:rFonts w:cs="Arial"/>
          <w:b/>
          <w:bCs/>
          <w:szCs w:val="20"/>
        </w:rPr>
      </w:pPr>
    </w:p>
    <w:p w:rsidR="008B1E1A" w:rsidRPr="00445B9C" w:rsidRDefault="00ED36BF" w:rsidP="00ED36BF">
      <w:pPr>
        <w:spacing w:line="260" w:lineRule="exact"/>
        <w:jc w:val="both"/>
        <w:rPr>
          <w:rFonts w:cs="Arial"/>
          <w:szCs w:val="20"/>
        </w:rPr>
      </w:pPr>
      <w:r w:rsidRPr="00445B9C">
        <w:rPr>
          <w:rFonts w:cs="Arial"/>
          <w:szCs w:val="20"/>
        </w:rPr>
        <w:t xml:space="preserve">Predlog zakona je prilagojen pravu EU, saj gre za predpis, </w:t>
      </w:r>
      <w:r w:rsidR="00670B84" w:rsidRPr="00445B9C">
        <w:rPr>
          <w:rFonts w:cs="Arial"/>
          <w:szCs w:val="20"/>
        </w:rPr>
        <w:t xml:space="preserve">s katerim se v slovenski pravni red prenašajo </w:t>
      </w:r>
      <w:r w:rsidR="00A92A64" w:rsidRPr="00445B9C">
        <w:rPr>
          <w:rFonts w:cs="Arial"/>
          <w:szCs w:val="20"/>
        </w:rPr>
        <w:t>določbe Direktive 2022/2556/EU v delu, ki sprem</w:t>
      </w:r>
      <w:r w:rsidR="00E34076" w:rsidRPr="00445B9C">
        <w:rPr>
          <w:rFonts w:cs="Arial"/>
          <w:szCs w:val="20"/>
        </w:rPr>
        <w:t>inja</w:t>
      </w:r>
      <w:r w:rsidR="00A92A64" w:rsidRPr="00445B9C">
        <w:rPr>
          <w:rFonts w:cs="Arial"/>
          <w:szCs w:val="20"/>
        </w:rPr>
        <w:t xml:space="preserve"> Direktivo 2014/65/EU, določbe Direktive 2024/790/EU, ki sprem</w:t>
      </w:r>
      <w:r w:rsidR="00E34076" w:rsidRPr="00445B9C">
        <w:rPr>
          <w:rFonts w:cs="Arial"/>
          <w:szCs w:val="20"/>
        </w:rPr>
        <w:t>inja</w:t>
      </w:r>
      <w:r w:rsidR="00A92A64" w:rsidRPr="00445B9C">
        <w:rPr>
          <w:rFonts w:cs="Arial"/>
          <w:szCs w:val="20"/>
        </w:rPr>
        <w:t xml:space="preserve"> Direktivo 2014/65/EU</w:t>
      </w:r>
      <w:r w:rsidR="00E34076" w:rsidRPr="00445B9C">
        <w:rPr>
          <w:rFonts w:cs="Arial"/>
          <w:szCs w:val="20"/>
        </w:rPr>
        <w:t>,</w:t>
      </w:r>
      <w:r w:rsidR="00A92A64" w:rsidRPr="00445B9C">
        <w:rPr>
          <w:rFonts w:cs="Arial"/>
          <w:szCs w:val="20"/>
        </w:rPr>
        <w:t xml:space="preserve"> in določbe </w:t>
      </w:r>
      <w:r w:rsidR="00E34076" w:rsidRPr="00445B9C">
        <w:rPr>
          <w:rFonts w:cs="Arial"/>
          <w:szCs w:val="20"/>
        </w:rPr>
        <w:t>D</w:t>
      </w:r>
      <w:r w:rsidR="00A92A64" w:rsidRPr="00445B9C">
        <w:rPr>
          <w:rFonts w:cs="Arial"/>
          <w:szCs w:val="20"/>
        </w:rPr>
        <w:t>irektive 2023/2864/EU v delu, ki sprem</w:t>
      </w:r>
      <w:r w:rsidR="00E34076" w:rsidRPr="00445B9C">
        <w:rPr>
          <w:rFonts w:cs="Arial"/>
          <w:szCs w:val="20"/>
        </w:rPr>
        <w:t>inja</w:t>
      </w:r>
      <w:r w:rsidR="00A92A64" w:rsidRPr="00445B9C">
        <w:rPr>
          <w:rFonts w:cs="Arial"/>
          <w:szCs w:val="20"/>
        </w:rPr>
        <w:t xml:space="preserve"> Direktivo 2004/109/ES</w:t>
      </w:r>
      <w:r w:rsidR="00EE2284" w:rsidRPr="00445B9C">
        <w:rPr>
          <w:rFonts w:cs="Arial"/>
          <w:szCs w:val="20"/>
        </w:rPr>
        <w:t xml:space="preserve"> in Direktivo 2014/65/EU</w:t>
      </w:r>
      <w:r w:rsidR="00A92A64" w:rsidRPr="00445B9C">
        <w:rPr>
          <w:rFonts w:cs="Arial"/>
          <w:szCs w:val="20"/>
        </w:rPr>
        <w:t>.</w:t>
      </w:r>
    </w:p>
    <w:p w:rsidR="00ED36BF" w:rsidRPr="00445B9C" w:rsidRDefault="00670B84" w:rsidP="00ED36BF">
      <w:pPr>
        <w:spacing w:line="260" w:lineRule="exact"/>
        <w:jc w:val="both"/>
        <w:rPr>
          <w:rFonts w:cs="Arial"/>
          <w:szCs w:val="20"/>
        </w:rPr>
      </w:pPr>
      <w:r w:rsidRPr="00445B9C">
        <w:rPr>
          <w:rFonts w:cs="Arial"/>
          <w:szCs w:val="20"/>
        </w:rPr>
        <w:t xml:space="preserve"> </w:t>
      </w:r>
    </w:p>
    <w:p w:rsidR="00ED36BF" w:rsidRPr="00445B9C" w:rsidRDefault="00ED36BF" w:rsidP="00ED36BF">
      <w:pPr>
        <w:numPr>
          <w:ilvl w:val="0"/>
          <w:numId w:val="12"/>
        </w:numPr>
        <w:spacing w:line="260" w:lineRule="exact"/>
        <w:rPr>
          <w:rFonts w:cs="Arial"/>
          <w:b/>
          <w:szCs w:val="20"/>
        </w:rPr>
      </w:pPr>
      <w:r w:rsidRPr="00445B9C">
        <w:rPr>
          <w:rFonts w:cs="Arial"/>
          <w:b/>
          <w:szCs w:val="20"/>
        </w:rPr>
        <w:t>PRESOJA POSLEDIC, KI JIH BO IMEL SPREJEM ZAKONA</w:t>
      </w:r>
    </w:p>
    <w:p w:rsidR="00ED36BF" w:rsidRPr="00445B9C" w:rsidRDefault="00ED36BF" w:rsidP="00ED36BF">
      <w:pPr>
        <w:spacing w:line="260" w:lineRule="exact"/>
        <w:jc w:val="both"/>
        <w:rPr>
          <w:rFonts w:cs="Arial"/>
          <w:szCs w:val="20"/>
        </w:rPr>
      </w:pPr>
    </w:p>
    <w:p w:rsidR="00ED36BF" w:rsidRPr="00445B9C" w:rsidRDefault="00ED36BF" w:rsidP="00ED36BF">
      <w:pPr>
        <w:spacing w:line="260" w:lineRule="exact"/>
        <w:jc w:val="both"/>
        <w:rPr>
          <w:rFonts w:cs="Arial"/>
          <w:szCs w:val="20"/>
        </w:rPr>
      </w:pPr>
      <w:r w:rsidRPr="00445B9C">
        <w:rPr>
          <w:rFonts w:cs="Arial"/>
          <w:b/>
          <w:szCs w:val="20"/>
        </w:rPr>
        <w:t>6.1 Presoja administrativnih posledic</w:t>
      </w:r>
    </w:p>
    <w:p w:rsidR="00ED36BF" w:rsidRPr="00445B9C" w:rsidRDefault="00ED36BF" w:rsidP="00ED36BF">
      <w:pPr>
        <w:spacing w:line="260" w:lineRule="exact"/>
        <w:jc w:val="both"/>
        <w:rPr>
          <w:rFonts w:cs="Arial"/>
          <w:b/>
          <w:szCs w:val="20"/>
        </w:rPr>
      </w:pPr>
    </w:p>
    <w:p w:rsidR="00ED36BF" w:rsidRPr="00445B9C" w:rsidRDefault="00ED36BF" w:rsidP="00ED36BF">
      <w:pPr>
        <w:spacing w:line="260" w:lineRule="exact"/>
        <w:jc w:val="both"/>
        <w:rPr>
          <w:rFonts w:cs="Arial"/>
          <w:b/>
          <w:szCs w:val="20"/>
        </w:rPr>
      </w:pPr>
      <w:r w:rsidRPr="00445B9C">
        <w:rPr>
          <w:rFonts w:cs="Arial"/>
          <w:b/>
          <w:szCs w:val="20"/>
        </w:rPr>
        <w:t>a) v postopkih oziroma poslovanju javne uprave ali pravosodnih organov:</w:t>
      </w:r>
    </w:p>
    <w:p w:rsidR="00ED36BF" w:rsidRPr="00445B9C" w:rsidRDefault="00ED36BF" w:rsidP="00ED36BF">
      <w:pPr>
        <w:spacing w:line="260" w:lineRule="exact"/>
        <w:jc w:val="both"/>
        <w:rPr>
          <w:rFonts w:cs="Arial"/>
          <w:szCs w:val="20"/>
        </w:rPr>
      </w:pPr>
      <w:r w:rsidRPr="00445B9C">
        <w:rPr>
          <w:rFonts w:cs="Arial"/>
          <w:szCs w:val="20"/>
        </w:rPr>
        <w:t>Ni posledic.</w:t>
      </w:r>
    </w:p>
    <w:p w:rsidR="00ED36BF" w:rsidRPr="00445B9C" w:rsidRDefault="00ED36BF" w:rsidP="00ED36BF">
      <w:pPr>
        <w:spacing w:line="260" w:lineRule="exact"/>
        <w:jc w:val="both"/>
        <w:rPr>
          <w:rFonts w:cs="Arial"/>
          <w:b/>
          <w:szCs w:val="20"/>
        </w:rPr>
      </w:pPr>
    </w:p>
    <w:p w:rsidR="00ED36BF" w:rsidRPr="00445B9C" w:rsidRDefault="00ED36BF" w:rsidP="00ED36BF">
      <w:pPr>
        <w:spacing w:line="260" w:lineRule="exact"/>
        <w:jc w:val="both"/>
        <w:rPr>
          <w:rFonts w:cs="Arial"/>
          <w:szCs w:val="20"/>
        </w:rPr>
      </w:pPr>
      <w:r w:rsidRPr="00445B9C">
        <w:rPr>
          <w:rFonts w:cs="Arial"/>
          <w:b/>
          <w:szCs w:val="20"/>
        </w:rPr>
        <w:t>b) pri obveznostih strank do javne uprave ali pravosodnih organov:</w:t>
      </w:r>
    </w:p>
    <w:p w:rsidR="00ED36BF" w:rsidRPr="00445B9C" w:rsidRDefault="00ED36BF" w:rsidP="00ED36BF">
      <w:pPr>
        <w:spacing w:line="260" w:lineRule="exact"/>
        <w:jc w:val="both"/>
        <w:rPr>
          <w:rFonts w:cs="Arial"/>
          <w:szCs w:val="20"/>
        </w:rPr>
      </w:pPr>
      <w:r w:rsidRPr="00445B9C">
        <w:rPr>
          <w:rFonts w:cs="Arial"/>
          <w:szCs w:val="20"/>
        </w:rPr>
        <w:t>Ni posledic.</w:t>
      </w:r>
    </w:p>
    <w:p w:rsidR="00ED36BF" w:rsidRPr="00445B9C" w:rsidRDefault="00ED36BF" w:rsidP="00ED36BF">
      <w:pPr>
        <w:spacing w:line="260" w:lineRule="exact"/>
        <w:jc w:val="both"/>
        <w:rPr>
          <w:rFonts w:cs="Arial"/>
          <w:b/>
          <w:szCs w:val="20"/>
        </w:rPr>
      </w:pPr>
    </w:p>
    <w:p w:rsidR="00ED36BF" w:rsidRPr="00445B9C" w:rsidRDefault="00ED36BF" w:rsidP="00ED36BF">
      <w:pPr>
        <w:spacing w:line="260" w:lineRule="exact"/>
        <w:jc w:val="both"/>
        <w:rPr>
          <w:rFonts w:cs="Arial"/>
          <w:b/>
          <w:szCs w:val="20"/>
        </w:rPr>
      </w:pPr>
      <w:r w:rsidRPr="00445B9C">
        <w:rPr>
          <w:rFonts w:cs="Arial"/>
          <w:b/>
          <w:szCs w:val="20"/>
        </w:rPr>
        <w:t>6.2. Presoja posledic za okolje, vključno s prostorskimi in varstvenimi vidiki</w:t>
      </w:r>
    </w:p>
    <w:p w:rsidR="00ED36BF" w:rsidRPr="00445B9C" w:rsidRDefault="00ED36BF" w:rsidP="00ED36BF">
      <w:pPr>
        <w:spacing w:line="260" w:lineRule="exact"/>
        <w:jc w:val="both"/>
        <w:rPr>
          <w:rFonts w:cs="Arial"/>
          <w:szCs w:val="20"/>
        </w:rPr>
      </w:pPr>
      <w:r w:rsidRPr="00445B9C">
        <w:rPr>
          <w:rFonts w:cs="Arial"/>
          <w:szCs w:val="20"/>
        </w:rPr>
        <w:t>Predlog zakona nima posledic za okolje.</w:t>
      </w:r>
    </w:p>
    <w:p w:rsidR="00ED36BF" w:rsidRPr="00445B9C" w:rsidRDefault="00ED36BF" w:rsidP="00ED36BF">
      <w:pPr>
        <w:spacing w:line="260" w:lineRule="exact"/>
        <w:jc w:val="both"/>
        <w:rPr>
          <w:rFonts w:cs="Arial"/>
          <w:b/>
          <w:szCs w:val="20"/>
        </w:rPr>
      </w:pPr>
    </w:p>
    <w:p w:rsidR="00ED36BF" w:rsidRPr="00445B9C" w:rsidRDefault="00ED36BF" w:rsidP="00ED36BF">
      <w:pPr>
        <w:spacing w:line="260" w:lineRule="exact"/>
        <w:jc w:val="both"/>
        <w:rPr>
          <w:rFonts w:cs="Arial"/>
          <w:b/>
          <w:szCs w:val="20"/>
        </w:rPr>
      </w:pPr>
      <w:r w:rsidRPr="00445B9C">
        <w:rPr>
          <w:rFonts w:cs="Arial"/>
          <w:b/>
          <w:szCs w:val="20"/>
        </w:rPr>
        <w:t>6.3. Presoja posledic za gospodarstvo</w:t>
      </w:r>
    </w:p>
    <w:p w:rsidR="00012F1E" w:rsidRDefault="00012F1E" w:rsidP="00012F1E"/>
    <w:p w:rsidR="00012F1E" w:rsidRPr="00301999" w:rsidRDefault="00012F1E" w:rsidP="00012F1E">
      <w:r w:rsidRPr="00301999">
        <w:t xml:space="preserve">Ker sta DORA in ESAP sestavljena iz neposredno veljavnih uredb EU ter direktiv, ki zahtevajo prenos v nacionalno zakonodajo, se presoja nanaša na celotni regulativni okvir obeh paketov. </w:t>
      </w:r>
    </w:p>
    <w:p w:rsidR="00012F1E" w:rsidRDefault="00012F1E" w:rsidP="00012F1E">
      <w:r w:rsidRPr="00301999">
        <w:t>Na podlagi podatkov, posredovanih s strani naslovnikov zakona so stroški implementacije naslednji:</w:t>
      </w:r>
    </w:p>
    <w:p w:rsidR="00012F1E" w:rsidRDefault="00012F1E" w:rsidP="00012F1E"/>
    <w:tbl>
      <w:tblPr>
        <w:tblStyle w:val="Tabelamrea"/>
        <w:tblW w:w="0" w:type="auto"/>
        <w:tblInd w:w="944" w:type="dxa"/>
        <w:tblLook w:val="04A0" w:firstRow="1" w:lastRow="0" w:firstColumn="1" w:lastColumn="0" w:noHBand="0" w:noVBand="1"/>
      </w:tblPr>
      <w:tblGrid>
        <w:gridCol w:w="1036"/>
        <w:gridCol w:w="2988"/>
        <w:gridCol w:w="3153"/>
      </w:tblGrid>
      <w:tr w:rsidR="00012F1E" w:rsidTr="00F249E8">
        <w:trPr>
          <w:trHeight w:val="277"/>
        </w:trPr>
        <w:tc>
          <w:tcPr>
            <w:tcW w:w="1036" w:type="dxa"/>
          </w:tcPr>
          <w:p w:rsidR="00012F1E" w:rsidRPr="00301999" w:rsidRDefault="00012F1E" w:rsidP="00012F1E">
            <w:pPr>
              <w:keepNext/>
              <w:keepLines/>
              <w:widowControl w:val="0"/>
              <w:rPr>
                <w:b/>
                <w:bCs/>
              </w:rPr>
            </w:pPr>
            <w:r w:rsidRPr="00301999">
              <w:rPr>
                <w:b/>
                <w:bCs/>
              </w:rPr>
              <w:t>Predpis</w:t>
            </w:r>
          </w:p>
        </w:tc>
        <w:tc>
          <w:tcPr>
            <w:tcW w:w="2988" w:type="dxa"/>
          </w:tcPr>
          <w:p w:rsidR="00012F1E" w:rsidRPr="00301999" w:rsidRDefault="00012F1E" w:rsidP="00012F1E">
            <w:pPr>
              <w:keepNext/>
              <w:keepLines/>
              <w:widowControl w:val="0"/>
              <w:rPr>
                <w:b/>
                <w:bCs/>
              </w:rPr>
            </w:pPr>
            <w:r w:rsidRPr="00301999">
              <w:rPr>
                <w:b/>
                <w:bCs/>
              </w:rPr>
              <w:t>Enkratni strošek</w:t>
            </w:r>
          </w:p>
        </w:tc>
        <w:tc>
          <w:tcPr>
            <w:tcW w:w="3153" w:type="dxa"/>
          </w:tcPr>
          <w:p w:rsidR="00012F1E" w:rsidRPr="00301999" w:rsidRDefault="00012F1E" w:rsidP="00012F1E">
            <w:pPr>
              <w:keepNext/>
              <w:keepLines/>
              <w:widowControl w:val="0"/>
              <w:rPr>
                <w:b/>
                <w:bCs/>
              </w:rPr>
            </w:pPr>
            <w:r w:rsidRPr="00301999">
              <w:rPr>
                <w:b/>
                <w:bCs/>
              </w:rPr>
              <w:t>Letni strošek</w:t>
            </w:r>
          </w:p>
        </w:tc>
      </w:tr>
      <w:tr w:rsidR="00012F1E" w:rsidTr="00F249E8">
        <w:trPr>
          <w:trHeight w:val="1406"/>
        </w:trPr>
        <w:tc>
          <w:tcPr>
            <w:tcW w:w="1036" w:type="dxa"/>
          </w:tcPr>
          <w:p w:rsidR="00012F1E" w:rsidRPr="00301999" w:rsidRDefault="00012F1E" w:rsidP="00012F1E">
            <w:pPr>
              <w:keepNext/>
              <w:keepLines/>
              <w:widowControl w:val="0"/>
              <w:rPr>
                <w:b/>
                <w:bCs/>
              </w:rPr>
            </w:pPr>
            <w:r w:rsidRPr="00301999">
              <w:rPr>
                <w:b/>
                <w:bCs/>
              </w:rPr>
              <w:t>DORA</w:t>
            </w:r>
          </w:p>
        </w:tc>
        <w:tc>
          <w:tcPr>
            <w:tcW w:w="2988" w:type="dxa"/>
          </w:tcPr>
          <w:p w:rsidR="00012F1E" w:rsidRDefault="00012F1E" w:rsidP="00012F1E">
            <w:pPr>
              <w:keepNext/>
              <w:keepLines/>
              <w:widowControl w:val="0"/>
            </w:pPr>
            <w:r w:rsidRPr="00301999">
              <w:t>približno 80.000 EUR, z razponom od 51.500 EUR (najnižja ocena) do 150.000 EUR (najvišja ocena)</w:t>
            </w:r>
          </w:p>
        </w:tc>
        <w:tc>
          <w:tcPr>
            <w:tcW w:w="3153" w:type="dxa"/>
          </w:tcPr>
          <w:p w:rsidR="00012F1E" w:rsidRDefault="00012F1E" w:rsidP="00012F1E">
            <w:pPr>
              <w:keepNext/>
              <w:keepLines/>
              <w:widowControl w:val="0"/>
            </w:pPr>
            <w:r w:rsidRPr="00301999">
              <w:t>približno 30.000 EUR, z razponom od 11.000 EUR (najnižja ocena) do 75.000 EUR (najvišja ocena)</w:t>
            </w:r>
          </w:p>
        </w:tc>
      </w:tr>
      <w:tr w:rsidR="00012F1E" w:rsidTr="00F249E8">
        <w:trPr>
          <w:trHeight w:val="286"/>
        </w:trPr>
        <w:tc>
          <w:tcPr>
            <w:tcW w:w="1036" w:type="dxa"/>
          </w:tcPr>
          <w:p w:rsidR="00012F1E" w:rsidRPr="00301999" w:rsidRDefault="00012F1E" w:rsidP="00012F1E">
            <w:pPr>
              <w:keepNext/>
              <w:keepLines/>
              <w:widowControl w:val="0"/>
              <w:rPr>
                <w:b/>
                <w:bCs/>
              </w:rPr>
            </w:pPr>
            <w:r w:rsidRPr="00301999">
              <w:rPr>
                <w:b/>
                <w:bCs/>
              </w:rPr>
              <w:t>ESAP</w:t>
            </w:r>
          </w:p>
        </w:tc>
        <w:tc>
          <w:tcPr>
            <w:tcW w:w="2988" w:type="dxa"/>
          </w:tcPr>
          <w:p w:rsidR="00012F1E" w:rsidRPr="00301999" w:rsidRDefault="00012F1E" w:rsidP="00012F1E">
            <w:pPr>
              <w:keepNext/>
              <w:keepLines/>
              <w:widowControl w:val="0"/>
            </w:pPr>
            <w:r w:rsidRPr="00301999">
              <w:t>približno 16.000 EUR</w:t>
            </w:r>
          </w:p>
        </w:tc>
        <w:tc>
          <w:tcPr>
            <w:tcW w:w="3153" w:type="dxa"/>
          </w:tcPr>
          <w:p w:rsidR="00012F1E" w:rsidRPr="00301999" w:rsidRDefault="00012F1E" w:rsidP="00012F1E">
            <w:pPr>
              <w:keepNext/>
              <w:keepLines/>
              <w:widowControl w:val="0"/>
            </w:pPr>
            <w:r w:rsidRPr="00301999">
              <w:t>približno 6.000 EUR</w:t>
            </w:r>
          </w:p>
        </w:tc>
      </w:tr>
    </w:tbl>
    <w:p w:rsidR="00012F1E" w:rsidRPr="00301999" w:rsidRDefault="00012F1E" w:rsidP="00012F1E">
      <w:pPr>
        <w:spacing w:after="160" w:line="259" w:lineRule="auto"/>
      </w:pPr>
    </w:p>
    <w:p w:rsidR="00012F1E" w:rsidRPr="00301999" w:rsidRDefault="00012F1E" w:rsidP="00012F1E">
      <w:pPr>
        <w:spacing w:after="160" w:line="259" w:lineRule="auto"/>
      </w:pPr>
      <w:r w:rsidRPr="00301999">
        <w:t>Ti stroški zajemajo prilagoditve sistemov, usposabljanje osebja, vzpostavitev novih postopkov in druge administrativne obveznosti, ki izhajajo iz uredb in direktiv obeh paketov.</w:t>
      </w:r>
    </w:p>
    <w:p w:rsidR="00012F1E" w:rsidRPr="00CC6BAC" w:rsidRDefault="00012F1E" w:rsidP="00012F1E">
      <w:pPr>
        <w:rPr>
          <w:b/>
          <w:bCs/>
        </w:rPr>
      </w:pPr>
      <w:r w:rsidRPr="00CC6BAC">
        <w:rPr>
          <w:b/>
          <w:bCs/>
        </w:rPr>
        <w:t>U</w:t>
      </w:r>
      <w:r w:rsidRPr="00301999">
        <w:rPr>
          <w:b/>
          <w:bCs/>
        </w:rPr>
        <w:t>činki na gospodarstvo</w:t>
      </w:r>
    </w:p>
    <w:tbl>
      <w:tblPr>
        <w:tblStyle w:val="Tabelamrea"/>
        <w:tblW w:w="0" w:type="auto"/>
        <w:tblLook w:val="04A0" w:firstRow="1" w:lastRow="0" w:firstColumn="1" w:lastColumn="0" w:noHBand="0" w:noVBand="1"/>
      </w:tblPr>
      <w:tblGrid>
        <w:gridCol w:w="970"/>
        <w:gridCol w:w="3446"/>
        <w:gridCol w:w="4072"/>
      </w:tblGrid>
      <w:tr w:rsidR="00012F1E" w:rsidTr="00F249E8">
        <w:tc>
          <w:tcPr>
            <w:tcW w:w="988" w:type="dxa"/>
          </w:tcPr>
          <w:p w:rsidR="00012F1E" w:rsidRDefault="00012F1E" w:rsidP="00F249E8"/>
        </w:tc>
        <w:tc>
          <w:tcPr>
            <w:tcW w:w="3685" w:type="dxa"/>
          </w:tcPr>
          <w:p w:rsidR="00012F1E" w:rsidRPr="00CC6BAC" w:rsidRDefault="00012F1E" w:rsidP="00F249E8">
            <w:pPr>
              <w:rPr>
                <w:b/>
                <w:bCs/>
              </w:rPr>
            </w:pPr>
            <w:r w:rsidRPr="00CC6BAC">
              <w:rPr>
                <w:b/>
                <w:bCs/>
              </w:rPr>
              <w:t xml:space="preserve">Negativni učinki </w:t>
            </w:r>
          </w:p>
        </w:tc>
        <w:tc>
          <w:tcPr>
            <w:tcW w:w="4389" w:type="dxa"/>
          </w:tcPr>
          <w:p w:rsidR="00012F1E" w:rsidRPr="00CC6BAC" w:rsidRDefault="00012F1E" w:rsidP="00F249E8">
            <w:pPr>
              <w:rPr>
                <w:b/>
                <w:bCs/>
              </w:rPr>
            </w:pPr>
            <w:r w:rsidRPr="00CC6BAC">
              <w:rPr>
                <w:b/>
                <w:bCs/>
              </w:rPr>
              <w:t>Pozitivni učinki</w:t>
            </w:r>
          </w:p>
        </w:tc>
      </w:tr>
      <w:tr w:rsidR="00012F1E" w:rsidTr="00F249E8">
        <w:tc>
          <w:tcPr>
            <w:tcW w:w="988" w:type="dxa"/>
          </w:tcPr>
          <w:p w:rsidR="00012F1E" w:rsidRPr="00CC6BAC" w:rsidRDefault="00012F1E" w:rsidP="00F249E8">
            <w:pPr>
              <w:rPr>
                <w:b/>
                <w:bCs/>
              </w:rPr>
            </w:pPr>
            <w:r w:rsidRPr="00CC6BAC">
              <w:rPr>
                <w:b/>
                <w:bCs/>
              </w:rPr>
              <w:t>DORA</w:t>
            </w:r>
          </w:p>
        </w:tc>
        <w:tc>
          <w:tcPr>
            <w:tcW w:w="3685" w:type="dxa"/>
          </w:tcPr>
          <w:p w:rsidR="00012F1E" w:rsidRDefault="00012F1E" w:rsidP="00F249E8">
            <w:r>
              <w:t xml:space="preserve">Stroški </w:t>
            </w:r>
            <w:r w:rsidRPr="00301999">
              <w:t xml:space="preserve">bodo zlasti obremenili </w:t>
            </w:r>
            <w:r>
              <w:t>subjekte</w:t>
            </w:r>
            <w:r w:rsidRPr="00301999">
              <w:t xml:space="preserve">, ki morajo izpolnjevati zahteve glede digitalne operativne odpornosti, kot so obvladovanje tveganj, testiranje odpornosti in poročanje o incidentih. Za MSP, ki delujejo v finančnem sektorju, lahko ti stroški predstavljajo </w:t>
            </w:r>
            <w:r w:rsidR="004D16D6">
              <w:t>pomemben</w:t>
            </w:r>
            <w:r w:rsidR="004D16D6" w:rsidRPr="00301999">
              <w:t xml:space="preserve"> </w:t>
            </w:r>
            <w:r w:rsidRPr="00301999">
              <w:t>delež njihovih prihodkov, kar bi lahko vplivalo na njihovo konkurenčnost</w:t>
            </w:r>
          </w:p>
        </w:tc>
        <w:tc>
          <w:tcPr>
            <w:tcW w:w="4389" w:type="dxa"/>
          </w:tcPr>
          <w:p w:rsidR="00012F1E" w:rsidRDefault="00012F1E" w:rsidP="00F249E8">
            <w:r w:rsidRPr="00301999">
              <w:t>Uvedba strogih pravil za obvladovanje kibernetskih tveganj bo povečala odpornost finančnih institucij, vključno z MSP, na kibernetske napade in operativne motnje. To bo zmanjšalo tveganje za finančne izgube zaradi kibernetskih incidentov, ki po ocenah Evropske komisije letno povzročijo milijarde evrov škode</w:t>
            </w:r>
            <w:r w:rsidR="00ED459C">
              <w:t>.</w:t>
            </w:r>
          </w:p>
          <w:p w:rsidR="00012F1E" w:rsidRDefault="00012F1E" w:rsidP="00F249E8">
            <w:r w:rsidRPr="00301999">
              <w:t>Investicije v kibernetsko varnost, čeprav sprva povezane z višjimi stroški, bodo zmanjšale stroške, povezane z morebitnimi kibernetskimi incidenti, in povečale zaupanje vlagateljev in strank.</w:t>
            </w:r>
          </w:p>
        </w:tc>
      </w:tr>
      <w:tr w:rsidR="00012F1E" w:rsidTr="00F249E8">
        <w:tc>
          <w:tcPr>
            <w:tcW w:w="988" w:type="dxa"/>
          </w:tcPr>
          <w:p w:rsidR="00012F1E" w:rsidRPr="00CC6BAC" w:rsidRDefault="00012F1E" w:rsidP="00F249E8">
            <w:pPr>
              <w:rPr>
                <w:b/>
                <w:bCs/>
              </w:rPr>
            </w:pPr>
            <w:r w:rsidRPr="00CC6BAC">
              <w:rPr>
                <w:b/>
                <w:bCs/>
              </w:rPr>
              <w:t>ESAP</w:t>
            </w:r>
          </w:p>
        </w:tc>
        <w:tc>
          <w:tcPr>
            <w:tcW w:w="3685" w:type="dxa"/>
          </w:tcPr>
          <w:p w:rsidR="00012F1E" w:rsidRDefault="00012F1E" w:rsidP="00F249E8">
            <w:r>
              <w:t>Stroški bodo prizadeli</w:t>
            </w:r>
            <w:r w:rsidRPr="00301999">
              <w:t xml:space="preserve"> subjekte, ki morajo zagotavljati podatke za enotno dostopno točko, zlasti tiste, ki še nimajo vzpostavljenih sistemov za poročanje. Za MSP, ki imajo omejene vire, lahko to poveča administrativno breme</w:t>
            </w:r>
          </w:p>
        </w:tc>
        <w:tc>
          <w:tcPr>
            <w:tcW w:w="4389" w:type="dxa"/>
          </w:tcPr>
          <w:p w:rsidR="00012F1E" w:rsidRDefault="00012F1E" w:rsidP="00F249E8">
            <w:r w:rsidRPr="00301999">
              <w:t>Vzpostavitev enotne dostopne točke za finančne in nefinančne informacije bo olajšala dostop do podatkov za vlagatelje, analitike in regulatorje. MSP bodo imela koristi od povečane vidnosti na trgu, saj bodo njihovi podatki lažje dostopni potencialnim vlagateljem, kar lahko izboljša dostop do financiranja.</w:t>
            </w:r>
          </w:p>
          <w:p w:rsidR="00012F1E" w:rsidRDefault="00012F1E" w:rsidP="00F249E8">
            <w:r w:rsidRPr="00301999">
              <w:t>Standardizacija poročanja bo dolgoročno zmanjšala administrativne stroške, saj bodo MSP lahko uporabljala enotne formate, kar bo zmanjšalo potrebo po prilagajanju različnim nacionalnim zahtevam.</w:t>
            </w:r>
          </w:p>
        </w:tc>
      </w:tr>
      <w:tr w:rsidR="00012F1E" w:rsidTr="00F249E8">
        <w:tc>
          <w:tcPr>
            <w:tcW w:w="988" w:type="dxa"/>
          </w:tcPr>
          <w:p w:rsidR="00012F1E" w:rsidRPr="00CC6BAC" w:rsidRDefault="00012F1E" w:rsidP="00F249E8">
            <w:pPr>
              <w:rPr>
                <w:b/>
                <w:bCs/>
              </w:rPr>
            </w:pPr>
            <w:r>
              <w:rPr>
                <w:b/>
                <w:bCs/>
              </w:rPr>
              <w:t>Ocena</w:t>
            </w:r>
          </w:p>
        </w:tc>
        <w:tc>
          <w:tcPr>
            <w:tcW w:w="3685" w:type="dxa"/>
          </w:tcPr>
          <w:p w:rsidR="00012F1E" w:rsidRDefault="00012F1E" w:rsidP="00F249E8">
            <w:pPr>
              <w:spacing w:after="160" w:line="259" w:lineRule="auto"/>
            </w:pPr>
            <w:r w:rsidRPr="00301999">
              <w:t xml:space="preserve">Višji stroški implementacije bi lahko zmanjšali razpoložljiva sredstva MSP za naložbe v </w:t>
            </w:r>
            <w:r>
              <w:t>raziskave</w:t>
            </w:r>
            <w:r w:rsidRPr="00301999">
              <w:t xml:space="preserve"> ali širitev poslovanja, kar bi lahko negativno vplivalo na njihovo </w:t>
            </w:r>
            <w:r w:rsidRPr="00301999">
              <w:lastRenderedPageBreak/>
              <w:t>konkurenčnost, zlasti v primerjavi z večjimi podjetji, ki imajo večje zmogljivosti za absorbiranje stroškov.</w:t>
            </w:r>
          </w:p>
        </w:tc>
        <w:tc>
          <w:tcPr>
            <w:tcW w:w="4389" w:type="dxa"/>
          </w:tcPr>
          <w:p w:rsidR="00012F1E" w:rsidRDefault="00012F1E" w:rsidP="00F249E8">
            <w:r w:rsidRPr="00301999">
              <w:lastRenderedPageBreak/>
              <w:t xml:space="preserve">Oba regulativna okvira bosta prispevala k večji stabilnosti finančnih trgov in zaupanju deležnikov. MSP, ki delujejo v finančnem sektorju ali potrebujejo dostop do kapitala, bodo imela koristi od bolj predvidljivega in </w:t>
            </w:r>
            <w:r w:rsidRPr="00301999">
              <w:lastRenderedPageBreak/>
              <w:t>varnega poslovnega okolja, kar lahko spodbuja naložbe in gospodarsko rast.</w:t>
            </w:r>
          </w:p>
          <w:p w:rsidR="00012F1E" w:rsidRPr="00301999" w:rsidRDefault="00012F1E" w:rsidP="00F249E8"/>
        </w:tc>
      </w:tr>
    </w:tbl>
    <w:p w:rsidR="00ED36BF" w:rsidRPr="00445B9C" w:rsidRDefault="00ED36BF" w:rsidP="00ED36BF">
      <w:pPr>
        <w:spacing w:line="260" w:lineRule="exact"/>
        <w:jc w:val="both"/>
        <w:rPr>
          <w:rFonts w:cs="Arial"/>
          <w:szCs w:val="20"/>
        </w:rPr>
      </w:pPr>
    </w:p>
    <w:p w:rsidR="00ED36BF" w:rsidRPr="00445B9C" w:rsidRDefault="00ED36BF" w:rsidP="00ED36BF">
      <w:pPr>
        <w:spacing w:line="260" w:lineRule="exact"/>
        <w:jc w:val="both"/>
        <w:rPr>
          <w:rFonts w:cs="Arial"/>
          <w:b/>
          <w:szCs w:val="20"/>
        </w:rPr>
      </w:pPr>
    </w:p>
    <w:p w:rsidR="00ED36BF" w:rsidRPr="00445B9C" w:rsidRDefault="00ED36BF" w:rsidP="00ED36BF">
      <w:pPr>
        <w:spacing w:line="260" w:lineRule="exact"/>
        <w:jc w:val="both"/>
        <w:rPr>
          <w:rFonts w:cs="Arial"/>
          <w:b/>
          <w:szCs w:val="20"/>
        </w:rPr>
      </w:pPr>
      <w:r w:rsidRPr="00445B9C">
        <w:rPr>
          <w:rFonts w:cs="Arial"/>
          <w:b/>
          <w:szCs w:val="20"/>
        </w:rPr>
        <w:t>6.4. Presoja posledic za socialno področje</w:t>
      </w:r>
    </w:p>
    <w:p w:rsidR="00ED36BF" w:rsidRPr="00445B9C" w:rsidRDefault="00ED36BF" w:rsidP="00ED36BF">
      <w:pPr>
        <w:spacing w:line="260" w:lineRule="exact"/>
        <w:jc w:val="both"/>
        <w:rPr>
          <w:rFonts w:cs="Arial"/>
          <w:szCs w:val="20"/>
        </w:rPr>
      </w:pPr>
      <w:r w:rsidRPr="00445B9C">
        <w:rPr>
          <w:rFonts w:cs="Arial"/>
          <w:szCs w:val="20"/>
        </w:rPr>
        <w:t>Predlog zakona nima posledic na socialnem področju.</w:t>
      </w:r>
    </w:p>
    <w:p w:rsidR="00ED36BF" w:rsidRPr="00445B9C" w:rsidRDefault="00ED36BF" w:rsidP="00ED36BF">
      <w:pPr>
        <w:spacing w:line="260" w:lineRule="exact"/>
        <w:jc w:val="both"/>
        <w:rPr>
          <w:rFonts w:cs="Arial"/>
          <w:b/>
          <w:szCs w:val="20"/>
        </w:rPr>
      </w:pPr>
    </w:p>
    <w:p w:rsidR="00ED36BF" w:rsidRPr="00445B9C" w:rsidRDefault="00ED36BF" w:rsidP="00ED36BF">
      <w:pPr>
        <w:spacing w:line="260" w:lineRule="exact"/>
        <w:jc w:val="both"/>
        <w:rPr>
          <w:rFonts w:cs="Arial"/>
          <w:b/>
          <w:szCs w:val="20"/>
        </w:rPr>
      </w:pPr>
      <w:r w:rsidRPr="00445B9C">
        <w:rPr>
          <w:rFonts w:cs="Arial"/>
          <w:b/>
          <w:szCs w:val="20"/>
        </w:rPr>
        <w:t>6.5. Presoja posledic za dokumente razvojnega načrtovanja</w:t>
      </w:r>
    </w:p>
    <w:p w:rsidR="00ED36BF" w:rsidRPr="00445B9C" w:rsidRDefault="00ED36BF" w:rsidP="00ED36BF">
      <w:pPr>
        <w:spacing w:line="260" w:lineRule="exact"/>
        <w:jc w:val="both"/>
        <w:rPr>
          <w:rFonts w:cs="Arial"/>
          <w:szCs w:val="20"/>
        </w:rPr>
      </w:pPr>
      <w:r w:rsidRPr="00445B9C">
        <w:rPr>
          <w:rFonts w:cs="Arial"/>
          <w:szCs w:val="20"/>
        </w:rPr>
        <w:t>Predlog zakona nima posledic za dokumente razvojnega načrtovanja.</w:t>
      </w:r>
    </w:p>
    <w:p w:rsidR="00ED36BF" w:rsidRPr="00445B9C" w:rsidRDefault="00ED36BF" w:rsidP="00ED36BF">
      <w:pPr>
        <w:spacing w:line="260" w:lineRule="exact"/>
        <w:jc w:val="both"/>
        <w:rPr>
          <w:rFonts w:cs="Arial"/>
          <w:b/>
          <w:szCs w:val="20"/>
        </w:rPr>
      </w:pPr>
    </w:p>
    <w:p w:rsidR="00ED36BF" w:rsidRPr="00445B9C" w:rsidRDefault="00ED36BF" w:rsidP="00ED36BF">
      <w:pPr>
        <w:spacing w:line="260" w:lineRule="exact"/>
        <w:jc w:val="both"/>
        <w:rPr>
          <w:rFonts w:cs="Arial"/>
          <w:b/>
          <w:szCs w:val="20"/>
        </w:rPr>
      </w:pPr>
      <w:r w:rsidRPr="00445B9C">
        <w:rPr>
          <w:rFonts w:cs="Arial"/>
          <w:b/>
          <w:szCs w:val="20"/>
        </w:rPr>
        <w:t>6.6. Presoja posledic za druga področja</w:t>
      </w:r>
    </w:p>
    <w:p w:rsidR="00ED36BF" w:rsidRPr="00445B9C" w:rsidRDefault="00ED36BF" w:rsidP="00ED36BF">
      <w:pPr>
        <w:spacing w:line="260" w:lineRule="exact"/>
        <w:jc w:val="both"/>
        <w:rPr>
          <w:rFonts w:cs="Arial"/>
          <w:szCs w:val="20"/>
        </w:rPr>
      </w:pPr>
      <w:r w:rsidRPr="00445B9C">
        <w:rPr>
          <w:rFonts w:cs="Arial"/>
          <w:szCs w:val="20"/>
        </w:rPr>
        <w:t>Predlog zakona nima posledic za druga področja.</w:t>
      </w:r>
    </w:p>
    <w:p w:rsidR="00ED36BF" w:rsidRPr="00445B9C" w:rsidRDefault="00ED36BF" w:rsidP="00ED36BF">
      <w:pPr>
        <w:spacing w:line="260" w:lineRule="exact"/>
        <w:jc w:val="both"/>
        <w:rPr>
          <w:rFonts w:cs="Arial"/>
          <w:b/>
          <w:szCs w:val="20"/>
        </w:rPr>
      </w:pPr>
    </w:p>
    <w:p w:rsidR="00ED36BF" w:rsidRPr="00445B9C" w:rsidRDefault="00ED36BF" w:rsidP="00ED36BF">
      <w:pPr>
        <w:spacing w:line="260" w:lineRule="exact"/>
        <w:jc w:val="both"/>
        <w:rPr>
          <w:rFonts w:cs="Arial"/>
          <w:b/>
          <w:szCs w:val="20"/>
        </w:rPr>
      </w:pPr>
      <w:r w:rsidRPr="00445B9C">
        <w:rPr>
          <w:rFonts w:cs="Arial"/>
          <w:b/>
          <w:szCs w:val="20"/>
        </w:rPr>
        <w:t>6.7. Izvajanje sprejetega predpisa</w:t>
      </w:r>
    </w:p>
    <w:p w:rsidR="00ED36BF" w:rsidRPr="00445B9C" w:rsidRDefault="00ED36BF" w:rsidP="00ED36BF">
      <w:pPr>
        <w:spacing w:line="260" w:lineRule="exact"/>
        <w:jc w:val="both"/>
        <w:rPr>
          <w:rFonts w:cs="Arial"/>
          <w:szCs w:val="20"/>
        </w:rPr>
      </w:pPr>
      <w:r w:rsidRPr="00445B9C">
        <w:rPr>
          <w:rFonts w:cs="Arial"/>
          <w:szCs w:val="20"/>
        </w:rPr>
        <w:t xml:space="preserve">Izvajanje predpisa </w:t>
      </w:r>
      <w:r w:rsidR="008E4CA9">
        <w:rPr>
          <w:rFonts w:cs="Arial"/>
          <w:szCs w:val="20"/>
        </w:rPr>
        <w:t xml:space="preserve">se </w:t>
      </w:r>
      <w:r w:rsidRPr="00445B9C">
        <w:rPr>
          <w:rFonts w:cs="Arial"/>
          <w:szCs w:val="20"/>
        </w:rPr>
        <w:t>bo spremlja</w:t>
      </w:r>
      <w:r w:rsidR="008E4CA9">
        <w:rPr>
          <w:rFonts w:cs="Arial"/>
          <w:szCs w:val="20"/>
        </w:rPr>
        <w:t>l</w:t>
      </w:r>
      <w:r w:rsidRPr="00445B9C">
        <w:rPr>
          <w:rFonts w:cs="Arial"/>
          <w:szCs w:val="20"/>
        </w:rPr>
        <w:t>o v sodelovanju z Agencijo za trg vrednostnih papirjev</w:t>
      </w:r>
      <w:r w:rsidR="0079628A" w:rsidRPr="00445B9C">
        <w:rPr>
          <w:rFonts w:cs="Arial"/>
          <w:szCs w:val="20"/>
        </w:rPr>
        <w:t>.</w:t>
      </w:r>
    </w:p>
    <w:p w:rsidR="00ED36BF" w:rsidRPr="00445B9C" w:rsidRDefault="00ED36BF" w:rsidP="00ED36BF">
      <w:pPr>
        <w:spacing w:line="260" w:lineRule="exact"/>
        <w:jc w:val="both"/>
        <w:rPr>
          <w:rFonts w:cs="Arial"/>
          <w:b/>
          <w:szCs w:val="20"/>
        </w:rPr>
      </w:pPr>
    </w:p>
    <w:p w:rsidR="00ED36BF" w:rsidRPr="00445B9C" w:rsidRDefault="00ED36BF" w:rsidP="00ED36BF">
      <w:pPr>
        <w:spacing w:line="260" w:lineRule="exact"/>
        <w:jc w:val="both"/>
        <w:rPr>
          <w:rFonts w:cs="Arial"/>
          <w:b/>
          <w:szCs w:val="20"/>
        </w:rPr>
      </w:pPr>
      <w:r w:rsidRPr="00445B9C">
        <w:rPr>
          <w:rFonts w:cs="Arial"/>
          <w:b/>
          <w:szCs w:val="20"/>
        </w:rPr>
        <w:t>6.8. Druge pomembne okoliščine v zvezi z vprašanji, ki jih ureja predlog zakona</w:t>
      </w:r>
    </w:p>
    <w:p w:rsidR="00ED36BF" w:rsidRPr="00445B9C" w:rsidRDefault="00ED36BF" w:rsidP="00ED36BF">
      <w:pPr>
        <w:spacing w:line="260" w:lineRule="exact"/>
        <w:rPr>
          <w:rFonts w:cs="Arial"/>
          <w:szCs w:val="20"/>
        </w:rPr>
      </w:pPr>
      <w:r w:rsidRPr="00445B9C">
        <w:rPr>
          <w:rFonts w:cs="Arial"/>
          <w:szCs w:val="20"/>
        </w:rPr>
        <w:t>V zvezi s predlogom zakona ni drugih pomembnih okoliščin.</w:t>
      </w:r>
    </w:p>
    <w:p w:rsidR="00ED36BF" w:rsidRPr="00445B9C" w:rsidRDefault="00ED36BF" w:rsidP="00ED36BF">
      <w:pPr>
        <w:spacing w:line="260" w:lineRule="exact"/>
        <w:rPr>
          <w:rFonts w:cs="Arial"/>
          <w:szCs w:val="20"/>
        </w:rPr>
      </w:pPr>
    </w:p>
    <w:p w:rsidR="00ED36BF" w:rsidRPr="00445B9C" w:rsidRDefault="00ED36BF" w:rsidP="00ED36BF">
      <w:pPr>
        <w:numPr>
          <w:ilvl w:val="0"/>
          <w:numId w:val="12"/>
        </w:numPr>
        <w:spacing w:line="260" w:lineRule="exact"/>
        <w:rPr>
          <w:rFonts w:cs="Arial"/>
          <w:b/>
          <w:szCs w:val="20"/>
        </w:rPr>
      </w:pPr>
      <w:r w:rsidRPr="00445B9C">
        <w:rPr>
          <w:rFonts w:cs="Arial"/>
          <w:b/>
          <w:szCs w:val="20"/>
        </w:rPr>
        <w:t>PRIKAZ SODELOVANJA JAVNOSTI PRI PRIPRAVI PREDLOGA ZAKONA</w:t>
      </w:r>
    </w:p>
    <w:p w:rsidR="00ED36BF" w:rsidRPr="00445B9C" w:rsidRDefault="00ED36BF" w:rsidP="00ED36BF">
      <w:pPr>
        <w:spacing w:line="260" w:lineRule="exact"/>
        <w:rPr>
          <w:rFonts w:cs="Arial"/>
          <w:b/>
          <w:szCs w:val="20"/>
        </w:rPr>
      </w:pPr>
    </w:p>
    <w:p w:rsidR="00B9333E" w:rsidRPr="00445B9C" w:rsidRDefault="00B9333E" w:rsidP="00B9333E">
      <w:pPr>
        <w:spacing w:line="260" w:lineRule="exact"/>
        <w:jc w:val="both"/>
        <w:rPr>
          <w:rFonts w:cs="Arial"/>
          <w:szCs w:val="20"/>
        </w:rPr>
      </w:pPr>
      <w:r w:rsidRPr="00445B9C">
        <w:rPr>
          <w:rFonts w:cs="Arial"/>
          <w:szCs w:val="20"/>
        </w:rPr>
        <w:t xml:space="preserve">Javna objava predloga Zakona o spremembah in dopolnitvah Zakona o trgu finančnih instrumentov je potekala od 1.  do 15. </w:t>
      </w:r>
      <w:r w:rsidR="007A5DE3">
        <w:rPr>
          <w:rFonts w:cs="Arial"/>
          <w:szCs w:val="20"/>
        </w:rPr>
        <w:t>aprila</w:t>
      </w:r>
      <w:r w:rsidRPr="00445B9C">
        <w:rPr>
          <w:rFonts w:cs="Arial"/>
          <w:szCs w:val="20"/>
        </w:rPr>
        <w:t xml:space="preserve"> 2025. Gradivo je bilo objavljeno na spletnem portalu </w:t>
      </w:r>
      <w:proofErr w:type="spellStart"/>
      <w:r w:rsidRPr="00445B9C">
        <w:rPr>
          <w:rFonts w:cs="Arial"/>
          <w:szCs w:val="20"/>
        </w:rPr>
        <w:t>eDemokracija</w:t>
      </w:r>
      <w:proofErr w:type="spellEnd"/>
      <w:r w:rsidRPr="00445B9C">
        <w:rPr>
          <w:rFonts w:cs="Arial"/>
          <w:szCs w:val="20"/>
        </w:rPr>
        <w:t xml:space="preserve">: </w:t>
      </w:r>
      <w:r w:rsidR="0005085F" w:rsidRPr="0005085F">
        <w:rPr>
          <w:rFonts w:cs="Arial"/>
          <w:szCs w:val="20"/>
        </w:rPr>
        <w:t>https://e-uprava.gov.si/si/drzava-in-druzba/e-demokracija/predlogi-predpisov/predlog-predpisa.html?id=17687&amp;lang=si</w:t>
      </w:r>
      <w:r w:rsidR="007A5DE3">
        <w:rPr>
          <w:rFonts w:cs="Arial"/>
          <w:szCs w:val="20"/>
        </w:rPr>
        <w:t xml:space="preserve">. </w:t>
      </w:r>
    </w:p>
    <w:p w:rsidR="00B9333E" w:rsidRPr="00445B9C" w:rsidRDefault="00B9333E" w:rsidP="00B9333E">
      <w:pPr>
        <w:spacing w:line="260" w:lineRule="exact"/>
        <w:jc w:val="both"/>
        <w:rPr>
          <w:rFonts w:cs="Arial"/>
          <w:szCs w:val="20"/>
        </w:rPr>
      </w:pPr>
    </w:p>
    <w:p w:rsidR="00BD7ABF" w:rsidRPr="00445B9C" w:rsidRDefault="00B9333E" w:rsidP="00BD7ABF">
      <w:pPr>
        <w:pStyle w:val="Brezrazmikov"/>
        <w:jc w:val="both"/>
        <w:rPr>
          <w:rFonts w:cs="Arial"/>
          <w:iCs/>
          <w:szCs w:val="20"/>
          <w:lang w:val="sl-SI"/>
        </w:rPr>
      </w:pPr>
      <w:r w:rsidRPr="00EB5E5A">
        <w:rPr>
          <w:rFonts w:cs="Arial"/>
          <w:szCs w:val="20"/>
          <w:lang w:val="pt-BR"/>
        </w:rPr>
        <w:t>Bistveni predlogi in pripombe ter način njihovega upoštevanja:</w:t>
      </w:r>
    </w:p>
    <w:p w:rsidR="0083719D" w:rsidRPr="00445B9C" w:rsidRDefault="0083719D" w:rsidP="00BD7ABF">
      <w:pPr>
        <w:pStyle w:val="Brezrazmikov"/>
        <w:jc w:val="both"/>
        <w:rPr>
          <w:rFonts w:cs="Arial"/>
          <w:iCs/>
          <w:szCs w:val="20"/>
          <w:lang w:val="sl-SI"/>
        </w:rPr>
      </w:pPr>
    </w:p>
    <w:p w:rsidR="00BD7ABF" w:rsidRPr="00445B9C" w:rsidRDefault="00BD7ABF" w:rsidP="00BD7ABF">
      <w:pPr>
        <w:pStyle w:val="Brezrazmikov"/>
        <w:jc w:val="both"/>
        <w:rPr>
          <w:rFonts w:cs="Arial"/>
          <w:iCs/>
          <w:szCs w:val="20"/>
          <w:lang w:val="sl-SI"/>
        </w:rPr>
      </w:pPr>
      <w:r w:rsidRPr="00445B9C">
        <w:rPr>
          <w:rFonts w:cs="Arial"/>
          <w:iCs/>
          <w:szCs w:val="20"/>
          <w:lang w:val="sl-SI"/>
        </w:rPr>
        <w:t>Banka Slovenije je predlagala:</w:t>
      </w:r>
    </w:p>
    <w:p w:rsidR="00BD7ABF" w:rsidRPr="00445B9C" w:rsidRDefault="00BD7ABF" w:rsidP="00BD7ABF">
      <w:pPr>
        <w:pStyle w:val="Brezrazmikov"/>
        <w:numPr>
          <w:ilvl w:val="0"/>
          <w:numId w:val="31"/>
        </w:numPr>
        <w:jc w:val="both"/>
        <w:rPr>
          <w:rFonts w:cs="Arial"/>
          <w:iCs/>
          <w:szCs w:val="20"/>
          <w:lang w:val="sl-SI"/>
        </w:rPr>
      </w:pPr>
      <w:r w:rsidRPr="00445B9C">
        <w:rPr>
          <w:rFonts w:cs="Arial"/>
          <w:iCs/>
          <w:szCs w:val="20"/>
          <w:lang w:val="sl-SI"/>
        </w:rPr>
        <w:t xml:space="preserve">črtanje izraza »modelsko tveganje« v tretjem odstavku 5. člena ZTFI-1, saj je bila zadevna definicija </w:t>
      </w:r>
      <w:r w:rsidR="001334BB">
        <w:rPr>
          <w:rFonts w:cs="Arial"/>
          <w:iCs/>
          <w:szCs w:val="20"/>
          <w:lang w:val="sl-SI"/>
        </w:rPr>
        <w:t>s spremembo</w:t>
      </w:r>
      <w:r w:rsidRPr="00445B9C">
        <w:rPr>
          <w:rFonts w:cs="Arial"/>
          <w:iCs/>
          <w:szCs w:val="20"/>
          <w:lang w:val="sl-SI"/>
        </w:rPr>
        <w:t xml:space="preserve"> ZBan-3 odpravljena – predlog je upoštevan;</w:t>
      </w:r>
    </w:p>
    <w:p w:rsidR="00BD7ABF" w:rsidRPr="00445B9C" w:rsidRDefault="00BD7ABF" w:rsidP="00BD7ABF">
      <w:pPr>
        <w:pStyle w:val="Brezrazmikov"/>
        <w:numPr>
          <w:ilvl w:val="0"/>
          <w:numId w:val="31"/>
        </w:numPr>
        <w:jc w:val="both"/>
        <w:rPr>
          <w:rFonts w:cs="Arial"/>
          <w:iCs/>
          <w:szCs w:val="20"/>
          <w:lang w:val="sl-SI"/>
        </w:rPr>
      </w:pPr>
      <w:r w:rsidRPr="00445B9C">
        <w:rPr>
          <w:rFonts w:cs="Arial"/>
          <w:iCs/>
          <w:szCs w:val="20"/>
          <w:lang w:val="sl-SI"/>
        </w:rPr>
        <w:t>dopolnitev drugega in četrtega odstavka 20. člen</w:t>
      </w:r>
      <w:r w:rsidR="007A5DE3">
        <w:rPr>
          <w:rFonts w:cs="Arial"/>
          <w:iCs/>
          <w:szCs w:val="20"/>
          <w:lang w:val="sl-SI"/>
        </w:rPr>
        <w:t>a</w:t>
      </w:r>
      <w:r w:rsidRPr="00445B9C">
        <w:rPr>
          <w:rFonts w:cs="Arial"/>
          <w:iCs/>
          <w:szCs w:val="20"/>
          <w:lang w:val="sl-SI"/>
        </w:rPr>
        <w:t xml:space="preserve"> in prvega odstavka 61. člena ZTFI-1 na način, da se doda izraz »kreditna družba« ter dodatno preveri, ali so navedene spremembe potrebne še v dodanih členih ZTFI-1 – predlog je upoštevan, izraz »kreditna družba« je bil dodan še v 36., 61., 195., 344., 358., 411. in 448. členu ZTFI-1;</w:t>
      </w:r>
    </w:p>
    <w:p w:rsidR="00BD7ABF" w:rsidRPr="00445B9C" w:rsidRDefault="00BD7ABF" w:rsidP="00BD7ABF">
      <w:pPr>
        <w:pStyle w:val="Brezrazmikov"/>
        <w:numPr>
          <w:ilvl w:val="0"/>
          <w:numId w:val="31"/>
        </w:numPr>
        <w:jc w:val="both"/>
        <w:rPr>
          <w:rFonts w:cs="Arial"/>
          <w:iCs/>
          <w:szCs w:val="20"/>
          <w:lang w:val="sl-SI"/>
        </w:rPr>
      </w:pPr>
      <w:r w:rsidRPr="00445B9C">
        <w:rPr>
          <w:rFonts w:cs="Arial"/>
          <w:iCs/>
          <w:szCs w:val="20"/>
          <w:lang w:val="sl-SI"/>
        </w:rPr>
        <w:t>da se v členu v 1. toč</w:t>
      </w:r>
      <w:r w:rsidR="00CE5447" w:rsidRPr="00445B9C">
        <w:rPr>
          <w:rFonts w:cs="Arial"/>
          <w:iCs/>
          <w:szCs w:val="20"/>
          <w:lang w:val="sl-SI"/>
        </w:rPr>
        <w:t>k</w:t>
      </w:r>
      <w:r w:rsidRPr="00445B9C">
        <w:rPr>
          <w:rFonts w:cs="Arial"/>
          <w:iCs/>
          <w:szCs w:val="20"/>
          <w:lang w:val="sl-SI"/>
        </w:rPr>
        <w:t>i drugega odstavka 59. člena ZTFI-1 besedilo »ki za to pridobi dovoljenje Banke Slovenije« nadomesti z besedilom »ki za to pridobi dovoljenje v skladu z ZBan-3«, saj dovoljenja za poslovanje banke ali kreditne družbe izdaja Evropska centralna banka – predlog je upoštevan; in</w:t>
      </w:r>
    </w:p>
    <w:p w:rsidR="00BD7ABF" w:rsidRPr="00445B9C" w:rsidRDefault="00BD7ABF" w:rsidP="00BD7ABF">
      <w:pPr>
        <w:pStyle w:val="Brezrazmikov"/>
        <w:numPr>
          <w:ilvl w:val="0"/>
          <w:numId w:val="31"/>
        </w:numPr>
        <w:jc w:val="both"/>
        <w:rPr>
          <w:rFonts w:cs="Arial"/>
          <w:iCs/>
          <w:szCs w:val="20"/>
          <w:lang w:val="sl-SI"/>
        </w:rPr>
      </w:pPr>
      <w:r w:rsidRPr="00445B9C">
        <w:rPr>
          <w:rFonts w:cs="Arial"/>
          <w:iCs/>
          <w:szCs w:val="20"/>
          <w:lang w:val="sl-SI"/>
        </w:rPr>
        <w:t xml:space="preserve">da se besedilo prvega odstavka 133. člena ZTFI-1 prilagodi zaradi uskladitve z Zakonom o spremembah in dopolnitvah Zakona o gospodarskih družbah (ZGD-1M), s katerim je bila </w:t>
      </w:r>
      <w:r w:rsidR="003C7D53" w:rsidRPr="00445B9C">
        <w:rPr>
          <w:rFonts w:cs="Arial"/>
          <w:iCs/>
          <w:szCs w:val="20"/>
          <w:lang w:val="sl-SI"/>
        </w:rPr>
        <w:t>»</w:t>
      </w:r>
      <w:r w:rsidRPr="00445B9C">
        <w:rPr>
          <w:rFonts w:cs="Arial"/>
          <w:iCs/>
          <w:szCs w:val="20"/>
          <w:lang w:val="sl-SI"/>
        </w:rPr>
        <w:t>izjava o nefinančnem poslovanju</w:t>
      </w:r>
      <w:r w:rsidR="003C7D53" w:rsidRPr="00445B9C">
        <w:rPr>
          <w:rFonts w:cs="Arial"/>
          <w:iCs/>
          <w:szCs w:val="20"/>
          <w:lang w:val="sl-SI"/>
        </w:rPr>
        <w:t>«</w:t>
      </w:r>
      <w:r w:rsidRPr="00445B9C">
        <w:rPr>
          <w:rFonts w:cs="Arial"/>
          <w:iCs/>
          <w:szCs w:val="20"/>
          <w:lang w:val="sl-SI"/>
        </w:rPr>
        <w:t xml:space="preserve"> nadomeščena s </w:t>
      </w:r>
      <w:r w:rsidR="003C7D53" w:rsidRPr="00445B9C">
        <w:rPr>
          <w:rFonts w:cs="Arial"/>
          <w:iCs/>
          <w:szCs w:val="20"/>
          <w:lang w:val="sl-SI"/>
        </w:rPr>
        <w:t>»</w:t>
      </w:r>
      <w:r w:rsidRPr="00445B9C">
        <w:rPr>
          <w:rFonts w:cs="Arial"/>
          <w:iCs/>
          <w:szCs w:val="20"/>
          <w:lang w:val="sl-SI"/>
        </w:rPr>
        <w:t xml:space="preserve">poročilom o </w:t>
      </w:r>
      <w:proofErr w:type="spellStart"/>
      <w:r w:rsidRPr="00445B9C">
        <w:rPr>
          <w:rFonts w:cs="Arial"/>
          <w:iCs/>
          <w:szCs w:val="20"/>
          <w:lang w:val="sl-SI"/>
        </w:rPr>
        <w:t>trajnostnosti</w:t>
      </w:r>
      <w:proofErr w:type="spellEnd"/>
      <w:r w:rsidR="003C7D53" w:rsidRPr="00445B9C">
        <w:rPr>
          <w:rFonts w:cs="Arial"/>
          <w:iCs/>
          <w:szCs w:val="20"/>
          <w:lang w:val="sl-SI"/>
        </w:rPr>
        <w:t>«</w:t>
      </w:r>
      <w:r w:rsidRPr="00445B9C">
        <w:rPr>
          <w:rFonts w:cs="Arial"/>
          <w:iCs/>
          <w:szCs w:val="20"/>
          <w:lang w:val="sl-SI"/>
        </w:rPr>
        <w:t>.</w:t>
      </w:r>
    </w:p>
    <w:p w:rsidR="00BD7ABF" w:rsidRPr="00445B9C" w:rsidRDefault="00BD7ABF" w:rsidP="00BD7ABF">
      <w:pPr>
        <w:pStyle w:val="Brezrazmikov"/>
        <w:jc w:val="both"/>
        <w:rPr>
          <w:rFonts w:cs="Arial"/>
          <w:iCs/>
          <w:szCs w:val="20"/>
          <w:lang w:val="sl-SI"/>
        </w:rPr>
      </w:pPr>
    </w:p>
    <w:p w:rsidR="00BD7ABF" w:rsidRPr="00445B9C" w:rsidRDefault="00BD7ABF" w:rsidP="00BD7ABF">
      <w:pPr>
        <w:pStyle w:val="Brezrazmikov"/>
        <w:jc w:val="both"/>
        <w:rPr>
          <w:rFonts w:cs="Arial"/>
          <w:iCs/>
          <w:szCs w:val="20"/>
          <w:lang w:val="sl-SI"/>
        </w:rPr>
      </w:pPr>
      <w:r w:rsidRPr="00445B9C">
        <w:rPr>
          <w:rFonts w:cs="Arial"/>
          <w:iCs/>
          <w:szCs w:val="20"/>
          <w:lang w:val="sl-SI"/>
        </w:rPr>
        <w:t>ATVP je predlagala:</w:t>
      </w:r>
    </w:p>
    <w:p w:rsidR="00BD7ABF" w:rsidRPr="00445B9C" w:rsidRDefault="00BD7ABF" w:rsidP="00BD7ABF">
      <w:pPr>
        <w:pStyle w:val="Brezrazmikov"/>
        <w:numPr>
          <w:ilvl w:val="0"/>
          <w:numId w:val="32"/>
        </w:numPr>
        <w:jc w:val="both"/>
        <w:rPr>
          <w:rFonts w:cs="Arial"/>
          <w:iCs/>
          <w:szCs w:val="20"/>
          <w:lang w:val="sl-SI"/>
        </w:rPr>
      </w:pPr>
      <w:r w:rsidRPr="00445B9C">
        <w:rPr>
          <w:rFonts w:cs="Arial"/>
          <w:iCs/>
          <w:szCs w:val="20"/>
          <w:lang w:val="sl-SI"/>
        </w:rPr>
        <w:t>dopolnitve besedila prvega odstavka predlaganega novega 429.a člena in nov drugi odstavek tega člena – predlog je upoštevan; in</w:t>
      </w:r>
    </w:p>
    <w:p w:rsidR="00BD7ABF" w:rsidRPr="00445B9C" w:rsidRDefault="00BD7ABF" w:rsidP="00BD7ABF">
      <w:pPr>
        <w:pStyle w:val="Brezrazmikov"/>
        <w:numPr>
          <w:ilvl w:val="0"/>
          <w:numId w:val="32"/>
        </w:numPr>
        <w:jc w:val="both"/>
        <w:rPr>
          <w:rFonts w:cs="Arial"/>
          <w:iCs/>
          <w:szCs w:val="20"/>
          <w:lang w:val="sl-SI"/>
        </w:rPr>
      </w:pPr>
      <w:r w:rsidRPr="00445B9C">
        <w:rPr>
          <w:rFonts w:cs="Arial"/>
          <w:iCs/>
          <w:szCs w:val="20"/>
          <w:lang w:val="sl-SI"/>
        </w:rPr>
        <w:t>črtanje spremembe 10. točke 62. člena ZTFI-1, saj morajo osebe po Direktivi 2014/65/EU na zahtevo nadzornega organa poročati – predlog je upoštevan.</w:t>
      </w:r>
    </w:p>
    <w:p w:rsidR="00ED36BF" w:rsidRPr="00445B9C" w:rsidRDefault="00ED36BF" w:rsidP="00ED36BF">
      <w:pPr>
        <w:spacing w:line="260" w:lineRule="exact"/>
        <w:jc w:val="both"/>
        <w:rPr>
          <w:rFonts w:cs="Arial"/>
          <w:szCs w:val="20"/>
        </w:rPr>
      </w:pPr>
    </w:p>
    <w:p w:rsidR="00ED36BF" w:rsidRPr="00445B9C" w:rsidRDefault="00ED36BF" w:rsidP="00ED36BF">
      <w:pPr>
        <w:numPr>
          <w:ilvl w:val="0"/>
          <w:numId w:val="12"/>
        </w:numPr>
        <w:spacing w:line="260" w:lineRule="exact"/>
        <w:jc w:val="both"/>
        <w:rPr>
          <w:rFonts w:cs="Arial"/>
          <w:b/>
          <w:szCs w:val="20"/>
        </w:rPr>
      </w:pPr>
      <w:r w:rsidRPr="00445B9C">
        <w:rPr>
          <w:rFonts w:cs="Arial"/>
          <w:b/>
          <w:szCs w:val="20"/>
        </w:rPr>
        <w:t>PODATEK O ZUNANJEM STROKOVNJAKU OZIROMA PRAVNI OSEBI, KI JE SODELOVALA PRI PRIPRAVI PREDLOGA ZAKONA</w:t>
      </w:r>
    </w:p>
    <w:p w:rsidR="00ED36BF" w:rsidRPr="00445B9C" w:rsidRDefault="00ED36BF" w:rsidP="00ED36BF">
      <w:pPr>
        <w:spacing w:line="260" w:lineRule="exact"/>
        <w:rPr>
          <w:rFonts w:cs="Arial"/>
          <w:szCs w:val="20"/>
        </w:rPr>
      </w:pPr>
    </w:p>
    <w:p w:rsidR="00ED36BF" w:rsidRPr="00445B9C" w:rsidRDefault="00ED36BF" w:rsidP="00ED36BF">
      <w:pPr>
        <w:spacing w:line="260" w:lineRule="exact"/>
        <w:rPr>
          <w:rFonts w:cs="Arial"/>
          <w:szCs w:val="20"/>
        </w:rPr>
      </w:pPr>
      <w:r w:rsidRPr="00445B9C">
        <w:rPr>
          <w:rFonts w:cs="Arial"/>
          <w:szCs w:val="20"/>
        </w:rPr>
        <w:lastRenderedPageBreak/>
        <w:t>Pri pripravi predloga zakona niso sodelovali zunanji strokovnjaki oziroma pravne osebe.</w:t>
      </w:r>
    </w:p>
    <w:p w:rsidR="00ED36BF" w:rsidRPr="00445B9C" w:rsidRDefault="00ED36BF" w:rsidP="00ED36BF">
      <w:pPr>
        <w:spacing w:line="260" w:lineRule="exact"/>
        <w:rPr>
          <w:rFonts w:cs="Arial"/>
          <w:szCs w:val="20"/>
        </w:rPr>
      </w:pPr>
    </w:p>
    <w:p w:rsidR="00ED36BF" w:rsidRPr="00445B9C" w:rsidRDefault="00ED36BF" w:rsidP="00ED36BF">
      <w:pPr>
        <w:numPr>
          <w:ilvl w:val="0"/>
          <w:numId w:val="12"/>
        </w:numPr>
        <w:spacing w:line="260" w:lineRule="exact"/>
        <w:rPr>
          <w:rFonts w:cs="Arial"/>
          <w:b/>
          <w:szCs w:val="20"/>
        </w:rPr>
      </w:pPr>
      <w:r w:rsidRPr="00445B9C">
        <w:rPr>
          <w:rFonts w:cs="Arial"/>
          <w:b/>
          <w:szCs w:val="20"/>
        </w:rPr>
        <w:t>ZNESEK PLAČILA ZUNANJIH STROKOVNJAKOV</w:t>
      </w:r>
    </w:p>
    <w:p w:rsidR="00ED36BF" w:rsidRPr="00445B9C" w:rsidRDefault="00ED36BF" w:rsidP="0020355C">
      <w:pPr>
        <w:spacing w:line="260" w:lineRule="exact"/>
        <w:ind w:left="720"/>
        <w:rPr>
          <w:rFonts w:cs="Arial"/>
          <w:b/>
          <w:szCs w:val="20"/>
        </w:rPr>
      </w:pPr>
      <w:r w:rsidRPr="00445B9C">
        <w:rPr>
          <w:rFonts w:cs="Arial"/>
          <w:b/>
          <w:szCs w:val="20"/>
        </w:rPr>
        <w:t>/</w:t>
      </w:r>
    </w:p>
    <w:p w:rsidR="002D1A9C" w:rsidRPr="00445B9C" w:rsidRDefault="002D1A9C" w:rsidP="0020355C">
      <w:pPr>
        <w:spacing w:line="260" w:lineRule="exact"/>
        <w:ind w:left="720"/>
        <w:rPr>
          <w:rFonts w:cs="Arial"/>
          <w:b/>
          <w:szCs w:val="20"/>
        </w:rPr>
      </w:pPr>
    </w:p>
    <w:p w:rsidR="00ED36BF" w:rsidRPr="00445B9C" w:rsidRDefault="00ED36BF" w:rsidP="00ED36BF">
      <w:pPr>
        <w:numPr>
          <w:ilvl w:val="0"/>
          <w:numId w:val="12"/>
        </w:numPr>
        <w:spacing w:line="260" w:lineRule="exact"/>
        <w:rPr>
          <w:rFonts w:cs="Arial"/>
          <w:b/>
          <w:szCs w:val="20"/>
        </w:rPr>
      </w:pPr>
      <w:bookmarkStart w:id="7" w:name="_Hlk55899731"/>
      <w:r w:rsidRPr="00445B9C">
        <w:rPr>
          <w:rFonts w:cs="Arial"/>
          <w:b/>
          <w:szCs w:val="20"/>
        </w:rPr>
        <w:t>NAVEDBA, KATERI PREDSTAVNIKI PREDLAGATELJA BODO SODELOVALI PRI DELU DRŽAVNEGA ZBORA IN DELOVNIH TELES</w:t>
      </w:r>
    </w:p>
    <w:p w:rsidR="00ED36BF" w:rsidRPr="00445B9C" w:rsidRDefault="00ED36BF" w:rsidP="00ED36BF">
      <w:pPr>
        <w:spacing w:line="260" w:lineRule="exact"/>
        <w:ind w:left="360"/>
        <w:rPr>
          <w:rFonts w:cs="Arial"/>
          <w:b/>
          <w:szCs w:val="20"/>
        </w:rPr>
      </w:pPr>
    </w:p>
    <w:bookmarkEnd w:id="7"/>
    <w:p w:rsidR="00C9332D" w:rsidRPr="00445B9C" w:rsidRDefault="00ED36BF" w:rsidP="00F810E6">
      <w:pPr>
        <w:pStyle w:val="Odstavekseznama"/>
        <w:numPr>
          <w:ilvl w:val="0"/>
          <w:numId w:val="17"/>
        </w:numPr>
        <w:spacing w:line="260" w:lineRule="exact"/>
        <w:rPr>
          <w:rFonts w:cs="Arial"/>
          <w:szCs w:val="20"/>
        </w:rPr>
      </w:pPr>
      <w:r w:rsidRPr="00445B9C">
        <w:rPr>
          <w:rFonts w:cs="Arial"/>
          <w:szCs w:val="20"/>
        </w:rPr>
        <w:t>Klemen Boštjančič, minister za finance,</w:t>
      </w:r>
    </w:p>
    <w:p w:rsidR="00C9332D" w:rsidRPr="00445B9C" w:rsidRDefault="00ED36BF" w:rsidP="00F810E6">
      <w:pPr>
        <w:pStyle w:val="Odstavekseznama"/>
        <w:numPr>
          <w:ilvl w:val="0"/>
          <w:numId w:val="17"/>
        </w:numPr>
        <w:spacing w:line="260" w:lineRule="exact"/>
        <w:rPr>
          <w:rFonts w:cs="Arial"/>
          <w:szCs w:val="20"/>
        </w:rPr>
      </w:pPr>
      <w:r w:rsidRPr="00445B9C">
        <w:rPr>
          <w:rFonts w:cs="Arial"/>
          <w:szCs w:val="20"/>
        </w:rPr>
        <w:t>Nikolina Prah, državna sekretarka,</w:t>
      </w:r>
    </w:p>
    <w:p w:rsidR="00C9332D" w:rsidRPr="00445B9C" w:rsidRDefault="00ED36BF" w:rsidP="00F810E6">
      <w:pPr>
        <w:pStyle w:val="Odstavekseznama"/>
        <w:numPr>
          <w:ilvl w:val="0"/>
          <w:numId w:val="17"/>
        </w:numPr>
        <w:spacing w:line="260" w:lineRule="exact"/>
        <w:rPr>
          <w:rFonts w:cs="Arial"/>
          <w:szCs w:val="20"/>
        </w:rPr>
      </w:pPr>
      <w:r w:rsidRPr="00445B9C">
        <w:rPr>
          <w:rFonts w:cs="Arial"/>
          <w:szCs w:val="20"/>
        </w:rPr>
        <w:t>mag. Saša Jazbec, državna sekretarka,</w:t>
      </w:r>
    </w:p>
    <w:p w:rsidR="00C9332D" w:rsidRPr="00445B9C" w:rsidRDefault="00ED36BF" w:rsidP="00F810E6">
      <w:pPr>
        <w:pStyle w:val="Odstavekseznama"/>
        <w:numPr>
          <w:ilvl w:val="0"/>
          <w:numId w:val="17"/>
        </w:numPr>
        <w:spacing w:line="260" w:lineRule="exact"/>
        <w:rPr>
          <w:rFonts w:cs="Arial"/>
          <w:szCs w:val="20"/>
        </w:rPr>
      </w:pPr>
      <w:r w:rsidRPr="00445B9C">
        <w:rPr>
          <w:rFonts w:cs="Arial"/>
          <w:szCs w:val="20"/>
        </w:rPr>
        <w:t>Gordana Pipan, državna sekretarka,</w:t>
      </w:r>
    </w:p>
    <w:p w:rsidR="00C9332D" w:rsidRPr="00445B9C" w:rsidRDefault="0090401C" w:rsidP="00F810E6">
      <w:pPr>
        <w:pStyle w:val="Odstavekseznama"/>
        <w:numPr>
          <w:ilvl w:val="0"/>
          <w:numId w:val="17"/>
        </w:numPr>
        <w:spacing w:line="260" w:lineRule="exact"/>
        <w:rPr>
          <w:rFonts w:cs="Arial"/>
          <w:szCs w:val="20"/>
        </w:rPr>
      </w:pPr>
      <w:r w:rsidRPr="00445B9C">
        <w:rPr>
          <w:rFonts w:cs="Arial"/>
          <w:szCs w:val="20"/>
        </w:rPr>
        <w:t>mag. Katja Božič</w:t>
      </w:r>
      <w:r w:rsidR="00A45970" w:rsidRPr="00445B9C">
        <w:rPr>
          <w:rFonts w:cs="Arial"/>
          <w:szCs w:val="20"/>
        </w:rPr>
        <w:t>, državna sekretarka,</w:t>
      </w:r>
    </w:p>
    <w:p w:rsidR="00C9332D" w:rsidRPr="00445B9C" w:rsidRDefault="00ED36BF" w:rsidP="00F810E6">
      <w:pPr>
        <w:pStyle w:val="Odstavekseznama"/>
        <w:numPr>
          <w:ilvl w:val="0"/>
          <w:numId w:val="17"/>
        </w:numPr>
        <w:spacing w:line="260" w:lineRule="exact"/>
        <w:rPr>
          <w:rFonts w:cs="Arial"/>
          <w:szCs w:val="20"/>
        </w:rPr>
      </w:pPr>
      <w:r w:rsidRPr="00445B9C">
        <w:rPr>
          <w:rFonts w:cs="Arial"/>
          <w:szCs w:val="20"/>
        </w:rPr>
        <w:t>Urška Cvelbar, generalna direktorica Direktorata za finančni sistem,</w:t>
      </w:r>
    </w:p>
    <w:p w:rsidR="00BF3AAD" w:rsidRPr="00445B9C" w:rsidRDefault="00BF3AAD" w:rsidP="00F810E6">
      <w:pPr>
        <w:pStyle w:val="Odstavekseznama"/>
        <w:numPr>
          <w:ilvl w:val="0"/>
          <w:numId w:val="17"/>
        </w:numPr>
        <w:spacing w:line="260" w:lineRule="exact"/>
        <w:rPr>
          <w:rFonts w:cs="Arial"/>
          <w:szCs w:val="20"/>
        </w:rPr>
      </w:pPr>
      <w:r w:rsidRPr="00445B9C">
        <w:rPr>
          <w:rFonts w:cs="Arial"/>
          <w:szCs w:val="20"/>
        </w:rPr>
        <w:t>Leon Brčina, sekretar, Sektor za zavarovalništvo in trg kapitala, Direktorat za finančni sistem</w:t>
      </w:r>
      <w:r w:rsidR="00983705" w:rsidRPr="00445B9C">
        <w:rPr>
          <w:rFonts w:cs="Arial"/>
          <w:szCs w:val="20"/>
        </w:rPr>
        <w:t>,</w:t>
      </w:r>
    </w:p>
    <w:p w:rsidR="006F5455" w:rsidRPr="00445B9C" w:rsidRDefault="00CC38D4" w:rsidP="006F5455">
      <w:pPr>
        <w:pStyle w:val="Odstavekseznama"/>
        <w:numPr>
          <w:ilvl w:val="0"/>
          <w:numId w:val="17"/>
        </w:numPr>
        <w:spacing w:line="260" w:lineRule="exact"/>
        <w:rPr>
          <w:rFonts w:cs="Arial"/>
          <w:szCs w:val="20"/>
        </w:rPr>
      </w:pPr>
      <w:r w:rsidRPr="00445B9C">
        <w:rPr>
          <w:rFonts w:cs="Arial"/>
          <w:szCs w:val="20"/>
        </w:rPr>
        <w:t xml:space="preserve">Katja Vidmar, višja svetovalka, Sektor za zavarovalništvo in trg kapitala, </w:t>
      </w:r>
      <w:r w:rsidR="00593F66" w:rsidRPr="00445B9C">
        <w:rPr>
          <w:rFonts w:cs="Arial"/>
          <w:szCs w:val="20"/>
        </w:rPr>
        <w:t>Direktorat za finančni sistem</w:t>
      </w:r>
      <w:r w:rsidR="00983705" w:rsidRPr="00445B9C">
        <w:rPr>
          <w:rFonts w:cs="Arial"/>
          <w:szCs w:val="20"/>
        </w:rPr>
        <w:t>.</w:t>
      </w:r>
    </w:p>
    <w:p w:rsidR="006F5455" w:rsidRPr="00445B9C" w:rsidRDefault="006F5455" w:rsidP="006F5455">
      <w:pPr>
        <w:pStyle w:val="Brezrazmikov"/>
        <w:rPr>
          <w:rFonts w:cs="Arial"/>
          <w:szCs w:val="20"/>
          <w:lang w:val="sl-SI"/>
        </w:rPr>
      </w:pPr>
    </w:p>
    <w:p w:rsidR="006F5455" w:rsidRPr="00445B9C" w:rsidRDefault="006F5455" w:rsidP="006F5455">
      <w:pPr>
        <w:pStyle w:val="Brezrazmikov"/>
        <w:rPr>
          <w:rFonts w:cs="Arial"/>
          <w:szCs w:val="20"/>
          <w:lang w:val="sl-SI"/>
        </w:rPr>
      </w:pPr>
    </w:p>
    <w:p w:rsidR="00513496" w:rsidRPr="00445B9C" w:rsidRDefault="00513496">
      <w:pPr>
        <w:spacing w:line="240" w:lineRule="auto"/>
        <w:rPr>
          <w:rFonts w:cs="Arial"/>
          <w:b/>
          <w:bCs/>
          <w:szCs w:val="20"/>
        </w:rPr>
      </w:pPr>
      <w:r w:rsidRPr="00445B9C">
        <w:rPr>
          <w:rFonts w:cs="Arial"/>
          <w:b/>
          <w:bCs/>
          <w:szCs w:val="20"/>
        </w:rPr>
        <w:br w:type="page"/>
      </w:r>
    </w:p>
    <w:p w:rsidR="000047A4" w:rsidRPr="00445B9C" w:rsidRDefault="00580931" w:rsidP="00C64B3F">
      <w:pPr>
        <w:pStyle w:val="Odstavekseznama"/>
        <w:spacing w:after="160" w:line="259" w:lineRule="auto"/>
        <w:ind w:left="1080"/>
        <w:jc w:val="both"/>
        <w:rPr>
          <w:rFonts w:cs="Arial"/>
          <w:b/>
          <w:szCs w:val="20"/>
        </w:rPr>
      </w:pPr>
      <w:r w:rsidRPr="00445B9C">
        <w:rPr>
          <w:rFonts w:cs="Arial"/>
          <w:b/>
          <w:bCs/>
          <w:szCs w:val="20"/>
        </w:rPr>
        <w:lastRenderedPageBreak/>
        <w:t xml:space="preserve">II. </w:t>
      </w:r>
      <w:r w:rsidR="000258C6" w:rsidRPr="00445B9C">
        <w:rPr>
          <w:rFonts w:cs="Arial"/>
          <w:b/>
          <w:szCs w:val="20"/>
        </w:rPr>
        <w:t>BESEDILO ČLENOV</w:t>
      </w:r>
    </w:p>
    <w:p w:rsidR="000258C6" w:rsidRPr="00445B9C" w:rsidRDefault="000258C6" w:rsidP="00F810E6">
      <w:pPr>
        <w:numPr>
          <w:ilvl w:val="0"/>
          <w:numId w:val="16"/>
        </w:numPr>
        <w:spacing w:before="240" w:after="240" w:line="259" w:lineRule="auto"/>
        <w:ind w:left="720"/>
        <w:jc w:val="center"/>
        <w:outlineLvl w:val="0"/>
        <w:rPr>
          <w:rFonts w:eastAsiaTheme="majorEastAsia" w:cs="Arial"/>
          <w:b/>
          <w:szCs w:val="20"/>
        </w:rPr>
      </w:pPr>
      <w:bookmarkStart w:id="8" w:name="_Ref64902430"/>
      <w:r w:rsidRPr="00445B9C">
        <w:rPr>
          <w:rFonts w:eastAsiaTheme="majorEastAsia" w:cs="Arial"/>
          <w:b/>
          <w:szCs w:val="20"/>
        </w:rPr>
        <w:t>člen</w:t>
      </w:r>
      <w:bookmarkEnd w:id="8"/>
    </w:p>
    <w:p w:rsidR="00CF0FDA" w:rsidRPr="00445B9C" w:rsidRDefault="000258C6" w:rsidP="00C07E2F">
      <w:pPr>
        <w:jc w:val="both"/>
        <w:rPr>
          <w:rFonts w:cs="Arial"/>
          <w:szCs w:val="20"/>
        </w:rPr>
      </w:pPr>
      <w:r w:rsidRPr="00445B9C">
        <w:rPr>
          <w:rFonts w:cs="Arial"/>
          <w:szCs w:val="20"/>
        </w:rPr>
        <w:t>V Zakonu o trgu finančnih instrumentov (</w:t>
      </w:r>
      <w:r w:rsidR="003065CC" w:rsidRPr="00445B9C">
        <w:rPr>
          <w:rFonts w:cs="Arial"/>
          <w:szCs w:val="20"/>
        </w:rPr>
        <w:t>Uradni list RS, št. </w:t>
      </w:r>
      <w:r w:rsidR="00CF0FDA" w:rsidRPr="00445B9C">
        <w:rPr>
          <w:rFonts w:cs="Arial"/>
          <w:szCs w:val="20"/>
        </w:rPr>
        <w:t>77/18</w:t>
      </w:r>
      <w:r w:rsidR="003065CC" w:rsidRPr="00445B9C">
        <w:rPr>
          <w:rFonts w:cs="Arial"/>
          <w:szCs w:val="20"/>
        </w:rPr>
        <w:t>, </w:t>
      </w:r>
      <w:r w:rsidR="00CF0FDA" w:rsidRPr="00445B9C">
        <w:rPr>
          <w:rFonts w:cs="Arial"/>
          <w:szCs w:val="20"/>
        </w:rPr>
        <w:t>17/19</w:t>
      </w:r>
      <w:r w:rsidR="003065CC" w:rsidRPr="00445B9C">
        <w:rPr>
          <w:rFonts w:cs="Arial"/>
          <w:szCs w:val="20"/>
        </w:rPr>
        <w:t> – popr., </w:t>
      </w:r>
      <w:r w:rsidR="00CF0FDA" w:rsidRPr="00445B9C">
        <w:rPr>
          <w:rFonts w:cs="Arial"/>
          <w:szCs w:val="20"/>
        </w:rPr>
        <w:t>66/19</w:t>
      </w:r>
      <w:r w:rsidR="003065CC" w:rsidRPr="00445B9C">
        <w:rPr>
          <w:rFonts w:cs="Arial"/>
          <w:szCs w:val="20"/>
        </w:rPr>
        <w:t>, </w:t>
      </w:r>
      <w:r w:rsidR="00CF0FDA" w:rsidRPr="00445B9C">
        <w:rPr>
          <w:rFonts w:cs="Arial"/>
          <w:szCs w:val="20"/>
        </w:rPr>
        <w:t>123/21</w:t>
      </w:r>
      <w:r w:rsidR="003065CC" w:rsidRPr="00445B9C">
        <w:rPr>
          <w:rFonts w:cs="Arial"/>
          <w:szCs w:val="20"/>
        </w:rPr>
        <w:t> in </w:t>
      </w:r>
      <w:r w:rsidR="00CF0FDA" w:rsidRPr="00445B9C">
        <w:rPr>
          <w:rFonts w:cs="Arial"/>
          <w:szCs w:val="20"/>
        </w:rPr>
        <w:t>45/24</w:t>
      </w:r>
      <w:r w:rsidRPr="00445B9C">
        <w:rPr>
          <w:rFonts w:cs="Arial"/>
          <w:szCs w:val="20"/>
        </w:rPr>
        <w:t xml:space="preserve">) se v </w:t>
      </w:r>
      <w:r w:rsidR="002F2E0C" w:rsidRPr="00445B9C">
        <w:rPr>
          <w:rFonts w:cs="Arial"/>
          <w:szCs w:val="20"/>
        </w:rPr>
        <w:t>2. členu v prvem odstav</w:t>
      </w:r>
      <w:r w:rsidR="00250BF6" w:rsidRPr="00445B9C">
        <w:rPr>
          <w:rFonts w:cs="Arial"/>
          <w:szCs w:val="20"/>
        </w:rPr>
        <w:t>k</w:t>
      </w:r>
      <w:r w:rsidR="002F2E0C" w:rsidRPr="00445B9C">
        <w:rPr>
          <w:rFonts w:cs="Arial"/>
          <w:szCs w:val="20"/>
        </w:rPr>
        <w:t>u</w:t>
      </w:r>
      <w:r w:rsidR="00291ADA" w:rsidRPr="00445B9C">
        <w:rPr>
          <w:rFonts w:cs="Arial"/>
          <w:szCs w:val="20"/>
        </w:rPr>
        <w:t xml:space="preserve"> </w:t>
      </w:r>
      <w:r w:rsidR="00AA2175" w:rsidRPr="00445B9C">
        <w:rPr>
          <w:rFonts w:cs="Arial"/>
          <w:szCs w:val="20"/>
        </w:rPr>
        <w:t>v</w:t>
      </w:r>
      <w:r w:rsidR="00065A3E" w:rsidRPr="00445B9C">
        <w:rPr>
          <w:rFonts w:cs="Arial"/>
          <w:szCs w:val="20"/>
        </w:rPr>
        <w:t xml:space="preserve"> </w:t>
      </w:r>
      <w:r w:rsidR="00E25693" w:rsidRPr="00445B9C">
        <w:rPr>
          <w:rFonts w:cs="Arial"/>
          <w:szCs w:val="20"/>
        </w:rPr>
        <w:t xml:space="preserve">3. </w:t>
      </w:r>
      <w:r w:rsidR="00C53BB7" w:rsidRPr="00445B9C">
        <w:rPr>
          <w:rFonts w:cs="Arial"/>
          <w:szCs w:val="20"/>
        </w:rPr>
        <w:t>točk</w:t>
      </w:r>
      <w:r w:rsidR="00AA2175" w:rsidRPr="00445B9C">
        <w:rPr>
          <w:rFonts w:cs="Arial"/>
          <w:szCs w:val="20"/>
        </w:rPr>
        <w:t>i</w:t>
      </w:r>
      <w:r w:rsidR="00C53BB7" w:rsidRPr="00445B9C">
        <w:rPr>
          <w:rFonts w:cs="Arial"/>
          <w:szCs w:val="20"/>
        </w:rPr>
        <w:t xml:space="preserve"> </w:t>
      </w:r>
      <w:r w:rsidR="0054006B" w:rsidRPr="00445B9C">
        <w:rPr>
          <w:rFonts w:cs="Arial"/>
          <w:szCs w:val="20"/>
        </w:rPr>
        <w:t>besedilo »Uredbo (EU) št. 909/2014 Evropskega parlamenta in Sveta z dne 23. julija 2014 o izboljšanju ureditve poravnav vrednostnih papirjev v Evropski uniji in o centralnih depotnih družbah ter o spremembi direktiv 98/26/ES in 2014/65/EU ter Uredbe (EU) št. 236/2012 (UL L št. 257 z dne 28. 8. 2014, str. 1)« nadomesti z besedilom »Uredbo (EU) 2024/886 Evropskega parlamenta in Sveta z dne 13. marca 2024 o spremembi uredb (EU) št. 260/2012 in (EU) 2021/1230 ter direktiv 98/26/ES in (EU) 2015/2366 glede takojšnjih kreditnih prenosov v evrih (UL L</w:t>
      </w:r>
      <w:r w:rsidR="00D209E4" w:rsidRPr="00445B9C">
        <w:rPr>
          <w:rFonts w:cs="Arial"/>
          <w:szCs w:val="20"/>
        </w:rPr>
        <w:t xml:space="preserve"> št.</w:t>
      </w:r>
      <w:r w:rsidR="0054006B" w:rsidRPr="00445B9C">
        <w:rPr>
          <w:rFonts w:cs="Arial"/>
          <w:szCs w:val="20"/>
        </w:rPr>
        <w:t xml:space="preserve"> 2024/886 z dne 19. 3. 2024)«</w:t>
      </w:r>
      <w:r w:rsidR="00AA2175" w:rsidRPr="00445B9C">
        <w:rPr>
          <w:rFonts w:cs="Arial"/>
          <w:szCs w:val="20"/>
        </w:rPr>
        <w:t>.</w:t>
      </w:r>
    </w:p>
    <w:p w:rsidR="00CF0FDA" w:rsidRPr="00445B9C" w:rsidRDefault="00CF0FDA" w:rsidP="006D1640">
      <w:pPr>
        <w:rPr>
          <w:rFonts w:cs="Arial"/>
          <w:szCs w:val="20"/>
        </w:rPr>
      </w:pPr>
    </w:p>
    <w:p w:rsidR="006A4231" w:rsidRPr="00445B9C" w:rsidRDefault="006A4231">
      <w:pPr>
        <w:jc w:val="both"/>
        <w:rPr>
          <w:rFonts w:cs="Arial"/>
          <w:szCs w:val="20"/>
        </w:rPr>
      </w:pPr>
      <w:r w:rsidRPr="00445B9C">
        <w:rPr>
          <w:rFonts w:cs="Arial"/>
          <w:szCs w:val="20"/>
        </w:rPr>
        <w:t>V 6. točki se besedilo »Delegirano uredbo Komisije (EU) 2016/1437 z dne 19. maja 2016 o dopolnitvi Direktive 2004/109/ES Evropskega parlamenta in Sveta v zvezi z regulativnimi tehničnimi standardi za dostop do predpisanih informacij na ravni Unije (UL L št. 234 z dne 31. 8. 2016, str. 1)« nadomesti z besedilom »Direktivo (EU) 2023/2864 Evropskega parlamenta in Sveta z dne 13. decembra 2023 o spremembi nekaterih direktiv glede vzpostavitve in delovanja evropske enotne točke dostopa (UL L št. 2023/2864 z dne 20. 12. 2023)«.</w:t>
      </w:r>
    </w:p>
    <w:p w:rsidR="006A4231" w:rsidRPr="00445B9C" w:rsidRDefault="006A4231">
      <w:pPr>
        <w:jc w:val="both"/>
        <w:rPr>
          <w:rFonts w:cs="Arial"/>
          <w:szCs w:val="20"/>
        </w:rPr>
      </w:pPr>
    </w:p>
    <w:p w:rsidR="00CF0FDA" w:rsidRPr="00445B9C" w:rsidRDefault="00AA2175" w:rsidP="006D1640">
      <w:pPr>
        <w:jc w:val="both"/>
        <w:rPr>
          <w:rFonts w:cs="Arial"/>
          <w:szCs w:val="20"/>
        </w:rPr>
      </w:pPr>
      <w:r w:rsidRPr="00445B9C">
        <w:rPr>
          <w:rFonts w:cs="Arial"/>
          <w:szCs w:val="20"/>
        </w:rPr>
        <w:t xml:space="preserve">V </w:t>
      </w:r>
      <w:r w:rsidR="00C53BB7" w:rsidRPr="00445B9C">
        <w:rPr>
          <w:rFonts w:cs="Arial"/>
          <w:szCs w:val="20"/>
        </w:rPr>
        <w:t>8. točk</w:t>
      </w:r>
      <w:r w:rsidRPr="00445B9C">
        <w:rPr>
          <w:rFonts w:cs="Arial"/>
          <w:szCs w:val="20"/>
        </w:rPr>
        <w:t>i</w:t>
      </w:r>
      <w:r w:rsidR="00C53BB7" w:rsidRPr="00445B9C">
        <w:rPr>
          <w:rFonts w:cs="Arial"/>
          <w:szCs w:val="20"/>
        </w:rPr>
        <w:t xml:space="preserve"> se </w:t>
      </w:r>
      <w:r w:rsidR="007D4860" w:rsidRPr="00445B9C">
        <w:rPr>
          <w:rFonts w:cs="Arial"/>
          <w:szCs w:val="20"/>
        </w:rPr>
        <w:t>besedilo »Delegirano uredbo Komisije (EU) 2017/1946 z dne 11. julija 2017 o dopolnitvi direktiv 2004/39/ES in 2014/65/EU Evropskega parlamenta in Sveta v zvezi z regulativnimi tehničnimi standardi za izčrpen seznam informacij, ki jih morajo bodoči pridobitelji vključiti v obvestilo o predlagani pridobitvi kvalificiranega deleža v investicijskem podjetju (UL L št. 276 z dne 26. 10. 2017, str. 32)« nadomesti z besedilom »Direktivo (EU) 2024/790 Evropskega parlamenta in Sveta z dne 28. februarja 2024 o spremembi Direktive 2014/65/EU o trgih finančnih instrumentov (UL L št. 790 z dne 8. 3. 2024, str.</w:t>
      </w:r>
      <w:r w:rsidR="00065A3E" w:rsidRPr="00445B9C">
        <w:rPr>
          <w:rFonts w:cs="Arial"/>
          <w:szCs w:val="20"/>
        </w:rPr>
        <w:t xml:space="preserve"> </w:t>
      </w:r>
      <w:r w:rsidR="007D4860" w:rsidRPr="00445B9C">
        <w:rPr>
          <w:rFonts w:cs="Arial"/>
          <w:szCs w:val="20"/>
        </w:rPr>
        <w:t>1)«</w:t>
      </w:r>
      <w:r w:rsidRPr="00445B9C">
        <w:rPr>
          <w:rFonts w:cs="Arial"/>
          <w:szCs w:val="20"/>
        </w:rPr>
        <w:t>.</w:t>
      </w:r>
    </w:p>
    <w:p w:rsidR="00CF0FDA" w:rsidRPr="00445B9C" w:rsidRDefault="00CF0FDA" w:rsidP="006D1640">
      <w:pPr>
        <w:jc w:val="both"/>
        <w:rPr>
          <w:rFonts w:cs="Arial"/>
          <w:szCs w:val="20"/>
        </w:rPr>
      </w:pPr>
    </w:p>
    <w:p w:rsidR="00CF0FDA" w:rsidRPr="00445B9C" w:rsidRDefault="00AA2175" w:rsidP="006D1640">
      <w:pPr>
        <w:jc w:val="both"/>
        <w:rPr>
          <w:rFonts w:cs="Arial"/>
          <w:szCs w:val="20"/>
        </w:rPr>
      </w:pPr>
      <w:r w:rsidRPr="00445B9C">
        <w:rPr>
          <w:rFonts w:cs="Arial"/>
          <w:szCs w:val="20"/>
        </w:rPr>
        <w:t>Z</w:t>
      </w:r>
      <w:r w:rsidR="00995928" w:rsidRPr="00445B9C">
        <w:rPr>
          <w:rFonts w:cs="Arial"/>
          <w:szCs w:val="20"/>
        </w:rPr>
        <w:t>a 1</w:t>
      </w:r>
      <w:r w:rsidR="003065CC" w:rsidRPr="00445B9C">
        <w:rPr>
          <w:rFonts w:cs="Arial"/>
          <w:szCs w:val="20"/>
        </w:rPr>
        <w:t>6</w:t>
      </w:r>
      <w:r w:rsidR="00995928" w:rsidRPr="00445B9C">
        <w:rPr>
          <w:rFonts w:cs="Arial"/>
          <w:szCs w:val="20"/>
        </w:rPr>
        <w:t xml:space="preserve">. točko </w:t>
      </w:r>
      <w:r w:rsidR="00601356" w:rsidRPr="00445B9C">
        <w:rPr>
          <w:rFonts w:cs="Arial"/>
          <w:szCs w:val="20"/>
        </w:rPr>
        <w:t xml:space="preserve">se </w:t>
      </w:r>
      <w:r w:rsidR="000258C6" w:rsidRPr="00445B9C">
        <w:rPr>
          <w:rFonts w:cs="Arial"/>
          <w:szCs w:val="20"/>
        </w:rPr>
        <w:t xml:space="preserve">pika nadomesti </w:t>
      </w:r>
      <w:r w:rsidR="00995928" w:rsidRPr="00445B9C">
        <w:rPr>
          <w:rFonts w:cs="Arial"/>
          <w:szCs w:val="20"/>
        </w:rPr>
        <w:t>s podpičjem</w:t>
      </w:r>
      <w:r w:rsidR="000258C6" w:rsidRPr="00445B9C">
        <w:rPr>
          <w:rFonts w:cs="Arial"/>
          <w:szCs w:val="20"/>
        </w:rPr>
        <w:t xml:space="preserve"> </w:t>
      </w:r>
      <w:r w:rsidR="00B05D89" w:rsidRPr="00445B9C">
        <w:rPr>
          <w:rFonts w:cs="Arial"/>
          <w:szCs w:val="20"/>
        </w:rPr>
        <w:t xml:space="preserve">in </w:t>
      </w:r>
      <w:r w:rsidR="00AE492D" w:rsidRPr="00445B9C">
        <w:rPr>
          <w:rFonts w:cs="Arial"/>
          <w:szCs w:val="20"/>
        </w:rPr>
        <w:t>doda</w:t>
      </w:r>
      <w:r w:rsidR="00C30643" w:rsidRPr="00445B9C">
        <w:rPr>
          <w:rFonts w:cs="Arial"/>
          <w:szCs w:val="20"/>
        </w:rPr>
        <w:t>jo</w:t>
      </w:r>
      <w:r w:rsidR="00AE492D" w:rsidRPr="00445B9C">
        <w:rPr>
          <w:rFonts w:cs="Arial"/>
          <w:szCs w:val="20"/>
        </w:rPr>
        <w:t xml:space="preserve"> nov</w:t>
      </w:r>
      <w:r w:rsidR="00C30643" w:rsidRPr="00445B9C">
        <w:rPr>
          <w:rFonts w:cs="Arial"/>
          <w:szCs w:val="20"/>
        </w:rPr>
        <w:t>e</w:t>
      </w:r>
      <w:r w:rsidRPr="00445B9C">
        <w:rPr>
          <w:rFonts w:cs="Arial"/>
          <w:szCs w:val="20"/>
        </w:rPr>
        <w:t>,</w:t>
      </w:r>
      <w:r w:rsidR="000258C6" w:rsidRPr="00445B9C">
        <w:rPr>
          <w:rFonts w:cs="Arial"/>
          <w:szCs w:val="20"/>
        </w:rPr>
        <w:t xml:space="preserve"> 1</w:t>
      </w:r>
      <w:r w:rsidR="003065CC" w:rsidRPr="00445B9C">
        <w:rPr>
          <w:rFonts w:cs="Arial"/>
          <w:szCs w:val="20"/>
        </w:rPr>
        <w:t>7</w:t>
      </w:r>
      <w:r w:rsidR="000258C6" w:rsidRPr="00445B9C">
        <w:rPr>
          <w:rFonts w:cs="Arial"/>
          <w:szCs w:val="20"/>
        </w:rPr>
        <w:t>.</w:t>
      </w:r>
      <w:r w:rsidR="00C30643" w:rsidRPr="00445B9C">
        <w:rPr>
          <w:rFonts w:cs="Arial"/>
          <w:szCs w:val="20"/>
        </w:rPr>
        <w:t>,</w:t>
      </w:r>
      <w:r w:rsidRPr="00445B9C">
        <w:rPr>
          <w:rFonts w:cs="Arial"/>
          <w:szCs w:val="20"/>
        </w:rPr>
        <w:t xml:space="preserve"> </w:t>
      </w:r>
      <w:r w:rsidR="003065CC" w:rsidRPr="00445B9C">
        <w:rPr>
          <w:rFonts w:cs="Arial"/>
          <w:szCs w:val="20"/>
        </w:rPr>
        <w:t>18.</w:t>
      </w:r>
      <w:r w:rsidR="000258C6" w:rsidRPr="00445B9C">
        <w:rPr>
          <w:rFonts w:cs="Arial"/>
          <w:szCs w:val="20"/>
        </w:rPr>
        <w:t xml:space="preserve"> </w:t>
      </w:r>
      <w:r w:rsidR="00C30643" w:rsidRPr="00445B9C">
        <w:rPr>
          <w:rFonts w:cs="Arial"/>
          <w:szCs w:val="20"/>
        </w:rPr>
        <w:t xml:space="preserve">in 19. </w:t>
      </w:r>
      <w:r w:rsidR="000258C6" w:rsidRPr="00445B9C">
        <w:rPr>
          <w:rFonts w:cs="Arial"/>
          <w:szCs w:val="20"/>
        </w:rPr>
        <w:t>točka, ki se glasi</w:t>
      </w:r>
      <w:r w:rsidR="008712D4" w:rsidRPr="00445B9C">
        <w:rPr>
          <w:rFonts w:cs="Arial"/>
          <w:szCs w:val="20"/>
        </w:rPr>
        <w:t>jo</w:t>
      </w:r>
      <w:r w:rsidR="000258C6" w:rsidRPr="00445B9C">
        <w:rPr>
          <w:rFonts w:cs="Arial"/>
          <w:szCs w:val="20"/>
        </w:rPr>
        <w:t>:</w:t>
      </w:r>
    </w:p>
    <w:p w:rsidR="00364840" w:rsidRPr="00445B9C" w:rsidRDefault="00364840" w:rsidP="00BA786D">
      <w:pPr>
        <w:jc w:val="both"/>
        <w:rPr>
          <w:rFonts w:cs="Arial"/>
          <w:szCs w:val="20"/>
        </w:rPr>
      </w:pPr>
    </w:p>
    <w:p w:rsidR="003065CC" w:rsidRPr="00445B9C" w:rsidRDefault="002576A9" w:rsidP="00BA786D">
      <w:pPr>
        <w:jc w:val="both"/>
        <w:rPr>
          <w:rFonts w:cs="Arial"/>
          <w:szCs w:val="20"/>
        </w:rPr>
      </w:pPr>
      <w:r w:rsidRPr="00445B9C">
        <w:rPr>
          <w:rFonts w:cs="Arial"/>
          <w:szCs w:val="20"/>
        </w:rPr>
        <w:t>»</w:t>
      </w:r>
      <w:bookmarkStart w:id="9" w:name="_Hlk191024136"/>
      <w:r w:rsidR="000258C6" w:rsidRPr="00445B9C">
        <w:rPr>
          <w:rFonts w:cs="Arial"/>
          <w:szCs w:val="20"/>
        </w:rPr>
        <w:t>1</w:t>
      </w:r>
      <w:r w:rsidR="003065CC" w:rsidRPr="00445B9C">
        <w:rPr>
          <w:rFonts w:cs="Arial"/>
          <w:szCs w:val="20"/>
        </w:rPr>
        <w:t>7</w:t>
      </w:r>
      <w:r w:rsidR="000258C6" w:rsidRPr="00445B9C">
        <w:rPr>
          <w:rFonts w:cs="Arial"/>
          <w:szCs w:val="20"/>
        </w:rPr>
        <w:t xml:space="preserve">. Direktiva (EU) </w:t>
      </w:r>
      <w:r w:rsidR="00406622" w:rsidRPr="00445B9C">
        <w:rPr>
          <w:rFonts w:cs="Arial"/>
          <w:szCs w:val="20"/>
        </w:rPr>
        <w:t>2022/2</w:t>
      </w:r>
      <w:r w:rsidR="003065CC" w:rsidRPr="00445B9C">
        <w:rPr>
          <w:rFonts w:cs="Arial"/>
          <w:szCs w:val="20"/>
        </w:rPr>
        <w:t>556</w:t>
      </w:r>
      <w:r w:rsidR="00406622" w:rsidRPr="00445B9C">
        <w:rPr>
          <w:rFonts w:cs="Arial"/>
          <w:szCs w:val="20"/>
        </w:rPr>
        <w:t xml:space="preserve">/EU </w:t>
      </w:r>
      <w:r w:rsidR="000258C6" w:rsidRPr="00445B9C">
        <w:rPr>
          <w:rFonts w:cs="Arial"/>
          <w:szCs w:val="20"/>
        </w:rPr>
        <w:t xml:space="preserve">Evropskega parlamenta in Sveta z dne 14. decembra 2022 o spremembi </w:t>
      </w:r>
      <w:r w:rsidR="003065CC" w:rsidRPr="00445B9C">
        <w:rPr>
          <w:rFonts w:cs="Arial"/>
          <w:szCs w:val="20"/>
        </w:rPr>
        <w:t>direktiv 2009/65/ES, 2009/138/ES, 2011/61/EU, 2013/36/EU, 2014/59/EU, 2014/65/EU, (EU) 2015/2366 in (EU) 2016/2341 glede digitalne operativne odpornosti za finančni sektor (UL L št. 333 z dne 27. 12. 2022, str. 153</w:t>
      </w:r>
      <w:r w:rsidR="00573791" w:rsidRPr="00445B9C">
        <w:rPr>
          <w:rFonts w:cs="Arial"/>
          <w:szCs w:val="20"/>
        </w:rPr>
        <w:t>;</w:t>
      </w:r>
      <w:r w:rsidR="003065CC" w:rsidRPr="00445B9C">
        <w:rPr>
          <w:rFonts w:cs="Arial"/>
          <w:szCs w:val="20"/>
        </w:rPr>
        <w:t xml:space="preserve"> v nadaljnjem besedilu: Direktiva 2022/2556/EU);</w:t>
      </w:r>
    </w:p>
    <w:p w:rsidR="003065CC" w:rsidRPr="00445B9C" w:rsidRDefault="003065CC" w:rsidP="00BA786D">
      <w:pPr>
        <w:jc w:val="both"/>
        <w:rPr>
          <w:rFonts w:cs="Arial"/>
          <w:szCs w:val="20"/>
        </w:rPr>
      </w:pPr>
    </w:p>
    <w:p w:rsidR="00C30643" w:rsidRPr="00445B9C" w:rsidRDefault="003065CC" w:rsidP="00BA786D">
      <w:pPr>
        <w:jc w:val="both"/>
        <w:rPr>
          <w:rFonts w:cs="Arial"/>
          <w:szCs w:val="20"/>
        </w:rPr>
      </w:pPr>
      <w:r w:rsidRPr="00445B9C">
        <w:rPr>
          <w:rFonts w:cs="Arial"/>
          <w:szCs w:val="20"/>
        </w:rPr>
        <w:t xml:space="preserve">18. Direktiva (EU) 2023/2864 Evropskega parlamenta in Sveta z dne 13. decembra 2023 o spremembi nekaterih direktiv glede vzpostavitve in delovanja evropske enotne točke dostopa (UL L št. </w:t>
      </w:r>
      <w:r w:rsidR="00573791" w:rsidRPr="00445B9C">
        <w:rPr>
          <w:rFonts w:cs="Arial"/>
          <w:szCs w:val="20"/>
        </w:rPr>
        <w:t>2023/</w:t>
      </w:r>
      <w:r w:rsidRPr="00445B9C">
        <w:rPr>
          <w:rFonts w:cs="Arial"/>
          <w:szCs w:val="20"/>
        </w:rPr>
        <w:t>2864 z dne 20. 12. 2023</w:t>
      </w:r>
      <w:r w:rsidR="00573791" w:rsidRPr="00445B9C">
        <w:rPr>
          <w:rFonts w:cs="Arial"/>
          <w:szCs w:val="20"/>
        </w:rPr>
        <w:t>;</w:t>
      </w:r>
      <w:r w:rsidR="004D6523">
        <w:rPr>
          <w:rFonts w:cs="Arial"/>
          <w:szCs w:val="20"/>
        </w:rPr>
        <w:t xml:space="preserve"> </w:t>
      </w:r>
      <w:r w:rsidR="001E6B3A" w:rsidRPr="00445B9C">
        <w:rPr>
          <w:rFonts w:cs="Arial"/>
          <w:szCs w:val="20"/>
        </w:rPr>
        <w:t>v nadaljnjem besedilu: Direktiva 2023/2864/EU</w:t>
      </w:r>
      <w:r w:rsidRPr="00445B9C">
        <w:rPr>
          <w:rFonts w:cs="Arial"/>
          <w:szCs w:val="20"/>
        </w:rPr>
        <w:t>)</w:t>
      </w:r>
      <w:bookmarkEnd w:id="9"/>
      <w:r w:rsidR="00F249E8">
        <w:rPr>
          <w:rFonts w:cs="Arial"/>
          <w:szCs w:val="20"/>
        </w:rPr>
        <w:t>;</w:t>
      </w:r>
    </w:p>
    <w:p w:rsidR="00C30643" w:rsidRPr="00445B9C" w:rsidRDefault="00C30643" w:rsidP="00BA786D">
      <w:pPr>
        <w:jc w:val="both"/>
        <w:rPr>
          <w:rFonts w:cs="Arial"/>
          <w:szCs w:val="20"/>
        </w:rPr>
      </w:pPr>
    </w:p>
    <w:p w:rsidR="000258C6" w:rsidRPr="00445B9C" w:rsidRDefault="00C30643" w:rsidP="00BA786D">
      <w:pPr>
        <w:jc w:val="both"/>
        <w:rPr>
          <w:rFonts w:cs="Arial"/>
          <w:szCs w:val="20"/>
        </w:rPr>
      </w:pPr>
      <w:r w:rsidRPr="00445B9C">
        <w:rPr>
          <w:rFonts w:cs="Arial"/>
          <w:szCs w:val="20"/>
        </w:rPr>
        <w:t>19. Direktiva (EU) 2024/790 Evropskega parlamenta in Sveta z dne 28. februarja 2024 o spremembi Direktive 2014/65/EU o trgih finančnih instrumentov (UL L št. 790 z dne 8. 3. 2024, str. 1</w:t>
      </w:r>
      <w:r w:rsidR="004D6523">
        <w:rPr>
          <w:rFonts w:cs="Arial"/>
          <w:szCs w:val="20"/>
        </w:rPr>
        <w:t>;</w:t>
      </w:r>
      <w:r w:rsidRPr="00445B9C">
        <w:rPr>
          <w:rFonts w:cs="Arial"/>
          <w:szCs w:val="20"/>
        </w:rPr>
        <w:t xml:space="preserve"> v nadaljnjem besedilu: Direktiva 2024/790/EU).</w:t>
      </w:r>
      <w:r w:rsidR="00707C39" w:rsidRPr="00445B9C">
        <w:rPr>
          <w:rFonts w:cs="Arial"/>
          <w:szCs w:val="20"/>
        </w:rPr>
        <w:t>«.</w:t>
      </w:r>
    </w:p>
    <w:p w:rsidR="002576A9" w:rsidRPr="00445B9C" w:rsidRDefault="002576A9" w:rsidP="00BA786D">
      <w:pPr>
        <w:jc w:val="both"/>
        <w:rPr>
          <w:rFonts w:cs="Arial"/>
          <w:szCs w:val="20"/>
        </w:rPr>
      </w:pPr>
    </w:p>
    <w:p w:rsidR="00CF0FDA" w:rsidRPr="00445B9C" w:rsidRDefault="002576A9" w:rsidP="001D5C1D">
      <w:pPr>
        <w:jc w:val="both"/>
        <w:rPr>
          <w:rFonts w:cs="Arial"/>
          <w:szCs w:val="20"/>
        </w:rPr>
      </w:pPr>
      <w:r w:rsidRPr="00445B9C">
        <w:rPr>
          <w:rFonts w:cs="Arial"/>
          <w:szCs w:val="20"/>
        </w:rPr>
        <w:t>V drugem odstavku se</w:t>
      </w:r>
      <w:r w:rsidR="00AA2175" w:rsidRPr="00445B9C">
        <w:rPr>
          <w:rFonts w:cs="Arial"/>
          <w:szCs w:val="20"/>
        </w:rPr>
        <w:t xml:space="preserve"> v </w:t>
      </w:r>
      <w:r w:rsidR="006E03F5" w:rsidRPr="00445B9C">
        <w:rPr>
          <w:rFonts w:cs="Arial"/>
          <w:szCs w:val="20"/>
        </w:rPr>
        <w:t>2</w:t>
      </w:r>
      <w:r w:rsidRPr="00445B9C">
        <w:rPr>
          <w:rFonts w:cs="Arial"/>
          <w:szCs w:val="20"/>
        </w:rPr>
        <w:t>. točk</w:t>
      </w:r>
      <w:r w:rsidR="00AA2175" w:rsidRPr="00445B9C">
        <w:rPr>
          <w:rFonts w:cs="Arial"/>
          <w:szCs w:val="20"/>
        </w:rPr>
        <w:t>i</w:t>
      </w:r>
      <w:r w:rsidRPr="00445B9C">
        <w:rPr>
          <w:rFonts w:cs="Arial"/>
          <w:szCs w:val="20"/>
        </w:rPr>
        <w:t xml:space="preserve"> </w:t>
      </w:r>
      <w:r w:rsidR="00A6443F" w:rsidRPr="00445B9C">
        <w:rPr>
          <w:rFonts w:cs="Arial"/>
          <w:szCs w:val="20"/>
        </w:rPr>
        <w:t>besedilo »Uredbo (EU) 2019/630 Evropskega parlamenta in Sveta z dne 17. aprila 2019 o spremembi Uredbe (EU) št. 575/2013 glede minimalnega kritja izgub za nedonosne izpostavljenosti (UL L št. 111 z dne 25. 4. 2019, str. 4)</w:t>
      </w:r>
      <w:r w:rsidR="00573791" w:rsidRPr="00445B9C">
        <w:rPr>
          <w:rFonts w:cs="Arial"/>
          <w:szCs w:val="20"/>
        </w:rPr>
        <w:t>«</w:t>
      </w:r>
      <w:r w:rsidR="00A6443F" w:rsidRPr="00445B9C">
        <w:rPr>
          <w:rFonts w:cs="Arial"/>
          <w:szCs w:val="20"/>
        </w:rPr>
        <w:t xml:space="preserve"> nadomesti z besedilom »</w:t>
      </w:r>
      <w:r w:rsidR="006D1833" w:rsidRPr="006D1833">
        <w:rPr>
          <w:rFonts w:cs="Arial"/>
          <w:szCs w:val="20"/>
        </w:rPr>
        <w:t>zadnjič spremenjeno z Uredbo (EU) 2024/2987 Evropskega parlamenta in Sveta z dne 27. novembra 2024 o spremembi uredb (EU) št. 648/2012, (EU) št. 575/2013 in (EU) 2017/1131 v zvezi z ukrepi za zmanjšanje prekomerne izpostavljenosti do centralnih nasprotnih strank iz tretjih držav in izboljšanje učinkovitosti klirinških trgov Unije (UL L št. 2024/2987 z dne 4. 12. 2024)</w:t>
      </w:r>
      <w:r w:rsidR="003534FF" w:rsidRPr="00445B9C">
        <w:rPr>
          <w:rFonts w:cs="Arial"/>
          <w:szCs w:val="20"/>
        </w:rPr>
        <w:t>«</w:t>
      </w:r>
      <w:r w:rsidR="00AA2175" w:rsidRPr="00445B9C">
        <w:rPr>
          <w:rFonts w:cs="Arial"/>
          <w:szCs w:val="20"/>
        </w:rPr>
        <w:t>.</w:t>
      </w:r>
      <w:r w:rsidR="003534FF" w:rsidRPr="00445B9C">
        <w:rPr>
          <w:rFonts w:cs="Arial"/>
          <w:szCs w:val="20"/>
        </w:rPr>
        <w:t xml:space="preserve"> </w:t>
      </w:r>
    </w:p>
    <w:p w:rsidR="00CF0FDA" w:rsidRPr="00445B9C" w:rsidRDefault="00CF0FDA" w:rsidP="001D5C1D">
      <w:pPr>
        <w:jc w:val="both"/>
        <w:rPr>
          <w:rFonts w:cs="Arial"/>
          <w:szCs w:val="20"/>
        </w:rPr>
      </w:pPr>
    </w:p>
    <w:p w:rsidR="00D63C01" w:rsidRDefault="00D63C01">
      <w:pPr>
        <w:jc w:val="both"/>
        <w:rPr>
          <w:rFonts w:cs="Arial"/>
          <w:szCs w:val="20"/>
        </w:rPr>
      </w:pPr>
      <w:r>
        <w:rPr>
          <w:rFonts w:cs="Arial"/>
          <w:szCs w:val="20"/>
        </w:rPr>
        <w:lastRenderedPageBreak/>
        <w:t>V 3. točki se besedilo »</w:t>
      </w:r>
      <w:r w:rsidRPr="00D63C01">
        <w:rPr>
          <w:rFonts w:cs="Arial"/>
          <w:szCs w:val="20"/>
        </w:rPr>
        <w:t>Uredbo (EU) 2016/1033 Evropskega parlamenta in Sveta z dne 23. junija 2016 o spremembi Uredbe (EU) št. 600/2014 o trgih finančnih instrumentov, Uredbe (EU) št. 596/2014 o zlorabi trga in Uredbe (EU) št. 909/2014 o izboljšanju ureditve poravnav vrednostnih papirjev v Evropski uniji in o centralnih depotnih družbah (UL L št. 175 z dne 30. 6. 2016, str. 1)</w:t>
      </w:r>
      <w:r>
        <w:rPr>
          <w:rFonts w:cs="Arial"/>
          <w:szCs w:val="20"/>
        </w:rPr>
        <w:t>« nadomesti z besedilom »</w:t>
      </w:r>
      <w:r w:rsidRPr="00D63C01">
        <w:rPr>
          <w:rFonts w:cs="Arial"/>
          <w:szCs w:val="20"/>
        </w:rPr>
        <w:t>Uredb</w:t>
      </w:r>
      <w:r>
        <w:rPr>
          <w:rFonts w:cs="Arial"/>
          <w:szCs w:val="20"/>
        </w:rPr>
        <w:t>o</w:t>
      </w:r>
      <w:r w:rsidRPr="00D63C01">
        <w:rPr>
          <w:rFonts w:cs="Arial"/>
          <w:szCs w:val="20"/>
        </w:rPr>
        <w:t xml:space="preserve"> (EU) 2023/2869 Evropskega parlamenta in Sveta z dne 13. decembra 2023 o spremembi nekaterih uredb glede vzpostavitve in delovanja evropske enotne točke dostopa (UL L</w:t>
      </w:r>
      <w:r>
        <w:rPr>
          <w:rFonts w:cs="Arial"/>
          <w:szCs w:val="20"/>
        </w:rPr>
        <w:t xml:space="preserve"> št</w:t>
      </w:r>
      <w:r w:rsidRPr="00D63C01">
        <w:rPr>
          <w:rFonts w:cs="Arial"/>
          <w:szCs w:val="20"/>
        </w:rPr>
        <w:t xml:space="preserve"> 2023/2869</w:t>
      </w:r>
      <w:r>
        <w:rPr>
          <w:rFonts w:cs="Arial"/>
          <w:szCs w:val="20"/>
        </w:rPr>
        <w:t xml:space="preserve"> z dne</w:t>
      </w:r>
      <w:r w:rsidRPr="00D63C01">
        <w:rPr>
          <w:rFonts w:cs="Arial"/>
          <w:szCs w:val="20"/>
        </w:rPr>
        <w:t xml:space="preserve"> 20.</w:t>
      </w:r>
      <w:r>
        <w:rPr>
          <w:rFonts w:cs="Arial"/>
          <w:szCs w:val="20"/>
        </w:rPr>
        <w:t xml:space="preserve"> </w:t>
      </w:r>
      <w:r w:rsidRPr="00D63C01">
        <w:rPr>
          <w:rFonts w:cs="Arial"/>
          <w:szCs w:val="20"/>
        </w:rPr>
        <w:t>12.</w:t>
      </w:r>
      <w:r>
        <w:rPr>
          <w:rFonts w:cs="Arial"/>
          <w:szCs w:val="20"/>
        </w:rPr>
        <w:t xml:space="preserve"> </w:t>
      </w:r>
      <w:r w:rsidRPr="00D63C01">
        <w:rPr>
          <w:rFonts w:cs="Arial"/>
          <w:szCs w:val="20"/>
        </w:rPr>
        <w:t>2023)</w:t>
      </w:r>
      <w:r w:rsidR="00D56923">
        <w:rPr>
          <w:rFonts w:cs="Arial"/>
          <w:szCs w:val="20"/>
        </w:rPr>
        <w:t>«</w:t>
      </w:r>
      <w:r>
        <w:rPr>
          <w:rFonts w:cs="Arial"/>
          <w:szCs w:val="20"/>
        </w:rPr>
        <w:t>.</w:t>
      </w:r>
    </w:p>
    <w:p w:rsidR="00D63C01" w:rsidRDefault="00D63C01">
      <w:pPr>
        <w:jc w:val="both"/>
        <w:rPr>
          <w:rFonts w:cs="Arial"/>
          <w:szCs w:val="20"/>
        </w:rPr>
      </w:pPr>
    </w:p>
    <w:p w:rsidR="00CF0FDA" w:rsidRPr="00445B9C" w:rsidRDefault="00AA2175">
      <w:pPr>
        <w:jc w:val="both"/>
        <w:rPr>
          <w:rFonts w:cs="Arial"/>
          <w:szCs w:val="20"/>
        </w:rPr>
      </w:pPr>
      <w:r w:rsidRPr="00445B9C">
        <w:rPr>
          <w:rFonts w:cs="Arial"/>
          <w:szCs w:val="20"/>
        </w:rPr>
        <w:t xml:space="preserve">V </w:t>
      </w:r>
      <w:r w:rsidR="003534FF" w:rsidRPr="00445B9C">
        <w:rPr>
          <w:rFonts w:cs="Arial"/>
          <w:szCs w:val="20"/>
        </w:rPr>
        <w:t>4. točk</w:t>
      </w:r>
      <w:r w:rsidRPr="00445B9C">
        <w:rPr>
          <w:rFonts w:cs="Arial"/>
          <w:szCs w:val="20"/>
        </w:rPr>
        <w:t>i</w:t>
      </w:r>
      <w:r w:rsidR="003534FF" w:rsidRPr="00445B9C">
        <w:rPr>
          <w:rFonts w:cs="Arial"/>
          <w:szCs w:val="20"/>
        </w:rPr>
        <w:t xml:space="preserve"> se </w:t>
      </w:r>
      <w:r w:rsidR="007E6B8D" w:rsidRPr="00445B9C">
        <w:rPr>
          <w:rFonts w:cs="Arial"/>
          <w:szCs w:val="20"/>
        </w:rPr>
        <w:t>besedilo »Delegirano uredbo Komisije (EU) 2017/2417 z dne 17. novembra 2017 o dopolnitvi Uredbe (EU) št. 600/2014 Evropskega parlamenta in Sveta o trgih finančnih instrumentov v zvezi z regulativnimi tehničnimi standardi o obveznosti trgovanja za določene izvedene finančne instrumente (UL L št. 343 z dne 22. 12. 2017, str. 48)« nadomesti z besedilom »</w:t>
      </w:r>
      <w:r w:rsidR="00AA74AF" w:rsidRPr="00AA74AF">
        <w:rPr>
          <w:rFonts w:cs="Arial"/>
          <w:szCs w:val="20"/>
        </w:rPr>
        <w:t>Delegirana uredba Komisije (EU) 2025/1003 z dne 24. januarja 2025 o dopolnitvi Uredbe (EU) št. 600/2014 Evropskega parlamenta in Sveta v zvezi z referenčnimi podatki za identifikacijo za izvedene finančne instrumente OTC, ki se uporabljajo za namene zahtev po preglednosti iz člena 8a(2) ter členov 10 in 21</w:t>
      </w:r>
      <w:r w:rsidR="007E6B8D" w:rsidRPr="00445B9C">
        <w:rPr>
          <w:rFonts w:cs="Arial"/>
          <w:szCs w:val="20"/>
        </w:rPr>
        <w:t xml:space="preserve"> (UL L št. </w:t>
      </w:r>
      <w:r w:rsidR="00AA74AF" w:rsidRPr="00AA74AF">
        <w:rPr>
          <w:rFonts w:cs="Arial"/>
          <w:szCs w:val="20"/>
        </w:rPr>
        <w:t>2025/1003</w:t>
      </w:r>
      <w:r w:rsidR="007E6B8D" w:rsidRPr="00445B9C">
        <w:rPr>
          <w:rFonts w:cs="Arial"/>
          <w:szCs w:val="20"/>
        </w:rPr>
        <w:t xml:space="preserve"> z dne </w:t>
      </w:r>
      <w:r w:rsidR="00AA74AF">
        <w:rPr>
          <w:rFonts w:cs="Arial"/>
          <w:szCs w:val="20"/>
        </w:rPr>
        <w:t>22</w:t>
      </w:r>
      <w:r w:rsidR="007E6B8D" w:rsidRPr="00445B9C">
        <w:rPr>
          <w:rFonts w:cs="Arial"/>
          <w:szCs w:val="20"/>
        </w:rPr>
        <w:t xml:space="preserve">. </w:t>
      </w:r>
      <w:r w:rsidR="00AA74AF">
        <w:rPr>
          <w:rFonts w:cs="Arial"/>
          <w:szCs w:val="20"/>
        </w:rPr>
        <w:t>5</w:t>
      </w:r>
      <w:r w:rsidR="007E6B8D" w:rsidRPr="00445B9C">
        <w:rPr>
          <w:rFonts w:cs="Arial"/>
          <w:szCs w:val="20"/>
        </w:rPr>
        <w:t>. 202</w:t>
      </w:r>
      <w:r w:rsidR="00AA74AF">
        <w:rPr>
          <w:rFonts w:cs="Arial"/>
          <w:szCs w:val="20"/>
        </w:rPr>
        <w:t>5</w:t>
      </w:r>
      <w:r w:rsidR="007E6B8D" w:rsidRPr="00445B9C">
        <w:rPr>
          <w:rFonts w:cs="Arial"/>
          <w:szCs w:val="20"/>
        </w:rPr>
        <w:t>)«.</w:t>
      </w:r>
    </w:p>
    <w:p w:rsidR="00BB7A9E" w:rsidRPr="00445B9C" w:rsidRDefault="00BB7A9E">
      <w:pPr>
        <w:jc w:val="both"/>
        <w:rPr>
          <w:rFonts w:cs="Arial"/>
          <w:szCs w:val="20"/>
        </w:rPr>
      </w:pPr>
    </w:p>
    <w:p w:rsidR="00BB7A9E" w:rsidRPr="00445B9C" w:rsidRDefault="00BB7A9E">
      <w:pPr>
        <w:jc w:val="both"/>
        <w:rPr>
          <w:rFonts w:cs="Arial"/>
          <w:szCs w:val="20"/>
        </w:rPr>
      </w:pPr>
      <w:r w:rsidRPr="00445B9C">
        <w:rPr>
          <w:rFonts w:cs="Arial"/>
          <w:szCs w:val="20"/>
        </w:rPr>
        <w:t>Za 8. točko se pika nadomesti s podpičjem in doda nov</w:t>
      </w:r>
      <w:r w:rsidR="000316C0" w:rsidRPr="00445B9C">
        <w:rPr>
          <w:rFonts w:cs="Arial"/>
          <w:szCs w:val="20"/>
        </w:rPr>
        <w:t>a</w:t>
      </w:r>
      <w:r w:rsidRPr="00445B9C">
        <w:rPr>
          <w:rFonts w:cs="Arial"/>
          <w:szCs w:val="20"/>
        </w:rPr>
        <w:t>, 9. točka, ki se glasi:</w:t>
      </w:r>
    </w:p>
    <w:p w:rsidR="00BB7A9E" w:rsidRPr="00445B9C" w:rsidRDefault="00BB7A9E">
      <w:pPr>
        <w:jc w:val="both"/>
        <w:rPr>
          <w:rFonts w:cs="Arial"/>
          <w:szCs w:val="20"/>
        </w:rPr>
      </w:pPr>
    </w:p>
    <w:p w:rsidR="00BB7A9E" w:rsidRPr="00445B9C" w:rsidRDefault="00BB7A9E" w:rsidP="00EF5CE5">
      <w:pPr>
        <w:jc w:val="both"/>
        <w:rPr>
          <w:rFonts w:cs="Arial"/>
          <w:szCs w:val="20"/>
        </w:rPr>
      </w:pPr>
      <w:r w:rsidRPr="00445B9C">
        <w:rPr>
          <w:rFonts w:cs="Arial"/>
          <w:szCs w:val="20"/>
        </w:rPr>
        <w:t>»</w:t>
      </w:r>
      <w:r w:rsidR="000316C0" w:rsidRPr="00445B9C">
        <w:rPr>
          <w:rFonts w:cs="Arial"/>
          <w:szCs w:val="20"/>
        </w:rPr>
        <w:t xml:space="preserve">9. </w:t>
      </w:r>
      <w:r w:rsidRPr="00445B9C">
        <w:rPr>
          <w:rFonts w:cs="Arial"/>
          <w:szCs w:val="20"/>
        </w:rPr>
        <w:t xml:space="preserve">Uredba (EU) 2023/2859 Evropskega parlamenta in Sveta z dne 13. decembra 2023 o vzpostavitvi evropske enotne točke dostopa, ki zagotavlja centraliziran dostop do javno dostopnih informacij, pomembnih za finančne storitve, kapitalske trge in trajnostnost (UL L št. 2859 z dne 20. 12. 2023, str. 1), </w:t>
      </w:r>
      <w:r w:rsidR="0005085F" w:rsidRPr="0005085F">
        <w:rPr>
          <w:rFonts w:cs="Arial"/>
          <w:szCs w:val="20"/>
        </w:rPr>
        <w:t>zadnjič</w:t>
      </w:r>
      <w:r w:rsidRPr="00445B9C">
        <w:rPr>
          <w:rFonts w:cs="Arial"/>
          <w:szCs w:val="20"/>
        </w:rPr>
        <w:t xml:space="preserve"> spremenjena z </w:t>
      </w:r>
      <w:r w:rsidR="00A965AF" w:rsidRPr="00A965AF">
        <w:rPr>
          <w:rFonts w:cs="Arial"/>
          <w:szCs w:val="20"/>
        </w:rPr>
        <w:t>Uredb</w:t>
      </w:r>
      <w:r w:rsidR="00A965AF">
        <w:rPr>
          <w:rFonts w:cs="Arial"/>
          <w:szCs w:val="20"/>
        </w:rPr>
        <w:t>o</w:t>
      </w:r>
      <w:r w:rsidR="00A965AF" w:rsidRPr="00A965AF">
        <w:rPr>
          <w:rFonts w:cs="Arial"/>
          <w:szCs w:val="20"/>
        </w:rPr>
        <w:t xml:space="preserve"> (EU) 2024/3005 Evropskega parlamenta in Sveta z dne 27. novembra 2024 o preglednosti in celovitosti dejavnosti ocenjevanja okoljskih, socialnih in upravljavskih (ESG) dejavnikov ter spremembi uredb (EU) 2019/2088</w:t>
      </w:r>
      <w:r w:rsidRPr="00445B9C">
        <w:rPr>
          <w:rFonts w:cs="Arial"/>
          <w:szCs w:val="20"/>
        </w:rPr>
        <w:t xml:space="preserve"> (UL L št. </w:t>
      </w:r>
      <w:r w:rsidR="00A965AF" w:rsidRPr="00A965AF">
        <w:rPr>
          <w:rFonts w:cs="Arial"/>
          <w:szCs w:val="20"/>
        </w:rPr>
        <w:t>2024/3005</w:t>
      </w:r>
      <w:r w:rsidRPr="00445B9C">
        <w:rPr>
          <w:rFonts w:cs="Arial"/>
          <w:szCs w:val="20"/>
        </w:rPr>
        <w:t xml:space="preserve"> z dne </w:t>
      </w:r>
      <w:r w:rsidR="00A965AF">
        <w:rPr>
          <w:rFonts w:cs="Arial"/>
          <w:szCs w:val="20"/>
        </w:rPr>
        <w:t>12</w:t>
      </w:r>
      <w:r w:rsidRPr="00445B9C">
        <w:rPr>
          <w:rFonts w:cs="Arial"/>
          <w:szCs w:val="20"/>
        </w:rPr>
        <w:t xml:space="preserve">. </w:t>
      </w:r>
      <w:r w:rsidR="00A965AF">
        <w:rPr>
          <w:rFonts w:cs="Arial"/>
          <w:szCs w:val="20"/>
        </w:rPr>
        <w:t>12</w:t>
      </w:r>
      <w:r w:rsidRPr="00445B9C">
        <w:rPr>
          <w:rFonts w:cs="Arial"/>
          <w:szCs w:val="20"/>
        </w:rPr>
        <w:t>. 2024, str. 1), (v nadaljnjem besedilu: Uredba 2023/2859/EU).«.</w:t>
      </w:r>
    </w:p>
    <w:p w:rsidR="00A93426" w:rsidRPr="00445B9C" w:rsidRDefault="00006119" w:rsidP="00F810E6">
      <w:pPr>
        <w:numPr>
          <w:ilvl w:val="0"/>
          <w:numId w:val="16"/>
        </w:numPr>
        <w:spacing w:before="240" w:after="240" w:line="259" w:lineRule="auto"/>
        <w:ind w:left="720"/>
        <w:jc w:val="center"/>
        <w:outlineLvl w:val="0"/>
        <w:rPr>
          <w:rFonts w:eastAsiaTheme="majorEastAsia" w:cs="Arial"/>
          <w:b/>
          <w:szCs w:val="20"/>
        </w:rPr>
      </w:pPr>
      <w:bookmarkStart w:id="10" w:name="_Ref192067043"/>
      <w:r w:rsidRPr="00445B9C">
        <w:rPr>
          <w:rFonts w:eastAsiaTheme="majorEastAsia" w:cs="Arial"/>
          <w:b/>
          <w:szCs w:val="20"/>
        </w:rPr>
        <w:t>člen</w:t>
      </w:r>
      <w:bookmarkEnd w:id="10"/>
    </w:p>
    <w:p w:rsidR="00B714AD" w:rsidRPr="00445B9C" w:rsidRDefault="00B714AD" w:rsidP="00B714AD">
      <w:pPr>
        <w:jc w:val="both"/>
        <w:rPr>
          <w:rFonts w:cs="Arial"/>
          <w:szCs w:val="20"/>
        </w:rPr>
      </w:pPr>
      <w:r w:rsidRPr="00445B9C">
        <w:rPr>
          <w:rFonts w:cs="Arial"/>
          <w:szCs w:val="20"/>
        </w:rPr>
        <w:t>V 4. členu se drugi odstavek spremeni tako, da se glasi:</w:t>
      </w:r>
    </w:p>
    <w:p w:rsidR="00B714AD" w:rsidRPr="00445B9C" w:rsidRDefault="00B714AD" w:rsidP="00B714AD">
      <w:pPr>
        <w:jc w:val="both"/>
        <w:rPr>
          <w:rFonts w:cs="Arial"/>
          <w:szCs w:val="20"/>
        </w:rPr>
      </w:pPr>
    </w:p>
    <w:p w:rsidR="00B714AD" w:rsidRPr="00445B9C" w:rsidRDefault="00B714AD" w:rsidP="00B714AD">
      <w:pPr>
        <w:jc w:val="both"/>
        <w:rPr>
          <w:rFonts w:cs="Arial"/>
          <w:szCs w:val="20"/>
        </w:rPr>
      </w:pPr>
      <w:r w:rsidRPr="00445B9C">
        <w:rPr>
          <w:rFonts w:cs="Arial"/>
          <w:szCs w:val="20"/>
        </w:rPr>
        <w:t>»(2) V tem zakonu so za predpise EU</w:t>
      </w:r>
      <w:r w:rsidR="001C77C0">
        <w:rPr>
          <w:rFonts w:cs="Arial"/>
          <w:szCs w:val="20"/>
        </w:rPr>
        <w:t xml:space="preserve"> –</w:t>
      </w:r>
      <w:r w:rsidRPr="00445B9C">
        <w:rPr>
          <w:rFonts w:cs="Arial"/>
          <w:szCs w:val="20"/>
        </w:rPr>
        <w:t xml:space="preserve"> poleg skrajšanih naslovov, navedenih v 2. členu tega zakona</w:t>
      </w:r>
      <w:r w:rsidR="001C77C0">
        <w:rPr>
          <w:rFonts w:cs="Arial"/>
          <w:szCs w:val="20"/>
        </w:rPr>
        <w:t xml:space="preserve"> –</w:t>
      </w:r>
      <w:r w:rsidRPr="00445B9C">
        <w:rPr>
          <w:rFonts w:cs="Arial"/>
          <w:szCs w:val="20"/>
        </w:rPr>
        <w:t xml:space="preserve"> uporabljeni še naslednji naslovi:</w:t>
      </w:r>
    </w:p>
    <w:p w:rsidR="00B714AD" w:rsidRPr="00445B9C" w:rsidRDefault="00B714AD" w:rsidP="00B714AD">
      <w:pPr>
        <w:jc w:val="both"/>
        <w:rPr>
          <w:rFonts w:cs="Arial"/>
          <w:szCs w:val="20"/>
        </w:rPr>
      </w:pPr>
      <w:r w:rsidRPr="00445B9C">
        <w:rPr>
          <w:rFonts w:cs="Arial"/>
          <w:szCs w:val="20"/>
        </w:rPr>
        <w:t xml:space="preserve">1.     Direktiva 2001/24/ES je Direktiva 2001/24/ES Evropskega parlamenta in Sveta z dne 4. aprila 2001 o reorganizaciji in prenehanju kreditnih institucij (UL L št. 125 z dne 5. 5. 2001, str. 15), </w:t>
      </w:r>
      <w:r w:rsidR="0005085F" w:rsidRPr="0005085F">
        <w:rPr>
          <w:rFonts w:cs="Arial"/>
          <w:szCs w:val="20"/>
        </w:rPr>
        <w:t>zadnjič</w:t>
      </w:r>
      <w:r w:rsidRPr="00445B9C">
        <w:rPr>
          <w:rFonts w:cs="Arial"/>
          <w:szCs w:val="20"/>
        </w:rPr>
        <w:t xml:space="preserve">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w:t>
      </w:r>
      <w:r w:rsidR="00851B7D">
        <w:rPr>
          <w:rFonts w:cs="Arial"/>
          <w:szCs w:val="20"/>
        </w:rPr>
        <w:t>;</w:t>
      </w:r>
    </w:p>
    <w:p w:rsidR="00B714AD" w:rsidRPr="00445B9C" w:rsidRDefault="00B714AD" w:rsidP="00B714AD">
      <w:pPr>
        <w:jc w:val="both"/>
        <w:rPr>
          <w:rFonts w:cs="Arial"/>
          <w:szCs w:val="20"/>
        </w:rPr>
      </w:pPr>
      <w:r w:rsidRPr="00445B9C">
        <w:rPr>
          <w:rFonts w:cs="Arial"/>
          <w:szCs w:val="20"/>
        </w:rPr>
        <w:t xml:space="preserve">2.    Uredba 1606/2002/ES je Uredba (ES) št. 1606/2002/ES Evropskega parlamenta in Sveta z dne 19. julija 2002 o uporabi mednarodnih računovodskih standardov (UL L št. 243 z dne 11. 9. 2002, str. 1), </w:t>
      </w:r>
      <w:r w:rsidR="0005085F" w:rsidRPr="0005085F">
        <w:rPr>
          <w:rFonts w:cs="Arial"/>
          <w:szCs w:val="20"/>
        </w:rPr>
        <w:t>zadnjič</w:t>
      </w:r>
      <w:r w:rsidRPr="00445B9C">
        <w:rPr>
          <w:rFonts w:cs="Arial"/>
          <w:szCs w:val="20"/>
        </w:rPr>
        <w:t xml:space="preserve"> spremenjena z Uredbo (ES) št. 297/2008 Evropskega parlamenta in Sveta z dne 11. marca 2008 o spremembah Uredbe (ES) št. 1606/2002 o uporabi mednarodnih računovodskih standardov, glede Komisiji podeljenih izvedbenih pooblastil (UL L št. 97 z dne 9. 4. 2008, str. 62)</w:t>
      </w:r>
      <w:r w:rsidR="00851B7D">
        <w:rPr>
          <w:rFonts w:cs="Arial"/>
          <w:szCs w:val="20"/>
        </w:rPr>
        <w:t>;</w:t>
      </w:r>
    </w:p>
    <w:p w:rsidR="00B714AD" w:rsidRPr="00445B9C" w:rsidRDefault="00B714AD" w:rsidP="00B714AD">
      <w:pPr>
        <w:jc w:val="both"/>
        <w:rPr>
          <w:rFonts w:cs="Arial"/>
          <w:szCs w:val="20"/>
        </w:rPr>
      </w:pPr>
      <w:r w:rsidRPr="00445B9C">
        <w:rPr>
          <w:rFonts w:cs="Arial"/>
          <w:szCs w:val="20"/>
        </w:rPr>
        <w:t xml:space="preserve">3.    Direktiva 2003/87/ES je Direktiva 2003/87/ES Evropskega parlamenta in Sveta z dne 13. oktobra 2003 o vzpostavitvi sistema za trgovanje s pravicami do emisije toplogrednih plinov v Skupnosti in o spremembi Direktive Sveta 96/61/ES (UL L št. 275, z dne 25. 10. 2003, str. 32), zadnjič spremenjena z Delegirano uredbo Komisije (EU) 2025/723 z dne 6. februarja 2025 o dopolnitvi Direktive 2003/87/ES Evropskega parlamenta in Sveta z določitvijo podrobnih pravil za </w:t>
      </w:r>
      <w:r w:rsidRPr="00445B9C">
        <w:rPr>
          <w:rFonts w:cs="Arial"/>
          <w:szCs w:val="20"/>
        </w:rPr>
        <w:lastRenderedPageBreak/>
        <w:t>letni izračun razlik v cenah med upravičenimi letalskimi gorivi in fosilnim kerozinom ter za dodelitev pravic v okviru EU ETS za uporabo upravičenih letalskih goriv (UL L št. 2025/723 z dne 16. 4. 2025)</w:t>
      </w:r>
      <w:r w:rsidR="00851B7D">
        <w:rPr>
          <w:rFonts w:cs="Arial"/>
          <w:szCs w:val="20"/>
        </w:rPr>
        <w:t>;</w:t>
      </w:r>
    </w:p>
    <w:p w:rsidR="00B714AD" w:rsidRPr="00445B9C" w:rsidRDefault="00B714AD" w:rsidP="00B714AD">
      <w:pPr>
        <w:jc w:val="both"/>
        <w:rPr>
          <w:rFonts w:cs="Arial"/>
          <w:szCs w:val="20"/>
        </w:rPr>
      </w:pPr>
      <w:r w:rsidRPr="00445B9C">
        <w:rPr>
          <w:rFonts w:cs="Arial"/>
          <w:szCs w:val="20"/>
        </w:rPr>
        <w:t>4.     Direktiva 2009/65/ES je Direktiva 2009/65/ES Evropskega parlamenta in Sveta z dne 13. julija 2009 o usklajevanju zakonov in drugih predpisov o kolektivnih naložbenih podjemih za vlaganja v prenosljive vrednostne papirje (KNPVP) (UL L št. 302 z dne 17. 11. 2009, str. 32), zadnjič spremenjena z Delegirano uredbo Komisije (EU) 2024/911 z dne 15. decembra 2023 o dopolnitvi Direktive 2009/65/ES Evropskega parlamenta in Sveta v zvezi z regulativnimi tehničnimi standardi o določitvi podatkov, ki jih je treba predložiti v zvezi s čezmejnimi dejavnostmi družb za upravljanje in kolektivnih naložbenih podjemov za vlaganja v prenosljive vrednostne papirje (KNPVP) (UL L št. 2024/911 z dne 25. 3. 2024)</w:t>
      </w:r>
      <w:r w:rsidR="00851B7D">
        <w:rPr>
          <w:rFonts w:cs="Arial"/>
          <w:szCs w:val="20"/>
        </w:rPr>
        <w:t>;</w:t>
      </w:r>
    </w:p>
    <w:p w:rsidR="00B714AD" w:rsidRPr="00445B9C" w:rsidRDefault="00B714AD" w:rsidP="00B714AD">
      <w:pPr>
        <w:jc w:val="both"/>
        <w:rPr>
          <w:rFonts w:cs="Arial"/>
          <w:szCs w:val="20"/>
        </w:rPr>
      </w:pPr>
      <w:r w:rsidRPr="00445B9C">
        <w:rPr>
          <w:rFonts w:cs="Arial"/>
          <w:szCs w:val="20"/>
        </w:rPr>
        <w:t>5.     Uredba 1092/2010/ES je Uredba (EU) št. 1092/2010 Evropskega parlamenta in Sveta z dne 24. novembra 2010 o makrobonitetnem nadzoru nad finančnim sistemom Evropske unije in ustanovitvi Evropskega odbora za sistemska tveganja (UL L št. 331 z dne 15. 12. 2010, str. 1), zadnjič spremenjena z Uredbo (EU) 2019/2176 Evropskega parlamenta in Sveta z dne 18. decembra 2019 o spremembi Uredbe (EU) št. 1092/2010 o makrobonitetnem nadzoru nad finančnim sistemom Evropske unije in ustanovitvi Evropskega odbora za sistemska tveganja (UL L št. 334 z dne 27. 12. 2019, str. 146)</w:t>
      </w:r>
      <w:r w:rsidR="00851B7D">
        <w:rPr>
          <w:rFonts w:cs="Arial"/>
          <w:szCs w:val="20"/>
        </w:rPr>
        <w:t>;</w:t>
      </w:r>
    </w:p>
    <w:p w:rsidR="00B714AD" w:rsidRPr="00445B9C" w:rsidRDefault="00B714AD" w:rsidP="00B714AD">
      <w:pPr>
        <w:jc w:val="both"/>
        <w:rPr>
          <w:rFonts w:cs="Arial"/>
          <w:szCs w:val="20"/>
        </w:rPr>
      </w:pPr>
      <w:r w:rsidRPr="00445B9C">
        <w:rPr>
          <w:rFonts w:cs="Arial"/>
          <w:szCs w:val="20"/>
        </w:rPr>
        <w:t>6.   Uredba 1095/2010/ES je Uredba (EU) št. 1095/2010 Evropskega parlamenta in Sveta z dne 24. novembra 2010 o ustanovitvi Evropskega nadzornega organa (Evropski organ za vrednostne papirje in trge) in o spremembi Sklepa št. 716/2009/ES ter razveljavitvi Sklepa Komisije 2009/77/ES (UL L št. 331 z dne 15. 12. 2010, str. 84), zadnjič spremenjena z Uredbo (EU) 2024/2987 Evropskega parlamenta in Sveta z dne 27. novembra 2024 o spremembi uredb (EU) št. 648/2012, (EU) št. 575/2013 in (EU) 2017/1131 v zvezi z ukrepi za zmanjšanje prekomerne izpostavljenosti do centralnih nasprotnih strank iz tretjih držav in izboljšanje učinkovitosti klirinških trgov Unije (UL L št. 2024/2987 z dne 4. 12. 2024)</w:t>
      </w:r>
      <w:r w:rsidR="00851B7D">
        <w:rPr>
          <w:rFonts w:cs="Arial"/>
          <w:szCs w:val="20"/>
        </w:rPr>
        <w:t>;</w:t>
      </w:r>
    </w:p>
    <w:p w:rsidR="00B714AD" w:rsidRPr="00445B9C" w:rsidRDefault="00B714AD" w:rsidP="00B714AD">
      <w:pPr>
        <w:jc w:val="both"/>
        <w:rPr>
          <w:rFonts w:cs="Arial"/>
          <w:szCs w:val="20"/>
        </w:rPr>
      </w:pPr>
      <w:r w:rsidRPr="00445B9C">
        <w:rPr>
          <w:rFonts w:cs="Arial"/>
          <w:szCs w:val="20"/>
        </w:rPr>
        <w:t>7.   Uredba 1227/2011/EU je Uredba (EU) št. 1227/2011 Evropskega parlamenta in Sveta z dne 25. oktobra 2011 o celovitosti in preglednosti veleprodajnega energetskega trga (UL L št. 326 z dne 8. 12. 2011, str. 1), zadnjič spremenjena z Uredbo (EU) 2024/1789 Evropskega parlamenta in Sveta z dne 13. junija 2024 o notranjem trgu plina iz obnovljivih virov, zemeljskega plina in vodika, spremembi uredb (EU) št. 1227/2011, (EU) 2017/1938, (EU) 2019/942 in (EU) 2022/869 ter Sklepa (EU) 2017/684 in razveljavitvi Uredbe (ES) št. 715/2009 (prenovitev) (UL L št. 2024/1789 z dne 15. 7. 2024)</w:t>
      </w:r>
      <w:r w:rsidR="00851B7D">
        <w:rPr>
          <w:rFonts w:cs="Arial"/>
          <w:szCs w:val="20"/>
        </w:rPr>
        <w:t>;</w:t>
      </w:r>
    </w:p>
    <w:p w:rsidR="00B714AD" w:rsidRPr="00445B9C" w:rsidRDefault="00B714AD" w:rsidP="00B714AD">
      <w:pPr>
        <w:jc w:val="both"/>
        <w:rPr>
          <w:rFonts w:cs="Arial"/>
          <w:szCs w:val="20"/>
        </w:rPr>
      </w:pPr>
      <w:r w:rsidRPr="00445B9C">
        <w:rPr>
          <w:rFonts w:cs="Arial"/>
          <w:szCs w:val="20"/>
        </w:rPr>
        <w:t>8.   Uredba 648/2012/EU je Uredba (EU) št. 648/2012 Evropskega parlamenta in Sveta z dne 4. julija 2012 o izvedenih finančnih instrumentih OTC, centralnih nasprotnih strankah in repozitorijih sklenjenih poslov (UL L št. 201 z dne 27. 7. 2012, str. 1), zadnjič spremenjena z Direktivo (EU) 2025/1 Evropskega parlamenta in Sveta z dne 27. novembra 2024 o vzpostavitvi okvira za sanacijo in reševanje zavarovalnic in pozavarovalnic ter spremembi direktiv 2002/47/ES, 2004/25/ES, 2007/36/ES, 2014/59/EU in (EU) 2017/1132 ter uredb (EU) št. 1094/2010, (EU) št. 648/2012, (EU) št. 806/2014 in (EU) 2017/1129 (UL L št. 2025/1 z dne 8. 1. 2025)</w:t>
      </w:r>
      <w:r w:rsidR="00851B7D">
        <w:rPr>
          <w:rFonts w:cs="Arial"/>
          <w:szCs w:val="20"/>
        </w:rPr>
        <w:t>;</w:t>
      </w:r>
    </w:p>
    <w:p w:rsidR="00B714AD" w:rsidRPr="00445B9C" w:rsidRDefault="00B714AD" w:rsidP="00B714AD">
      <w:pPr>
        <w:jc w:val="both"/>
        <w:rPr>
          <w:rFonts w:cs="Arial"/>
          <w:szCs w:val="20"/>
        </w:rPr>
      </w:pPr>
      <w:r w:rsidRPr="00445B9C">
        <w:rPr>
          <w:rFonts w:cs="Arial"/>
          <w:szCs w:val="20"/>
        </w:rPr>
        <w:t>9.   Direktiva 2013/34/EU je Direktiva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(UL L št. 182 z dne 29. 6. 2013, str. 19)</w:t>
      </w:r>
      <w:r w:rsidR="00A965AF">
        <w:rPr>
          <w:rFonts w:cs="Arial"/>
          <w:szCs w:val="20"/>
        </w:rPr>
        <w:t>,</w:t>
      </w:r>
      <w:r w:rsidRPr="00445B9C">
        <w:rPr>
          <w:rFonts w:cs="Arial"/>
          <w:szCs w:val="20"/>
        </w:rPr>
        <w:t xml:space="preserve"> zadnjič spremenjena z Direktivo (EU) 2025/2 Evropskega parlamenta in Sveta z dne 27. novembra 2024 o spremembi Direktive 2009/138/ES glede sorazmernosti, kakovosti nadzora, poročanja, dolgoročnih jamstvenih ukrepov, makrobonitetnih orodij, tveganj glede trajnostnosti ter nadzora skupin in čezmejnega nadzora ter spremembi direktiv 2002/87/ES in 2013/34/EU (UL L št. 2025/2 z dne 8. 1. 2025)</w:t>
      </w:r>
      <w:r w:rsidR="00851B7D">
        <w:rPr>
          <w:rFonts w:cs="Arial"/>
          <w:szCs w:val="20"/>
        </w:rPr>
        <w:t>;</w:t>
      </w:r>
    </w:p>
    <w:p w:rsidR="00B714AD" w:rsidRPr="00445B9C" w:rsidRDefault="00B714AD" w:rsidP="00B714AD">
      <w:pPr>
        <w:jc w:val="both"/>
        <w:rPr>
          <w:rFonts w:cs="Arial"/>
          <w:szCs w:val="20"/>
        </w:rPr>
      </w:pPr>
      <w:r w:rsidRPr="00445B9C">
        <w:rPr>
          <w:rFonts w:cs="Arial"/>
          <w:szCs w:val="20"/>
        </w:rPr>
        <w:t xml:space="preserve">10.   Uredba 1308/2013/EU je Uredba (EU) št. 1308/2013 Evropskega parlamenta in Sveta z dne 17. decembra 2013 o vzpostavitvi skupne ureditve trgov kmetijskih proizvodov in razveljavitvi uredb Sveta (EGS) št. 922/72, (EGS) št. 234/79, (ES) št. 1037/2001 in (ES) št. 1234/2007 (UL L </w:t>
      </w:r>
      <w:r w:rsidRPr="00445B9C">
        <w:rPr>
          <w:rFonts w:cs="Arial"/>
          <w:szCs w:val="20"/>
        </w:rPr>
        <w:lastRenderedPageBreak/>
        <w:t>št. 347 z dne 20. 12. 2013, str. 671), zadnjič spremenjena z Izvedbeno uredbo Komisije (EU) 2025/1015 z dne 26. maja 2025 o začasnih nujnih ukrepih za Španijo, ki odstopajo od nekaterih določb Uredbe (EU) št. 1308/2013 Evropskega parlamenta in Sveta, Delegirane uredbe Komisije (EU) 2017/891 in Izvedbene uredbe Komisije (EU) 2017/892 za reševanje specifičnih problemov v sektorju sadja in zelenjave, ki so jih povzročili hujši neugodni vremenski dogodki (UL L št. 2025/1015 z dne 27. 5. 2025)</w:t>
      </w:r>
      <w:r w:rsidR="00851B7D">
        <w:rPr>
          <w:rFonts w:cs="Arial"/>
          <w:szCs w:val="20"/>
        </w:rPr>
        <w:t>;</w:t>
      </w:r>
    </w:p>
    <w:p w:rsidR="00B714AD" w:rsidRPr="00445B9C" w:rsidRDefault="00B714AD" w:rsidP="00B714AD">
      <w:pPr>
        <w:jc w:val="both"/>
        <w:rPr>
          <w:rFonts w:cs="Arial"/>
          <w:szCs w:val="20"/>
        </w:rPr>
      </w:pPr>
      <w:r w:rsidRPr="00445B9C">
        <w:rPr>
          <w:rFonts w:cs="Arial"/>
          <w:szCs w:val="20"/>
        </w:rPr>
        <w:t>11. Uredba 2022/858/EU je Uredba (EU) 2022/858 Evropskega parlamenta in Sveta z dne 30. maja 2022 o pilotni ureditvi za tržne infrastrukture na podlagi tehnologije razpršene evidence ter spremembi uredb (EU) št. 600/2014 in (EU) št. 909/2014 ter Direktive 2014/65/EU (UL L št. 151 z dne 2. 6. 2022, str. 1);</w:t>
      </w:r>
    </w:p>
    <w:p w:rsidR="00B714AD" w:rsidRPr="00445B9C" w:rsidRDefault="00B714AD" w:rsidP="00B714AD">
      <w:pPr>
        <w:jc w:val="both"/>
        <w:rPr>
          <w:rFonts w:cs="Arial"/>
          <w:szCs w:val="20"/>
        </w:rPr>
      </w:pPr>
      <w:r w:rsidRPr="00445B9C">
        <w:rPr>
          <w:rFonts w:cs="Arial"/>
          <w:szCs w:val="20"/>
        </w:rPr>
        <w:t>12. Uredba 2016/1437/EU je Delegirana uredba Komisije (EU) 2016/1437 z dne 19. maja 2016 o dopolnitvi Direktive 2004/109/ES Evropskega parlamenta in Sveta v zvezi z regulativnimi tehničnimi standardi za dostop do predpisanih informacij na ravni Unije (UL L št. 234 z dne 31. 8. 2016, str. 1);</w:t>
      </w:r>
    </w:p>
    <w:p w:rsidR="00B714AD" w:rsidRDefault="00B714AD" w:rsidP="00B714AD">
      <w:pPr>
        <w:jc w:val="both"/>
        <w:rPr>
          <w:rFonts w:cs="Arial"/>
          <w:szCs w:val="20"/>
        </w:rPr>
      </w:pPr>
      <w:r w:rsidRPr="00445B9C">
        <w:rPr>
          <w:rFonts w:cs="Arial"/>
          <w:szCs w:val="20"/>
        </w:rPr>
        <w:t>13. Uredba 2019/943/EU je Uredba (EU) 2019/943 Evropskega parlamenta in Sveta z dne 5. junija 2019 o notranjem trgu električne energije (UL L št. 158 z dne 14. 6. 2019, str. 54), zadnjič spremenjena s Sklepom Komisije (EU) 2025/1016 z dne 16. maja 2025 o odobritvi odstopanja Kraljevini Španiji od nekaterih določb Uredbe (EU) 2019/943 Evropskega parlamenta in Sveta ter Direktive (EU) 2019/944 Evropskega parlamenta in Sveta glede Melille (notificirano pod dokumentarno številko C(2025) 3175) (UL L št. 2025/1016, z dne 23. 5. 2025, str. 1);</w:t>
      </w:r>
    </w:p>
    <w:p w:rsidR="00570D1E" w:rsidRPr="00445B9C" w:rsidRDefault="00570D1E" w:rsidP="00B714AD">
      <w:pPr>
        <w:jc w:val="both"/>
        <w:rPr>
          <w:rFonts w:cs="Arial"/>
          <w:szCs w:val="20"/>
        </w:rPr>
      </w:pPr>
      <w:r>
        <w:rPr>
          <w:rFonts w:cs="Arial"/>
          <w:szCs w:val="20"/>
        </w:rPr>
        <w:t xml:space="preserve">14. </w:t>
      </w:r>
      <w:r w:rsidRPr="00570D1E">
        <w:rPr>
          <w:rFonts w:cs="Arial"/>
          <w:szCs w:val="20"/>
        </w:rPr>
        <w:t>Uredba 2022/2554</w:t>
      </w:r>
      <w:r>
        <w:rPr>
          <w:rFonts w:cs="Arial"/>
          <w:szCs w:val="20"/>
        </w:rPr>
        <w:t>/EU je</w:t>
      </w:r>
      <w:r w:rsidRPr="00570D1E">
        <w:rPr>
          <w:rFonts w:cs="Arial"/>
          <w:szCs w:val="20"/>
        </w:rPr>
        <w:t xml:space="preserve"> Uredba (EU) 2022/2554 Evropskega parlamenta in Sveta z dne 14. decembra 2022 o digitalni operativni odpornosti za finančni sektor in spremembi uredb (ES) št. 1060/2009, (EU) št. 648/2012, (EU) št. 600/2014, (EU) št. 909/2014 in (EU) 2016/1011</w:t>
      </w:r>
      <w:r>
        <w:rPr>
          <w:rFonts w:cs="Arial"/>
          <w:szCs w:val="20"/>
        </w:rPr>
        <w:t xml:space="preserve"> (</w:t>
      </w:r>
      <w:r w:rsidRPr="00570D1E">
        <w:rPr>
          <w:rFonts w:cs="Arial"/>
          <w:szCs w:val="20"/>
        </w:rPr>
        <w:t xml:space="preserve">UL L </w:t>
      </w:r>
      <w:r>
        <w:rPr>
          <w:rFonts w:cs="Arial"/>
          <w:szCs w:val="20"/>
        </w:rPr>
        <w:t xml:space="preserve">št. </w:t>
      </w:r>
      <w:r w:rsidRPr="00570D1E">
        <w:rPr>
          <w:rFonts w:cs="Arial"/>
          <w:szCs w:val="20"/>
        </w:rPr>
        <w:t>333</w:t>
      </w:r>
      <w:r>
        <w:rPr>
          <w:rFonts w:cs="Arial"/>
          <w:szCs w:val="20"/>
        </w:rPr>
        <w:t xml:space="preserve"> z dne</w:t>
      </w:r>
      <w:r w:rsidRPr="00570D1E">
        <w:rPr>
          <w:rFonts w:cs="Arial"/>
          <w:szCs w:val="20"/>
        </w:rPr>
        <w:t xml:space="preserve"> 27.</w:t>
      </w:r>
      <w:r>
        <w:rPr>
          <w:rFonts w:cs="Arial"/>
          <w:szCs w:val="20"/>
        </w:rPr>
        <w:t xml:space="preserve"> </w:t>
      </w:r>
      <w:r w:rsidRPr="00570D1E">
        <w:rPr>
          <w:rFonts w:cs="Arial"/>
          <w:szCs w:val="20"/>
        </w:rPr>
        <w:t>12.</w:t>
      </w:r>
      <w:r>
        <w:rPr>
          <w:rFonts w:cs="Arial"/>
          <w:szCs w:val="20"/>
        </w:rPr>
        <w:t xml:space="preserve"> </w:t>
      </w:r>
      <w:r w:rsidRPr="00570D1E">
        <w:rPr>
          <w:rFonts w:cs="Arial"/>
          <w:szCs w:val="20"/>
        </w:rPr>
        <w:t xml:space="preserve">2022, </w:t>
      </w:r>
      <w:r>
        <w:rPr>
          <w:rFonts w:cs="Arial"/>
          <w:szCs w:val="20"/>
        </w:rPr>
        <w:t xml:space="preserve">str. </w:t>
      </w:r>
      <w:r w:rsidRPr="00570D1E">
        <w:rPr>
          <w:rFonts w:cs="Arial"/>
          <w:szCs w:val="20"/>
        </w:rPr>
        <w:t>1</w:t>
      </w:r>
      <w:r>
        <w:rPr>
          <w:rFonts w:cs="Arial"/>
          <w:szCs w:val="20"/>
        </w:rPr>
        <w:t xml:space="preserve">), zadnjič spremenjena z </w:t>
      </w:r>
      <w:r w:rsidRPr="00570D1E">
        <w:rPr>
          <w:rFonts w:cs="Arial"/>
          <w:szCs w:val="20"/>
        </w:rPr>
        <w:t>Delegiran</w:t>
      </w:r>
      <w:r>
        <w:rPr>
          <w:rFonts w:cs="Arial"/>
          <w:szCs w:val="20"/>
        </w:rPr>
        <w:t>o</w:t>
      </w:r>
      <w:r w:rsidRPr="00570D1E">
        <w:rPr>
          <w:rFonts w:cs="Arial"/>
          <w:szCs w:val="20"/>
        </w:rPr>
        <w:t xml:space="preserve"> uredba Komisije (EU) 2025/420 z dne 16. decembra 2024 o dopolnitvi Uredbe (EU) 2022/2554 Evropskega parlamenta in Sveta v zvezi z regulativnimi tehničnimi standardi, v katerih se določijo merila za določitev sestave skupne </w:t>
      </w:r>
      <w:proofErr w:type="spellStart"/>
      <w:r w:rsidRPr="00570D1E">
        <w:rPr>
          <w:rFonts w:cs="Arial"/>
          <w:szCs w:val="20"/>
        </w:rPr>
        <w:t>pregledniške</w:t>
      </w:r>
      <w:proofErr w:type="spellEnd"/>
      <w:r w:rsidRPr="00570D1E">
        <w:rPr>
          <w:rFonts w:cs="Arial"/>
          <w:szCs w:val="20"/>
        </w:rPr>
        <w:t xml:space="preserve"> ekipe, ki zagotavljajo uravnoteženo udeležbo članov osebja iz evropskih nadzornih organov in ustreznih pristojnih organov, njihovo imenovanje, naloge in delovne dogovore</w:t>
      </w:r>
      <w:r>
        <w:rPr>
          <w:rFonts w:cs="Arial"/>
          <w:szCs w:val="20"/>
        </w:rPr>
        <w:t xml:space="preserve"> (</w:t>
      </w:r>
      <w:r w:rsidRPr="00570D1E">
        <w:rPr>
          <w:rFonts w:cs="Arial"/>
          <w:szCs w:val="20"/>
        </w:rPr>
        <w:t>UL L</w:t>
      </w:r>
      <w:r>
        <w:rPr>
          <w:rFonts w:cs="Arial"/>
          <w:szCs w:val="20"/>
        </w:rPr>
        <w:t xml:space="preserve"> št.</w:t>
      </w:r>
      <w:r w:rsidRPr="00570D1E">
        <w:rPr>
          <w:rFonts w:cs="Arial"/>
          <w:szCs w:val="20"/>
        </w:rPr>
        <w:t xml:space="preserve"> 2025/420</w:t>
      </w:r>
      <w:r>
        <w:rPr>
          <w:rFonts w:cs="Arial"/>
          <w:szCs w:val="20"/>
        </w:rPr>
        <w:t xml:space="preserve"> z dne</w:t>
      </w:r>
      <w:r w:rsidRPr="00570D1E">
        <w:rPr>
          <w:rFonts w:cs="Arial"/>
          <w:szCs w:val="20"/>
        </w:rPr>
        <w:t xml:space="preserve"> 24.</w:t>
      </w:r>
      <w:r>
        <w:rPr>
          <w:rFonts w:cs="Arial"/>
          <w:szCs w:val="20"/>
        </w:rPr>
        <w:t xml:space="preserve"> </w:t>
      </w:r>
      <w:r w:rsidRPr="00570D1E">
        <w:rPr>
          <w:rFonts w:cs="Arial"/>
          <w:szCs w:val="20"/>
        </w:rPr>
        <w:t>3.</w:t>
      </w:r>
      <w:r>
        <w:rPr>
          <w:rFonts w:cs="Arial"/>
          <w:szCs w:val="20"/>
        </w:rPr>
        <w:t xml:space="preserve"> </w:t>
      </w:r>
      <w:r w:rsidRPr="00570D1E">
        <w:rPr>
          <w:rFonts w:cs="Arial"/>
          <w:szCs w:val="20"/>
        </w:rPr>
        <w:t>2025</w:t>
      </w:r>
      <w:r>
        <w:rPr>
          <w:rFonts w:cs="Arial"/>
          <w:szCs w:val="20"/>
        </w:rPr>
        <w:t>);</w:t>
      </w:r>
    </w:p>
    <w:p w:rsidR="00B714AD" w:rsidRPr="00445B9C" w:rsidRDefault="00B714AD" w:rsidP="00B714AD">
      <w:pPr>
        <w:jc w:val="both"/>
        <w:rPr>
          <w:rFonts w:cs="Arial"/>
          <w:szCs w:val="20"/>
        </w:rPr>
      </w:pPr>
      <w:r w:rsidRPr="00445B9C">
        <w:rPr>
          <w:rFonts w:cs="Arial"/>
          <w:szCs w:val="20"/>
        </w:rPr>
        <w:t>1</w:t>
      </w:r>
      <w:r w:rsidR="00570D1E">
        <w:rPr>
          <w:rFonts w:cs="Arial"/>
          <w:szCs w:val="20"/>
        </w:rPr>
        <w:t>5</w:t>
      </w:r>
      <w:r w:rsidRPr="00445B9C">
        <w:rPr>
          <w:rFonts w:cs="Arial"/>
          <w:szCs w:val="20"/>
        </w:rPr>
        <w:t>. Uredba 2024/1789/EU je Uredba (EU) 2024/1789 Evropskega parlamenta in Sveta z dne 13. junija 2024 o notranjem trgu plina iz obnovljivih virov, zemeljskega plina in vodika, spremembi uredb (EU) št. 1227/2011, (EU) 2017/1938, (EU) 2019/942 in (EU) 2022/869 ter Sklepa (EU) 2017/684 in razveljavitvi Uredbe (ES) št. 715/2009 (UL L št. 2024/1789, z dne 15. 7. 2024).«</w:t>
      </w:r>
      <w:r w:rsidR="00A965AF">
        <w:rPr>
          <w:rFonts w:cs="Arial"/>
          <w:szCs w:val="20"/>
        </w:rPr>
        <w:t>.</w:t>
      </w:r>
    </w:p>
    <w:p w:rsidR="006A2506" w:rsidRPr="00445B9C" w:rsidRDefault="006A2506" w:rsidP="00BA786D">
      <w:pPr>
        <w:jc w:val="both"/>
        <w:rPr>
          <w:rFonts w:cs="Arial"/>
          <w:szCs w:val="20"/>
        </w:rPr>
      </w:pPr>
    </w:p>
    <w:p w:rsidR="006A2506" w:rsidRPr="00445B9C" w:rsidRDefault="006A2506" w:rsidP="00F810E6">
      <w:pPr>
        <w:numPr>
          <w:ilvl w:val="0"/>
          <w:numId w:val="16"/>
        </w:numPr>
        <w:spacing w:before="240" w:after="240" w:line="259" w:lineRule="auto"/>
        <w:ind w:left="720"/>
        <w:jc w:val="center"/>
        <w:outlineLvl w:val="0"/>
        <w:rPr>
          <w:rFonts w:eastAsiaTheme="majorEastAsia" w:cs="Arial"/>
          <w:b/>
          <w:szCs w:val="20"/>
        </w:rPr>
      </w:pPr>
      <w:bookmarkStart w:id="11" w:name="_Ref192067056"/>
      <w:bookmarkStart w:id="12" w:name="_Ref64902437"/>
      <w:r w:rsidRPr="00445B9C">
        <w:rPr>
          <w:rFonts w:eastAsiaTheme="majorEastAsia" w:cs="Arial"/>
          <w:b/>
          <w:szCs w:val="20"/>
        </w:rPr>
        <w:t>člen</w:t>
      </w:r>
      <w:bookmarkEnd w:id="11"/>
    </w:p>
    <w:p w:rsidR="00CF0FDA" w:rsidRPr="00445B9C" w:rsidRDefault="006A2506" w:rsidP="00142A77">
      <w:pPr>
        <w:spacing w:before="240" w:after="240" w:line="259" w:lineRule="auto"/>
        <w:jc w:val="both"/>
        <w:outlineLvl w:val="0"/>
        <w:rPr>
          <w:rFonts w:cs="Arial"/>
          <w:szCs w:val="20"/>
        </w:rPr>
      </w:pPr>
      <w:r w:rsidRPr="00445B9C">
        <w:rPr>
          <w:rFonts w:eastAsiaTheme="majorEastAsia" w:cs="Arial"/>
          <w:bCs/>
          <w:szCs w:val="20"/>
        </w:rPr>
        <w:t xml:space="preserve">V 5. členu se </w:t>
      </w:r>
      <w:r w:rsidRPr="00445B9C">
        <w:rPr>
          <w:rFonts w:cs="Arial"/>
          <w:szCs w:val="20"/>
        </w:rPr>
        <w:t xml:space="preserve">v tretjem odstavku </w:t>
      </w:r>
      <w:r w:rsidR="007F37F9" w:rsidRPr="00445B9C">
        <w:rPr>
          <w:rFonts w:cs="Arial"/>
          <w:szCs w:val="20"/>
        </w:rPr>
        <w:t>besedilo »»modelsko tveganje«« nadomesti z besedilom</w:t>
      </w:r>
      <w:r w:rsidRPr="00445B9C">
        <w:rPr>
          <w:rFonts w:cs="Arial"/>
          <w:szCs w:val="20"/>
        </w:rPr>
        <w:t xml:space="preserve"> </w:t>
      </w:r>
      <w:r w:rsidR="00906858" w:rsidRPr="00445B9C">
        <w:rPr>
          <w:rFonts w:cs="Arial"/>
          <w:szCs w:val="20"/>
        </w:rPr>
        <w:t>»</w:t>
      </w:r>
      <w:r w:rsidRPr="00445B9C">
        <w:rPr>
          <w:rFonts w:cs="Arial"/>
          <w:szCs w:val="20"/>
        </w:rPr>
        <w:t>»kreditne družbe«</w:t>
      </w:r>
      <w:r w:rsidR="00906858" w:rsidRPr="00445B9C">
        <w:rPr>
          <w:rFonts w:cs="Arial"/>
          <w:szCs w:val="20"/>
        </w:rPr>
        <w:t>«</w:t>
      </w:r>
      <w:r w:rsidR="00AA2175" w:rsidRPr="00445B9C">
        <w:rPr>
          <w:rFonts w:cs="Arial"/>
          <w:szCs w:val="20"/>
        </w:rPr>
        <w:t>.</w:t>
      </w:r>
    </w:p>
    <w:p w:rsidR="00CF0FDA" w:rsidRPr="00445B9C" w:rsidRDefault="004C1206" w:rsidP="00142A77">
      <w:pPr>
        <w:rPr>
          <w:rFonts w:cs="Arial"/>
          <w:szCs w:val="20"/>
        </w:rPr>
      </w:pPr>
      <w:r w:rsidRPr="00445B9C">
        <w:rPr>
          <w:rFonts w:cs="Arial"/>
          <w:szCs w:val="20"/>
        </w:rPr>
        <w:t>Z</w:t>
      </w:r>
      <w:r w:rsidR="008E1D59" w:rsidRPr="00445B9C">
        <w:rPr>
          <w:rFonts w:cs="Arial"/>
          <w:szCs w:val="20"/>
        </w:rPr>
        <w:t xml:space="preserve">a </w:t>
      </w:r>
      <w:r w:rsidRPr="00445B9C">
        <w:rPr>
          <w:rFonts w:cs="Arial"/>
          <w:szCs w:val="20"/>
        </w:rPr>
        <w:t>sedemindvajsetim</w:t>
      </w:r>
      <w:r w:rsidR="008E1D59" w:rsidRPr="00445B9C">
        <w:rPr>
          <w:rFonts w:cs="Arial"/>
          <w:szCs w:val="20"/>
        </w:rPr>
        <w:t xml:space="preserve"> odstavkom </w:t>
      </w:r>
      <w:r w:rsidR="00065A3E" w:rsidRPr="00445B9C">
        <w:rPr>
          <w:rFonts w:cs="Arial"/>
          <w:szCs w:val="20"/>
        </w:rPr>
        <w:t xml:space="preserve">se </w:t>
      </w:r>
      <w:r w:rsidR="008E1D59" w:rsidRPr="00445B9C">
        <w:rPr>
          <w:rFonts w:cs="Arial"/>
          <w:szCs w:val="20"/>
        </w:rPr>
        <w:t>doda nov</w:t>
      </w:r>
      <w:r w:rsidRPr="00445B9C">
        <w:rPr>
          <w:rFonts w:cs="Arial"/>
          <w:szCs w:val="20"/>
        </w:rPr>
        <w:t>,</w:t>
      </w:r>
      <w:r w:rsidR="008E1D59" w:rsidRPr="00445B9C">
        <w:rPr>
          <w:rFonts w:cs="Arial"/>
          <w:szCs w:val="20"/>
        </w:rPr>
        <w:t xml:space="preserve"> </w:t>
      </w:r>
      <w:r w:rsidRPr="00445B9C">
        <w:rPr>
          <w:rFonts w:cs="Arial"/>
          <w:szCs w:val="20"/>
        </w:rPr>
        <w:t>osemindvajseti</w:t>
      </w:r>
      <w:r w:rsidR="008E1D59" w:rsidRPr="00445B9C">
        <w:rPr>
          <w:rFonts w:cs="Arial"/>
          <w:szCs w:val="20"/>
        </w:rPr>
        <w:t xml:space="preserve"> odstavek, ki se glasi:</w:t>
      </w:r>
    </w:p>
    <w:p w:rsidR="00CF0FDA" w:rsidRPr="00445B9C" w:rsidRDefault="008E1D59" w:rsidP="00142A77">
      <w:pPr>
        <w:rPr>
          <w:rFonts w:eastAsiaTheme="majorEastAsia" w:cs="Arial"/>
          <w:bCs/>
          <w:szCs w:val="20"/>
        </w:rPr>
      </w:pPr>
      <w:r w:rsidRPr="00445B9C">
        <w:rPr>
          <w:rFonts w:eastAsiaTheme="majorEastAsia" w:cs="Arial"/>
          <w:bCs/>
          <w:szCs w:val="20"/>
        </w:rPr>
        <w:t>»</w:t>
      </w:r>
      <w:r w:rsidR="004C1206" w:rsidRPr="00445B9C">
        <w:rPr>
          <w:rFonts w:eastAsiaTheme="majorEastAsia" w:cs="Arial"/>
          <w:bCs/>
          <w:szCs w:val="20"/>
        </w:rPr>
        <w:t>(</w:t>
      </w:r>
      <w:r w:rsidR="00137CFE" w:rsidRPr="00445B9C">
        <w:rPr>
          <w:rFonts w:eastAsiaTheme="majorEastAsia" w:cs="Arial"/>
          <w:bCs/>
          <w:szCs w:val="20"/>
        </w:rPr>
        <w:t>28</w:t>
      </w:r>
      <w:r w:rsidR="004C1206" w:rsidRPr="00445B9C">
        <w:rPr>
          <w:rFonts w:eastAsiaTheme="majorEastAsia" w:cs="Arial"/>
          <w:bCs/>
          <w:szCs w:val="20"/>
        </w:rPr>
        <w:t>)</w:t>
      </w:r>
      <w:r w:rsidR="00137CFE" w:rsidRPr="00445B9C">
        <w:rPr>
          <w:rFonts w:eastAsiaTheme="majorEastAsia" w:cs="Arial"/>
          <w:bCs/>
          <w:szCs w:val="20"/>
        </w:rPr>
        <w:t xml:space="preserve"> </w:t>
      </w:r>
      <w:r w:rsidRPr="00445B9C">
        <w:rPr>
          <w:rFonts w:eastAsiaTheme="majorEastAsia" w:cs="Arial"/>
          <w:bCs/>
          <w:szCs w:val="20"/>
        </w:rPr>
        <w:t>Pojem »evropska enotna točka dostopa« se uporablja, kot je določen v 1. členu Uredbe 2023/2859/EU.«</w:t>
      </w:r>
      <w:r w:rsidR="00AE492D" w:rsidRPr="00445B9C">
        <w:rPr>
          <w:rFonts w:eastAsiaTheme="majorEastAsia" w:cs="Arial"/>
          <w:bCs/>
          <w:szCs w:val="20"/>
        </w:rPr>
        <w:t>.</w:t>
      </w:r>
    </w:p>
    <w:p w:rsidR="00A42E62" w:rsidRPr="00445B9C" w:rsidRDefault="00A42E62" w:rsidP="00A42E62">
      <w:pPr>
        <w:numPr>
          <w:ilvl w:val="0"/>
          <w:numId w:val="16"/>
        </w:numPr>
        <w:spacing w:before="240" w:after="240" w:line="259" w:lineRule="auto"/>
        <w:ind w:left="720"/>
        <w:jc w:val="center"/>
        <w:outlineLvl w:val="0"/>
        <w:rPr>
          <w:rFonts w:eastAsiaTheme="majorEastAsia" w:cs="Arial"/>
          <w:b/>
          <w:szCs w:val="20"/>
        </w:rPr>
      </w:pPr>
      <w:bookmarkStart w:id="13" w:name="_Ref196824312"/>
      <w:r w:rsidRPr="00445B9C">
        <w:rPr>
          <w:rFonts w:eastAsiaTheme="majorEastAsia" w:cs="Arial"/>
          <w:b/>
          <w:szCs w:val="20"/>
        </w:rPr>
        <w:t>člen</w:t>
      </w:r>
      <w:bookmarkEnd w:id="13"/>
    </w:p>
    <w:p w:rsidR="00A42E62" w:rsidRPr="00445B9C" w:rsidRDefault="00A42E62" w:rsidP="00A42E62">
      <w:pPr>
        <w:spacing w:before="240" w:after="240" w:line="259" w:lineRule="auto"/>
        <w:jc w:val="both"/>
        <w:outlineLvl w:val="0"/>
        <w:rPr>
          <w:rFonts w:eastAsiaTheme="majorEastAsia" w:cs="Arial"/>
          <w:bCs/>
          <w:szCs w:val="20"/>
        </w:rPr>
      </w:pPr>
      <w:r w:rsidRPr="00445B9C">
        <w:rPr>
          <w:rFonts w:eastAsiaTheme="majorEastAsia" w:cs="Arial"/>
          <w:bCs/>
          <w:szCs w:val="20"/>
        </w:rPr>
        <w:t>V 20. členu se v drugem odstavku za besedo »banka« doda besedilo »ali kreditna družba«.</w:t>
      </w:r>
    </w:p>
    <w:p w:rsidR="00A42E62" w:rsidRPr="00445B9C" w:rsidRDefault="00C460B8" w:rsidP="00C460B8">
      <w:pPr>
        <w:spacing w:before="240" w:after="240" w:line="259" w:lineRule="auto"/>
        <w:jc w:val="both"/>
        <w:outlineLvl w:val="0"/>
        <w:rPr>
          <w:rFonts w:eastAsiaTheme="majorEastAsia" w:cs="Arial"/>
          <w:bCs/>
          <w:szCs w:val="20"/>
        </w:rPr>
      </w:pPr>
      <w:r w:rsidRPr="00445B9C">
        <w:rPr>
          <w:rFonts w:eastAsiaTheme="majorEastAsia" w:cs="Arial"/>
          <w:bCs/>
          <w:szCs w:val="20"/>
        </w:rPr>
        <w:t>V četrtem odstavku se besedilo »borznoposredniško družbo ali banko« nadomesti z besedilom »borznoposredniško družbo, banko ali kreditno družbo«.</w:t>
      </w:r>
    </w:p>
    <w:p w:rsidR="006A2506" w:rsidRPr="00445B9C" w:rsidRDefault="00AE492D" w:rsidP="00F810E6">
      <w:pPr>
        <w:numPr>
          <w:ilvl w:val="0"/>
          <w:numId w:val="16"/>
        </w:numPr>
        <w:spacing w:before="240" w:after="240" w:line="259" w:lineRule="auto"/>
        <w:ind w:left="720"/>
        <w:jc w:val="center"/>
        <w:outlineLvl w:val="0"/>
        <w:rPr>
          <w:rFonts w:eastAsiaTheme="majorEastAsia" w:cs="Arial"/>
          <w:b/>
          <w:szCs w:val="20"/>
        </w:rPr>
      </w:pPr>
      <w:bookmarkStart w:id="14" w:name="_Ref196733803"/>
      <w:bookmarkEnd w:id="12"/>
      <w:r w:rsidRPr="00445B9C">
        <w:rPr>
          <w:rFonts w:eastAsiaTheme="majorEastAsia" w:cs="Arial"/>
          <w:b/>
          <w:szCs w:val="20"/>
        </w:rPr>
        <w:t>člen</w:t>
      </w:r>
      <w:bookmarkEnd w:id="14"/>
    </w:p>
    <w:p w:rsidR="006A2506" w:rsidRPr="00445B9C" w:rsidRDefault="00AE492D" w:rsidP="00BA786D">
      <w:pPr>
        <w:spacing w:before="240" w:after="240" w:line="259" w:lineRule="auto"/>
        <w:jc w:val="both"/>
        <w:outlineLvl w:val="0"/>
        <w:rPr>
          <w:rFonts w:eastAsiaTheme="majorEastAsia" w:cs="Arial"/>
          <w:bCs/>
          <w:szCs w:val="20"/>
        </w:rPr>
      </w:pPr>
      <w:r w:rsidRPr="00445B9C">
        <w:rPr>
          <w:rFonts w:eastAsiaTheme="majorEastAsia" w:cs="Arial"/>
          <w:bCs/>
          <w:szCs w:val="20"/>
        </w:rPr>
        <w:lastRenderedPageBreak/>
        <w:t>Besed</w:t>
      </w:r>
      <w:r w:rsidR="00DD0B00" w:rsidRPr="00445B9C">
        <w:rPr>
          <w:rFonts w:eastAsiaTheme="majorEastAsia" w:cs="Arial"/>
          <w:bCs/>
          <w:szCs w:val="20"/>
        </w:rPr>
        <w:t>i</w:t>
      </w:r>
      <w:r w:rsidRPr="00445B9C">
        <w:rPr>
          <w:rFonts w:eastAsiaTheme="majorEastAsia" w:cs="Arial"/>
          <w:bCs/>
          <w:szCs w:val="20"/>
        </w:rPr>
        <w:t xml:space="preserve">lo </w:t>
      </w:r>
      <w:r w:rsidR="006A2506" w:rsidRPr="00445B9C">
        <w:rPr>
          <w:rFonts w:eastAsiaTheme="majorEastAsia" w:cs="Arial"/>
          <w:bCs/>
          <w:szCs w:val="20"/>
        </w:rPr>
        <w:t>28. člen</w:t>
      </w:r>
      <w:r w:rsidRPr="00445B9C">
        <w:rPr>
          <w:rFonts w:eastAsiaTheme="majorEastAsia" w:cs="Arial"/>
          <w:bCs/>
          <w:szCs w:val="20"/>
        </w:rPr>
        <w:t>a</w:t>
      </w:r>
      <w:r w:rsidR="006A2506" w:rsidRPr="00445B9C">
        <w:rPr>
          <w:rFonts w:eastAsiaTheme="majorEastAsia" w:cs="Arial"/>
          <w:bCs/>
          <w:szCs w:val="20"/>
        </w:rPr>
        <w:t xml:space="preserve"> se spremeni tako, da se glasi:</w:t>
      </w:r>
    </w:p>
    <w:p w:rsidR="006A2506" w:rsidRPr="00445B9C" w:rsidRDefault="00AE492D" w:rsidP="00BA786D">
      <w:pPr>
        <w:spacing w:before="240" w:after="240" w:line="259" w:lineRule="auto"/>
        <w:jc w:val="both"/>
        <w:outlineLvl w:val="0"/>
        <w:rPr>
          <w:rFonts w:eastAsiaTheme="majorEastAsia" w:cs="Arial"/>
          <w:bCs/>
          <w:szCs w:val="20"/>
        </w:rPr>
      </w:pPr>
      <w:r w:rsidRPr="00445B9C">
        <w:rPr>
          <w:rFonts w:eastAsiaTheme="majorEastAsia" w:cs="Arial"/>
          <w:bCs/>
          <w:szCs w:val="20"/>
        </w:rPr>
        <w:t>»</w:t>
      </w:r>
      <w:r w:rsidR="006A2506" w:rsidRPr="00445B9C">
        <w:rPr>
          <w:rFonts w:eastAsiaTheme="majorEastAsia" w:cs="Arial"/>
          <w:bCs/>
          <w:szCs w:val="20"/>
        </w:rPr>
        <w:t>Večstranski sistem pomeni večstranski sistem, kakor je opredeljen v 11. točki prvega odstavka 2. člena Uredbe 600/2014/EU.«.</w:t>
      </w:r>
    </w:p>
    <w:p w:rsidR="006A2506" w:rsidRPr="00445B9C" w:rsidRDefault="00AE492D" w:rsidP="00F810E6">
      <w:pPr>
        <w:numPr>
          <w:ilvl w:val="0"/>
          <w:numId w:val="16"/>
        </w:numPr>
        <w:spacing w:before="240" w:after="240" w:line="259" w:lineRule="auto"/>
        <w:ind w:left="720"/>
        <w:jc w:val="center"/>
        <w:outlineLvl w:val="0"/>
        <w:rPr>
          <w:rFonts w:eastAsiaTheme="majorEastAsia" w:cs="Arial"/>
          <w:b/>
          <w:szCs w:val="20"/>
        </w:rPr>
      </w:pPr>
      <w:bookmarkStart w:id="15" w:name="_Ref196733822"/>
      <w:r w:rsidRPr="00445B9C">
        <w:rPr>
          <w:rFonts w:eastAsiaTheme="majorEastAsia" w:cs="Arial"/>
          <w:b/>
          <w:szCs w:val="20"/>
        </w:rPr>
        <w:t>člen</w:t>
      </w:r>
      <w:bookmarkEnd w:id="15"/>
    </w:p>
    <w:p w:rsidR="006A2506" w:rsidRPr="00445B9C" w:rsidRDefault="006A2506"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34. členu se drugi odstavek spremeni tako, da se glasi:</w:t>
      </w:r>
    </w:p>
    <w:p w:rsidR="006A2506" w:rsidRPr="00445B9C" w:rsidRDefault="006A2506"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»(2) Sistematični </w:t>
      </w:r>
      <w:proofErr w:type="spellStart"/>
      <w:r w:rsidRPr="00445B9C">
        <w:rPr>
          <w:rFonts w:eastAsiaTheme="majorEastAsia" w:cs="Arial"/>
          <w:bCs/>
          <w:szCs w:val="20"/>
        </w:rPr>
        <w:t>internalizator</w:t>
      </w:r>
      <w:proofErr w:type="spellEnd"/>
      <w:r w:rsidRPr="00445B9C">
        <w:rPr>
          <w:rFonts w:eastAsiaTheme="majorEastAsia" w:cs="Arial"/>
          <w:bCs/>
          <w:szCs w:val="20"/>
        </w:rPr>
        <w:t xml:space="preserve"> je investicijsko podjetje, ki na organizirani, pogosti in sistematični podlagi posluje za lasten račun z lastniškimi finančnimi instrumenti z izvrševanjem naročil strank zunaj organiziranega trga, MTF ali OTF, ne da bi upravljal večstranski sistem, ali ki se samo odloči za delovanje v statusu sistematičnega </w:t>
      </w:r>
      <w:proofErr w:type="spellStart"/>
      <w:r w:rsidRPr="00445B9C">
        <w:rPr>
          <w:rFonts w:eastAsiaTheme="majorEastAsia" w:cs="Arial"/>
          <w:bCs/>
          <w:szCs w:val="20"/>
        </w:rPr>
        <w:t>internalizatorja</w:t>
      </w:r>
      <w:proofErr w:type="spellEnd"/>
      <w:r w:rsidRPr="00445B9C">
        <w:rPr>
          <w:rFonts w:eastAsiaTheme="majorEastAsia" w:cs="Arial"/>
          <w:bCs/>
          <w:szCs w:val="20"/>
        </w:rPr>
        <w:t>.</w:t>
      </w:r>
      <w:r w:rsidR="00B2527F" w:rsidRPr="00445B9C">
        <w:rPr>
          <w:rFonts w:eastAsiaTheme="majorEastAsia" w:cs="Arial"/>
          <w:bCs/>
          <w:szCs w:val="20"/>
        </w:rPr>
        <w:t>«.</w:t>
      </w:r>
    </w:p>
    <w:p w:rsidR="00B2527F" w:rsidRPr="00445B9C" w:rsidRDefault="006A2506" w:rsidP="00BA786D">
      <w:pPr>
        <w:spacing w:before="240" w:after="240" w:line="259" w:lineRule="auto"/>
        <w:jc w:val="both"/>
        <w:outlineLvl w:val="0"/>
        <w:rPr>
          <w:rFonts w:eastAsiaTheme="majorEastAsia" w:cs="Arial"/>
          <w:bCs/>
          <w:szCs w:val="20"/>
        </w:rPr>
      </w:pPr>
      <w:r w:rsidRPr="00445B9C">
        <w:rPr>
          <w:rFonts w:eastAsiaTheme="majorEastAsia" w:cs="Arial"/>
          <w:bCs/>
          <w:szCs w:val="20"/>
        </w:rPr>
        <w:t>Tretji odstavek se črta</w:t>
      </w:r>
      <w:r w:rsidR="00B2527F" w:rsidRPr="00445B9C">
        <w:rPr>
          <w:rFonts w:eastAsiaTheme="majorEastAsia" w:cs="Arial"/>
          <w:bCs/>
          <w:szCs w:val="20"/>
        </w:rPr>
        <w:t>.</w:t>
      </w:r>
    </w:p>
    <w:p w:rsidR="00DE6BF1" w:rsidRPr="00445B9C" w:rsidRDefault="00DE6BF1" w:rsidP="00DE6BF1">
      <w:pPr>
        <w:numPr>
          <w:ilvl w:val="0"/>
          <w:numId w:val="16"/>
        </w:numPr>
        <w:spacing w:before="240" w:after="240" w:line="259" w:lineRule="auto"/>
        <w:ind w:left="720"/>
        <w:jc w:val="center"/>
        <w:outlineLvl w:val="0"/>
        <w:rPr>
          <w:rFonts w:eastAsiaTheme="majorEastAsia" w:cs="Arial"/>
          <w:b/>
          <w:szCs w:val="20"/>
        </w:rPr>
      </w:pPr>
      <w:bookmarkStart w:id="16" w:name="_Ref196824582"/>
      <w:r w:rsidRPr="00445B9C">
        <w:rPr>
          <w:rFonts w:eastAsiaTheme="majorEastAsia" w:cs="Arial"/>
          <w:b/>
          <w:szCs w:val="20"/>
        </w:rPr>
        <w:t>člen</w:t>
      </w:r>
      <w:bookmarkEnd w:id="16"/>
    </w:p>
    <w:p w:rsidR="00DE6BF1" w:rsidRPr="00445B9C" w:rsidRDefault="00DE6BF1" w:rsidP="00DE6BF1">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36. členu se v </w:t>
      </w:r>
      <w:r w:rsidR="008264DD" w:rsidRPr="00445B9C">
        <w:rPr>
          <w:rFonts w:eastAsiaTheme="majorEastAsia" w:cs="Arial"/>
          <w:bCs/>
          <w:szCs w:val="20"/>
        </w:rPr>
        <w:t>drugem odstavku</w:t>
      </w:r>
      <w:r w:rsidR="00FD0FF2">
        <w:rPr>
          <w:rFonts w:eastAsiaTheme="majorEastAsia" w:cs="Arial"/>
          <w:bCs/>
          <w:szCs w:val="20"/>
        </w:rPr>
        <w:t xml:space="preserve"> v</w:t>
      </w:r>
      <w:r w:rsidR="008264DD" w:rsidRPr="00445B9C">
        <w:rPr>
          <w:rFonts w:eastAsiaTheme="majorEastAsia" w:cs="Arial"/>
          <w:bCs/>
          <w:szCs w:val="20"/>
        </w:rPr>
        <w:t xml:space="preserve"> </w:t>
      </w:r>
      <w:r w:rsidRPr="00445B9C">
        <w:rPr>
          <w:rFonts w:eastAsiaTheme="majorEastAsia" w:cs="Arial"/>
          <w:bCs/>
          <w:szCs w:val="20"/>
        </w:rPr>
        <w:t>2. točki za besedo »banka« doda</w:t>
      </w:r>
      <w:r w:rsidR="004B46A8" w:rsidRPr="00445B9C">
        <w:rPr>
          <w:rFonts w:eastAsiaTheme="majorEastAsia" w:cs="Arial"/>
          <w:bCs/>
          <w:szCs w:val="20"/>
        </w:rPr>
        <w:t>ta</w:t>
      </w:r>
      <w:r w:rsidRPr="00445B9C">
        <w:rPr>
          <w:rFonts w:eastAsiaTheme="majorEastAsia" w:cs="Arial"/>
          <w:bCs/>
          <w:szCs w:val="20"/>
        </w:rPr>
        <w:t xml:space="preserve"> vejica in besedilo »kreditna družba«.</w:t>
      </w:r>
    </w:p>
    <w:p w:rsidR="006A2506" w:rsidRPr="00445B9C" w:rsidRDefault="00AE492D" w:rsidP="00F810E6">
      <w:pPr>
        <w:numPr>
          <w:ilvl w:val="0"/>
          <w:numId w:val="16"/>
        </w:numPr>
        <w:spacing w:before="240" w:after="240" w:line="259" w:lineRule="auto"/>
        <w:ind w:left="720"/>
        <w:jc w:val="center"/>
        <w:outlineLvl w:val="0"/>
        <w:rPr>
          <w:rFonts w:eastAsiaTheme="majorEastAsia" w:cs="Arial"/>
          <w:b/>
          <w:szCs w:val="20"/>
        </w:rPr>
      </w:pPr>
      <w:bookmarkStart w:id="17" w:name="_Ref196733839"/>
      <w:r w:rsidRPr="00445B9C">
        <w:rPr>
          <w:rFonts w:eastAsiaTheme="majorEastAsia" w:cs="Arial"/>
          <w:b/>
          <w:szCs w:val="20"/>
        </w:rPr>
        <w:t>člen</w:t>
      </w:r>
      <w:bookmarkEnd w:id="17"/>
    </w:p>
    <w:p w:rsidR="00CF0FDA" w:rsidRPr="00445B9C" w:rsidRDefault="00833F4F" w:rsidP="000F27A2">
      <w:pPr>
        <w:jc w:val="both"/>
        <w:rPr>
          <w:rFonts w:cs="Arial"/>
          <w:szCs w:val="20"/>
        </w:rPr>
      </w:pPr>
      <w:r w:rsidRPr="00445B9C">
        <w:rPr>
          <w:rFonts w:eastAsiaTheme="majorEastAsia" w:cs="Arial"/>
          <w:szCs w:val="20"/>
        </w:rPr>
        <w:t xml:space="preserve">V 59. členu </w:t>
      </w:r>
      <w:r w:rsidR="0071206C" w:rsidRPr="00445B9C">
        <w:rPr>
          <w:rFonts w:eastAsiaTheme="majorEastAsia" w:cs="Arial"/>
          <w:szCs w:val="20"/>
        </w:rPr>
        <w:t xml:space="preserve">se </w:t>
      </w:r>
      <w:r w:rsidR="008A541A" w:rsidRPr="00445B9C">
        <w:rPr>
          <w:rFonts w:eastAsiaTheme="majorEastAsia" w:cs="Arial"/>
          <w:szCs w:val="20"/>
        </w:rPr>
        <w:t xml:space="preserve">v </w:t>
      </w:r>
      <w:r w:rsidRPr="00445B9C">
        <w:rPr>
          <w:rFonts w:eastAsiaTheme="majorEastAsia" w:cs="Arial"/>
          <w:szCs w:val="20"/>
        </w:rPr>
        <w:t>drug</w:t>
      </w:r>
      <w:r w:rsidR="008A541A" w:rsidRPr="00445B9C">
        <w:rPr>
          <w:rFonts w:eastAsiaTheme="majorEastAsia" w:cs="Arial"/>
          <w:szCs w:val="20"/>
        </w:rPr>
        <w:t>em</w:t>
      </w:r>
      <w:r w:rsidRPr="00445B9C">
        <w:rPr>
          <w:rFonts w:eastAsiaTheme="majorEastAsia" w:cs="Arial"/>
          <w:szCs w:val="20"/>
        </w:rPr>
        <w:t xml:space="preserve"> odstavk</w:t>
      </w:r>
      <w:r w:rsidR="008A541A" w:rsidRPr="00445B9C">
        <w:rPr>
          <w:rFonts w:eastAsiaTheme="majorEastAsia" w:cs="Arial"/>
          <w:szCs w:val="20"/>
        </w:rPr>
        <w:t>u</w:t>
      </w:r>
      <w:r w:rsidRPr="00445B9C">
        <w:rPr>
          <w:rFonts w:eastAsiaTheme="majorEastAsia" w:cs="Arial"/>
          <w:szCs w:val="20"/>
        </w:rPr>
        <w:t xml:space="preserve"> </w:t>
      </w:r>
      <w:r w:rsidR="00846433" w:rsidRPr="00445B9C">
        <w:rPr>
          <w:rFonts w:eastAsiaTheme="majorEastAsia" w:cs="Arial"/>
          <w:szCs w:val="20"/>
        </w:rPr>
        <w:t>v</w:t>
      </w:r>
      <w:r w:rsidR="008A541A" w:rsidRPr="00445B9C">
        <w:rPr>
          <w:rFonts w:eastAsiaTheme="majorEastAsia" w:cs="Arial"/>
          <w:szCs w:val="20"/>
        </w:rPr>
        <w:t xml:space="preserve"> </w:t>
      </w:r>
      <w:r w:rsidRPr="00445B9C">
        <w:rPr>
          <w:rFonts w:cs="Arial"/>
          <w:szCs w:val="20"/>
        </w:rPr>
        <w:t>1. točki za besedo »banka« doda besed</w:t>
      </w:r>
      <w:r w:rsidR="0071206C" w:rsidRPr="00445B9C">
        <w:rPr>
          <w:rFonts w:cs="Arial"/>
          <w:szCs w:val="20"/>
        </w:rPr>
        <w:t>ilo</w:t>
      </w:r>
      <w:r w:rsidRPr="00445B9C">
        <w:rPr>
          <w:rFonts w:cs="Arial"/>
          <w:szCs w:val="20"/>
        </w:rPr>
        <w:t xml:space="preserve"> »ali kreditna družba</w:t>
      </w:r>
      <w:r w:rsidR="0071206C" w:rsidRPr="00445B9C">
        <w:rPr>
          <w:rFonts w:cs="Arial"/>
          <w:szCs w:val="20"/>
        </w:rPr>
        <w:t>«</w:t>
      </w:r>
      <w:r w:rsidR="008264DD" w:rsidRPr="00445B9C">
        <w:rPr>
          <w:rFonts w:cs="Arial"/>
          <w:szCs w:val="20"/>
        </w:rPr>
        <w:t>,</w:t>
      </w:r>
      <w:r w:rsidR="00645F15" w:rsidRPr="00445B9C">
        <w:rPr>
          <w:rFonts w:cs="Arial"/>
          <w:szCs w:val="20"/>
        </w:rPr>
        <w:t xml:space="preserve"> besedilo »Banke Slovenije« </w:t>
      </w:r>
      <w:r w:rsidR="008264DD" w:rsidRPr="00445B9C">
        <w:rPr>
          <w:rFonts w:cs="Arial"/>
          <w:szCs w:val="20"/>
        </w:rPr>
        <w:t xml:space="preserve">pa </w:t>
      </w:r>
      <w:r w:rsidR="003D3DF2" w:rsidRPr="00445B9C">
        <w:rPr>
          <w:rFonts w:cs="Arial"/>
          <w:szCs w:val="20"/>
        </w:rPr>
        <w:t xml:space="preserve">se </w:t>
      </w:r>
      <w:r w:rsidR="00645F15" w:rsidRPr="00445B9C">
        <w:rPr>
          <w:rFonts w:cs="Arial"/>
          <w:szCs w:val="20"/>
        </w:rPr>
        <w:t>nadomesti z besedilom »v skladu z ZBan-3«</w:t>
      </w:r>
      <w:r w:rsidR="008A541A" w:rsidRPr="00445B9C">
        <w:rPr>
          <w:rFonts w:cs="Arial"/>
          <w:szCs w:val="20"/>
        </w:rPr>
        <w:t>.</w:t>
      </w:r>
    </w:p>
    <w:p w:rsidR="00CF0FDA" w:rsidRPr="00445B9C" w:rsidRDefault="00142118" w:rsidP="000F27A2">
      <w:pPr>
        <w:jc w:val="both"/>
        <w:rPr>
          <w:rFonts w:cs="Arial"/>
          <w:szCs w:val="20"/>
        </w:rPr>
      </w:pPr>
      <w:r w:rsidRPr="00445B9C">
        <w:rPr>
          <w:rFonts w:cs="Arial"/>
          <w:szCs w:val="20"/>
        </w:rPr>
        <w:t xml:space="preserve"> </w:t>
      </w:r>
    </w:p>
    <w:p w:rsidR="00CF0FDA" w:rsidRPr="00445B9C" w:rsidRDefault="008A541A" w:rsidP="000F27A2">
      <w:pPr>
        <w:jc w:val="both"/>
        <w:rPr>
          <w:rFonts w:cs="Arial"/>
          <w:szCs w:val="20"/>
        </w:rPr>
      </w:pPr>
      <w:r w:rsidRPr="00445B9C">
        <w:rPr>
          <w:rFonts w:cs="Arial"/>
          <w:szCs w:val="20"/>
        </w:rPr>
        <w:t xml:space="preserve">V </w:t>
      </w:r>
      <w:r w:rsidR="00833F4F" w:rsidRPr="00445B9C">
        <w:rPr>
          <w:rFonts w:cs="Arial"/>
          <w:szCs w:val="20"/>
        </w:rPr>
        <w:t xml:space="preserve">2. točki </w:t>
      </w:r>
      <w:r w:rsidRPr="00445B9C">
        <w:rPr>
          <w:rFonts w:cs="Arial"/>
          <w:szCs w:val="20"/>
        </w:rPr>
        <w:t xml:space="preserve">se </w:t>
      </w:r>
      <w:r w:rsidR="00833F4F" w:rsidRPr="00445B9C">
        <w:rPr>
          <w:rFonts w:cs="Arial"/>
          <w:szCs w:val="20"/>
        </w:rPr>
        <w:t xml:space="preserve">za besedo </w:t>
      </w:r>
      <w:r w:rsidR="00142118" w:rsidRPr="00445B9C">
        <w:rPr>
          <w:rFonts w:cs="Arial"/>
          <w:szCs w:val="20"/>
        </w:rPr>
        <w:t>»</w:t>
      </w:r>
      <w:r w:rsidR="00833F4F" w:rsidRPr="00445B9C">
        <w:rPr>
          <w:rFonts w:cs="Arial"/>
          <w:szCs w:val="20"/>
        </w:rPr>
        <w:t>banka</w:t>
      </w:r>
      <w:r w:rsidR="00142118" w:rsidRPr="00445B9C">
        <w:rPr>
          <w:rFonts w:cs="Arial"/>
          <w:szCs w:val="20"/>
        </w:rPr>
        <w:t>«</w:t>
      </w:r>
      <w:r w:rsidR="00833F4F" w:rsidRPr="00445B9C">
        <w:rPr>
          <w:rFonts w:cs="Arial"/>
          <w:szCs w:val="20"/>
        </w:rPr>
        <w:t xml:space="preserve"> doda</w:t>
      </w:r>
      <w:r w:rsidRPr="00445B9C">
        <w:rPr>
          <w:rFonts w:cs="Arial"/>
          <w:szCs w:val="20"/>
        </w:rPr>
        <w:t>ta</w:t>
      </w:r>
      <w:r w:rsidR="00833F4F" w:rsidRPr="00445B9C">
        <w:rPr>
          <w:rFonts w:cs="Arial"/>
          <w:szCs w:val="20"/>
        </w:rPr>
        <w:t xml:space="preserve"> vejica in besed</w:t>
      </w:r>
      <w:r w:rsidRPr="00445B9C">
        <w:rPr>
          <w:rFonts w:cs="Arial"/>
          <w:szCs w:val="20"/>
        </w:rPr>
        <w:t>ilo</w:t>
      </w:r>
      <w:r w:rsidR="00833F4F" w:rsidRPr="00445B9C">
        <w:rPr>
          <w:rFonts w:cs="Arial"/>
          <w:szCs w:val="20"/>
        </w:rPr>
        <w:t xml:space="preserve"> »kreditna družba</w:t>
      </w:r>
      <w:r w:rsidR="00195982" w:rsidRPr="00445B9C">
        <w:rPr>
          <w:rFonts w:cs="Arial"/>
          <w:szCs w:val="20"/>
        </w:rPr>
        <w:t>«</w:t>
      </w:r>
      <w:r w:rsidR="00142118" w:rsidRPr="00445B9C">
        <w:rPr>
          <w:rFonts w:cs="Arial"/>
          <w:szCs w:val="20"/>
        </w:rPr>
        <w:t>.</w:t>
      </w:r>
    </w:p>
    <w:p w:rsidR="006A2506" w:rsidRPr="00445B9C" w:rsidRDefault="00833F4F" w:rsidP="00C43BF6">
      <w:pPr>
        <w:spacing w:before="240" w:after="240" w:line="259" w:lineRule="auto"/>
        <w:jc w:val="both"/>
        <w:outlineLvl w:val="0"/>
        <w:rPr>
          <w:rFonts w:eastAsiaTheme="majorEastAsia" w:cs="Arial"/>
          <w:b/>
          <w:szCs w:val="20"/>
        </w:rPr>
      </w:pPr>
      <w:r w:rsidRPr="00445B9C">
        <w:rPr>
          <w:rFonts w:eastAsiaTheme="majorEastAsia" w:cs="Arial"/>
          <w:bCs/>
          <w:szCs w:val="20"/>
        </w:rPr>
        <w:t>Sedmi odstavek se črta.</w:t>
      </w:r>
    </w:p>
    <w:p w:rsidR="006A2506"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18" w:name="_Ref196733902"/>
      <w:r w:rsidRPr="00445B9C">
        <w:rPr>
          <w:rFonts w:eastAsiaTheme="majorEastAsia" w:cs="Arial"/>
          <w:b/>
          <w:szCs w:val="20"/>
        </w:rPr>
        <w:t>člen</w:t>
      </w:r>
      <w:bookmarkEnd w:id="18"/>
    </w:p>
    <w:p w:rsidR="00A233BC" w:rsidRPr="00445B9C" w:rsidRDefault="00A233BC" w:rsidP="00A233BC">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60. členu se v naslovu </w:t>
      </w:r>
      <w:r w:rsidR="00F11A6A" w:rsidRPr="00445B9C">
        <w:rPr>
          <w:rFonts w:eastAsiaTheme="majorEastAsia" w:cs="Arial"/>
          <w:bCs/>
          <w:szCs w:val="20"/>
        </w:rPr>
        <w:t>člena</w:t>
      </w:r>
      <w:r w:rsidR="00B11B58">
        <w:rPr>
          <w:rFonts w:eastAsiaTheme="majorEastAsia" w:cs="Arial"/>
          <w:bCs/>
          <w:szCs w:val="20"/>
        </w:rPr>
        <w:t xml:space="preserve"> in v prvem odstavku</w:t>
      </w:r>
      <w:r w:rsidR="00F11A6A" w:rsidRPr="00445B9C">
        <w:rPr>
          <w:rFonts w:eastAsiaTheme="majorEastAsia" w:cs="Arial"/>
          <w:bCs/>
          <w:szCs w:val="20"/>
        </w:rPr>
        <w:t xml:space="preserve"> </w:t>
      </w:r>
      <w:r w:rsidRPr="00445B9C">
        <w:rPr>
          <w:rFonts w:eastAsiaTheme="majorEastAsia" w:cs="Arial"/>
          <w:bCs/>
          <w:szCs w:val="20"/>
        </w:rPr>
        <w:t>za besedo »banke« doda besedilo »in kreditne družbe«.</w:t>
      </w:r>
    </w:p>
    <w:p w:rsidR="0007161F" w:rsidRPr="00445B9C" w:rsidRDefault="0017468B"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w:t>
      </w:r>
      <w:r w:rsidR="0007161F" w:rsidRPr="00445B9C">
        <w:rPr>
          <w:rFonts w:eastAsiaTheme="majorEastAsia" w:cs="Arial"/>
          <w:bCs/>
          <w:szCs w:val="20"/>
        </w:rPr>
        <w:t xml:space="preserve">drugem odstavku </w:t>
      </w:r>
      <w:r w:rsidRPr="00445B9C">
        <w:rPr>
          <w:rFonts w:eastAsiaTheme="majorEastAsia" w:cs="Arial"/>
          <w:bCs/>
          <w:szCs w:val="20"/>
        </w:rPr>
        <w:t xml:space="preserve">se </w:t>
      </w:r>
      <w:r w:rsidR="0007161F" w:rsidRPr="00445B9C">
        <w:rPr>
          <w:rFonts w:eastAsiaTheme="majorEastAsia" w:cs="Arial"/>
          <w:bCs/>
          <w:szCs w:val="20"/>
        </w:rPr>
        <w:t>za besed</w:t>
      </w:r>
      <w:r w:rsidR="002A5ABF" w:rsidRPr="00445B9C">
        <w:rPr>
          <w:rFonts w:eastAsiaTheme="majorEastAsia" w:cs="Arial"/>
          <w:bCs/>
          <w:szCs w:val="20"/>
        </w:rPr>
        <w:t>ilom</w:t>
      </w:r>
      <w:r w:rsidR="0007161F" w:rsidRPr="00445B9C">
        <w:rPr>
          <w:rFonts w:eastAsiaTheme="majorEastAsia" w:cs="Arial"/>
          <w:bCs/>
          <w:szCs w:val="20"/>
        </w:rPr>
        <w:t xml:space="preserve"> »Za banke« doda</w:t>
      </w:r>
      <w:r w:rsidR="002A5ABF" w:rsidRPr="00445B9C">
        <w:rPr>
          <w:rFonts w:eastAsiaTheme="majorEastAsia" w:cs="Arial"/>
          <w:bCs/>
          <w:szCs w:val="20"/>
        </w:rPr>
        <w:t>ta</w:t>
      </w:r>
      <w:r w:rsidR="0007161F" w:rsidRPr="00445B9C">
        <w:rPr>
          <w:rFonts w:eastAsiaTheme="majorEastAsia" w:cs="Arial"/>
          <w:bCs/>
          <w:szCs w:val="20"/>
        </w:rPr>
        <w:t xml:space="preserve"> vejica in besed</w:t>
      </w:r>
      <w:r w:rsidR="002A5ABF" w:rsidRPr="00445B9C">
        <w:rPr>
          <w:rFonts w:eastAsiaTheme="majorEastAsia" w:cs="Arial"/>
          <w:bCs/>
          <w:szCs w:val="20"/>
        </w:rPr>
        <w:t>ilo</w:t>
      </w:r>
      <w:r w:rsidR="0007161F" w:rsidRPr="00445B9C">
        <w:rPr>
          <w:rFonts w:eastAsiaTheme="majorEastAsia" w:cs="Arial"/>
          <w:bCs/>
          <w:szCs w:val="20"/>
        </w:rPr>
        <w:t xml:space="preserve"> »kreditne družbe«</w:t>
      </w:r>
      <w:r w:rsidR="00763203" w:rsidRPr="00445B9C">
        <w:rPr>
          <w:rFonts w:eastAsiaTheme="majorEastAsia" w:cs="Arial"/>
          <w:bCs/>
          <w:szCs w:val="20"/>
        </w:rPr>
        <w:t>.</w:t>
      </w:r>
    </w:p>
    <w:p w:rsidR="002A5ABF" w:rsidRPr="00445B9C" w:rsidRDefault="002A5ABF"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tretjem odstavku se za besedo »banke« doda besedilo »in kreditne družbe«.</w:t>
      </w:r>
    </w:p>
    <w:p w:rsidR="0007161F" w:rsidRPr="00445B9C" w:rsidRDefault="00587B95"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w:t>
      </w:r>
      <w:r w:rsidR="0007161F" w:rsidRPr="00445B9C">
        <w:rPr>
          <w:rFonts w:eastAsiaTheme="majorEastAsia" w:cs="Arial"/>
          <w:bCs/>
          <w:szCs w:val="20"/>
        </w:rPr>
        <w:t xml:space="preserve">četrtem odstavku </w:t>
      </w:r>
      <w:r w:rsidRPr="00445B9C">
        <w:rPr>
          <w:rFonts w:eastAsiaTheme="majorEastAsia" w:cs="Arial"/>
          <w:bCs/>
          <w:szCs w:val="20"/>
        </w:rPr>
        <w:t xml:space="preserve">se </w:t>
      </w:r>
      <w:r w:rsidR="0007161F" w:rsidRPr="00445B9C">
        <w:rPr>
          <w:rFonts w:eastAsiaTheme="majorEastAsia" w:cs="Arial"/>
          <w:bCs/>
          <w:szCs w:val="20"/>
        </w:rPr>
        <w:t xml:space="preserve">v 1. točki za besedo </w:t>
      </w:r>
      <w:r w:rsidR="00B11B58">
        <w:rPr>
          <w:rFonts w:eastAsiaTheme="majorEastAsia" w:cs="Arial"/>
          <w:bCs/>
          <w:szCs w:val="20"/>
        </w:rPr>
        <w:t>»</w:t>
      </w:r>
      <w:r w:rsidR="0007161F" w:rsidRPr="00445B9C">
        <w:rPr>
          <w:rFonts w:eastAsiaTheme="majorEastAsia" w:cs="Arial"/>
          <w:bCs/>
          <w:szCs w:val="20"/>
        </w:rPr>
        <w:t>»banka«</w:t>
      </w:r>
      <w:r w:rsidR="00B11B58">
        <w:rPr>
          <w:rFonts w:eastAsiaTheme="majorEastAsia" w:cs="Arial"/>
          <w:bCs/>
          <w:szCs w:val="20"/>
        </w:rPr>
        <w:t>«</w:t>
      </w:r>
      <w:r w:rsidR="0007161F" w:rsidRPr="00445B9C">
        <w:rPr>
          <w:rFonts w:eastAsiaTheme="majorEastAsia" w:cs="Arial"/>
          <w:bCs/>
          <w:szCs w:val="20"/>
        </w:rPr>
        <w:t xml:space="preserve"> doda</w:t>
      </w:r>
      <w:r w:rsidR="002A5ABF" w:rsidRPr="00445B9C">
        <w:rPr>
          <w:rFonts w:eastAsiaTheme="majorEastAsia" w:cs="Arial"/>
          <w:bCs/>
          <w:szCs w:val="20"/>
        </w:rPr>
        <w:t>ta</w:t>
      </w:r>
      <w:r w:rsidRPr="00445B9C">
        <w:rPr>
          <w:rFonts w:eastAsiaTheme="majorEastAsia" w:cs="Arial"/>
          <w:bCs/>
          <w:szCs w:val="20"/>
        </w:rPr>
        <w:t xml:space="preserve"> vejica in</w:t>
      </w:r>
      <w:r w:rsidR="0007161F" w:rsidRPr="00445B9C">
        <w:rPr>
          <w:rFonts w:eastAsiaTheme="majorEastAsia" w:cs="Arial"/>
          <w:bCs/>
          <w:szCs w:val="20"/>
        </w:rPr>
        <w:t xml:space="preserve"> besed</w:t>
      </w:r>
      <w:r w:rsidR="002A5ABF" w:rsidRPr="00445B9C">
        <w:rPr>
          <w:rFonts w:eastAsiaTheme="majorEastAsia" w:cs="Arial"/>
          <w:bCs/>
          <w:szCs w:val="20"/>
        </w:rPr>
        <w:t>ilo</w:t>
      </w:r>
      <w:r w:rsidR="0007161F" w:rsidRPr="00445B9C">
        <w:rPr>
          <w:rFonts w:eastAsiaTheme="majorEastAsia" w:cs="Arial"/>
          <w:bCs/>
          <w:szCs w:val="20"/>
        </w:rPr>
        <w:t xml:space="preserve"> »</w:t>
      </w:r>
      <w:r w:rsidR="00670F73" w:rsidRPr="00445B9C">
        <w:rPr>
          <w:rFonts w:eastAsiaTheme="majorEastAsia" w:cs="Arial"/>
          <w:bCs/>
          <w:szCs w:val="20"/>
        </w:rPr>
        <w:t>»</w:t>
      </w:r>
      <w:r w:rsidR="0007161F" w:rsidRPr="00445B9C">
        <w:rPr>
          <w:rFonts w:eastAsiaTheme="majorEastAsia" w:cs="Arial"/>
          <w:bCs/>
          <w:szCs w:val="20"/>
        </w:rPr>
        <w:t>kreditna družba</w:t>
      </w:r>
      <w:r w:rsidR="00670F73" w:rsidRPr="00445B9C">
        <w:rPr>
          <w:rFonts w:eastAsiaTheme="majorEastAsia" w:cs="Arial"/>
          <w:bCs/>
          <w:szCs w:val="20"/>
        </w:rPr>
        <w:t>«</w:t>
      </w:r>
      <w:r w:rsidR="0007161F" w:rsidRPr="00445B9C">
        <w:rPr>
          <w:rFonts w:eastAsiaTheme="majorEastAsia" w:cs="Arial"/>
          <w:bCs/>
          <w:szCs w:val="20"/>
        </w:rPr>
        <w:t>«</w:t>
      </w:r>
      <w:r w:rsidRPr="00445B9C">
        <w:rPr>
          <w:rFonts w:eastAsiaTheme="majorEastAsia" w:cs="Arial"/>
          <w:bCs/>
          <w:szCs w:val="20"/>
        </w:rPr>
        <w:t>.</w:t>
      </w:r>
    </w:p>
    <w:p w:rsidR="00B11B58" w:rsidRDefault="00587B95"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w:t>
      </w:r>
      <w:r w:rsidR="002A5ABF" w:rsidRPr="00445B9C">
        <w:rPr>
          <w:rFonts w:eastAsiaTheme="majorEastAsia" w:cs="Arial"/>
          <w:bCs/>
          <w:szCs w:val="20"/>
        </w:rPr>
        <w:t xml:space="preserve">petem </w:t>
      </w:r>
      <w:r w:rsidR="00B11B58" w:rsidRPr="00B11B58">
        <w:rPr>
          <w:rFonts w:eastAsiaTheme="majorEastAsia" w:cs="Arial"/>
          <w:bCs/>
          <w:szCs w:val="20"/>
        </w:rPr>
        <w:t>odstavku se za besedo »banke« dodata vejica in besedilo »kreditne družbe«.</w:t>
      </w:r>
    </w:p>
    <w:p w:rsidR="0007161F" w:rsidRPr="00445B9C" w:rsidRDefault="00B11B58" w:rsidP="00BA786D">
      <w:pPr>
        <w:spacing w:before="240" w:after="240" w:line="259" w:lineRule="auto"/>
        <w:jc w:val="both"/>
        <w:outlineLvl w:val="0"/>
        <w:rPr>
          <w:rFonts w:eastAsiaTheme="majorEastAsia" w:cs="Arial"/>
          <w:bCs/>
          <w:szCs w:val="20"/>
        </w:rPr>
      </w:pPr>
      <w:r>
        <w:rPr>
          <w:rFonts w:eastAsiaTheme="majorEastAsia" w:cs="Arial"/>
          <w:bCs/>
          <w:szCs w:val="20"/>
        </w:rPr>
        <w:t xml:space="preserve">V </w:t>
      </w:r>
      <w:r w:rsidR="0007161F" w:rsidRPr="00445B9C">
        <w:rPr>
          <w:rFonts w:eastAsiaTheme="majorEastAsia" w:cs="Arial"/>
          <w:bCs/>
          <w:szCs w:val="20"/>
        </w:rPr>
        <w:t xml:space="preserve">šestem odstavku </w:t>
      </w:r>
      <w:r w:rsidR="00587B95" w:rsidRPr="00445B9C">
        <w:rPr>
          <w:rFonts w:eastAsiaTheme="majorEastAsia" w:cs="Arial"/>
          <w:bCs/>
          <w:szCs w:val="20"/>
        </w:rPr>
        <w:t xml:space="preserve">se </w:t>
      </w:r>
      <w:r w:rsidR="0007161F" w:rsidRPr="00445B9C">
        <w:rPr>
          <w:rFonts w:eastAsiaTheme="majorEastAsia" w:cs="Arial"/>
          <w:bCs/>
          <w:szCs w:val="20"/>
        </w:rPr>
        <w:t>za besedo »banka« doda</w:t>
      </w:r>
      <w:r w:rsidR="002A5ABF" w:rsidRPr="00445B9C">
        <w:rPr>
          <w:rFonts w:eastAsiaTheme="majorEastAsia" w:cs="Arial"/>
          <w:bCs/>
          <w:szCs w:val="20"/>
        </w:rPr>
        <w:t>ta</w:t>
      </w:r>
      <w:r w:rsidR="0007161F" w:rsidRPr="00445B9C">
        <w:rPr>
          <w:rFonts w:eastAsiaTheme="majorEastAsia" w:cs="Arial"/>
          <w:bCs/>
          <w:szCs w:val="20"/>
        </w:rPr>
        <w:t xml:space="preserve"> vejica in besed</w:t>
      </w:r>
      <w:r w:rsidR="002A5ABF" w:rsidRPr="00445B9C">
        <w:rPr>
          <w:rFonts w:eastAsiaTheme="majorEastAsia" w:cs="Arial"/>
          <w:bCs/>
          <w:szCs w:val="20"/>
        </w:rPr>
        <w:t>ilo</w:t>
      </w:r>
      <w:r w:rsidR="0007161F" w:rsidRPr="00445B9C">
        <w:rPr>
          <w:rFonts w:eastAsiaTheme="majorEastAsia" w:cs="Arial"/>
          <w:bCs/>
          <w:szCs w:val="20"/>
        </w:rPr>
        <w:t xml:space="preserve"> »kreditna družba«</w:t>
      </w:r>
      <w:r w:rsidR="00587B95" w:rsidRPr="00445B9C">
        <w:rPr>
          <w:rFonts w:eastAsiaTheme="majorEastAsia" w:cs="Arial"/>
          <w:bCs/>
          <w:szCs w:val="20"/>
        </w:rPr>
        <w:t>.</w:t>
      </w:r>
    </w:p>
    <w:p w:rsidR="0007161F" w:rsidRPr="00445B9C" w:rsidRDefault="00587B95"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w:t>
      </w:r>
      <w:r w:rsidR="0007161F" w:rsidRPr="00445B9C">
        <w:rPr>
          <w:rFonts w:eastAsiaTheme="majorEastAsia" w:cs="Arial"/>
          <w:bCs/>
          <w:szCs w:val="20"/>
        </w:rPr>
        <w:t>sedmem odstavku</w:t>
      </w:r>
      <w:r w:rsidR="00947429">
        <w:rPr>
          <w:rFonts w:eastAsiaTheme="majorEastAsia" w:cs="Arial"/>
          <w:bCs/>
          <w:szCs w:val="20"/>
        </w:rPr>
        <w:t xml:space="preserve"> se</w:t>
      </w:r>
      <w:r w:rsidR="0007161F" w:rsidRPr="00445B9C">
        <w:rPr>
          <w:rFonts w:eastAsiaTheme="majorEastAsia" w:cs="Arial"/>
          <w:bCs/>
          <w:szCs w:val="20"/>
        </w:rPr>
        <w:t xml:space="preserve"> za besedilom »Nadzor nad poslovanjem banke« doda</w:t>
      </w:r>
      <w:r w:rsidR="002A5ABF" w:rsidRPr="00445B9C">
        <w:rPr>
          <w:rFonts w:eastAsiaTheme="majorEastAsia" w:cs="Arial"/>
          <w:bCs/>
          <w:szCs w:val="20"/>
        </w:rPr>
        <w:t>ta</w:t>
      </w:r>
      <w:r w:rsidR="0007161F" w:rsidRPr="00445B9C">
        <w:rPr>
          <w:rFonts w:eastAsiaTheme="majorEastAsia" w:cs="Arial"/>
          <w:bCs/>
          <w:szCs w:val="20"/>
        </w:rPr>
        <w:t xml:space="preserve"> </w:t>
      </w:r>
      <w:r w:rsidRPr="00445B9C">
        <w:rPr>
          <w:rFonts w:eastAsiaTheme="majorEastAsia" w:cs="Arial"/>
          <w:bCs/>
          <w:szCs w:val="20"/>
        </w:rPr>
        <w:t xml:space="preserve">vejica in </w:t>
      </w:r>
      <w:r w:rsidR="0007161F" w:rsidRPr="00445B9C">
        <w:rPr>
          <w:rFonts w:eastAsiaTheme="majorEastAsia" w:cs="Arial"/>
          <w:bCs/>
          <w:szCs w:val="20"/>
        </w:rPr>
        <w:t>besed</w:t>
      </w:r>
      <w:r w:rsidR="002A5ABF" w:rsidRPr="00445B9C">
        <w:rPr>
          <w:rFonts w:eastAsiaTheme="majorEastAsia" w:cs="Arial"/>
          <w:bCs/>
          <w:szCs w:val="20"/>
        </w:rPr>
        <w:t>ilo</w:t>
      </w:r>
      <w:r w:rsidR="0007161F" w:rsidRPr="00445B9C">
        <w:rPr>
          <w:rFonts w:eastAsiaTheme="majorEastAsia" w:cs="Arial"/>
          <w:bCs/>
          <w:szCs w:val="20"/>
        </w:rPr>
        <w:t xml:space="preserve"> »kreditne družbe«</w:t>
      </w:r>
      <w:r w:rsidR="00220FDE" w:rsidRPr="00445B9C">
        <w:rPr>
          <w:rFonts w:eastAsiaTheme="majorEastAsia" w:cs="Arial"/>
          <w:bCs/>
          <w:szCs w:val="20"/>
        </w:rPr>
        <w:t>.</w:t>
      </w:r>
      <w:r w:rsidR="0007161F" w:rsidRPr="00445B9C">
        <w:rPr>
          <w:rFonts w:eastAsiaTheme="majorEastAsia" w:cs="Arial"/>
          <w:bCs/>
          <w:szCs w:val="20"/>
        </w:rPr>
        <w:t xml:space="preserve"> </w:t>
      </w:r>
    </w:p>
    <w:p w:rsidR="006A2506" w:rsidRPr="00445B9C" w:rsidRDefault="002A5550"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w:t>
      </w:r>
      <w:r w:rsidR="0007161F" w:rsidRPr="00445B9C">
        <w:rPr>
          <w:rFonts w:eastAsiaTheme="majorEastAsia" w:cs="Arial"/>
          <w:bCs/>
          <w:szCs w:val="20"/>
        </w:rPr>
        <w:t xml:space="preserve">desetem odstavku </w:t>
      </w:r>
      <w:r w:rsidR="00947429">
        <w:rPr>
          <w:rFonts w:eastAsiaTheme="majorEastAsia" w:cs="Arial"/>
          <w:bCs/>
          <w:szCs w:val="20"/>
        </w:rPr>
        <w:t xml:space="preserve">se </w:t>
      </w:r>
      <w:r w:rsidR="001B2268" w:rsidRPr="00445B9C">
        <w:rPr>
          <w:rFonts w:eastAsiaTheme="majorEastAsia" w:cs="Arial"/>
          <w:bCs/>
          <w:szCs w:val="20"/>
        </w:rPr>
        <w:t>za besed</w:t>
      </w:r>
      <w:r w:rsidR="002A5ABF" w:rsidRPr="00445B9C">
        <w:rPr>
          <w:rFonts w:eastAsiaTheme="majorEastAsia" w:cs="Arial"/>
          <w:bCs/>
          <w:szCs w:val="20"/>
        </w:rPr>
        <w:t>ilom</w:t>
      </w:r>
      <w:r w:rsidR="001B2268" w:rsidRPr="00445B9C">
        <w:rPr>
          <w:rFonts w:eastAsiaTheme="majorEastAsia" w:cs="Arial"/>
          <w:bCs/>
          <w:szCs w:val="20"/>
        </w:rPr>
        <w:t xml:space="preserve"> »</w:t>
      </w:r>
      <w:r w:rsidRPr="00445B9C">
        <w:rPr>
          <w:rFonts w:eastAsiaTheme="majorEastAsia" w:cs="Arial"/>
          <w:bCs/>
          <w:szCs w:val="20"/>
        </w:rPr>
        <w:t xml:space="preserve">za </w:t>
      </w:r>
      <w:r w:rsidR="005A0410" w:rsidRPr="00445B9C">
        <w:rPr>
          <w:rFonts w:eastAsiaTheme="majorEastAsia" w:cs="Arial"/>
          <w:bCs/>
          <w:szCs w:val="20"/>
        </w:rPr>
        <w:t>banko« doda</w:t>
      </w:r>
      <w:r w:rsidR="002A5ABF" w:rsidRPr="00445B9C">
        <w:rPr>
          <w:rFonts w:eastAsiaTheme="majorEastAsia" w:cs="Arial"/>
          <w:bCs/>
          <w:szCs w:val="20"/>
        </w:rPr>
        <w:t>ta vejica</w:t>
      </w:r>
      <w:r w:rsidR="005A0410" w:rsidRPr="00445B9C">
        <w:rPr>
          <w:rFonts w:eastAsiaTheme="majorEastAsia" w:cs="Arial"/>
          <w:bCs/>
          <w:szCs w:val="20"/>
        </w:rPr>
        <w:t xml:space="preserve"> </w:t>
      </w:r>
      <w:r w:rsidR="002A5ABF" w:rsidRPr="00445B9C">
        <w:rPr>
          <w:rFonts w:eastAsiaTheme="majorEastAsia" w:cs="Arial"/>
          <w:bCs/>
          <w:szCs w:val="20"/>
        </w:rPr>
        <w:t xml:space="preserve">in </w:t>
      </w:r>
      <w:r w:rsidR="005A0410" w:rsidRPr="00445B9C">
        <w:rPr>
          <w:rFonts w:eastAsiaTheme="majorEastAsia" w:cs="Arial"/>
          <w:bCs/>
          <w:szCs w:val="20"/>
        </w:rPr>
        <w:t>besed</w:t>
      </w:r>
      <w:r w:rsidR="002A5ABF" w:rsidRPr="00445B9C">
        <w:rPr>
          <w:rFonts w:eastAsiaTheme="majorEastAsia" w:cs="Arial"/>
          <w:bCs/>
          <w:szCs w:val="20"/>
        </w:rPr>
        <w:t>ilo</w:t>
      </w:r>
      <w:r w:rsidR="005A0410" w:rsidRPr="00445B9C">
        <w:rPr>
          <w:rFonts w:eastAsiaTheme="majorEastAsia" w:cs="Arial"/>
          <w:bCs/>
          <w:szCs w:val="20"/>
        </w:rPr>
        <w:t xml:space="preserve"> »kreditno družbo«.</w:t>
      </w:r>
    </w:p>
    <w:p w:rsidR="00D97CE0" w:rsidRPr="00445B9C" w:rsidRDefault="00D97CE0" w:rsidP="00D97CE0">
      <w:pPr>
        <w:numPr>
          <w:ilvl w:val="0"/>
          <w:numId w:val="16"/>
        </w:numPr>
        <w:spacing w:before="240" w:after="240" w:line="259" w:lineRule="auto"/>
        <w:ind w:left="720"/>
        <w:jc w:val="center"/>
        <w:outlineLvl w:val="0"/>
        <w:rPr>
          <w:rFonts w:eastAsiaTheme="majorEastAsia" w:cs="Arial"/>
          <w:b/>
          <w:szCs w:val="20"/>
        </w:rPr>
      </w:pPr>
      <w:bookmarkStart w:id="19" w:name="_Ref196825139"/>
      <w:r w:rsidRPr="00445B9C">
        <w:rPr>
          <w:rFonts w:eastAsiaTheme="majorEastAsia" w:cs="Arial"/>
          <w:b/>
          <w:szCs w:val="20"/>
        </w:rPr>
        <w:t>člen</w:t>
      </w:r>
      <w:bookmarkEnd w:id="19"/>
    </w:p>
    <w:p w:rsidR="00D97CE0" w:rsidRPr="00445B9C" w:rsidRDefault="00D97CE0" w:rsidP="00D97CE0">
      <w:pPr>
        <w:spacing w:before="240" w:after="240" w:line="259" w:lineRule="auto"/>
        <w:jc w:val="both"/>
        <w:outlineLvl w:val="0"/>
        <w:rPr>
          <w:rFonts w:eastAsiaTheme="majorEastAsia" w:cs="Arial"/>
          <w:bCs/>
          <w:szCs w:val="20"/>
        </w:rPr>
      </w:pPr>
      <w:r w:rsidRPr="00445B9C">
        <w:rPr>
          <w:rFonts w:eastAsiaTheme="majorEastAsia" w:cs="Arial"/>
          <w:bCs/>
          <w:szCs w:val="20"/>
        </w:rPr>
        <w:t>V 61. členu se v prvem odstavku v napovednem stavku besedilo »borznoposredniške družbe in banke« nadomesti z besedilom »borznoposredniške družbe, banke in kreditne družbe«.</w:t>
      </w:r>
    </w:p>
    <w:p w:rsidR="006A2506" w:rsidRPr="00445B9C" w:rsidRDefault="006A2506" w:rsidP="00F810E6">
      <w:pPr>
        <w:numPr>
          <w:ilvl w:val="0"/>
          <w:numId w:val="16"/>
        </w:numPr>
        <w:spacing w:before="240" w:after="240" w:line="259" w:lineRule="auto"/>
        <w:ind w:left="720"/>
        <w:jc w:val="center"/>
        <w:outlineLvl w:val="0"/>
        <w:rPr>
          <w:rFonts w:eastAsiaTheme="majorEastAsia" w:cs="Arial"/>
          <w:b/>
          <w:szCs w:val="20"/>
        </w:rPr>
      </w:pPr>
      <w:bookmarkStart w:id="20" w:name="_Ref192067114"/>
      <w:r w:rsidRPr="00445B9C">
        <w:rPr>
          <w:rFonts w:eastAsiaTheme="majorEastAsia" w:cs="Arial"/>
          <w:b/>
          <w:szCs w:val="20"/>
        </w:rPr>
        <w:lastRenderedPageBreak/>
        <w:t>člen</w:t>
      </w:r>
      <w:bookmarkEnd w:id="20"/>
    </w:p>
    <w:p w:rsidR="00163840" w:rsidRPr="00445B9C" w:rsidRDefault="005A0410" w:rsidP="003552A3">
      <w:pPr>
        <w:jc w:val="both"/>
        <w:rPr>
          <w:rFonts w:cs="Arial"/>
          <w:szCs w:val="20"/>
        </w:rPr>
      </w:pPr>
      <w:r w:rsidRPr="00445B9C">
        <w:rPr>
          <w:rFonts w:cs="Arial"/>
          <w:szCs w:val="20"/>
        </w:rPr>
        <w:t xml:space="preserve">V 62. členu se </w:t>
      </w:r>
      <w:r w:rsidR="00BB4D3C" w:rsidRPr="00445B9C">
        <w:rPr>
          <w:rFonts w:cs="Arial"/>
          <w:szCs w:val="20"/>
        </w:rPr>
        <w:t xml:space="preserve">v prvem odstavku </w:t>
      </w:r>
      <w:r w:rsidR="00846433" w:rsidRPr="00445B9C">
        <w:rPr>
          <w:rFonts w:cs="Arial"/>
          <w:szCs w:val="20"/>
        </w:rPr>
        <w:t>v</w:t>
      </w:r>
      <w:r w:rsidR="00FB1C10" w:rsidRPr="00445B9C">
        <w:rPr>
          <w:rFonts w:cs="Arial"/>
          <w:szCs w:val="20"/>
        </w:rPr>
        <w:t xml:space="preserve"> </w:t>
      </w:r>
      <w:r w:rsidRPr="00445B9C">
        <w:rPr>
          <w:rFonts w:cs="Arial"/>
          <w:szCs w:val="20"/>
        </w:rPr>
        <w:t xml:space="preserve">4. </w:t>
      </w:r>
      <w:r w:rsidR="00BB4D3C" w:rsidRPr="00445B9C">
        <w:rPr>
          <w:rFonts w:cs="Arial"/>
          <w:szCs w:val="20"/>
        </w:rPr>
        <w:t>točki</w:t>
      </w:r>
      <w:r w:rsidR="00CF077A" w:rsidRPr="00445B9C">
        <w:rPr>
          <w:rFonts w:cs="Arial"/>
          <w:szCs w:val="20"/>
        </w:rPr>
        <w:t xml:space="preserve"> v</w:t>
      </w:r>
      <w:r w:rsidR="00BB4D3C" w:rsidRPr="00445B9C">
        <w:rPr>
          <w:rFonts w:cs="Arial"/>
          <w:szCs w:val="20"/>
        </w:rPr>
        <w:t xml:space="preserve"> drugi alineji </w:t>
      </w:r>
      <w:r w:rsidR="00856F2A" w:rsidRPr="00445B9C">
        <w:rPr>
          <w:rFonts w:cs="Arial"/>
          <w:szCs w:val="20"/>
        </w:rPr>
        <w:t xml:space="preserve">črta </w:t>
      </w:r>
      <w:r w:rsidR="00BB4D3C" w:rsidRPr="00445B9C">
        <w:rPr>
          <w:rFonts w:cs="Arial"/>
          <w:szCs w:val="20"/>
        </w:rPr>
        <w:t>besedilo »ali imajo neposredni elektronski dostop do mesta trgovanja«</w:t>
      </w:r>
      <w:r w:rsidR="00FB1C10" w:rsidRPr="00445B9C">
        <w:rPr>
          <w:rFonts w:cs="Arial"/>
          <w:szCs w:val="20"/>
        </w:rPr>
        <w:t xml:space="preserve">. </w:t>
      </w:r>
    </w:p>
    <w:p w:rsidR="00163840" w:rsidRPr="00445B9C" w:rsidRDefault="00163840" w:rsidP="003552A3">
      <w:pPr>
        <w:jc w:val="both"/>
        <w:rPr>
          <w:rFonts w:cs="Arial"/>
          <w:szCs w:val="20"/>
        </w:rPr>
      </w:pPr>
    </w:p>
    <w:p w:rsidR="00CF0FDA" w:rsidRPr="00445B9C" w:rsidRDefault="00163840" w:rsidP="003552A3">
      <w:pPr>
        <w:jc w:val="both"/>
        <w:rPr>
          <w:rFonts w:cs="Arial"/>
          <w:szCs w:val="20"/>
        </w:rPr>
      </w:pPr>
      <w:r w:rsidRPr="00445B9C">
        <w:rPr>
          <w:rFonts w:cs="Arial"/>
          <w:szCs w:val="20"/>
        </w:rPr>
        <w:t>V 12. točki se besedilo »Uredbe 714/2009/ES in Uredbe 715/2009/ES« nadomesti z besedilom »Uredbe 2019/943/EU in Uredbe 2024/1789/EU«.</w:t>
      </w:r>
    </w:p>
    <w:p w:rsidR="006A2506" w:rsidRPr="00445B9C" w:rsidRDefault="006A2506" w:rsidP="00F810E6">
      <w:pPr>
        <w:numPr>
          <w:ilvl w:val="0"/>
          <w:numId w:val="16"/>
        </w:numPr>
        <w:spacing w:before="240" w:after="240" w:line="259" w:lineRule="auto"/>
        <w:ind w:left="720"/>
        <w:jc w:val="center"/>
        <w:outlineLvl w:val="0"/>
        <w:rPr>
          <w:rFonts w:eastAsiaTheme="majorEastAsia" w:cs="Arial"/>
          <w:b/>
          <w:szCs w:val="20"/>
        </w:rPr>
      </w:pPr>
      <w:bookmarkStart w:id="21" w:name="_Ref192067208"/>
      <w:r w:rsidRPr="00445B9C">
        <w:rPr>
          <w:rFonts w:eastAsiaTheme="majorEastAsia" w:cs="Arial"/>
          <w:b/>
          <w:szCs w:val="20"/>
        </w:rPr>
        <w:t>člen</w:t>
      </w:r>
      <w:bookmarkEnd w:id="21"/>
    </w:p>
    <w:p w:rsidR="00D50774" w:rsidRPr="00445B9C" w:rsidRDefault="00D50774"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133. členu se </w:t>
      </w:r>
      <w:r w:rsidR="00065A3E" w:rsidRPr="00445B9C">
        <w:rPr>
          <w:rFonts w:eastAsiaTheme="majorEastAsia" w:cs="Arial"/>
          <w:bCs/>
          <w:szCs w:val="20"/>
        </w:rPr>
        <w:t xml:space="preserve">v </w:t>
      </w:r>
      <w:r w:rsidRPr="00445B9C">
        <w:rPr>
          <w:rFonts w:eastAsiaTheme="majorEastAsia" w:cs="Arial"/>
          <w:bCs/>
          <w:szCs w:val="20"/>
        </w:rPr>
        <w:t>prv</w:t>
      </w:r>
      <w:r w:rsidR="00065A3E" w:rsidRPr="00445B9C">
        <w:rPr>
          <w:rFonts w:eastAsiaTheme="majorEastAsia" w:cs="Arial"/>
          <w:bCs/>
          <w:szCs w:val="20"/>
        </w:rPr>
        <w:t>em</w:t>
      </w:r>
      <w:r w:rsidRPr="00445B9C">
        <w:rPr>
          <w:rFonts w:eastAsiaTheme="majorEastAsia" w:cs="Arial"/>
          <w:bCs/>
          <w:szCs w:val="20"/>
        </w:rPr>
        <w:t xml:space="preserve"> odstavk</w:t>
      </w:r>
      <w:r w:rsidR="00065A3E" w:rsidRPr="00445B9C">
        <w:rPr>
          <w:rFonts w:eastAsiaTheme="majorEastAsia" w:cs="Arial"/>
          <w:bCs/>
          <w:szCs w:val="20"/>
        </w:rPr>
        <w:t>u</w:t>
      </w:r>
      <w:r w:rsidRPr="00445B9C">
        <w:rPr>
          <w:rFonts w:eastAsiaTheme="majorEastAsia" w:cs="Arial"/>
          <w:bCs/>
          <w:szCs w:val="20"/>
        </w:rPr>
        <w:t xml:space="preserve"> </w:t>
      </w:r>
      <w:r w:rsidR="00562AB1" w:rsidRPr="00445B9C">
        <w:rPr>
          <w:rFonts w:eastAsiaTheme="majorEastAsia" w:cs="Arial"/>
          <w:bCs/>
          <w:szCs w:val="20"/>
        </w:rPr>
        <w:t>črta drugi stavek</w:t>
      </w:r>
      <w:r w:rsidRPr="00445B9C">
        <w:rPr>
          <w:rFonts w:eastAsiaTheme="majorEastAsia" w:cs="Arial"/>
          <w:bCs/>
          <w:szCs w:val="20"/>
        </w:rPr>
        <w:t>.</w:t>
      </w:r>
    </w:p>
    <w:p w:rsidR="00CF0FDA" w:rsidRPr="00445B9C" w:rsidRDefault="00065A3E" w:rsidP="003552A3">
      <w:pPr>
        <w:spacing w:before="240" w:after="240" w:line="259" w:lineRule="auto"/>
        <w:jc w:val="both"/>
        <w:outlineLvl w:val="0"/>
        <w:rPr>
          <w:rFonts w:cs="Arial"/>
          <w:szCs w:val="20"/>
        </w:rPr>
      </w:pPr>
      <w:r w:rsidRPr="00445B9C">
        <w:rPr>
          <w:rFonts w:eastAsiaTheme="majorEastAsia" w:cs="Arial"/>
          <w:bCs/>
          <w:szCs w:val="20"/>
        </w:rPr>
        <w:t>V d</w:t>
      </w:r>
      <w:r w:rsidR="00D50774" w:rsidRPr="00445B9C">
        <w:rPr>
          <w:rFonts w:eastAsiaTheme="majorEastAsia" w:cs="Arial"/>
          <w:bCs/>
          <w:szCs w:val="20"/>
        </w:rPr>
        <w:t>rug</w:t>
      </w:r>
      <w:r w:rsidRPr="00445B9C">
        <w:rPr>
          <w:rFonts w:eastAsiaTheme="majorEastAsia" w:cs="Arial"/>
          <w:bCs/>
          <w:szCs w:val="20"/>
        </w:rPr>
        <w:t>em</w:t>
      </w:r>
      <w:r w:rsidR="00D50774" w:rsidRPr="00445B9C">
        <w:rPr>
          <w:rFonts w:eastAsiaTheme="majorEastAsia" w:cs="Arial"/>
          <w:bCs/>
          <w:szCs w:val="20"/>
        </w:rPr>
        <w:t xml:space="preserve"> odstavk</w:t>
      </w:r>
      <w:r w:rsidRPr="00445B9C">
        <w:rPr>
          <w:rFonts w:eastAsiaTheme="majorEastAsia" w:cs="Arial"/>
          <w:bCs/>
          <w:szCs w:val="20"/>
        </w:rPr>
        <w:t>u</w:t>
      </w:r>
      <w:r w:rsidR="00D50774" w:rsidRPr="00445B9C">
        <w:rPr>
          <w:rFonts w:eastAsiaTheme="majorEastAsia" w:cs="Arial"/>
          <w:bCs/>
          <w:szCs w:val="20"/>
        </w:rPr>
        <w:t xml:space="preserve"> se v</w:t>
      </w:r>
      <w:r w:rsidRPr="00445B9C">
        <w:rPr>
          <w:rFonts w:cs="Arial"/>
          <w:szCs w:val="20"/>
        </w:rPr>
        <w:t xml:space="preserve"> </w:t>
      </w:r>
      <w:r w:rsidR="00D50774" w:rsidRPr="00445B9C">
        <w:rPr>
          <w:rFonts w:cs="Arial"/>
          <w:szCs w:val="20"/>
        </w:rPr>
        <w:t>3. točki za besedilom »34. člena Direktive 2013/34/EU« doda</w:t>
      </w:r>
      <w:r w:rsidRPr="00445B9C">
        <w:rPr>
          <w:rFonts w:cs="Arial"/>
          <w:szCs w:val="20"/>
        </w:rPr>
        <w:t>ta</w:t>
      </w:r>
      <w:r w:rsidR="00D50774" w:rsidRPr="00445B9C">
        <w:rPr>
          <w:rFonts w:cs="Arial"/>
          <w:szCs w:val="20"/>
        </w:rPr>
        <w:t xml:space="preserve"> </w:t>
      </w:r>
      <w:r w:rsidRPr="00445B9C">
        <w:rPr>
          <w:rFonts w:cs="Arial"/>
          <w:szCs w:val="20"/>
        </w:rPr>
        <w:t xml:space="preserve">vejica in </w:t>
      </w:r>
      <w:r w:rsidR="00D50774" w:rsidRPr="00445B9C">
        <w:rPr>
          <w:rFonts w:cs="Arial"/>
          <w:szCs w:val="20"/>
        </w:rPr>
        <w:t xml:space="preserve">besedilo »pri čemer revizijsko poročilo po potrebi vključuje tudi mnenje o zanesljivosti poročanja o </w:t>
      </w:r>
      <w:proofErr w:type="spellStart"/>
      <w:r w:rsidR="00D50774" w:rsidRPr="00445B9C">
        <w:rPr>
          <w:rFonts w:cs="Arial"/>
          <w:szCs w:val="20"/>
        </w:rPr>
        <w:t>trajnostnosti</w:t>
      </w:r>
      <w:proofErr w:type="spellEnd"/>
      <w:r w:rsidR="00D50774" w:rsidRPr="00445B9C">
        <w:rPr>
          <w:rFonts w:cs="Arial"/>
          <w:szCs w:val="20"/>
        </w:rPr>
        <w:t xml:space="preserve"> </w:t>
      </w:r>
      <w:r w:rsidR="00947429">
        <w:rPr>
          <w:rFonts w:cs="Arial"/>
          <w:szCs w:val="20"/>
        </w:rPr>
        <w:t xml:space="preserve">v </w:t>
      </w:r>
      <w:r w:rsidR="00D50774" w:rsidRPr="00445B9C">
        <w:rPr>
          <w:rFonts w:cs="Arial"/>
          <w:szCs w:val="20"/>
        </w:rPr>
        <w:t>sklad</w:t>
      </w:r>
      <w:r w:rsidR="00947429">
        <w:rPr>
          <w:rFonts w:cs="Arial"/>
          <w:szCs w:val="20"/>
        </w:rPr>
        <w:t>u</w:t>
      </w:r>
      <w:r w:rsidR="00D50774" w:rsidRPr="00445B9C">
        <w:rPr>
          <w:rFonts w:cs="Arial"/>
          <w:szCs w:val="20"/>
        </w:rPr>
        <w:t xml:space="preserve"> s 34. členom Direktive 2013/34/EU«</w:t>
      </w:r>
      <w:r w:rsidRPr="00445B9C">
        <w:rPr>
          <w:rFonts w:cs="Arial"/>
          <w:szCs w:val="20"/>
        </w:rPr>
        <w:t>.</w:t>
      </w:r>
    </w:p>
    <w:p w:rsidR="00CF0FDA" w:rsidRPr="00445B9C" w:rsidRDefault="006635CC" w:rsidP="003552A3">
      <w:pPr>
        <w:jc w:val="both"/>
        <w:rPr>
          <w:rFonts w:cs="Arial"/>
          <w:szCs w:val="20"/>
        </w:rPr>
      </w:pPr>
      <w:r w:rsidRPr="00445B9C">
        <w:rPr>
          <w:rFonts w:cs="Arial"/>
          <w:szCs w:val="20"/>
        </w:rPr>
        <w:t>V</w:t>
      </w:r>
      <w:r w:rsidR="00D50774" w:rsidRPr="00445B9C">
        <w:rPr>
          <w:rFonts w:cs="Arial"/>
          <w:szCs w:val="20"/>
        </w:rPr>
        <w:t xml:space="preserve"> 4. točki </w:t>
      </w:r>
      <w:r w:rsidRPr="00445B9C">
        <w:rPr>
          <w:rFonts w:cs="Arial"/>
          <w:szCs w:val="20"/>
        </w:rPr>
        <w:t xml:space="preserve">se </w:t>
      </w:r>
      <w:r w:rsidR="00D50774" w:rsidRPr="00445B9C">
        <w:rPr>
          <w:rFonts w:cs="Arial"/>
          <w:szCs w:val="20"/>
        </w:rPr>
        <w:t>za besedilom »sprejetim za prenos 19.« doda</w:t>
      </w:r>
      <w:r w:rsidRPr="00445B9C">
        <w:rPr>
          <w:rFonts w:cs="Arial"/>
          <w:szCs w:val="20"/>
        </w:rPr>
        <w:t>ta</w:t>
      </w:r>
      <w:r w:rsidR="00D50774" w:rsidRPr="00445B9C">
        <w:rPr>
          <w:rFonts w:cs="Arial"/>
          <w:szCs w:val="20"/>
        </w:rPr>
        <w:t xml:space="preserve"> </w:t>
      </w:r>
      <w:r w:rsidRPr="00445B9C">
        <w:rPr>
          <w:rFonts w:cs="Arial"/>
          <w:szCs w:val="20"/>
        </w:rPr>
        <w:t xml:space="preserve">vejica in </w:t>
      </w:r>
      <w:r w:rsidR="00D50774" w:rsidRPr="00445B9C">
        <w:rPr>
          <w:rFonts w:cs="Arial"/>
          <w:szCs w:val="20"/>
        </w:rPr>
        <w:t>besedilo »19a., 20. in prvega odstavka 29d.«</w:t>
      </w:r>
      <w:r w:rsidR="00CF077A" w:rsidRPr="00445B9C">
        <w:rPr>
          <w:rFonts w:cs="Arial"/>
          <w:szCs w:val="20"/>
        </w:rPr>
        <w:t>,</w:t>
      </w:r>
      <w:r w:rsidR="00D50774" w:rsidRPr="00445B9C">
        <w:rPr>
          <w:rFonts w:cs="Arial"/>
          <w:szCs w:val="20"/>
        </w:rPr>
        <w:t xml:space="preserve"> za piko</w:t>
      </w:r>
      <w:r w:rsidR="00CF077A" w:rsidRPr="00445B9C">
        <w:rPr>
          <w:rFonts w:cs="Arial"/>
          <w:szCs w:val="20"/>
        </w:rPr>
        <w:t xml:space="preserve"> </w:t>
      </w:r>
      <w:r w:rsidRPr="00445B9C">
        <w:rPr>
          <w:rFonts w:cs="Arial"/>
          <w:szCs w:val="20"/>
        </w:rPr>
        <w:t xml:space="preserve">na koncu </w:t>
      </w:r>
      <w:r w:rsidR="00CF077A" w:rsidRPr="00445B9C">
        <w:rPr>
          <w:rFonts w:cs="Arial"/>
          <w:szCs w:val="20"/>
        </w:rPr>
        <w:t>pa se</w:t>
      </w:r>
      <w:r w:rsidR="00D50774" w:rsidRPr="00445B9C">
        <w:rPr>
          <w:rFonts w:cs="Arial"/>
          <w:szCs w:val="20"/>
        </w:rPr>
        <w:t xml:space="preserve"> doda nov stavek, ki se glasi:</w:t>
      </w:r>
    </w:p>
    <w:p w:rsidR="00CF0FDA" w:rsidRPr="00445B9C" w:rsidRDefault="00D50774" w:rsidP="003552A3">
      <w:pPr>
        <w:jc w:val="both"/>
        <w:rPr>
          <w:rFonts w:cs="Arial"/>
          <w:szCs w:val="20"/>
        </w:rPr>
      </w:pPr>
      <w:r w:rsidRPr="00445B9C">
        <w:rPr>
          <w:rFonts w:cs="Arial"/>
          <w:szCs w:val="20"/>
        </w:rPr>
        <w:t xml:space="preserve"> »Če </w:t>
      </w:r>
      <w:r w:rsidR="00132E61" w:rsidRPr="00445B9C">
        <w:rPr>
          <w:rFonts w:cs="Arial"/>
          <w:szCs w:val="20"/>
        </w:rPr>
        <w:t>javna družba</w:t>
      </w:r>
      <w:r w:rsidRPr="00445B9C">
        <w:rPr>
          <w:rFonts w:cs="Arial"/>
          <w:szCs w:val="20"/>
        </w:rPr>
        <w:t xml:space="preserve"> podaj</w:t>
      </w:r>
      <w:r w:rsidR="00132E61" w:rsidRPr="00445B9C">
        <w:rPr>
          <w:rFonts w:cs="Arial"/>
          <w:szCs w:val="20"/>
        </w:rPr>
        <w:t>a</w:t>
      </w:r>
      <w:r w:rsidRPr="00445B9C">
        <w:rPr>
          <w:rFonts w:cs="Arial"/>
          <w:szCs w:val="20"/>
        </w:rPr>
        <w:t xml:space="preserve"> tudi specifikacije, sprejete na podlagi </w:t>
      </w:r>
      <w:r w:rsidR="00132E61" w:rsidRPr="00445B9C">
        <w:rPr>
          <w:rFonts w:cs="Arial"/>
          <w:szCs w:val="20"/>
        </w:rPr>
        <w:t xml:space="preserve">četrtega odstavka </w:t>
      </w:r>
      <w:r w:rsidRPr="00445B9C">
        <w:rPr>
          <w:rFonts w:cs="Arial"/>
          <w:szCs w:val="20"/>
        </w:rPr>
        <w:t>8</w:t>
      </w:r>
      <w:r w:rsidR="00132E61" w:rsidRPr="00445B9C">
        <w:rPr>
          <w:rFonts w:cs="Arial"/>
          <w:szCs w:val="20"/>
        </w:rPr>
        <w:t>. člena</w:t>
      </w:r>
      <w:r w:rsidRPr="00445B9C">
        <w:rPr>
          <w:rFonts w:cs="Arial"/>
          <w:szCs w:val="20"/>
        </w:rPr>
        <w:t xml:space="preserve"> Uredbe 2020/852</w:t>
      </w:r>
      <w:r w:rsidR="00132E61" w:rsidRPr="00445B9C">
        <w:rPr>
          <w:rFonts w:cs="Arial"/>
          <w:szCs w:val="20"/>
        </w:rPr>
        <w:t>/EU</w:t>
      </w:r>
      <w:r w:rsidRPr="00445B9C">
        <w:rPr>
          <w:rFonts w:cs="Arial"/>
          <w:szCs w:val="20"/>
        </w:rPr>
        <w:t>, poslovno poročilo vsebuje tudi te specifikacije.</w:t>
      </w:r>
      <w:r w:rsidR="00132E61" w:rsidRPr="00445B9C">
        <w:rPr>
          <w:rFonts w:cs="Arial"/>
          <w:szCs w:val="20"/>
        </w:rPr>
        <w:t>«</w:t>
      </w:r>
      <w:r w:rsidR="00CF077A" w:rsidRPr="00445B9C">
        <w:rPr>
          <w:rFonts w:cs="Arial"/>
          <w:szCs w:val="20"/>
        </w:rPr>
        <w:t>.</w:t>
      </w:r>
    </w:p>
    <w:p w:rsidR="006A2506" w:rsidRPr="00445B9C" w:rsidRDefault="006A2506" w:rsidP="00F810E6">
      <w:pPr>
        <w:numPr>
          <w:ilvl w:val="0"/>
          <w:numId w:val="16"/>
        </w:numPr>
        <w:spacing w:before="240" w:after="240" w:line="259" w:lineRule="auto"/>
        <w:ind w:left="720"/>
        <w:jc w:val="center"/>
        <w:outlineLvl w:val="0"/>
        <w:rPr>
          <w:rFonts w:eastAsiaTheme="majorEastAsia" w:cs="Arial"/>
          <w:b/>
          <w:szCs w:val="20"/>
        </w:rPr>
      </w:pPr>
      <w:bookmarkStart w:id="22" w:name="_Ref192067217"/>
      <w:r w:rsidRPr="00445B9C">
        <w:rPr>
          <w:rFonts w:eastAsiaTheme="majorEastAsia" w:cs="Arial"/>
          <w:b/>
          <w:szCs w:val="20"/>
        </w:rPr>
        <w:t>člen</w:t>
      </w:r>
      <w:bookmarkEnd w:id="22"/>
    </w:p>
    <w:p w:rsidR="00CF0FDA" w:rsidRPr="00445B9C" w:rsidRDefault="00B42E66" w:rsidP="003552A3">
      <w:pPr>
        <w:jc w:val="both"/>
        <w:rPr>
          <w:rFonts w:cs="Arial"/>
          <w:szCs w:val="20"/>
        </w:rPr>
      </w:pPr>
      <w:r w:rsidRPr="00445B9C">
        <w:rPr>
          <w:rFonts w:eastAsiaTheme="majorEastAsia" w:cs="Arial"/>
          <w:szCs w:val="20"/>
        </w:rPr>
        <w:t xml:space="preserve">V </w:t>
      </w:r>
      <w:r w:rsidR="00BE1C6A" w:rsidRPr="00445B9C">
        <w:rPr>
          <w:rFonts w:eastAsiaTheme="majorEastAsia" w:cs="Arial"/>
          <w:szCs w:val="20"/>
        </w:rPr>
        <w:t xml:space="preserve">134. členu se </w:t>
      </w:r>
      <w:r w:rsidR="00F43CF8" w:rsidRPr="00445B9C">
        <w:rPr>
          <w:rFonts w:eastAsiaTheme="majorEastAsia" w:cs="Arial"/>
          <w:szCs w:val="20"/>
        </w:rPr>
        <w:t xml:space="preserve">v </w:t>
      </w:r>
      <w:r w:rsidR="008D21D2" w:rsidRPr="00445B9C">
        <w:rPr>
          <w:rFonts w:eastAsiaTheme="majorEastAsia" w:cs="Arial"/>
          <w:szCs w:val="20"/>
        </w:rPr>
        <w:t xml:space="preserve">drugem </w:t>
      </w:r>
      <w:r w:rsidR="00F43CF8" w:rsidRPr="00445B9C">
        <w:rPr>
          <w:rFonts w:eastAsiaTheme="majorEastAsia" w:cs="Arial"/>
          <w:szCs w:val="20"/>
        </w:rPr>
        <w:t xml:space="preserve">odstavku </w:t>
      </w:r>
      <w:r w:rsidR="00276A3A" w:rsidRPr="00445B9C">
        <w:rPr>
          <w:rFonts w:eastAsiaTheme="majorEastAsia" w:cs="Arial"/>
          <w:szCs w:val="20"/>
        </w:rPr>
        <w:t xml:space="preserve">v </w:t>
      </w:r>
      <w:r w:rsidR="00BE1C6A" w:rsidRPr="00445B9C">
        <w:rPr>
          <w:rFonts w:eastAsiaTheme="majorEastAsia" w:cs="Arial"/>
          <w:szCs w:val="20"/>
        </w:rPr>
        <w:t xml:space="preserve">3. </w:t>
      </w:r>
      <w:r w:rsidR="00F43CF8" w:rsidRPr="00445B9C">
        <w:rPr>
          <w:rFonts w:eastAsiaTheme="majorEastAsia" w:cs="Arial"/>
          <w:szCs w:val="20"/>
        </w:rPr>
        <w:t>točk</w:t>
      </w:r>
      <w:r w:rsidR="00276A3A" w:rsidRPr="00445B9C">
        <w:rPr>
          <w:rFonts w:eastAsiaTheme="majorEastAsia" w:cs="Arial"/>
          <w:szCs w:val="20"/>
        </w:rPr>
        <w:t>i</w:t>
      </w:r>
      <w:r w:rsidR="00F43CF8" w:rsidRPr="00445B9C">
        <w:rPr>
          <w:rFonts w:eastAsiaTheme="majorEastAsia" w:cs="Arial"/>
          <w:szCs w:val="20"/>
        </w:rPr>
        <w:t xml:space="preserve"> </w:t>
      </w:r>
      <w:r w:rsidR="00334EC7" w:rsidRPr="00445B9C">
        <w:rPr>
          <w:rFonts w:cs="Arial"/>
          <w:szCs w:val="20"/>
        </w:rPr>
        <w:t xml:space="preserve">v prvi alineji za </w:t>
      </w:r>
      <w:r w:rsidR="00276A3A" w:rsidRPr="00445B9C">
        <w:rPr>
          <w:rFonts w:cs="Arial"/>
          <w:szCs w:val="20"/>
        </w:rPr>
        <w:t xml:space="preserve">vejico za </w:t>
      </w:r>
      <w:r w:rsidR="00334EC7" w:rsidRPr="00445B9C">
        <w:rPr>
          <w:rFonts w:cs="Arial"/>
          <w:szCs w:val="20"/>
        </w:rPr>
        <w:t xml:space="preserve">besedo »celote« črta </w:t>
      </w:r>
      <w:r w:rsidR="002D1CCB" w:rsidRPr="00445B9C">
        <w:rPr>
          <w:rFonts w:cs="Arial"/>
          <w:szCs w:val="20"/>
        </w:rPr>
        <w:t>beseda</w:t>
      </w:r>
      <w:r w:rsidR="00334EC7" w:rsidRPr="00445B9C">
        <w:rPr>
          <w:rFonts w:cs="Arial"/>
          <w:szCs w:val="20"/>
        </w:rPr>
        <w:t xml:space="preserve"> »in«</w:t>
      </w:r>
      <w:r w:rsidR="00276A3A" w:rsidRPr="00445B9C">
        <w:rPr>
          <w:rFonts w:cs="Arial"/>
          <w:szCs w:val="20"/>
        </w:rPr>
        <w:t>.</w:t>
      </w:r>
    </w:p>
    <w:p w:rsidR="00CF0FDA" w:rsidRPr="00445B9C" w:rsidRDefault="00CF0FDA" w:rsidP="003552A3">
      <w:pPr>
        <w:jc w:val="both"/>
        <w:rPr>
          <w:rFonts w:cs="Arial"/>
          <w:szCs w:val="20"/>
        </w:rPr>
      </w:pPr>
    </w:p>
    <w:p w:rsidR="00CF0FDA" w:rsidRPr="00445B9C" w:rsidRDefault="00276A3A" w:rsidP="003552A3">
      <w:pPr>
        <w:jc w:val="both"/>
        <w:rPr>
          <w:rFonts w:cs="Arial"/>
          <w:szCs w:val="20"/>
        </w:rPr>
      </w:pPr>
      <w:r w:rsidRPr="00445B9C">
        <w:rPr>
          <w:rFonts w:cs="Arial"/>
          <w:szCs w:val="20"/>
        </w:rPr>
        <w:t>V</w:t>
      </w:r>
      <w:r w:rsidR="00334EC7" w:rsidRPr="00445B9C">
        <w:rPr>
          <w:rFonts w:cs="Arial"/>
          <w:szCs w:val="20"/>
        </w:rPr>
        <w:t xml:space="preserve"> drugi alineji se pika </w:t>
      </w:r>
      <w:r w:rsidRPr="00445B9C">
        <w:rPr>
          <w:rFonts w:cs="Arial"/>
          <w:szCs w:val="20"/>
        </w:rPr>
        <w:t xml:space="preserve">na koncu </w:t>
      </w:r>
      <w:r w:rsidR="00334EC7" w:rsidRPr="00445B9C">
        <w:rPr>
          <w:rFonts w:cs="Arial"/>
          <w:szCs w:val="20"/>
        </w:rPr>
        <w:t xml:space="preserve">nadomesti z vejico in </w:t>
      </w:r>
      <w:r w:rsidRPr="00445B9C">
        <w:rPr>
          <w:rFonts w:cs="Arial"/>
          <w:szCs w:val="20"/>
        </w:rPr>
        <w:t>za njo</w:t>
      </w:r>
      <w:r w:rsidR="00DD323E" w:rsidRPr="00445B9C">
        <w:rPr>
          <w:rFonts w:cs="Arial"/>
          <w:szCs w:val="20"/>
        </w:rPr>
        <w:t xml:space="preserve"> </w:t>
      </w:r>
      <w:r w:rsidR="00334EC7" w:rsidRPr="00445B9C">
        <w:rPr>
          <w:rFonts w:cs="Arial"/>
          <w:szCs w:val="20"/>
        </w:rPr>
        <w:t>doda nova</w:t>
      </w:r>
      <w:r w:rsidRPr="00445B9C">
        <w:rPr>
          <w:rFonts w:cs="Arial"/>
          <w:szCs w:val="20"/>
        </w:rPr>
        <w:t>,</w:t>
      </w:r>
      <w:r w:rsidR="00334EC7" w:rsidRPr="00445B9C">
        <w:rPr>
          <w:rFonts w:cs="Arial"/>
          <w:szCs w:val="20"/>
        </w:rPr>
        <w:t xml:space="preserve"> tretja alineja, ki se glasi:</w:t>
      </w:r>
    </w:p>
    <w:p w:rsidR="00CF0FDA" w:rsidRPr="00445B9C" w:rsidRDefault="00334EC7" w:rsidP="003552A3">
      <w:pPr>
        <w:jc w:val="both"/>
        <w:rPr>
          <w:rFonts w:eastAsiaTheme="majorEastAsia" w:cs="Arial"/>
          <w:szCs w:val="20"/>
        </w:rPr>
      </w:pPr>
      <w:r w:rsidRPr="00445B9C">
        <w:rPr>
          <w:rFonts w:eastAsiaTheme="majorEastAsia" w:cs="Arial"/>
          <w:szCs w:val="20"/>
        </w:rPr>
        <w:t>»</w:t>
      </w:r>
      <w:r w:rsidR="00276A3A" w:rsidRPr="00445B9C">
        <w:rPr>
          <w:rFonts w:eastAsiaTheme="majorEastAsia" w:cs="Arial"/>
          <w:szCs w:val="20"/>
        </w:rPr>
        <w:t xml:space="preserve">– </w:t>
      </w:r>
      <w:r w:rsidRPr="00445B9C">
        <w:rPr>
          <w:rFonts w:eastAsiaTheme="majorEastAsia" w:cs="Arial"/>
          <w:szCs w:val="20"/>
        </w:rPr>
        <w:t>pripravljeno v skladu s standardi poročanja o trajnostnosti v skladu s 70.c členom ZGD-1 in specifikacijami, sprejetimi na podlagi četrtega odstavka 8. člena Uredbe 2020/852/EU.«</w:t>
      </w:r>
      <w:r w:rsidR="00CF077A" w:rsidRPr="00445B9C">
        <w:rPr>
          <w:rFonts w:eastAsiaTheme="majorEastAsia" w:cs="Arial"/>
          <w:szCs w:val="20"/>
        </w:rPr>
        <w:t>.</w:t>
      </w:r>
    </w:p>
    <w:p w:rsidR="006A2506" w:rsidRPr="00445B9C" w:rsidRDefault="006A2506" w:rsidP="00F810E6">
      <w:pPr>
        <w:numPr>
          <w:ilvl w:val="0"/>
          <w:numId w:val="16"/>
        </w:numPr>
        <w:spacing w:before="240" w:after="240" w:line="259" w:lineRule="auto"/>
        <w:ind w:left="720"/>
        <w:jc w:val="center"/>
        <w:outlineLvl w:val="0"/>
        <w:rPr>
          <w:rFonts w:eastAsia="Arial" w:cs="Arial"/>
          <w:b/>
          <w:bCs/>
          <w:color w:val="111111"/>
          <w:w w:val="105"/>
          <w:szCs w:val="20"/>
        </w:rPr>
      </w:pPr>
      <w:bookmarkStart w:id="23" w:name="_Ref192067226"/>
      <w:r w:rsidRPr="00445B9C">
        <w:rPr>
          <w:rFonts w:eastAsia="Arial" w:cs="Arial"/>
          <w:b/>
          <w:bCs/>
          <w:color w:val="111111"/>
          <w:w w:val="105"/>
          <w:szCs w:val="20"/>
        </w:rPr>
        <w:t>člen</w:t>
      </w:r>
      <w:bookmarkEnd w:id="23"/>
    </w:p>
    <w:p w:rsidR="008B0474" w:rsidRPr="00445B9C" w:rsidRDefault="008B0474"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 xml:space="preserve">V 141. členu se </w:t>
      </w:r>
      <w:r w:rsidR="00297448" w:rsidRPr="00445B9C">
        <w:rPr>
          <w:rFonts w:eastAsia="Arial" w:cs="Arial"/>
          <w:color w:val="111111"/>
          <w:w w:val="105"/>
          <w:szCs w:val="20"/>
        </w:rPr>
        <w:t>v</w:t>
      </w:r>
      <w:r w:rsidRPr="00445B9C">
        <w:rPr>
          <w:rFonts w:eastAsia="Arial" w:cs="Arial"/>
          <w:color w:val="111111"/>
          <w:w w:val="105"/>
          <w:szCs w:val="20"/>
        </w:rPr>
        <w:t xml:space="preserve"> četrte</w:t>
      </w:r>
      <w:r w:rsidR="00297448" w:rsidRPr="00445B9C">
        <w:rPr>
          <w:rFonts w:eastAsia="Arial" w:cs="Arial"/>
          <w:color w:val="111111"/>
          <w:w w:val="105"/>
          <w:szCs w:val="20"/>
        </w:rPr>
        <w:t>m</w:t>
      </w:r>
      <w:r w:rsidRPr="00445B9C">
        <w:rPr>
          <w:rFonts w:eastAsia="Arial" w:cs="Arial"/>
          <w:color w:val="111111"/>
          <w:w w:val="105"/>
          <w:szCs w:val="20"/>
        </w:rPr>
        <w:t xml:space="preserve"> odstavk</w:t>
      </w:r>
      <w:r w:rsidR="00297448" w:rsidRPr="00445B9C">
        <w:rPr>
          <w:rFonts w:eastAsia="Arial" w:cs="Arial"/>
          <w:color w:val="111111"/>
          <w:w w:val="105"/>
          <w:szCs w:val="20"/>
        </w:rPr>
        <w:t>u</w:t>
      </w:r>
      <w:r w:rsidRPr="00445B9C">
        <w:rPr>
          <w:rFonts w:eastAsia="Arial" w:cs="Arial"/>
          <w:color w:val="111111"/>
          <w:w w:val="105"/>
          <w:szCs w:val="20"/>
        </w:rPr>
        <w:t xml:space="preserve"> </w:t>
      </w:r>
      <w:r w:rsidR="000375E3" w:rsidRPr="00445B9C">
        <w:rPr>
          <w:rFonts w:eastAsia="Arial" w:cs="Arial"/>
          <w:color w:val="111111"/>
          <w:w w:val="105"/>
          <w:szCs w:val="20"/>
        </w:rPr>
        <w:t xml:space="preserve">v napovednem stavku za besedo »članice« </w:t>
      </w:r>
      <w:r w:rsidR="00297448" w:rsidRPr="00445B9C">
        <w:rPr>
          <w:rFonts w:eastAsia="Arial" w:cs="Arial"/>
          <w:color w:val="111111"/>
          <w:w w:val="105"/>
          <w:szCs w:val="20"/>
        </w:rPr>
        <w:t>črta</w:t>
      </w:r>
      <w:r w:rsidR="000375E3" w:rsidRPr="00445B9C">
        <w:rPr>
          <w:rFonts w:eastAsia="Arial" w:cs="Arial"/>
          <w:color w:val="111111"/>
          <w:w w:val="105"/>
          <w:szCs w:val="20"/>
        </w:rPr>
        <w:t>ta</w:t>
      </w:r>
      <w:r w:rsidR="00297448" w:rsidRPr="00445B9C">
        <w:rPr>
          <w:rFonts w:eastAsia="Arial" w:cs="Arial"/>
          <w:color w:val="111111"/>
          <w:w w:val="105"/>
          <w:szCs w:val="20"/>
        </w:rPr>
        <w:t xml:space="preserve"> </w:t>
      </w:r>
      <w:r w:rsidR="000375E3" w:rsidRPr="00445B9C">
        <w:rPr>
          <w:rFonts w:eastAsia="Arial" w:cs="Arial"/>
          <w:color w:val="111111"/>
          <w:w w:val="105"/>
          <w:szCs w:val="20"/>
        </w:rPr>
        <w:t xml:space="preserve">vejica in </w:t>
      </w:r>
      <w:r w:rsidR="00297448" w:rsidRPr="00445B9C">
        <w:rPr>
          <w:rFonts w:eastAsia="Arial" w:cs="Arial"/>
          <w:color w:val="111111"/>
          <w:w w:val="105"/>
          <w:szCs w:val="20"/>
        </w:rPr>
        <w:t xml:space="preserve">besedilo »banke tretje države« </w:t>
      </w:r>
      <w:r w:rsidR="000375E3" w:rsidRPr="00445B9C">
        <w:rPr>
          <w:rFonts w:eastAsia="Arial" w:cs="Arial"/>
          <w:color w:val="111111"/>
          <w:w w:val="105"/>
          <w:szCs w:val="20"/>
        </w:rPr>
        <w:t>ter</w:t>
      </w:r>
      <w:r w:rsidR="00297448" w:rsidRPr="00445B9C">
        <w:rPr>
          <w:rFonts w:eastAsia="Arial" w:cs="Arial"/>
          <w:color w:val="111111"/>
          <w:w w:val="105"/>
          <w:szCs w:val="20"/>
        </w:rPr>
        <w:t xml:space="preserve"> za besedilom »Uredba 575/2013/EU« doda besedilo »oziroma Uredba 2019/2033/EU«.</w:t>
      </w:r>
    </w:p>
    <w:p w:rsidR="009A3657" w:rsidRPr="00445B9C" w:rsidRDefault="00CF077A" w:rsidP="00F810E6">
      <w:pPr>
        <w:numPr>
          <w:ilvl w:val="0"/>
          <w:numId w:val="16"/>
        </w:numPr>
        <w:spacing w:before="240" w:after="240" w:line="259" w:lineRule="auto"/>
        <w:ind w:left="720"/>
        <w:jc w:val="center"/>
        <w:outlineLvl w:val="0"/>
        <w:rPr>
          <w:rFonts w:eastAsia="Arial" w:cs="Arial"/>
          <w:b/>
          <w:bCs/>
          <w:color w:val="111111"/>
          <w:w w:val="105"/>
          <w:szCs w:val="20"/>
        </w:rPr>
      </w:pPr>
      <w:bookmarkStart w:id="24" w:name="_Ref196734005"/>
      <w:r w:rsidRPr="00445B9C">
        <w:rPr>
          <w:rFonts w:eastAsia="Arial" w:cs="Arial"/>
          <w:b/>
          <w:bCs/>
          <w:color w:val="111111"/>
          <w:w w:val="105"/>
          <w:szCs w:val="20"/>
        </w:rPr>
        <w:t>člen</w:t>
      </w:r>
      <w:bookmarkEnd w:id="24"/>
    </w:p>
    <w:p w:rsidR="009A3657" w:rsidRPr="00445B9C" w:rsidRDefault="009A3657"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V 158. členu se za tretjim odstavkom dodata nova</w:t>
      </w:r>
      <w:r w:rsidR="000375E3" w:rsidRPr="00445B9C">
        <w:rPr>
          <w:rFonts w:eastAsia="Arial" w:cs="Arial"/>
          <w:color w:val="111111"/>
          <w:w w:val="105"/>
          <w:szCs w:val="20"/>
        </w:rPr>
        <w:t>,</w:t>
      </w:r>
      <w:r w:rsidRPr="00445B9C">
        <w:rPr>
          <w:rFonts w:eastAsia="Arial" w:cs="Arial"/>
          <w:color w:val="111111"/>
          <w:w w:val="105"/>
          <w:szCs w:val="20"/>
        </w:rPr>
        <w:t xml:space="preserve"> četrti in peti odstavek, ki se glasita:</w:t>
      </w:r>
    </w:p>
    <w:p w:rsidR="009A3657" w:rsidRPr="00445B9C" w:rsidRDefault="00123C5A"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w:t>
      </w:r>
      <w:r w:rsidR="009A3657" w:rsidRPr="00445B9C">
        <w:rPr>
          <w:rFonts w:eastAsia="Arial" w:cs="Arial"/>
          <w:color w:val="111111"/>
          <w:w w:val="105"/>
          <w:szCs w:val="20"/>
        </w:rPr>
        <w:t xml:space="preserve">(4) Nadzorovane informacije iz prvega odstavka tega člena so skladne z naslednjimi zahtevami: </w:t>
      </w:r>
    </w:p>
    <w:p w:rsidR="009A3657" w:rsidRPr="00445B9C" w:rsidRDefault="009A3657"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1.</w:t>
      </w:r>
      <w:r w:rsidRPr="00445B9C">
        <w:rPr>
          <w:rFonts w:eastAsia="Arial" w:cs="Arial"/>
          <w:color w:val="111111"/>
          <w:w w:val="105"/>
          <w:szCs w:val="20"/>
        </w:rPr>
        <w:tab/>
        <w:t xml:space="preserve">predložene </w:t>
      </w:r>
      <w:r w:rsidR="00B267F9" w:rsidRPr="00445B9C">
        <w:rPr>
          <w:rFonts w:eastAsia="Arial" w:cs="Arial"/>
          <w:color w:val="111111"/>
          <w:w w:val="105"/>
          <w:szCs w:val="20"/>
        </w:rPr>
        <w:t xml:space="preserve">so </w:t>
      </w:r>
      <w:r w:rsidRPr="00445B9C">
        <w:rPr>
          <w:rFonts w:eastAsia="Arial" w:cs="Arial"/>
          <w:color w:val="111111"/>
          <w:w w:val="105"/>
          <w:szCs w:val="20"/>
        </w:rPr>
        <w:t>v formatu, ki omogoča izvoz podatkov, kakor je opredeljen v 3. točki 2. člena Uredbe 2023/2859/EU ali, kadar to zahtevajo predpisi, v strojno berljivem formatu, kakor je opredeljen v 4. točki 2. člena Uredbe 2023/2859/EU;</w:t>
      </w:r>
      <w:r w:rsidR="00B267F9">
        <w:rPr>
          <w:rFonts w:eastAsia="Arial" w:cs="Arial"/>
          <w:color w:val="111111"/>
          <w:w w:val="105"/>
          <w:szCs w:val="20"/>
        </w:rPr>
        <w:t xml:space="preserve"> </w:t>
      </w:r>
    </w:p>
    <w:p w:rsidR="009A3657" w:rsidRPr="00445B9C" w:rsidRDefault="009A3657"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2.</w:t>
      </w:r>
      <w:r w:rsidRPr="00445B9C">
        <w:rPr>
          <w:rFonts w:eastAsia="Arial" w:cs="Arial"/>
          <w:color w:val="111111"/>
          <w:w w:val="105"/>
          <w:szCs w:val="20"/>
        </w:rPr>
        <w:tab/>
        <w:t>vsebujejo naslednje metapodatke:</w:t>
      </w:r>
    </w:p>
    <w:p w:rsidR="009A3657" w:rsidRPr="00445B9C" w:rsidRDefault="003C6E08" w:rsidP="00BA786D">
      <w:pPr>
        <w:spacing w:before="240" w:after="240" w:line="259" w:lineRule="auto"/>
        <w:jc w:val="both"/>
        <w:outlineLvl w:val="0"/>
        <w:rPr>
          <w:rFonts w:eastAsia="Arial" w:cs="Arial"/>
          <w:color w:val="111111"/>
          <w:w w:val="105"/>
          <w:szCs w:val="20"/>
        </w:rPr>
      </w:pPr>
      <w:r>
        <w:rPr>
          <w:rFonts w:eastAsia="Arial" w:cs="Arial"/>
          <w:color w:val="111111"/>
          <w:w w:val="105"/>
          <w:szCs w:val="20"/>
        </w:rPr>
        <w:t>–</w:t>
      </w:r>
      <w:r w:rsidR="009A3657" w:rsidRPr="00445B9C">
        <w:rPr>
          <w:rFonts w:eastAsia="Arial" w:cs="Arial"/>
          <w:color w:val="111111"/>
          <w:w w:val="105"/>
          <w:szCs w:val="20"/>
        </w:rPr>
        <w:tab/>
        <w:t>vsa imena javne družbe, na katero se informacije nanašajo;</w:t>
      </w:r>
    </w:p>
    <w:p w:rsidR="009A3657" w:rsidRPr="00445B9C" w:rsidRDefault="003C6E08" w:rsidP="00BA786D">
      <w:pPr>
        <w:spacing w:before="240" w:after="240" w:line="259" w:lineRule="auto"/>
        <w:jc w:val="both"/>
        <w:outlineLvl w:val="0"/>
        <w:rPr>
          <w:rFonts w:eastAsia="Arial" w:cs="Arial"/>
          <w:color w:val="111111"/>
          <w:w w:val="105"/>
          <w:szCs w:val="20"/>
        </w:rPr>
      </w:pPr>
      <w:r>
        <w:rPr>
          <w:rFonts w:eastAsia="Arial" w:cs="Arial"/>
          <w:color w:val="111111"/>
          <w:w w:val="105"/>
          <w:szCs w:val="20"/>
        </w:rPr>
        <w:t>–</w:t>
      </w:r>
      <w:r w:rsidR="009A3657" w:rsidRPr="00445B9C">
        <w:rPr>
          <w:rFonts w:eastAsia="Arial" w:cs="Arial"/>
          <w:color w:val="111111"/>
          <w:w w:val="105"/>
          <w:szCs w:val="20"/>
        </w:rPr>
        <w:tab/>
        <w:t>enolično mednarodno identifikacijsko številko (LEI</w:t>
      </w:r>
      <w:r w:rsidR="00B267F9">
        <w:rPr>
          <w:rFonts w:eastAsia="Arial" w:cs="Arial"/>
          <w:color w:val="111111"/>
          <w:w w:val="105"/>
          <w:szCs w:val="20"/>
        </w:rPr>
        <w:t>-</w:t>
      </w:r>
      <w:r w:rsidR="009A3657" w:rsidRPr="00445B9C">
        <w:rPr>
          <w:rFonts w:eastAsia="Arial" w:cs="Arial"/>
          <w:color w:val="111111"/>
          <w:w w:val="105"/>
          <w:szCs w:val="20"/>
        </w:rPr>
        <w:t>koda) javne družbe, kot je določena na podlagi b) točke četrtega odstavka 7. člena Uredbe 2023/2859/EU;</w:t>
      </w:r>
    </w:p>
    <w:p w:rsidR="009A3657" w:rsidRPr="00445B9C" w:rsidRDefault="003C6E08" w:rsidP="00BA786D">
      <w:pPr>
        <w:spacing w:before="240" w:after="240" w:line="259" w:lineRule="auto"/>
        <w:jc w:val="both"/>
        <w:outlineLvl w:val="0"/>
        <w:rPr>
          <w:rFonts w:eastAsia="Arial" w:cs="Arial"/>
          <w:color w:val="111111"/>
          <w:w w:val="105"/>
          <w:szCs w:val="20"/>
        </w:rPr>
      </w:pPr>
      <w:r>
        <w:rPr>
          <w:rFonts w:eastAsia="Arial" w:cs="Arial"/>
          <w:color w:val="111111"/>
          <w:w w:val="105"/>
          <w:szCs w:val="20"/>
        </w:rPr>
        <w:lastRenderedPageBreak/>
        <w:t>–</w:t>
      </w:r>
      <w:r w:rsidR="009A3657" w:rsidRPr="00445B9C">
        <w:rPr>
          <w:rFonts w:eastAsia="Arial" w:cs="Arial"/>
          <w:color w:val="111111"/>
          <w:w w:val="105"/>
          <w:szCs w:val="20"/>
        </w:rPr>
        <w:tab/>
        <w:t>velikost javne družbe po kategorijah, kot so določene na podlag</w:t>
      </w:r>
      <w:r w:rsidR="000375E3" w:rsidRPr="00445B9C">
        <w:rPr>
          <w:rFonts w:eastAsia="Arial" w:cs="Arial"/>
          <w:color w:val="111111"/>
          <w:w w:val="105"/>
          <w:szCs w:val="20"/>
        </w:rPr>
        <w:t>i</w:t>
      </w:r>
      <w:r w:rsidR="009A3657" w:rsidRPr="00445B9C">
        <w:rPr>
          <w:rFonts w:eastAsia="Arial" w:cs="Arial"/>
          <w:color w:val="111111"/>
          <w:w w:val="105"/>
          <w:szCs w:val="20"/>
        </w:rPr>
        <w:t xml:space="preserve"> d) točke četrtega odstavka 7. člena Uredbe 2023/2859/EU;</w:t>
      </w:r>
    </w:p>
    <w:p w:rsidR="009A3657" w:rsidRPr="00445B9C" w:rsidRDefault="003C6E08" w:rsidP="00BA786D">
      <w:pPr>
        <w:spacing w:before="240" w:after="240" w:line="259" w:lineRule="auto"/>
        <w:jc w:val="both"/>
        <w:outlineLvl w:val="0"/>
        <w:rPr>
          <w:rFonts w:eastAsia="Arial" w:cs="Arial"/>
          <w:color w:val="111111"/>
          <w:w w:val="105"/>
          <w:szCs w:val="20"/>
        </w:rPr>
      </w:pPr>
      <w:r>
        <w:rPr>
          <w:rFonts w:eastAsia="Arial" w:cs="Arial"/>
          <w:color w:val="111111"/>
          <w:w w:val="105"/>
          <w:szCs w:val="20"/>
        </w:rPr>
        <w:t>–</w:t>
      </w:r>
      <w:r w:rsidR="009A3657" w:rsidRPr="00445B9C">
        <w:rPr>
          <w:rFonts w:eastAsia="Arial" w:cs="Arial"/>
          <w:color w:val="111111"/>
          <w:w w:val="105"/>
          <w:szCs w:val="20"/>
        </w:rPr>
        <w:tab/>
        <w:t xml:space="preserve">industrijski </w:t>
      </w:r>
      <w:r w:rsidR="007A27FB" w:rsidRPr="00445B9C">
        <w:rPr>
          <w:rFonts w:eastAsia="Arial" w:cs="Arial"/>
          <w:color w:val="111111"/>
          <w:w w:val="105"/>
          <w:szCs w:val="20"/>
        </w:rPr>
        <w:t>sektorji</w:t>
      </w:r>
      <w:r w:rsidR="009A3657" w:rsidRPr="00445B9C">
        <w:rPr>
          <w:rFonts w:eastAsia="Arial" w:cs="Arial"/>
          <w:color w:val="111111"/>
          <w:w w:val="105"/>
          <w:szCs w:val="20"/>
        </w:rPr>
        <w:t xml:space="preserve"> gospodarskih dejavnosti javne družbe, kot </w:t>
      </w:r>
      <w:r w:rsidR="00F93FE4">
        <w:rPr>
          <w:rFonts w:eastAsia="Arial" w:cs="Arial"/>
          <w:color w:val="111111"/>
          <w:w w:val="105"/>
          <w:szCs w:val="20"/>
        </w:rPr>
        <w:t>so</w:t>
      </w:r>
      <w:r w:rsidR="00F93FE4" w:rsidRPr="00445B9C">
        <w:rPr>
          <w:rFonts w:eastAsia="Arial" w:cs="Arial"/>
          <w:color w:val="111111"/>
          <w:w w:val="105"/>
          <w:szCs w:val="20"/>
        </w:rPr>
        <w:t xml:space="preserve"> </w:t>
      </w:r>
      <w:r w:rsidR="009A3657" w:rsidRPr="00445B9C">
        <w:rPr>
          <w:rFonts w:eastAsia="Arial" w:cs="Arial"/>
          <w:color w:val="111111"/>
          <w:w w:val="105"/>
          <w:szCs w:val="20"/>
        </w:rPr>
        <w:t>določen</w:t>
      </w:r>
      <w:r w:rsidR="00F93FE4">
        <w:rPr>
          <w:rFonts w:eastAsia="Arial" w:cs="Arial"/>
          <w:color w:val="111111"/>
          <w:w w:val="105"/>
          <w:szCs w:val="20"/>
        </w:rPr>
        <w:t>i</w:t>
      </w:r>
      <w:r w:rsidR="009A3657" w:rsidRPr="00445B9C">
        <w:rPr>
          <w:rFonts w:eastAsia="Arial" w:cs="Arial"/>
          <w:color w:val="111111"/>
          <w:w w:val="105"/>
          <w:szCs w:val="20"/>
        </w:rPr>
        <w:t xml:space="preserve"> na podlagi e) točke četrtega odstavka 7. člena Uredbe 2023/2859/EU;</w:t>
      </w:r>
    </w:p>
    <w:p w:rsidR="009A3657" w:rsidRPr="00445B9C" w:rsidRDefault="003C6E08" w:rsidP="00BA786D">
      <w:pPr>
        <w:spacing w:before="240" w:after="240" w:line="259" w:lineRule="auto"/>
        <w:jc w:val="both"/>
        <w:outlineLvl w:val="0"/>
        <w:rPr>
          <w:rFonts w:eastAsia="Arial" w:cs="Arial"/>
          <w:color w:val="111111"/>
          <w:w w:val="105"/>
          <w:szCs w:val="20"/>
        </w:rPr>
      </w:pPr>
      <w:r>
        <w:rPr>
          <w:rFonts w:eastAsia="Arial" w:cs="Arial"/>
          <w:color w:val="111111"/>
          <w:w w:val="105"/>
          <w:szCs w:val="20"/>
        </w:rPr>
        <w:t>–</w:t>
      </w:r>
      <w:r w:rsidR="009A3657" w:rsidRPr="00445B9C">
        <w:rPr>
          <w:rFonts w:eastAsia="Arial" w:cs="Arial"/>
          <w:color w:val="111111"/>
          <w:w w:val="105"/>
          <w:szCs w:val="20"/>
        </w:rPr>
        <w:tab/>
        <w:t>vrst</w:t>
      </w:r>
      <w:r w:rsidR="00FA3277" w:rsidRPr="00445B9C">
        <w:rPr>
          <w:rFonts w:eastAsia="Arial" w:cs="Arial"/>
          <w:color w:val="111111"/>
          <w:w w:val="105"/>
          <w:szCs w:val="20"/>
        </w:rPr>
        <w:t>e</w:t>
      </w:r>
      <w:r w:rsidR="009A3657" w:rsidRPr="00445B9C">
        <w:rPr>
          <w:rFonts w:eastAsia="Arial" w:cs="Arial"/>
          <w:color w:val="111111"/>
          <w:w w:val="105"/>
          <w:szCs w:val="20"/>
        </w:rPr>
        <w:t xml:space="preserve"> informacij glede na razvrstitev na podlagi c) točke četrtega odstavka 7. člena Uredbe 2023/2859/EU; </w:t>
      </w:r>
    </w:p>
    <w:p w:rsidR="009A3657" w:rsidRPr="00445B9C" w:rsidRDefault="003C6E08" w:rsidP="00BA786D">
      <w:pPr>
        <w:spacing w:before="240" w:after="240" w:line="259" w:lineRule="auto"/>
        <w:jc w:val="both"/>
        <w:outlineLvl w:val="0"/>
        <w:rPr>
          <w:rFonts w:eastAsia="Arial" w:cs="Arial"/>
          <w:color w:val="111111"/>
          <w:w w:val="105"/>
          <w:szCs w:val="20"/>
        </w:rPr>
      </w:pPr>
      <w:r>
        <w:rPr>
          <w:rFonts w:eastAsia="Arial" w:cs="Arial"/>
          <w:color w:val="111111"/>
          <w:w w:val="105"/>
          <w:szCs w:val="20"/>
        </w:rPr>
        <w:t>–</w:t>
      </w:r>
      <w:r w:rsidR="009A3657" w:rsidRPr="00445B9C">
        <w:rPr>
          <w:rFonts w:eastAsia="Arial" w:cs="Arial"/>
          <w:color w:val="111111"/>
          <w:w w:val="105"/>
          <w:szCs w:val="20"/>
        </w:rPr>
        <w:tab/>
        <w:t>oznak</w:t>
      </w:r>
      <w:r w:rsidR="00FA3277" w:rsidRPr="00445B9C">
        <w:rPr>
          <w:rFonts w:eastAsia="Arial" w:cs="Arial"/>
          <w:color w:val="111111"/>
          <w:w w:val="105"/>
          <w:szCs w:val="20"/>
        </w:rPr>
        <w:t>o</w:t>
      </w:r>
      <w:r w:rsidR="009A3657" w:rsidRPr="00445B9C">
        <w:rPr>
          <w:rFonts w:eastAsia="Arial" w:cs="Arial"/>
          <w:color w:val="111111"/>
          <w:w w:val="105"/>
          <w:szCs w:val="20"/>
        </w:rPr>
        <w:t>, ali informacije vsebujejo osebne podatke.</w:t>
      </w:r>
    </w:p>
    <w:p w:rsidR="009A3657" w:rsidRPr="00445B9C" w:rsidRDefault="009A3657"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(5) Za namene druge alineje 2. točke prejšnjega odstavka javne družbe pridobijo enolično mednarodno identifikacijsko številko (LEI</w:t>
      </w:r>
      <w:r w:rsidR="003C6E08">
        <w:rPr>
          <w:rFonts w:eastAsia="Arial" w:cs="Arial"/>
          <w:color w:val="111111"/>
          <w:w w:val="105"/>
          <w:szCs w:val="20"/>
        </w:rPr>
        <w:t>-</w:t>
      </w:r>
      <w:r w:rsidRPr="00445B9C">
        <w:rPr>
          <w:rFonts w:eastAsia="Arial" w:cs="Arial"/>
          <w:color w:val="111111"/>
          <w:w w:val="105"/>
          <w:szCs w:val="20"/>
        </w:rPr>
        <w:t xml:space="preserve">koda), kot je določena na podlagi b) točke četrtega odstavka 7. člena Uredbe 2023/2859/EU, </w:t>
      </w:r>
      <w:r w:rsidR="00FA3277" w:rsidRPr="00445B9C">
        <w:rPr>
          <w:rFonts w:eastAsia="Arial" w:cs="Arial"/>
          <w:color w:val="111111"/>
          <w:w w:val="105"/>
          <w:szCs w:val="20"/>
        </w:rPr>
        <w:t>če</w:t>
      </w:r>
      <w:r w:rsidRPr="00445B9C">
        <w:rPr>
          <w:rFonts w:eastAsia="Arial" w:cs="Arial"/>
          <w:color w:val="111111"/>
          <w:w w:val="105"/>
          <w:szCs w:val="20"/>
        </w:rPr>
        <w:t xml:space="preserve"> z njo še ne razpolagajo.«</w:t>
      </w:r>
      <w:r w:rsidR="00CF077A" w:rsidRPr="00445B9C">
        <w:rPr>
          <w:rFonts w:eastAsia="Arial" w:cs="Arial"/>
          <w:color w:val="111111"/>
          <w:w w:val="105"/>
          <w:szCs w:val="20"/>
        </w:rPr>
        <w:t>.</w:t>
      </w:r>
    </w:p>
    <w:p w:rsidR="00545AE4"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25" w:name="_Ref196734031"/>
      <w:r w:rsidRPr="00445B9C">
        <w:rPr>
          <w:rFonts w:eastAsiaTheme="majorEastAsia" w:cs="Arial"/>
          <w:b/>
          <w:szCs w:val="20"/>
        </w:rPr>
        <w:t>člen</w:t>
      </w:r>
      <w:bookmarkEnd w:id="25"/>
    </w:p>
    <w:p w:rsidR="004974C8" w:rsidRPr="00445B9C" w:rsidRDefault="00545AE4"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 xml:space="preserve">V 159. členu se v prvem odstavku za prvim stavkom doda nov stavek, ki se glasi: </w:t>
      </w:r>
    </w:p>
    <w:p w:rsidR="004974C8" w:rsidRPr="00445B9C" w:rsidRDefault="004974C8"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»Ta sistem je organ za sprejemanje podatkov za nadzorovane informacije iz tega poglavja, k</w:t>
      </w:r>
      <w:r w:rsidR="003C6E08">
        <w:rPr>
          <w:rFonts w:eastAsia="Arial" w:cs="Arial"/>
          <w:color w:val="111111"/>
          <w:w w:val="105"/>
          <w:szCs w:val="20"/>
        </w:rPr>
        <w:t>akor</w:t>
      </w:r>
      <w:r w:rsidRPr="00445B9C">
        <w:rPr>
          <w:rFonts w:eastAsia="Arial" w:cs="Arial"/>
          <w:color w:val="111111"/>
          <w:w w:val="105"/>
          <w:szCs w:val="20"/>
        </w:rPr>
        <w:t xml:space="preserve"> je opredeljen v 2. točki 2. člena Uredbe 2023/2859/EU</w:t>
      </w:r>
      <w:r w:rsidR="00664234" w:rsidRPr="00445B9C">
        <w:rPr>
          <w:rFonts w:eastAsia="Arial" w:cs="Arial"/>
          <w:color w:val="111111"/>
          <w:w w:val="105"/>
          <w:szCs w:val="20"/>
        </w:rPr>
        <w:t>,</w:t>
      </w:r>
      <w:r w:rsidRPr="00445B9C">
        <w:rPr>
          <w:rFonts w:eastAsia="Arial" w:cs="Arial"/>
          <w:color w:val="111111"/>
          <w:w w:val="105"/>
          <w:szCs w:val="20"/>
        </w:rPr>
        <w:t xml:space="preserve"> in zagotavlja, da so informacije iz tega sistema dostopne v evropski enotni točki dostopa, vzpostavljeni na podlagi </w:t>
      </w:r>
      <w:r w:rsidR="005F4BFC" w:rsidRPr="00445B9C">
        <w:rPr>
          <w:rFonts w:eastAsiaTheme="majorEastAsia" w:cs="Arial"/>
          <w:bCs/>
          <w:szCs w:val="20"/>
        </w:rPr>
        <w:t>prvega odstavka 1. člena</w:t>
      </w:r>
      <w:r w:rsidR="005F4BFC" w:rsidRPr="00445B9C">
        <w:rPr>
          <w:rFonts w:eastAsia="Arial" w:cs="Arial"/>
          <w:color w:val="111111"/>
          <w:w w:val="105"/>
          <w:szCs w:val="20"/>
        </w:rPr>
        <w:t xml:space="preserve"> </w:t>
      </w:r>
      <w:r w:rsidRPr="00445B9C">
        <w:rPr>
          <w:rFonts w:eastAsia="Arial" w:cs="Arial"/>
          <w:color w:val="111111"/>
          <w:w w:val="105"/>
          <w:szCs w:val="20"/>
        </w:rPr>
        <w:t>Uredbe 2023/2859/EU.«</w:t>
      </w:r>
      <w:r w:rsidR="00CF077A" w:rsidRPr="00445B9C">
        <w:rPr>
          <w:rFonts w:eastAsia="Arial" w:cs="Arial"/>
          <w:color w:val="111111"/>
          <w:w w:val="105"/>
          <w:szCs w:val="20"/>
        </w:rPr>
        <w:t>.</w:t>
      </w:r>
    </w:p>
    <w:p w:rsidR="00B610BE" w:rsidRPr="00445B9C" w:rsidRDefault="00B610BE"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 xml:space="preserve">V petem odstavku se za </w:t>
      </w:r>
      <w:r w:rsidR="002D1CCB" w:rsidRPr="00445B9C">
        <w:rPr>
          <w:rFonts w:eastAsia="Arial" w:cs="Arial"/>
          <w:color w:val="111111"/>
          <w:w w:val="105"/>
          <w:szCs w:val="20"/>
        </w:rPr>
        <w:t>kratico</w:t>
      </w:r>
      <w:r w:rsidRPr="00445B9C">
        <w:rPr>
          <w:rFonts w:eastAsia="Arial" w:cs="Arial"/>
          <w:color w:val="111111"/>
          <w:w w:val="105"/>
          <w:szCs w:val="20"/>
        </w:rPr>
        <w:t xml:space="preserve"> »ESMA« doda besedilo »na podlagi 1. člena Uredbe 2016/1437/EU«.</w:t>
      </w:r>
    </w:p>
    <w:p w:rsidR="00545AE4" w:rsidRPr="00445B9C" w:rsidRDefault="00545AE4" w:rsidP="00F810E6">
      <w:pPr>
        <w:numPr>
          <w:ilvl w:val="0"/>
          <w:numId w:val="16"/>
        </w:numPr>
        <w:spacing w:before="240" w:after="240" w:line="259" w:lineRule="auto"/>
        <w:ind w:left="720"/>
        <w:jc w:val="center"/>
        <w:outlineLvl w:val="0"/>
        <w:rPr>
          <w:rFonts w:eastAsiaTheme="majorEastAsia" w:cs="Arial"/>
          <w:b/>
          <w:szCs w:val="20"/>
        </w:rPr>
      </w:pPr>
      <w:r w:rsidRPr="00445B9C">
        <w:rPr>
          <w:rFonts w:eastAsiaTheme="majorEastAsia" w:cs="Arial"/>
          <w:b/>
          <w:szCs w:val="20"/>
        </w:rPr>
        <w:t xml:space="preserve"> </w:t>
      </w:r>
      <w:bookmarkStart w:id="26" w:name="_Ref196734154"/>
      <w:r w:rsidR="00CF077A" w:rsidRPr="00445B9C">
        <w:rPr>
          <w:rFonts w:eastAsiaTheme="majorEastAsia" w:cs="Arial"/>
          <w:b/>
          <w:szCs w:val="20"/>
        </w:rPr>
        <w:t>člen</w:t>
      </w:r>
      <w:bookmarkEnd w:id="26"/>
    </w:p>
    <w:p w:rsidR="00123C5A" w:rsidRPr="00445B9C" w:rsidRDefault="00123C5A"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V 1</w:t>
      </w:r>
      <w:r w:rsidR="004E2D75" w:rsidRPr="00445B9C">
        <w:rPr>
          <w:rFonts w:eastAsia="Arial" w:cs="Arial"/>
          <w:color w:val="111111"/>
          <w:w w:val="105"/>
          <w:szCs w:val="20"/>
        </w:rPr>
        <w:t>6</w:t>
      </w:r>
      <w:r w:rsidRPr="00445B9C">
        <w:rPr>
          <w:rFonts w:eastAsia="Arial" w:cs="Arial"/>
          <w:color w:val="111111"/>
          <w:w w:val="105"/>
          <w:szCs w:val="20"/>
        </w:rPr>
        <w:t>9. členu se za četrtim odstavkom doda nov</w:t>
      </w:r>
      <w:r w:rsidR="006561FB" w:rsidRPr="00445B9C">
        <w:rPr>
          <w:rFonts w:eastAsia="Arial" w:cs="Arial"/>
          <w:color w:val="111111"/>
          <w:w w:val="105"/>
          <w:szCs w:val="20"/>
        </w:rPr>
        <w:t>,</w:t>
      </w:r>
      <w:r w:rsidRPr="00445B9C">
        <w:rPr>
          <w:rFonts w:eastAsia="Arial" w:cs="Arial"/>
          <w:color w:val="111111"/>
          <w:w w:val="105"/>
          <w:szCs w:val="20"/>
        </w:rPr>
        <w:t xml:space="preserve"> peti odstavek, ki se glasi:</w:t>
      </w:r>
    </w:p>
    <w:p w:rsidR="00123C5A" w:rsidRPr="00445B9C" w:rsidRDefault="00123C5A"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 xml:space="preserve">»(5) Agencija hkrati z javno objavo informacij iz tega člena slednje </w:t>
      </w:r>
      <w:r w:rsidR="00C32B8C">
        <w:rPr>
          <w:rFonts w:eastAsia="Arial" w:cs="Arial"/>
          <w:color w:val="111111"/>
          <w:w w:val="105"/>
          <w:szCs w:val="20"/>
        </w:rPr>
        <w:t>predloži</w:t>
      </w:r>
      <w:r w:rsidR="00C32B8C" w:rsidRPr="00445B9C">
        <w:rPr>
          <w:rFonts w:eastAsia="Arial" w:cs="Arial"/>
          <w:color w:val="111111"/>
          <w:w w:val="105"/>
          <w:szCs w:val="20"/>
        </w:rPr>
        <w:t xml:space="preserve"> </w:t>
      </w:r>
      <w:r w:rsidRPr="00445B9C">
        <w:rPr>
          <w:rFonts w:eastAsia="Arial" w:cs="Arial"/>
          <w:color w:val="111111"/>
          <w:w w:val="105"/>
          <w:szCs w:val="20"/>
        </w:rPr>
        <w:t>evropski enotni točki dostopa, vzpostavljeni na podlagi Uredbe 2023/2859/EU, pri čemer zagotovi, da so informacije skladne z naslednjimi zahtevami:</w:t>
      </w:r>
    </w:p>
    <w:p w:rsidR="00123C5A" w:rsidRPr="00445B9C" w:rsidRDefault="00123C5A"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 xml:space="preserve">1. so predložene v formatu, ki omogoča izvoz podatkov, kakor je opredeljen v 3. točki 2. člena Uredbe 2023/2859/EU; </w:t>
      </w:r>
    </w:p>
    <w:p w:rsidR="00123C5A" w:rsidRPr="00445B9C" w:rsidRDefault="00123C5A" w:rsidP="00BA786D">
      <w:pPr>
        <w:spacing w:before="240" w:after="240" w:line="259" w:lineRule="auto"/>
        <w:jc w:val="both"/>
        <w:outlineLvl w:val="0"/>
        <w:rPr>
          <w:rFonts w:eastAsia="Arial" w:cs="Arial"/>
          <w:color w:val="111111"/>
          <w:w w:val="105"/>
          <w:szCs w:val="20"/>
        </w:rPr>
      </w:pPr>
      <w:r w:rsidRPr="00445B9C">
        <w:rPr>
          <w:rFonts w:eastAsia="Arial" w:cs="Arial"/>
          <w:color w:val="111111"/>
          <w:w w:val="105"/>
          <w:szCs w:val="20"/>
        </w:rPr>
        <w:t xml:space="preserve">2. vsebujejo naslednje metapodatke: </w:t>
      </w:r>
    </w:p>
    <w:p w:rsidR="00123C5A" w:rsidRPr="00445B9C" w:rsidRDefault="003C6E08" w:rsidP="00BA786D">
      <w:pPr>
        <w:spacing w:before="240" w:after="240" w:line="259" w:lineRule="auto"/>
        <w:jc w:val="both"/>
        <w:outlineLvl w:val="0"/>
        <w:rPr>
          <w:rFonts w:eastAsia="Arial" w:cs="Arial"/>
          <w:color w:val="111111"/>
          <w:w w:val="105"/>
          <w:szCs w:val="20"/>
        </w:rPr>
      </w:pPr>
      <w:r>
        <w:rPr>
          <w:rFonts w:eastAsia="Arial" w:cs="Arial"/>
          <w:color w:val="111111"/>
          <w:w w:val="105"/>
          <w:szCs w:val="20"/>
        </w:rPr>
        <w:t>–</w:t>
      </w:r>
      <w:r w:rsidR="00123C5A" w:rsidRPr="00445B9C">
        <w:rPr>
          <w:rFonts w:eastAsia="Arial" w:cs="Arial"/>
          <w:color w:val="111111"/>
          <w:w w:val="105"/>
          <w:szCs w:val="20"/>
        </w:rPr>
        <w:tab/>
        <w:t xml:space="preserve">vsa imena fizične ali pravne osebe, na katero se informacije nanašajo; </w:t>
      </w:r>
    </w:p>
    <w:p w:rsidR="00123C5A" w:rsidRPr="00445B9C" w:rsidRDefault="003C6E08" w:rsidP="00BA786D">
      <w:pPr>
        <w:spacing w:before="240" w:after="240" w:line="259" w:lineRule="auto"/>
        <w:jc w:val="both"/>
        <w:outlineLvl w:val="0"/>
        <w:rPr>
          <w:rFonts w:eastAsia="Arial" w:cs="Arial"/>
          <w:color w:val="111111"/>
          <w:w w:val="105"/>
          <w:szCs w:val="20"/>
        </w:rPr>
      </w:pPr>
      <w:r>
        <w:rPr>
          <w:rFonts w:eastAsia="Arial" w:cs="Arial"/>
          <w:color w:val="111111"/>
          <w:w w:val="105"/>
          <w:szCs w:val="20"/>
        </w:rPr>
        <w:t>–</w:t>
      </w:r>
      <w:r w:rsidR="00123C5A" w:rsidRPr="00445B9C">
        <w:rPr>
          <w:rFonts w:eastAsia="Arial" w:cs="Arial"/>
          <w:color w:val="111111"/>
          <w:w w:val="105"/>
          <w:szCs w:val="20"/>
        </w:rPr>
        <w:tab/>
      </w:r>
      <w:r w:rsidR="005B0E0D" w:rsidRPr="00445B9C">
        <w:rPr>
          <w:rFonts w:eastAsia="Arial" w:cs="Arial"/>
          <w:color w:val="111111"/>
          <w:w w:val="105"/>
          <w:szCs w:val="20"/>
        </w:rPr>
        <w:t>če obstaja</w:t>
      </w:r>
      <w:r w:rsidR="00123C5A" w:rsidRPr="00445B9C">
        <w:rPr>
          <w:rFonts w:eastAsia="Arial" w:cs="Arial"/>
          <w:color w:val="111111"/>
          <w:w w:val="105"/>
          <w:szCs w:val="20"/>
        </w:rPr>
        <w:t>, enolično mednarodno identifikacijsko številko (LEI</w:t>
      </w:r>
      <w:r w:rsidR="00C32B8C">
        <w:rPr>
          <w:rFonts w:eastAsia="Arial" w:cs="Arial"/>
          <w:color w:val="111111"/>
          <w:w w:val="105"/>
          <w:szCs w:val="20"/>
        </w:rPr>
        <w:t>-</w:t>
      </w:r>
      <w:r w:rsidR="00123C5A" w:rsidRPr="00445B9C">
        <w:rPr>
          <w:rFonts w:eastAsia="Arial" w:cs="Arial"/>
          <w:color w:val="111111"/>
          <w:w w:val="105"/>
          <w:szCs w:val="20"/>
        </w:rPr>
        <w:t>koda), k</w:t>
      </w:r>
      <w:r w:rsidR="00C32B8C">
        <w:rPr>
          <w:rFonts w:eastAsia="Arial" w:cs="Arial"/>
          <w:color w:val="111111"/>
          <w:w w:val="105"/>
          <w:szCs w:val="20"/>
        </w:rPr>
        <w:t>akor</w:t>
      </w:r>
      <w:r w:rsidR="00123C5A" w:rsidRPr="00445B9C">
        <w:rPr>
          <w:rFonts w:eastAsia="Arial" w:cs="Arial"/>
          <w:color w:val="111111"/>
          <w:w w:val="105"/>
          <w:szCs w:val="20"/>
        </w:rPr>
        <w:t xml:space="preserve"> je določena na podlagi b) točke četrtega odstavka 7. člena Uredbe 2023/2859/EU;</w:t>
      </w:r>
    </w:p>
    <w:p w:rsidR="00123C5A" w:rsidRPr="00445B9C" w:rsidRDefault="003C6E08" w:rsidP="00BA786D">
      <w:pPr>
        <w:spacing w:before="240" w:after="240" w:line="259" w:lineRule="auto"/>
        <w:jc w:val="both"/>
        <w:outlineLvl w:val="0"/>
        <w:rPr>
          <w:rFonts w:eastAsia="Arial" w:cs="Arial"/>
          <w:color w:val="111111"/>
          <w:w w:val="105"/>
          <w:szCs w:val="20"/>
        </w:rPr>
      </w:pPr>
      <w:r>
        <w:rPr>
          <w:rFonts w:eastAsia="Arial" w:cs="Arial"/>
          <w:color w:val="111111"/>
          <w:w w:val="105"/>
          <w:szCs w:val="20"/>
        </w:rPr>
        <w:t>–</w:t>
      </w:r>
      <w:r w:rsidR="00123C5A" w:rsidRPr="00445B9C">
        <w:rPr>
          <w:rFonts w:eastAsia="Arial" w:cs="Arial"/>
          <w:color w:val="111111"/>
          <w:w w:val="105"/>
          <w:szCs w:val="20"/>
        </w:rPr>
        <w:tab/>
        <w:t>vrst</w:t>
      </w:r>
      <w:r w:rsidR="009457BF" w:rsidRPr="00445B9C">
        <w:rPr>
          <w:rFonts w:eastAsia="Arial" w:cs="Arial"/>
          <w:color w:val="111111"/>
          <w:w w:val="105"/>
          <w:szCs w:val="20"/>
        </w:rPr>
        <w:t>o</w:t>
      </w:r>
      <w:r w:rsidR="00123C5A" w:rsidRPr="00445B9C">
        <w:rPr>
          <w:rFonts w:eastAsia="Arial" w:cs="Arial"/>
          <w:color w:val="111111"/>
          <w:w w:val="105"/>
          <w:szCs w:val="20"/>
        </w:rPr>
        <w:t xml:space="preserve"> informacij glede na razvrstitev na podlagi c) točke četrtega odstavka 7. člena Uredbe 2023/2859/EU; </w:t>
      </w:r>
    </w:p>
    <w:p w:rsidR="00123C5A" w:rsidRPr="00445B9C" w:rsidRDefault="003C6E08" w:rsidP="00BA786D">
      <w:pPr>
        <w:spacing w:before="240" w:after="240" w:line="259" w:lineRule="auto"/>
        <w:jc w:val="both"/>
        <w:outlineLvl w:val="0"/>
        <w:rPr>
          <w:rFonts w:eastAsia="Arial" w:cs="Arial"/>
          <w:color w:val="111111"/>
          <w:w w:val="105"/>
          <w:szCs w:val="20"/>
        </w:rPr>
      </w:pPr>
      <w:r>
        <w:rPr>
          <w:rFonts w:eastAsia="Arial" w:cs="Arial"/>
          <w:color w:val="111111"/>
          <w:w w:val="105"/>
          <w:szCs w:val="20"/>
        </w:rPr>
        <w:t>–</w:t>
      </w:r>
      <w:r w:rsidR="00123C5A" w:rsidRPr="00445B9C">
        <w:rPr>
          <w:rFonts w:eastAsia="Arial" w:cs="Arial"/>
          <w:color w:val="111111"/>
          <w:w w:val="105"/>
          <w:szCs w:val="20"/>
        </w:rPr>
        <w:tab/>
        <w:t>oznak</w:t>
      </w:r>
      <w:r w:rsidR="009457BF" w:rsidRPr="00445B9C">
        <w:rPr>
          <w:rFonts w:eastAsia="Arial" w:cs="Arial"/>
          <w:color w:val="111111"/>
          <w:w w:val="105"/>
          <w:szCs w:val="20"/>
        </w:rPr>
        <w:t>o</w:t>
      </w:r>
      <w:r w:rsidR="00123C5A" w:rsidRPr="00445B9C">
        <w:rPr>
          <w:rFonts w:eastAsia="Arial" w:cs="Arial"/>
          <w:color w:val="111111"/>
          <w:w w:val="105"/>
          <w:szCs w:val="20"/>
        </w:rPr>
        <w:t>, ali informacije vsebujejo osebne podatke.«</w:t>
      </w:r>
      <w:r w:rsidR="00CF077A" w:rsidRPr="00445B9C">
        <w:rPr>
          <w:rFonts w:eastAsia="Arial" w:cs="Arial"/>
          <w:color w:val="111111"/>
          <w:w w:val="105"/>
          <w:szCs w:val="20"/>
        </w:rPr>
        <w:t>.</w:t>
      </w:r>
    </w:p>
    <w:p w:rsidR="00352FDD" w:rsidRPr="00445B9C" w:rsidRDefault="00352FDD" w:rsidP="00DA1177">
      <w:pPr>
        <w:numPr>
          <w:ilvl w:val="0"/>
          <w:numId w:val="16"/>
        </w:numPr>
        <w:spacing w:before="240" w:after="240" w:line="259" w:lineRule="auto"/>
        <w:ind w:left="720"/>
        <w:jc w:val="center"/>
        <w:outlineLvl w:val="0"/>
        <w:rPr>
          <w:rFonts w:eastAsiaTheme="majorEastAsia" w:cs="Arial"/>
          <w:b/>
          <w:szCs w:val="20"/>
        </w:rPr>
      </w:pPr>
      <w:bookmarkStart w:id="27" w:name="_Ref196825350"/>
      <w:r w:rsidRPr="00445B9C">
        <w:rPr>
          <w:rFonts w:eastAsiaTheme="majorEastAsia" w:cs="Arial"/>
          <w:b/>
          <w:szCs w:val="20"/>
        </w:rPr>
        <w:t>člen</w:t>
      </w:r>
      <w:bookmarkEnd w:id="27"/>
    </w:p>
    <w:p w:rsidR="00352FDD" w:rsidRPr="00445B9C" w:rsidRDefault="00684A25" w:rsidP="00352FDD">
      <w:pPr>
        <w:spacing w:before="240" w:after="240" w:line="259" w:lineRule="auto"/>
        <w:jc w:val="both"/>
        <w:outlineLvl w:val="0"/>
        <w:rPr>
          <w:rFonts w:eastAsiaTheme="majorEastAsia" w:cs="Arial"/>
          <w:bCs/>
          <w:szCs w:val="20"/>
        </w:rPr>
      </w:pPr>
      <w:r w:rsidRPr="00684A25">
        <w:rPr>
          <w:rFonts w:eastAsiaTheme="majorEastAsia" w:cs="Arial"/>
          <w:bCs/>
          <w:szCs w:val="20"/>
        </w:rPr>
        <w:t>V 195. členu se v prvem odstavku v 2. točka spremeni tako, da se glasi:»2. banke in kreditne družbe, ki pridobijo dovoljenje za opravljanje investicijskih storitev in poslov v skladu z ZBan-3.«.</w:t>
      </w:r>
    </w:p>
    <w:p w:rsidR="00352FDD" w:rsidRPr="00445B9C" w:rsidRDefault="00352FDD" w:rsidP="00352FDD">
      <w:pPr>
        <w:spacing w:before="240" w:after="240" w:line="259" w:lineRule="auto"/>
        <w:jc w:val="both"/>
        <w:outlineLvl w:val="0"/>
        <w:rPr>
          <w:rFonts w:eastAsiaTheme="majorEastAsia" w:cs="Arial"/>
          <w:bCs/>
          <w:szCs w:val="20"/>
        </w:rPr>
      </w:pPr>
      <w:r w:rsidRPr="00445B9C">
        <w:rPr>
          <w:rFonts w:eastAsiaTheme="majorEastAsia" w:cs="Arial"/>
          <w:bCs/>
          <w:szCs w:val="20"/>
        </w:rPr>
        <w:lastRenderedPageBreak/>
        <w:t xml:space="preserve">V drugem odstavku se besedilo »borznoposredniško družbo oziroma banko« </w:t>
      </w:r>
      <w:r w:rsidR="00136415" w:rsidRPr="00445B9C">
        <w:rPr>
          <w:rFonts w:eastAsiaTheme="majorEastAsia" w:cs="Arial"/>
          <w:bCs/>
          <w:szCs w:val="20"/>
        </w:rPr>
        <w:t xml:space="preserve">v obeh sklonih </w:t>
      </w:r>
      <w:r w:rsidRPr="00445B9C">
        <w:rPr>
          <w:rFonts w:eastAsiaTheme="majorEastAsia" w:cs="Arial"/>
          <w:bCs/>
          <w:szCs w:val="20"/>
        </w:rPr>
        <w:t xml:space="preserve">nadomesti z besedilom »borznoposredniško družbo, banko oziroma kreditno družbo« </w:t>
      </w:r>
      <w:r w:rsidR="00136415" w:rsidRPr="00445B9C">
        <w:rPr>
          <w:rFonts w:eastAsiaTheme="majorEastAsia" w:cs="Arial"/>
          <w:bCs/>
          <w:szCs w:val="20"/>
        </w:rPr>
        <w:t>v ustreznem sklonu</w:t>
      </w:r>
      <w:r w:rsidRPr="00445B9C">
        <w:rPr>
          <w:rFonts w:eastAsiaTheme="majorEastAsia" w:cs="Arial"/>
          <w:bCs/>
          <w:szCs w:val="20"/>
        </w:rPr>
        <w:t>.</w:t>
      </w:r>
    </w:p>
    <w:p w:rsidR="006A2506"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28" w:name="_Ref196734293"/>
      <w:r w:rsidRPr="00445B9C">
        <w:rPr>
          <w:rFonts w:eastAsiaTheme="majorEastAsia" w:cs="Arial"/>
          <w:b/>
          <w:szCs w:val="20"/>
        </w:rPr>
        <w:t>člen</w:t>
      </w:r>
      <w:bookmarkEnd w:id="28"/>
    </w:p>
    <w:p w:rsidR="00567BE0" w:rsidRPr="00445B9C" w:rsidRDefault="00BC5017" w:rsidP="00BA786D">
      <w:pPr>
        <w:spacing w:before="240" w:after="240" w:line="259" w:lineRule="auto"/>
        <w:jc w:val="both"/>
        <w:outlineLvl w:val="0"/>
        <w:rPr>
          <w:rFonts w:eastAsiaTheme="majorEastAsia" w:cs="Arial"/>
          <w:bCs/>
          <w:szCs w:val="20"/>
        </w:rPr>
      </w:pPr>
      <w:r w:rsidRPr="00445B9C">
        <w:rPr>
          <w:rFonts w:eastAsiaTheme="majorEastAsia" w:cs="Arial"/>
          <w:bCs/>
          <w:szCs w:val="20"/>
        </w:rPr>
        <w:t>229. člen se spremeni tako, da se glasi:</w:t>
      </w:r>
    </w:p>
    <w:p w:rsidR="00293E8F" w:rsidRPr="00445B9C" w:rsidRDefault="00BC5017" w:rsidP="0011388A">
      <w:pPr>
        <w:spacing w:before="240" w:after="240" w:line="259" w:lineRule="auto"/>
        <w:jc w:val="center"/>
        <w:outlineLvl w:val="0"/>
        <w:rPr>
          <w:rFonts w:eastAsiaTheme="majorEastAsia" w:cs="Arial"/>
          <w:bCs/>
          <w:szCs w:val="20"/>
        </w:rPr>
      </w:pPr>
      <w:r w:rsidRPr="00445B9C">
        <w:rPr>
          <w:rFonts w:eastAsiaTheme="majorEastAsia" w:cs="Arial"/>
          <w:bCs/>
          <w:szCs w:val="20"/>
        </w:rPr>
        <w:t>»</w:t>
      </w:r>
      <w:r w:rsidR="00293E8F" w:rsidRPr="00445B9C">
        <w:rPr>
          <w:rFonts w:eastAsiaTheme="majorEastAsia" w:cs="Arial"/>
          <w:bCs/>
          <w:szCs w:val="20"/>
        </w:rPr>
        <w:t>229. člen</w:t>
      </w:r>
    </w:p>
    <w:p w:rsidR="00BC5017" w:rsidRPr="00445B9C" w:rsidRDefault="00BC5017" w:rsidP="0011388A">
      <w:pPr>
        <w:spacing w:before="240" w:after="240" w:line="259" w:lineRule="auto"/>
        <w:jc w:val="center"/>
        <w:outlineLvl w:val="0"/>
        <w:rPr>
          <w:rFonts w:eastAsiaTheme="majorEastAsia" w:cs="Arial"/>
          <w:bCs/>
          <w:szCs w:val="20"/>
        </w:rPr>
      </w:pPr>
      <w:r w:rsidRPr="00445B9C">
        <w:rPr>
          <w:rFonts w:eastAsiaTheme="majorEastAsia" w:cs="Arial"/>
          <w:bCs/>
          <w:szCs w:val="20"/>
        </w:rPr>
        <w:t>(</w:t>
      </w:r>
      <w:r w:rsidR="009457BF" w:rsidRPr="00445B9C">
        <w:rPr>
          <w:rFonts w:eastAsiaTheme="majorEastAsia" w:cs="Arial"/>
          <w:bCs/>
          <w:szCs w:val="20"/>
        </w:rPr>
        <w:t>posebna</w:t>
      </w:r>
      <w:r w:rsidRPr="00445B9C">
        <w:rPr>
          <w:rFonts w:eastAsiaTheme="majorEastAsia" w:cs="Arial"/>
          <w:bCs/>
          <w:szCs w:val="20"/>
        </w:rPr>
        <w:t xml:space="preserve"> pravila revidiranja borznoposredniških družb)</w:t>
      </w:r>
    </w:p>
    <w:p w:rsidR="00BC5017" w:rsidRPr="00445B9C" w:rsidRDefault="00BC5017"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Borznoposredniška družba, ki ni subjekt javnega interesa po zakonu, ki ureja gospodarske družbe, </w:t>
      </w:r>
      <w:r w:rsidR="009457BF" w:rsidRPr="00445B9C">
        <w:rPr>
          <w:rFonts w:eastAsiaTheme="majorEastAsia" w:cs="Arial"/>
          <w:bCs/>
          <w:szCs w:val="20"/>
        </w:rPr>
        <w:t xml:space="preserve">za </w:t>
      </w:r>
      <w:r w:rsidRPr="00445B9C">
        <w:rPr>
          <w:rFonts w:eastAsiaTheme="majorEastAsia" w:cs="Arial"/>
          <w:bCs/>
          <w:szCs w:val="20"/>
        </w:rPr>
        <w:t xml:space="preserve">revizijo računovodskih izkazov in dajanje zagotovil o trajnostnosti </w:t>
      </w:r>
      <w:r w:rsidR="009457BF" w:rsidRPr="00445B9C">
        <w:rPr>
          <w:rFonts w:eastAsiaTheme="majorEastAsia" w:cs="Arial"/>
          <w:bCs/>
          <w:szCs w:val="20"/>
        </w:rPr>
        <w:t xml:space="preserve">imenuje </w:t>
      </w:r>
      <w:r w:rsidRPr="00445B9C">
        <w:rPr>
          <w:rFonts w:eastAsiaTheme="majorEastAsia" w:cs="Arial"/>
          <w:bCs/>
          <w:szCs w:val="20"/>
        </w:rPr>
        <w:t>revizijsko družbo za obdobje, ki ne sme biti krajše od treh poslovnih let. Revizijo računovodskih izkazov in dajanje zagotovil o trajnostnosti borznoposredniške družbe, ki ni subjekt javnega interesa po zakonu, ki ureja gospodarske družbe, lahko opravlja posamezna revizijska družba neprekinjeno za največ deset poslovnih let s prekinitvijo za obdobje najmanj naslednjih štirih poslovnih let.«.</w:t>
      </w:r>
    </w:p>
    <w:p w:rsidR="006A2506"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29" w:name="_Ref196734313"/>
      <w:r w:rsidRPr="00445B9C">
        <w:rPr>
          <w:rFonts w:eastAsiaTheme="majorEastAsia" w:cs="Arial"/>
          <w:b/>
          <w:szCs w:val="20"/>
        </w:rPr>
        <w:t>člen</w:t>
      </w:r>
      <w:bookmarkEnd w:id="29"/>
    </w:p>
    <w:p w:rsidR="000461B9" w:rsidRPr="00445B9C" w:rsidRDefault="000461B9"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234. členu se </w:t>
      </w:r>
      <w:r w:rsidR="006A3FA1" w:rsidRPr="00445B9C">
        <w:rPr>
          <w:rFonts w:eastAsiaTheme="majorEastAsia" w:cs="Arial"/>
          <w:bCs/>
          <w:szCs w:val="20"/>
        </w:rPr>
        <w:t xml:space="preserve">v </w:t>
      </w:r>
      <w:r w:rsidRPr="00445B9C">
        <w:rPr>
          <w:rFonts w:eastAsiaTheme="majorEastAsia" w:cs="Arial"/>
          <w:bCs/>
          <w:szCs w:val="20"/>
        </w:rPr>
        <w:t>drug</w:t>
      </w:r>
      <w:r w:rsidR="006A3FA1" w:rsidRPr="00445B9C">
        <w:rPr>
          <w:rFonts w:eastAsiaTheme="majorEastAsia" w:cs="Arial"/>
          <w:bCs/>
          <w:szCs w:val="20"/>
        </w:rPr>
        <w:t>em</w:t>
      </w:r>
      <w:r w:rsidRPr="00445B9C">
        <w:rPr>
          <w:rFonts w:eastAsiaTheme="majorEastAsia" w:cs="Arial"/>
          <w:bCs/>
          <w:szCs w:val="20"/>
        </w:rPr>
        <w:t xml:space="preserve"> odstavk</w:t>
      </w:r>
      <w:r w:rsidR="006A3FA1" w:rsidRPr="00445B9C">
        <w:rPr>
          <w:rFonts w:eastAsiaTheme="majorEastAsia" w:cs="Arial"/>
          <w:bCs/>
          <w:szCs w:val="20"/>
        </w:rPr>
        <w:t>u</w:t>
      </w:r>
      <w:r w:rsidRPr="00445B9C">
        <w:rPr>
          <w:rFonts w:eastAsiaTheme="majorEastAsia" w:cs="Arial"/>
          <w:bCs/>
          <w:szCs w:val="20"/>
        </w:rPr>
        <w:t xml:space="preserve"> </w:t>
      </w:r>
      <w:r w:rsidR="00A96364" w:rsidRPr="00445B9C">
        <w:rPr>
          <w:rFonts w:eastAsiaTheme="majorEastAsia" w:cs="Arial"/>
          <w:bCs/>
          <w:szCs w:val="20"/>
        </w:rPr>
        <w:t>za</w:t>
      </w:r>
      <w:r w:rsidR="00684A25">
        <w:rPr>
          <w:rFonts w:eastAsiaTheme="majorEastAsia" w:cs="Arial"/>
          <w:bCs/>
          <w:szCs w:val="20"/>
        </w:rPr>
        <w:t xml:space="preserve"> vejico za</w:t>
      </w:r>
      <w:r w:rsidR="00A96364" w:rsidRPr="00445B9C">
        <w:rPr>
          <w:rFonts w:eastAsiaTheme="majorEastAsia" w:cs="Arial"/>
          <w:bCs/>
          <w:szCs w:val="20"/>
        </w:rPr>
        <w:t xml:space="preserve"> besedilom »ustrezne sisteme« doda</w:t>
      </w:r>
      <w:r w:rsidR="006A3FA1" w:rsidRPr="00445B9C">
        <w:rPr>
          <w:rFonts w:eastAsiaTheme="majorEastAsia" w:cs="Arial"/>
          <w:bCs/>
          <w:szCs w:val="20"/>
        </w:rPr>
        <w:t xml:space="preserve"> </w:t>
      </w:r>
      <w:r w:rsidR="00A96364" w:rsidRPr="00445B9C">
        <w:rPr>
          <w:rFonts w:eastAsiaTheme="majorEastAsia" w:cs="Arial"/>
          <w:bCs/>
          <w:szCs w:val="20"/>
        </w:rPr>
        <w:t>besedilo »vključno s sistemi informacijske in komunikacijske tehnologije (</w:t>
      </w:r>
      <w:r w:rsidR="0022324C" w:rsidRPr="00445B9C">
        <w:rPr>
          <w:rFonts w:eastAsiaTheme="majorEastAsia" w:cs="Arial"/>
          <w:bCs/>
          <w:szCs w:val="20"/>
        </w:rPr>
        <w:t xml:space="preserve">v nadaljnjem besedilu: </w:t>
      </w:r>
      <w:r w:rsidR="00A96364" w:rsidRPr="00445B9C">
        <w:rPr>
          <w:rFonts w:eastAsiaTheme="majorEastAsia" w:cs="Arial"/>
          <w:bCs/>
          <w:szCs w:val="20"/>
        </w:rPr>
        <w:t>IKT), ki se vzpostavijo in upravljajo v skladu s 7. členom Uredbe 2022/2554/EU</w:t>
      </w:r>
      <w:r w:rsidR="00684A25">
        <w:rPr>
          <w:rFonts w:eastAsiaTheme="majorEastAsia" w:cs="Arial"/>
          <w:bCs/>
          <w:szCs w:val="20"/>
        </w:rPr>
        <w:t>,</w:t>
      </w:r>
      <w:r w:rsidR="00A96364" w:rsidRPr="00445B9C">
        <w:rPr>
          <w:rFonts w:eastAsiaTheme="majorEastAsia" w:cs="Arial"/>
          <w:bCs/>
          <w:szCs w:val="20"/>
        </w:rPr>
        <w:t xml:space="preserve"> ter ustrezne«.</w:t>
      </w:r>
    </w:p>
    <w:p w:rsidR="006A2506"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30" w:name="_Ref196734335"/>
      <w:bookmarkStart w:id="31" w:name="_Hlk117773676"/>
      <w:r w:rsidRPr="00445B9C">
        <w:rPr>
          <w:rFonts w:eastAsiaTheme="majorEastAsia" w:cs="Arial"/>
          <w:b/>
          <w:szCs w:val="20"/>
        </w:rPr>
        <w:t>člen</w:t>
      </w:r>
      <w:bookmarkEnd w:id="30"/>
    </w:p>
    <w:p w:rsidR="00DA54AA" w:rsidRPr="00445B9C" w:rsidRDefault="00DA54AA"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236. členu se </w:t>
      </w:r>
      <w:r w:rsidR="00F47BB7" w:rsidRPr="00445B9C">
        <w:rPr>
          <w:rFonts w:eastAsiaTheme="majorEastAsia" w:cs="Arial"/>
          <w:bCs/>
          <w:szCs w:val="20"/>
        </w:rPr>
        <w:t>v prvem odstavku</w:t>
      </w:r>
      <w:r w:rsidRPr="00445B9C">
        <w:rPr>
          <w:rFonts w:eastAsiaTheme="majorEastAsia" w:cs="Arial"/>
          <w:bCs/>
          <w:szCs w:val="20"/>
        </w:rPr>
        <w:t xml:space="preserve"> črta 3. točka.</w:t>
      </w:r>
    </w:p>
    <w:p w:rsidR="00DA54AA" w:rsidRPr="00445B9C" w:rsidRDefault="006A3FA1"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d</w:t>
      </w:r>
      <w:r w:rsidR="00DA54AA" w:rsidRPr="00445B9C">
        <w:rPr>
          <w:rFonts w:eastAsiaTheme="majorEastAsia" w:cs="Arial"/>
          <w:bCs/>
          <w:szCs w:val="20"/>
        </w:rPr>
        <w:t>rug</w:t>
      </w:r>
      <w:r w:rsidRPr="00445B9C">
        <w:rPr>
          <w:rFonts w:eastAsiaTheme="majorEastAsia" w:cs="Arial"/>
          <w:bCs/>
          <w:szCs w:val="20"/>
        </w:rPr>
        <w:t>em</w:t>
      </w:r>
      <w:r w:rsidR="00DA54AA" w:rsidRPr="00445B9C">
        <w:rPr>
          <w:rFonts w:eastAsiaTheme="majorEastAsia" w:cs="Arial"/>
          <w:bCs/>
          <w:szCs w:val="20"/>
        </w:rPr>
        <w:t xml:space="preserve"> odstavk</w:t>
      </w:r>
      <w:r w:rsidRPr="00445B9C">
        <w:rPr>
          <w:rFonts w:eastAsiaTheme="majorEastAsia" w:cs="Arial"/>
          <w:bCs/>
          <w:szCs w:val="20"/>
        </w:rPr>
        <w:t>u</w:t>
      </w:r>
      <w:r w:rsidR="00DA54AA" w:rsidRPr="00445B9C">
        <w:rPr>
          <w:rFonts w:eastAsiaTheme="majorEastAsia" w:cs="Arial"/>
          <w:bCs/>
          <w:szCs w:val="20"/>
        </w:rPr>
        <w:t xml:space="preserve"> se za besedo »</w:t>
      </w:r>
      <w:r w:rsidR="00A160F0" w:rsidRPr="00445B9C">
        <w:rPr>
          <w:rFonts w:eastAsiaTheme="majorEastAsia" w:cs="Arial"/>
          <w:bCs/>
          <w:szCs w:val="20"/>
        </w:rPr>
        <w:t>ki</w:t>
      </w:r>
      <w:r w:rsidR="00DA54AA" w:rsidRPr="00445B9C">
        <w:rPr>
          <w:rFonts w:eastAsiaTheme="majorEastAsia" w:cs="Arial"/>
          <w:bCs/>
          <w:szCs w:val="20"/>
        </w:rPr>
        <w:t>« doda besedilo »v skladu z zahtevami iz Uredbe 2022/2554/EU«.</w:t>
      </w:r>
    </w:p>
    <w:p w:rsidR="006A2506"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32" w:name="_Ref196734397"/>
      <w:r w:rsidRPr="00445B9C">
        <w:rPr>
          <w:rFonts w:eastAsiaTheme="majorEastAsia" w:cs="Arial"/>
          <w:b/>
          <w:szCs w:val="20"/>
        </w:rPr>
        <w:t>člen</w:t>
      </w:r>
      <w:bookmarkEnd w:id="32"/>
    </w:p>
    <w:p w:rsidR="00D35758" w:rsidRPr="00445B9C" w:rsidRDefault="00D35758"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242. členu se prvi odstavek spremeni tako, da se glasi:</w:t>
      </w:r>
    </w:p>
    <w:p w:rsidR="00D35758" w:rsidRPr="00445B9C" w:rsidRDefault="00D35758" w:rsidP="00BA786D">
      <w:pPr>
        <w:spacing w:before="240" w:after="240" w:line="259" w:lineRule="auto"/>
        <w:jc w:val="both"/>
        <w:outlineLvl w:val="0"/>
        <w:rPr>
          <w:rFonts w:eastAsiaTheme="majorEastAsia" w:cs="Arial"/>
          <w:bCs/>
          <w:szCs w:val="20"/>
        </w:rPr>
      </w:pPr>
      <w:r w:rsidRPr="00445B9C">
        <w:rPr>
          <w:rFonts w:eastAsiaTheme="majorEastAsia" w:cs="Arial"/>
          <w:bCs/>
          <w:szCs w:val="20"/>
        </w:rPr>
        <w:t>»(1) Borznoposredniška družba</w:t>
      </w:r>
      <w:r w:rsidR="007533BD" w:rsidRPr="00445B9C">
        <w:rPr>
          <w:rFonts w:eastAsiaTheme="majorEastAsia" w:cs="Arial"/>
          <w:bCs/>
          <w:szCs w:val="20"/>
        </w:rPr>
        <w:t xml:space="preserve">, ki uporablja algoritemsko trgovanje, ima učinkovite sisteme in nadzor tveganj, ki so primerni njenim dejavnostim in zagotavljajo, da so njeni trgovalni sistemi odporni in dovolj zmogljivi v skladu z zahtevami iz II. poglavja Uredbe 2022/2554/EU, imajo ustrezne trgovalne pragove in omejitve ter preprečujejo pošiljanje napačnih naročil in onemogočajo delovanje, ki bi lahko škodilo ali škodi trgom. Z njimi se zagotavlja, da se trgovalni sistemi borznoposredniške družbe ne uporabljajo na način, ki ni </w:t>
      </w:r>
      <w:r w:rsidR="00532220">
        <w:rPr>
          <w:rFonts w:eastAsiaTheme="majorEastAsia" w:cs="Arial"/>
          <w:bCs/>
          <w:szCs w:val="20"/>
        </w:rPr>
        <w:t xml:space="preserve">v </w:t>
      </w:r>
      <w:r w:rsidR="007533BD" w:rsidRPr="00445B9C">
        <w:rPr>
          <w:rFonts w:eastAsiaTheme="majorEastAsia" w:cs="Arial"/>
          <w:bCs/>
          <w:szCs w:val="20"/>
        </w:rPr>
        <w:t>sklad</w:t>
      </w:r>
      <w:r w:rsidR="00532220">
        <w:rPr>
          <w:rFonts w:eastAsiaTheme="majorEastAsia" w:cs="Arial"/>
          <w:bCs/>
          <w:szCs w:val="20"/>
        </w:rPr>
        <w:t>u</w:t>
      </w:r>
      <w:r w:rsidR="007533BD" w:rsidRPr="00445B9C">
        <w:rPr>
          <w:rFonts w:eastAsiaTheme="majorEastAsia" w:cs="Arial"/>
          <w:bCs/>
          <w:szCs w:val="20"/>
        </w:rPr>
        <w:t xml:space="preserve"> z Uredbo 2022/2554/EU ali pravili mesta trgovanja</w:t>
      </w:r>
      <w:r w:rsidR="009003ED" w:rsidRPr="00445B9C">
        <w:rPr>
          <w:rFonts w:eastAsiaTheme="majorEastAsia" w:cs="Arial"/>
          <w:bCs/>
          <w:szCs w:val="20"/>
        </w:rPr>
        <w:t>,</w:t>
      </w:r>
      <w:r w:rsidR="007533BD" w:rsidRPr="00445B9C">
        <w:rPr>
          <w:rFonts w:eastAsiaTheme="majorEastAsia" w:cs="Arial"/>
          <w:bCs/>
          <w:szCs w:val="20"/>
        </w:rPr>
        <w:t xml:space="preserve"> s katerim je trgovalni sistem povezan. Borznoposredniška družba ima učinkovit sistem neprekinjenega poslovanja, ki zagotavlja nemoteno delovanje v primeru odpovedi trgovalnega sistema, vključno s politiko in načrti neprekinjenega poslovanja na področju IKT </w:t>
      </w:r>
      <w:r w:rsidR="009003ED" w:rsidRPr="00445B9C">
        <w:rPr>
          <w:rFonts w:eastAsiaTheme="majorEastAsia" w:cs="Arial"/>
          <w:bCs/>
          <w:szCs w:val="20"/>
        </w:rPr>
        <w:t xml:space="preserve">ter </w:t>
      </w:r>
      <w:r w:rsidR="007533BD" w:rsidRPr="00445B9C">
        <w:rPr>
          <w:rFonts w:eastAsiaTheme="majorEastAsia" w:cs="Arial"/>
          <w:bCs/>
          <w:szCs w:val="20"/>
        </w:rPr>
        <w:t>načrti odzivanja in okrevanja IKT, vzpostavljenimi v skladu z 11. členom Uredbe 2022/2554/EU. Trgovaln</w:t>
      </w:r>
      <w:r w:rsidR="00532220">
        <w:rPr>
          <w:rFonts w:eastAsiaTheme="majorEastAsia" w:cs="Arial"/>
          <w:bCs/>
          <w:szCs w:val="20"/>
        </w:rPr>
        <w:t>i</w:t>
      </w:r>
      <w:r w:rsidR="007533BD" w:rsidRPr="00445B9C">
        <w:rPr>
          <w:rFonts w:eastAsiaTheme="majorEastAsia" w:cs="Arial"/>
          <w:bCs/>
          <w:szCs w:val="20"/>
        </w:rPr>
        <w:t xml:space="preserve"> sistem</w:t>
      </w:r>
      <w:r w:rsidR="00532220">
        <w:rPr>
          <w:rFonts w:eastAsiaTheme="majorEastAsia" w:cs="Arial"/>
          <w:bCs/>
          <w:szCs w:val="20"/>
        </w:rPr>
        <w:t>i</w:t>
      </w:r>
      <w:r w:rsidR="007533BD" w:rsidRPr="00445B9C">
        <w:rPr>
          <w:rFonts w:eastAsiaTheme="majorEastAsia" w:cs="Arial"/>
          <w:bCs/>
          <w:szCs w:val="20"/>
        </w:rPr>
        <w:t xml:space="preserve"> se redno testira</w:t>
      </w:r>
      <w:r w:rsidR="00532220">
        <w:rPr>
          <w:rFonts w:eastAsiaTheme="majorEastAsia" w:cs="Arial"/>
          <w:bCs/>
          <w:szCs w:val="20"/>
        </w:rPr>
        <w:t>jo</w:t>
      </w:r>
      <w:r w:rsidR="007533BD" w:rsidRPr="00445B9C">
        <w:rPr>
          <w:rFonts w:eastAsiaTheme="majorEastAsia" w:cs="Arial"/>
          <w:bCs/>
          <w:szCs w:val="20"/>
        </w:rPr>
        <w:t xml:space="preserve"> in nadzoruje</w:t>
      </w:r>
      <w:r w:rsidR="00532220">
        <w:rPr>
          <w:rFonts w:eastAsiaTheme="majorEastAsia" w:cs="Arial"/>
          <w:bCs/>
          <w:szCs w:val="20"/>
        </w:rPr>
        <w:t>jo</w:t>
      </w:r>
      <w:r w:rsidR="007533BD" w:rsidRPr="00445B9C">
        <w:rPr>
          <w:rFonts w:eastAsiaTheme="majorEastAsia" w:cs="Arial"/>
          <w:bCs/>
          <w:szCs w:val="20"/>
        </w:rPr>
        <w:t>, da ustrezajo zahtevam iz tega zakona in zahtevam iz II. in IV. poglavja Uredbe 2022/2554/EU.«.</w:t>
      </w:r>
    </w:p>
    <w:p w:rsidR="006A2506"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33" w:name="_Ref196734410"/>
      <w:r w:rsidRPr="00445B9C">
        <w:rPr>
          <w:rFonts w:eastAsiaTheme="majorEastAsia" w:cs="Arial"/>
          <w:b/>
          <w:szCs w:val="20"/>
        </w:rPr>
        <w:t>člen</w:t>
      </w:r>
      <w:bookmarkEnd w:id="33"/>
    </w:p>
    <w:p w:rsidR="0032688E" w:rsidRPr="00445B9C" w:rsidRDefault="00500E5B"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267. členu se črtata šesti in sedmi odstavek</w:t>
      </w:r>
      <w:r w:rsidR="0032688E" w:rsidRPr="00445B9C">
        <w:rPr>
          <w:rFonts w:eastAsiaTheme="majorEastAsia" w:cs="Arial"/>
          <w:bCs/>
          <w:szCs w:val="20"/>
        </w:rPr>
        <w:t>.</w:t>
      </w:r>
      <w:r w:rsidRPr="00445B9C">
        <w:rPr>
          <w:rFonts w:eastAsiaTheme="majorEastAsia" w:cs="Arial"/>
          <w:bCs/>
          <w:szCs w:val="20"/>
        </w:rPr>
        <w:t xml:space="preserve"> </w:t>
      </w:r>
    </w:p>
    <w:p w:rsidR="00500E5B" w:rsidRPr="00445B9C" w:rsidRDefault="009003ED"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o</w:t>
      </w:r>
      <w:r w:rsidR="00500E5B" w:rsidRPr="00445B9C">
        <w:rPr>
          <w:rFonts w:eastAsiaTheme="majorEastAsia" w:cs="Arial"/>
          <w:bCs/>
          <w:szCs w:val="20"/>
        </w:rPr>
        <w:t>sm</w:t>
      </w:r>
      <w:r w:rsidRPr="00445B9C">
        <w:rPr>
          <w:rFonts w:eastAsiaTheme="majorEastAsia" w:cs="Arial"/>
          <w:bCs/>
          <w:szCs w:val="20"/>
        </w:rPr>
        <w:t>em</w:t>
      </w:r>
      <w:r w:rsidR="00500E5B" w:rsidRPr="00445B9C">
        <w:rPr>
          <w:rFonts w:eastAsiaTheme="majorEastAsia" w:cs="Arial"/>
          <w:bCs/>
          <w:szCs w:val="20"/>
        </w:rPr>
        <w:t xml:space="preserve"> odstavk</w:t>
      </w:r>
      <w:r w:rsidRPr="00445B9C">
        <w:rPr>
          <w:rFonts w:eastAsiaTheme="majorEastAsia" w:cs="Arial"/>
          <w:bCs/>
          <w:szCs w:val="20"/>
        </w:rPr>
        <w:t>u</w:t>
      </w:r>
      <w:r w:rsidR="00500E5B" w:rsidRPr="00445B9C">
        <w:rPr>
          <w:rFonts w:eastAsiaTheme="majorEastAsia" w:cs="Arial"/>
          <w:bCs/>
          <w:szCs w:val="20"/>
        </w:rPr>
        <w:t xml:space="preserve"> se </w:t>
      </w:r>
      <w:r w:rsidR="00376B76" w:rsidRPr="00445B9C">
        <w:rPr>
          <w:rFonts w:eastAsiaTheme="majorEastAsia" w:cs="Arial"/>
          <w:bCs/>
          <w:szCs w:val="20"/>
        </w:rPr>
        <w:t>za besed</w:t>
      </w:r>
      <w:r w:rsidRPr="00445B9C">
        <w:rPr>
          <w:rFonts w:eastAsiaTheme="majorEastAsia" w:cs="Arial"/>
          <w:bCs/>
          <w:szCs w:val="20"/>
        </w:rPr>
        <w:t>ilom</w:t>
      </w:r>
      <w:r w:rsidR="00376B76" w:rsidRPr="00445B9C">
        <w:rPr>
          <w:rFonts w:eastAsiaTheme="majorEastAsia" w:cs="Arial"/>
          <w:bCs/>
          <w:szCs w:val="20"/>
        </w:rPr>
        <w:t xml:space="preserve"> »za stranko« doda besedilo »s finančnim instrumentom, za katerega velja obveznost trgovanja iz 23. in 28. člena Uredbe (EU) št. 600/2014,«.</w:t>
      </w:r>
    </w:p>
    <w:p w:rsidR="006A2506"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34" w:name="_Ref196734445"/>
      <w:bookmarkEnd w:id="31"/>
      <w:r w:rsidRPr="00445B9C">
        <w:rPr>
          <w:rFonts w:eastAsiaTheme="majorEastAsia" w:cs="Arial"/>
          <w:b/>
          <w:szCs w:val="20"/>
        </w:rPr>
        <w:lastRenderedPageBreak/>
        <w:t>člen</w:t>
      </w:r>
      <w:bookmarkEnd w:id="34"/>
    </w:p>
    <w:p w:rsidR="001A5966" w:rsidRPr="00445B9C" w:rsidRDefault="000927E5"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269. členu se črta četrti odstavek.</w:t>
      </w:r>
    </w:p>
    <w:p w:rsidR="006A2506"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35" w:name="_Ref196734480"/>
      <w:r w:rsidRPr="00445B9C">
        <w:rPr>
          <w:rFonts w:eastAsiaTheme="majorEastAsia" w:cs="Arial"/>
          <w:b/>
          <w:szCs w:val="20"/>
        </w:rPr>
        <w:t>člen</w:t>
      </w:r>
      <w:bookmarkEnd w:id="35"/>
    </w:p>
    <w:p w:rsidR="00B773BD" w:rsidRPr="00445B9C" w:rsidRDefault="00B773BD"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270. členu se </w:t>
      </w:r>
      <w:r w:rsidR="003C15B4" w:rsidRPr="00445B9C">
        <w:rPr>
          <w:rFonts w:eastAsiaTheme="majorEastAsia" w:cs="Arial"/>
          <w:bCs/>
          <w:szCs w:val="20"/>
        </w:rPr>
        <w:t xml:space="preserve">v prvem odstavku </w:t>
      </w:r>
      <w:r w:rsidRPr="00445B9C">
        <w:rPr>
          <w:rFonts w:eastAsiaTheme="majorEastAsia" w:cs="Arial"/>
          <w:bCs/>
          <w:szCs w:val="20"/>
        </w:rPr>
        <w:t xml:space="preserve">črta besedilo »ob upoštevanju informacij iz sedmega </w:t>
      </w:r>
      <w:r w:rsidR="00CF077A" w:rsidRPr="00445B9C">
        <w:rPr>
          <w:rFonts w:eastAsiaTheme="majorEastAsia" w:cs="Arial"/>
          <w:bCs/>
          <w:szCs w:val="20"/>
        </w:rPr>
        <w:t xml:space="preserve">in osmega </w:t>
      </w:r>
      <w:r w:rsidRPr="00445B9C">
        <w:rPr>
          <w:rFonts w:eastAsiaTheme="majorEastAsia" w:cs="Arial"/>
          <w:bCs/>
          <w:szCs w:val="20"/>
        </w:rPr>
        <w:t>odstavka 267. člena in četrtega odstavka 269. člena tega zakona«.</w:t>
      </w:r>
    </w:p>
    <w:p w:rsidR="00261716"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36" w:name="_Ref196734494"/>
      <w:r w:rsidRPr="00445B9C">
        <w:rPr>
          <w:rFonts w:eastAsiaTheme="majorEastAsia" w:cs="Arial"/>
          <w:b/>
          <w:szCs w:val="20"/>
        </w:rPr>
        <w:t>člen</w:t>
      </w:r>
      <w:bookmarkEnd w:id="36"/>
    </w:p>
    <w:p w:rsidR="00261716" w:rsidRPr="00445B9C" w:rsidRDefault="00261716"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278. členu se za osmim odstavkom doda nov</w:t>
      </w:r>
      <w:r w:rsidR="009003ED" w:rsidRPr="00445B9C">
        <w:rPr>
          <w:rFonts w:eastAsiaTheme="majorEastAsia" w:cs="Arial"/>
          <w:bCs/>
          <w:szCs w:val="20"/>
        </w:rPr>
        <w:t>,</w:t>
      </w:r>
      <w:r w:rsidRPr="00445B9C">
        <w:rPr>
          <w:rFonts w:eastAsiaTheme="majorEastAsia" w:cs="Arial"/>
          <w:bCs/>
          <w:szCs w:val="20"/>
        </w:rPr>
        <w:t xml:space="preserve"> deveti odstavek, ki se glasi:</w:t>
      </w:r>
    </w:p>
    <w:p w:rsidR="00261716" w:rsidRPr="00445B9C" w:rsidRDefault="00261716" w:rsidP="00BA786D">
      <w:pPr>
        <w:spacing w:before="240" w:after="240" w:line="259" w:lineRule="auto"/>
        <w:jc w:val="both"/>
        <w:outlineLvl w:val="0"/>
        <w:rPr>
          <w:rFonts w:eastAsiaTheme="majorEastAsia" w:cs="Arial"/>
          <w:bCs/>
          <w:szCs w:val="20"/>
        </w:rPr>
      </w:pPr>
      <w:r w:rsidRPr="00445B9C">
        <w:rPr>
          <w:rFonts w:eastAsiaTheme="majorEastAsia" w:cs="Arial"/>
          <w:bCs/>
          <w:szCs w:val="20"/>
        </w:rPr>
        <w:t>»(9) Agencija zagotovi, da se informacije, vpisane v register zastopnikov</w:t>
      </w:r>
      <w:r w:rsidR="009003ED" w:rsidRPr="00445B9C">
        <w:rPr>
          <w:rFonts w:eastAsiaTheme="majorEastAsia" w:cs="Arial"/>
          <w:bCs/>
          <w:szCs w:val="20"/>
        </w:rPr>
        <w:t>,</w:t>
      </w:r>
      <w:r w:rsidRPr="00445B9C">
        <w:rPr>
          <w:rFonts w:eastAsiaTheme="majorEastAsia" w:cs="Arial"/>
          <w:bCs/>
          <w:szCs w:val="20"/>
        </w:rPr>
        <w:t xml:space="preserve"> dostopne v evropski enotni točki dostopa, vzpostavljeni na podlagi </w:t>
      </w:r>
      <w:r w:rsidR="005F4BFC" w:rsidRPr="00445B9C">
        <w:rPr>
          <w:rFonts w:eastAsiaTheme="majorEastAsia" w:cs="Arial"/>
          <w:bCs/>
          <w:szCs w:val="20"/>
        </w:rPr>
        <w:t xml:space="preserve">prvega odstavka 1. člena </w:t>
      </w:r>
      <w:r w:rsidRPr="00445B9C">
        <w:rPr>
          <w:rFonts w:eastAsiaTheme="majorEastAsia" w:cs="Arial"/>
          <w:bCs/>
          <w:szCs w:val="20"/>
        </w:rPr>
        <w:t xml:space="preserve">Uredbe 2023/2859/EU. Te informacije so skladne z zahtevami iz petega odstavka 357.a člena tega zakona, pri čemer se v prvi alineji 2. točke petega odstavka 357.a člena </w:t>
      </w:r>
      <w:r w:rsidR="009E48FC" w:rsidRPr="00445B9C">
        <w:rPr>
          <w:rFonts w:eastAsiaTheme="majorEastAsia" w:cs="Arial"/>
          <w:bCs/>
          <w:szCs w:val="20"/>
        </w:rPr>
        <w:t xml:space="preserve">tega zakona </w:t>
      </w:r>
      <w:r w:rsidRPr="00445B9C">
        <w:rPr>
          <w:rFonts w:eastAsiaTheme="majorEastAsia" w:cs="Arial"/>
          <w:bCs/>
          <w:szCs w:val="20"/>
        </w:rPr>
        <w:t xml:space="preserve">za fizično osebo </w:t>
      </w:r>
      <w:r w:rsidR="008B2860" w:rsidRPr="00445B9C">
        <w:rPr>
          <w:rFonts w:eastAsiaTheme="majorEastAsia" w:cs="Arial"/>
          <w:bCs/>
          <w:szCs w:val="20"/>
        </w:rPr>
        <w:t>namesto izraza »družbe« uporablja izraz »fizične osebe«</w:t>
      </w:r>
      <w:r w:rsidR="00532220">
        <w:rPr>
          <w:rFonts w:eastAsiaTheme="majorEastAsia" w:cs="Arial"/>
          <w:bCs/>
          <w:szCs w:val="20"/>
        </w:rPr>
        <w:t>.</w:t>
      </w:r>
      <w:r w:rsidRPr="00445B9C">
        <w:rPr>
          <w:rFonts w:eastAsiaTheme="majorEastAsia" w:cs="Arial"/>
          <w:bCs/>
          <w:szCs w:val="20"/>
        </w:rPr>
        <w:t>«.</w:t>
      </w:r>
    </w:p>
    <w:p w:rsidR="006A2506"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37" w:name="_Ref196734550"/>
      <w:r w:rsidRPr="00445B9C">
        <w:rPr>
          <w:rFonts w:eastAsiaTheme="majorEastAsia" w:cs="Arial"/>
          <w:b/>
          <w:szCs w:val="20"/>
        </w:rPr>
        <w:t>člen</w:t>
      </w:r>
      <w:bookmarkEnd w:id="37"/>
    </w:p>
    <w:p w:rsidR="00252C72" w:rsidRPr="00445B9C" w:rsidRDefault="00252C72" w:rsidP="00913E39">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322. členu se </w:t>
      </w:r>
      <w:r w:rsidR="00F11A6A" w:rsidRPr="00445B9C">
        <w:rPr>
          <w:rFonts w:eastAsiaTheme="majorEastAsia" w:cs="Arial"/>
          <w:bCs/>
          <w:szCs w:val="20"/>
        </w:rPr>
        <w:t xml:space="preserve">v </w:t>
      </w:r>
      <w:r w:rsidRPr="00445B9C">
        <w:rPr>
          <w:rFonts w:eastAsiaTheme="majorEastAsia" w:cs="Arial"/>
          <w:bCs/>
          <w:szCs w:val="20"/>
        </w:rPr>
        <w:t>šest</w:t>
      </w:r>
      <w:r w:rsidR="00AD06D4" w:rsidRPr="00445B9C">
        <w:rPr>
          <w:rFonts w:eastAsiaTheme="majorEastAsia" w:cs="Arial"/>
          <w:bCs/>
          <w:szCs w:val="20"/>
        </w:rPr>
        <w:t>em</w:t>
      </w:r>
      <w:r w:rsidRPr="00445B9C">
        <w:rPr>
          <w:rFonts w:eastAsiaTheme="majorEastAsia" w:cs="Arial"/>
          <w:bCs/>
          <w:szCs w:val="20"/>
        </w:rPr>
        <w:t xml:space="preserve"> odstavk</w:t>
      </w:r>
      <w:r w:rsidR="00AD06D4" w:rsidRPr="00445B9C">
        <w:rPr>
          <w:rFonts w:eastAsiaTheme="majorEastAsia" w:cs="Arial"/>
          <w:bCs/>
          <w:szCs w:val="20"/>
        </w:rPr>
        <w:t>u</w:t>
      </w:r>
      <w:r w:rsidRPr="00445B9C">
        <w:rPr>
          <w:rFonts w:eastAsiaTheme="majorEastAsia" w:cs="Arial"/>
          <w:bCs/>
          <w:szCs w:val="20"/>
        </w:rPr>
        <w:t xml:space="preserve"> se za besedo »članic« </w:t>
      </w:r>
      <w:r w:rsidR="005E1D31" w:rsidRPr="00445B9C">
        <w:rPr>
          <w:rFonts w:eastAsiaTheme="majorEastAsia" w:cs="Arial"/>
          <w:bCs/>
          <w:szCs w:val="20"/>
        </w:rPr>
        <w:t>doda</w:t>
      </w:r>
      <w:r w:rsidRPr="00445B9C">
        <w:rPr>
          <w:rFonts w:eastAsiaTheme="majorEastAsia" w:cs="Arial"/>
          <w:bCs/>
          <w:szCs w:val="20"/>
        </w:rPr>
        <w:t xml:space="preserve"> besedilo »ter ga javno objavi«.</w:t>
      </w:r>
    </w:p>
    <w:p w:rsidR="00B641E0" w:rsidRPr="00445B9C" w:rsidRDefault="00B641E0" w:rsidP="00BA786D">
      <w:pPr>
        <w:spacing w:before="240" w:after="240" w:line="259" w:lineRule="auto"/>
        <w:jc w:val="both"/>
        <w:outlineLvl w:val="0"/>
        <w:rPr>
          <w:rFonts w:eastAsiaTheme="majorEastAsia" w:cs="Arial"/>
          <w:bCs/>
          <w:szCs w:val="20"/>
        </w:rPr>
      </w:pPr>
      <w:r w:rsidRPr="00445B9C">
        <w:rPr>
          <w:rFonts w:eastAsiaTheme="majorEastAsia" w:cs="Arial"/>
          <w:bCs/>
          <w:szCs w:val="20"/>
        </w:rPr>
        <w:t>Za devetim odstavkom se doda nov</w:t>
      </w:r>
      <w:r w:rsidR="00AD06D4" w:rsidRPr="00445B9C">
        <w:rPr>
          <w:rFonts w:eastAsiaTheme="majorEastAsia" w:cs="Arial"/>
          <w:bCs/>
          <w:szCs w:val="20"/>
        </w:rPr>
        <w:t>,</w:t>
      </w:r>
      <w:r w:rsidRPr="00445B9C">
        <w:rPr>
          <w:rFonts w:eastAsiaTheme="majorEastAsia" w:cs="Arial"/>
          <w:bCs/>
          <w:szCs w:val="20"/>
        </w:rPr>
        <w:t xml:space="preserve"> deseti odstavek, ki se glasi:</w:t>
      </w:r>
    </w:p>
    <w:p w:rsidR="00B641E0" w:rsidRPr="00445B9C" w:rsidRDefault="00B641E0"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»(10) Upravljavec MTF ali OTF informacije iz četrtega odstavka tega člena hkrati z objavo pošlje tudi </w:t>
      </w:r>
      <w:r w:rsidR="00BD448E" w:rsidRPr="00445B9C">
        <w:rPr>
          <w:rFonts w:eastAsiaTheme="majorEastAsia" w:cs="Arial"/>
          <w:bCs/>
          <w:szCs w:val="20"/>
        </w:rPr>
        <w:t>agenciji</w:t>
      </w:r>
      <w:r w:rsidRPr="00445B9C">
        <w:rPr>
          <w:rFonts w:eastAsiaTheme="majorEastAsia" w:cs="Arial"/>
          <w:bCs/>
          <w:szCs w:val="20"/>
        </w:rPr>
        <w:t>.«</w:t>
      </w:r>
      <w:r w:rsidR="00CF077A" w:rsidRPr="00445B9C">
        <w:rPr>
          <w:rFonts w:eastAsiaTheme="majorEastAsia" w:cs="Arial"/>
          <w:bCs/>
          <w:szCs w:val="20"/>
        </w:rPr>
        <w:t>.</w:t>
      </w:r>
    </w:p>
    <w:p w:rsidR="006A2506" w:rsidRPr="00445B9C" w:rsidRDefault="00CF077A" w:rsidP="00F810E6">
      <w:pPr>
        <w:numPr>
          <w:ilvl w:val="0"/>
          <w:numId w:val="16"/>
        </w:numPr>
        <w:spacing w:before="240" w:after="240" w:line="259" w:lineRule="auto"/>
        <w:ind w:left="720"/>
        <w:jc w:val="center"/>
        <w:outlineLvl w:val="0"/>
        <w:rPr>
          <w:rFonts w:eastAsiaTheme="majorEastAsia" w:cs="Arial"/>
          <w:b/>
          <w:szCs w:val="20"/>
        </w:rPr>
      </w:pPr>
      <w:bookmarkStart w:id="38" w:name="_Ref196734578"/>
      <w:r w:rsidRPr="00445B9C">
        <w:rPr>
          <w:rFonts w:eastAsiaTheme="majorEastAsia" w:cs="Arial"/>
          <w:b/>
          <w:szCs w:val="20"/>
        </w:rPr>
        <w:t>člen</w:t>
      </w:r>
      <w:bookmarkEnd w:id="38"/>
      <w:r w:rsidR="00532220">
        <w:rPr>
          <w:rFonts w:eastAsiaTheme="majorEastAsia" w:cs="Arial"/>
          <w:b/>
          <w:szCs w:val="20"/>
        </w:rPr>
        <w:t xml:space="preserve"> </w:t>
      </w:r>
    </w:p>
    <w:p w:rsidR="00442845" w:rsidRPr="00445B9C" w:rsidRDefault="00442845" w:rsidP="00132A57">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325. členu se </w:t>
      </w:r>
      <w:r w:rsidR="00132A57" w:rsidRPr="00445B9C">
        <w:rPr>
          <w:rFonts w:eastAsiaTheme="majorEastAsia" w:cs="Arial"/>
          <w:bCs/>
          <w:szCs w:val="20"/>
        </w:rPr>
        <w:t>z</w:t>
      </w:r>
      <w:r w:rsidR="00CA10F0" w:rsidRPr="00445B9C">
        <w:rPr>
          <w:rFonts w:eastAsiaTheme="majorEastAsia" w:cs="Arial"/>
          <w:bCs/>
          <w:szCs w:val="20"/>
        </w:rPr>
        <w:t xml:space="preserve">a petim odstavkom </w:t>
      </w:r>
      <w:r w:rsidRPr="00445B9C">
        <w:rPr>
          <w:rFonts w:eastAsiaTheme="majorEastAsia" w:cs="Arial"/>
          <w:bCs/>
          <w:szCs w:val="20"/>
        </w:rPr>
        <w:t>doda nov</w:t>
      </w:r>
      <w:r w:rsidR="00074A75" w:rsidRPr="00445B9C">
        <w:rPr>
          <w:rFonts w:eastAsiaTheme="majorEastAsia" w:cs="Arial"/>
          <w:bCs/>
          <w:szCs w:val="20"/>
        </w:rPr>
        <w:t>,</w:t>
      </w:r>
      <w:r w:rsidRPr="00445B9C">
        <w:rPr>
          <w:rFonts w:eastAsiaTheme="majorEastAsia" w:cs="Arial"/>
          <w:bCs/>
          <w:szCs w:val="20"/>
        </w:rPr>
        <w:t xml:space="preserve"> šesti odstavek, ki se glasi:</w:t>
      </w:r>
    </w:p>
    <w:p w:rsidR="00442845" w:rsidRPr="00445B9C" w:rsidRDefault="00442845"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»(6) Upravljalec MTF ali OTF ima </w:t>
      </w:r>
      <w:r w:rsidR="001742D9" w:rsidRPr="00445B9C">
        <w:rPr>
          <w:rFonts w:eastAsiaTheme="majorEastAsia" w:cs="Arial"/>
          <w:bCs/>
          <w:szCs w:val="20"/>
        </w:rPr>
        <w:t>vzpostavljene sisteme</w:t>
      </w:r>
      <w:r w:rsidRPr="00445B9C">
        <w:rPr>
          <w:rFonts w:eastAsiaTheme="majorEastAsia" w:cs="Arial"/>
          <w:bCs/>
          <w:szCs w:val="20"/>
        </w:rPr>
        <w:t>, ki zagotavljajo izpolnjevanje kakovosti podatkov</w:t>
      </w:r>
      <w:r w:rsidR="00074A75" w:rsidRPr="00445B9C">
        <w:rPr>
          <w:rFonts w:eastAsiaTheme="majorEastAsia" w:cs="Arial"/>
          <w:bCs/>
          <w:szCs w:val="20"/>
        </w:rPr>
        <w:t>,</w:t>
      </w:r>
      <w:r w:rsidRPr="00445B9C">
        <w:rPr>
          <w:rFonts w:eastAsiaTheme="majorEastAsia" w:cs="Arial"/>
          <w:bCs/>
          <w:szCs w:val="20"/>
        </w:rPr>
        <w:t xml:space="preserve"> kot jih določa 22.b člen Uredbe 600/2014/EU.«. </w:t>
      </w:r>
    </w:p>
    <w:p w:rsidR="00D95117" w:rsidRPr="00445B9C" w:rsidRDefault="007C5912" w:rsidP="00F810E6">
      <w:pPr>
        <w:numPr>
          <w:ilvl w:val="0"/>
          <w:numId w:val="16"/>
        </w:numPr>
        <w:spacing w:before="240" w:after="240" w:line="259" w:lineRule="auto"/>
        <w:ind w:left="720"/>
        <w:jc w:val="center"/>
        <w:outlineLvl w:val="0"/>
        <w:rPr>
          <w:rFonts w:eastAsiaTheme="majorEastAsia" w:cs="Arial"/>
          <w:b/>
          <w:szCs w:val="20"/>
        </w:rPr>
      </w:pPr>
      <w:bookmarkStart w:id="39" w:name="_Ref196734589"/>
      <w:r w:rsidRPr="00445B9C">
        <w:rPr>
          <w:rFonts w:eastAsiaTheme="majorEastAsia" w:cs="Arial"/>
          <w:b/>
          <w:szCs w:val="20"/>
        </w:rPr>
        <w:t>člen</w:t>
      </w:r>
      <w:bookmarkEnd w:id="39"/>
    </w:p>
    <w:p w:rsidR="00D95117" w:rsidRPr="00445B9C" w:rsidRDefault="00D95117"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326. členu </w:t>
      </w:r>
      <w:r w:rsidR="00074A75" w:rsidRPr="00445B9C">
        <w:rPr>
          <w:rFonts w:eastAsiaTheme="majorEastAsia" w:cs="Arial"/>
          <w:bCs/>
          <w:szCs w:val="20"/>
        </w:rPr>
        <w:t xml:space="preserve">se </w:t>
      </w:r>
      <w:r w:rsidRPr="00445B9C">
        <w:rPr>
          <w:rFonts w:eastAsiaTheme="majorEastAsia" w:cs="Arial"/>
          <w:bCs/>
          <w:szCs w:val="20"/>
        </w:rPr>
        <w:t>za sedmim odstavkom doda nov</w:t>
      </w:r>
      <w:r w:rsidR="00074A75" w:rsidRPr="00445B9C">
        <w:rPr>
          <w:rFonts w:eastAsiaTheme="majorEastAsia" w:cs="Arial"/>
          <w:bCs/>
          <w:szCs w:val="20"/>
        </w:rPr>
        <w:t>,</w:t>
      </w:r>
      <w:r w:rsidRPr="00445B9C">
        <w:rPr>
          <w:rFonts w:eastAsiaTheme="majorEastAsia" w:cs="Arial"/>
          <w:bCs/>
          <w:szCs w:val="20"/>
        </w:rPr>
        <w:t xml:space="preserve"> osmi odstavek, ki se glasi:</w:t>
      </w:r>
    </w:p>
    <w:p w:rsidR="00D95117" w:rsidRPr="00445B9C" w:rsidRDefault="00D95117" w:rsidP="00BA786D">
      <w:pPr>
        <w:spacing w:before="240" w:after="240" w:line="259" w:lineRule="auto"/>
        <w:jc w:val="both"/>
        <w:outlineLvl w:val="0"/>
        <w:rPr>
          <w:rFonts w:eastAsiaTheme="majorEastAsia" w:cs="Arial"/>
          <w:bCs/>
          <w:szCs w:val="20"/>
        </w:rPr>
      </w:pPr>
      <w:r w:rsidRPr="00445B9C">
        <w:rPr>
          <w:rFonts w:eastAsiaTheme="majorEastAsia" w:cs="Arial"/>
          <w:bCs/>
          <w:szCs w:val="20"/>
        </w:rPr>
        <w:t>»(8) Upravljavec razvojnega trga MTF informacije iz 3</w:t>
      </w:r>
      <w:r w:rsidR="002867A7" w:rsidRPr="00445B9C">
        <w:rPr>
          <w:rFonts w:eastAsiaTheme="majorEastAsia" w:cs="Arial"/>
          <w:bCs/>
          <w:szCs w:val="20"/>
        </w:rPr>
        <w:t>.</w:t>
      </w:r>
      <w:r w:rsidRPr="00445B9C">
        <w:rPr>
          <w:rFonts w:eastAsiaTheme="majorEastAsia" w:cs="Arial"/>
          <w:bCs/>
          <w:szCs w:val="20"/>
        </w:rPr>
        <w:t>, 4. in 6. točke tretjega odstavka tega člena hkrati z objavo pošlje tudi</w:t>
      </w:r>
      <w:r w:rsidR="00BD448E" w:rsidRPr="00445B9C">
        <w:rPr>
          <w:rFonts w:eastAsiaTheme="majorEastAsia" w:cs="Arial"/>
          <w:bCs/>
          <w:szCs w:val="20"/>
        </w:rPr>
        <w:t xml:space="preserve"> agenciji</w:t>
      </w:r>
      <w:r w:rsidRPr="00445B9C">
        <w:rPr>
          <w:rFonts w:eastAsiaTheme="majorEastAsia" w:cs="Arial"/>
          <w:bCs/>
          <w:szCs w:val="20"/>
        </w:rPr>
        <w:t>.«.</w:t>
      </w:r>
    </w:p>
    <w:p w:rsidR="006A2506" w:rsidRPr="00445B9C" w:rsidRDefault="007C5912" w:rsidP="00F810E6">
      <w:pPr>
        <w:numPr>
          <w:ilvl w:val="0"/>
          <w:numId w:val="16"/>
        </w:numPr>
        <w:spacing w:before="240" w:after="240" w:line="259" w:lineRule="auto"/>
        <w:ind w:left="720"/>
        <w:jc w:val="center"/>
        <w:outlineLvl w:val="0"/>
        <w:rPr>
          <w:rFonts w:cs="Arial"/>
          <w:b/>
          <w:szCs w:val="20"/>
        </w:rPr>
      </w:pPr>
      <w:bookmarkStart w:id="40" w:name="_Ref196734612"/>
      <w:r w:rsidRPr="00445B9C">
        <w:rPr>
          <w:rFonts w:eastAsiaTheme="majorEastAsia" w:cs="Arial"/>
          <w:b/>
          <w:szCs w:val="20"/>
        </w:rPr>
        <w:t>člen</w:t>
      </w:r>
      <w:bookmarkEnd w:id="40"/>
    </w:p>
    <w:p w:rsidR="004A4518" w:rsidRPr="00445B9C" w:rsidRDefault="00293E8F" w:rsidP="00BA786D">
      <w:pPr>
        <w:spacing w:before="240" w:after="240" w:line="259" w:lineRule="auto"/>
        <w:jc w:val="both"/>
        <w:outlineLvl w:val="0"/>
        <w:rPr>
          <w:rFonts w:cs="Arial"/>
          <w:bCs/>
          <w:szCs w:val="20"/>
        </w:rPr>
      </w:pPr>
      <w:r w:rsidRPr="00445B9C">
        <w:rPr>
          <w:rFonts w:cs="Arial"/>
          <w:bCs/>
          <w:szCs w:val="20"/>
        </w:rPr>
        <w:t xml:space="preserve">V </w:t>
      </w:r>
      <w:r w:rsidR="004A4518" w:rsidRPr="00445B9C">
        <w:rPr>
          <w:rFonts w:cs="Arial"/>
          <w:bCs/>
          <w:szCs w:val="20"/>
        </w:rPr>
        <w:t xml:space="preserve">331. </w:t>
      </w:r>
      <w:r w:rsidR="00684763" w:rsidRPr="00445B9C">
        <w:rPr>
          <w:rFonts w:cs="Arial"/>
          <w:bCs/>
          <w:szCs w:val="20"/>
        </w:rPr>
        <w:t>člen</w:t>
      </w:r>
      <w:r w:rsidRPr="00445B9C">
        <w:rPr>
          <w:rFonts w:cs="Arial"/>
          <w:bCs/>
          <w:szCs w:val="20"/>
        </w:rPr>
        <w:t>u</w:t>
      </w:r>
      <w:r w:rsidR="00684763" w:rsidRPr="00445B9C">
        <w:rPr>
          <w:rFonts w:cs="Arial"/>
          <w:bCs/>
          <w:szCs w:val="20"/>
        </w:rPr>
        <w:t xml:space="preserve"> </w:t>
      </w:r>
      <w:r w:rsidR="004A4518" w:rsidRPr="00445B9C">
        <w:rPr>
          <w:rFonts w:cs="Arial"/>
          <w:bCs/>
          <w:szCs w:val="20"/>
        </w:rPr>
        <w:t xml:space="preserve">se </w:t>
      </w:r>
      <w:r w:rsidRPr="00445B9C">
        <w:rPr>
          <w:rFonts w:cs="Arial"/>
          <w:bCs/>
          <w:szCs w:val="20"/>
        </w:rPr>
        <w:t xml:space="preserve">naslov člena </w:t>
      </w:r>
      <w:r w:rsidR="004A4518" w:rsidRPr="00445B9C">
        <w:rPr>
          <w:rFonts w:cs="Arial"/>
          <w:bCs/>
          <w:szCs w:val="20"/>
        </w:rPr>
        <w:t>spremeni tako, da se glasi:</w:t>
      </w:r>
    </w:p>
    <w:p w:rsidR="004A4518" w:rsidRPr="00445B9C" w:rsidRDefault="004A4518" w:rsidP="00BA786D">
      <w:pPr>
        <w:spacing w:before="240" w:after="240" w:line="259" w:lineRule="auto"/>
        <w:jc w:val="both"/>
        <w:outlineLvl w:val="0"/>
        <w:rPr>
          <w:rFonts w:cs="Arial"/>
          <w:bCs/>
          <w:szCs w:val="20"/>
        </w:rPr>
      </w:pPr>
      <w:r w:rsidRPr="00445B9C">
        <w:rPr>
          <w:rFonts w:cs="Arial"/>
          <w:bCs/>
          <w:szCs w:val="20"/>
        </w:rPr>
        <w:t>»(nadziranje upravljanja pozicij za izvedene finančne instrumente na blago in izvedene finančne instrumente na emisijske kupone)</w:t>
      </w:r>
      <w:r w:rsidR="00CF077A" w:rsidRPr="00445B9C">
        <w:rPr>
          <w:rFonts w:cs="Arial"/>
          <w:bCs/>
          <w:szCs w:val="20"/>
        </w:rPr>
        <w:t>«.</w:t>
      </w:r>
    </w:p>
    <w:p w:rsidR="00293E8F" w:rsidRPr="00445B9C" w:rsidRDefault="00293E8F" w:rsidP="005E34BC">
      <w:pPr>
        <w:jc w:val="both"/>
        <w:rPr>
          <w:rFonts w:cs="Arial"/>
          <w:szCs w:val="20"/>
        </w:rPr>
      </w:pPr>
      <w:r w:rsidRPr="00445B9C">
        <w:rPr>
          <w:rFonts w:cs="Arial"/>
          <w:szCs w:val="20"/>
        </w:rPr>
        <w:t>V p</w:t>
      </w:r>
      <w:r w:rsidR="004A4518" w:rsidRPr="00445B9C">
        <w:rPr>
          <w:rFonts w:cs="Arial"/>
          <w:szCs w:val="20"/>
        </w:rPr>
        <w:t>rv</w:t>
      </w:r>
      <w:r w:rsidRPr="00445B9C">
        <w:rPr>
          <w:rFonts w:cs="Arial"/>
          <w:szCs w:val="20"/>
        </w:rPr>
        <w:t>em</w:t>
      </w:r>
      <w:r w:rsidR="004A4518" w:rsidRPr="00445B9C">
        <w:rPr>
          <w:rFonts w:cs="Arial"/>
          <w:szCs w:val="20"/>
        </w:rPr>
        <w:t xml:space="preserve"> odstavk</w:t>
      </w:r>
      <w:r w:rsidRPr="00445B9C">
        <w:rPr>
          <w:rFonts w:cs="Arial"/>
          <w:szCs w:val="20"/>
        </w:rPr>
        <w:t>u</w:t>
      </w:r>
      <w:r w:rsidR="004A4518" w:rsidRPr="00445B9C">
        <w:rPr>
          <w:rFonts w:cs="Arial"/>
          <w:szCs w:val="20"/>
        </w:rPr>
        <w:t xml:space="preserve"> se v </w:t>
      </w:r>
      <w:r w:rsidR="00650F7D" w:rsidRPr="00445B9C">
        <w:rPr>
          <w:rFonts w:cs="Arial"/>
          <w:szCs w:val="20"/>
        </w:rPr>
        <w:t xml:space="preserve">napovednem </w:t>
      </w:r>
      <w:r w:rsidR="004A4518" w:rsidRPr="00445B9C">
        <w:rPr>
          <w:rFonts w:cs="Arial"/>
          <w:szCs w:val="20"/>
        </w:rPr>
        <w:t>stavku za besedo »blago« doda besedilo »ali izvedenimi finančnimi instrumenti na emisijske kupone«</w:t>
      </w:r>
      <w:r w:rsidRPr="00445B9C">
        <w:rPr>
          <w:rFonts w:cs="Arial"/>
          <w:szCs w:val="20"/>
        </w:rPr>
        <w:t>.</w:t>
      </w:r>
    </w:p>
    <w:p w:rsidR="00293E8F" w:rsidRPr="00445B9C" w:rsidRDefault="00293E8F" w:rsidP="005E34BC">
      <w:pPr>
        <w:jc w:val="both"/>
        <w:rPr>
          <w:rFonts w:cs="Arial"/>
          <w:szCs w:val="20"/>
        </w:rPr>
      </w:pPr>
    </w:p>
    <w:p w:rsidR="004A4518" w:rsidRPr="00445B9C" w:rsidRDefault="00293E8F" w:rsidP="005E34BC">
      <w:pPr>
        <w:jc w:val="both"/>
        <w:rPr>
          <w:rFonts w:cs="Arial"/>
          <w:szCs w:val="20"/>
        </w:rPr>
      </w:pPr>
      <w:r w:rsidRPr="00445B9C">
        <w:rPr>
          <w:rFonts w:cs="Arial"/>
          <w:szCs w:val="20"/>
        </w:rPr>
        <w:t>V</w:t>
      </w:r>
      <w:r w:rsidR="00F17385" w:rsidRPr="00445B9C">
        <w:rPr>
          <w:rFonts w:cs="Arial"/>
          <w:szCs w:val="20"/>
        </w:rPr>
        <w:t xml:space="preserve"> </w:t>
      </w:r>
      <w:r w:rsidRPr="00445B9C">
        <w:rPr>
          <w:rFonts w:cs="Arial"/>
          <w:szCs w:val="20"/>
        </w:rPr>
        <w:t>2.</w:t>
      </w:r>
      <w:r w:rsidR="00F17385" w:rsidRPr="00445B9C">
        <w:rPr>
          <w:rFonts w:cs="Arial"/>
          <w:szCs w:val="20"/>
        </w:rPr>
        <w:t xml:space="preserve"> točki </w:t>
      </w:r>
      <w:r w:rsidRPr="00445B9C">
        <w:rPr>
          <w:rFonts w:cs="Arial"/>
          <w:szCs w:val="20"/>
        </w:rPr>
        <w:t xml:space="preserve">se </w:t>
      </w:r>
      <w:r w:rsidR="004A4518" w:rsidRPr="00445B9C">
        <w:rPr>
          <w:rFonts w:cs="Arial"/>
          <w:szCs w:val="20"/>
        </w:rPr>
        <w:t xml:space="preserve">za </w:t>
      </w:r>
      <w:r w:rsidRPr="00445B9C">
        <w:rPr>
          <w:rFonts w:cs="Arial"/>
          <w:szCs w:val="20"/>
        </w:rPr>
        <w:t xml:space="preserve">vejico za </w:t>
      </w:r>
      <w:r w:rsidR="004A4518" w:rsidRPr="00445B9C">
        <w:rPr>
          <w:rFonts w:cs="Arial"/>
          <w:szCs w:val="20"/>
        </w:rPr>
        <w:t>besed</w:t>
      </w:r>
      <w:r w:rsidRPr="00445B9C">
        <w:rPr>
          <w:rFonts w:cs="Arial"/>
          <w:szCs w:val="20"/>
        </w:rPr>
        <w:t>ilom</w:t>
      </w:r>
      <w:r w:rsidR="004A4518" w:rsidRPr="00445B9C">
        <w:rPr>
          <w:rFonts w:cs="Arial"/>
          <w:szCs w:val="20"/>
        </w:rPr>
        <w:t xml:space="preserve"> »trgu blaga« doda besedilo »vključno s pridobivanjem informacij, kadar je to potrebno, o pozicijah v izvedenih finančnih instrumentih na emisijske kupone ali</w:t>
      </w:r>
      <w:r w:rsidR="00F17385" w:rsidRPr="00445B9C">
        <w:rPr>
          <w:rFonts w:cs="Arial"/>
          <w:szCs w:val="20"/>
        </w:rPr>
        <w:t xml:space="preserve"> o</w:t>
      </w:r>
      <w:r w:rsidR="004A4518" w:rsidRPr="00445B9C">
        <w:rPr>
          <w:rFonts w:cs="Arial"/>
          <w:szCs w:val="20"/>
        </w:rPr>
        <w:t>«</w:t>
      </w:r>
      <w:r w:rsidR="00BA3FFE" w:rsidRPr="00445B9C">
        <w:rPr>
          <w:rFonts w:cs="Arial"/>
          <w:szCs w:val="20"/>
        </w:rPr>
        <w:t>.</w:t>
      </w:r>
    </w:p>
    <w:p w:rsidR="006A2506" w:rsidRPr="00445B9C" w:rsidRDefault="007C5912" w:rsidP="00F810E6">
      <w:pPr>
        <w:numPr>
          <w:ilvl w:val="0"/>
          <w:numId w:val="16"/>
        </w:numPr>
        <w:spacing w:before="240" w:after="240" w:line="259" w:lineRule="auto"/>
        <w:ind w:left="720"/>
        <w:jc w:val="center"/>
        <w:outlineLvl w:val="0"/>
        <w:rPr>
          <w:rFonts w:eastAsiaTheme="majorEastAsia" w:cs="Arial"/>
          <w:b/>
          <w:szCs w:val="20"/>
        </w:rPr>
      </w:pPr>
      <w:bookmarkStart w:id="41" w:name="_Ref196734639"/>
      <w:r w:rsidRPr="00445B9C">
        <w:rPr>
          <w:rFonts w:eastAsiaTheme="majorEastAsia" w:cs="Arial"/>
          <w:b/>
          <w:szCs w:val="20"/>
        </w:rPr>
        <w:lastRenderedPageBreak/>
        <w:t>člen</w:t>
      </w:r>
      <w:bookmarkEnd w:id="41"/>
    </w:p>
    <w:p w:rsidR="00BA3FFE" w:rsidRPr="00445B9C" w:rsidRDefault="00293E8F"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w:t>
      </w:r>
      <w:r w:rsidR="00BA3FFE" w:rsidRPr="00445B9C">
        <w:rPr>
          <w:rFonts w:eastAsiaTheme="majorEastAsia" w:cs="Arial"/>
          <w:bCs/>
          <w:szCs w:val="20"/>
        </w:rPr>
        <w:t>332. člen</w:t>
      </w:r>
      <w:r w:rsidRPr="00445B9C">
        <w:rPr>
          <w:rFonts w:eastAsiaTheme="majorEastAsia" w:cs="Arial"/>
          <w:bCs/>
          <w:szCs w:val="20"/>
        </w:rPr>
        <w:t>u</w:t>
      </w:r>
      <w:r w:rsidR="00BA3FFE" w:rsidRPr="00445B9C">
        <w:rPr>
          <w:rFonts w:eastAsiaTheme="majorEastAsia" w:cs="Arial"/>
          <w:bCs/>
          <w:szCs w:val="20"/>
        </w:rPr>
        <w:t xml:space="preserve"> se </w:t>
      </w:r>
      <w:r w:rsidRPr="00445B9C">
        <w:rPr>
          <w:rFonts w:eastAsiaTheme="majorEastAsia" w:cs="Arial"/>
          <w:bCs/>
          <w:szCs w:val="20"/>
        </w:rPr>
        <w:t xml:space="preserve">naslov člena </w:t>
      </w:r>
      <w:r w:rsidR="00BA3FFE" w:rsidRPr="00445B9C">
        <w:rPr>
          <w:rFonts w:eastAsiaTheme="majorEastAsia" w:cs="Arial"/>
          <w:bCs/>
          <w:szCs w:val="20"/>
        </w:rPr>
        <w:t>spremeni tako, da se glasi:</w:t>
      </w:r>
    </w:p>
    <w:p w:rsidR="00BA3FFE" w:rsidRPr="00445B9C" w:rsidRDefault="00BA3FFE" w:rsidP="00BA786D">
      <w:pPr>
        <w:spacing w:before="240" w:after="240" w:line="259" w:lineRule="auto"/>
        <w:jc w:val="both"/>
        <w:outlineLvl w:val="0"/>
        <w:rPr>
          <w:rFonts w:eastAsiaTheme="majorEastAsia" w:cs="Arial"/>
          <w:bCs/>
          <w:szCs w:val="20"/>
        </w:rPr>
      </w:pPr>
      <w:r w:rsidRPr="00445B9C">
        <w:rPr>
          <w:rFonts w:eastAsiaTheme="majorEastAsia" w:cs="Arial"/>
          <w:bCs/>
          <w:szCs w:val="20"/>
        </w:rPr>
        <w:t>»(poročanje pozicij za izvedene finančne instrumente na blago ter izvedene finančne instrumente na emisijske kupone)</w:t>
      </w:r>
      <w:r w:rsidR="00684763" w:rsidRPr="00445B9C">
        <w:rPr>
          <w:rFonts w:eastAsiaTheme="majorEastAsia" w:cs="Arial"/>
          <w:bCs/>
          <w:szCs w:val="20"/>
        </w:rPr>
        <w:t>«</w:t>
      </w:r>
      <w:r w:rsidRPr="00445B9C">
        <w:rPr>
          <w:rFonts w:eastAsiaTheme="majorEastAsia" w:cs="Arial"/>
          <w:bCs/>
          <w:szCs w:val="20"/>
        </w:rPr>
        <w:t>.</w:t>
      </w:r>
    </w:p>
    <w:p w:rsidR="00BA3FFE" w:rsidRPr="00445B9C" w:rsidRDefault="00B027D1" w:rsidP="003A32E6">
      <w:pPr>
        <w:jc w:val="both"/>
        <w:rPr>
          <w:rFonts w:cs="Arial"/>
          <w:szCs w:val="20"/>
        </w:rPr>
      </w:pPr>
      <w:r w:rsidRPr="00445B9C">
        <w:rPr>
          <w:rFonts w:eastAsiaTheme="majorEastAsia" w:cs="Arial"/>
          <w:szCs w:val="20"/>
        </w:rPr>
        <w:t xml:space="preserve">V prvem odstavku se </w:t>
      </w:r>
      <w:r w:rsidR="00293E8F" w:rsidRPr="00445B9C">
        <w:rPr>
          <w:rFonts w:eastAsiaTheme="majorEastAsia" w:cs="Arial"/>
          <w:szCs w:val="20"/>
        </w:rPr>
        <w:t>v</w:t>
      </w:r>
      <w:r w:rsidR="000F68AF" w:rsidRPr="00445B9C">
        <w:rPr>
          <w:rFonts w:eastAsiaTheme="majorEastAsia" w:cs="Arial"/>
          <w:szCs w:val="20"/>
        </w:rPr>
        <w:t xml:space="preserve"> </w:t>
      </w:r>
      <w:r w:rsidRPr="00445B9C">
        <w:rPr>
          <w:rFonts w:cs="Arial"/>
          <w:szCs w:val="20"/>
        </w:rPr>
        <w:t>n</w:t>
      </w:r>
      <w:r w:rsidR="00BA3FFE" w:rsidRPr="00445B9C">
        <w:rPr>
          <w:rFonts w:cs="Arial"/>
          <w:szCs w:val="20"/>
        </w:rPr>
        <w:t>apovedn</w:t>
      </w:r>
      <w:r w:rsidR="00293E8F" w:rsidRPr="00445B9C">
        <w:rPr>
          <w:rFonts w:cs="Arial"/>
          <w:szCs w:val="20"/>
        </w:rPr>
        <w:t>em</w:t>
      </w:r>
      <w:r w:rsidR="00BA3FFE" w:rsidRPr="00445B9C">
        <w:rPr>
          <w:rFonts w:cs="Arial"/>
          <w:szCs w:val="20"/>
        </w:rPr>
        <w:t xml:space="preserve"> stavk</w:t>
      </w:r>
      <w:r w:rsidR="00F85836" w:rsidRPr="00445B9C">
        <w:rPr>
          <w:rFonts w:cs="Arial"/>
          <w:szCs w:val="20"/>
        </w:rPr>
        <w:t>u</w:t>
      </w:r>
      <w:r w:rsidR="00BA3FFE" w:rsidRPr="00445B9C">
        <w:rPr>
          <w:rFonts w:cs="Arial"/>
          <w:szCs w:val="20"/>
        </w:rPr>
        <w:t xml:space="preserve"> </w:t>
      </w:r>
      <w:r w:rsidR="009A4A1D" w:rsidRPr="00445B9C">
        <w:rPr>
          <w:rFonts w:cs="Arial"/>
          <w:szCs w:val="20"/>
        </w:rPr>
        <w:t>za besedilom »na blago ali« doda besedilo »izvedenimi finančnimi instrumenti na emisijske kupone«</w:t>
      </w:r>
      <w:r w:rsidR="00F85836" w:rsidRPr="00445B9C">
        <w:rPr>
          <w:rFonts w:cs="Arial"/>
          <w:szCs w:val="20"/>
        </w:rPr>
        <w:t>.</w:t>
      </w:r>
    </w:p>
    <w:p w:rsidR="00F85836" w:rsidRPr="00445B9C" w:rsidRDefault="00F85836" w:rsidP="003A32E6">
      <w:pPr>
        <w:jc w:val="both"/>
        <w:rPr>
          <w:rFonts w:cs="Arial"/>
          <w:szCs w:val="20"/>
        </w:rPr>
      </w:pPr>
    </w:p>
    <w:p w:rsidR="00F85836" w:rsidRPr="00445B9C" w:rsidRDefault="00BA3FFE" w:rsidP="003A32E6">
      <w:pPr>
        <w:jc w:val="both"/>
        <w:rPr>
          <w:rFonts w:cs="Arial"/>
          <w:szCs w:val="20"/>
        </w:rPr>
      </w:pPr>
      <w:r w:rsidRPr="00445B9C">
        <w:rPr>
          <w:rFonts w:cs="Arial"/>
          <w:szCs w:val="20"/>
        </w:rPr>
        <w:t>1.</w:t>
      </w:r>
      <w:r w:rsidR="009A4A1D" w:rsidRPr="00445B9C">
        <w:rPr>
          <w:rFonts w:cs="Arial"/>
          <w:szCs w:val="20"/>
        </w:rPr>
        <w:t xml:space="preserve"> točka </w:t>
      </w:r>
      <w:r w:rsidR="00F85836" w:rsidRPr="00445B9C">
        <w:rPr>
          <w:rFonts w:cs="Arial"/>
          <w:szCs w:val="20"/>
        </w:rPr>
        <w:t xml:space="preserve">se </w:t>
      </w:r>
      <w:r w:rsidR="009A4A1D" w:rsidRPr="00445B9C">
        <w:rPr>
          <w:rFonts w:cs="Arial"/>
          <w:szCs w:val="20"/>
        </w:rPr>
        <w:t xml:space="preserve">spremeni tako, da </w:t>
      </w:r>
      <w:r w:rsidR="00F85836" w:rsidRPr="00445B9C">
        <w:rPr>
          <w:rFonts w:cs="Arial"/>
          <w:szCs w:val="20"/>
        </w:rPr>
        <w:t xml:space="preserve">se glasi: </w:t>
      </w:r>
    </w:p>
    <w:p w:rsidR="00F85836" w:rsidRPr="00445B9C" w:rsidRDefault="00F85836">
      <w:pPr>
        <w:jc w:val="both"/>
        <w:rPr>
          <w:rFonts w:cs="Arial"/>
          <w:szCs w:val="20"/>
        </w:rPr>
      </w:pPr>
      <w:r w:rsidRPr="00445B9C">
        <w:rPr>
          <w:rFonts w:cs="Arial"/>
          <w:szCs w:val="20"/>
        </w:rPr>
        <w:t>»</w:t>
      </w:r>
      <w:r w:rsidR="00684A25">
        <w:rPr>
          <w:rFonts w:cs="Arial"/>
          <w:szCs w:val="20"/>
        </w:rPr>
        <w:t xml:space="preserve">1. </w:t>
      </w:r>
      <w:r w:rsidR="009E1C0C" w:rsidRPr="00445B9C">
        <w:rPr>
          <w:rFonts w:cs="Arial"/>
          <w:szCs w:val="20"/>
        </w:rPr>
        <w:t>objavi tedensko poročilo, ki vsebuje skupne pozicije, ki jih imajo posamezne kategorije oseb v različnih izvedenih finančnih instrumentih na blago ali izvedenih finančnih instrumentih na emisijske kupone, s katerimi se trguje na tem mestu trgovanja. V poročilu navede število dolgih in kratkih pozicij posameznih kategorij, njihovih sprememb glede na prejšnje poročilo, delež posamezne kategorije v skupn</w:t>
      </w:r>
      <w:r w:rsidR="00483913">
        <w:rPr>
          <w:rFonts w:cs="Arial"/>
          <w:szCs w:val="20"/>
        </w:rPr>
        <w:t>i</w:t>
      </w:r>
      <w:r w:rsidR="009E1C0C" w:rsidRPr="00445B9C">
        <w:rPr>
          <w:rFonts w:cs="Arial"/>
          <w:szCs w:val="20"/>
        </w:rPr>
        <w:t xml:space="preserve"> količini odprtih pozicij in število oseb, ki imajo pozicijo v posamezni kategoriji v skladu s petim odstavkom tega člena. Za mesta trgovanja, kjer se trguje tudi z opcijami, se objavita dve poročili, od tega so v enem izključene opcije;</w:t>
      </w:r>
      <w:r w:rsidRPr="00445B9C">
        <w:rPr>
          <w:rFonts w:cs="Arial"/>
          <w:szCs w:val="20"/>
        </w:rPr>
        <w:t>«.</w:t>
      </w:r>
    </w:p>
    <w:p w:rsidR="002F0A05" w:rsidRPr="00445B9C" w:rsidRDefault="003762CF"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tretjem odstavku se </w:t>
      </w:r>
      <w:r w:rsidR="00925549" w:rsidRPr="00445B9C">
        <w:rPr>
          <w:rFonts w:eastAsiaTheme="majorEastAsia" w:cs="Arial"/>
          <w:bCs/>
          <w:szCs w:val="20"/>
        </w:rPr>
        <w:t xml:space="preserve">v </w:t>
      </w:r>
      <w:r w:rsidRPr="00445B9C">
        <w:rPr>
          <w:rFonts w:eastAsiaTheme="majorEastAsia" w:cs="Arial"/>
          <w:bCs/>
          <w:szCs w:val="20"/>
        </w:rPr>
        <w:t>p</w:t>
      </w:r>
      <w:r w:rsidR="00340D86" w:rsidRPr="00445B9C">
        <w:rPr>
          <w:rFonts w:eastAsiaTheme="majorEastAsia" w:cs="Arial"/>
          <w:bCs/>
          <w:szCs w:val="20"/>
        </w:rPr>
        <w:t>rv</w:t>
      </w:r>
      <w:r w:rsidR="00925549" w:rsidRPr="00445B9C">
        <w:rPr>
          <w:rFonts w:eastAsiaTheme="majorEastAsia" w:cs="Arial"/>
          <w:bCs/>
          <w:szCs w:val="20"/>
        </w:rPr>
        <w:t>em</w:t>
      </w:r>
      <w:r w:rsidR="00340D86" w:rsidRPr="00445B9C">
        <w:rPr>
          <w:rFonts w:eastAsiaTheme="majorEastAsia" w:cs="Arial"/>
          <w:bCs/>
          <w:szCs w:val="20"/>
        </w:rPr>
        <w:t xml:space="preserve"> stavk</w:t>
      </w:r>
      <w:r w:rsidR="00925549" w:rsidRPr="00445B9C">
        <w:rPr>
          <w:rFonts w:eastAsiaTheme="majorEastAsia" w:cs="Arial"/>
          <w:bCs/>
          <w:szCs w:val="20"/>
        </w:rPr>
        <w:t>u</w:t>
      </w:r>
      <w:r w:rsidR="00340D86" w:rsidRPr="00445B9C">
        <w:rPr>
          <w:rFonts w:eastAsiaTheme="majorEastAsia" w:cs="Arial"/>
          <w:bCs/>
          <w:szCs w:val="20"/>
        </w:rPr>
        <w:t xml:space="preserve"> </w:t>
      </w:r>
      <w:r w:rsidR="00D51101" w:rsidRPr="00445B9C">
        <w:rPr>
          <w:rFonts w:eastAsiaTheme="majorEastAsia" w:cs="Arial"/>
          <w:bCs/>
          <w:szCs w:val="20"/>
        </w:rPr>
        <w:t>besedilo »emisijskimi kuponi ali njihovimi izvedenimi finančnimi instrumenti«</w:t>
      </w:r>
      <w:r w:rsidR="00590CFC" w:rsidRPr="00445B9C">
        <w:rPr>
          <w:rFonts w:eastAsiaTheme="majorEastAsia" w:cs="Arial"/>
          <w:bCs/>
          <w:szCs w:val="20"/>
        </w:rPr>
        <w:t xml:space="preserve"> </w:t>
      </w:r>
      <w:r w:rsidR="00D51101" w:rsidRPr="00445B9C">
        <w:rPr>
          <w:rFonts w:eastAsiaTheme="majorEastAsia" w:cs="Arial"/>
          <w:bCs/>
          <w:szCs w:val="20"/>
        </w:rPr>
        <w:t>nadomesti z besedilom »izvedenimi finančnimi instrumenti na emisijske kupone«</w:t>
      </w:r>
      <w:r w:rsidR="00925549" w:rsidRPr="00445B9C">
        <w:rPr>
          <w:rFonts w:eastAsiaTheme="majorEastAsia" w:cs="Arial"/>
          <w:bCs/>
          <w:szCs w:val="20"/>
        </w:rPr>
        <w:t>,</w:t>
      </w:r>
      <w:r w:rsidR="00D51101" w:rsidRPr="00445B9C">
        <w:rPr>
          <w:rFonts w:eastAsiaTheme="majorEastAsia" w:cs="Arial"/>
          <w:bCs/>
          <w:szCs w:val="20"/>
        </w:rPr>
        <w:t xml:space="preserve"> besedilo »emisijskih kuponih ali njihovih izvedenih finančnih instrumentih«</w:t>
      </w:r>
      <w:r w:rsidR="00590CFC" w:rsidRPr="00445B9C">
        <w:rPr>
          <w:rFonts w:eastAsiaTheme="majorEastAsia" w:cs="Arial"/>
          <w:bCs/>
          <w:szCs w:val="20"/>
        </w:rPr>
        <w:t xml:space="preserve"> </w:t>
      </w:r>
      <w:r w:rsidR="00925549" w:rsidRPr="00445B9C">
        <w:rPr>
          <w:rFonts w:eastAsiaTheme="majorEastAsia" w:cs="Arial"/>
          <w:bCs/>
          <w:szCs w:val="20"/>
        </w:rPr>
        <w:t xml:space="preserve">pa se </w:t>
      </w:r>
      <w:r w:rsidR="00D51101" w:rsidRPr="00445B9C">
        <w:rPr>
          <w:rFonts w:eastAsiaTheme="majorEastAsia" w:cs="Arial"/>
          <w:bCs/>
          <w:szCs w:val="20"/>
        </w:rPr>
        <w:t>nadomesti z besedil</w:t>
      </w:r>
      <w:r w:rsidR="00825024" w:rsidRPr="00445B9C">
        <w:rPr>
          <w:rFonts w:eastAsiaTheme="majorEastAsia" w:cs="Arial"/>
          <w:bCs/>
          <w:szCs w:val="20"/>
        </w:rPr>
        <w:t>o</w:t>
      </w:r>
      <w:r w:rsidR="00D51101" w:rsidRPr="00445B9C">
        <w:rPr>
          <w:rFonts w:eastAsiaTheme="majorEastAsia" w:cs="Arial"/>
          <w:bCs/>
          <w:szCs w:val="20"/>
        </w:rPr>
        <w:t>m »izvedenih finančnih instrumentih na emisijske kupone«.</w:t>
      </w:r>
    </w:p>
    <w:p w:rsidR="00340D86" w:rsidRPr="00445B9C" w:rsidRDefault="003762CF"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petem odstavku se </w:t>
      </w:r>
      <w:r w:rsidR="00925549" w:rsidRPr="00445B9C">
        <w:rPr>
          <w:rFonts w:eastAsiaTheme="majorEastAsia" w:cs="Arial"/>
          <w:bCs/>
          <w:szCs w:val="20"/>
        </w:rPr>
        <w:t xml:space="preserve">v </w:t>
      </w:r>
      <w:r w:rsidRPr="00445B9C">
        <w:rPr>
          <w:rFonts w:eastAsiaTheme="majorEastAsia" w:cs="Arial"/>
          <w:bCs/>
          <w:szCs w:val="20"/>
        </w:rPr>
        <w:t>n</w:t>
      </w:r>
      <w:r w:rsidR="00A10CE9" w:rsidRPr="00445B9C">
        <w:rPr>
          <w:rFonts w:eastAsiaTheme="majorEastAsia" w:cs="Arial"/>
          <w:bCs/>
          <w:szCs w:val="20"/>
        </w:rPr>
        <w:t>apovedn</w:t>
      </w:r>
      <w:r w:rsidR="00925549" w:rsidRPr="00445B9C">
        <w:rPr>
          <w:rFonts w:eastAsiaTheme="majorEastAsia" w:cs="Arial"/>
          <w:bCs/>
          <w:szCs w:val="20"/>
        </w:rPr>
        <w:t>em</w:t>
      </w:r>
      <w:r w:rsidR="00A10CE9" w:rsidRPr="00445B9C">
        <w:rPr>
          <w:rFonts w:eastAsiaTheme="majorEastAsia" w:cs="Arial"/>
          <w:bCs/>
          <w:szCs w:val="20"/>
        </w:rPr>
        <w:t xml:space="preserve"> stavk</w:t>
      </w:r>
      <w:r w:rsidR="00925549" w:rsidRPr="00445B9C">
        <w:rPr>
          <w:rFonts w:eastAsiaTheme="majorEastAsia" w:cs="Arial"/>
          <w:bCs/>
          <w:szCs w:val="20"/>
        </w:rPr>
        <w:t>u</w:t>
      </w:r>
      <w:r w:rsidR="00A10CE9" w:rsidRPr="00445B9C">
        <w:rPr>
          <w:rFonts w:eastAsiaTheme="majorEastAsia" w:cs="Arial"/>
          <w:bCs/>
          <w:szCs w:val="20"/>
        </w:rPr>
        <w:t xml:space="preserve"> </w:t>
      </w:r>
      <w:r w:rsidR="006A204B" w:rsidRPr="00445B9C">
        <w:rPr>
          <w:rFonts w:eastAsiaTheme="majorEastAsia" w:cs="Arial"/>
          <w:bCs/>
          <w:szCs w:val="20"/>
        </w:rPr>
        <w:t>besedilo »emisijskimi kuponi ali njihovimi izvedenimi finančnimi instrumenti« nadomesti z besedilom »izvedenimi finančnimi instrumenti na emisijske kupone«</w:t>
      </w:r>
      <w:r w:rsidR="00992729" w:rsidRPr="00445B9C">
        <w:rPr>
          <w:rFonts w:eastAsiaTheme="majorEastAsia" w:cs="Arial"/>
          <w:bCs/>
          <w:szCs w:val="20"/>
        </w:rPr>
        <w:t>.</w:t>
      </w:r>
      <w:r w:rsidR="000C702F" w:rsidRPr="00445B9C">
        <w:rPr>
          <w:rFonts w:eastAsiaTheme="majorEastAsia" w:cs="Arial"/>
          <w:bCs/>
          <w:szCs w:val="20"/>
        </w:rPr>
        <w:t xml:space="preserve"> </w:t>
      </w:r>
    </w:p>
    <w:p w:rsidR="000C702F" w:rsidRDefault="000C702F"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1. točki se besedilo »borznoposredniške družbe in banke« nadomesti z besedilom »borznoposredniške družbe, banke in kreditne družbe«.</w:t>
      </w:r>
    </w:p>
    <w:p w:rsidR="00F249E8" w:rsidRPr="00445B9C" w:rsidRDefault="00F249E8" w:rsidP="00BA786D">
      <w:pPr>
        <w:spacing w:before="240" w:after="240" w:line="259" w:lineRule="auto"/>
        <w:jc w:val="both"/>
        <w:outlineLvl w:val="0"/>
        <w:rPr>
          <w:rFonts w:eastAsiaTheme="majorEastAsia" w:cs="Arial"/>
          <w:bCs/>
          <w:szCs w:val="20"/>
        </w:rPr>
      </w:pPr>
      <w:r>
        <w:rPr>
          <w:rFonts w:eastAsiaTheme="majorEastAsia" w:cs="Arial"/>
          <w:bCs/>
          <w:szCs w:val="20"/>
        </w:rPr>
        <w:t xml:space="preserve">V 5. točki se </w:t>
      </w:r>
      <w:r w:rsidRPr="00445B9C">
        <w:rPr>
          <w:rFonts w:eastAsiaTheme="majorEastAsia" w:cs="Arial"/>
          <w:bCs/>
          <w:szCs w:val="20"/>
        </w:rPr>
        <w:t>besedilo »emisijski</w:t>
      </w:r>
      <w:r>
        <w:rPr>
          <w:rFonts w:eastAsiaTheme="majorEastAsia" w:cs="Arial"/>
          <w:bCs/>
          <w:szCs w:val="20"/>
        </w:rPr>
        <w:t>h</w:t>
      </w:r>
      <w:r w:rsidRPr="00445B9C">
        <w:rPr>
          <w:rFonts w:eastAsiaTheme="majorEastAsia" w:cs="Arial"/>
          <w:bCs/>
          <w:szCs w:val="20"/>
        </w:rPr>
        <w:t xml:space="preserve"> kupon</w:t>
      </w:r>
      <w:r w:rsidR="00267054">
        <w:rPr>
          <w:rFonts w:eastAsiaTheme="majorEastAsia" w:cs="Arial"/>
          <w:bCs/>
          <w:szCs w:val="20"/>
        </w:rPr>
        <w:t>ov</w:t>
      </w:r>
      <w:r w:rsidRPr="00445B9C">
        <w:rPr>
          <w:rFonts w:eastAsiaTheme="majorEastAsia" w:cs="Arial"/>
          <w:bCs/>
          <w:szCs w:val="20"/>
        </w:rPr>
        <w:t xml:space="preserve"> ali njihovi</w:t>
      </w:r>
      <w:r w:rsidR="00267054">
        <w:rPr>
          <w:rFonts w:eastAsiaTheme="majorEastAsia" w:cs="Arial"/>
          <w:bCs/>
          <w:szCs w:val="20"/>
        </w:rPr>
        <w:t>h</w:t>
      </w:r>
      <w:r w:rsidRPr="00445B9C">
        <w:rPr>
          <w:rFonts w:eastAsiaTheme="majorEastAsia" w:cs="Arial"/>
          <w:bCs/>
          <w:szCs w:val="20"/>
        </w:rPr>
        <w:t xml:space="preserve"> izvedeni</w:t>
      </w:r>
      <w:r w:rsidR="00267054">
        <w:rPr>
          <w:rFonts w:eastAsiaTheme="majorEastAsia" w:cs="Arial"/>
          <w:bCs/>
          <w:szCs w:val="20"/>
        </w:rPr>
        <w:t>h</w:t>
      </w:r>
      <w:r w:rsidRPr="00445B9C">
        <w:rPr>
          <w:rFonts w:eastAsiaTheme="majorEastAsia" w:cs="Arial"/>
          <w:bCs/>
          <w:szCs w:val="20"/>
        </w:rPr>
        <w:t xml:space="preserve"> finančni</w:t>
      </w:r>
      <w:r w:rsidR="00267054">
        <w:rPr>
          <w:rFonts w:eastAsiaTheme="majorEastAsia" w:cs="Arial"/>
          <w:bCs/>
          <w:szCs w:val="20"/>
        </w:rPr>
        <w:t>h</w:t>
      </w:r>
      <w:r w:rsidRPr="00445B9C">
        <w:rPr>
          <w:rFonts w:eastAsiaTheme="majorEastAsia" w:cs="Arial"/>
          <w:bCs/>
          <w:szCs w:val="20"/>
        </w:rPr>
        <w:t xml:space="preserve"> instrument</w:t>
      </w:r>
      <w:r w:rsidR="00267054">
        <w:rPr>
          <w:rFonts w:eastAsiaTheme="majorEastAsia" w:cs="Arial"/>
          <w:bCs/>
          <w:szCs w:val="20"/>
        </w:rPr>
        <w:t>ov</w:t>
      </w:r>
      <w:r w:rsidRPr="00445B9C">
        <w:rPr>
          <w:rFonts w:eastAsiaTheme="majorEastAsia" w:cs="Arial"/>
          <w:bCs/>
          <w:szCs w:val="20"/>
        </w:rPr>
        <w:t>« nadomesti z besedilom »izvedeni</w:t>
      </w:r>
      <w:r w:rsidR="00267054">
        <w:rPr>
          <w:rFonts w:eastAsiaTheme="majorEastAsia" w:cs="Arial"/>
          <w:bCs/>
          <w:szCs w:val="20"/>
        </w:rPr>
        <w:t xml:space="preserve">h </w:t>
      </w:r>
      <w:r w:rsidRPr="00445B9C">
        <w:rPr>
          <w:rFonts w:eastAsiaTheme="majorEastAsia" w:cs="Arial"/>
          <w:bCs/>
          <w:szCs w:val="20"/>
        </w:rPr>
        <w:t>finančni</w:t>
      </w:r>
      <w:r w:rsidR="00267054">
        <w:rPr>
          <w:rFonts w:eastAsiaTheme="majorEastAsia" w:cs="Arial"/>
          <w:bCs/>
          <w:szCs w:val="20"/>
        </w:rPr>
        <w:t>h</w:t>
      </w:r>
      <w:r w:rsidRPr="00445B9C">
        <w:rPr>
          <w:rFonts w:eastAsiaTheme="majorEastAsia" w:cs="Arial"/>
          <w:bCs/>
          <w:szCs w:val="20"/>
        </w:rPr>
        <w:t xml:space="preserve"> instrument</w:t>
      </w:r>
      <w:r w:rsidR="00267054">
        <w:rPr>
          <w:rFonts w:eastAsiaTheme="majorEastAsia" w:cs="Arial"/>
          <w:bCs/>
          <w:szCs w:val="20"/>
        </w:rPr>
        <w:t>ov</w:t>
      </w:r>
      <w:r w:rsidRPr="00445B9C">
        <w:rPr>
          <w:rFonts w:eastAsiaTheme="majorEastAsia" w:cs="Arial"/>
          <w:bCs/>
          <w:szCs w:val="20"/>
        </w:rPr>
        <w:t xml:space="preserve"> na emisijske kupone«</w:t>
      </w:r>
      <w:r w:rsidR="00555812">
        <w:rPr>
          <w:rFonts w:eastAsiaTheme="majorEastAsia" w:cs="Arial"/>
          <w:bCs/>
          <w:szCs w:val="20"/>
        </w:rPr>
        <w:t>.</w:t>
      </w:r>
    </w:p>
    <w:p w:rsidR="00CF7586" w:rsidRPr="00445B9C" w:rsidRDefault="00CF7586"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osmem odstavku se za besedilom »ne uporablja za« doda beseda »ostale«.</w:t>
      </w:r>
    </w:p>
    <w:p w:rsidR="0092037A" w:rsidRPr="00445B9C" w:rsidRDefault="0092037A" w:rsidP="00BA786D">
      <w:pPr>
        <w:spacing w:before="240" w:after="240" w:line="259" w:lineRule="auto"/>
        <w:jc w:val="both"/>
        <w:outlineLvl w:val="0"/>
        <w:rPr>
          <w:rFonts w:eastAsiaTheme="majorEastAsia" w:cs="Arial"/>
          <w:bCs/>
          <w:szCs w:val="20"/>
        </w:rPr>
      </w:pPr>
      <w:r w:rsidRPr="00445B9C">
        <w:rPr>
          <w:rFonts w:eastAsiaTheme="majorEastAsia" w:cs="Arial"/>
          <w:bCs/>
          <w:szCs w:val="20"/>
        </w:rPr>
        <w:t>Za osmim odstavkom se doda nov</w:t>
      </w:r>
      <w:r w:rsidR="00925549" w:rsidRPr="00445B9C">
        <w:rPr>
          <w:rFonts w:eastAsiaTheme="majorEastAsia" w:cs="Arial"/>
          <w:bCs/>
          <w:szCs w:val="20"/>
        </w:rPr>
        <w:t>,</w:t>
      </w:r>
      <w:r w:rsidRPr="00445B9C">
        <w:rPr>
          <w:rFonts w:eastAsiaTheme="majorEastAsia" w:cs="Arial"/>
          <w:bCs/>
          <w:szCs w:val="20"/>
        </w:rPr>
        <w:t xml:space="preserve"> deveti odstavek, ki se glasi:</w:t>
      </w:r>
    </w:p>
    <w:p w:rsidR="0092037A" w:rsidRPr="00445B9C" w:rsidRDefault="0092037A" w:rsidP="00BA786D">
      <w:pPr>
        <w:spacing w:before="240" w:after="240" w:line="259" w:lineRule="auto"/>
        <w:jc w:val="both"/>
        <w:outlineLvl w:val="0"/>
        <w:rPr>
          <w:rFonts w:eastAsiaTheme="majorEastAsia" w:cs="Arial"/>
          <w:bCs/>
          <w:szCs w:val="20"/>
        </w:rPr>
      </w:pPr>
      <w:r w:rsidRPr="00445B9C">
        <w:rPr>
          <w:rFonts w:eastAsiaTheme="majorEastAsia" w:cs="Arial"/>
          <w:bCs/>
          <w:szCs w:val="20"/>
        </w:rPr>
        <w:t>»(9) Upravljavec mesta trgovanja informacije iz 1. točke prvega odstavka tega člena hkrati z objavo pošlje tudi ESMA. Informacije so skladne z zahtevami, kot jih določa šesti odstavek 257.a člena tega zakona.«</w:t>
      </w:r>
      <w:r w:rsidR="007C5912" w:rsidRPr="00445B9C">
        <w:rPr>
          <w:rFonts w:eastAsiaTheme="majorEastAsia" w:cs="Arial"/>
          <w:bCs/>
          <w:szCs w:val="20"/>
        </w:rPr>
        <w:t>.</w:t>
      </w:r>
    </w:p>
    <w:p w:rsidR="00427E3C" w:rsidRPr="00445B9C" w:rsidRDefault="00427E3C" w:rsidP="00427E3C">
      <w:pPr>
        <w:numPr>
          <w:ilvl w:val="0"/>
          <w:numId w:val="16"/>
        </w:numPr>
        <w:spacing w:before="240" w:after="240" w:line="259" w:lineRule="auto"/>
        <w:ind w:left="720"/>
        <w:jc w:val="center"/>
        <w:outlineLvl w:val="0"/>
        <w:rPr>
          <w:rFonts w:eastAsiaTheme="majorEastAsia" w:cs="Arial"/>
          <w:b/>
          <w:szCs w:val="20"/>
        </w:rPr>
      </w:pPr>
      <w:bookmarkStart w:id="42" w:name="_Ref196825761"/>
      <w:r w:rsidRPr="00445B9C">
        <w:rPr>
          <w:rFonts w:eastAsiaTheme="majorEastAsia" w:cs="Arial"/>
          <w:b/>
          <w:szCs w:val="20"/>
        </w:rPr>
        <w:t>člen</w:t>
      </w:r>
      <w:bookmarkEnd w:id="42"/>
    </w:p>
    <w:p w:rsidR="00427E3C" w:rsidRPr="00445B9C" w:rsidRDefault="00427E3C" w:rsidP="00427E3C">
      <w:pPr>
        <w:jc w:val="both"/>
        <w:rPr>
          <w:rFonts w:eastAsiaTheme="majorEastAsia" w:cs="Arial"/>
          <w:szCs w:val="20"/>
        </w:rPr>
      </w:pPr>
      <w:r w:rsidRPr="00445B9C">
        <w:rPr>
          <w:rFonts w:eastAsiaTheme="majorEastAsia" w:cs="Arial"/>
          <w:szCs w:val="20"/>
        </w:rPr>
        <w:t>V 344. členu se v drugem odstavku besedilo »borznoposredniškimi družbami in bankami« nadomesti z besedilom »borznoposredniškimi družbami, bankami in kreditnimi družbami«.</w:t>
      </w:r>
    </w:p>
    <w:p w:rsidR="006A2506" w:rsidRPr="00445B9C" w:rsidRDefault="00293E8F" w:rsidP="00F810E6">
      <w:pPr>
        <w:numPr>
          <w:ilvl w:val="0"/>
          <w:numId w:val="16"/>
        </w:numPr>
        <w:spacing w:before="240" w:after="240" w:line="259" w:lineRule="auto"/>
        <w:ind w:left="720"/>
        <w:jc w:val="center"/>
        <w:outlineLvl w:val="0"/>
        <w:rPr>
          <w:rFonts w:eastAsiaTheme="majorEastAsia" w:cs="Arial"/>
          <w:b/>
          <w:szCs w:val="20"/>
        </w:rPr>
      </w:pPr>
      <w:bookmarkStart w:id="43" w:name="_Ref192067456"/>
      <w:r w:rsidRPr="00445B9C">
        <w:rPr>
          <w:rFonts w:eastAsiaTheme="majorEastAsia" w:cs="Arial"/>
          <w:b/>
          <w:szCs w:val="20"/>
        </w:rPr>
        <w:t>č</w:t>
      </w:r>
      <w:r w:rsidR="006A2506" w:rsidRPr="00445B9C">
        <w:rPr>
          <w:rFonts w:eastAsiaTheme="majorEastAsia" w:cs="Arial"/>
          <w:b/>
          <w:szCs w:val="20"/>
        </w:rPr>
        <w:t>len</w:t>
      </w:r>
      <w:bookmarkEnd w:id="43"/>
    </w:p>
    <w:p w:rsidR="00BF5C70" w:rsidRPr="00445B9C" w:rsidRDefault="00BF5C70"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357. členu se </w:t>
      </w:r>
      <w:r w:rsidR="007C5912" w:rsidRPr="00445B9C">
        <w:rPr>
          <w:rFonts w:eastAsiaTheme="majorEastAsia" w:cs="Arial"/>
          <w:bCs/>
          <w:szCs w:val="20"/>
        </w:rPr>
        <w:t xml:space="preserve">v sedmem odstavku </w:t>
      </w:r>
      <w:r w:rsidRPr="00445B9C">
        <w:rPr>
          <w:rFonts w:eastAsiaTheme="majorEastAsia" w:cs="Arial"/>
          <w:bCs/>
          <w:szCs w:val="20"/>
        </w:rPr>
        <w:t>besed</w:t>
      </w:r>
      <w:r w:rsidR="000F68AF" w:rsidRPr="00445B9C">
        <w:rPr>
          <w:rFonts w:eastAsiaTheme="majorEastAsia" w:cs="Arial"/>
          <w:bCs/>
          <w:szCs w:val="20"/>
        </w:rPr>
        <w:t>ilo</w:t>
      </w:r>
      <w:r w:rsidRPr="00445B9C">
        <w:rPr>
          <w:rFonts w:eastAsiaTheme="majorEastAsia" w:cs="Arial"/>
          <w:bCs/>
          <w:szCs w:val="20"/>
        </w:rPr>
        <w:t xml:space="preserve"> »prejšnjega</w:t>
      </w:r>
      <w:r w:rsidR="000F68AF" w:rsidRPr="00445B9C">
        <w:rPr>
          <w:rFonts w:eastAsiaTheme="majorEastAsia" w:cs="Arial"/>
          <w:bCs/>
          <w:szCs w:val="20"/>
        </w:rPr>
        <w:t xml:space="preserve"> odstavka</w:t>
      </w:r>
      <w:r w:rsidRPr="00445B9C">
        <w:rPr>
          <w:rFonts w:eastAsiaTheme="majorEastAsia" w:cs="Arial"/>
          <w:bCs/>
          <w:szCs w:val="20"/>
        </w:rPr>
        <w:t>« nadomesti z besed</w:t>
      </w:r>
      <w:r w:rsidR="000F68AF" w:rsidRPr="00445B9C">
        <w:rPr>
          <w:rFonts w:eastAsiaTheme="majorEastAsia" w:cs="Arial"/>
          <w:bCs/>
          <w:szCs w:val="20"/>
        </w:rPr>
        <w:t>ilom</w:t>
      </w:r>
      <w:r w:rsidRPr="00445B9C">
        <w:rPr>
          <w:rFonts w:eastAsiaTheme="majorEastAsia" w:cs="Arial"/>
          <w:bCs/>
          <w:szCs w:val="20"/>
        </w:rPr>
        <w:t xml:space="preserve"> »četrtega</w:t>
      </w:r>
      <w:r w:rsidR="000F68AF" w:rsidRPr="00445B9C">
        <w:rPr>
          <w:rFonts w:eastAsiaTheme="majorEastAsia" w:cs="Arial"/>
          <w:bCs/>
          <w:szCs w:val="20"/>
        </w:rPr>
        <w:t xml:space="preserve"> odstavka tega člena</w:t>
      </w:r>
      <w:r w:rsidRPr="00445B9C">
        <w:rPr>
          <w:rFonts w:eastAsiaTheme="majorEastAsia" w:cs="Arial"/>
          <w:bCs/>
          <w:szCs w:val="20"/>
        </w:rPr>
        <w:t xml:space="preserve">«. </w:t>
      </w:r>
    </w:p>
    <w:p w:rsidR="00AE52A2" w:rsidRPr="00445B9C" w:rsidRDefault="00293E8F" w:rsidP="00F810E6">
      <w:pPr>
        <w:numPr>
          <w:ilvl w:val="0"/>
          <w:numId w:val="16"/>
        </w:numPr>
        <w:spacing w:before="240" w:after="240" w:line="259" w:lineRule="auto"/>
        <w:ind w:left="720"/>
        <w:jc w:val="center"/>
        <w:outlineLvl w:val="0"/>
        <w:rPr>
          <w:rFonts w:eastAsiaTheme="majorEastAsia" w:cs="Arial"/>
          <w:b/>
          <w:szCs w:val="20"/>
        </w:rPr>
      </w:pPr>
      <w:bookmarkStart w:id="44" w:name="_Ref192067465"/>
      <w:r w:rsidRPr="00445B9C">
        <w:rPr>
          <w:rFonts w:eastAsiaTheme="majorEastAsia" w:cs="Arial"/>
          <w:b/>
          <w:szCs w:val="20"/>
        </w:rPr>
        <w:t>č</w:t>
      </w:r>
      <w:r w:rsidR="00AE52A2" w:rsidRPr="00445B9C">
        <w:rPr>
          <w:rFonts w:eastAsiaTheme="majorEastAsia" w:cs="Arial"/>
          <w:b/>
          <w:szCs w:val="20"/>
        </w:rPr>
        <w:t>len</w:t>
      </w:r>
      <w:bookmarkEnd w:id="44"/>
    </w:p>
    <w:p w:rsidR="00AE52A2" w:rsidRPr="00445B9C" w:rsidRDefault="00AE52A2" w:rsidP="00BA786D">
      <w:pPr>
        <w:spacing w:before="240" w:after="240" w:line="259" w:lineRule="auto"/>
        <w:jc w:val="both"/>
        <w:outlineLvl w:val="0"/>
        <w:rPr>
          <w:rFonts w:eastAsiaTheme="majorEastAsia" w:cs="Arial"/>
          <w:bCs/>
          <w:szCs w:val="20"/>
        </w:rPr>
      </w:pPr>
      <w:r w:rsidRPr="00445B9C">
        <w:rPr>
          <w:rFonts w:eastAsiaTheme="majorEastAsia" w:cs="Arial"/>
          <w:bCs/>
          <w:szCs w:val="20"/>
        </w:rPr>
        <w:lastRenderedPageBreak/>
        <w:t>Za 357. členom se doda nov</w:t>
      </w:r>
      <w:r w:rsidR="009F6193" w:rsidRPr="00445B9C">
        <w:rPr>
          <w:rFonts w:eastAsiaTheme="majorEastAsia" w:cs="Arial"/>
          <w:bCs/>
          <w:szCs w:val="20"/>
        </w:rPr>
        <w:t>,</w:t>
      </w:r>
      <w:r w:rsidRPr="00445B9C">
        <w:rPr>
          <w:rFonts w:eastAsiaTheme="majorEastAsia" w:cs="Arial"/>
          <w:bCs/>
          <w:szCs w:val="20"/>
        </w:rPr>
        <w:t xml:space="preserve"> 357.a člen, ki se glasi:</w:t>
      </w:r>
    </w:p>
    <w:p w:rsidR="00AE52A2" w:rsidRPr="00445B9C" w:rsidRDefault="00AE52A2" w:rsidP="00BA786D">
      <w:pPr>
        <w:spacing w:before="240" w:after="240" w:line="259" w:lineRule="auto"/>
        <w:jc w:val="center"/>
        <w:outlineLvl w:val="0"/>
        <w:rPr>
          <w:rFonts w:eastAsiaTheme="majorEastAsia" w:cs="Arial"/>
          <w:b/>
          <w:szCs w:val="20"/>
        </w:rPr>
      </w:pPr>
      <w:r w:rsidRPr="00445B9C">
        <w:rPr>
          <w:rFonts w:eastAsiaTheme="majorEastAsia" w:cs="Arial"/>
          <w:b/>
          <w:szCs w:val="20"/>
        </w:rPr>
        <w:t>»357.a člen</w:t>
      </w:r>
    </w:p>
    <w:p w:rsidR="00AE52A2" w:rsidRPr="00445B9C" w:rsidRDefault="00AE52A2" w:rsidP="00BA786D">
      <w:pPr>
        <w:spacing w:before="240" w:after="240" w:line="259" w:lineRule="auto"/>
        <w:jc w:val="center"/>
        <w:outlineLvl w:val="0"/>
        <w:rPr>
          <w:rFonts w:eastAsiaTheme="majorEastAsia" w:cs="Arial"/>
          <w:b/>
          <w:szCs w:val="20"/>
        </w:rPr>
      </w:pPr>
      <w:r w:rsidRPr="00445B9C">
        <w:rPr>
          <w:rFonts w:eastAsiaTheme="majorEastAsia" w:cs="Arial"/>
          <w:b/>
          <w:szCs w:val="20"/>
        </w:rPr>
        <w:t>(posredovanje informacij v evropsko enotno točko dostopa)</w:t>
      </w:r>
    </w:p>
    <w:p w:rsidR="00AE52A2" w:rsidRPr="00445B9C" w:rsidRDefault="00AE52A2" w:rsidP="00BA786D">
      <w:pPr>
        <w:spacing w:before="240" w:after="240" w:line="259" w:lineRule="auto"/>
        <w:ind w:firstLine="1021"/>
        <w:jc w:val="both"/>
        <w:outlineLvl w:val="0"/>
        <w:rPr>
          <w:rFonts w:eastAsiaTheme="majorEastAsia" w:cs="Arial"/>
          <w:bCs/>
          <w:szCs w:val="20"/>
        </w:rPr>
      </w:pPr>
      <w:r w:rsidRPr="00445B9C">
        <w:rPr>
          <w:rFonts w:eastAsiaTheme="majorEastAsia" w:cs="Arial"/>
          <w:bCs/>
          <w:szCs w:val="20"/>
        </w:rPr>
        <w:t xml:space="preserve">(1) Agencija je organ za zbiranje podatkov, kot je opredeljen v 2. točki 2. člena Uredbe 2023/2859/EU, za informacije iz desetega odstavka 322. </w:t>
      </w:r>
      <w:r w:rsidR="000F68AF" w:rsidRPr="00445B9C">
        <w:rPr>
          <w:rFonts w:eastAsiaTheme="majorEastAsia" w:cs="Arial"/>
          <w:bCs/>
          <w:szCs w:val="20"/>
        </w:rPr>
        <w:t xml:space="preserve">člena, </w:t>
      </w:r>
      <w:r w:rsidRPr="00445B9C">
        <w:rPr>
          <w:rFonts w:eastAsiaTheme="majorEastAsia" w:cs="Arial"/>
          <w:bCs/>
          <w:szCs w:val="20"/>
        </w:rPr>
        <w:t xml:space="preserve">osmega odstavka 326. </w:t>
      </w:r>
      <w:r w:rsidR="000F68AF" w:rsidRPr="00445B9C">
        <w:rPr>
          <w:rFonts w:eastAsiaTheme="majorEastAsia" w:cs="Arial"/>
          <w:bCs/>
          <w:szCs w:val="20"/>
        </w:rPr>
        <w:t xml:space="preserve">člena, </w:t>
      </w:r>
      <w:r w:rsidRPr="00445B9C">
        <w:rPr>
          <w:rFonts w:eastAsiaTheme="majorEastAsia" w:cs="Arial"/>
          <w:bCs/>
          <w:szCs w:val="20"/>
        </w:rPr>
        <w:t xml:space="preserve">četrtega odstavka 368. </w:t>
      </w:r>
      <w:r w:rsidR="000F68AF" w:rsidRPr="00445B9C">
        <w:rPr>
          <w:rFonts w:eastAsiaTheme="majorEastAsia" w:cs="Arial"/>
          <w:bCs/>
          <w:szCs w:val="20"/>
        </w:rPr>
        <w:t xml:space="preserve">člena </w:t>
      </w:r>
      <w:r w:rsidRPr="00445B9C">
        <w:rPr>
          <w:rFonts w:eastAsiaTheme="majorEastAsia" w:cs="Arial"/>
          <w:bCs/>
          <w:szCs w:val="20"/>
        </w:rPr>
        <w:t>in tretjega odstavka 406. člena tega zakona ter zagotavlja, da so te informacije dostopne v evropski enotni točki dostopa, vzpostavljeni na podlagi</w:t>
      </w:r>
      <w:r w:rsidR="00B26C8C" w:rsidRPr="00445B9C">
        <w:rPr>
          <w:rFonts w:eastAsiaTheme="majorEastAsia" w:cs="Arial"/>
          <w:bCs/>
          <w:szCs w:val="20"/>
        </w:rPr>
        <w:t xml:space="preserve"> prvega odstavka 1. člena</w:t>
      </w:r>
      <w:r w:rsidRPr="00445B9C">
        <w:rPr>
          <w:rFonts w:eastAsiaTheme="majorEastAsia" w:cs="Arial"/>
          <w:bCs/>
          <w:szCs w:val="20"/>
        </w:rPr>
        <w:t xml:space="preserve"> Uredbe 2023/2859/EU.</w:t>
      </w:r>
    </w:p>
    <w:p w:rsidR="00AE52A2" w:rsidRPr="00445B9C" w:rsidRDefault="00AE52A2" w:rsidP="00BA786D">
      <w:pPr>
        <w:spacing w:before="240" w:after="240" w:line="259" w:lineRule="auto"/>
        <w:ind w:firstLine="1021"/>
        <w:jc w:val="both"/>
        <w:outlineLvl w:val="0"/>
        <w:rPr>
          <w:rFonts w:eastAsiaTheme="majorEastAsia" w:cs="Arial"/>
          <w:bCs/>
          <w:szCs w:val="20"/>
        </w:rPr>
      </w:pPr>
      <w:r w:rsidRPr="00445B9C">
        <w:rPr>
          <w:rFonts w:eastAsiaTheme="majorEastAsia" w:cs="Arial"/>
          <w:bCs/>
          <w:szCs w:val="20"/>
        </w:rPr>
        <w:t>(2) Informacije iz prejšnjega odstavka so skladne z naslednjimi zahtevami:</w:t>
      </w:r>
    </w:p>
    <w:p w:rsidR="00AE52A2" w:rsidRPr="00445B9C" w:rsidRDefault="00AE52A2" w:rsidP="00BA786D">
      <w:pPr>
        <w:spacing w:before="240" w:after="240" w:line="259" w:lineRule="auto"/>
        <w:ind w:firstLine="1021"/>
        <w:jc w:val="both"/>
        <w:outlineLvl w:val="0"/>
        <w:rPr>
          <w:rFonts w:eastAsiaTheme="majorEastAsia" w:cs="Arial"/>
          <w:bCs/>
          <w:szCs w:val="20"/>
        </w:rPr>
      </w:pPr>
      <w:r w:rsidRPr="00445B9C">
        <w:rPr>
          <w:rFonts w:eastAsiaTheme="majorEastAsia" w:cs="Arial"/>
          <w:bCs/>
          <w:szCs w:val="20"/>
        </w:rPr>
        <w:t xml:space="preserve">1. predložene </w:t>
      </w:r>
      <w:r w:rsidR="00483913" w:rsidRPr="00445B9C">
        <w:rPr>
          <w:rFonts w:eastAsiaTheme="majorEastAsia" w:cs="Arial"/>
          <w:bCs/>
          <w:szCs w:val="20"/>
        </w:rPr>
        <w:t xml:space="preserve">so </w:t>
      </w:r>
      <w:r w:rsidRPr="00445B9C">
        <w:rPr>
          <w:rFonts w:eastAsiaTheme="majorEastAsia" w:cs="Arial"/>
          <w:bCs/>
          <w:szCs w:val="20"/>
        </w:rPr>
        <w:t>v formatu, ki omogoča izvoz podatkov, kakor je opredeljen v 3. točki 2. člena Uredbe 2023/2859/EU</w:t>
      </w:r>
      <w:r w:rsidR="00322D02">
        <w:rPr>
          <w:rFonts w:eastAsiaTheme="majorEastAsia" w:cs="Arial"/>
          <w:bCs/>
          <w:szCs w:val="20"/>
        </w:rPr>
        <w:t>,</w:t>
      </w:r>
      <w:r w:rsidRPr="00445B9C">
        <w:rPr>
          <w:rFonts w:eastAsiaTheme="majorEastAsia" w:cs="Arial"/>
          <w:bCs/>
          <w:szCs w:val="20"/>
        </w:rPr>
        <w:t xml:space="preserve"> ali, kadar to zahtevajo predpisi, v strojno berljivem formatu, kakor je opredeljen v 4. točki 2. člena Uredbe 2023/2859/EU;</w:t>
      </w:r>
      <w:r w:rsidR="00483913">
        <w:rPr>
          <w:rFonts w:eastAsiaTheme="majorEastAsia" w:cs="Arial"/>
          <w:bCs/>
          <w:szCs w:val="20"/>
        </w:rPr>
        <w:t xml:space="preserve"> </w:t>
      </w:r>
    </w:p>
    <w:p w:rsidR="00AE52A2" w:rsidRPr="00445B9C" w:rsidRDefault="00AE52A2" w:rsidP="00BA786D">
      <w:pPr>
        <w:spacing w:before="240" w:after="240" w:line="259" w:lineRule="auto"/>
        <w:ind w:firstLine="1021"/>
        <w:jc w:val="both"/>
        <w:outlineLvl w:val="0"/>
        <w:rPr>
          <w:rFonts w:eastAsiaTheme="majorEastAsia" w:cs="Arial"/>
          <w:bCs/>
          <w:szCs w:val="20"/>
        </w:rPr>
      </w:pPr>
      <w:r w:rsidRPr="00445B9C">
        <w:rPr>
          <w:rFonts w:eastAsiaTheme="majorEastAsia" w:cs="Arial"/>
          <w:bCs/>
          <w:szCs w:val="20"/>
        </w:rPr>
        <w:t>2.</w:t>
      </w:r>
      <w:r w:rsidRPr="00445B9C">
        <w:rPr>
          <w:rFonts w:eastAsiaTheme="majorEastAsia" w:cs="Arial"/>
          <w:bCs/>
          <w:szCs w:val="20"/>
        </w:rPr>
        <w:tab/>
        <w:t>vsebujejo naslednje metapodatke:</w:t>
      </w:r>
    </w:p>
    <w:p w:rsidR="00AE52A2" w:rsidRPr="00445B9C" w:rsidRDefault="00322D02" w:rsidP="00BA786D">
      <w:pPr>
        <w:spacing w:before="240" w:after="240" w:line="259" w:lineRule="auto"/>
        <w:ind w:firstLine="1021"/>
        <w:jc w:val="both"/>
        <w:outlineLvl w:val="0"/>
        <w:rPr>
          <w:rFonts w:eastAsiaTheme="majorEastAsia" w:cs="Arial"/>
          <w:bCs/>
          <w:szCs w:val="20"/>
        </w:rPr>
      </w:pPr>
      <w:r>
        <w:rPr>
          <w:rFonts w:eastAsiaTheme="majorEastAsia" w:cs="Arial"/>
          <w:bCs/>
          <w:szCs w:val="20"/>
        </w:rPr>
        <w:t>–</w:t>
      </w:r>
      <w:r w:rsidR="00AE52A2" w:rsidRPr="00445B9C">
        <w:rPr>
          <w:rFonts w:eastAsiaTheme="majorEastAsia" w:cs="Arial"/>
          <w:bCs/>
          <w:szCs w:val="20"/>
        </w:rPr>
        <w:tab/>
        <w:t>vsa imena družbe</w:t>
      </w:r>
      <w:r w:rsidR="000F68AF" w:rsidRPr="00445B9C">
        <w:rPr>
          <w:rFonts w:eastAsiaTheme="majorEastAsia" w:cs="Arial"/>
          <w:bCs/>
          <w:szCs w:val="20"/>
        </w:rPr>
        <w:t>,</w:t>
      </w:r>
      <w:r w:rsidR="00AE52A2" w:rsidRPr="00445B9C">
        <w:rPr>
          <w:rFonts w:eastAsiaTheme="majorEastAsia" w:cs="Arial"/>
          <w:bCs/>
          <w:szCs w:val="20"/>
        </w:rPr>
        <w:t xml:space="preserve"> na katero se informacije nanašajo;</w:t>
      </w:r>
    </w:p>
    <w:p w:rsidR="00AE52A2" w:rsidRPr="00445B9C" w:rsidRDefault="00322D02" w:rsidP="00BA786D">
      <w:pPr>
        <w:spacing w:before="240" w:after="240" w:line="259" w:lineRule="auto"/>
        <w:ind w:firstLine="1021"/>
        <w:jc w:val="both"/>
        <w:outlineLvl w:val="0"/>
        <w:rPr>
          <w:rFonts w:eastAsiaTheme="majorEastAsia" w:cs="Arial"/>
          <w:bCs/>
          <w:szCs w:val="20"/>
        </w:rPr>
      </w:pPr>
      <w:r>
        <w:rPr>
          <w:rFonts w:eastAsiaTheme="majorEastAsia" w:cs="Arial"/>
          <w:bCs/>
          <w:szCs w:val="20"/>
        </w:rPr>
        <w:t>–</w:t>
      </w:r>
      <w:r w:rsidR="00AE52A2" w:rsidRPr="00445B9C">
        <w:rPr>
          <w:rFonts w:eastAsiaTheme="majorEastAsia" w:cs="Arial"/>
          <w:bCs/>
          <w:szCs w:val="20"/>
        </w:rPr>
        <w:tab/>
        <w:t>enolično mednarodno identifikacijsko številko (LEI</w:t>
      </w:r>
      <w:r>
        <w:rPr>
          <w:rFonts w:eastAsiaTheme="majorEastAsia" w:cs="Arial"/>
          <w:bCs/>
          <w:szCs w:val="20"/>
        </w:rPr>
        <w:t>-</w:t>
      </w:r>
      <w:r w:rsidR="00AE52A2" w:rsidRPr="00445B9C">
        <w:rPr>
          <w:rFonts w:eastAsiaTheme="majorEastAsia" w:cs="Arial"/>
          <w:bCs/>
          <w:szCs w:val="20"/>
        </w:rPr>
        <w:t>koda) družbe, kot je določena na podlagi b) točke četrtega odstavka 7. člena Uredbe 2023/2859/EU;</w:t>
      </w:r>
    </w:p>
    <w:p w:rsidR="00AE52A2" w:rsidRPr="00445B9C" w:rsidRDefault="00322D02" w:rsidP="00BA786D">
      <w:pPr>
        <w:spacing w:before="240" w:after="240" w:line="259" w:lineRule="auto"/>
        <w:ind w:firstLine="1021"/>
        <w:jc w:val="both"/>
        <w:outlineLvl w:val="0"/>
        <w:rPr>
          <w:rFonts w:eastAsiaTheme="majorEastAsia" w:cs="Arial"/>
          <w:bCs/>
          <w:szCs w:val="20"/>
        </w:rPr>
      </w:pPr>
      <w:r>
        <w:rPr>
          <w:rFonts w:eastAsiaTheme="majorEastAsia" w:cs="Arial"/>
          <w:bCs/>
          <w:szCs w:val="20"/>
        </w:rPr>
        <w:t>–</w:t>
      </w:r>
      <w:r w:rsidR="00AE52A2" w:rsidRPr="00445B9C">
        <w:rPr>
          <w:rFonts w:eastAsiaTheme="majorEastAsia" w:cs="Arial"/>
          <w:bCs/>
          <w:szCs w:val="20"/>
        </w:rPr>
        <w:tab/>
        <w:t>velikost družbe po kategorijah, kot so določene na podlagi d) točke četrtega odstavka 7. člena Uredbe 2023/2859/EU;</w:t>
      </w:r>
    </w:p>
    <w:p w:rsidR="00AE52A2" w:rsidRPr="00445B9C" w:rsidRDefault="00322D02" w:rsidP="00BA786D">
      <w:pPr>
        <w:spacing w:before="240" w:after="240" w:line="259" w:lineRule="auto"/>
        <w:ind w:firstLine="1021"/>
        <w:jc w:val="both"/>
        <w:outlineLvl w:val="0"/>
        <w:rPr>
          <w:rFonts w:eastAsiaTheme="majorEastAsia" w:cs="Arial"/>
          <w:bCs/>
          <w:szCs w:val="20"/>
        </w:rPr>
      </w:pPr>
      <w:r>
        <w:rPr>
          <w:rFonts w:eastAsiaTheme="majorEastAsia" w:cs="Arial"/>
          <w:bCs/>
          <w:szCs w:val="20"/>
        </w:rPr>
        <w:t>–</w:t>
      </w:r>
      <w:r w:rsidR="00AE52A2" w:rsidRPr="00445B9C">
        <w:rPr>
          <w:rFonts w:eastAsiaTheme="majorEastAsia" w:cs="Arial"/>
          <w:bCs/>
          <w:szCs w:val="20"/>
        </w:rPr>
        <w:tab/>
        <w:t>vrst</w:t>
      </w:r>
      <w:r w:rsidR="00CD0B50" w:rsidRPr="00445B9C">
        <w:rPr>
          <w:rFonts w:eastAsiaTheme="majorEastAsia" w:cs="Arial"/>
          <w:bCs/>
          <w:szCs w:val="20"/>
        </w:rPr>
        <w:t>o</w:t>
      </w:r>
      <w:r w:rsidR="00AE52A2" w:rsidRPr="00445B9C">
        <w:rPr>
          <w:rFonts w:eastAsiaTheme="majorEastAsia" w:cs="Arial"/>
          <w:bCs/>
          <w:szCs w:val="20"/>
        </w:rPr>
        <w:t xml:space="preserve"> informacij glede na razvrstitev na podlagi c) točke četrtega odstavka 7. člena Uredbe 2023/2859/EU; </w:t>
      </w:r>
    </w:p>
    <w:p w:rsidR="00AE52A2" w:rsidRPr="00445B9C" w:rsidRDefault="00322D02" w:rsidP="00BA786D">
      <w:pPr>
        <w:spacing w:before="240" w:after="240" w:line="259" w:lineRule="auto"/>
        <w:ind w:firstLine="1021"/>
        <w:jc w:val="both"/>
        <w:outlineLvl w:val="0"/>
        <w:rPr>
          <w:rFonts w:eastAsiaTheme="majorEastAsia" w:cs="Arial"/>
          <w:bCs/>
          <w:szCs w:val="20"/>
        </w:rPr>
      </w:pPr>
      <w:r>
        <w:rPr>
          <w:rFonts w:eastAsiaTheme="majorEastAsia" w:cs="Arial"/>
          <w:bCs/>
          <w:szCs w:val="20"/>
        </w:rPr>
        <w:t>–</w:t>
      </w:r>
      <w:r w:rsidR="00AE52A2" w:rsidRPr="00445B9C">
        <w:rPr>
          <w:rFonts w:eastAsiaTheme="majorEastAsia" w:cs="Arial"/>
          <w:bCs/>
          <w:szCs w:val="20"/>
        </w:rPr>
        <w:tab/>
        <w:t>oznak</w:t>
      </w:r>
      <w:r w:rsidR="00CD0B50" w:rsidRPr="00445B9C">
        <w:rPr>
          <w:rFonts w:eastAsiaTheme="majorEastAsia" w:cs="Arial"/>
          <w:bCs/>
          <w:szCs w:val="20"/>
        </w:rPr>
        <w:t>o</w:t>
      </w:r>
      <w:r w:rsidR="00AE52A2" w:rsidRPr="00445B9C">
        <w:rPr>
          <w:rFonts w:eastAsiaTheme="majorEastAsia" w:cs="Arial"/>
          <w:bCs/>
          <w:szCs w:val="20"/>
        </w:rPr>
        <w:t>, ali informacije vsebujejo osebne podatke.</w:t>
      </w:r>
    </w:p>
    <w:p w:rsidR="00AE52A2" w:rsidRPr="00445B9C" w:rsidRDefault="00AE52A2" w:rsidP="00BA786D">
      <w:pPr>
        <w:spacing w:before="240" w:after="240" w:line="259" w:lineRule="auto"/>
        <w:ind w:firstLine="1021"/>
        <w:jc w:val="both"/>
        <w:outlineLvl w:val="0"/>
        <w:rPr>
          <w:rFonts w:eastAsiaTheme="majorEastAsia" w:cs="Arial"/>
          <w:bCs/>
          <w:szCs w:val="20"/>
        </w:rPr>
      </w:pPr>
      <w:r w:rsidRPr="00445B9C">
        <w:rPr>
          <w:rFonts w:eastAsiaTheme="majorEastAsia" w:cs="Arial"/>
          <w:bCs/>
          <w:szCs w:val="20"/>
        </w:rPr>
        <w:t xml:space="preserve">(3) Družbe, ki poročajo </w:t>
      </w:r>
      <w:r w:rsidR="00322D02">
        <w:rPr>
          <w:rFonts w:eastAsiaTheme="majorEastAsia" w:cs="Arial"/>
          <w:bCs/>
          <w:szCs w:val="20"/>
        </w:rPr>
        <w:t xml:space="preserve">v </w:t>
      </w:r>
      <w:r w:rsidRPr="00445B9C">
        <w:rPr>
          <w:rFonts w:eastAsiaTheme="majorEastAsia" w:cs="Arial"/>
          <w:bCs/>
          <w:szCs w:val="20"/>
        </w:rPr>
        <w:t>sklad</w:t>
      </w:r>
      <w:r w:rsidR="00322D02">
        <w:rPr>
          <w:rFonts w:eastAsiaTheme="majorEastAsia" w:cs="Arial"/>
          <w:bCs/>
          <w:szCs w:val="20"/>
        </w:rPr>
        <w:t>u</w:t>
      </w:r>
      <w:r w:rsidRPr="00445B9C">
        <w:rPr>
          <w:rFonts w:eastAsiaTheme="majorEastAsia" w:cs="Arial"/>
          <w:bCs/>
          <w:szCs w:val="20"/>
        </w:rPr>
        <w:t xml:space="preserve"> </w:t>
      </w:r>
      <w:r w:rsidR="000F68AF" w:rsidRPr="00445B9C">
        <w:rPr>
          <w:rFonts w:eastAsiaTheme="majorEastAsia" w:cs="Arial"/>
          <w:bCs/>
          <w:szCs w:val="20"/>
        </w:rPr>
        <w:t xml:space="preserve">s </w:t>
      </w:r>
      <w:r w:rsidRPr="00445B9C">
        <w:rPr>
          <w:rFonts w:eastAsiaTheme="majorEastAsia" w:cs="Arial"/>
          <w:bCs/>
          <w:szCs w:val="20"/>
        </w:rPr>
        <w:t>prv</w:t>
      </w:r>
      <w:r w:rsidR="000F68AF" w:rsidRPr="00445B9C">
        <w:rPr>
          <w:rFonts w:eastAsiaTheme="majorEastAsia" w:cs="Arial"/>
          <w:bCs/>
          <w:szCs w:val="20"/>
        </w:rPr>
        <w:t>im</w:t>
      </w:r>
      <w:r w:rsidRPr="00445B9C">
        <w:rPr>
          <w:rFonts w:eastAsiaTheme="majorEastAsia" w:cs="Arial"/>
          <w:bCs/>
          <w:szCs w:val="20"/>
        </w:rPr>
        <w:t xml:space="preserve"> odstavk</w:t>
      </w:r>
      <w:r w:rsidR="000F68AF" w:rsidRPr="00445B9C">
        <w:rPr>
          <w:rFonts w:eastAsiaTheme="majorEastAsia" w:cs="Arial"/>
          <w:bCs/>
          <w:szCs w:val="20"/>
        </w:rPr>
        <w:t>om</w:t>
      </w:r>
      <w:r w:rsidRPr="00445B9C">
        <w:rPr>
          <w:rFonts w:eastAsiaTheme="majorEastAsia" w:cs="Arial"/>
          <w:bCs/>
          <w:szCs w:val="20"/>
        </w:rPr>
        <w:t xml:space="preserve"> tega člena, imajo enolično mednarodno identifikacijsko številko (LEI</w:t>
      </w:r>
      <w:r w:rsidR="00322D02">
        <w:rPr>
          <w:rFonts w:eastAsiaTheme="majorEastAsia" w:cs="Arial"/>
          <w:bCs/>
          <w:szCs w:val="20"/>
        </w:rPr>
        <w:t>-</w:t>
      </w:r>
      <w:r w:rsidRPr="00445B9C">
        <w:rPr>
          <w:rFonts w:eastAsiaTheme="majorEastAsia" w:cs="Arial"/>
          <w:bCs/>
          <w:szCs w:val="20"/>
        </w:rPr>
        <w:t>koda), k</w:t>
      </w:r>
      <w:r w:rsidR="00322D02">
        <w:rPr>
          <w:rFonts w:eastAsiaTheme="majorEastAsia" w:cs="Arial"/>
          <w:bCs/>
          <w:szCs w:val="20"/>
        </w:rPr>
        <w:t>akor</w:t>
      </w:r>
      <w:r w:rsidRPr="00445B9C">
        <w:rPr>
          <w:rFonts w:eastAsiaTheme="majorEastAsia" w:cs="Arial"/>
          <w:bCs/>
          <w:szCs w:val="20"/>
        </w:rPr>
        <w:t xml:space="preserve"> je določena na podlagi b) točke četrtega odstavka 7. člena Uredbe 2023/2859/EU. </w:t>
      </w:r>
    </w:p>
    <w:p w:rsidR="00AE52A2" w:rsidRPr="00445B9C" w:rsidRDefault="00AE52A2" w:rsidP="00BA786D">
      <w:pPr>
        <w:spacing w:before="240" w:after="240" w:line="259" w:lineRule="auto"/>
        <w:ind w:firstLine="1021"/>
        <w:jc w:val="both"/>
        <w:outlineLvl w:val="0"/>
        <w:rPr>
          <w:rFonts w:eastAsiaTheme="majorEastAsia" w:cs="Arial"/>
          <w:bCs/>
          <w:szCs w:val="20"/>
        </w:rPr>
      </w:pPr>
      <w:r w:rsidRPr="00445B9C">
        <w:rPr>
          <w:rFonts w:eastAsiaTheme="majorEastAsia" w:cs="Arial"/>
          <w:bCs/>
          <w:szCs w:val="20"/>
        </w:rPr>
        <w:t xml:space="preserve">(4) Agencija zagotovi, da so informacije, ki jih objavi </w:t>
      </w:r>
      <w:r w:rsidR="00D85249">
        <w:rPr>
          <w:rFonts w:eastAsiaTheme="majorEastAsia" w:cs="Arial"/>
          <w:bCs/>
          <w:szCs w:val="20"/>
        </w:rPr>
        <w:t xml:space="preserve">v </w:t>
      </w:r>
      <w:r w:rsidRPr="00445B9C">
        <w:rPr>
          <w:rFonts w:eastAsiaTheme="majorEastAsia" w:cs="Arial"/>
          <w:bCs/>
          <w:szCs w:val="20"/>
        </w:rPr>
        <w:t>sklad</w:t>
      </w:r>
      <w:r w:rsidR="00D85249">
        <w:rPr>
          <w:rFonts w:eastAsiaTheme="majorEastAsia" w:cs="Arial"/>
          <w:bCs/>
          <w:szCs w:val="20"/>
        </w:rPr>
        <w:t>u</w:t>
      </w:r>
      <w:r w:rsidRPr="00445B9C">
        <w:rPr>
          <w:rFonts w:eastAsiaTheme="majorEastAsia" w:cs="Arial"/>
          <w:bCs/>
          <w:szCs w:val="20"/>
        </w:rPr>
        <w:t xml:space="preserve"> </w:t>
      </w:r>
      <w:r w:rsidR="00345912" w:rsidRPr="00445B9C">
        <w:rPr>
          <w:rFonts w:eastAsiaTheme="majorEastAsia" w:cs="Arial"/>
          <w:bCs/>
          <w:szCs w:val="20"/>
        </w:rPr>
        <w:t>s</w:t>
      </w:r>
      <w:r w:rsidRPr="00445B9C">
        <w:rPr>
          <w:rFonts w:eastAsiaTheme="majorEastAsia" w:cs="Arial"/>
          <w:bCs/>
          <w:szCs w:val="20"/>
        </w:rPr>
        <w:t xml:space="preserve"> šest</w:t>
      </w:r>
      <w:r w:rsidR="00345912" w:rsidRPr="00445B9C">
        <w:rPr>
          <w:rFonts w:eastAsiaTheme="majorEastAsia" w:cs="Arial"/>
          <w:bCs/>
          <w:szCs w:val="20"/>
        </w:rPr>
        <w:t>im</w:t>
      </w:r>
      <w:r w:rsidRPr="00445B9C">
        <w:rPr>
          <w:rFonts w:eastAsiaTheme="majorEastAsia" w:cs="Arial"/>
          <w:bCs/>
          <w:szCs w:val="20"/>
        </w:rPr>
        <w:t xml:space="preserve"> odstavk</w:t>
      </w:r>
      <w:r w:rsidR="00345912" w:rsidRPr="00445B9C">
        <w:rPr>
          <w:rFonts w:eastAsiaTheme="majorEastAsia" w:cs="Arial"/>
          <w:bCs/>
          <w:szCs w:val="20"/>
        </w:rPr>
        <w:t>om</w:t>
      </w:r>
      <w:r w:rsidRPr="00445B9C">
        <w:rPr>
          <w:rFonts w:eastAsiaTheme="majorEastAsia" w:cs="Arial"/>
          <w:bCs/>
          <w:szCs w:val="20"/>
        </w:rPr>
        <w:t xml:space="preserve"> 322.</w:t>
      </w:r>
      <w:r w:rsidR="003468C1" w:rsidRPr="00445B9C">
        <w:rPr>
          <w:rFonts w:eastAsiaTheme="majorEastAsia" w:cs="Arial"/>
          <w:bCs/>
          <w:szCs w:val="20"/>
        </w:rPr>
        <w:t xml:space="preserve"> člena</w:t>
      </w:r>
      <w:r w:rsidRPr="00445B9C">
        <w:rPr>
          <w:rFonts w:eastAsiaTheme="majorEastAsia" w:cs="Arial"/>
          <w:bCs/>
          <w:szCs w:val="20"/>
        </w:rPr>
        <w:t xml:space="preserve">, 357. </w:t>
      </w:r>
      <w:r w:rsidR="003468C1" w:rsidRPr="00445B9C">
        <w:rPr>
          <w:rFonts w:eastAsiaTheme="majorEastAsia" w:cs="Arial"/>
          <w:bCs/>
          <w:szCs w:val="20"/>
        </w:rPr>
        <w:t>člen</w:t>
      </w:r>
      <w:r w:rsidR="00345912" w:rsidRPr="00445B9C">
        <w:rPr>
          <w:rFonts w:eastAsiaTheme="majorEastAsia" w:cs="Arial"/>
          <w:bCs/>
          <w:szCs w:val="20"/>
        </w:rPr>
        <w:t>om</w:t>
      </w:r>
      <w:r w:rsidR="003468C1" w:rsidRPr="00445B9C">
        <w:rPr>
          <w:rFonts w:eastAsiaTheme="majorEastAsia" w:cs="Arial"/>
          <w:bCs/>
          <w:szCs w:val="20"/>
        </w:rPr>
        <w:t xml:space="preserve"> </w:t>
      </w:r>
      <w:r w:rsidRPr="00445B9C">
        <w:rPr>
          <w:rFonts w:eastAsiaTheme="majorEastAsia" w:cs="Arial"/>
          <w:bCs/>
          <w:szCs w:val="20"/>
        </w:rPr>
        <w:t>in pet</w:t>
      </w:r>
      <w:r w:rsidR="00345912" w:rsidRPr="00445B9C">
        <w:rPr>
          <w:rFonts w:eastAsiaTheme="majorEastAsia" w:cs="Arial"/>
          <w:bCs/>
          <w:szCs w:val="20"/>
        </w:rPr>
        <w:t>im</w:t>
      </w:r>
      <w:r w:rsidRPr="00445B9C">
        <w:rPr>
          <w:rFonts w:eastAsiaTheme="majorEastAsia" w:cs="Arial"/>
          <w:bCs/>
          <w:szCs w:val="20"/>
        </w:rPr>
        <w:t xml:space="preserve"> odstavk</w:t>
      </w:r>
      <w:r w:rsidR="00345912" w:rsidRPr="00445B9C">
        <w:rPr>
          <w:rFonts w:eastAsiaTheme="majorEastAsia" w:cs="Arial"/>
          <w:bCs/>
          <w:szCs w:val="20"/>
        </w:rPr>
        <w:t>om</w:t>
      </w:r>
      <w:r w:rsidRPr="00445B9C">
        <w:rPr>
          <w:rFonts w:eastAsiaTheme="majorEastAsia" w:cs="Arial"/>
          <w:bCs/>
          <w:szCs w:val="20"/>
        </w:rPr>
        <w:t xml:space="preserve"> 422. člena tega zakona, dostopne v evropski enotni točki dostopa, vzpostavljeni na podlagi </w:t>
      </w:r>
      <w:r w:rsidR="005F4BFC" w:rsidRPr="00445B9C">
        <w:rPr>
          <w:rFonts w:eastAsiaTheme="majorEastAsia" w:cs="Arial"/>
          <w:bCs/>
          <w:szCs w:val="20"/>
        </w:rPr>
        <w:t xml:space="preserve">prvega odstavka 1. člena </w:t>
      </w:r>
      <w:r w:rsidRPr="00445B9C">
        <w:rPr>
          <w:rFonts w:eastAsiaTheme="majorEastAsia" w:cs="Arial"/>
          <w:bCs/>
          <w:szCs w:val="20"/>
        </w:rPr>
        <w:t>Uredbe 2023/2859/EU.</w:t>
      </w:r>
    </w:p>
    <w:p w:rsidR="00AE52A2" w:rsidRPr="00445B9C" w:rsidRDefault="00AE52A2" w:rsidP="00BA786D">
      <w:pPr>
        <w:spacing w:before="240" w:after="240" w:line="259" w:lineRule="auto"/>
        <w:ind w:firstLine="1021"/>
        <w:jc w:val="both"/>
        <w:outlineLvl w:val="0"/>
        <w:rPr>
          <w:rFonts w:eastAsiaTheme="majorEastAsia" w:cs="Arial"/>
          <w:bCs/>
          <w:szCs w:val="20"/>
        </w:rPr>
      </w:pPr>
      <w:r w:rsidRPr="00445B9C">
        <w:rPr>
          <w:rFonts w:eastAsiaTheme="majorEastAsia" w:cs="Arial"/>
          <w:bCs/>
          <w:szCs w:val="20"/>
        </w:rPr>
        <w:t>(5) Informacije iz prejšnjega odstavka so skladne z naslednjimi zahtevami:</w:t>
      </w:r>
    </w:p>
    <w:p w:rsidR="00AE52A2" w:rsidRPr="00445B9C" w:rsidRDefault="00AE52A2" w:rsidP="00BA786D">
      <w:pPr>
        <w:spacing w:before="240" w:after="240" w:line="259" w:lineRule="auto"/>
        <w:ind w:firstLine="1021"/>
        <w:jc w:val="both"/>
        <w:outlineLvl w:val="0"/>
        <w:rPr>
          <w:rFonts w:eastAsiaTheme="majorEastAsia" w:cs="Arial"/>
          <w:bCs/>
          <w:szCs w:val="20"/>
        </w:rPr>
      </w:pPr>
      <w:r w:rsidRPr="00445B9C">
        <w:rPr>
          <w:rFonts w:eastAsiaTheme="majorEastAsia" w:cs="Arial"/>
          <w:bCs/>
          <w:szCs w:val="20"/>
        </w:rPr>
        <w:t xml:space="preserve">1. predložene </w:t>
      </w:r>
      <w:r w:rsidR="00D85249" w:rsidRPr="00445B9C">
        <w:rPr>
          <w:rFonts w:eastAsiaTheme="majorEastAsia" w:cs="Arial"/>
          <w:bCs/>
          <w:szCs w:val="20"/>
        </w:rPr>
        <w:t xml:space="preserve">so </w:t>
      </w:r>
      <w:r w:rsidRPr="00445B9C">
        <w:rPr>
          <w:rFonts w:eastAsiaTheme="majorEastAsia" w:cs="Arial"/>
          <w:bCs/>
          <w:szCs w:val="20"/>
        </w:rPr>
        <w:t>v formatu, ki omogoča izvoz podatkov, kakor je opredeljen v 3. točki 2. člena Uredbe 2023/2859/EU;</w:t>
      </w:r>
    </w:p>
    <w:p w:rsidR="00AE52A2" w:rsidRPr="00445B9C" w:rsidRDefault="00AE52A2" w:rsidP="00BA786D">
      <w:pPr>
        <w:spacing w:before="240" w:after="240" w:line="259" w:lineRule="auto"/>
        <w:ind w:firstLine="1021"/>
        <w:jc w:val="both"/>
        <w:outlineLvl w:val="0"/>
        <w:rPr>
          <w:rFonts w:eastAsiaTheme="majorEastAsia" w:cs="Arial"/>
          <w:bCs/>
          <w:szCs w:val="20"/>
        </w:rPr>
      </w:pPr>
      <w:r w:rsidRPr="00445B9C">
        <w:rPr>
          <w:rFonts w:eastAsiaTheme="majorEastAsia" w:cs="Arial"/>
          <w:bCs/>
          <w:szCs w:val="20"/>
        </w:rPr>
        <w:t>2.</w:t>
      </w:r>
      <w:r w:rsidRPr="00445B9C">
        <w:rPr>
          <w:rFonts w:eastAsiaTheme="majorEastAsia" w:cs="Arial"/>
          <w:bCs/>
          <w:szCs w:val="20"/>
        </w:rPr>
        <w:tab/>
        <w:t>vsebujejo naslednje metapodatke:</w:t>
      </w:r>
      <w:r w:rsidR="00D85249">
        <w:rPr>
          <w:rFonts w:eastAsiaTheme="majorEastAsia" w:cs="Arial"/>
          <w:bCs/>
          <w:szCs w:val="20"/>
        </w:rPr>
        <w:t xml:space="preserve"> </w:t>
      </w:r>
    </w:p>
    <w:p w:rsidR="00AE52A2" w:rsidRPr="00445B9C" w:rsidRDefault="00D85249" w:rsidP="00BA786D">
      <w:pPr>
        <w:spacing w:before="240" w:after="240" w:line="259" w:lineRule="auto"/>
        <w:ind w:firstLine="1021"/>
        <w:jc w:val="both"/>
        <w:outlineLvl w:val="0"/>
        <w:rPr>
          <w:rFonts w:eastAsiaTheme="majorEastAsia" w:cs="Arial"/>
          <w:bCs/>
          <w:szCs w:val="20"/>
        </w:rPr>
      </w:pPr>
      <w:r>
        <w:rPr>
          <w:rFonts w:eastAsiaTheme="majorEastAsia" w:cs="Arial"/>
          <w:bCs/>
          <w:szCs w:val="20"/>
        </w:rPr>
        <w:t>–</w:t>
      </w:r>
      <w:r w:rsidR="00AE52A2" w:rsidRPr="00445B9C">
        <w:rPr>
          <w:rFonts w:eastAsiaTheme="majorEastAsia" w:cs="Arial"/>
          <w:bCs/>
          <w:szCs w:val="20"/>
        </w:rPr>
        <w:tab/>
        <w:t>vsa imena družbe</w:t>
      </w:r>
      <w:r w:rsidR="00345912" w:rsidRPr="00445B9C">
        <w:rPr>
          <w:rFonts w:eastAsiaTheme="majorEastAsia" w:cs="Arial"/>
          <w:bCs/>
          <w:szCs w:val="20"/>
        </w:rPr>
        <w:t>,</w:t>
      </w:r>
      <w:r w:rsidR="00AE52A2" w:rsidRPr="00445B9C">
        <w:rPr>
          <w:rFonts w:eastAsiaTheme="majorEastAsia" w:cs="Arial"/>
          <w:bCs/>
          <w:szCs w:val="20"/>
        </w:rPr>
        <w:t xml:space="preserve"> na katero se informacije nanašajo;</w:t>
      </w:r>
    </w:p>
    <w:p w:rsidR="00AE52A2" w:rsidRPr="00445B9C" w:rsidRDefault="00D85249" w:rsidP="00BA786D">
      <w:pPr>
        <w:spacing w:before="240" w:after="240" w:line="259" w:lineRule="auto"/>
        <w:ind w:firstLine="1021"/>
        <w:jc w:val="both"/>
        <w:outlineLvl w:val="0"/>
        <w:rPr>
          <w:rFonts w:eastAsiaTheme="majorEastAsia" w:cs="Arial"/>
          <w:bCs/>
          <w:szCs w:val="20"/>
        </w:rPr>
      </w:pPr>
      <w:r>
        <w:rPr>
          <w:rFonts w:eastAsiaTheme="majorEastAsia" w:cs="Arial"/>
          <w:bCs/>
          <w:szCs w:val="20"/>
        </w:rPr>
        <w:t>–</w:t>
      </w:r>
      <w:r w:rsidR="00AE52A2" w:rsidRPr="00445B9C">
        <w:rPr>
          <w:rFonts w:eastAsiaTheme="majorEastAsia" w:cs="Arial"/>
          <w:bCs/>
          <w:szCs w:val="20"/>
        </w:rPr>
        <w:tab/>
        <w:t>če obstaja, enolično mednarodno identifikacijsko številko (LEI</w:t>
      </w:r>
      <w:r>
        <w:rPr>
          <w:rFonts w:eastAsiaTheme="majorEastAsia" w:cs="Arial"/>
          <w:bCs/>
          <w:szCs w:val="20"/>
        </w:rPr>
        <w:t>-</w:t>
      </w:r>
      <w:r w:rsidR="00AE52A2" w:rsidRPr="00445B9C">
        <w:rPr>
          <w:rFonts w:eastAsiaTheme="majorEastAsia" w:cs="Arial"/>
          <w:bCs/>
          <w:szCs w:val="20"/>
        </w:rPr>
        <w:t>koda) družbe, k</w:t>
      </w:r>
      <w:r>
        <w:rPr>
          <w:rFonts w:eastAsiaTheme="majorEastAsia" w:cs="Arial"/>
          <w:bCs/>
          <w:szCs w:val="20"/>
        </w:rPr>
        <w:t>akor</w:t>
      </w:r>
      <w:r w:rsidR="00AE52A2" w:rsidRPr="00445B9C">
        <w:rPr>
          <w:rFonts w:eastAsiaTheme="majorEastAsia" w:cs="Arial"/>
          <w:bCs/>
          <w:szCs w:val="20"/>
        </w:rPr>
        <w:t xml:space="preserve"> je določena na podlagi b) točke četrtega odstavka 7. člena Uredbe 2023/2859/EU;</w:t>
      </w:r>
    </w:p>
    <w:p w:rsidR="00AE52A2" w:rsidRPr="00445B9C" w:rsidRDefault="00D85249" w:rsidP="00BA786D">
      <w:pPr>
        <w:spacing w:before="240" w:after="240" w:line="259" w:lineRule="auto"/>
        <w:ind w:firstLine="1021"/>
        <w:jc w:val="both"/>
        <w:outlineLvl w:val="0"/>
        <w:rPr>
          <w:rFonts w:eastAsiaTheme="majorEastAsia" w:cs="Arial"/>
          <w:bCs/>
          <w:szCs w:val="20"/>
        </w:rPr>
      </w:pPr>
      <w:r>
        <w:rPr>
          <w:rFonts w:eastAsiaTheme="majorEastAsia" w:cs="Arial"/>
          <w:bCs/>
          <w:szCs w:val="20"/>
        </w:rPr>
        <w:t>–</w:t>
      </w:r>
      <w:r w:rsidR="00AE52A2" w:rsidRPr="00445B9C">
        <w:rPr>
          <w:rFonts w:eastAsiaTheme="majorEastAsia" w:cs="Arial"/>
          <w:bCs/>
          <w:szCs w:val="20"/>
        </w:rPr>
        <w:tab/>
        <w:t>vrst</w:t>
      </w:r>
      <w:r w:rsidR="00A2403E" w:rsidRPr="00445B9C">
        <w:rPr>
          <w:rFonts w:eastAsiaTheme="majorEastAsia" w:cs="Arial"/>
          <w:bCs/>
          <w:szCs w:val="20"/>
        </w:rPr>
        <w:t>o</w:t>
      </w:r>
      <w:r w:rsidR="00AE52A2" w:rsidRPr="00445B9C">
        <w:rPr>
          <w:rFonts w:eastAsiaTheme="majorEastAsia" w:cs="Arial"/>
          <w:bCs/>
          <w:szCs w:val="20"/>
        </w:rPr>
        <w:t xml:space="preserve"> informacij glede na razvrstitev na podlagi c) točke četrtega odstavka 7. člena Uredbe 2023/2859/EU; </w:t>
      </w:r>
    </w:p>
    <w:p w:rsidR="00AE52A2" w:rsidRPr="00445B9C" w:rsidRDefault="00D85249" w:rsidP="00BA786D">
      <w:pPr>
        <w:spacing w:before="240" w:after="240" w:line="259" w:lineRule="auto"/>
        <w:ind w:firstLine="1021"/>
        <w:jc w:val="both"/>
        <w:outlineLvl w:val="0"/>
        <w:rPr>
          <w:rFonts w:eastAsiaTheme="majorEastAsia" w:cs="Arial"/>
          <w:bCs/>
          <w:szCs w:val="20"/>
        </w:rPr>
      </w:pPr>
      <w:r>
        <w:rPr>
          <w:rFonts w:eastAsiaTheme="majorEastAsia" w:cs="Arial"/>
          <w:bCs/>
          <w:szCs w:val="20"/>
        </w:rPr>
        <w:lastRenderedPageBreak/>
        <w:t>–</w:t>
      </w:r>
      <w:r w:rsidR="00AE52A2" w:rsidRPr="00445B9C">
        <w:rPr>
          <w:rFonts w:eastAsiaTheme="majorEastAsia" w:cs="Arial"/>
          <w:bCs/>
          <w:szCs w:val="20"/>
        </w:rPr>
        <w:tab/>
        <w:t>oznak</w:t>
      </w:r>
      <w:r w:rsidR="00A2403E" w:rsidRPr="00445B9C">
        <w:rPr>
          <w:rFonts w:eastAsiaTheme="majorEastAsia" w:cs="Arial"/>
          <w:bCs/>
          <w:szCs w:val="20"/>
        </w:rPr>
        <w:t>o</w:t>
      </w:r>
      <w:r w:rsidR="00AE52A2" w:rsidRPr="00445B9C">
        <w:rPr>
          <w:rFonts w:eastAsiaTheme="majorEastAsia" w:cs="Arial"/>
          <w:bCs/>
          <w:szCs w:val="20"/>
        </w:rPr>
        <w:t>, ali informacije vsebujejo osebne podatke.</w:t>
      </w:r>
    </w:p>
    <w:p w:rsidR="00AE52A2" w:rsidRPr="00445B9C" w:rsidRDefault="00AE52A2" w:rsidP="00BA786D">
      <w:pPr>
        <w:spacing w:before="240" w:after="240" w:line="259" w:lineRule="auto"/>
        <w:ind w:firstLine="1021"/>
        <w:jc w:val="both"/>
        <w:outlineLvl w:val="0"/>
        <w:rPr>
          <w:rFonts w:eastAsiaTheme="majorEastAsia" w:cs="Arial"/>
          <w:bCs/>
          <w:szCs w:val="20"/>
        </w:rPr>
      </w:pPr>
      <w:r w:rsidRPr="00445B9C">
        <w:rPr>
          <w:rFonts w:eastAsiaTheme="majorEastAsia" w:cs="Arial"/>
          <w:bCs/>
          <w:szCs w:val="20"/>
        </w:rPr>
        <w:t xml:space="preserve">(6) Informacije, ki jih </w:t>
      </w:r>
      <w:r w:rsidR="00D85249">
        <w:rPr>
          <w:rFonts w:eastAsiaTheme="majorEastAsia" w:cs="Arial"/>
          <w:bCs/>
          <w:szCs w:val="20"/>
        </w:rPr>
        <w:t>a</w:t>
      </w:r>
      <w:r w:rsidRPr="00445B9C">
        <w:rPr>
          <w:rFonts w:eastAsiaTheme="majorEastAsia" w:cs="Arial"/>
          <w:bCs/>
          <w:szCs w:val="20"/>
        </w:rPr>
        <w:t xml:space="preserve">gencija </w:t>
      </w:r>
      <w:r w:rsidR="00D85249">
        <w:rPr>
          <w:rFonts w:eastAsiaTheme="majorEastAsia" w:cs="Arial"/>
          <w:bCs/>
          <w:szCs w:val="20"/>
        </w:rPr>
        <w:t xml:space="preserve">predloži </w:t>
      </w:r>
      <w:r w:rsidRPr="00445B9C">
        <w:rPr>
          <w:rFonts w:eastAsiaTheme="majorEastAsia" w:cs="Arial"/>
          <w:bCs/>
          <w:szCs w:val="20"/>
        </w:rPr>
        <w:t xml:space="preserve">ESMA na podlagi tretjega odstavka 197. člena in tretjega odstavka 319. člena </w:t>
      </w:r>
      <w:r w:rsidR="00345912" w:rsidRPr="00445B9C">
        <w:rPr>
          <w:rFonts w:eastAsiaTheme="majorEastAsia" w:cs="Arial"/>
          <w:bCs/>
          <w:szCs w:val="20"/>
        </w:rPr>
        <w:t xml:space="preserve">tega zakona, </w:t>
      </w:r>
      <w:r w:rsidRPr="00445B9C">
        <w:rPr>
          <w:rFonts w:eastAsiaTheme="majorEastAsia" w:cs="Arial"/>
          <w:bCs/>
          <w:szCs w:val="20"/>
        </w:rPr>
        <w:t>so skladne z zahtevami iz prejšnjega odstavka.«</w:t>
      </w:r>
      <w:r w:rsidR="007C5912" w:rsidRPr="00445B9C">
        <w:rPr>
          <w:rFonts w:eastAsiaTheme="majorEastAsia" w:cs="Arial"/>
          <w:bCs/>
          <w:szCs w:val="20"/>
        </w:rPr>
        <w:t>.</w:t>
      </w:r>
    </w:p>
    <w:p w:rsidR="00C62997" w:rsidRPr="00445B9C" w:rsidRDefault="00C62997" w:rsidP="00C62997">
      <w:pPr>
        <w:numPr>
          <w:ilvl w:val="0"/>
          <w:numId w:val="16"/>
        </w:numPr>
        <w:spacing w:before="240" w:after="240" w:line="259" w:lineRule="auto"/>
        <w:ind w:left="720"/>
        <w:jc w:val="center"/>
        <w:outlineLvl w:val="0"/>
        <w:rPr>
          <w:rFonts w:eastAsiaTheme="majorEastAsia" w:cs="Arial"/>
          <w:b/>
          <w:szCs w:val="20"/>
        </w:rPr>
      </w:pPr>
      <w:bookmarkStart w:id="45" w:name="_Ref196825809"/>
      <w:r w:rsidRPr="00445B9C">
        <w:rPr>
          <w:rFonts w:eastAsiaTheme="majorEastAsia" w:cs="Arial"/>
          <w:b/>
          <w:szCs w:val="20"/>
        </w:rPr>
        <w:t>člen</w:t>
      </w:r>
      <w:bookmarkEnd w:id="45"/>
    </w:p>
    <w:p w:rsidR="00C62997" w:rsidRPr="00445B9C" w:rsidRDefault="00C62997" w:rsidP="00C62997">
      <w:pPr>
        <w:spacing w:before="240" w:after="240" w:line="259" w:lineRule="auto"/>
        <w:jc w:val="both"/>
        <w:outlineLvl w:val="0"/>
        <w:rPr>
          <w:rFonts w:eastAsiaTheme="majorEastAsia" w:cs="Arial"/>
          <w:bCs/>
          <w:szCs w:val="20"/>
        </w:rPr>
      </w:pPr>
      <w:r w:rsidRPr="00445B9C">
        <w:rPr>
          <w:rFonts w:eastAsiaTheme="majorEastAsia" w:cs="Arial"/>
          <w:bCs/>
          <w:szCs w:val="20"/>
        </w:rPr>
        <w:t>V 358. členu se v drugem odstavku za besedo »banke« doda besedilo »in kreditne družbe«.</w:t>
      </w:r>
    </w:p>
    <w:p w:rsidR="00BC0BDF" w:rsidRPr="00445B9C" w:rsidRDefault="007C5912" w:rsidP="00F810E6">
      <w:pPr>
        <w:numPr>
          <w:ilvl w:val="0"/>
          <w:numId w:val="16"/>
        </w:numPr>
        <w:spacing w:before="240" w:after="240" w:line="259" w:lineRule="auto"/>
        <w:ind w:left="720"/>
        <w:jc w:val="center"/>
        <w:outlineLvl w:val="0"/>
        <w:rPr>
          <w:rFonts w:eastAsiaTheme="majorEastAsia" w:cs="Arial"/>
          <w:b/>
          <w:szCs w:val="20"/>
        </w:rPr>
      </w:pPr>
      <w:bookmarkStart w:id="46" w:name="_Ref196734698"/>
      <w:r w:rsidRPr="00445B9C">
        <w:rPr>
          <w:rFonts w:eastAsiaTheme="majorEastAsia" w:cs="Arial"/>
          <w:b/>
          <w:szCs w:val="20"/>
        </w:rPr>
        <w:t>člen</w:t>
      </w:r>
      <w:bookmarkEnd w:id="46"/>
    </w:p>
    <w:p w:rsidR="00BC0BDF" w:rsidRPr="00445B9C" w:rsidRDefault="00BC0BDF"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368. členu se za četrtim odstavkom doda nov</w:t>
      </w:r>
      <w:r w:rsidR="00611907" w:rsidRPr="00445B9C">
        <w:rPr>
          <w:rFonts w:eastAsiaTheme="majorEastAsia" w:cs="Arial"/>
          <w:bCs/>
          <w:szCs w:val="20"/>
        </w:rPr>
        <w:t>,</w:t>
      </w:r>
      <w:r w:rsidRPr="00445B9C">
        <w:rPr>
          <w:rFonts w:eastAsiaTheme="majorEastAsia" w:cs="Arial"/>
          <w:bCs/>
          <w:szCs w:val="20"/>
        </w:rPr>
        <w:t xml:space="preserve"> peti odstavek, ki se glasi:</w:t>
      </w:r>
    </w:p>
    <w:p w:rsidR="00BC0BDF" w:rsidRPr="00445B9C" w:rsidRDefault="00BC0BDF"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»(5) Borza informacije iz prejšnjega odstavka hkrati z objavo pošlje tudi </w:t>
      </w:r>
      <w:r w:rsidR="00BD448E" w:rsidRPr="00445B9C">
        <w:rPr>
          <w:rFonts w:eastAsiaTheme="majorEastAsia" w:cs="Arial"/>
          <w:bCs/>
          <w:szCs w:val="20"/>
        </w:rPr>
        <w:t>agenciji</w:t>
      </w:r>
      <w:r w:rsidRPr="00445B9C">
        <w:rPr>
          <w:rFonts w:eastAsiaTheme="majorEastAsia" w:cs="Arial"/>
          <w:bCs/>
          <w:szCs w:val="20"/>
        </w:rPr>
        <w:t>.«</w:t>
      </w:r>
      <w:r w:rsidR="007C5912" w:rsidRPr="00445B9C">
        <w:rPr>
          <w:rFonts w:eastAsiaTheme="majorEastAsia" w:cs="Arial"/>
          <w:bCs/>
          <w:szCs w:val="20"/>
        </w:rPr>
        <w:t>.</w:t>
      </w:r>
    </w:p>
    <w:p w:rsidR="006A2506" w:rsidRPr="00445B9C" w:rsidRDefault="007C5912" w:rsidP="00F810E6">
      <w:pPr>
        <w:numPr>
          <w:ilvl w:val="0"/>
          <w:numId w:val="16"/>
        </w:numPr>
        <w:spacing w:before="240" w:after="240" w:line="259" w:lineRule="auto"/>
        <w:ind w:left="720"/>
        <w:jc w:val="center"/>
        <w:outlineLvl w:val="0"/>
        <w:rPr>
          <w:rFonts w:eastAsiaTheme="majorEastAsia" w:cs="Arial"/>
          <w:b/>
          <w:szCs w:val="20"/>
        </w:rPr>
      </w:pPr>
      <w:bookmarkStart w:id="47" w:name="_Ref196734725"/>
      <w:r w:rsidRPr="00445B9C">
        <w:rPr>
          <w:rFonts w:eastAsiaTheme="majorEastAsia" w:cs="Arial"/>
          <w:b/>
          <w:szCs w:val="20"/>
        </w:rPr>
        <w:t>člen</w:t>
      </w:r>
      <w:bookmarkEnd w:id="47"/>
    </w:p>
    <w:p w:rsidR="00EE3BE0" w:rsidRDefault="00684A25" w:rsidP="00D605F1">
      <w:pPr>
        <w:jc w:val="both"/>
        <w:rPr>
          <w:rFonts w:eastAsiaTheme="majorEastAsia" w:cs="Arial"/>
          <w:szCs w:val="20"/>
        </w:rPr>
      </w:pPr>
      <w:r w:rsidRPr="00684A25">
        <w:rPr>
          <w:rFonts w:eastAsiaTheme="majorEastAsia" w:cs="Arial"/>
          <w:szCs w:val="20"/>
        </w:rPr>
        <w:t xml:space="preserve">V 373. členu se v prvem odstavku v 2. točki  za vejico na koncu doda besedilo »vključno z obvladovanjem tveganj na področju IKT v skladu z II. poglavjem Uredbe 2022/2554/EU,«. </w:t>
      </w:r>
    </w:p>
    <w:p w:rsidR="00684A25" w:rsidRPr="00684A25" w:rsidRDefault="00684A25" w:rsidP="00684A25">
      <w:pPr>
        <w:rPr>
          <w:rFonts w:eastAsiaTheme="majorEastAsia" w:cs="Arial"/>
          <w:szCs w:val="20"/>
        </w:rPr>
      </w:pPr>
    </w:p>
    <w:p w:rsidR="00875FD2" w:rsidRPr="00445B9C" w:rsidRDefault="00684A25" w:rsidP="00B806EF">
      <w:pPr>
        <w:rPr>
          <w:rFonts w:cs="Arial"/>
          <w:szCs w:val="20"/>
        </w:rPr>
      </w:pPr>
      <w:r w:rsidRPr="00684A25">
        <w:rPr>
          <w:rFonts w:eastAsiaTheme="majorEastAsia" w:cs="Arial"/>
          <w:szCs w:val="20"/>
        </w:rPr>
        <w:t>V 3. točki se pika na koncu nadomesti z vejico in doda nova, 4. točka, ki se glasi:</w:t>
      </w:r>
    </w:p>
    <w:p w:rsidR="00875FD2" w:rsidRPr="00445B9C" w:rsidRDefault="00875FD2" w:rsidP="00BA786D">
      <w:pPr>
        <w:spacing w:before="240" w:after="240" w:line="259" w:lineRule="auto"/>
        <w:jc w:val="both"/>
        <w:outlineLvl w:val="0"/>
        <w:rPr>
          <w:rFonts w:eastAsiaTheme="majorEastAsia" w:cs="Arial"/>
          <w:bCs/>
          <w:szCs w:val="20"/>
        </w:rPr>
      </w:pPr>
      <w:r w:rsidRPr="00445B9C">
        <w:rPr>
          <w:rFonts w:eastAsiaTheme="majorEastAsia" w:cs="Arial"/>
          <w:bCs/>
          <w:szCs w:val="20"/>
        </w:rPr>
        <w:t>»4. zagotavljanje izpolnjevanja kakovosti podatkov</w:t>
      </w:r>
      <w:r w:rsidR="003314ED" w:rsidRPr="00445B9C">
        <w:rPr>
          <w:rFonts w:eastAsiaTheme="majorEastAsia" w:cs="Arial"/>
          <w:bCs/>
          <w:szCs w:val="20"/>
        </w:rPr>
        <w:t>,</w:t>
      </w:r>
      <w:r w:rsidRPr="00445B9C">
        <w:rPr>
          <w:rFonts w:eastAsiaTheme="majorEastAsia" w:cs="Arial"/>
          <w:bCs/>
          <w:szCs w:val="20"/>
        </w:rPr>
        <w:t xml:space="preserve"> k</w:t>
      </w:r>
      <w:r w:rsidR="003253C8">
        <w:rPr>
          <w:rFonts w:eastAsiaTheme="majorEastAsia" w:cs="Arial"/>
          <w:bCs/>
          <w:szCs w:val="20"/>
        </w:rPr>
        <w:t>akor</w:t>
      </w:r>
      <w:r w:rsidRPr="00445B9C">
        <w:rPr>
          <w:rFonts w:eastAsiaTheme="majorEastAsia" w:cs="Arial"/>
          <w:bCs/>
          <w:szCs w:val="20"/>
        </w:rPr>
        <w:t xml:space="preserve"> jih določa 22.b člen Uredbe 600/2014/EU.«</w:t>
      </w:r>
      <w:r w:rsidR="007C5912" w:rsidRPr="00445B9C">
        <w:rPr>
          <w:rFonts w:eastAsiaTheme="majorEastAsia" w:cs="Arial"/>
          <w:bCs/>
          <w:szCs w:val="20"/>
        </w:rPr>
        <w:t>.</w:t>
      </w:r>
    </w:p>
    <w:p w:rsidR="00875FD2" w:rsidRPr="00445B9C" w:rsidRDefault="00875FD2" w:rsidP="00BA786D">
      <w:pPr>
        <w:spacing w:before="240" w:after="240" w:line="259" w:lineRule="auto"/>
        <w:jc w:val="both"/>
        <w:outlineLvl w:val="0"/>
        <w:rPr>
          <w:rFonts w:eastAsiaTheme="majorEastAsia" w:cs="Arial"/>
          <w:bCs/>
          <w:szCs w:val="20"/>
        </w:rPr>
      </w:pPr>
      <w:r w:rsidRPr="00445B9C">
        <w:rPr>
          <w:rFonts w:eastAsiaTheme="majorEastAsia" w:cs="Arial"/>
          <w:bCs/>
          <w:szCs w:val="20"/>
        </w:rPr>
        <w:t>Za tretjim odstavkom se doda nov</w:t>
      </w:r>
      <w:r w:rsidR="00D43095" w:rsidRPr="00445B9C">
        <w:rPr>
          <w:rFonts w:eastAsiaTheme="majorEastAsia" w:cs="Arial"/>
          <w:bCs/>
          <w:szCs w:val="20"/>
        </w:rPr>
        <w:t>,</w:t>
      </w:r>
      <w:r w:rsidRPr="00445B9C">
        <w:rPr>
          <w:rFonts w:eastAsiaTheme="majorEastAsia" w:cs="Arial"/>
          <w:bCs/>
          <w:szCs w:val="20"/>
        </w:rPr>
        <w:t xml:space="preserve"> četrti odstavek, ki se glasi:</w:t>
      </w:r>
    </w:p>
    <w:p w:rsidR="00875FD2" w:rsidRPr="00445B9C" w:rsidRDefault="00875FD2"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»(4) Borzni trg ima vsaj tri dejansko aktivne člane ali udeležence, od katerih vsak lahko sodeluje z vsemi </w:t>
      </w:r>
      <w:r w:rsidR="003253C8">
        <w:rPr>
          <w:rFonts w:eastAsiaTheme="majorEastAsia" w:cs="Arial"/>
          <w:bCs/>
          <w:szCs w:val="20"/>
        </w:rPr>
        <w:t>pre</w:t>
      </w:r>
      <w:r w:rsidRPr="00445B9C">
        <w:rPr>
          <w:rFonts w:eastAsiaTheme="majorEastAsia" w:cs="Arial"/>
          <w:bCs/>
          <w:szCs w:val="20"/>
        </w:rPr>
        <w:t>ostalimi pri oblikovanju cen.«.</w:t>
      </w:r>
    </w:p>
    <w:p w:rsidR="006A2506" w:rsidRPr="00445B9C" w:rsidRDefault="007C5912" w:rsidP="00F810E6">
      <w:pPr>
        <w:numPr>
          <w:ilvl w:val="0"/>
          <w:numId w:val="16"/>
        </w:numPr>
        <w:spacing w:before="240" w:after="240" w:line="259" w:lineRule="auto"/>
        <w:ind w:left="567" w:hanging="357"/>
        <w:jc w:val="center"/>
        <w:outlineLvl w:val="0"/>
        <w:rPr>
          <w:rFonts w:eastAsiaTheme="majorEastAsia" w:cs="Arial"/>
          <w:b/>
          <w:szCs w:val="20"/>
        </w:rPr>
      </w:pPr>
      <w:bookmarkStart w:id="48" w:name="_Ref196734767"/>
      <w:r w:rsidRPr="00445B9C">
        <w:rPr>
          <w:rFonts w:eastAsiaTheme="majorEastAsia" w:cs="Arial"/>
          <w:b/>
          <w:szCs w:val="20"/>
        </w:rPr>
        <w:t>člen</w:t>
      </w:r>
      <w:bookmarkEnd w:id="48"/>
    </w:p>
    <w:p w:rsidR="00001E53" w:rsidRPr="00445B9C" w:rsidRDefault="00001E53"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375. členu se </w:t>
      </w:r>
      <w:r w:rsidR="00146BE4" w:rsidRPr="00445B9C">
        <w:rPr>
          <w:rFonts w:eastAsiaTheme="majorEastAsia" w:cs="Arial"/>
          <w:bCs/>
          <w:szCs w:val="20"/>
        </w:rPr>
        <w:t xml:space="preserve">v </w:t>
      </w:r>
      <w:r w:rsidRPr="00445B9C">
        <w:rPr>
          <w:rFonts w:eastAsiaTheme="majorEastAsia" w:cs="Arial"/>
          <w:bCs/>
          <w:szCs w:val="20"/>
        </w:rPr>
        <w:t>drug</w:t>
      </w:r>
      <w:r w:rsidR="00146BE4" w:rsidRPr="00445B9C">
        <w:rPr>
          <w:rFonts w:eastAsiaTheme="majorEastAsia" w:cs="Arial"/>
          <w:bCs/>
          <w:szCs w:val="20"/>
        </w:rPr>
        <w:t>em</w:t>
      </w:r>
      <w:r w:rsidRPr="00445B9C">
        <w:rPr>
          <w:rFonts w:eastAsiaTheme="majorEastAsia" w:cs="Arial"/>
          <w:bCs/>
          <w:szCs w:val="20"/>
        </w:rPr>
        <w:t xml:space="preserve"> odstavk</w:t>
      </w:r>
      <w:r w:rsidR="00146BE4" w:rsidRPr="00445B9C">
        <w:rPr>
          <w:rFonts w:eastAsiaTheme="majorEastAsia" w:cs="Arial"/>
          <w:bCs/>
          <w:szCs w:val="20"/>
        </w:rPr>
        <w:t>u</w:t>
      </w:r>
      <w:r w:rsidRPr="00445B9C">
        <w:rPr>
          <w:rFonts w:eastAsiaTheme="majorEastAsia" w:cs="Arial"/>
          <w:bCs/>
          <w:szCs w:val="20"/>
        </w:rPr>
        <w:t xml:space="preserve"> za besed</w:t>
      </w:r>
      <w:r w:rsidR="00146BE4" w:rsidRPr="00445B9C">
        <w:rPr>
          <w:rFonts w:eastAsiaTheme="majorEastAsia" w:cs="Arial"/>
          <w:bCs/>
          <w:szCs w:val="20"/>
        </w:rPr>
        <w:t>ilom</w:t>
      </w:r>
      <w:r w:rsidRPr="00445B9C">
        <w:rPr>
          <w:rFonts w:eastAsiaTheme="majorEastAsia" w:cs="Arial"/>
          <w:bCs/>
          <w:szCs w:val="20"/>
        </w:rPr>
        <w:t xml:space="preserve"> »borznem trgu«</w:t>
      </w:r>
      <w:r w:rsidR="00D228FA" w:rsidRPr="00445B9C">
        <w:rPr>
          <w:rFonts w:eastAsiaTheme="majorEastAsia" w:cs="Arial"/>
          <w:bCs/>
          <w:szCs w:val="20"/>
        </w:rPr>
        <w:t xml:space="preserve"> črta vejica in</w:t>
      </w:r>
      <w:r w:rsidRPr="00445B9C">
        <w:rPr>
          <w:rFonts w:eastAsiaTheme="majorEastAsia" w:cs="Arial"/>
          <w:bCs/>
          <w:szCs w:val="20"/>
        </w:rPr>
        <w:t xml:space="preserve"> doda besedilo »v izrednih razmerah ali«.</w:t>
      </w:r>
    </w:p>
    <w:p w:rsidR="00001E53" w:rsidRPr="00445B9C" w:rsidRDefault="00001E53" w:rsidP="00BA786D">
      <w:pPr>
        <w:spacing w:before="240" w:after="240" w:line="259" w:lineRule="auto"/>
        <w:jc w:val="both"/>
        <w:outlineLvl w:val="0"/>
        <w:rPr>
          <w:rFonts w:eastAsiaTheme="majorEastAsia" w:cs="Arial"/>
          <w:bCs/>
          <w:szCs w:val="20"/>
        </w:rPr>
      </w:pPr>
      <w:r w:rsidRPr="00445B9C">
        <w:rPr>
          <w:rFonts w:eastAsiaTheme="majorEastAsia" w:cs="Arial"/>
          <w:bCs/>
          <w:szCs w:val="20"/>
        </w:rPr>
        <w:t>Za šestim odstavkom se dodata nova</w:t>
      </w:r>
      <w:r w:rsidR="00146BE4" w:rsidRPr="00445B9C">
        <w:rPr>
          <w:rFonts w:eastAsiaTheme="majorEastAsia" w:cs="Arial"/>
          <w:bCs/>
          <w:szCs w:val="20"/>
        </w:rPr>
        <w:t>,</w:t>
      </w:r>
      <w:r w:rsidRPr="00445B9C">
        <w:rPr>
          <w:rFonts w:eastAsiaTheme="majorEastAsia" w:cs="Arial"/>
          <w:bCs/>
          <w:szCs w:val="20"/>
        </w:rPr>
        <w:t xml:space="preserve"> sedmi in osmi odstavek, ki se glasita:</w:t>
      </w:r>
    </w:p>
    <w:p w:rsidR="00001E53" w:rsidRPr="00445B9C" w:rsidRDefault="00001E53" w:rsidP="00BA786D">
      <w:pPr>
        <w:spacing w:before="240" w:after="240" w:line="259" w:lineRule="auto"/>
        <w:jc w:val="both"/>
        <w:outlineLvl w:val="0"/>
        <w:rPr>
          <w:rFonts w:eastAsiaTheme="majorEastAsia" w:cs="Arial"/>
          <w:bCs/>
          <w:szCs w:val="20"/>
        </w:rPr>
      </w:pPr>
      <w:r w:rsidRPr="00445B9C">
        <w:rPr>
          <w:rFonts w:eastAsiaTheme="majorEastAsia" w:cs="Arial"/>
          <w:bCs/>
          <w:szCs w:val="20"/>
        </w:rPr>
        <w:t>»(7) Borza na svoji spletni strani objavi informacije o okoliščinah, ki so pripeljale do ustavitve ali omejitve trgovanja</w:t>
      </w:r>
      <w:r w:rsidR="00146BE4" w:rsidRPr="00445B9C">
        <w:rPr>
          <w:rFonts w:eastAsiaTheme="majorEastAsia" w:cs="Arial"/>
          <w:bCs/>
          <w:szCs w:val="20"/>
        </w:rPr>
        <w:t>,</w:t>
      </w:r>
      <w:r w:rsidRPr="00445B9C">
        <w:rPr>
          <w:rFonts w:eastAsiaTheme="majorEastAsia" w:cs="Arial"/>
          <w:bCs/>
          <w:szCs w:val="20"/>
        </w:rPr>
        <w:t xml:space="preserve"> in o načelih za določitev glavnih tehničnih parametrov, ki jih je uporabila pri tem.</w:t>
      </w:r>
    </w:p>
    <w:p w:rsidR="00001E53" w:rsidRPr="00445B9C" w:rsidRDefault="00001E53"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(8) Če borza začasno ne ustavi ali omeji trgovanja v primerih iz drugega odstavka tega člena, kljub temu, da je prišlo do resnih motenj urejenega trgovanja, lahko agencija za zagotavljanje urejenega trgovanja, poleg </w:t>
      </w:r>
      <w:r w:rsidR="003253C8">
        <w:rPr>
          <w:rFonts w:eastAsiaTheme="majorEastAsia" w:cs="Arial"/>
          <w:bCs/>
          <w:szCs w:val="20"/>
        </w:rPr>
        <w:t>pre</w:t>
      </w:r>
      <w:r w:rsidRPr="00445B9C">
        <w:rPr>
          <w:rFonts w:eastAsiaTheme="majorEastAsia" w:cs="Arial"/>
          <w:bCs/>
          <w:szCs w:val="20"/>
        </w:rPr>
        <w:t>ostalih ukrepov, ki jih ima po tem zakonu, uporabi tudi naslednje ukrepe:</w:t>
      </w:r>
    </w:p>
    <w:p w:rsidR="00001E53" w:rsidRPr="00445B9C" w:rsidRDefault="00001E53" w:rsidP="00BA786D">
      <w:pPr>
        <w:spacing w:before="240" w:after="240" w:line="259" w:lineRule="auto"/>
        <w:jc w:val="both"/>
        <w:outlineLvl w:val="0"/>
        <w:rPr>
          <w:rFonts w:eastAsiaTheme="majorEastAsia" w:cs="Arial"/>
          <w:bCs/>
          <w:szCs w:val="20"/>
        </w:rPr>
      </w:pPr>
      <w:r w:rsidRPr="00445B9C">
        <w:rPr>
          <w:rFonts w:eastAsiaTheme="majorEastAsia" w:cs="Arial"/>
          <w:bCs/>
          <w:szCs w:val="20"/>
        </w:rPr>
        <w:t>1. odredi začasno ustavitev trgovanja s finančnim instrumentom;</w:t>
      </w:r>
    </w:p>
    <w:p w:rsidR="00001E53" w:rsidRPr="00445B9C" w:rsidRDefault="00001E53" w:rsidP="00BA786D">
      <w:pPr>
        <w:spacing w:before="240" w:after="240" w:line="259" w:lineRule="auto"/>
        <w:jc w:val="both"/>
        <w:outlineLvl w:val="0"/>
        <w:rPr>
          <w:rFonts w:eastAsiaTheme="majorEastAsia" w:cs="Arial"/>
          <w:bCs/>
          <w:szCs w:val="20"/>
        </w:rPr>
      </w:pPr>
      <w:r w:rsidRPr="00445B9C">
        <w:rPr>
          <w:rFonts w:eastAsiaTheme="majorEastAsia" w:cs="Arial"/>
          <w:bCs/>
          <w:szCs w:val="20"/>
        </w:rPr>
        <w:t>2. odredi umik finančnega instrumenta iz trgovanja na borznem trgu ali drugem sistemu trgovanja;</w:t>
      </w:r>
    </w:p>
    <w:p w:rsidR="00001E53" w:rsidRPr="00445B9C" w:rsidRDefault="00001E53" w:rsidP="00BA786D">
      <w:pPr>
        <w:spacing w:before="240" w:after="240" w:line="259" w:lineRule="auto"/>
        <w:jc w:val="both"/>
        <w:outlineLvl w:val="0"/>
        <w:rPr>
          <w:rFonts w:eastAsiaTheme="majorEastAsia" w:cs="Arial"/>
          <w:bCs/>
          <w:szCs w:val="20"/>
        </w:rPr>
      </w:pPr>
      <w:r w:rsidRPr="00445B9C">
        <w:rPr>
          <w:rFonts w:eastAsiaTheme="majorEastAsia" w:cs="Arial"/>
          <w:bCs/>
          <w:szCs w:val="20"/>
        </w:rPr>
        <w:t>3. zahteva, da katera</w:t>
      </w:r>
      <w:r w:rsidR="00C20FC0">
        <w:rPr>
          <w:rFonts w:eastAsiaTheme="majorEastAsia" w:cs="Arial"/>
          <w:bCs/>
          <w:szCs w:val="20"/>
        </w:rPr>
        <w:t xml:space="preserve"> </w:t>
      </w:r>
      <w:r w:rsidRPr="00445B9C">
        <w:rPr>
          <w:rFonts w:eastAsiaTheme="majorEastAsia" w:cs="Arial"/>
          <w:bCs/>
          <w:szCs w:val="20"/>
        </w:rPr>
        <w:t>koli oseba sprejme ukrepe za zmanjšanje velikosti pozicije ali izpostavljenosti v izvedenih finančnih instrumentih na blago;</w:t>
      </w:r>
    </w:p>
    <w:p w:rsidR="00001E53" w:rsidRPr="00445B9C" w:rsidRDefault="00001E53" w:rsidP="00BA786D">
      <w:pPr>
        <w:spacing w:before="240" w:after="240" w:line="259" w:lineRule="auto"/>
        <w:jc w:val="both"/>
        <w:outlineLvl w:val="0"/>
        <w:rPr>
          <w:rFonts w:eastAsiaTheme="majorEastAsia" w:cs="Arial"/>
          <w:bCs/>
          <w:szCs w:val="20"/>
        </w:rPr>
      </w:pPr>
      <w:r w:rsidRPr="00445B9C">
        <w:rPr>
          <w:rFonts w:eastAsiaTheme="majorEastAsia" w:cs="Arial"/>
          <w:bCs/>
          <w:szCs w:val="20"/>
        </w:rPr>
        <w:t>4. omeji, da katerakoli oseba sklene posel z izvedenim finančnim instrumentom na blago, z uvedbo omejitev na velikost pozicije, ki jo lahko ima ta oseba.«.</w:t>
      </w:r>
    </w:p>
    <w:p w:rsidR="006A2506" w:rsidRPr="00445B9C" w:rsidRDefault="007C5912" w:rsidP="00F810E6">
      <w:pPr>
        <w:keepNext/>
        <w:keepLines/>
        <w:widowControl w:val="0"/>
        <w:numPr>
          <w:ilvl w:val="0"/>
          <w:numId w:val="16"/>
        </w:numPr>
        <w:spacing w:before="240" w:after="240" w:line="259" w:lineRule="auto"/>
        <w:ind w:left="567" w:hanging="357"/>
        <w:jc w:val="center"/>
        <w:outlineLvl w:val="0"/>
        <w:rPr>
          <w:rFonts w:eastAsiaTheme="majorEastAsia" w:cs="Arial"/>
          <w:b/>
          <w:szCs w:val="20"/>
        </w:rPr>
      </w:pPr>
      <w:bookmarkStart w:id="49" w:name="_Ref196734784"/>
      <w:r w:rsidRPr="00445B9C">
        <w:rPr>
          <w:rFonts w:eastAsiaTheme="majorEastAsia" w:cs="Arial"/>
          <w:b/>
          <w:szCs w:val="20"/>
        </w:rPr>
        <w:lastRenderedPageBreak/>
        <w:t>člen</w:t>
      </w:r>
      <w:bookmarkEnd w:id="49"/>
    </w:p>
    <w:p w:rsidR="00A662B6" w:rsidRPr="00445B9C" w:rsidRDefault="00A662B6" w:rsidP="001A4DD5">
      <w:pPr>
        <w:keepNext/>
        <w:keepLines/>
        <w:widowControl w:val="0"/>
        <w:spacing w:before="240" w:after="240" w:line="259" w:lineRule="auto"/>
        <w:jc w:val="both"/>
        <w:outlineLvl w:val="0"/>
        <w:rPr>
          <w:rFonts w:eastAsiaTheme="majorEastAsia" w:cs="Arial"/>
          <w:bCs/>
          <w:szCs w:val="20"/>
        </w:rPr>
      </w:pPr>
      <w:r w:rsidRPr="00445B9C">
        <w:rPr>
          <w:rFonts w:eastAsiaTheme="majorEastAsia" w:cs="Arial"/>
          <w:bCs/>
          <w:szCs w:val="20"/>
        </w:rPr>
        <w:t xml:space="preserve">V 376. členu se </w:t>
      </w:r>
      <w:r w:rsidR="00146BE4" w:rsidRPr="00445B9C">
        <w:rPr>
          <w:rFonts w:eastAsiaTheme="majorEastAsia" w:cs="Arial"/>
          <w:bCs/>
          <w:szCs w:val="20"/>
        </w:rPr>
        <w:t xml:space="preserve">v </w:t>
      </w:r>
      <w:r w:rsidRPr="00445B9C">
        <w:rPr>
          <w:rFonts w:eastAsiaTheme="majorEastAsia" w:cs="Arial"/>
          <w:bCs/>
          <w:szCs w:val="20"/>
        </w:rPr>
        <w:t>drug</w:t>
      </w:r>
      <w:r w:rsidR="00146BE4" w:rsidRPr="00445B9C">
        <w:rPr>
          <w:rFonts w:eastAsiaTheme="majorEastAsia" w:cs="Arial"/>
          <w:bCs/>
          <w:szCs w:val="20"/>
        </w:rPr>
        <w:t>em</w:t>
      </w:r>
      <w:r w:rsidRPr="00445B9C">
        <w:rPr>
          <w:rFonts w:eastAsiaTheme="majorEastAsia" w:cs="Arial"/>
          <w:bCs/>
          <w:szCs w:val="20"/>
        </w:rPr>
        <w:t xml:space="preserve"> odstavk</w:t>
      </w:r>
      <w:r w:rsidR="00146BE4" w:rsidRPr="00445B9C">
        <w:rPr>
          <w:rFonts w:eastAsiaTheme="majorEastAsia" w:cs="Arial"/>
          <w:bCs/>
          <w:szCs w:val="20"/>
        </w:rPr>
        <w:t>u</w:t>
      </w:r>
      <w:r w:rsidRPr="00445B9C">
        <w:rPr>
          <w:rFonts w:eastAsiaTheme="majorEastAsia" w:cs="Arial"/>
          <w:bCs/>
          <w:szCs w:val="20"/>
        </w:rPr>
        <w:t xml:space="preserve"> </w:t>
      </w:r>
      <w:r w:rsidR="00BF16C2" w:rsidRPr="00445B9C">
        <w:rPr>
          <w:rFonts w:eastAsiaTheme="majorEastAsia" w:cs="Arial"/>
          <w:bCs/>
          <w:szCs w:val="20"/>
        </w:rPr>
        <w:t>za besedilom »ustrezna testiranja algoritmov«</w:t>
      </w:r>
      <w:r w:rsidRPr="00445B9C">
        <w:rPr>
          <w:rFonts w:eastAsiaTheme="majorEastAsia" w:cs="Arial"/>
          <w:bCs/>
          <w:szCs w:val="20"/>
        </w:rPr>
        <w:t xml:space="preserve"> doda besedilo »v skladu z zahtevami iz II. in IV. poglavja Uredbe 2022/2554/EU.«.</w:t>
      </w:r>
    </w:p>
    <w:p w:rsidR="006A2506" w:rsidRPr="00445B9C" w:rsidRDefault="007C5912" w:rsidP="00F810E6">
      <w:pPr>
        <w:numPr>
          <w:ilvl w:val="0"/>
          <w:numId w:val="16"/>
        </w:numPr>
        <w:spacing w:before="240" w:after="240" w:line="259" w:lineRule="auto"/>
        <w:ind w:left="567" w:hanging="357"/>
        <w:jc w:val="center"/>
        <w:outlineLvl w:val="0"/>
        <w:rPr>
          <w:rFonts w:eastAsiaTheme="majorEastAsia" w:cs="Arial"/>
          <w:b/>
          <w:szCs w:val="20"/>
        </w:rPr>
      </w:pPr>
      <w:bookmarkStart w:id="50" w:name="_Ref196734801"/>
      <w:r w:rsidRPr="00445B9C">
        <w:rPr>
          <w:rFonts w:eastAsiaTheme="majorEastAsia" w:cs="Arial"/>
          <w:b/>
          <w:szCs w:val="20"/>
        </w:rPr>
        <w:t>člen</w:t>
      </w:r>
      <w:bookmarkEnd w:id="50"/>
    </w:p>
    <w:p w:rsidR="007A2D6D" w:rsidRPr="00445B9C" w:rsidRDefault="007A2D6D"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377. členu se v drugem odstavku </w:t>
      </w:r>
      <w:r w:rsidR="00ED2ED4" w:rsidRPr="00445B9C">
        <w:rPr>
          <w:rFonts w:eastAsiaTheme="majorEastAsia" w:cs="Arial"/>
          <w:bCs/>
          <w:szCs w:val="20"/>
        </w:rPr>
        <w:t xml:space="preserve">v </w:t>
      </w:r>
      <w:r w:rsidR="00146BE4" w:rsidRPr="00445B9C">
        <w:rPr>
          <w:rFonts w:eastAsiaTheme="majorEastAsia" w:cs="Arial"/>
          <w:bCs/>
          <w:szCs w:val="20"/>
        </w:rPr>
        <w:t>2. točk</w:t>
      </w:r>
      <w:r w:rsidR="00ED2ED4" w:rsidRPr="00445B9C">
        <w:rPr>
          <w:rFonts w:eastAsiaTheme="majorEastAsia" w:cs="Arial"/>
          <w:bCs/>
          <w:szCs w:val="20"/>
        </w:rPr>
        <w:t>i</w:t>
      </w:r>
      <w:r w:rsidR="00146BE4" w:rsidRPr="00445B9C">
        <w:rPr>
          <w:rFonts w:eastAsiaTheme="majorEastAsia" w:cs="Arial"/>
          <w:bCs/>
          <w:szCs w:val="20"/>
        </w:rPr>
        <w:t xml:space="preserve"> </w:t>
      </w:r>
      <w:r w:rsidR="00ED2ED4" w:rsidRPr="00445B9C">
        <w:rPr>
          <w:rFonts w:eastAsiaTheme="majorEastAsia" w:cs="Arial"/>
          <w:bCs/>
          <w:szCs w:val="20"/>
        </w:rPr>
        <w:t xml:space="preserve">pika </w:t>
      </w:r>
      <w:r w:rsidR="00152305">
        <w:rPr>
          <w:rFonts w:eastAsiaTheme="majorEastAsia" w:cs="Arial"/>
          <w:bCs/>
          <w:szCs w:val="20"/>
        </w:rPr>
        <w:t xml:space="preserve">na koncu </w:t>
      </w:r>
      <w:r w:rsidR="00ED2ED4" w:rsidRPr="00445B9C">
        <w:rPr>
          <w:rFonts w:eastAsiaTheme="majorEastAsia" w:cs="Arial"/>
          <w:bCs/>
          <w:szCs w:val="20"/>
        </w:rPr>
        <w:t xml:space="preserve">nadomesti z vejico in </w:t>
      </w:r>
      <w:r w:rsidRPr="00445B9C">
        <w:rPr>
          <w:rFonts w:eastAsiaTheme="majorEastAsia" w:cs="Arial"/>
          <w:bCs/>
          <w:szCs w:val="20"/>
        </w:rPr>
        <w:t>doda nova</w:t>
      </w:r>
      <w:r w:rsidR="00146BE4" w:rsidRPr="00445B9C">
        <w:rPr>
          <w:rFonts w:eastAsiaTheme="majorEastAsia" w:cs="Arial"/>
          <w:bCs/>
          <w:szCs w:val="20"/>
        </w:rPr>
        <w:t>,</w:t>
      </w:r>
      <w:r w:rsidRPr="00445B9C">
        <w:rPr>
          <w:rFonts w:eastAsiaTheme="majorEastAsia" w:cs="Arial"/>
          <w:bCs/>
          <w:szCs w:val="20"/>
        </w:rPr>
        <w:t xml:space="preserve"> 3. točka, ki se glasi:</w:t>
      </w:r>
    </w:p>
    <w:p w:rsidR="006A2506" w:rsidRPr="00445B9C" w:rsidRDefault="007A2D6D" w:rsidP="00DC5F55">
      <w:pPr>
        <w:spacing w:before="240" w:after="240" w:line="259" w:lineRule="auto"/>
        <w:jc w:val="both"/>
        <w:outlineLvl w:val="0"/>
        <w:rPr>
          <w:rFonts w:cs="Arial"/>
          <w:szCs w:val="20"/>
        </w:rPr>
      </w:pPr>
      <w:r w:rsidRPr="00445B9C">
        <w:rPr>
          <w:rFonts w:eastAsiaTheme="majorEastAsia" w:cs="Arial"/>
          <w:bCs/>
          <w:szCs w:val="20"/>
        </w:rPr>
        <w:t>»3. Za delnice z mednarodno identifikacijsko številko vrednostnega papirja (</w:t>
      </w:r>
      <w:r w:rsidR="00DC5F55" w:rsidRPr="00445B9C">
        <w:rPr>
          <w:rFonts w:eastAsiaTheme="majorEastAsia" w:cs="Arial"/>
          <w:bCs/>
          <w:szCs w:val="20"/>
        </w:rPr>
        <w:t xml:space="preserve">v nadaljnjem besedilu: </w:t>
      </w:r>
      <w:r w:rsidRPr="00445B9C">
        <w:rPr>
          <w:rFonts w:eastAsiaTheme="majorEastAsia" w:cs="Arial"/>
          <w:bCs/>
          <w:szCs w:val="20"/>
        </w:rPr>
        <w:t>ISIN), dodeljeno zunaj Evropskega gospodarskega prostora (</w:t>
      </w:r>
      <w:r w:rsidR="00DC5F55" w:rsidRPr="00445B9C">
        <w:rPr>
          <w:rFonts w:eastAsiaTheme="majorEastAsia" w:cs="Arial"/>
          <w:bCs/>
          <w:szCs w:val="20"/>
        </w:rPr>
        <w:t xml:space="preserve">v nadaljnjem besedilu: </w:t>
      </w:r>
      <w:r w:rsidRPr="00445B9C">
        <w:rPr>
          <w:rFonts w:eastAsiaTheme="majorEastAsia" w:cs="Arial"/>
          <w:bCs/>
          <w:szCs w:val="20"/>
        </w:rPr>
        <w:t>EGP), ali delnic</w:t>
      </w:r>
      <w:r w:rsidR="00C20FC0">
        <w:rPr>
          <w:rFonts w:eastAsiaTheme="majorEastAsia" w:cs="Arial"/>
          <w:bCs/>
          <w:szCs w:val="20"/>
        </w:rPr>
        <w:t>e</w:t>
      </w:r>
      <w:r w:rsidRPr="00445B9C">
        <w:rPr>
          <w:rFonts w:eastAsiaTheme="majorEastAsia" w:cs="Arial"/>
          <w:bCs/>
          <w:szCs w:val="20"/>
        </w:rPr>
        <w:t>, ki imajo številko ISIN, dodeljeno v EGP, in s katerimi se trguje na mestu trgovanja v tretji državi v lokalni valuti ali valuti, ki ni valut</w:t>
      </w:r>
      <w:r w:rsidR="00730169" w:rsidRPr="00445B9C">
        <w:rPr>
          <w:rFonts w:eastAsiaTheme="majorEastAsia" w:cs="Arial"/>
          <w:bCs/>
          <w:szCs w:val="20"/>
        </w:rPr>
        <w:t xml:space="preserve">a </w:t>
      </w:r>
      <w:r w:rsidRPr="00445B9C">
        <w:rPr>
          <w:rFonts w:eastAsiaTheme="majorEastAsia" w:cs="Arial"/>
          <w:bCs/>
          <w:szCs w:val="20"/>
        </w:rPr>
        <w:t>EGP, k</w:t>
      </w:r>
      <w:r w:rsidR="00456947">
        <w:rPr>
          <w:rFonts w:eastAsiaTheme="majorEastAsia" w:cs="Arial"/>
          <w:bCs/>
          <w:szCs w:val="20"/>
        </w:rPr>
        <w:t>akor</w:t>
      </w:r>
      <w:r w:rsidRPr="00445B9C">
        <w:rPr>
          <w:rFonts w:eastAsiaTheme="majorEastAsia" w:cs="Arial"/>
          <w:bCs/>
          <w:szCs w:val="20"/>
        </w:rPr>
        <w:t xml:space="preserve"> je navedeno v točki a)</w:t>
      </w:r>
      <w:r w:rsidR="00730169" w:rsidRPr="00445B9C">
        <w:rPr>
          <w:rFonts w:eastAsiaTheme="majorEastAsia" w:cs="Arial"/>
          <w:bCs/>
          <w:szCs w:val="20"/>
        </w:rPr>
        <w:t xml:space="preserve"> prvega odstavka 23. člena Uredbe 600/2014/EU, za katere je mesto trgovanja, ki je najpomembnejši trg kar zadeva likvidnost, v tretji državi, lahko borza uporabi isti korak kotacije, k</w:t>
      </w:r>
      <w:r w:rsidR="00C20FC0">
        <w:rPr>
          <w:rFonts w:eastAsiaTheme="majorEastAsia" w:cs="Arial"/>
          <w:bCs/>
          <w:szCs w:val="20"/>
        </w:rPr>
        <w:t>akor</w:t>
      </w:r>
      <w:r w:rsidR="00730169" w:rsidRPr="00445B9C">
        <w:rPr>
          <w:rFonts w:eastAsiaTheme="majorEastAsia" w:cs="Arial"/>
          <w:bCs/>
          <w:szCs w:val="20"/>
        </w:rPr>
        <w:t xml:space="preserve"> se uporablja na navedenem mestu trgovanja.«.</w:t>
      </w:r>
    </w:p>
    <w:p w:rsidR="006A2506" w:rsidRPr="00445B9C" w:rsidRDefault="007C5912" w:rsidP="00F810E6">
      <w:pPr>
        <w:numPr>
          <w:ilvl w:val="0"/>
          <w:numId w:val="16"/>
        </w:numPr>
        <w:spacing w:before="240" w:after="240" w:line="259" w:lineRule="auto"/>
        <w:ind w:left="567" w:hanging="357"/>
        <w:jc w:val="center"/>
        <w:outlineLvl w:val="0"/>
        <w:rPr>
          <w:rFonts w:eastAsiaTheme="majorEastAsia" w:cs="Arial"/>
          <w:b/>
          <w:szCs w:val="20"/>
        </w:rPr>
      </w:pPr>
      <w:bookmarkStart w:id="51" w:name="_Ref196734811"/>
      <w:r w:rsidRPr="00445B9C">
        <w:rPr>
          <w:rFonts w:eastAsiaTheme="majorEastAsia" w:cs="Arial"/>
          <w:b/>
          <w:szCs w:val="20"/>
        </w:rPr>
        <w:t>člen</w:t>
      </w:r>
      <w:bookmarkEnd w:id="51"/>
    </w:p>
    <w:p w:rsidR="00DC1A0A" w:rsidRPr="00445B9C" w:rsidRDefault="00DC1A0A" w:rsidP="00BA786D">
      <w:pPr>
        <w:spacing w:before="240" w:after="240" w:line="259" w:lineRule="auto"/>
        <w:jc w:val="both"/>
        <w:outlineLvl w:val="0"/>
        <w:rPr>
          <w:rFonts w:eastAsiaTheme="majorEastAsia" w:cs="Arial"/>
          <w:bCs/>
          <w:szCs w:val="20"/>
        </w:rPr>
      </w:pPr>
      <w:r w:rsidRPr="00445B9C">
        <w:rPr>
          <w:rFonts w:eastAsiaTheme="majorEastAsia" w:cs="Arial"/>
          <w:bCs/>
          <w:szCs w:val="20"/>
        </w:rPr>
        <w:t>378. člen se črta.</w:t>
      </w:r>
    </w:p>
    <w:p w:rsidR="006A2506" w:rsidRPr="00445B9C" w:rsidRDefault="007C5912" w:rsidP="00F810E6">
      <w:pPr>
        <w:numPr>
          <w:ilvl w:val="0"/>
          <w:numId w:val="16"/>
        </w:numPr>
        <w:spacing w:before="240" w:after="240" w:line="259" w:lineRule="auto"/>
        <w:ind w:left="567" w:hanging="357"/>
        <w:jc w:val="center"/>
        <w:outlineLvl w:val="0"/>
        <w:rPr>
          <w:rFonts w:cs="Arial"/>
          <w:b/>
          <w:szCs w:val="20"/>
        </w:rPr>
      </w:pPr>
      <w:bookmarkStart w:id="52" w:name="_Ref196734826"/>
      <w:r w:rsidRPr="00445B9C">
        <w:rPr>
          <w:rFonts w:eastAsiaTheme="majorEastAsia" w:cs="Arial"/>
          <w:b/>
          <w:szCs w:val="20"/>
        </w:rPr>
        <w:t>člen</w:t>
      </w:r>
      <w:bookmarkEnd w:id="52"/>
    </w:p>
    <w:p w:rsidR="009F3D7C" w:rsidRPr="00445B9C" w:rsidRDefault="00FC72E8" w:rsidP="00BA786D">
      <w:pPr>
        <w:spacing w:before="240" w:after="240" w:line="259" w:lineRule="auto"/>
        <w:jc w:val="both"/>
        <w:outlineLvl w:val="0"/>
        <w:rPr>
          <w:rFonts w:cs="Arial"/>
          <w:bCs/>
          <w:szCs w:val="20"/>
        </w:rPr>
      </w:pPr>
      <w:r w:rsidRPr="00445B9C">
        <w:rPr>
          <w:rFonts w:cs="Arial"/>
          <w:bCs/>
          <w:szCs w:val="20"/>
        </w:rPr>
        <w:t xml:space="preserve">V 382. členu </w:t>
      </w:r>
      <w:r w:rsidR="009F3D7C" w:rsidRPr="00445B9C">
        <w:rPr>
          <w:rFonts w:cs="Arial"/>
          <w:bCs/>
          <w:szCs w:val="20"/>
        </w:rPr>
        <w:t xml:space="preserve">se </w:t>
      </w:r>
      <w:r w:rsidR="00ED2ED4" w:rsidRPr="00445B9C">
        <w:rPr>
          <w:rFonts w:cs="Arial"/>
          <w:bCs/>
          <w:szCs w:val="20"/>
        </w:rPr>
        <w:t xml:space="preserve">v </w:t>
      </w:r>
      <w:r w:rsidR="009F3D7C" w:rsidRPr="00445B9C">
        <w:rPr>
          <w:rFonts w:cs="Arial"/>
          <w:bCs/>
          <w:szCs w:val="20"/>
        </w:rPr>
        <w:t>drug</w:t>
      </w:r>
      <w:r w:rsidR="00ED2ED4" w:rsidRPr="00445B9C">
        <w:rPr>
          <w:rFonts w:cs="Arial"/>
          <w:bCs/>
          <w:szCs w:val="20"/>
        </w:rPr>
        <w:t>em</w:t>
      </w:r>
      <w:r w:rsidR="009F3D7C" w:rsidRPr="00445B9C">
        <w:rPr>
          <w:rFonts w:cs="Arial"/>
          <w:bCs/>
          <w:szCs w:val="20"/>
        </w:rPr>
        <w:t xml:space="preserve"> odstavk</w:t>
      </w:r>
      <w:r w:rsidR="00ED2ED4" w:rsidRPr="00445B9C">
        <w:rPr>
          <w:rFonts w:cs="Arial"/>
          <w:bCs/>
          <w:szCs w:val="20"/>
        </w:rPr>
        <w:t>u</w:t>
      </w:r>
      <w:r w:rsidR="009F3D7C" w:rsidRPr="00445B9C">
        <w:rPr>
          <w:rFonts w:cs="Arial"/>
          <w:bCs/>
          <w:szCs w:val="20"/>
        </w:rPr>
        <w:t xml:space="preserve"> </w:t>
      </w:r>
      <w:r w:rsidR="0048196A" w:rsidRPr="00445B9C">
        <w:rPr>
          <w:rFonts w:cs="Arial"/>
          <w:bCs/>
          <w:szCs w:val="20"/>
        </w:rPr>
        <w:t>za besedilom »odpornost trgovalnega sistema« doda besedilo »v skladu z II. poglavjem Uredbe 2022/2554/EU«</w:t>
      </w:r>
      <w:r w:rsidR="00ED2ED4" w:rsidRPr="00445B9C">
        <w:rPr>
          <w:rFonts w:cs="Arial"/>
          <w:bCs/>
          <w:szCs w:val="20"/>
        </w:rPr>
        <w:t>,</w:t>
      </w:r>
      <w:r w:rsidR="0048196A" w:rsidRPr="00445B9C">
        <w:rPr>
          <w:rFonts w:cs="Arial"/>
          <w:bCs/>
          <w:szCs w:val="20"/>
        </w:rPr>
        <w:t xml:space="preserve"> za besedilom »načrtu neprekinjenega poslovanja« </w:t>
      </w:r>
      <w:r w:rsidR="00ED2ED4" w:rsidRPr="00445B9C">
        <w:rPr>
          <w:rFonts w:cs="Arial"/>
          <w:bCs/>
          <w:szCs w:val="20"/>
        </w:rPr>
        <w:t xml:space="preserve">pa se </w:t>
      </w:r>
      <w:r w:rsidR="0048196A" w:rsidRPr="00445B9C">
        <w:rPr>
          <w:rFonts w:cs="Arial"/>
          <w:bCs/>
          <w:szCs w:val="20"/>
        </w:rPr>
        <w:t>doda</w:t>
      </w:r>
      <w:r w:rsidR="00ED2ED4" w:rsidRPr="00445B9C">
        <w:rPr>
          <w:rFonts w:cs="Arial"/>
          <w:bCs/>
          <w:szCs w:val="20"/>
        </w:rPr>
        <w:t>ta</w:t>
      </w:r>
      <w:r w:rsidR="0048196A" w:rsidRPr="00445B9C">
        <w:rPr>
          <w:rFonts w:cs="Arial"/>
          <w:bCs/>
          <w:szCs w:val="20"/>
        </w:rPr>
        <w:t xml:space="preserve"> </w:t>
      </w:r>
      <w:r w:rsidR="00ED2ED4" w:rsidRPr="00445B9C">
        <w:rPr>
          <w:rFonts w:cs="Arial"/>
          <w:bCs/>
          <w:szCs w:val="20"/>
        </w:rPr>
        <w:t xml:space="preserve">vejica in </w:t>
      </w:r>
      <w:r w:rsidR="0048196A" w:rsidRPr="00445B9C">
        <w:rPr>
          <w:rFonts w:cs="Arial"/>
          <w:bCs/>
          <w:szCs w:val="20"/>
        </w:rPr>
        <w:t>besedilo »vključno s politiko in načrti neprekinjenega poslovanja na področju IKT ter načrti odzivanja in okrevanja IKT, vzpostavljenimi v skladu z 11. členom Uredbe 2022/2554/EU«.</w:t>
      </w:r>
    </w:p>
    <w:p w:rsidR="00400E9C" w:rsidRPr="00445B9C" w:rsidRDefault="007C5912" w:rsidP="00F810E6">
      <w:pPr>
        <w:numPr>
          <w:ilvl w:val="0"/>
          <w:numId w:val="16"/>
        </w:numPr>
        <w:spacing w:before="240" w:after="240" w:line="259" w:lineRule="auto"/>
        <w:ind w:left="567" w:hanging="357"/>
        <w:jc w:val="center"/>
        <w:outlineLvl w:val="0"/>
        <w:rPr>
          <w:rFonts w:eastAsiaTheme="majorEastAsia" w:cs="Arial"/>
          <w:b/>
          <w:szCs w:val="20"/>
        </w:rPr>
      </w:pPr>
      <w:bookmarkStart w:id="53" w:name="_Ref196734840"/>
      <w:r w:rsidRPr="00445B9C">
        <w:rPr>
          <w:rFonts w:eastAsiaTheme="majorEastAsia" w:cs="Arial"/>
          <w:b/>
          <w:szCs w:val="20"/>
        </w:rPr>
        <w:t>člen</w:t>
      </w:r>
      <w:bookmarkEnd w:id="53"/>
    </w:p>
    <w:p w:rsidR="00400E9C" w:rsidRPr="00445B9C" w:rsidRDefault="00400E9C" w:rsidP="00BA786D">
      <w:pPr>
        <w:spacing w:before="240" w:after="240" w:line="259" w:lineRule="auto"/>
        <w:jc w:val="both"/>
        <w:outlineLvl w:val="0"/>
        <w:rPr>
          <w:rFonts w:cs="Arial"/>
          <w:bCs/>
          <w:szCs w:val="20"/>
        </w:rPr>
      </w:pPr>
      <w:r w:rsidRPr="00445B9C">
        <w:rPr>
          <w:rFonts w:cs="Arial"/>
          <w:bCs/>
          <w:szCs w:val="20"/>
        </w:rPr>
        <w:t>V 406. členu se za drugim odstavkom doda nov</w:t>
      </w:r>
      <w:r w:rsidR="00ED2ED4" w:rsidRPr="00445B9C">
        <w:rPr>
          <w:rFonts w:cs="Arial"/>
          <w:bCs/>
          <w:szCs w:val="20"/>
        </w:rPr>
        <w:t>,</w:t>
      </w:r>
      <w:r w:rsidRPr="00445B9C">
        <w:rPr>
          <w:rFonts w:cs="Arial"/>
          <w:bCs/>
          <w:szCs w:val="20"/>
        </w:rPr>
        <w:t xml:space="preserve"> tretji odstavek, ki se glasi:</w:t>
      </w:r>
    </w:p>
    <w:p w:rsidR="00400E9C" w:rsidRPr="00445B9C" w:rsidRDefault="00400E9C" w:rsidP="00BA786D">
      <w:pPr>
        <w:spacing w:before="240" w:after="240" w:line="259" w:lineRule="auto"/>
        <w:jc w:val="both"/>
        <w:outlineLvl w:val="0"/>
        <w:rPr>
          <w:rFonts w:cs="Arial"/>
          <w:bCs/>
          <w:szCs w:val="20"/>
        </w:rPr>
      </w:pPr>
      <w:r w:rsidRPr="00445B9C">
        <w:rPr>
          <w:rFonts w:cs="Arial"/>
          <w:bCs/>
          <w:szCs w:val="20"/>
        </w:rPr>
        <w:t xml:space="preserve">»(3) Borza informacije iz prejšnjega odstavka hkrati z objavo pošlje tudi </w:t>
      </w:r>
      <w:r w:rsidR="00DE6E33" w:rsidRPr="00445B9C">
        <w:rPr>
          <w:rFonts w:cs="Arial"/>
          <w:bCs/>
          <w:szCs w:val="20"/>
        </w:rPr>
        <w:t>agenciji</w:t>
      </w:r>
      <w:r w:rsidRPr="00445B9C">
        <w:rPr>
          <w:rFonts w:cs="Arial"/>
          <w:bCs/>
          <w:szCs w:val="20"/>
        </w:rPr>
        <w:t>.«</w:t>
      </w:r>
      <w:r w:rsidR="007C5912" w:rsidRPr="00445B9C">
        <w:rPr>
          <w:rFonts w:cs="Arial"/>
          <w:bCs/>
          <w:szCs w:val="20"/>
        </w:rPr>
        <w:t>.</w:t>
      </w:r>
    </w:p>
    <w:p w:rsidR="00897002" w:rsidRPr="00445B9C" w:rsidRDefault="00897002" w:rsidP="006625C7">
      <w:pPr>
        <w:numPr>
          <w:ilvl w:val="0"/>
          <w:numId w:val="16"/>
        </w:numPr>
        <w:spacing w:before="240" w:after="240" w:line="259" w:lineRule="auto"/>
        <w:ind w:left="567" w:hanging="357"/>
        <w:jc w:val="center"/>
        <w:outlineLvl w:val="0"/>
        <w:rPr>
          <w:rFonts w:eastAsiaTheme="majorEastAsia" w:cs="Arial"/>
          <w:b/>
          <w:szCs w:val="20"/>
        </w:rPr>
      </w:pPr>
      <w:bookmarkStart w:id="54" w:name="_Ref196825855"/>
      <w:r w:rsidRPr="00445B9C">
        <w:rPr>
          <w:rFonts w:eastAsiaTheme="majorEastAsia" w:cs="Arial"/>
          <w:b/>
          <w:szCs w:val="20"/>
        </w:rPr>
        <w:t>člen</w:t>
      </w:r>
      <w:bookmarkEnd w:id="54"/>
    </w:p>
    <w:p w:rsidR="00897002" w:rsidRPr="00445B9C" w:rsidRDefault="00897002" w:rsidP="006625C7">
      <w:pPr>
        <w:spacing w:before="240" w:after="240" w:line="259" w:lineRule="auto"/>
        <w:jc w:val="both"/>
        <w:outlineLvl w:val="0"/>
        <w:rPr>
          <w:rFonts w:cs="Arial"/>
          <w:bCs/>
          <w:szCs w:val="20"/>
        </w:rPr>
      </w:pPr>
      <w:r w:rsidRPr="00445B9C">
        <w:rPr>
          <w:rFonts w:cs="Arial"/>
          <w:bCs/>
          <w:szCs w:val="20"/>
        </w:rPr>
        <w:t xml:space="preserve">V 411. členu se </w:t>
      </w:r>
      <w:r w:rsidR="00F11A6A" w:rsidRPr="00445B9C">
        <w:rPr>
          <w:rFonts w:cs="Arial"/>
          <w:bCs/>
          <w:szCs w:val="20"/>
        </w:rPr>
        <w:t xml:space="preserve">v prvem odstavku </w:t>
      </w:r>
      <w:r w:rsidRPr="00445B9C">
        <w:rPr>
          <w:rFonts w:cs="Arial"/>
          <w:bCs/>
          <w:szCs w:val="20"/>
        </w:rPr>
        <w:t xml:space="preserve">v 1. </w:t>
      </w:r>
      <w:r w:rsidR="00152305">
        <w:rPr>
          <w:rFonts w:cs="Arial"/>
          <w:bCs/>
          <w:szCs w:val="20"/>
        </w:rPr>
        <w:t xml:space="preserve">in 2. </w:t>
      </w:r>
      <w:r w:rsidRPr="00445B9C">
        <w:rPr>
          <w:rFonts w:cs="Arial"/>
          <w:bCs/>
          <w:szCs w:val="20"/>
        </w:rPr>
        <w:t>točki za besedo »banko« doda</w:t>
      </w:r>
      <w:r w:rsidR="004B46A8" w:rsidRPr="00445B9C">
        <w:rPr>
          <w:rFonts w:cs="Arial"/>
          <w:bCs/>
          <w:szCs w:val="20"/>
        </w:rPr>
        <w:t>ta</w:t>
      </w:r>
      <w:r w:rsidRPr="00445B9C">
        <w:rPr>
          <w:rFonts w:cs="Arial"/>
          <w:bCs/>
          <w:szCs w:val="20"/>
        </w:rPr>
        <w:t xml:space="preserve"> vejica in besedilo »kreditno družbo«.</w:t>
      </w:r>
    </w:p>
    <w:p w:rsidR="006A2506" w:rsidRPr="00445B9C" w:rsidRDefault="006A2506" w:rsidP="00F810E6">
      <w:pPr>
        <w:numPr>
          <w:ilvl w:val="0"/>
          <w:numId w:val="16"/>
        </w:numPr>
        <w:spacing w:before="240" w:after="240" w:line="259" w:lineRule="auto"/>
        <w:ind w:left="567" w:hanging="357"/>
        <w:jc w:val="center"/>
        <w:outlineLvl w:val="0"/>
        <w:rPr>
          <w:rFonts w:eastAsiaTheme="majorEastAsia" w:cs="Arial"/>
          <w:b/>
          <w:szCs w:val="20"/>
        </w:rPr>
      </w:pPr>
      <w:bookmarkStart w:id="55" w:name="_Ref192070531"/>
      <w:r w:rsidRPr="00445B9C">
        <w:rPr>
          <w:rFonts w:eastAsiaTheme="majorEastAsia" w:cs="Arial"/>
          <w:b/>
          <w:szCs w:val="20"/>
        </w:rPr>
        <w:t>člen</w:t>
      </w:r>
      <w:bookmarkEnd w:id="55"/>
    </w:p>
    <w:p w:rsidR="006A2506" w:rsidRPr="00445B9C" w:rsidRDefault="00AD02FB" w:rsidP="00BA786D">
      <w:pPr>
        <w:jc w:val="both"/>
        <w:rPr>
          <w:rFonts w:cs="Arial"/>
          <w:szCs w:val="20"/>
        </w:rPr>
      </w:pPr>
      <w:r w:rsidRPr="00445B9C">
        <w:rPr>
          <w:rFonts w:cs="Arial"/>
          <w:szCs w:val="20"/>
        </w:rPr>
        <w:t xml:space="preserve">V 422. členu se </w:t>
      </w:r>
      <w:r w:rsidR="0066146D" w:rsidRPr="00445B9C">
        <w:rPr>
          <w:rFonts w:cs="Arial"/>
          <w:szCs w:val="20"/>
        </w:rPr>
        <w:t xml:space="preserve">v </w:t>
      </w:r>
      <w:r w:rsidRPr="00445B9C">
        <w:rPr>
          <w:rFonts w:cs="Arial"/>
          <w:szCs w:val="20"/>
        </w:rPr>
        <w:t>pet</w:t>
      </w:r>
      <w:r w:rsidR="0066146D" w:rsidRPr="00445B9C">
        <w:rPr>
          <w:rFonts w:cs="Arial"/>
          <w:szCs w:val="20"/>
        </w:rPr>
        <w:t>em</w:t>
      </w:r>
      <w:r w:rsidRPr="00445B9C">
        <w:rPr>
          <w:rFonts w:cs="Arial"/>
          <w:szCs w:val="20"/>
        </w:rPr>
        <w:t xml:space="preserve"> odstavk</w:t>
      </w:r>
      <w:r w:rsidR="0066146D" w:rsidRPr="00445B9C">
        <w:rPr>
          <w:rFonts w:cs="Arial"/>
          <w:szCs w:val="20"/>
        </w:rPr>
        <w:t>u</w:t>
      </w:r>
      <w:r w:rsidRPr="00445B9C">
        <w:rPr>
          <w:rFonts w:cs="Arial"/>
          <w:szCs w:val="20"/>
        </w:rPr>
        <w:t xml:space="preserve"> za besedo »članic« doda besedilo »ter ga javno objavi.«.</w:t>
      </w:r>
    </w:p>
    <w:p w:rsidR="004039F5" w:rsidRPr="00445B9C" w:rsidRDefault="004039F5" w:rsidP="00BA786D">
      <w:pPr>
        <w:jc w:val="both"/>
        <w:rPr>
          <w:rFonts w:cs="Arial"/>
          <w:szCs w:val="20"/>
        </w:rPr>
      </w:pPr>
    </w:p>
    <w:p w:rsidR="004039F5" w:rsidRPr="00445B9C" w:rsidRDefault="007C5912" w:rsidP="00F810E6">
      <w:pPr>
        <w:numPr>
          <w:ilvl w:val="0"/>
          <w:numId w:val="16"/>
        </w:numPr>
        <w:spacing w:before="240" w:after="240" w:line="259" w:lineRule="auto"/>
        <w:ind w:left="567" w:hanging="357"/>
        <w:jc w:val="center"/>
        <w:outlineLvl w:val="0"/>
        <w:rPr>
          <w:rFonts w:eastAsiaTheme="majorEastAsia" w:cs="Arial"/>
          <w:b/>
          <w:szCs w:val="20"/>
        </w:rPr>
      </w:pPr>
      <w:bookmarkStart w:id="56" w:name="_Ref196733662"/>
      <w:r w:rsidRPr="00445B9C">
        <w:rPr>
          <w:rFonts w:eastAsiaTheme="majorEastAsia" w:cs="Arial"/>
          <w:b/>
          <w:szCs w:val="20"/>
        </w:rPr>
        <w:t>člen</w:t>
      </w:r>
      <w:bookmarkEnd w:id="56"/>
    </w:p>
    <w:p w:rsidR="004039F5" w:rsidRPr="00445B9C" w:rsidRDefault="004039F5" w:rsidP="00BA786D">
      <w:pPr>
        <w:jc w:val="both"/>
        <w:rPr>
          <w:rFonts w:cs="Arial"/>
          <w:szCs w:val="20"/>
        </w:rPr>
      </w:pPr>
      <w:r w:rsidRPr="00445B9C">
        <w:rPr>
          <w:rFonts w:cs="Arial"/>
          <w:szCs w:val="20"/>
        </w:rPr>
        <w:t>Za 429. členom se doda nov</w:t>
      </w:r>
      <w:r w:rsidR="0066146D" w:rsidRPr="00445B9C">
        <w:rPr>
          <w:rFonts w:cs="Arial"/>
          <w:szCs w:val="20"/>
        </w:rPr>
        <w:t>,</w:t>
      </w:r>
      <w:r w:rsidRPr="00445B9C">
        <w:rPr>
          <w:rFonts w:cs="Arial"/>
          <w:szCs w:val="20"/>
        </w:rPr>
        <w:t xml:space="preserve"> 429.a člen, ki se glasi:</w:t>
      </w:r>
    </w:p>
    <w:p w:rsidR="004039F5" w:rsidRPr="00445B9C" w:rsidRDefault="004039F5" w:rsidP="00BA786D">
      <w:pPr>
        <w:jc w:val="both"/>
        <w:rPr>
          <w:rFonts w:cs="Arial"/>
          <w:szCs w:val="20"/>
        </w:rPr>
      </w:pPr>
    </w:p>
    <w:p w:rsidR="004039F5" w:rsidRPr="00445B9C" w:rsidRDefault="004039F5" w:rsidP="00BA786D">
      <w:pPr>
        <w:jc w:val="center"/>
        <w:rPr>
          <w:rFonts w:cs="Arial"/>
          <w:b/>
          <w:bCs/>
          <w:szCs w:val="20"/>
        </w:rPr>
      </w:pPr>
      <w:r w:rsidRPr="00445B9C">
        <w:rPr>
          <w:rFonts w:cs="Arial"/>
          <w:szCs w:val="20"/>
        </w:rPr>
        <w:t>»</w:t>
      </w:r>
      <w:r w:rsidRPr="00445B9C">
        <w:rPr>
          <w:rFonts w:cs="Arial"/>
          <w:b/>
          <w:bCs/>
          <w:szCs w:val="20"/>
        </w:rPr>
        <w:t>429.a člen</w:t>
      </w:r>
    </w:p>
    <w:p w:rsidR="004039F5" w:rsidRPr="00445B9C" w:rsidRDefault="004039F5" w:rsidP="00BA786D">
      <w:pPr>
        <w:jc w:val="center"/>
        <w:rPr>
          <w:rFonts w:cs="Arial"/>
          <w:b/>
          <w:bCs/>
          <w:szCs w:val="20"/>
        </w:rPr>
      </w:pPr>
      <w:r w:rsidRPr="00445B9C">
        <w:rPr>
          <w:rFonts w:cs="Arial"/>
          <w:b/>
          <w:bCs/>
          <w:szCs w:val="20"/>
        </w:rPr>
        <w:t>(organ za sprejemanje podatkov)</w:t>
      </w:r>
    </w:p>
    <w:p w:rsidR="004039F5" w:rsidRPr="00445B9C" w:rsidRDefault="004039F5" w:rsidP="00BA786D">
      <w:pPr>
        <w:jc w:val="both"/>
        <w:rPr>
          <w:rFonts w:cs="Arial"/>
          <w:szCs w:val="20"/>
        </w:rPr>
      </w:pPr>
    </w:p>
    <w:p w:rsidR="002757F6" w:rsidRPr="00445B9C" w:rsidRDefault="007B0C9A" w:rsidP="00BA786D">
      <w:pPr>
        <w:ind w:firstLine="1021"/>
        <w:jc w:val="both"/>
        <w:rPr>
          <w:rFonts w:cs="Arial"/>
          <w:szCs w:val="20"/>
        </w:rPr>
      </w:pPr>
      <w:r w:rsidRPr="00445B9C">
        <w:rPr>
          <w:rFonts w:cs="Arial"/>
          <w:szCs w:val="20"/>
        </w:rPr>
        <w:t>(1) Sistem iz prvega odstavka 159. člena tega zakona</w:t>
      </w:r>
      <w:r w:rsidR="004039F5" w:rsidRPr="00445B9C">
        <w:rPr>
          <w:rFonts w:cs="Arial"/>
          <w:szCs w:val="20"/>
        </w:rPr>
        <w:t xml:space="preserve"> je organ za sprejemanje podatkov za informacije iz prvega in drugega odstavka 17. člena in tretjega odstavka 19. člena </w:t>
      </w:r>
      <w:r w:rsidR="004039F5" w:rsidRPr="00445B9C">
        <w:rPr>
          <w:rFonts w:cs="Arial"/>
          <w:szCs w:val="20"/>
        </w:rPr>
        <w:lastRenderedPageBreak/>
        <w:t xml:space="preserve">Uredbe 596/2014/EU </w:t>
      </w:r>
      <w:r w:rsidR="006D7571">
        <w:rPr>
          <w:rFonts w:cs="Arial"/>
          <w:szCs w:val="20"/>
        </w:rPr>
        <w:t>ter</w:t>
      </w:r>
      <w:r w:rsidR="006D7571" w:rsidRPr="00445B9C">
        <w:rPr>
          <w:rFonts w:cs="Arial"/>
          <w:szCs w:val="20"/>
        </w:rPr>
        <w:t xml:space="preserve"> </w:t>
      </w:r>
      <w:r w:rsidR="004039F5" w:rsidRPr="00445B9C">
        <w:rPr>
          <w:rFonts w:cs="Arial"/>
          <w:szCs w:val="20"/>
        </w:rPr>
        <w:t xml:space="preserve">zagotavlja, da so informacije iz tega sistema dostopne v evropski enotni točki dostopa, vzpostavljeni na podlagi </w:t>
      </w:r>
      <w:r w:rsidR="005F4BFC" w:rsidRPr="00445B9C">
        <w:rPr>
          <w:rFonts w:eastAsiaTheme="majorEastAsia" w:cs="Arial"/>
          <w:bCs/>
          <w:szCs w:val="20"/>
        </w:rPr>
        <w:t>prvega odstavka 1. člena</w:t>
      </w:r>
      <w:r w:rsidR="005F4BFC" w:rsidRPr="00445B9C">
        <w:rPr>
          <w:rFonts w:cs="Arial"/>
          <w:szCs w:val="20"/>
        </w:rPr>
        <w:t xml:space="preserve"> </w:t>
      </w:r>
      <w:r w:rsidR="004039F5" w:rsidRPr="00445B9C">
        <w:rPr>
          <w:rFonts w:cs="Arial"/>
          <w:szCs w:val="20"/>
        </w:rPr>
        <w:t>Uredbe 2023/2859/EU.</w:t>
      </w:r>
    </w:p>
    <w:p w:rsidR="002757F6" w:rsidRPr="00445B9C" w:rsidRDefault="002757F6" w:rsidP="00BA786D">
      <w:pPr>
        <w:ind w:firstLine="1021"/>
        <w:jc w:val="both"/>
        <w:rPr>
          <w:rFonts w:cs="Arial"/>
          <w:szCs w:val="20"/>
        </w:rPr>
      </w:pPr>
    </w:p>
    <w:p w:rsidR="00887CB2" w:rsidRPr="00445B9C" w:rsidRDefault="002757F6" w:rsidP="00B510AE">
      <w:pPr>
        <w:ind w:firstLine="1021"/>
        <w:jc w:val="both"/>
        <w:rPr>
          <w:rFonts w:cs="Arial"/>
          <w:szCs w:val="20"/>
        </w:rPr>
      </w:pPr>
      <w:r w:rsidRPr="00445B9C">
        <w:rPr>
          <w:rFonts w:cs="Arial"/>
          <w:szCs w:val="20"/>
        </w:rPr>
        <w:t xml:space="preserve">(2) Ne glede na prejšnji odstavek je v primeru izdajateljev finančnih instrumentov, s katerimi se trguje samo v MTF ali OTF, za izdajatelje, ki so odobrili trgovanje s svojimi finančnimi instrumenti v MTF ali OTF ali zahtevali uvrstitev svojih finančnih instrumentov v trgovanje v MTF v državi članici, </w:t>
      </w:r>
      <w:r w:rsidR="00C20571">
        <w:rPr>
          <w:rFonts w:cs="Arial"/>
          <w:szCs w:val="20"/>
        </w:rPr>
        <w:t>a</w:t>
      </w:r>
      <w:r w:rsidRPr="00445B9C">
        <w:rPr>
          <w:rFonts w:cs="Arial"/>
          <w:szCs w:val="20"/>
        </w:rPr>
        <w:t>gencija organ za sprejemanje podatkov za informacije iz prvega in drugega odstavka 17. člena in tretjega odstavka 19. člena Uredbe 596/2014/EU</w:t>
      </w:r>
      <w:r w:rsidR="00FD19EE" w:rsidRPr="00445B9C">
        <w:rPr>
          <w:rFonts w:cs="Arial"/>
          <w:szCs w:val="20"/>
        </w:rPr>
        <w:t xml:space="preserve"> </w:t>
      </w:r>
      <w:r w:rsidR="006D7571">
        <w:rPr>
          <w:rFonts w:cs="Arial"/>
          <w:szCs w:val="20"/>
        </w:rPr>
        <w:t>ter</w:t>
      </w:r>
      <w:r w:rsidR="006D7571" w:rsidRPr="00445B9C">
        <w:rPr>
          <w:rFonts w:cs="Arial"/>
          <w:szCs w:val="20"/>
        </w:rPr>
        <w:t xml:space="preserve"> </w:t>
      </w:r>
      <w:r w:rsidRPr="00445B9C">
        <w:rPr>
          <w:rFonts w:cs="Arial"/>
          <w:szCs w:val="20"/>
        </w:rPr>
        <w:t>zagotavlja, da so te informacije dostopne v evropski enotni točki dostopa, vzpostavljeni na podlagi Uredbe 2023/2859/EU</w:t>
      </w:r>
      <w:r w:rsidR="00FD19EE" w:rsidRPr="00445B9C">
        <w:rPr>
          <w:rFonts w:cs="Arial"/>
          <w:szCs w:val="20"/>
        </w:rPr>
        <w:t>.</w:t>
      </w:r>
      <w:r w:rsidR="004039F5" w:rsidRPr="00445B9C">
        <w:rPr>
          <w:rFonts w:cs="Arial"/>
          <w:szCs w:val="20"/>
        </w:rPr>
        <w:t>«</w:t>
      </w:r>
      <w:r w:rsidR="007C5912" w:rsidRPr="00445B9C">
        <w:rPr>
          <w:rFonts w:cs="Arial"/>
          <w:szCs w:val="20"/>
        </w:rPr>
        <w:t>.</w:t>
      </w:r>
    </w:p>
    <w:p w:rsidR="00887CB2" w:rsidRPr="00445B9C" w:rsidRDefault="007C5912" w:rsidP="00F810E6">
      <w:pPr>
        <w:numPr>
          <w:ilvl w:val="0"/>
          <w:numId w:val="16"/>
        </w:numPr>
        <w:spacing w:before="240" w:after="240" w:line="259" w:lineRule="auto"/>
        <w:ind w:left="567" w:hanging="357"/>
        <w:jc w:val="center"/>
        <w:outlineLvl w:val="0"/>
        <w:rPr>
          <w:rFonts w:eastAsiaTheme="majorEastAsia" w:cs="Arial"/>
          <w:b/>
          <w:szCs w:val="20"/>
        </w:rPr>
      </w:pPr>
      <w:bookmarkStart w:id="57" w:name="_Ref196734890"/>
      <w:r w:rsidRPr="00445B9C">
        <w:rPr>
          <w:rFonts w:eastAsiaTheme="majorEastAsia" w:cs="Arial"/>
          <w:b/>
          <w:szCs w:val="20"/>
        </w:rPr>
        <w:t>člen</w:t>
      </w:r>
      <w:bookmarkEnd w:id="57"/>
    </w:p>
    <w:p w:rsidR="00887CB2" w:rsidRPr="00445B9C" w:rsidRDefault="00FD659F" w:rsidP="00BA786D">
      <w:pPr>
        <w:jc w:val="both"/>
        <w:rPr>
          <w:rFonts w:cs="Arial"/>
          <w:szCs w:val="20"/>
        </w:rPr>
      </w:pPr>
      <w:r w:rsidRPr="00445B9C">
        <w:rPr>
          <w:rFonts w:cs="Arial"/>
          <w:szCs w:val="20"/>
        </w:rPr>
        <w:t xml:space="preserve">V 443. členu se </w:t>
      </w:r>
      <w:r w:rsidR="00040CF3" w:rsidRPr="00445B9C">
        <w:rPr>
          <w:rFonts w:cs="Arial"/>
          <w:szCs w:val="20"/>
        </w:rPr>
        <w:t xml:space="preserve">v </w:t>
      </w:r>
      <w:r w:rsidRPr="00445B9C">
        <w:rPr>
          <w:rFonts w:cs="Arial"/>
          <w:szCs w:val="20"/>
        </w:rPr>
        <w:t>šest</w:t>
      </w:r>
      <w:r w:rsidR="00040CF3" w:rsidRPr="00445B9C">
        <w:rPr>
          <w:rFonts w:cs="Arial"/>
          <w:szCs w:val="20"/>
        </w:rPr>
        <w:t>em</w:t>
      </w:r>
      <w:r w:rsidRPr="00445B9C">
        <w:rPr>
          <w:rFonts w:cs="Arial"/>
          <w:szCs w:val="20"/>
        </w:rPr>
        <w:t xml:space="preserve"> odstavk</w:t>
      </w:r>
      <w:r w:rsidR="00040CF3" w:rsidRPr="00445B9C">
        <w:rPr>
          <w:rFonts w:cs="Arial"/>
          <w:szCs w:val="20"/>
        </w:rPr>
        <w:t>u</w:t>
      </w:r>
      <w:r w:rsidRPr="00445B9C">
        <w:rPr>
          <w:rFonts w:cs="Arial"/>
          <w:szCs w:val="20"/>
        </w:rPr>
        <w:t xml:space="preserve"> </w:t>
      </w:r>
      <w:r w:rsidR="00040CF3" w:rsidRPr="00445B9C">
        <w:rPr>
          <w:rFonts w:cs="Arial"/>
          <w:szCs w:val="20"/>
        </w:rPr>
        <w:t>besedilo</w:t>
      </w:r>
      <w:r w:rsidR="004C6445" w:rsidRPr="00445B9C">
        <w:rPr>
          <w:rFonts w:cs="Arial"/>
          <w:szCs w:val="20"/>
        </w:rPr>
        <w:t xml:space="preserve"> »9.4« nadomesti </w:t>
      </w:r>
      <w:r w:rsidR="00040CF3" w:rsidRPr="00445B9C">
        <w:rPr>
          <w:rFonts w:cs="Arial"/>
          <w:szCs w:val="20"/>
        </w:rPr>
        <w:t>z besedilom</w:t>
      </w:r>
      <w:r w:rsidR="004C6445" w:rsidRPr="00445B9C">
        <w:rPr>
          <w:rFonts w:cs="Arial"/>
          <w:szCs w:val="20"/>
        </w:rPr>
        <w:t xml:space="preserve"> »9.5«.</w:t>
      </w:r>
    </w:p>
    <w:p w:rsidR="00B05593" w:rsidRPr="00445B9C" w:rsidRDefault="00B05593" w:rsidP="00BA786D">
      <w:pPr>
        <w:jc w:val="both"/>
        <w:rPr>
          <w:rFonts w:cs="Arial"/>
          <w:szCs w:val="20"/>
        </w:rPr>
      </w:pPr>
    </w:p>
    <w:p w:rsidR="00B05593" w:rsidRPr="00445B9C" w:rsidRDefault="00B05593" w:rsidP="00B05593">
      <w:pPr>
        <w:numPr>
          <w:ilvl w:val="0"/>
          <w:numId w:val="16"/>
        </w:numPr>
        <w:spacing w:before="240" w:after="240" w:line="259" w:lineRule="auto"/>
        <w:ind w:left="567" w:hanging="357"/>
        <w:jc w:val="center"/>
        <w:outlineLvl w:val="0"/>
        <w:rPr>
          <w:rFonts w:eastAsiaTheme="majorEastAsia" w:cs="Arial"/>
          <w:b/>
          <w:szCs w:val="20"/>
        </w:rPr>
      </w:pPr>
      <w:bookmarkStart w:id="58" w:name="_Ref196825906"/>
      <w:r w:rsidRPr="00445B9C">
        <w:rPr>
          <w:rFonts w:eastAsiaTheme="majorEastAsia" w:cs="Arial"/>
          <w:b/>
          <w:szCs w:val="20"/>
        </w:rPr>
        <w:t>člen</w:t>
      </w:r>
      <w:bookmarkEnd w:id="58"/>
    </w:p>
    <w:p w:rsidR="00B05593" w:rsidRPr="00445B9C" w:rsidRDefault="00B05593" w:rsidP="00B05593">
      <w:pPr>
        <w:spacing w:before="240" w:after="240" w:line="259" w:lineRule="auto"/>
        <w:jc w:val="both"/>
        <w:outlineLvl w:val="0"/>
        <w:rPr>
          <w:rFonts w:cs="Arial"/>
          <w:bCs/>
          <w:szCs w:val="20"/>
        </w:rPr>
      </w:pPr>
      <w:r w:rsidRPr="00445B9C">
        <w:rPr>
          <w:rFonts w:cs="Arial"/>
          <w:bCs/>
          <w:szCs w:val="20"/>
        </w:rPr>
        <w:t xml:space="preserve">V 448. členu se </w:t>
      </w:r>
      <w:r w:rsidR="00E00A0D" w:rsidRPr="00445B9C">
        <w:rPr>
          <w:rFonts w:cs="Arial"/>
          <w:bCs/>
          <w:szCs w:val="20"/>
        </w:rPr>
        <w:t xml:space="preserve">v prvem odstavku </w:t>
      </w:r>
      <w:r w:rsidRPr="00445B9C">
        <w:rPr>
          <w:rFonts w:cs="Arial"/>
          <w:bCs/>
          <w:szCs w:val="20"/>
        </w:rPr>
        <w:t xml:space="preserve">v 1. </w:t>
      </w:r>
      <w:r w:rsidR="006D7571">
        <w:rPr>
          <w:rFonts w:cs="Arial"/>
          <w:bCs/>
          <w:szCs w:val="20"/>
        </w:rPr>
        <w:t xml:space="preserve">in 2. </w:t>
      </w:r>
      <w:r w:rsidRPr="00445B9C">
        <w:rPr>
          <w:rFonts w:cs="Arial"/>
          <w:bCs/>
          <w:szCs w:val="20"/>
        </w:rPr>
        <w:t>točki za besedo »banka« doda</w:t>
      </w:r>
      <w:r w:rsidR="004B46A8" w:rsidRPr="00445B9C">
        <w:rPr>
          <w:rFonts w:cs="Arial"/>
          <w:bCs/>
          <w:szCs w:val="20"/>
        </w:rPr>
        <w:t>ta</w:t>
      </w:r>
      <w:r w:rsidRPr="00445B9C">
        <w:rPr>
          <w:rFonts w:cs="Arial"/>
          <w:bCs/>
          <w:szCs w:val="20"/>
        </w:rPr>
        <w:t xml:space="preserve"> vejica in besedilo »kreditna družba«.</w:t>
      </w:r>
    </w:p>
    <w:p w:rsidR="006A2506" w:rsidRPr="00445B9C" w:rsidRDefault="006A2506" w:rsidP="00F810E6">
      <w:pPr>
        <w:numPr>
          <w:ilvl w:val="0"/>
          <w:numId w:val="16"/>
        </w:numPr>
        <w:spacing w:before="240" w:after="240" w:line="259" w:lineRule="auto"/>
        <w:ind w:left="567" w:hanging="357"/>
        <w:jc w:val="center"/>
        <w:outlineLvl w:val="0"/>
        <w:rPr>
          <w:rFonts w:eastAsiaTheme="majorEastAsia" w:cs="Arial"/>
          <w:b/>
          <w:szCs w:val="20"/>
        </w:rPr>
      </w:pPr>
      <w:bookmarkStart w:id="59" w:name="_Ref64902651"/>
      <w:r w:rsidRPr="00445B9C">
        <w:rPr>
          <w:rFonts w:eastAsiaTheme="majorEastAsia" w:cs="Arial"/>
          <w:b/>
          <w:szCs w:val="20"/>
        </w:rPr>
        <w:t>člen</w:t>
      </w:r>
      <w:bookmarkEnd w:id="59"/>
    </w:p>
    <w:p w:rsidR="00DC4437" w:rsidRPr="00445B9C" w:rsidRDefault="00575CA5"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450. členu se </w:t>
      </w:r>
      <w:r w:rsidR="00E00A0D" w:rsidRPr="00445B9C">
        <w:rPr>
          <w:rFonts w:eastAsiaTheme="majorEastAsia" w:cs="Arial"/>
          <w:bCs/>
          <w:szCs w:val="20"/>
        </w:rPr>
        <w:t xml:space="preserve">v prvem odstavku </w:t>
      </w:r>
      <w:r w:rsidR="00DC4437" w:rsidRPr="00445B9C">
        <w:rPr>
          <w:rFonts w:eastAsiaTheme="majorEastAsia" w:cs="Arial"/>
          <w:bCs/>
          <w:szCs w:val="20"/>
        </w:rPr>
        <w:t>v drugi alineji besedo »Sloveniji« doda besedilo »ali kreditna družba«.</w:t>
      </w:r>
    </w:p>
    <w:p w:rsidR="00575CA5" w:rsidRPr="00445B9C" w:rsidRDefault="00E00A0D"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w:t>
      </w:r>
      <w:r w:rsidR="003C4484" w:rsidRPr="00445B9C">
        <w:rPr>
          <w:rFonts w:eastAsiaTheme="majorEastAsia" w:cs="Arial"/>
          <w:bCs/>
          <w:szCs w:val="20"/>
        </w:rPr>
        <w:t xml:space="preserve">drugem odstavku </w:t>
      </w:r>
      <w:r w:rsidR="006D7571">
        <w:rPr>
          <w:rFonts w:eastAsiaTheme="majorEastAsia" w:cs="Arial"/>
          <w:bCs/>
          <w:szCs w:val="20"/>
        </w:rPr>
        <w:t xml:space="preserve">se </w:t>
      </w:r>
      <w:r w:rsidR="003C4484" w:rsidRPr="00445B9C">
        <w:rPr>
          <w:rFonts w:eastAsiaTheme="majorEastAsia" w:cs="Arial"/>
          <w:bCs/>
          <w:szCs w:val="20"/>
        </w:rPr>
        <w:t xml:space="preserve">v </w:t>
      </w:r>
      <w:r w:rsidR="00575CA5" w:rsidRPr="00445B9C">
        <w:rPr>
          <w:rFonts w:eastAsiaTheme="majorEastAsia" w:cs="Arial"/>
          <w:bCs/>
          <w:szCs w:val="20"/>
        </w:rPr>
        <w:t>napovednem stavku besed</w:t>
      </w:r>
      <w:r w:rsidR="006D7571">
        <w:rPr>
          <w:rFonts w:eastAsiaTheme="majorEastAsia" w:cs="Arial"/>
          <w:bCs/>
          <w:szCs w:val="20"/>
        </w:rPr>
        <w:t>a</w:t>
      </w:r>
      <w:r w:rsidR="00575CA5" w:rsidRPr="00445B9C">
        <w:rPr>
          <w:rFonts w:eastAsiaTheme="majorEastAsia" w:cs="Arial"/>
          <w:bCs/>
          <w:szCs w:val="20"/>
        </w:rPr>
        <w:t xml:space="preserve"> »četrte«</w:t>
      </w:r>
      <w:r w:rsidR="00952346" w:rsidRPr="00445B9C">
        <w:rPr>
          <w:rFonts w:eastAsiaTheme="majorEastAsia" w:cs="Arial"/>
          <w:bCs/>
          <w:szCs w:val="20"/>
        </w:rPr>
        <w:t xml:space="preserve"> </w:t>
      </w:r>
      <w:r w:rsidR="00575CA5" w:rsidRPr="00445B9C">
        <w:rPr>
          <w:rFonts w:eastAsiaTheme="majorEastAsia" w:cs="Arial"/>
          <w:bCs/>
          <w:szCs w:val="20"/>
        </w:rPr>
        <w:t xml:space="preserve">nadomesti </w:t>
      </w:r>
      <w:r w:rsidR="00B93DF5" w:rsidRPr="00445B9C">
        <w:rPr>
          <w:rFonts w:eastAsiaTheme="majorEastAsia" w:cs="Arial"/>
          <w:bCs/>
          <w:szCs w:val="20"/>
        </w:rPr>
        <w:t>z besedilom</w:t>
      </w:r>
      <w:r w:rsidR="00FD659F" w:rsidRPr="00445B9C">
        <w:rPr>
          <w:rFonts w:eastAsiaTheme="majorEastAsia" w:cs="Arial"/>
          <w:bCs/>
          <w:szCs w:val="20"/>
        </w:rPr>
        <w:t xml:space="preserve"> </w:t>
      </w:r>
      <w:r w:rsidR="00575CA5" w:rsidRPr="00445B9C">
        <w:rPr>
          <w:rFonts w:eastAsiaTheme="majorEastAsia" w:cs="Arial"/>
          <w:bCs/>
          <w:szCs w:val="20"/>
        </w:rPr>
        <w:t>»4.«.</w:t>
      </w:r>
    </w:p>
    <w:p w:rsidR="006A2506" w:rsidRPr="00445B9C" w:rsidRDefault="007C5912" w:rsidP="00F810E6">
      <w:pPr>
        <w:numPr>
          <w:ilvl w:val="0"/>
          <w:numId w:val="16"/>
        </w:numPr>
        <w:spacing w:before="240" w:after="240" w:line="259" w:lineRule="auto"/>
        <w:ind w:left="567" w:hanging="357"/>
        <w:jc w:val="center"/>
        <w:outlineLvl w:val="0"/>
        <w:rPr>
          <w:rFonts w:eastAsiaTheme="majorEastAsia" w:cs="Arial"/>
          <w:b/>
          <w:szCs w:val="20"/>
        </w:rPr>
      </w:pPr>
      <w:bookmarkStart w:id="60" w:name="_Ref196734927"/>
      <w:r w:rsidRPr="00445B9C">
        <w:rPr>
          <w:rFonts w:eastAsiaTheme="majorEastAsia" w:cs="Arial"/>
          <w:b/>
          <w:szCs w:val="20"/>
        </w:rPr>
        <w:t>člen</w:t>
      </w:r>
      <w:bookmarkEnd w:id="60"/>
    </w:p>
    <w:p w:rsidR="00A56649" w:rsidRPr="00445B9C" w:rsidRDefault="00A56649"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531. členu se v </w:t>
      </w:r>
      <w:r w:rsidR="00891EE2" w:rsidRPr="00445B9C">
        <w:rPr>
          <w:rFonts w:eastAsiaTheme="majorEastAsia" w:cs="Arial"/>
          <w:bCs/>
          <w:szCs w:val="20"/>
        </w:rPr>
        <w:t xml:space="preserve">prvem odstavku v </w:t>
      </w:r>
      <w:r w:rsidRPr="00445B9C">
        <w:rPr>
          <w:rFonts w:eastAsiaTheme="majorEastAsia" w:cs="Arial"/>
          <w:bCs/>
          <w:szCs w:val="20"/>
        </w:rPr>
        <w:t>napovednem stavku besed</w:t>
      </w:r>
      <w:r w:rsidR="00891EE2" w:rsidRPr="00445B9C">
        <w:rPr>
          <w:rFonts w:eastAsiaTheme="majorEastAsia" w:cs="Arial"/>
          <w:bCs/>
          <w:szCs w:val="20"/>
        </w:rPr>
        <w:t>ilo</w:t>
      </w:r>
      <w:r w:rsidRPr="00445B9C">
        <w:rPr>
          <w:rFonts w:eastAsiaTheme="majorEastAsia" w:cs="Arial"/>
          <w:bCs/>
          <w:szCs w:val="20"/>
        </w:rPr>
        <w:t xml:space="preserve"> »borznoposredniška družba</w:t>
      </w:r>
      <w:r w:rsidR="00891EE2" w:rsidRPr="00445B9C">
        <w:rPr>
          <w:rFonts w:eastAsiaTheme="majorEastAsia" w:cs="Arial"/>
          <w:bCs/>
          <w:szCs w:val="20"/>
        </w:rPr>
        <w:t xml:space="preserve"> ali banka</w:t>
      </w:r>
      <w:r w:rsidRPr="00445B9C">
        <w:rPr>
          <w:rFonts w:eastAsiaTheme="majorEastAsia" w:cs="Arial"/>
          <w:bCs/>
          <w:szCs w:val="20"/>
        </w:rPr>
        <w:t xml:space="preserve">« </w:t>
      </w:r>
      <w:r w:rsidR="00891EE2" w:rsidRPr="00445B9C">
        <w:rPr>
          <w:rFonts w:eastAsiaTheme="majorEastAsia" w:cs="Arial"/>
          <w:bCs/>
          <w:szCs w:val="20"/>
        </w:rPr>
        <w:t xml:space="preserve">nadomesti z </w:t>
      </w:r>
      <w:r w:rsidRPr="00445B9C">
        <w:rPr>
          <w:rFonts w:eastAsiaTheme="majorEastAsia" w:cs="Arial"/>
          <w:bCs/>
          <w:szCs w:val="20"/>
        </w:rPr>
        <w:t>besed</w:t>
      </w:r>
      <w:r w:rsidR="00891EE2" w:rsidRPr="00445B9C">
        <w:rPr>
          <w:rFonts w:eastAsiaTheme="majorEastAsia" w:cs="Arial"/>
          <w:bCs/>
          <w:szCs w:val="20"/>
        </w:rPr>
        <w:t>ilom</w:t>
      </w:r>
      <w:r w:rsidRPr="00445B9C">
        <w:rPr>
          <w:rFonts w:eastAsiaTheme="majorEastAsia" w:cs="Arial"/>
          <w:bCs/>
          <w:szCs w:val="20"/>
        </w:rPr>
        <w:t xml:space="preserve"> »</w:t>
      </w:r>
      <w:r w:rsidR="00891EE2" w:rsidRPr="00445B9C">
        <w:rPr>
          <w:rFonts w:eastAsiaTheme="majorEastAsia" w:cs="Arial"/>
          <w:bCs/>
          <w:szCs w:val="20"/>
        </w:rPr>
        <w:t>borznoposredniška družba, kreditna družba, banka</w:t>
      </w:r>
      <w:r w:rsidRPr="00445B9C">
        <w:rPr>
          <w:rFonts w:eastAsiaTheme="majorEastAsia" w:cs="Arial"/>
          <w:bCs/>
          <w:szCs w:val="20"/>
        </w:rPr>
        <w:t>«</w:t>
      </w:r>
      <w:r w:rsidR="00891EE2" w:rsidRPr="00445B9C">
        <w:rPr>
          <w:rFonts w:eastAsiaTheme="majorEastAsia" w:cs="Arial"/>
          <w:bCs/>
          <w:szCs w:val="20"/>
        </w:rPr>
        <w:t>.</w:t>
      </w:r>
    </w:p>
    <w:p w:rsidR="00A56649" w:rsidRPr="00445B9C" w:rsidRDefault="00891EE2" w:rsidP="00B510AE">
      <w:pPr>
        <w:rPr>
          <w:rFonts w:cs="Arial"/>
          <w:szCs w:val="20"/>
        </w:rPr>
      </w:pPr>
      <w:r w:rsidRPr="00445B9C">
        <w:rPr>
          <w:rFonts w:cs="Arial"/>
          <w:szCs w:val="20"/>
        </w:rPr>
        <w:t xml:space="preserve">V </w:t>
      </w:r>
      <w:r w:rsidR="00A56649" w:rsidRPr="00445B9C">
        <w:rPr>
          <w:rFonts w:cs="Arial"/>
          <w:szCs w:val="20"/>
        </w:rPr>
        <w:t>6. točk</w:t>
      </w:r>
      <w:r w:rsidRPr="00445B9C">
        <w:rPr>
          <w:rFonts w:cs="Arial"/>
          <w:szCs w:val="20"/>
        </w:rPr>
        <w:t>i</w:t>
      </w:r>
      <w:r w:rsidR="00A56649" w:rsidRPr="00445B9C">
        <w:rPr>
          <w:rFonts w:cs="Arial"/>
          <w:szCs w:val="20"/>
        </w:rPr>
        <w:t xml:space="preserve"> se za besed</w:t>
      </w:r>
      <w:r w:rsidRPr="00445B9C">
        <w:rPr>
          <w:rFonts w:cs="Arial"/>
          <w:szCs w:val="20"/>
        </w:rPr>
        <w:t>ilom</w:t>
      </w:r>
      <w:r w:rsidR="00A56649" w:rsidRPr="00445B9C">
        <w:rPr>
          <w:rFonts w:cs="Arial"/>
          <w:szCs w:val="20"/>
        </w:rPr>
        <w:t xml:space="preserve"> »borznoposredniške družbe« doda</w:t>
      </w:r>
      <w:r w:rsidRPr="00445B9C">
        <w:rPr>
          <w:rFonts w:cs="Arial"/>
          <w:szCs w:val="20"/>
        </w:rPr>
        <w:t>ta</w:t>
      </w:r>
      <w:r w:rsidR="00A56649" w:rsidRPr="00445B9C">
        <w:rPr>
          <w:rFonts w:cs="Arial"/>
          <w:szCs w:val="20"/>
        </w:rPr>
        <w:t xml:space="preserve"> vejica in </w:t>
      </w:r>
      <w:r w:rsidR="00483AE8" w:rsidRPr="00445B9C">
        <w:rPr>
          <w:rFonts w:cs="Arial"/>
          <w:szCs w:val="20"/>
        </w:rPr>
        <w:t>besed</w:t>
      </w:r>
      <w:r w:rsidRPr="00445B9C">
        <w:rPr>
          <w:rFonts w:cs="Arial"/>
          <w:szCs w:val="20"/>
        </w:rPr>
        <w:t>ilo</w:t>
      </w:r>
      <w:r w:rsidR="00483AE8" w:rsidRPr="00445B9C">
        <w:rPr>
          <w:rFonts w:cs="Arial"/>
          <w:szCs w:val="20"/>
        </w:rPr>
        <w:t xml:space="preserve"> </w:t>
      </w:r>
      <w:r w:rsidR="00A56649" w:rsidRPr="00445B9C">
        <w:rPr>
          <w:rFonts w:cs="Arial"/>
          <w:szCs w:val="20"/>
        </w:rPr>
        <w:t>»kreditne družbe«</w:t>
      </w:r>
      <w:r w:rsidRPr="00445B9C">
        <w:rPr>
          <w:rFonts w:cs="Arial"/>
          <w:szCs w:val="20"/>
        </w:rPr>
        <w:t>.</w:t>
      </w:r>
    </w:p>
    <w:p w:rsidR="00891EE2" w:rsidRPr="00445B9C" w:rsidRDefault="00891EE2" w:rsidP="00891EE2">
      <w:pPr>
        <w:rPr>
          <w:rFonts w:cs="Arial"/>
          <w:szCs w:val="20"/>
        </w:rPr>
      </w:pPr>
    </w:p>
    <w:p w:rsidR="00A56649" w:rsidRPr="00445B9C" w:rsidRDefault="00891EE2" w:rsidP="00B510AE">
      <w:pPr>
        <w:rPr>
          <w:rFonts w:cs="Arial"/>
          <w:szCs w:val="20"/>
        </w:rPr>
      </w:pPr>
      <w:r w:rsidRPr="00445B9C">
        <w:rPr>
          <w:rFonts w:cs="Arial"/>
          <w:szCs w:val="20"/>
        </w:rPr>
        <w:t>V</w:t>
      </w:r>
      <w:r w:rsidR="00483AE8" w:rsidRPr="00445B9C">
        <w:rPr>
          <w:rFonts w:cs="Arial"/>
          <w:szCs w:val="20"/>
        </w:rPr>
        <w:t xml:space="preserve"> </w:t>
      </w:r>
      <w:r w:rsidR="00A56649" w:rsidRPr="00445B9C">
        <w:rPr>
          <w:rFonts w:cs="Arial"/>
          <w:szCs w:val="20"/>
        </w:rPr>
        <w:t xml:space="preserve">19. </w:t>
      </w:r>
      <w:r w:rsidR="007C5912" w:rsidRPr="00445B9C">
        <w:rPr>
          <w:rFonts w:cs="Arial"/>
          <w:szCs w:val="20"/>
        </w:rPr>
        <w:t xml:space="preserve">točki </w:t>
      </w:r>
      <w:r w:rsidRPr="00445B9C">
        <w:rPr>
          <w:rFonts w:cs="Arial"/>
          <w:szCs w:val="20"/>
        </w:rPr>
        <w:t xml:space="preserve">se </w:t>
      </w:r>
      <w:r w:rsidR="007C5912" w:rsidRPr="00445B9C">
        <w:rPr>
          <w:rFonts w:cs="Arial"/>
          <w:szCs w:val="20"/>
        </w:rPr>
        <w:t xml:space="preserve">beseda </w:t>
      </w:r>
      <w:r w:rsidR="00A56649" w:rsidRPr="00445B9C">
        <w:rPr>
          <w:rFonts w:cs="Arial"/>
          <w:szCs w:val="20"/>
        </w:rPr>
        <w:t>»šestim« nadomesti z besedo »petim«</w:t>
      </w:r>
      <w:r w:rsidR="00FD659F" w:rsidRPr="00445B9C">
        <w:rPr>
          <w:rFonts w:cs="Arial"/>
          <w:szCs w:val="20"/>
        </w:rPr>
        <w:t>.</w:t>
      </w:r>
      <w:r w:rsidR="00A56649" w:rsidRPr="00445B9C">
        <w:rPr>
          <w:rFonts w:cs="Arial"/>
          <w:szCs w:val="20"/>
        </w:rPr>
        <w:t xml:space="preserve"> </w:t>
      </w:r>
    </w:p>
    <w:p w:rsidR="00A56649" w:rsidRPr="00445B9C" w:rsidRDefault="00A56649" w:rsidP="00BA786D">
      <w:pPr>
        <w:spacing w:before="240" w:after="240" w:line="259" w:lineRule="auto"/>
        <w:jc w:val="both"/>
        <w:outlineLvl w:val="0"/>
        <w:rPr>
          <w:rFonts w:eastAsiaTheme="majorEastAsia" w:cs="Arial"/>
          <w:bCs/>
          <w:szCs w:val="20"/>
        </w:rPr>
      </w:pPr>
      <w:r w:rsidRPr="00445B9C">
        <w:rPr>
          <w:rFonts w:eastAsiaTheme="majorEastAsia" w:cs="Arial"/>
          <w:bCs/>
          <w:szCs w:val="20"/>
        </w:rPr>
        <w:t>Drugi odstavek se črta</w:t>
      </w:r>
      <w:r w:rsidR="009C2E5A" w:rsidRPr="00445B9C">
        <w:rPr>
          <w:rFonts w:eastAsiaTheme="majorEastAsia" w:cs="Arial"/>
          <w:bCs/>
          <w:szCs w:val="20"/>
        </w:rPr>
        <w:t>.</w:t>
      </w:r>
    </w:p>
    <w:p w:rsidR="009C2E5A" w:rsidRPr="00445B9C" w:rsidRDefault="009C2E5A"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tretjem odstavku se v napovednem stavku črta besed</w:t>
      </w:r>
      <w:r w:rsidR="00891EE2" w:rsidRPr="00445B9C">
        <w:rPr>
          <w:rFonts w:eastAsiaTheme="majorEastAsia" w:cs="Arial"/>
          <w:bCs/>
          <w:szCs w:val="20"/>
        </w:rPr>
        <w:t>ilo</w:t>
      </w:r>
      <w:r w:rsidRPr="00445B9C">
        <w:rPr>
          <w:rFonts w:eastAsiaTheme="majorEastAsia" w:cs="Arial"/>
          <w:bCs/>
          <w:szCs w:val="20"/>
        </w:rPr>
        <w:t xml:space="preserve"> »in drugega«</w:t>
      </w:r>
      <w:r w:rsidR="00D90BD3" w:rsidRPr="00445B9C">
        <w:rPr>
          <w:rFonts w:eastAsiaTheme="majorEastAsia" w:cs="Arial"/>
          <w:bCs/>
          <w:szCs w:val="20"/>
        </w:rPr>
        <w:t>.</w:t>
      </w:r>
    </w:p>
    <w:p w:rsidR="009C2E5A" w:rsidRPr="00445B9C" w:rsidRDefault="009C2E5A"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četrtem</w:t>
      </w:r>
      <w:r w:rsidR="00D90BD3" w:rsidRPr="00445B9C">
        <w:rPr>
          <w:rFonts w:eastAsiaTheme="majorEastAsia" w:cs="Arial"/>
          <w:bCs/>
          <w:szCs w:val="20"/>
        </w:rPr>
        <w:t>, petem in šestem</w:t>
      </w:r>
      <w:r w:rsidRPr="00445B9C">
        <w:rPr>
          <w:rFonts w:eastAsiaTheme="majorEastAsia" w:cs="Arial"/>
          <w:bCs/>
          <w:szCs w:val="20"/>
        </w:rPr>
        <w:t xml:space="preserve"> odstavku se črta besedilo »ali sistematičnega </w:t>
      </w:r>
      <w:proofErr w:type="spellStart"/>
      <w:r w:rsidRPr="00445B9C">
        <w:rPr>
          <w:rFonts w:eastAsiaTheme="majorEastAsia" w:cs="Arial"/>
          <w:bCs/>
          <w:szCs w:val="20"/>
        </w:rPr>
        <w:t>internalizatorja</w:t>
      </w:r>
      <w:proofErr w:type="spellEnd"/>
      <w:r w:rsidRPr="00445B9C">
        <w:rPr>
          <w:rFonts w:eastAsiaTheme="majorEastAsia" w:cs="Arial"/>
          <w:bCs/>
          <w:szCs w:val="20"/>
        </w:rPr>
        <w:t>«</w:t>
      </w:r>
      <w:r w:rsidR="00D90BD3" w:rsidRPr="00445B9C">
        <w:rPr>
          <w:rFonts w:eastAsiaTheme="majorEastAsia" w:cs="Arial"/>
          <w:bCs/>
          <w:szCs w:val="20"/>
        </w:rPr>
        <w:t>.</w:t>
      </w:r>
    </w:p>
    <w:p w:rsidR="009C2E5A" w:rsidRPr="00445B9C" w:rsidRDefault="009C2E5A"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sedmem odstavku se </w:t>
      </w:r>
      <w:r w:rsidR="00762F52" w:rsidRPr="00445B9C">
        <w:rPr>
          <w:rFonts w:eastAsiaTheme="majorEastAsia" w:cs="Arial"/>
          <w:bCs/>
          <w:szCs w:val="20"/>
        </w:rPr>
        <w:t xml:space="preserve">besedilo </w:t>
      </w:r>
      <w:r w:rsidRPr="00445B9C">
        <w:rPr>
          <w:rFonts w:eastAsiaTheme="majorEastAsia" w:cs="Arial"/>
          <w:bCs/>
          <w:szCs w:val="20"/>
        </w:rPr>
        <w:t xml:space="preserve">»ali sistematičnega </w:t>
      </w:r>
      <w:proofErr w:type="spellStart"/>
      <w:r w:rsidRPr="00445B9C">
        <w:rPr>
          <w:rFonts w:eastAsiaTheme="majorEastAsia" w:cs="Arial"/>
          <w:bCs/>
          <w:szCs w:val="20"/>
        </w:rPr>
        <w:t>internalizatorja</w:t>
      </w:r>
      <w:proofErr w:type="spellEnd"/>
      <w:r w:rsidRPr="00445B9C">
        <w:rPr>
          <w:rFonts w:eastAsiaTheme="majorEastAsia" w:cs="Arial"/>
          <w:bCs/>
          <w:szCs w:val="20"/>
        </w:rPr>
        <w:t>«</w:t>
      </w:r>
      <w:r w:rsidR="00762F52" w:rsidRPr="00445B9C">
        <w:rPr>
          <w:rFonts w:eastAsiaTheme="majorEastAsia" w:cs="Arial"/>
          <w:bCs/>
          <w:szCs w:val="20"/>
        </w:rPr>
        <w:t xml:space="preserve"> </w:t>
      </w:r>
      <w:r w:rsidR="00891EE2" w:rsidRPr="00445B9C">
        <w:rPr>
          <w:rFonts w:eastAsiaTheme="majorEastAsia" w:cs="Arial"/>
          <w:bCs/>
          <w:szCs w:val="20"/>
        </w:rPr>
        <w:t xml:space="preserve">črta, </w:t>
      </w:r>
      <w:r w:rsidRPr="00445B9C">
        <w:rPr>
          <w:rFonts w:eastAsiaTheme="majorEastAsia" w:cs="Arial"/>
          <w:bCs/>
          <w:szCs w:val="20"/>
        </w:rPr>
        <w:t>za besed</w:t>
      </w:r>
      <w:r w:rsidR="00891EE2" w:rsidRPr="00445B9C">
        <w:rPr>
          <w:rFonts w:eastAsiaTheme="majorEastAsia" w:cs="Arial"/>
          <w:bCs/>
          <w:szCs w:val="20"/>
        </w:rPr>
        <w:t>ilom</w:t>
      </w:r>
      <w:r w:rsidRPr="00445B9C">
        <w:rPr>
          <w:rFonts w:eastAsiaTheme="majorEastAsia" w:cs="Arial"/>
          <w:bCs/>
          <w:szCs w:val="20"/>
        </w:rPr>
        <w:t xml:space="preserve"> »borznoposredniške družbe« </w:t>
      </w:r>
      <w:r w:rsidR="00891EE2" w:rsidRPr="00445B9C">
        <w:rPr>
          <w:rFonts w:eastAsiaTheme="majorEastAsia" w:cs="Arial"/>
          <w:bCs/>
          <w:szCs w:val="20"/>
        </w:rPr>
        <w:t xml:space="preserve">pa se </w:t>
      </w:r>
      <w:r w:rsidRPr="00445B9C">
        <w:rPr>
          <w:rFonts w:eastAsiaTheme="majorEastAsia" w:cs="Arial"/>
          <w:bCs/>
          <w:szCs w:val="20"/>
        </w:rPr>
        <w:t>doda</w:t>
      </w:r>
      <w:r w:rsidR="00891EE2" w:rsidRPr="00445B9C">
        <w:rPr>
          <w:rFonts w:eastAsiaTheme="majorEastAsia" w:cs="Arial"/>
          <w:bCs/>
          <w:szCs w:val="20"/>
        </w:rPr>
        <w:t>ta</w:t>
      </w:r>
      <w:r w:rsidRPr="00445B9C">
        <w:rPr>
          <w:rFonts w:eastAsiaTheme="majorEastAsia" w:cs="Arial"/>
          <w:bCs/>
          <w:szCs w:val="20"/>
        </w:rPr>
        <w:t xml:space="preserve"> vejic</w:t>
      </w:r>
      <w:r w:rsidR="00891EE2" w:rsidRPr="00445B9C">
        <w:rPr>
          <w:rFonts w:eastAsiaTheme="majorEastAsia" w:cs="Arial"/>
          <w:bCs/>
          <w:szCs w:val="20"/>
        </w:rPr>
        <w:t>a</w:t>
      </w:r>
      <w:r w:rsidRPr="00445B9C">
        <w:rPr>
          <w:rFonts w:eastAsiaTheme="majorEastAsia" w:cs="Arial"/>
          <w:bCs/>
          <w:szCs w:val="20"/>
        </w:rPr>
        <w:t xml:space="preserve"> in </w:t>
      </w:r>
      <w:r w:rsidR="00483AE8" w:rsidRPr="00445B9C">
        <w:rPr>
          <w:rFonts w:eastAsiaTheme="majorEastAsia" w:cs="Arial"/>
          <w:bCs/>
          <w:szCs w:val="20"/>
        </w:rPr>
        <w:t>besed</w:t>
      </w:r>
      <w:r w:rsidR="00891EE2" w:rsidRPr="00445B9C">
        <w:rPr>
          <w:rFonts w:eastAsiaTheme="majorEastAsia" w:cs="Arial"/>
          <w:bCs/>
          <w:szCs w:val="20"/>
        </w:rPr>
        <w:t>ilo</w:t>
      </w:r>
      <w:r w:rsidR="00483AE8" w:rsidRPr="00445B9C">
        <w:rPr>
          <w:rFonts w:eastAsiaTheme="majorEastAsia" w:cs="Arial"/>
          <w:bCs/>
          <w:szCs w:val="20"/>
        </w:rPr>
        <w:t xml:space="preserve"> </w:t>
      </w:r>
      <w:r w:rsidRPr="00445B9C">
        <w:rPr>
          <w:rFonts w:eastAsiaTheme="majorEastAsia" w:cs="Arial"/>
          <w:bCs/>
          <w:szCs w:val="20"/>
        </w:rPr>
        <w:t>»kreditne družbe«</w:t>
      </w:r>
      <w:r w:rsidR="00762F52" w:rsidRPr="00445B9C">
        <w:rPr>
          <w:rFonts w:eastAsiaTheme="majorEastAsia" w:cs="Arial"/>
          <w:bCs/>
          <w:szCs w:val="20"/>
        </w:rPr>
        <w:t>.</w:t>
      </w:r>
    </w:p>
    <w:p w:rsidR="006A2506" w:rsidRPr="00445B9C" w:rsidRDefault="006A2506" w:rsidP="00F810E6">
      <w:pPr>
        <w:numPr>
          <w:ilvl w:val="0"/>
          <w:numId w:val="16"/>
        </w:numPr>
        <w:spacing w:before="240" w:after="240" w:line="259" w:lineRule="auto"/>
        <w:ind w:left="567" w:hanging="357"/>
        <w:jc w:val="center"/>
        <w:outlineLvl w:val="0"/>
        <w:rPr>
          <w:rFonts w:eastAsiaTheme="majorEastAsia" w:cs="Arial"/>
          <w:b/>
          <w:szCs w:val="20"/>
        </w:rPr>
      </w:pPr>
      <w:bookmarkStart w:id="61" w:name="_Ref192070590"/>
      <w:r w:rsidRPr="00445B9C">
        <w:rPr>
          <w:rFonts w:eastAsiaTheme="majorEastAsia" w:cs="Arial"/>
          <w:b/>
          <w:szCs w:val="20"/>
        </w:rPr>
        <w:t>člen</w:t>
      </w:r>
      <w:bookmarkEnd w:id="61"/>
    </w:p>
    <w:p w:rsidR="00C4684F" w:rsidRPr="00445B9C" w:rsidRDefault="00C4684F" w:rsidP="00C4684F">
      <w:pPr>
        <w:jc w:val="both"/>
        <w:rPr>
          <w:rFonts w:eastAsiaTheme="majorEastAsia" w:cs="Arial"/>
          <w:szCs w:val="20"/>
        </w:rPr>
      </w:pPr>
      <w:bookmarkStart w:id="62" w:name="_Hlk195607985"/>
      <w:r w:rsidRPr="00445B9C">
        <w:rPr>
          <w:rFonts w:eastAsiaTheme="majorEastAsia" w:cs="Arial"/>
          <w:szCs w:val="20"/>
        </w:rPr>
        <w:t>V 532. členu se naslov člena spremeni tako, da se glasi:</w:t>
      </w:r>
    </w:p>
    <w:p w:rsidR="00454AA1" w:rsidRPr="00445B9C" w:rsidRDefault="00454AA1" w:rsidP="00C4684F">
      <w:pPr>
        <w:jc w:val="both"/>
        <w:rPr>
          <w:rFonts w:eastAsiaTheme="majorEastAsia" w:cs="Arial"/>
          <w:szCs w:val="20"/>
        </w:rPr>
      </w:pPr>
    </w:p>
    <w:p w:rsidR="00C4684F" w:rsidRPr="00445B9C" w:rsidRDefault="00C4684F" w:rsidP="00C4684F">
      <w:pPr>
        <w:jc w:val="both"/>
        <w:rPr>
          <w:rFonts w:eastAsiaTheme="majorEastAsia" w:cs="Arial"/>
          <w:szCs w:val="20"/>
        </w:rPr>
      </w:pPr>
      <w:r w:rsidRPr="00445B9C">
        <w:rPr>
          <w:rFonts w:eastAsiaTheme="majorEastAsia" w:cs="Arial"/>
          <w:szCs w:val="20"/>
        </w:rPr>
        <w:t>»(druge hujše kršitve borznoposredniške družbe, kreditne družbe ali banke)«.</w:t>
      </w:r>
    </w:p>
    <w:p w:rsidR="00C4684F" w:rsidRPr="00445B9C" w:rsidRDefault="00C4684F">
      <w:pPr>
        <w:jc w:val="both"/>
        <w:rPr>
          <w:rFonts w:eastAsiaTheme="majorEastAsia" w:cs="Arial"/>
          <w:szCs w:val="20"/>
        </w:rPr>
      </w:pPr>
    </w:p>
    <w:p w:rsidR="00DE7839" w:rsidRPr="00445B9C" w:rsidRDefault="0038544A" w:rsidP="00B510AE">
      <w:pPr>
        <w:jc w:val="both"/>
        <w:rPr>
          <w:rFonts w:eastAsiaTheme="majorEastAsia" w:cs="Arial"/>
          <w:szCs w:val="20"/>
        </w:rPr>
      </w:pPr>
      <w:r w:rsidRPr="00445B9C">
        <w:rPr>
          <w:rFonts w:eastAsiaTheme="majorEastAsia" w:cs="Arial"/>
          <w:szCs w:val="20"/>
        </w:rPr>
        <w:t>V prve</w:t>
      </w:r>
      <w:r w:rsidR="00AF7083" w:rsidRPr="00445B9C">
        <w:rPr>
          <w:rFonts w:eastAsiaTheme="majorEastAsia" w:cs="Arial"/>
          <w:szCs w:val="20"/>
        </w:rPr>
        <w:t>m</w:t>
      </w:r>
      <w:r w:rsidRPr="00445B9C">
        <w:rPr>
          <w:rFonts w:eastAsiaTheme="majorEastAsia" w:cs="Arial"/>
          <w:szCs w:val="20"/>
        </w:rPr>
        <w:t xml:space="preserve"> odstavk</w:t>
      </w:r>
      <w:r w:rsidR="00AF7083" w:rsidRPr="00445B9C">
        <w:rPr>
          <w:rFonts w:eastAsiaTheme="majorEastAsia" w:cs="Arial"/>
          <w:szCs w:val="20"/>
        </w:rPr>
        <w:t>u</w:t>
      </w:r>
      <w:r w:rsidR="00C4684F" w:rsidRPr="00445B9C">
        <w:rPr>
          <w:rFonts w:eastAsiaTheme="majorEastAsia" w:cs="Arial"/>
          <w:szCs w:val="20"/>
        </w:rPr>
        <w:t xml:space="preserve"> se</w:t>
      </w:r>
      <w:r w:rsidR="00AF7083" w:rsidRPr="00445B9C">
        <w:rPr>
          <w:rFonts w:eastAsiaTheme="majorEastAsia" w:cs="Arial"/>
          <w:szCs w:val="20"/>
        </w:rPr>
        <w:t xml:space="preserve"> napovedni stavek</w:t>
      </w:r>
      <w:r w:rsidRPr="00445B9C">
        <w:rPr>
          <w:rFonts w:eastAsiaTheme="majorEastAsia" w:cs="Arial"/>
          <w:szCs w:val="20"/>
        </w:rPr>
        <w:t xml:space="preserve"> spremeni tako, da se glasi:</w:t>
      </w:r>
    </w:p>
    <w:p w:rsidR="0038544A" w:rsidRPr="00445B9C" w:rsidRDefault="0038544A" w:rsidP="00B510AE">
      <w:pPr>
        <w:jc w:val="both"/>
        <w:rPr>
          <w:rFonts w:eastAsiaTheme="majorEastAsia" w:cs="Arial"/>
          <w:szCs w:val="20"/>
        </w:rPr>
      </w:pPr>
    </w:p>
    <w:p w:rsidR="00AF7083" w:rsidRPr="00445B9C" w:rsidRDefault="0038544A" w:rsidP="00B510AE">
      <w:pPr>
        <w:jc w:val="both"/>
        <w:rPr>
          <w:rFonts w:eastAsiaTheme="majorEastAsia" w:cs="Arial"/>
          <w:szCs w:val="20"/>
        </w:rPr>
      </w:pPr>
      <w:r w:rsidRPr="00445B9C">
        <w:rPr>
          <w:rFonts w:eastAsiaTheme="majorEastAsia" w:cs="Arial"/>
          <w:szCs w:val="20"/>
        </w:rPr>
        <w:t>»(1) Z globo od 25.000 do 250.000 eurov se za prekršek kaznuje borznoposredniška družba, kreditna družba ali banka, z globo od 80.000 do 500.000 eurov pa borznoposredniška družba, kreditna družba ali banka, ki se po ZGD-1 šteje za srednjo ali veliko gospodarsko družbo, če:«</w:t>
      </w:r>
      <w:r w:rsidR="00AF7083" w:rsidRPr="00445B9C">
        <w:rPr>
          <w:rFonts w:eastAsiaTheme="majorEastAsia" w:cs="Arial"/>
          <w:szCs w:val="20"/>
        </w:rPr>
        <w:t>.</w:t>
      </w:r>
    </w:p>
    <w:p w:rsidR="00AF7083" w:rsidRPr="00445B9C" w:rsidRDefault="00AF7083" w:rsidP="00B510AE">
      <w:pPr>
        <w:jc w:val="both"/>
        <w:rPr>
          <w:rFonts w:eastAsiaTheme="majorEastAsia" w:cs="Arial"/>
          <w:szCs w:val="20"/>
        </w:rPr>
      </w:pPr>
    </w:p>
    <w:p w:rsidR="00AF7083" w:rsidRPr="00445B9C" w:rsidRDefault="00AF7083" w:rsidP="00B510AE">
      <w:pPr>
        <w:jc w:val="both"/>
        <w:rPr>
          <w:rFonts w:cs="Arial"/>
          <w:szCs w:val="20"/>
        </w:rPr>
      </w:pPr>
      <w:r w:rsidRPr="00445B9C">
        <w:rPr>
          <w:rFonts w:cs="Arial"/>
          <w:szCs w:val="20"/>
        </w:rPr>
        <w:t>V</w:t>
      </w:r>
      <w:r w:rsidR="007C5912" w:rsidRPr="00445B9C">
        <w:rPr>
          <w:rFonts w:cs="Arial"/>
          <w:szCs w:val="20"/>
        </w:rPr>
        <w:t xml:space="preserve"> </w:t>
      </w:r>
      <w:r w:rsidR="0038544A" w:rsidRPr="00445B9C">
        <w:rPr>
          <w:rFonts w:cs="Arial"/>
          <w:szCs w:val="20"/>
        </w:rPr>
        <w:t xml:space="preserve">35. </w:t>
      </w:r>
      <w:r w:rsidR="007C5912" w:rsidRPr="00445B9C">
        <w:rPr>
          <w:rFonts w:cs="Arial"/>
          <w:szCs w:val="20"/>
        </w:rPr>
        <w:t xml:space="preserve">točki </w:t>
      </w:r>
      <w:r w:rsidRPr="00445B9C">
        <w:rPr>
          <w:rFonts w:cs="Arial"/>
          <w:szCs w:val="20"/>
        </w:rPr>
        <w:t xml:space="preserve">se </w:t>
      </w:r>
      <w:r w:rsidR="00132F57" w:rsidRPr="00445B9C">
        <w:rPr>
          <w:rFonts w:cs="Arial"/>
          <w:szCs w:val="20"/>
        </w:rPr>
        <w:t>črta besedilo »in ukrepov za nadzor in varovanje informacijskih sistemov za obdelavo podatkov«</w:t>
      </w:r>
      <w:r w:rsidRPr="00445B9C">
        <w:rPr>
          <w:rFonts w:cs="Arial"/>
          <w:szCs w:val="20"/>
        </w:rPr>
        <w:t>.</w:t>
      </w:r>
    </w:p>
    <w:p w:rsidR="002C20CB" w:rsidRPr="00445B9C" w:rsidRDefault="00132F57" w:rsidP="00B510AE">
      <w:pPr>
        <w:jc w:val="both"/>
        <w:rPr>
          <w:rFonts w:cs="Arial"/>
          <w:szCs w:val="20"/>
        </w:rPr>
      </w:pPr>
      <w:r w:rsidRPr="00445B9C">
        <w:rPr>
          <w:rFonts w:cs="Arial"/>
          <w:szCs w:val="20"/>
        </w:rPr>
        <w:t xml:space="preserve"> </w:t>
      </w:r>
    </w:p>
    <w:p w:rsidR="00341703" w:rsidRPr="00445B9C" w:rsidRDefault="00AF7083" w:rsidP="00B510AE">
      <w:pPr>
        <w:jc w:val="both"/>
        <w:rPr>
          <w:rFonts w:cs="Arial"/>
          <w:szCs w:val="20"/>
        </w:rPr>
      </w:pPr>
      <w:r w:rsidRPr="00445B9C">
        <w:rPr>
          <w:rFonts w:cs="Arial"/>
          <w:szCs w:val="20"/>
        </w:rPr>
        <w:t>V</w:t>
      </w:r>
      <w:r w:rsidR="007C5912" w:rsidRPr="00445B9C">
        <w:rPr>
          <w:rFonts w:cs="Arial"/>
          <w:szCs w:val="20"/>
        </w:rPr>
        <w:t xml:space="preserve"> </w:t>
      </w:r>
      <w:r w:rsidR="002C20CB" w:rsidRPr="00445B9C">
        <w:rPr>
          <w:rFonts w:cs="Arial"/>
          <w:szCs w:val="20"/>
        </w:rPr>
        <w:t xml:space="preserve">36. </w:t>
      </w:r>
      <w:r w:rsidR="007C5912" w:rsidRPr="00445B9C">
        <w:rPr>
          <w:rFonts w:cs="Arial"/>
          <w:szCs w:val="20"/>
        </w:rPr>
        <w:t xml:space="preserve">točki </w:t>
      </w:r>
      <w:r w:rsidRPr="00445B9C">
        <w:rPr>
          <w:rFonts w:cs="Arial"/>
          <w:szCs w:val="20"/>
        </w:rPr>
        <w:t xml:space="preserve">se </w:t>
      </w:r>
      <w:r w:rsidR="002C20CB" w:rsidRPr="00445B9C">
        <w:rPr>
          <w:rFonts w:cs="Arial"/>
          <w:szCs w:val="20"/>
        </w:rPr>
        <w:t>za besedo »mehanizmov« doda besedilo »v skladu z zahtevami Uredbe 2022/2554/EU«</w:t>
      </w:r>
      <w:r w:rsidRPr="00445B9C">
        <w:rPr>
          <w:rFonts w:cs="Arial"/>
          <w:szCs w:val="20"/>
        </w:rPr>
        <w:t>.</w:t>
      </w:r>
    </w:p>
    <w:p w:rsidR="00AF7083" w:rsidRPr="00445B9C" w:rsidRDefault="00AF7083" w:rsidP="00B510AE">
      <w:pPr>
        <w:jc w:val="both"/>
        <w:rPr>
          <w:rFonts w:cs="Arial"/>
          <w:szCs w:val="20"/>
        </w:rPr>
      </w:pPr>
    </w:p>
    <w:p w:rsidR="00341703" w:rsidRPr="00445B9C" w:rsidRDefault="00341703" w:rsidP="00B510AE">
      <w:pPr>
        <w:jc w:val="both"/>
        <w:rPr>
          <w:rFonts w:cs="Arial"/>
          <w:szCs w:val="20"/>
        </w:rPr>
      </w:pPr>
      <w:r w:rsidRPr="00445B9C">
        <w:rPr>
          <w:rFonts w:cs="Arial"/>
          <w:szCs w:val="20"/>
        </w:rPr>
        <w:t xml:space="preserve">49. točka </w:t>
      </w:r>
      <w:r w:rsidR="00AF7083" w:rsidRPr="00445B9C">
        <w:rPr>
          <w:rFonts w:cs="Arial"/>
          <w:szCs w:val="20"/>
        </w:rPr>
        <w:t xml:space="preserve">se </w:t>
      </w:r>
      <w:r w:rsidRPr="00445B9C">
        <w:rPr>
          <w:rFonts w:cs="Arial"/>
          <w:szCs w:val="20"/>
        </w:rPr>
        <w:t>spremeni tako, da se glasi:</w:t>
      </w:r>
    </w:p>
    <w:p w:rsidR="005F04B2" w:rsidRPr="00445B9C" w:rsidRDefault="005F04B2" w:rsidP="00B510AE">
      <w:pPr>
        <w:jc w:val="both"/>
        <w:rPr>
          <w:rFonts w:cs="Arial"/>
          <w:szCs w:val="20"/>
        </w:rPr>
      </w:pPr>
    </w:p>
    <w:p w:rsidR="00341703" w:rsidRPr="00445B9C" w:rsidRDefault="00341703" w:rsidP="00B510AE">
      <w:pPr>
        <w:jc w:val="both"/>
        <w:rPr>
          <w:rFonts w:eastAsiaTheme="majorEastAsia" w:cs="Arial"/>
          <w:szCs w:val="20"/>
        </w:rPr>
      </w:pPr>
      <w:r w:rsidRPr="00445B9C">
        <w:rPr>
          <w:rFonts w:eastAsiaTheme="majorEastAsia" w:cs="Arial"/>
          <w:szCs w:val="20"/>
        </w:rPr>
        <w:t>»49. trguje z izvedenimi finančnimi instrumenti na blago ali izvedenimi finančnimi instrumenti na emisijske kupone izven mesta trgovanja in agenciji ne poroča v skladu s tretjim odstavkom 332. člena tega zakona;«</w:t>
      </w:r>
      <w:r w:rsidR="00706DBF" w:rsidRPr="00445B9C">
        <w:rPr>
          <w:rFonts w:eastAsiaTheme="majorEastAsia" w:cs="Arial"/>
          <w:szCs w:val="20"/>
        </w:rPr>
        <w:t>.</w:t>
      </w:r>
    </w:p>
    <w:p w:rsidR="00341703" w:rsidRPr="00445B9C" w:rsidRDefault="00341703" w:rsidP="00B510AE">
      <w:pPr>
        <w:jc w:val="both"/>
        <w:rPr>
          <w:rFonts w:eastAsiaTheme="majorEastAsia" w:cs="Arial"/>
          <w:szCs w:val="20"/>
        </w:rPr>
      </w:pPr>
    </w:p>
    <w:p w:rsidR="006C4DE0" w:rsidRPr="00445B9C" w:rsidRDefault="007C5912" w:rsidP="00B510AE">
      <w:pPr>
        <w:jc w:val="both"/>
        <w:rPr>
          <w:rFonts w:eastAsiaTheme="majorEastAsia" w:cs="Arial"/>
          <w:szCs w:val="20"/>
        </w:rPr>
      </w:pPr>
      <w:r w:rsidRPr="00445B9C">
        <w:rPr>
          <w:rFonts w:eastAsiaTheme="majorEastAsia" w:cs="Arial"/>
          <w:szCs w:val="20"/>
        </w:rPr>
        <w:t xml:space="preserve">V četrtem, petem, šestem in sedmem odstavku </w:t>
      </w:r>
      <w:r w:rsidR="00341703" w:rsidRPr="00445B9C">
        <w:rPr>
          <w:rFonts w:eastAsiaTheme="majorEastAsia" w:cs="Arial"/>
          <w:szCs w:val="20"/>
        </w:rPr>
        <w:t xml:space="preserve">se za </w:t>
      </w:r>
      <w:r w:rsidR="00A76A28" w:rsidRPr="00445B9C">
        <w:rPr>
          <w:rFonts w:eastAsiaTheme="majorEastAsia" w:cs="Arial"/>
          <w:szCs w:val="20"/>
        </w:rPr>
        <w:t>besed</w:t>
      </w:r>
      <w:r w:rsidR="00AF7083" w:rsidRPr="00445B9C">
        <w:rPr>
          <w:rFonts w:eastAsiaTheme="majorEastAsia" w:cs="Arial"/>
          <w:szCs w:val="20"/>
        </w:rPr>
        <w:t>ilom</w:t>
      </w:r>
      <w:r w:rsidR="00A76A28" w:rsidRPr="00445B9C">
        <w:rPr>
          <w:rFonts w:eastAsiaTheme="majorEastAsia" w:cs="Arial"/>
          <w:szCs w:val="20"/>
        </w:rPr>
        <w:t xml:space="preserve"> </w:t>
      </w:r>
      <w:r w:rsidR="00341703" w:rsidRPr="00445B9C">
        <w:rPr>
          <w:rFonts w:eastAsiaTheme="majorEastAsia" w:cs="Arial"/>
          <w:szCs w:val="20"/>
        </w:rPr>
        <w:t>»borznoposredniške družbe« doda</w:t>
      </w:r>
      <w:r w:rsidR="00AF7083" w:rsidRPr="00445B9C">
        <w:rPr>
          <w:rFonts w:eastAsiaTheme="majorEastAsia" w:cs="Arial"/>
          <w:szCs w:val="20"/>
        </w:rPr>
        <w:t>ta</w:t>
      </w:r>
      <w:r w:rsidR="00341703" w:rsidRPr="00445B9C">
        <w:rPr>
          <w:rFonts w:eastAsiaTheme="majorEastAsia" w:cs="Arial"/>
          <w:szCs w:val="20"/>
        </w:rPr>
        <w:t xml:space="preserve"> vejica in </w:t>
      </w:r>
      <w:r w:rsidR="00A76A28" w:rsidRPr="00445B9C">
        <w:rPr>
          <w:rFonts w:eastAsiaTheme="majorEastAsia" w:cs="Arial"/>
          <w:szCs w:val="20"/>
        </w:rPr>
        <w:t>besed</w:t>
      </w:r>
      <w:r w:rsidR="00AF7083" w:rsidRPr="00445B9C">
        <w:rPr>
          <w:rFonts w:eastAsiaTheme="majorEastAsia" w:cs="Arial"/>
          <w:szCs w:val="20"/>
        </w:rPr>
        <w:t>ilo</w:t>
      </w:r>
      <w:r w:rsidR="00A76A28" w:rsidRPr="00445B9C">
        <w:rPr>
          <w:rFonts w:eastAsiaTheme="majorEastAsia" w:cs="Arial"/>
          <w:szCs w:val="20"/>
        </w:rPr>
        <w:t xml:space="preserve"> </w:t>
      </w:r>
      <w:r w:rsidR="00341703" w:rsidRPr="00445B9C">
        <w:rPr>
          <w:rFonts w:eastAsiaTheme="majorEastAsia" w:cs="Arial"/>
          <w:szCs w:val="20"/>
        </w:rPr>
        <w:t>»kreditne družbe«</w:t>
      </w:r>
      <w:r w:rsidR="00A76A28" w:rsidRPr="00445B9C">
        <w:rPr>
          <w:rFonts w:eastAsiaTheme="majorEastAsia" w:cs="Arial"/>
          <w:szCs w:val="20"/>
        </w:rPr>
        <w:t>.</w:t>
      </w:r>
      <w:bookmarkStart w:id="63" w:name="_Ref64902713"/>
      <w:bookmarkStart w:id="64" w:name="_Hlk117776481"/>
    </w:p>
    <w:bookmarkEnd w:id="62"/>
    <w:p w:rsidR="006C4DE0" w:rsidRPr="00445B9C" w:rsidRDefault="006C4DE0" w:rsidP="00BA786D">
      <w:pPr>
        <w:rPr>
          <w:rFonts w:eastAsiaTheme="majorEastAsia" w:cs="Arial"/>
          <w:szCs w:val="20"/>
        </w:rPr>
      </w:pPr>
    </w:p>
    <w:p w:rsidR="006A2506" w:rsidRPr="00445B9C" w:rsidRDefault="007C5912" w:rsidP="00F810E6">
      <w:pPr>
        <w:numPr>
          <w:ilvl w:val="0"/>
          <w:numId w:val="16"/>
        </w:numPr>
        <w:spacing w:before="240" w:after="240" w:line="259" w:lineRule="auto"/>
        <w:ind w:left="567" w:hanging="357"/>
        <w:jc w:val="center"/>
        <w:outlineLvl w:val="0"/>
        <w:rPr>
          <w:rFonts w:eastAsiaTheme="majorEastAsia" w:cs="Arial"/>
          <w:b/>
          <w:szCs w:val="20"/>
        </w:rPr>
      </w:pPr>
      <w:bookmarkStart w:id="65" w:name="_Ref196735090"/>
      <w:bookmarkEnd w:id="63"/>
      <w:r w:rsidRPr="00445B9C">
        <w:rPr>
          <w:rFonts w:eastAsiaTheme="majorEastAsia" w:cs="Arial"/>
          <w:b/>
          <w:szCs w:val="20"/>
        </w:rPr>
        <w:t>člen</w:t>
      </w:r>
      <w:bookmarkEnd w:id="65"/>
    </w:p>
    <w:p w:rsidR="007C50DC" w:rsidRPr="00445B9C" w:rsidRDefault="007C50DC" w:rsidP="007C50DC">
      <w:pPr>
        <w:spacing w:before="240" w:after="240" w:line="259" w:lineRule="auto"/>
        <w:jc w:val="both"/>
        <w:outlineLvl w:val="0"/>
        <w:rPr>
          <w:rFonts w:eastAsiaTheme="majorEastAsia" w:cs="Arial"/>
          <w:bCs/>
          <w:szCs w:val="20"/>
        </w:rPr>
      </w:pPr>
      <w:r w:rsidRPr="00445B9C">
        <w:rPr>
          <w:rFonts w:eastAsiaTheme="majorEastAsia" w:cs="Arial"/>
          <w:bCs/>
          <w:szCs w:val="20"/>
        </w:rPr>
        <w:t>V 533. členu se naslov člena spremeni tako, da se glasi:</w:t>
      </w:r>
    </w:p>
    <w:p w:rsidR="007C50DC" w:rsidRPr="00445B9C" w:rsidRDefault="007C50DC" w:rsidP="007C50DC">
      <w:pPr>
        <w:spacing w:before="240" w:after="240" w:line="259" w:lineRule="auto"/>
        <w:jc w:val="both"/>
        <w:outlineLvl w:val="0"/>
        <w:rPr>
          <w:rFonts w:eastAsiaTheme="majorEastAsia" w:cs="Arial"/>
          <w:bCs/>
          <w:szCs w:val="20"/>
        </w:rPr>
      </w:pPr>
      <w:r w:rsidRPr="00445B9C">
        <w:rPr>
          <w:rFonts w:eastAsiaTheme="majorEastAsia" w:cs="Arial"/>
          <w:bCs/>
          <w:szCs w:val="20"/>
        </w:rPr>
        <w:t>»(druge lažje kršitve člana uprave ali nadzornega sveta borznoposredniške družbe, kreditne družbe ali banke)«.</w:t>
      </w:r>
    </w:p>
    <w:p w:rsidR="00C0609A" w:rsidRPr="00445B9C" w:rsidRDefault="002406CF"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w:t>
      </w:r>
      <w:r w:rsidR="00C0609A" w:rsidRPr="00445B9C">
        <w:rPr>
          <w:rFonts w:eastAsiaTheme="majorEastAsia" w:cs="Arial"/>
          <w:bCs/>
          <w:szCs w:val="20"/>
        </w:rPr>
        <w:t xml:space="preserve">prvem odstavku </w:t>
      </w:r>
      <w:r w:rsidR="00BA554F" w:rsidRPr="00445B9C">
        <w:rPr>
          <w:rFonts w:eastAsiaTheme="majorEastAsia" w:cs="Arial"/>
          <w:bCs/>
          <w:szCs w:val="20"/>
        </w:rPr>
        <w:t xml:space="preserve">se </w:t>
      </w:r>
      <w:r w:rsidRPr="00445B9C">
        <w:rPr>
          <w:rFonts w:eastAsiaTheme="majorEastAsia" w:cs="Arial"/>
          <w:bCs/>
          <w:szCs w:val="20"/>
        </w:rPr>
        <w:t>besed</w:t>
      </w:r>
      <w:r w:rsidR="00C0609A" w:rsidRPr="00445B9C">
        <w:rPr>
          <w:rFonts w:eastAsiaTheme="majorEastAsia" w:cs="Arial"/>
          <w:bCs/>
          <w:szCs w:val="20"/>
        </w:rPr>
        <w:t>ilo</w:t>
      </w:r>
      <w:r w:rsidRPr="00445B9C">
        <w:rPr>
          <w:rFonts w:eastAsiaTheme="majorEastAsia" w:cs="Arial"/>
          <w:bCs/>
          <w:szCs w:val="20"/>
        </w:rPr>
        <w:t xml:space="preserve"> »borznoposredniške družbe</w:t>
      </w:r>
      <w:r w:rsidR="00C0609A" w:rsidRPr="00445B9C">
        <w:rPr>
          <w:rFonts w:eastAsiaTheme="majorEastAsia" w:cs="Arial"/>
          <w:bCs/>
          <w:szCs w:val="20"/>
        </w:rPr>
        <w:t xml:space="preserve"> ali banke</w:t>
      </w:r>
      <w:r w:rsidRPr="00445B9C">
        <w:rPr>
          <w:rFonts w:eastAsiaTheme="majorEastAsia" w:cs="Arial"/>
          <w:bCs/>
          <w:szCs w:val="20"/>
        </w:rPr>
        <w:t xml:space="preserve">« </w:t>
      </w:r>
      <w:r w:rsidR="006D7571">
        <w:rPr>
          <w:rFonts w:eastAsiaTheme="majorEastAsia" w:cs="Arial"/>
          <w:bCs/>
          <w:szCs w:val="20"/>
        </w:rPr>
        <w:t xml:space="preserve">v obeh sklonih </w:t>
      </w:r>
      <w:r w:rsidR="00C0609A" w:rsidRPr="00445B9C">
        <w:rPr>
          <w:rFonts w:eastAsiaTheme="majorEastAsia" w:cs="Arial"/>
          <w:bCs/>
          <w:szCs w:val="20"/>
        </w:rPr>
        <w:t>nadomesti z besedilom</w:t>
      </w:r>
      <w:r w:rsidRPr="00445B9C">
        <w:rPr>
          <w:rFonts w:eastAsiaTheme="majorEastAsia" w:cs="Arial"/>
          <w:bCs/>
          <w:szCs w:val="20"/>
        </w:rPr>
        <w:t xml:space="preserve"> »borznoposrednišk</w:t>
      </w:r>
      <w:r w:rsidR="00C0609A" w:rsidRPr="00445B9C">
        <w:rPr>
          <w:rFonts w:eastAsiaTheme="majorEastAsia" w:cs="Arial"/>
          <w:bCs/>
          <w:szCs w:val="20"/>
        </w:rPr>
        <w:t>e</w:t>
      </w:r>
      <w:r w:rsidRPr="00445B9C">
        <w:rPr>
          <w:rFonts w:eastAsiaTheme="majorEastAsia" w:cs="Arial"/>
          <w:bCs/>
          <w:szCs w:val="20"/>
        </w:rPr>
        <w:t xml:space="preserve"> družb</w:t>
      </w:r>
      <w:r w:rsidR="00C0609A" w:rsidRPr="00445B9C">
        <w:rPr>
          <w:rFonts w:eastAsiaTheme="majorEastAsia" w:cs="Arial"/>
          <w:bCs/>
          <w:szCs w:val="20"/>
        </w:rPr>
        <w:t>e, banke ali kreditne družbe</w:t>
      </w:r>
      <w:r w:rsidRPr="00445B9C">
        <w:rPr>
          <w:rFonts w:eastAsiaTheme="majorEastAsia" w:cs="Arial"/>
          <w:bCs/>
          <w:szCs w:val="20"/>
        </w:rPr>
        <w:t>«</w:t>
      </w:r>
      <w:r w:rsidR="006D7571">
        <w:rPr>
          <w:rFonts w:eastAsiaTheme="majorEastAsia" w:cs="Arial"/>
          <w:bCs/>
          <w:szCs w:val="20"/>
        </w:rPr>
        <w:t xml:space="preserve"> v ustreznem sklonu</w:t>
      </w:r>
      <w:r w:rsidR="006C4DE0" w:rsidRPr="00445B9C">
        <w:rPr>
          <w:rFonts w:eastAsiaTheme="majorEastAsia" w:cs="Arial"/>
          <w:bCs/>
          <w:szCs w:val="20"/>
        </w:rPr>
        <w:t>.</w:t>
      </w:r>
      <w:r w:rsidRPr="00445B9C">
        <w:rPr>
          <w:rFonts w:eastAsiaTheme="majorEastAsia" w:cs="Arial"/>
          <w:bCs/>
          <w:szCs w:val="20"/>
        </w:rPr>
        <w:t xml:space="preserve"> </w:t>
      </w:r>
      <w:r w:rsidR="00C0609A" w:rsidRPr="00445B9C">
        <w:rPr>
          <w:rFonts w:eastAsiaTheme="majorEastAsia" w:cs="Arial"/>
          <w:bCs/>
          <w:szCs w:val="20"/>
        </w:rPr>
        <w:t xml:space="preserve"> </w:t>
      </w:r>
    </w:p>
    <w:p w:rsidR="002406CF" w:rsidRPr="00445B9C" w:rsidRDefault="00C0609A" w:rsidP="00BA786D">
      <w:pPr>
        <w:spacing w:before="240" w:after="240" w:line="259" w:lineRule="auto"/>
        <w:jc w:val="both"/>
        <w:outlineLvl w:val="0"/>
        <w:rPr>
          <w:rFonts w:eastAsiaTheme="majorEastAsia" w:cs="Arial"/>
          <w:bCs/>
          <w:szCs w:val="20"/>
        </w:rPr>
      </w:pPr>
      <w:r w:rsidRPr="00445B9C">
        <w:rPr>
          <w:rFonts w:eastAsiaTheme="majorEastAsia" w:cs="Arial"/>
          <w:bCs/>
          <w:szCs w:val="20"/>
        </w:rPr>
        <w:t>V d</w:t>
      </w:r>
      <w:r w:rsidR="00B938A0" w:rsidRPr="00445B9C">
        <w:rPr>
          <w:rFonts w:eastAsiaTheme="majorEastAsia" w:cs="Arial"/>
          <w:bCs/>
          <w:szCs w:val="20"/>
        </w:rPr>
        <w:t>rug</w:t>
      </w:r>
      <w:r w:rsidRPr="00445B9C">
        <w:rPr>
          <w:rFonts w:eastAsiaTheme="majorEastAsia" w:cs="Arial"/>
          <w:bCs/>
          <w:szCs w:val="20"/>
        </w:rPr>
        <w:t>em</w:t>
      </w:r>
      <w:r w:rsidR="00B938A0" w:rsidRPr="00445B9C">
        <w:rPr>
          <w:rFonts w:eastAsiaTheme="majorEastAsia" w:cs="Arial"/>
          <w:bCs/>
          <w:szCs w:val="20"/>
        </w:rPr>
        <w:t xml:space="preserve"> odstavk</w:t>
      </w:r>
      <w:r w:rsidRPr="00445B9C">
        <w:rPr>
          <w:rFonts w:eastAsiaTheme="majorEastAsia" w:cs="Arial"/>
          <w:bCs/>
          <w:szCs w:val="20"/>
        </w:rPr>
        <w:t>u</w:t>
      </w:r>
      <w:r w:rsidR="00B938A0" w:rsidRPr="00445B9C">
        <w:rPr>
          <w:rFonts w:eastAsiaTheme="majorEastAsia" w:cs="Arial"/>
          <w:bCs/>
          <w:szCs w:val="20"/>
        </w:rPr>
        <w:t xml:space="preserve"> se </w:t>
      </w:r>
      <w:r w:rsidRPr="00445B9C">
        <w:rPr>
          <w:rFonts w:eastAsiaTheme="majorEastAsia" w:cs="Arial"/>
          <w:bCs/>
          <w:szCs w:val="20"/>
        </w:rPr>
        <w:t xml:space="preserve">v napovednem stavku </w:t>
      </w:r>
      <w:r w:rsidR="00B938A0" w:rsidRPr="00445B9C">
        <w:rPr>
          <w:rFonts w:eastAsiaTheme="majorEastAsia" w:cs="Arial"/>
          <w:bCs/>
          <w:szCs w:val="20"/>
        </w:rPr>
        <w:t>za besed</w:t>
      </w:r>
      <w:r w:rsidRPr="00445B9C">
        <w:rPr>
          <w:rFonts w:eastAsiaTheme="majorEastAsia" w:cs="Arial"/>
          <w:bCs/>
          <w:szCs w:val="20"/>
        </w:rPr>
        <w:t>ilom</w:t>
      </w:r>
      <w:r w:rsidR="00B938A0" w:rsidRPr="00445B9C">
        <w:rPr>
          <w:rFonts w:eastAsiaTheme="majorEastAsia" w:cs="Arial"/>
          <w:bCs/>
          <w:szCs w:val="20"/>
        </w:rPr>
        <w:t xml:space="preserve"> »borznoposredniške družbe« doda</w:t>
      </w:r>
      <w:r w:rsidRPr="00445B9C">
        <w:rPr>
          <w:rFonts w:eastAsiaTheme="majorEastAsia" w:cs="Arial"/>
          <w:bCs/>
          <w:szCs w:val="20"/>
        </w:rPr>
        <w:t>ta</w:t>
      </w:r>
      <w:r w:rsidR="00B938A0" w:rsidRPr="00445B9C">
        <w:rPr>
          <w:rFonts w:eastAsiaTheme="majorEastAsia" w:cs="Arial"/>
          <w:bCs/>
          <w:szCs w:val="20"/>
        </w:rPr>
        <w:t xml:space="preserve"> vejica in besed</w:t>
      </w:r>
      <w:r w:rsidRPr="00445B9C">
        <w:rPr>
          <w:rFonts w:eastAsiaTheme="majorEastAsia" w:cs="Arial"/>
          <w:bCs/>
          <w:szCs w:val="20"/>
        </w:rPr>
        <w:t>ilo</w:t>
      </w:r>
      <w:r w:rsidR="00B938A0" w:rsidRPr="00445B9C">
        <w:rPr>
          <w:rFonts w:eastAsiaTheme="majorEastAsia" w:cs="Arial"/>
          <w:bCs/>
          <w:szCs w:val="20"/>
        </w:rPr>
        <w:t xml:space="preserve"> »kreditne družbe«.</w:t>
      </w:r>
    </w:p>
    <w:p w:rsidR="006A2506" w:rsidRPr="00445B9C" w:rsidRDefault="007C5912" w:rsidP="00F810E6">
      <w:pPr>
        <w:numPr>
          <w:ilvl w:val="0"/>
          <w:numId w:val="16"/>
        </w:numPr>
        <w:spacing w:before="240" w:after="240" w:line="259" w:lineRule="auto"/>
        <w:ind w:left="567" w:hanging="357"/>
        <w:jc w:val="center"/>
        <w:outlineLvl w:val="0"/>
        <w:rPr>
          <w:rFonts w:eastAsiaTheme="majorEastAsia" w:cs="Arial"/>
          <w:b/>
          <w:szCs w:val="20"/>
        </w:rPr>
      </w:pPr>
      <w:bookmarkStart w:id="66" w:name="_Ref196735115"/>
      <w:bookmarkStart w:id="67" w:name="_Hlk149220226"/>
      <w:bookmarkEnd w:id="64"/>
      <w:r w:rsidRPr="00445B9C">
        <w:rPr>
          <w:rFonts w:eastAsiaTheme="majorEastAsia" w:cs="Arial"/>
          <w:b/>
          <w:szCs w:val="20"/>
        </w:rPr>
        <w:t>člen</w:t>
      </w:r>
      <w:bookmarkEnd w:id="66"/>
    </w:p>
    <w:p w:rsidR="00650DEF" w:rsidRPr="00445B9C" w:rsidRDefault="00650DEF" w:rsidP="00E046D9">
      <w:pPr>
        <w:jc w:val="both"/>
        <w:rPr>
          <w:rFonts w:cs="Arial"/>
          <w:szCs w:val="20"/>
        </w:rPr>
      </w:pPr>
      <w:r w:rsidRPr="00445B9C">
        <w:rPr>
          <w:rFonts w:eastAsiaTheme="majorEastAsia" w:cs="Arial"/>
          <w:szCs w:val="20"/>
        </w:rPr>
        <w:t>V 534. členu se v prvem odstavku</w:t>
      </w:r>
      <w:r w:rsidR="00081910" w:rsidRPr="00445B9C">
        <w:rPr>
          <w:rFonts w:eastAsiaTheme="majorEastAsia" w:cs="Arial"/>
          <w:szCs w:val="20"/>
        </w:rPr>
        <w:t xml:space="preserve"> </w:t>
      </w:r>
      <w:r w:rsidRPr="00445B9C">
        <w:rPr>
          <w:rFonts w:cs="Arial"/>
          <w:szCs w:val="20"/>
        </w:rPr>
        <w:t>2.</w:t>
      </w:r>
      <w:r w:rsidR="006C4DE0" w:rsidRPr="00445B9C">
        <w:rPr>
          <w:rFonts w:cs="Arial"/>
          <w:szCs w:val="20"/>
        </w:rPr>
        <w:t xml:space="preserve"> </w:t>
      </w:r>
      <w:r w:rsidRPr="00445B9C">
        <w:rPr>
          <w:rFonts w:cs="Arial"/>
          <w:szCs w:val="20"/>
        </w:rPr>
        <w:t>točka</w:t>
      </w:r>
      <w:r w:rsidR="006C4DE0" w:rsidRPr="00445B9C">
        <w:rPr>
          <w:rFonts w:cs="Arial"/>
          <w:szCs w:val="20"/>
        </w:rPr>
        <w:t xml:space="preserve"> črta</w:t>
      </w:r>
      <w:r w:rsidR="00081910" w:rsidRPr="00445B9C">
        <w:rPr>
          <w:rFonts w:cs="Arial"/>
          <w:szCs w:val="20"/>
        </w:rPr>
        <w:t>.</w:t>
      </w:r>
    </w:p>
    <w:p w:rsidR="00081910" w:rsidRPr="00445B9C" w:rsidRDefault="00081910" w:rsidP="00E046D9">
      <w:pPr>
        <w:jc w:val="both"/>
        <w:rPr>
          <w:rFonts w:cs="Arial"/>
          <w:szCs w:val="20"/>
        </w:rPr>
      </w:pPr>
    </w:p>
    <w:p w:rsidR="00650DEF" w:rsidRPr="00445B9C" w:rsidRDefault="00650DEF" w:rsidP="00E046D9">
      <w:pPr>
        <w:jc w:val="both"/>
        <w:rPr>
          <w:rFonts w:cs="Arial"/>
          <w:szCs w:val="20"/>
        </w:rPr>
      </w:pPr>
      <w:r w:rsidRPr="00445B9C">
        <w:rPr>
          <w:rFonts w:cs="Arial"/>
          <w:szCs w:val="20"/>
        </w:rPr>
        <w:t xml:space="preserve">19. in 20. točka </w:t>
      </w:r>
      <w:r w:rsidR="00081910" w:rsidRPr="00445B9C">
        <w:rPr>
          <w:rFonts w:cs="Arial"/>
          <w:szCs w:val="20"/>
        </w:rPr>
        <w:t xml:space="preserve">se </w:t>
      </w:r>
      <w:r w:rsidRPr="00445B9C">
        <w:rPr>
          <w:rFonts w:cs="Arial"/>
          <w:szCs w:val="20"/>
        </w:rPr>
        <w:t>spremenita tako, da se glasita:</w:t>
      </w:r>
    </w:p>
    <w:p w:rsidR="00650DEF" w:rsidRPr="00445B9C" w:rsidRDefault="00650DEF" w:rsidP="00E046D9">
      <w:pPr>
        <w:jc w:val="both"/>
        <w:rPr>
          <w:rFonts w:eastAsiaTheme="majorEastAsia" w:cs="Arial"/>
          <w:szCs w:val="20"/>
        </w:rPr>
      </w:pPr>
      <w:r w:rsidRPr="00445B9C">
        <w:rPr>
          <w:rFonts w:eastAsiaTheme="majorEastAsia" w:cs="Arial"/>
          <w:szCs w:val="20"/>
        </w:rPr>
        <w:t>»19. glede poročanja pozicij za izvedene finančne instrumente na blago ali izvedene finančne instrumente na emisijske kupone ne ravna v skladu s prvim, šestim in sedmim odstavkom 332. člena tega zakona;</w:t>
      </w:r>
    </w:p>
    <w:p w:rsidR="00650DEF" w:rsidRPr="00445B9C" w:rsidRDefault="00650DEF" w:rsidP="00E046D9">
      <w:pPr>
        <w:jc w:val="both"/>
        <w:rPr>
          <w:rFonts w:eastAsiaTheme="majorEastAsia" w:cs="Arial"/>
          <w:szCs w:val="20"/>
        </w:rPr>
      </w:pPr>
      <w:r w:rsidRPr="00445B9C">
        <w:rPr>
          <w:rFonts w:eastAsiaTheme="majorEastAsia" w:cs="Arial"/>
          <w:szCs w:val="20"/>
        </w:rPr>
        <w:t>20. ne razvrsti oseb, ki imajo pozicije v izvedenih finančnih instrumentih na blago ali izvedenih finančnih instrumentih na emisijske kupone v skladu s petim odstavkom 332. člena tega zakona;«</w:t>
      </w:r>
      <w:r w:rsidR="007C5912" w:rsidRPr="00445B9C">
        <w:rPr>
          <w:rFonts w:eastAsiaTheme="majorEastAsia" w:cs="Arial"/>
          <w:szCs w:val="20"/>
        </w:rPr>
        <w:t>.</w:t>
      </w:r>
    </w:p>
    <w:p w:rsidR="00081910" w:rsidRPr="00445B9C" w:rsidRDefault="00081910" w:rsidP="00E046D9">
      <w:pPr>
        <w:jc w:val="both"/>
        <w:rPr>
          <w:rFonts w:eastAsiaTheme="majorEastAsia" w:cs="Arial"/>
          <w:szCs w:val="20"/>
        </w:rPr>
      </w:pPr>
    </w:p>
    <w:p w:rsidR="00081910" w:rsidRPr="00445B9C" w:rsidRDefault="00081910" w:rsidP="00E046D9">
      <w:pPr>
        <w:jc w:val="both"/>
        <w:rPr>
          <w:rFonts w:eastAsiaTheme="majorEastAsia" w:cs="Arial"/>
          <w:szCs w:val="20"/>
        </w:rPr>
      </w:pPr>
      <w:r w:rsidRPr="00445B9C">
        <w:rPr>
          <w:rFonts w:eastAsiaTheme="majorEastAsia" w:cs="Arial"/>
          <w:szCs w:val="20"/>
        </w:rPr>
        <w:t xml:space="preserve">22. točka se črta. </w:t>
      </w:r>
    </w:p>
    <w:p w:rsidR="006A2506" w:rsidRPr="00445B9C" w:rsidRDefault="007C5912" w:rsidP="00F810E6">
      <w:pPr>
        <w:numPr>
          <w:ilvl w:val="0"/>
          <w:numId w:val="16"/>
        </w:numPr>
        <w:spacing w:before="240" w:after="240" w:line="259" w:lineRule="auto"/>
        <w:ind w:left="567" w:hanging="357"/>
        <w:jc w:val="center"/>
        <w:outlineLvl w:val="0"/>
        <w:rPr>
          <w:rFonts w:eastAsiaTheme="majorEastAsia" w:cs="Arial"/>
          <w:b/>
          <w:szCs w:val="20"/>
        </w:rPr>
      </w:pPr>
      <w:bookmarkStart w:id="68" w:name="_Ref196735248"/>
      <w:r w:rsidRPr="00445B9C">
        <w:rPr>
          <w:rFonts w:eastAsiaTheme="majorEastAsia" w:cs="Arial"/>
          <w:b/>
          <w:szCs w:val="20"/>
        </w:rPr>
        <w:t>člen</w:t>
      </w:r>
      <w:bookmarkEnd w:id="68"/>
    </w:p>
    <w:p w:rsidR="00F36F1F" w:rsidRPr="00445B9C" w:rsidRDefault="00703C85" w:rsidP="00E046D9">
      <w:pPr>
        <w:jc w:val="both"/>
        <w:rPr>
          <w:rFonts w:cs="Arial"/>
          <w:szCs w:val="20"/>
        </w:rPr>
      </w:pPr>
      <w:bookmarkStart w:id="69" w:name="_Hlk195622729"/>
      <w:r w:rsidRPr="00445B9C">
        <w:rPr>
          <w:rFonts w:eastAsiaTheme="majorEastAsia" w:cs="Arial"/>
          <w:szCs w:val="20"/>
        </w:rPr>
        <w:t>V 539. členu se v prvem odstavku</w:t>
      </w:r>
      <w:r w:rsidR="00267054">
        <w:rPr>
          <w:rFonts w:eastAsiaTheme="majorEastAsia" w:cs="Arial"/>
          <w:szCs w:val="20"/>
        </w:rPr>
        <w:t xml:space="preserve"> </w:t>
      </w:r>
      <w:r w:rsidRPr="00445B9C">
        <w:rPr>
          <w:rFonts w:cs="Arial"/>
          <w:szCs w:val="20"/>
        </w:rPr>
        <w:t xml:space="preserve">1. </w:t>
      </w:r>
      <w:r w:rsidR="00F36F1F" w:rsidRPr="00445B9C">
        <w:rPr>
          <w:rFonts w:cs="Arial"/>
          <w:szCs w:val="20"/>
        </w:rPr>
        <w:t xml:space="preserve">točka črta. </w:t>
      </w:r>
    </w:p>
    <w:p w:rsidR="00703C85" w:rsidRPr="00445B9C" w:rsidRDefault="00703C85" w:rsidP="00E046D9">
      <w:pPr>
        <w:jc w:val="both"/>
        <w:rPr>
          <w:rFonts w:cs="Arial"/>
          <w:szCs w:val="20"/>
        </w:rPr>
      </w:pPr>
    </w:p>
    <w:p w:rsidR="00703C85" w:rsidRPr="00445B9C" w:rsidRDefault="00703C85" w:rsidP="00E046D9">
      <w:pPr>
        <w:jc w:val="both"/>
        <w:rPr>
          <w:rFonts w:cs="Arial"/>
          <w:szCs w:val="20"/>
        </w:rPr>
      </w:pPr>
      <w:r w:rsidRPr="00445B9C">
        <w:rPr>
          <w:rFonts w:cs="Arial"/>
          <w:szCs w:val="20"/>
        </w:rPr>
        <w:t xml:space="preserve">4. in 5. točka </w:t>
      </w:r>
      <w:r w:rsidR="00F36F1F" w:rsidRPr="00445B9C">
        <w:rPr>
          <w:rFonts w:cs="Arial"/>
          <w:szCs w:val="20"/>
        </w:rPr>
        <w:t xml:space="preserve">se </w:t>
      </w:r>
      <w:r w:rsidRPr="00445B9C">
        <w:rPr>
          <w:rFonts w:cs="Arial"/>
          <w:szCs w:val="20"/>
        </w:rPr>
        <w:t>spremenita tako, da se glasita:</w:t>
      </w:r>
    </w:p>
    <w:p w:rsidR="00703C85" w:rsidRPr="00445B9C" w:rsidRDefault="00703C85" w:rsidP="00E046D9">
      <w:pPr>
        <w:jc w:val="both"/>
        <w:rPr>
          <w:rFonts w:eastAsiaTheme="majorEastAsia" w:cs="Arial"/>
          <w:bCs/>
          <w:szCs w:val="20"/>
        </w:rPr>
      </w:pPr>
      <w:r w:rsidRPr="00445B9C">
        <w:rPr>
          <w:rFonts w:eastAsiaTheme="majorEastAsia" w:cs="Arial"/>
          <w:bCs/>
          <w:szCs w:val="20"/>
        </w:rPr>
        <w:lastRenderedPageBreak/>
        <w:t>»4. glede poročanja pozicij za izvedene finančne instrumente na blago ali izvedene finančne instrumente na emisijske kupone ne ravna v skladu s prvim, šestim in sedmim odstavkom 332. člena tega zakona;</w:t>
      </w:r>
    </w:p>
    <w:p w:rsidR="00703C85" w:rsidRPr="00445B9C" w:rsidRDefault="00703C85" w:rsidP="00E046D9">
      <w:pPr>
        <w:jc w:val="both"/>
        <w:rPr>
          <w:rFonts w:eastAsiaTheme="majorEastAsia" w:cs="Arial"/>
          <w:bCs/>
          <w:szCs w:val="20"/>
        </w:rPr>
      </w:pPr>
      <w:r w:rsidRPr="00445B9C">
        <w:rPr>
          <w:rFonts w:eastAsiaTheme="majorEastAsia" w:cs="Arial"/>
          <w:bCs/>
          <w:szCs w:val="20"/>
        </w:rPr>
        <w:t>5. ne razvrsti oseb, ki imajo pozicije v izvedenih finančnih instrumentih na blago ali izvedenih finančnih instrumentih na emisijske kupone v skladu s petim odstavkom 332. člena tega zakona;«</w:t>
      </w:r>
      <w:r w:rsidR="007C5912" w:rsidRPr="00445B9C">
        <w:rPr>
          <w:rFonts w:eastAsiaTheme="majorEastAsia" w:cs="Arial"/>
          <w:bCs/>
          <w:szCs w:val="20"/>
        </w:rPr>
        <w:t>.</w:t>
      </w:r>
    </w:p>
    <w:p w:rsidR="001313AC" w:rsidRPr="00445B9C" w:rsidRDefault="001313AC" w:rsidP="00E046D9">
      <w:pPr>
        <w:jc w:val="both"/>
        <w:rPr>
          <w:rFonts w:eastAsiaTheme="majorEastAsia" w:cs="Arial"/>
          <w:bCs/>
          <w:szCs w:val="20"/>
        </w:rPr>
      </w:pPr>
    </w:p>
    <w:p w:rsidR="00F36F1F" w:rsidRPr="00445B9C" w:rsidRDefault="00F36F1F" w:rsidP="00E046D9">
      <w:pPr>
        <w:jc w:val="both"/>
        <w:rPr>
          <w:rFonts w:eastAsiaTheme="majorEastAsia" w:cs="Arial"/>
          <w:bCs/>
          <w:szCs w:val="20"/>
        </w:rPr>
      </w:pPr>
      <w:r w:rsidRPr="00445B9C">
        <w:rPr>
          <w:rFonts w:eastAsiaTheme="majorEastAsia" w:cs="Arial"/>
          <w:bCs/>
          <w:szCs w:val="20"/>
        </w:rPr>
        <w:t xml:space="preserve">32. točka se črta. </w:t>
      </w:r>
    </w:p>
    <w:p w:rsidR="006A2506" w:rsidRPr="00445B9C" w:rsidRDefault="007C5912" w:rsidP="00F810E6">
      <w:pPr>
        <w:numPr>
          <w:ilvl w:val="0"/>
          <w:numId w:val="16"/>
        </w:numPr>
        <w:spacing w:before="240" w:after="240" w:line="259" w:lineRule="auto"/>
        <w:ind w:left="567" w:hanging="357"/>
        <w:jc w:val="center"/>
        <w:outlineLvl w:val="0"/>
        <w:rPr>
          <w:rFonts w:eastAsiaTheme="majorEastAsia" w:cs="Arial"/>
          <w:b/>
          <w:szCs w:val="20"/>
        </w:rPr>
      </w:pPr>
      <w:bookmarkStart w:id="70" w:name="_Ref196735266"/>
      <w:bookmarkEnd w:id="69"/>
      <w:r w:rsidRPr="00445B9C">
        <w:rPr>
          <w:rFonts w:eastAsiaTheme="majorEastAsia" w:cs="Arial"/>
          <w:b/>
          <w:szCs w:val="20"/>
        </w:rPr>
        <w:t>člen</w:t>
      </w:r>
      <w:bookmarkEnd w:id="70"/>
    </w:p>
    <w:p w:rsidR="00E80C9D" w:rsidRPr="00445B9C" w:rsidRDefault="00E80C9D" w:rsidP="00E80C9D">
      <w:pPr>
        <w:jc w:val="both"/>
        <w:rPr>
          <w:rFonts w:eastAsiaTheme="majorEastAsia" w:cs="Arial"/>
          <w:szCs w:val="20"/>
        </w:rPr>
      </w:pPr>
      <w:bookmarkStart w:id="71" w:name="_Hlk195624295"/>
      <w:bookmarkStart w:id="72" w:name="_Hlk195624758"/>
      <w:r w:rsidRPr="00445B9C">
        <w:rPr>
          <w:rFonts w:eastAsiaTheme="majorEastAsia" w:cs="Arial"/>
          <w:szCs w:val="20"/>
        </w:rPr>
        <w:t>Besedilo 541. člena se spremeni tako, da se glasi:</w:t>
      </w:r>
    </w:p>
    <w:p w:rsidR="001300DD" w:rsidRPr="00445B9C" w:rsidRDefault="001300D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»(1) Z globo od 25.000 do 250.000 eurov se za prekršek kaznuje banka, kreditna družba, upravljavec trga ali investicijsko podjetje, ki upravlja mesto trgovanja, z globo od 80.000 do 500.000 eurov pa banka, kreditna družba, upravljavec trga ali investicijsko podjetje, ki se po ZGD-1 šteje za srednjo ali veliko gospodarsko družbo, če:</w:t>
      </w:r>
    </w:p>
    <w:p w:rsidR="001300DD" w:rsidRPr="00445B9C" w:rsidRDefault="001300D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1.</w:t>
      </w:r>
      <w:r w:rsidR="00E4141B" w:rsidRPr="00445B9C">
        <w:rPr>
          <w:rFonts w:eastAsiaTheme="majorEastAsia" w:cs="Arial"/>
          <w:szCs w:val="20"/>
        </w:rPr>
        <w:t xml:space="preserve"> </w:t>
      </w:r>
      <w:r w:rsidRPr="00445B9C">
        <w:rPr>
          <w:rFonts w:eastAsiaTheme="majorEastAsia" w:cs="Arial"/>
          <w:szCs w:val="20"/>
        </w:rPr>
        <w:t>ne ravna v skladu z zahtevami po preglednosti pred trgovanjem za mesta trgovanja v zvezi z delnicami, potrdili o lastništvu, ETF, certifikati in drugimi podobnimi finančnimi instrumenti iz prvega ali tretjega odstavka 3.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w:t>
      </w:r>
      <w:r w:rsidR="00E4141B" w:rsidRPr="00445B9C">
        <w:rPr>
          <w:rFonts w:eastAsiaTheme="majorEastAsia" w:cs="Arial"/>
          <w:szCs w:val="20"/>
        </w:rPr>
        <w:t xml:space="preserve"> </w:t>
      </w:r>
      <w:r w:rsidRPr="00445B9C">
        <w:rPr>
          <w:rFonts w:eastAsiaTheme="majorEastAsia" w:cs="Arial"/>
          <w:szCs w:val="20"/>
        </w:rPr>
        <w:t>mesto trgovanja upravlja sisteme, ki formalizirajo posle, dogovorjene v pogajanjih v skladu z (i) podtočko b) točke prvega odstavka 4. člena Uredbe 600/2014/EU, in ne ravna v skladu z a), b) ali c) točko tretjega odstavka 4.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3.</w:t>
      </w:r>
      <w:r w:rsidR="00E4141B" w:rsidRPr="00445B9C">
        <w:rPr>
          <w:rFonts w:eastAsiaTheme="majorEastAsia" w:cs="Arial"/>
          <w:szCs w:val="20"/>
        </w:rPr>
        <w:t xml:space="preserve"> </w:t>
      </w:r>
      <w:r w:rsidRPr="00445B9C">
        <w:rPr>
          <w:rFonts w:eastAsiaTheme="majorEastAsia" w:cs="Arial"/>
          <w:szCs w:val="20"/>
        </w:rPr>
        <w:t>mesto trgovanja začasno ne opusti uporab</w:t>
      </w:r>
      <w:r w:rsidR="00C21DE5">
        <w:rPr>
          <w:rFonts w:eastAsiaTheme="majorEastAsia" w:cs="Arial"/>
          <w:szCs w:val="20"/>
        </w:rPr>
        <w:t>e</w:t>
      </w:r>
      <w:r w:rsidRPr="00445B9C">
        <w:rPr>
          <w:rFonts w:eastAsiaTheme="majorEastAsia" w:cs="Arial"/>
          <w:szCs w:val="20"/>
        </w:rPr>
        <w:t xml:space="preserve"> opustitve iz prvega odstavka 4. člena Uredbe 600/2014/EU</w:t>
      </w:r>
      <w:r w:rsidR="00C21DE5">
        <w:rPr>
          <w:rFonts w:eastAsiaTheme="majorEastAsia" w:cs="Arial"/>
          <w:szCs w:val="20"/>
        </w:rPr>
        <w:t>,</w:t>
      </w:r>
      <w:r w:rsidRPr="00445B9C">
        <w:rPr>
          <w:rFonts w:eastAsiaTheme="majorEastAsia" w:cs="Arial"/>
          <w:szCs w:val="20"/>
        </w:rPr>
        <w:t xml:space="preserve"> kadar delež trgovanja s finančnim instrumentom v Uniji, ki se izvaja na podlagi te opustitve, preseže 7 % celotnega obsega trgovanja s tem finančnim instrumentom v Uniji;</w:t>
      </w:r>
    </w:p>
    <w:p w:rsidR="00E80C9D" w:rsidRPr="00445B9C" w:rsidRDefault="00E80C9D" w:rsidP="00E80C9D">
      <w:pPr>
        <w:jc w:val="both"/>
        <w:rPr>
          <w:rFonts w:eastAsiaTheme="majorEastAsia" w:cs="Arial"/>
          <w:szCs w:val="20"/>
        </w:rPr>
      </w:pPr>
      <w:r w:rsidRPr="00445B9C">
        <w:rPr>
          <w:rFonts w:eastAsiaTheme="majorEastAsia" w:cs="Arial"/>
          <w:szCs w:val="20"/>
        </w:rPr>
        <w:t>4.</w:t>
      </w:r>
      <w:r w:rsidR="00E4141B" w:rsidRPr="00445B9C">
        <w:rPr>
          <w:rFonts w:eastAsiaTheme="majorEastAsia" w:cs="Arial"/>
          <w:szCs w:val="20"/>
        </w:rPr>
        <w:t xml:space="preserve"> </w:t>
      </w:r>
      <w:r w:rsidRPr="00445B9C">
        <w:rPr>
          <w:rFonts w:eastAsiaTheme="majorEastAsia" w:cs="Arial"/>
          <w:szCs w:val="20"/>
        </w:rPr>
        <w:t>ne ravna v skladu z zahtevami po preglednosti po trgovanju za mesta trgovanja v zvezi z delnicami, potrdili o lastništvu, ETF, certifikati in drugimi podobnimi finančnimi instrumenti iz 6.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5.</w:t>
      </w:r>
      <w:r w:rsidR="00E4141B" w:rsidRPr="00445B9C">
        <w:rPr>
          <w:rFonts w:eastAsiaTheme="majorEastAsia" w:cs="Arial"/>
          <w:szCs w:val="20"/>
        </w:rPr>
        <w:t xml:space="preserve"> </w:t>
      </w:r>
      <w:r w:rsidRPr="00445B9C">
        <w:rPr>
          <w:rFonts w:eastAsiaTheme="majorEastAsia" w:cs="Arial"/>
          <w:szCs w:val="20"/>
        </w:rPr>
        <w:t>od pristojnega organa pridobi predhodno odobritev predlagane ureditve za odlog objave v zvezi s trgovanjem in tega jasno ne razkrije udeležencem na trgu in javnosti (prvi odstavek 7.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6.</w:t>
      </w:r>
      <w:r w:rsidR="00E4141B" w:rsidRPr="00445B9C">
        <w:rPr>
          <w:rFonts w:eastAsiaTheme="majorEastAsia" w:cs="Arial"/>
          <w:szCs w:val="20"/>
        </w:rPr>
        <w:t xml:space="preserve"> </w:t>
      </w:r>
      <w:r w:rsidRPr="00445B9C">
        <w:rPr>
          <w:rFonts w:eastAsiaTheme="majorEastAsia" w:cs="Arial"/>
          <w:szCs w:val="20"/>
        </w:rPr>
        <w:t>ne ravna v skladu z zahtevami po preglednosti pred trgovanjem za mesta trgovanja v zvezi z obveznicami, strukturiranimi finančnimi produkti, emisijskimi kuponi, paketnimi naročili in izvedenimi finančnimi instrumenti iz 8., 8.a in 8.b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7.</w:t>
      </w:r>
      <w:r w:rsidR="00E4141B" w:rsidRPr="00445B9C">
        <w:rPr>
          <w:rFonts w:eastAsiaTheme="majorEastAsia" w:cs="Arial"/>
          <w:szCs w:val="20"/>
        </w:rPr>
        <w:t xml:space="preserve"> </w:t>
      </w:r>
      <w:r w:rsidRPr="00445B9C">
        <w:rPr>
          <w:rFonts w:eastAsiaTheme="majorEastAsia" w:cs="Arial"/>
          <w:szCs w:val="20"/>
        </w:rPr>
        <w:t>ne ravna v skladu z zahtevami po preglednosti po trgovanju za mesta trgovanja v zvezi z obveznicami, strukturiranimi finančnimi produkti, emisijskimi kuponi in izvedenimi finančnimi instrumenti iz 10.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8.</w:t>
      </w:r>
      <w:r w:rsidR="00E4141B" w:rsidRPr="00445B9C">
        <w:rPr>
          <w:rFonts w:eastAsiaTheme="majorEastAsia" w:cs="Arial"/>
          <w:szCs w:val="20"/>
        </w:rPr>
        <w:t xml:space="preserve"> </w:t>
      </w:r>
      <w:r w:rsidRPr="00445B9C">
        <w:rPr>
          <w:rFonts w:eastAsiaTheme="majorEastAsia" w:cs="Arial"/>
          <w:szCs w:val="20"/>
        </w:rPr>
        <w:t>jasno ne razkrije udeležencem na trgu in javnosti ureditve za odlog objave (prvi odstavek 11. člena in prvi odstavek 11.a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9.</w:t>
      </w:r>
      <w:r w:rsidR="00E4141B" w:rsidRPr="00445B9C">
        <w:rPr>
          <w:rFonts w:eastAsiaTheme="majorEastAsia" w:cs="Arial"/>
          <w:szCs w:val="20"/>
        </w:rPr>
        <w:t xml:space="preserve"> </w:t>
      </w:r>
      <w:r w:rsidRPr="00445B9C">
        <w:rPr>
          <w:rFonts w:eastAsiaTheme="majorEastAsia" w:cs="Arial"/>
          <w:szCs w:val="20"/>
        </w:rPr>
        <w:t>po izteku obdobja odloga objave podrobnosti o poslih ne objavi vseh podrobnosti o posameznih poslih (prvi a in tretji odstavek 11. člena in prvi odstavek 11.a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10.</w:t>
      </w:r>
      <w:r w:rsidR="00E4141B" w:rsidRPr="00445B9C">
        <w:rPr>
          <w:rFonts w:eastAsiaTheme="majorEastAsia" w:cs="Arial"/>
          <w:szCs w:val="20"/>
        </w:rPr>
        <w:t xml:space="preserve"> </w:t>
      </w:r>
      <w:r w:rsidRPr="00445B9C">
        <w:rPr>
          <w:rFonts w:eastAsiaTheme="majorEastAsia" w:cs="Arial"/>
          <w:szCs w:val="20"/>
        </w:rPr>
        <w:t xml:space="preserve">ne organizira ureditve za odlog objave v zvezi s strukturiranimi finančnimi produkti ali emisijskimi kuponi ali njihovimi razredi, s katerimi se trguje na mestu trgovanja, na podlagi regulativnih tehničnih standardov iz točke </w:t>
      </w:r>
      <w:r w:rsidR="00265434" w:rsidRPr="00445B9C">
        <w:rPr>
          <w:rFonts w:eastAsiaTheme="majorEastAsia" w:cs="Arial"/>
          <w:szCs w:val="20"/>
        </w:rPr>
        <w:t xml:space="preserve">g) </w:t>
      </w:r>
      <w:r w:rsidRPr="00445B9C">
        <w:rPr>
          <w:rFonts w:eastAsiaTheme="majorEastAsia" w:cs="Arial"/>
          <w:szCs w:val="20"/>
        </w:rPr>
        <w:t>četrtega odstavka 11. člena Uredbe 600/2014/EU, ali po izteku obdobja odloga objave podrobnosti o poslih ne objavi vseh podrobnosti o posameznih poslih (prvi b odstavek 11.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11.</w:t>
      </w:r>
      <w:r w:rsidR="00E4141B" w:rsidRPr="00445B9C">
        <w:rPr>
          <w:rFonts w:eastAsiaTheme="majorEastAsia" w:cs="Arial"/>
          <w:szCs w:val="20"/>
        </w:rPr>
        <w:t xml:space="preserve"> </w:t>
      </w:r>
      <w:r w:rsidRPr="00445B9C">
        <w:rPr>
          <w:rFonts w:eastAsiaTheme="majorEastAsia" w:cs="Arial"/>
          <w:szCs w:val="20"/>
        </w:rPr>
        <w:t>informacije, objavljene v skladu s 3., 4. in 6. do 11.a členom Uredbe 600/2014/EU, niso na voljo javnosti tako, da so podatki o preglednosti pred trgovanjem in po njem zagotovljeni ločeno v skladu s prvim odstavkom 12.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12.</w:t>
      </w:r>
      <w:r w:rsidR="00E4141B" w:rsidRPr="00445B9C">
        <w:rPr>
          <w:rFonts w:eastAsiaTheme="majorEastAsia" w:cs="Arial"/>
          <w:szCs w:val="20"/>
        </w:rPr>
        <w:t xml:space="preserve"> </w:t>
      </w:r>
      <w:r w:rsidRPr="00445B9C">
        <w:rPr>
          <w:rFonts w:eastAsiaTheme="majorEastAsia" w:cs="Arial"/>
          <w:szCs w:val="20"/>
        </w:rPr>
        <w:t>informacije, objavljene v skladu s 3., 4. in 6. do 11.a, 14., 20., 21., 27</w:t>
      </w:r>
      <w:r w:rsidR="00265434" w:rsidRPr="00445B9C">
        <w:rPr>
          <w:rFonts w:eastAsiaTheme="majorEastAsia" w:cs="Arial"/>
          <w:szCs w:val="20"/>
        </w:rPr>
        <w:t>.</w:t>
      </w:r>
      <w:r w:rsidRPr="00445B9C">
        <w:rPr>
          <w:rFonts w:eastAsiaTheme="majorEastAsia" w:cs="Arial"/>
          <w:szCs w:val="20"/>
        </w:rPr>
        <w:t>g in 27</w:t>
      </w:r>
      <w:r w:rsidR="00265434" w:rsidRPr="00445B9C">
        <w:rPr>
          <w:rFonts w:eastAsiaTheme="majorEastAsia" w:cs="Arial"/>
          <w:szCs w:val="20"/>
        </w:rPr>
        <w:t>.</w:t>
      </w:r>
      <w:r w:rsidRPr="00445B9C">
        <w:rPr>
          <w:rFonts w:eastAsiaTheme="majorEastAsia" w:cs="Arial"/>
          <w:szCs w:val="20"/>
        </w:rPr>
        <w:t xml:space="preserve">h členom Uredbe 600/2014/EU, niso na voljo javnosti ob razumnih poslovnih pogojih ali ni zagotovljen </w:t>
      </w:r>
      <w:r w:rsidRPr="00445B9C">
        <w:rPr>
          <w:rFonts w:eastAsiaTheme="majorEastAsia" w:cs="Arial"/>
          <w:szCs w:val="20"/>
        </w:rPr>
        <w:lastRenderedPageBreak/>
        <w:t xml:space="preserve">nediskriminatoren dostop do njih ali te informacije niso na voljo brezplačno </w:t>
      </w:r>
      <w:r w:rsidR="000F42F6">
        <w:rPr>
          <w:rFonts w:eastAsiaTheme="majorEastAsia" w:cs="Arial"/>
          <w:szCs w:val="20"/>
        </w:rPr>
        <w:t>petnajst</w:t>
      </w:r>
      <w:r w:rsidRPr="00445B9C">
        <w:rPr>
          <w:rFonts w:eastAsiaTheme="majorEastAsia" w:cs="Arial"/>
          <w:szCs w:val="20"/>
        </w:rPr>
        <w:t xml:space="preserve"> minut po njihovi objavi v zahtevani obliki (prvi in drugi odstavek 13.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13.</w:t>
      </w:r>
      <w:r w:rsidR="00E4141B" w:rsidRPr="00445B9C">
        <w:rPr>
          <w:rFonts w:eastAsiaTheme="majorEastAsia" w:cs="Arial"/>
          <w:szCs w:val="20"/>
        </w:rPr>
        <w:t xml:space="preserve"> </w:t>
      </w:r>
      <w:r w:rsidRPr="00445B9C">
        <w:rPr>
          <w:rFonts w:eastAsiaTheme="majorEastAsia" w:cs="Arial"/>
          <w:szCs w:val="20"/>
        </w:rPr>
        <w:t>ne hrani potrebnih podatkov za obdobje</w:t>
      </w:r>
      <w:r w:rsidR="00C21DE5">
        <w:rPr>
          <w:rFonts w:eastAsiaTheme="majorEastAsia" w:cs="Arial"/>
          <w:szCs w:val="20"/>
        </w:rPr>
        <w:t>,</w:t>
      </w:r>
      <w:r w:rsidRPr="00445B9C">
        <w:rPr>
          <w:rFonts w:eastAsiaTheme="majorEastAsia" w:cs="Arial"/>
          <w:szCs w:val="20"/>
        </w:rPr>
        <w:t xml:space="preserve"> določeno z regulativnimi tehničnimi standardi iz tretjega odstavka 22. člena Uredbe 600/2014/EU (drugi odstavek 22.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14.</w:t>
      </w:r>
      <w:r w:rsidR="00E4141B" w:rsidRPr="00445B9C">
        <w:rPr>
          <w:rFonts w:eastAsiaTheme="majorEastAsia" w:cs="Arial"/>
          <w:szCs w:val="20"/>
        </w:rPr>
        <w:t xml:space="preserve"> </w:t>
      </w:r>
      <w:r w:rsidRPr="00445B9C">
        <w:rPr>
          <w:rFonts w:eastAsiaTheme="majorEastAsia" w:cs="Arial"/>
          <w:szCs w:val="20"/>
        </w:rPr>
        <w:t xml:space="preserve">mesto trgovanja v zvezi z delnicami, ETF in obveznicami, s katerimi se trguje na mestu trgovanja, ter v zvezi z izvedenimi finančnimi instrumenti OTC iz drugega odstavka 8.a člena Uredbe 600/2014/EU čim bližje realnemu času, kolikor je to tehnično izvedljivo, ne </w:t>
      </w:r>
      <w:r w:rsidR="0025253A">
        <w:rPr>
          <w:rFonts w:eastAsiaTheme="majorEastAsia" w:cs="Arial"/>
          <w:szCs w:val="20"/>
        </w:rPr>
        <w:t>predložijo</w:t>
      </w:r>
      <w:r w:rsidRPr="00445B9C">
        <w:rPr>
          <w:rFonts w:eastAsiaTheme="majorEastAsia" w:cs="Arial"/>
          <w:szCs w:val="20"/>
        </w:rPr>
        <w:t xml:space="preserve"> podatkovnemu centru CTP regulativn</w:t>
      </w:r>
      <w:r w:rsidR="00C21DE5">
        <w:rPr>
          <w:rFonts w:eastAsiaTheme="majorEastAsia" w:cs="Arial"/>
          <w:szCs w:val="20"/>
        </w:rPr>
        <w:t>ih</w:t>
      </w:r>
      <w:r w:rsidRPr="00445B9C">
        <w:rPr>
          <w:rFonts w:eastAsiaTheme="majorEastAsia" w:cs="Arial"/>
          <w:szCs w:val="20"/>
        </w:rPr>
        <w:t xml:space="preserve"> podatk</w:t>
      </w:r>
      <w:r w:rsidR="00C21DE5">
        <w:rPr>
          <w:rFonts w:eastAsiaTheme="majorEastAsia" w:cs="Arial"/>
          <w:szCs w:val="20"/>
        </w:rPr>
        <w:t>ov</w:t>
      </w:r>
      <w:r w:rsidRPr="00445B9C">
        <w:rPr>
          <w:rFonts w:eastAsiaTheme="majorEastAsia" w:cs="Arial"/>
          <w:szCs w:val="20"/>
        </w:rPr>
        <w:t xml:space="preserve"> in podatk</w:t>
      </w:r>
      <w:r w:rsidR="00C21DE5">
        <w:rPr>
          <w:rFonts w:eastAsiaTheme="majorEastAsia" w:cs="Arial"/>
          <w:szCs w:val="20"/>
        </w:rPr>
        <w:t>ov</w:t>
      </w:r>
      <w:r w:rsidRPr="00445B9C">
        <w:rPr>
          <w:rFonts w:eastAsiaTheme="majorEastAsia" w:cs="Arial"/>
          <w:szCs w:val="20"/>
        </w:rPr>
        <w:t>, ki jih določa prvi odstavek 22.a člena Uredbe 600/2014/EU</w:t>
      </w:r>
      <w:r w:rsidR="00C21DE5">
        <w:rPr>
          <w:rFonts w:eastAsiaTheme="majorEastAsia" w:cs="Arial"/>
          <w:szCs w:val="20"/>
        </w:rPr>
        <w:t>,</w:t>
      </w:r>
      <w:r w:rsidRPr="00445B9C">
        <w:rPr>
          <w:rFonts w:eastAsiaTheme="majorEastAsia" w:cs="Arial"/>
          <w:szCs w:val="20"/>
        </w:rPr>
        <w:t xml:space="preserve"> ali teh podatkov ne posreduje v pravilni obliki (prvi odstavek 22.a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15.</w:t>
      </w:r>
      <w:r w:rsidR="00E4141B" w:rsidRPr="00445B9C">
        <w:rPr>
          <w:rFonts w:eastAsiaTheme="majorEastAsia" w:cs="Arial"/>
          <w:szCs w:val="20"/>
        </w:rPr>
        <w:t xml:space="preserve"> </w:t>
      </w:r>
      <w:r w:rsidRPr="00445B9C">
        <w:rPr>
          <w:rFonts w:eastAsiaTheme="majorEastAsia" w:cs="Arial"/>
          <w:szCs w:val="20"/>
        </w:rPr>
        <w:t>mesto trgovanja prejme plačilo za posredovane podatke iz prvega odstavka 22.a člena Uredbe 600/2014/EU ali protokola za posredovanje iz petega odstavka 22.a člena Uredbe 600/2014/EU, razen prihodkov, prejetih na podlagi petega, šestega in sedmega odstavka 27</w:t>
      </w:r>
      <w:r w:rsidR="00265434" w:rsidRPr="00445B9C">
        <w:rPr>
          <w:rFonts w:eastAsiaTheme="majorEastAsia" w:cs="Arial"/>
          <w:szCs w:val="20"/>
        </w:rPr>
        <w:t>.</w:t>
      </w:r>
      <w:r w:rsidRPr="00445B9C">
        <w:rPr>
          <w:rFonts w:eastAsiaTheme="majorEastAsia" w:cs="Arial"/>
          <w:szCs w:val="20"/>
        </w:rPr>
        <w:t>h člena Uredbe 600/2014/EU (šesti odstavek 22.a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16.</w:t>
      </w:r>
      <w:r w:rsidR="00E4141B" w:rsidRPr="00445B9C">
        <w:rPr>
          <w:rFonts w:eastAsiaTheme="majorEastAsia" w:cs="Arial"/>
          <w:szCs w:val="20"/>
        </w:rPr>
        <w:t xml:space="preserve"> </w:t>
      </w:r>
      <w:r w:rsidRPr="00445B9C">
        <w:rPr>
          <w:rFonts w:eastAsiaTheme="majorEastAsia" w:cs="Arial"/>
          <w:szCs w:val="20"/>
        </w:rPr>
        <w:t>mesto trgovanja za podatke, ki se posredujejo CTP, po potrebi ne uporabi odlog</w:t>
      </w:r>
      <w:r w:rsidR="008E16C2">
        <w:rPr>
          <w:rFonts w:eastAsiaTheme="majorEastAsia" w:cs="Arial"/>
          <w:szCs w:val="20"/>
        </w:rPr>
        <w:t>ov</w:t>
      </w:r>
      <w:r w:rsidRPr="00445B9C">
        <w:rPr>
          <w:rFonts w:eastAsiaTheme="majorEastAsia" w:cs="Arial"/>
          <w:szCs w:val="20"/>
        </w:rPr>
        <w:t xml:space="preserve"> iz 7., 11. in 11.a člena ter drugega odstavka 20. in četrtega odstavka 21. člena Uredbe 600/2014/EU (sedmi odstavek 22.a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17.</w:t>
      </w:r>
      <w:r w:rsidR="00E4141B" w:rsidRPr="00445B9C">
        <w:rPr>
          <w:rFonts w:eastAsiaTheme="majorEastAsia" w:cs="Arial"/>
          <w:szCs w:val="20"/>
        </w:rPr>
        <w:t xml:space="preserve"> </w:t>
      </w:r>
      <w:r w:rsidRPr="00445B9C">
        <w:rPr>
          <w:rFonts w:eastAsiaTheme="majorEastAsia" w:cs="Arial"/>
          <w:szCs w:val="20"/>
        </w:rPr>
        <w:t>mesto trgovanja podatkov iz prvega odstavka 22.a člena Uredbe 600/2014/EU ne posreduje CTP v skladu z zahtevami iz prvega odstavka 22.b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18.</w:t>
      </w:r>
      <w:r w:rsidR="00E4141B" w:rsidRPr="00445B9C">
        <w:rPr>
          <w:rFonts w:eastAsiaTheme="majorEastAsia" w:cs="Arial"/>
          <w:szCs w:val="20"/>
        </w:rPr>
        <w:t xml:space="preserve"> </w:t>
      </w:r>
      <w:r w:rsidRPr="00445B9C">
        <w:rPr>
          <w:rFonts w:eastAsiaTheme="majorEastAsia" w:cs="Arial"/>
          <w:szCs w:val="20"/>
        </w:rPr>
        <w:t>mest</w:t>
      </w:r>
      <w:r w:rsidR="0038797F">
        <w:rPr>
          <w:rFonts w:eastAsiaTheme="majorEastAsia" w:cs="Arial"/>
          <w:szCs w:val="20"/>
        </w:rPr>
        <w:t>a</w:t>
      </w:r>
      <w:r w:rsidRPr="00445B9C">
        <w:rPr>
          <w:rFonts w:eastAsiaTheme="majorEastAsia" w:cs="Arial"/>
          <w:szCs w:val="20"/>
        </w:rPr>
        <w:t xml:space="preserve"> trgovanja vključno s svojimi člani, udeleženci ali uporabniki, ne uskladijo poslovne ure, s katerimi beležijo datum in čas vseh dogodkov, o katerih se poroča (prvi odstavek 22.c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19.</w:t>
      </w:r>
      <w:r w:rsidR="00E4141B" w:rsidRPr="00445B9C">
        <w:rPr>
          <w:rFonts w:eastAsiaTheme="majorEastAsia" w:cs="Arial"/>
          <w:szCs w:val="20"/>
        </w:rPr>
        <w:t xml:space="preserve"> </w:t>
      </w:r>
      <w:r w:rsidRPr="00445B9C">
        <w:rPr>
          <w:rFonts w:eastAsiaTheme="majorEastAsia" w:cs="Arial"/>
          <w:szCs w:val="20"/>
        </w:rPr>
        <w:t>ne vodi evidenc ali agenciji ne daje na voljo podatkov v skladu z drugim odstavkom 25.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20.</w:t>
      </w:r>
      <w:r w:rsidR="00E4141B" w:rsidRPr="00445B9C">
        <w:rPr>
          <w:rFonts w:eastAsiaTheme="majorEastAsia" w:cs="Arial"/>
          <w:szCs w:val="20"/>
        </w:rPr>
        <w:t xml:space="preserve"> </w:t>
      </w:r>
      <w:r w:rsidRPr="00445B9C">
        <w:rPr>
          <w:rFonts w:eastAsiaTheme="majorEastAsia" w:cs="Arial"/>
          <w:szCs w:val="20"/>
        </w:rPr>
        <w:t>o podrobnostih poslov s finančnimi instrumenti, s katerimi se trguje v njegovem sistemu, ne poroča v skladu z zahtevami petega odstavka 26.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21.</w:t>
      </w:r>
      <w:r w:rsidR="00E4141B" w:rsidRPr="00445B9C">
        <w:rPr>
          <w:rFonts w:eastAsiaTheme="majorEastAsia" w:cs="Arial"/>
          <w:szCs w:val="20"/>
        </w:rPr>
        <w:t xml:space="preserve"> </w:t>
      </w:r>
      <w:r w:rsidRPr="00445B9C">
        <w:rPr>
          <w:rFonts w:eastAsiaTheme="majorEastAsia" w:cs="Arial"/>
          <w:szCs w:val="20"/>
        </w:rPr>
        <w:t>poroča v imenu investicijskega podjetja in ne predloži poročila v skladu s prvim, tretjim, sedmim in devetim odstavkom 26. člena Uredbe 600/2014/EU (sedmi odstavek 26.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22.</w:t>
      </w:r>
      <w:r w:rsidR="00E4141B" w:rsidRPr="00445B9C">
        <w:rPr>
          <w:rFonts w:eastAsiaTheme="majorEastAsia" w:cs="Arial"/>
          <w:szCs w:val="20"/>
        </w:rPr>
        <w:t xml:space="preserve"> </w:t>
      </w:r>
      <w:r w:rsidRPr="00445B9C">
        <w:rPr>
          <w:rFonts w:eastAsiaTheme="majorEastAsia" w:cs="Arial"/>
          <w:szCs w:val="20"/>
        </w:rPr>
        <w:t>ne predloži referenčnih podatkov o finančnih instrumentih v skladu s prvim odstavkom 27.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23.</w:t>
      </w:r>
      <w:r w:rsidR="00E4141B" w:rsidRPr="00445B9C">
        <w:rPr>
          <w:rFonts w:eastAsiaTheme="majorEastAsia" w:cs="Arial"/>
          <w:szCs w:val="20"/>
        </w:rPr>
        <w:t xml:space="preserve"> </w:t>
      </w:r>
      <w:r w:rsidRPr="00445B9C">
        <w:rPr>
          <w:rFonts w:eastAsiaTheme="majorEastAsia" w:cs="Arial"/>
          <w:szCs w:val="20"/>
        </w:rPr>
        <w:t>kot upravljavec organiziranega trga ne zagotovi, da CNS opravi kliring vseh poslov z izvedenimi finančnimi instrumenti, sklenjenih na tem organiziranem trgu (prvi odstavek 29.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24.</w:t>
      </w:r>
      <w:r w:rsidR="00E4141B" w:rsidRPr="00445B9C">
        <w:rPr>
          <w:rFonts w:eastAsiaTheme="majorEastAsia" w:cs="Arial"/>
          <w:szCs w:val="20"/>
        </w:rPr>
        <w:t xml:space="preserve"> </w:t>
      </w:r>
      <w:r w:rsidRPr="00445B9C">
        <w:rPr>
          <w:rFonts w:eastAsiaTheme="majorEastAsia" w:cs="Arial"/>
          <w:szCs w:val="20"/>
        </w:rPr>
        <w:t>deluje kot klirinški član v skladu s štirinajstim odstavkom 2. člena Uredbe 648/2012/EU in nima vzpostavljenih učinkovitih sistemov, postopkov in ureditev v skladu z drugim odstavkom 29.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25.</w:t>
      </w:r>
      <w:r w:rsidR="00E4141B" w:rsidRPr="00445B9C">
        <w:rPr>
          <w:rFonts w:eastAsiaTheme="majorEastAsia" w:cs="Arial"/>
          <w:szCs w:val="20"/>
        </w:rPr>
        <w:t xml:space="preserve"> </w:t>
      </w:r>
      <w:r w:rsidRPr="00445B9C">
        <w:rPr>
          <w:rFonts w:eastAsiaTheme="majorEastAsia" w:cs="Arial"/>
          <w:szCs w:val="20"/>
        </w:rPr>
        <w:t>kot ponudnik storitev za zmanjšanje tveganja po trgovanju ne vodi popolne in točne evidence poslov iz prvega odstavka 31. člena Uredbe 648/2012/EU, ki še niso zabeleženi ali sporočeni v skladu z Uredbo 648/2012</w:t>
      </w:r>
      <w:r w:rsidR="00265434" w:rsidRPr="00445B9C">
        <w:rPr>
          <w:rFonts w:eastAsiaTheme="majorEastAsia" w:cs="Arial"/>
          <w:szCs w:val="20"/>
        </w:rPr>
        <w:t>/EU</w:t>
      </w:r>
      <w:r w:rsidR="00C94B97">
        <w:rPr>
          <w:rFonts w:eastAsiaTheme="majorEastAsia" w:cs="Arial"/>
          <w:szCs w:val="20"/>
        </w:rPr>
        <w:t>,</w:t>
      </w:r>
      <w:r w:rsidR="00265434" w:rsidRPr="00445B9C">
        <w:rPr>
          <w:rFonts w:eastAsiaTheme="majorEastAsia" w:cs="Arial"/>
          <w:szCs w:val="20"/>
        </w:rPr>
        <w:t xml:space="preserve"> </w:t>
      </w:r>
      <w:r w:rsidRPr="00445B9C">
        <w:rPr>
          <w:rFonts w:eastAsiaTheme="majorEastAsia" w:cs="Arial"/>
          <w:szCs w:val="20"/>
        </w:rPr>
        <w:t>ali če teh podatkov na zahtevo nemudoma na predloži agenciji ali ESMA (tretji odstavek 31.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26.</w:t>
      </w:r>
      <w:r w:rsidR="00E4141B" w:rsidRPr="00445B9C">
        <w:rPr>
          <w:rFonts w:eastAsiaTheme="majorEastAsia" w:cs="Arial"/>
          <w:szCs w:val="20"/>
        </w:rPr>
        <w:t xml:space="preserve"> </w:t>
      </w:r>
      <w:r w:rsidRPr="00445B9C">
        <w:rPr>
          <w:rFonts w:eastAsiaTheme="majorEastAsia" w:cs="Arial"/>
          <w:szCs w:val="20"/>
        </w:rPr>
        <w:t>zahteva dostop do CNS in zahteve uradno ne predloži tej CNS in agenciji v skladu z drugim odstavkom 35.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27.</w:t>
      </w:r>
      <w:r w:rsidR="00E4141B" w:rsidRPr="00445B9C">
        <w:rPr>
          <w:rFonts w:eastAsiaTheme="majorEastAsia" w:cs="Arial"/>
          <w:szCs w:val="20"/>
        </w:rPr>
        <w:t xml:space="preserve"> </w:t>
      </w:r>
      <w:r w:rsidRPr="00445B9C">
        <w:rPr>
          <w:rFonts w:eastAsiaTheme="majorEastAsia" w:cs="Arial"/>
          <w:szCs w:val="20"/>
        </w:rPr>
        <w:t>na zahtevo katerekoli CNS, ki ima dovoljenje ali je priznana v skladu z Uredbo 648/2012/EU in želi opraviti kliring poslov s finančnimi instrumenti, sklenjenih na tem mestu trgovanja, ne zagotovi podatkov o trgovanju na nediskriminatoren in pregleden način v skladu s prvim odstavkom 36.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28.</w:t>
      </w:r>
      <w:r w:rsidR="00E4141B" w:rsidRPr="00445B9C">
        <w:rPr>
          <w:rFonts w:eastAsiaTheme="majorEastAsia" w:cs="Arial"/>
          <w:szCs w:val="20"/>
        </w:rPr>
        <w:t xml:space="preserve"> </w:t>
      </w:r>
      <w:r w:rsidRPr="00445B9C">
        <w:rPr>
          <w:rFonts w:eastAsiaTheme="majorEastAsia" w:cs="Arial"/>
          <w:szCs w:val="20"/>
        </w:rPr>
        <w:t>v zvezi z zavrnitvijo ali odobritvijo zahteve za dostop do CNS ne ravna v skladu s tretjim odstavkom 36.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29.</w:t>
      </w:r>
      <w:r w:rsidR="00E4141B" w:rsidRPr="00445B9C">
        <w:rPr>
          <w:rFonts w:eastAsiaTheme="majorEastAsia" w:cs="Arial"/>
          <w:szCs w:val="20"/>
        </w:rPr>
        <w:t xml:space="preserve"> </w:t>
      </w:r>
      <w:r w:rsidRPr="00445B9C">
        <w:rPr>
          <w:rFonts w:eastAsiaTheme="majorEastAsia" w:cs="Arial"/>
          <w:szCs w:val="20"/>
        </w:rPr>
        <w:t>sklene dogovor iz tretjega odstavka 37. člena Uredbe 600/2014/EU.</w:t>
      </w:r>
    </w:p>
    <w:p w:rsidR="00E80C9D" w:rsidRPr="00445B9C" w:rsidRDefault="00E80C9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lastRenderedPageBreak/>
        <w:t xml:space="preserve">(2) Z globo od 25.000 do 250.000 eurov se za prekršek kaznuje banka, kreditna družba ali investicijsko podjetje, ki je sistematični </w:t>
      </w:r>
      <w:proofErr w:type="spellStart"/>
      <w:r w:rsidRPr="00445B9C">
        <w:rPr>
          <w:rFonts w:eastAsiaTheme="majorEastAsia" w:cs="Arial"/>
          <w:szCs w:val="20"/>
        </w:rPr>
        <w:t>internalizator</w:t>
      </w:r>
      <w:proofErr w:type="spellEnd"/>
      <w:r w:rsidRPr="00445B9C">
        <w:rPr>
          <w:rFonts w:eastAsiaTheme="majorEastAsia" w:cs="Arial"/>
          <w:szCs w:val="20"/>
        </w:rPr>
        <w:t xml:space="preserve">, z globo od 80.000 do 500.000 eurov pa banka, kreditna družba ali investicijsko podjetje, ki je sistematični </w:t>
      </w:r>
      <w:proofErr w:type="spellStart"/>
      <w:r w:rsidRPr="00445B9C">
        <w:rPr>
          <w:rFonts w:eastAsiaTheme="majorEastAsia" w:cs="Arial"/>
          <w:szCs w:val="20"/>
        </w:rPr>
        <w:t>internalizator</w:t>
      </w:r>
      <w:proofErr w:type="spellEnd"/>
      <w:r w:rsidRPr="00445B9C">
        <w:rPr>
          <w:rFonts w:eastAsiaTheme="majorEastAsia" w:cs="Arial"/>
          <w:szCs w:val="20"/>
        </w:rPr>
        <w:t>, ki se po ZGD-1 šteje za srednjo ali veliko gospodarsko družbo, če:</w:t>
      </w:r>
    </w:p>
    <w:p w:rsidR="001300DD" w:rsidRPr="00445B9C" w:rsidRDefault="001300D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1.</w:t>
      </w:r>
      <w:r w:rsidR="001867CE" w:rsidRPr="00445B9C">
        <w:rPr>
          <w:rFonts w:eastAsiaTheme="majorEastAsia" w:cs="Arial"/>
          <w:szCs w:val="20"/>
        </w:rPr>
        <w:t xml:space="preserve"> </w:t>
      </w:r>
      <w:r w:rsidRPr="00445B9C">
        <w:rPr>
          <w:rFonts w:eastAsiaTheme="majorEastAsia" w:cs="Arial"/>
          <w:szCs w:val="20"/>
        </w:rPr>
        <w:t xml:space="preserve">informacije, objavljene v skladu s 3., 4., 6. do 11.a, 14., 20., 21., 27.g in 27.h. členom Uredbe 600/2014/EU, niso na voljo javnosti ob razumnih poslovnih pogojih ali ni zagotovljen nediskriminatoren dostop do njih ali te informacije niso na voljo brezplačno </w:t>
      </w:r>
      <w:r w:rsidR="000F42F6">
        <w:rPr>
          <w:rFonts w:eastAsiaTheme="majorEastAsia" w:cs="Arial"/>
          <w:szCs w:val="20"/>
        </w:rPr>
        <w:t>petnajst</w:t>
      </w:r>
      <w:r w:rsidRPr="00445B9C">
        <w:rPr>
          <w:rFonts w:eastAsiaTheme="majorEastAsia" w:cs="Arial"/>
          <w:szCs w:val="20"/>
        </w:rPr>
        <w:t xml:space="preserve"> minut po njihovi objavi v zahtevani obliki (prvi in drugi odstavek 13. člena Uredbe 600/2014/EU)</w:t>
      </w:r>
      <w:r w:rsidR="00B34242">
        <w:rPr>
          <w:rFonts w:eastAsiaTheme="majorEastAsia" w:cs="Arial"/>
          <w:szCs w:val="20"/>
        </w:rPr>
        <w:t>;</w:t>
      </w:r>
    </w:p>
    <w:p w:rsidR="00E80C9D" w:rsidRPr="00445B9C" w:rsidRDefault="00E80C9D" w:rsidP="00E80C9D">
      <w:pPr>
        <w:jc w:val="both"/>
        <w:rPr>
          <w:rFonts w:eastAsiaTheme="majorEastAsia" w:cs="Arial"/>
          <w:szCs w:val="20"/>
        </w:rPr>
      </w:pPr>
      <w:r w:rsidRPr="00445B9C">
        <w:rPr>
          <w:rFonts w:eastAsiaTheme="majorEastAsia" w:cs="Arial"/>
          <w:szCs w:val="20"/>
        </w:rPr>
        <w:t>2.</w:t>
      </w:r>
      <w:r w:rsidR="001867CE" w:rsidRPr="00445B9C">
        <w:rPr>
          <w:rFonts w:eastAsiaTheme="majorEastAsia" w:cs="Arial"/>
          <w:szCs w:val="20"/>
        </w:rPr>
        <w:t xml:space="preserve"> </w:t>
      </w:r>
      <w:r w:rsidRPr="00445B9C">
        <w:rPr>
          <w:rFonts w:eastAsiaTheme="majorEastAsia" w:cs="Arial"/>
          <w:szCs w:val="20"/>
        </w:rPr>
        <w:t xml:space="preserve">ne objavi zavezujoče ponudbe v zvezi s tistimi delnicami, potrdili o lastništvu, ETF, certifikati in drugimi podobnimi finančnimi instrumenti, s katerimi se trguje na mestu trgovanja, za katere je sistematični </w:t>
      </w:r>
      <w:proofErr w:type="spellStart"/>
      <w:r w:rsidRPr="00445B9C">
        <w:rPr>
          <w:rFonts w:eastAsiaTheme="majorEastAsia" w:cs="Arial"/>
          <w:szCs w:val="20"/>
        </w:rPr>
        <w:t>internalizator</w:t>
      </w:r>
      <w:proofErr w:type="spellEnd"/>
      <w:r w:rsidRPr="00445B9C">
        <w:rPr>
          <w:rFonts w:eastAsiaTheme="majorEastAsia" w:cs="Arial"/>
          <w:szCs w:val="20"/>
        </w:rPr>
        <w:t xml:space="preserve"> in za katere obstaja likvidni trg (prvi odstavek 14.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3.</w:t>
      </w:r>
      <w:r w:rsidR="001867CE" w:rsidRPr="00445B9C">
        <w:rPr>
          <w:rFonts w:eastAsiaTheme="majorEastAsia" w:cs="Arial"/>
          <w:szCs w:val="20"/>
        </w:rPr>
        <w:t xml:space="preserve"> </w:t>
      </w:r>
      <w:r w:rsidRPr="00445B9C">
        <w:rPr>
          <w:rFonts w:eastAsiaTheme="majorEastAsia" w:cs="Arial"/>
          <w:szCs w:val="20"/>
        </w:rPr>
        <w:t>za finančne instrumente iz prvega pododstavka prvega odstavka 14. člena Uredbe 600/2014/EU</w:t>
      </w:r>
      <w:r w:rsidR="00611F6F">
        <w:rPr>
          <w:rFonts w:eastAsiaTheme="majorEastAsia" w:cs="Arial"/>
          <w:szCs w:val="20"/>
        </w:rPr>
        <w:t>, za katere</w:t>
      </w:r>
      <w:r w:rsidRPr="00445B9C">
        <w:rPr>
          <w:rFonts w:eastAsiaTheme="majorEastAsia" w:cs="Arial"/>
          <w:szCs w:val="20"/>
        </w:rPr>
        <w:t xml:space="preserve"> likvidni trg ne obstaja</w:t>
      </w:r>
      <w:r w:rsidR="00611F6F">
        <w:rPr>
          <w:rFonts w:eastAsiaTheme="majorEastAsia" w:cs="Arial"/>
          <w:szCs w:val="20"/>
        </w:rPr>
        <w:t>,</w:t>
      </w:r>
      <w:r w:rsidRPr="00445B9C">
        <w:rPr>
          <w:rFonts w:eastAsiaTheme="majorEastAsia" w:cs="Arial"/>
          <w:szCs w:val="20"/>
        </w:rPr>
        <w:t xml:space="preserve"> na zahtevo strank ne razkrije ponudbe (prvi odstavek 14.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4.</w:t>
      </w:r>
      <w:r w:rsidR="001867CE" w:rsidRPr="00445B9C">
        <w:rPr>
          <w:rFonts w:eastAsiaTheme="majorEastAsia" w:cs="Arial"/>
          <w:szCs w:val="20"/>
        </w:rPr>
        <w:t xml:space="preserve"> </w:t>
      </w:r>
      <w:r w:rsidRPr="00445B9C">
        <w:rPr>
          <w:rFonts w:eastAsiaTheme="majorEastAsia" w:cs="Arial"/>
          <w:szCs w:val="20"/>
        </w:rPr>
        <w:t>pri opravljanju poslov z obsegom do praga in vključno s pragom, določenim v regulativnih tehničnih standardih, sprejetih na podlagi b) točke sedmega odstavka 14. člena Uredbe 600/2014/EU</w:t>
      </w:r>
      <w:r w:rsidR="00B34242">
        <w:rPr>
          <w:rFonts w:eastAsiaTheme="majorEastAsia" w:cs="Arial"/>
          <w:szCs w:val="20"/>
        </w:rPr>
        <w:t>,</w:t>
      </w:r>
      <w:r w:rsidRPr="00445B9C">
        <w:rPr>
          <w:rFonts w:eastAsiaTheme="majorEastAsia" w:cs="Arial"/>
          <w:szCs w:val="20"/>
        </w:rPr>
        <w:t xml:space="preserve"> ne ravna v skladu </w:t>
      </w:r>
      <w:r w:rsidR="00611F6F">
        <w:rPr>
          <w:rFonts w:eastAsiaTheme="majorEastAsia" w:cs="Arial"/>
          <w:szCs w:val="20"/>
        </w:rPr>
        <w:t>s</w:t>
      </w:r>
      <w:r w:rsidRPr="00445B9C">
        <w:rPr>
          <w:rFonts w:eastAsiaTheme="majorEastAsia" w:cs="Arial"/>
          <w:szCs w:val="20"/>
        </w:rPr>
        <w:t xml:space="preserve"> 14., 15., 16., ali 17. člen</w:t>
      </w:r>
      <w:r w:rsidR="00611F6F">
        <w:rPr>
          <w:rFonts w:eastAsiaTheme="majorEastAsia" w:cs="Arial"/>
          <w:szCs w:val="20"/>
        </w:rPr>
        <w:t>om</w:t>
      </w:r>
      <w:r w:rsidRPr="00445B9C">
        <w:rPr>
          <w:rFonts w:eastAsiaTheme="majorEastAsia" w:cs="Arial"/>
          <w:szCs w:val="20"/>
        </w:rPr>
        <w:t xml:space="preserve"> Uredbe 600/2014</w:t>
      </w:r>
      <w:r w:rsidR="004D3CE2">
        <w:rPr>
          <w:rFonts w:eastAsiaTheme="majorEastAsia" w:cs="Arial"/>
          <w:szCs w:val="20"/>
        </w:rPr>
        <w:t>/EU</w:t>
      </w:r>
      <w:r w:rsidRPr="00445B9C">
        <w:rPr>
          <w:rFonts w:eastAsiaTheme="majorEastAsia" w:cs="Arial"/>
          <w:szCs w:val="20"/>
        </w:rPr>
        <w:t xml:space="preserve"> (drugi odstavek 14.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5.</w:t>
      </w:r>
      <w:r w:rsidR="001867CE" w:rsidRPr="00445B9C">
        <w:rPr>
          <w:rFonts w:eastAsiaTheme="majorEastAsia" w:cs="Arial"/>
          <w:szCs w:val="20"/>
        </w:rPr>
        <w:t xml:space="preserve"> </w:t>
      </w:r>
      <w:r w:rsidRPr="00445B9C">
        <w:rPr>
          <w:rFonts w:eastAsiaTheme="majorEastAsia" w:cs="Arial"/>
          <w:szCs w:val="20"/>
        </w:rPr>
        <w:t>najmanjši dovoljeni obseg ponudbe ni enak tistemu, ki je določen z regulativnimi tehničnimi standardi, sprejetimi na podlagi c) točke sedmega odstavka 14. člena Uredbe 600/2014/</w:t>
      </w:r>
      <w:r w:rsidR="004D3CE2">
        <w:rPr>
          <w:rFonts w:eastAsiaTheme="majorEastAsia" w:cs="Arial"/>
          <w:szCs w:val="20"/>
        </w:rPr>
        <w:t>EU</w:t>
      </w:r>
      <w:r w:rsidRPr="00445B9C">
        <w:rPr>
          <w:rFonts w:eastAsiaTheme="majorEastAsia" w:cs="Arial"/>
          <w:szCs w:val="20"/>
        </w:rPr>
        <w:t xml:space="preserve"> (tretji odstavek 14.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6.</w:t>
      </w:r>
      <w:r w:rsidR="001867CE" w:rsidRPr="00445B9C">
        <w:rPr>
          <w:rFonts w:eastAsiaTheme="majorEastAsia" w:cs="Arial"/>
          <w:szCs w:val="20"/>
        </w:rPr>
        <w:t xml:space="preserve"> </w:t>
      </w:r>
      <w:r w:rsidRPr="00445B9C">
        <w:rPr>
          <w:rFonts w:eastAsiaTheme="majorEastAsia" w:cs="Arial"/>
          <w:szCs w:val="20"/>
        </w:rPr>
        <w:t>za posamezno delnico, potrdilo o lastništvu, ETF, certifikat ali drug podoben finančni instrument, s katerim se trguje na mestu trgovanja, vsaka ponudba ne zajema zavezujoče nakupne in prodajne cene v velikosti do praga in vključno s pragom iz drugega odstavka 14. člena Uredbe 600/2014/EU ali če cena ali cene ne odražajo prevladujočih tržnih pogojev za te finančne instrumente (tretji odstavek 14.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7.</w:t>
      </w:r>
      <w:r w:rsidR="001867CE" w:rsidRPr="00445B9C">
        <w:rPr>
          <w:rFonts w:eastAsiaTheme="majorEastAsia" w:cs="Arial"/>
          <w:szCs w:val="20"/>
        </w:rPr>
        <w:t xml:space="preserve"> </w:t>
      </w:r>
      <w:r w:rsidRPr="00445B9C">
        <w:rPr>
          <w:rFonts w:eastAsiaTheme="majorEastAsia" w:cs="Arial"/>
          <w:szCs w:val="20"/>
        </w:rPr>
        <w:t>redno in stalno ne objavlja svojih ponudb v času običajnih ur trgovanja v skladu s prvim odstavkom 15.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8.</w:t>
      </w:r>
      <w:r w:rsidR="001867CE" w:rsidRPr="00445B9C">
        <w:rPr>
          <w:rFonts w:eastAsiaTheme="majorEastAsia" w:cs="Arial"/>
          <w:szCs w:val="20"/>
        </w:rPr>
        <w:t xml:space="preserve"> </w:t>
      </w:r>
      <w:r w:rsidRPr="00445B9C">
        <w:rPr>
          <w:rFonts w:eastAsiaTheme="majorEastAsia" w:cs="Arial"/>
          <w:szCs w:val="20"/>
        </w:rPr>
        <w:t xml:space="preserve">pri izvrševanju naročil strank ne ravna v skladu s 27. členom Direktive 2014/65/EU ali ne izvršuje naročil strank v zvezi z delnicami, potrdili o lastništvu, ETF, certifikati ali drugimi podobnimi finančnimi instrumenti, za katere </w:t>
      </w:r>
      <w:r w:rsidR="00611F6F">
        <w:rPr>
          <w:rFonts w:eastAsiaTheme="majorEastAsia" w:cs="Arial"/>
          <w:szCs w:val="20"/>
        </w:rPr>
        <w:t>je</w:t>
      </w:r>
      <w:r w:rsidR="00611F6F" w:rsidRPr="00445B9C">
        <w:rPr>
          <w:rFonts w:eastAsiaTheme="majorEastAsia" w:cs="Arial"/>
          <w:szCs w:val="20"/>
        </w:rPr>
        <w:t xml:space="preserve"> </w:t>
      </w:r>
      <w:r w:rsidRPr="00445B9C">
        <w:rPr>
          <w:rFonts w:eastAsiaTheme="majorEastAsia" w:cs="Arial"/>
          <w:szCs w:val="20"/>
        </w:rPr>
        <w:t xml:space="preserve">sistematični </w:t>
      </w:r>
      <w:proofErr w:type="spellStart"/>
      <w:r w:rsidRPr="00445B9C">
        <w:rPr>
          <w:rFonts w:eastAsiaTheme="majorEastAsia" w:cs="Arial"/>
          <w:szCs w:val="20"/>
        </w:rPr>
        <w:t>internalizator</w:t>
      </w:r>
      <w:proofErr w:type="spellEnd"/>
      <w:r w:rsidRPr="00445B9C">
        <w:rPr>
          <w:rFonts w:eastAsiaTheme="majorEastAsia" w:cs="Arial"/>
          <w:szCs w:val="20"/>
        </w:rPr>
        <w:t>, po cenah, ponujenih ob prejetju naročila (drugi odstavek 15.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9.</w:t>
      </w:r>
      <w:r w:rsidR="001867CE" w:rsidRPr="00445B9C">
        <w:rPr>
          <w:rFonts w:eastAsiaTheme="majorEastAsia" w:cs="Arial"/>
          <w:szCs w:val="20"/>
        </w:rPr>
        <w:t xml:space="preserve"> </w:t>
      </w:r>
      <w:r w:rsidRPr="00445B9C">
        <w:rPr>
          <w:rFonts w:eastAsiaTheme="majorEastAsia" w:cs="Arial"/>
          <w:szCs w:val="20"/>
        </w:rPr>
        <w:t>ponuja v različnih velikostih in prejme naročilo med temi velikostmi, ki se ga odloči izvršiti, in naročila ne izvrši po eni od ponujenih cen v skladu z 28. členom Direktive 2014/65/EU, razen če je v skladu z drugim in tretjim odstavkom 15. člena Uredbe 600/2014/EU dovoljeno drugače (četrti odstavek 15.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10.</w:t>
      </w:r>
      <w:r w:rsidR="001867CE" w:rsidRPr="00445B9C">
        <w:rPr>
          <w:rFonts w:eastAsiaTheme="majorEastAsia" w:cs="Arial"/>
          <w:szCs w:val="20"/>
        </w:rPr>
        <w:t xml:space="preserve"> </w:t>
      </w:r>
      <w:r w:rsidRPr="00445B9C">
        <w:rPr>
          <w:rFonts w:eastAsiaTheme="majorEastAsia" w:cs="Arial"/>
          <w:szCs w:val="20"/>
        </w:rPr>
        <w:t>nima jasnih in objektivno nediskriminatornih standardov, ki veljajo za dostop do njegovih ponudb v skladu s prvim odstavkom 17.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11.</w:t>
      </w:r>
      <w:r w:rsidR="001867CE" w:rsidRPr="00445B9C">
        <w:rPr>
          <w:rFonts w:eastAsiaTheme="majorEastAsia" w:cs="Arial"/>
          <w:szCs w:val="20"/>
        </w:rPr>
        <w:t xml:space="preserve"> </w:t>
      </w:r>
      <w:r w:rsidRPr="00445B9C">
        <w:rPr>
          <w:rFonts w:eastAsiaTheme="majorEastAsia" w:cs="Arial"/>
          <w:szCs w:val="20"/>
        </w:rPr>
        <w:t xml:space="preserve">za svoj račun ali v imenu strank sklene posle s finančnimi instrumenti iz prvega odstavka 20. člena ali prvega odstavka 21. člena Uredbe 600/2014/EU in ne objavi obsega in cene teh poslov ter časa njihove sklenitve ali če teh informacij ne objavi </w:t>
      </w:r>
      <w:r w:rsidR="00F842E3">
        <w:rPr>
          <w:rFonts w:eastAsiaTheme="majorEastAsia" w:cs="Arial"/>
          <w:szCs w:val="20"/>
        </w:rPr>
        <w:t>v</w:t>
      </w:r>
      <w:r w:rsidR="00F842E3" w:rsidRPr="00445B9C">
        <w:rPr>
          <w:rFonts w:eastAsiaTheme="majorEastAsia" w:cs="Arial"/>
          <w:szCs w:val="20"/>
        </w:rPr>
        <w:t xml:space="preserve"> </w:t>
      </w:r>
      <w:r w:rsidRPr="00445B9C">
        <w:rPr>
          <w:rFonts w:eastAsiaTheme="majorEastAsia" w:cs="Arial"/>
          <w:szCs w:val="20"/>
        </w:rPr>
        <w:t xml:space="preserve">APA ali če </w:t>
      </w:r>
      <w:r w:rsidR="00922547">
        <w:rPr>
          <w:rFonts w:eastAsiaTheme="majorEastAsia" w:cs="Arial"/>
          <w:szCs w:val="20"/>
        </w:rPr>
        <w:t>jih</w:t>
      </w:r>
      <w:r w:rsidRPr="00445B9C">
        <w:rPr>
          <w:rFonts w:eastAsiaTheme="majorEastAsia" w:cs="Arial"/>
          <w:szCs w:val="20"/>
        </w:rPr>
        <w:t xml:space="preserve"> za posamezni posel ne objavi samo enkrat </w:t>
      </w:r>
      <w:r w:rsidR="00F842E3">
        <w:rPr>
          <w:rFonts w:eastAsiaTheme="majorEastAsia" w:cs="Arial"/>
          <w:szCs w:val="20"/>
        </w:rPr>
        <w:t>v</w:t>
      </w:r>
      <w:r w:rsidR="00F842E3" w:rsidRPr="00445B9C">
        <w:rPr>
          <w:rFonts w:eastAsiaTheme="majorEastAsia" w:cs="Arial"/>
          <w:szCs w:val="20"/>
        </w:rPr>
        <w:t xml:space="preserve"> </w:t>
      </w:r>
      <w:r w:rsidRPr="00445B9C">
        <w:rPr>
          <w:rFonts w:eastAsiaTheme="majorEastAsia" w:cs="Arial"/>
          <w:szCs w:val="20"/>
        </w:rPr>
        <w:t>ene</w:t>
      </w:r>
      <w:r w:rsidR="00F842E3">
        <w:rPr>
          <w:rFonts w:eastAsiaTheme="majorEastAsia" w:cs="Arial"/>
          <w:szCs w:val="20"/>
        </w:rPr>
        <w:t>m</w:t>
      </w:r>
      <w:r w:rsidRPr="00445B9C">
        <w:rPr>
          <w:rFonts w:eastAsiaTheme="majorEastAsia" w:cs="Arial"/>
          <w:szCs w:val="20"/>
        </w:rPr>
        <w:t xml:space="preserve"> same</w:t>
      </w:r>
      <w:r w:rsidR="00F842E3">
        <w:rPr>
          <w:rFonts w:eastAsiaTheme="majorEastAsia" w:cs="Arial"/>
          <w:szCs w:val="20"/>
        </w:rPr>
        <w:t>m</w:t>
      </w:r>
      <w:r w:rsidRPr="00445B9C">
        <w:rPr>
          <w:rFonts w:eastAsiaTheme="majorEastAsia" w:cs="Arial"/>
          <w:szCs w:val="20"/>
        </w:rPr>
        <w:t xml:space="preserve"> APA (prvi odstavek in prvi a odstavek 20. člena </w:t>
      </w:r>
      <w:r w:rsidR="00611F6F">
        <w:rPr>
          <w:rFonts w:eastAsiaTheme="majorEastAsia" w:cs="Arial"/>
          <w:szCs w:val="20"/>
        </w:rPr>
        <w:t>ter</w:t>
      </w:r>
      <w:r w:rsidR="00611F6F" w:rsidRPr="00445B9C">
        <w:rPr>
          <w:rFonts w:eastAsiaTheme="majorEastAsia" w:cs="Arial"/>
          <w:szCs w:val="20"/>
        </w:rPr>
        <w:t xml:space="preserve"> </w:t>
      </w:r>
      <w:r w:rsidRPr="00445B9C">
        <w:rPr>
          <w:rFonts w:eastAsiaTheme="majorEastAsia" w:cs="Arial"/>
          <w:szCs w:val="20"/>
        </w:rPr>
        <w:t>prvi odstavek 21.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12.</w:t>
      </w:r>
      <w:r w:rsidR="001867CE" w:rsidRPr="00445B9C">
        <w:rPr>
          <w:rFonts w:eastAsiaTheme="majorEastAsia" w:cs="Arial"/>
          <w:szCs w:val="20"/>
        </w:rPr>
        <w:t xml:space="preserve"> </w:t>
      </w:r>
      <w:r w:rsidRPr="00445B9C">
        <w:rPr>
          <w:rFonts w:eastAsiaTheme="majorEastAsia" w:cs="Arial"/>
          <w:szCs w:val="20"/>
        </w:rPr>
        <w:t>informacije, objavljene v skladu s prvim odstavkom 20. člena Uredbe 600/2014/EU</w:t>
      </w:r>
      <w:r w:rsidR="00F842E3">
        <w:rPr>
          <w:rFonts w:eastAsiaTheme="majorEastAsia" w:cs="Arial"/>
          <w:szCs w:val="20"/>
        </w:rPr>
        <w:t>,</w:t>
      </w:r>
      <w:r w:rsidRPr="00445B9C">
        <w:rPr>
          <w:rFonts w:eastAsiaTheme="majorEastAsia" w:cs="Arial"/>
          <w:szCs w:val="20"/>
        </w:rPr>
        <w:t xml:space="preserve"> in časovni okviri, v katerih so objavljene, niso skladni z zahtevami, sprejetimi na podlagi 6. člena Uredbe 600/2014/EU, vključno z regulativnimi tehničnimi standardi, sprejetimi v skladu z a) točko drugega odstavka 7. člena Uredbe 600/2014/EU (drugi odstavek 20.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13.</w:t>
      </w:r>
      <w:r w:rsidR="001867CE" w:rsidRPr="00445B9C">
        <w:rPr>
          <w:rFonts w:eastAsiaTheme="majorEastAsia" w:cs="Arial"/>
          <w:szCs w:val="20"/>
        </w:rPr>
        <w:t xml:space="preserve"> </w:t>
      </w:r>
      <w:r w:rsidRPr="00445B9C">
        <w:rPr>
          <w:rFonts w:eastAsiaTheme="majorEastAsia" w:cs="Arial"/>
          <w:szCs w:val="20"/>
        </w:rPr>
        <w:t xml:space="preserve">vsakega posameznega posla v zvezi z obveznicami, strukturiranimi finančnimi produkti, emisijskimi kuponi in izvedenimi finančnimi instrumenti javno ne objavi </w:t>
      </w:r>
      <w:r w:rsidR="002D280D">
        <w:rPr>
          <w:rFonts w:eastAsiaTheme="majorEastAsia" w:cs="Arial"/>
          <w:szCs w:val="20"/>
        </w:rPr>
        <w:t>v</w:t>
      </w:r>
      <w:r w:rsidR="002D280D" w:rsidRPr="00445B9C">
        <w:rPr>
          <w:rFonts w:eastAsiaTheme="majorEastAsia" w:cs="Arial"/>
          <w:szCs w:val="20"/>
        </w:rPr>
        <w:t xml:space="preserve"> </w:t>
      </w:r>
      <w:r w:rsidRPr="00445B9C">
        <w:rPr>
          <w:rFonts w:eastAsiaTheme="majorEastAsia" w:cs="Arial"/>
          <w:szCs w:val="20"/>
        </w:rPr>
        <w:t>APA (drugi odstavek 21.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lastRenderedPageBreak/>
        <w:t>14.</w:t>
      </w:r>
      <w:r w:rsidR="001867CE" w:rsidRPr="00445B9C">
        <w:rPr>
          <w:rFonts w:eastAsiaTheme="majorEastAsia" w:cs="Arial"/>
          <w:szCs w:val="20"/>
        </w:rPr>
        <w:t xml:space="preserve"> </w:t>
      </w:r>
      <w:r w:rsidRPr="00445B9C">
        <w:rPr>
          <w:rFonts w:eastAsiaTheme="majorEastAsia" w:cs="Arial"/>
          <w:szCs w:val="20"/>
        </w:rPr>
        <w:t>informacije, objavljene v skladu s prvim odstavkom 21. člena Uredbe 600/2014/EU</w:t>
      </w:r>
      <w:r w:rsidR="00F842E3">
        <w:rPr>
          <w:rFonts w:eastAsiaTheme="majorEastAsia" w:cs="Arial"/>
          <w:szCs w:val="20"/>
        </w:rPr>
        <w:t>,</w:t>
      </w:r>
      <w:r w:rsidRPr="00445B9C">
        <w:rPr>
          <w:rFonts w:eastAsiaTheme="majorEastAsia" w:cs="Arial"/>
          <w:szCs w:val="20"/>
        </w:rPr>
        <w:t xml:space="preserve"> in časovni okviri, v katerih so objavljene, niso skladni z zahtevami, sprejetimi na podlagi 10. člena Uredbe 600/2014/EU, vključno z regulativnimi tehničnimi standardi, sprejetimi v skladu z a) in b) točko četrtega odstavka 11. člena Uredbe 600/2014/EU (tretji odstavek 21.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15.</w:t>
      </w:r>
      <w:r w:rsidR="001867CE" w:rsidRPr="00445B9C">
        <w:rPr>
          <w:rFonts w:eastAsiaTheme="majorEastAsia" w:cs="Arial"/>
          <w:szCs w:val="20"/>
        </w:rPr>
        <w:t xml:space="preserve"> </w:t>
      </w:r>
      <w:r w:rsidRPr="00445B9C">
        <w:rPr>
          <w:rFonts w:eastAsiaTheme="majorEastAsia" w:cs="Arial"/>
          <w:szCs w:val="20"/>
        </w:rPr>
        <w:t>ne uskladi poslovne ure, s katero beleži datum in čas vseh dogodkov, o katerih se poroča (prvi odstavek 22.c člena Uredbe 600/2014/EU).</w:t>
      </w:r>
    </w:p>
    <w:p w:rsidR="00E80C9D" w:rsidRPr="00445B9C" w:rsidRDefault="00E80C9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(3) Z globo od 25.000 do 250.000 eurov se za prekršek kaznuje banka, kreditna družba ali investicijsko podjetje, z globo od 80.000 do 500.000 eurov pa banka, kreditna družba ali investicijsko podjetje, ki se po ZGD-1 šteje za srednjo ali veliko gospodarsko družbo, če:</w:t>
      </w:r>
    </w:p>
    <w:p w:rsidR="001300DD" w:rsidRPr="00445B9C" w:rsidRDefault="001300D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1.</w:t>
      </w:r>
      <w:r w:rsidR="001867CE" w:rsidRPr="00445B9C">
        <w:rPr>
          <w:rFonts w:eastAsiaTheme="majorEastAsia" w:cs="Arial"/>
          <w:szCs w:val="20"/>
        </w:rPr>
        <w:t xml:space="preserve"> </w:t>
      </w:r>
      <w:r w:rsidRPr="00445B9C">
        <w:rPr>
          <w:rFonts w:eastAsiaTheme="majorEastAsia" w:cs="Arial"/>
          <w:szCs w:val="20"/>
        </w:rPr>
        <w:t xml:space="preserve">ustreza opredelitvi sistematičnega </w:t>
      </w:r>
      <w:proofErr w:type="spellStart"/>
      <w:r w:rsidRPr="00445B9C">
        <w:rPr>
          <w:rFonts w:eastAsiaTheme="majorEastAsia" w:cs="Arial"/>
          <w:szCs w:val="20"/>
        </w:rPr>
        <w:t>internalizatorja</w:t>
      </w:r>
      <w:proofErr w:type="spellEnd"/>
      <w:r w:rsidRPr="00445B9C">
        <w:rPr>
          <w:rFonts w:eastAsiaTheme="majorEastAsia" w:cs="Arial"/>
          <w:szCs w:val="20"/>
        </w:rPr>
        <w:t xml:space="preserve"> in o tem uradno ne obvesti agencije v skladu s prvim odstavkom 15. člena</w:t>
      </w:r>
      <w:r w:rsidR="003D1A16" w:rsidRPr="003D1A16">
        <w:rPr>
          <w:rFonts w:eastAsiaTheme="majorEastAsia" w:cs="Arial"/>
          <w:szCs w:val="20"/>
        </w:rPr>
        <w:t xml:space="preserve"> </w:t>
      </w:r>
      <w:r w:rsidR="003D1A16" w:rsidRPr="00445B9C">
        <w:rPr>
          <w:rFonts w:eastAsiaTheme="majorEastAsia" w:cs="Arial"/>
          <w:szCs w:val="20"/>
        </w:rPr>
        <w:t>Uredbe 600/2014/EU</w:t>
      </w:r>
      <w:r w:rsidRPr="00445B9C">
        <w:rPr>
          <w:rFonts w:eastAsiaTheme="majorEastAsia" w:cs="Arial"/>
          <w:szCs w:val="20"/>
        </w:rPr>
        <w:t>;</w:t>
      </w:r>
    </w:p>
    <w:p w:rsidR="00E80C9D" w:rsidRPr="00445B9C" w:rsidRDefault="00E80C9D" w:rsidP="00E80C9D">
      <w:pPr>
        <w:jc w:val="both"/>
        <w:rPr>
          <w:rFonts w:eastAsiaTheme="majorEastAsia" w:cs="Arial"/>
          <w:szCs w:val="20"/>
        </w:rPr>
      </w:pPr>
      <w:r w:rsidRPr="00445B9C">
        <w:rPr>
          <w:rFonts w:eastAsiaTheme="majorEastAsia" w:cs="Arial"/>
          <w:szCs w:val="20"/>
        </w:rPr>
        <w:t>2.</w:t>
      </w:r>
      <w:r w:rsidR="001867CE" w:rsidRPr="00445B9C">
        <w:rPr>
          <w:rFonts w:eastAsiaTheme="majorEastAsia" w:cs="Arial"/>
          <w:szCs w:val="20"/>
        </w:rPr>
        <w:t xml:space="preserve"> </w:t>
      </w:r>
      <w:r w:rsidRPr="00445B9C">
        <w:rPr>
          <w:rFonts w:eastAsiaTheme="majorEastAsia" w:cs="Arial"/>
          <w:szCs w:val="20"/>
        </w:rPr>
        <w:t xml:space="preserve">za svoj račun ali v imenu strank sklene posle s finančnimi instrumenti iz prvega odstavka 20. člena ali prvega odstavka 21. člena Uredbe 600/2014/EU in ne objavi obsega in cene teh poslov ter časa njihove sklenitve ali teh informacij ne objavi </w:t>
      </w:r>
      <w:r w:rsidR="00F842E3">
        <w:rPr>
          <w:rFonts w:eastAsiaTheme="majorEastAsia" w:cs="Arial"/>
          <w:szCs w:val="20"/>
        </w:rPr>
        <w:t>v</w:t>
      </w:r>
      <w:r w:rsidR="00F842E3" w:rsidRPr="00445B9C">
        <w:rPr>
          <w:rFonts w:eastAsiaTheme="majorEastAsia" w:cs="Arial"/>
          <w:szCs w:val="20"/>
        </w:rPr>
        <w:t xml:space="preserve"> </w:t>
      </w:r>
      <w:r w:rsidRPr="00445B9C">
        <w:rPr>
          <w:rFonts w:eastAsiaTheme="majorEastAsia" w:cs="Arial"/>
          <w:szCs w:val="20"/>
        </w:rPr>
        <w:t xml:space="preserve">APA ali </w:t>
      </w:r>
      <w:r w:rsidR="00F842E3">
        <w:rPr>
          <w:rFonts w:eastAsiaTheme="majorEastAsia" w:cs="Arial"/>
          <w:szCs w:val="20"/>
        </w:rPr>
        <w:t>jih</w:t>
      </w:r>
      <w:r w:rsidRPr="00445B9C">
        <w:rPr>
          <w:rFonts w:eastAsiaTheme="majorEastAsia" w:cs="Arial"/>
          <w:szCs w:val="20"/>
        </w:rPr>
        <w:t xml:space="preserve"> za posamezni posel ne objavi samo enkrat </w:t>
      </w:r>
      <w:r w:rsidR="00F842E3">
        <w:rPr>
          <w:rFonts w:eastAsiaTheme="majorEastAsia" w:cs="Arial"/>
          <w:szCs w:val="20"/>
        </w:rPr>
        <w:t>v</w:t>
      </w:r>
      <w:r w:rsidR="00F842E3" w:rsidRPr="00445B9C">
        <w:rPr>
          <w:rFonts w:eastAsiaTheme="majorEastAsia" w:cs="Arial"/>
          <w:szCs w:val="20"/>
        </w:rPr>
        <w:t xml:space="preserve"> </w:t>
      </w:r>
      <w:r w:rsidRPr="00445B9C">
        <w:rPr>
          <w:rFonts w:eastAsiaTheme="majorEastAsia" w:cs="Arial"/>
          <w:szCs w:val="20"/>
        </w:rPr>
        <w:t>ene</w:t>
      </w:r>
      <w:r w:rsidR="00F842E3">
        <w:rPr>
          <w:rFonts w:eastAsiaTheme="majorEastAsia" w:cs="Arial"/>
          <w:szCs w:val="20"/>
        </w:rPr>
        <w:t>m</w:t>
      </w:r>
      <w:r w:rsidRPr="00445B9C">
        <w:rPr>
          <w:rFonts w:eastAsiaTheme="majorEastAsia" w:cs="Arial"/>
          <w:szCs w:val="20"/>
        </w:rPr>
        <w:t xml:space="preserve"> same</w:t>
      </w:r>
      <w:r w:rsidR="00F842E3">
        <w:rPr>
          <w:rFonts w:eastAsiaTheme="majorEastAsia" w:cs="Arial"/>
          <w:szCs w:val="20"/>
        </w:rPr>
        <w:t>m</w:t>
      </w:r>
      <w:r w:rsidRPr="00445B9C">
        <w:rPr>
          <w:rFonts w:eastAsiaTheme="majorEastAsia" w:cs="Arial"/>
          <w:szCs w:val="20"/>
        </w:rPr>
        <w:t xml:space="preserve"> APA (prvi odstavek in prvi a odstavek 20. člena in prvi odstavek 21.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3.</w:t>
      </w:r>
      <w:r w:rsidR="001867CE" w:rsidRPr="00445B9C">
        <w:rPr>
          <w:rFonts w:eastAsiaTheme="majorEastAsia" w:cs="Arial"/>
          <w:szCs w:val="20"/>
        </w:rPr>
        <w:t xml:space="preserve"> </w:t>
      </w:r>
      <w:r w:rsidRPr="00445B9C">
        <w:rPr>
          <w:rFonts w:eastAsiaTheme="majorEastAsia" w:cs="Arial"/>
          <w:szCs w:val="20"/>
        </w:rPr>
        <w:t>informacije, objavljene v skladu s prvim odstavkom 20. člena Uredbe 600/2014/EU</w:t>
      </w:r>
      <w:r w:rsidR="00F842E3">
        <w:rPr>
          <w:rFonts w:eastAsiaTheme="majorEastAsia" w:cs="Arial"/>
          <w:szCs w:val="20"/>
        </w:rPr>
        <w:t>,</w:t>
      </w:r>
      <w:r w:rsidRPr="00445B9C">
        <w:rPr>
          <w:rFonts w:eastAsiaTheme="majorEastAsia" w:cs="Arial"/>
          <w:szCs w:val="20"/>
        </w:rPr>
        <w:t xml:space="preserve"> in časovni okviri, v katerih so objavljene, niso skladni z zahtevami, sprejetimi na podlagi 6. člena Uredbe 600/2014/EU, vključno z regulativnimi tehničnimi standardi, sprejetimi v skladu z a) točko drugega odstavka 7. člena Uredbe 600/2014/EU (drugi odstavek 20.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4.</w:t>
      </w:r>
      <w:r w:rsidR="001867CE" w:rsidRPr="00445B9C">
        <w:rPr>
          <w:rFonts w:eastAsiaTheme="majorEastAsia" w:cs="Arial"/>
          <w:szCs w:val="20"/>
        </w:rPr>
        <w:t xml:space="preserve"> </w:t>
      </w:r>
      <w:r w:rsidRPr="00445B9C">
        <w:rPr>
          <w:rFonts w:eastAsiaTheme="majorEastAsia" w:cs="Arial"/>
          <w:szCs w:val="20"/>
        </w:rPr>
        <w:t xml:space="preserve">vsakega posameznega posla v zvezi z obveznicami, strukturiranimi finančnimi produkti, emisijskimi kuponi in izvedenimi finančnimi instrumenti javno ne objavi </w:t>
      </w:r>
      <w:r w:rsidR="002D280D">
        <w:rPr>
          <w:rFonts w:eastAsiaTheme="majorEastAsia" w:cs="Arial"/>
          <w:szCs w:val="20"/>
        </w:rPr>
        <w:t>v</w:t>
      </w:r>
      <w:r w:rsidR="002D280D" w:rsidRPr="00445B9C">
        <w:rPr>
          <w:rFonts w:eastAsiaTheme="majorEastAsia" w:cs="Arial"/>
          <w:szCs w:val="20"/>
        </w:rPr>
        <w:t xml:space="preserve"> </w:t>
      </w:r>
      <w:r w:rsidRPr="00445B9C">
        <w:rPr>
          <w:rFonts w:eastAsiaTheme="majorEastAsia" w:cs="Arial"/>
          <w:szCs w:val="20"/>
        </w:rPr>
        <w:t>APA (drugi odstavek 21.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5.</w:t>
      </w:r>
      <w:r w:rsidR="001867CE" w:rsidRPr="00445B9C">
        <w:rPr>
          <w:rFonts w:eastAsiaTheme="majorEastAsia" w:cs="Arial"/>
          <w:szCs w:val="20"/>
        </w:rPr>
        <w:t xml:space="preserve"> </w:t>
      </w:r>
      <w:r w:rsidRPr="00445B9C">
        <w:rPr>
          <w:rFonts w:eastAsiaTheme="majorEastAsia" w:cs="Arial"/>
          <w:szCs w:val="20"/>
        </w:rPr>
        <w:t>informacije, objavljene v skladu s prvim odstavkom 21. člena Uredbe 600/2014/EU</w:t>
      </w:r>
      <w:r w:rsidR="00F842E3">
        <w:rPr>
          <w:rFonts w:eastAsiaTheme="majorEastAsia" w:cs="Arial"/>
          <w:szCs w:val="20"/>
        </w:rPr>
        <w:t>,</w:t>
      </w:r>
      <w:r w:rsidRPr="00445B9C">
        <w:rPr>
          <w:rFonts w:eastAsiaTheme="majorEastAsia" w:cs="Arial"/>
          <w:szCs w:val="20"/>
        </w:rPr>
        <w:t xml:space="preserve"> in časovni okviri, v katerih so objavljene, niso skladni z zahtevami, sprejetimi na podlagi 10. člena Uredbe 600/2014/EU, vključno z regulativnimi tehničnimi standardi, sprejetimi v skladu z a) in b) točko četrtega odstavka 11. člena Uredbe 600/2014/EU (tretji odstavek 21.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6.</w:t>
      </w:r>
      <w:r w:rsidR="001867CE" w:rsidRPr="00445B9C">
        <w:rPr>
          <w:rFonts w:eastAsiaTheme="majorEastAsia" w:cs="Arial"/>
          <w:szCs w:val="20"/>
        </w:rPr>
        <w:t xml:space="preserve"> </w:t>
      </w:r>
      <w:r w:rsidRPr="00445B9C">
        <w:rPr>
          <w:rFonts w:eastAsiaTheme="majorEastAsia" w:cs="Arial"/>
          <w:szCs w:val="20"/>
        </w:rPr>
        <w:t>z delnicami, uvrščenimi v trgovanje na organiziranem trgu ali s katerimi se trguje na mestu trgovanja, trguje v nasprotju s prvim odstavkom 23.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7.</w:t>
      </w:r>
      <w:r w:rsidR="001867CE" w:rsidRPr="00445B9C">
        <w:rPr>
          <w:rFonts w:eastAsiaTheme="majorEastAsia" w:cs="Arial"/>
          <w:szCs w:val="20"/>
        </w:rPr>
        <w:t xml:space="preserve"> </w:t>
      </w:r>
      <w:r w:rsidRPr="00445B9C">
        <w:rPr>
          <w:rFonts w:eastAsiaTheme="majorEastAsia" w:cs="Arial"/>
          <w:szCs w:val="20"/>
        </w:rPr>
        <w:t>upravlja notranji sistem združevanja, ki izvršuje naročila strank v zvezi z delnicami, potrdili o lastništvu, ETF, certifikati in drugimi podobnimi finančnimi instrumenti na večstranski osnovi, in ne pridobi dovoljenja kot MTF v skladu z Direktivo 2014/65/EU ali ne izpolnjuje vseh ustreznih določb v zvezi s takšnim dovoljenjem (drugi odstavek 23. člena Uredbe 600/2014/EU)</w:t>
      </w:r>
      <w:r w:rsidR="002D280D">
        <w:rPr>
          <w:rFonts w:eastAsiaTheme="majorEastAsia" w:cs="Arial"/>
          <w:szCs w:val="20"/>
        </w:rPr>
        <w:t>;</w:t>
      </w:r>
    </w:p>
    <w:p w:rsidR="00E80C9D" w:rsidRPr="00445B9C" w:rsidRDefault="00E80C9D" w:rsidP="00E80C9D">
      <w:pPr>
        <w:jc w:val="both"/>
        <w:rPr>
          <w:rFonts w:eastAsiaTheme="majorEastAsia" w:cs="Arial"/>
          <w:szCs w:val="20"/>
        </w:rPr>
      </w:pPr>
      <w:r w:rsidRPr="00445B9C">
        <w:rPr>
          <w:rFonts w:eastAsiaTheme="majorEastAsia" w:cs="Arial"/>
          <w:szCs w:val="20"/>
        </w:rPr>
        <w:t>8.</w:t>
      </w:r>
      <w:r w:rsidR="001867CE" w:rsidRPr="00445B9C">
        <w:rPr>
          <w:rFonts w:eastAsiaTheme="majorEastAsia" w:cs="Arial"/>
          <w:szCs w:val="20"/>
        </w:rPr>
        <w:t xml:space="preserve"> </w:t>
      </w:r>
      <w:r w:rsidRPr="00445B9C">
        <w:rPr>
          <w:rFonts w:eastAsiaTheme="majorEastAsia" w:cs="Arial"/>
          <w:szCs w:val="20"/>
        </w:rPr>
        <w:t>ne vodi evidenc ali agenciji ne daje na voljo podatkov v skladu s prvim odstavkom 25.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9.</w:t>
      </w:r>
      <w:r w:rsidR="001867CE" w:rsidRPr="00445B9C">
        <w:rPr>
          <w:rFonts w:eastAsiaTheme="majorEastAsia" w:cs="Arial"/>
          <w:szCs w:val="20"/>
        </w:rPr>
        <w:t xml:space="preserve"> </w:t>
      </w:r>
      <w:r w:rsidRPr="00445B9C">
        <w:rPr>
          <w:rFonts w:eastAsiaTheme="majorEastAsia" w:cs="Arial"/>
          <w:szCs w:val="20"/>
        </w:rPr>
        <w:t>izvršuje posle s finančnimi instrumenti iz drugega odstavka 26. člena Uredbe 600/2014/EU in agenciji izčrpno in točno ne poroča o podrobnostih teh poslov čim prej oziroma najpozneje do konca naslednjega delovnega dne (prvi odstavek 26.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10.</w:t>
      </w:r>
      <w:r w:rsidR="001867CE" w:rsidRPr="00445B9C">
        <w:rPr>
          <w:rFonts w:eastAsiaTheme="majorEastAsia" w:cs="Arial"/>
          <w:szCs w:val="20"/>
        </w:rPr>
        <w:t xml:space="preserve"> </w:t>
      </w:r>
      <w:r w:rsidRPr="00445B9C">
        <w:rPr>
          <w:rFonts w:eastAsiaTheme="majorEastAsia" w:cs="Arial"/>
          <w:szCs w:val="20"/>
        </w:rPr>
        <w:t>v poročilih ni vključenih podatkov v skladu s tretjim in četrtim odstavkom 26.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11.</w:t>
      </w:r>
      <w:r w:rsidR="001867CE" w:rsidRPr="00445B9C">
        <w:rPr>
          <w:rFonts w:eastAsiaTheme="majorEastAsia" w:cs="Arial"/>
          <w:szCs w:val="20"/>
        </w:rPr>
        <w:t xml:space="preserve"> </w:t>
      </w:r>
      <w:r w:rsidRPr="00445B9C">
        <w:rPr>
          <w:rFonts w:eastAsiaTheme="majorEastAsia" w:cs="Arial"/>
          <w:szCs w:val="20"/>
        </w:rPr>
        <w:t>pri poročanju ne uporabi označbe za pravne osebe v skladu s šestim odstavkom 26.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12.</w:t>
      </w:r>
      <w:r w:rsidR="001867CE" w:rsidRPr="00445B9C">
        <w:rPr>
          <w:rFonts w:eastAsiaTheme="majorEastAsia" w:cs="Arial"/>
          <w:szCs w:val="20"/>
        </w:rPr>
        <w:t xml:space="preserve"> </w:t>
      </w:r>
      <w:r w:rsidRPr="00445B9C">
        <w:rPr>
          <w:rFonts w:eastAsiaTheme="majorEastAsia" w:cs="Arial"/>
          <w:szCs w:val="20"/>
        </w:rPr>
        <w:t xml:space="preserve">agenciji ne predloži poročila o poslih v skladu s prvim, tretjim in devetim odstavkom 26. člena Uredbe 600/2014/EU, razen če to poročilo v njegovem imenu predloži ARM ali mesto trgovanja, </w:t>
      </w:r>
      <w:r w:rsidR="002D280D">
        <w:rPr>
          <w:rFonts w:eastAsiaTheme="majorEastAsia" w:cs="Arial"/>
          <w:szCs w:val="20"/>
        </w:rPr>
        <w:t>v</w:t>
      </w:r>
      <w:r w:rsidR="002D280D" w:rsidRPr="00445B9C">
        <w:rPr>
          <w:rFonts w:eastAsiaTheme="majorEastAsia" w:cs="Arial"/>
          <w:szCs w:val="20"/>
        </w:rPr>
        <w:t xml:space="preserve"> katerega </w:t>
      </w:r>
      <w:r w:rsidRPr="00445B9C">
        <w:rPr>
          <w:rFonts w:eastAsiaTheme="majorEastAsia" w:cs="Arial"/>
          <w:szCs w:val="20"/>
        </w:rPr>
        <w:t>sistem</w:t>
      </w:r>
      <w:r w:rsidR="002D280D">
        <w:rPr>
          <w:rFonts w:eastAsiaTheme="majorEastAsia" w:cs="Arial"/>
          <w:szCs w:val="20"/>
        </w:rPr>
        <w:t>u</w:t>
      </w:r>
      <w:r w:rsidRPr="00445B9C">
        <w:rPr>
          <w:rFonts w:eastAsiaTheme="majorEastAsia" w:cs="Arial"/>
          <w:szCs w:val="20"/>
        </w:rPr>
        <w:t xml:space="preserve"> je bil posel opravljen (sedmi odstavek 26.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13.</w:t>
      </w:r>
      <w:r w:rsidR="001867CE" w:rsidRPr="00445B9C">
        <w:rPr>
          <w:rFonts w:eastAsiaTheme="majorEastAsia" w:cs="Arial"/>
          <w:szCs w:val="20"/>
        </w:rPr>
        <w:t xml:space="preserve"> </w:t>
      </w:r>
      <w:r w:rsidRPr="00445B9C">
        <w:rPr>
          <w:rFonts w:eastAsiaTheme="majorEastAsia" w:cs="Arial"/>
          <w:szCs w:val="20"/>
        </w:rPr>
        <w:t>deluje kot klirinški član v skladu s štirinajstim odstavkom 2. člena Uredbe 648/2012/EU in nima vzpostavljenih učinkovitih sistemov, postopkov in ureditev v skladu z drugim odstavkom 29.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lastRenderedPageBreak/>
        <w:t>14.</w:t>
      </w:r>
      <w:r w:rsidR="001867CE" w:rsidRPr="00445B9C">
        <w:rPr>
          <w:rFonts w:eastAsiaTheme="majorEastAsia" w:cs="Arial"/>
          <w:szCs w:val="20"/>
        </w:rPr>
        <w:t xml:space="preserve"> </w:t>
      </w:r>
      <w:r w:rsidRPr="00445B9C">
        <w:rPr>
          <w:rFonts w:eastAsiaTheme="majorEastAsia" w:cs="Arial"/>
          <w:szCs w:val="20"/>
        </w:rPr>
        <w:t>kot ponudnik storitev za zmanjšanje tveganja po trgovanju ne vodi popolne in točne evidence poslov iz prvega odstavka 31. člena Uredbe 648/2012/EU, ki še niso zabeleženi ali sporočeni v skladu z Uredbo (EU) št. 648/2012</w:t>
      </w:r>
      <w:r w:rsidR="002D280D">
        <w:rPr>
          <w:rFonts w:eastAsiaTheme="majorEastAsia" w:cs="Arial"/>
          <w:szCs w:val="20"/>
        </w:rPr>
        <w:t>,</w:t>
      </w:r>
      <w:r w:rsidRPr="00445B9C">
        <w:rPr>
          <w:rFonts w:eastAsiaTheme="majorEastAsia" w:cs="Arial"/>
          <w:szCs w:val="20"/>
        </w:rPr>
        <w:t xml:space="preserve"> ali teh podatkov na zahtevo nemudoma ne predloži agenciji ali ESMA (tretji odstavek 31.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15.</w:t>
      </w:r>
      <w:r w:rsidR="001867CE" w:rsidRPr="00445B9C">
        <w:rPr>
          <w:rFonts w:eastAsiaTheme="majorEastAsia" w:cs="Arial"/>
          <w:szCs w:val="20"/>
        </w:rPr>
        <w:t xml:space="preserve"> </w:t>
      </w:r>
      <w:r w:rsidRPr="00445B9C">
        <w:rPr>
          <w:rFonts w:eastAsiaTheme="majorEastAsia" w:cs="Arial"/>
          <w:szCs w:val="20"/>
        </w:rPr>
        <w:t xml:space="preserve">prejme pristojbino ali provizijo ali nedenarno korist za izvrševanje naročil strank na določenem mestu ali za </w:t>
      </w:r>
      <w:r w:rsidR="00A007A0">
        <w:rPr>
          <w:rFonts w:eastAsiaTheme="majorEastAsia" w:cs="Arial"/>
          <w:szCs w:val="20"/>
        </w:rPr>
        <w:t>oddajo</w:t>
      </w:r>
      <w:r w:rsidR="00A007A0" w:rsidRPr="00445B9C">
        <w:rPr>
          <w:rFonts w:eastAsiaTheme="majorEastAsia" w:cs="Arial"/>
          <w:szCs w:val="20"/>
        </w:rPr>
        <w:t xml:space="preserve"> </w:t>
      </w:r>
      <w:r w:rsidRPr="00445B9C">
        <w:rPr>
          <w:rFonts w:eastAsiaTheme="majorEastAsia" w:cs="Arial"/>
          <w:szCs w:val="20"/>
        </w:rPr>
        <w:t>naročil teh strank kateri koli tretji osebi za njihovo izvršitev na določenem mestu trgovanja ali drugemu mestu izvrševanja naročil v nasprotju s prvim odstavkom 39. a člena Uredbe 600/2014/EU.</w:t>
      </w:r>
    </w:p>
    <w:p w:rsidR="00E80C9D" w:rsidRPr="00445B9C" w:rsidRDefault="00E80C9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(4) Z globo od 25.000 do 250.000 eurov se za prekršek kaznuje izvajalec storitev poročanja podatkov, z globo od 80.000 do 500.000 eurov pa izvajalec storitev poročanja podatkov, ki se po ZGD-1 šteje za srednjo ali veliko gospodarsko družbo, če:</w:t>
      </w:r>
    </w:p>
    <w:p w:rsidR="001300DD" w:rsidRPr="00445B9C" w:rsidRDefault="001300D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1.</w:t>
      </w:r>
      <w:r w:rsidR="001867CE" w:rsidRPr="00445B9C">
        <w:rPr>
          <w:rFonts w:eastAsiaTheme="majorEastAsia" w:cs="Arial"/>
          <w:szCs w:val="20"/>
        </w:rPr>
        <w:t xml:space="preserve"> </w:t>
      </w:r>
      <w:r w:rsidRPr="00445B9C">
        <w:rPr>
          <w:rFonts w:eastAsiaTheme="majorEastAsia" w:cs="Arial"/>
          <w:szCs w:val="20"/>
        </w:rPr>
        <w:t xml:space="preserve">kot APA ali CTP ne zagotovi, da so informacije, objavljene v skladu s 3., 4. in 6. do 11.a, 14., 20., 21., 27.g in 27.h členom Uredbe 600/2014/EU, na voljo javnosti ob razumnih poslovnih pogojih ali ni zagotovljen nediskriminatoren dostop do njih ali te informacije niso na voljo brezplačno </w:t>
      </w:r>
      <w:r w:rsidR="000F42F6">
        <w:rPr>
          <w:rFonts w:eastAsiaTheme="majorEastAsia" w:cs="Arial"/>
          <w:szCs w:val="20"/>
        </w:rPr>
        <w:t>petnajst</w:t>
      </w:r>
      <w:r w:rsidRPr="00445B9C">
        <w:rPr>
          <w:rFonts w:eastAsiaTheme="majorEastAsia" w:cs="Arial"/>
          <w:szCs w:val="20"/>
        </w:rPr>
        <w:t xml:space="preserve"> minut po njihovi objavi v zahtevani obliki (prvi in drugi odstavek 13.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w:t>
      </w:r>
      <w:r w:rsidR="001867CE" w:rsidRPr="00445B9C">
        <w:rPr>
          <w:rFonts w:eastAsiaTheme="majorEastAsia" w:cs="Arial"/>
          <w:szCs w:val="20"/>
        </w:rPr>
        <w:t xml:space="preserve"> </w:t>
      </w:r>
      <w:r w:rsidRPr="00445B9C">
        <w:rPr>
          <w:rFonts w:eastAsiaTheme="majorEastAsia" w:cs="Arial"/>
          <w:szCs w:val="20"/>
        </w:rPr>
        <w:t>kot APA ali CTP ne hrani potrebnih podatkov za obdobje</w:t>
      </w:r>
      <w:r w:rsidR="000F42F6">
        <w:rPr>
          <w:rFonts w:eastAsiaTheme="majorEastAsia" w:cs="Arial"/>
          <w:szCs w:val="20"/>
        </w:rPr>
        <w:t>,</w:t>
      </w:r>
      <w:r w:rsidRPr="00445B9C">
        <w:rPr>
          <w:rFonts w:eastAsiaTheme="majorEastAsia" w:cs="Arial"/>
          <w:szCs w:val="20"/>
        </w:rPr>
        <w:t xml:space="preserve"> določeno z regulativnimi tehničnimi standardi iz tretjega odstavka 22. člena Uredbe 600/2014/EU (drugi odstavek 22.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3.</w:t>
      </w:r>
      <w:r w:rsidR="001867CE" w:rsidRPr="00445B9C">
        <w:rPr>
          <w:rFonts w:eastAsiaTheme="majorEastAsia" w:cs="Arial"/>
          <w:szCs w:val="20"/>
        </w:rPr>
        <w:t xml:space="preserve"> </w:t>
      </w:r>
      <w:r w:rsidRPr="00445B9C">
        <w:rPr>
          <w:rFonts w:eastAsiaTheme="majorEastAsia" w:cs="Arial"/>
          <w:szCs w:val="20"/>
        </w:rPr>
        <w:t xml:space="preserve">kot APA v zvezi z delnicami, ETF in obveznicami, s katerimi se trguje na mestu trgovanja, ter v zvezi z izvedenimi finančnimi instrumenti OTC iz drugega odstavka 8.a člena Uredbe 600/2014/EU čim bližje realnemu času, kolikor je to tehnično izvedljivo, ne </w:t>
      </w:r>
      <w:proofErr w:type="spellStart"/>
      <w:r w:rsidRPr="00445B9C">
        <w:rPr>
          <w:rFonts w:eastAsiaTheme="majorEastAsia" w:cs="Arial"/>
          <w:szCs w:val="20"/>
        </w:rPr>
        <w:t>posredu</w:t>
      </w:r>
      <w:proofErr w:type="spellEnd"/>
      <w:r w:rsidRPr="00445B9C">
        <w:rPr>
          <w:rFonts w:eastAsiaTheme="majorEastAsia" w:cs="Arial"/>
          <w:szCs w:val="20"/>
        </w:rPr>
        <w:t xml:space="preserve"> podatkovnemu centru CTP regulativn</w:t>
      </w:r>
      <w:r w:rsidR="000F42F6">
        <w:rPr>
          <w:rFonts w:eastAsiaTheme="majorEastAsia" w:cs="Arial"/>
          <w:szCs w:val="20"/>
        </w:rPr>
        <w:t>ih</w:t>
      </w:r>
      <w:r w:rsidRPr="00445B9C">
        <w:rPr>
          <w:rFonts w:eastAsiaTheme="majorEastAsia" w:cs="Arial"/>
          <w:szCs w:val="20"/>
        </w:rPr>
        <w:t xml:space="preserve"> podatk</w:t>
      </w:r>
      <w:r w:rsidR="000F42F6">
        <w:rPr>
          <w:rFonts w:eastAsiaTheme="majorEastAsia" w:cs="Arial"/>
          <w:szCs w:val="20"/>
        </w:rPr>
        <w:t>ov</w:t>
      </w:r>
      <w:r w:rsidRPr="00445B9C">
        <w:rPr>
          <w:rFonts w:eastAsiaTheme="majorEastAsia" w:cs="Arial"/>
          <w:szCs w:val="20"/>
        </w:rPr>
        <w:t xml:space="preserve"> in podatk</w:t>
      </w:r>
      <w:r w:rsidR="000F42F6">
        <w:rPr>
          <w:rFonts w:eastAsiaTheme="majorEastAsia" w:cs="Arial"/>
          <w:szCs w:val="20"/>
        </w:rPr>
        <w:t>ov</w:t>
      </w:r>
      <w:r w:rsidRPr="00445B9C">
        <w:rPr>
          <w:rFonts w:eastAsiaTheme="majorEastAsia" w:cs="Arial"/>
          <w:szCs w:val="20"/>
        </w:rPr>
        <w:t>, ki jih določa prvi odstavek 22.a člena Uredbe 600/2014/EU</w:t>
      </w:r>
      <w:r w:rsidR="000F42F6">
        <w:rPr>
          <w:rFonts w:eastAsiaTheme="majorEastAsia" w:cs="Arial"/>
          <w:szCs w:val="20"/>
        </w:rPr>
        <w:t>,</w:t>
      </w:r>
      <w:r w:rsidRPr="00445B9C">
        <w:rPr>
          <w:rFonts w:eastAsiaTheme="majorEastAsia" w:cs="Arial"/>
          <w:szCs w:val="20"/>
        </w:rPr>
        <w:t xml:space="preserve"> ali teh podatkov ne posreduje v pravilni obliki (prvi odstavek 22.a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4.</w:t>
      </w:r>
      <w:r w:rsidR="001867CE" w:rsidRPr="00445B9C">
        <w:rPr>
          <w:rFonts w:eastAsiaTheme="majorEastAsia" w:cs="Arial"/>
          <w:szCs w:val="20"/>
        </w:rPr>
        <w:t xml:space="preserve"> </w:t>
      </w:r>
      <w:r w:rsidRPr="00445B9C">
        <w:rPr>
          <w:rFonts w:eastAsiaTheme="majorEastAsia" w:cs="Arial"/>
          <w:szCs w:val="20"/>
        </w:rPr>
        <w:t>kot CTP ne izbere, kateri protokol za posredovanje se uporablja za neposredno posredovanje podatkov iz prvega odstavka 22.a člena Uredbe 600/2014/EU podatkovnemu centru CTP (peti odstavek 22.a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5.</w:t>
      </w:r>
      <w:r w:rsidR="001867CE" w:rsidRPr="00445B9C">
        <w:rPr>
          <w:rFonts w:eastAsiaTheme="majorEastAsia" w:cs="Arial"/>
          <w:szCs w:val="20"/>
        </w:rPr>
        <w:t xml:space="preserve"> </w:t>
      </w:r>
      <w:r w:rsidRPr="00445B9C">
        <w:rPr>
          <w:rFonts w:eastAsiaTheme="majorEastAsia" w:cs="Arial"/>
          <w:szCs w:val="20"/>
        </w:rPr>
        <w:t>kot APA prejme plačilo za posredovane podatke iz prvega odstavka 22.a člena Uredbe 600/2014/EU ali protokola za posredovanje iz petega odstavka 22.a člena Uredbe 600/2014/EU, razen prihodkov, prejetih na podlagi petega, šestega in sedmega odstavka 27.h člena Uredbe 600/2014/EU (šesti odstavek 22.a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6.</w:t>
      </w:r>
      <w:r w:rsidR="001867CE" w:rsidRPr="00445B9C">
        <w:rPr>
          <w:rFonts w:eastAsiaTheme="majorEastAsia" w:cs="Arial"/>
          <w:szCs w:val="20"/>
        </w:rPr>
        <w:t xml:space="preserve"> </w:t>
      </w:r>
      <w:r w:rsidRPr="00445B9C">
        <w:rPr>
          <w:rFonts w:eastAsiaTheme="majorEastAsia" w:cs="Arial"/>
          <w:szCs w:val="20"/>
        </w:rPr>
        <w:t xml:space="preserve">kot APA za podatke, ki se </w:t>
      </w:r>
      <w:r w:rsidR="005165A3">
        <w:rPr>
          <w:rFonts w:eastAsiaTheme="majorEastAsia" w:cs="Arial"/>
          <w:szCs w:val="20"/>
        </w:rPr>
        <w:t>predložijo</w:t>
      </w:r>
      <w:r w:rsidR="005165A3" w:rsidRPr="00445B9C">
        <w:rPr>
          <w:rFonts w:eastAsiaTheme="majorEastAsia" w:cs="Arial"/>
          <w:szCs w:val="20"/>
        </w:rPr>
        <w:t xml:space="preserve"> </w:t>
      </w:r>
      <w:r w:rsidRPr="00445B9C">
        <w:rPr>
          <w:rFonts w:eastAsiaTheme="majorEastAsia" w:cs="Arial"/>
          <w:szCs w:val="20"/>
        </w:rPr>
        <w:t>CTP, po potrebi ne uporabi odlog</w:t>
      </w:r>
      <w:r w:rsidR="005165A3">
        <w:rPr>
          <w:rFonts w:eastAsiaTheme="majorEastAsia" w:cs="Arial"/>
          <w:szCs w:val="20"/>
        </w:rPr>
        <w:t>ov</w:t>
      </w:r>
      <w:r w:rsidRPr="00445B9C">
        <w:rPr>
          <w:rFonts w:eastAsiaTheme="majorEastAsia" w:cs="Arial"/>
          <w:szCs w:val="20"/>
        </w:rPr>
        <w:t xml:space="preserve"> iz 7., 11. in 11.a člena ter drugega odstavka 20. in četrtega odstavka 21. člena Uredbe 600/2014/EU (sedmi odstavek 22.a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7.</w:t>
      </w:r>
      <w:r w:rsidR="001867CE" w:rsidRPr="00445B9C">
        <w:rPr>
          <w:rFonts w:eastAsiaTheme="majorEastAsia" w:cs="Arial"/>
          <w:szCs w:val="20"/>
        </w:rPr>
        <w:t xml:space="preserve"> </w:t>
      </w:r>
      <w:r w:rsidRPr="00445B9C">
        <w:rPr>
          <w:rFonts w:eastAsiaTheme="majorEastAsia" w:cs="Arial"/>
          <w:szCs w:val="20"/>
        </w:rPr>
        <w:t>kot CTP ne obvesti agencije o tem, da kakovost podatkov, ki jih CTP pošilja subjekt, ki prispeva podatke, ni zadostna (osmi odstavek 22.a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8.</w:t>
      </w:r>
      <w:r w:rsidR="001867CE" w:rsidRPr="00445B9C">
        <w:rPr>
          <w:rFonts w:eastAsiaTheme="majorEastAsia" w:cs="Arial"/>
          <w:szCs w:val="20"/>
        </w:rPr>
        <w:t xml:space="preserve"> </w:t>
      </w:r>
      <w:r w:rsidRPr="00445B9C">
        <w:rPr>
          <w:rFonts w:eastAsiaTheme="majorEastAsia" w:cs="Arial"/>
          <w:szCs w:val="20"/>
        </w:rPr>
        <w:t xml:space="preserve">kot APA podatkov iz prvega odstavka 22.a člena Uredbe 600/2014/EU ne </w:t>
      </w:r>
      <w:r w:rsidR="005165A3">
        <w:rPr>
          <w:rFonts w:eastAsiaTheme="majorEastAsia" w:cs="Arial"/>
          <w:szCs w:val="20"/>
        </w:rPr>
        <w:t>predloži</w:t>
      </w:r>
      <w:r w:rsidR="005165A3" w:rsidRPr="00445B9C">
        <w:rPr>
          <w:rFonts w:eastAsiaTheme="majorEastAsia" w:cs="Arial"/>
          <w:szCs w:val="20"/>
        </w:rPr>
        <w:t xml:space="preserve"> </w:t>
      </w:r>
      <w:r w:rsidRPr="00445B9C">
        <w:rPr>
          <w:rFonts w:eastAsiaTheme="majorEastAsia" w:cs="Arial"/>
          <w:szCs w:val="20"/>
        </w:rPr>
        <w:t>CTP v skladu z zahtevami iz prvega odstavka 22.b člena Uredbe 600/2014/EU (prvi odstavek 22.b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9.</w:t>
      </w:r>
      <w:r w:rsidR="001867CE" w:rsidRPr="00445B9C">
        <w:rPr>
          <w:rFonts w:eastAsiaTheme="majorEastAsia" w:cs="Arial"/>
          <w:szCs w:val="20"/>
        </w:rPr>
        <w:t xml:space="preserve"> </w:t>
      </w:r>
      <w:r w:rsidRPr="00445B9C">
        <w:rPr>
          <w:rFonts w:eastAsiaTheme="majorEastAsia" w:cs="Arial"/>
          <w:szCs w:val="20"/>
        </w:rPr>
        <w:t xml:space="preserve">kot CTP podatkov iz d) točke prvega odstavka 27.h člena </w:t>
      </w:r>
      <w:r w:rsidR="003D1A16" w:rsidRPr="00445B9C">
        <w:rPr>
          <w:rFonts w:eastAsiaTheme="majorEastAsia" w:cs="Arial"/>
          <w:szCs w:val="20"/>
        </w:rPr>
        <w:t xml:space="preserve">Uredbe 600/2014/EU </w:t>
      </w:r>
      <w:r w:rsidRPr="00445B9C">
        <w:rPr>
          <w:rFonts w:eastAsiaTheme="majorEastAsia" w:cs="Arial"/>
          <w:szCs w:val="20"/>
        </w:rPr>
        <w:t>ne razširja v skladu z zahtevami iz prvega odstavka 22.b člena Uredbe 600/2014/EU (prvi odstavek 22.b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10.</w:t>
      </w:r>
      <w:r w:rsidR="001867CE" w:rsidRPr="00445B9C">
        <w:rPr>
          <w:rFonts w:eastAsiaTheme="majorEastAsia" w:cs="Arial"/>
          <w:szCs w:val="20"/>
        </w:rPr>
        <w:t xml:space="preserve"> </w:t>
      </w:r>
      <w:r w:rsidRPr="00445B9C">
        <w:rPr>
          <w:rFonts w:eastAsiaTheme="majorEastAsia" w:cs="Arial"/>
          <w:szCs w:val="20"/>
        </w:rPr>
        <w:t>kot APA ali CTP ne uskladi poslovne ure, s katero beleži datum in čas vseh dogodkov, o katerih se poroča (prvi odstavek 22.c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11.</w:t>
      </w:r>
      <w:r w:rsidR="001867CE" w:rsidRPr="00445B9C">
        <w:rPr>
          <w:rFonts w:eastAsiaTheme="majorEastAsia" w:cs="Arial"/>
          <w:szCs w:val="20"/>
        </w:rPr>
        <w:t xml:space="preserve"> </w:t>
      </w:r>
      <w:r w:rsidRPr="00445B9C">
        <w:rPr>
          <w:rFonts w:eastAsiaTheme="majorEastAsia" w:cs="Arial"/>
          <w:szCs w:val="20"/>
        </w:rPr>
        <w:t>kot ARM deluje v imenu investicijskega podjetja in ne predloži poročila o poslovanju v skladu s prvim, tretjim, sedmim in devetim odstavkom 26. člena Uredbe 600/2014/EU (sedmi odstavek 26.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12.</w:t>
      </w:r>
      <w:r w:rsidR="001867CE" w:rsidRPr="00445B9C">
        <w:rPr>
          <w:rFonts w:eastAsiaTheme="majorEastAsia" w:cs="Arial"/>
          <w:szCs w:val="20"/>
        </w:rPr>
        <w:t xml:space="preserve"> </w:t>
      </w:r>
      <w:r w:rsidRPr="00445B9C">
        <w:rPr>
          <w:rFonts w:eastAsiaTheme="majorEastAsia" w:cs="Arial"/>
          <w:szCs w:val="20"/>
        </w:rPr>
        <w:t>kot APA ali ARM iz prvega odstavka 333. člena tega zakona nima dovoljenja v skladu s 27.b členom Uredbe 600/2014/EU;</w:t>
      </w:r>
    </w:p>
    <w:p w:rsidR="00E80C9D" w:rsidRPr="00445B9C" w:rsidRDefault="00E80C9D" w:rsidP="00E80C9D">
      <w:pPr>
        <w:jc w:val="both"/>
        <w:rPr>
          <w:rFonts w:eastAsiaTheme="majorEastAsia" w:cs="Arial"/>
          <w:szCs w:val="20"/>
        </w:rPr>
      </w:pPr>
      <w:r w:rsidRPr="00445B9C">
        <w:rPr>
          <w:rFonts w:eastAsiaTheme="majorEastAsia" w:cs="Arial"/>
          <w:szCs w:val="20"/>
        </w:rPr>
        <w:lastRenderedPageBreak/>
        <w:t>13.</w:t>
      </w:r>
      <w:r w:rsidR="001867CE" w:rsidRPr="00445B9C">
        <w:rPr>
          <w:rFonts w:eastAsiaTheme="majorEastAsia" w:cs="Arial"/>
          <w:szCs w:val="20"/>
        </w:rPr>
        <w:t xml:space="preserve"> </w:t>
      </w:r>
      <w:r w:rsidRPr="00445B9C">
        <w:rPr>
          <w:rFonts w:eastAsiaTheme="majorEastAsia" w:cs="Arial"/>
          <w:szCs w:val="20"/>
        </w:rPr>
        <w:t>kot APA ali ARM iz prvega odstavka 333. člena tega zakona ne izpolnjuje zahtev za upravljalni organ iz prvega, drugega in tretjega odstavka 27</w:t>
      </w:r>
      <w:r w:rsidR="003D1A16">
        <w:rPr>
          <w:rFonts w:eastAsiaTheme="majorEastAsia" w:cs="Arial"/>
          <w:szCs w:val="20"/>
        </w:rPr>
        <w:t>.</w:t>
      </w:r>
      <w:r w:rsidRPr="00445B9C">
        <w:rPr>
          <w:rFonts w:eastAsiaTheme="majorEastAsia" w:cs="Arial"/>
          <w:szCs w:val="20"/>
        </w:rPr>
        <w:t>f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14.</w:t>
      </w:r>
      <w:r w:rsidR="001867CE" w:rsidRPr="00445B9C">
        <w:rPr>
          <w:rFonts w:eastAsiaTheme="majorEastAsia" w:cs="Arial"/>
          <w:szCs w:val="20"/>
        </w:rPr>
        <w:t xml:space="preserve"> </w:t>
      </w:r>
      <w:r w:rsidRPr="00445B9C">
        <w:rPr>
          <w:rFonts w:eastAsiaTheme="majorEastAsia" w:cs="Arial"/>
          <w:szCs w:val="20"/>
        </w:rPr>
        <w:t>kot APA iz prvega odstavka 333. člena tega zakona ne izpolnjuje organizacijskih zahtev iz prvega do petega odstavka 27.g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15.</w:t>
      </w:r>
      <w:r w:rsidR="001867CE" w:rsidRPr="00445B9C">
        <w:rPr>
          <w:rFonts w:eastAsiaTheme="majorEastAsia" w:cs="Arial"/>
          <w:szCs w:val="20"/>
        </w:rPr>
        <w:t xml:space="preserve"> </w:t>
      </w:r>
      <w:r w:rsidRPr="00445B9C">
        <w:rPr>
          <w:rFonts w:eastAsiaTheme="majorEastAsia" w:cs="Arial"/>
          <w:szCs w:val="20"/>
        </w:rPr>
        <w:t>kot ARM iz prvega odstavka 333. člena tega zakona ne izpolnjuje organizacijskih zahtev iz prvega do četrtega odstavka 27.i člena Uredbe 600/2014/EU.</w:t>
      </w:r>
    </w:p>
    <w:p w:rsidR="00E80C9D" w:rsidRPr="00445B9C" w:rsidRDefault="00E80C9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(5) Z globo od 25.000 do 250.000 eurov se za prekršek kaznuje CNS, z globo od 25.000 do 500.000 eurov pa CNS, ki se po ZGD-1 šteje za srednjo ali veliko gospodarsko družbo, če:</w:t>
      </w:r>
    </w:p>
    <w:p w:rsidR="001300DD" w:rsidRPr="00445B9C" w:rsidRDefault="001300D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1.</w:t>
      </w:r>
      <w:r w:rsidR="001867CE" w:rsidRPr="00445B9C">
        <w:rPr>
          <w:rFonts w:eastAsiaTheme="majorEastAsia" w:cs="Arial"/>
          <w:szCs w:val="20"/>
        </w:rPr>
        <w:t xml:space="preserve"> </w:t>
      </w:r>
      <w:r w:rsidRPr="00445B9C">
        <w:rPr>
          <w:rFonts w:eastAsiaTheme="majorEastAsia" w:cs="Arial"/>
          <w:szCs w:val="20"/>
        </w:rPr>
        <w:t>deluje kot klirinški član v skladu s štirinajstim odstavkom 2. člena Uredbe 648/2012/EU ter nima vzpostavljenih učinkovitih sistemov, postopkov in ureditev v skladu z drugim odstavkom 29.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w:t>
      </w:r>
      <w:r w:rsidR="001867CE" w:rsidRPr="00445B9C">
        <w:rPr>
          <w:rFonts w:eastAsiaTheme="majorEastAsia" w:cs="Arial"/>
          <w:szCs w:val="20"/>
        </w:rPr>
        <w:t xml:space="preserve"> </w:t>
      </w:r>
      <w:r w:rsidRPr="00445B9C">
        <w:rPr>
          <w:rFonts w:eastAsiaTheme="majorEastAsia" w:cs="Arial"/>
          <w:szCs w:val="20"/>
        </w:rPr>
        <w:t>nediskriminatorno in pregledno ne sprejme kliringa finančnih instrumentov v skladu s prvim odstavkom 35.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3.</w:t>
      </w:r>
      <w:r w:rsidR="001867CE" w:rsidRPr="00445B9C">
        <w:rPr>
          <w:rFonts w:eastAsiaTheme="majorEastAsia" w:cs="Arial"/>
          <w:szCs w:val="20"/>
        </w:rPr>
        <w:t xml:space="preserve"> </w:t>
      </w:r>
      <w:r w:rsidRPr="00445B9C">
        <w:rPr>
          <w:rFonts w:eastAsiaTheme="majorEastAsia" w:cs="Arial"/>
          <w:szCs w:val="20"/>
        </w:rPr>
        <w:t>v zvezi z zavrnitvijo ali odobritvijo zahteve za dostop do CNS ne ravna v skladu s tretjim odstavkom 35.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4.</w:t>
      </w:r>
      <w:r w:rsidR="001867CE" w:rsidRPr="00445B9C">
        <w:rPr>
          <w:rFonts w:eastAsiaTheme="majorEastAsia" w:cs="Arial"/>
          <w:szCs w:val="20"/>
        </w:rPr>
        <w:t xml:space="preserve"> </w:t>
      </w:r>
      <w:r w:rsidRPr="00445B9C">
        <w:rPr>
          <w:rFonts w:eastAsiaTheme="majorEastAsia" w:cs="Arial"/>
          <w:szCs w:val="20"/>
        </w:rPr>
        <w:t>zahteva dostop do mesta trgovanja in zahteve uradno ne predloži temu mestu trgovanja in agenciji v skladu z drugim odstavkom 36.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5.</w:t>
      </w:r>
      <w:r w:rsidR="001867CE" w:rsidRPr="00445B9C">
        <w:rPr>
          <w:rFonts w:eastAsiaTheme="majorEastAsia" w:cs="Arial"/>
          <w:szCs w:val="20"/>
        </w:rPr>
        <w:t xml:space="preserve"> </w:t>
      </w:r>
      <w:r w:rsidRPr="00445B9C">
        <w:rPr>
          <w:rFonts w:eastAsiaTheme="majorEastAsia" w:cs="Arial"/>
          <w:szCs w:val="20"/>
        </w:rPr>
        <w:t>sklene dogovor iz tretjega odstavka 37. člena Uredbe 600/2014/EU.</w:t>
      </w:r>
    </w:p>
    <w:p w:rsidR="00E80C9D" w:rsidRPr="00445B9C" w:rsidRDefault="00E80C9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(6) Z globo od 25.000 do 250.000 eurov se za prekršek kaznuje pravna oseba, z globo od 25.000 do 500.000 eurov pa pravna oseba, ki se po ZGD-1 šteje za srednjo ali veliko gospodarsko družbo, če:</w:t>
      </w:r>
    </w:p>
    <w:p w:rsidR="001300DD" w:rsidRPr="00445B9C" w:rsidRDefault="001300D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1.</w:t>
      </w:r>
      <w:r w:rsidR="001867CE" w:rsidRPr="00445B9C">
        <w:rPr>
          <w:rFonts w:eastAsiaTheme="majorEastAsia" w:cs="Arial"/>
          <w:szCs w:val="20"/>
        </w:rPr>
        <w:t xml:space="preserve"> </w:t>
      </w:r>
      <w:r w:rsidRPr="00445B9C">
        <w:rPr>
          <w:rFonts w:eastAsiaTheme="majorEastAsia" w:cs="Arial"/>
          <w:szCs w:val="20"/>
        </w:rPr>
        <w:t>je oseba iz prvega</w:t>
      </w:r>
      <w:r w:rsidR="001300DD" w:rsidRPr="00445B9C">
        <w:rPr>
          <w:rFonts w:eastAsiaTheme="majorEastAsia" w:cs="Arial"/>
          <w:szCs w:val="20"/>
        </w:rPr>
        <w:t xml:space="preserve"> </w:t>
      </w:r>
      <w:r w:rsidRPr="00445B9C">
        <w:rPr>
          <w:rFonts w:eastAsiaTheme="majorEastAsia" w:cs="Arial"/>
          <w:szCs w:val="20"/>
        </w:rPr>
        <w:t>odstavka 28. člena Uredbe 600/2014/EU in z izvedenimi finančnimi instrumenti iz razreda izvedenih finančnih instrumentov, za katerega velja obveznost trgovanja v skladu z 32. členom in ki so navedeni v registru iz 34. člena Uredbe 600/2014/EU</w:t>
      </w:r>
      <w:r w:rsidR="00146847">
        <w:rPr>
          <w:rFonts w:eastAsiaTheme="majorEastAsia" w:cs="Arial"/>
          <w:szCs w:val="20"/>
        </w:rPr>
        <w:t>,</w:t>
      </w:r>
      <w:r w:rsidRPr="00445B9C">
        <w:rPr>
          <w:rFonts w:eastAsiaTheme="majorEastAsia" w:cs="Arial"/>
          <w:szCs w:val="20"/>
        </w:rPr>
        <w:t xml:space="preserve"> trguje zunaj mest trgovanja, naveden</w:t>
      </w:r>
      <w:r w:rsidR="00146847">
        <w:rPr>
          <w:rFonts w:eastAsiaTheme="majorEastAsia" w:cs="Arial"/>
          <w:szCs w:val="20"/>
        </w:rPr>
        <w:t>ih</w:t>
      </w:r>
      <w:r w:rsidRPr="00445B9C">
        <w:rPr>
          <w:rFonts w:eastAsiaTheme="majorEastAsia" w:cs="Arial"/>
          <w:szCs w:val="20"/>
        </w:rPr>
        <w:t xml:space="preserve"> v prvem odstavku 28. člena Uredbe 600/2014/EU (prvi odstavek 28.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2.</w:t>
      </w:r>
      <w:r w:rsidR="001867CE" w:rsidRPr="00445B9C">
        <w:rPr>
          <w:rFonts w:eastAsiaTheme="majorEastAsia" w:cs="Arial"/>
          <w:szCs w:val="20"/>
        </w:rPr>
        <w:t xml:space="preserve"> </w:t>
      </w:r>
      <w:r w:rsidRPr="00445B9C">
        <w:rPr>
          <w:rFonts w:eastAsiaTheme="majorEastAsia" w:cs="Arial"/>
          <w:szCs w:val="20"/>
        </w:rPr>
        <w:t>uporablja posredno ureditev kliringa in ne izpolnjuje pogojev iz prvega odstavka 30.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3.</w:t>
      </w:r>
      <w:r w:rsidR="001867CE" w:rsidRPr="00445B9C">
        <w:rPr>
          <w:rFonts w:eastAsiaTheme="majorEastAsia" w:cs="Arial"/>
          <w:szCs w:val="20"/>
        </w:rPr>
        <w:t xml:space="preserve"> </w:t>
      </w:r>
      <w:r w:rsidRPr="00445B9C">
        <w:rPr>
          <w:rFonts w:eastAsiaTheme="majorEastAsia" w:cs="Arial"/>
          <w:szCs w:val="20"/>
        </w:rPr>
        <w:t>je oseba z lastninsko pravico v zvezi referenčnim merilom</w:t>
      </w:r>
      <w:r w:rsidR="00146847">
        <w:rPr>
          <w:rFonts w:eastAsiaTheme="majorEastAsia" w:cs="Arial"/>
          <w:szCs w:val="20"/>
        </w:rPr>
        <w:t>,</w:t>
      </w:r>
      <w:r w:rsidRPr="00445B9C">
        <w:rPr>
          <w:rFonts w:eastAsiaTheme="majorEastAsia" w:cs="Arial"/>
          <w:szCs w:val="20"/>
        </w:rPr>
        <w:t xml:space="preserve"> na podlagi katerega se izračuna vrednost finančnega instrumenta</w:t>
      </w:r>
      <w:r w:rsidR="00146847">
        <w:rPr>
          <w:rFonts w:eastAsiaTheme="majorEastAsia" w:cs="Arial"/>
          <w:szCs w:val="20"/>
        </w:rPr>
        <w:t>,</w:t>
      </w:r>
      <w:r w:rsidRPr="00445B9C">
        <w:rPr>
          <w:rFonts w:eastAsiaTheme="majorEastAsia" w:cs="Arial"/>
          <w:szCs w:val="20"/>
        </w:rPr>
        <w:t xml:space="preserve"> in ne zagotovi, da imajo CNS in mesta trgovanja za namene trgovanja in kliringa omogočen </w:t>
      </w:r>
      <w:proofErr w:type="spellStart"/>
      <w:r w:rsidRPr="00445B9C">
        <w:rPr>
          <w:rFonts w:eastAsiaTheme="majorEastAsia" w:cs="Arial"/>
          <w:szCs w:val="20"/>
        </w:rPr>
        <w:t>nediskriminatoren</w:t>
      </w:r>
      <w:proofErr w:type="spellEnd"/>
      <w:r w:rsidRPr="00445B9C">
        <w:rPr>
          <w:rFonts w:eastAsiaTheme="majorEastAsia" w:cs="Arial"/>
          <w:szCs w:val="20"/>
        </w:rPr>
        <w:t xml:space="preserve"> dostop v skladu s prvim odstavkom 37.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4.</w:t>
      </w:r>
      <w:r w:rsidR="001867CE" w:rsidRPr="00445B9C">
        <w:rPr>
          <w:rFonts w:eastAsiaTheme="majorEastAsia" w:cs="Arial"/>
          <w:szCs w:val="20"/>
        </w:rPr>
        <w:t xml:space="preserve"> </w:t>
      </w:r>
      <w:r w:rsidRPr="00445B9C">
        <w:rPr>
          <w:rFonts w:eastAsiaTheme="majorEastAsia" w:cs="Arial"/>
          <w:szCs w:val="20"/>
        </w:rPr>
        <w:t>je s CNS ali mestom trgovanja povezan subjekt in sklene dogovor iz tretjega odstavka 37.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5.</w:t>
      </w:r>
      <w:r w:rsidR="001867CE" w:rsidRPr="00445B9C">
        <w:rPr>
          <w:rFonts w:eastAsiaTheme="majorEastAsia" w:cs="Arial"/>
          <w:szCs w:val="20"/>
        </w:rPr>
        <w:t xml:space="preserve"> </w:t>
      </w:r>
      <w:r w:rsidRPr="00445B9C">
        <w:rPr>
          <w:rFonts w:eastAsiaTheme="majorEastAsia" w:cs="Arial"/>
          <w:szCs w:val="20"/>
        </w:rPr>
        <w:t>ne ravna v skladu z ukrepom, ki ga izreče ESMA v skladu s prvim odstavkom 40.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6.</w:t>
      </w:r>
      <w:r w:rsidR="001867CE" w:rsidRPr="00445B9C">
        <w:rPr>
          <w:rFonts w:eastAsiaTheme="majorEastAsia" w:cs="Arial"/>
          <w:szCs w:val="20"/>
        </w:rPr>
        <w:t xml:space="preserve"> </w:t>
      </w:r>
      <w:r w:rsidRPr="00445B9C">
        <w:rPr>
          <w:rFonts w:eastAsiaTheme="majorEastAsia" w:cs="Arial"/>
          <w:szCs w:val="20"/>
        </w:rPr>
        <w:t>ne ravna v skladu z ukrepom, ki ga izreče Evropski bančni organ v skladu s prvim odstavkom 41. člena Uredbe 600/2014/EU;</w:t>
      </w:r>
    </w:p>
    <w:p w:rsidR="00E80C9D" w:rsidRPr="00445B9C" w:rsidRDefault="00E80C9D" w:rsidP="00E80C9D">
      <w:pPr>
        <w:jc w:val="both"/>
        <w:rPr>
          <w:rFonts w:eastAsiaTheme="majorEastAsia" w:cs="Arial"/>
          <w:szCs w:val="20"/>
        </w:rPr>
      </w:pPr>
      <w:r w:rsidRPr="00445B9C">
        <w:rPr>
          <w:rFonts w:eastAsiaTheme="majorEastAsia" w:cs="Arial"/>
          <w:szCs w:val="20"/>
        </w:rPr>
        <w:t>7.</w:t>
      </w:r>
      <w:r w:rsidR="001867CE" w:rsidRPr="00445B9C">
        <w:rPr>
          <w:rFonts w:eastAsiaTheme="majorEastAsia" w:cs="Arial"/>
          <w:szCs w:val="20"/>
        </w:rPr>
        <w:t xml:space="preserve"> </w:t>
      </w:r>
      <w:r w:rsidRPr="00445B9C">
        <w:rPr>
          <w:rFonts w:eastAsiaTheme="majorEastAsia" w:cs="Arial"/>
          <w:szCs w:val="20"/>
        </w:rPr>
        <w:t>ne ravna v skladu z ukrepom, ki ga izreče agencija v skladu s prvim odstavkom 42. člena Uredbe 600/2014/EU.</w:t>
      </w:r>
    </w:p>
    <w:p w:rsidR="001867CE" w:rsidRPr="00445B9C" w:rsidRDefault="001867CE"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(7) Če je narava storjenega prekrška iz prvega do šestega odstavka tega člena posebno huda zaradi višine povzročene škode oziroma višine pridobljene protipravne premoženjske koristi ali zaradi storilčevega naklepa oziroma njegovega namena koristoljubnosti, se pravna oseba kaznuje z globo v višini do:</w:t>
      </w:r>
    </w:p>
    <w:p w:rsidR="001300DD" w:rsidRPr="00445B9C" w:rsidRDefault="001300D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1.</w:t>
      </w:r>
      <w:r w:rsidR="001867CE" w:rsidRPr="00445B9C">
        <w:rPr>
          <w:rFonts w:eastAsiaTheme="majorEastAsia" w:cs="Arial"/>
          <w:szCs w:val="20"/>
        </w:rPr>
        <w:t xml:space="preserve"> </w:t>
      </w:r>
      <w:r w:rsidRPr="00445B9C">
        <w:rPr>
          <w:rFonts w:eastAsiaTheme="majorEastAsia" w:cs="Arial"/>
          <w:szCs w:val="20"/>
        </w:rPr>
        <w:t xml:space="preserve">5.000.000 eurov ali 10 % skupnega letnega prometa glede na zadnje razpoložljive računovodske izkaze, ki jih je odobril pristojni organ družbe, oziroma skupnega letnega prometa </w:t>
      </w:r>
      <w:r w:rsidRPr="00445B9C">
        <w:rPr>
          <w:rFonts w:eastAsiaTheme="majorEastAsia" w:cs="Arial"/>
          <w:szCs w:val="20"/>
        </w:rPr>
        <w:lastRenderedPageBreak/>
        <w:t xml:space="preserve">ali ustrezne vrste prihodka, ki izhaja iz zadnje razpoložljive konsolidirane letne bilance, ki jo je odobril pristojni organ matične družbe, če pravna oseba pripravi konsolidirane računovodske izkaze na podlagi ZGD-1, pri čemer se upošteva višji znesek, če gre za kršitev iz 1. do 5. točke prejšnjega odstavka, </w:t>
      </w:r>
    </w:p>
    <w:p w:rsidR="00E80C9D" w:rsidRPr="00445B9C" w:rsidRDefault="00E80C9D" w:rsidP="00E80C9D">
      <w:pPr>
        <w:jc w:val="both"/>
        <w:rPr>
          <w:rFonts w:eastAsiaTheme="majorEastAsia" w:cs="Arial"/>
          <w:szCs w:val="20"/>
        </w:rPr>
      </w:pPr>
      <w:r w:rsidRPr="00445B9C">
        <w:rPr>
          <w:rFonts w:eastAsiaTheme="majorEastAsia" w:cs="Arial"/>
          <w:szCs w:val="20"/>
        </w:rPr>
        <w:t>2.</w:t>
      </w:r>
      <w:r w:rsidR="001867CE" w:rsidRPr="00445B9C">
        <w:rPr>
          <w:rFonts w:eastAsiaTheme="majorEastAsia" w:cs="Arial"/>
          <w:szCs w:val="20"/>
        </w:rPr>
        <w:t xml:space="preserve"> </w:t>
      </w:r>
      <w:r w:rsidRPr="00445B9C">
        <w:rPr>
          <w:rFonts w:eastAsiaTheme="majorEastAsia" w:cs="Arial"/>
          <w:szCs w:val="20"/>
        </w:rPr>
        <w:t>2.500.000 eurov ali 2 % skupnega letnega prometa glede na zadnje razpoložljive računovodske izkaze, ki jih je odobril pristojni organ družbe, oziroma skupnega letnega prometa ali ustrezne vrste prihodka, ki izhaja iz zadnje razpoložljive konsolidirane letne bilance, ki jo je odobril pristojni organ matične družbe, če pravna oseba pripravi konsolidirane računovodske izkaze na podlagi ZGD-1, pri čemer se upošteva višji znesek, če gre za kršitev iz 6. ali 7. točke prejšnjega odstavka, ali</w:t>
      </w:r>
    </w:p>
    <w:p w:rsidR="00E80C9D" w:rsidRPr="00445B9C" w:rsidRDefault="00E80C9D" w:rsidP="00E80C9D">
      <w:pPr>
        <w:jc w:val="both"/>
        <w:rPr>
          <w:rFonts w:eastAsiaTheme="majorEastAsia" w:cs="Arial"/>
          <w:szCs w:val="20"/>
        </w:rPr>
      </w:pPr>
      <w:r w:rsidRPr="00445B9C">
        <w:rPr>
          <w:rFonts w:eastAsiaTheme="majorEastAsia" w:cs="Arial"/>
          <w:szCs w:val="20"/>
        </w:rPr>
        <w:t>3.</w:t>
      </w:r>
      <w:r w:rsidR="001867CE" w:rsidRPr="00445B9C">
        <w:rPr>
          <w:rFonts w:eastAsiaTheme="majorEastAsia" w:cs="Arial"/>
          <w:szCs w:val="20"/>
        </w:rPr>
        <w:t xml:space="preserve"> </w:t>
      </w:r>
      <w:r w:rsidRPr="00445B9C">
        <w:rPr>
          <w:rFonts w:eastAsiaTheme="majorEastAsia" w:cs="Arial"/>
          <w:szCs w:val="20"/>
        </w:rPr>
        <w:t>trikratnega zneska dobička, pridobljenega s kršitvijo, ali izgube, preprečene s kršitvijo, kadar ju je mogoče opredeliti, če ta znesek presega znesek iz 1. oziroma 2. točke tega odstavka.</w:t>
      </w:r>
    </w:p>
    <w:p w:rsidR="00E80C9D" w:rsidRPr="00445B9C" w:rsidRDefault="00E80C9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(8) Z globo od 400 do 150.000 eurov se za prekršek kaznuje podjetnik ali posameznik, ki samostojno opravlja dejavnost, ki stori prekršek iz prvega do šestega odstavka tega člena.</w:t>
      </w:r>
    </w:p>
    <w:p w:rsidR="00E80C9D" w:rsidRPr="00445B9C" w:rsidRDefault="00E80C9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(9) Z globo od 800 do 10.000 eurov se za prekršek kaznuje odgovorna oseba pravne osebe, ki stori prekršek iz prvega do šestega odstavka tega člena, in odgovorna oseba podjetnika ali posameznika, ki samostojno opravlja dejavnost, ki stori prekršek iz prvega do šestega odstavka tega člena.</w:t>
      </w:r>
    </w:p>
    <w:p w:rsidR="00E80C9D" w:rsidRPr="00445B9C" w:rsidRDefault="00E80C9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(10) Z globo od 400 do 5.000 eurov se za prekršek kaznuje posameznik, ki stori prekršek iz prvega do šestega odstavka tega člena.</w:t>
      </w:r>
    </w:p>
    <w:p w:rsidR="00E80C9D" w:rsidRPr="00445B9C" w:rsidRDefault="00E80C9D" w:rsidP="00E80C9D">
      <w:pPr>
        <w:jc w:val="both"/>
        <w:rPr>
          <w:rFonts w:eastAsiaTheme="majorEastAsia" w:cs="Arial"/>
          <w:szCs w:val="20"/>
        </w:rPr>
      </w:pPr>
    </w:p>
    <w:p w:rsidR="00E80C9D" w:rsidRPr="00445B9C" w:rsidRDefault="00E80C9D" w:rsidP="00E80C9D">
      <w:pPr>
        <w:jc w:val="both"/>
        <w:rPr>
          <w:rFonts w:eastAsiaTheme="majorEastAsia" w:cs="Arial"/>
          <w:szCs w:val="20"/>
        </w:rPr>
      </w:pPr>
      <w:r w:rsidRPr="00445B9C">
        <w:rPr>
          <w:rFonts w:eastAsiaTheme="majorEastAsia" w:cs="Arial"/>
          <w:szCs w:val="20"/>
        </w:rPr>
        <w:t>(11) Če je narava storjenega prekrška iz osmega, devetega ali desetega odstavka tega člena posebno huda zaradi višine povzročene škode oziroma višine pridobljene protipravne premoženjske koristi ali zaradi storilčevega naklepa oziroma njegovega namena koristoljubnosti, se oseba iz osmega, devetega ali desetega odstavka tega člena kaznuje z globo do višine:</w:t>
      </w:r>
    </w:p>
    <w:p w:rsidR="00E80C9D" w:rsidRPr="00445B9C" w:rsidRDefault="00E80C9D" w:rsidP="00E80C9D">
      <w:pPr>
        <w:jc w:val="both"/>
        <w:rPr>
          <w:rFonts w:eastAsiaTheme="majorEastAsia" w:cs="Arial"/>
          <w:szCs w:val="20"/>
        </w:rPr>
      </w:pPr>
      <w:r w:rsidRPr="00445B9C">
        <w:rPr>
          <w:rFonts w:eastAsiaTheme="majorEastAsia" w:cs="Arial"/>
          <w:szCs w:val="20"/>
        </w:rPr>
        <w:t>1.</w:t>
      </w:r>
      <w:r w:rsidR="001867CE" w:rsidRPr="00445B9C">
        <w:rPr>
          <w:rFonts w:eastAsiaTheme="majorEastAsia" w:cs="Arial"/>
          <w:szCs w:val="20"/>
        </w:rPr>
        <w:t xml:space="preserve"> </w:t>
      </w:r>
      <w:r w:rsidRPr="00445B9C">
        <w:rPr>
          <w:rFonts w:eastAsiaTheme="majorEastAsia" w:cs="Arial"/>
          <w:szCs w:val="20"/>
        </w:rPr>
        <w:t>5.000.000 eurov, če gre za kršitev iz prvega do šestega odstavka tega člena, ali</w:t>
      </w:r>
    </w:p>
    <w:p w:rsidR="00E80C9D" w:rsidRPr="00445B9C" w:rsidRDefault="00E80C9D" w:rsidP="00E80C9D">
      <w:pPr>
        <w:jc w:val="both"/>
        <w:rPr>
          <w:rFonts w:eastAsiaTheme="majorEastAsia" w:cs="Arial"/>
          <w:szCs w:val="20"/>
        </w:rPr>
      </w:pPr>
      <w:r w:rsidRPr="00445B9C">
        <w:rPr>
          <w:rFonts w:eastAsiaTheme="majorEastAsia" w:cs="Arial"/>
          <w:szCs w:val="20"/>
        </w:rPr>
        <w:t>2.</w:t>
      </w:r>
      <w:r w:rsidR="001867CE" w:rsidRPr="00445B9C">
        <w:rPr>
          <w:rFonts w:eastAsiaTheme="majorEastAsia" w:cs="Arial"/>
          <w:szCs w:val="20"/>
        </w:rPr>
        <w:t xml:space="preserve"> </w:t>
      </w:r>
      <w:r w:rsidRPr="00445B9C">
        <w:rPr>
          <w:rFonts w:eastAsiaTheme="majorEastAsia" w:cs="Arial"/>
          <w:szCs w:val="20"/>
        </w:rPr>
        <w:t>trikratnega zneska dobička, pridobljenega s kršitvijo, ali izgube, preprečene s kršitvijo, kadar ju je mogoče opredeliti, če ta znesek presega znesek iz prejšnje točke.«</w:t>
      </w:r>
      <w:r w:rsidR="00865F47">
        <w:rPr>
          <w:rFonts w:eastAsiaTheme="majorEastAsia" w:cs="Arial"/>
          <w:szCs w:val="20"/>
        </w:rPr>
        <w:t>.</w:t>
      </w:r>
    </w:p>
    <w:p w:rsidR="00BD09B5" w:rsidRPr="00445B9C" w:rsidRDefault="00BD09B5" w:rsidP="00F922A3">
      <w:pPr>
        <w:jc w:val="both"/>
        <w:rPr>
          <w:rFonts w:eastAsiaTheme="majorEastAsia" w:cs="Arial"/>
          <w:szCs w:val="20"/>
        </w:rPr>
      </w:pPr>
    </w:p>
    <w:p w:rsidR="006A2506" w:rsidRPr="00445B9C" w:rsidRDefault="006B4B89" w:rsidP="00F810E6">
      <w:pPr>
        <w:numPr>
          <w:ilvl w:val="0"/>
          <w:numId w:val="16"/>
        </w:numPr>
        <w:spacing w:before="240" w:after="240" w:line="259" w:lineRule="auto"/>
        <w:ind w:left="720"/>
        <w:jc w:val="center"/>
        <w:outlineLvl w:val="0"/>
        <w:rPr>
          <w:rFonts w:eastAsiaTheme="majorEastAsia" w:cs="Arial"/>
          <w:b/>
          <w:szCs w:val="20"/>
        </w:rPr>
      </w:pPr>
      <w:bookmarkStart w:id="73" w:name="_Ref196735286"/>
      <w:bookmarkEnd w:id="67"/>
      <w:r w:rsidRPr="00445B9C">
        <w:rPr>
          <w:rFonts w:eastAsiaTheme="majorEastAsia" w:cs="Arial"/>
          <w:b/>
          <w:szCs w:val="20"/>
        </w:rPr>
        <w:t>člen</w:t>
      </w:r>
      <w:bookmarkEnd w:id="73"/>
    </w:p>
    <w:p w:rsidR="003477B9" w:rsidRPr="00445B9C" w:rsidRDefault="00BD09B5" w:rsidP="00BA786D">
      <w:pPr>
        <w:spacing w:before="240" w:after="240" w:line="259" w:lineRule="auto"/>
        <w:jc w:val="both"/>
        <w:outlineLvl w:val="0"/>
        <w:rPr>
          <w:rFonts w:eastAsiaTheme="majorEastAsia" w:cs="Arial"/>
          <w:bCs/>
          <w:szCs w:val="20"/>
        </w:rPr>
      </w:pPr>
      <w:r w:rsidRPr="00445B9C">
        <w:rPr>
          <w:rFonts w:eastAsiaTheme="majorEastAsia" w:cs="Arial"/>
          <w:bCs/>
          <w:szCs w:val="20"/>
        </w:rPr>
        <w:t xml:space="preserve">V 546. členu se </w:t>
      </w:r>
      <w:r w:rsidR="00907F48" w:rsidRPr="00445B9C">
        <w:rPr>
          <w:rFonts w:eastAsiaTheme="majorEastAsia" w:cs="Arial"/>
          <w:bCs/>
          <w:szCs w:val="20"/>
        </w:rPr>
        <w:t xml:space="preserve">v </w:t>
      </w:r>
      <w:r w:rsidRPr="00445B9C">
        <w:rPr>
          <w:rFonts w:eastAsiaTheme="majorEastAsia" w:cs="Arial"/>
          <w:bCs/>
          <w:szCs w:val="20"/>
        </w:rPr>
        <w:t>tretj</w:t>
      </w:r>
      <w:r w:rsidR="00907F48" w:rsidRPr="00445B9C">
        <w:rPr>
          <w:rFonts w:eastAsiaTheme="majorEastAsia" w:cs="Arial"/>
          <w:bCs/>
          <w:szCs w:val="20"/>
        </w:rPr>
        <w:t>em</w:t>
      </w:r>
      <w:r w:rsidRPr="00445B9C">
        <w:rPr>
          <w:rFonts w:eastAsiaTheme="majorEastAsia" w:cs="Arial"/>
          <w:bCs/>
          <w:szCs w:val="20"/>
        </w:rPr>
        <w:t xml:space="preserve"> odstavk</w:t>
      </w:r>
      <w:r w:rsidR="00907F48" w:rsidRPr="00445B9C">
        <w:rPr>
          <w:rFonts w:eastAsiaTheme="majorEastAsia" w:cs="Arial"/>
          <w:bCs/>
          <w:szCs w:val="20"/>
        </w:rPr>
        <w:t>u</w:t>
      </w:r>
      <w:r w:rsidRPr="00445B9C">
        <w:rPr>
          <w:rFonts w:eastAsiaTheme="majorEastAsia" w:cs="Arial"/>
          <w:bCs/>
          <w:szCs w:val="20"/>
        </w:rPr>
        <w:t xml:space="preserve"> za besed</w:t>
      </w:r>
      <w:r w:rsidR="00907F48" w:rsidRPr="00445B9C">
        <w:rPr>
          <w:rFonts w:eastAsiaTheme="majorEastAsia" w:cs="Arial"/>
          <w:bCs/>
          <w:szCs w:val="20"/>
        </w:rPr>
        <w:t>ilom</w:t>
      </w:r>
      <w:r w:rsidRPr="00445B9C">
        <w:rPr>
          <w:rFonts w:eastAsiaTheme="majorEastAsia" w:cs="Arial"/>
          <w:bCs/>
          <w:szCs w:val="20"/>
        </w:rPr>
        <w:t xml:space="preserve"> »kršitelj bank</w:t>
      </w:r>
      <w:r w:rsidR="00BD11FB" w:rsidRPr="00445B9C">
        <w:rPr>
          <w:rFonts w:eastAsiaTheme="majorEastAsia" w:cs="Arial"/>
          <w:bCs/>
          <w:szCs w:val="20"/>
        </w:rPr>
        <w:t>a</w:t>
      </w:r>
      <w:r w:rsidRPr="00445B9C">
        <w:rPr>
          <w:rFonts w:eastAsiaTheme="majorEastAsia" w:cs="Arial"/>
          <w:bCs/>
          <w:szCs w:val="20"/>
        </w:rPr>
        <w:t xml:space="preserve">« </w:t>
      </w:r>
      <w:r w:rsidR="00DF6381" w:rsidRPr="00445B9C">
        <w:rPr>
          <w:rFonts w:eastAsiaTheme="majorEastAsia" w:cs="Arial"/>
          <w:bCs/>
          <w:szCs w:val="20"/>
        </w:rPr>
        <w:t xml:space="preserve">črta </w:t>
      </w:r>
      <w:r w:rsidRPr="00445B9C">
        <w:rPr>
          <w:rFonts w:eastAsiaTheme="majorEastAsia" w:cs="Arial"/>
          <w:bCs/>
          <w:szCs w:val="20"/>
        </w:rPr>
        <w:t>vejic</w:t>
      </w:r>
      <w:r w:rsidR="00907F48" w:rsidRPr="00445B9C">
        <w:rPr>
          <w:rFonts w:eastAsiaTheme="majorEastAsia" w:cs="Arial"/>
          <w:bCs/>
          <w:szCs w:val="20"/>
        </w:rPr>
        <w:t>a</w:t>
      </w:r>
      <w:r w:rsidRPr="00445B9C">
        <w:rPr>
          <w:rFonts w:eastAsiaTheme="majorEastAsia" w:cs="Arial"/>
          <w:bCs/>
          <w:szCs w:val="20"/>
        </w:rPr>
        <w:t xml:space="preserve"> in doda besedilo »ali kreditna družba ter« in za besed</w:t>
      </w:r>
      <w:r w:rsidR="00907F48" w:rsidRPr="00445B9C">
        <w:rPr>
          <w:rFonts w:eastAsiaTheme="majorEastAsia" w:cs="Arial"/>
          <w:bCs/>
          <w:szCs w:val="20"/>
        </w:rPr>
        <w:t>ilom</w:t>
      </w:r>
      <w:r w:rsidRPr="00445B9C">
        <w:rPr>
          <w:rFonts w:eastAsiaTheme="majorEastAsia" w:cs="Arial"/>
          <w:bCs/>
          <w:szCs w:val="20"/>
        </w:rPr>
        <w:t xml:space="preserve"> »sveta banke« doda besedilo »ali kreditne družbe.«</w:t>
      </w:r>
    </w:p>
    <w:bookmarkEnd w:id="71"/>
    <w:p w:rsidR="003477B9" w:rsidRPr="00445B9C" w:rsidRDefault="006B4B89" w:rsidP="00BA786D">
      <w:pPr>
        <w:spacing w:before="240" w:after="240" w:line="259" w:lineRule="auto"/>
        <w:jc w:val="center"/>
        <w:outlineLvl w:val="0"/>
        <w:rPr>
          <w:rFonts w:eastAsiaTheme="majorEastAsia" w:cs="Arial"/>
          <w:bCs/>
          <w:szCs w:val="20"/>
        </w:rPr>
      </w:pPr>
      <w:r w:rsidRPr="00445B9C">
        <w:rPr>
          <w:rFonts w:eastAsiaTheme="majorEastAsia" w:cs="Arial"/>
          <w:bCs/>
          <w:szCs w:val="20"/>
        </w:rPr>
        <w:t>KONČN</w:t>
      </w:r>
      <w:r w:rsidR="003D1A16">
        <w:rPr>
          <w:rFonts w:eastAsiaTheme="majorEastAsia" w:cs="Arial"/>
          <w:bCs/>
          <w:szCs w:val="20"/>
        </w:rPr>
        <w:t>I</w:t>
      </w:r>
      <w:r w:rsidRPr="00445B9C">
        <w:rPr>
          <w:rFonts w:eastAsiaTheme="majorEastAsia" w:cs="Arial"/>
          <w:bCs/>
          <w:szCs w:val="20"/>
        </w:rPr>
        <w:t xml:space="preserve"> DOLOČB</w:t>
      </w:r>
      <w:r w:rsidR="003D1A16">
        <w:rPr>
          <w:rFonts w:eastAsiaTheme="majorEastAsia" w:cs="Arial"/>
          <w:bCs/>
          <w:szCs w:val="20"/>
        </w:rPr>
        <w:t>I</w:t>
      </w:r>
    </w:p>
    <w:p w:rsidR="008A298D" w:rsidRPr="00445B9C" w:rsidRDefault="00907F48" w:rsidP="00F810E6">
      <w:pPr>
        <w:numPr>
          <w:ilvl w:val="0"/>
          <w:numId w:val="16"/>
        </w:numPr>
        <w:spacing w:before="240" w:after="240" w:line="259" w:lineRule="auto"/>
        <w:ind w:left="720"/>
        <w:jc w:val="center"/>
        <w:outlineLvl w:val="0"/>
        <w:rPr>
          <w:rFonts w:eastAsiaTheme="majorEastAsia" w:cs="Arial"/>
          <w:b/>
          <w:szCs w:val="20"/>
        </w:rPr>
      </w:pPr>
      <w:bookmarkStart w:id="74" w:name="_Ref196734116"/>
      <w:r w:rsidRPr="00445B9C">
        <w:rPr>
          <w:rFonts w:eastAsiaTheme="majorEastAsia" w:cs="Arial"/>
          <w:b/>
          <w:szCs w:val="20"/>
        </w:rPr>
        <w:t>č</w:t>
      </w:r>
      <w:r w:rsidR="006B4B89" w:rsidRPr="00445B9C">
        <w:rPr>
          <w:rFonts w:eastAsiaTheme="majorEastAsia" w:cs="Arial"/>
          <w:b/>
          <w:szCs w:val="20"/>
        </w:rPr>
        <w:t>len</w:t>
      </w:r>
      <w:bookmarkEnd w:id="74"/>
    </w:p>
    <w:p w:rsidR="00656CB4" w:rsidRPr="00445B9C" w:rsidRDefault="00656CB4" w:rsidP="00BA786D">
      <w:pPr>
        <w:spacing w:before="240" w:after="240" w:line="259" w:lineRule="auto"/>
        <w:jc w:val="center"/>
        <w:outlineLvl w:val="0"/>
        <w:rPr>
          <w:rFonts w:eastAsiaTheme="majorEastAsia" w:cs="Arial"/>
          <w:b/>
          <w:szCs w:val="20"/>
        </w:rPr>
      </w:pPr>
      <w:r w:rsidRPr="00445B9C">
        <w:rPr>
          <w:rFonts w:eastAsiaTheme="majorEastAsia" w:cs="Arial"/>
          <w:b/>
          <w:szCs w:val="20"/>
        </w:rPr>
        <w:t xml:space="preserve">(začetek uporabe </w:t>
      </w:r>
      <w:r w:rsidR="00D614B9" w:rsidRPr="00445B9C">
        <w:rPr>
          <w:rFonts w:eastAsiaTheme="majorEastAsia" w:cs="Arial"/>
          <w:b/>
          <w:szCs w:val="20"/>
        </w:rPr>
        <w:t>posameznih določb</w:t>
      </w:r>
      <w:r w:rsidRPr="00445B9C">
        <w:rPr>
          <w:rFonts w:eastAsiaTheme="majorEastAsia" w:cs="Arial"/>
          <w:b/>
          <w:szCs w:val="20"/>
        </w:rPr>
        <w:t>)</w:t>
      </w:r>
    </w:p>
    <w:p w:rsidR="00341E37" w:rsidRDefault="007B3D9A" w:rsidP="003D1A16">
      <w:pPr>
        <w:pStyle w:val="Odstavekseznama"/>
        <w:numPr>
          <w:ilvl w:val="0"/>
          <w:numId w:val="19"/>
        </w:numPr>
        <w:spacing w:before="240" w:after="240" w:line="259" w:lineRule="auto"/>
        <w:ind w:left="0" w:firstLine="1021"/>
        <w:jc w:val="both"/>
        <w:outlineLvl w:val="0"/>
        <w:rPr>
          <w:rFonts w:eastAsiaTheme="majorEastAsia" w:cs="Arial"/>
          <w:bCs/>
          <w:szCs w:val="20"/>
        </w:rPr>
      </w:pPr>
      <w:r w:rsidRPr="00445B9C">
        <w:rPr>
          <w:rFonts w:eastAsiaTheme="majorEastAsia" w:cs="Arial"/>
          <w:bCs/>
          <w:szCs w:val="20"/>
        </w:rPr>
        <w:t>Nov</w:t>
      </w:r>
      <w:r w:rsidR="00907F48" w:rsidRPr="00445B9C">
        <w:rPr>
          <w:rFonts w:eastAsiaTheme="majorEastAsia" w:cs="Arial"/>
          <w:bCs/>
          <w:szCs w:val="20"/>
        </w:rPr>
        <w:t>i</w:t>
      </w:r>
      <w:r w:rsidRPr="00445B9C">
        <w:rPr>
          <w:rFonts w:eastAsiaTheme="majorEastAsia" w:cs="Arial"/>
          <w:bCs/>
          <w:szCs w:val="20"/>
        </w:rPr>
        <w:t xml:space="preserve"> četrti in peti odstavek 158. člena, </w:t>
      </w:r>
      <w:r w:rsidR="00907F48" w:rsidRPr="00445B9C">
        <w:rPr>
          <w:rFonts w:eastAsiaTheme="majorEastAsia" w:cs="Arial"/>
          <w:bCs/>
          <w:szCs w:val="20"/>
        </w:rPr>
        <w:t xml:space="preserve">dopolnjeni </w:t>
      </w:r>
      <w:r w:rsidRPr="00445B9C">
        <w:rPr>
          <w:rFonts w:eastAsiaTheme="majorEastAsia" w:cs="Arial"/>
          <w:bCs/>
          <w:szCs w:val="20"/>
        </w:rPr>
        <w:t>prv</w:t>
      </w:r>
      <w:r w:rsidR="00907F48" w:rsidRPr="00445B9C">
        <w:rPr>
          <w:rFonts w:eastAsiaTheme="majorEastAsia" w:cs="Arial"/>
          <w:bCs/>
          <w:szCs w:val="20"/>
        </w:rPr>
        <w:t>i</w:t>
      </w:r>
      <w:r w:rsidRPr="00445B9C">
        <w:rPr>
          <w:rFonts w:eastAsiaTheme="majorEastAsia" w:cs="Arial"/>
          <w:bCs/>
          <w:szCs w:val="20"/>
        </w:rPr>
        <w:t xml:space="preserve"> in pet</w:t>
      </w:r>
      <w:r w:rsidR="00907F48" w:rsidRPr="00445B9C">
        <w:rPr>
          <w:rFonts w:eastAsiaTheme="majorEastAsia" w:cs="Arial"/>
          <w:bCs/>
          <w:szCs w:val="20"/>
        </w:rPr>
        <w:t>i</w:t>
      </w:r>
      <w:r w:rsidRPr="00445B9C">
        <w:rPr>
          <w:rFonts w:eastAsiaTheme="majorEastAsia" w:cs="Arial"/>
          <w:bCs/>
          <w:szCs w:val="20"/>
        </w:rPr>
        <w:t xml:space="preserve"> odstav</w:t>
      </w:r>
      <w:r w:rsidR="00907F48" w:rsidRPr="00445B9C">
        <w:rPr>
          <w:rFonts w:eastAsiaTheme="majorEastAsia" w:cs="Arial"/>
          <w:bCs/>
          <w:szCs w:val="20"/>
        </w:rPr>
        <w:t>e</w:t>
      </w:r>
      <w:r w:rsidRPr="00445B9C">
        <w:rPr>
          <w:rFonts w:eastAsiaTheme="majorEastAsia" w:cs="Arial"/>
          <w:bCs/>
          <w:szCs w:val="20"/>
        </w:rPr>
        <w:t xml:space="preserve">k 159. člena in </w:t>
      </w:r>
      <w:r w:rsidR="001C25A3" w:rsidRPr="00445B9C">
        <w:rPr>
          <w:rFonts w:eastAsiaTheme="majorEastAsia" w:cs="Arial"/>
          <w:bCs/>
          <w:szCs w:val="20"/>
        </w:rPr>
        <w:t>nov</w:t>
      </w:r>
      <w:r w:rsidR="00907F48" w:rsidRPr="00445B9C">
        <w:rPr>
          <w:rFonts w:eastAsiaTheme="majorEastAsia" w:cs="Arial"/>
          <w:bCs/>
          <w:szCs w:val="20"/>
        </w:rPr>
        <w:t>i</w:t>
      </w:r>
      <w:r w:rsidR="001C25A3" w:rsidRPr="00445B9C">
        <w:rPr>
          <w:rFonts w:eastAsiaTheme="majorEastAsia" w:cs="Arial"/>
          <w:bCs/>
          <w:szCs w:val="20"/>
        </w:rPr>
        <w:t xml:space="preserve"> </w:t>
      </w:r>
      <w:r w:rsidRPr="00445B9C">
        <w:rPr>
          <w:rFonts w:eastAsiaTheme="majorEastAsia" w:cs="Arial"/>
          <w:bCs/>
          <w:szCs w:val="20"/>
        </w:rPr>
        <w:t>peti odstavek 169. člena zakona se začnejo uporabljati 10. julija 2026.</w:t>
      </w:r>
    </w:p>
    <w:p w:rsidR="003D1A16" w:rsidRDefault="003D1A16" w:rsidP="003D1A16">
      <w:pPr>
        <w:pStyle w:val="Odstavekseznama"/>
        <w:spacing w:before="240" w:after="240" w:line="259" w:lineRule="auto"/>
        <w:ind w:left="1021"/>
        <w:jc w:val="both"/>
        <w:outlineLvl w:val="0"/>
        <w:rPr>
          <w:rFonts w:eastAsiaTheme="majorEastAsia" w:cs="Arial"/>
          <w:bCs/>
          <w:szCs w:val="20"/>
        </w:rPr>
      </w:pPr>
    </w:p>
    <w:p w:rsidR="003D1A16" w:rsidRPr="00445B9C" w:rsidRDefault="003D1A16" w:rsidP="003D1A16">
      <w:pPr>
        <w:pStyle w:val="Odstavekseznama"/>
        <w:numPr>
          <w:ilvl w:val="0"/>
          <w:numId w:val="19"/>
        </w:numPr>
        <w:spacing w:before="240" w:after="240" w:line="259" w:lineRule="auto"/>
        <w:ind w:left="0" w:firstLine="1021"/>
        <w:jc w:val="both"/>
        <w:outlineLvl w:val="0"/>
        <w:rPr>
          <w:rFonts w:eastAsiaTheme="majorEastAsia" w:cs="Arial"/>
          <w:bCs/>
          <w:szCs w:val="20"/>
        </w:rPr>
      </w:pPr>
      <w:r w:rsidRPr="003D1A16">
        <w:rPr>
          <w:rFonts w:eastAsiaTheme="majorEastAsia" w:cs="Arial"/>
          <w:bCs/>
          <w:szCs w:val="20"/>
        </w:rPr>
        <w:t xml:space="preserve">Do začetka uporabe dopolnjenih prvega in petega odstavka 159. člena zakona se uporabljata prvi in peti odstavek 159. člena Zakona o trgu finančnih instrumentov (Uradni list RS, št. 77/18, 17/19 – </w:t>
      </w:r>
      <w:proofErr w:type="spellStart"/>
      <w:r w:rsidRPr="003D1A16">
        <w:rPr>
          <w:rFonts w:eastAsiaTheme="majorEastAsia" w:cs="Arial"/>
          <w:bCs/>
          <w:szCs w:val="20"/>
        </w:rPr>
        <w:t>popr</w:t>
      </w:r>
      <w:proofErr w:type="spellEnd"/>
      <w:r w:rsidRPr="003D1A16">
        <w:rPr>
          <w:rFonts w:eastAsiaTheme="majorEastAsia" w:cs="Arial"/>
          <w:bCs/>
          <w:szCs w:val="20"/>
        </w:rPr>
        <w:t>., 66/19, 123/21 in 45/24).</w:t>
      </w:r>
    </w:p>
    <w:p w:rsidR="00D12185" w:rsidRPr="00445B9C" w:rsidRDefault="00D12185" w:rsidP="003D1A16">
      <w:pPr>
        <w:pStyle w:val="Odstavekseznama"/>
        <w:spacing w:before="240" w:after="240" w:line="259" w:lineRule="auto"/>
        <w:ind w:left="1021"/>
        <w:jc w:val="both"/>
        <w:outlineLvl w:val="0"/>
        <w:rPr>
          <w:rFonts w:eastAsiaTheme="majorEastAsia" w:cs="Arial"/>
          <w:bCs/>
          <w:szCs w:val="20"/>
        </w:rPr>
      </w:pPr>
    </w:p>
    <w:p w:rsidR="00D12185" w:rsidRPr="00445B9C" w:rsidRDefault="00D12185" w:rsidP="003D1A16">
      <w:pPr>
        <w:pStyle w:val="Odstavekseznama"/>
        <w:numPr>
          <w:ilvl w:val="0"/>
          <w:numId w:val="19"/>
        </w:numPr>
        <w:spacing w:before="240" w:after="240" w:line="259" w:lineRule="auto"/>
        <w:ind w:left="0" w:firstLine="1021"/>
        <w:jc w:val="both"/>
        <w:outlineLvl w:val="0"/>
        <w:rPr>
          <w:rFonts w:eastAsiaTheme="majorEastAsia" w:cs="Arial"/>
          <w:bCs/>
          <w:szCs w:val="20"/>
        </w:rPr>
      </w:pPr>
      <w:r w:rsidRPr="00445B9C">
        <w:rPr>
          <w:rFonts w:eastAsiaTheme="majorEastAsia" w:cs="Arial"/>
          <w:bCs/>
          <w:szCs w:val="20"/>
        </w:rPr>
        <w:lastRenderedPageBreak/>
        <w:t>Nov</w:t>
      </w:r>
      <w:r w:rsidR="00907F48" w:rsidRPr="00445B9C">
        <w:rPr>
          <w:rFonts w:eastAsiaTheme="majorEastAsia" w:cs="Arial"/>
          <w:bCs/>
          <w:szCs w:val="20"/>
        </w:rPr>
        <w:t>i</w:t>
      </w:r>
      <w:r w:rsidRPr="00445B9C">
        <w:rPr>
          <w:rFonts w:eastAsiaTheme="majorEastAsia" w:cs="Arial"/>
          <w:bCs/>
          <w:szCs w:val="20"/>
        </w:rPr>
        <w:t xml:space="preserve"> deveti odstavek 278. člena, nov</w:t>
      </w:r>
      <w:r w:rsidR="00907F48" w:rsidRPr="00445B9C">
        <w:rPr>
          <w:rFonts w:eastAsiaTheme="majorEastAsia" w:cs="Arial"/>
          <w:bCs/>
          <w:szCs w:val="20"/>
        </w:rPr>
        <w:t>i</w:t>
      </w:r>
      <w:r w:rsidRPr="00445B9C">
        <w:rPr>
          <w:rFonts w:eastAsiaTheme="majorEastAsia" w:cs="Arial"/>
          <w:bCs/>
          <w:szCs w:val="20"/>
        </w:rPr>
        <w:t xml:space="preserve"> deseti odstavek 322. člena, nov</w:t>
      </w:r>
      <w:r w:rsidR="00907F48" w:rsidRPr="00445B9C">
        <w:rPr>
          <w:rFonts w:eastAsiaTheme="majorEastAsia" w:cs="Arial"/>
          <w:bCs/>
          <w:szCs w:val="20"/>
        </w:rPr>
        <w:t>i</w:t>
      </w:r>
      <w:r w:rsidRPr="00445B9C">
        <w:rPr>
          <w:rFonts w:eastAsiaTheme="majorEastAsia" w:cs="Arial"/>
          <w:bCs/>
          <w:szCs w:val="20"/>
        </w:rPr>
        <w:t xml:space="preserve"> osmi odstavek 326. člena, nov</w:t>
      </w:r>
      <w:r w:rsidR="00907F48" w:rsidRPr="00445B9C">
        <w:rPr>
          <w:rFonts w:eastAsiaTheme="majorEastAsia" w:cs="Arial"/>
          <w:bCs/>
          <w:szCs w:val="20"/>
        </w:rPr>
        <w:t>i</w:t>
      </w:r>
      <w:r w:rsidRPr="00445B9C">
        <w:rPr>
          <w:rFonts w:eastAsiaTheme="majorEastAsia" w:cs="Arial"/>
          <w:bCs/>
          <w:szCs w:val="20"/>
        </w:rPr>
        <w:t xml:space="preserve"> deveti odstavek 331. člena, </w:t>
      </w:r>
      <w:r w:rsidR="00B41055" w:rsidRPr="00445B9C">
        <w:rPr>
          <w:rFonts w:eastAsiaTheme="majorEastAsia" w:cs="Arial"/>
          <w:bCs/>
          <w:szCs w:val="20"/>
        </w:rPr>
        <w:t>nov</w:t>
      </w:r>
      <w:r w:rsidR="00907F48" w:rsidRPr="00445B9C">
        <w:rPr>
          <w:rFonts w:eastAsiaTheme="majorEastAsia" w:cs="Arial"/>
          <w:bCs/>
          <w:szCs w:val="20"/>
        </w:rPr>
        <w:t>i</w:t>
      </w:r>
      <w:r w:rsidR="00B41055" w:rsidRPr="00445B9C">
        <w:rPr>
          <w:rFonts w:eastAsiaTheme="majorEastAsia" w:cs="Arial"/>
          <w:bCs/>
          <w:szCs w:val="20"/>
        </w:rPr>
        <w:t xml:space="preserve"> </w:t>
      </w:r>
      <w:r w:rsidRPr="00445B9C">
        <w:rPr>
          <w:rFonts w:eastAsiaTheme="majorEastAsia" w:cs="Arial"/>
          <w:bCs/>
          <w:szCs w:val="20"/>
        </w:rPr>
        <w:t xml:space="preserve">peti odstavek 368. člena </w:t>
      </w:r>
      <w:r w:rsidR="00CB6B7D" w:rsidRPr="00445B9C">
        <w:rPr>
          <w:rFonts w:eastAsiaTheme="majorEastAsia" w:cs="Arial"/>
          <w:bCs/>
          <w:szCs w:val="20"/>
        </w:rPr>
        <w:t xml:space="preserve">in </w:t>
      </w:r>
      <w:r w:rsidRPr="00445B9C">
        <w:rPr>
          <w:rFonts w:eastAsiaTheme="majorEastAsia" w:cs="Arial"/>
          <w:bCs/>
          <w:szCs w:val="20"/>
        </w:rPr>
        <w:t>nov</w:t>
      </w:r>
      <w:r w:rsidR="00907F48" w:rsidRPr="00445B9C">
        <w:rPr>
          <w:rFonts w:eastAsiaTheme="majorEastAsia" w:cs="Arial"/>
          <w:bCs/>
          <w:szCs w:val="20"/>
        </w:rPr>
        <w:t>i</w:t>
      </w:r>
      <w:r w:rsidRPr="00445B9C">
        <w:rPr>
          <w:rFonts w:eastAsiaTheme="majorEastAsia" w:cs="Arial"/>
          <w:bCs/>
          <w:szCs w:val="20"/>
        </w:rPr>
        <w:t xml:space="preserve"> tretji odstavek 406. člena zakona se začnejo uporabljati 10. januarja 20</w:t>
      </w:r>
      <w:r w:rsidR="00B41055" w:rsidRPr="00445B9C">
        <w:rPr>
          <w:rFonts w:eastAsiaTheme="majorEastAsia" w:cs="Arial"/>
          <w:bCs/>
          <w:szCs w:val="20"/>
        </w:rPr>
        <w:t>30</w:t>
      </w:r>
      <w:r w:rsidRPr="00445B9C">
        <w:rPr>
          <w:rFonts w:eastAsiaTheme="majorEastAsia" w:cs="Arial"/>
          <w:bCs/>
          <w:szCs w:val="20"/>
        </w:rPr>
        <w:t>.</w:t>
      </w:r>
    </w:p>
    <w:p w:rsidR="00CB6B7D" w:rsidRPr="00445B9C" w:rsidRDefault="00CB6B7D" w:rsidP="003D1A16">
      <w:pPr>
        <w:pStyle w:val="Odstavekseznama"/>
        <w:jc w:val="both"/>
        <w:rPr>
          <w:rFonts w:eastAsiaTheme="majorEastAsia" w:cs="Arial"/>
          <w:bCs/>
          <w:szCs w:val="20"/>
        </w:rPr>
      </w:pPr>
    </w:p>
    <w:p w:rsidR="00CB6B7D" w:rsidRPr="00445B9C" w:rsidRDefault="00CB6B7D" w:rsidP="003D1A16">
      <w:pPr>
        <w:pStyle w:val="Odstavekseznama"/>
        <w:numPr>
          <w:ilvl w:val="0"/>
          <w:numId w:val="19"/>
        </w:numPr>
        <w:spacing w:before="240" w:after="240" w:line="259" w:lineRule="auto"/>
        <w:ind w:left="0" w:firstLine="1021"/>
        <w:jc w:val="both"/>
        <w:outlineLvl w:val="0"/>
        <w:rPr>
          <w:rFonts w:eastAsiaTheme="majorEastAsia" w:cs="Arial"/>
          <w:bCs/>
          <w:szCs w:val="20"/>
        </w:rPr>
      </w:pPr>
      <w:r w:rsidRPr="00445B9C">
        <w:rPr>
          <w:rFonts w:eastAsiaTheme="majorEastAsia" w:cs="Arial"/>
          <w:bCs/>
          <w:szCs w:val="20"/>
        </w:rPr>
        <w:t>Nov</w:t>
      </w:r>
      <w:r w:rsidR="00907F48" w:rsidRPr="00445B9C">
        <w:rPr>
          <w:rFonts w:eastAsiaTheme="majorEastAsia" w:cs="Arial"/>
          <w:bCs/>
          <w:szCs w:val="20"/>
        </w:rPr>
        <w:t>i</w:t>
      </w:r>
      <w:r w:rsidRPr="00445B9C">
        <w:rPr>
          <w:rFonts w:eastAsiaTheme="majorEastAsia" w:cs="Arial"/>
          <w:bCs/>
          <w:szCs w:val="20"/>
        </w:rPr>
        <w:t xml:space="preserve"> 429.a člen zakona se začne uporabljati 10. januarja 2028.</w:t>
      </w:r>
    </w:p>
    <w:p w:rsidR="00652D8F" w:rsidRPr="00445B9C" w:rsidRDefault="00652D8F" w:rsidP="00BA786D">
      <w:pPr>
        <w:pStyle w:val="Odstavekseznama"/>
        <w:spacing w:before="240" w:after="240" w:line="259" w:lineRule="auto"/>
        <w:ind w:left="1021"/>
        <w:outlineLvl w:val="0"/>
        <w:rPr>
          <w:rFonts w:eastAsiaTheme="majorEastAsia" w:cs="Arial"/>
          <w:bCs/>
          <w:szCs w:val="20"/>
        </w:rPr>
      </w:pPr>
    </w:p>
    <w:p w:rsidR="008A298D" w:rsidRPr="00445B9C" w:rsidRDefault="008A298D" w:rsidP="00F810E6">
      <w:pPr>
        <w:numPr>
          <w:ilvl w:val="0"/>
          <w:numId w:val="16"/>
        </w:numPr>
        <w:spacing w:before="240" w:after="240" w:line="259" w:lineRule="auto"/>
        <w:ind w:left="720"/>
        <w:jc w:val="center"/>
        <w:outlineLvl w:val="0"/>
        <w:rPr>
          <w:rFonts w:eastAsiaTheme="majorEastAsia" w:cs="Arial"/>
          <w:b/>
          <w:szCs w:val="20"/>
        </w:rPr>
      </w:pPr>
      <w:bookmarkStart w:id="75" w:name="_Ref192597677"/>
      <w:r w:rsidRPr="00445B9C">
        <w:rPr>
          <w:rFonts w:eastAsiaTheme="majorEastAsia" w:cs="Arial"/>
          <w:b/>
          <w:szCs w:val="20"/>
        </w:rPr>
        <w:t>člen</w:t>
      </w:r>
      <w:bookmarkEnd w:id="75"/>
    </w:p>
    <w:p w:rsidR="00E66587" w:rsidRPr="00445B9C" w:rsidRDefault="00E66587" w:rsidP="00BA786D">
      <w:pPr>
        <w:jc w:val="center"/>
        <w:rPr>
          <w:rFonts w:eastAsiaTheme="majorEastAsia" w:cs="Arial"/>
          <w:b/>
          <w:szCs w:val="20"/>
        </w:rPr>
      </w:pPr>
      <w:bookmarkStart w:id="76" w:name="_Hlk54478635"/>
      <w:r w:rsidRPr="00445B9C">
        <w:rPr>
          <w:rFonts w:eastAsiaTheme="majorEastAsia" w:cs="Arial"/>
          <w:b/>
          <w:szCs w:val="20"/>
        </w:rPr>
        <w:t>(začetek veljavnosti)</w:t>
      </w:r>
    </w:p>
    <w:p w:rsidR="00E66587" w:rsidRPr="00445B9C" w:rsidRDefault="00E66587" w:rsidP="00BA786D">
      <w:pPr>
        <w:jc w:val="both"/>
        <w:rPr>
          <w:rFonts w:eastAsiaTheme="majorEastAsia" w:cs="Arial"/>
          <w:bCs/>
          <w:szCs w:val="20"/>
        </w:rPr>
      </w:pPr>
    </w:p>
    <w:p w:rsidR="006A2506" w:rsidRPr="00445B9C" w:rsidRDefault="00E66587" w:rsidP="00BA786D">
      <w:pPr>
        <w:jc w:val="both"/>
        <w:rPr>
          <w:rFonts w:eastAsiaTheme="majorEastAsia" w:cs="Arial"/>
          <w:bCs/>
          <w:szCs w:val="20"/>
        </w:rPr>
      </w:pPr>
      <w:r w:rsidRPr="00445B9C">
        <w:rPr>
          <w:rFonts w:eastAsiaTheme="majorEastAsia" w:cs="Arial"/>
          <w:bCs/>
          <w:szCs w:val="20"/>
        </w:rPr>
        <w:t>Ta zakon začne veljati petnajsti dan po objavi v Uradnem listu Republike Slovenije.</w:t>
      </w:r>
    </w:p>
    <w:bookmarkEnd w:id="76"/>
    <w:p w:rsidR="001E1871" w:rsidRPr="00445B9C" w:rsidRDefault="001E1871" w:rsidP="00BA786D">
      <w:pPr>
        <w:spacing w:line="240" w:lineRule="auto"/>
        <w:rPr>
          <w:rFonts w:cs="Arial"/>
          <w:b/>
          <w:szCs w:val="20"/>
        </w:rPr>
      </w:pPr>
      <w:r w:rsidRPr="00445B9C">
        <w:rPr>
          <w:rFonts w:cs="Arial"/>
          <w:b/>
          <w:szCs w:val="20"/>
        </w:rPr>
        <w:br w:type="page"/>
      </w:r>
    </w:p>
    <w:bookmarkEnd w:id="72"/>
    <w:p w:rsidR="000258C6" w:rsidRPr="00445B9C" w:rsidRDefault="007C0AB6" w:rsidP="001E1871">
      <w:pPr>
        <w:spacing w:after="160" w:line="259" w:lineRule="auto"/>
        <w:jc w:val="both"/>
        <w:rPr>
          <w:rFonts w:cs="Arial"/>
          <w:b/>
          <w:bCs/>
          <w:szCs w:val="20"/>
        </w:rPr>
      </w:pPr>
      <w:r w:rsidRPr="00445B9C">
        <w:rPr>
          <w:rFonts w:cs="Arial"/>
          <w:b/>
          <w:bCs/>
          <w:szCs w:val="20"/>
        </w:rPr>
        <w:lastRenderedPageBreak/>
        <w:t xml:space="preserve">III. </w:t>
      </w:r>
      <w:r w:rsidR="000258C6" w:rsidRPr="00445B9C">
        <w:rPr>
          <w:rFonts w:cs="Arial"/>
          <w:b/>
          <w:bCs/>
          <w:szCs w:val="20"/>
        </w:rPr>
        <w:t>OBRAZLOŽITEV</w:t>
      </w:r>
    </w:p>
    <w:p w:rsidR="009C32B7" w:rsidRPr="00445B9C" w:rsidRDefault="00E610BA" w:rsidP="00C64B3F">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_Ref64902430 \r \h  \* MERGEFORMAT </w:instrText>
      </w:r>
      <w:r w:rsidR="006813E2">
        <w:fldChar w:fldCharType="separate"/>
      </w:r>
      <w:r w:rsidR="001638A0" w:rsidRPr="00445B9C">
        <w:rPr>
          <w:rFonts w:cs="Arial"/>
          <w:b/>
          <w:bCs/>
          <w:szCs w:val="20"/>
        </w:rPr>
        <w:t xml:space="preserve">1. </w:t>
      </w:r>
      <w:r w:rsidR="006813E2">
        <w:fldChar w:fldCharType="end"/>
      </w:r>
      <w:r w:rsidRPr="00445B9C">
        <w:rPr>
          <w:rFonts w:cs="Arial"/>
          <w:b/>
          <w:bCs/>
          <w:szCs w:val="20"/>
        </w:rPr>
        <w:t>členu</w:t>
      </w:r>
    </w:p>
    <w:p w:rsidR="00D67963" w:rsidRPr="00445B9C" w:rsidRDefault="009E77F4" w:rsidP="009E77F4">
      <w:pPr>
        <w:spacing w:line="276" w:lineRule="auto"/>
        <w:jc w:val="both"/>
        <w:rPr>
          <w:rFonts w:cs="Arial"/>
          <w:szCs w:val="20"/>
        </w:rPr>
      </w:pPr>
      <w:r w:rsidRPr="00445B9C">
        <w:rPr>
          <w:rFonts w:cs="Arial"/>
          <w:szCs w:val="20"/>
        </w:rPr>
        <w:t xml:space="preserve">Zakon o trgu finančnih instrumentov (Uradni list RS, št. 77/18, 17/19 – popr., 66/19, 123/21 in 45/24; v nadaljnjem besedilu: ZTFI-1), ki taksativno določa direktive in uredbe Evropske unije (v nadaljnjem besedilu: EU), ki se prenašajo in izvajajo z ZTFI-1, se v </w:t>
      </w:r>
      <w:r w:rsidR="003D1A16">
        <w:rPr>
          <w:rFonts w:cs="Arial"/>
          <w:szCs w:val="20"/>
        </w:rPr>
        <w:t>prvem</w:t>
      </w:r>
      <w:r w:rsidRPr="00445B9C">
        <w:rPr>
          <w:rFonts w:cs="Arial"/>
          <w:szCs w:val="20"/>
        </w:rPr>
        <w:t xml:space="preserve"> odstavk</w:t>
      </w:r>
      <w:r w:rsidR="003D1A16">
        <w:rPr>
          <w:rFonts w:cs="Arial"/>
          <w:szCs w:val="20"/>
        </w:rPr>
        <w:t>u</w:t>
      </w:r>
      <w:r w:rsidRPr="00445B9C">
        <w:rPr>
          <w:rFonts w:cs="Arial"/>
          <w:szCs w:val="20"/>
        </w:rPr>
        <w:t xml:space="preserve"> </w:t>
      </w:r>
      <w:r w:rsidR="001A1DE5">
        <w:rPr>
          <w:rFonts w:cs="Arial"/>
          <w:szCs w:val="20"/>
        </w:rPr>
        <w:t>2.</w:t>
      </w:r>
      <w:r w:rsidR="001A1DE5" w:rsidRPr="00445B9C">
        <w:rPr>
          <w:rFonts w:cs="Arial"/>
          <w:szCs w:val="20"/>
        </w:rPr>
        <w:t xml:space="preserve"> člen</w:t>
      </w:r>
      <w:r w:rsidR="001A1DE5">
        <w:rPr>
          <w:rFonts w:cs="Arial"/>
          <w:szCs w:val="20"/>
        </w:rPr>
        <w:t>a</w:t>
      </w:r>
      <w:r w:rsidR="001A1DE5" w:rsidRPr="00445B9C">
        <w:rPr>
          <w:rFonts w:cs="Arial"/>
          <w:szCs w:val="20"/>
        </w:rPr>
        <w:t xml:space="preserve"> </w:t>
      </w:r>
      <w:r w:rsidRPr="00445B9C">
        <w:rPr>
          <w:rFonts w:cs="Arial"/>
          <w:szCs w:val="20"/>
        </w:rPr>
        <w:t>sprem</w:t>
      </w:r>
      <w:r w:rsidR="003D1A16">
        <w:rPr>
          <w:rFonts w:cs="Arial"/>
          <w:szCs w:val="20"/>
        </w:rPr>
        <w:t>inja in dopolnjuje</w:t>
      </w:r>
      <w:r w:rsidRPr="00445B9C">
        <w:rPr>
          <w:rFonts w:cs="Arial"/>
          <w:szCs w:val="20"/>
        </w:rPr>
        <w:t xml:space="preserve"> tako, da se navedejo akti, ki so dopolnili</w:t>
      </w:r>
      <w:r w:rsidR="003D1A16">
        <w:rPr>
          <w:rFonts w:cs="Arial"/>
          <w:szCs w:val="20"/>
        </w:rPr>
        <w:t>, zlasti</w:t>
      </w:r>
      <w:r w:rsidR="001A1DE5">
        <w:rPr>
          <w:rFonts w:cs="Arial"/>
          <w:szCs w:val="20"/>
        </w:rPr>
        <w:t>:</w:t>
      </w:r>
      <w:r w:rsidRPr="00445B9C">
        <w:rPr>
          <w:rFonts w:cs="Arial"/>
          <w:szCs w:val="20"/>
        </w:rPr>
        <w:t xml:space="preserve"> </w:t>
      </w:r>
    </w:p>
    <w:p w:rsidR="00D67963" w:rsidRPr="00445B9C" w:rsidRDefault="001A1DE5" w:rsidP="009E77F4">
      <w:pPr>
        <w:spacing w:line="276" w:lineRule="auto"/>
        <w:jc w:val="both"/>
        <w:rPr>
          <w:rFonts w:cs="Arial"/>
          <w:szCs w:val="20"/>
        </w:rPr>
      </w:pPr>
      <w:r>
        <w:rPr>
          <w:rFonts w:cs="Arial"/>
          <w:szCs w:val="20"/>
        </w:rPr>
        <w:t>–</w:t>
      </w:r>
      <w:r w:rsidR="000D1998" w:rsidRPr="00445B9C">
        <w:rPr>
          <w:rFonts w:cs="Arial"/>
          <w:szCs w:val="20"/>
        </w:rPr>
        <w:t xml:space="preserve"> </w:t>
      </w:r>
      <w:r w:rsidR="009E77F4" w:rsidRPr="00445B9C">
        <w:rPr>
          <w:rFonts w:cs="Arial"/>
          <w:szCs w:val="20"/>
        </w:rPr>
        <w:t xml:space="preserve">Direktivo 98/26/ES Evropskega parlamenta in Sveta z dne 19. maja 1998 o dokončnosti poravnave pri plačilih in sistemih poravnave vrednostnih papirjev (UL L št. 166 z dne 11. 6. 1998, str. 45), </w:t>
      </w:r>
      <w:r w:rsidR="00D67963" w:rsidRPr="00445B9C">
        <w:rPr>
          <w:rFonts w:cs="Arial"/>
          <w:szCs w:val="20"/>
        </w:rPr>
        <w:t>in sicer</w:t>
      </w:r>
      <w:r w:rsidR="009E77F4" w:rsidRPr="00445B9C">
        <w:rPr>
          <w:rFonts w:cs="Arial"/>
          <w:szCs w:val="20"/>
        </w:rPr>
        <w:t xml:space="preserve"> Uredb</w:t>
      </w:r>
      <w:r w:rsidR="00D67963" w:rsidRPr="00445B9C">
        <w:rPr>
          <w:rFonts w:cs="Arial"/>
          <w:szCs w:val="20"/>
        </w:rPr>
        <w:t>a</w:t>
      </w:r>
      <w:r w:rsidR="009E77F4" w:rsidRPr="00445B9C">
        <w:rPr>
          <w:rFonts w:cs="Arial"/>
          <w:szCs w:val="20"/>
        </w:rPr>
        <w:t xml:space="preserve"> (EU) 2024/886 Evropskega parlamenta in Sveta z dne 13. </w:t>
      </w:r>
      <w:r>
        <w:rPr>
          <w:rFonts w:cs="Arial"/>
          <w:szCs w:val="20"/>
        </w:rPr>
        <w:t>m</w:t>
      </w:r>
      <w:r w:rsidR="009E77F4" w:rsidRPr="00445B9C">
        <w:rPr>
          <w:rFonts w:cs="Arial"/>
          <w:szCs w:val="20"/>
        </w:rPr>
        <w:t>arca 2024 o spremembi uredb (EU) št. 260/2012 in (EU) 2021/1230 ter direktiv 98/26/ES in (EU) 2015/2366 glede takojšnjih kreditnih prenosov v eurih (UL L, 2024/886, 19.3.2024), (v nadaljnjem besedilu: Direktiva 98/26/ES)</w:t>
      </w:r>
      <w:r w:rsidR="00D67963" w:rsidRPr="00445B9C">
        <w:rPr>
          <w:rFonts w:cs="Arial"/>
          <w:szCs w:val="20"/>
        </w:rPr>
        <w:t>;</w:t>
      </w:r>
      <w:r w:rsidR="009E77F4" w:rsidRPr="00445B9C">
        <w:rPr>
          <w:rFonts w:cs="Arial"/>
          <w:szCs w:val="20"/>
        </w:rPr>
        <w:t xml:space="preserve"> in </w:t>
      </w:r>
    </w:p>
    <w:p w:rsidR="00D67963" w:rsidRPr="00445B9C" w:rsidRDefault="001A1DE5" w:rsidP="009E77F4">
      <w:pPr>
        <w:spacing w:line="276" w:lineRule="auto"/>
        <w:jc w:val="both"/>
        <w:rPr>
          <w:rFonts w:cs="Arial"/>
          <w:szCs w:val="20"/>
        </w:rPr>
      </w:pPr>
      <w:r>
        <w:rPr>
          <w:rFonts w:cs="Arial"/>
          <w:szCs w:val="20"/>
        </w:rPr>
        <w:t>–</w:t>
      </w:r>
      <w:r w:rsidR="000D1998" w:rsidRPr="00445B9C">
        <w:rPr>
          <w:rFonts w:cs="Arial"/>
          <w:szCs w:val="20"/>
        </w:rPr>
        <w:t xml:space="preserve"> </w:t>
      </w:r>
      <w:r w:rsidR="009E77F4" w:rsidRPr="00445B9C">
        <w:rPr>
          <w:rFonts w:cs="Arial"/>
          <w:szCs w:val="20"/>
        </w:rPr>
        <w:t xml:space="preserve">Direktivo 2014/65/EU Evropskega parlamenta in Sveta z dne 15. maja 2014 o trgih finančnih instrumentov ter spremembi Direktive 2002/92/ES in Direktive 2011/61/EU (UL L št. 173 z dne 12. 6. 2014, str. 349), </w:t>
      </w:r>
      <w:r w:rsidR="00D67963" w:rsidRPr="00445B9C">
        <w:rPr>
          <w:rFonts w:cs="Arial"/>
          <w:szCs w:val="20"/>
        </w:rPr>
        <w:t>in sicer</w:t>
      </w:r>
      <w:r w:rsidR="009E77F4" w:rsidRPr="00445B9C">
        <w:rPr>
          <w:rFonts w:cs="Arial"/>
          <w:szCs w:val="20"/>
        </w:rPr>
        <w:t xml:space="preserve"> Direktiv</w:t>
      </w:r>
      <w:r w:rsidR="00D67963" w:rsidRPr="00445B9C">
        <w:rPr>
          <w:rFonts w:cs="Arial"/>
          <w:szCs w:val="20"/>
        </w:rPr>
        <w:t>a</w:t>
      </w:r>
      <w:r w:rsidR="009E77F4" w:rsidRPr="00445B9C">
        <w:rPr>
          <w:rFonts w:cs="Arial"/>
          <w:szCs w:val="20"/>
        </w:rPr>
        <w:t xml:space="preserve"> (EU) 2024/790 Evropskega parlamenta in Sveta z dne 28. februarja 2024 o spremembi Direktive 2014/65/EU o trgih finančnih instrumentov (UL L št. 790 z dne 8.3.2024, str. 1), (v nadaljnjem besedilu: Direktiva 2014/65/EU). </w:t>
      </w:r>
    </w:p>
    <w:p w:rsidR="00D67963" w:rsidRPr="00445B9C" w:rsidRDefault="00D67963" w:rsidP="009E77F4">
      <w:pPr>
        <w:spacing w:line="276" w:lineRule="auto"/>
        <w:jc w:val="both"/>
        <w:rPr>
          <w:rFonts w:cs="Arial"/>
          <w:szCs w:val="20"/>
        </w:rPr>
      </w:pPr>
    </w:p>
    <w:p w:rsidR="009E77F4" w:rsidRPr="00445B9C" w:rsidRDefault="009E77F4" w:rsidP="009E77F4">
      <w:pPr>
        <w:spacing w:line="276" w:lineRule="auto"/>
        <w:jc w:val="both"/>
        <w:rPr>
          <w:rFonts w:cs="Arial"/>
          <w:szCs w:val="20"/>
        </w:rPr>
      </w:pPr>
      <w:r w:rsidRPr="00445B9C">
        <w:rPr>
          <w:rFonts w:cs="Arial"/>
          <w:szCs w:val="20"/>
        </w:rPr>
        <w:t>Prav tako se zaradi prenosa Direktive (EU) 2022/2556 Evropskega parlamenta in Sveta z dne 14. decembra 2022 o spremembi direktiv 2009/65/ES, 2009/138/ES, 2011/61/EU, 2013/36/EU, 2014/59/EU, 2014/65/EU, (EU) 2015/2366 in (EU) 2016/2341 glede digitalne operativne odpornosti za finančni sektor (UL L št. 333 z dne 27. 12. 2022, str. 153</w:t>
      </w:r>
      <w:r w:rsidR="00B02A77">
        <w:rPr>
          <w:rFonts w:cs="Arial"/>
          <w:szCs w:val="20"/>
        </w:rPr>
        <w:t>;</w:t>
      </w:r>
      <w:r w:rsidRPr="00445B9C">
        <w:rPr>
          <w:rFonts w:cs="Arial"/>
          <w:szCs w:val="20"/>
        </w:rPr>
        <w:t xml:space="preserve"> v </w:t>
      </w:r>
      <w:r w:rsidR="00B02A77" w:rsidRPr="00445B9C">
        <w:rPr>
          <w:rFonts w:cs="Arial"/>
          <w:szCs w:val="20"/>
        </w:rPr>
        <w:t>nadaljnjem besedilu</w:t>
      </w:r>
      <w:r w:rsidRPr="00445B9C">
        <w:rPr>
          <w:rFonts w:cs="Arial"/>
          <w:szCs w:val="20"/>
        </w:rPr>
        <w:t>: Direktiva 2022/2556/EU) in Direktive (EU) 2023/2864 Evropskega parlamenta in Sveta z dne 13. decembra 2023 o spremembi nekaterih direktiv glede vzpostavitve in delovanja evropske enotne točke dostopa (UL L št. 2864 z dne 20. 12. 2023</w:t>
      </w:r>
      <w:r w:rsidR="00B02A77">
        <w:rPr>
          <w:rFonts w:cs="Arial"/>
          <w:szCs w:val="20"/>
        </w:rPr>
        <w:t>;</w:t>
      </w:r>
      <w:r w:rsidRPr="00445B9C">
        <w:rPr>
          <w:rFonts w:cs="Arial"/>
          <w:szCs w:val="20"/>
        </w:rPr>
        <w:t xml:space="preserve"> v </w:t>
      </w:r>
      <w:r w:rsidR="00B02A77" w:rsidRPr="00445B9C">
        <w:rPr>
          <w:rFonts w:cs="Arial"/>
          <w:szCs w:val="20"/>
        </w:rPr>
        <w:t>nadaljnjem besedilu</w:t>
      </w:r>
      <w:r w:rsidRPr="00445B9C">
        <w:rPr>
          <w:rFonts w:cs="Arial"/>
          <w:szCs w:val="20"/>
        </w:rPr>
        <w:t>: Direktiva 2023/2864/EU)</w:t>
      </w:r>
      <w:r w:rsidR="00CB3F2D" w:rsidRPr="00445B9C">
        <w:rPr>
          <w:rFonts w:cs="Arial"/>
          <w:szCs w:val="20"/>
        </w:rPr>
        <w:t xml:space="preserve"> prvi odstavek 2. člena ZTFI-1 dopolni z novima 17. in 18. točko</w:t>
      </w:r>
      <w:r w:rsidRPr="00445B9C">
        <w:rPr>
          <w:rFonts w:cs="Arial"/>
          <w:szCs w:val="20"/>
        </w:rPr>
        <w:t>.</w:t>
      </w:r>
    </w:p>
    <w:p w:rsidR="009E77F4" w:rsidRPr="00445B9C" w:rsidRDefault="009E77F4" w:rsidP="009E77F4">
      <w:pPr>
        <w:spacing w:line="276" w:lineRule="auto"/>
        <w:jc w:val="both"/>
        <w:rPr>
          <w:rFonts w:cs="Arial"/>
          <w:szCs w:val="20"/>
        </w:rPr>
      </w:pPr>
      <w:r w:rsidRPr="00445B9C">
        <w:rPr>
          <w:rFonts w:cs="Arial"/>
          <w:szCs w:val="20"/>
        </w:rPr>
        <w:t xml:space="preserve"> </w:t>
      </w:r>
    </w:p>
    <w:p w:rsidR="000C34BD" w:rsidRPr="00445B9C" w:rsidRDefault="000C34BD" w:rsidP="009E77F4">
      <w:pPr>
        <w:spacing w:line="276" w:lineRule="auto"/>
        <w:jc w:val="both"/>
        <w:rPr>
          <w:rFonts w:cs="Arial"/>
          <w:szCs w:val="20"/>
        </w:rPr>
      </w:pPr>
      <w:r w:rsidRPr="00445B9C">
        <w:rPr>
          <w:rFonts w:cs="Arial"/>
          <w:szCs w:val="20"/>
        </w:rPr>
        <w:t>V</w:t>
      </w:r>
      <w:r w:rsidR="009E77F4" w:rsidRPr="00445B9C">
        <w:rPr>
          <w:rFonts w:cs="Arial"/>
          <w:szCs w:val="20"/>
        </w:rPr>
        <w:t xml:space="preserve"> drugem odstavku</w:t>
      </w:r>
      <w:r w:rsidRPr="00445B9C">
        <w:rPr>
          <w:rFonts w:cs="Arial"/>
          <w:szCs w:val="20"/>
        </w:rPr>
        <w:t xml:space="preserve"> 2. člena se v 2. točki</w:t>
      </w:r>
      <w:r w:rsidR="009E77F4" w:rsidRPr="00445B9C">
        <w:rPr>
          <w:rFonts w:cs="Arial"/>
          <w:szCs w:val="20"/>
        </w:rPr>
        <w:t xml:space="preserve"> spremeni navedba Uredbe </w:t>
      </w:r>
      <w:r w:rsidRPr="00445B9C">
        <w:rPr>
          <w:rFonts w:cs="Arial"/>
          <w:szCs w:val="20"/>
        </w:rPr>
        <w:t>575/2013</w:t>
      </w:r>
      <w:r w:rsidR="009E77F4" w:rsidRPr="00445B9C">
        <w:rPr>
          <w:rFonts w:cs="Arial"/>
          <w:szCs w:val="20"/>
        </w:rPr>
        <w:t xml:space="preserve">/EU, ki je bila </w:t>
      </w:r>
      <w:r w:rsidR="00B02A77">
        <w:rPr>
          <w:rFonts w:cs="Arial"/>
          <w:szCs w:val="20"/>
        </w:rPr>
        <w:t>na</w:t>
      </w:r>
      <w:r w:rsidR="009E77F4" w:rsidRPr="00445B9C">
        <w:rPr>
          <w:rFonts w:cs="Arial"/>
          <w:szCs w:val="20"/>
        </w:rPr>
        <w:t>zadnj</w:t>
      </w:r>
      <w:r w:rsidR="00B02A77">
        <w:rPr>
          <w:rFonts w:cs="Arial"/>
          <w:szCs w:val="20"/>
        </w:rPr>
        <w:t>e</w:t>
      </w:r>
      <w:r w:rsidR="009E77F4" w:rsidRPr="00445B9C">
        <w:rPr>
          <w:rFonts w:cs="Arial"/>
          <w:szCs w:val="20"/>
        </w:rPr>
        <w:t xml:space="preserve"> spremenjena</w:t>
      </w:r>
      <w:r w:rsidRPr="00445B9C">
        <w:rPr>
          <w:rFonts w:cs="Arial"/>
          <w:szCs w:val="20"/>
        </w:rPr>
        <w:t xml:space="preserve"> z Uredbo (EU) 2022/2036 Evropskega parlamenta in Sveta z dne 19. oktobra 2022 o spremembi Uredbe (EU) št. 575/2013 in Direktive 2014/59/EU v zvezi z bonitetno obravnavo globalnih sistemsko pomembnih institucij s strategijo reševanja z več vstopnimi točkami in metodami za posredni vpis instrumentov, primernih za izpolnjevanje minimalne zahteve glede kapitala in kvalificiranih obveznosti (UL L št. 275 z dne 25. 10. 2022, str. 1). V osmi točki pa se spremeni navedba Uredbe 600/2014/EU ki je bila </w:t>
      </w:r>
      <w:proofErr w:type="spellStart"/>
      <w:r w:rsidR="00B02A77">
        <w:rPr>
          <w:rFonts w:cs="Arial"/>
          <w:szCs w:val="20"/>
        </w:rPr>
        <w:t>na</w:t>
      </w:r>
      <w:r w:rsidRPr="00445B9C">
        <w:rPr>
          <w:rFonts w:cs="Arial"/>
          <w:szCs w:val="20"/>
        </w:rPr>
        <w:t>zadnj</w:t>
      </w:r>
      <w:r w:rsidR="00B02A77">
        <w:rPr>
          <w:rFonts w:cs="Arial"/>
          <w:szCs w:val="20"/>
        </w:rPr>
        <w:t>a</w:t>
      </w:r>
      <w:proofErr w:type="spellEnd"/>
      <w:r w:rsidRPr="00445B9C">
        <w:rPr>
          <w:rFonts w:cs="Arial"/>
          <w:szCs w:val="20"/>
        </w:rPr>
        <w:t xml:space="preserve"> spremenjena z Uredbo (EU) 2024/791 Evropskega parlamenta in Sveta z dne 28. februarja 2024 o spremembi Uredbe (EU) št. 600/2014 v zvezi z izboljšanjem preglednosti podatkov, odpravo ovir za vzpostavitev sistema stalnih informacij, optimizacijo obveznosti trgovanja in prepovedjo prejemanja plačil za tok naročil (UL L, 2024/791 z dne 8.3.2024)</w:t>
      </w:r>
      <w:r w:rsidR="004D24E9" w:rsidRPr="00445B9C">
        <w:rPr>
          <w:rFonts w:cs="Arial"/>
          <w:szCs w:val="20"/>
        </w:rPr>
        <w:t>.</w:t>
      </w:r>
    </w:p>
    <w:p w:rsidR="00FE0F83" w:rsidRPr="00445B9C" w:rsidRDefault="00FE0F83" w:rsidP="00C64B3F">
      <w:pPr>
        <w:spacing w:line="276"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_Ref1920670</w:instrText>
      </w:r>
      <w:r w:rsidR="006813E2">
        <w:instrText xml:space="preserve">43 \r \h  \* MERGEFORMAT </w:instrText>
      </w:r>
      <w:r w:rsidR="006813E2">
        <w:fldChar w:fldCharType="separate"/>
      </w:r>
      <w:r w:rsidR="001638A0" w:rsidRPr="00445B9C">
        <w:rPr>
          <w:rFonts w:cs="Arial"/>
          <w:b/>
          <w:bCs/>
          <w:szCs w:val="20"/>
        </w:rPr>
        <w:t xml:space="preserve">2. </w:t>
      </w:r>
      <w:r w:rsidR="006813E2">
        <w:fldChar w:fldCharType="end"/>
      </w:r>
      <w:r w:rsidRPr="00445B9C">
        <w:rPr>
          <w:rFonts w:cs="Arial"/>
          <w:b/>
          <w:bCs/>
          <w:szCs w:val="20"/>
        </w:rPr>
        <w:t>členu</w:t>
      </w:r>
    </w:p>
    <w:p w:rsidR="005173AB" w:rsidRPr="00445B9C" w:rsidRDefault="005173AB" w:rsidP="005173AB">
      <w:pPr>
        <w:spacing w:line="276" w:lineRule="auto"/>
        <w:jc w:val="both"/>
        <w:rPr>
          <w:rFonts w:cs="Arial"/>
          <w:szCs w:val="20"/>
        </w:rPr>
      </w:pPr>
      <w:r w:rsidRPr="00445B9C">
        <w:rPr>
          <w:rFonts w:cs="Arial"/>
          <w:szCs w:val="20"/>
        </w:rPr>
        <w:t>Sprememba drugega odstavka 4. člena ZTFI-1 je potrebna, da se zagotovi skladnost z veljavnimi pravnimi akti EU, ki so bili posodobljeni ali nadomeščeni, s čimer se ohranja</w:t>
      </w:r>
      <w:r w:rsidR="00B02A77">
        <w:rPr>
          <w:rFonts w:cs="Arial"/>
          <w:szCs w:val="20"/>
        </w:rPr>
        <w:t>ta</w:t>
      </w:r>
      <w:r w:rsidRPr="00445B9C">
        <w:rPr>
          <w:rFonts w:cs="Arial"/>
          <w:szCs w:val="20"/>
        </w:rPr>
        <w:t xml:space="preserve"> pravna pravilnost in usklajenost nacionalne zakonodaje predpisi</w:t>
      </w:r>
      <w:r w:rsidR="00881A8F">
        <w:rPr>
          <w:rFonts w:cs="Arial"/>
          <w:szCs w:val="20"/>
        </w:rPr>
        <w:t xml:space="preserve"> EU</w:t>
      </w:r>
      <w:r w:rsidRPr="00445B9C">
        <w:rPr>
          <w:rFonts w:cs="Arial"/>
          <w:szCs w:val="20"/>
        </w:rPr>
        <w:t>. Namen uskladitve je zagotoviti jasnost, natančnost in doslednost pri sklicevanju na akte EU ter preprečiti morebitne neskladnosti pri izvajanju predpisa.</w:t>
      </w:r>
    </w:p>
    <w:p w:rsidR="00FE0F83" w:rsidRPr="00445B9C" w:rsidRDefault="00FE0F83" w:rsidP="00C64B3F">
      <w:pPr>
        <w:spacing w:line="276" w:lineRule="auto"/>
        <w:jc w:val="both"/>
        <w:rPr>
          <w:rFonts w:cs="Arial"/>
          <w:szCs w:val="20"/>
        </w:rPr>
      </w:pPr>
    </w:p>
    <w:p w:rsidR="00FE0F83" w:rsidRPr="00445B9C" w:rsidRDefault="00FE0F83" w:rsidP="00C64B3F">
      <w:pPr>
        <w:spacing w:line="276"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_Ref192067056 \r \h  \* MERGEFORMAT </w:instrText>
      </w:r>
      <w:r w:rsidR="006813E2">
        <w:fldChar w:fldCharType="separate"/>
      </w:r>
      <w:r w:rsidR="001638A0" w:rsidRPr="00445B9C">
        <w:rPr>
          <w:rFonts w:cs="Arial"/>
          <w:b/>
          <w:bCs/>
          <w:szCs w:val="20"/>
        </w:rPr>
        <w:t xml:space="preserve">3. </w:t>
      </w:r>
      <w:r w:rsidR="006813E2">
        <w:fldChar w:fldCharType="end"/>
      </w:r>
      <w:r w:rsidRPr="00445B9C">
        <w:rPr>
          <w:rFonts w:cs="Arial"/>
          <w:b/>
          <w:bCs/>
          <w:szCs w:val="20"/>
        </w:rPr>
        <w:t>členu</w:t>
      </w:r>
    </w:p>
    <w:p w:rsidR="00FE0F83" w:rsidRPr="00445B9C" w:rsidRDefault="009F5EB1" w:rsidP="00AE2EEF">
      <w:pPr>
        <w:spacing w:line="276" w:lineRule="auto"/>
        <w:jc w:val="both"/>
        <w:rPr>
          <w:rFonts w:cs="Arial"/>
          <w:szCs w:val="20"/>
        </w:rPr>
      </w:pPr>
      <w:r w:rsidRPr="00445B9C">
        <w:rPr>
          <w:rFonts w:cs="Arial"/>
          <w:szCs w:val="20"/>
        </w:rPr>
        <w:t xml:space="preserve">Tretji odstavek </w:t>
      </w:r>
      <w:r w:rsidR="003F6E1F" w:rsidRPr="00445B9C">
        <w:rPr>
          <w:rFonts w:cs="Arial"/>
          <w:szCs w:val="20"/>
        </w:rPr>
        <w:t>5. člen</w:t>
      </w:r>
      <w:r w:rsidRPr="00445B9C">
        <w:rPr>
          <w:rFonts w:cs="Arial"/>
          <w:szCs w:val="20"/>
        </w:rPr>
        <w:t>a</w:t>
      </w:r>
      <w:r w:rsidR="003F6E1F" w:rsidRPr="00445B9C">
        <w:rPr>
          <w:rFonts w:cs="Arial"/>
          <w:szCs w:val="20"/>
        </w:rPr>
        <w:t xml:space="preserve"> ZTFI-1 se spreminja zaradi uskladitve z </w:t>
      </w:r>
      <w:r w:rsidR="00AA6892" w:rsidRPr="00445B9C">
        <w:rPr>
          <w:rFonts w:cs="Arial"/>
          <w:szCs w:val="20"/>
        </w:rPr>
        <w:t>Zakon</w:t>
      </w:r>
      <w:r w:rsidR="00AC0977" w:rsidRPr="00445B9C">
        <w:rPr>
          <w:rFonts w:cs="Arial"/>
          <w:szCs w:val="20"/>
        </w:rPr>
        <w:t>om</w:t>
      </w:r>
      <w:r w:rsidR="00AA6892" w:rsidRPr="00445B9C">
        <w:rPr>
          <w:rFonts w:cs="Arial"/>
          <w:szCs w:val="20"/>
        </w:rPr>
        <w:t xml:space="preserve"> o spremembah in dopolnitvah Zakona o bančništvu (v </w:t>
      </w:r>
      <w:r w:rsidR="00B02A77" w:rsidRPr="00445B9C">
        <w:rPr>
          <w:rFonts w:cs="Arial"/>
          <w:szCs w:val="20"/>
        </w:rPr>
        <w:t>nadaljnjem besedilu</w:t>
      </w:r>
      <w:r w:rsidR="00AA6892" w:rsidRPr="00445B9C">
        <w:rPr>
          <w:rFonts w:cs="Arial"/>
          <w:szCs w:val="20"/>
        </w:rPr>
        <w:t xml:space="preserve">: ZBan-3A). </w:t>
      </w:r>
      <w:r w:rsidR="003F6E1F" w:rsidRPr="00445B9C">
        <w:rPr>
          <w:rFonts w:cs="Arial"/>
          <w:szCs w:val="20"/>
        </w:rPr>
        <w:t xml:space="preserve">V skladu z ZBan-3A se izraz </w:t>
      </w:r>
      <w:r w:rsidR="00E25B39" w:rsidRPr="00445B9C">
        <w:rPr>
          <w:rFonts w:cs="Arial"/>
          <w:szCs w:val="20"/>
        </w:rPr>
        <w:t xml:space="preserve">»modelsko tveganje« črta, saj je bila zadevna definicija </w:t>
      </w:r>
      <w:r w:rsidR="001334BB">
        <w:rPr>
          <w:rFonts w:cs="Arial"/>
          <w:szCs w:val="20"/>
        </w:rPr>
        <w:t>s spremembo</w:t>
      </w:r>
      <w:r w:rsidR="00E25B39" w:rsidRPr="00445B9C">
        <w:rPr>
          <w:rFonts w:cs="Arial"/>
          <w:szCs w:val="20"/>
        </w:rPr>
        <w:t xml:space="preserve"> ZBan-3 odpravljena, doda </w:t>
      </w:r>
      <w:r w:rsidR="00E25B39" w:rsidRPr="00445B9C">
        <w:rPr>
          <w:rFonts w:cs="Arial"/>
          <w:szCs w:val="20"/>
        </w:rPr>
        <w:lastRenderedPageBreak/>
        <w:t xml:space="preserve">pa se izraz </w:t>
      </w:r>
      <w:r w:rsidR="003F6E1F" w:rsidRPr="00445B9C">
        <w:rPr>
          <w:rFonts w:cs="Arial"/>
          <w:szCs w:val="20"/>
        </w:rPr>
        <w:t>»kreditna družba«</w:t>
      </w:r>
      <w:r w:rsidR="00E25B39" w:rsidRPr="00445B9C">
        <w:rPr>
          <w:rFonts w:cs="Arial"/>
          <w:szCs w:val="20"/>
        </w:rPr>
        <w:t>, ki se</w:t>
      </w:r>
      <w:r w:rsidR="003F6E1F" w:rsidRPr="00445B9C">
        <w:rPr>
          <w:rFonts w:cs="Arial"/>
          <w:szCs w:val="20"/>
        </w:rPr>
        <w:t xml:space="preserve"> v tem zakonu uporablja za družbo iz </w:t>
      </w:r>
      <w:r w:rsidR="00AE2EEF" w:rsidRPr="00445B9C">
        <w:rPr>
          <w:rFonts w:cs="Arial"/>
          <w:szCs w:val="20"/>
        </w:rPr>
        <w:t>podtočke (b) 1. točke prvega odstavka 4. člena Uredbe 575/2013/EU s sedežem v Republiki Sloveniji, ki je pridobila dovoljenje za opravljanje investicijskih storitev in poslov iz 3. in 6. točke prvega odstavka 11. člena ZTFI-1 kot kreditna institucija v skladu s tem zakonom.</w:t>
      </w:r>
      <w:r w:rsidR="00D05F8E" w:rsidRPr="00445B9C">
        <w:rPr>
          <w:rFonts w:cs="Arial"/>
          <w:szCs w:val="20"/>
        </w:rPr>
        <w:t xml:space="preserve"> Navedena sprememba se vnese v več členov ZTFI-1.</w:t>
      </w:r>
    </w:p>
    <w:p w:rsidR="00FE0F83" w:rsidRPr="00445B9C" w:rsidRDefault="009F5EB1" w:rsidP="00C64B3F">
      <w:pPr>
        <w:spacing w:line="276" w:lineRule="auto"/>
        <w:jc w:val="both"/>
        <w:rPr>
          <w:rFonts w:cs="Arial"/>
          <w:szCs w:val="20"/>
        </w:rPr>
      </w:pPr>
      <w:r w:rsidRPr="00445B9C">
        <w:rPr>
          <w:rFonts w:cs="Arial"/>
          <w:szCs w:val="20"/>
        </w:rPr>
        <w:t>Ker se v zakonu uporablja nov pojem »evropska enotna točka dostopa«, se predlaga navezava njegove opredelitve na 1. člen Uredbe 2023/2859/EU</w:t>
      </w:r>
      <w:r w:rsidR="007B5CAB" w:rsidRPr="00445B9C">
        <w:rPr>
          <w:rFonts w:cs="Arial"/>
          <w:szCs w:val="20"/>
        </w:rPr>
        <w:t>, ki določa ustanovitev evropske enotne točke dostopa (</w:t>
      </w:r>
      <w:r w:rsidR="00E25B39" w:rsidRPr="00445B9C">
        <w:rPr>
          <w:rFonts w:cs="Arial"/>
          <w:szCs w:val="20"/>
        </w:rPr>
        <w:t>v nadaljnjem besedilu</w:t>
      </w:r>
      <w:r w:rsidR="007B5CAB" w:rsidRPr="00445B9C">
        <w:rPr>
          <w:rFonts w:cs="Arial"/>
          <w:szCs w:val="20"/>
        </w:rPr>
        <w:t>: ESAP) in obseg centraliziranega dostopa do informacij.</w:t>
      </w:r>
    </w:p>
    <w:p w:rsidR="006327B8" w:rsidRPr="00445B9C" w:rsidRDefault="006327B8" w:rsidP="00C64B3F">
      <w:pPr>
        <w:spacing w:line="276" w:lineRule="auto"/>
        <w:jc w:val="both"/>
        <w:rPr>
          <w:rFonts w:cs="Arial"/>
          <w:szCs w:val="20"/>
        </w:rPr>
      </w:pPr>
    </w:p>
    <w:p w:rsidR="006327B8" w:rsidRPr="00445B9C" w:rsidRDefault="006327B8" w:rsidP="00C64B3F">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_Ref196824312 \r \h  \* MERGEFORMAT </w:instrText>
      </w:r>
      <w:r w:rsidR="006813E2">
        <w:fldChar w:fldCharType="separate"/>
      </w:r>
      <w:r w:rsidR="001638A0" w:rsidRPr="00445B9C">
        <w:rPr>
          <w:rFonts w:cs="Arial"/>
          <w:b/>
          <w:bCs/>
          <w:szCs w:val="20"/>
        </w:rPr>
        <w:t xml:space="preserve">4. </w:t>
      </w:r>
      <w:r w:rsidR="006813E2">
        <w:fldChar w:fldCharType="end"/>
      </w:r>
      <w:r w:rsidRPr="00445B9C">
        <w:rPr>
          <w:rFonts w:cs="Arial"/>
          <w:b/>
          <w:bCs/>
          <w:szCs w:val="20"/>
        </w:rPr>
        <w:t>členu</w:t>
      </w:r>
    </w:p>
    <w:p w:rsidR="006327B8" w:rsidRPr="00445B9C" w:rsidRDefault="006327B8" w:rsidP="00C64B3F">
      <w:pPr>
        <w:spacing w:line="276" w:lineRule="auto"/>
        <w:jc w:val="both"/>
        <w:rPr>
          <w:rFonts w:cs="Arial"/>
          <w:szCs w:val="20"/>
        </w:rPr>
      </w:pPr>
      <w:r w:rsidRPr="00445B9C">
        <w:rPr>
          <w:rFonts w:cs="Arial"/>
          <w:szCs w:val="20"/>
        </w:rPr>
        <w:t xml:space="preserve">Besedilo 20. člena ZTFI-1 se usklajuje z ZBan-3A in Uredbo 575/2013/EU. Glej obrazložitev k </w:t>
      </w:r>
      <w:r w:rsidR="006813E2">
        <w:fldChar w:fldCharType="begin"/>
      </w:r>
      <w:r w:rsidR="006813E2">
        <w:instrText xml:space="preserve"> REF _Ref192067056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členu predloga zakona.</w:t>
      </w:r>
    </w:p>
    <w:p w:rsidR="00FE0F83" w:rsidRPr="00445B9C" w:rsidRDefault="00FE0F83" w:rsidP="00C64B3F">
      <w:pPr>
        <w:spacing w:line="276"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_Ref196733803 \r \h  \* MERGEFORMAT </w:instrText>
      </w:r>
      <w:r w:rsidR="006813E2">
        <w:fldChar w:fldCharType="separate"/>
      </w:r>
      <w:r w:rsidR="001638A0" w:rsidRPr="00445B9C">
        <w:rPr>
          <w:rFonts w:cs="Arial"/>
          <w:b/>
          <w:bCs/>
          <w:szCs w:val="20"/>
        </w:rPr>
        <w:t xml:space="preserve">5. </w:t>
      </w:r>
      <w:r w:rsidR="006813E2">
        <w:fldChar w:fldCharType="end"/>
      </w:r>
      <w:r w:rsidRPr="00445B9C">
        <w:rPr>
          <w:rFonts w:cs="Arial"/>
          <w:b/>
          <w:bCs/>
          <w:szCs w:val="20"/>
        </w:rPr>
        <w:t>členu</w:t>
      </w:r>
    </w:p>
    <w:p w:rsidR="00A17AD3" w:rsidRPr="00445B9C" w:rsidRDefault="00211B20" w:rsidP="00E5600E">
      <w:pPr>
        <w:spacing w:line="276" w:lineRule="auto"/>
        <w:jc w:val="both"/>
        <w:rPr>
          <w:rFonts w:cs="Arial"/>
          <w:szCs w:val="20"/>
        </w:rPr>
      </w:pPr>
      <w:r w:rsidRPr="00445B9C">
        <w:rPr>
          <w:rFonts w:cs="Arial"/>
          <w:szCs w:val="20"/>
        </w:rPr>
        <w:t>ZTFI-1</w:t>
      </w:r>
      <w:r w:rsidR="00EF3ADD" w:rsidRPr="00445B9C">
        <w:rPr>
          <w:rFonts w:cs="Arial"/>
          <w:szCs w:val="20"/>
        </w:rPr>
        <w:t xml:space="preserve"> </w:t>
      </w:r>
      <w:r w:rsidR="00536510">
        <w:rPr>
          <w:rFonts w:cs="Arial"/>
          <w:szCs w:val="20"/>
        </w:rPr>
        <w:t xml:space="preserve">v </w:t>
      </w:r>
      <w:r w:rsidR="00536510" w:rsidRPr="00445B9C">
        <w:rPr>
          <w:rFonts w:cs="Arial"/>
          <w:szCs w:val="20"/>
        </w:rPr>
        <w:t>28. člen</w:t>
      </w:r>
      <w:r w:rsidR="00536510">
        <w:rPr>
          <w:rFonts w:cs="Arial"/>
          <w:szCs w:val="20"/>
        </w:rPr>
        <w:t>u</w:t>
      </w:r>
      <w:r w:rsidR="00536510" w:rsidRPr="00445B9C">
        <w:rPr>
          <w:rFonts w:cs="Arial"/>
          <w:szCs w:val="20"/>
        </w:rPr>
        <w:t xml:space="preserve"> </w:t>
      </w:r>
      <w:r w:rsidRPr="00445B9C">
        <w:rPr>
          <w:rFonts w:cs="Arial"/>
          <w:szCs w:val="20"/>
        </w:rPr>
        <w:t>opredeljuje večstranski sistem</w:t>
      </w:r>
      <w:r w:rsidR="0004194C" w:rsidRPr="00445B9C">
        <w:rPr>
          <w:rFonts w:cs="Arial"/>
          <w:szCs w:val="20"/>
        </w:rPr>
        <w:t xml:space="preserve"> kot sistem ali infrastrukturo, v kateri lahko vzajemno delujejo nakupni in prodajni interesi več tretjih oseb v zvezi s finančnimi instrumenti. Nadalje v drugem odstavku določa, da morajo delovati</w:t>
      </w:r>
      <w:r w:rsidRPr="00445B9C">
        <w:rPr>
          <w:rFonts w:cs="Arial"/>
          <w:szCs w:val="20"/>
        </w:rPr>
        <w:t xml:space="preserve"> v skladu z zahtevami za regulirane trge, večstranske sisteme trgovanja (MTF) ali organizirane sisteme trgovanja (OTF). Vendar </w:t>
      </w:r>
      <w:r w:rsidR="0004194C" w:rsidRPr="00445B9C">
        <w:rPr>
          <w:rFonts w:cs="Arial"/>
          <w:szCs w:val="20"/>
        </w:rPr>
        <w:t>so se v praksi pokazale pomanjkljivosti tega sistema</w:t>
      </w:r>
      <w:r w:rsidRPr="00445B9C">
        <w:rPr>
          <w:rFonts w:cs="Arial"/>
          <w:szCs w:val="20"/>
        </w:rPr>
        <w:t xml:space="preserve"> </w:t>
      </w:r>
      <w:r w:rsidR="0004194C" w:rsidRPr="00445B9C">
        <w:rPr>
          <w:rFonts w:cs="Arial"/>
          <w:szCs w:val="20"/>
        </w:rPr>
        <w:t xml:space="preserve">na območju EU, kar je ugotovil </w:t>
      </w:r>
      <w:r w:rsidRPr="00445B9C">
        <w:rPr>
          <w:rFonts w:cs="Arial"/>
          <w:szCs w:val="20"/>
        </w:rPr>
        <w:t>Evropski organ za vrednostne papirje in trge (</w:t>
      </w:r>
      <w:r w:rsidR="0004194C" w:rsidRPr="00445B9C">
        <w:rPr>
          <w:rFonts w:cs="Arial"/>
          <w:szCs w:val="20"/>
        </w:rPr>
        <w:t xml:space="preserve">v </w:t>
      </w:r>
      <w:r w:rsidR="00352700" w:rsidRPr="00445B9C">
        <w:rPr>
          <w:rFonts w:cs="Arial"/>
          <w:szCs w:val="20"/>
        </w:rPr>
        <w:t>nadaljnjem besedilu:</w:t>
      </w:r>
      <w:r w:rsidR="0004194C" w:rsidRPr="00445B9C">
        <w:rPr>
          <w:rFonts w:cs="Arial"/>
          <w:szCs w:val="20"/>
        </w:rPr>
        <w:t xml:space="preserve"> </w:t>
      </w:r>
      <w:r w:rsidRPr="00445B9C">
        <w:rPr>
          <w:rFonts w:cs="Arial"/>
          <w:szCs w:val="20"/>
        </w:rPr>
        <w:t>ESMA) v svojem končnem poročilu z dne 23. marca 2021 o delovanju organiziranih sistemov trgovanja</w:t>
      </w:r>
      <w:r w:rsidR="0004194C" w:rsidRPr="00445B9C">
        <w:rPr>
          <w:rFonts w:cs="Arial"/>
          <w:szCs w:val="20"/>
        </w:rPr>
        <w:t>. V poročilu je bilo ugotovljeno, da</w:t>
      </w:r>
      <w:r w:rsidRPr="00445B9C">
        <w:rPr>
          <w:rFonts w:cs="Arial"/>
          <w:szCs w:val="20"/>
        </w:rPr>
        <w:t xml:space="preserve"> načelo, da je za večstranske </w:t>
      </w:r>
      <w:r w:rsidR="0004194C" w:rsidRPr="00445B9C">
        <w:rPr>
          <w:rFonts w:cs="Arial"/>
          <w:szCs w:val="20"/>
        </w:rPr>
        <w:t>sisteme</w:t>
      </w:r>
      <w:r w:rsidRPr="00445B9C">
        <w:rPr>
          <w:rFonts w:cs="Arial"/>
          <w:szCs w:val="20"/>
        </w:rPr>
        <w:t xml:space="preserve"> trgovanja potrebno dovoljenje</w:t>
      </w:r>
      <w:r w:rsidR="00536510">
        <w:rPr>
          <w:rFonts w:cs="Arial"/>
          <w:szCs w:val="20"/>
        </w:rPr>
        <w:t>,</w:t>
      </w:r>
      <w:r w:rsidRPr="00445B9C">
        <w:rPr>
          <w:rFonts w:cs="Arial"/>
          <w:szCs w:val="20"/>
        </w:rPr>
        <w:t xml:space="preserve"> v </w:t>
      </w:r>
      <w:r w:rsidR="0004194C" w:rsidRPr="00445B9C">
        <w:rPr>
          <w:rFonts w:cs="Arial"/>
          <w:szCs w:val="20"/>
        </w:rPr>
        <w:t>EU</w:t>
      </w:r>
      <w:r w:rsidRPr="00445B9C">
        <w:rPr>
          <w:rFonts w:cs="Arial"/>
          <w:szCs w:val="20"/>
        </w:rPr>
        <w:t xml:space="preserve"> ni bilo upoštevano, kar je privedlo do neenakih konkurenčnih pogojev med večstranskimi sistemi, ki imajo dovoljenje kot regulirani trg, MTF ali OTF, in večstranskimi sistemi, ki takega dovoljenja nimajo. Poleg tega je ta položaj za nekatere udeležence na trgu povzročil pravno negotovost glede regulativnih pričakovanj v zvezi s takimi večstranskimi sistemi. </w:t>
      </w:r>
      <w:r w:rsidR="0004194C" w:rsidRPr="00445B9C">
        <w:rPr>
          <w:rFonts w:cs="Arial"/>
          <w:szCs w:val="20"/>
        </w:rPr>
        <w:t>Da bi se zagotovil</w:t>
      </w:r>
      <w:r w:rsidR="00536510">
        <w:rPr>
          <w:rFonts w:cs="Arial"/>
          <w:szCs w:val="20"/>
        </w:rPr>
        <w:t>i</w:t>
      </w:r>
      <w:r w:rsidR="0004194C" w:rsidRPr="00445B9C">
        <w:rPr>
          <w:rFonts w:cs="Arial"/>
          <w:szCs w:val="20"/>
        </w:rPr>
        <w:t xml:space="preserve"> pravna varnost in enotnost na finančnih trgih EU, kar bi okrepilo zaupanje udeležencev na trgu ter izboljšalo delovanje notranjega trga</w:t>
      </w:r>
      <w:r w:rsidR="00536510">
        <w:rPr>
          <w:rFonts w:cs="Arial"/>
          <w:szCs w:val="20"/>
        </w:rPr>
        <w:t>,</w:t>
      </w:r>
      <w:r w:rsidR="0004194C" w:rsidRPr="00445B9C">
        <w:rPr>
          <w:rFonts w:cs="Arial"/>
          <w:szCs w:val="20"/>
        </w:rPr>
        <w:t xml:space="preserve"> se je navedena vsebina uredila v Uredbi 600/2014/EU. </w:t>
      </w:r>
      <w:r w:rsidR="00EF3ADD" w:rsidRPr="00445B9C">
        <w:rPr>
          <w:rFonts w:cs="Arial"/>
          <w:szCs w:val="20"/>
        </w:rPr>
        <w:t xml:space="preserve">Ker večstranski sistemi ne spadajo več na področje uporabe </w:t>
      </w:r>
      <w:r w:rsidR="00D27982" w:rsidRPr="00445B9C">
        <w:rPr>
          <w:rFonts w:cs="Arial"/>
          <w:szCs w:val="20"/>
        </w:rPr>
        <w:t xml:space="preserve">Direktive </w:t>
      </w:r>
      <w:r w:rsidR="00EF3ADD" w:rsidRPr="00445B9C">
        <w:rPr>
          <w:rFonts w:cs="Arial"/>
          <w:szCs w:val="20"/>
        </w:rPr>
        <w:t>2014/65/EU, ampak bodo vključeni v Uredbo 600/2014/EU</w:t>
      </w:r>
      <w:r w:rsidR="00692C21">
        <w:rPr>
          <w:rFonts w:cs="Arial"/>
          <w:szCs w:val="20"/>
        </w:rPr>
        <w:t>,</w:t>
      </w:r>
      <w:r w:rsidR="00EF3ADD" w:rsidRPr="00445B9C">
        <w:rPr>
          <w:rFonts w:cs="Arial"/>
          <w:szCs w:val="20"/>
        </w:rPr>
        <w:t xml:space="preserve"> se predlaga sprememba 28. člena ZTFI-1 na način, da se navede sklic na Uredbo 600/2014/EU.</w:t>
      </w:r>
      <w:r w:rsidR="00E5600E" w:rsidRPr="00445B9C">
        <w:rPr>
          <w:rFonts w:cs="Arial"/>
          <w:szCs w:val="20"/>
        </w:rPr>
        <w:t xml:space="preserve"> </w:t>
      </w:r>
    </w:p>
    <w:p w:rsidR="00E5600E" w:rsidRPr="00445B9C" w:rsidRDefault="00E5600E" w:rsidP="00E5600E">
      <w:pPr>
        <w:spacing w:line="276" w:lineRule="auto"/>
        <w:jc w:val="both"/>
        <w:rPr>
          <w:rFonts w:cs="Arial"/>
          <w:szCs w:val="20"/>
        </w:rPr>
      </w:pPr>
      <w:r w:rsidRPr="00445B9C">
        <w:rPr>
          <w:rFonts w:cs="Arial"/>
          <w:szCs w:val="20"/>
        </w:rPr>
        <w:t>S predlagano spremembo se prenaša točka (a) tretjega odstavka 1. člena Direktive 2024/790/EU.</w:t>
      </w:r>
    </w:p>
    <w:p w:rsidR="00FE0F83" w:rsidRPr="00445B9C" w:rsidRDefault="00FE0F83" w:rsidP="00C64B3F">
      <w:pPr>
        <w:spacing w:line="276"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_Ref196733822 \r \h  \* MERGEFORMAT </w:instrText>
      </w:r>
      <w:r w:rsidR="006813E2">
        <w:fldChar w:fldCharType="separate"/>
      </w:r>
      <w:r w:rsidR="001638A0" w:rsidRPr="00445B9C">
        <w:rPr>
          <w:rFonts w:cs="Arial"/>
          <w:b/>
          <w:bCs/>
          <w:szCs w:val="20"/>
        </w:rPr>
        <w:t xml:space="preserve">6. </w:t>
      </w:r>
      <w:r w:rsidR="006813E2">
        <w:fldChar w:fldCharType="end"/>
      </w:r>
      <w:r w:rsidRPr="00445B9C">
        <w:rPr>
          <w:rFonts w:cs="Arial"/>
          <w:b/>
          <w:bCs/>
          <w:szCs w:val="20"/>
        </w:rPr>
        <w:t>členu</w:t>
      </w:r>
    </w:p>
    <w:p w:rsidR="00E5600E" w:rsidRPr="00445B9C" w:rsidRDefault="00210F96" w:rsidP="00E5600E">
      <w:pPr>
        <w:spacing w:line="276" w:lineRule="auto"/>
        <w:jc w:val="both"/>
        <w:rPr>
          <w:rFonts w:cs="Arial"/>
          <w:szCs w:val="20"/>
        </w:rPr>
      </w:pPr>
      <w:r w:rsidRPr="00445B9C">
        <w:rPr>
          <w:rFonts w:cs="Arial"/>
          <w:szCs w:val="20"/>
        </w:rPr>
        <w:t xml:space="preserve">Drugi odstavek 34. člena ZTFI-1 opredeljuje sistematičnega </w:t>
      </w:r>
      <w:proofErr w:type="spellStart"/>
      <w:r w:rsidRPr="00445B9C">
        <w:rPr>
          <w:rFonts w:cs="Arial"/>
          <w:szCs w:val="20"/>
        </w:rPr>
        <w:t>intrnalizatorja</w:t>
      </w:r>
      <w:proofErr w:type="spellEnd"/>
      <w:r w:rsidRPr="00445B9C">
        <w:rPr>
          <w:rFonts w:cs="Arial"/>
          <w:szCs w:val="20"/>
        </w:rPr>
        <w:t xml:space="preserve"> kot investicijsko podjetje, ki na organizirani, pogosti in sistematični podlagi ter v precejšnjem obsegu posluje za lasten račun z izvrševanjem naročil strank zunaj organiziranega trga, MTF ali OTF, ne da bi upravljal večstranski sistem.</w:t>
      </w:r>
      <w:r w:rsidR="00D27982" w:rsidRPr="00445B9C">
        <w:rPr>
          <w:rFonts w:cs="Arial"/>
          <w:szCs w:val="20"/>
        </w:rPr>
        <w:t xml:space="preserve"> </w:t>
      </w:r>
      <w:r w:rsidR="002930F8" w:rsidRPr="00445B9C">
        <w:rPr>
          <w:rFonts w:cs="Arial"/>
          <w:szCs w:val="20"/>
        </w:rPr>
        <w:t>Pogostost, sistematičnost in znatni obseg so določeni s kvantitativnimi merili</w:t>
      </w:r>
      <w:r w:rsidRPr="00445B9C">
        <w:rPr>
          <w:rFonts w:cs="Arial"/>
          <w:szCs w:val="20"/>
        </w:rPr>
        <w:t xml:space="preserve"> v tretjem odstavku 34. člena ZTFI-1</w:t>
      </w:r>
      <w:r w:rsidR="002930F8" w:rsidRPr="00445B9C">
        <w:rPr>
          <w:rFonts w:cs="Arial"/>
          <w:szCs w:val="20"/>
        </w:rPr>
        <w:t>. To je povzročilo preveliko breme investicijskim podjetjem, ki morajo opraviti oceno</w:t>
      </w:r>
      <w:r w:rsidR="001A77E9">
        <w:rPr>
          <w:rFonts w:cs="Arial"/>
          <w:szCs w:val="20"/>
        </w:rPr>
        <w:t>,</w:t>
      </w:r>
      <w:r w:rsidR="002930F8" w:rsidRPr="00445B9C">
        <w:rPr>
          <w:rFonts w:cs="Arial"/>
          <w:szCs w:val="20"/>
        </w:rPr>
        <w:t xml:space="preserve"> in ESMA, ki mora objaviti podatke za namene ocene. </w:t>
      </w:r>
      <w:r w:rsidR="00D27982" w:rsidRPr="00445B9C">
        <w:rPr>
          <w:rFonts w:cs="Arial"/>
          <w:szCs w:val="20"/>
        </w:rPr>
        <w:t xml:space="preserve">Zato se predlaga nadomestitev kvantitativnih meril s kvalitativno oceno. </w:t>
      </w:r>
      <w:r w:rsidR="002930F8" w:rsidRPr="00445B9C">
        <w:rPr>
          <w:rFonts w:cs="Arial"/>
          <w:szCs w:val="20"/>
        </w:rPr>
        <w:t>Ob upoštevanju, da je Uredba 600/2014</w:t>
      </w:r>
      <w:r w:rsidR="00D27982" w:rsidRPr="00445B9C">
        <w:rPr>
          <w:rFonts w:cs="Arial"/>
          <w:szCs w:val="20"/>
        </w:rPr>
        <w:t xml:space="preserve">/EU </w:t>
      </w:r>
      <w:r w:rsidR="002930F8" w:rsidRPr="00445B9C">
        <w:rPr>
          <w:rFonts w:cs="Arial"/>
          <w:szCs w:val="20"/>
        </w:rPr>
        <w:t xml:space="preserve">spremenjena in so se sistematični </w:t>
      </w:r>
      <w:proofErr w:type="spellStart"/>
      <w:r w:rsidR="002930F8" w:rsidRPr="00445B9C">
        <w:rPr>
          <w:rFonts w:cs="Arial"/>
          <w:szCs w:val="20"/>
        </w:rPr>
        <w:t>internalizatorji</w:t>
      </w:r>
      <w:proofErr w:type="spellEnd"/>
      <w:r w:rsidR="002930F8" w:rsidRPr="00445B9C">
        <w:rPr>
          <w:rFonts w:cs="Arial"/>
          <w:szCs w:val="20"/>
        </w:rPr>
        <w:t xml:space="preserve"> izključili iz področja uporabe zahtev po preglednosti pred trgovanjem za nelastniške instrumente, bi se morala kvalitativna ocena sistematičnih </w:t>
      </w:r>
      <w:proofErr w:type="spellStart"/>
      <w:r w:rsidR="002930F8" w:rsidRPr="00445B9C">
        <w:rPr>
          <w:rFonts w:cs="Arial"/>
          <w:szCs w:val="20"/>
        </w:rPr>
        <w:t>internalizatorjev</w:t>
      </w:r>
      <w:proofErr w:type="spellEnd"/>
      <w:r w:rsidR="002930F8" w:rsidRPr="00445B9C">
        <w:rPr>
          <w:rFonts w:cs="Arial"/>
          <w:szCs w:val="20"/>
        </w:rPr>
        <w:t xml:space="preserve"> uporabljati samo za lastniške instrumente. </w:t>
      </w:r>
      <w:r w:rsidR="00D27982" w:rsidRPr="00445B9C">
        <w:rPr>
          <w:rFonts w:cs="Arial"/>
          <w:szCs w:val="20"/>
        </w:rPr>
        <w:t xml:space="preserve">A </w:t>
      </w:r>
      <w:proofErr w:type="spellStart"/>
      <w:r w:rsidR="00D27982" w:rsidRPr="00445B9C">
        <w:rPr>
          <w:rFonts w:cs="Arial"/>
          <w:szCs w:val="20"/>
        </w:rPr>
        <w:t>khrati</w:t>
      </w:r>
      <w:proofErr w:type="spellEnd"/>
      <w:r w:rsidR="002930F8" w:rsidRPr="00445B9C">
        <w:rPr>
          <w:rFonts w:cs="Arial"/>
          <w:szCs w:val="20"/>
        </w:rPr>
        <w:t xml:space="preserve"> bi investicijsko podjetje </w:t>
      </w:r>
      <w:r w:rsidR="001A77E9" w:rsidRPr="00445B9C">
        <w:rPr>
          <w:rFonts w:cs="Arial"/>
          <w:szCs w:val="20"/>
        </w:rPr>
        <w:t xml:space="preserve">moralo </w:t>
      </w:r>
      <w:r w:rsidR="002930F8" w:rsidRPr="00445B9C">
        <w:rPr>
          <w:rFonts w:cs="Arial"/>
          <w:szCs w:val="20"/>
        </w:rPr>
        <w:t xml:space="preserve">imeti možnost, da se odloči, da postane sistematični </w:t>
      </w:r>
      <w:proofErr w:type="spellStart"/>
      <w:r w:rsidR="002930F8" w:rsidRPr="00445B9C">
        <w:rPr>
          <w:rFonts w:cs="Arial"/>
          <w:szCs w:val="20"/>
        </w:rPr>
        <w:t>internalizator</w:t>
      </w:r>
      <w:proofErr w:type="spellEnd"/>
      <w:r w:rsidR="002930F8" w:rsidRPr="00445B9C">
        <w:rPr>
          <w:rFonts w:cs="Arial"/>
          <w:szCs w:val="20"/>
        </w:rPr>
        <w:t xml:space="preserve"> za nelastniške instrumente.</w:t>
      </w:r>
      <w:r w:rsidR="00D27982" w:rsidRPr="00445B9C">
        <w:rPr>
          <w:rFonts w:cs="Arial"/>
          <w:szCs w:val="20"/>
        </w:rPr>
        <w:t xml:space="preserve"> Zaradi navedenih razlogov in potrebe po uskladitvi z Direktivo 2014/65/EU se predlaga </w:t>
      </w:r>
      <w:r w:rsidR="003B377D" w:rsidRPr="00445B9C">
        <w:rPr>
          <w:rFonts w:cs="Arial"/>
          <w:szCs w:val="20"/>
        </w:rPr>
        <w:t xml:space="preserve">sprememba </w:t>
      </w:r>
      <w:r w:rsidR="00D27982" w:rsidRPr="00445B9C">
        <w:rPr>
          <w:rFonts w:cs="Arial"/>
          <w:szCs w:val="20"/>
        </w:rPr>
        <w:t xml:space="preserve">opredelitve sistematičnih </w:t>
      </w:r>
      <w:proofErr w:type="spellStart"/>
      <w:r w:rsidR="00D27982" w:rsidRPr="00445B9C">
        <w:rPr>
          <w:rFonts w:cs="Arial"/>
          <w:szCs w:val="20"/>
        </w:rPr>
        <w:t>internalizatorjev</w:t>
      </w:r>
      <w:proofErr w:type="spellEnd"/>
      <w:r w:rsidR="00D27982" w:rsidRPr="00445B9C">
        <w:rPr>
          <w:rFonts w:cs="Arial"/>
          <w:szCs w:val="20"/>
        </w:rPr>
        <w:t xml:space="preserve"> ter črtanje tretjega odstavka 34. člena ZTFI-1. </w:t>
      </w:r>
      <w:r w:rsidR="001A77E9">
        <w:rPr>
          <w:rFonts w:cs="Arial"/>
          <w:szCs w:val="20"/>
        </w:rPr>
        <w:t xml:space="preserve"> </w:t>
      </w:r>
    </w:p>
    <w:p w:rsidR="00E5600E" w:rsidRPr="00445B9C" w:rsidRDefault="00E5600E" w:rsidP="00E5600E">
      <w:pPr>
        <w:spacing w:line="276" w:lineRule="auto"/>
        <w:jc w:val="both"/>
        <w:rPr>
          <w:rFonts w:cs="Arial"/>
          <w:szCs w:val="20"/>
        </w:rPr>
      </w:pPr>
    </w:p>
    <w:p w:rsidR="00E5600E" w:rsidRPr="00445B9C" w:rsidRDefault="00E5600E" w:rsidP="00E5600E">
      <w:pPr>
        <w:spacing w:line="276" w:lineRule="auto"/>
        <w:jc w:val="both"/>
        <w:rPr>
          <w:rFonts w:cs="Arial"/>
          <w:szCs w:val="20"/>
        </w:rPr>
      </w:pPr>
      <w:r w:rsidRPr="00445B9C">
        <w:rPr>
          <w:rFonts w:cs="Arial"/>
          <w:szCs w:val="20"/>
        </w:rPr>
        <w:t>S predlagano spremembo se prenaša točka (b) tretjega odstavka 1. člena Direktive 2024/790/EU.</w:t>
      </w:r>
    </w:p>
    <w:p w:rsidR="00A17AD3" w:rsidRPr="00445B9C" w:rsidRDefault="00A17AD3" w:rsidP="00E5600E">
      <w:pPr>
        <w:spacing w:line="276" w:lineRule="auto"/>
        <w:jc w:val="both"/>
        <w:rPr>
          <w:rFonts w:cs="Arial"/>
          <w:szCs w:val="20"/>
        </w:rPr>
      </w:pPr>
    </w:p>
    <w:p w:rsidR="00A17AD3" w:rsidRPr="00445B9C" w:rsidRDefault="00A17AD3" w:rsidP="00A17AD3">
      <w:pPr>
        <w:spacing w:line="276" w:lineRule="auto"/>
        <w:jc w:val="both"/>
        <w:rPr>
          <w:rFonts w:cs="Arial"/>
          <w:b/>
          <w:bCs/>
          <w:szCs w:val="20"/>
        </w:rPr>
      </w:pPr>
      <w:r w:rsidRPr="00445B9C">
        <w:rPr>
          <w:rFonts w:cs="Arial"/>
          <w:b/>
          <w:bCs/>
          <w:szCs w:val="20"/>
        </w:rPr>
        <w:lastRenderedPageBreak/>
        <w:t xml:space="preserve">K </w:t>
      </w:r>
      <w:r w:rsidR="006813E2">
        <w:fldChar w:fldCharType="begin"/>
      </w:r>
      <w:r w:rsidR="006813E2">
        <w:instrText xml:space="preserve"> REF _Ref196824582 \r \h  \* MERGEFORMAT </w:instrText>
      </w:r>
      <w:r w:rsidR="006813E2">
        <w:fldChar w:fldCharType="separate"/>
      </w:r>
      <w:r w:rsidR="001638A0" w:rsidRPr="00445B9C">
        <w:rPr>
          <w:rFonts w:cs="Arial"/>
          <w:b/>
          <w:bCs/>
          <w:szCs w:val="20"/>
        </w:rPr>
        <w:t xml:space="preserve">7. </w:t>
      </w:r>
      <w:r w:rsidR="006813E2">
        <w:fldChar w:fldCharType="end"/>
      </w:r>
      <w:r w:rsidRPr="00445B9C">
        <w:rPr>
          <w:rFonts w:cs="Arial"/>
          <w:b/>
          <w:bCs/>
          <w:szCs w:val="20"/>
        </w:rPr>
        <w:t>členu</w:t>
      </w:r>
    </w:p>
    <w:p w:rsidR="00A17AD3" w:rsidRPr="00445B9C" w:rsidRDefault="00A17AD3" w:rsidP="00A17AD3">
      <w:pPr>
        <w:spacing w:line="276" w:lineRule="auto"/>
        <w:jc w:val="both"/>
        <w:rPr>
          <w:rFonts w:cs="Arial"/>
          <w:szCs w:val="20"/>
        </w:rPr>
      </w:pPr>
      <w:r w:rsidRPr="00445B9C">
        <w:rPr>
          <w:rFonts w:cs="Arial"/>
          <w:szCs w:val="20"/>
        </w:rPr>
        <w:t xml:space="preserve">Besedilo 36. člena ZTFI-1 se usklajuje z ZBan-3A in Uredbo 575/2013/EU. Glej obrazložitev k </w:t>
      </w:r>
      <w:r w:rsidR="006813E2">
        <w:fldChar w:fldCharType="begin"/>
      </w:r>
      <w:r w:rsidR="006813E2">
        <w:instrText xml:space="preserve"> REF _Ref192067056 \r \h  \* MERGEFORM</w:instrText>
      </w:r>
      <w:r w:rsidR="006813E2">
        <w:instrText xml:space="preserve">AT </w:instrText>
      </w:r>
      <w:r w:rsidR="006813E2">
        <w:fldChar w:fldCharType="separate"/>
      </w:r>
      <w:r w:rsidR="001638A0" w:rsidRPr="00445B9C">
        <w:rPr>
          <w:rFonts w:cs="Arial"/>
          <w:szCs w:val="20"/>
        </w:rPr>
        <w:t xml:space="preserve">3. </w:t>
      </w:r>
      <w:r w:rsidR="006813E2">
        <w:fldChar w:fldCharType="end"/>
      </w:r>
      <w:r w:rsidRPr="00445B9C">
        <w:rPr>
          <w:rFonts w:cs="Arial"/>
          <w:szCs w:val="20"/>
        </w:rPr>
        <w:t xml:space="preserve"> členu predloga zakona.</w:t>
      </w:r>
    </w:p>
    <w:p w:rsidR="00FE0F83" w:rsidRPr="00445B9C" w:rsidRDefault="00FE0F83" w:rsidP="00C64B3F">
      <w:pPr>
        <w:spacing w:line="276"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_Ref196733839 \r \h  \* MERGEFORMAT </w:instrText>
      </w:r>
      <w:r w:rsidR="006813E2">
        <w:fldChar w:fldCharType="separate"/>
      </w:r>
      <w:r w:rsidR="001638A0" w:rsidRPr="00445B9C">
        <w:rPr>
          <w:rFonts w:cs="Arial"/>
          <w:b/>
          <w:bCs/>
          <w:szCs w:val="20"/>
        </w:rPr>
        <w:t xml:space="preserve">8. </w:t>
      </w:r>
      <w:r w:rsidR="006813E2">
        <w:fldChar w:fldCharType="end"/>
      </w:r>
      <w:r w:rsidRPr="00445B9C">
        <w:rPr>
          <w:rFonts w:cs="Arial"/>
          <w:b/>
          <w:bCs/>
          <w:szCs w:val="20"/>
        </w:rPr>
        <w:t>členu</w:t>
      </w:r>
    </w:p>
    <w:p w:rsidR="00FE0F83" w:rsidRPr="00445B9C" w:rsidRDefault="00192D1A" w:rsidP="00C64B3F">
      <w:pPr>
        <w:spacing w:line="276" w:lineRule="auto"/>
        <w:jc w:val="both"/>
        <w:rPr>
          <w:rFonts w:cs="Arial"/>
          <w:szCs w:val="20"/>
        </w:rPr>
      </w:pPr>
      <w:r w:rsidRPr="00445B9C">
        <w:rPr>
          <w:rFonts w:cs="Arial"/>
          <w:szCs w:val="20"/>
        </w:rPr>
        <w:t>Besedilo</w:t>
      </w:r>
      <w:r w:rsidR="00A022A3" w:rsidRPr="00445B9C">
        <w:rPr>
          <w:rFonts w:cs="Arial"/>
          <w:szCs w:val="20"/>
        </w:rPr>
        <w:t xml:space="preserve"> drugega odstavka 59. člena ZTFI-1</w:t>
      </w:r>
      <w:r w:rsidRPr="00445B9C">
        <w:rPr>
          <w:rFonts w:cs="Arial"/>
          <w:szCs w:val="20"/>
        </w:rPr>
        <w:t xml:space="preserve"> se usklajuje z ZBan-3A in </w:t>
      </w:r>
      <w:r w:rsidR="00B429D1" w:rsidRPr="00445B9C">
        <w:rPr>
          <w:rFonts w:cs="Arial"/>
          <w:szCs w:val="20"/>
        </w:rPr>
        <w:t>U</w:t>
      </w:r>
      <w:r w:rsidRPr="00445B9C">
        <w:rPr>
          <w:rFonts w:cs="Arial"/>
          <w:szCs w:val="20"/>
        </w:rPr>
        <w:t xml:space="preserve">redbo 575/2013/EU. Glej obrazložitev k </w:t>
      </w:r>
      <w:r w:rsidR="006813E2">
        <w:fldChar w:fldCharType="begin"/>
      </w:r>
      <w:r w:rsidR="006813E2">
        <w:instrText xml:space="preserve"> REF _Ref192067056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členu predloga zakona.</w:t>
      </w:r>
      <w:r w:rsidR="00CE5447" w:rsidRPr="00445B9C">
        <w:rPr>
          <w:rFonts w:cs="Arial"/>
          <w:szCs w:val="20"/>
        </w:rPr>
        <w:t xml:space="preserve"> Prav tako se besedilo »ki za to pridobi dovoljenje Banke Slovenije« nadomesti z besedilom »ki za to pridobi dovoljenje v skladu z ZBan-3«, saj dovoljenja za poslovanje banke ali kreditne družbe izdaja Evropska centralna banka.</w:t>
      </w:r>
    </w:p>
    <w:p w:rsidR="00192D1A" w:rsidRPr="00445B9C" w:rsidRDefault="00192D1A" w:rsidP="00C64B3F">
      <w:pPr>
        <w:spacing w:line="276" w:lineRule="auto"/>
        <w:jc w:val="both"/>
        <w:rPr>
          <w:rFonts w:cs="Arial"/>
          <w:szCs w:val="20"/>
        </w:rPr>
      </w:pPr>
    </w:p>
    <w:p w:rsidR="00192D1A" w:rsidRPr="00445B9C" w:rsidRDefault="00A022A3" w:rsidP="00C64B3F">
      <w:pPr>
        <w:spacing w:line="276" w:lineRule="auto"/>
        <w:jc w:val="both"/>
        <w:rPr>
          <w:rFonts w:cs="Arial"/>
          <w:szCs w:val="20"/>
        </w:rPr>
      </w:pPr>
      <w:r w:rsidRPr="00445B9C">
        <w:rPr>
          <w:rFonts w:cs="Arial"/>
          <w:szCs w:val="20"/>
        </w:rPr>
        <w:t xml:space="preserve">Sedmi odstavek 59. člena se črta zaradi prenosa vsebine v Uredbo 600/2014/EU. Glej obrazložitev k </w:t>
      </w:r>
      <w:r w:rsidR="006813E2">
        <w:fldChar w:fldCharType="begin"/>
      </w:r>
      <w:r w:rsidR="006813E2">
        <w:instrText xml:space="preserve"> REF _Ref196733803 \r \h  \* MERGEFORMAT </w:instrText>
      </w:r>
      <w:r w:rsidR="006813E2">
        <w:fldChar w:fldCharType="separate"/>
      </w:r>
      <w:r w:rsidR="001638A0" w:rsidRPr="00445B9C">
        <w:rPr>
          <w:rFonts w:cs="Arial"/>
          <w:szCs w:val="20"/>
        </w:rPr>
        <w:t xml:space="preserve">5. </w:t>
      </w:r>
      <w:r w:rsidR="006813E2">
        <w:fldChar w:fldCharType="end"/>
      </w:r>
      <w:r w:rsidRPr="00445B9C">
        <w:rPr>
          <w:rFonts w:cs="Arial"/>
          <w:szCs w:val="20"/>
        </w:rPr>
        <w:t xml:space="preserve">in </w:t>
      </w:r>
      <w:r w:rsidR="006813E2">
        <w:fldChar w:fldCharType="begin"/>
      </w:r>
      <w:r w:rsidR="006813E2">
        <w:instrText xml:space="preserve"> REF _Ref1967</w:instrText>
      </w:r>
      <w:r w:rsidR="006813E2">
        <w:instrText xml:space="preserve">33822 \r \h  \* MERGEFORMAT </w:instrText>
      </w:r>
      <w:r w:rsidR="006813E2">
        <w:fldChar w:fldCharType="separate"/>
      </w:r>
      <w:r w:rsidR="001638A0" w:rsidRPr="00445B9C">
        <w:rPr>
          <w:rFonts w:cs="Arial"/>
          <w:szCs w:val="20"/>
        </w:rPr>
        <w:t xml:space="preserve">6. </w:t>
      </w:r>
      <w:r w:rsidR="006813E2">
        <w:fldChar w:fldCharType="end"/>
      </w:r>
      <w:r w:rsidRPr="00445B9C">
        <w:rPr>
          <w:rFonts w:cs="Arial"/>
          <w:szCs w:val="20"/>
        </w:rPr>
        <w:t>členu predloga zakona.</w:t>
      </w:r>
    </w:p>
    <w:p w:rsidR="00FE0F83" w:rsidRPr="00445B9C" w:rsidRDefault="00FE0F83" w:rsidP="00C64B3F">
      <w:pPr>
        <w:spacing w:line="276"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_Ref196733902 \r \h  \* MERGEFORMAT </w:instrText>
      </w:r>
      <w:r w:rsidR="006813E2">
        <w:fldChar w:fldCharType="separate"/>
      </w:r>
      <w:r w:rsidR="001638A0" w:rsidRPr="00445B9C">
        <w:rPr>
          <w:rFonts w:cs="Arial"/>
          <w:b/>
          <w:bCs/>
          <w:szCs w:val="20"/>
        </w:rPr>
        <w:t xml:space="preserve">9. </w:t>
      </w:r>
      <w:r w:rsidR="006813E2">
        <w:fldChar w:fldCharType="end"/>
      </w:r>
      <w:r w:rsidRPr="00445B9C">
        <w:rPr>
          <w:rFonts w:cs="Arial"/>
          <w:b/>
          <w:bCs/>
          <w:szCs w:val="20"/>
        </w:rPr>
        <w:t>členu</w:t>
      </w:r>
    </w:p>
    <w:p w:rsidR="00192D1A" w:rsidRPr="00445B9C" w:rsidRDefault="008D1381" w:rsidP="00192D1A">
      <w:pPr>
        <w:spacing w:line="276" w:lineRule="auto"/>
        <w:jc w:val="both"/>
        <w:rPr>
          <w:rFonts w:cs="Arial"/>
          <w:szCs w:val="20"/>
        </w:rPr>
      </w:pPr>
      <w:r w:rsidRPr="00445B9C">
        <w:rPr>
          <w:rFonts w:cs="Arial"/>
          <w:szCs w:val="20"/>
        </w:rPr>
        <w:t>Naslov in b</w:t>
      </w:r>
      <w:r w:rsidR="00192D1A" w:rsidRPr="00445B9C">
        <w:rPr>
          <w:rFonts w:cs="Arial"/>
          <w:szCs w:val="20"/>
        </w:rPr>
        <w:t xml:space="preserve">esedilo </w:t>
      </w:r>
      <w:r w:rsidR="00EB1EBB" w:rsidRPr="00445B9C">
        <w:rPr>
          <w:rFonts w:cs="Arial"/>
          <w:szCs w:val="20"/>
        </w:rPr>
        <w:t>60</w:t>
      </w:r>
      <w:r w:rsidR="0012468E" w:rsidRPr="00445B9C">
        <w:rPr>
          <w:rFonts w:cs="Arial"/>
          <w:szCs w:val="20"/>
        </w:rPr>
        <w:t>.</w:t>
      </w:r>
      <w:r w:rsidR="00EB1EBB" w:rsidRPr="00445B9C">
        <w:rPr>
          <w:rFonts w:cs="Arial"/>
          <w:szCs w:val="20"/>
        </w:rPr>
        <w:t xml:space="preserve"> člena ZTFI-1 </w:t>
      </w:r>
      <w:r w:rsidR="00192D1A" w:rsidRPr="00445B9C">
        <w:rPr>
          <w:rFonts w:cs="Arial"/>
          <w:szCs w:val="20"/>
        </w:rPr>
        <w:t>se usklajuje</w:t>
      </w:r>
      <w:r w:rsidR="001A77E9">
        <w:rPr>
          <w:rFonts w:cs="Arial"/>
          <w:szCs w:val="20"/>
        </w:rPr>
        <w:t>ta</w:t>
      </w:r>
      <w:r w:rsidR="00192D1A" w:rsidRPr="00445B9C">
        <w:rPr>
          <w:rFonts w:cs="Arial"/>
          <w:szCs w:val="20"/>
        </w:rPr>
        <w:t xml:space="preserve"> z ZBan-3A in </w:t>
      </w:r>
      <w:r w:rsidR="00B429D1" w:rsidRPr="00445B9C">
        <w:rPr>
          <w:rFonts w:cs="Arial"/>
          <w:szCs w:val="20"/>
        </w:rPr>
        <w:t>U</w:t>
      </w:r>
      <w:r w:rsidR="00192D1A" w:rsidRPr="00445B9C">
        <w:rPr>
          <w:rFonts w:cs="Arial"/>
          <w:szCs w:val="20"/>
        </w:rPr>
        <w:t>redbo 575/2013/EU. Glej obrazložitev k členu predloga zakona.</w:t>
      </w:r>
    </w:p>
    <w:p w:rsidR="00682509" w:rsidRPr="00445B9C" w:rsidRDefault="00682509" w:rsidP="00192D1A">
      <w:pPr>
        <w:spacing w:line="276" w:lineRule="auto"/>
        <w:jc w:val="both"/>
        <w:rPr>
          <w:rFonts w:cs="Arial"/>
          <w:szCs w:val="20"/>
        </w:rPr>
      </w:pPr>
    </w:p>
    <w:p w:rsidR="00682509" w:rsidRPr="00445B9C" w:rsidRDefault="00682509" w:rsidP="00682509">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_Ref196825139 \r \h  \* MERGEFORMAT </w:instrText>
      </w:r>
      <w:r w:rsidR="006813E2">
        <w:fldChar w:fldCharType="separate"/>
      </w:r>
      <w:r w:rsidR="001638A0" w:rsidRPr="00445B9C">
        <w:rPr>
          <w:rFonts w:cs="Arial"/>
          <w:b/>
          <w:bCs/>
          <w:szCs w:val="20"/>
        </w:rPr>
        <w:t xml:space="preserve">10. </w:t>
      </w:r>
      <w:r w:rsidR="006813E2">
        <w:fldChar w:fldCharType="end"/>
      </w:r>
      <w:r w:rsidRPr="00445B9C">
        <w:rPr>
          <w:rFonts w:cs="Arial"/>
          <w:b/>
          <w:bCs/>
          <w:szCs w:val="20"/>
        </w:rPr>
        <w:t>členu</w:t>
      </w:r>
    </w:p>
    <w:p w:rsidR="00682509" w:rsidRPr="00445B9C" w:rsidRDefault="00682509" w:rsidP="00682509">
      <w:pPr>
        <w:spacing w:line="276" w:lineRule="auto"/>
        <w:jc w:val="both"/>
        <w:rPr>
          <w:rFonts w:cs="Arial"/>
          <w:szCs w:val="20"/>
        </w:rPr>
      </w:pPr>
      <w:r w:rsidRPr="00445B9C">
        <w:rPr>
          <w:rFonts w:cs="Arial"/>
          <w:szCs w:val="20"/>
        </w:rPr>
        <w:t xml:space="preserve">Besedilo 61. člena ZTFI-1 se usklajuje z ZBan-3A in Uredbo 575/2013/EU. Glej obrazložitev k </w:t>
      </w:r>
      <w:r w:rsidR="006813E2">
        <w:fldChar w:fldCharType="begin"/>
      </w:r>
      <w:r w:rsidR="006813E2">
        <w:instrText xml:space="preserve"> REF _Ref192067056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 xml:space="preserve"> členu predloga zakona.</w:t>
      </w:r>
    </w:p>
    <w:p w:rsidR="00FE0F83" w:rsidRPr="00445B9C" w:rsidRDefault="00FE0F83" w:rsidP="00C64B3F">
      <w:pPr>
        <w:spacing w:line="276"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_Ref192067114 \r \h  \* MERGEFORMAT </w:instrText>
      </w:r>
      <w:r w:rsidR="006813E2">
        <w:fldChar w:fldCharType="separate"/>
      </w:r>
      <w:r w:rsidR="001638A0" w:rsidRPr="00445B9C">
        <w:rPr>
          <w:rFonts w:cs="Arial"/>
          <w:b/>
          <w:bCs/>
          <w:szCs w:val="20"/>
        </w:rPr>
        <w:t xml:space="preserve">11. </w:t>
      </w:r>
      <w:r w:rsidR="006813E2">
        <w:fldChar w:fldCharType="end"/>
      </w:r>
      <w:r w:rsidRPr="00445B9C">
        <w:rPr>
          <w:rFonts w:cs="Arial"/>
          <w:b/>
          <w:bCs/>
          <w:szCs w:val="20"/>
        </w:rPr>
        <w:t>členu</w:t>
      </w:r>
    </w:p>
    <w:p w:rsidR="00447128" w:rsidRPr="00445B9C" w:rsidRDefault="00FA7CEA" w:rsidP="00C64B3F">
      <w:pPr>
        <w:spacing w:line="276" w:lineRule="auto"/>
        <w:jc w:val="both"/>
        <w:rPr>
          <w:rFonts w:cs="Arial"/>
          <w:szCs w:val="20"/>
        </w:rPr>
      </w:pPr>
      <w:r w:rsidRPr="00445B9C">
        <w:rPr>
          <w:rFonts w:cs="Arial"/>
          <w:szCs w:val="20"/>
        </w:rPr>
        <w:t>4. točka prvega</w:t>
      </w:r>
      <w:r w:rsidR="00934133" w:rsidRPr="00445B9C">
        <w:rPr>
          <w:rFonts w:cs="Arial"/>
          <w:szCs w:val="20"/>
        </w:rPr>
        <w:t xml:space="preserve"> odstavk</w:t>
      </w:r>
      <w:r w:rsidRPr="00445B9C">
        <w:rPr>
          <w:rFonts w:cs="Arial"/>
          <w:szCs w:val="20"/>
        </w:rPr>
        <w:t>a</w:t>
      </w:r>
      <w:r w:rsidR="00934133" w:rsidRPr="00445B9C">
        <w:rPr>
          <w:rFonts w:cs="Arial"/>
          <w:szCs w:val="20"/>
        </w:rPr>
        <w:t xml:space="preserve"> 62. člena ZTFI-1 izvzema </w:t>
      </w:r>
      <w:r w:rsidR="00F25D3A" w:rsidRPr="00445B9C">
        <w:rPr>
          <w:rFonts w:cs="Arial"/>
          <w:szCs w:val="20"/>
        </w:rPr>
        <w:t>osebe, ki poslujejo za svoj račun</w:t>
      </w:r>
      <w:r w:rsidR="001A77E9">
        <w:rPr>
          <w:rFonts w:cs="Arial"/>
          <w:szCs w:val="20"/>
        </w:rPr>
        <w:t>,</w:t>
      </w:r>
      <w:r w:rsidR="00934133" w:rsidRPr="00445B9C">
        <w:rPr>
          <w:rFonts w:cs="Arial"/>
          <w:szCs w:val="20"/>
        </w:rPr>
        <w:t xml:space="preserve"> </w:t>
      </w:r>
      <w:r w:rsidR="00F25D3A" w:rsidRPr="00445B9C">
        <w:rPr>
          <w:rFonts w:cs="Arial"/>
          <w:szCs w:val="20"/>
        </w:rPr>
        <w:t xml:space="preserve">iz zahteve po pridobitvi dovoljenja kot investicijsko podjetje ali kreditna institucija, </w:t>
      </w:r>
      <w:r w:rsidR="00934133" w:rsidRPr="00445B9C">
        <w:rPr>
          <w:rFonts w:cs="Arial"/>
          <w:szCs w:val="20"/>
        </w:rPr>
        <w:t>razen če so te osebe člani ali udeleženci reguliranega trga</w:t>
      </w:r>
      <w:r w:rsidR="00A620D9" w:rsidRPr="00445B9C">
        <w:rPr>
          <w:rFonts w:cs="Arial"/>
          <w:szCs w:val="20"/>
        </w:rPr>
        <w:t xml:space="preserve"> (borze)</w:t>
      </w:r>
      <w:r w:rsidR="00934133" w:rsidRPr="00445B9C">
        <w:rPr>
          <w:rFonts w:cs="Arial"/>
          <w:szCs w:val="20"/>
        </w:rPr>
        <w:t xml:space="preserve"> ali MTF ali imajo neposreden elektronski dostop do mesta trgovanja. </w:t>
      </w:r>
      <w:r w:rsidR="001A77E9" w:rsidRPr="00445B9C">
        <w:rPr>
          <w:rFonts w:cs="Arial"/>
          <w:szCs w:val="20"/>
        </w:rPr>
        <w:t xml:space="preserve">ZTFI-1 </w:t>
      </w:r>
      <w:r w:rsidR="001A77E9">
        <w:rPr>
          <w:rFonts w:cs="Arial"/>
          <w:szCs w:val="20"/>
        </w:rPr>
        <w:t xml:space="preserve">v </w:t>
      </w:r>
      <w:r w:rsidR="00934133" w:rsidRPr="00445B9C">
        <w:rPr>
          <w:rFonts w:cs="Arial"/>
          <w:szCs w:val="20"/>
        </w:rPr>
        <w:t>234. in 376 člen</w:t>
      </w:r>
      <w:r w:rsidR="001A77E9">
        <w:rPr>
          <w:rFonts w:cs="Arial"/>
          <w:szCs w:val="20"/>
        </w:rPr>
        <w:t>u</w:t>
      </w:r>
      <w:r w:rsidR="00934133" w:rsidRPr="00445B9C">
        <w:rPr>
          <w:rFonts w:cs="Arial"/>
          <w:szCs w:val="20"/>
        </w:rPr>
        <w:t xml:space="preserve"> </w:t>
      </w:r>
      <w:r w:rsidR="00F25D3A" w:rsidRPr="00445B9C">
        <w:rPr>
          <w:rFonts w:cs="Arial"/>
          <w:szCs w:val="20"/>
        </w:rPr>
        <w:t>v zvezi z neposrednim elektronskim dostopom do mesta trgovanja zahteva, da so ponudniki neposrednega elektronskega dostopa investicijska podjetja ali kreditne institucije z dovoljenjem.</w:t>
      </w:r>
      <w:r w:rsidR="00934133" w:rsidRPr="00445B9C">
        <w:rPr>
          <w:rFonts w:cs="Arial"/>
          <w:szCs w:val="20"/>
        </w:rPr>
        <w:t xml:space="preserve"> </w:t>
      </w:r>
      <w:r w:rsidR="00F25D3A" w:rsidRPr="00445B9C">
        <w:rPr>
          <w:rFonts w:cs="Arial"/>
          <w:szCs w:val="20"/>
        </w:rPr>
        <w:t xml:space="preserve">Investicijska podjetja ali kreditne institucije, ki zagotavljajo neposreden elektronski dostop, </w:t>
      </w:r>
      <w:r w:rsidR="001A77E9">
        <w:rPr>
          <w:rFonts w:cs="Arial"/>
          <w:szCs w:val="20"/>
        </w:rPr>
        <w:t>morajo</w:t>
      </w:r>
      <w:r w:rsidR="00F25D3A" w:rsidRPr="00445B9C">
        <w:rPr>
          <w:rFonts w:cs="Arial"/>
          <w:szCs w:val="20"/>
        </w:rPr>
        <w:t xml:space="preserve"> zagot</w:t>
      </w:r>
      <w:r w:rsidR="001A77E9">
        <w:rPr>
          <w:rFonts w:cs="Arial"/>
          <w:szCs w:val="20"/>
        </w:rPr>
        <w:t>o</w:t>
      </w:r>
      <w:r w:rsidR="00F25D3A" w:rsidRPr="00445B9C">
        <w:rPr>
          <w:rFonts w:cs="Arial"/>
          <w:szCs w:val="20"/>
        </w:rPr>
        <w:t>v</w:t>
      </w:r>
      <w:r w:rsidR="001A77E9">
        <w:rPr>
          <w:rFonts w:cs="Arial"/>
          <w:szCs w:val="20"/>
        </w:rPr>
        <w:t>iti</w:t>
      </w:r>
      <w:r w:rsidR="00F25D3A" w:rsidRPr="00445B9C">
        <w:rPr>
          <w:rFonts w:cs="Arial"/>
          <w:szCs w:val="20"/>
        </w:rPr>
        <w:t>, da njihove stranke izpolnjujejo zahteve</w:t>
      </w:r>
      <w:r w:rsidR="00934133" w:rsidRPr="00445B9C">
        <w:rPr>
          <w:rFonts w:cs="Arial"/>
          <w:szCs w:val="20"/>
        </w:rPr>
        <w:t xml:space="preserve"> iz</w:t>
      </w:r>
      <w:r w:rsidR="00F25D3A" w:rsidRPr="00445B9C">
        <w:rPr>
          <w:rFonts w:cs="Arial"/>
          <w:szCs w:val="20"/>
        </w:rPr>
        <w:t xml:space="preserve"> </w:t>
      </w:r>
      <w:r w:rsidR="00A218B8" w:rsidRPr="00445B9C">
        <w:rPr>
          <w:rFonts w:cs="Arial"/>
          <w:szCs w:val="20"/>
        </w:rPr>
        <w:t>234. in 376 člena ZTFI-1</w:t>
      </w:r>
      <w:r w:rsidR="00F25D3A" w:rsidRPr="00445B9C">
        <w:rPr>
          <w:rFonts w:cs="Arial"/>
          <w:szCs w:val="20"/>
        </w:rPr>
        <w:t>. Ta nadzorna funkcija je učinkovita</w:t>
      </w:r>
      <w:r w:rsidR="001A77E9">
        <w:rPr>
          <w:rFonts w:cs="Arial"/>
          <w:szCs w:val="20"/>
        </w:rPr>
        <w:t>, zato</w:t>
      </w:r>
      <w:r w:rsidR="00F25D3A" w:rsidRPr="00445B9C">
        <w:rPr>
          <w:rFonts w:cs="Arial"/>
          <w:szCs w:val="20"/>
        </w:rPr>
        <w:t xml:space="preserve"> ni potrebno, da se za stranke ponudnika neposrednega elektronskega dostopa, vključno z osebami, ki poslujejo za svoj račun</w:t>
      </w:r>
      <w:r w:rsidR="001A77E9">
        <w:rPr>
          <w:rFonts w:cs="Arial"/>
          <w:szCs w:val="20"/>
        </w:rPr>
        <w:t>,</w:t>
      </w:r>
      <w:r w:rsidR="000F485F" w:rsidRPr="00445B9C">
        <w:rPr>
          <w:rFonts w:cs="Arial"/>
          <w:szCs w:val="20"/>
        </w:rPr>
        <w:t xml:space="preserve"> v tem delu</w:t>
      </w:r>
      <w:r w:rsidR="00F25D3A" w:rsidRPr="00445B9C">
        <w:rPr>
          <w:rFonts w:cs="Arial"/>
          <w:szCs w:val="20"/>
        </w:rPr>
        <w:t xml:space="preserve"> uporablja</w:t>
      </w:r>
      <w:r w:rsidR="001A77E9">
        <w:rPr>
          <w:rFonts w:cs="Arial"/>
          <w:szCs w:val="20"/>
        </w:rPr>
        <w:t>ta</w:t>
      </w:r>
      <w:r w:rsidR="00F25D3A" w:rsidRPr="00445B9C">
        <w:rPr>
          <w:rFonts w:cs="Arial"/>
          <w:szCs w:val="20"/>
        </w:rPr>
        <w:t xml:space="preserve"> </w:t>
      </w:r>
      <w:r w:rsidR="00934133" w:rsidRPr="00445B9C">
        <w:rPr>
          <w:rFonts w:cs="Arial"/>
          <w:szCs w:val="20"/>
        </w:rPr>
        <w:t xml:space="preserve">ZTFI-1 </w:t>
      </w:r>
      <w:r w:rsidR="001A77E9">
        <w:rPr>
          <w:rFonts w:cs="Arial"/>
          <w:szCs w:val="20"/>
        </w:rPr>
        <w:t>in</w:t>
      </w:r>
      <w:r w:rsidR="001A77E9" w:rsidRPr="00445B9C">
        <w:rPr>
          <w:rFonts w:cs="Arial"/>
          <w:szCs w:val="20"/>
        </w:rPr>
        <w:t xml:space="preserve"> </w:t>
      </w:r>
      <w:r w:rsidR="00F25D3A" w:rsidRPr="00445B9C">
        <w:rPr>
          <w:rFonts w:cs="Arial"/>
          <w:szCs w:val="20"/>
        </w:rPr>
        <w:t xml:space="preserve">Direktiva 2014/65/EU. Poleg tega bi odprava te zahteve prispevala k enakim konkurenčnim pogojem za osebe s sedežem v </w:t>
      </w:r>
      <w:r w:rsidR="00934133" w:rsidRPr="00445B9C">
        <w:rPr>
          <w:rFonts w:cs="Arial"/>
          <w:szCs w:val="20"/>
        </w:rPr>
        <w:t>EU</w:t>
      </w:r>
      <w:r w:rsidR="00F25D3A" w:rsidRPr="00445B9C">
        <w:rPr>
          <w:rFonts w:cs="Arial"/>
          <w:szCs w:val="20"/>
        </w:rPr>
        <w:t xml:space="preserve"> na eni strani in </w:t>
      </w:r>
      <w:r w:rsidR="00934133" w:rsidRPr="00445B9C">
        <w:rPr>
          <w:rFonts w:cs="Arial"/>
          <w:szCs w:val="20"/>
        </w:rPr>
        <w:t xml:space="preserve">na drugi strani </w:t>
      </w:r>
      <w:r w:rsidR="00F25D3A" w:rsidRPr="00445B9C">
        <w:rPr>
          <w:rFonts w:cs="Arial"/>
          <w:szCs w:val="20"/>
        </w:rPr>
        <w:t xml:space="preserve">za osebe s sedežem v tretji državi, ki dostopajo do mest trgovanja v </w:t>
      </w:r>
      <w:r w:rsidR="00934133" w:rsidRPr="00445B9C">
        <w:rPr>
          <w:rFonts w:cs="Arial"/>
          <w:szCs w:val="20"/>
        </w:rPr>
        <w:t>EU</w:t>
      </w:r>
      <w:r w:rsidR="00F25D3A" w:rsidRPr="00445B9C">
        <w:rPr>
          <w:rFonts w:cs="Arial"/>
          <w:szCs w:val="20"/>
        </w:rPr>
        <w:t xml:space="preserve"> </w:t>
      </w:r>
      <w:r w:rsidR="001A77E9">
        <w:rPr>
          <w:rFonts w:cs="Arial"/>
          <w:szCs w:val="20"/>
        </w:rPr>
        <w:t>po</w:t>
      </w:r>
      <w:r w:rsidR="001A77E9" w:rsidRPr="00445B9C">
        <w:rPr>
          <w:rFonts w:cs="Arial"/>
          <w:szCs w:val="20"/>
        </w:rPr>
        <w:t xml:space="preserve"> </w:t>
      </w:r>
      <w:r w:rsidR="00F25D3A" w:rsidRPr="00445B9C">
        <w:rPr>
          <w:rFonts w:cs="Arial"/>
          <w:szCs w:val="20"/>
        </w:rPr>
        <w:t>neposredne</w:t>
      </w:r>
      <w:r w:rsidR="001A77E9">
        <w:rPr>
          <w:rFonts w:cs="Arial"/>
          <w:szCs w:val="20"/>
        </w:rPr>
        <w:t>m</w:t>
      </w:r>
      <w:r w:rsidR="00F25D3A" w:rsidRPr="00445B9C">
        <w:rPr>
          <w:rFonts w:cs="Arial"/>
          <w:szCs w:val="20"/>
        </w:rPr>
        <w:t xml:space="preserve"> elektronske</w:t>
      </w:r>
      <w:r w:rsidR="001A77E9">
        <w:rPr>
          <w:rFonts w:cs="Arial"/>
          <w:szCs w:val="20"/>
        </w:rPr>
        <w:t>m</w:t>
      </w:r>
      <w:r w:rsidR="00F25D3A" w:rsidRPr="00445B9C">
        <w:rPr>
          <w:rFonts w:cs="Arial"/>
          <w:szCs w:val="20"/>
        </w:rPr>
        <w:t xml:space="preserve"> dostop</w:t>
      </w:r>
      <w:r w:rsidR="001A77E9">
        <w:rPr>
          <w:rFonts w:cs="Arial"/>
          <w:szCs w:val="20"/>
        </w:rPr>
        <w:t>u</w:t>
      </w:r>
      <w:r w:rsidR="00F25D3A" w:rsidRPr="00445B9C">
        <w:rPr>
          <w:rFonts w:cs="Arial"/>
          <w:szCs w:val="20"/>
        </w:rPr>
        <w:t xml:space="preserve">, za katere </w:t>
      </w:r>
      <w:r w:rsidR="00934133" w:rsidRPr="00445B9C">
        <w:rPr>
          <w:rFonts w:cs="Arial"/>
          <w:szCs w:val="20"/>
        </w:rPr>
        <w:t xml:space="preserve">ZTFI-1 oziroma </w:t>
      </w:r>
      <w:r w:rsidR="00F25D3A" w:rsidRPr="00445B9C">
        <w:rPr>
          <w:rFonts w:cs="Arial"/>
          <w:szCs w:val="20"/>
        </w:rPr>
        <w:t>Direktiva 2014/65/EU ne zahteva dovoljenja.</w:t>
      </w:r>
      <w:r w:rsidRPr="00445B9C">
        <w:rPr>
          <w:rFonts w:cs="Arial"/>
          <w:szCs w:val="20"/>
        </w:rPr>
        <w:t xml:space="preserve"> </w:t>
      </w:r>
      <w:r w:rsidR="002D4FAB" w:rsidRPr="00445B9C">
        <w:rPr>
          <w:rFonts w:cs="Arial"/>
          <w:szCs w:val="20"/>
        </w:rPr>
        <w:t>S predlagano spremembo se prenaša drugi odstavek 1. člena Direktive 2024/790/EU.</w:t>
      </w:r>
    </w:p>
    <w:p w:rsidR="00447128" w:rsidRPr="00445B9C" w:rsidRDefault="00447128" w:rsidP="00C64B3F">
      <w:pPr>
        <w:spacing w:line="276" w:lineRule="auto"/>
        <w:jc w:val="both"/>
        <w:rPr>
          <w:rFonts w:cs="Arial"/>
          <w:szCs w:val="20"/>
        </w:rPr>
      </w:pPr>
      <w:r w:rsidRPr="00445B9C">
        <w:rPr>
          <w:rFonts w:cs="Arial"/>
          <w:szCs w:val="20"/>
        </w:rPr>
        <w:t xml:space="preserve">V 10. točki prvega odstavka se popravlja sklic na uredbi, ki </w:t>
      </w:r>
      <w:r w:rsidR="001A77E9">
        <w:rPr>
          <w:rFonts w:cs="Arial"/>
          <w:szCs w:val="20"/>
        </w:rPr>
        <w:t>sta</w:t>
      </w:r>
      <w:r w:rsidR="001A77E9" w:rsidRPr="00445B9C">
        <w:rPr>
          <w:rFonts w:cs="Arial"/>
          <w:szCs w:val="20"/>
        </w:rPr>
        <w:t xml:space="preserve"> </w:t>
      </w:r>
      <w:r w:rsidRPr="00445B9C">
        <w:rPr>
          <w:rFonts w:cs="Arial"/>
          <w:szCs w:val="20"/>
        </w:rPr>
        <w:t xml:space="preserve">bili razveljavljeni z novima uredbama. </w:t>
      </w:r>
    </w:p>
    <w:p w:rsidR="00FA7CEA" w:rsidRPr="00445B9C" w:rsidRDefault="00FA7CEA" w:rsidP="00FA7CEA">
      <w:pPr>
        <w:spacing w:line="276" w:lineRule="auto"/>
        <w:jc w:val="both"/>
        <w:rPr>
          <w:rFonts w:cs="Arial"/>
          <w:szCs w:val="20"/>
        </w:rPr>
      </w:pPr>
    </w:p>
    <w:p w:rsidR="00E610BA" w:rsidRPr="00445B9C" w:rsidRDefault="00E610BA" w:rsidP="00C64B3F">
      <w:pPr>
        <w:spacing w:line="276" w:lineRule="auto"/>
        <w:jc w:val="both"/>
        <w:rPr>
          <w:rFonts w:cs="Arial"/>
          <w:szCs w:val="20"/>
        </w:rPr>
      </w:pPr>
    </w:p>
    <w:p w:rsidR="00FD1CE8" w:rsidRPr="00445B9C" w:rsidRDefault="00FE0F83" w:rsidP="00D96A7D">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_Ref192067208 \r \h  \* MERGEFORMAT </w:instrText>
      </w:r>
      <w:r w:rsidR="006813E2">
        <w:fldChar w:fldCharType="separate"/>
      </w:r>
      <w:r w:rsidR="001638A0" w:rsidRPr="00445B9C">
        <w:rPr>
          <w:rFonts w:cs="Arial"/>
          <w:b/>
          <w:bCs/>
          <w:szCs w:val="20"/>
        </w:rPr>
        <w:t xml:space="preserve">12. </w:t>
      </w:r>
      <w:r w:rsidR="006813E2">
        <w:fldChar w:fldCharType="end"/>
      </w:r>
      <w:r w:rsidRPr="00445B9C">
        <w:rPr>
          <w:rFonts w:cs="Arial"/>
          <w:b/>
          <w:bCs/>
          <w:szCs w:val="20"/>
        </w:rPr>
        <w:t>členu</w:t>
      </w:r>
    </w:p>
    <w:p w:rsidR="004F2B7E" w:rsidRPr="00445B9C" w:rsidRDefault="004F2B7E" w:rsidP="004F2B7E">
      <w:pPr>
        <w:spacing w:line="276" w:lineRule="auto"/>
        <w:jc w:val="both"/>
        <w:rPr>
          <w:rFonts w:cs="Arial"/>
          <w:szCs w:val="20"/>
        </w:rPr>
      </w:pPr>
      <w:r w:rsidRPr="00445B9C">
        <w:rPr>
          <w:rFonts w:cs="Arial"/>
          <w:szCs w:val="20"/>
        </w:rPr>
        <w:t>Zaradi prenosa Direktive 2022/2464/EU je treb</w:t>
      </w:r>
      <w:r w:rsidR="001A77E9">
        <w:rPr>
          <w:rFonts w:cs="Arial"/>
          <w:szCs w:val="20"/>
        </w:rPr>
        <w:t>a</w:t>
      </w:r>
      <w:r w:rsidRPr="00445B9C">
        <w:rPr>
          <w:rFonts w:cs="Arial"/>
          <w:szCs w:val="20"/>
        </w:rPr>
        <w:t xml:space="preserve"> spremeniti </w:t>
      </w:r>
      <w:r w:rsidR="001A77E9">
        <w:rPr>
          <w:rFonts w:cs="Arial"/>
          <w:szCs w:val="20"/>
        </w:rPr>
        <w:t>prvi</w:t>
      </w:r>
      <w:r w:rsidRPr="00445B9C">
        <w:rPr>
          <w:rFonts w:cs="Arial"/>
          <w:szCs w:val="20"/>
        </w:rPr>
        <w:t xml:space="preserve"> in </w:t>
      </w:r>
      <w:r w:rsidR="001A77E9">
        <w:rPr>
          <w:rFonts w:cs="Arial"/>
          <w:szCs w:val="20"/>
        </w:rPr>
        <w:t>drugi</w:t>
      </w:r>
      <w:r w:rsidRPr="00445B9C">
        <w:rPr>
          <w:rFonts w:cs="Arial"/>
          <w:szCs w:val="20"/>
        </w:rPr>
        <w:t xml:space="preserve"> odstavek 133. člena ZTFI-1.</w:t>
      </w:r>
      <w:r w:rsidR="001A77E9">
        <w:rPr>
          <w:rFonts w:cs="Arial"/>
          <w:szCs w:val="20"/>
        </w:rPr>
        <w:t xml:space="preserve"> </w:t>
      </w:r>
    </w:p>
    <w:p w:rsidR="004F2B7E" w:rsidRPr="00445B9C" w:rsidRDefault="004F2B7E" w:rsidP="00AF08C8">
      <w:pPr>
        <w:spacing w:line="276" w:lineRule="auto"/>
        <w:jc w:val="both"/>
        <w:rPr>
          <w:rFonts w:cs="Arial"/>
          <w:szCs w:val="20"/>
        </w:rPr>
      </w:pPr>
      <w:r w:rsidRPr="00445B9C">
        <w:rPr>
          <w:rFonts w:cs="Arial"/>
          <w:szCs w:val="20"/>
        </w:rPr>
        <w:t xml:space="preserve"> </w:t>
      </w:r>
    </w:p>
    <w:p w:rsidR="004F2B7E" w:rsidRPr="00445B9C" w:rsidRDefault="004F2B7E" w:rsidP="004F2B7E">
      <w:pPr>
        <w:spacing w:line="276" w:lineRule="auto"/>
        <w:jc w:val="both"/>
        <w:rPr>
          <w:rFonts w:cs="Arial"/>
          <w:szCs w:val="20"/>
        </w:rPr>
      </w:pPr>
      <w:r w:rsidRPr="00445B9C">
        <w:rPr>
          <w:rFonts w:cs="Arial"/>
          <w:szCs w:val="20"/>
        </w:rPr>
        <w:t>V prvem odstavku 133. člena ZTFI-1, ki obravnava uporabo določb glede letnega poročila javne družbe, ki ima sedež v R</w:t>
      </w:r>
      <w:r w:rsidR="001A77E9">
        <w:rPr>
          <w:rFonts w:cs="Arial"/>
          <w:szCs w:val="20"/>
        </w:rPr>
        <w:t xml:space="preserve">epubliki </w:t>
      </w:r>
      <w:r w:rsidRPr="00445B9C">
        <w:rPr>
          <w:rFonts w:cs="Arial"/>
          <w:szCs w:val="20"/>
        </w:rPr>
        <w:t>S</w:t>
      </w:r>
      <w:r w:rsidR="001A77E9">
        <w:rPr>
          <w:rFonts w:cs="Arial"/>
          <w:szCs w:val="20"/>
        </w:rPr>
        <w:t>loveniji</w:t>
      </w:r>
      <w:r w:rsidRPr="00445B9C">
        <w:rPr>
          <w:rFonts w:cs="Arial"/>
          <w:szCs w:val="20"/>
        </w:rPr>
        <w:t>, je treb</w:t>
      </w:r>
      <w:r w:rsidR="001A77E9">
        <w:rPr>
          <w:rFonts w:cs="Arial"/>
          <w:szCs w:val="20"/>
        </w:rPr>
        <w:t>a</w:t>
      </w:r>
      <w:r w:rsidRPr="00445B9C">
        <w:rPr>
          <w:rFonts w:cs="Arial"/>
          <w:szCs w:val="20"/>
        </w:rPr>
        <w:t xml:space="preserve"> </w:t>
      </w:r>
      <w:r w:rsidR="001A77E9" w:rsidRPr="00445B9C">
        <w:rPr>
          <w:rFonts w:cs="Arial"/>
          <w:szCs w:val="20"/>
        </w:rPr>
        <w:t xml:space="preserve">spremeniti </w:t>
      </w:r>
      <w:r w:rsidR="00B520EC" w:rsidRPr="00445B9C">
        <w:rPr>
          <w:rFonts w:cs="Arial"/>
          <w:szCs w:val="20"/>
        </w:rPr>
        <w:t>drugi stavek tega odstavka</w:t>
      </w:r>
      <w:r w:rsidRPr="00445B9C">
        <w:rPr>
          <w:rFonts w:cs="Arial"/>
          <w:szCs w:val="20"/>
        </w:rPr>
        <w:t>.</w:t>
      </w:r>
      <w:r w:rsidR="00B520EC" w:rsidRPr="00445B9C">
        <w:rPr>
          <w:rFonts w:cs="Arial"/>
          <w:szCs w:val="20"/>
        </w:rPr>
        <w:t xml:space="preserve"> Ob upoštevanju dejstva, da se je z </w:t>
      </w:r>
      <w:r w:rsidR="001A77E9">
        <w:rPr>
          <w:rFonts w:cs="Arial"/>
          <w:szCs w:val="20"/>
        </w:rPr>
        <w:t>najnovejšo</w:t>
      </w:r>
      <w:r w:rsidR="001A77E9" w:rsidRPr="00445B9C">
        <w:rPr>
          <w:rFonts w:cs="Arial"/>
          <w:szCs w:val="20"/>
        </w:rPr>
        <w:t xml:space="preserve"> </w:t>
      </w:r>
      <w:r w:rsidR="001A77E9">
        <w:rPr>
          <w:rFonts w:cs="Arial"/>
          <w:szCs w:val="20"/>
        </w:rPr>
        <w:t>spremembo</w:t>
      </w:r>
      <w:r w:rsidR="001A77E9" w:rsidRPr="00445B9C">
        <w:rPr>
          <w:rFonts w:cs="Arial"/>
          <w:szCs w:val="20"/>
        </w:rPr>
        <w:t xml:space="preserve"> </w:t>
      </w:r>
      <w:r w:rsidR="00B520EC" w:rsidRPr="00445B9C">
        <w:rPr>
          <w:rFonts w:cs="Arial"/>
          <w:szCs w:val="20"/>
        </w:rPr>
        <w:t xml:space="preserve">ZGD-1 (ZGD-1M) pri poročilu o </w:t>
      </w:r>
      <w:proofErr w:type="spellStart"/>
      <w:r w:rsidR="00B520EC" w:rsidRPr="00445B9C">
        <w:rPr>
          <w:rFonts w:cs="Arial"/>
          <w:szCs w:val="20"/>
        </w:rPr>
        <w:t>trajnostnosti</w:t>
      </w:r>
      <w:proofErr w:type="spellEnd"/>
      <w:r w:rsidR="00B520EC" w:rsidRPr="00445B9C">
        <w:rPr>
          <w:rFonts w:cs="Arial"/>
          <w:szCs w:val="20"/>
        </w:rPr>
        <w:t xml:space="preserve"> (prvi odstavek 70.c člena in drugi odstavek 70.č člena ZGD-1) vključila tudi navezava na 8. člen Uredbe 2020/852/EU</w:t>
      </w:r>
      <w:r w:rsidR="001A77E9">
        <w:rPr>
          <w:rFonts w:cs="Arial"/>
          <w:szCs w:val="20"/>
        </w:rPr>
        <w:t>,</w:t>
      </w:r>
      <w:r w:rsidR="00B520EC" w:rsidRPr="00445B9C">
        <w:rPr>
          <w:rFonts w:cs="Arial"/>
          <w:szCs w:val="20"/>
        </w:rPr>
        <w:t xml:space="preserve"> črtano besedilo ni več potrebno.</w:t>
      </w:r>
    </w:p>
    <w:p w:rsidR="004F2B7E" w:rsidRPr="00445B9C" w:rsidRDefault="004F2B7E" w:rsidP="00AF08C8">
      <w:pPr>
        <w:spacing w:line="276" w:lineRule="auto"/>
        <w:jc w:val="both"/>
        <w:rPr>
          <w:rFonts w:cs="Arial"/>
          <w:szCs w:val="20"/>
        </w:rPr>
      </w:pPr>
    </w:p>
    <w:p w:rsidR="004F2B7E" w:rsidRPr="00445B9C" w:rsidRDefault="004F2B7E" w:rsidP="004F2B7E">
      <w:pPr>
        <w:spacing w:line="276" w:lineRule="auto"/>
        <w:jc w:val="both"/>
        <w:rPr>
          <w:rFonts w:cs="Arial"/>
          <w:szCs w:val="20"/>
        </w:rPr>
      </w:pPr>
      <w:r w:rsidRPr="00445B9C">
        <w:rPr>
          <w:rFonts w:cs="Arial"/>
          <w:szCs w:val="20"/>
        </w:rPr>
        <w:lastRenderedPageBreak/>
        <w:t>V drugem odstavku 133. člena ZTFI-1, ki obravnava letno in konsolidirano letno poročilo ter revizorjevo poročilo, ko ima javna družba sedež v drugi državi članici ali v tretji državi, je treb</w:t>
      </w:r>
      <w:r w:rsidR="001334BB">
        <w:rPr>
          <w:rFonts w:cs="Arial"/>
          <w:szCs w:val="20"/>
        </w:rPr>
        <w:t>a</w:t>
      </w:r>
      <w:r w:rsidRPr="00445B9C">
        <w:rPr>
          <w:rFonts w:cs="Arial"/>
          <w:szCs w:val="20"/>
        </w:rPr>
        <w:t xml:space="preserve"> upoštevati določbe 2. člena Direktive 2022/2464/EU glede sprememb v zvezi z letnimi računovodskimi poročili iz četrtega in petega odstavka 4. člena Direktive 2004/109/E</w:t>
      </w:r>
      <w:r w:rsidR="00FF4F34" w:rsidRPr="00445B9C">
        <w:rPr>
          <w:rFonts w:cs="Arial"/>
          <w:szCs w:val="20"/>
        </w:rPr>
        <w:t>S</w:t>
      </w:r>
      <w:r w:rsidRPr="00445B9C">
        <w:rPr>
          <w:rFonts w:cs="Arial"/>
          <w:szCs w:val="20"/>
        </w:rPr>
        <w:t>. Ob upoštevanju 4. pododstavka četrtega odstavka 4. člena Direktive 2004/109/E</w:t>
      </w:r>
      <w:r w:rsidR="00FF4F34" w:rsidRPr="00445B9C">
        <w:rPr>
          <w:rFonts w:cs="Arial"/>
          <w:szCs w:val="20"/>
        </w:rPr>
        <w:t>S</w:t>
      </w:r>
      <w:r w:rsidRPr="00445B9C">
        <w:rPr>
          <w:rFonts w:cs="Arial"/>
          <w:szCs w:val="20"/>
        </w:rPr>
        <w:t xml:space="preserve"> je treb</w:t>
      </w:r>
      <w:r w:rsidR="001334BB">
        <w:rPr>
          <w:rFonts w:cs="Arial"/>
          <w:szCs w:val="20"/>
        </w:rPr>
        <w:t>a</w:t>
      </w:r>
      <w:r w:rsidRPr="00445B9C">
        <w:rPr>
          <w:rFonts w:cs="Arial"/>
          <w:szCs w:val="20"/>
        </w:rPr>
        <w:t xml:space="preserve"> dopolniti 3. točko drugega odstavka 133. člena tako, da revizijsko poročilo po potrebi vključuje tudi mnenje o zanesljivosti poročanja o trajnostnosti, ki mora biti pripravljeno </w:t>
      </w:r>
      <w:r w:rsidR="001334BB">
        <w:rPr>
          <w:rFonts w:cs="Arial"/>
          <w:szCs w:val="20"/>
        </w:rPr>
        <w:t xml:space="preserve">v </w:t>
      </w:r>
      <w:r w:rsidRPr="00445B9C">
        <w:rPr>
          <w:rFonts w:cs="Arial"/>
          <w:szCs w:val="20"/>
        </w:rPr>
        <w:t>sklad</w:t>
      </w:r>
      <w:r w:rsidR="001334BB">
        <w:rPr>
          <w:rFonts w:cs="Arial"/>
          <w:szCs w:val="20"/>
        </w:rPr>
        <w:t>u</w:t>
      </w:r>
      <w:r w:rsidRPr="00445B9C">
        <w:rPr>
          <w:rFonts w:cs="Arial"/>
          <w:szCs w:val="20"/>
        </w:rPr>
        <w:t xml:space="preserve"> s 34. členom Direktive 2013/34/EU. Hkrati je treb</w:t>
      </w:r>
      <w:r w:rsidR="001334BB">
        <w:rPr>
          <w:rFonts w:cs="Arial"/>
          <w:szCs w:val="20"/>
        </w:rPr>
        <w:t>a</w:t>
      </w:r>
      <w:r w:rsidRPr="00445B9C">
        <w:rPr>
          <w:rFonts w:cs="Arial"/>
          <w:szCs w:val="20"/>
        </w:rPr>
        <w:t xml:space="preserve"> prilagoditi tudi 4. točko drugega odstavka 133. člena ZTFI-1, tako da bodo upoštevana vsa določila glede poslovnega poročila iz </w:t>
      </w:r>
      <w:r w:rsidR="001334BB">
        <w:rPr>
          <w:rFonts w:cs="Arial"/>
          <w:szCs w:val="20"/>
        </w:rPr>
        <w:t>drugega</w:t>
      </w:r>
      <w:r w:rsidRPr="00445B9C">
        <w:rPr>
          <w:rFonts w:cs="Arial"/>
          <w:szCs w:val="20"/>
        </w:rPr>
        <w:t xml:space="preserve"> pododstavka petega odstavka 4. člena Direktive 2004/109/E</w:t>
      </w:r>
      <w:r w:rsidR="00FF4F34" w:rsidRPr="00445B9C">
        <w:rPr>
          <w:rFonts w:cs="Arial"/>
          <w:szCs w:val="20"/>
        </w:rPr>
        <w:t>S</w:t>
      </w:r>
      <w:r w:rsidRPr="00445B9C">
        <w:rPr>
          <w:rFonts w:cs="Arial"/>
          <w:szCs w:val="20"/>
        </w:rPr>
        <w:t>. V novem drugem odstavku 133. člena ZTFI-1 je s tem še dodatno opredeljena vsebina glede uporabe zadevnih predpisov v primeru, ko gre za trajnostno poročanje javnih družb, ki imajo sedež v drugi državi članici ali v tretji državi.</w:t>
      </w:r>
    </w:p>
    <w:p w:rsidR="004F2B7E" w:rsidRPr="00445B9C" w:rsidRDefault="004F2B7E" w:rsidP="00AF08C8">
      <w:pPr>
        <w:spacing w:line="276" w:lineRule="auto"/>
        <w:jc w:val="both"/>
        <w:rPr>
          <w:rFonts w:cs="Arial"/>
          <w:szCs w:val="20"/>
        </w:rPr>
      </w:pPr>
      <w:r w:rsidRPr="00445B9C">
        <w:rPr>
          <w:rFonts w:cs="Arial"/>
          <w:szCs w:val="20"/>
        </w:rPr>
        <w:t xml:space="preserve"> </w:t>
      </w:r>
    </w:p>
    <w:p w:rsidR="00FE0F83" w:rsidRPr="00445B9C" w:rsidRDefault="004F2B7E" w:rsidP="00C64B3F">
      <w:pPr>
        <w:spacing w:line="240" w:lineRule="auto"/>
        <w:jc w:val="both"/>
        <w:rPr>
          <w:rFonts w:cs="Arial"/>
          <w:szCs w:val="20"/>
        </w:rPr>
      </w:pPr>
      <w:r w:rsidRPr="00445B9C">
        <w:rPr>
          <w:rFonts w:cs="Arial"/>
          <w:szCs w:val="20"/>
        </w:rPr>
        <w:t>Tretji odstavek 133. člena ZTFI-1 ostaja nespremenjen.</w:t>
      </w:r>
    </w:p>
    <w:p w:rsidR="00AF08C8" w:rsidRPr="00445B9C" w:rsidRDefault="00AF08C8"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w:instrText>
      </w:r>
      <w:r w:rsidR="006813E2">
        <w:instrText xml:space="preserve">_Ref192067217 \r \h  \* MERGEFORMAT </w:instrText>
      </w:r>
      <w:r w:rsidR="006813E2">
        <w:fldChar w:fldCharType="separate"/>
      </w:r>
      <w:r w:rsidR="001638A0" w:rsidRPr="00445B9C">
        <w:rPr>
          <w:rFonts w:cs="Arial"/>
          <w:b/>
          <w:bCs/>
          <w:szCs w:val="20"/>
        </w:rPr>
        <w:t xml:space="preserve">13. </w:t>
      </w:r>
      <w:r w:rsidR="006813E2">
        <w:fldChar w:fldCharType="end"/>
      </w:r>
      <w:r w:rsidRPr="00445B9C">
        <w:rPr>
          <w:rFonts w:cs="Arial"/>
          <w:b/>
          <w:bCs/>
          <w:szCs w:val="20"/>
        </w:rPr>
        <w:t>členu</w:t>
      </w:r>
    </w:p>
    <w:p w:rsidR="00214101" w:rsidRPr="00445B9C" w:rsidRDefault="001A27F7" w:rsidP="001A27F7">
      <w:pPr>
        <w:spacing w:line="276" w:lineRule="auto"/>
        <w:jc w:val="both"/>
        <w:rPr>
          <w:rFonts w:cs="Arial"/>
          <w:szCs w:val="20"/>
        </w:rPr>
      </w:pPr>
      <w:r w:rsidRPr="00445B9C">
        <w:rPr>
          <w:rFonts w:cs="Arial"/>
          <w:szCs w:val="20"/>
        </w:rPr>
        <w:t>Z ZTFI-1C se je v ZTFI-1 prenesla Direktiva 2022/2464/EU. Točka (a) drugega odstavka 2. člena Direktive 2022/2464/EU</w:t>
      </w:r>
      <w:r w:rsidR="00214101" w:rsidRPr="00445B9C">
        <w:rPr>
          <w:rFonts w:cs="Arial"/>
          <w:szCs w:val="20"/>
        </w:rPr>
        <w:t>, ki ni bila prenesena z ZTFI-1C</w:t>
      </w:r>
      <w:r w:rsidR="00D23100" w:rsidRPr="00445B9C">
        <w:rPr>
          <w:rFonts w:cs="Arial"/>
          <w:szCs w:val="20"/>
        </w:rPr>
        <w:t xml:space="preserve"> in</w:t>
      </w:r>
      <w:r w:rsidRPr="00445B9C">
        <w:rPr>
          <w:rFonts w:cs="Arial"/>
          <w:szCs w:val="20"/>
        </w:rPr>
        <w:t xml:space="preserve"> posega v točko (c) drugega odstavka 4. člen</w:t>
      </w:r>
      <w:r w:rsidR="005B2A34">
        <w:rPr>
          <w:rFonts w:cs="Arial"/>
          <w:szCs w:val="20"/>
        </w:rPr>
        <w:t>a</w:t>
      </w:r>
      <w:r w:rsidRPr="00445B9C">
        <w:rPr>
          <w:rFonts w:cs="Arial"/>
          <w:szCs w:val="20"/>
        </w:rPr>
        <w:t xml:space="preserve"> Direktive 2004/109/</w:t>
      </w:r>
      <w:r w:rsidR="00FF4F34" w:rsidRPr="00445B9C">
        <w:rPr>
          <w:rFonts w:cs="Arial"/>
          <w:szCs w:val="20"/>
        </w:rPr>
        <w:t>ES</w:t>
      </w:r>
      <w:r w:rsidR="005B2A34">
        <w:rPr>
          <w:rFonts w:cs="Arial"/>
          <w:szCs w:val="20"/>
        </w:rPr>
        <w:t>,</w:t>
      </w:r>
      <w:r w:rsidR="00FF4F34" w:rsidRPr="00445B9C">
        <w:rPr>
          <w:rFonts w:cs="Arial"/>
          <w:szCs w:val="20"/>
        </w:rPr>
        <w:t xml:space="preserve"> </w:t>
      </w:r>
      <w:r w:rsidRPr="00445B9C">
        <w:rPr>
          <w:rFonts w:cs="Arial"/>
          <w:szCs w:val="20"/>
        </w:rPr>
        <w:t>in sicer na način, da dopolnjuje izjavo odgovornih oseb izdajatelja oz</w:t>
      </w:r>
      <w:r w:rsidR="005B2A34">
        <w:rPr>
          <w:rFonts w:cs="Arial"/>
          <w:szCs w:val="20"/>
        </w:rPr>
        <w:t>iroma</w:t>
      </w:r>
      <w:r w:rsidRPr="00445B9C">
        <w:rPr>
          <w:rFonts w:cs="Arial"/>
          <w:szCs w:val="20"/>
        </w:rPr>
        <w:t xml:space="preserve"> izjavo članov poslovodstva in drugih oseb javne družbe, odgovorni</w:t>
      </w:r>
      <w:r w:rsidR="005B2A34">
        <w:rPr>
          <w:rFonts w:cs="Arial"/>
          <w:szCs w:val="20"/>
        </w:rPr>
        <w:t>h</w:t>
      </w:r>
      <w:r w:rsidRPr="00445B9C">
        <w:rPr>
          <w:rFonts w:cs="Arial"/>
          <w:szCs w:val="20"/>
        </w:rPr>
        <w:t xml:space="preserve"> za sestavo letnega poročila</w:t>
      </w:r>
      <w:r w:rsidR="00214101" w:rsidRPr="00445B9C">
        <w:rPr>
          <w:rFonts w:cs="Arial"/>
          <w:szCs w:val="20"/>
        </w:rPr>
        <w:t>, da je to pripravljeno v skladu z evropskimi standardi poročanja o trajnostnosti.</w:t>
      </w:r>
    </w:p>
    <w:p w:rsidR="00D23100" w:rsidRPr="00445B9C" w:rsidRDefault="00D23100" w:rsidP="001A27F7">
      <w:pPr>
        <w:spacing w:line="276" w:lineRule="auto"/>
        <w:jc w:val="both"/>
        <w:rPr>
          <w:rFonts w:cs="Arial"/>
          <w:szCs w:val="20"/>
        </w:rPr>
      </w:pPr>
    </w:p>
    <w:p w:rsidR="00D23100" w:rsidRPr="00445B9C" w:rsidRDefault="00D23100" w:rsidP="001A27F7">
      <w:pPr>
        <w:spacing w:line="276" w:lineRule="auto"/>
        <w:jc w:val="both"/>
        <w:rPr>
          <w:rFonts w:cs="Arial"/>
          <w:szCs w:val="20"/>
        </w:rPr>
      </w:pPr>
      <w:r w:rsidRPr="00445B9C">
        <w:rPr>
          <w:rFonts w:cs="Arial"/>
          <w:szCs w:val="20"/>
        </w:rPr>
        <w:t>S predlagano spremembo se prenaša točka (a) drugega odstavka 2. člena Direktive 2022/2464/EU.</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_Ref192067226 \r \h  \* MERGEFORMAT </w:instrText>
      </w:r>
      <w:r w:rsidR="006813E2">
        <w:fldChar w:fldCharType="separate"/>
      </w:r>
      <w:r w:rsidR="001638A0" w:rsidRPr="00445B9C">
        <w:rPr>
          <w:rFonts w:cs="Arial"/>
          <w:b/>
          <w:bCs/>
          <w:szCs w:val="20"/>
        </w:rPr>
        <w:t xml:space="preserve">14. </w:t>
      </w:r>
      <w:r w:rsidR="006813E2">
        <w:fldChar w:fldCharType="end"/>
      </w:r>
      <w:r w:rsidRPr="00445B9C">
        <w:rPr>
          <w:rFonts w:cs="Arial"/>
          <w:b/>
          <w:bCs/>
          <w:szCs w:val="20"/>
        </w:rPr>
        <w:t>členu</w:t>
      </w:r>
    </w:p>
    <w:p w:rsidR="00F5265D" w:rsidRPr="00445B9C" w:rsidRDefault="00F5265D" w:rsidP="00742018">
      <w:pPr>
        <w:spacing w:line="276" w:lineRule="auto"/>
        <w:jc w:val="both"/>
        <w:rPr>
          <w:rFonts w:cs="Arial"/>
          <w:szCs w:val="20"/>
        </w:rPr>
      </w:pPr>
      <w:r w:rsidRPr="00445B9C">
        <w:rPr>
          <w:rFonts w:cs="Arial"/>
          <w:szCs w:val="20"/>
        </w:rPr>
        <w:t>V okviru zbirke vprašanj in odgovorov ESMA pod zaporedno številko 59</w:t>
      </w:r>
      <w:r w:rsidR="00BA63B9" w:rsidRPr="00445B9C">
        <w:rPr>
          <w:rFonts w:cs="Arial"/>
          <w:szCs w:val="20"/>
        </w:rPr>
        <w:t>3</w:t>
      </w:r>
      <w:r w:rsidRPr="00445B9C">
        <w:rPr>
          <w:rFonts w:cs="Arial"/>
          <w:szCs w:val="20"/>
        </w:rPr>
        <w:t>, dostopno na</w:t>
      </w:r>
      <w:r w:rsidR="00BA63B9" w:rsidRPr="00445B9C">
        <w:rPr>
          <w:rFonts w:cs="Arial"/>
          <w:szCs w:val="20"/>
        </w:rPr>
        <w:t xml:space="preserve"> </w:t>
      </w:r>
      <w:r w:rsidR="00481145" w:rsidRPr="00445B9C">
        <w:rPr>
          <w:rFonts w:cs="Arial"/>
          <w:szCs w:val="20"/>
        </w:rPr>
        <w:t>[</w:t>
      </w:r>
      <w:r w:rsidR="00AF08C8" w:rsidRPr="00445B9C">
        <w:rPr>
          <w:rFonts w:cs="Arial"/>
          <w:szCs w:val="20"/>
        </w:rPr>
        <w:t>https://www.esma.europa.eu/qa/593</w:t>
      </w:r>
      <w:r w:rsidR="00481145" w:rsidRPr="00445B9C">
        <w:rPr>
          <w:rFonts w:cs="Arial"/>
          <w:szCs w:val="20"/>
        </w:rPr>
        <w:t xml:space="preserve">] </w:t>
      </w:r>
      <w:r w:rsidR="00AF08C8" w:rsidRPr="00445B9C">
        <w:rPr>
          <w:rFonts w:cs="Arial"/>
          <w:szCs w:val="20"/>
        </w:rPr>
        <w:t xml:space="preserve">17. </w:t>
      </w:r>
      <w:r w:rsidR="005B2A34">
        <w:rPr>
          <w:rFonts w:cs="Arial"/>
          <w:szCs w:val="20"/>
        </w:rPr>
        <w:t>marca</w:t>
      </w:r>
      <w:r w:rsidR="00BA63B9" w:rsidRPr="00445B9C">
        <w:rPr>
          <w:rFonts w:cs="Arial"/>
          <w:szCs w:val="20"/>
        </w:rPr>
        <w:t xml:space="preserve"> 2025</w:t>
      </w:r>
      <w:r w:rsidR="005B2A34">
        <w:rPr>
          <w:rFonts w:cs="Arial"/>
          <w:szCs w:val="20"/>
        </w:rPr>
        <w:t>,</w:t>
      </w:r>
      <w:r w:rsidR="00BA63B9" w:rsidRPr="00445B9C">
        <w:rPr>
          <w:rFonts w:cs="Arial"/>
          <w:szCs w:val="20"/>
        </w:rPr>
        <w:t xml:space="preserve"> </w:t>
      </w:r>
      <w:r w:rsidRPr="00445B9C">
        <w:rPr>
          <w:rFonts w:cs="Arial"/>
          <w:szCs w:val="20"/>
        </w:rPr>
        <w:t xml:space="preserve">je razumeti, da je stališče ESMA oziroma Evropske komisije, da lahko </w:t>
      </w:r>
      <w:r w:rsidR="005B2A34">
        <w:rPr>
          <w:rFonts w:cs="Arial"/>
          <w:szCs w:val="20"/>
        </w:rPr>
        <w:t>le</w:t>
      </w:r>
      <w:r w:rsidR="005B2A34" w:rsidRPr="00445B9C">
        <w:rPr>
          <w:rFonts w:cs="Arial"/>
          <w:szCs w:val="20"/>
        </w:rPr>
        <w:t xml:space="preserve"> </w:t>
      </w:r>
      <w:r w:rsidRPr="00445B9C">
        <w:rPr>
          <w:rFonts w:cs="Arial"/>
          <w:szCs w:val="20"/>
        </w:rPr>
        <w:t xml:space="preserve">kreditne institucije in investicijska podjetja, katerih trgovalna knjiga je urejena v skladu s pravom </w:t>
      </w:r>
      <w:r w:rsidR="00742018" w:rsidRPr="00445B9C">
        <w:rPr>
          <w:rFonts w:cs="Arial"/>
          <w:szCs w:val="20"/>
        </w:rPr>
        <w:t>EU</w:t>
      </w:r>
      <w:r w:rsidRPr="00445B9C">
        <w:rPr>
          <w:rFonts w:cs="Arial"/>
          <w:szCs w:val="20"/>
        </w:rPr>
        <w:t>, uporabijo izjemo, ki jo nudi šesti odstavek 9. člena Direktive 2004/109/ES, kar bi pomenilo, da predmetna izjema ne velja za kreditne institucije in investicijska podjetja iz tretjih držav.</w:t>
      </w:r>
    </w:p>
    <w:p w:rsidR="00742018" w:rsidRPr="00445B9C" w:rsidRDefault="00742018" w:rsidP="00742018">
      <w:pPr>
        <w:spacing w:line="276" w:lineRule="auto"/>
        <w:jc w:val="both"/>
        <w:rPr>
          <w:rFonts w:cs="Arial"/>
          <w:szCs w:val="20"/>
        </w:rPr>
      </w:pPr>
    </w:p>
    <w:p w:rsidR="00FE0F83" w:rsidRPr="00445B9C" w:rsidRDefault="00F5265D" w:rsidP="00742018">
      <w:pPr>
        <w:spacing w:line="276" w:lineRule="auto"/>
        <w:jc w:val="both"/>
        <w:rPr>
          <w:rFonts w:cs="Arial"/>
          <w:szCs w:val="20"/>
        </w:rPr>
      </w:pPr>
      <w:r w:rsidRPr="00445B9C">
        <w:rPr>
          <w:rFonts w:cs="Arial"/>
          <w:szCs w:val="20"/>
        </w:rPr>
        <w:t>Določba četrtega odstavka 141. člena ZTFI-</w:t>
      </w:r>
      <w:r w:rsidR="00742018" w:rsidRPr="00445B9C">
        <w:rPr>
          <w:rFonts w:cs="Arial"/>
          <w:szCs w:val="20"/>
        </w:rPr>
        <w:t>1</w:t>
      </w:r>
      <w:r w:rsidRPr="00445B9C">
        <w:rPr>
          <w:rFonts w:cs="Arial"/>
          <w:szCs w:val="20"/>
        </w:rPr>
        <w:t xml:space="preserve"> </w:t>
      </w:r>
      <w:r w:rsidR="0011718D">
        <w:rPr>
          <w:rFonts w:cs="Arial"/>
          <w:szCs w:val="20"/>
        </w:rPr>
        <w:t xml:space="preserve">ne upošteva </w:t>
      </w:r>
      <w:r w:rsidRPr="00445B9C">
        <w:rPr>
          <w:rFonts w:cs="Arial"/>
          <w:szCs w:val="20"/>
        </w:rPr>
        <w:t>zgoraj predstavljen</w:t>
      </w:r>
      <w:r w:rsidR="0011718D">
        <w:rPr>
          <w:rFonts w:cs="Arial"/>
          <w:szCs w:val="20"/>
        </w:rPr>
        <w:t>e</w:t>
      </w:r>
      <w:r w:rsidRPr="00445B9C">
        <w:rPr>
          <w:rFonts w:cs="Arial"/>
          <w:szCs w:val="20"/>
        </w:rPr>
        <w:t xml:space="preserve"> razlag</w:t>
      </w:r>
      <w:r w:rsidR="0011718D">
        <w:rPr>
          <w:rFonts w:cs="Arial"/>
          <w:szCs w:val="20"/>
        </w:rPr>
        <w:t>e</w:t>
      </w:r>
      <w:r w:rsidRPr="00445B9C">
        <w:rPr>
          <w:rFonts w:cs="Arial"/>
          <w:szCs w:val="20"/>
        </w:rPr>
        <w:t xml:space="preserve"> evropske zakonodaje, saj v okviru izjeme od obveznosti delničarjev obveščati javno družbo o spremembi pomembnega deleža nedvoumno navaja tudi glasovalne pravice iz trgovalne knjige banke tretje države</w:t>
      </w:r>
      <w:r w:rsidR="00742018" w:rsidRPr="00445B9C">
        <w:rPr>
          <w:rFonts w:cs="Arial"/>
          <w:szCs w:val="20"/>
        </w:rPr>
        <w:t xml:space="preserve">, </w:t>
      </w:r>
      <w:r w:rsidRPr="00445B9C">
        <w:rPr>
          <w:rFonts w:cs="Arial"/>
          <w:szCs w:val="20"/>
        </w:rPr>
        <w:t>pri čemer je obenem problematičen tudi izostanek sklica na Uredbo</w:t>
      </w:r>
      <w:r w:rsidR="00742018" w:rsidRPr="00445B9C">
        <w:rPr>
          <w:rFonts w:cs="Arial"/>
          <w:szCs w:val="20"/>
        </w:rPr>
        <w:t xml:space="preserve"> </w:t>
      </w:r>
      <w:r w:rsidRPr="00445B9C">
        <w:rPr>
          <w:rFonts w:cs="Arial"/>
          <w:szCs w:val="20"/>
        </w:rPr>
        <w:t>2019/2033</w:t>
      </w:r>
      <w:r w:rsidR="00742018" w:rsidRPr="00445B9C">
        <w:rPr>
          <w:rFonts w:cs="Arial"/>
          <w:szCs w:val="20"/>
        </w:rPr>
        <w:t>/EU</w:t>
      </w:r>
      <w:r w:rsidRPr="00445B9C">
        <w:rPr>
          <w:rFonts w:cs="Arial"/>
          <w:szCs w:val="20"/>
        </w:rPr>
        <w:t>.</w:t>
      </w:r>
      <w:r w:rsidR="00742018" w:rsidRPr="00445B9C">
        <w:rPr>
          <w:rFonts w:cs="Arial"/>
          <w:szCs w:val="20"/>
        </w:rPr>
        <w:t xml:space="preserve"> Zaradi navedenih razlogov se </w:t>
      </w:r>
      <w:r w:rsidR="00F430AD" w:rsidRPr="00445B9C">
        <w:rPr>
          <w:rFonts w:cs="Arial"/>
          <w:szCs w:val="20"/>
        </w:rPr>
        <w:t>predlaga sprememba četrtega odstavka 141. člena ZTFI-1.</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w:instrText>
      </w:r>
      <w:r w:rsidR="006813E2">
        <w:instrText xml:space="preserve">4005 \r \h  \* MERGEFORMAT </w:instrText>
      </w:r>
      <w:r w:rsidR="006813E2">
        <w:fldChar w:fldCharType="separate"/>
      </w:r>
      <w:r w:rsidR="001638A0" w:rsidRPr="00445B9C">
        <w:rPr>
          <w:rFonts w:cs="Arial"/>
          <w:b/>
          <w:bCs/>
          <w:szCs w:val="20"/>
        </w:rPr>
        <w:t xml:space="preserve">15. </w:t>
      </w:r>
      <w:r w:rsidR="006813E2">
        <w:fldChar w:fldCharType="end"/>
      </w:r>
      <w:r w:rsidRPr="00445B9C">
        <w:rPr>
          <w:rFonts w:cs="Arial"/>
          <w:b/>
          <w:bCs/>
          <w:szCs w:val="20"/>
        </w:rPr>
        <w:t>členu</w:t>
      </w:r>
    </w:p>
    <w:p w:rsidR="00FE0F83" w:rsidRPr="00445B9C" w:rsidRDefault="007A27FB" w:rsidP="00FD3D06">
      <w:pPr>
        <w:spacing w:line="276" w:lineRule="auto"/>
        <w:jc w:val="both"/>
        <w:rPr>
          <w:rFonts w:cs="Arial"/>
          <w:szCs w:val="20"/>
        </w:rPr>
      </w:pPr>
      <w:r w:rsidRPr="00445B9C">
        <w:rPr>
          <w:rFonts w:cs="Arial"/>
          <w:szCs w:val="20"/>
        </w:rPr>
        <w:t>Da bi bile informacije ESAP digitalno uporabne,</w:t>
      </w:r>
      <w:r w:rsidR="00E322CB" w:rsidRPr="00445B9C">
        <w:rPr>
          <w:rFonts w:cs="Arial"/>
          <w:szCs w:val="20"/>
        </w:rPr>
        <w:t xml:space="preserve"> morajo </w:t>
      </w:r>
      <w:r w:rsidR="00F6418D" w:rsidRPr="00445B9C">
        <w:rPr>
          <w:rFonts w:cs="Arial"/>
          <w:szCs w:val="20"/>
        </w:rPr>
        <w:t xml:space="preserve">javne družbe oziroma osebe, ki </w:t>
      </w:r>
      <w:r w:rsidR="0011718D">
        <w:rPr>
          <w:rFonts w:cs="Arial"/>
          <w:szCs w:val="20"/>
        </w:rPr>
        <w:t>so</w:t>
      </w:r>
      <w:r w:rsidR="00F6418D" w:rsidRPr="00445B9C">
        <w:rPr>
          <w:rFonts w:cs="Arial"/>
          <w:szCs w:val="20"/>
        </w:rPr>
        <w:t xml:space="preserve"> zahteval</w:t>
      </w:r>
      <w:r w:rsidR="0011718D">
        <w:rPr>
          <w:rFonts w:cs="Arial"/>
          <w:szCs w:val="20"/>
        </w:rPr>
        <w:t>e</w:t>
      </w:r>
      <w:r w:rsidR="00F6418D" w:rsidRPr="00445B9C">
        <w:rPr>
          <w:rFonts w:cs="Arial"/>
          <w:szCs w:val="20"/>
        </w:rPr>
        <w:t xml:space="preserve"> uvrstitev vrednostnih papirjev v trgovanje na organiziranem trgu brez soglasja javne družbe</w:t>
      </w:r>
      <w:r w:rsidR="00E322CB" w:rsidRPr="00445B9C">
        <w:rPr>
          <w:rFonts w:cs="Arial"/>
          <w:szCs w:val="20"/>
        </w:rPr>
        <w:t xml:space="preserve"> organu</w:t>
      </w:r>
      <w:r w:rsidRPr="00445B9C">
        <w:rPr>
          <w:rFonts w:cs="Arial"/>
          <w:szCs w:val="20"/>
        </w:rPr>
        <w:t xml:space="preserve"> za </w:t>
      </w:r>
      <w:r w:rsidR="00E322CB" w:rsidRPr="00445B9C">
        <w:rPr>
          <w:rFonts w:cs="Arial"/>
          <w:szCs w:val="20"/>
        </w:rPr>
        <w:t>sprejemanje</w:t>
      </w:r>
      <w:r w:rsidRPr="00445B9C">
        <w:rPr>
          <w:rFonts w:cs="Arial"/>
          <w:szCs w:val="20"/>
        </w:rPr>
        <w:t xml:space="preserve"> podatkov</w:t>
      </w:r>
      <w:r w:rsidR="00E322CB" w:rsidRPr="00445B9C">
        <w:rPr>
          <w:rFonts w:cs="Arial"/>
          <w:szCs w:val="20"/>
        </w:rPr>
        <w:t xml:space="preserve"> (na podlagi predlagane spremembe 159. člena ZTFI-1</w:t>
      </w:r>
      <w:r w:rsidR="00C64F96" w:rsidRPr="00445B9C">
        <w:rPr>
          <w:rFonts w:cs="Arial"/>
          <w:szCs w:val="20"/>
        </w:rPr>
        <w:t xml:space="preserve"> </w:t>
      </w:r>
      <w:r w:rsidR="0011718D">
        <w:rPr>
          <w:rFonts w:cs="Arial"/>
          <w:szCs w:val="20"/>
        </w:rPr>
        <w:t>/</w:t>
      </w:r>
      <w:r w:rsidR="006813E2">
        <w:fldChar w:fldCharType="begin"/>
      </w:r>
      <w:r w:rsidR="006813E2">
        <w:instrText xml:space="preserve"> REF _Ref196734031 \r \h  \* MERGEFORMAT </w:instrText>
      </w:r>
      <w:r w:rsidR="006813E2">
        <w:fldChar w:fldCharType="separate"/>
      </w:r>
      <w:r w:rsidR="001638A0" w:rsidRPr="00445B9C">
        <w:rPr>
          <w:rFonts w:cs="Arial"/>
          <w:szCs w:val="20"/>
        </w:rPr>
        <w:t xml:space="preserve">16. </w:t>
      </w:r>
      <w:r w:rsidR="006813E2">
        <w:fldChar w:fldCharType="end"/>
      </w:r>
      <w:r w:rsidR="00C64F96" w:rsidRPr="00445B9C">
        <w:rPr>
          <w:rFonts w:cs="Arial"/>
          <w:szCs w:val="20"/>
        </w:rPr>
        <w:t>člen predloga zakona</w:t>
      </w:r>
      <w:r w:rsidR="0011718D">
        <w:rPr>
          <w:rFonts w:cs="Arial"/>
          <w:szCs w:val="20"/>
        </w:rPr>
        <w:t>/</w:t>
      </w:r>
      <w:r w:rsidR="00E322CB" w:rsidRPr="00445B9C">
        <w:rPr>
          <w:rFonts w:cs="Arial"/>
          <w:szCs w:val="20"/>
        </w:rPr>
        <w:t xml:space="preserve"> je to ATVP)</w:t>
      </w:r>
      <w:r w:rsidRPr="00445B9C">
        <w:rPr>
          <w:rFonts w:cs="Arial"/>
          <w:szCs w:val="20"/>
        </w:rPr>
        <w:t xml:space="preserve"> predložiti informacije v formatu, ki omogoča </w:t>
      </w:r>
      <w:r w:rsidR="00E322CB" w:rsidRPr="00445B9C">
        <w:rPr>
          <w:rFonts w:cs="Arial"/>
          <w:szCs w:val="20"/>
        </w:rPr>
        <w:t>izvoz</w:t>
      </w:r>
      <w:r w:rsidRPr="00445B9C">
        <w:rPr>
          <w:rFonts w:cs="Arial"/>
          <w:szCs w:val="20"/>
        </w:rPr>
        <w:t xml:space="preserve"> podatkov</w:t>
      </w:r>
      <w:r w:rsidR="0011718D">
        <w:rPr>
          <w:rFonts w:cs="Arial"/>
          <w:szCs w:val="20"/>
        </w:rPr>
        <w:t>,</w:t>
      </w:r>
      <w:r w:rsidRPr="00445B9C">
        <w:rPr>
          <w:rFonts w:cs="Arial"/>
          <w:szCs w:val="20"/>
        </w:rPr>
        <w:t xml:space="preserve"> ali kadar to zahteva pravo </w:t>
      </w:r>
      <w:r w:rsidR="00E322CB" w:rsidRPr="00445B9C">
        <w:rPr>
          <w:rFonts w:cs="Arial"/>
          <w:szCs w:val="20"/>
        </w:rPr>
        <w:t>EU</w:t>
      </w:r>
      <w:r w:rsidRPr="00445B9C">
        <w:rPr>
          <w:rFonts w:cs="Arial"/>
          <w:szCs w:val="20"/>
        </w:rPr>
        <w:t xml:space="preserve">, v strojno berljivem formatu. Informacijam, ki jih subjekti predložijo </w:t>
      </w:r>
      <w:r w:rsidR="00E322CB" w:rsidRPr="00445B9C">
        <w:rPr>
          <w:rFonts w:cs="Arial"/>
          <w:szCs w:val="20"/>
        </w:rPr>
        <w:t>ATVP</w:t>
      </w:r>
      <w:r w:rsidR="0011718D">
        <w:rPr>
          <w:rFonts w:cs="Arial"/>
          <w:szCs w:val="20"/>
        </w:rPr>
        <w:t>,</w:t>
      </w:r>
      <w:r w:rsidR="00E322CB" w:rsidRPr="00445B9C">
        <w:rPr>
          <w:rFonts w:cs="Arial"/>
          <w:szCs w:val="20"/>
        </w:rPr>
        <w:t xml:space="preserve"> je treb</w:t>
      </w:r>
      <w:r w:rsidR="0011718D">
        <w:rPr>
          <w:rFonts w:cs="Arial"/>
          <w:szCs w:val="20"/>
        </w:rPr>
        <w:t>a</w:t>
      </w:r>
      <w:r w:rsidRPr="00445B9C">
        <w:rPr>
          <w:rFonts w:cs="Arial"/>
          <w:szCs w:val="20"/>
        </w:rPr>
        <w:t xml:space="preserve"> priložiti tudi metapodatke, </w:t>
      </w:r>
      <w:r w:rsidR="00E322CB" w:rsidRPr="00445B9C">
        <w:rPr>
          <w:rFonts w:cs="Arial"/>
          <w:szCs w:val="20"/>
        </w:rPr>
        <w:t>naveden</w:t>
      </w:r>
      <w:r w:rsidR="0011718D">
        <w:rPr>
          <w:rFonts w:cs="Arial"/>
          <w:szCs w:val="20"/>
        </w:rPr>
        <w:t>e</w:t>
      </w:r>
      <w:r w:rsidR="00E322CB" w:rsidRPr="00445B9C">
        <w:rPr>
          <w:rFonts w:cs="Arial"/>
          <w:szCs w:val="20"/>
        </w:rPr>
        <w:t xml:space="preserve"> v predlagani 2. točki četrtega odstavka 158. člena ZTFI</w:t>
      </w:r>
      <w:r w:rsidR="0088753B" w:rsidRPr="00445B9C">
        <w:rPr>
          <w:rFonts w:cs="Arial"/>
          <w:szCs w:val="20"/>
        </w:rPr>
        <w:t>-1</w:t>
      </w:r>
      <w:r w:rsidRPr="00445B9C">
        <w:rPr>
          <w:rFonts w:cs="Arial"/>
          <w:szCs w:val="20"/>
        </w:rPr>
        <w:t>.</w:t>
      </w:r>
      <w:r w:rsidR="00E322CB" w:rsidRPr="00445B9C">
        <w:rPr>
          <w:rFonts w:cs="Arial"/>
          <w:szCs w:val="20"/>
        </w:rPr>
        <w:t xml:space="preserve"> Z </w:t>
      </w:r>
      <w:r w:rsidRPr="00445B9C">
        <w:rPr>
          <w:rFonts w:cs="Arial"/>
          <w:szCs w:val="20"/>
        </w:rPr>
        <w:t>izvedbeni</w:t>
      </w:r>
      <w:r w:rsidR="00E322CB" w:rsidRPr="00445B9C">
        <w:rPr>
          <w:rFonts w:cs="Arial"/>
          <w:szCs w:val="20"/>
        </w:rPr>
        <w:t>mi</w:t>
      </w:r>
      <w:r w:rsidRPr="00445B9C">
        <w:rPr>
          <w:rFonts w:cs="Arial"/>
          <w:szCs w:val="20"/>
        </w:rPr>
        <w:t xml:space="preserve"> tehnični</w:t>
      </w:r>
      <w:r w:rsidR="00E322CB" w:rsidRPr="00445B9C">
        <w:rPr>
          <w:rFonts w:cs="Arial"/>
          <w:szCs w:val="20"/>
        </w:rPr>
        <w:t>mi</w:t>
      </w:r>
      <w:r w:rsidRPr="00445B9C">
        <w:rPr>
          <w:rFonts w:cs="Arial"/>
          <w:szCs w:val="20"/>
        </w:rPr>
        <w:t xml:space="preserve"> standard</w:t>
      </w:r>
      <w:r w:rsidR="0011718D">
        <w:rPr>
          <w:rFonts w:cs="Arial"/>
          <w:szCs w:val="20"/>
        </w:rPr>
        <w:t>i</w:t>
      </w:r>
      <w:r w:rsidRPr="00445B9C">
        <w:rPr>
          <w:rFonts w:cs="Arial"/>
          <w:szCs w:val="20"/>
        </w:rPr>
        <w:t xml:space="preserve">, </w:t>
      </w:r>
      <w:r w:rsidR="00E322CB" w:rsidRPr="00445B9C">
        <w:rPr>
          <w:rFonts w:cs="Arial"/>
          <w:szCs w:val="20"/>
        </w:rPr>
        <w:t xml:space="preserve">za katerih </w:t>
      </w:r>
      <w:r w:rsidR="0011718D" w:rsidRPr="00445B9C">
        <w:rPr>
          <w:rFonts w:cs="Arial"/>
          <w:szCs w:val="20"/>
        </w:rPr>
        <w:t xml:space="preserve">pripravo </w:t>
      </w:r>
      <w:r w:rsidR="00E322CB" w:rsidRPr="00445B9C">
        <w:rPr>
          <w:rFonts w:cs="Arial"/>
          <w:szCs w:val="20"/>
        </w:rPr>
        <w:t>so pristojni</w:t>
      </w:r>
      <w:r w:rsidRPr="00445B9C">
        <w:rPr>
          <w:rFonts w:cs="Arial"/>
          <w:szCs w:val="20"/>
        </w:rPr>
        <w:t xml:space="preserve"> evropski nadzorni organi</w:t>
      </w:r>
      <w:r w:rsidR="00E322CB" w:rsidRPr="00445B9C">
        <w:rPr>
          <w:rFonts w:cs="Arial"/>
          <w:szCs w:val="20"/>
        </w:rPr>
        <w:t xml:space="preserve"> (EBA, EIOPA in ESMA)</w:t>
      </w:r>
      <w:r w:rsidR="0011718D">
        <w:rPr>
          <w:rFonts w:cs="Arial"/>
          <w:szCs w:val="20"/>
        </w:rPr>
        <w:t>,</w:t>
      </w:r>
      <w:r w:rsidRPr="00445B9C">
        <w:rPr>
          <w:rFonts w:cs="Arial"/>
          <w:szCs w:val="20"/>
        </w:rPr>
        <w:t xml:space="preserve"> so določeni metapodatki za vsako informacijo, način strukturiranja podatkov v informacijah in informacije, za katere se zahteva strojno berljiv format</w:t>
      </w:r>
      <w:r w:rsidR="0011718D">
        <w:rPr>
          <w:rFonts w:cs="Arial"/>
          <w:szCs w:val="20"/>
        </w:rPr>
        <w:t>,</w:t>
      </w:r>
      <w:r w:rsidRPr="00445B9C">
        <w:rPr>
          <w:rFonts w:cs="Arial"/>
          <w:szCs w:val="20"/>
        </w:rPr>
        <w:t xml:space="preserve"> in </w:t>
      </w:r>
      <w:r w:rsidR="0011718D">
        <w:rPr>
          <w:rFonts w:cs="Arial"/>
          <w:szCs w:val="20"/>
        </w:rPr>
        <w:t>podatek,</w:t>
      </w:r>
      <w:r w:rsidR="0011718D" w:rsidRPr="00445B9C">
        <w:rPr>
          <w:rFonts w:cs="Arial"/>
          <w:szCs w:val="20"/>
        </w:rPr>
        <w:t xml:space="preserve"> </w:t>
      </w:r>
      <w:r w:rsidRPr="00445B9C">
        <w:rPr>
          <w:rFonts w:cs="Arial"/>
          <w:szCs w:val="20"/>
        </w:rPr>
        <w:t xml:space="preserve">kateri strojno berljivi format se v takih primerih uporablja. </w:t>
      </w:r>
      <w:r w:rsidR="0011718D">
        <w:rPr>
          <w:rFonts w:cs="Arial"/>
          <w:szCs w:val="20"/>
        </w:rPr>
        <w:t xml:space="preserve"> </w:t>
      </w:r>
    </w:p>
    <w:p w:rsidR="00FE0F83" w:rsidRPr="00445B9C" w:rsidRDefault="00FE0F83" w:rsidP="00FD3D06">
      <w:pPr>
        <w:spacing w:line="276" w:lineRule="auto"/>
        <w:jc w:val="both"/>
        <w:rPr>
          <w:rFonts w:cs="Arial"/>
          <w:szCs w:val="20"/>
        </w:rPr>
      </w:pPr>
    </w:p>
    <w:p w:rsidR="00FE0F83" w:rsidRPr="00445B9C" w:rsidRDefault="00E322CB" w:rsidP="00B63727">
      <w:pPr>
        <w:spacing w:line="276" w:lineRule="auto"/>
        <w:jc w:val="both"/>
        <w:rPr>
          <w:rFonts w:cs="Arial"/>
          <w:szCs w:val="20"/>
        </w:rPr>
      </w:pPr>
      <w:r w:rsidRPr="00445B9C">
        <w:rPr>
          <w:rFonts w:cs="Arial"/>
          <w:szCs w:val="20"/>
        </w:rPr>
        <w:lastRenderedPageBreak/>
        <w:t>Z dopolnitvijo 158. člena se v ZTFI-1 prenaša drugi odstavek 3. člena Direktive 2023/2864/EU.</w:t>
      </w:r>
      <w:r w:rsidR="00FD3D06" w:rsidRPr="00445B9C">
        <w:rPr>
          <w:rFonts w:cs="Arial"/>
          <w:szCs w:val="20"/>
        </w:rPr>
        <w:t xml:space="preserve"> </w:t>
      </w:r>
      <w:r w:rsidR="00B63727" w:rsidRPr="00445B9C">
        <w:rPr>
          <w:rFonts w:cs="Arial"/>
          <w:szCs w:val="20"/>
        </w:rPr>
        <w:t>Dopolnitve</w:t>
      </w:r>
      <w:r w:rsidR="00FD3D06" w:rsidRPr="00445B9C">
        <w:rPr>
          <w:rFonts w:cs="Arial"/>
          <w:szCs w:val="20"/>
        </w:rPr>
        <w:t xml:space="preserve"> se začnejo uporabljati 10. julija 2026, kar je urejeno v prehodnih določbah predloga zakona (prvi odstavek </w:t>
      </w:r>
      <w:r w:rsidR="006813E2">
        <w:fldChar w:fldCharType="begin"/>
      </w:r>
      <w:r w:rsidR="006813E2">
        <w:instrText xml:space="preserve"> REF _Ref196734116 \r \h  \* MERGEFORMAT </w:instrText>
      </w:r>
      <w:r w:rsidR="006813E2">
        <w:fldChar w:fldCharType="separate"/>
      </w:r>
      <w:r w:rsidR="001638A0" w:rsidRPr="00445B9C">
        <w:rPr>
          <w:rFonts w:cs="Arial"/>
          <w:szCs w:val="20"/>
        </w:rPr>
        <w:t xml:space="preserve">57. </w:t>
      </w:r>
      <w:r w:rsidR="006813E2">
        <w:fldChar w:fldCharType="end"/>
      </w:r>
      <w:r w:rsidR="00FD3D06" w:rsidRPr="00445B9C">
        <w:rPr>
          <w:rFonts w:cs="Arial"/>
          <w:szCs w:val="20"/>
        </w:rPr>
        <w:t>člena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_Ref196734031 \r \h  \* MERGEFORMAT </w:instrText>
      </w:r>
      <w:r w:rsidR="006813E2">
        <w:fldChar w:fldCharType="separate"/>
      </w:r>
      <w:r w:rsidR="001638A0" w:rsidRPr="00445B9C">
        <w:rPr>
          <w:rFonts w:cs="Arial"/>
          <w:b/>
          <w:bCs/>
          <w:szCs w:val="20"/>
        </w:rPr>
        <w:t xml:space="preserve">16. </w:t>
      </w:r>
      <w:r w:rsidR="006813E2">
        <w:fldChar w:fldCharType="end"/>
      </w:r>
      <w:r w:rsidRPr="00445B9C">
        <w:rPr>
          <w:rFonts w:cs="Arial"/>
          <w:b/>
          <w:bCs/>
          <w:szCs w:val="20"/>
        </w:rPr>
        <w:t>členu</w:t>
      </w:r>
    </w:p>
    <w:p w:rsidR="00FE0F83" w:rsidRPr="00445B9C" w:rsidRDefault="00383105" w:rsidP="00C9398D">
      <w:pPr>
        <w:spacing w:line="276" w:lineRule="auto"/>
        <w:jc w:val="both"/>
        <w:rPr>
          <w:rFonts w:cs="Arial"/>
          <w:szCs w:val="20"/>
        </w:rPr>
      </w:pPr>
      <w:r w:rsidRPr="00445B9C">
        <w:rPr>
          <w:rFonts w:cs="Arial"/>
          <w:szCs w:val="20"/>
        </w:rPr>
        <w:t>Z dopolnitvijo 159. člena ZTFI-1 se ureja izvajanje drugega odstavka 3. člena Uredbe 2023/2859/EU</w:t>
      </w:r>
      <w:r w:rsidR="0011718D">
        <w:rPr>
          <w:rFonts w:cs="Arial"/>
          <w:szCs w:val="20"/>
        </w:rPr>
        <w:t>,</w:t>
      </w:r>
      <w:r w:rsidRPr="00445B9C">
        <w:rPr>
          <w:rFonts w:cs="Arial"/>
          <w:szCs w:val="20"/>
        </w:rPr>
        <w:t xml:space="preserve"> s katerim se določi, da je ATVP organ za sprejemanje podatkov za nadzorovane informacije, k</w:t>
      </w:r>
      <w:r w:rsidR="006D4B56">
        <w:rPr>
          <w:rFonts w:cs="Arial"/>
          <w:szCs w:val="20"/>
        </w:rPr>
        <w:t>akor</w:t>
      </w:r>
      <w:r w:rsidRPr="00445B9C">
        <w:rPr>
          <w:rFonts w:cs="Arial"/>
          <w:szCs w:val="20"/>
        </w:rPr>
        <w:t xml:space="preserve"> je opredeljen v 2. točki 2. člena Uredbe 2023/2859/EU</w:t>
      </w:r>
      <w:r w:rsidR="006D4B56">
        <w:rPr>
          <w:rFonts w:cs="Arial"/>
          <w:szCs w:val="20"/>
        </w:rPr>
        <w:t>,</w:t>
      </w:r>
      <w:r w:rsidRPr="00445B9C">
        <w:rPr>
          <w:rFonts w:cs="Arial"/>
          <w:szCs w:val="20"/>
        </w:rPr>
        <w:t xml:space="preserve"> in zagotavlja, da so informacije iz tega sistema dostopne v ESAP, vzpostavljeni na podlagi Uredbe 2023/2859/EU.</w:t>
      </w:r>
    </w:p>
    <w:p w:rsidR="00B63727" w:rsidRPr="00445B9C" w:rsidRDefault="00B63727" w:rsidP="00C9398D">
      <w:pPr>
        <w:spacing w:line="276" w:lineRule="auto"/>
        <w:jc w:val="both"/>
        <w:rPr>
          <w:rFonts w:cs="Arial"/>
          <w:szCs w:val="20"/>
        </w:rPr>
      </w:pPr>
    </w:p>
    <w:p w:rsidR="00B63727" w:rsidRPr="00445B9C" w:rsidRDefault="00B63727" w:rsidP="00B63727">
      <w:pPr>
        <w:spacing w:line="276" w:lineRule="auto"/>
        <w:jc w:val="both"/>
        <w:rPr>
          <w:rFonts w:cs="Arial"/>
          <w:szCs w:val="20"/>
        </w:rPr>
      </w:pPr>
      <w:r w:rsidRPr="00445B9C">
        <w:rPr>
          <w:rFonts w:cs="Arial"/>
          <w:szCs w:val="20"/>
        </w:rPr>
        <w:t xml:space="preserve">Dopolnitve se začnejo uporabljati 10. julija 2026, kar je urejeno v prehodnih določbah predloga zakona (prvi odstavek </w:t>
      </w:r>
      <w:r w:rsidR="006813E2">
        <w:fldChar w:fldCharType="begin"/>
      </w:r>
      <w:r w:rsidR="006813E2">
        <w:instrText xml:space="preserve"> REF _Ref196734116 \r </w:instrText>
      </w:r>
      <w:r w:rsidR="006813E2">
        <w:instrText xml:space="preserve">\h  \* MERGEFORMAT </w:instrText>
      </w:r>
      <w:r w:rsidR="006813E2">
        <w:fldChar w:fldCharType="separate"/>
      </w:r>
      <w:r w:rsidR="001638A0" w:rsidRPr="00445B9C">
        <w:rPr>
          <w:rFonts w:cs="Arial"/>
          <w:szCs w:val="20"/>
        </w:rPr>
        <w:t xml:space="preserve">57. </w:t>
      </w:r>
      <w:r w:rsidR="006813E2">
        <w:fldChar w:fldCharType="end"/>
      </w:r>
      <w:r w:rsidRPr="00445B9C">
        <w:rPr>
          <w:rFonts w:cs="Arial"/>
          <w:szCs w:val="20"/>
        </w:rPr>
        <w:t>člena predloga zakona).</w:t>
      </w:r>
    </w:p>
    <w:p w:rsidR="009D4F90" w:rsidRPr="00445B9C" w:rsidRDefault="009D4F90" w:rsidP="00C64B3F">
      <w:pPr>
        <w:spacing w:line="240" w:lineRule="auto"/>
        <w:jc w:val="both"/>
        <w:rPr>
          <w:rFonts w:cs="Arial"/>
          <w:szCs w:val="20"/>
        </w:rPr>
      </w:pPr>
    </w:p>
    <w:p w:rsidR="00FE0F83" w:rsidRPr="00445B9C" w:rsidRDefault="00FE0F83" w:rsidP="00603A31">
      <w:pPr>
        <w:keepNext/>
        <w:keepLines/>
        <w:widowControl w:val="0"/>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_Ref196734154 \r \h  \* MERGEFORMAT </w:instrText>
      </w:r>
      <w:r w:rsidR="006813E2">
        <w:fldChar w:fldCharType="separate"/>
      </w:r>
      <w:r w:rsidR="001638A0" w:rsidRPr="00445B9C">
        <w:rPr>
          <w:rFonts w:cs="Arial"/>
          <w:b/>
          <w:bCs/>
          <w:szCs w:val="20"/>
        </w:rPr>
        <w:t xml:space="preserve">17. </w:t>
      </w:r>
      <w:r w:rsidR="006813E2">
        <w:fldChar w:fldCharType="end"/>
      </w:r>
      <w:r w:rsidRPr="00445B9C">
        <w:rPr>
          <w:rFonts w:cs="Arial"/>
          <w:b/>
          <w:bCs/>
          <w:szCs w:val="20"/>
        </w:rPr>
        <w:t>členu</w:t>
      </w:r>
    </w:p>
    <w:p w:rsidR="00FE0F83" w:rsidRPr="00445B9C" w:rsidRDefault="00282C4D" w:rsidP="00603A31">
      <w:pPr>
        <w:keepNext/>
        <w:keepLines/>
        <w:widowControl w:val="0"/>
        <w:spacing w:line="276" w:lineRule="auto"/>
        <w:jc w:val="both"/>
        <w:rPr>
          <w:rFonts w:cs="Arial"/>
          <w:szCs w:val="20"/>
        </w:rPr>
      </w:pPr>
      <w:r w:rsidRPr="00445B9C">
        <w:rPr>
          <w:rFonts w:cs="Arial"/>
          <w:szCs w:val="20"/>
        </w:rPr>
        <w:t>S predlagano dopolnitvijo 169. člena ZTFI-1 se določa operativno izvajanje 158. člena ZTFI-1</w:t>
      </w:r>
      <w:r w:rsidR="00A33CB3" w:rsidRPr="00445B9C">
        <w:rPr>
          <w:rFonts w:cs="Arial"/>
          <w:szCs w:val="20"/>
        </w:rPr>
        <w:t xml:space="preserve"> (</w:t>
      </w:r>
      <w:r w:rsidR="006813E2">
        <w:fldChar w:fldCharType="begin"/>
      </w:r>
      <w:r w:rsidR="006813E2">
        <w:instrText xml:space="preserve"> REF _Ref196734005 \r \h  \* MERGEFORMAT </w:instrText>
      </w:r>
      <w:r w:rsidR="006813E2">
        <w:fldChar w:fldCharType="separate"/>
      </w:r>
      <w:r w:rsidR="001638A0" w:rsidRPr="00445B9C">
        <w:rPr>
          <w:rFonts w:cs="Arial"/>
          <w:szCs w:val="20"/>
        </w:rPr>
        <w:t xml:space="preserve">15. </w:t>
      </w:r>
      <w:r w:rsidR="006813E2">
        <w:fldChar w:fldCharType="end"/>
      </w:r>
      <w:r w:rsidR="00A33CB3" w:rsidRPr="00445B9C">
        <w:rPr>
          <w:rFonts w:cs="Arial"/>
          <w:szCs w:val="20"/>
        </w:rPr>
        <w:t>člen predloga zakona)</w:t>
      </w:r>
      <w:r w:rsidRPr="00445B9C">
        <w:rPr>
          <w:rFonts w:cs="Arial"/>
          <w:szCs w:val="20"/>
        </w:rPr>
        <w:t xml:space="preserve">, saj se določa, da ATVP </w:t>
      </w:r>
      <w:r w:rsidR="006D4B56">
        <w:rPr>
          <w:rFonts w:cs="Arial"/>
          <w:szCs w:val="20"/>
        </w:rPr>
        <w:t>predloži</w:t>
      </w:r>
      <w:r w:rsidR="006D4B56" w:rsidRPr="00445B9C">
        <w:rPr>
          <w:rFonts w:cs="Arial"/>
          <w:szCs w:val="20"/>
        </w:rPr>
        <w:t xml:space="preserve"> </w:t>
      </w:r>
      <w:r w:rsidRPr="00445B9C">
        <w:rPr>
          <w:rFonts w:cs="Arial"/>
          <w:szCs w:val="20"/>
        </w:rPr>
        <w:t>podatke ESAP</w:t>
      </w:r>
      <w:r w:rsidR="0088753B" w:rsidRPr="00445B9C">
        <w:rPr>
          <w:rFonts w:cs="Arial"/>
          <w:szCs w:val="20"/>
        </w:rPr>
        <w:t xml:space="preserve"> ter </w:t>
      </w:r>
      <w:r w:rsidR="00206F31" w:rsidRPr="00445B9C">
        <w:rPr>
          <w:rFonts w:cs="Arial"/>
          <w:szCs w:val="20"/>
        </w:rPr>
        <w:t xml:space="preserve">s </w:t>
      </w:r>
      <w:r w:rsidR="0088753B" w:rsidRPr="00445B9C">
        <w:rPr>
          <w:rFonts w:cs="Arial"/>
          <w:szCs w:val="20"/>
        </w:rPr>
        <w:t>katerimi zahtevami morajo biti te informacije skladne</w:t>
      </w:r>
      <w:r w:rsidRPr="00445B9C">
        <w:rPr>
          <w:rFonts w:cs="Arial"/>
          <w:szCs w:val="20"/>
        </w:rPr>
        <w:t>.</w:t>
      </w:r>
    </w:p>
    <w:p w:rsidR="00362A0F" w:rsidRPr="00445B9C" w:rsidRDefault="00362A0F" w:rsidP="00603A31">
      <w:pPr>
        <w:keepNext/>
        <w:keepLines/>
        <w:widowControl w:val="0"/>
        <w:spacing w:line="276" w:lineRule="auto"/>
        <w:jc w:val="both"/>
        <w:rPr>
          <w:rFonts w:cs="Arial"/>
          <w:szCs w:val="20"/>
        </w:rPr>
      </w:pPr>
    </w:p>
    <w:p w:rsidR="00362A0F" w:rsidRPr="00445B9C" w:rsidRDefault="00362A0F" w:rsidP="00362A0F">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_Ref196825350 \r \h  \* MERGEFORMAT </w:instrText>
      </w:r>
      <w:r w:rsidR="006813E2">
        <w:fldChar w:fldCharType="separate"/>
      </w:r>
      <w:r w:rsidR="001638A0" w:rsidRPr="00445B9C">
        <w:rPr>
          <w:rFonts w:cs="Arial"/>
          <w:b/>
          <w:bCs/>
          <w:szCs w:val="20"/>
        </w:rPr>
        <w:t xml:space="preserve">18. </w:t>
      </w:r>
      <w:r w:rsidR="006813E2">
        <w:fldChar w:fldCharType="end"/>
      </w:r>
      <w:r w:rsidRPr="00445B9C">
        <w:rPr>
          <w:rFonts w:cs="Arial"/>
          <w:b/>
          <w:bCs/>
          <w:szCs w:val="20"/>
        </w:rPr>
        <w:t>členu</w:t>
      </w:r>
    </w:p>
    <w:p w:rsidR="00362A0F" w:rsidRPr="00445B9C" w:rsidRDefault="00362A0F" w:rsidP="00362A0F">
      <w:pPr>
        <w:spacing w:line="276" w:lineRule="auto"/>
        <w:jc w:val="both"/>
        <w:rPr>
          <w:rFonts w:cs="Arial"/>
          <w:szCs w:val="20"/>
        </w:rPr>
      </w:pPr>
      <w:r w:rsidRPr="00445B9C">
        <w:rPr>
          <w:rFonts w:cs="Arial"/>
          <w:szCs w:val="20"/>
        </w:rPr>
        <w:t xml:space="preserve">Besedilo 195. člena ZTFI-1 se usklajuje z ZBan-3A in Uredbo 575/2013/EU. Glej obrazložitev k </w:t>
      </w:r>
      <w:r w:rsidR="006813E2">
        <w:fldChar w:fldCharType="begin"/>
      </w:r>
      <w:r w:rsidR="006813E2">
        <w:instrText xml:space="preserve"> REF _Ref192067056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členu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_Ref196734293 \r \h</w:instrText>
      </w:r>
      <w:r w:rsidR="006813E2">
        <w:instrText xml:space="preserve">  \* MERGEFORMAT </w:instrText>
      </w:r>
      <w:r w:rsidR="006813E2">
        <w:fldChar w:fldCharType="separate"/>
      </w:r>
      <w:r w:rsidR="001638A0" w:rsidRPr="00445B9C">
        <w:rPr>
          <w:rFonts w:cs="Arial"/>
          <w:b/>
          <w:bCs/>
          <w:szCs w:val="20"/>
        </w:rPr>
        <w:t xml:space="preserve">19. </w:t>
      </w:r>
      <w:r w:rsidR="006813E2">
        <w:fldChar w:fldCharType="end"/>
      </w:r>
      <w:r w:rsidRPr="00445B9C">
        <w:rPr>
          <w:rFonts w:cs="Arial"/>
          <w:b/>
          <w:bCs/>
          <w:szCs w:val="20"/>
        </w:rPr>
        <w:t>členu</w:t>
      </w:r>
    </w:p>
    <w:p w:rsidR="00603046" w:rsidRPr="00445B9C" w:rsidRDefault="00603046" w:rsidP="00C9398D">
      <w:pPr>
        <w:spacing w:line="276" w:lineRule="auto"/>
        <w:jc w:val="both"/>
        <w:rPr>
          <w:rFonts w:cs="Arial"/>
          <w:szCs w:val="20"/>
        </w:rPr>
      </w:pPr>
      <w:r w:rsidRPr="00445B9C">
        <w:rPr>
          <w:rFonts w:cs="Arial"/>
          <w:szCs w:val="20"/>
        </w:rPr>
        <w:t xml:space="preserve">Za razliko od kreditnih institucij </w:t>
      </w:r>
      <w:proofErr w:type="spellStart"/>
      <w:r w:rsidRPr="00445B9C">
        <w:rPr>
          <w:rFonts w:cs="Arial"/>
          <w:szCs w:val="20"/>
        </w:rPr>
        <w:t>borznposredniške</w:t>
      </w:r>
      <w:proofErr w:type="spellEnd"/>
      <w:r w:rsidRPr="00445B9C">
        <w:rPr>
          <w:rFonts w:cs="Arial"/>
          <w:szCs w:val="20"/>
        </w:rPr>
        <w:t xml:space="preserve"> družbe niso nujno subjekti javnega interesa </w:t>
      </w:r>
      <w:r w:rsidR="006D4B56">
        <w:rPr>
          <w:rFonts w:cs="Arial"/>
          <w:szCs w:val="20"/>
        </w:rPr>
        <w:t xml:space="preserve">po </w:t>
      </w:r>
      <w:r w:rsidRPr="00445B9C">
        <w:rPr>
          <w:rFonts w:cs="Arial"/>
          <w:szCs w:val="20"/>
        </w:rPr>
        <w:t>44. točk</w:t>
      </w:r>
      <w:r w:rsidR="006D4B56">
        <w:rPr>
          <w:rFonts w:cs="Arial"/>
          <w:szCs w:val="20"/>
        </w:rPr>
        <w:t>i</w:t>
      </w:r>
      <w:r w:rsidRPr="00445B9C">
        <w:rPr>
          <w:rFonts w:cs="Arial"/>
          <w:szCs w:val="20"/>
        </w:rPr>
        <w:t xml:space="preserve"> 3. člena Zakona o revidiranju</w:t>
      </w:r>
      <w:r w:rsidR="00206F31" w:rsidRPr="00445B9C">
        <w:rPr>
          <w:rFonts w:cs="Arial"/>
          <w:szCs w:val="20"/>
        </w:rPr>
        <w:t xml:space="preserve"> (Uradni list RS, št. 65/08, 63/13 – ZS-K, 84/18, 115/21 in 85/24)</w:t>
      </w:r>
      <w:r w:rsidRPr="00445B9C">
        <w:rPr>
          <w:rFonts w:cs="Arial"/>
          <w:szCs w:val="20"/>
        </w:rPr>
        <w:t>. Zato se predlaga sprememba 229. člena ZTFI-1 s čimer bi se uredilo to področje tudi za družbe, ki niso nujno subjekti javnega interesa.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_Ref196734313 \r \h  \* MERGEFORMAT </w:instrText>
      </w:r>
      <w:r w:rsidR="006813E2">
        <w:fldChar w:fldCharType="separate"/>
      </w:r>
      <w:r w:rsidR="001638A0" w:rsidRPr="00445B9C">
        <w:rPr>
          <w:rFonts w:cs="Arial"/>
          <w:b/>
          <w:bCs/>
          <w:szCs w:val="20"/>
        </w:rPr>
        <w:t xml:space="preserve">20. </w:t>
      </w:r>
      <w:r w:rsidR="006813E2">
        <w:fldChar w:fldCharType="end"/>
      </w:r>
      <w:r w:rsidRPr="00445B9C">
        <w:rPr>
          <w:rFonts w:cs="Arial"/>
          <w:b/>
          <w:bCs/>
          <w:szCs w:val="20"/>
        </w:rPr>
        <w:t>členu</w:t>
      </w:r>
    </w:p>
    <w:p w:rsidR="00907A29" w:rsidRPr="00445B9C" w:rsidRDefault="00907A29" w:rsidP="00907A29">
      <w:pPr>
        <w:spacing w:line="276" w:lineRule="auto"/>
        <w:jc w:val="both"/>
        <w:rPr>
          <w:rFonts w:cs="Arial"/>
          <w:szCs w:val="20"/>
        </w:rPr>
      </w:pPr>
      <w:r w:rsidRPr="00445B9C">
        <w:rPr>
          <w:rFonts w:cs="Arial"/>
          <w:szCs w:val="20"/>
        </w:rPr>
        <w:t xml:space="preserve">Investicijska podjetja so zajeta s splošnimi organizacijskimi zahtevami, ki zahtevajo ureditev za sisteme za obdelavo informacij, varnostne mehanizme in avtentikacijo za prenos informacij, zmanjšanje tveganj poškodovanja podatkov in nepooblaščenega dostopa ter preprečevanje uhajanja informacij. Te zahteve so podrobneje opredeljene v </w:t>
      </w:r>
      <w:r w:rsidRPr="00445B9C">
        <w:rPr>
          <w:rFonts w:cs="Arial"/>
          <w:i/>
          <w:iCs/>
          <w:szCs w:val="20"/>
        </w:rPr>
        <w:t>Delegirani uredbi Komisije (EU) 2017/565 z dne 25. aprila 2016 o dopolnitvi Direktive 2014/65/EU Evropskega parlamenta in Sveta v zvezi z organizacijskimi zahtevami in pogoji poslovanja investicijskih podjetij ter opredeljenimi izrazi za namene navedene direktive</w:t>
      </w:r>
      <w:r w:rsidRPr="00445B9C">
        <w:rPr>
          <w:rFonts w:cs="Arial"/>
          <w:szCs w:val="20"/>
        </w:rPr>
        <w:t>, ki obravnava postopke in sisteme, ki varujejo varnost, celovitost in zaupnost podatkov, k</w:t>
      </w:r>
      <w:r w:rsidR="00C30FE4">
        <w:rPr>
          <w:rFonts w:cs="Arial"/>
          <w:szCs w:val="20"/>
        </w:rPr>
        <w:t>akor</w:t>
      </w:r>
      <w:r w:rsidRPr="00445B9C">
        <w:rPr>
          <w:rFonts w:cs="Arial"/>
          <w:szCs w:val="20"/>
        </w:rPr>
        <w:t xml:space="preserve"> tudi potrebe po neprekinjenem poslovanju in obnovitvi. Zaradi povečevanje groženj, povezanih z IKT</w:t>
      </w:r>
      <w:r w:rsidR="00C30FE4">
        <w:rPr>
          <w:rFonts w:cs="Arial"/>
          <w:szCs w:val="20"/>
        </w:rPr>
        <w:t>,</w:t>
      </w:r>
      <w:r w:rsidRPr="00445B9C">
        <w:rPr>
          <w:rFonts w:cs="Arial"/>
          <w:szCs w:val="20"/>
        </w:rPr>
        <w:t xml:space="preserve"> je treb</w:t>
      </w:r>
      <w:r w:rsidR="00C30FE4">
        <w:rPr>
          <w:rFonts w:cs="Arial"/>
          <w:szCs w:val="20"/>
        </w:rPr>
        <w:t>a</w:t>
      </w:r>
      <w:r w:rsidRPr="00445B9C">
        <w:rPr>
          <w:rFonts w:cs="Arial"/>
          <w:szCs w:val="20"/>
        </w:rPr>
        <w:t xml:space="preserve"> pravila posodobiti, zato je treb</w:t>
      </w:r>
      <w:r w:rsidR="00C30FE4">
        <w:rPr>
          <w:rFonts w:cs="Arial"/>
          <w:szCs w:val="20"/>
        </w:rPr>
        <w:t>a</w:t>
      </w:r>
      <w:r w:rsidRPr="00445B9C">
        <w:rPr>
          <w:rFonts w:cs="Arial"/>
          <w:szCs w:val="20"/>
        </w:rPr>
        <w:t xml:space="preserve"> ZTFI-1 uskladiti z Uredbo 2022/2554/EU</w:t>
      </w:r>
      <w:r w:rsidR="005A4099" w:rsidRPr="00445B9C">
        <w:rPr>
          <w:rFonts w:cs="Arial"/>
          <w:szCs w:val="20"/>
        </w:rPr>
        <w:t xml:space="preserve"> na način, da so ITK</w:t>
      </w:r>
      <w:r w:rsidR="00C30FE4">
        <w:rPr>
          <w:rFonts w:cs="Arial"/>
          <w:szCs w:val="20"/>
        </w:rPr>
        <w:t>-</w:t>
      </w:r>
      <w:r w:rsidR="005A4099" w:rsidRPr="00445B9C">
        <w:rPr>
          <w:rFonts w:cs="Arial"/>
          <w:szCs w:val="20"/>
        </w:rPr>
        <w:t>sistemi borznoposredniških družb vzpostavljeni in upravljani v skladu s 7. členom Uredbe 2022/2554/EU</w:t>
      </w:r>
      <w:r w:rsidRPr="00445B9C">
        <w:rPr>
          <w:rFonts w:cs="Arial"/>
          <w:szCs w:val="20"/>
        </w:rPr>
        <w:t>.</w:t>
      </w:r>
    </w:p>
    <w:p w:rsidR="00A531C0" w:rsidRPr="00445B9C" w:rsidRDefault="00A531C0" w:rsidP="00A531C0">
      <w:pPr>
        <w:spacing w:line="276" w:lineRule="auto"/>
        <w:jc w:val="both"/>
        <w:rPr>
          <w:rFonts w:cs="Arial"/>
          <w:szCs w:val="20"/>
        </w:rPr>
      </w:pPr>
    </w:p>
    <w:p w:rsidR="00FE0F83" w:rsidRPr="00445B9C" w:rsidRDefault="00A531C0" w:rsidP="00A531C0">
      <w:pPr>
        <w:spacing w:line="276" w:lineRule="auto"/>
        <w:jc w:val="both"/>
        <w:rPr>
          <w:rFonts w:cs="Arial"/>
          <w:szCs w:val="20"/>
        </w:rPr>
      </w:pPr>
      <w:r w:rsidRPr="00445B9C">
        <w:rPr>
          <w:rFonts w:cs="Arial"/>
          <w:szCs w:val="20"/>
        </w:rPr>
        <w:t>Z dopolnitvijo drugega odstavka 234. člena se v ZTFI-1 prenaša točka (a) prvega odstavka 6. člena Direktive 2022/2556/EU.</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_Ref196734335 \r \h  \* MERGEFORMAT </w:instrText>
      </w:r>
      <w:r w:rsidR="006813E2">
        <w:fldChar w:fldCharType="separate"/>
      </w:r>
      <w:r w:rsidR="001638A0" w:rsidRPr="00445B9C">
        <w:rPr>
          <w:rFonts w:cs="Arial"/>
          <w:b/>
          <w:bCs/>
          <w:szCs w:val="20"/>
        </w:rPr>
        <w:t xml:space="preserve">21. </w:t>
      </w:r>
      <w:r w:rsidR="006813E2">
        <w:fldChar w:fldCharType="end"/>
      </w:r>
      <w:r w:rsidRPr="00445B9C">
        <w:rPr>
          <w:rFonts w:cs="Arial"/>
          <w:b/>
          <w:bCs/>
          <w:szCs w:val="20"/>
        </w:rPr>
        <w:t>členu</w:t>
      </w:r>
    </w:p>
    <w:p w:rsidR="00FE0F83" w:rsidRPr="00445B9C" w:rsidRDefault="009E574C" w:rsidP="00214059">
      <w:pPr>
        <w:spacing w:line="276" w:lineRule="auto"/>
        <w:jc w:val="both"/>
        <w:rPr>
          <w:rFonts w:cs="Arial"/>
          <w:szCs w:val="20"/>
        </w:rPr>
      </w:pPr>
      <w:r w:rsidRPr="00445B9C">
        <w:rPr>
          <w:rFonts w:cs="Arial"/>
          <w:szCs w:val="20"/>
        </w:rPr>
        <w:t>Zaradi dopolnitve 234. člena ZTFI-1 (</w:t>
      </w:r>
      <w:r w:rsidR="006813E2">
        <w:fldChar w:fldCharType="begin"/>
      </w:r>
      <w:r w:rsidR="006813E2">
        <w:instrText xml:space="preserve"> REF _Ref196734313 \r \h  \* MERGEFORMAT </w:instrText>
      </w:r>
      <w:r w:rsidR="006813E2">
        <w:fldChar w:fldCharType="separate"/>
      </w:r>
      <w:r w:rsidR="001638A0" w:rsidRPr="00445B9C">
        <w:rPr>
          <w:rFonts w:cs="Arial"/>
          <w:szCs w:val="20"/>
        </w:rPr>
        <w:t xml:space="preserve">20. </w:t>
      </w:r>
      <w:r w:rsidR="006813E2">
        <w:fldChar w:fldCharType="end"/>
      </w:r>
      <w:r w:rsidRPr="00445B9C">
        <w:rPr>
          <w:rFonts w:cs="Arial"/>
          <w:szCs w:val="20"/>
        </w:rPr>
        <w:t>člen predloga zakona) se predlaga črtanje 3. točke prvega odstavka 236. člena ZTFI-1, saj ni več potreben.</w:t>
      </w:r>
    </w:p>
    <w:p w:rsidR="008C06DF" w:rsidRPr="00445B9C" w:rsidRDefault="008C06DF" w:rsidP="00214059">
      <w:pPr>
        <w:spacing w:line="276" w:lineRule="auto"/>
        <w:jc w:val="both"/>
        <w:rPr>
          <w:rFonts w:cs="Arial"/>
          <w:szCs w:val="20"/>
        </w:rPr>
      </w:pPr>
    </w:p>
    <w:p w:rsidR="008C06DF" w:rsidRPr="00445B9C" w:rsidRDefault="008C06DF" w:rsidP="00214059">
      <w:pPr>
        <w:spacing w:line="276" w:lineRule="auto"/>
        <w:jc w:val="both"/>
        <w:rPr>
          <w:rFonts w:cs="Arial"/>
          <w:szCs w:val="20"/>
        </w:rPr>
      </w:pPr>
      <w:r w:rsidRPr="00445B9C">
        <w:rPr>
          <w:rFonts w:cs="Arial"/>
          <w:szCs w:val="20"/>
        </w:rPr>
        <w:t>Drugi odstavek 236. člena ZTFI-1 se dopolni s sklicem na zahteve iz Uredbe 2022/2554/EU</w:t>
      </w:r>
      <w:r w:rsidR="00284C35" w:rsidRPr="00445B9C">
        <w:rPr>
          <w:rFonts w:cs="Arial"/>
          <w:szCs w:val="20"/>
        </w:rPr>
        <w:t xml:space="preserve"> s katerim se zagotovi varnost in preverjanje prenosa informacij, zmanjšuje tveganje spreminjanja</w:t>
      </w:r>
      <w:r w:rsidR="00E215F7">
        <w:rPr>
          <w:rFonts w:cs="Arial"/>
          <w:szCs w:val="20"/>
        </w:rPr>
        <w:t>,</w:t>
      </w:r>
      <w:r w:rsidR="00284C35" w:rsidRPr="00445B9C">
        <w:rPr>
          <w:rFonts w:cs="Arial"/>
          <w:szCs w:val="20"/>
        </w:rPr>
        <w:t xml:space="preserve"> izgube informacij </w:t>
      </w:r>
      <w:r w:rsidR="00E215F7">
        <w:rPr>
          <w:rFonts w:cs="Arial"/>
          <w:szCs w:val="20"/>
        </w:rPr>
        <w:t xml:space="preserve">in </w:t>
      </w:r>
      <w:r w:rsidR="00284C35" w:rsidRPr="00445B9C">
        <w:rPr>
          <w:rFonts w:cs="Arial"/>
          <w:szCs w:val="20"/>
        </w:rPr>
        <w:t xml:space="preserve">nepooblaščenega dostopa do informacij </w:t>
      </w:r>
      <w:r w:rsidR="00E215F7">
        <w:rPr>
          <w:rFonts w:cs="Arial"/>
          <w:szCs w:val="20"/>
        </w:rPr>
        <w:t>ter</w:t>
      </w:r>
      <w:r w:rsidR="00284C35" w:rsidRPr="00445B9C">
        <w:rPr>
          <w:rFonts w:cs="Arial"/>
          <w:szCs w:val="20"/>
        </w:rPr>
        <w:t xml:space="preserve"> prepreči odtekanje informacij</w:t>
      </w:r>
      <w:r w:rsidRPr="00445B9C">
        <w:rPr>
          <w:rFonts w:cs="Arial"/>
          <w:szCs w:val="20"/>
        </w:rPr>
        <w:t xml:space="preserve">. Z </w:t>
      </w:r>
      <w:r w:rsidRPr="00445B9C">
        <w:rPr>
          <w:rFonts w:cs="Arial"/>
          <w:szCs w:val="20"/>
        </w:rPr>
        <w:lastRenderedPageBreak/>
        <w:t>dopolnitvijo drugega odstavka 236. člena se v ZTFI-1 prenaša točka (b) prvega odstavka 6. člena Direktive 2022/2556/EU.</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_Ref196734397 \r \h  \* MERGEFORMAT </w:instrText>
      </w:r>
      <w:r w:rsidR="006813E2">
        <w:fldChar w:fldCharType="separate"/>
      </w:r>
      <w:r w:rsidR="001638A0" w:rsidRPr="00445B9C">
        <w:rPr>
          <w:rFonts w:cs="Arial"/>
          <w:b/>
          <w:bCs/>
          <w:szCs w:val="20"/>
        </w:rPr>
        <w:t xml:space="preserve">22. </w:t>
      </w:r>
      <w:r w:rsidR="006813E2">
        <w:fldChar w:fldCharType="end"/>
      </w:r>
      <w:r w:rsidRPr="00445B9C">
        <w:rPr>
          <w:rFonts w:cs="Arial"/>
          <w:b/>
          <w:bCs/>
          <w:szCs w:val="20"/>
        </w:rPr>
        <w:t>členu</w:t>
      </w:r>
    </w:p>
    <w:p w:rsidR="00907A29" w:rsidRPr="00445B9C" w:rsidRDefault="0003108D" w:rsidP="00907A29">
      <w:pPr>
        <w:spacing w:line="276" w:lineRule="auto"/>
        <w:jc w:val="both"/>
        <w:rPr>
          <w:rFonts w:cs="Arial"/>
          <w:szCs w:val="20"/>
        </w:rPr>
      </w:pPr>
      <w:r w:rsidRPr="00445B9C">
        <w:rPr>
          <w:rFonts w:cs="Arial"/>
          <w:szCs w:val="20"/>
        </w:rPr>
        <w:t>Za investicijska podjetja, ki izvajajo algoritemsko trgovanje</w:t>
      </w:r>
      <w:r w:rsidR="00E215F7">
        <w:rPr>
          <w:rFonts w:cs="Arial"/>
          <w:szCs w:val="20"/>
        </w:rPr>
        <w:t>,</w:t>
      </w:r>
      <w:r w:rsidRPr="00445B9C">
        <w:rPr>
          <w:rFonts w:cs="Arial"/>
          <w:szCs w:val="20"/>
        </w:rPr>
        <w:t xml:space="preserve"> že veljajo podrobnejša pravila v ZTFI-1 in delegiranih aktih (</w:t>
      </w:r>
      <w:r w:rsidRPr="00445B9C">
        <w:rPr>
          <w:rFonts w:cs="Arial"/>
          <w:i/>
          <w:iCs/>
          <w:szCs w:val="20"/>
        </w:rPr>
        <w:t>Delegirana uredba Komisije (EU) 2017/589 z dne 19. julija 2016 o dopolnitvi Direktive 2014/65/EU Evropskega parlamenta in Sveta v zvezi z regulativnimi tehničnimi standardi o organizacijskih zahtevah za investicijska podjetja, ki se ukvarjajo z algoritemskim trgovanjem</w:t>
      </w:r>
      <w:r w:rsidRPr="00445B9C">
        <w:rPr>
          <w:rFonts w:cs="Arial"/>
          <w:szCs w:val="20"/>
        </w:rPr>
        <w:t xml:space="preserve">), zlasti glede učinkovitih sistemov in nadzora tveganja za zagotavljanje odpornosti sistemov trgovanja, preprečevanje napačnih naročil ali zlorabe takih sistemov trgovanja. Prav tako morajo imeti dogovore o neprekinjenem poslovanju, ki jim omogočajo, da se soočijo z okvarami trgovalnih sistemov </w:t>
      </w:r>
      <w:r w:rsidR="00E215F7">
        <w:rPr>
          <w:rFonts w:cs="Arial"/>
          <w:szCs w:val="20"/>
        </w:rPr>
        <w:t>ter</w:t>
      </w:r>
      <w:r w:rsidR="00E215F7" w:rsidRPr="00445B9C">
        <w:rPr>
          <w:rFonts w:cs="Arial"/>
          <w:szCs w:val="20"/>
        </w:rPr>
        <w:t xml:space="preserve"> </w:t>
      </w:r>
      <w:r w:rsidRPr="00445B9C">
        <w:rPr>
          <w:rFonts w:cs="Arial"/>
          <w:szCs w:val="20"/>
        </w:rPr>
        <w:t xml:space="preserve">opravijo popolno testiranje in spremljanje takih sistemov. </w:t>
      </w:r>
      <w:r w:rsidR="00E215F7">
        <w:rPr>
          <w:rFonts w:cs="Arial"/>
          <w:szCs w:val="20"/>
        </w:rPr>
        <w:t>Vendar pa</w:t>
      </w:r>
      <w:r w:rsidRPr="00445B9C">
        <w:rPr>
          <w:rFonts w:cs="Arial"/>
          <w:szCs w:val="20"/>
        </w:rPr>
        <w:t xml:space="preserve"> ta pravila</w:t>
      </w:r>
      <w:r w:rsidR="00907A29" w:rsidRPr="00445B9C">
        <w:rPr>
          <w:rFonts w:cs="Arial"/>
          <w:szCs w:val="20"/>
        </w:rPr>
        <w:t xml:space="preserve"> vsebuje</w:t>
      </w:r>
      <w:r w:rsidRPr="00445B9C">
        <w:rPr>
          <w:rFonts w:cs="Arial"/>
          <w:szCs w:val="20"/>
        </w:rPr>
        <w:t>jo</w:t>
      </w:r>
      <w:r w:rsidR="00907A29" w:rsidRPr="00445B9C">
        <w:rPr>
          <w:rFonts w:cs="Arial"/>
          <w:szCs w:val="20"/>
        </w:rPr>
        <w:t xml:space="preserve"> le omejena sklicevanja na nadzorne in zaščitne ureditve za sisteme obdelovanja informacij ter na uporabo ustreznih sistemov, virov in postopkov za zagotavljanje </w:t>
      </w:r>
      <w:r w:rsidR="00E215F7">
        <w:rPr>
          <w:rFonts w:cs="Arial"/>
          <w:szCs w:val="20"/>
        </w:rPr>
        <w:t>neprekinjenosti</w:t>
      </w:r>
      <w:r w:rsidR="00E215F7" w:rsidRPr="00445B9C">
        <w:rPr>
          <w:rFonts w:cs="Arial"/>
          <w:szCs w:val="20"/>
        </w:rPr>
        <w:t xml:space="preserve"> </w:t>
      </w:r>
      <w:r w:rsidR="00907A29" w:rsidRPr="00445B9C">
        <w:rPr>
          <w:rFonts w:cs="Arial"/>
          <w:szCs w:val="20"/>
        </w:rPr>
        <w:t>in pravilnosti opravljanja poslovnih dejavnosti. Zato je treb</w:t>
      </w:r>
      <w:r w:rsidR="00E215F7">
        <w:rPr>
          <w:rFonts w:cs="Arial"/>
          <w:szCs w:val="20"/>
        </w:rPr>
        <w:t>a</w:t>
      </w:r>
      <w:r w:rsidR="00907A29" w:rsidRPr="00445B9C">
        <w:rPr>
          <w:rFonts w:cs="Arial"/>
          <w:szCs w:val="20"/>
        </w:rPr>
        <w:t xml:space="preserve"> ZTFI-1 uskladiti z Uredbo 2022/2554/EU glede </w:t>
      </w:r>
      <w:r w:rsidR="00E215F7">
        <w:rPr>
          <w:rFonts w:cs="Arial"/>
          <w:szCs w:val="20"/>
        </w:rPr>
        <w:t>neprekinjenosti</w:t>
      </w:r>
      <w:r w:rsidR="00E215F7" w:rsidRPr="00445B9C">
        <w:rPr>
          <w:rFonts w:cs="Arial"/>
          <w:szCs w:val="20"/>
        </w:rPr>
        <w:t xml:space="preserve"> </w:t>
      </w:r>
      <w:r w:rsidR="00907A29" w:rsidRPr="00445B9C">
        <w:rPr>
          <w:rFonts w:cs="Arial"/>
          <w:szCs w:val="20"/>
        </w:rPr>
        <w:t>in pravilnosti pri zagotavljanju investicijskih storitev in opravljanju investicijskih poslov, operativn</w:t>
      </w:r>
      <w:r w:rsidR="00E215F7">
        <w:rPr>
          <w:rFonts w:cs="Arial"/>
          <w:szCs w:val="20"/>
        </w:rPr>
        <w:t>e</w:t>
      </w:r>
      <w:r w:rsidR="00907A29" w:rsidRPr="00445B9C">
        <w:rPr>
          <w:rFonts w:cs="Arial"/>
          <w:szCs w:val="20"/>
        </w:rPr>
        <w:t xml:space="preserve"> odpornost</w:t>
      </w:r>
      <w:r w:rsidR="00E215F7">
        <w:rPr>
          <w:rFonts w:cs="Arial"/>
          <w:szCs w:val="20"/>
        </w:rPr>
        <w:t>i</w:t>
      </w:r>
      <w:r w:rsidR="00907A29" w:rsidRPr="00445B9C">
        <w:rPr>
          <w:rFonts w:cs="Arial"/>
          <w:szCs w:val="20"/>
        </w:rPr>
        <w:t>, zmogljivost</w:t>
      </w:r>
      <w:r w:rsidR="00E215F7">
        <w:rPr>
          <w:rFonts w:cs="Arial"/>
          <w:szCs w:val="20"/>
        </w:rPr>
        <w:t>i</w:t>
      </w:r>
      <w:r w:rsidR="00907A29" w:rsidRPr="00445B9C">
        <w:rPr>
          <w:rFonts w:cs="Arial"/>
          <w:szCs w:val="20"/>
        </w:rPr>
        <w:t xml:space="preserve"> sistemov trgovanja ter učinkovitost</w:t>
      </w:r>
      <w:r w:rsidR="00E215F7">
        <w:rPr>
          <w:rFonts w:cs="Arial"/>
          <w:szCs w:val="20"/>
        </w:rPr>
        <w:t>i</w:t>
      </w:r>
      <w:r w:rsidR="00907A29" w:rsidRPr="00445B9C">
        <w:rPr>
          <w:rFonts w:cs="Arial"/>
          <w:szCs w:val="20"/>
        </w:rPr>
        <w:t xml:space="preserve"> ureditev neprekinjenega poslovanja in upravljanja tveganj.</w:t>
      </w:r>
    </w:p>
    <w:p w:rsidR="00907A29" w:rsidRPr="00445B9C" w:rsidRDefault="00907A29" w:rsidP="00907A29">
      <w:pPr>
        <w:spacing w:line="276" w:lineRule="auto"/>
        <w:jc w:val="both"/>
        <w:rPr>
          <w:rFonts w:cs="Arial"/>
          <w:szCs w:val="20"/>
        </w:rPr>
      </w:pPr>
    </w:p>
    <w:p w:rsidR="00907A29" w:rsidRPr="00445B9C" w:rsidRDefault="00907A29" w:rsidP="00907A29">
      <w:pPr>
        <w:spacing w:line="276" w:lineRule="auto"/>
        <w:jc w:val="both"/>
        <w:rPr>
          <w:rFonts w:cs="Arial"/>
          <w:szCs w:val="20"/>
        </w:rPr>
      </w:pPr>
      <w:r w:rsidRPr="00445B9C">
        <w:rPr>
          <w:rFonts w:cs="Arial"/>
          <w:szCs w:val="20"/>
        </w:rPr>
        <w:t xml:space="preserve">Z dopolnitvijo </w:t>
      </w:r>
      <w:r w:rsidR="000034AD" w:rsidRPr="00445B9C">
        <w:rPr>
          <w:rFonts w:cs="Arial"/>
          <w:szCs w:val="20"/>
        </w:rPr>
        <w:t>prvega</w:t>
      </w:r>
      <w:r w:rsidRPr="00445B9C">
        <w:rPr>
          <w:rFonts w:cs="Arial"/>
          <w:szCs w:val="20"/>
        </w:rPr>
        <w:t xml:space="preserve"> odstavka 24</w:t>
      </w:r>
      <w:r w:rsidR="000034AD" w:rsidRPr="00445B9C">
        <w:rPr>
          <w:rFonts w:cs="Arial"/>
          <w:szCs w:val="20"/>
        </w:rPr>
        <w:t>2</w:t>
      </w:r>
      <w:r w:rsidRPr="00445B9C">
        <w:rPr>
          <w:rFonts w:cs="Arial"/>
          <w:szCs w:val="20"/>
        </w:rPr>
        <w:t xml:space="preserve">. člena se v ZTFI-1 prenaša točka (a) </w:t>
      </w:r>
      <w:r w:rsidR="000034AD" w:rsidRPr="00445B9C">
        <w:rPr>
          <w:rFonts w:cs="Arial"/>
          <w:szCs w:val="20"/>
        </w:rPr>
        <w:t>drugega</w:t>
      </w:r>
      <w:r w:rsidRPr="00445B9C">
        <w:rPr>
          <w:rFonts w:cs="Arial"/>
          <w:szCs w:val="20"/>
        </w:rPr>
        <w:t xml:space="preserve"> odstavka 6. člena Direktive 2022/2556/EU.</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_Ref196734410 \r \h  \* MERGEFORMAT </w:instrText>
      </w:r>
      <w:r w:rsidR="006813E2">
        <w:fldChar w:fldCharType="separate"/>
      </w:r>
      <w:r w:rsidR="001638A0" w:rsidRPr="00445B9C">
        <w:rPr>
          <w:rFonts w:cs="Arial"/>
          <w:b/>
          <w:bCs/>
          <w:szCs w:val="20"/>
        </w:rPr>
        <w:t xml:space="preserve">23. </w:t>
      </w:r>
      <w:r w:rsidR="006813E2">
        <w:fldChar w:fldCharType="end"/>
      </w:r>
      <w:r w:rsidRPr="00445B9C">
        <w:rPr>
          <w:rFonts w:cs="Arial"/>
          <w:b/>
          <w:bCs/>
          <w:szCs w:val="20"/>
        </w:rPr>
        <w:t>členu</w:t>
      </w:r>
    </w:p>
    <w:p w:rsidR="00FE0F83" w:rsidRPr="00445B9C" w:rsidRDefault="0074706F" w:rsidP="00706ABD">
      <w:pPr>
        <w:spacing w:line="276" w:lineRule="auto"/>
        <w:jc w:val="both"/>
        <w:rPr>
          <w:rFonts w:cs="Arial"/>
          <w:szCs w:val="20"/>
        </w:rPr>
      </w:pPr>
      <w:r w:rsidRPr="00445B9C">
        <w:rPr>
          <w:rFonts w:cs="Arial"/>
          <w:szCs w:val="20"/>
        </w:rPr>
        <w:t xml:space="preserve">ZTFI-1 </w:t>
      </w:r>
      <w:r w:rsidR="00E215F7">
        <w:rPr>
          <w:rFonts w:cs="Arial"/>
          <w:szCs w:val="20"/>
        </w:rPr>
        <w:t xml:space="preserve">v </w:t>
      </w:r>
      <w:r w:rsidR="00E215F7" w:rsidRPr="00445B9C">
        <w:rPr>
          <w:rFonts w:cs="Arial"/>
          <w:szCs w:val="20"/>
        </w:rPr>
        <w:t>267. člen</w:t>
      </w:r>
      <w:r w:rsidR="00E215F7">
        <w:rPr>
          <w:rFonts w:cs="Arial"/>
          <w:szCs w:val="20"/>
        </w:rPr>
        <w:t>u</w:t>
      </w:r>
      <w:r w:rsidR="00E215F7" w:rsidRPr="00445B9C">
        <w:rPr>
          <w:rFonts w:cs="Arial"/>
          <w:szCs w:val="20"/>
        </w:rPr>
        <w:t xml:space="preserve"> </w:t>
      </w:r>
      <w:r w:rsidRPr="00445B9C">
        <w:rPr>
          <w:rFonts w:cs="Arial"/>
          <w:szCs w:val="20"/>
        </w:rPr>
        <w:t>ureja izvrševanje naročil pod najugodnejšimi pogoji za stranko, med drugim tudi v zvezi s plačili za tok naročil. Uredba 2024/791/EU o spremembi Uredbe 600/2014/EU prepoveduje investicijskim podjetjem prejemati takšna plačila v vsej EU, zato se predlaga črtanje šestega odstavka 267. člena ZTFI-1.</w:t>
      </w:r>
    </w:p>
    <w:p w:rsidR="00FE0F83" w:rsidRPr="00445B9C" w:rsidRDefault="00FE0F83" w:rsidP="00706ABD">
      <w:pPr>
        <w:spacing w:line="276" w:lineRule="auto"/>
        <w:jc w:val="both"/>
        <w:rPr>
          <w:rFonts w:cs="Arial"/>
          <w:szCs w:val="20"/>
        </w:rPr>
      </w:pPr>
    </w:p>
    <w:p w:rsidR="0074706F" w:rsidRPr="00445B9C" w:rsidRDefault="0074706F" w:rsidP="00706ABD">
      <w:pPr>
        <w:spacing w:line="276" w:lineRule="auto"/>
        <w:jc w:val="both"/>
        <w:rPr>
          <w:rFonts w:cs="Arial"/>
          <w:szCs w:val="20"/>
        </w:rPr>
      </w:pPr>
      <w:r w:rsidRPr="00445B9C">
        <w:rPr>
          <w:rFonts w:cs="Arial"/>
          <w:szCs w:val="20"/>
        </w:rPr>
        <w:t>Direktiva 2014/65/EU (tretji odstavek 27. člena Direktive, ki je prenesen v sedmi in osmi odstavek 267. člena ZTFI-1) je zahtevala objavo poročila o najboljši izvršitvi naročil, vendar je praksa pokazala, da se ta poročila redko berejo in da vlagateljem ali drugim uporabnikom teh poročil ne omogočajo, da bi na podlagi informacij v njih delali smiselne primerjave. Zato je bila ta zahteva z Direktivo 2021/338</w:t>
      </w:r>
      <w:r w:rsidR="00BA408D" w:rsidRPr="00445B9C">
        <w:rPr>
          <w:rFonts w:cs="Arial"/>
          <w:szCs w:val="20"/>
        </w:rPr>
        <w:t>/EU</w:t>
      </w:r>
      <w:r w:rsidRPr="00445B9C">
        <w:rPr>
          <w:rFonts w:cs="Arial"/>
          <w:szCs w:val="20"/>
        </w:rPr>
        <w:t xml:space="preserve"> začasno ukinjena za dve leti.</w:t>
      </w:r>
      <w:r w:rsidR="00216371" w:rsidRPr="00445B9C">
        <w:rPr>
          <w:rFonts w:cs="Arial"/>
          <w:szCs w:val="20"/>
        </w:rPr>
        <w:t xml:space="preserve"> Uredba 600/2014/EU na novo ureja sistem stalnih informacij, ki se lahko uporabijo kot dokaz najboljše izvršitve. Zato zahteva glede poročanja iz sedmega odstavka 267. člena ZTFI-1 ni več </w:t>
      </w:r>
      <w:r w:rsidR="007D5B63">
        <w:rPr>
          <w:rFonts w:cs="Arial"/>
          <w:szCs w:val="20"/>
        </w:rPr>
        <w:t>pomembna</w:t>
      </w:r>
      <w:r w:rsidR="007D5B63" w:rsidRPr="00445B9C">
        <w:rPr>
          <w:rFonts w:cs="Arial"/>
          <w:szCs w:val="20"/>
        </w:rPr>
        <w:t xml:space="preserve"> </w:t>
      </w:r>
      <w:r w:rsidR="00216371" w:rsidRPr="00445B9C">
        <w:rPr>
          <w:rFonts w:cs="Arial"/>
          <w:szCs w:val="20"/>
        </w:rPr>
        <w:t>in jo je treba črtati, osmi odstavek 267. člena ZTFI-1 pa je ustrezno dopolniti.</w:t>
      </w:r>
    </w:p>
    <w:p w:rsidR="0074706F" w:rsidRPr="00445B9C" w:rsidRDefault="0074706F" w:rsidP="00706ABD">
      <w:pPr>
        <w:spacing w:line="276" w:lineRule="auto"/>
        <w:jc w:val="both"/>
        <w:rPr>
          <w:rFonts w:cs="Arial"/>
          <w:szCs w:val="20"/>
        </w:rPr>
      </w:pPr>
    </w:p>
    <w:p w:rsidR="0074706F" w:rsidRPr="00445B9C" w:rsidRDefault="00216371" w:rsidP="0074706F">
      <w:pPr>
        <w:spacing w:line="276" w:lineRule="auto"/>
        <w:jc w:val="both"/>
        <w:rPr>
          <w:rFonts w:cs="Arial"/>
          <w:szCs w:val="20"/>
        </w:rPr>
      </w:pPr>
      <w:r w:rsidRPr="00445B9C">
        <w:rPr>
          <w:rFonts w:cs="Arial"/>
          <w:szCs w:val="20"/>
        </w:rPr>
        <w:t xml:space="preserve">S spremembo in </w:t>
      </w:r>
      <w:r w:rsidR="0074706F" w:rsidRPr="00445B9C">
        <w:rPr>
          <w:rFonts w:cs="Arial"/>
          <w:szCs w:val="20"/>
        </w:rPr>
        <w:t>dopolnitvijo 2</w:t>
      </w:r>
      <w:r w:rsidRPr="00445B9C">
        <w:rPr>
          <w:rFonts w:cs="Arial"/>
          <w:szCs w:val="20"/>
        </w:rPr>
        <w:t>67</w:t>
      </w:r>
      <w:r w:rsidR="0074706F" w:rsidRPr="00445B9C">
        <w:rPr>
          <w:rFonts w:cs="Arial"/>
          <w:szCs w:val="20"/>
        </w:rPr>
        <w:t>. člena se v ZTFI-1 prenaša</w:t>
      </w:r>
      <w:r w:rsidRPr="00445B9C">
        <w:rPr>
          <w:rFonts w:cs="Arial"/>
          <w:szCs w:val="20"/>
        </w:rPr>
        <w:t>ta</w:t>
      </w:r>
      <w:r w:rsidR="0074706F" w:rsidRPr="00445B9C">
        <w:rPr>
          <w:rFonts w:cs="Arial"/>
          <w:szCs w:val="20"/>
        </w:rPr>
        <w:t xml:space="preserve"> točk</w:t>
      </w:r>
      <w:r w:rsidRPr="00445B9C">
        <w:rPr>
          <w:rFonts w:cs="Arial"/>
          <w:szCs w:val="20"/>
        </w:rPr>
        <w:t>i</w:t>
      </w:r>
      <w:r w:rsidR="0074706F" w:rsidRPr="00445B9C">
        <w:rPr>
          <w:rFonts w:cs="Arial"/>
          <w:szCs w:val="20"/>
        </w:rPr>
        <w:t xml:space="preserve"> </w:t>
      </w:r>
      <w:r w:rsidRPr="00445B9C">
        <w:rPr>
          <w:rFonts w:cs="Arial"/>
          <w:szCs w:val="20"/>
        </w:rPr>
        <w:t xml:space="preserve">(a) in </w:t>
      </w:r>
      <w:r w:rsidR="0074706F" w:rsidRPr="00445B9C">
        <w:rPr>
          <w:rFonts w:cs="Arial"/>
          <w:szCs w:val="20"/>
        </w:rPr>
        <w:t>(</w:t>
      </w:r>
      <w:r w:rsidRPr="00445B9C">
        <w:rPr>
          <w:rFonts w:cs="Arial"/>
          <w:szCs w:val="20"/>
        </w:rPr>
        <w:t>b</w:t>
      </w:r>
      <w:r w:rsidR="0074706F" w:rsidRPr="00445B9C">
        <w:rPr>
          <w:rFonts w:cs="Arial"/>
          <w:szCs w:val="20"/>
        </w:rPr>
        <w:t xml:space="preserve">) </w:t>
      </w:r>
      <w:r w:rsidRPr="00445B9C">
        <w:rPr>
          <w:rFonts w:cs="Arial"/>
          <w:szCs w:val="20"/>
        </w:rPr>
        <w:t>četrtega</w:t>
      </w:r>
      <w:r w:rsidR="0074706F" w:rsidRPr="00445B9C">
        <w:rPr>
          <w:rFonts w:cs="Arial"/>
          <w:szCs w:val="20"/>
        </w:rPr>
        <w:t xml:space="preserve"> odstavka 6. člena Direktive 2022/2556/EU.</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_Ref196734445 \r \h  \* ME</w:instrText>
      </w:r>
      <w:r w:rsidR="006813E2">
        <w:instrText xml:space="preserve">RGEFORMAT </w:instrText>
      </w:r>
      <w:r w:rsidR="006813E2">
        <w:fldChar w:fldCharType="separate"/>
      </w:r>
      <w:r w:rsidR="001638A0" w:rsidRPr="00445B9C">
        <w:rPr>
          <w:rFonts w:cs="Arial"/>
          <w:b/>
          <w:bCs/>
          <w:szCs w:val="20"/>
        </w:rPr>
        <w:t xml:space="preserve">24. </w:t>
      </w:r>
      <w:r w:rsidR="006813E2">
        <w:fldChar w:fldCharType="end"/>
      </w:r>
      <w:r w:rsidRPr="00445B9C">
        <w:rPr>
          <w:rFonts w:cs="Arial"/>
          <w:b/>
          <w:bCs/>
          <w:szCs w:val="20"/>
        </w:rPr>
        <w:t>členu</w:t>
      </w:r>
    </w:p>
    <w:p w:rsidR="00FE0F83" w:rsidRPr="00445B9C" w:rsidRDefault="00D81867" w:rsidP="00706ABD">
      <w:pPr>
        <w:spacing w:line="276" w:lineRule="auto"/>
        <w:jc w:val="both"/>
        <w:rPr>
          <w:rFonts w:cs="Arial"/>
          <w:szCs w:val="20"/>
        </w:rPr>
      </w:pPr>
      <w:r w:rsidRPr="00445B9C">
        <w:rPr>
          <w:rFonts w:cs="Arial"/>
          <w:szCs w:val="20"/>
        </w:rPr>
        <w:t xml:space="preserve">Četrti odstavek 269. člena ZTFI-1 je vsebinsko povezan s sedmim odstavkom 267. člena ZTFI-1 (glej obrazložitev k </w:t>
      </w:r>
      <w:r w:rsidR="006813E2">
        <w:fldChar w:fldCharType="begin"/>
      </w:r>
      <w:r w:rsidR="006813E2">
        <w:instrText xml:space="preserve"> REF _Ref196734410 \r \h  \* MERGEFORMAT </w:instrText>
      </w:r>
      <w:r w:rsidR="006813E2">
        <w:fldChar w:fldCharType="separate"/>
      </w:r>
      <w:r w:rsidR="001638A0" w:rsidRPr="00445B9C">
        <w:rPr>
          <w:rFonts w:cs="Arial"/>
          <w:szCs w:val="20"/>
        </w:rPr>
        <w:t xml:space="preserve">23. </w:t>
      </w:r>
      <w:r w:rsidR="006813E2">
        <w:fldChar w:fldCharType="end"/>
      </w:r>
      <w:r w:rsidRPr="00445B9C">
        <w:rPr>
          <w:rFonts w:cs="Arial"/>
          <w:szCs w:val="20"/>
        </w:rPr>
        <w:t>členu predloga zakona)</w:t>
      </w:r>
      <w:r w:rsidR="00CB688E" w:rsidRPr="00445B9C">
        <w:rPr>
          <w:rFonts w:cs="Arial"/>
          <w:szCs w:val="20"/>
        </w:rPr>
        <w:t>. Ker poročila iz četrtega odstavka 269. člena ZTFI-1 v praksi ne dosegajo svojega namena, hkrati pa Uredba 600/2014/EU na novo ureja sistem stalnih informacij</w:t>
      </w:r>
      <w:r w:rsidR="007D5B63">
        <w:rPr>
          <w:rFonts w:cs="Arial"/>
          <w:szCs w:val="20"/>
        </w:rPr>
        <w:t>,</w:t>
      </w:r>
      <w:r w:rsidR="00CB688E" w:rsidRPr="00445B9C">
        <w:rPr>
          <w:rFonts w:cs="Arial"/>
          <w:szCs w:val="20"/>
        </w:rPr>
        <w:t xml:space="preserve"> se predlaga črtanje četrtega odstavka 269. člena.</w:t>
      </w:r>
    </w:p>
    <w:p w:rsidR="00D81867" w:rsidRPr="00445B9C" w:rsidRDefault="00D81867" w:rsidP="00706ABD">
      <w:pPr>
        <w:spacing w:line="276" w:lineRule="auto"/>
        <w:jc w:val="both"/>
        <w:rPr>
          <w:rFonts w:cs="Arial"/>
          <w:szCs w:val="20"/>
        </w:rPr>
      </w:pPr>
    </w:p>
    <w:p w:rsidR="00CB688E" w:rsidRPr="00445B9C" w:rsidRDefault="00CB688E" w:rsidP="00CB688E">
      <w:pPr>
        <w:spacing w:line="276" w:lineRule="auto"/>
        <w:jc w:val="both"/>
        <w:rPr>
          <w:rFonts w:cs="Arial"/>
          <w:szCs w:val="20"/>
        </w:rPr>
      </w:pPr>
      <w:r w:rsidRPr="00445B9C">
        <w:rPr>
          <w:rFonts w:cs="Arial"/>
          <w:szCs w:val="20"/>
        </w:rPr>
        <w:t>S črtanjem četrtega odstavka 269. člena se v ZTFI-1 prenaša točka (c) četrtega odstavka 6. člena Direktive 2022/2556/EU.</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_Ref196734480 \r \h  \* MERGEFORMAT </w:instrText>
      </w:r>
      <w:r w:rsidR="006813E2">
        <w:fldChar w:fldCharType="separate"/>
      </w:r>
      <w:r w:rsidR="001638A0" w:rsidRPr="00445B9C">
        <w:rPr>
          <w:rFonts w:cs="Arial"/>
          <w:b/>
          <w:bCs/>
          <w:szCs w:val="20"/>
        </w:rPr>
        <w:t xml:space="preserve">25. </w:t>
      </w:r>
      <w:r w:rsidR="006813E2">
        <w:fldChar w:fldCharType="end"/>
      </w:r>
      <w:r w:rsidRPr="00445B9C">
        <w:rPr>
          <w:rFonts w:cs="Arial"/>
          <w:b/>
          <w:bCs/>
          <w:szCs w:val="20"/>
        </w:rPr>
        <w:t>členu</w:t>
      </w:r>
    </w:p>
    <w:p w:rsidR="00FE0F83" w:rsidRPr="00445B9C" w:rsidRDefault="006D5DCE" w:rsidP="00706ABD">
      <w:pPr>
        <w:spacing w:line="276" w:lineRule="auto"/>
        <w:jc w:val="both"/>
        <w:rPr>
          <w:rFonts w:cs="Arial"/>
          <w:szCs w:val="20"/>
        </w:rPr>
      </w:pPr>
      <w:r w:rsidRPr="00445B9C">
        <w:rPr>
          <w:rFonts w:cs="Arial"/>
          <w:szCs w:val="20"/>
        </w:rPr>
        <w:t>Ker se predlaga črtanje sedmega in osmega odstavka 267. in četrtega odstavka 269. člena ZTFI-1</w:t>
      </w:r>
      <w:r w:rsidR="007D5B63">
        <w:rPr>
          <w:rFonts w:cs="Arial"/>
          <w:szCs w:val="20"/>
        </w:rPr>
        <w:t>,</w:t>
      </w:r>
      <w:r w:rsidRPr="00445B9C">
        <w:rPr>
          <w:rFonts w:cs="Arial"/>
          <w:szCs w:val="20"/>
        </w:rPr>
        <w:t xml:space="preserve"> se predlaga tudi črtanje dela besedila prvega odstavka 270. člena ZTFI-1</w:t>
      </w:r>
      <w:r w:rsidR="009D0B41" w:rsidRPr="00445B9C">
        <w:rPr>
          <w:rFonts w:cs="Arial"/>
          <w:szCs w:val="20"/>
        </w:rPr>
        <w:t>.</w:t>
      </w:r>
    </w:p>
    <w:p w:rsidR="009D0B41" w:rsidRPr="00445B9C" w:rsidRDefault="009D0B41" w:rsidP="00706ABD">
      <w:pPr>
        <w:spacing w:line="276" w:lineRule="auto"/>
        <w:jc w:val="both"/>
        <w:rPr>
          <w:rFonts w:cs="Arial"/>
          <w:szCs w:val="20"/>
        </w:rPr>
      </w:pPr>
    </w:p>
    <w:p w:rsidR="009D0B41" w:rsidRPr="00445B9C" w:rsidRDefault="009D0B41" w:rsidP="009D0B41">
      <w:pPr>
        <w:spacing w:line="276" w:lineRule="auto"/>
        <w:jc w:val="both"/>
        <w:rPr>
          <w:rFonts w:cs="Arial"/>
          <w:szCs w:val="20"/>
        </w:rPr>
      </w:pPr>
      <w:r w:rsidRPr="00445B9C">
        <w:rPr>
          <w:rFonts w:cs="Arial"/>
          <w:szCs w:val="20"/>
        </w:rPr>
        <w:t>S črtanjem dela besedila prvega odstavka 270. člena se v ZTFI-1 prenaša točka (d) četrtega odstavka 6. člena Direktive 2022/2556/EU.</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_Ref196734494 \r \h  \* MERGEFORMAT </w:instrText>
      </w:r>
      <w:r w:rsidR="006813E2">
        <w:fldChar w:fldCharType="separate"/>
      </w:r>
      <w:r w:rsidR="001638A0" w:rsidRPr="00445B9C">
        <w:rPr>
          <w:rFonts w:cs="Arial"/>
          <w:b/>
          <w:bCs/>
          <w:szCs w:val="20"/>
        </w:rPr>
        <w:t xml:space="preserve">26. </w:t>
      </w:r>
      <w:r w:rsidR="006813E2">
        <w:fldChar w:fldCharType="end"/>
      </w:r>
      <w:r w:rsidRPr="00445B9C">
        <w:rPr>
          <w:rFonts w:cs="Arial"/>
          <w:b/>
          <w:bCs/>
          <w:szCs w:val="20"/>
        </w:rPr>
        <w:t>členu</w:t>
      </w:r>
    </w:p>
    <w:p w:rsidR="00FE0F83" w:rsidRPr="00445B9C" w:rsidRDefault="007B7976" w:rsidP="00706ABD">
      <w:pPr>
        <w:spacing w:line="276" w:lineRule="auto"/>
        <w:jc w:val="both"/>
        <w:rPr>
          <w:rFonts w:cs="Arial"/>
          <w:szCs w:val="20"/>
        </w:rPr>
      </w:pPr>
      <w:r w:rsidRPr="00445B9C">
        <w:rPr>
          <w:rFonts w:cs="Arial"/>
          <w:szCs w:val="20"/>
        </w:rPr>
        <w:t>Z novim devetim odstavkom 278. člena ZTFI-1</w:t>
      </w:r>
      <w:r w:rsidR="00705F83" w:rsidRPr="00445B9C">
        <w:rPr>
          <w:rFonts w:cs="Arial"/>
          <w:szCs w:val="20"/>
        </w:rPr>
        <w:t xml:space="preserve"> </w:t>
      </w:r>
      <w:r w:rsidRPr="00445B9C">
        <w:rPr>
          <w:rFonts w:cs="Arial"/>
          <w:szCs w:val="20"/>
        </w:rPr>
        <w:t>se predlaga ureditev dostopnosti informacij iz registra zastopnikov, ki naj bodo dostopne ESAP. Določajo se tudi zahteve, ki jih morajo te informacije izpolnjevati.</w:t>
      </w:r>
    </w:p>
    <w:p w:rsidR="007B7976" w:rsidRPr="00445B9C" w:rsidRDefault="007B7976" w:rsidP="00706ABD">
      <w:pPr>
        <w:spacing w:line="276" w:lineRule="auto"/>
        <w:jc w:val="both"/>
        <w:rPr>
          <w:rFonts w:cs="Arial"/>
          <w:szCs w:val="20"/>
        </w:rPr>
      </w:pPr>
    </w:p>
    <w:p w:rsidR="007B7976" w:rsidRPr="00445B9C" w:rsidRDefault="007B7976" w:rsidP="007B7976">
      <w:pPr>
        <w:spacing w:line="276" w:lineRule="auto"/>
        <w:jc w:val="both"/>
        <w:rPr>
          <w:rFonts w:cs="Arial"/>
          <w:szCs w:val="20"/>
        </w:rPr>
      </w:pPr>
      <w:r w:rsidRPr="00445B9C">
        <w:rPr>
          <w:rFonts w:cs="Arial"/>
          <w:szCs w:val="20"/>
        </w:rPr>
        <w:t xml:space="preserve">Z novim devetim odstavkom 278. člena se v ZTFI-1 prenaša 12. člen Direktive 2023/2864/EU. Novi deveti odstavek 278. člena ZTFI-1 se začne uporabljati 10. januarja 2030, kar je urejeno v </w:t>
      </w:r>
      <w:r w:rsidR="005D1302" w:rsidRPr="00445B9C">
        <w:rPr>
          <w:rFonts w:cs="Arial"/>
          <w:szCs w:val="20"/>
        </w:rPr>
        <w:t xml:space="preserve">drugem odstavku </w:t>
      </w:r>
      <w:r w:rsidR="006813E2">
        <w:fldChar w:fldCharType="begin"/>
      </w:r>
      <w:r w:rsidR="006813E2">
        <w:instrText xml:space="preserve"> REF _Ref196734116 \r \h  \* MERGEFORMAT </w:instrText>
      </w:r>
      <w:r w:rsidR="006813E2">
        <w:fldChar w:fldCharType="separate"/>
      </w:r>
      <w:r w:rsidR="0091793C" w:rsidRPr="00445B9C">
        <w:rPr>
          <w:rFonts w:cs="Arial"/>
          <w:szCs w:val="20"/>
        </w:rPr>
        <w:t xml:space="preserve">57. </w:t>
      </w:r>
      <w:r w:rsidR="006813E2">
        <w:fldChar w:fldCharType="end"/>
      </w:r>
      <w:r w:rsidRPr="00445B9C">
        <w:rPr>
          <w:rFonts w:cs="Arial"/>
          <w:szCs w:val="20"/>
        </w:rPr>
        <w:t>člen</w:t>
      </w:r>
      <w:r w:rsidR="007D5B63">
        <w:rPr>
          <w:rFonts w:cs="Arial"/>
          <w:szCs w:val="20"/>
        </w:rPr>
        <w:t>a</w:t>
      </w:r>
      <w:r w:rsidRPr="00445B9C">
        <w:rPr>
          <w:rFonts w:cs="Arial"/>
          <w:szCs w:val="20"/>
        </w:rPr>
        <w:t xml:space="preserve">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_Ref196734550 \r \h  \* MERGEFORMAT </w:instrText>
      </w:r>
      <w:r w:rsidR="006813E2">
        <w:fldChar w:fldCharType="separate"/>
      </w:r>
      <w:r w:rsidR="001638A0" w:rsidRPr="00445B9C">
        <w:rPr>
          <w:rFonts w:cs="Arial"/>
          <w:b/>
          <w:bCs/>
          <w:szCs w:val="20"/>
        </w:rPr>
        <w:t xml:space="preserve">27. </w:t>
      </w:r>
      <w:r w:rsidR="006813E2">
        <w:fldChar w:fldCharType="end"/>
      </w:r>
      <w:r w:rsidRPr="00445B9C">
        <w:rPr>
          <w:rFonts w:cs="Arial"/>
          <w:b/>
          <w:bCs/>
          <w:szCs w:val="20"/>
        </w:rPr>
        <w:t>členu</w:t>
      </w:r>
    </w:p>
    <w:p w:rsidR="00EA43AD" w:rsidRPr="00445B9C" w:rsidRDefault="00EA43AD" w:rsidP="00706ABD">
      <w:pPr>
        <w:spacing w:line="276" w:lineRule="auto"/>
        <w:jc w:val="both"/>
        <w:rPr>
          <w:rFonts w:cs="Arial"/>
          <w:szCs w:val="20"/>
        </w:rPr>
      </w:pPr>
      <w:r w:rsidRPr="00445B9C">
        <w:rPr>
          <w:rFonts w:cs="Arial"/>
          <w:szCs w:val="20"/>
        </w:rPr>
        <w:t xml:space="preserve">Če obstaja sum kršitve predpisov o zlorabah trga, prevzemov javnih družb ali nerazkritja notranjih informacij o izdajatelju ali finančnem instrumentu, lahko agencija zahteva, da vsa mesta trgovanja in sistematični </w:t>
      </w:r>
      <w:proofErr w:type="spellStart"/>
      <w:r w:rsidRPr="00445B9C">
        <w:rPr>
          <w:rFonts w:cs="Arial"/>
          <w:szCs w:val="20"/>
        </w:rPr>
        <w:t>internalizatorji</w:t>
      </w:r>
      <w:proofErr w:type="spellEnd"/>
      <w:r w:rsidRPr="00445B9C">
        <w:rPr>
          <w:rFonts w:cs="Arial"/>
          <w:szCs w:val="20"/>
        </w:rPr>
        <w:t xml:space="preserve"> v Sloveniji začasno ustavijo trgovanje s spornim finančnim instrumentom. Zaradi zagotavljanja </w:t>
      </w:r>
      <w:r w:rsidR="007D5B63">
        <w:rPr>
          <w:rFonts w:cs="Arial"/>
          <w:szCs w:val="20"/>
        </w:rPr>
        <w:t>preglednosti</w:t>
      </w:r>
      <w:r w:rsidR="007D5B63" w:rsidRPr="00445B9C">
        <w:rPr>
          <w:rFonts w:cs="Arial"/>
          <w:szCs w:val="20"/>
        </w:rPr>
        <w:t xml:space="preserve"> </w:t>
      </w:r>
      <w:r w:rsidRPr="00445B9C">
        <w:rPr>
          <w:rFonts w:cs="Arial"/>
          <w:szCs w:val="20"/>
        </w:rPr>
        <w:t xml:space="preserve">in obveščenosti vlagateljev o </w:t>
      </w:r>
      <w:r w:rsidR="007D5B63">
        <w:rPr>
          <w:rFonts w:cs="Arial"/>
          <w:szCs w:val="20"/>
        </w:rPr>
        <w:t>razmerah</w:t>
      </w:r>
      <w:r w:rsidR="007D5B63" w:rsidRPr="00445B9C">
        <w:rPr>
          <w:rFonts w:cs="Arial"/>
          <w:szCs w:val="20"/>
        </w:rPr>
        <w:t xml:space="preserve"> </w:t>
      </w:r>
      <w:r w:rsidRPr="00445B9C">
        <w:rPr>
          <w:rFonts w:cs="Arial"/>
          <w:szCs w:val="20"/>
        </w:rPr>
        <w:t xml:space="preserve">na trgu se predlaga dopolnitev </w:t>
      </w:r>
      <w:r w:rsidR="000C702F" w:rsidRPr="00445B9C">
        <w:rPr>
          <w:rFonts w:cs="Arial"/>
          <w:szCs w:val="20"/>
        </w:rPr>
        <w:t>šestega</w:t>
      </w:r>
      <w:r w:rsidRPr="00445B9C">
        <w:rPr>
          <w:rFonts w:cs="Arial"/>
          <w:szCs w:val="20"/>
        </w:rPr>
        <w:t xml:space="preserve"> odstavka 322. člena ZTFI-1, saj je pomembno, da se ta informacija objavi</w:t>
      </w:r>
      <w:r w:rsidR="007D5B63" w:rsidRPr="007D5B63">
        <w:rPr>
          <w:rFonts w:cs="Arial"/>
          <w:szCs w:val="20"/>
        </w:rPr>
        <w:t xml:space="preserve"> </w:t>
      </w:r>
      <w:r w:rsidR="007D5B63" w:rsidRPr="00445B9C">
        <w:rPr>
          <w:rFonts w:cs="Arial"/>
          <w:szCs w:val="20"/>
        </w:rPr>
        <w:t>javno</w:t>
      </w:r>
      <w:r w:rsidRPr="00445B9C">
        <w:rPr>
          <w:rFonts w:cs="Arial"/>
          <w:szCs w:val="20"/>
        </w:rPr>
        <w:t>.</w:t>
      </w:r>
      <w:r w:rsidR="007D5B63">
        <w:rPr>
          <w:rFonts w:cs="Arial"/>
          <w:szCs w:val="20"/>
        </w:rPr>
        <w:t xml:space="preserve"> </w:t>
      </w:r>
    </w:p>
    <w:p w:rsidR="00EA43AD" w:rsidRPr="00445B9C" w:rsidRDefault="00EA43AD" w:rsidP="00706ABD">
      <w:pPr>
        <w:spacing w:line="276" w:lineRule="auto"/>
        <w:jc w:val="both"/>
        <w:rPr>
          <w:rFonts w:cs="Arial"/>
          <w:szCs w:val="20"/>
        </w:rPr>
      </w:pPr>
    </w:p>
    <w:p w:rsidR="00705F83" w:rsidRPr="00445B9C" w:rsidRDefault="00705F83" w:rsidP="00706ABD">
      <w:pPr>
        <w:spacing w:line="276" w:lineRule="auto"/>
        <w:jc w:val="both"/>
        <w:rPr>
          <w:rFonts w:cs="Arial"/>
          <w:szCs w:val="20"/>
        </w:rPr>
      </w:pPr>
      <w:r w:rsidRPr="00445B9C">
        <w:rPr>
          <w:rFonts w:cs="Arial"/>
          <w:szCs w:val="20"/>
        </w:rPr>
        <w:t>Z novim desetim odstavkom 322. člena ZTFI-1 se predlaga ureditev pošiljanj</w:t>
      </w:r>
      <w:r w:rsidR="007D5B63">
        <w:rPr>
          <w:rFonts w:cs="Arial"/>
          <w:szCs w:val="20"/>
        </w:rPr>
        <w:t>a</w:t>
      </w:r>
      <w:r w:rsidRPr="00445B9C">
        <w:rPr>
          <w:rFonts w:cs="Arial"/>
          <w:szCs w:val="20"/>
        </w:rPr>
        <w:t xml:space="preserve"> informacij ATVP.</w:t>
      </w:r>
    </w:p>
    <w:p w:rsidR="00705F83" w:rsidRPr="00445B9C" w:rsidRDefault="00705F83" w:rsidP="00706ABD">
      <w:pPr>
        <w:spacing w:line="276" w:lineRule="auto"/>
        <w:jc w:val="both"/>
        <w:rPr>
          <w:rFonts w:cs="Arial"/>
          <w:szCs w:val="20"/>
        </w:rPr>
      </w:pPr>
    </w:p>
    <w:p w:rsidR="00705F83" w:rsidRPr="00445B9C" w:rsidRDefault="00705F83" w:rsidP="00705F83">
      <w:pPr>
        <w:spacing w:line="276" w:lineRule="auto"/>
        <w:jc w:val="both"/>
        <w:rPr>
          <w:rFonts w:cs="Arial"/>
          <w:szCs w:val="20"/>
        </w:rPr>
      </w:pPr>
      <w:r w:rsidRPr="00445B9C">
        <w:rPr>
          <w:rFonts w:cs="Arial"/>
          <w:szCs w:val="20"/>
        </w:rPr>
        <w:t xml:space="preserve">Z novim </w:t>
      </w:r>
      <w:r w:rsidR="001253FC" w:rsidRPr="00445B9C">
        <w:rPr>
          <w:rFonts w:cs="Arial"/>
          <w:szCs w:val="20"/>
        </w:rPr>
        <w:t>desetim</w:t>
      </w:r>
      <w:r w:rsidRPr="00445B9C">
        <w:rPr>
          <w:rFonts w:cs="Arial"/>
          <w:szCs w:val="20"/>
        </w:rPr>
        <w:t xml:space="preserve"> odstavkom </w:t>
      </w:r>
      <w:r w:rsidR="001253FC" w:rsidRPr="00445B9C">
        <w:rPr>
          <w:rFonts w:cs="Arial"/>
          <w:szCs w:val="20"/>
        </w:rPr>
        <w:t>322</w:t>
      </w:r>
      <w:r w:rsidRPr="00445B9C">
        <w:rPr>
          <w:rFonts w:cs="Arial"/>
          <w:szCs w:val="20"/>
        </w:rPr>
        <w:t xml:space="preserve">. člena se v ZTFI-1 prenaša 12. člen Direktive 2023/2864/EU. Novi </w:t>
      </w:r>
      <w:r w:rsidR="00674FE7" w:rsidRPr="00445B9C">
        <w:rPr>
          <w:rFonts w:cs="Arial"/>
          <w:szCs w:val="20"/>
        </w:rPr>
        <w:t>deseti</w:t>
      </w:r>
      <w:r w:rsidRPr="00445B9C">
        <w:rPr>
          <w:rFonts w:cs="Arial"/>
          <w:szCs w:val="20"/>
        </w:rPr>
        <w:t xml:space="preserve"> odstavek </w:t>
      </w:r>
      <w:r w:rsidR="00674FE7" w:rsidRPr="00445B9C">
        <w:rPr>
          <w:rFonts w:cs="Arial"/>
          <w:szCs w:val="20"/>
        </w:rPr>
        <w:t>322</w:t>
      </w:r>
      <w:r w:rsidRPr="00445B9C">
        <w:rPr>
          <w:rFonts w:cs="Arial"/>
          <w:szCs w:val="20"/>
        </w:rPr>
        <w:t xml:space="preserve">. člena ZTFI-1 se začne uporabljati 10. januarja 2030, kar je urejeno v drugem odstavku </w:t>
      </w:r>
      <w:r w:rsidR="006813E2">
        <w:fldChar w:fldCharType="begin"/>
      </w:r>
      <w:r w:rsidR="006813E2">
        <w:instrText xml:space="preserve"> REF _Ref196734116 \r \h  \* MERGEFORMAT </w:instrText>
      </w:r>
      <w:r w:rsidR="006813E2">
        <w:fldChar w:fldCharType="separate"/>
      </w:r>
      <w:r w:rsidR="001638A0" w:rsidRPr="00445B9C">
        <w:rPr>
          <w:rFonts w:cs="Arial"/>
          <w:szCs w:val="20"/>
        </w:rPr>
        <w:t xml:space="preserve">57. </w:t>
      </w:r>
      <w:r w:rsidR="006813E2">
        <w:fldChar w:fldCharType="end"/>
      </w:r>
      <w:r w:rsidRPr="00445B9C">
        <w:rPr>
          <w:rFonts w:cs="Arial"/>
          <w:szCs w:val="20"/>
        </w:rPr>
        <w:t>člen</w:t>
      </w:r>
      <w:r w:rsidR="007D5B63">
        <w:rPr>
          <w:rFonts w:cs="Arial"/>
          <w:szCs w:val="20"/>
        </w:rPr>
        <w:t>a</w:t>
      </w:r>
      <w:r w:rsidRPr="00445B9C">
        <w:rPr>
          <w:rFonts w:cs="Arial"/>
          <w:szCs w:val="20"/>
        </w:rPr>
        <w:t xml:space="preserve">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w:instrText>
      </w:r>
      <w:r w:rsidR="006813E2">
        <w:instrText xml:space="preserve">4578 \r \h  \* MERGEFORMAT </w:instrText>
      </w:r>
      <w:r w:rsidR="006813E2">
        <w:fldChar w:fldCharType="separate"/>
      </w:r>
      <w:r w:rsidR="001638A0" w:rsidRPr="00445B9C">
        <w:rPr>
          <w:rFonts w:cs="Arial"/>
          <w:b/>
          <w:bCs/>
          <w:szCs w:val="20"/>
        </w:rPr>
        <w:t xml:space="preserve">28. </w:t>
      </w:r>
      <w:r w:rsidR="006813E2">
        <w:fldChar w:fldCharType="end"/>
      </w:r>
      <w:r w:rsidRPr="00445B9C">
        <w:rPr>
          <w:rFonts w:cs="Arial"/>
          <w:b/>
          <w:bCs/>
          <w:szCs w:val="20"/>
        </w:rPr>
        <w:t>členu</w:t>
      </w:r>
    </w:p>
    <w:p w:rsidR="00FE0F83" w:rsidRPr="00445B9C" w:rsidRDefault="00D315FD" w:rsidP="00706ABD">
      <w:pPr>
        <w:spacing w:line="276" w:lineRule="auto"/>
        <w:jc w:val="both"/>
        <w:rPr>
          <w:rFonts w:cs="Arial"/>
          <w:szCs w:val="20"/>
        </w:rPr>
      </w:pPr>
      <w:r w:rsidRPr="00445B9C">
        <w:rPr>
          <w:rFonts w:cs="Arial"/>
          <w:szCs w:val="20"/>
        </w:rPr>
        <w:t>Z namenom celovite ureditve toka informacij se predlaga dopolnitev 325. člena ZTFI-1 z novim šestim odstavkom, ki nalaga upravljavcem MTF ali OTF</w:t>
      </w:r>
      <w:r w:rsidR="007D5B63">
        <w:rPr>
          <w:rFonts w:cs="Arial"/>
          <w:szCs w:val="20"/>
        </w:rPr>
        <w:t>,</w:t>
      </w:r>
      <w:r w:rsidRPr="00445B9C">
        <w:rPr>
          <w:rFonts w:cs="Arial"/>
          <w:szCs w:val="20"/>
        </w:rPr>
        <w:t xml:space="preserve"> da vzpostavijo ustrezne ukrepe, ki zagotavljajo izpolnjevanje kakovosti podatkov</w:t>
      </w:r>
      <w:r w:rsidR="007D5B63">
        <w:rPr>
          <w:rFonts w:cs="Arial"/>
          <w:szCs w:val="20"/>
        </w:rPr>
        <w:t>,</w:t>
      </w:r>
      <w:r w:rsidRPr="00445B9C">
        <w:rPr>
          <w:rFonts w:cs="Arial"/>
          <w:szCs w:val="20"/>
        </w:rPr>
        <w:t xml:space="preserve"> kot jih določa 22.b člen Uredbe 600/2014/EU. </w:t>
      </w:r>
    </w:p>
    <w:p w:rsidR="00FE0F83" w:rsidRPr="00445B9C" w:rsidRDefault="00FE0F83" w:rsidP="00706ABD">
      <w:pPr>
        <w:spacing w:line="276" w:lineRule="auto"/>
        <w:jc w:val="both"/>
        <w:rPr>
          <w:rFonts w:cs="Arial"/>
          <w:szCs w:val="20"/>
        </w:rPr>
      </w:pPr>
    </w:p>
    <w:p w:rsidR="00FE0F83" w:rsidRPr="00445B9C" w:rsidRDefault="00D315FD" w:rsidP="00D315FD">
      <w:pPr>
        <w:spacing w:line="276" w:lineRule="auto"/>
        <w:jc w:val="both"/>
        <w:rPr>
          <w:rFonts w:cs="Arial"/>
          <w:szCs w:val="20"/>
        </w:rPr>
      </w:pPr>
      <w:r w:rsidRPr="00445B9C">
        <w:rPr>
          <w:rFonts w:cs="Arial"/>
          <w:szCs w:val="20"/>
        </w:rPr>
        <w:t>Z novim šestim odstavkom 325. člena se v ZTFI-1 prenaša peti odstavek 1. člena Direktive 2024/790/EU.</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_Ref196734589 \r \h  \</w:instrText>
      </w:r>
      <w:r w:rsidR="006813E2">
        <w:instrText xml:space="preserve">* MERGEFORMAT </w:instrText>
      </w:r>
      <w:r w:rsidR="006813E2">
        <w:fldChar w:fldCharType="separate"/>
      </w:r>
      <w:r w:rsidR="001638A0" w:rsidRPr="00445B9C">
        <w:rPr>
          <w:rFonts w:cs="Arial"/>
          <w:b/>
          <w:bCs/>
          <w:szCs w:val="20"/>
        </w:rPr>
        <w:t xml:space="preserve">29. </w:t>
      </w:r>
      <w:r w:rsidR="006813E2">
        <w:fldChar w:fldCharType="end"/>
      </w:r>
      <w:r w:rsidRPr="00445B9C">
        <w:rPr>
          <w:rFonts w:cs="Arial"/>
          <w:b/>
          <w:bCs/>
          <w:szCs w:val="20"/>
        </w:rPr>
        <w:t>členu</w:t>
      </w:r>
    </w:p>
    <w:p w:rsidR="007023EE" w:rsidRPr="00445B9C" w:rsidRDefault="007023EE" w:rsidP="00706ABD">
      <w:pPr>
        <w:spacing w:line="276" w:lineRule="auto"/>
        <w:jc w:val="both"/>
        <w:rPr>
          <w:rFonts w:cs="Arial"/>
          <w:szCs w:val="20"/>
        </w:rPr>
      </w:pPr>
      <w:r w:rsidRPr="00445B9C">
        <w:rPr>
          <w:rFonts w:cs="Arial"/>
          <w:szCs w:val="20"/>
        </w:rPr>
        <w:t>Z novim osmim odstavkom 326. člena ZTFI-1 se predlaga ureditev pošiljanje informacij ATVP.</w:t>
      </w:r>
    </w:p>
    <w:p w:rsidR="007023EE" w:rsidRPr="00445B9C" w:rsidRDefault="007023EE" w:rsidP="00706ABD">
      <w:pPr>
        <w:spacing w:line="276" w:lineRule="auto"/>
        <w:jc w:val="both"/>
        <w:rPr>
          <w:rFonts w:cs="Arial"/>
          <w:szCs w:val="20"/>
        </w:rPr>
      </w:pPr>
    </w:p>
    <w:p w:rsidR="00FE0F83" w:rsidRPr="00445B9C" w:rsidRDefault="007023EE" w:rsidP="003F38D9">
      <w:pPr>
        <w:spacing w:line="276" w:lineRule="auto"/>
        <w:jc w:val="both"/>
        <w:rPr>
          <w:rFonts w:cs="Arial"/>
          <w:szCs w:val="20"/>
        </w:rPr>
      </w:pPr>
      <w:r w:rsidRPr="00445B9C">
        <w:rPr>
          <w:rFonts w:cs="Arial"/>
          <w:szCs w:val="20"/>
        </w:rPr>
        <w:t xml:space="preserve">Z novim osmim odstavkom 326. člena se v ZTFI-1 prenaša 12. člen Direktive 2023/2864/EU. Novi osmi odstavek 326. člena ZTFI-1 se začne uporabljati 10. januarja 2030, kar je urejeno v drugem odstavku </w:t>
      </w:r>
      <w:r w:rsidR="006813E2">
        <w:fldChar w:fldCharType="begin"/>
      </w:r>
      <w:r w:rsidR="006813E2">
        <w:instrText xml:space="preserve"> REF _Ref196734116 \r \h  \* MERGEFORMAT </w:instrText>
      </w:r>
      <w:r w:rsidR="006813E2">
        <w:fldChar w:fldCharType="separate"/>
      </w:r>
      <w:r w:rsidR="001638A0" w:rsidRPr="00445B9C">
        <w:rPr>
          <w:rFonts w:cs="Arial"/>
          <w:szCs w:val="20"/>
        </w:rPr>
        <w:t xml:space="preserve">57. </w:t>
      </w:r>
      <w:r w:rsidR="006813E2">
        <w:fldChar w:fldCharType="end"/>
      </w:r>
      <w:r w:rsidRPr="00445B9C">
        <w:rPr>
          <w:rFonts w:cs="Arial"/>
          <w:szCs w:val="20"/>
        </w:rPr>
        <w:t>členu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_Ref196734612 \r \h  \* MERGEFORMAT </w:instrText>
      </w:r>
      <w:r w:rsidR="006813E2">
        <w:fldChar w:fldCharType="separate"/>
      </w:r>
      <w:r w:rsidR="001638A0" w:rsidRPr="00445B9C">
        <w:rPr>
          <w:rFonts w:cs="Arial"/>
          <w:b/>
          <w:bCs/>
          <w:szCs w:val="20"/>
        </w:rPr>
        <w:t xml:space="preserve">30. </w:t>
      </w:r>
      <w:r w:rsidR="006813E2">
        <w:fldChar w:fldCharType="end"/>
      </w:r>
      <w:r w:rsidRPr="00445B9C">
        <w:rPr>
          <w:rFonts w:cs="Arial"/>
          <w:b/>
          <w:bCs/>
          <w:szCs w:val="20"/>
        </w:rPr>
        <w:t>členu</w:t>
      </w:r>
    </w:p>
    <w:p w:rsidR="008A4073" w:rsidRPr="00445B9C" w:rsidRDefault="0034147D" w:rsidP="00603A31">
      <w:pPr>
        <w:spacing w:line="276" w:lineRule="auto"/>
        <w:jc w:val="both"/>
        <w:rPr>
          <w:rFonts w:cs="Arial"/>
          <w:szCs w:val="20"/>
        </w:rPr>
      </w:pPr>
      <w:r w:rsidRPr="00445B9C">
        <w:rPr>
          <w:rFonts w:cs="Arial"/>
          <w:szCs w:val="20"/>
        </w:rPr>
        <w:t xml:space="preserve">Po energetski krizi leta 2022 in izjemni nestanovitnosti se je pokazala potreba po dopolnitvi splošnega okvira za trge izvedenih finančnih instrumentov. </w:t>
      </w:r>
      <w:r w:rsidR="008A4073" w:rsidRPr="00445B9C">
        <w:rPr>
          <w:rFonts w:cs="Arial"/>
          <w:szCs w:val="20"/>
        </w:rPr>
        <w:t xml:space="preserve">Nadzor nad upravljanjem pozicij za izvedene finančne instrumente na blago in emisijske kupone je ključen za zagotavljanje stabilnosti in </w:t>
      </w:r>
      <w:r w:rsidR="007D5B63">
        <w:rPr>
          <w:rFonts w:cs="Arial"/>
          <w:szCs w:val="20"/>
        </w:rPr>
        <w:t>skladnosti</w:t>
      </w:r>
      <w:r w:rsidR="007D5B63" w:rsidRPr="00445B9C">
        <w:rPr>
          <w:rFonts w:cs="Arial"/>
          <w:szCs w:val="20"/>
        </w:rPr>
        <w:t xml:space="preserve"> </w:t>
      </w:r>
      <w:r w:rsidR="008A4073" w:rsidRPr="00445B9C">
        <w:rPr>
          <w:rFonts w:cs="Arial"/>
          <w:szCs w:val="20"/>
        </w:rPr>
        <w:t>finančnih trgov. Brez ustreznega nadzora bi lahko posamezni udeleženci trga prevzeli prevelike ali prevladujoče pozicije, kar bi lahko povzročilo neravnovesje na trgu, umetno zviševanje ali zniževanje cen ter povečano volatilnost. To bi lahko negativno vplivalo na podjetja, ki dejansko uporabljajo te instrumente za zavarovanje pred tveganji, saj bi se soočala z nepredvidljivimi in nestabilnimi cenami osnovnih dobrin ali emisijskih kuponov. Poleg tega bi pomanjkanje nadzora povečalo tveganje za manipul</w:t>
      </w:r>
      <w:r w:rsidR="00945B39">
        <w:rPr>
          <w:rFonts w:cs="Arial"/>
          <w:szCs w:val="20"/>
        </w:rPr>
        <w:t>iranje</w:t>
      </w:r>
      <w:r w:rsidR="008A4073" w:rsidRPr="00445B9C">
        <w:rPr>
          <w:rFonts w:cs="Arial"/>
          <w:szCs w:val="20"/>
        </w:rPr>
        <w:t xml:space="preserve"> trga, saj bi posamezni udeleženci lahko </w:t>
      </w:r>
      <w:r w:rsidR="008A4073" w:rsidRPr="00445B9C">
        <w:rPr>
          <w:rFonts w:cs="Arial"/>
          <w:szCs w:val="20"/>
        </w:rPr>
        <w:lastRenderedPageBreak/>
        <w:t>vplivali na gibanje cen v svojo korist, kar bi škodilo manjšim vlagateljem in zmanjšalo zaupanje v finančni sistem.</w:t>
      </w:r>
    </w:p>
    <w:p w:rsidR="0034147D" w:rsidRPr="00445B9C" w:rsidRDefault="0034147D" w:rsidP="00603A31">
      <w:pPr>
        <w:spacing w:line="276" w:lineRule="auto"/>
        <w:jc w:val="both"/>
        <w:rPr>
          <w:rFonts w:cs="Arial"/>
          <w:szCs w:val="20"/>
        </w:rPr>
      </w:pPr>
    </w:p>
    <w:p w:rsidR="00FE0F83" w:rsidRPr="0003210C" w:rsidRDefault="00984EC8" w:rsidP="0023520D">
      <w:r w:rsidRPr="00445B9C">
        <w:rPr>
          <w:rFonts w:cs="Arial"/>
          <w:szCs w:val="20"/>
        </w:rPr>
        <w:t xml:space="preserve">Direktiva 2024/790/EU je spremenila 57. člen Direktive 2014/65/EU v naslovu, ki je bil po vsebini prenesen v 331. člen ZTFI-1. Zato se predlaga dopolnitev naslova člena in se doda besedilo </w:t>
      </w:r>
      <w:r w:rsidR="00945B39" w:rsidRPr="00445B9C">
        <w:rPr>
          <w:rFonts w:cs="Arial"/>
          <w:iCs/>
          <w:szCs w:val="20"/>
        </w:rPr>
        <w:t>»</w:t>
      </w:r>
      <w:r w:rsidRPr="00445B9C">
        <w:rPr>
          <w:rFonts w:cs="Arial"/>
          <w:szCs w:val="20"/>
        </w:rPr>
        <w:t>ter izvedene finančne instrumente na pravice do emisije</w:t>
      </w:r>
      <w:r w:rsidR="00945B39" w:rsidRPr="00445B9C">
        <w:rPr>
          <w:rFonts w:cs="Arial"/>
          <w:iCs/>
          <w:szCs w:val="20"/>
        </w:rPr>
        <w:t>«</w:t>
      </w:r>
      <w:r w:rsidRPr="00445B9C">
        <w:rPr>
          <w:rFonts w:cs="Arial"/>
          <w:szCs w:val="20"/>
        </w:rPr>
        <w:t>.</w:t>
      </w:r>
    </w:p>
    <w:p w:rsidR="0087753F" w:rsidRPr="00445B9C" w:rsidRDefault="0087753F" w:rsidP="00603A31">
      <w:pPr>
        <w:spacing w:line="276" w:lineRule="auto"/>
        <w:jc w:val="both"/>
        <w:rPr>
          <w:rFonts w:cs="Arial"/>
          <w:szCs w:val="20"/>
        </w:rPr>
      </w:pPr>
    </w:p>
    <w:p w:rsidR="0087753F" w:rsidRPr="00445B9C" w:rsidRDefault="008A4073" w:rsidP="00603A31">
      <w:pPr>
        <w:spacing w:line="276" w:lineRule="auto"/>
        <w:jc w:val="both"/>
        <w:rPr>
          <w:rFonts w:cs="Arial"/>
          <w:szCs w:val="20"/>
        </w:rPr>
      </w:pPr>
      <w:r w:rsidRPr="00445B9C">
        <w:rPr>
          <w:rFonts w:cs="Arial"/>
          <w:szCs w:val="20"/>
        </w:rPr>
        <w:t>V z</w:t>
      </w:r>
      <w:r w:rsidR="0087753F" w:rsidRPr="00445B9C">
        <w:rPr>
          <w:rFonts w:cs="Arial"/>
          <w:szCs w:val="20"/>
        </w:rPr>
        <w:t>ahteve, ki že veljajo za nadziranje upravljanja pozicij za izvedene finančne instrumente na blago</w:t>
      </w:r>
      <w:r w:rsidR="00945B39">
        <w:rPr>
          <w:rFonts w:cs="Arial"/>
          <w:szCs w:val="20"/>
        </w:rPr>
        <w:t>,</w:t>
      </w:r>
      <w:r w:rsidR="0087753F" w:rsidRPr="00445B9C">
        <w:rPr>
          <w:rFonts w:cs="Arial"/>
          <w:szCs w:val="20"/>
        </w:rPr>
        <w:t xml:space="preserve"> se vključujejo tudi emisijski kuponi, zato se predlaga sprememba prvega odstavka 331. člena ZTFI-1.</w:t>
      </w:r>
      <w:r w:rsidRPr="00445B9C">
        <w:rPr>
          <w:rFonts w:cs="Arial"/>
          <w:szCs w:val="20"/>
        </w:rPr>
        <w:t xml:space="preserve"> Z ustreznim nadzorom se zagotavlja preglednost trga, saj </w:t>
      </w:r>
      <w:r w:rsidR="000A241C" w:rsidRPr="00445B9C">
        <w:rPr>
          <w:rFonts w:cs="Arial"/>
          <w:szCs w:val="20"/>
        </w:rPr>
        <w:t>ATVP od upravljavca mesta trgovanja s sedežem v Sloveniji pridobi potrebne</w:t>
      </w:r>
      <w:r w:rsidRPr="00445B9C">
        <w:rPr>
          <w:rFonts w:cs="Arial"/>
          <w:szCs w:val="20"/>
        </w:rPr>
        <w:t xml:space="preserve"> informacije, kar omogoča pravočasno ukrepanje v primeru suma zlorabe. Prav tako nadzor omogoča, da se ob zaznanih tveganjih pravočasno sprejmejo ukrepi, kot so zahteva po zmanjšanju pozicije ali </w:t>
      </w:r>
      <w:r w:rsidR="00945B39">
        <w:rPr>
          <w:rFonts w:cs="Arial"/>
          <w:szCs w:val="20"/>
        </w:rPr>
        <w:t>vnovični</w:t>
      </w:r>
      <w:r w:rsidR="00945B39" w:rsidRPr="00445B9C">
        <w:rPr>
          <w:rFonts w:cs="Arial"/>
          <w:szCs w:val="20"/>
        </w:rPr>
        <w:t xml:space="preserve"> </w:t>
      </w:r>
      <w:r w:rsidRPr="00445B9C">
        <w:rPr>
          <w:rFonts w:cs="Arial"/>
          <w:szCs w:val="20"/>
        </w:rPr>
        <w:t xml:space="preserve">vzpostavitvi likvidnosti, s čimer se preprečijo motnje v trgovanju. To pripomore k stabilnemu delovanju trga in zaščiti vlagateljev, saj se zmanjšuje tveganje </w:t>
      </w:r>
      <w:r w:rsidR="00945B39">
        <w:rPr>
          <w:rFonts w:cs="Arial"/>
          <w:szCs w:val="20"/>
        </w:rPr>
        <w:t xml:space="preserve">za nastanek </w:t>
      </w:r>
      <w:r w:rsidRPr="00445B9C">
        <w:rPr>
          <w:rFonts w:cs="Arial"/>
          <w:szCs w:val="20"/>
        </w:rPr>
        <w:t>večjih tržnih pretresov.</w:t>
      </w:r>
    </w:p>
    <w:p w:rsidR="0034147D" w:rsidRPr="00445B9C" w:rsidRDefault="0034147D" w:rsidP="00603A31">
      <w:pPr>
        <w:spacing w:line="276" w:lineRule="auto"/>
        <w:jc w:val="both"/>
        <w:rPr>
          <w:rFonts w:cs="Arial"/>
          <w:szCs w:val="20"/>
        </w:rPr>
      </w:pPr>
    </w:p>
    <w:p w:rsidR="0087753F" w:rsidRPr="00445B9C" w:rsidRDefault="0087753F" w:rsidP="00603A31">
      <w:pPr>
        <w:spacing w:line="276" w:lineRule="auto"/>
        <w:jc w:val="both"/>
        <w:rPr>
          <w:rFonts w:cs="Arial"/>
          <w:szCs w:val="20"/>
        </w:rPr>
      </w:pPr>
      <w:r w:rsidRPr="00445B9C">
        <w:rPr>
          <w:rFonts w:cs="Arial"/>
          <w:szCs w:val="20"/>
        </w:rPr>
        <w:t>S spremembami naslova in prvega odstavka 331. člena se v ZTFI-1 prenaša deseti odstavek 1. člena Direktive 2024/</w:t>
      </w:r>
      <w:r w:rsidR="00155DF2" w:rsidRPr="00445B9C">
        <w:rPr>
          <w:rFonts w:cs="Arial"/>
          <w:szCs w:val="20"/>
        </w:rPr>
        <w:t>7</w:t>
      </w:r>
      <w:r w:rsidRPr="00445B9C">
        <w:rPr>
          <w:rFonts w:cs="Arial"/>
          <w:szCs w:val="20"/>
        </w:rPr>
        <w:t>90/EU.</w:t>
      </w:r>
    </w:p>
    <w:p w:rsidR="00FE0F83" w:rsidRPr="00445B9C" w:rsidRDefault="00FE0F83" w:rsidP="00FE0F83">
      <w:pPr>
        <w:spacing w:line="276"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_Ref196734639 \r \h  \* MERGEFORMAT </w:instrText>
      </w:r>
      <w:r w:rsidR="006813E2">
        <w:fldChar w:fldCharType="separate"/>
      </w:r>
      <w:r w:rsidR="001638A0" w:rsidRPr="00445B9C">
        <w:rPr>
          <w:rFonts w:cs="Arial"/>
          <w:b/>
          <w:bCs/>
          <w:szCs w:val="20"/>
        </w:rPr>
        <w:t xml:space="preserve">31. </w:t>
      </w:r>
      <w:r w:rsidR="006813E2">
        <w:fldChar w:fldCharType="end"/>
      </w:r>
      <w:r w:rsidRPr="00445B9C">
        <w:rPr>
          <w:rFonts w:cs="Arial"/>
          <w:b/>
          <w:bCs/>
          <w:szCs w:val="20"/>
        </w:rPr>
        <w:t>členu</w:t>
      </w:r>
    </w:p>
    <w:p w:rsidR="00B32776" w:rsidRPr="00445B9C" w:rsidRDefault="00EE3DCC" w:rsidP="00EE425F">
      <w:pPr>
        <w:spacing w:line="276" w:lineRule="auto"/>
        <w:jc w:val="both"/>
        <w:rPr>
          <w:rFonts w:cs="Arial"/>
          <w:szCs w:val="20"/>
        </w:rPr>
      </w:pPr>
      <w:r w:rsidRPr="00445B9C">
        <w:rPr>
          <w:rFonts w:cs="Arial"/>
          <w:szCs w:val="20"/>
        </w:rPr>
        <w:t>Zaradi razlogov</w:t>
      </w:r>
      <w:r w:rsidR="00945B39">
        <w:rPr>
          <w:rFonts w:cs="Arial"/>
          <w:szCs w:val="20"/>
        </w:rPr>
        <w:t>,</w:t>
      </w:r>
      <w:r w:rsidRPr="00445B9C">
        <w:rPr>
          <w:rFonts w:cs="Arial"/>
          <w:szCs w:val="20"/>
        </w:rPr>
        <w:t xml:space="preserve"> navedenih v obrazložitvi k </w:t>
      </w:r>
      <w:r w:rsidR="006813E2">
        <w:fldChar w:fldCharType="begin"/>
      </w:r>
      <w:r w:rsidR="006813E2">
        <w:instrText xml:space="preserve"> REF _Ref192067378 \r \h  \* MERGEFORMAT </w:instrText>
      </w:r>
      <w:r w:rsidR="006813E2">
        <w:fldChar w:fldCharType="separate"/>
      </w:r>
      <w:r w:rsidR="006813E2">
        <w:fldChar w:fldCharType="begin"/>
      </w:r>
      <w:r w:rsidR="006813E2">
        <w:instrText xml:space="preserve"> REF _Ref196734612 \r \h  \* MERGEFORMAT </w:instrText>
      </w:r>
      <w:r w:rsidR="006813E2">
        <w:fldChar w:fldCharType="separate"/>
      </w:r>
      <w:r w:rsidR="0091793C" w:rsidRPr="00445B9C">
        <w:rPr>
          <w:rFonts w:cs="Arial"/>
          <w:szCs w:val="20"/>
        </w:rPr>
        <w:t xml:space="preserve">30. </w:t>
      </w:r>
      <w:r w:rsidR="006813E2">
        <w:rPr>
          <w:rFonts w:cs="Arial"/>
          <w:szCs w:val="20"/>
        </w:rPr>
        <w:fldChar w:fldCharType="end"/>
      </w:r>
      <w:r w:rsidR="006813E2">
        <w:fldChar w:fldCharType="end"/>
      </w:r>
      <w:r w:rsidRPr="00445B9C">
        <w:rPr>
          <w:rFonts w:cs="Arial"/>
          <w:szCs w:val="20"/>
        </w:rPr>
        <w:t>členu predloga zakona</w:t>
      </w:r>
      <w:r w:rsidR="00945B39">
        <w:rPr>
          <w:rFonts w:cs="Arial"/>
          <w:szCs w:val="20"/>
        </w:rPr>
        <w:t>,</w:t>
      </w:r>
      <w:r w:rsidRPr="00445B9C">
        <w:rPr>
          <w:rFonts w:cs="Arial"/>
          <w:szCs w:val="20"/>
        </w:rPr>
        <w:t xml:space="preserve"> se predlaga sprememba naslova 332. člena ZTFI-1</w:t>
      </w:r>
      <w:r w:rsidR="00887D09" w:rsidRPr="00445B9C">
        <w:rPr>
          <w:rFonts w:cs="Arial"/>
          <w:szCs w:val="20"/>
        </w:rPr>
        <w:t xml:space="preserve">, </w:t>
      </w:r>
      <w:r w:rsidR="00945B39">
        <w:rPr>
          <w:rFonts w:cs="Arial"/>
          <w:szCs w:val="20"/>
        </w:rPr>
        <w:t>s tem</w:t>
      </w:r>
      <w:r w:rsidR="00945B39" w:rsidRPr="00445B9C">
        <w:rPr>
          <w:rFonts w:cs="Arial"/>
          <w:szCs w:val="20"/>
        </w:rPr>
        <w:t xml:space="preserve"> </w:t>
      </w:r>
      <w:r w:rsidR="00887D09" w:rsidRPr="00445B9C">
        <w:rPr>
          <w:rFonts w:cs="Arial"/>
          <w:szCs w:val="20"/>
        </w:rPr>
        <w:t>pa se spremeni</w:t>
      </w:r>
      <w:r w:rsidR="00945B39">
        <w:rPr>
          <w:rFonts w:cs="Arial"/>
          <w:szCs w:val="20"/>
        </w:rPr>
        <w:t>jo</w:t>
      </w:r>
      <w:r w:rsidR="00887D09" w:rsidRPr="00445B9C">
        <w:rPr>
          <w:rFonts w:cs="Arial"/>
          <w:szCs w:val="20"/>
        </w:rPr>
        <w:t xml:space="preserve"> tudi napovedni stavek prvega odstavka ter tretji in peti odstavek tega člena.</w:t>
      </w:r>
      <w:r w:rsidR="00501570" w:rsidRPr="00445B9C">
        <w:rPr>
          <w:rFonts w:cs="Arial"/>
          <w:szCs w:val="20"/>
        </w:rPr>
        <w:t xml:space="preserve"> </w:t>
      </w:r>
    </w:p>
    <w:p w:rsidR="003B45BA" w:rsidRPr="00445B9C" w:rsidRDefault="003B45BA" w:rsidP="00EE425F">
      <w:pPr>
        <w:spacing w:line="276" w:lineRule="auto"/>
        <w:jc w:val="both"/>
        <w:rPr>
          <w:rFonts w:cs="Arial"/>
          <w:szCs w:val="20"/>
        </w:rPr>
      </w:pPr>
    </w:p>
    <w:p w:rsidR="00155DF2" w:rsidRPr="00445B9C" w:rsidRDefault="00155DF2" w:rsidP="00EE425F">
      <w:pPr>
        <w:spacing w:line="276" w:lineRule="auto"/>
        <w:jc w:val="both"/>
        <w:rPr>
          <w:rFonts w:cs="Arial"/>
          <w:szCs w:val="20"/>
        </w:rPr>
      </w:pPr>
      <w:r w:rsidRPr="00445B9C">
        <w:rPr>
          <w:rFonts w:cs="Arial"/>
          <w:szCs w:val="20"/>
        </w:rPr>
        <w:t>S spremembami prvega, tretjega in petega odstavka 332. člena se v ZTFI-1 prenaša točka (a) enajstega odstavk</w:t>
      </w:r>
      <w:r w:rsidR="00945B39">
        <w:rPr>
          <w:rFonts w:cs="Arial"/>
          <w:szCs w:val="20"/>
        </w:rPr>
        <w:t>a</w:t>
      </w:r>
      <w:r w:rsidRPr="00445B9C">
        <w:rPr>
          <w:rFonts w:cs="Arial"/>
          <w:szCs w:val="20"/>
        </w:rPr>
        <w:t xml:space="preserve"> 1. člena Direktive 2024/790/EU.</w:t>
      </w:r>
    </w:p>
    <w:p w:rsidR="000D7EE4" w:rsidRPr="00445B9C" w:rsidRDefault="000D7EE4" w:rsidP="00EE425F">
      <w:pPr>
        <w:spacing w:line="276" w:lineRule="auto"/>
        <w:jc w:val="both"/>
        <w:rPr>
          <w:rFonts w:cs="Arial"/>
          <w:szCs w:val="20"/>
        </w:rPr>
      </w:pPr>
    </w:p>
    <w:p w:rsidR="000D7EE4" w:rsidRPr="00445B9C" w:rsidRDefault="000D7EE4" w:rsidP="000D7EE4">
      <w:pPr>
        <w:spacing w:line="276" w:lineRule="auto"/>
        <w:jc w:val="both"/>
        <w:rPr>
          <w:rFonts w:cs="Arial"/>
          <w:szCs w:val="20"/>
        </w:rPr>
      </w:pPr>
      <w:r w:rsidRPr="00445B9C">
        <w:rPr>
          <w:rFonts w:cs="Arial"/>
          <w:szCs w:val="20"/>
        </w:rPr>
        <w:t>Predlaga se tudi besedilo novega devetega odstavka 332. člena ZTFI-1</w:t>
      </w:r>
      <w:r w:rsidR="0094058A">
        <w:rPr>
          <w:rFonts w:cs="Arial"/>
          <w:szCs w:val="20"/>
        </w:rPr>
        <w:t>,</w:t>
      </w:r>
      <w:r w:rsidRPr="00445B9C">
        <w:rPr>
          <w:rFonts w:cs="Arial"/>
          <w:szCs w:val="20"/>
        </w:rPr>
        <w:t xml:space="preserve"> s katerim se upravljavcu mesta trgovanja </w:t>
      </w:r>
      <w:r w:rsidR="0094058A" w:rsidRPr="00445B9C">
        <w:rPr>
          <w:rFonts w:cs="Arial"/>
          <w:szCs w:val="20"/>
        </w:rPr>
        <w:t xml:space="preserve">nalaga </w:t>
      </w:r>
      <w:r w:rsidRPr="00445B9C">
        <w:rPr>
          <w:rFonts w:cs="Arial"/>
          <w:szCs w:val="20"/>
        </w:rPr>
        <w:t xml:space="preserve">pošiljaje informacij ESMA. Z novim devetim odstavkom 322. člena se v ZTFI-1 prenaša 12. člen Direktive 2023/2864/EU. Novi deveti odstavek 332. člena ZTFI-1 se začne uporabljati 10. januarja 2030, kar je urejeno v drugem odstavku </w:t>
      </w:r>
      <w:r w:rsidR="006813E2">
        <w:fldChar w:fldCharType="begin"/>
      </w:r>
      <w:r w:rsidR="006813E2">
        <w:instrText xml:space="preserve"> REF _Ref196734116 \r \h  \* MERGEFORMAT </w:instrText>
      </w:r>
      <w:r w:rsidR="006813E2">
        <w:fldChar w:fldCharType="separate"/>
      </w:r>
      <w:r w:rsidR="001638A0" w:rsidRPr="00445B9C">
        <w:rPr>
          <w:rFonts w:cs="Arial"/>
          <w:szCs w:val="20"/>
        </w:rPr>
        <w:t xml:space="preserve">57. </w:t>
      </w:r>
      <w:r w:rsidR="006813E2">
        <w:fldChar w:fldCharType="end"/>
      </w:r>
      <w:r w:rsidRPr="00445B9C">
        <w:rPr>
          <w:rFonts w:cs="Arial"/>
          <w:szCs w:val="20"/>
        </w:rPr>
        <w:t>členu predloga zakona.</w:t>
      </w:r>
    </w:p>
    <w:p w:rsidR="00FD35DE" w:rsidRPr="00445B9C" w:rsidRDefault="00FD35DE" w:rsidP="000D7EE4">
      <w:pPr>
        <w:spacing w:line="276" w:lineRule="auto"/>
        <w:jc w:val="both"/>
        <w:rPr>
          <w:rFonts w:cs="Arial"/>
          <w:szCs w:val="20"/>
        </w:rPr>
      </w:pPr>
    </w:p>
    <w:p w:rsidR="00FD35DE" w:rsidRPr="00445B9C" w:rsidRDefault="00FD35DE" w:rsidP="00FD35DE">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_Ref196825761 \r \h  \* MERGEFORMAT </w:instrText>
      </w:r>
      <w:r w:rsidR="006813E2">
        <w:fldChar w:fldCharType="separate"/>
      </w:r>
      <w:r w:rsidR="001638A0" w:rsidRPr="00445B9C">
        <w:rPr>
          <w:rFonts w:cs="Arial"/>
          <w:b/>
          <w:bCs/>
          <w:szCs w:val="20"/>
        </w:rPr>
        <w:t xml:space="preserve">32. </w:t>
      </w:r>
      <w:r w:rsidR="006813E2">
        <w:fldChar w:fldCharType="end"/>
      </w:r>
      <w:r w:rsidRPr="00445B9C">
        <w:rPr>
          <w:rFonts w:cs="Arial"/>
          <w:b/>
          <w:bCs/>
          <w:szCs w:val="20"/>
        </w:rPr>
        <w:t>členu</w:t>
      </w:r>
      <w:r w:rsidR="0094058A">
        <w:rPr>
          <w:rFonts w:cs="Arial"/>
          <w:b/>
          <w:bCs/>
          <w:szCs w:val="20"/>
        </w:rPr>
        <w:t xml:space="preserve"> </w:t>
      </w:r>
    </w:p>
    <w:p w:rsidR="00FD35DE" w:rsidRPr="00445B9C" w:rsidRDefault="00FD35DE" w:rsidP="000D7EE4">
      <w:pPr>
        <w:spacing w:line="276" w:lineRule="auto"/>
        <w:jc w:val="both"/>
        <w:rPr>
          <w:rFonts w:cs="Arial"/>
          <w:szCs w:val="20"/>
        </w:rPr>
      </w:pPr>
      <w:r w:rsidRPr="00445B9C">
        <w:rPr>
          <w:rFonts w:cs="Arial"/>
          <w:szCs w:val="20"/>
        </w:rPr>
        <w:t xml:space="preserve">Besedilo 344. člena ZTFI-1 se usklajuje z ZBan-3A in Uredbo 575/2013/EU. Glej obrazložitev k </w:t>
      </w:r>
      <w:r w:rsidR="006813E2">
        <w:fldChar w:fldCharType="begin"/>
      </w:r>
      <w:r w:rsidR="006813E2">
        <w:instrText xml:space="preserve"> REF _Ref192067056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členu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_Ref192067456 \r \h  \* MERGEFORMAT </w:instrText>
      </w:r>
      <w:r w:rsidR="006813E2">
        <w:fldChar w:fldCharType="separate"/>
      </w:r>
      <w:r w:rsidR="001638A0" w:rsidRPr="00445B9C">
        <w:rPr>
          <w:rFonts w:cs="Arial"/>
          <w:b/>
          <w:bCs/>
          <w:szCs w:val="20"/>
        </w:rPr>
        <w:t xml:space="preserve">33. </w:t>
      </w:r>
      <w:r w:rsidR="006813E2">
        <w:fldChar w:fldCharType="end"/>
      </w:r>
      <w:r w:rsidRPr="00445B9C">
        <w:rPr>
          <w:rFonts w:cs="Arial"/>
          <w:b/>
          <w:bCs/>
          <w:szCs w:val="20"/>
        </w:rPr>
        <w:t>členu</w:t>
      </w:r>
    </w:p>
    <w:p w:rsidR="00261403" w:rsidRPr="00445B9C" w:rsidRDefault="00261403" w:rsidP="00EE425F">
      <w:pPr>
        <w:spacing w:line="276" w:lineRule="auto"/>
        <w:jc w:val="both"/>
        <w:rPr>
          <w:rFonts w:cs="Arial"/>
          <w:szCs w:val="20"/>
        </w:rPr>
      </w:pPr>
      <w:r w:rsidRPr="00445B9C">
        <w:rPr>
          <w:rFonts w:cs="Arial"/>
          <w:szCs w:val="20"/>
        </w:rPr>
        <w:t>Predlaga se sprememba sedmega odstavka 357. člena, kjer se beseda »prejšnjega« nadomesti z besedo »četrtega«. Z navedenim se popravlja</w:t>
      </w:r>
      <w:r w:rsidR="004D09F8" w:rsidRPr="00445B9C">
        <w:rPr>
          <w:rFonts w:cs="Arial"/>
          <w:szCs w:val="20"/>
        </w:rPr>
        <w:t xml:space="preserve"> očitno</w:t>
      </w:r>
      <w:r w:rsidRPr="00445B9C">
        <w:rPr>
          <w:rFonts w:cs="Arial"/>
          <w:szCs w:val="20"/>
        </w:rPr>
        <w:t xml:space="preserve"> napačen sklic</w:t>
      </w:r>
      <w:r w:rsidR="005B233F" w:rsidRPr="00445B9C">
        <w:rPr>
          <w:rFonts w:cs="Arial"/>
          <w:szCs w:val="20"/>
        </w:rPr>
        <w:t>.</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_Ref192067465 \r \h  \* MERGEFORMAT </w:instrText>
      </w:r>
      <w:r w:rsidR="006813E2">
        <w:fldChar w:fldCharType="separate"/>
      </w:r>
      <w:r w:rsidR="001638A0" w:rsidRPr="00445B9C">
        <w:rPr>
          <w:rFonts w:cs="Arial"/>
          <w:b/>
          <w:bCs/>
          <w:szCs w:val="20"/>
        </w:rPr>
        <w:t xml:space="preserve">34. </w:t>
      </w:r>
      <w:r w:rsidR="006813E2">
        <w:fldChar w:fldCharType="end"/>
      </w:r>
      <w:r w:rsidRPr="00445B9C">
        <w:rPr>
          <w:rFonts w:cs="Arial"/>
          <w:b/>
          <w:bCs/>
          <w:szCs w:val="20"/>
        </w:rPr>
        <w:t>členu</w:t>
      </w:r>
    </w:p>
    <w:p w:rsidR="00034E1A" w:rsidRPr="00445B9C" w:rsidRDefault="00034E1A" w:rsidP="00034E1A">
      <w:pPr>
        <w:spacing w:line="276" w:lineRule="auto"/>
        <w:jc w:val="both"/>
        <w:rPr>
          <w:rFonts w:cs="Arial"/>
          <w:szCs w:val="20"/>
        </w:rPr>
      </w:pPr>
      <w:r w:rsidRPr="00445B9C">
        <w:rPr>
          <w:rFonts w:cs="Arial"/>
          <w:szCs w:val="20"/>
        </w:rPr>
        <w:t>Predlaga se nov</w:t>
      </w:r>
      <w:r w:rsidR="0094058A">
        <w:rPr>
          <w:rFonts w:cs="Arial"/>
          <w:szCs w:val="20"/>
        </w:rPr>
        <w:t>,</w:t>
      </w:r>
      <w:r w:rsidRPr="00445B9C">
        <w:rPr>
          <w:rFonts w:cs="Arial"/>
          <w:szCs w:val="20"/>
        </w:rPr>
        <w:t xml:space="preserve"> 357.a člen</w:t>
      </w:r>
      <w:r w:rsidR="0094058A">
        <w:rPr>
          <w:rFonts w:cs="Arial"/>
          <w:szCs w:val="20"/>
        </w:rPr>
        <w:t>,</w:t>
      </w:r>
      <w:r w:rsidRPr="00445B9C">
        <w:rPr>
          <w:rFonts w:cs="Arial"/>
          <w:szCs w:val="20"/>
        </w:rPr>
        <w:t xml:space="preserve"> s katerim se ureja izvajanje Uredbe 2023/2859/EU. ATVP je opredeljena kot organ za zbiranje podatkov v skladu z Uredbo 2023/2859/EU in zagotavlja, da so določene informacije dostopne v ESAP. Te informacije morajo biti predložene v ustreznem formatu za izvoz podatkov ali v strojno berljivem formatu, če to zahtevajo predpisi.</w:t>
      </w:r>
    </w:p>
    <w:p w:rsidR="00034E1A" w:rsidRPr="00445B9C" w:rsidRDefault="00034E1A" w:rsidP="00034E1A">
      <w:pPr>
        <w:spacing w:line="276" w:lineRule="auto"/>
        <w:jc w:val="both"/>
        <w:rPr>
          <w:rFonts w:cs="Arial"/>
          <w:szCs w:val="20"/>
        </w:rPr>
      </w:pPr>
    </w:p>
    <w:p w:rsidR="00034E1A" w:rsidRPr="00445B9C" w:rsidRDefault="00034E1A" w:rsidP="00034E1A">
      <w:pPr>
        <w:spacing w:line="276" w:lineRule="auto"/>
        <w:jc w:val="both"/>
        <w:rPr>
          <w:rFonts w:cs="Arial"/>
          <w:szCs w:val="20"/>
        </w:rPr>
      </w:pPr>
      <w:r w:rsidRPr="00445B9C">
        <w:rPr>
          <w:rFonts w:cs="Arial"/>
          <w:szCs w:val="20"/>
        </w:rPr>
        <w:t>Podatki morajo vsebovati ključne metapodatke, kot so ime družbe, enolična mednarodna identifikacijska številka (LEI</w:t>
      </w:r>
      <w:r w:rsidR="0094058A">
        <w:rPr>
          <w:rFonts w:cs="Arial"/>
          <w:szCs w:val="20"/>
        </w:rPr>
        <w:t>-</w:t>
      </w:r>
      <w:r w:rsidRPr="00445B9C">
        <w:rPr>
          <w:rFonts w:cs="Arial"/>
          <w:szCs w:val="20"/>
        </w:rPr>
        <w:t>koda), velikost družbe, vrsta informacij in oznaka glede prisotnosti osebnih podatkov. Družbe, ki poročajo v skladu s tem členom, morajo imeti dodeljeno LEI</w:t>
      </w:r>
      <w:r w:rsidR="0094058A">
        <w:rPr>
          <w:rFonts w:cs="Arial"/>
          <w:szCs w:val="20"/>
        </w:rPr>
        <w:t>-</w:t>
      </w:r>
      <w:r w:rsidRPr="00445B9C">
        <w:rPr>
          <w:rFonts w:cs="Arial"/>
          <w:szCs w:val="20"/>
        </w:rPr>
        <w:t>kodo.</w:t>
      </w:r>
    </w:p>
    <w:p w:rsidR="00034E1A" w:rsidRPr="00445B9C" w:rsidRDefault="00034E1A" w:rsidP="00034E1A">
      <w:pPr>
        <w:spacing w:line="276" w:lineRule="auto"/>
        <w:jc w:val="both"/>
        <w:rPr>
          <w:rFonts w:cs="Arial"/>
          <w:szCs w:val="20"/>
        </w:rPr>
      </w:pPr>
    </w:p>
    <w:p w:rsidR="00FE0F83" w:rsidRPr="00445B9C" w:rsidRDefault="00034E1A" w:rsidP="00034E1A">
      <w:pPr>
        <w:spacing w:line="276" w:lineRule="auto"/>
        <w:jc w:val="both"/>
        <w:rPr>
          <w:rFonts w:cs="Arial"/>
          <w:szCs w:val="20"/>
        </w:rPr>
      </w:pPr>
      <w:r w:rsidRPr="00445B9C">
        <w:rPr>
          <w:rFonts w:cs="Arial"/>
          <w:szCs w:val="20"/>
        </w:rPr>
        <w:t xml:space="preserve">Agencija zagotavlja tudi dostopnost določenih informacij v ESAP in zagotavlja, da so podatki, ki jih </w:t>
      </w:r>
      <w:r w:rsidR="0094058A">
        <w:rPr>
          <w:rFonts w:cs="Arial"/>
          <w:szCs w:val="20"/>
        </w:rPr>
        <w:t>predloži</w:t>
      </w:r>
      <w:r w:rsidR="0094058A" w:rsidRPr="00445B9C">
        <w:rPr>
          <w:rFonts w:cs="Arial"/>
          <w:szCs w:val="20"/>
        </w:rPr>
        <w:t xml:space="preserve"> </w:t>
      </w:r>
      <w:r w:rsidRPr="00445B9C">
        <w:rPr>
          <w:rFonts w:cs="Arial"/>
          <w:szCs w:val="20"/>
        </w:rPr>
        <w:t>ESMA, skladni s predpisanimi zahtevami.</w:t>
      </w:r>
    </w:p>
    <w:p w:rsidR="00814AD5" w:rsidRPr="00445B9C" w:rsidRDefault="00814AD5" w:rsidP="00034E1A">
      <w:pPr>
        <w:spacing w:line="276" w:lineRule="auto"/>
        <w:jc w:val="both"/>
        <w:rPr>
          <w:rFonts w:cs="Arial"/>
          <w:szCs w:val="20"/>
        </w:rPr>
      </w:pPr>
    </w:p>
    <w:p w:rsidR="00814AD5" w:rsidRPr="00445B9C" w:rsidRDefault="00814AD5" w:rsidP="00814AD5">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_Ref196825809 \r \h  \* MERGEFORMAT </w:instrText>
      </w:r>
      <w:r w:rsidR="006813E2">
        <w:fldChar w:fldCharType="separate"/>
      </w:r>
      <w:r w:rsidR="001638A0" w:rsidRPr="00445B9C">
        <w:rPr>
          <w:rFonts w:cs="Arial"/>
          <w:b/>
          <w:bCs/>
          <w:szCs w:val="20"/>
        </w:rPr>
        <w:t xml:space="preserve">35. </w:t>
      </w:r>
      <w:r w:rsidR="006813E2">
        <w:fldChar w:fldCharType="end"/>
      </w:r>
      <w:r w:rsidRPr="00445B9C">
        <w:rPr>
          <w:rFonts w:cs="Arial"/>
          <w:b/>
          <w:bCs/>
          <w:szCs w:val="20"/>
        </w:rPr>
        <w:t>členu</w:t>
      </w:r>
    </w:p>
    <w:p w:rsidR="00814AD5" w:rsidRPr="00445B9C" w:rsidRDefault="00814AD5" w:rsidP="00034E1A">
      <w:pPr>
        <w:spacing w:line="276" w:lineRule="auto"/>
        <w:jc w:val="both"/>
        <w:rPr>
          <w:rFonts w:cs="Arial"/>
          <w:szCs w:val="20"/>
        </w:rPr>
      </w:pPr>
      <w:r w:rsidRPr="00445B9C">
        <w:rPr>
          <w:rFonts w:cs="Arial"/>
          <w:szCs w:val="20"/>
        </w:rPr>
        <w:t xml:space="preserve">Besedilo 358. člena ZTFI-1 se usklajuje z ZBan-3A in Uredbo 575/2013/EU. Glej obrazložitev k </w:t>
      </w:r>
      <w:r w:rsidR="006813E2">
        <w:fldChar w:fldCharType="begin"/>
      </w:r>
      <w:r w:rsidR="006813E2">
        <w:instrText xml:space="preserve"> REF _Ref192067056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členu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_Ref196734698 \r \h  \* MERGEFORMAT </w:instrText>
      </w:r>
      <w:r w:rsidR="006813E2">
        <w:fldChar w:fldCharType="separate"/>
      </w:r>
      <w:r w:rsidR="001638A0" w:rsidRPr="00445B9C">
        <w:rPr>
          <w:rFonts w:cs="Arial"/>
          <w:b/>
          <w:bCs/>
          <w:szCs w:val="20"/>
        </w:rPr>
        <w:t xml:space="preserve">36. </w:t>
      </w:r>
      <w:r w:rsidR="006813E2">
        <w:fldChar w:fldCharType="end"/>
      </w:r>
      <w:r w:rsidRPr="00445B9C">
        <w:rPr>
          <w:rFonts w:cs="Arial"/>
          <w:b/>
          <w:bCs/>
          <w:szCs w:val="20"/>
        </w:rPr>
        <w:t>členu</w:t>
      </w:r>
    </w:p>
    <w:p w:rsidR="000156AC" w:rsidRPr="00445B9C" w:rsidRDefault="000156AC" w:rsidP="000156AC">
      <w:pPr>
        <w:spacing w:line="276" w:lineRule="auto"/>
        <w:jc w:val="both"/>
        <w:rPr>
          <w:rFonts w:cs="Arial"/>
          <w:szCs w:val="20"/>
        </w:rPr>
      </w:pPr>
      <w:r w:rsidRPr="00445B9C">
        <w:rPr>
          <w:rFonts w:cs="Arial"/>
          <w:szCs w:val="20"/>
        </w:rPr>
        <w:t>Predlaga se tudi besedilo novega petega odstavka 368. člena ZTFI-1</w:t>
      </w:r>
      <w:r w:rsidR="0094058A">
        <w:rPr>
          <w:rFonts w:cs="Arial"/>
          <w:szCs w:val="20"/>
        </w:rPr>
        <w:t>,</w:t>
      </w:r>
      <w:r w:rsidRPr="00445B9C">
        <w:rPr>
          <w:rFonts w:cs="Arial"/>
          <w:szCs w:val="20"/>
        </w:rPr>
        <w:t xml:space="preserve"> s katerim se nalaga borzi pošiljaje informacij ATVP. Z novim petim odstavkom 368. člena se v ZTFI-1 prenaša 12. člen Direktive 2023/2864/EU. Novi peti odstavek 368. člena ZTFI-1 se začne uporabljati 10. januarja 2030, kar je urejeno v drugem odstavku </w:t>
      </w:r>
      <w:r w:rsidR="006813E2">
        <w:fldChar w:fldCharType="begin"/>
      </w:r>
      <w:r w:rsidR="006813E2">
        <w:instrText xml:space="preserve"> REF _Ref192070643 \r \h  \* MERGEFORMAT </w:instrText>
      </w:r>
      <w:r w:rsidR="006813E2">
        <w:fldChar w:fldCharType="separate"/>
      </w:r>
      <w:r w:rsidR="006813E2">
        <w:fldChar w:fldCharType="begin"/>
      </w:r>
      <w:r w:rsidR="006813E2">
        <w:instrText xml:space="preserve"> REF _Ref196734116 \r \h  \* MERGEFORMAT </w:instrText>
      </w:r>
      <w:r w:rsidR="006813E2">
        <w:fldChar w:fldCharType="separate"/>
      </w:r>
      <w:r w:rsidR="00B617CF" w:rsidRPr="00445B9C">
        <w:rPr>
          <w:rFonts w:cs="Arial"/>
          <w:szCs w:val="20"/>
        </w:rPr>
        <w:t xml:space="preserve">57. </w:t>
      </w:r>
      <w:r w:rsidR="006813E2">
        <w:rPr>
          <w:rFonts w:cs="Arial"/>
          <w:szCs w:val="20"/>
        </w:rPr>
        <w:fldChar w:fldCharType="end"/>
      </w:r>
      <w:r w:rsidR="006813E2">
        <w:fldChar w:fldCharType="end"/>
      </w:r>
      <w:r w:rsidRPr="00445B9C">
        <w:rPr>
          <w:rFonts w:cs="Arial"/>
          <w:szCs w:val="20"/>
        </w:rPr>
        <w:t>členu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_Ref196734725 \r \h  \* MERGEFORMAT </w:instrText>
      </w:r>
      <w:r w:rsidR="006813E2">
        <w:fldChar w:fldCharType="separate"/>
      </w:r>
      <w:r w:rsidR="001638A0" w:rsidRPr="00445B9C">
        <w:rPr>
          <w:rFonts w:cs="Arial"/>
          <w:b/>
          <w:bCs/>
          <w:szCs w:val="20"/>
        </w:rPr>
        <w:t xml:space="preserve">37. </w:t>
      </w:r>
      <w:r w:rsidR="006813E2">
        <w:fldChar w:fldCharType="end"/>
      </w:r>
      <w:r w:rsidRPr="00445B9C">
        <w:rPr>
          <w:rFonts w:cs="Arial"/>
          <w:b/>
          <w:bCs/>
          <w:szCs w:val="20"/>
        </w:rPr>
        <w:t>členu</w:t>
      </w:r>
    </w:p>
    <w:p w:rsidR="00071A16" w:rsidRPr="00445B9C" w:rsidRDefault="0091403C" w:rsidP="00112593">
      <w:pPr>
        <w:spacing w:line="276" w:lineRule="auto"/>
        <w:jc w:val="both"/>
        <w:rPr>
          <w:rFonts w:cs="Arial"/>
          <w:szCs w:val="20"/>
        </w:rPr>
      </w:pPr>
      <w:r w:rsidRPr="00445B9C">
        <w:rPr>
          <w:rFonts w:cs="Arial"/>
          <w:szCs w:val="20"/>
        </w:rPr>
        <w:t>S spremembo 2. točke prvega odstavka 373. člena ZTFI-1 se določa razširjena obveznost za borzo v zvezi z zagotovitvijo obvladovanj tveganj na področju IKT v skladu z II. poglavjem Uredbe 2022/2554.</w:t>
      </w:r>
    </w:p>
    <w:p w:rsidR="00071A16" w:rsidRPr="00445B9C" w:rsidRDefault="00071A16" w:rsidP="00112593">
      <w:pPr>
        <w:spacing w:line="276" w:lineRule="auto"/>
        <w:jc w:val="both"/>
        <w:rPr>
          <w:rFonts w:cs="Arial"/>
          <w:szCs w:val="20"/>
        </w:rPr>
      </w:pPr>
    </w:p>
    <w:p w:rsidR="00071A16" w:rsidRPr="00445B9C" w:rsidRDefault="00071A16" w:rsidP="00112593">
      <w:pPr>
        <w:spacing w:line="276" w:lineRule="auto"/>
        <w:jc w:val="both"/>
        <w:rPr>
          <w:rFonts w:cs="Arial"/>
          <w:szCs w:val="20"/>
        </w:rPr>
      </w:pPr>
      <w:r w:rsidRPr="00445B9C">
        <w:rPr>
          <w:rFonts w:cs="Arial"/>
          <w:szCs w:val="20"/>
        </w:rPr>
        <w:t>Z namenom celovite ureditve toka informacij se predlaga dopolnitev 3</w:t>
      </w:r>
      <w:r w:rsidR="0091403C" w:rsidRPr="00445B9C">
        <w:rPr>
          <w:rFonts w:cs="Arial"/>
          <w:szCs w:val="20"/>
        </w:rPr>
        <w:t>73</w:t>
      </w:r>
      <w:r w:rsidRPr="00445B9C">
        <w:rPr>
          <w:rFonts w:cs="Arial"/>
          <w:szCs w:val="20"/>
        </w:rPr>
        <w:t>. člena ZTFI-1 z nov</w:t>
      </w:r>
      <w:r w:rsidR="0091403C" w:rsidRPr="00445B9C">
        <w:rPr>
          <w:rFonts w:cs="Arial"/>
          <w:szCs w:val="20"/>
        </w:rPr>
        <w:t>o 4. točko drugega odstavka</w:t>
      </w:r>
      <w:r w:rsidRPr="00445B9C">
        <w:rPr>
          <w:rFonts w:cs="Arial"/>
          <w:szCs w:val="20"/>
        </w:rPr>
        <w:t xml:space="preserve">, ki nalaga </w:t>
      </w:r>
      <w:r w:rsidR="0091403C" w:rsidRPr="00445B9C">
        <w:rPr>
          <w:rFonts w:cs="Arial"/>
          <w:szCs w:val="20"/>
        </w:rPr>
        <w:t>borzi</w:t>
      </w:r>
      <w:r w:rsidRPr="00445B9C">
        <w:rPr>
          <w:rFonts w:cs="Arial"/>
          <w:szCs w:val="20"/>
        </w:rPr>
        <w:t xml:space="preserve"> vzpostavi</w:t>
      </w:r>
      <w:r w:rsidR="0094058A">
        <w:rPr>
          <w:rFonts w:cs="Arial"/>
          <w:szCs w:val="20"/>
        </w:rPr>
        <w:t>tev</w:t>
      </w:r>
      <w:r w:rsidRPr="00445B9C">
        <w:rPr>
          <w:rFonts w:cs="Arial"/>
          <w:szCs w:val="20"/>
        </w:rPr>
        <w:t xml:space="preserve"> ustrezn</w:t>
      </w:r>
      <w:r w:rsidR="0094058A">
        <w:rPr>
          <w:rFonts w:cs="Arial"/>
          <w:szCs w:val="20"/>
        </w:rPr>
        <w:t>ih</w:t>
      </w:r>
      <w:r w:rsidRPr="00445B9C">
        <w:rPr>
          <w:rFonts w:cs="Arial"/>
          <w:szCs w:val="20"/>
        </w:rPr>
        <w:t xml:space="preserve"> ukrep</w:t>
      </w:r>
      <w:r w:rsidR="0094058A">
        <w:rPr>
          <w:rFonts w:cs="Arial"/>
          <w:szCs w:val="20"/>
        </w:rPr>
        <w:t>ov</w:t>
      </w:r>
      <w:r w:rsidRPr="00445B9C">
        <w:rPr>
          <w:rFonts w:cs="Arial"/>
          <w:szCs w:val="20"/>
        </w:rPr>
        <w:t xml:space="preserve">, </w:t>
      </w:r>
      <w:r w:rsidR="0094058A">
        <w:rPr>
          <w:rFonts w:cs="Arial"/>
          <w:szCs w:val="20"/>
        </w:rPr>
        <w:t xml:space="preserve">da bi se </w:t>
      </w:r>
      <w:r w:rsidRPr="00445B9C">
        <w:rPr>
          <w:rFonts w:cs="Arial"/>
          <w:szCs w:val="20"/>
        </w:rPr>
        <w:t>zagot</w:t>
      </w:r>
      <w:r w:rsidR="0094058A">
        <w:rPr>
          <w:rFonts w:cs="Arial"/>
          <w:szCs w:val="20"/>
        </w:rPr>
        <w:t>ovil</w:t>
      </w:r>
      <w:r w:rsidRPr="00445B9C">
        <w:rPr>
          <w:rFonts w:cs="Arial"/>
          <w:szCs w:val="20"/>
        </w:rPr>
        <w:t>o izpolnjevanje kakovosti podatkov</w:t>
      </w:r>
      <w:r w:rsidR="0094058A">
        <w:rPr>
          <w:rFonts w:cs="Arial"/>
          <w:szCs w:val="20"/>
        </w:rPr>
        <w:t>,</w:t>
      </w:r>
      <w:r w:rsidRPr="00445B9C">
        <w:rPr>
          <w:rFonts w:cs="Arial"/>
          <w:szCs w:val="20"/>
        </w:rPr>
        <w:t xml:space="preserve"> k</w:t>
      </w:r>
      <w:r w:rsidR="0094058A">
        <w:rPr>
          <w:rFonts w:cs="Arial"/>
          <w:szCs w:val="20"/>
        </w:rPr>
        <w:t>akor</w:t>
      </w:r>
      <w:r w:rsidRPr="00445B9C">
        <w:rPr>
          <w:rFonts w:cs="Arial"/>
          <w:szCs w:val="20"/>
        </w:rPr>
        <w:t xml:space="preserve"> jih določa 22.b člen Uredbe 600/2014/EU. </w:t>
      </w:r>
    </w:p>
    <w:p w:rsidR="00FE0F83" w:rsidRPr="00445B9C" w:rsidRDefault="00FE0F83" w:rsidP="00112593">
      <w:pPr>
        <w:spacing w:line="276" w:lineRule="auto"/>
        <w:jc w:val="both"/>
        <w:rPr>
          <w:rFonts w:cs="Arial"/>
          <w:szCs w:val="20"/>
        </w:rPr>
      </w:pPr>
    </w:p>
    <w:p w:rsidR="00B233CD" w:rsidRPr="00445B9C" w:rsidRDefault="0091403C" w:rsidP="00B233CD">
      <w:pPr>
        <w:spacing w:line="276" w:lineRule="auto"/>
        <w:jc w:val="both"/>
        <w:rPr>
          <w:rFonts w:cs="Arial"/>
          <w:szCs w:val="20"/>
        </w:rPr>
      </w:pPr>
      <w:r w:rsidRPr="00445B9C">
        <w:rPr>
          <w:rFonts w:cs="Arial"/>
          <w:szCs w:val="20"/>
        </w:rPr>
        <w:t xml:space="preserve">Tretji odstavek 315. člena ZTFI-1 zahteva, da imajo MTF in OTF vsaj tri dejansko dejavne člane ali uporabnike. Ta zahteva </w:t>
      </w:r>
      <w:r w:rsidR="00112593" w:rsidRPr="00445B9C">
        <w:rPr>
          <w:rFonts w:cs="Arial"/>
          <w:szCs w:val="20"/>
        </w:rPr>
        <w:t xml:space="preserve">se s predlaganim novim četrtim odstavkom 373. člena ZTFI-1 </w:t>
      </w:r>
      <w:r w:rsidR="0094058A">
        <w:rPr>
          <w:rFonts w:cs="Arial"/>
          <w:szCs w:val="20"/>
        </w:rPr>
        <w:t>z</w:t>
      </w:r>
      <w:r w:rsidR="00112593" w:rsidRPr="00445B9C">
        <w:rPr>
          <w:rFonts w:cs="Arial"/>
          <w:szCs w:val="20"/>
        </w:rPr>
        <w:t xml:space="preserve">daj razširja </w:t>
      </w:r>
      <w:r w:rsidR="0057619F" w:rsidRPr="00445B9C">
        <w:rPr>
          <w:rFonts w:cs="Arial"/>
          <w:szCs w:val="20"/>
        </w:rPr>
        <w:t xml:space="preserve">tudi </w:t>
      </w:r>
      <w:r w:rsidR="00112593" w:rsidRPr="00445B9C">
        <w:rPr>
          <w:rFonts w:cs="Arial"/>
          <w:szCs w:val="20"/>
        </w:rPr>
        <w:t>na</w:t>
      </w:r>
      <w:r w:rsidRPr="00445B9C">
        <w:rPr>
          <w:rFonts w:cs="Arial"/>
          <w:szCs w:val="20"/>
        </w:rPr>
        <w:t xml:space="preserve"> regulirane trge</w:t>
      </w:r>
      <w:r w:rsidR="00B233CD" w:rsidRPr="00445B9C">
        <w:rPr>
          <w:rFonts w:cs="Arial"/>
          <w:szCs w:val="20"/>
        </w:rPr>
        <w:t xml:space="preserve"> (borzo)</w:t>
      </w:r>
      <w:r w:rsidRPr="00445B9C">
        <w:rPr>
          <w:rFonts w:cs="Arial"/>
          <w:szCs w:val="20"/>
        </w:rPr>
        <w:t>.</w:t>
      </w:r>
      <w:r w:rsidR="00112593" w:rsidRPr="00445B9C">
        <w:rPr>
          <w:rFonts w:cs="Arial"/>
          <w:szCs w:val="20"/>
        </w:rPr>
        <w:t xml:space="preserve"> </w:t>
      </w:r>
      <w:r w:rsidR="00B233CD" w:rsidRPr="00445B9C">
        <w:rPr>
          <w:rFonts w:cs="Arial"/>
          <w:szCs w:val="20"/>
        </w:rPr>
        <w:t xml:space="preserve">Razširitev zahteve, da morajo imeti regulirani trgi vsaj tri dejansko dejavne člane ali uporabnike, izhaja iz potrebe po zagotavljanju konkurenčnosti, likvidnosti in učinkovitega delovanja finančnih trgov </w:t>
      </w:r>
      <w:r w:rsidR="0094058A">
        <w:rPr>
          <w:rFonts w:cs="Arial"/>
          <w:szCs w:val="20"/>
        </w:rPr>
        <w:t>ter</w:t>
      </w:r>
      <w:r w:rsidR="0094058A" w:rsidRPr="00445B9C">
        <w:rPr>
          <w:rFonts w:cs="Arial"/>
          <w:szCs w:val="20"/>
        </w:rPr>
        <w:t xml:space="preserve"> </w:t>
      </w:r>
      <w:r w:rsidR="00B233CD" w:rsidRPr="00445B9C">
        <w:rPr>
          <w:rFonts w:cs="Arial"/>
          <w:szCs w:val="20"/>
        </w:rPr>
        <w:t xml:space="preserve">da se prepreči monopolizacija trga in zagotovi dovolj široka udeležba. Delovanje trgov z omejenim številom udeležencev bi lahko vodilo v neučinkovitost trga, povečano tveganje manipulacije cen ter zmanjšano likvidnost. Če ima trg premalo dejavnih članov, se lahko zmanjša razpon med ponudbo in povpraševanjem, kar otežuje odkrivanje poštenih tržnih cen in povečuje stroške trgovanja za vse udeležence. Poleg tega bi lahko trg postal preveč odvisen od enega ali dveh udeležencev, kar bi </w:t>
      </w:r>
      <w:r w:rsidR="0094058A">
        <w:rPr>
          <w:rFonts w:cs="Arial"/>
          <w:szCs w:val="20"/>
        </w:rPr>
        <w:t>pomenilo</w:t>
      </w:r>
      <w:r w:rsidR="0094058A" w:rsidRPr="00445B9C">
        <w:rPr>
          <w:rFonts w:cs="Arial"/>
          <w:szCs w:val="20"/>
        </w:rPr>
        <w:t xml:space="preserve"> </w:t>
      </w:r>
      <w:r w:rsidR="00B233CD" w:rsidRPr="00445B9C">
        <w:rPr>
          <w:rFonts w:cs="Arial"/>
          <w:szCs w:val="20"/>
        </w:rPr>
        <w:t>tveganje v primeru njihovega umika. Prav tako ta ukrep zagotavlja skladnost reguliranih trgov z drugimi trgovalnimi platformami in prispeva k enotnejšemu regulativnemu okviru v EU.</w:t>
      </w:r>
    </w:p>
    <w:p w:rsidR="00B233CD" w:rsidRPr="00445B9C" w:rsidRDefault="00B233CD" w:rsidP="00B233CD">
      <w:pPr>
        <w:spacing w:line="276" w:lineRule="auto"/>
        <w:jc w:val="both"/>
        <w:rPr>
          <w:rFonts w:cs="Arial"/>
          <w:szCs w:val="20"/>
        </w:rPr>
      </w:pPr>
    </w:p>
    <w:p w:rsidR="00FE0F83" w:rsidRPr="00445B9C" w:rsidRDefault="00112593" w:rsidP="00112593">
      <w:pPr>
        <w:spacing w:line="276" w:lineRule="auto"/>
        <w:jc w:val="both"/>
        <w:rPr>
          <w:rFonts w:cs="Arial"/>
          <w:szCs w:val="20"/>
        </w:rPr>
      </w:pPr>
      <w:r w:rsidRPr="00445B9C">
        <w:rPr>
          <w:rFonts w:cs="Arial"/>
          <w:szCs w:val="20"/>
        </w:rPr>
        <w:t>Z novim četrtim odstavkom 373. člena se v ZTFI-1 prenaša točka (h) šestega odstavka 1. člen</w:t>
      </w:r>
      <w:r w:rsidR="0094058A">
        <w:rPr>
          <w:rFonts w:cs="Arial"/>
          <w:szCs w:val="20"/>
        </w:rPr>
        <w:t>a</w:t>
      </w:r>
      <w:r w:rsidRPr="00445B9C">
        <w:rPr>
          <w:rFonts w:cs="Arial"/>
          <w:szCs w:val="20"/>
        </w:rPr>
        <w:t xml:space="preserve"> Direktive 2024/790/EU.</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_Ref196734767 \r \h  \* MERGEFORMAT </w:instrText>
      </w:r>
      <w:r w:rsidR="006813E2">
        <w:fldChar w:fldCharType="separate"/>
      </w:r>
      <w:r w:rsidR="001638A0" w:rsidRPr="00445B9C">
        <w:rPr>
          <w:rFonts w:cs="Arial"/>
          <w:b/>
          <w:bCs/>
          <w:szCs w:val="20"/>
        </w:rPr>
        <w:t xml:space="preserve">38. </w:t>
      </w:r>
      <w:r w:rsidR="006813E2">
        <w:fldChar w:fldCharType="end"/>
      </w:r>
      <w:r w:rsidRPr="00445B9C">
        <w:rPr>
          <w:rFonts w:cs="Arial"/>
          <w:b/>
          <w:bCs/>
          <w:szCs w:val="20"/>
        </w:rPr>
        <w:t>členu</w:t>
      </w:r>
    </w:p>
    <w:p w:rsidR="00FE0F83" w:rsidRPr="00445B9C" w:rsidRDefault="0094058A" w:rsidP="00C31C4B">
      <w:pPr>
        <w:spacing w:line="276" w:lineRule="auto"/>
        <w:jc w:val="both"/>
        <w:rPr>
          <w:rFonts w:cs="Arial"/>
          <w:szCs w:val="20"/>
        </w:rPr>
      </w:pPr>
      <w:r>
        <w:rPr>
          <w:rFonts w:cs="Arial"/>
          <w:szCs w:val="20"/>
        </w:rPr>
        <w:t>V svojem</w:t>
      </w:r>
      <w:r w:rsidR="00D228FA" w:rsidRPr="00445B9C">
        <w:rPr>
          <w:rFonts w:cs="Arial"/>
          <w:szCs w:val="20"/>
        </w:rPr>
        <w:t xml:space="preserve"> drugem odstavku </w:t>
      </w:r>
      <w:r w:rsidRPr="00445B9C">
        <w:rPr>
          <w:rFonts w:cs="Arial"/>
          <w:szCs w:val="20"/>
        </w:rPr>
        <w:t>375. člen</w:t>
      </w:r>
      <w:r w:rsidR="0023520D">
        <w:rPr>
          <w:rFonts w:cs="Arial"/>
          <w:szCs w:val="20"/>
        </w:rPr>
        <w:t xml:space="preserve"> ZTFI-1</w:t>
      </w:r>
      <w:r w:rsidRPr="00445B9C">
        <w:rPr>
          <w:rFonts w:cs="Arial"/>
          <w:szCs w:val="20"/>
        </w:rPr>
        <w:t xml:space="preserve"> </w:t>
      </w:r>
      <w:r w:rsidR="00D228FA" w:rsidRPr="00445B9C">
        <w:rPr>
          <w:rFonts w:cs="Arial"/>
          <w:szCs w:val="20"/>
        </w:rPr>
        <w:t xml:space="preserve">določa, da </w:t>
      </w:r>
      <w:r w:rsidR="00135F90" w:rsidRPr="00445B9C">
        <w:rPr>
          <w:rFonts w:cs="Arial"/>
          <w:szCs w:val="20"/>
        </w:rPr>
        <w:t>b</w:t>
      </w:r>
      <w:r w:rsidR="00D228FA" w:rsidRPr="00445B9C">
        <w:rPr>
          <w:rFonts w:cs="Arial"/>
          <w:szCs w:val="20"/>
        </w:rPr>
        <w:t>orza zagotovi možnost začasne ustavitve ali omejitve trgovanja na borznem trgu</w:t>
      </w:r>
      <w:r w:rsidR="00135F90" w:rsidRPr="00445B9C">
        <w:rPr>
          <w:rFonts w:cs="Arial"/>
          <w:szCs w:val="20"/>
        </w:rPr>
        <w:t>,</w:t>
      </w:r>
      <w:r w:rsidR="00D228FA" w:rsidRPr="00445B9C">
        <w:rPr>
          <w:rFonts w:cs="Arial"/>
          <w:szCs w:val="20"/>
        </w:rPr>
        <w:t xml:space="preserve"> če pride do precejšnjega nihanja cen finančnega instrumenta na tem ali podobnem trgu v kratkem časovnem obdobju. V izjemnih primerih lahko prekliče, spremeni ali popravi že sklenjeni posel.</w:t>
      </w:r>
      <w:r w:rsidR="00135F90" w:rsidRPr="00445B9C">
        <w:rPr>
          <w:rFonts w:cs="Arial"/>
          <w:szCs w:val="20"/>
        </w:rPr>
        <w:t xml:space="preserve"> S predlagano dopolnitvijo se sistem razširja tudi na primere izrednih razmer</w:t>
      </w:r>
      <w:r w:rsidR="00254BED">
        <w:rPr>
          <w:rFonts w:cs="Arial"/>
          <w:szCs w:val="20"/>
        </w:rPr>
        <w:t>,</w:t>
      </w:r>
      <w:r w:rsidR="00E9201F" w:rsidRPr="00445B9C">
        <w:rPr>
          <w:rFonts w:cs="Arial"/>
          <w:szCs w:val="20"/>
        </w:rPr>
        <w:t xml:space="preserve"> s čimer se prenaša podtočka (i) točke (a) sedmega odstavka prvega člena Direktive 2024/790/EU.</w:t>
      </w:r>
    </w:p>
    <w:p w:rsidR="0023520D" w:rsidRDefault="0023520D" w:rsidP="00C31C4B">
      <w:pPr>
        <w:spacing w:line="276" w:lineRule="auto"/>
        <w:jc w:val="both"/>
        <w:rPr>
          <w:rFonts w:cs="Arial"/>
          <w:szCs w:val="20"/>
        </w:rPr>
      </w:pPr>
    </w:p>
    <w:p w:rsidR="00E9201F" w:rsidRPr="00445B9C" w:rsidRDefault="00E9201F" w:rsidP="00C31C4B">
      <w:pPr>
        <w:spacing w:line="276" w:lineRule="auto"/>
        <w:jc w:val="both"/>
        <w:rPr>
          <w:rFonts w:cs="Arial"/>
          <w:szCs w:val="20"/>
        </w:rPr>
      </w:pPr>
      <w:r w:rsidRPr="00445B9C">
        <w:rPr>
          <w:rFonts w:cs="Arial"/>
          <w:szCs w:val="20"/>
        </w:rPr>
        <w:t xml:space="preserve">Zaradi zagotovitve </w:t>
      </w:r>
      <w:r w:rsidR="00254BED">
        <w:rPr>
          <w:rFonts w:cs="Arial"/>
          <w:szCs w:val="20"/>
        </w:rPr>
        <w:t>preglednosti</w:t>
      </w:r>
      <w:r w:rsidR="00254BED" w:rsidRPr="00445B9C">
        <w:rPr>
          <w:rFonts w:cs="Arial"/>
          <w:szCs w:val="20"/>
        </w:rPr>
        <w:t xml:space="preserve"> </w:t>
      </w:r>
      <w:r w:rsidRPr="00445B9C">
        <w:rPr>
          <w:rFonts w:cs="Arial"/>
          <w:szCs w:val="20"/>
        </w:rPr>
        <w:t xml:space="preserve">mora borza javno objaviti informacije o razlogih za ustavitev ali omejitev trgovanja ter načela za določitev tehničnih parametrov, ki se pri tem uporabljajo. Če </w:t>
      </w:r>
      <w:r w:rsidR="00C31C4B" w:rsidRPr="00445B9C">
        <w:rPr>
          <w:rFonts w:cs="Arial"/>
          <w:szCs w:val="20"/>
        </w:rPr>
        <w:t>borza</w:t>
      </w:r>
      <w:r w:rsidRPr="00445B9C">
        <w:rPr>
          <w:rFonts w:cs="Arial"/>
          <w:szCs w:val="20"/>
        </w:rPr>
        <w:t xml:space="preserve"> ne ukrepa kljub neurejenim tržnim razmeram zaradi velikih cenovnih nihanj, lahko </w:t>
      </w:r>
      <w:r w:rsidR="00C31C4B" w:rsidRPr="00445B9C">
        <w:rPr>
          <w:rFonts w:cs="Arial"/>
          <w:szCs w:val="20"/>
        </w:rPr>
        <w:t xml:space="preserve">ATVP </w:t>
      </w:r>
      <w:r w:rsidRPr="00445B9C">
        <w:rPr>
          <w:rFonts w:cs="Arial"/>
          <w:szCs w:val="20"/>
        </w:rPr>
        <w:t xml:space="preserve">sprejmejo ustrezne ukrepe za </w:t>
      </w:r>
      <w:r w:rsidR="00254BED">
        <w:rPr>
          <w:rFonts w:cs="Arial"/>
          <w:szCs w:val="20"/>
        </w:rPr>
        <w:t>vnovično</w:t>
      </w:r>
      <w:r w:rsidR="00254BED" w:rsidRPr="00445B9C">
        <w:rPr>
          <w:rFonts w:cs="Arial"/>
          <w:szCs w:val="20"/>
        </w:rPr>
        <w:t xml:space="preserve"> </w:t>
      </w:r>
      <w:r w:rsidRPr="00445B9C">
        <w:rPr>
          <w:rFonts w:cs="Arial"/>
          <w:szCs w:val="20"/>
        </w:rPr>
        <w:t>vzpostavitev normalnega delovanja trgov.</w:t>
      </w:r>
      <w:r w:rsidR="00C31C4B" w:rsidRPr="00445B9C">
        <w:rPr>
          <w:rFonts w:cs="Arial"/>
          <w:szCs w:val="20"/>
        </w:rPr>
        <w:t xml:space="preserve"> Z navedenim se prenaša podtočka (ii) točke (a) sedmega odstavka prvega člena Direktive 2024/790/EU.</w:t>
      </w:r>
    </w:p>
    <w:p w:rsidR="00FE0F83" w:rsidRPr="00445B9C" w:rsidRDefault="00D81F5F" w:rsidP="00C64B3F">
      <w:pPr>
        <w:spacing w:line="240" w:lineRule="auto"/>
        <w:jc w:val="both"/>
        <w:rPr>
          <w:rFonts w:cs="Arial"/>
          <w:szCs w:val="20"/>
        </w:rPr>
      </w:pPr>
      <w:r w:rsidRPr="00445B9C">
        <w:rPr>
          <w:rFonts w:cs="Arial"/>
          <w:szCs w:val="20"/>
        </w:rPr>
        <w:t xml:space="preserve"> </w:t>
      </w: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_Ref196734784 \r \h  \* MERGEFORMAT </w:instrText>
      </w:r>
      <w:r w:rsidR="006813E2">
        <w:fldChar w:fldCharType="separate"/>
      </w:r>
      <w:r w:rsidR="001638A0" w:rsidRPr="00445B9C">
        <w:rPr>
          <w:rFonts w:cs="Arial"/>
          <w:b/>
          <w:bCs/>
          <w:szCs w:val="20"/>
        </w:rPr>
        <w:t xml:space="preserve">39. </w:t>
      </w:r>
      <w:r w:rsidR="006813E2">
        <w:fldChar w:fldCharType="end"/>
      </w:r>
      <w:r w:rsidRPr="00445B9C">
        <w:rPr>
          <w:rFonts w:cs="Arial"/>
          <w:b/>
          <w:bCs/>
          <w:szCs w:val="20"/>
        </w:rPr>
        <w:t>členu</w:t>
      </w:r>
    </w:p>
    <w:p w:rsidR="00F034D8" w:rsidRPr="00445B9C" w:rsidRDefault="00F034D8" w:rsidP="0083422B">
      <w:pPr>
        <w:spacing w:line="276" w:lineRule="auto"/>
        <w:jc w:val="both"/>
        <w:rPr>
          <w:rFonts w:cs="Arial"/>
          <w:szCs w:val="20"/>
        </w:rPr>
      </w:pPr>
      <w:r w:rsidRPr="00445B9C">
        <w:rPr>
          <w:rFonts w:cs="Arial"/>
          <w:szCs w:val="20"/>
        </w:rPr>
        <w:lastRenderedPageBreak/>
        <w:t xml:space="preserve">Za mesta trgovanja, ki dovoljujejo ali omogočajo algoritemsko trgovanje, že </w:t>
      </w:r>
      <w:r w:rsidR="00254BED">
        <w:rPr>
          <w:rFonts w:cs="Arial"/>
          <w:szCs w:val="20"/>
        </w:rPr>
        <w:t>z</w:t>
      </w:r>
      <w:r w:rsidRPr="00445B9C">
        <w:rPr>
          <w:rFonts w:cs="Arial"/>
          <w:szCs w:val="20"/>
        </w:rPr>
        <w:t>daj veljajo pravila, ki urejajo odpornost in zmogljivost njihovih sistemov, zahtevajo ustrezno testiranje algoritmov, ureditev neprekinjenega poslovanja za obravnavanje motečih incidentov, ki določa minimalno vsebino za načrte neprekinjenega poslovanja in zahteva redni pregled takšnih načrtov</w:t>
      </w:r>
      <w:r w:rsidR="00254BED">
        <w:rPr>
          <w:rFonts w:cs="Arial"/>
          <w:szCs w:val="20"/>
        </w:rPr>
        <w:t xml:space="preserve"> –</w:t>
      </w:r>
      <w:r w:rsidRPr="00445B9C">
        <w:rPr>
          <w:rFonts w:cs="Arial"/>
          <w:szCs w:val="20"/>
        </w:rPr>
        <w:t xml:space="preserve"> poleg določb o varnosti in omejitvah dostopa ter nekaterih pravil, povezanih z upravljanjem. Te zahteve so podrobneje opredeljene v </w:t>
      </w:r>
      <w:r w:rsidRPr="00445B9C">
        <w:rPr>
          <w:rFonts w:cs="Arial"/>
          <w:i/>
          <w:iCs/>
          <w:szCs w:val="20"/>
        </w:rPr>
        <w:t>Delegirani uredbi Komisije (EU) 2017/584 z dne 14. julija 2016 o dopolnitvi Direktive 2014/65/EU Evropskega parlamenta in Sveta v zvezi z regulativnimi tehničnimi standardi, ki določajo organizacijske zahteve za mesta trgovanja</w:t>
      </w:r>
      <w:r w:rsidRPr="00445B9C">
        <w:rPr>
          <w:rFonts w:cs="Arial"/>
          <w:szCs w:val="20"/>
        </w:rPr>
        <w:t>. Zaradi povečevanj</w:t>
      </w:r>
      <w:r w:rsidR="00254BED">
        <w:rPr>
          <w:rFonts w:cs="Arial"/>
          <w:szCs w:val="20"/>
        </w:rPr>
        <w:t>a</w:t>
      </w:r>
      <w:r w:rsidRPr="00445B9C">
        <w:rPr>
          <w:rFonts w:cs="Arial"/>
          <w:szCs w:val="20"/>
        </w:rPr>
        <w:t xml:space="preserve"> groženj, povezanih z IKT</w:t>
      </w:r>
      <w:r w:rsidR="00254BED">
        <w:rPr>
          <w:rFonts w:cs="Arial"/>
          <w:szCs w:val="20"/>
        </w:rPr>
        <w:t>,</w:t>
      </w:r>
      <w:r w:rsidRPr="00445B9C">
        <w:rPr>
          <w:rFonts w:cs="Arial"/>
          <w:szCs w:val="20"/>
        </w:rPr>
        <w:t xml:space="preserve"> je treb</w:t>
      </w:r>
      <w:r w:rsidR="00254BED">
        <w:rPr>
          <w:rFonts w:cs="Arial"/>
          <w:szCs w:val="20"/>
        </w:rPr>
        <w:t>a</w:t>
      </w:r>
      <w:r w:rsidRPr="00445B9C">
        <w:rPr>
          <w:rFonts w:cs="Arial"/>
          <w:szCs w:val="20"/>
        </w:rPr>
        <w:t xml:space="preserve"> pravila posodobiti, zato </w:t>
      </w:r>
      <w:r w:rsidR="00254BED">
        <w:rPr>
          <w:rFonts w:cs="Arial"/>
          <w:szCs w:val="20"/>
        </w:rPr>
        <w:t>s</w:t>
      </w:r>
      <w:r w:rsidRPr="00445B9C">
        <w:rPr>
          <w:rFonts w:cs="Arial"/>
          <w:szCs w:val="20"/>
        </w:rPr>
        <w:t xml:space="preserve">e </w:t>
      </w:r>
      <w:r w:rsidR="00254BED">
        <w:rPr>
          <w:rFonts w:cs="Arial"/>
          <w:szCs w:val="20"/>
        </w:rPr>
        <w:t xml:space="preserve">mora </w:t>
      </w:r>
      <w:r w:rsidRPr="00445B9C">
        <w:rPr>
          <w:rFonts w:cs="Arial"/>
          <w:szCs w:val="20"/>
        </w:rPr>
        <w:t>ZTFI-1 uskladiti z Uredbo 2022/2554/EU.</w:t>
      </w:r>
    </w:p>
    <w:p w:rsidR="00F034D8" w:rsidRPr="00445B9C" w:rsidRDefault="00F034D8" w:rsidP="0083422B">
      <w:pPr>
        <w:spacing w:line="276" w:lineRule="auto"/>
        <w:jc w:val="both"/>
        <w:rPr>
          <w:rFonts w:cs="Arial"/>
          <w:szCs w:val="20"/>
        </w:rPr>
      </w:pPr>
    </w:p>
    <w:p w:rsidR="00FE0F83" w:rsidRPr="00445B9C" w:rsidRDefault="00F034D8" w:rsidP="0083422B">
      <w:pPr>
        <w:spacing w:line="276" w:lineRule="auto"/>
        <w:jc w:val="both"/>
        <w:rPr>
          <w:rFonts w:cs="Arial"/>
          <w:szCs w:val="20"/>
        </w:rPr>
      </w:pPr>
      <w:r w:rsidRPr="00445B9C">
        <w:rPr>
          <w:rFonts w:cs="Arial"/>
          <w:szCs w:val="20"/>
        </w:rPr>
        <w:t>Z dopolnitvijo drugega odstavka 376. člena se v ZTFI-1 prenaša točka (a) prvega odstavka 6. člena Direktive 2022/2556/EU.</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_Ref196734801 \r \h  \* MERGEFORMAT </w:instrText>
      </w:r>
      <w:r w:rsidR="006813E2">
        <w:fldChar w:fldCharType="separate"/>
      </w:r>
      <w:r w:rsidR="001638A0" w:rsidRPr="00445B9C">
        <w:rPr>
          <w:rFonts w:cs="Arial"/>
          <w:b/>
          <w:bCs/>
          <w:szCs w:val="20"/>
        </w:rPr>
        <w:t xml:space="preserve">40. </w:t>
      </w:r>
      <w:r w:rsidR="006813E2">
        <w:fldChar w:fldCharType="end"/>
      </w:r>
      <w:r w:rsidRPr="00445B9C">
        <w:rPr>
          <w:rFonts w:cs="Arial"/>
          <w:b/>
          <w:bCs/>
          <w:szCs w:val="20"/>
        </w:rPr>
        <w:t>členu</w:t>
      </w:r>
    </w:p>
    <w:p w:rsidR="00331898" w:rsidRPr="00445B9C" w:rsidRDefault="00331898" w:rsidP="00C64B3F">
      <w:pPr>
        <w:spacing w:line="240" w:lineRule="auto"/>
        <w:jc w:val="both"/>
        <w:rPr>
          <w:rFonts w:cs="Arial"/>
          <w:szCs w:val="20"/>
        </w:rPr>
      </w:pPr>
      <w:r w:rsidRPr="00445B9C">
        <w:rPr>
          <w:rFonts w:cs="Arial"/>
          <w:szCs w:val="20"/>
        </w:rPr>
        <w:t xml:space="preserve">ZTFI-1 </w:t>
      </w:r>
      <w:r w:rsidR="00254BED">
        <w:rPr>
          <w:rFonts w:cs="Arial"/>
          <w:szCs w:val="20"/>
        </w:rPr>
        <w:t xml:space="preserve">v </w:t>
      </w:r>
      <w:r w:rsidR="00254BED" w:rsidRPr="00445B9C">
        <w:rPr>
          <w:rFonts w:cs="Arial"/>
          <w:szCs w:val="20"/>
        </w:rPr>
        <w:t>377. člen</w:t>
      </w:r>
      <w:r w:rsidR="00254BED">
        <w:rPr>
          <w:rFonts w:cs="Arial"/>
          <w:szCs w:val="20"/>
        </w:rPr>
        <w:t>u</w:t>
      </w:r>
      <w:r w:rsidR="00254BED" w:rsidRPr="00445B9C">
        <w:rPr>
          <w:rFonts w:cs="Arial"/>
          <w:szCs w:val="20"/>
        </w:rPr>
        <w:t xml:space="preserve"> </w:t>
      </w:r>
      <w:r w:rsidRPr="00445B9C">
        <w:rPr>
          <w:rFonts w:cs="Arial"/>
          <w:szCs w:val="20"/>
        </w:rPr>
        <w:t>ureja korake kotacij (</w:t>
      </w:r>
      <w:r w:rsidRPr="00445B9C">
        <w:rPr>
          <w:rFonts w:cs="Arial"/>
          <w:i/>
          <w:iCs/>
          <w:szCs w:val="20"/>
        </w:rPr>
        <w:t xml:space="preserve">ang. </w:t>
      </w:r>
      <w:proofErr w:type="spellStart"/>
      <w:r w:rsidRPr="00445B9C">
        <w:rPr>
          <w:rFonts w:cs="Arial"/>
          <w:i/>
          <w:iCs/>
          <w:szCs w:val="20"/>
        </w:rPr>
        <w:t>tick</w:t>
      </w:r>
      <w:proofErr w:type="spellEnd"/>
      <w:r w:rsidRPr="00445B9C">
        <w:rPr>
          <w:rFonts w:cs="Arial"/>
          <w:i/>
          <w:iCs/>
          <w:szCs w:val="20"/>
        </w:rPr>
        <w:t xml:space="preserve"> </w:t>
      </w:r>
      <w:proofErr w:type="spellStart"/>
      <w:r w:rsidRPr="00445B9C">
        <w:rPr>
          <w:rFonts w:cs="Arial"/>
          <w:i/>
          <w:iCs/>
          <w:szCs w:val="20"/>
        </w:rPr>
        <w:t>size</w:t>
      </w:r>
      <w:proofErr w:type="spellEnd"/>
      <w:r w:rsidRPr="00445B9C">
        <w:rPr>
          <w:rFonts w:cs="Arial"/>
          <w:szCs w:val="20"/>
        </w:rPr>
        <w:t>), ki pomenijo najmanjšo dovoljeno spremembo cene finančnega instrumenta pri trgovanju</w:t>
      </w:r>
      <w:r w:rsidR="00BF0FCA" w:rsidRPr="00445B9C">
        <w:rPr>
          <w:rFonts w:cs="Arial"/>
          <w:szCs w:val="20"/>
        </w:rPr>
        <w:t xml:space="preserve"> (podrobneje </w:t>
      </w:r>
      <w:r w:rsidR="00254BED">
        <w:rPr>
          <w:rFonts w:cs="Arial"/>
          <w:szCs w:val="20"/>
        </w:rPr>
        <w:t xml:space="preserve">je to </w:t>
      </w:r>
      <w:r w:rsidR="00BF0FCA" w:rsidRPr="00445B9C">
        <w:rPr>
          <w:rFonts w:cs="Arial"/>
          <w:szCs w:val="20"/>
        </w:rPr>
        <w:t xml:space="preserve">urejeno v </w:t>
      </w:r>
      <w:r w:rsidR="00BF0FCA" w:rsidRPr="00445B9C">
        <w:rPr>
          <w:rFonts w:cs="Arial"/>
          <w:i/>
          <w:iCs/>
          <w:szCs w:val="20"/>
        </w:rPr>
        <w:t>Delegirani uredbi Komisije (EU) 2017/588 z dne 14. julija 2016 o dopolnitvi Direktive 2014/65/EU Evropskega parlamenta in Sveta v zvezi z regulativnimi tehničnimi standardi glede režima za korake kotacije za delnice, potrdila o lastništvu in investicijske sklade, s katerimi se trguje na borzi</w:t>
      </w:r>
      <w:r w:rsidR="00BF0FCA" w:rsidRPr="00445B9C">
        <w:rPr>
          <w:rFonts w:cs="Arial"/>
          <w:szCs w:val="20"/>
        </w:rPr>
        <w:t>)</w:t>
      </w:r>
      <w:r w:rsidRPr="00445B9C">
        <w:rPr>
          <w:rFonts w:cs="Arial"/>
          <w:szCs w:val="20"/>
        </w:rPr>
        <w:t xml:space="preserve">. Koraki kotacije so pomembni, ker vplivajo na globino trga, likvidnost in volatilnost cen. Pravilno določeni koraki kotacije lahko prispevajo k bolj stabilnim cenam in učinkovitemu delovanju trga. Predlaga se, da če </w:t>
      </w:r>
      <w:r w:rsidR="001A713F" w:rsidRPr="00445B9C">
        <w:rPr>
          <w:rFonts w:cs="Arial"/>
          <w:szCs w:val="20"/>
        </w:rPr>
        <w:t xml:space="preserve">je </w:t>
      </w:r>
      <w:r w:rsidRPr="00445B9C">
        <w:rPr>
          <w:rFonts w:cs="Arial"/>
          <w:szCs w:val="20"/>
        </w:rPr>
        <w:t>delnicam dodeljena številk</w:t>
      </w:r>
      <w:r w:rsidR="001A713F" w:rsidRPr="00445B9C">
        <w:rPr>
          <w:rFonts w:cs="Arial"/>
          <w:szCs w:val="20"/>
        </w:rPr>
        <w:t>a</w:t>
      </w:r>
      <w:r w:rsidRPr="00445B9C">
        <w:rPr>
          <w:rFonts w:cs="Arial"/>
          <w:szCs w:val="20"/>
        </w:rPr>
        <w:t xml:space="preserve"> ISIN zunaj EGP ali ima ISIN v EGP, vendar se z njo trguje v tretji državi v lokalni ali ne-EGP valuti, in je njen glavni trg</w:t>
      </w:r>
      <w:r w:rsidR="001A713F" w:rsidRPr="00445B9C">
        <w:rPr>
          <w:rFonts w:eastAsia="Arial" w:cs="Arial"/>
          <w:szCs w:val="20"/>
        </w:rPr>
        <w:t xml:space="preserve"> </w:t>
      </w:r>
      <w:r w:rsidR="00254BED">
        <w:rPr>
          <w:rFonts w:eastAsia="Arial" w:cs="Arial"/>
          <w:szCs w:val="20"/>
        </w:rPr>
        <w:t xml:space="preserve">z vidika </w:t>
      </w:r>
      <w:r w:rsidR="001A713F" w:rsidRPr="00445B9C">
        <w:rPr>
          <w:rFonts w:eastAsia="Arial" w:cs="Arial"/>
          <w:szCs w:val="20"/>
        </w:rPr>
        <w:t>likvidnost</w:t>
      </w:r>
      <w:r w:rsidR="00254BED">
        <w:rPr>
          <w:rFonts w:eastAsia="Arial" w:cs="Arial"/>
          <w:szCs w:val="20"/>
        </w:rPr>
        <w:t>i</w:t>
      </w:r>
      <w:r w:rsidRPr="00445B9C">
        <w:rPr>
          <w:rFonts w:cs="Arial"/>
          <w:szCs w:val="20"/>
        </w:rPr>
        <w:t xml:space="preserve"> v tretji državi, lahko borza uporabi enak korak kotacije kot tamkajšnje mesto trgovanja. S predlagano dopolnitvijo se želi</w:t>
      </w:r>
      <w:r w:rsidR="005B0306">
        <w:rPr>
          <w:rFonts w:cs="Arial"/>
          <w:szCs w:val="20"/>
        </w:rPr>
        <w:t>jo</w:t>
      </w:r>
      <w:r w:rsidRPr="00445B9C">
        <w:rPr>
          <w:rFonts w:cs="Arial"/>
          <w:szCs w:val="20"/>
        </w:rPr>
        <w:t xml:space="preserve"> zagotoviti enak</w:t>
      </w:r>
      <w:r w:rsidR="005B0306">
        <w:rPr>
          <w:rFonts w:cs="Arial"/>
          <w:szCs w:val="20"/>
        </w:rPr>
        <w:t>i</w:t>
      </w:r>
      <w:r w:rsidRPr="00445B9C">
        <w:rPr>
          <w:rFonts w:cs="Arial"/>
          <w:szCs w:val="20"/>
        </w:rPr>
        <w:t xml:space="preserve"> pogoj</w:t>
      </w:r>
      <w:r w:rsidR="005B0306">
        <w:rPr>
          <w:rFonts w:cs="Arial"/>
          <w:szCs w:val="20"/>
        </w:rPr>
        <w:t>i</w:t>
      </w:r>
      <w:r w:rsidRPr="00445B9C">
        <w:rPr>
          <w:rFonts w:cs="Arial"/>
          <w:szCs w:val="20"/>
        </w:rPr>
        <w:t xml:space="preserve"> za vse udeležence na trgu. </w:t>
      </w:r>
    </w:p>
    <w:p w:rsidR="00331898" w:rsidRPr="00445B9C" w:rsidRDefault="00331898" w:rsidP="00C64B3F">
      <w:pPr>
        <w:spacing w:line="240" w:lineRule="auto"/>
        <w:jc w:val="both"/>
        <w:rPr>
          <w:rFonts w:cs="Arial"/>
          <w:szCs w:val="20"/>
        </w:rPr>
      </w:pPr>
    </w:p>
    <w:p w:rsidR="00331898" w:rsidRPr="00445B9C" w:rsidRDefault="00331898" w:rsidP="00331898">
      <w:pPr>
        <w:spacing w:line="276" w:lineRule="auto"/>
        <w:jc w:val="both"/>
        <w:rPr>
          <w:rFonts w:cs="Arial"/>
          <w:szCs w:val="20"/>
        </w:rPr>
      </w:pPr>
      <w:r w:rsidRPr="00445B9C">
        <w:rPr>
          <w:rFonts w:cs="Arial"/>
          <w:szCs w:val="20"/>
        </w:rPr>
        <w:t>Z dopolnitvijo 3. točke drugega odstavka 377. člena se v ZTFI-1 prenaša osmi odstavek 1. člena Direktive 2024/790/EU.</w:t>
      </w:r>
    </w:p>
    <w:p w:rsidR="00331898" w:rsidRPr="00445B9C" w:rsidRDefault="00331898"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_Ref196734811 \r \h  \* MERGEFORMAT </w:instrText>
      </w:r>
      <w:r w:rsidR="006813E2">
        <w:fldChar w:fldCharType="separate"/>
      </w:r>
      <w:r w:rsidR="001638A0" w:rsidRPr="00445B9C">
        <w:rPr>
          <w:rFonts w:cs="Arial"/>
          <w:b/>
          <w:bCs/>
          <w:szCs w:val="20"/>
        </w:rPr>
        <w:t xml:space="preserve">41. </w:t>
      </w:r>
      <w:r w:rsidR="006813E2">
        <w:fldChar w:fldCharType="end"/>
      </w:r>
      <w:r w:rsidRPr="00445B9C">
        <w:rPr>
          <w:rFonts w:cs="Arial"/>
          <w:b/>
          <w:bCs/>
          <w:szCs w:val="20"/>
        </w:rPr>
        <w:t>členu</w:t>
      </w:r>
    </w:p>
    <w:p w:rsidR="00FE0F83" w:rsidRPr="00445B9C" w:rsidRDefault="00F75D8E" w:rsidP="00C64B3F">
      <w:pPr>
        <w:spacing w:line="240" w:lineRule="auto"/>
        <w:jc w:val="both"/>
        <w:rPr>
          <w:rFonts w:cs="Arial"/>
          <w:szCs w:val="20"/>
        </w:rPr>
      </w:pPr>
      <w:r w:rsidRPr="00445B9C">
        <w:rPr>
          <w:rFonts w:cs="Arial"/>
          <w:szCs w:val="20"/>
        </w:rPr>
        <w:t>Zaradi boljšega spremljanje dogodkov, o katerih se poroča</w:t>
      </w:r>
      <w:r w:rsidR="00254BED">
        <w:rPr>
          <w:rFonts w:cs="Arial"/>
          <w:szCs w:val="20"/>
        </w:rPr>
        <w:t>,</w:t>
      </w:r>
      <w:r w:rsidRPr="00445B9C">
        <w:rPr>
          <w:rFonts w:cs="Arial"/>
          <w:szCs w:val="20"/>
        </w:rPr>
        <w:t xml:space="preserve"> ZTFI-1 v 378. členu določa uskladitev poslovnih ur za mesta trgovanja in njihove člane. Zaradi poenotenja in razširitve te zahteve na dodatne zavezance na ravni EU se uskladitev poslovnih ur po novem ureja z novim 22c členom Uredbe 600/2014/EU. Zato se predlaga črtanje 378. člena ZTFI-1.</w:t>
      </w:r>
    </w:p>
    <w:p w:rsidR="00F75D8E" w:rsidRPr="00445B9C" w:rsidRDefault="00F75D8E" w:rsidP="00C64B3F">
      <w:pPr>
        <w:spacing w:line="240" w:lineRule="auto"/>
        <w:jc w:val="both"/>
        <w:rPr>
          <w:rFonts w:cs="Arial"/>
          <w:szCs w:val="20"/>
        </w:rPr>
      </w:pPr>
    </w:p>
    <w:p w:rsidR="00F75D8E" w:rsidRPr="00445B9C" w:rsidRDefault="00F75D8E" w:rsidP="00F75D8E">
      <w:pPr>
        <w:spacing w:line="276" w:lineRule="auto"/>
        <w:jc w:val="both"/>
        <w:rPr>
          <w:rFonts w:cs="Arial"/>
          <w:szCs w:val="20"/>
        </w:rPr>
      </w:pPr>
      <w:r w:rsidRPr="00445B9C">
        <w:rPr>
          <w:rFonts w:cs="Arial"/>
          <w:szCs w:val="20"/>
        </w:rPr>
        <w:t>S črtanjem 378. člena se v ZTFI-1 prenaša deveti odstavek 1. člena Direktive 2024/790/EU.</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_Ref196734826 \r \h  \* MERGEFORMAT </w:instrText>
      </w:r>
      <w:r w:rsidR="006813E2">
        <w:fldChar w:fldCharType="separate"/>
      </w:r>
      <w:r w:rsidR="001638A0" w:rsidRPr="00445B9C">
        <w:rPr>
          <w:rFonts w:cs="Arial"/>
          <w:b/>
          <w:bCs/>
          <w:szCs w:val="20"/>
        </w:rPr>
        <w:t xml:space="preserve">42. </w:t>
      </w:r>
      <w:r w:rsidR="006813E2">
        <w:fldChar w:fldCharType="end"/>
      </w:r>
      <w:r w:rsidRPr="00445B9C">
        <w:rPr>
          <w:rFonts w:cs="Arial"/>
          <w:b/>
          <w:bCs/>
          <w:szCs w:val="20"/>
        </w:rPr>
        <w:t>členu</w:t>
      </w:r>
    </w:p>
    <w:p w:rsidR="00FE0F83" w:rsidRPr="00445B9C" w:rsidRDefault="00FC1115" w:rsidP="00FC1115">
      <w:pPr>
        <w:spacing w:line="276" w:lineRule="auto"/>
        <w:jc w:val="both"/>
        <w:rPr>
          <w:rFonts w:cs="Arial"/>
          <w:szCs w:val="20"/>
        </w:rPr>
      </w:pPr>
      <w:r w:rsidRPr="00445B9C">
        <w:rPr>
          <w:rFonts w:cs="Arial"/>
          <w:szCs w:val="20"/>
        </w:rPr>
        <w:t xml:space="preserve">S spremembo </w:t>
      </w:r>
      <w:r w:rsidR="00A029D9" w:rsidRPr="00445B9C">
        <w:rPr>
          <w:rFonts w:cs="Arial"/>
          <w:szCs w:val="20"/>
        </w:rPr>
        <w:t>drugega</w:t>
      </w:r>
      <w:r w:rsidRPr="00445B9C">
        <w:rPr>
          <w:rFonts w:cs="Arial"/>
          <w:szCs w:val="20"/>
        </w:rPr>
        <w:t xml:space="preserve"> odstavka 3</w:t>
      </w:r>
      <w:r w:rsidR="00A029D9" w:rsidRPr="00445B9C">
        <w:rPr>
          <w:rFonts w:cs="Arial"/>
          <w:szCs w:val="20"/>
        </w:rPr>
        <w:t>82</w:t>
      </w:r>
      <w:r w:rsidRPr="00445B9C">
        <w:rPr>
          <w:rFonts w:cs="Arial"/>
          <w:szCs w:val="20"/>
        </w:rPr>
        <w:t>. člena ZTFI-1 se določa razširjena obveznost za borzo v zvezi z zagotovitvijo obvladovanj tveganj na področju IKT v skladu z II. poglavjem Uredbe 2022/2554.</w:t>
      </w:r>
      <w:r w:rsidR="006700C6" w:rsidRPr="00445B9C">
        <w:rPr>
          <w:rFonts w:cs="Arial"/>
          <w:szCs w:val="20"/>
        </w:rPr>
        <w:t xml:space="preserve"> </w:t>
      </w:r>
      <w:r w:rsidRPr="00445B9C">
        <w:rPr>
          <w:rFonts w:cs="Arial"/>
          <w:szCs w:val="20"/>
        </w:rPr>
        <w:t xml:space="preserve">ZTFI-1 </w:t>
      </w:r>
      <w:r w:rsidR="006700C6" w:rsidRPr="00445B9C">
        <w:rPr>
          <w:rFonts w:cs="Arial"/>
          <w:szCs w:val="20"/>
        </w:rPr>
        <w:t>je treb</w:t>
      </w:r>
      <w:r w:rsidR="00254BED">
        <w:rPr>
          <w:rFonts w:cs="Arial"/>
          <w:szCs w:val="20"/>
        </w:rPr>
        <w:t>a</w:t>
      </w:r>
      <w:r w:rsidR="006700C6" w:rsidRPr="00445B9C">
        <w:rPr>
          <w:rFonts w:cs="Arial"/>
          <w:szCs w:val="20"/>
        </w:rPr>
        <w:t xml:space="preserve"> </w:t>
      </w:r>
      <w:r w:rsidRPr="00445B9C">
        <w:rPr>
          <w:rFonts w:cs="Arial"/>
          <w:szCs w:val="20"/>
        </w:rPr>
        <w:t>uskladiti z Uredbo 2022/2554/EU glede kontinuitete in pravilnosti pri zagotavljanju investicijskih storitev in opravljanju investicijskih poslov, operativno odpornost, zmogljivost sistemov trgovanja ter učinkovitost ureditev neprekinjenega poslovanja in upravljanja tveganj.</w:t>
      </w:r>
    </w:p>
    <w:p w:rsidR="00FE0F83" w:rsidRPr="00445B9C" w:rsidRDefault="00FE0F83" w:rsidP="00C64B3F">
      <w:pPr>
        <w:spacing w:line="240" w:lineRule="auto"/>
        <w:jc w:val="both"/>
        <w:rPr>
          <w:rFonts w:cs="Arial"/>
          <w:szCs w:val="20"/>
        </w:rPr>
      </w:pPr>
    </w:p>
    <w:p w:rsidR="00FE0F83" w:rsidRPr="00445B9C" w:rsidRDefault="006700C6" w:rsidP="00C64B3F">
      <w:pPr>
        <w:spacing w:line="240" w:lineRule="auto"/>
        <w:jc w:val="both"/>
        <w:rPr>
          <w:rFonts w:cs="Arial"/>
          <w:szCs w:val="20"/>
        </w:rPr>
      </w:pPr>
      <w:r w:rsidRPr="00445B9C">
        <w:rPr>
          <w:rFonts w:cs="Arial"/>
          <w:szCs w:val="20"/>
        </w:rPr>
        <w:t xml:space="preserve">Z dopolnitvijo drugega odstavka 382. člena se v ZTFI-1 prenaša točka (a) tretjega odstavka </w:t>
      </w:r>
      <w:r w:rsidR="00254BED">
        <w:rPr>
          <w:rFonts w:cs="Arial"/>
          <w:szCs w:val="20"/>
        </w:rPr>
        <w:t>3. člena</w:t>
      </w:r>
      <w:r w:rsidR="00254BED" w:rsidRPr="00445B9C">
        <w:rPr>
          <w:rFonts w:cs="Arial"/>
          <w:szCs w:val="20"/>
        </w:rPr>
        <w:t xml:space="preserve"> </w:t>
      </w:r>
      <w:r w:rsidRPr="00445B9C">
        <w:rPr>
          <w:rFonts w:cs="Arial"/>
          <w:szCs w:val="20"/>
        </w:rPr>
        <w:t>in točka (a) četrtega odstavka 6. člena Direktive 2022/2556/EU.</w:t>
      </w:r>
    </w:p>
    <w:p w:rsidR="006700C6" w:rsidRPr="00445B9C" w:rsidRDefault="006700C6"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_Ref196734840 \r \h  \* MERGEFORMAT </w:instrText>
      </w:r>
      <w:r w:rsidR="006813E2">
        <w:fldChar w:fldCharType="separate"/>
      </w:r>
      <w:r w:rsidR="001638A0" w:rsidRPr="00445B9C">
        <w:rPr>
          <w:rFonts w:cs="Arial"/>
          <w:b/>
          <w:bCs/>
          <w:szCs w:val="20"/>
        </w:rPr>
        <w:t xml:space="preserve">43. </w:t>
      </w:r>
      <w:r w:rsidR="006813E2">
        <w:fldChar w:fldCharType="end"/>
      </w:r>
      <w:r w:rsidRPr="00445B9C">
        <w:rPr>
          <w:rFonts w:cs="Arial"/>
          <w:b/>
          <w:bCs/>
          <w:szCs w:val="20"/>
        </w:rPr>
        <w:t>členu</w:t>
      </w:r>
    </w:p>
    <w:p w:rsidR="004D30F5" w:rsidRPr="00445B9C" w:rsidRDefault="00EB1003" w:rsidP="00C64B3F">
      <w:pPr>
        <w:spacing w:line="240" w:lineRule="auto"/>
        <w:jc w:val="both"/>
        <w:rPr>
          <w:rFonts w:eastAsia="Arial" w:cs="Arial"/>
          <w:szCs w:val="20"/>
        </w:rPr>
      </w:pPr>
      <w:r w:rsidRPr="00445B9C">
        <w:rPr>
          <w:rFonts w:cs="Arial"/>
          <w:szCs w:val="20"/>
        </w:rPr>
        <w:t xml:space="preserve">Borza mora ATVP takoj obvestiti o vsaki začasni ustavitvi ali umiku iz trgovanja za vsak finančni instrument ter te informacije objaviti na svoji spletni strani v skladu z </w:t>
      </w:r>
      <w:r w:rsidRPr="00445B9C">
        <w:rPr>
          <w:rFonts w:cs="Arial"/>
          <w:i/>
          <w:iCs/>
          <w:szCs w:val="20"/>
        </w:rPr>
        <w:t>Delegirano uredbo Komisije (EU) 2017/569 z dne 24. maja 2016 o dopolnitvi Direktive 2014/65/EU Evropskega parlamenta in Sveta v zvezi z regulativnimi tehničnimi standardi za začasno ustavitev trgovanja s finančnimi instrumenti in njihov umik iz trgovanja</w:t>
      </w:r>
      <w:r w:rsidRPr="00445B9C">
        <w:rPr>
          <w:rFonts w:cs="Arial"/>
          <w:szCs w:val="20"/>
        </w:rPr>
        <w:t xml:space="preserve">. Z novim tretjim odstavkom 406. člena ZTFI-1 se določa </w:t>
      </w:r>
      <w:r w:rsidRPr="00445B9C">
        <w:rPr>
          <w:rFonts w:cs="Arial"/>
          <w:szCs w:val="20"/>
        </w:rPr>
        <w:lastRenderedPageBreak/>
        <w:t xml:space="preserve">obveznost borzi, da prej navedene informacije hkrati pošlje </w:t>
      </w:r>
      <w:r w:rsidR="004D30F5" w:rsidRPr="00445B9C">
        <w:rPr>
          <w:rFonts w:cs="Arial"/>
          <w:szCs w:val="20"/>
        </w:rPr>
        <w:t xml:space="preserve">ATVP za namen zbiranja informacij za </w:t>
      </w:r>
      <w:r w:rsidR="004D30F5" w:rsidRPr="00445B9C">
        <w:rPr>
          <w:rFonts w:eastAsia="Arial" w:cs="Arial"/>
          <w:szCs w:val="20"/>
        </w:rPr>
        <w:t>posredovanje v ESAP.</w:t>
      </w:r>
    </w:p>
    <w:p w:rsidR="004D30F5" w:rsidRPr="00445B9C" w:rsidRDefault="004D30F5" w:rsidP="00C64B3F">
      <w:pPr>
        <w:spacing w:line="240" w:lineRule="auto"/>
        <w:jc w:val="both"/>
        <w:rPr>
          <w:rFonts w:eastAsia="Arial" w:cs="Arial"/>
          <w:szCs w:val="20"/>
        </w:rPr>
      </w:pPr>
    </w:p>
    <w:p w:rsidR="004D30F5" w:rsidRPr="00445B9C" w:rsidRDefault="004D30F5" w:rsidP="004D30F5">
      <w:pPr>
        <w:spacing w:line="276" w:lineRule="auto"/>
        <w:jc w:val="both"/>
        <w:rPr>
          <w:rFonts w:cs="Arial"/>
          <w:szCs w:val="20"/>
        </w:rPr>
      </w:pPr>
      <w:r w:rsidRPr="00445B9C">
        <w:rPr>
          <w:rFonts w:cs="Arial"/>
          <w:szCs w:val="20"/>
        </w:rPr>
        <w:t xml:space="preserve">Z novim tretjim odstavkom 406. člena se v ZTFI-1 prenaša 12. člen Direktive 2023/2864/EU. Novi deseti odstavek 322. člena ZTFI-1 se začne uporabljati 10. januarja 2030, kar je urejeno v drugem odstavku </w:t>
      </w:r>
      <w:r w:rsidR="006813E2">
        <w:fldChar w:fldCharType="begin"/>
      </w:r>
      <w:r w:rsidR="006813E2">
        <w:instrText xml:space="preserve"> REF _Ref196734116 \r \h  \* MERGEFORMAT </w:instrText>
      </w:r>
      <w:r w:rsidR="006813E2">
        <w:fldChar w:fldCharType="separate"/>
      </w:r>
      <w:r w:rsidR="001638A0" w:rsidRPr="00445B9C">
        <w:rPr>
          <w:rFonts w:cs="Arial"/>
          <w:szCs w:val="20"/>
        </w:rPr>
        <w:t xml:space="preserve">57. </w:t>
      </w:r>
      <w:r w:rsidR="006813E2">
        <w:fldChar w:fldCharType="end"/>
      </w:r>
      <w:r w:rsidRPr="00445B9C">
        <w:rPr>
          <w:rFonts w:cs="Arial"/>
          <w:szCs w:val="20"/>
        </w:rPr>
        <w:t>člen</w:t>
      </w:r>
      <w:r w:rsidR="003013E2">
        <w:rPr>
          <w:rFonts w:cs="Arial"/>
          <w:szCs w:val="20"/>
        </w:rPr>
        <w:t>a</w:t>
      </w:r>
      <w:r w:rsidRPr="00445B9C">
        <w:rPr>
          <w:rFonts w:cs="Arial"/>
          <w:szCs w:val="20"/>
        </w:rPr>
        <w:t xml:space="preserve"> predloga zakona.</w:t>
      </w:r>
    </w:p>
    <w:p w:rsidR="00814AD5" w:rsidRPr="00445B9C" w:rsidRDefault="00814AD5" w:rsidP="004D30F5">
      <w:pPr>
        <w:spacing w:line="276" w:lineRule="auto"/>
        <w:jc w:val="both"/>
        <w:rPr>
          <w:rFonts w:cs="Arial"/>
          <w:szCs w:val="20"/>
        </w:rPr>
      </w:pPr>
    </w:p>
    <w:p w:rsidR="00814AD5" w:rsidRPr="00445B9C" w:rsidRDefault="00814AD5" w:rsidP="00814AD5">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_Ref196825855 \r \h  \* MERGEFORMAT </w:instrText>
      </w:r>
      <w:r w:rsidR="006813E2">
        <w:fldChar w:fldCharType="separate"/>
      </w:r>
      <w:r w:rsidR="001638A0" w:rsidRPr="00445B9C">
        <w:rPr>
          <w:rFonts w:cs="Arial"/>
          <w:b/>
          <w:bCs/>
          <w:szCs w:val="20"/>
        </w:rPr>
        <w:t xml:space="preserve">44. </w:t>
      </w:r>
      <w:r w:rsidR="006813E2">
        <w:fldChar w:fldCharType="end"/>
      </w:r>
      <w:r w:rsidRPr="00445B9C">
        <w:rPr>
          <w:rFonts w:cs="Arial"/>
          <w:b/>
          <w:bCs/>
          <w:szCs w:val="20"/>
        </w:rPr>
        <w:t>členu</w:t>
      </w:r>
    </w:p>
    <w:p w:rsidR="00814AD5" w:rsidRPr="00445B9C" w:rsidRDefault="00814AD5" w:rsidP="004D30F5">
      <w:pPr>
        <w:spacing w:line="276" w:lineRule="auto"/>
        <w:jc w:val="both"/>
        <w:rPr>
          <w:rFonts w:cs="Arial"/>
          <w:szCs w:val="20"/>
        </w:rPr>
      </w:pPr>
      <w:r w:rsidRPr="00445B9C">
        <w:rPr>
          <w:rFonts w:cs="Arial"/>
          <w:szCs w:val="20"/>
        </w:rPr>
        <w:t xml:space="preserve">Besedilo 411. člena ZTFI-1 se usklajuje z ZBan-3A in Uredbo 575/2013/EU. Glej obrazložitev k </w:t>
      </w:r>
      <w:r w:rsidR="006813E2">
        <w:fldChar w:fldCharType="begin"/>
      </w:r>
      <w:r w:rsidR="006813E2">
        <w:instrText xml:space="preserve"> REF _Ref192067056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členu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_Ref192070531 \r \h  \* MERGEFORMAT </w:instrText>
      </w:r>
      <w:r w:rsidR="006813E2">
        <w:fldChar w:fldCharType="separate"/>
      </w:r>
      <w:r w:rsidR="001638A0" w:rsidRPr="00445B9C">
        <w:rPr>
          <w:rFonts w:cs="Arial"/>
          <w:b/>
          <w:bCs/>
          <w:szCs w:val="20"/>
        </w:rPr>
        <w:t xml:space="preserve">45. </w:t>
      </w:r>
      <w:r w:rsidR="006813E2">
        <w:fldChar w:fldCharType="end"/>
      </w:r>
      <w:r w:rsidRPr="00445B9C">
        <w:rPr>
          <w:rFonts w:cs="Arial"/>
          <w:b/>
          <w:bCs/>
          <w:szCs w:val="20"/>
        </w:rPr>
        <w:t>členu</w:t>
      </w:r>
    </w:p>
    <w:p w:rsidR="00263F60" w:rsidRPr="00445B9C" w:rsidRDefault="00263F60" w:rsidP="001D6C78">
      <w:pPr>
        <w:spacing w:line="276" w:lineRule="auto"/>
        <w:jc w:val="both"/>
        <w:rPr>
          <w:rFonts w:cs="Arial"/>
          <w:szCs w:val="20"/>
        </w:rPr>
      </w:pPr>
      <w:r w:rsidRPr="00445B9C">
        <w:rPr>
          <w:rFonts w:cs="Arial"/>
          <w:szCs w:val="20"/>
        </w:rPr>
        <w:t xml:space="preserve">V skladu s četrtim odstavkom 422. člena ZTFI-1 ATVP zahteva, da vsa mesta trgovanja in sistematični </w:t>
      </w:r>
      <w:proofErr w:type="spellStart"/>
      <w:r w:rsidRPr="00445B9C">
        <w:rPr>
          <w:rFonts w:cs="Arial"/>
          <w:szCs w:val="20"/>
        </w:rPr>
        <w:t>internalizatorji</w:t>
      </w:r>
      <w:proofErr w:type="spellEnd"/>
      <w:r w:rsidRPr="00445B9C">
        <w:rPr>
          <w:rFonts w:cs="Arial"/>
          <w:szCs w:val="20"/>
        </w:rPr>
        <w:t xml:space="preserve"> v Sloveniji začasno ustavijo trgovanje ali umaknejo iz trgovanja finančni instrument, če obstaja sum kršitve predpisov. Če je tak ukrep izveden, ga ATVP takoj sporoči ESMA ter nadzornim organom drugih držav članic. Zaradi zagotavljanja </w:t>
      </w:r>
      <w:r w:rsidR="003013E2">
        <w:rPr>
          <w:rFonts w:cs="Arial"/>
          <w:szCs w:val="20"/>
        </w:rPr>
        <w:t>preglednosti</w:t>
      </w:r>
      <w:r w:rsidR="003013E2" w:rsidRPr="00445B9C">
        <w:rPr>
          <w:rFonts w:cs="Arial"/>
          <w:szCs w:val="20"/>
        </w:rPr>
        <w:t xml:space="preserve"> </w:t>
      </w:r>
      <w:r w:rsidRPr="00445B9C">
        <w:rPr>
          <w:rFonts w:cs="Arial"/>
          <w:szCs w:val="20"/>
        </w:rPr>
        <w:t xml:space="preserve">in obveščenosti vlagateljev o </w:t>
      </w:r>
      <w:r w:rsidR="003013E2">
        <w:rPr>
          <w:rFonts w:cs="Arial"/>
          <w:szCs w:val="20"/>
        </w:rPr>
        <w:t>razmerah</w:t>
      </w:r>
      <w:r w:rsidR="003013E2" w:rsidRPr="00445B9C">
        <w:rPr>
          <w:rFonts w:cs="Arial"/>
          <w:szCs w:val="20"/>
        </w:rPr>
        <w:t xml:space="preserve"> </w:t>
      </w:r>
      <w:r w:rsidRPr="00445B9C">
        <w:rPr>
          <w:rFonts w:cs="Arial"/>
          <w:szCs w:val="20"/>
        </w:rPr>
        <w:t xml:space="preserve">na trgu se predlaga dopolnitev petega odstavka 422. člena ZTFI-1, saj je pomembno, da se ta informacija </w:t>
      </w:r>
      <w:r w:rsidR="003013E2" w:rsidRPr="00445B9C">
        <w:rPr>
          <w:rFonts w:cs="Arial"/>
          <w:szCs w:val="20"/>
        </w:rPr>
        <w:t xml:space="preserve">objavi </w:t>
      </w:r>
      <w:r w:rsidRPr="00445B9C">
        <w:rPr>
          <w:rFonts w:cs="Arial"/>
          <w:szCs w:val="20"/>
        </w:rPr>
        <w:t>javno.</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_Ref196733662 \r \h  \* MERGEFORMAT </w:instrText>
      </w:r>
      <w:r w:rsidR="006813E2">
        <w:fldChar w:fldCharType="separate"/>
      </w:r>
      <w:r w:rsidR="001638A0" w:rsidRPr="00445B9C">
        <w:rPr>
          <w:rFonts w:cs="Arial"/>
          <w:b/>
          <w:bCs/>
          <w:szCs w:val="20"/>
        </w:rPr>
        <w:t xml:space="preserve">46. </w:t>
      </w:r>
      <w:r w:rsidR="006813E2">
        <w:fldChar w:fldCharType="end"/>
      </w:r>
      <w:r w:rsidRPr="00445B9C">
        <w:rPr>
          <w:rFonts w:cs="Arial"/>
          <w:b/>
          <w:bCs/>
          <w:szCs w:val="20"/>
        </w:rPr>
        <w:t>členu</w:t>
      </w:r>
    </w:p>
    <w:p w:rsidR="00D76D49" w:rsidRPr="00445B9C" w:rsidRDefault="00D76D49" w:rsidP="00C118A4">
      <w:pPr>
        <w:spacing w:line="276" w:lineRule="auto"/>
        <w:jc w:val="both"/>
        <w:rPr>
          <w:rFonts w:cs="Arial"/>
          <w:szCs w:val="20"/>
        </w:rPr>
      </w:pPr>
      <w:r w:rsidRPr="00445B9C">
        <w:rPr>
          <w:rFonts w:cs="Arial"/>
          <w:szCs w:val="20"/>
        </w:rPr>
        <w:t>Z novim 429.a členom ZTFI-1 se določajo nove pristojnosti ATVP kot organa za sprejemanje podatkov iz prvega in drugega odstavka 17. člena ter tretjega odstavka 19. člena Uredbe 596/2014/EU, ki obravnavajo razkritje notranjih informacij in poročanje o transakcijah. ATVP mora zagotavljati, da so te informacije dostopne v ESAP.</w:t>
      </w:r>
      <w:r w:rsidR="0008377A" w:rsidRPr="00445B9C">
        <w:rPr>
          <w:rFonts w:cs="Arial"/>
          <w:szCs w:val="20"/>
        </w:rPr>
        <w:t xml:space="preserve"> </w:t>
      </w:r>
      <w:r w:rsidR="003013E2">
        <w:rPr>
          <w:rFonts w:cs="Arial"/>
          <w:szCs w:val="20"/>
        </w:rPr>
        <w:t xml:space="preserve"> </w:t>
      </w:r>
    </w:p>
    <w:p w:rsidR="00C6128B" w:rsidRPr="00445B9C" w:rsidRDefault="00C6128B" w:rsidP="00C118A4">
      <w:pPr>
        <w:spacing w:line="276" w:lineRule="auto"/>
        <w:jc w:val="both"/>
        <w:rPr>
          <w:rFonts w:cs="Arial"/>
          <w:szCs w:val="20"/>
        </w:rPr>
      </w:pPr>
    </w:p>
    <w:p w:rsidR="00C6128B" w:rsidRPr="00445B9C" w:rsidRDefault="00C6128B" w:rsidP="00C118A4">
      <w:pPr>
        <w:spacing w:line="276" w:lineRule="auto"/>
        <w:jc w:val="both"/>
        <w:rPr>
          <w:rFonts w:cs="Arial"/>
          <w:szCs w:val="20"/>
        </w:rPr>
      </w:pPr>
      <w:r w:rsidRPr="00445B9C">
        <w:rPr>
          <w:rFonts w:cs="Arial"/>
          <w:szCs w:val="20"/>
        </w:rPr>
        <w:t>Informacije iz prvega in drugega odstavka 17. člena in tretjega odstavka 19. člena Uredbe 596/2014/EU za izdajatelje z vrednostnimi papirji</w:t>
      </w:r>
      <w:r w:rsidR="003013E2">
        <w:rPr>
          <w:rFonts w:cs="Arial"/>
          <w:szCs w:val="20"/>
        </w:rPr>
        <w:t>,</w:t>
      </w:r>
      <w:r w:rsidRPr="00445B9C">
        <w:rPr>
          <w:rFonts w:cs="Arial"/>
          <w:szCs w:val="20"/>
        </w:rPr>
        <w:t xml:space="preserve"> </w:t>
      </w:r>
      <w:r w:rsidR="003013E2">
        <w:rPr>
          <w:rFonts w:cs="Arial"/>
          <w:szCs w:val="20"/>
        </w:rPr>
        <w:t xml:space="preserve">s katerimi </w:t>
      </w:r>
      <w:r w:rsidRPr="00445B9C">
        <w:rPr>
          <w:rFonts w:cs="Arial"/>
          <w:szCs w:val="20"/>
        </w:rPr>
        <w:t>se trguje na organiziranih trgih</w:t>
      </w:r>
      <w:r w:rsidR="003013E2">
        <w:rPr>
          <w:rFonts w:cs="Arial"/>
          <w:szCs w:val="20"/>
        </w:rPr>
        <w:t>,</w:t>
      </w:r>
      <w:r w:rsidRPr="00445B9C">
        <w:rPr>
          <w:rFonts w:cs="Arial"/>
          <w:szCs w:val="20"/>
        </w:rPr>
        <w:t xml:space="preserve"> in za udeležence trgov z emisijskimi kuponi se mora</w:t>
      </w:r>
      <w:r w:rsidR="003013E2">
        <w:rPr>
          <w:rFonts w:cs="Arial"/>
          <w:szCs w:val="20"/>
        </w:rPr>
        <w:t>jo</w:t>
      </w:r>
      <w:r w:rsidRPr="00445B9C">
        <w:rPr>
          <w:rFonts w:cs="Arial"/>
          <w:szCs w:val="20"/>
        </w:rPr>
        <w:t xml:space="preserve"> objaviti v sistemu iz 159. člena ZTFI-1 (glej določbo 21.a člena Uredbe 2014/596). Zato je smiselno, da je ta sistem organ za sprejemanje podatkov za potrebe poročanja po ESAP. Pri </w:t>
      </w:r>
      <w:r w:rsidR="003013E2">
        <w:rPr>
          <w:rFonts w:cs="Arial"/>
          <w:szCs w:val="20"/>
        </w:rPr>
        <w:t>pre</w:t>
      </w:r>
      <w:r w:rsidRPr="00445B9C">
        <w:rPr>
          <w:rFonts w:cs="Arial"/>
          <w:szCs w:val="20"/>
        </w:rPr>
        <w:t>ostalih subjektih, ki morajo objavljati informacije (v primeru izdajateljev finančnih instrumentov, s katerimi se trguje samo v MTF ali OTF, za izdajatelje, ki so odobrili trgovanje s svojimi finančnimi instrumenti v MTF ali OTF ali zahtevali uvrstitev svojih finančnih instrumentov v trgovanje v MTF v državi članici)</w:t>
      </w:r>
      <w:r w:rsidR="003013E2">
        <w:rPr>
          <w:rFonts w:cs="Arial"/>
          <w:szCs w:val="20"/>
        </w:rPr>
        <w:t>,</w:t>
      </w:r>
      <w:r w:rsidRPr="00445B9C">
        <w:rPr>
          <w:rFonts w:cs="Arial"/>
          <w:szCs w:val="20"/>
        </w:rPr>
        <w:t xml:space="preserve"> pa naj bo organ za sprejemanje podatkov </w:t>
      </w:r>
      <w:r w:rsidR="003013E2">
        <w:rPr>
          <w:rFonts w:cs="Arial"/>
          <w:szCs w:val="20"/>
        </w:rPr>
        <w:t>a</w:t>
      </w:r>
      <w:r w:rsidRPr="00445B9C">
        <w:rPr>
          <w:rFonts w:cs="Arial"/>
          <w:szCs w:val="20"/>
        </w:rPr>
        <w:t>gencija, kot je določeno v drugem odstavku predlagane spremembe.</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_Ref196734890 \r \h  \* MERGEFORMAT </w:instrText>
      </w:r>
      <w:r w:rsidR="006813E2">
        <w:fldChar w:fldCharType="separate"/>
      </w:r>
      <w:r w:rsidR="001638A0" w:rsidRPr="00445B9C">
        <w:rPr>
          <w:rFonts w:cs="Arial"/>
          <w:b/>
          <w:bCs/>
          <w:szCs w:val="20"/>
        </w:rPr>
        <w:t xml:space="preserve">47. </w:t>
      </w:r>
      <w:r w:rsidR="006813E2">
        <w:fldChar w:fldCharType="end"/>
      </w:r>
      <w:r w:rsidRPr="00445B9C">
        <w:rPr>
          <w:rFonts w:cs="Arial"/>
          <w:b/>
          <w:bCs/>
          <w:szCs w:val="20"/>
        </w:rPr>
        <w:t>členu</w:t>
      </w:r>
    </w:p>
    <w:p w:rsidR="00FE0F83" w:rsidRPr="00445B9C" w:rsidRDefault="00753813" w:rsidP="00C118A4">
      <w:pPr>
        <w:spacing w:line="276" w:lineRule="auto"/>
        <w:jc w:val="both"/>
        <w:rPr>
          <w:rFonts w:cs="Arial"/>
          <w:szCs w:val="20"/>
        </w:rPr>
      </w:pPr>
      <w:r w:rsidRPr="00445B9C">
        <w:rPr>
          <w:rFonts w:cs="Arial"/>
          <w:szCs w:val="20"/>
        </w:rPr>
        <w:t xml:space="preserve">S predlagano spremembo se odpravlja očitno napačen sklic na uporabo ZBan-3. Namesto sklica </w:t>
      </w:r>
      <w:r w:rsidR="005B0306">
        <w:rPr>
          <w:rFonts w:cs="Arial"/>
          <w:szCs w:val="20"/>
        </w:rPr>
        <w:t>n</w:t>
      </w:r>
      <w:r w:rsidRPr="00445B9C">
        <w:rPr>
          <w:rFonts w:cs="Arial"/>
          <w:szCs w:val="20"/>
        </w:rPr>
        <w:t xml:space="preserve">a podpoglavje </w:t>
      </w:r>
      <w:r w:rsidRPr="00445B9C">
        <w:rPr>
          <w:rFonts w:cs="Arial"/>
          <w:i/>
          <w:iCs/>
          <w:szCs w:val="20"/>
        </w:rPr>
        <w:t>5.4 Ukrepi nadzora zoper kvalificirane imetnike</w:t>
      </w:r>
      <w:r w:rsidRPr="00445B9C">
        <w:rPr>
          <w:rFonts w:cs="Arial"/>
          <w:szCs w:val="20"/>
        </w:rPr>
        <w:t xml:space="preserve"> se določa sklic </w:t>
      </w:r>
      <w:r w:rsidR="005B0306">
        <w:rPr>
          <w:rFonts w:cs="Arial"/>
          <w:szCs w:val="20"/>
        </w:rPr>
        <w:t>n</w:t>
      </w:r>
      <w:r w:rsidRPr="00445B9C">
        <w:rPr>
          <w:rFonts w:cs="Arial"/>
          <w:szCs w:val="20"/>
        </w:rPr>
        <w:t xml:space="preserve">a podpoglavje </w:t>
      </w:r>
      <w:r w:rsidRPr="00445B9C">
        <w:rPr>
          <w:rFonts w:cs="Arial"/>
          <w:i/>
          <w:iCs/>
          <w:szCs w:val="20"/>
        </w:rPr>
        <w:t>5.5 Ukrepi nadzora zoper člana upravljalnega organa</w:t>
      </w:r>
      <w:r w:rsidRPr="00445B9C">
        <w:rPr>
          <w:rFonts w:cs="Arial"/>
          <w:szCs w:val="20"/>
        </w:rPr>
        <w:t>, saj 1. in 2. točka četrtega odstavka 443. člena ureja</w:t>
      </w:r>
      <w:r w:rsidR="003013E2">
        <w:rPr>
          <w:rFonts w:cs="Arial"/>
          <w:szCs w:val="20"/>
        </w:rPr>
        <w:t>ta</w:t>
      </w:r>
      <w:r w:rsidRPr="00445B9C">
        <w:rPr>
          <w:rFonts w:cs="Arial"/>
          <w:szCs w:val="20"/>
        </w:rPr>
        <w:t xml:space="preserve"> nadzor nad člani uprave in nadzornega sveta CDD in ne nad imetniki kvalificiranih deležev CDD, ki jih ureja 3. točka četrtega odstavka 443. člena ZTFI-1</w:t>
      </w:r>
      <w:r w:rsidR="003E11E4" w:rsidRPr="00445B9C">
        <w:rPr>
          <w:rFonts w:cs="Arial"/>
          <w:szCs w:val="20"/>
        </w:rPr>
        <w:t>.</w:t>
      </w:r>
    </w:p>
    <w:p w:rsidR="003E11E4" w:rsidRPr="00445B9C" w:rsidRDefault="003E11E4" w:rsidP="00C118A4">
      <w:pPr>
        <w:spacing w:line="276" w:lineRule="auto"/>
        <w:jc w:val="both"/>
        <w:rPr>
          <w:rFonts w:cs="Arial"/>
          <w:szCs w:val="20"/>
        </w:rPr>
      </w:pPr>
    </w:p>
    <w:p w:rsidR="003E11E4" w:rsidRPr="00445B9C" w:rsidRDefault="003E11E4" w:rsidP="003E11E4">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_Ref196825906 </w:instrText>
      </w:r>
      <w:r w:rsidR="006813E2">
        <w:instrText xml:space="preserve">\r \h  \* MERGEFORMAT </w:instrText>
      </w:r>
      <w:r w:rsidR="006813E2">
        <w:fldChar w:fldCharType="separate"/>
      </w:r>
      <w:r w:rsidR="001638A0" w:rsidRPr="00445B9C">
        <w:rPr>
          <w:rFonts w:cs="Arial"/>
          <w:b/>
          <w:bCs/>
          <w:szCs w:val="20"/>
        </w:rPr>
        <w:t xml:space="preserve">48. </w:t>
      </w:r>
      <w:r w:rsidR="006813E2">
        <w:fldChar w:fldCharType="end"/>
      </w:r>
      <w:r w:rsidRPr="00445B9C">
        <w:rPr>
          <w:rFonts w:cs="Arial"/>
          <w:b/>
          <w:bCs/>
          <w:szCs w:val="20"/>
        </w:rPr>
        <w:t>členu</w:t>
      </w:r>
    </w:p>
    <w:p w:rsidR="003E11E4" w:rsidRPr="00445B9C" w:rsidRDefault="003E11E4" w:rsidP="00C118A4">
      <w:pPr>
        <w:spacing w:line="276" w:lineRule="auto"/>
        <w:jc w:val="both"/>
        <w:rPr>
          <w:rFonts w:cs="Arial"/>
          <w:szCs w:val="20"/>
        </w:rPr>
      </w:pPr>
      <w:r w:rsidRPr="00445B9C">
        <w:rPr>
          <w:rFonts w:cs="Arial"/>
          <w:szCs w:val="20"/>
        </w:rPr>
        <w:t xml:space="preserve">Besedilo 448. člena ZTFI-1 se usklajuje z ZBan-3A in Uredbo 575/2013/EU. Glej obrazložitev k </w:t>
      </w:r>
      <w:r w:rsidR="006813E2">
        <w:fldChar w:fldCharType="begin"/>
      </w:r>
      <w:r w:rsidR="006813E2">
        <w:instrText xml:space="preserve"> REF _Ref192067056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členu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_Ref64902651 \r \h  \* MERGEFORMAT </w:instrText>
      </w:r>
      <w:r w:rsidR="006813E2">
        <w:fldChar w:fldCharType="separate"/>
      </w:r>
      <w:r w:rsidR="001638A0" w:rsidRPr="00445B9C">
        <w:rPr>
          <w:rFonts w:cs="Arial"/>
          <w:b/>
          <w:bCs/>
          <w:szCs w:val="20"/>
        </w:rPr>
        <w:t xml:space="preserve">49. </w:t>
      </w:r>
      <w:r w:rsidR="006813E2">
        <w:fldChar w:fldCharType="end"/>
      </w:r>
      <w:r w:rsidRPr="00445B9C">
        <w:rPr>
          <w:rFonts w:cs="Arial"/>
          <w:b/>
          <w:bCs/>
          <w:szCs w:val="20"/>
        </w:rPr>
        <w:t>členu</w:t>
      </w:r>
    </w:p>
    <w:p w:rsidR="00FE0F83" w:rsidRPr="00445B9C" w:rsidRDefault="00263D56" w:rsidP="00E534CF">
      <w:pPr>
        <w:spacing w:line="276" w:lineRule="auto"/>
        <w:jc w:val="both"/>
        <w:rPr>
          <w:rFonts w:cs="Arial"/>
          <w:szCs w:val="20"/>
        </w:rPr>
      </w:pPr>
      <w:r w:rsidRPr="00445B9C">
        <w:rPr>
          <w:rFonts w:cs="Arial"/>
          <w:szCs w:val="20"/>
        </w:rPr>
        <w:t>Predlaga se nomotehnični popravek</w:t>
      </w:r>
      <w:r w:rsidR="0098605C" w:rsidRPr="00445B9C">
        <w:rPr>
          <w:rFonts w:cs="Arial"/>
          <w:szCs w:val="20"/>
        </w:rPr>
        <w:t xml:space="preserve"> v napovednem stavku drugega odstavka 450. člena ZTFI-1</w:t>
      </w:r>
      <w:r w:rsidRPr="00445B9C">
        <w:rPr>
          <w:rFonts w:cs="Arial"/>
          <w:szCs w:val="20"/>
        </w:rPr>
        <w:t>, kjer se beseda »četrte« nadomesti s številko »4.«.</w:t>
      </w:r>
    </w:p>
    <w:p w:rsidR="00FE0F83" w:rsidRPr="00445B9C" w:rsidRDefault="00FE0F83" w:rsidP="00C64B3F">
      <w:pPr>
        <w:spacing w:line="240" w:lineRule="auto"/>
        <w:jc w:val="both"/>
        <w:rPr>
          <w:rFonts w:cs="Arial"/>
          <w:szCs w:val="20"/>
        </w:rPr>
      </w:pP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_Ref196734927 \r \h  \* MERGEFORMAT</w:instrText>
      </w:r>
      <w:r w:rsidR="006813E2">
        <w:instrText xml:space="preserve"> </w:instrText>
      </w:r>
      <w:r w:rsidR="006813E2">
        <w:fldChar w:fldCharType="separate"/>
      </w:r>
      <w:r w:rsidR="001638A0" w:rsidRPr="00445B9C">
        <w:rPr>
          <w:rFonts w:cs="Arial"/>
          <w:b/>
          <w:bCs/>
          <w:szCs w:val="20"/>
        </w:rPr>
        <w:t xml:space="preserve">50. </w:t>
      </w:r>
      <w:r w:rsidR="006813E2">
        <w:fldChar w:fldCharType="end"/>
      </w:r>
      <w:r w:rsidRPr="00445B9C">
        <w:rPr>
          <w:rFonts w:cs="Arial"/>
          <w:b/>
          <w:bCs/>
          <w:szCs w:val="20"/>
        </w:rPr>
        <w:t>členu</w:t>
      </w:r>
    </w:p>
    <w:p w:rsidR="0015286E" w:rsidRPr="00445B9C" w:rsidRDefault="0015286E" w:rsidP="00192D1A">
      <w:pPr>
        <w:spacing w:line="276" w:lineRule="auto"/>
        <w:jc w:val="both"/>
        <w:rPr>
          <w:rFonts w:cs="Arial"/>
          <w:szCs w:val="20"/>
        </w:rPr>
      </w:pPr>
      <w:r w:rsidRPr="00445B9C">
        <w:rPr>
          <w:rFonts w:cs="Arial"/>
          <w:szCs w:val="20"/>
        </w:rPr>
        <w:lastRenderedPageBreak/>
        <w:t>V členu 531. ZTFI-1 se napovedni stavek prvega odstavka in 6. točka prvega odstavka spremenijo tako</w:t>
      </w:r>
      <w:r w:rsidR="00D25B0B" w:rsidRPr="00445B9C">
        <w:rPr>
          <w:rFonts w:cs="Arial"/>
          <w:szCs w:val="20"/>
        </w:rPr>
        <w:t>,</w:t>
      </w:r>
      <w:r w:rsidRPr="00445B9C">
        <w:rPr>
          <w:rFonts w:cs="Arial"/>
          <w:szCs w:val="20"/>
        </w:rPr>
        <w:t xml:space="preserve"> da se uskladijo z ZBan-3A in uredbo 575/2013/EU. Glej obrazložitev k </w:t>
      </w:r>
      <w:r w:rsidR="006813E2">
        <w:fldChar w:fldCharType="begin"/>
      </w:r>
      <w:r w:rsidR="006813E2">
        <w:instrText xml:space="preserve"> REF _Re</w:instrText>
      </w:r>
      <w:r w:rsidR="006813E2">
        <w:instrText xml:space="preserv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členu predloga zakona.</w:t>
      </w:r>
    </w:p>
    <w:p w:rsidR="0015286E" w:rsidRPr="00445B9C" w:rsidRDefault="0015286E" w:rsidP="00192D1A">
      <w:pPr>
        <w:spacing w:line="276" w:lineRule="auto"/>
        <w:jc w:val="both"/>
        <w:rPr>
          <w:rFonts w:cs="Arial"/>
          <w:szCs w:val="20"/>
        </w:rPr>
      </w:pPr>
      <w:r w:rsidRPr="00445B9C">
        <w:rPr>
          <w:rFonts w:cs="Arial"/>
          <w:szCs w:val="20"/>
        </w:rPr>
        <w:t>Zaradi predlaganega črtanj</w:t>
      </w:r>
      <w:r w:rsidR="003E40A3">
        <w:rPr>
          <w:rFonts w:cs="Arial"/>
          <w:szCs w:val="20"/>
        </w:rPr>
        <w:t>a</w:t>
      </w:r>
      <w:r w:rsidRPr="00445B9C">
        <w:rPr>
          <w:rFonts w:cs="Arial"/>
          <w:szCs w:val="20"/>
        </w:rPr>
        <w:t xml:space="preserve"> sedmega odstavka 267. člena ZTFI-1 (glej obrazložitev k </w:t>
      </w:r>
      <w:r w:rsidR="006813E2">
        <w:fldChar w:fldCharType="begin"/>
      </w:r>
      <w:r w:rsidR="006813E2">
        <w:instrText xml:space="preserve"> REF _Ref196734410 \r \h  \* MERGEFORMAT </w:instrText>
      </w:r>
      <w:r w:rsidR="006813E2">
        <w:fldChar w:fldCharType="separate"/>
      </w:r>
      <w:r w:rsidR="001638A0" w:rsidRPr="00445B9C">
        <w:rPr>
          <w:rFonts w:cs="Arial"/>
          <w:szCs w:val="20"/>
        </w:rPr>
        <w:t xml:space="preserve">23. </w:t>
      </w:r>
      <w:r w:rsidR="006813E2">
        <w:fldChar w:fldCharType="end"/>
      </w:r>
      <w:r w:rsidRPr="00445B9C">
        <w:rPr>
          <w:rFonts w:cs="Arial"/>
          <w:szCs w:val="20"/>
        </w:rPr>
        <w:t>členu predloga zakona) se črta drugi odstavek 531. člena ZTFI-1 ter se spremeni sklic v 19. točki prvega odstavka istega člena ZTFI-1. Na podlagi prej navedene spremembe 267. člena ZTFI-1 se spremenijo tudi tretji, četrti, peti in sedmi odstavek 531. člena ZTFI-1.</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_Ref192070590 \r \h  \* MERGEFORMAT </w:instrText>
      </w:r>
      <w:r w:rsidR="006813E2">
        <w:fldChar w:fldCharType="separate"/>
      </w:r>
      <w:r w:rsidR="001638A0" w:rsidRPr="00445B9C">
        <w:rPr>
          <w:rFonts w:cs="Arial"/>
          <w:b/>
          <w:bCs/>
          <w:szCs w:val="20"/>
        </w:rPr>
        <w:t xml:space="preserve">51. </w:t>
      </w:r>
      <w:r w:rsidR="006813E2">
        <w:fldChar w:fldCharType="end"/>
      </w:r>
      <w:r w:rsidRPr="00445B9C">
        <w:rPr>
          <w:rFonts w:cs="Arial"/>
          <w:b/>
          <w:bCs/>
          <w:szCs w:val="20"/>
        </w:rPr>
        <w:t>členu</w:t>
      </w:r>
    </w:p>
    <w:p w:rsidR="00D25B0B" w:rsidRPr="00445B9C" w:rsidRDefault="00D25B0B" w:rsidP="00D25B0B">
      <w:pPr>
        <w:spacing w:line="276" w:lineRule="auto"/>
        <w:jc w:val="both"/>
        <w:rPr>
          <w:rFonts w:cs="Arial"/>
          <w:szCs w:val="20"/>
        </w:rPr>
      </w:pPr>
      <w:r w:rsidRPr="00445B9C">
        <w:rPr>
          <w:rFonts w:cs="Arial"/>
          <w:szCs w:val="20"/>
        </w:rPr>
        <w:t xml:space="preserve">V členu 532. ZTFI-1 se napovedni stavek prvega odstavka in 1., 4. 5. 6. in 7. točka prvega odstavka ter četrti, peti, šesti in sedmi odstavek spremenijo tako, da se uskladijo z ZBan-3A in uredbo 575/2013/EU. Glej obrazložitev k </w:t>
      </w:r>
      <w:r w:rsidR="006813E2">
        <w:fldChar w:fldCharType="begin"/>
      </w:r>
      <w:r w:rsidR="006813E2">
        <w:instrText xml:space="preserve"> REF _Ref64902484 \r \h  \* MERGEFORMAT </w:instrText>
      </w:r>
      <w:r w:rsidR="006813E2">
        <w:fldChar w:fldCharType="separate"/>
      </w:r>
      <w:r w:rsidR="006813E2">
        <w:fldChar w:fldCharType="begin"/>
      </w:r>
      <w:r w:rsidR="006813E2">
        <w:instrText xml:space="preserve"> REF _Ref192067056 \r \h  \* MERGEFORMAT </w:instrText>
      </w:r>
      <w:r w:rsidR="006813E2">
        <w:fldChar w:fldCharType="separate"/>
      </w:r>
      <w:r w:rsidR="006066DF" w:rsidRPr="00445B9C">
        <w:rPr>
          <w:rFonts w:cs="Arial"/>
          <w:szCs w:val="20"/>
        </w:rPr>
        <w:t xml:space="preserve">3. </w:t>
      </w:r>
      <w:r w:rsidR="006813E2">
        <w:rPr>
          <w:rFonts w:cs="Arial"/>
          <w:szCs w:val="20"/>
        </w:rPr>
        <w:fldChar w:fldCharType="end"/>
      </w:r>
      <w:r w:rsidR="006813E2">
        <w:fldChar w:fldCharType="end"/>
      </w:r>
      <w:r w:rsidRPr="00445B9C">
        <w:rPr>
          <w:rFonts w:cs="Arial"/>
          <w:szCs w:val="20"/>
        </w:rPr>
        <w:t>členu predloga zakona.</w:t>
      </w:r>
    </w:p>
    <w:p w:rsidR="00D25B0B" w:rsidRPr="00445B9C" w:rsidRDefault="00D25B0B" w:rsidP="00192D1A">
      <w:pPr>
        <w:spacing w:line="276" w:lineRule="auto"/>
        <w:jc w:val="both"/>
        <w:rPr>
          <w:rFonts w:cs="Arial"/>
          <w:szCs w:val="20"/>
        </w:rPr>
      </w:pPr>
    </w:p>
    <w:p w:rsidR="00D25B0B" w:rsidRPr="00445B9C" w:rsidRDefault="00D61B01" w:rsidP="00192D1A">
      <w:pPr>
        <w:spacing w:line="276" w:lineRule="auto"/>
        <w:jc w:val="both"/>
        <w:rPr>
          <w:rFonts w:cs="Arial"/>
          <w:szCs w:val="20"/>
        </w:rPr>
      </w:pPr>
      <w:r w:rsidRPr="00445B9C">
        <w:rPr>
          <w:rFonts w:cs="Arial"/>
          <w:szCs w:val="20"/>
        </w:rPr>
        <w:t xml:space="preserve">Zaradi predlagane spremembe 236. člena ZTFI-1 se spreminja 35. in 36. točka prvega odstavka 532. člena ZTFI-1 (glej obrazložitev k </w:t>
      </w:r>
      <w:r w:rsidR="006813E2">
        <w:fldChar w:fldCharType="begin"/>
      </w:r>
      <w:r w:rsidR="006813E2">
        <w:instrText xml:space="preserve"> REF _Ref196734335 \r \h  \* MERGEFORMAT </w:instrText>
      </w:r>
      <w:r w:rsidR="006813E2">
        <w:fldChar w:fldCharType="separate"/>
      </w:r>
      <w:r w:rsidR="001638A0" w:rsidRPr="00445B9C">
        <w:rPr>
          <w:rFonts w:cs="Arial"/>
          <w:szCs w:val="20"/>
        </w:rPr>
        <w:t xml:space="preserve">21. </w:t>
      </w:r>
      <w:r w:rsidR="006813E2">
        <w:fldChar w:fldCharType="end"/>
      </w:r>
      <w:r w:rsidRPr="00445B9C">
        <w:rPr>
          <w:rFonts w:cs="Arial"/>
          <w:szCs w:val="20"/>
        </w:rPr>
        <w:t>členu predloga zakona)</w:t>
      </w:r>
    </w:p>
    <w:p w:rsidR="00D25B0B" w:rsidRPr="00445B9C" w:rsidRDefault="00D25B0B" w:rsidP="00192D1A">
      <w:pPr>
        <w:spacing w:line="276" w:lineRule="auto"/>
        <w:jc w:val="both"/>
        <w:rPr>
          <w:rFonts w:cs="Arial"/>
          <w:szCs w:val="20"/>
        </w:rPr>
      </w:pPr>
    </w:p>
    <w:p w:rsidR="00D61B01" w:rsidRPr="00445B9C" w:rsidRDefault="00D61B01" w:rsidP="00D61B01">
      <w:pPr>
        <w:spacing w:line="276" w:lineRule="auto"/>
        <w:jc w:val="both"/>
        <w:rPr>
          <w:rFonts w:cs="Arial"/>
          <w:szCs w:val="20"/>
        </w:rPr>
      </w:pPr>
      <w:r w:rsidRPr="00445B9C">
        <w:rPr>
          <w:rFonts w:cs="Arial"/>
          <w:szCs w:val="20"/>
        </w:rPr>
        <w:t xml:space="preserve">Zaradi predlagane spremembe 332. člena ZTFI-1 se spreminja tudi 49. točka prvega odstavka 532. člena ZTFI-1 (glej obrazložitev k </w:t>
      </w:r>
      <w:r w:rsidR="006813E2">
        <w:fldChar w:fldCharType="begin"/>
      </w:r>
      <w:r w:rsidR="006813E2">
        <w:instrText xml:space="preserve"> REF _Ref196734639 \r \h  \* MERGEFOR</w:instrText>
      </w:r>
      <w:r w:rsidR="006813E2">
        <w:instrText xml:space="preserve">MAT </w:instrText>
      </w:r>
      <w:r w:rsidR="006813E2">
        <w:fldChar w:fldCharType="separate"/>
      </w:r>
      <w:r w:rsidR="001638A0" w:rsidRPr="00445B9C">
        <w:rPr>
          <w:rFonts w:cs="Arial"/>
          <w:szCs w:val="20"/>
        </w:rPr>
        <w:t xml:space="preserve">31. </w:t>
      </w:r>
      <w:r w:rsidR="006813E2">
        <w:fldChar w:fldCharType="end"/>
      </w:r>
      <w:r w:rsidRPr="00445B9C">
        <w:rPr>
          <w:rFonts w:cs="Arial"/>
          <w:szCs w:val="20"/>
        </w:rPr>
        <w:t>členu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_Ref196735090 \r \h  \* MERGEFORMAT </w:instrText>
      </w:r>
      <w:r w:rsidR="006813E2">
        <w:fldChar w:fldCharType="separate"/>
      </w:r>
      <w:r w:rsidR="001638A0" w:rsidRPr="00445B9C">
        <w:rPr>
          <w:rFonts w:cs="Arial"/>
          <w:b/>
          <w:bCs/>
          <w:szCs w:val="20"/>
        </w:rPr>
        <w:t xml:space="preserve">52. </w:t>
      </w:r>
      <w:r w:rsidR="006813E2">
        <w:fldChar w:fldCharType="end"/>
      </w:r>
      <w:r w:rsidRPr="00445B9C">
        <w:rPr>
          <w:rFonts w:cs="Arial"/>
          <w:b/>
          <w:bCs/>
          <w:szCs w:val="20"/>
        </w:rPr>
        <w:t>členu</w:t>
      </w:r>
    </w:p>
    <w:p w:rsidR="008424E0" w:rsidRPr="00445B9C" w:rsidRDefault="008424E0" w:rsidP="008424E0">
      <w:pPr>
        <w:spacing w:line="276" w:lineRule="auto"/>
        <w:jc w:val="both"/>
        <w:rPr>
          <w:rFonts w:cs="Arial"/>
          <w:szCs w:val="20"/>
        </w:rPr>
      </w:pPr>
      <w:r w:rsidRPr="00445B9C">
        <w:rPr>
          <w:rFonts w:cs="Arial"/>
          <w:szCs w:val="20"/>
        </w:rPr>
        <w:t xml:space="preserve">V členu 533. ZTFI-1 se napovedni stavek prvega odstavka in 1., 2. in 3. točka prvega odstavka ter napovedni stavek drugega odstavka spremenijo tako, da se uskladijo z ZBan-3A in uredbo 575/2013/EU. Glej obrazložitev k </w:t>
      </w:r>
      <w:r w:rsidR="006813E2">
        <w:fldChar w:fldCharType="begin"/>
      </w:r>
      <w:r w:rsidR="006813E2">
        <w:instrText xml:space="preserve"> REF _Ref192067056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členu predloga zakona.</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_Ref196735115 \r \h  \* MERGEFORMAT </w:instrText>
      </w:r>
      <w:r w:rsidR="006813E2">
        <w:fldChar w:fldCharType="separate"/>
      </w:r>
      <w:r w:rsidR="001638A0" w:rsidRPr="00445B9C">
        <w:rPr>
          <w:rFonts w:cs="Arial"/>
          <w:b/>
          <w:bCs/>
          <w:szCs w:val="20"/>
        </w:rPr>
        <w:t xml:space="preserve">53. </w:t>
      </w:r>
      <w:r w:rsidR="006813E2">
        <w:fldChar w:fldCharType="end"/>
      </w:r>
      <w:r w:rsidRPr="00445B9C">
        <w:rPr>
          <w:rFonts w:cs="Arial"/>
          <w:b/>
          <w:bCs/>
          <w:szCs w:val="20"/>
        </w:rPr>
        <w:t>členu</w:t>
      </w:r>
    </w:p>
    <w:p w:rsidR="00826C9A" w:rsidRPr="00445B9C" w:rsidRDefault="00826C9A" w:rsidP="00826C9A">
      <w:pPr>
        <w:spacing w:line="276" w:lineRule="auto"/>
        <w:jc w:val="both"/>
        <w:rPr>
          <w:rFonts w:cs="Arial"/>
          <w:szCs w:val="20"/>
        </w:rPr>
      </w:pPr>
      <w:r w:rsidRPr="00445B9C">
        <w:rPr>
          <w:rFonts w:cs="Arial"/>
          <w:szCs w:val="20"/>
        </w:rPr>
        <w:t xml:space="preserve">Zaradi predlagane spremembe 236. člena ZTFI-1 se črta 2. točka prvega odstavka 534. člena ZTFI-1 (glej obrazložitev k </w:t>
      </w:r>
      <w:r w:rsidR="006813E2">
        <w:fldChar w:fldCharType="begin"/>
      </w:r>
      <w:r w:rsidR="006813E2">
        <w:instrText xml:space="preserve"> REF _Ref196734335 \r \h  \* MERGEFORMAT </w:instrText>
      </w:r>
      <w:r w:rsidR="006813E2">
        <w:fldChar w:fldCharType="separate"/>
      </w:r>
      <w:r w:rsidR="001638A0" w:rsidRPr="00445B9C">
        <w:rPr>
          <w:rFonts w:cs="Arial"/>
          <w:szCs w:val="20"/>
        </w:rPr>
        <w:t xml:space="preserve">21. </w:t>
      </w:r>
      <w:r w:rsidR="006813E2">
        <w:fldChar w:fldCharType="end"/>
      </w:r>
      <w:r w:rsidRPr="00445B9C">
        <w:rPr>
          <w:rFonts w:cs="Arial"/>
          <w:szCs w:val="20"/>
        </w:rPr>
        <w:t>členu predloga zakona)</w:t>
      </w:r>
      <w:r w:rsidR="001334BB">
        <w:rPr>
          <w:rFonts w:cs="Arial"/>
          <w:szCs w:val="20"/>
        </w:rPr>
        <w:t>.</w:t>
      </w:r>
    </w:p>
    <w:p w:rsidR="00FE0F83" w:rsidRPr="00445B9C" w:rsidRDefault="00FE0F83" w:rsidP="00C64B3F">
      <w:pPr>
        <w:spacing w:line="240" w:lineRule="auto"/>
        <w:jc w:val="both"/>
        <w:rPr>
          <w:rFonts w:cs="Arial"/>
          <w:szCs w:val="20"/>
        </w:rPr>
      </w:pPr>
    </w:p>
    <w:p w:rsidR="00826C9A" w:rsidRPr="00445B9C" w:rsidRDefault="00826C9A" w:rsidP="00826C9A">
      <w:pPr>
        <w:spacing w:line="276" w:lineRule="auto"/>
        <w:jc w:val="both"/>
        <w:rPr>
          <w:rFonts w:cs="Arial"/>
          <w:szCs w:val="20"/>
        </w:rPr>
      </w:pPr>
      <w:r w:rsidRPr="00445B9C">
        <w:rPr>
          <w:rFonts w:cs="Arial"/>
          <w:szCs w:val="20"/>
        </w:rPr>
        <w:t xml:space="preserve">Zaradi predlagane spremembe 332. člena ZTFI-1 se spreminjata 19. in 20. točka prvega odstavka 534. člena ZTFI-1 (glej obrazložitev k </w:t>
      </w:r>
      <w:r w:rsidR="006813E2">
        <w:fldChar w:fldCharType="begin"/>
      </w:r>
      <w:r w:rsidR="006813E2">
        <w:instrText xml:space="preserve"> REF _Ref196734639 \r \h  \* MERGEFORMAT </w:instrText>
      </w:r>
      <w:r w:rsidR="006813E2">
        <w:fldChar w:fldCharType="separate"/>
      </w:r>
      <w:r w:rsidR="001638A0" w:rsidRPr="00445B9C">
        <w:rPr>
          <w:rFonts w:cs="Arial"/>
          <w:szCs w:val="20"/>
        </w:rPr>
        <w:t xml:space="preserve">31. </w:t>
      </w:r>
      <w:r w:rsidR="006813E2">
        <w:fldChar w:fldCharType="end"/>
      </w:r>
      <w:r w:rsidRPr="00445B9C">
        <w:rPr>
          <w:rFonts w:cs="Arial"/>
          <w:szCs w:val="20"/>
        </w:rPr>
        <w:t>členu predloga zakona)</w:t>
      </w:r>
      <w:r w:rsidR="001334BB">
        <w:rPr>
          <w:rFonts w:cs="Arial"/>
          <w:szCs w:val="20"/>
        </w:rPr>
        <w:t>.</w:t>
      </w:r>
    </w:p>
    <w:p w:rsidR="00FE0F83" w:rsidRPr="00445B9C" w:rsidRDefault="00FE0F83" w:rsidP="00C64B3F">
      <w:pPr>
        <w:spacing w:line="240" w:lineRule="auto"/>
        <w:jc w:val="both"/>
        <w:rPr>
          <w:rFonts w:cs="Arial"/>
          <w:szCs w:val="20"/>
        </w:rPr>
      </w:pPr>
    </w:p>
    <w:p w:rsidR="00826C9A" w:rsidRPr="00445B9C" w:rsidRDefault="00826C9A" w:rsidP="00826C9A">
      <w:pPr>
        <w:spacing w:line="276" w:lineRule="auto"/>
        <w:jc w:val="both"/>
        <w:rPr>
          <w:rFonts w:cs="Arial"/>
          <w:szCs w:val="20"/>
        </w:rPr>
      </w:pPr>
      <w:r w:rsidRPr="00445B9C">
        <w:rPr>
          <w:rFonts w:cs="Arial"/>
          <w:szCs w:val="20"/>
        </w:rPr>
        <w:t xml:space="preserve">Zaradi predlagane spremembe 378. člena ZTFI-1 se črta 22. točka prvega odstavka 534. člena ZTFI-1 (glej obrazložitev k </w:t>
      </w:r>
      <w:r w:rsidR="006813E2">
        <w:fldChar w:fldCharType="begin"/>
      </w:r>
      <w:r w:rsidR="006813E2">
        <w:instrText xml:space="preserve"> REF _Ref196734811 \r \h  \* MERGEFORMAT </w:instrText>
      </w:r>
      <w:r w:rsidR="006813E2">
        <w:fldChar w:fldCharType="separate"/>
      </w:r>
      <w:r w:rsidR="001638A0" w:rsidRPr="00445B9C">
        <w:rPr>
          <w:rFonts w:cs="Arial"/>
          <w:szCs w:val="20"/>
        </w:rPr>
        <w:t xml:space="preserve">41. </w:t>
      </w:r>
      <w:r w:rsidR="006813E2">
        <w:fldChar w:fldCharType="end"/>
      </w:r>
      <w:r w:rsidRPr="00445B9C">
        <w:rPr>
          <w:rFonts w:cs="Arial"/>
          <w:szCs w:val="20"/>
        </w:rPr>
        <w:t>členu predloga zakona)</w:t>
      </w:r>
      <w:r w:rsidR="001334BB">
        <w:rPr>
          <w:rFonts w:cs="Arial"/>
          <w:szCs w:val="20"/>
        </w:rPr>
        <w:t>.</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_Ref196735248 \r \h  \* ME</w:instrText>
      </w:r>
      <w:r w:rsidR="006813E2">
        <w:instrText xml:space="preserve">RGEFORMAT </w:instrText>
      </w:r>
      <w:r w:rsidR="006813E2">
        <w:fldChar w:fldCharType="separate"/>
      </w:r>
      <w:r w:rsidR="001638A0" w:rsidRPr="00445B9C">
        <w:rPr>
          <w:rFonts w:cs="Arial"/>
          <w:b/>
          <w:bCs/>
          <w:szCs w:val="20"/>
        </w:rPr>
        <w:t xml:space="preserve">54. </w:t>
      </w:r>
      <w:r w:rsidR="006813E2">
        <w:fldChar w:fldCharType="end"/>
      </w:r>
      <w:r w:rsidRPr="00445B9C">
        <w:rPr>
          <w:rFonts w:cs="Arial"/>
          <w:b/>
          <w:bCs/>
          <w:szCs w:val="20"/>
        </w:rPr>
        <w:t>členu</w:t>
      </w:r>
    </w:p>
    <w:p w:rsidR="00683F56" w:rsidRPr="00445B9C" w:rsidRDefault="00683F56" w:rsidP="00683F56">
      <w:pPr>
        <w:spacing w:line="276" w:lineRule="auto"/>
        <w:jc w:val="both"/>
        <w:rPr>
          <w:rFonts w:cs="Arial"/>
          <w:szCs w:val="20"/>
        </w:rPr>
      </w:pPr>
      <w:r w:rsidRPr="00445B9C">
        <w:rPr>
          <w:rFonts w:cs="Arial"/>
          <w:szCs w:val="20"/>
        </w:rPr>
        <w:t xml:space="preserve">Zaradi predlagane spremembe 236. člena ZTFI-1 se črta 1. točka prvega odstavka 539. člena ZTFI-1 (glej obrazložitev k </w:t>
      </w:r>
      <w:r w:rsidR="006813E2">
        <w:fldChar w:fldCharType="begin"/>
      </w:r>
      <w:r w:rsidR="006813E2">
        <w:instrText xml:space="preserve"> REF _Ref196734335 \r \h  \* MERGEFORMAT </w:instrText>
      </w:r>
      <w:r w:rsidR="006813E2">
        <w:fldChar w:fldCharType="separate"/>
      </w:r>
      <w:r w:rsidR="001638A0" w:rsidRPr="00445B9C">
        <w:rPr>
          <w:rFonts w:cs="Arial"/>
          <w:szCs w:val="20"/>
        </w:rPr>
        <w:t xml:space="preserve">21. </w:t>
      </w:r>
      <w:r w:rsidR="006813E2">
        <w:fldChar w:fldCharType="end"/>
      </w:r>
      <w:r w:rsidRPr="00445B9C">
        <w:rPr>
          <w:rFonts w:cs="Arial"/>
          <w:szCs w:val="20"/>
        </w:rPr>
        <w:t>členu predloga zakona)</w:t>
      </w:r>
      <w:r w:rsidR="001334BB">
        <w:rPr>
          <w:rFonts w:cs="Arial"/>
          <w:szCs w:val="20"/>
        </w:rPr>
        <w:t>.</w:t>
      </w:r>
    </w:p>
    <w:p w:rsidR="00FE0F83" w:rsidRPr="00445B9C" w:rsidRDefault="00FE0F83" w:rsidP="00C64B3F">
      <w:pPr>
        <w:spacing w:line="240" w:lineRule="auto"/>
        <w:jc w:val="both"/>
        <w:rPr>
          <w:rFonts w:cs="Arial"/>
          <w:szCs w:val="20"/>
        </w:rPr>
      </w:pPr>
    </w:p>
    <w:p w:rsidR="00683F56" w:rsidRPr="00445B9C" w:rsidRDefault="00683F56" w:rsidP="00683F56">
      <w:pPr>
        <w:spacing w:line="276" w:lineRule="auto"/>
        <w:jc w:val="both"/>
        <w:rPr>
          <w:rFonts w:cs="Arial"/>
          <w:szCs w:val="20"/>
        </w:rPr>
      </w:pPr>
      <w:r w:rsidRPr="00445B9C">
        <w:rPr>
          <w:rFonts w:cs="Arial"/>
          <w:szCs w:val="20"/>
        </w:rPr>
        <w:t xml:space="preserve">Zaradi predlagane spremembe 332. člena ZTFI-1 se spreminjata 4. in 5. točka prvega odstavka 539. člena ZTFI-1 (glej obrazložitev k </w:t>
      </w:r>
      <w:r w:rsidR="006813E2">
        <w:fldChar w:fldCharType="begin"/>
      </w:r>
      <w:r w:rsidR="006813E2">
        <w:instrText xml:space="preserve"> REF _Ref196734639 \r \h  \* MERGEFORMAT </w:instrText>
      </w:r>
      <w:r w:rsidR="006813E2">
        <w:fldChar w:fldCharType="separate"/>
      </w:r>
      <w:r w:rsidR="001638A0" w:rsidRPr="00445B9C">
        <w:rPr>
          <w:rFonts w:cs="Arial"/>
          <w:szCs w:val="20"/>
        </w:rPr>
        <w:t xml:space="preserve">31. </w:t>
      </w:r>
      <w:r w:rsidR="006813E2">
        <w:fldChar w:fldCharType="end"/>
      </w:r>
      <w:r w:rsidRPr="00445B9C">
        <w:rPr>
          <w:rFonts w:cs="Arial"/>
          <w:szCs w:val="20"/>
        </w:rPr>
        <w:t>členu predloga zakona)</w:t>
      </w:r>
      <w:r w:rsidR="001334BB">
        <w:rPr>
          <w:rFonts w:cs="Arial"/>
          <w:szCs w:val="20"/>
        </w:rPr>
        <w:t>.</w:t>
      </w:r>
    </w:p>
    <w:p w:rsidR="00FE0F83" w:rsidRPr="00445B9C" w:rsidRDefault="00FE0F83" w:rsidP="00C64B3F">
      <w:pPr>
        <w:spacing w:line="240" w:lineRule="auto"/>
        <w:jc w:val="both"/>
        <w:rPr>
          <w:rFonts w:cs="Arial"/>
          <w:szCs w:val="20"/>
        </w:rPr>
      </w:pPr>
    </w:p>
    <w:p w:rsidR="00683F56" w:rsidRPr="00445B9C" w:rsidRDefault="00683F56" w:rsidP="00683F56">
      <w:pPr>
        <w:spacing w:line="276" w:lineRule="auto"/>
        <w:jc w:val="both"/>
        <w:rPr>
          <w:rFonts w:cs="Arial"/>
          <w:szCs w:val="20"/>
        </w:rPr>
      </w:pPr>
      <w:r w:rsidRPr="00445B9C">
        <w:rPr>
          <w:rFonts w:cs="Arial"/>
          <w:szCs w:val="20"/>
        </w:rPr>
        <w:t xml:space="preserve">Zaradi predlagane spremembe 378. člena ZTFI-1 se črta 32. točka prvega odstavka 539. člena ZTFI-1 (glej obrazložitev k </w:t>
      </w:r>
      <w:r w:rsidR="006813E2">
        <w:fldChar w:fldCharType="begin"/>
      </w:r>
      <w:r w:rsidR="006813E2">
        <w:instrText xml:space="preserve"> REF _Ref196734811 \r \h  \* MERGEFORMAT </w:instrText>
      </w:r>
      <w:r w:rsidR="006813E2">
        <w:fldChar w:fldCharType="separate"/>
      </w:r>
      <w:r w:rsidR="001638A0" w:rsidRPr="00445B9C">
        <w:rPr>
          <w:rFonts w:cs="Arial"/>
          <w:szCs w:val="20"/>
        </w:rPr>
        <w:t xml:space="preserve">41. </w:t>
      </w:r>
      <w:r w:rsidR="006813E2">
        <w:fldChar w:fldCharType="end"/>
      </w:r>
      <w:r w:rsidRPr="00445B9C">
        <w:rPr>
          <w:rFonts w:cs="Arial"/>
          <w:szCs w:val="20"/>
        </w:rPr>
        <w:t>členu predloga zakona)</w:t>
      </w:r>
      <w:r w:rsidR="001334BB">
        <w:rPr>
          <w:rFonts w:cs="Arial"/>
          <w:szCs w:val="20"/>
        </w:rPr>
        <w:t xml:space="preserve">. </w:t>
      </w:r>
    </w:p>
    <w:p w:rsidR="00FE0F83" w:rsidRPr="00445B9C" w:rsidRDefault="00FE0F83" w:rsidP="00C64B3F">
      <w:pPr>
        <w:spacing w:line="240" w:lineRule="auto"/>
        <w:jc w:val="both"/>
        <w:rPr>
          <w:rFonts w:cs="Arial"/>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_Ref196735266 \r \h  \* MERGEFORMAT </w:instrText>
      </w:r>
      <w:r w:rsidR="006813E2">
        <w:fldChar w:fldCharType="separate"/>
      </w:r>
      <w:r w:rsidR="001638A0" w:rsidRPr="00445B9C">
        <w:rPr>
          <w:rFonts w:cs="Arial"/>
          <w:b/>
          <w:bCs/>
          <w:szCs w:val="20"/>
        </w:rPr>
        <w:t xml:space="preserve">55. </w:t>
      </w:r>
      <w:r w:rsidR="006813E2">
        <w:fldChar w:fldCharType="end"/>
      </w:r>
      <w:r w:rsidRPr="00445B9C">
        <w:rPr>
          <w:rFonts w:cs="Arial"/>
          <w:b/>
          <w:bCs/>
          <w:szCs w:val="20"/>
        </w:rPr>
        <w:t>členu</w:t>
      </w:r>
    </w:p>
    <w:p w:rsidR="00650CCC" w:rsidRPr="00445B9C" w:rsidRDefault="00650CCC" w:rsidP="00650CCC">
      <w:pPr>
        <w:spacing w:line="276" w:lineRule="auto"/>
        <w:jc w:val="both"/>
        <w:rPr>
          <w:rFonts w:cs="Arial"/>
          <w:szCs w:val="20"/>
        </w:rPr>
      </w:pPr>
      <w:r w:rsidRPr="00445B9C">
        <w:rPr>
          <w:rFonts w:cs="Arial"/>
          <w:szCs w:val="20"/>
        </w:rPr>
        <w:t xml:space="preserve">V 541. </w:t>
      </w:r>
      <w:r w:rsidR="001334BB" w:rsidRPr="00445B9C">
        <w:rPr>
          <w:rFonts w:cs="Arial"/>
          <w:szCs w:val="20"/>
        </w:rPr>
        <w:t xml:space="preserve">členu </w:t>
      </w:r>
      <w:r w:rsidRPr="00445B9C">
        <w:rPr>
          <w:rFonts w:cs="Arial"/>
          <w:szCs w:val="20"/>
        </w:rPr>
        <w:t xml:space="preserve">ZTFI-1 se </w:t>
      </w:r>
      <w:r w:rsidR="003A048F" w:rsidRPr="00445B9C">
        <w:rPr>
          <w:rFonts w:cs="Arial"/>
          <w:szCs w:val="20"/>
        </w:rPr>
        <w:t xml:space="preserve">določajo prekrški v zvezi s kršitvami pravil, ki jih določa Uredba 600/2014/EU. </w:t>
      </w:r>
      <w:r w:rsidR="00B4191E" w:rsidRPr="00445B9C">
        <w:rPr>
          <w:rFonts w:cs="Arial"/>
          <w:szCs w:val="20"/>
        </w:rPr>
        <w:t>Zaradi obsežnosti sprememb se predlaga nov</w:t>
      </w:r>
      <w:r w:rsidR="001334BB">
        <w:rPr>
          <w:rFonts w:cs="Arial"/>
          <w:szCs w:val="20"/>
        </w:rPr>
        <w:t>i</w:t>
      </w:r>
      <w:r w:rsidR="00B4191E" w:rsidRPr="00445B9C">
        <w:rPr>
          <w:rFonts w:cs="Arial"/>
          <w:szCs w:val="20"/>
        </w:rPr>
        <w:t xml:space="preserve"> člen</w:t>
      </w:r>
      <w:r w:rsidR="001334BB">
        <w:rPr>
          <w:rFonts w:cs="Arial"/>
          <w:szCs w:val="20"/>
        </w:rPr>
        <w:t>,</w:t>
      </w:r>
      <w:r w:rsidR="00B4191E" w:rsidRPr="00445B9C">
        <w:rPr>
          <w:rFonts w:cs="Arial"/>
          <w:szCs w:val="20"/>
        </w:rPr>
        <w:t xml:space="preserve"> v katerem se, glede na </w:t>
      </w:r>
      <w:r w:rsidR="001334BB">
        <w:rPr>
          <w:rFonts w:cs="Arial"/>
          <w:szCs w:val="20"/>
        </w:rPr>
        <w:t>zdaj</w:t>
      </w:r>
      <w:r w:rsidR="001334BB" w:rsidRPr="00445B9C">
        <w:rPr>
          <w:rFonts w:cs="Arial"/>
          <w:szCs w:val="20"/>
        </w:rPr>
        <w:t xml:space="preserve"> </w:t>
      </w:r>
      <w:r w:rsidR="00B4191E" w:rsidRPr="00445B9C">
        <w:rPr>
          <w:rFonts w:cs="Arial"/>
          <w:szCs w:val="20"/>
        </w:rPr>
        <w:t xml:space="preserve">veljavni 541. člen ZTFI-1, </w:t>
      </w:r>
      <w:r w:rsidRPr="00445B9C">
        <w:rPr>
          <w:rFonts w:cs="Arial"/>
          <w:szCs w:val="20"/>
        </w:rPr>
        <w:t>napovedni stavek prvega in drugega odstavka spremeni</w:t>
      </w:r>
      <w:r w:rsidR="001334BB">
        <w:rPr>
          <w:rFonts w:cs="Arial"/>
          <w:szCs w:val="20"/>
        </w:rPr>
        <w:t>ta</w:t>
      </w:r>
      <w:r w:rsidRPr="00445B9C">
        <w:rPr>
          <w:rFonts w:cs="Arial"/>
          <w:szCs w:val="20"/>
        </w:rPr>
        <w:t xml:space="preserve"> tako, da se uskladi</w:t>
      </w:r>
      <w:r w:rsidR="001334BB">
        <w:rPr>
          <w:rFonts w:cs="Arial"/>
          <w:szCs w:val="20"/>
        </w:rPr>
        <w:t>ta</w:t>
      </w:r>
      <w:r w:rsidRPr="00445B9C">
        <w:rPr>
          <w:rFonts w:cs="Arial"/>
          <w:szCs w:val="20"/>
        </w:rPr>
        <w:t xml:space="preserve"> z ZBan-3A in uredbo 575/2013/EU. Glej obrazložitev k </w:t>
      </w:r>
      <w:r w:rsidR="006813E2">
        <w:fldChar w:fldCharType="begin"/>
      </w:r>
      <w:r w:rsidR="006813E2">
        <w:instrText xml:space="preserve"> REF _Ref192067056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členu predloga zakona.</w:t>
      </w:r>
    </w:p>
    <w:p w:rsidR="00FE0F83" w:rsidRPr="00445B9C" w:rsidRDefault="00FE0F83" w:rsidP="00C64B3F">
      <w:pPr>
        <w:spacing w:line="240" w:lineRule="auto"/>
        <w:jc w:val="both"/>
        <w:rPr>
          <w:rFonts w:cs="Arial"/>
          <w:szCs w:val="20"/>
        </w:rPr>
      </w:pPr>
    </w:p>
    <w:p w:rsidR="00FE0F83" w:rsidRPr="00445B9C" w:rsidRDefault="00514D67" w:rsidP="003409C1">
      <w:pPr>
        <w:spacing w:line="276" w:lineRule="auto"/>
        <w:jc w:val="both"/>
        <w:rPr>
          <w:rFonts w:cs="Arial"/>
          <w:szCs w:val="20"/>
        </w:rPr>
      </w:pPr>
      <w:r w:rsidRPr="00445B9C">
        <w:rPr>
          <w:rFonts w:cs="Arial"/>
          <w:szCs w:val="20"/>
        </w:rPr>
        <w:t>S predlaganimi spremembami 541. člena ZTFI-1 se besedilo tega člena usklajuje z zahtevami iz Uredbe 600/2014/EU.</w:t>
      </w:r>
      <w:r w:rsidRPr="00445B9C">
        <w:rPr>
          <w:rFonts w:cs="Arial"/>
          <w:szCs w:val="20"/>
        </w:rPr>
        <w:cr/>
      </w:r>
    </w:p>
    <w:p w:rsidR="00FE0F83" w:rsidRPr="00445B9C" w:rsidRDefault="00FE0F83" w:rsidP="00FE0F83">
      <w:pPr>
        <w:spacing w:line="276" w:lineRule="auto"/>
        <w:jc w:val="both"/>
        <w:rPr>
          <w:rFonts w:cs="Arial"/>
          <w:b/>
          <w:bCs/>
          <w:szCs w:val="20"/>
        </w:rPr>
      </w:pPr>
      <w:r w:rsidRPr="00445B9C">
        <w:rPr>
          <w:rFonts w:cs="Arial"/>
          <w:b/>
          <w:bCs/>
          <w:szCs w:val="20"/>
        </w:rPr>
        <w:lastRenderedPageBreak/>
        <w:t xml:space="preserve">K </w:t>
      </w:r>
      <w:r w:rsidR="006813E2">
        <w:fldChar w:fldCharType="begin"/>
      </w:r>
      <w:r w:rsidR="006813E2">
        <w:instrText xml:space="preserve"> REF _Ref196735286 \r \h  \* MERGEFORMAT </w:instrText>
      </w:r>
      <w:r w:rsidR="006813E2">
        <w:fldChar w:fldCharType="separate"/>
      </w:r>
      <w:r w:rsidR="001638A0" w:rsidRPr="00445B9C">
        <w:rPr>
          <w:rFonts w:cs="Arial"/>
          <w:b/>
          <w:bCs/>
          <w:szCs w:val="20"/>
        </w:rPr>
        <w:t xml:space="preserve">56. </w:t>
      </w:r>
      <w:r w:rsidR="006813E2">
        <w:fldChar w:fldCharType="end"/>
      </w:r>
      <w:r w:rsidRPr="00445B9C">
        <w:rPr>
          <w:rFonts w:cs="Arial"/>
          <w:b/>
          <w:bCs/>
          <w:szCs w:val="20"/>
        </w:rPr>
        <w:t>členu</w:t>
      </w:r>
    </w:p>
    <w:p w:rsidR="000122B2" w:rsidRPr="00445B9C" w:rsidRDefault="000122B2" w:rsidP="000122B2">
      <w:pPr>
        <w:spacing w:line="276" w:lineRule="auto"/>
        <w:jc w:val="both"/>
        <w:rPr>
          <w:rFonts w:cs="Arial"/>
          <w:szCs w:val="20"/>
        </w:rPr>
      </w:pPr>
      <w:r w:rsidRPr="00445B9C">
        <w:rPr>
          <w:rFonts w:cs="Arial"/>
          <w:szCs w:val="20"/>
        </w:rPr>
        <w:t xml:space="preserve">V členu 546. ZTFI-1 se tretji odstavek spremeni tako, da se uskladi z ZBan-3A in uredbo 575/2013/EU. Glej obrazložitev k </w:t>
      </w:r>
      <w:r w:rsidR="006813E2">
        <w:fldChar w:fldCharType="begin"/>
      </w:r>
      <w:r w:rsidR="006813E2">
        <w:instrText xml:space="preserve"> REF _Ref192067056 \r \h  \* MERGEFORMAT </w:instrText>
      </w:r>
      <w:r w:rsidR="006813E2">
        <w:fldChar w:fldCharType="separate"/>
      </w:r>
      <w:r w:rsidR="001638A0" w:rsidRPr="00445B9C">
        <w:rPr>
          <w:rFonts w:cs="Arial"/>
          <w:szCs w:val="20"/>
        </w:rPr>
        <w:t xml:space="preserve">3. </w:t>
      </w:r>
      <w:r w:rsidR="006813E2">
        <w:fldChar w:fldCharType="end"/>
      </w:r>
      <w:r w:rsidRPr="00445B9C">
        <w:rPr>
          <w:rFonts w:cs="Arial"/>
          <w:szCs w:val="20"/>
        </w:rPr>
        <w:t>členu predloga zakona.</w:t>
      </w:r>
    </w:p>
    <w:p w:rsidR="0023649D" w:rsidRPr="00445B9C" w:rsidRDefault="0023649D" w:rsidP="00FE0F83">
      <w:pPr>
        <w:spacing w:line="276" w:lineRule="auto"/>
        <w:jc w:val="both"/>
        <w:rPr>
          <w:rFonts w:cs="Arial"/>
          <w:b/>
          <w:bCs/>
          <w:szCs w:val="20"/>
        </w:rPr>
      </w:pPr>
    </w:p>
    <w:p w:rsidR="00FE0F83" w:rsidRPr="00445B9C" w:rsidRDefault="00FE0F83" w:rsidP="00FE0F83">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_Ref196734116 \r \h  \* MERGEFORMAT </w:instrText>
      </w:r>
      <w:r w:rsidR="006813E2">
        <w:fldChar w:fldCharType="separate"/>
      </w:r>
      <w:r w:rsidR="001638A0" w:rsidRPr="00445B9C">
        <w:rPr>
          <w:rFonts w:cs="Arial"/>
          <w:b/>
          <w:bCs/>
          <w:szCs w:val="20"/>
        </w:rPr>
        <w:t xml:space="preserve">57. </w:t>
      </w:r>
      <w:r w:rsidR="006813E2">
        <w:fldChar w:fldCharType="end"/>
      </w:r>
      <w:r w:rsidRPr="00445B9C">
        <w:rPr>
          <w:rFonts w:cs="Arial"/>
          <w:b/>
          <w:bCs/>
          <w:szCs w:val="20"/>
        </w:rPr>
        <w:t>členu</w:t>
      </w:r>
    </w:p>
    <w:p w:rsidR="00C838DE" w:rsidRDefault="0023649D" w:rsidP="00C64B3F">
      <w:pPr>
        <w:spacing w:line="240" w:lineRule="auto"/>
        <w:jc w:val="both"/>
        <w:rPr>
          <w:rFonts w:cs="Arial"/>
          <w:szCs w:val="20"/>
        </w:rPr>
      </w:pPr>
      <w:r w:rsidRPr="00445B9C">
        <w:rPr>
          <w:rFonts w:cs="Arial"/>
          <w:szCs w:val="20"/>
        </w:rPr>
        <w:t xml:space="preserve">Zaradi zamika začetka uporabe določenih določb se predlaga zamik začetka uporabe </w:t>
      </w:r>
      <w:r w:rsidR="001334BB">
        <w:rPr>
          <w:rFonts w:cs="Arial"/>
          <w:szCs w:val="20"/>
        </w:rPr>
        <w:t>zadevnih</w:t>
      </w:r>
      <w:r w:rsidR="001334BB" w:rsidRPr="00445B9C">
        <w:rPr>
          <w:rFonts w:cs="Arial"/>
          <w:szCs w:val="20"/>
        </w:rPr>
        <w:t xml:space="preserve"> </w:t>
      </w:r>
      <w:r w:rsidRPr="00445B9C">
        <w:rPr>
          <w:rFonts w:cs="Arial"/>
          <w:szCs w:val="20"/>
        </w:rPr>
        <w:t>členov</w:t>
      </w:r>
      <w:r w:rsidR="00C838DE">
        <w:rPr>
          <w:rFonts w:cs="Arial"/>
          <w:szCs w:val="20"/>
        </w:rPr>
        <w:t>.</w:t>
      </w:r>
    </w:p>
    <w:p w:rsidR="00C838DE" w:rsidRDefault="00C838DE" w:rsidP="00C64B3F">
      <w:pPr>
        <w:spacing w:line="240" w:lineRule="auto"/>
        <w:jc w:val="both"/>
        <w:rPr>
          <w:rFonts w:cs="Arial"/>
          <w:szCs w:val="20"/>
        </w:rPr>
      </w:pPr>
    </w:p>
    <w:p w:rsidR="00CB076E" w:rsidRPr="00CB076E" w:rsidRDefault="00C838DE" w:rsidP="00CB076E">
      <w:pPr>
        <w:spacing w:line="276" w:lineRule="auto"/>
        <w:jc w:val="both"/>
        <w:rPr>
          <w:rFonts w:cs="Arial"/>
          <w:szCs w:val="20"/>
        </w:rPr>
      </w:pPr>
      <w:r w:rsidRPr="00C838DE">
        <w:rPr>
          <w:rFonts w:cs="Arial"/>
          <w:szCs w:val="20"/>
        </w:rPr>
        <w:t>Direktiva 2023/2864</w:t>
      </w:r>
      <w:r>
        <w:rPr>
          <w:rFonts w:cs="Arial"/>
          <w:szCs w:val="20"/>
        </w:rPr>
        <w:t>/EU</w:t>
      </w:r>
      <w:r w:rsidRPr="00C838DE">
        <w:rPr>
          <w:rFonts w:cs="Arial"/>
          <w:szCs w:val="20"/>
        </w:rPr>
        <w:t xml:space="preserve"> določa različne roke za začetek uporabe njenih posameznih določb, kar odraža potrebo po postopnem uvajanju pravnih pravil. V tem kontekstu </w:t>
      </w:r>
      <w:r>
        <w:rPr>
          <w:rFonts w:cs="Arial"/>
          <w:szCs w:val="20"/>
        </w:rPr>
        <w:t>potrebna določitev začetka</w:t>
      </w:r>
      <w:r w:rsidRPr="00C838DE">
        <w:rPr>
          <w:rFonts w:cs="Arial"/>
          <w:szCs w:val="20"/>
        </w:rPr>
        <w:t xml:space="preserve"> uporabe </w:t>
      </w:r>
      <w:r>
        <w:rPr>
          <w:rFonts w:cs="Arial"/>
          <w:szCs w:val="20"/>
        </w:rPr>
        <w:t>novega</w:t>
      </w:r>
      <w:r w:rsidRPr="00C838DE">
        <w:rPr>
          <w:rFonts w:cs="Arial"/>
          <w:szCs w:val="20"/>
        </w:rPr>
        <w:t xml:space="preserve"> četrt</w:t>
      </w:r>
      <w:r>
        <w:rPr>
          <w:rFonts w:cs="Arial"/>
          <w:szCs w:val="20"/>
        </w:rPr>
        <w:t>ega</w:t>
      </w:r>
      <w:r w:rsidRPr="00C838DE">
        <w:rPr>
          <w:rFonts w:cs="Arial"/>
          <w:szCs w:val="20"/>
        </w:rPr>
        <w:t xml:space="preserve"> in pet</w:t>
      </w:r>
      <w:r>
        <w:rPr>
          <w:rFonts w:cs="Arial"/>
          <w:szCs w:val="20"/>
        </w:rPr>
        <w:t>ega</w:t>
      </w:r>
      <w:r w:rsidRPr="00C838DE">
        <w:rPr>
          <w:rFonts w:cs="Arial"/>
          <w:szCs w:val="20"/>
        </w:rPr>
        <w:t xml:space="preserve"> odstavek 158. člena, dopolnjen</w:t>
      </w:r>
      <w:r>
        <w:rPr>
          <w:rFonts w:cs="Arial"/>
          <w:szCs w:val="20"/>
        </w:rPr>
        <w:t>ega</w:t>
      </w:r>
      <w:r w:rsidRPr="00C838DE">
        <w:rPr>
          <w:rFonts w:cs="Arial"/>
          <w:szCs w:val="20"/>
        </w:rPr>
        <w:t xml:space="preserve"> prv</w:t>
      </w:r>
      <w:r>
        <w:rPr>
          <w:rFonts w:cs="Arial"/>
          <w:szCs w:val="20"/>
        </w:rPr>
        <w:t>ega</w:t>
      </w:r>
      <w:r w:rsidRPr="00C838DE">
        <w:rPr>
          <w:rFonts w:cs="Arial"/>
          <w:szCs w:val="20"/>
        </w:rPr>
        <w:t xml:space="preserve"> in pet</w:t>
      </w:r>
      <w:r>
        <w:rPr>
          <w:rFonts w:cs="Arial"/>
          <w:szCs w:val="20"/>
        </w:rPr>
        <w:t>ega</w:t>
      </w:r>
      <w:r w:rsidRPr="00C838DE">
        <w:rPr>
          <w:rFonts w:cs="Arial"/>
          <w:szCs w:val="20"/>
        </w:rPr>
        <w:t xml:space="preserve"> odstavk</w:t>
      </w:r>
      <w:r>
        <w:rPr>
          <w:rFonts w:cs="Arial"/>
          <w:szCs w:val="20"/>
        </w:rPr>
        <w:t>a</w:t>
      </w:r>
      <w:r w:rsidRPr="00C838DE">
        <w:rPr>
          <w:rFonts w:cs="Arial"/>
          <w:szCs w:val="20"/>
        </w:rPr>
        <w:t xml:space="preserve"> 159. člena ter nov</w:t>
      </w:r>
      <w:r>
        <w:rPr>
          <w:rFonts w:cs="Arial"/>
          <w:szCs w:val="20"/>
        </w:rPr>
        <w:t>ega</w:t>
      </w:r>
      <w:r w:rsidRPr="00C838DE">
        <w:rPr>
          <w:rFonts w:cs="Arial"/>
          <w:szCs w:val="20"/>
        </w:rPr>
        <w:t xml:space="preserve"> pet</w:t>
      </w:r>
      <w:r>
        <w:rPr>
          <w:rFonts w:cs="Arial"/>
          <w:szCs w:val="20"/>
        </w:rPr>
        <w:t>ega</w:t>
      </w:r>
      <w:r w:rsidRPr="00C838DE">
        <w:rPr>
          <w:rFonts w:cs="Arial"/>
          <w:szCs w:val="20"/>
        </w:rPr>
        <w:t xml:space="preserve"> odstavk</w:t>
      </w:r>
      <w:r>
        <w:rPr>
          <w:rFonts w:cs="Arial"/>
          <w:szCs w:val="20"/>
        </w:rPr>
        <w:t>a</w:t>
      </w:r>
      <w:r w:rsidRPr="00C838DE">
        <w:rPr>
          <w:rFonts w:cs="Arial"/>
          <w:szCs w:val="20"/>
        </w:rPr>
        <w:t xml:space="preserve"> 169. člena zakona</w:t>
      </w:r>
      <w:r>
        <w:rPr>
          <w:rFonts w:cs="Arial"/>
          <w:szCs w:val="20"/>
        </w:rPr>
        <w:t xml:space="preserve"> ZTFI-1, </w:t>
      </w:r>
      <w:r w:rsidRPr="00C838DE">
        <w:rPr>
          <w:rFonts w:cs="Arial"/>
          <w:szCs w:val="20"/>
        </w:rPr>
        <w:t xml:space="preserve">saj je usklajenost z </w:t>
      </w:r>
      <w:r>
        <w:rPr>
          <w:rFonts w:cs="Arial"/>
          <w:szCs w:val="20"/>
        </w:rPr>
        <w:t xml:space="preserve">3. členom </w:t>
      </w:r>
      <w:r w:rsidRPr="00C838DE">
        <w:rPr>
          <w:rFonts w:cs="Arial"/>
          <w:szCs w:val="20"/>
        </w:rPr>
        <w:t>Direktiv</w:t>
      </w:r>
      <w:r>
        <w:rPr>
          <w:rFonts w:cs="Arial"/>
          <w:szCs w:val="20"/>
        </w:rPr>
        <w:t>e</w:t>
      </w:r>
      <w:r w:rsidRPr="00C838DE">
        <w:rPr>
          <w:rFonts w:cs="Arial"/>
          <w:szCs w:val="20"/>
        </w:rPr>
        <w:t xml:space="preserve"> 2023/2864, ki se začne uporabljati 10. julija 2026, ključna za zagotavljanje pravne varnosti, enotne uporabe prava EU in doseganja ciljev direktive.</w:t>
      </w:r>
      <w:r w:rsidR="00CB076E">
        <w:rPr>
          <w:rFonts w:cs="Arial"/>
          <w:szCs w:val="20"/>
        </w:rPr>
        <w:t xml:space="preserve"> Zaradi zagotovitve </w:t>
      </w:r>
      <w:r w:rsidR="00CB076E" w:rsidRPr="00CB076E">
        <w:rPr>
          <w:rFonts w:cs="Arial"/>
          <w:szCs w:val="20"/>
        </w:rPr>
        <w:t>pravne kontinuitete in pravne varnosti ostaja</w:t>
      </w:r>
      <w:r w:rsidR="00CB076E">
        <w:rPr>
          <w:rFonts w:cs="Arial"/>
          <w:szCs w:val="20"/>
        </w:rPr>
        <w:t>ta prvi in peti odstavek</w:t>
      </w:r>
      <w:r w:rsidR="00CB076E" w:rsidRPr="00CB076E">
        <w:rPr>
          <w:rFonts w:cs="Arial"/>
          <w:szCs w:val="20"/>
        </w:rPr>
        <w:t xml:space="preserve"> 159. člen</w:t>
      </w:r>
      <w:r w:rsidR="00CB076E">
        <w:rPr>
          <w:rFonts w:cs="Arial"/>
          <w:szCs w:val="20"/>
        </w:rPr>
        <w:t>a ZTFI-1</w:t>
      </w:r>
      <w:r w:rsidR="00CB076E" w:rsidRPr="00CB076E">
        <w:rPr>
          <w:rFonts w:cs="Arial"/>
          <w:szCs w:val="20"/>
        </w:rPr>
        <w:t xml:space="preserve"> v veljavi in se uporablja</w:t>
      </w:r>
      <w:r w:rsidR="00CB076E">
        <w:rPr>
          <w:rFonts w:cs="Arial"/>
          <w:szCs w:val="20"/>
        </w:rPr>
        <w:t>ta</w:t>
      </w:r>
      <w:r w:rsidR="00CB076E" w:rsidRPr="00CB076E">
        <w:rPr>
          <w:rFonts w:cs="Arial"/>
          <w:szCs w:val="20"/>
        </w:rPr>
        <w:t xml:space="preserve"> do začetka </w:t>
      </w:r>
      <w:r w:rsidR="00CB076E">
        <w:rPr>
          <w:rFonts w:cs="Arial"/>
          <w:szCs w:val="20"/>
        </w:rPr>
        <w:t>uporabe</w:t>
      </w:r>
      <w:r w:rsidR="00CB076E" w:rsidRPr="00CB076E">
        <w:rPr>
          <w:rFonts w:cs="Arial"/>
          <w:szCs w:val="20"/>
        </w:rPr>
        <w:t xml:space="preserve"> novih </w:t>
      </w:r>
      <w:r w:rsidR="00CB076E">
        <w:rPr>
          <w:rFonts w:cs="Arial"/>
          <w:szCs w:val="20"/>
        </w:rPr>
        <w:t>dopolnitev</w:t>
      </w:r>
      <w:r w:rsidR="00CB076E" w:rsidRPr="00CB076E">
        <w:rPr>
          <w:rFonts w:cs="Arial"/>
          <w:szCs w:val="20"/>
        </w:rPr>
        <w:t xml:space="preserve">. </w:t>
      </w:r>
    </w:p>
    <w:p w:rsidR="00CB076E" w:rsidRPr="00C838DE" w:rsidRDefault="00CB076E" w:rsidP="00C838DE">
      <w:pPr>
        <w:spacing w:line="276" w:lineRule="auto"/>
        <w:jc w:val="both"/>
        <w:rPr>
          <w:rFonts w:cs="Arial"/>
          <w:szCs w:val="20"/>
        </w:rPr>
      </w:pPr>
    </w:p>
    <w:p w:rsidR="007B3019" w:rsidRPr="007B3019" w:rsidRDefault="007B3019" w:rsidP="007B3019">
      <w:pPr>
        <w:spacing w:line="276" w:lineRule="auto"/>
        <w:jc w:val="both"/>
        <w:rPr>
          <w:rFonts w:cs="Arial"/>
          <w:szCs w:val="20"/>
        </w:rPr>
      </w:pPr>
      <w:r w:rsidRPr="007B3019">
        <w:rPr>
          <w:rFonts w:cs="Arial"/>
          <w:szCs w:val="20"/>
        </w:rPr>
        <w:t>Novi deveti odstavek 278. člena, novi deseti odstavek 322. člena, novi osmi odstavek 326. člena, novi deveti odstavek 331. člena, novi peti odstavek 368. člena in novi tretji odstavek 406. člena zakona se začnejo uporabljati 10. januarja 2030.</w:t>
      </w:r>
      <w:r>
        <w:rPr>
          <w:rFonts w:cs="Arial"/>
          <w:szCs w:val="20"/>
        </w:rPr>
        <w:t xml:space="preserve"> </w:t>
      </w:r>
      <w:r w:rsidRPr="007B3019">
        <w:rPr>
          <w:rFonts w:cs="Arial"/>
          <w:szCs w:val="20"/>
        </w:rPr>
        <w:t>Te določbe</w:t>
      </w:r>
      <w:r>
        <w:rPr>
          <w:rFonts w:cs="Arial"/>
          <w:szCs w:val="20"/>
        </w:rPr>
        <w:t xml:space="preserve"> prenašajo 12. člen </w:t>
      </w:r>
      <w:r w:rsidRPr="00C838DE">
        <w:rPr>
          <w:rFonts w:cs="Arial"/>
          <w:szCs w:val="20"/>
        </w:rPr>
        <w:t>Direktiv</w:t>
      </w:r>
      <w:r>
        <w:rPr>
          <w:rFonts w:cs="Arial"/>
          <w:szCs w:val="20"/>
        </w:rPr>
        <w:t>e</w:t>
      </w:r>
      <w:r w:rsidRPr="00C838DE">
        <w:rPr>
          <w:rFonts w:cs="Arial"/>
          <w:szCs w:val="20"/>
        </w:rPr>
        <w:t xml:space="preserve"> 2023/2864</w:t>
      </w:r>
      <w:r>
        <w:rPr>
          <w:rFonts w:cs="Arial"/>
          <w:szCs w:val="20"/>
        </w:rPr>
        <w:t xml:space="preserve"> (</w:t>
      </w:r>
      <w:r w:rsidRPr="007B3019">
        <w:rPr>
          <w:rFonts w:cs="Arial"/>
          <w:szCs w:val="20"/>
        </w:rPr>
        <w:t>novi člen 87a Direktive 2014/65/EU</w:t>
      </w:r>
      <w:r>
        <w:rPr>
          <w:rFonts w:cs="Arial"/>
          <w:szCs w:val="20"/>
        </w:rPr>
        <w:t>)</w:t>
      </w:r>
      <w:r w:rsidRPr="007B3019">
        <w:rPr>
          <w:rFonts w:cs="Arial"/>
          <w:szCs w:val="20"/>
        </w:rPr>
        <w:t xml:space="preserve">, </w:t>
      </w:r>
      <w:r w:rsidR="006B09DA">
        <w:rPr>
          <w:rFonts w:cs="Arial"/>
          <w:szCs w:val="20"/>
        </w:rPr>
        <w:t xml:space="preserve">ki določa, da </w:t>
      </w:r>
      <w:r w:rsidRPr="007B3019">
        <w:rPr>
          <w:rFonts w:cs="Arial"/>
          <w:szCs w:val="20"/>
        </w:rPr>
        <w:t>se začnejo uporabljati 10. januarja 2030. Ta daljši rok odraža kompleksnost sprememb, ki zahtevajo prilagoditve v nacionalnih pravnih redih, tehnoloških sistemih in operativnih procesih.</w:t>
      </w:r>
      <w:r w:rsidR="006B09DA">
        <w:rPr>
          <w:rFonts w:cs="Arial"/>
          <w:szCs w:val="20"/>
        </w:rPr>
        <w:t xml:space="preserve"> ZTFI-1</w:t>
      </w:r>
      <w:r w:rsidRPr="007B3019">
        <w:rPr>
          <w:rFonts w:cs="Arial"/>
          <w:szCs w:val="20"/>
        </w:rPr>
        <w:t xml:space="preserve"> mora zagotoviti uskladit</w:t>
      </w:r>
      <w:r w:rsidR="006B09DA">
        <w:rPr>
          <w:rFonts w:cs="Arial"/>
          <w:szCs w:val="20"/>
        </w:rPr>
        <w:t>e</w:t>
      </w:r>
      <w:r w:rsidRPr="007B3019">
        <w:rPr>
          <w:rFonts w:cs="Arial"/>
          <w:szCs w:val="20"/>
        </w:rPr>
        <w:t>v z novim členom 87a</w:t>
      </w:r>
      <w:r w:rsidR="006B09DA">
        <w:rPr>
          <w:rFonts w:cs="Arial"/>
          <w:szCs w:val="20"/>
        </w:rPr>
        <w:t xml:space="preserve"> Direktive 2014/65/EU</w:t>
      </w:r>
      <w:r w:rsidRPr="007B3019">
        <w:rPr>
          <w:rFonts w:cs="Arial"/>
          <w:szCs w:val="20"/>
        </w:rPr>
        <w:t xml:space="preserve"> do roka, določenega v direktivi. </w:t>
      </w:r>
    </w:p>
    <w:p w:rsidR="00C838DE" w:rsidRDefault="007B3019" w:rsidP="00616D0F">
      <w:pPr>
        <w:spacing w:line="276" w:lineRule="auto"/>
        <w:jc w:val="both"/>
        <w:rPr>
          <w:rFonts w:cs="Arial"/>
          <w:szCs w:val="20"/>
        </w:rPr>
      </w:pPr>
      <w:r w:rsidRPr="007B3019">
        <w:rPr>
          <w:rFonts w:cs="Arial"/>
          <w:szCs w:val="20"/>
        </w:rPr>
        <w:cr/>
      </w:r>
      <w:r w:rsidR="00C16260">
        <w:rPr>
          <w:rFonts w:cs="Arial"/>
          <w:szCs w:val="20"/>
        </w:rPr>
        <w:t xml:space="preserve">Določa se, da se novi </w:t>
      </w:r>
      <w:r w:rsidR="00C16260" w:rsidRPr="00616D0F">
        <w:rPr>
          <w:rFonts w:cs="Arial"/>
          <w:szCs w:val="20"/>
        </w:rPr>
        <w:t>429.a člen ZTFI-1 začne uporabljati 10. januarja 2028, s čimer se ureja izvajanje 7. člena Uredbe (EU) 2023/2869 Evropskega parlamenta in Sveta z dne 13. decembra 2023 o spremembi nekaterih uredb glede vzpostavitve in delovanja evropske enotne točke dostopa</w:t>
      </w:r>
      <w:r w:rsidR="0056100D" w:rsidRPr="00616D0F">
        <w:rPr>
          <w:rFonts w:cs="Arial"/>
          <w:szCs w:val="20"/>
        </w:rPr>
        <w:t xml:space="preserve"> (UL L št. 2023/2869 z dne 20. 12. 2023).</w:t>
      </w:r>
    </w:p>
    <w:p w:rsidR="0023649D" w:rsidRPr="00445B9C" w:rsidRDefault="0023649D" w:rsidP="00C64B3F">
      <w:pPr>
        <w:spacing w:line="240" w:lineRule="auto"/>
        <w:jc w:val="both"/>
        <w:rPr>
          <w:rFonts w:cs="Arial"/>
          <w:szCs w:val="20"/>
        </w:rPr>
      </w:pPr>
    </w:p>
    <w:p w:rsidR="0023649D" w:rsidRPr="00445B9C" w:rsidRDefault="0023649D" w:rsidP="0023649D">
      <w:pPr>
        <w:spacing w:line="276" w:lineRule="auto"/>
        <w:jc w:val="both"/>
        <w:rPr>
          <w:rFonts w:cs="Arial"/>
          <w:b/>
          <w:bCs/>
          <w:szCs w:val="20"/>
        </w:rPr>
      </w:pPr>
      <w:r w:rsidRPr="00445B9C">
        <w:rPr>
          <w:rFonts w:cs="Arial"/>
          <w:b/>
          <w:bCs/>
          <w:szCs w:val="20"/>
        </w:rPr>
        <w:t xml:space="preserve">K </w:t>
      </w:r>
      <w:r w:rsidR="006813E2">
        <w:fldChar w:fldCharType="begin"/>
      </w:r>
      <w:r w:rsidR="006813E2">
        <w:instrText xml:space="preserve"> REF _Ref192597677 \r \h  \* MERGEFORMAT </w:instrText>
      </w:r>
      <w:r w:rsidR="006813E2">
        <w:fldChar w:fldCharType="separate"/>
      </w:r>
      <w:r w:rsidR="001638A0" w:rsidRPr="00445B9C">
        <w:rPr>
          <w:rFonts w:cs="Arial"/>
          <w:b/>
          <w:bCs/>
          <w:szCs w:val="20"/>
        </w:rPr>
        <w:t xml:space="preserve">58. </w:t>
      </w:r>
      <w:r w:rsidR="006813E2">
        <w:fldChar w:fldCharType="end"/>
      </w:r>
      <w:r w:rsidRPr="00445B9C">
        <w:rPr>
          <w:rFonts w:cs="Arial"/>
          <w:b/>
          <w:bCs/>
          <w:szCs w:val="20"/>
        </w:rPr>
        <w:t>členu</w:t>
      </w:r>
    </w:p>
    <w:p w:rsidR="0023649D" w:rsidRPr="00445B9C" w:rsidRDefault="0023649D" w:rsidP="00C64B3F">
      <w:pPr>
        <w:spacing w:line="240" w:lineRule="auto"/>
        <w:jc w:val="both"/>
        <w:rPr>
          <w:rFonts w:cs="Arial"/>
          <w:szCs w:val="20"/>
        </w:rPr>
      </w:pPr>
      <w:r w:rsidRPr="00445B9C">
        <w:rPr>
          <w:rFonts w:cs="Arial"/>
          <w:szCs w:val="20"/>
        </w:rPr>
        <w:t xml:space="preserve">Določa se začetek veljavnosti zakona, kar je </w:t>
      </w:r>
      <w:r w:rsidRPr="00445B9C">
        <w:rPr>
          <w:rFonts w:eastAsiaTheme="majorEastAsia" w:cs="Arial"/>
          <w:bCs/>
          <w:szCs w:val="20"/>
        </w:rPr>
        <w:t>petnajsti dan po objavi v Uradnem listu Republike Slovenije.</w:t>
      </w:r>
      <w:r w:rsidR="003421AC" w:rsidRPr="00445B9C">
        <w:rPr>
          <w:rFonts w:eastAsiaTheme="majorEastAsia" w:cs="Arial"/>
          <w:bCs/>
          <w:szCs w:val="20"/>
        </w:rPr>
        <w:t xml:space="preserve"> </w:t>
      </w:r>
    </w:p>
    <w:p w:rsidR="00FE0F83" w:rsidRDefault="00FE0F83" w:rsidP="00C64B3F">
      <w:pPr>
        <w:spacing w:line="240" w:lineRule="auto"/>
        <w:jc w:val="both"/>
        <w:rPr>
          <w:rFonts w:cs="Arial"/>
          <w:szCs w:val="20"/>
        </w:rPr>
      </w:pPr>
    </w:p>
    <w:p w:rsidR="00FE0F83" w:rsidRDefault="00FE0F83" w:rsidP="00C64B3F">
      <w:pPr>
        <w:spacing w:line="240" w:lineRule="auto"/>
        <w:jc w:val="both"/>
        <w:rPr>
          <w:rFonts w:cs="Arial"/>
          <w:szCs w:val="20"/>
        </w:rPr>
      </w:pPr>
    </w:p>
    <w:p w:rsidR="00FE0F83" w:rsidRDefault="00FE0F83" w:rsidP="00C64B3F">
      <w:pPr>
        <w:spacing w:line="240" w:lineRule="auto"/>
        <w:jc w:val="both"/>
        <w:rPr>
          <w:rFonts w:cs="Arial"/>
          <w:szCs w:val="20"/>
        </w:rPr>
      </w:pPr>
    </w:p>
    <w:p w:rsidR="00FE0F83" w:rsidRDefault="00FE0F83" w:rsidP="00C64B3F">
      <w:pPr>
        <w:spacing w:line="240" w:lineRule="auto"/>
        <w:jc w:val="both"/>
        <w:rPr>
          <w:rFonts w:cs="Arial"/>
          <w:szCs w:val="20"/>
        </w:rPr>
      </w:pPr>
    </w:p>
    <w:p w:rsidR="00FE0F83" w:rsidRDefault="00FE0F83" w:rsidP="00C64B3F">
      <w:pPr>
        <w:spacing w:line="240" w:lineRule="auto"/>
        <w:jc w:val="both"/>
        <w:rPr>
          <w:rFonts w:cs="Arial"/>
          <w:szCs w:val="20"/>
        </w:rPr>
      </w:pPr>
    </w:p>
    <w:p w:rsidR="00B32776" w:rsidRDefault="00B32776" w:rsidP="00C64B3F">
      <w:pPr>
        <w:spacing w:line="240" w:lineRule="auto"/>
        <w:jc w:val="both"/>
        <w:rPr>
          <w:rFonts w:cs="Arial"/>
          <w:szCs w:val="20"/>
        </w:rPr>
      </w:pPr>
    </w:p>
    <w:p w:rsidR="00325031" w:rsidRDefault="00325031" w:rsidP="00C64B3F">
      <w:pPr>
        <w:spacing w:line="240" w:lineRule="auto"/>
        <w:jc w:val="both"/>
        <w:rPr>
          <w:rFonts w:cs="Arial"/>
          <w:szCs w:val="20"/>
        </w:rPr>
      </w:pPr>
    </w:p>
    <w:p w:rsidR="0053256E" w:rsidRPr="00732B0A" w:rsidRDefault="0053256E" w:rsidP="00C64B3F">
      <w:pPr>
        <w:spacing w:line="240" w:lineRule="auto"/>
        <w:jc w:val="both"/>
        <w:rPr>
          <w:rFonts w:cs="Arial"/>
          <w:szCs w:val="20"/>
        </w:rPr>
      </w:pPr>
    </w:p>
    <w:p w:rsidR="001E1871" w:rsidRDefault="001E1871">
      <w:pPr>
        <w:spacing w:line="240" w:lineRule="auto"/>
        <w:rPr>
          <w:rFonts w:eastAsia="Calibri" w:cs="Arial"/>
          <w:b/>
          <w:szCs w:val="20"/>
        </w:rPr>
      </w:pPr>
      <w:r>
        <w:rPr>
          <w:rFonts w:cs="Arial"/>
          <w:b/>
          <w:szCs w:val="20"/>
        </w:rPr>
        <w:br w:type="page"/>
      </w:r>
    </w:p>
    <w:p w:rsidR="00E16CD0" w:rsidRPr="00732B0A" w:rsidRDefault="00E16CD0" w:rsidP="00C64B3F">
      <w:pPr>
        <w:pStyle w:val="Brezrazmikov2"/>
        <w:jc w:val="both"/>
        <w:rPr>
          <w:rFonts w:ascii="Arial" w:hAnsi="Arial" w:cs="Arial"/>
          <w:b/>
          <w:szCs w:val="20"/>
        </w:rPr>
      </w:pPr>
      <w:r w:rsidRPr="00732B0A">
        <w:rPr>
          <w:rFonts w:ascii="Arial" w:hAnsi="Arial" w:cs="Arial"/>
          <w:b/>
          <w:szCs w:val="20"/>
        </w:rPr>
        <w:lastRenderedPageBreak/>
        <w:t>IV. BESEDILO ČLENOV, KI SE SPREMINJAJO</w:t>
      </w:r>
      <w:r w:rsidR="001D4C69">
        <w:rPr>
          <w:rFonts w:ascii="Arial" w:hAnsi="Arial" w:cs="Arial"/>
          <w:b/>
          <w:szCs w:val="20"/>
        </w:rPr>
        <w:t>:</w:t>
      </w:r>
      <w:r w:rsidR="00094811">
        <w:rPr>
          <w:rFonts w:ascii="Arial" w:hAnsi="Arial" w:cs="Arial"/>
          <w:b/>
          <w:szCs w:val="20"/>
        </w:rPr>
        <w:t xml:space="preserve"> </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2.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(prenos in izvajanje predpisov Evropske unije)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S tem zakonom se v pravni red Republike Slovenije prenašajo naslednje direktive Evropske unije (v nadaljnjem besedilu: EU):</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w:t>
      </w:r>
      <w:r w:rsidR="00F259F3" w:rsidRPr="004319E8">
        <w:rPr>
          <w:rFonts w:ascii="Arial" w:eastAsia="Arial" w:hAnsi="Arial" w:cs="Arial"/>
          <w:sz w:val="20"/>
          <w:szCs w:val="20"/>
        </w:rPr>
        <w:t xml:space="preserve">Direktiva Sveta 89/117/EGS </w:t>
      </w:r>
      <w:r w:rsidRPr="004319E8">
        <w:rPr>
          <w:rFonts w:ascii="Arial" w:eastAsia="Arial" w:hAnsi="Arial" w:cs="Arial"/>
          <w:sz w:val="20"/>
          <w:szCs w:val="20"/>
        </w:rPr>
        <w:t xml:space="preserve">z dne 13. februarja 1989 o obveznostih podružnic, ustanovljenih v državi članici, ki pripadajo kreditnim in finančnim institucijam s sedežem zunaj te države članice, glede objave letnih računovodskih izkazov (UL L št. 44 z dne 16. 2. 1989, str. 40; v nadaljnjem besedilu: </w:t>
      </w:r>
      <w:r w:rsidR="005A782A" w:rsidRPr="004319E8">
        <w:rPr>
          <w:rFonts w:ascii="Arial" w:eastAsia="Arial" w:hAnsi="Arial" w:cs="Arial"/>
          <w:color w:val="0000EE"/>
          <w:sz w:val="20"/>
          <w:szCs w:val="20"/>
          <w:u w:val="single" w:color="0000EE"/>
        </w:rPr>
        <w:t>Direktiva 89/117/EGS</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2.      </w:t>
      </w:r>
      <w:r w:rsidR="005A782A" w:rsidRPr="004319E8">
        <w:rPr>
          <w:rFonts w:ascii="Arial" w:eastAsia="Arial" w:hAnsi="Arial" w:cs="Arial"/>
          <w:color w:val="0000EE"/>
          <w:sz w:val="20"/>
          <w:szCs w:val="20"/>
          <w:u w:val="single" w:color="0000EE"/>
        </w:rPr>
        <w:t>Direktiva 97/9/ES</w:t>
      </w:r>
      <w:r w:rsidRPr="004319E8">
        <w:rPr>
          <w:rFonts w:ascii="Arial" w:eastAsia="Arial" w:hAnsi="Arial" w:cs="Arial"/>
          <w:sz w:val="20"/>
          <w:szCs w:val="20"/>
        </w:rPr>
        <w:t xml:space="preserve"> Evropskega parlamenta in Sveta z dne 3. marca 1997 o odškodninskih shemah za vlagatelje (UL L št. 84 z dne 26. 3. 1997, str. 22; v nadaljnjem besedilu: </w:t>
      </w:r>
      <w:r w:rsidR="005A782A" w:rsidRPr="004319E8">
        <w:rPr>
          <w:rFonts w:ascii="Arial" w:eastAsia="Arial" w:hAnsi="Arial" w:cs="Arial"/>
          <w:color w:val="0000EE"/>
          <w:sz w:val="20"/>
          <w:szCs w:val="20"/>
          <w:u w:val="single" w:color="0000EE"/>
        </w:rPr>
        <w:t>Direktiva 97/9/ES</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3.      </w:t>
      </w:r>
      <w:r w:rsidR="005A782A" w:rsidRPr="004319E8">
        <w:rPr>
          <w:rFonts w:ascii="Arial" w:eastAsia="Arial" w:hAnsi="Arial" w:cs="Arial"/>
          <w:color w:val="0000EE"/>
          <w:sz w:val="20"/>
          <w:szCs w:val="20"/>
          <w:u w:val="single" w:color="0000EE"/>
        </w:rPr>
        <w:t>Direktiva 98/26/ES</w:t>
      </w:r>
      <w:r w:rsidRPr="004319E8">
        <w:rPr>
          <w:rFonts w:ascii="Arial" w:eastAsia="Arial" w:hAnsi="Arial" w:cs="Arial"/>
          <w:sz w:val="20"/>
          <w:szCs w:val="20"/>
        </w:rPr>
        <w:t xml:space="preserve"> Evropskega parlamenta in Sveta z dne 19. maja 1998 o dokončnosti poravnave pri plačilih in sistemih poravnave vrednostnih papirjev (UL L št. 166 z dne 11. 6. 1998, str. 45), zadnjič spremenjena z </w:t>
      </w:r>
      <w:r w:rsidR="005A782A" w:rsidRPr="004319E8">
        <w:rPr>
          <w:rFonts w:ascii="Arial" w:eastAsia="Arial" w:hAnsi="Arial" w:cs="Arial"/>
          <w:color w:val="0000EE"/>
          <w:sz w:val="20"/>
          <w:szCs w:val="20"/>
          <w:u w:val="single" w:color="0000EE"/>
        </w:rPr>
        <w:t>Uredbo (EU) št. 909/2014</w:t>
      </w:r>
      <w:r w:rsidRPr="004319E8">
        <w:rPr>
          <w:rFonts w:ascii="Arial" w:eastAsia="Arial" w:hAnsi="Arial" w:cs="Arial"/>
          <w:sz w:val="20"/>
          <w:szCs w:val="20"/>
        </w:rPr>
        <w:t xml:space="preserve"> Evropskega parlamenta in Sveta z dne 23. julija 2014 o izboljšanju ureditve poravnav vrednostnih papirjev v Evropski uniji in o centralnih depotnih družbah ter o spremembi </w:t>
      </w:r>
      <w:r w:rsidR="005A782A" w:rsidRPr="004319E8">
        <w:rPr>
          <w:rFonts w:ascii="Arial" w:eastAsia="Arial" w:hAnsi="Arial" w:cs="Arial"/>
          <w:color w:val="0000EE"/>
          <w:sz w:val="20"/>
          <w:szCs w:val="20"/>
          <w:u w:val="single" w:color="0000EE"/>
        </w:rPr>
        <w:t>direktiv 98/26/ES</w:t>
      </w:r>
      <w:r w:rsidRPr="004319E8">
        <w:rPr>
          <w:rFonts w:ascii="Arial" w:eastAsia="Arial" w:hAnsi="Arial" w:cs="Arial"/>
          <w:sz w:val="20"/>
          <w:szCs w:val="20"/>
        </w:rPr>
        <w:t xml:space="preserve"> in </w:t>
      </w:r>
      <w:r w:rsidR="005A782A" w:rsidRPr="004319E8">
        <w:rPr>
          <w:rFonts w:ascii="Arial" w:eastAsia="Arial" w:hAnsi="Arial" w:cs="Arial"/>
          <w:color w:val="0000EE"/>
          <w:sz w:val="20"/>
          <w:szCs w:val="20"/>
          <w:u w:val="single" w:color="0000EE"/>
        </w:rPr>
        <w:t>2014/65/EU</w:t>
      </w:r>
      <w:r w:rsidRPr="004319E8">
        <w:rPr>
          <w:rFonts w:ascii="Arial" w:eastAsia="Arial" w:hAnsi="Arial" w:cs="Arial"/>
          <w:sz w:val="20"/>
          <w:szCs w:val="20"/>
        </w:rPr>
        <w:t xml:space="preserve"> ter </w:t>
      </w:r>
      <w:r w:rsidR="005A782A" w:rsidRPr="004319E8">
        <w:rPr>
          <w:rFonts w:ascii="Arial" w:eastAsia="Arial" w:hAnsi="Arial" w:cs="Arial"/>
          <w:color w:val="0000EE"/>
          <w:sz w:val="20"/>
          <w:szCs w:val="20"/>
          <w:u w:val="single" w:color="0000EE"/>
        </w:rPr>
        <w:t>Uredbe (EU) št. 236/2012</w:t>
      </w:r>
      <w:r w:rsidRPr="004319E8">
        <w:rPr>
          <w:rFonts w:ascii="Arial" w:eastAsia="Arial" w:hAnsi="Arial" w:cs="Arial"/>
          <w:sz w:val="20"/>
          <w:szCs w:val="20"/>
        </w:rPr>
        <w:t xml:space="preserve"> (UL L št. 257 z dne 28. 8. 2014, str. 1), (v nadaljnjem besedilu: </w:t>
      </w:r>
      <w:r w:rsidR="005A782A" w:rsidRPr="004319E8">
        <w:rPr>
          <w:rFonts w:ascii="Arial" w:eastAsia="Arial" w:hAnsi="Arial" w:cs="Arial"/>
          <w:color w:val="0000EE"/>
          <w:sz w:val="20"/>
          <w:szCs w:val="20"/>
          <w:u w:val="single" w:color="0000EE"/>
        </w:rPr>
        <w:t>Direktiva 98/26/ES</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4.      </w:t>
      </w:r>
      <w:r w:rsidR="005A782A" w:rsidRPr="004319E8">
        <w:rPr>
          <w:rFonts w:ascii="Arial" w:eastAsia="Arial" w:hAnsi="Arial" w:cs="Arial"/>
          <w:color w:val="0000EE"/>
          <w:sz w:val="20"/>
          <w:szCs w:val="20"/>
          <w:u w:val="single" w:color="0000EE"/>
        </w:rPr>
        <w:t>Direktiva 2001/34/ES</w:t>
      </w:r>
      <w:r w:rsidRPr="004319E8">
        <w:rPr>
          <w:rFonts w:ascii="Arial" w:eastAsia="Arial" w:hAnsi="Arial" w:cs="Arial"/>
          <w:sz w:val="20"/>
          <w:szCs w:val="20"/>
        </w:rPr>
        <w:t xml:space="preserve"> Evropskega parlamenta in Sveta z dne 28. maja 2001 o sprejemu vrednostnih papirjev v uradno kotacijo na borzi in o informacijah, ki jih je treba objaviti v zvezi s temi vrednostnimi papirji (UL L št. 184 z dne 6. 7. 2001, str. 1), zadnjič spremenjena z </w:t>
      </w:r>
      <w:r w:rsidR="005A782A" w:rsidRPr="004319E8">
        <w:rPr>
          <w:rFonts w:ascii="Arial" w:eastAsia="Arial" w:hAnsi="Arial" w:cs="Arial"/>
          <w:color w:val="0000EE"/>
          <w:sz w:val="20"/>
          <w:szCs w:val="20"/>
          <w:u w:val="single" w:color="0000EE"/>
        </w:rPr>
        <w:t>Direktivo Evropskega parlamenta in Sveta 2005/1/ES</w:t>
      </w:r>
      <w:r w:rsidRPr="004319E8">
        <w:rPr>
          <w:rFonts w:ascii="Arial" w:eastAsia="Arial" w:hAnsi="Arial" w:cs="Arial"/>
          <w:sz w:val="20"/>
          <w:szCs w:val="20"/>
        </w:rPr>
        <w:t xml:space="preserve"> z dne 9. marca 2005 o spremembi </w:t>
      </w:r>
      <w:r w:rsidR="005A782A" w:rsidRPr="004319E8">
        <w:rPr>
          <w:rFonts w:ascii="Arial" w:eastAsia="Arial" w:hAnsi="Arial" w:cs="Arial"/>
          <w:color w:val="0000EE"/>
          <w:sz w:val="20"/>
          <w:szCs w:val="20"/>
          <w:u w:val="single" w:color="0000EE"/>
        </w:rPr>
        <w:t>direktiv Sveta 73/239/EGS</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85/611/EGS</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91/675/EGS</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92/49/EGS</w:t>
      </w:r>
      <w:r w:rsidRPr="004319E8">
        <w:rPr>
          <w:rFonts w:ascii="Arial" w:eastAsia="Arial" w:hAnsi="Arial" w:cs="Arial"/>
          <w:sz w:val="20"/>
          <w:szCs w:val="20"/>
        </w:rPr>
        <w:t xml:space="preserve"> in </w:t>
      </w:r>
      <w:r w:rsidR="005A782A" w:rsidRPr="004319E8">
        <w:rPr>
          <w:rFonts w:ascii="Arial" w:eastAsia="Arial" w:hAnsi="Arial" w:cs="Arial"/>
          <w:color w:val="0000EE"/>
          <w:sz w:val="20"/>
          <w:szCs w:val="20"/>
          <w:u w:val="single" w:color="0000EE"/>
        </w:rPr>
        <w:t>93/6/EGS</w:t>
      </w:r>
      <w:r w:rsidRPr="004319E8">
        <w:rPr>
          <w:rFonts w:ascii="Arial" w:eastAsia="Arial" w:hAnsi="Arial" w:cs="Arial"/>
          <w:sz w:val="20"/>
          <w:szCs w:val="20"/>
        </w:rPr>
        <w:t xml:space="preserve"> ter </w:t>
      </w:r>
      <w:r w:rsidR="005A782A" w:rsidRPr="004319E8">
        <w:rPr>
          <w:rFonts w:ascii="Arial" w:eastAsia="Arial" w:hAnsi="Arial" w:cs="Arial"/>
          <w:color w:val="0000EE"/>
          <w:sz w:val="20"/>
          <w:szCs w:val="20"/>
          <w:u w:val="single" w:color="0000EE"/>
        </w:rPr>
        <w:t>direktiv 94/19/ES</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98/78/ES</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2000/12/ES</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2001/34/ES</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2002/83/ES</w:t>
      </w:r>
      <w:r w:rsidRPr="004319E8">
        <w:rPr>
          <w:rFonts w:ascii="Arial" w:eastAsia="Arial" w:hAnsi="Arial" w:cs="Arial"/>
          <w:sz w:val="20"/>
          <w:szCs w:val="20"/>
        </w:rPr>
        <w:t xml:space="preserve"> in </w:t>
      </w:r>
      <w:r w:rsidR="005A782A" w:rsidRPr="004319E8">
        <w:rPr>
          <w:rFonts w:ascii="Arial" w:eastAsia="Arial" w:hAnsi="Arial" w:cs="Arial"/>
          <w:color w:val="0000EE"/>
          <w:sz w:val="20"/>
          <w:szCs w:val="20"/>
          <w:u w:val="single" w:color="0000EE"/>
        </w:rPr>
        <w:t>2002/87/ES</w:t>
      </w:r>
      <w:r w:rsidRPr="004319E8">
        <w:rPr>
          <w:rFonts w:ascii="Arial" w:eastAsia="Arial" w:hAnsi="Arial" w:cs="Arial"/>
          <w:sz w:val="20"/>
          <w:szCs w:val="20"/>
        </w:rPr>
        <w:t xml:space="preserve"> za vzpostavitev nove organizacijske strukture odborov za finančne storitve (UL L št. 79 z dne 24. 3. 2005, str. 9), (v nadaljnjem besedilu: </w:t>
      </w:r>
      <w:r w:rsidR="005A782A" w:rsidRPr="004319E8">
        <w:rPr>
          <w:rFonts w:ascii="Arial" w:eastAsia="Arial" w:hAnsi="Arial" w:cs="Arial"/>
          <w:color w:val="0000EE"/>
          <w:sz w:val="20"/>
          <w:szCs w:val="20"/>
          <w:u w:val="single" w:color="0000EE"/>
        </w:rPr>
        <w:t>Direktiva 2001/34/ES</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5.      </w:t>
      </w:r>
      <w:r w:rsidRPr="004319E8">
        <w:rPr>
          <w:rFonts w:ascii="Arial" w:eastAsia="Arial" w:hAnsi="Arial" w:cs="Arial"/>
          <w:b/>
          <w:bCs/>
          <w:sz w:val="20"/>
          <w:szCs w:val="20"/>
        </w:rPr>
        <w:t>(črtana)</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6.      </w:t>
      </w:r>
      <w:r w:rsidR="005A782A" w:rsidRPr="004319E8">
        <w:rPr>
          <w:rFonts w:ascii="Arial" w:eastAsia="Arial" w:hAnsi="Arial" w:cs="Arial"/>
          <w:color w:val="0000EE"/>
          <w:sz w:val="20"/>
          <w:szCs w:val="20"/>
          <w:u w:val="single" w:color="0000EE"/>
        </w:rPr>
        <w:t>Direktiva 2004/109/ES</w:t>
      </w:r>
      <w:r w:rsidRPr="004319E8">
        <w:rPr>
          <w:rFonts w:ascii="Arial" w:eastAsia="Arial" w:hAnsi="Arial" w:cs="Arial"/>
          <w:sz w:val="20"/>
          <w:szCs w:val="20"/>
        </w:rPr>
        <w:t xml:space="preserve"> Evropskega parlamenta in Sveta z dne 15. decembra 2004 o uskladitvi zahtev v zvezi s preglednostjo informacij o izdajateljih, katerih vrednostni papirji so sprejeti v trgovanje na reguliranem trgu, in o spremembi </w:t>
      </w:r>
      <w:r w:rsidR="005A782A" w:rsidRPr="004319E8">
        <w:rPr>
          <w:rFonts w:ascii="Arial" w:eastAsia="Arial" w:hAnsi="Arial" w:cs="Arial"/>
          <w:color w:val="0000EE"/>
          <w:sz w:val="20"/>
          <w:szCs w:val="20"/>
          <w:u w:val="single" w:color="0000EE"/>
        </w:rPr>
        <w:t>Direktive 2001/34/ES</w:t>
      </w:r>
      <w:r w:rsidRPr="004319E8">
        <w:rPr>
          <w:rFonts w:ascii="Arial" w:eastAsia="Arial" w:hAnsi="Arial" w:cs="Arial"/>
          <w:sz w:val="20"/>
          <w:szCs w:val="20"/>
        </w:rPr>
        <w:t xml:space="preserve"> (UL L št. 390 z dne 31. 12. 2004, str. 38), zadnjič spremenjena z </w:t>
      </w:r>
      <w:r w:rsidR="005A782A" w:rsidRPr="004319E8">
        <w:rPr>
          <w:rFonts w:ascii="Arial" w:eastAsia="Arial" w:hAnsi="Arial" w:cs="Arial"/>
          <w:color w:val="0000EE"/>
          <w:sz w:val="20"/>
          <w:szCs w:val="20"/>
          <w:u w:val="single" w:color="0000EE"/>
        </w:rPr>
        <w:t>Delegirano uredbo Komisije (EU) 2016/1437</w:t>
      </w:r>
      <w:r w:rsidRPr="004319E8">
        <w:rPr>
          <w:rFonts w:ascii="Arial" w:eastAsia="Arial" w:hAnsi="Arial" w:cs="Arial"/>
          <w:sz w:val="20"/>
          <w:szCs w:val="20"/>
        </w:rPr>
        <w:t xml:space="preserve"> z dne 19. maja 2016 o dopolnitvi </w:t>
      </w:r>
      <w:r w:rsidR="005A782A" w:rsidRPr="004319E8">
        <w:rPr>
          <w:rFonts w:ascii="Arial" w:eastAsia="Arial" w:hAnsi="Arial" w:cs="Arial"/>
          <w:color w:val="0000EE"/>
          <w:sz w:val="20"/>
          <w:szCs w:val="20"/>
          <w:u w:val="single" w:color="0000EE"/>
        </w:rPr>
        <w:t>Direktive 2004/109/ES</w:t>
      </w:r>
      <w:r w:rsidRPr="004319E8">
        <w:rPr>
          <w:rFonts w:ascii="Arial" w:eastAsia="Arial" w:hAnsi="Arial" w:cs="Arial"/>
          <w:sz w:val="20"/>
          <w:szCs w:val="20"/>
        </w:rPr>
        <w:t xml:space="preserve"> Evropskega parlamenta in Sveta v zvezi z regulativnimi tehničnimi standardi za dostop do predpisanih informacij na ravni Unije (UL L št. 234 z dne 31. 8. 2016, str. 1), (v nadaljnjem besedilu: </w:t>
      </w:r>
      <w:r w:rsidR="005A782A" w:rsidRPr="004319E8">
        <w:rPr>
          <w:rFonts w:ascii="Arial" w:eastAsia="Arial" w:hAnsi="Arial" w:cs="Arial"/>
          <w:color w:val="0000EE"/>
          <w:sz w:val="20"/>
          <w:szCs w:val="20"/>
          <w:u w:val="single" w:color="0000EE"/>
        </w:rPr>
        <w:t>Direktiva 2004/109/ES</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7.      </w:t>
      </w:r>
      <w:r w:rsidRPr="004319E8">
        <w:rPr>
          <w:rFonts w:ascii="Arial" w:eastAsia="Arial" w:hAnsi="Arial" w:cs="Arial"/>
          <w:b/>
          <w:bCs/>
          <w:sz w:val="20"/>
          <w:szCs w:val="20"/>
        </w:rPr>
        <w:t>(črtana)</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8.      </w:t>
      </w:r>
      <w:r w:rsidR="005A782A" w:rsidRPr="004319E8">
        <w:rPr>
          <w:rFonts w:ascii="Arial" w:eastAsia="Arial" w:hAnsi="Arial" w:cs="Arial"/>
          <w:color w:val="0000EE"/>
          <w:sz w:val="20"/>
          <w:szCs w:val="20"/>
          <w:u w:val="single" w:color="0000EE"/>
        </w:rPr>
        <w:t>Direktiva 2014/65/EU</w:t>
      </w:r>
      <w:r w:rsidRPr="004319E8">
        <w:rPr>
          <w:rFonts w:ascii="Arial" w:eastAsia="Arial" w:hAnsi="Arial" w:cs="Arial"/>
          <w:sz w:val="20"/>
          <w:szCs w:val="20"/>
        </w:rPr>
        <w:t xml:space="preserve"> Evropskega parlamenta in Sveta z dne 15. maja 2014 o trgih finančnih instrumentov ter spremembi </w:t>
      </w:r>
      <w:r w:rsidR="005A782A" w:rsidRPr="004319E8">
        <w:rPr>
          <w:rFonts w:ascii="Arial" w:eastAsia="Arial" w:hAnsi="Arial" w:cs="Arial"/>
          <w:color w:val="0000EE"/>
          <w:sz w:val="20"/>
          <w:szCs w:val="20"/>
          <w:u w:val="single" w:color="0000EE"/>
        </w:rPr>
        <w:t>Direktive 2002/92/ES</w:t>
      </w:r>
      <w:r w:rsidRPr="004319E8">
        <w:rPr>
          <w:rFonts w:ascii="Arial" w:eastAsia="Arial" w:hAnsi="Arial" w:cs="Arial"/>
          <w:sz w:val="20"/>
          <w:szCs w:val="20"/>
        </w:rPr>
        <w:t xml:space="preserve"> in </w:t>
      </w:r>
      <w:r w:rsidR="005A782A" w:rsidRPr="004319E8">
        <w:rPr>
          <w:rFonts w:ascii="Arial" w:eastAsia="Arial" w:hAnsi="Arial" w:cs="Arial"/>
          <w:color w:val="0000EE"/>
          <w:sz w:val="20"/>
          <w:szCs w:val="20"/>
          <w:u w:val="single" w:color="0000EE"/>
        </w:rPr>
        <w:t>Direktive 2011/61/EU</w:t>
      </w:r>
      <w:r w:rsidRPr="004319E8">
        <w:rPr>
          <w:rFonts w:ascii="Arial" w:eastAsia="Arial" w:hAnsi="Arial" w:cs="Arial"/>
          <w:sz w:val="20"/>
          <w:szCs w:val="20"/>
        </w:rPr>
        <w:t xml:space="preserve"> (UL L št. 173 z dne 12. 6. 2014, str. 349), zadnjič spremenjena z </w:t>
      </w:r>
      <w:r w:rsidR="005A782A" w:rsidRPr="004319E8">
        <w:rPr>
          <w:rFonts w:ascii="Arial" w:eastAsia="Arial" w:hAnsi="Arial" w:cs="Arial"/>
          <w:color w:val="0000EE"/>
          <w:sz w:val="20"/>
          <w:szCs w:val="20"/>
          <w:u w:val="single" w:color="0000EE"/>
        </w:rPr>
        <w:t>Delegirano uredbo Komisije (EU) 2017/1946</w:t>
      </w:r>
      <w:r w:rsidRPr="004319E8">
        <w:rPr>
          <w:rFonts w:ascii="Arial" w:eastAsia="Arial" w:hAnsi="Arial" w:cs="Arial"/>
          <w:sz w:val="20"/>
          <w:szCs w:val="20"/>
        </w:rPr>
        <w:t xml:space="preserve"> z dne 11. julija 2017 o dopolnitvi </w:t>
      </w:r>
      <w:r w:rsidR="005A782A" w:rsidRPr="004319E8">
        <w:rPr>
          <w:rFonts w:ascii="Arial" w:eastAsia="Arial" w:hAnsi="Arial" w:cs="Arial"/>
          <w:color w:val="0000EE"/>
          <w:sz w:val="20"/>
          <w:szCs w:val="20"/>
          <w:u w:val="single" w:color="0000EE"/>
        </w:rPr>
        <w:t>direktiv 2004/39/ES</w:t>
      </w:r>
      <w:r w:rsidRPr="004319E8">
        <w:rPr>
          <w:rFonts w:ascii="Arial" w:eastAsia="Arial" w:hAnsi="Arial" w:cs="Arial"/>
          <w:sz w:val="20"/>
          <w:szCs w:val="20"/>
        </w:rPr>
        <w:t xml:space="preserve"> in </w:t>
      </w:r>
      <w:r w:rsidR="005A782A" w:rsidRPr="004319E8">
        <w:rPr>
          <w:rFonts w:ascii="Arial" w:eastAsia="Arial" w:hAnsi="Arial" w:cs="Arial"/>
          <w:color w:val="0000EE"/>
          <w:sz w:val="20"/>
          <w:szCs w:val="20"/>
          <w:u w:val="single" w:color="0000EE"/>
        </w:rPr>
        <w:t>2014/65/EU</w:t>
      </w:r>
      <w:r w:rsidRPr="004319E8">
        <w:rPr>
          <w:rFonts w:ascii="Arial" w:eastAsia="Arial" w:hAnsi="Arial" w:cs="Arial"/>
          <w:sz w:val="20"/>
          <w:szCs w:val="20"/>
        </w:rPr>
        <w:t xml:space="preserve"> Evropskega parlamenta in Sveta v zvezi z regulativnimi tehničnimi standardi za izčrpen seznam informacij, ki jih morajo bodoči pridobitelji vključiti v obvestilo o predlagani pridobitvi kvalificiranega deleža v investicijskem podjetju (UL L št. 276 z dne 26. 10. 2017, str. 32), (v nadaljnjem besedilu: </w:t>
      </w:r>
      <w:r w:rsidR="005A782A" w:rsidRPr="004319E8">
        <w:rPr>
          <w:rFonts w:ascii="Arial" w:eastAsia="Arial" w:hAnsi="Arial" w:cs="Arial"/>
          <w:color w:val="0000EE"/>
          <w:sz w:val="20"/>
          <w:szCs w:val="20"/>
          <w:u w:val="single" w:color="0000EE"/>
        </w:rPr>
        <w:t>Direktiva 2014/65/EU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 xml:space="preserve">9.      </w:t>
      </w:r>
      <w:r w:rsidR="005A782A" w:rsidRPr="004319E8">
        <w:rPr>
          <w:rFonts w:ascii="Arial" w:eastAsia="Arial" w:hAnsi="Arial" w:cs="Arial"/>
          <w:color w:val="0000EE"/>
          <w:sz w:val="20"/>
          <w:szCs w:val="20"/>
          <w:u w:val="single" w:color="0000EE"/>
        </w:rPr>
        <w:t>Izvedbena direktiva Komisije (EU) 2015/2392</w:t>
      </w:r>
      <w:r w:rsidRPr="004319E8">
        <w:rPr>
          <w:rFonts w:ascii="Arial" w:eastAsia="Arial" w:hAnsi="Arial" w:cs="Arial"/>
          <w:sz w:val="20"/>
          <w:szCs w:val="20"/>
        </w:rPr>
        <w:t xml:space="preserve"> z dne 17. decembra 2015 o </w:t>
      </w:r>
      <w:r w:rsidR="005A782A" w:rsidRPr="004319E8">
        <w:rPr>
          <w:rFonts w:ascii="Arial" w:eastAsia="Arial" w:hAnsi="Arial" w:cs="Arial"/>
          <w:color w:val="0000EE"/>
          <w:sz w:val="20"/>
          <w:szCs w:val="20"/>
          <w:u w:val="single" w:color="0000EE"/>
        </w:rPr>
        <w:t>Uredbi (EU) št. 596/2014</w:t>
      </w:r>
      <w:r w:rsidRPr="004319E8">
        <w:rPr>
          <w:rFonts w:ascii="Arial" w:eastAsia="Arial" w:hAnsi="Arial" w:cs="Arial"/>
          <w:sz w:val="20"/>
          <w:szCs w:val="20"/>
        </w:rPr>
        <w:t xml:space="preserve"> Evropskega parlamenta in Sveta glede poročanja pristojnim organom o dejanskih ali morebitnih kršitvah navedene uredbe (UL L št. 332 z dne 18. 12. 2015, str. 126), (v nadaljnjem besedilu: </w:t>
      </w:r>
      <w:r w:rsidR="005A782A" w:rsidRPr="004319E8">
        <w:rPr>
          <w:rFonts w:ascii="Arial" w:eastAsia="Arial" w:hAnsi="Arial" w:cs="Arial"/>
          <w:color w:val="0000EE"/>
          <w:sz w:val="20"/>
          <w:szCs w:val="20"/>
          <w:u w:val="single" w:color="0000EE"/>
        </w:rPr>
        <w:t>Direktiva 2015/2392/EU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10.   </w:t>
      </w:r>
      <w:r w:rsidR="005A782A" w:rsidRPr="004319E8">
        <w:rPr>
          <w:rFonts w:ascii="Arial" w:eastAsia="Arial" w:hAnsi="Arial" w:cs="Arial"/>
          <w:color w:val="0000EE"/>
          <w:sz w:val="20"/>
          <w:szCs w:val="20"/>
          <w:u w:val="single" w:color="0000EE"/>
        </w:rPr>
        <w:t>Direktiva (EU) 2016/1034</w:t>
      </w:r>
      <w:r w:rsidRPr="004319E8">
        <w:rPr>
          <w:rFonts w:ascii="Arial" w:eastAsia="Arial" w:hAnsi="Arial" w:cs="Arial"/>
          <w:sz w:val="20"/>
          <w:szCs w:val="20"/>
        </w:rPr>
        <w:t xml:space="preserve"> Evropskega parlamenta in Sveta z dne 23. junija 2016 o spremembi </w:t>
      </w:r>
      <w:r w:rsidR="005A782A"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xml:space="preserve"> o trgih finančnih instrumentov (UL L št. 175 z dne 30. 6. 2016, str. 8),</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11.   </w:t>
      </w:r>
      <w:r w:rsidR="005A782A" w:rsidRPr="004319E8">
        <w:rPr>
          <w:rFonts w:ascii="Arial" w:eastAsia="Arial" w:hAnsi="Arial" w:cs="Arial"/>
          <w:color w:val="0000EE"/>
          <w:sz w:val="20"/>
          <w:szCs w:val="20"/>
          <w:u w:val="single" w:color="0000EE"/>
        </w:rPr>
        <w:t>Delegirana direktiva Komisije (EU) 2017/593</w:t>
      </w:r>
      <w:r w:rsidRPr="004319E8">
        <w:rPr>
          <w:rFonts w:ascii="Arial" w:eastAsia="Arial" w:hAnsi="Arial" w:cs="Arial"/>
          <w:sz w:val="20"/>
          <w:szCs w:val="20"/>
        </w:rPr>
        <w:t xml:space="preserve"> z dne 7. aprila 2016 o dopolnitvi </w:t>
      </w:r>
      <w:r w:rsidR="005A782A"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xml:space="preserve"> Evropskega parlamenta in Sveta v zvezi z zaščito finančnih instrumentov in sredstev, ki pripadajo strankam, obveznostmi glede upravljanja produktov in pravili, ki se uporabljajo za zagotavljanje ali prejemanje pristojbin, provizij ali kakršnih koli denarnih ali nedenarnih koristi (UL L št. 87 z dne 31. 3. 2017, str. 500; v nadaljnjem besedilu: </w:t>
      </w:r>
      <w:r w:rsidR="005A782A" w:rsidRPr="004319E8">
        <w:rPr>
          <w:rFonts w:ascii="Arial" w:eastAsia="Arial" w:hAnsi="Arial" w:cs="Arial"/>
          <w:color w:val="0000EE"/>
          <w:sz w:val="20"/>
          <w:szCs w:val="20"/>
          <w:u w:val="single" w:color="0000EE"/>
        </w:rPr>
        <w:t>Direktiva 2017/593/EU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12.   </w:t>
      </w:r>
      <w:r w:rsidR="005A782A" w:rsidRPr="004319E8">
        <w:rPr>
          <w:rFonts w:ascii="Arial" w:eastAsia="Arial" w:hAnsi="Arial" w:cs="Arial"/>
          <w:color w:val="0000EE"/>
          <w:sz w:val="20"/>
          <w:szCs w:val="20"/>
          <w:u w:val="single" w:color="0000EE"/>
        </w:rPr>
        <w:t>Direktiva (EU) 2019/2034</w:t>
      </w:r>
      <w:r w:rsidRPr="004319E8">
        <w:rPr>
          <w:rFonts w:ascii="Arial" w:eastAsia="Arial" w:hAnsi="Arial" w:cs="Arial"/>
          <w:sz w:val="20"/>
          <w:szCs w:val="20"/>
        </w:rPr>
        <w:t xml:space="preserve"> Evropskega parlamenta in Sveta z dne 27. novembra 2019 o bonitetnem nadzoru investicijskih podjetij ter o spremembi </w:t>
      </w:r>
      <w:r w:rsidR="005A782A" w:rsidRPr="004319E8">
        <w:rPr>
          <w:rFonts w:ascii="Arial" w:eastAsia="Arial" w:hAnsi="Arial" w:cs="Arial"/>
          <w:color w:val="0000EE"/>
          <w:sz w:val="20"/>
          <w:szCs w:val="20"/>
          <w:u w:val="single" w:color="0000EE"/>
        </w:rPr>
        <w:t>direktiv 2002/87/ES</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2009/65/ES</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2011/61/EU</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2013/36/EU</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2014/59/EU</w:t>
      </w:r>
      <w:r w:rsidRPr="004319E8">
        <w:rPr>
          <w:rFonts w:ascii="Arial" w:eastAsia="Arial" w:hAnsi="Arial" w:cs="Arial"/>
          <w:sz w:val="20"/>
          <w:szCs w:val="20"/>
        </w:rPr>
        <w:t xml:space="preserve"> in </w:t>
      </w:r>
      <w:r w:rsidR="005A782A" w:rsidRPr="004319E8">
        <w:rPr>
          <w:rFonts w:ascii="Arial" w:eastAsia="Arial" w:hAnsi="Arial" w:cs="Arial"/>
          <w:color w:val="0000EE"/>
          <w:sz w:val="20"/>
          <w:szCs w:val="20"/>
          <w:u w:val="single" w:color="0000EE"/>
        </w:rPr>
        <w:t>2014/65/EU</w:t>
      </w:r>
      <w:r w:rsidRPr="004319E8">
        <w:rPr>
          <w:rFonts w:ascii="Arial" w:eastAsia="Arial" w:hAnsi="Arial" w:cs="Arial"/>
          <w:sz w:val="20"/>
          <w:szCs w:val="20"/>
        </w:rPr>
        <w:t xml:space="preserve"> (UL L št. 314 z dne 5. decembra 2019, str. 64), zadnjič popravljena s Popravkom (UL L št. 405 z dne 2. 12. 2020, str. 84), v delu, ki se nanaša na spremembo </w:t>
      </w:r>
      <w:r w:rsidR="005A782A"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13.   </w:t>
      </w:r>
      <w:r w:rsidR="005A782A" w:rsidRPr="004319E8">
        <w:rPr>
          <w:rFonts w:ascii="Arial" w:eastAsia="Arial" w:hAnsi="Arial" w:cs="Arial"/>
          <w:color w:val="0000EE"/>
          <w:sz w:val="20"/>
          <w:szCs w:val="20"/>
          <w:u w:val="single" w:color="0000EE"/>
        </w:rPr>
        <w:t>Direktiva 2019/2177</w:t>
      </w:r>
      <w:r w:rsidRPr="004319E8">
        <w:rPr>
          <w:rFonts w:ascii="Arial" w:eastAsia="Arial" w:hAnsi="Arial" w:cs="Arial"/>
          <w:sz w:val="20"/>
          <w:szCs w:val="20"/>
        </w:rPr>
        <w:t xml:space="preserve"> Evropskega parlamenta in Sveta z dne 18. decembra 2019 o spremembi </w:t>
      </w:r>
      <w:r w:rsidR="005A782A" w:rsidRPr="004319E8">
        <w:rPr>
          <w:rFonts w:ascii="Arial" w:eastAsia="Arial" w:hAnsi="Arial" w:cs="Arial"/>
          <w:color w:val="0000EE"/>
          <w:sz w:val="20"/>
          <w:szCs w:val="20"/>
          <w:u w:val="single" w:color="0000EE"/>
        </w:rPr>
        <w:t>Direktive 2009/138/ES</w:t>
      </w:r>
      <w:r w:rsidRPr="004319E8">
        <w:rPr>
          <w:rFonts w:ascii="Arial" w:eastAsia="Arial" w:hAnsi="Arial" w:cs="Arial"/>
          <w:sz w:val="20"/>
          <w:szCs w:val="20"/>
        </w:rPr>
        <w:t xml:space="preserve"> o začetku opravljanja in opravljanju dejavnosti zavarovanja in pozavarovanja (Solventnost II), </w:t>
      </w:r>
      <w:r w:rsidR="005A782A"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xml:space="preserve"> o trgih finančnih instrumentov in </w:t>
      </w:r>
      <w:r w:rsidR="005A782A" w:rsidRPr="004319E8">
        <w:rPr>
          <w:rFonts w:ascii="Arial" w:eastAsia="Arial" w:hAnsi="Arial" w:cs="Arial"/>
          <w:color w:val="0000EE"/>
          <w:sz w:val="20"/>
          <w:szCs w:val="20"/>
          <w:u w:val="single" w:color="0000EE"/>
        </w:rPr>
        <w:t>Direktive (EU) 2015/849</w:t>
      </w:r>
      <w:r w:rsidRPr="004319E8">
        <w:rPr>
          <w:rFonts w:ascii="Arial" w:eastAsia="Arial" w:hAnsi="Arial" w:cs="Arial"/>
          <w:sz w:val="20"/>
          <w:szCs w:val="20"/>
        </w:rPr>
        <w:t xml:space="preserve"> o preprečevanju uporabe finančnega sistema za pranje denarja ali financiranje terorizma (UL L št. 334 z dne 27. 12. 2019, str. 155; v nadaljnjem besedilu: </w:t>
      </w:r>
      <w:r w:rsidR="005A782A" w:rsidRPr="004319E8">
        <w:rPr>
          <w:rFonts w:ascii="Arial" w:eastAsia="Arial" w:hAnsi="Arial" w:cs="Arial"/>
          <w:color w:val="0000EE"/>
          <w:sz w:val="20"/>
          <w:szCs w:val="20"/>
          <w:u w:val="single" w:color="0000EE"/>
        </w:rPr>
        <w:t>Direktiva 2019/2177/EU</w:t>
      </w:r>
      <w:r w:rsidRPr="004319E8">
        <w:rPr>
          <w:rFonts w:ascii="Arial" w:eastAsia="Arial" w:hAnsi="Arial" w:cs="Arial"/>
          <w:sz w:val="20"/>
          <w:szCs w:val="20"/>
        </w:rPr>
        <w:t xml:space="preserve">), v delu, ki se nanaša na spremembo </w:t>
      </w:r>
      <w:r w:rsidR="005A782A"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14.   </w:t>
      </w:r>
      <w:r w:rsidR="005A782A" w:rsidRPr="004319E8">
        <w:rPr>
          <w:rFonts w:ascii="Arial" w:eastAsia="Arial" w:hAnsi="Arial" w:cs="Arial"/>
          <w:color w:val="0000EE"/>
          <w:sz w:val="20"/>
          <w:szCs w:val="20"/>
          <w:u w:val="single" w:color="0000EE"/>
        </w:rPr>
        <w:t>Direktiva 2020/1504</w:t>
      </w:r>
      <w:r w:rsidRPr="004319E8">
        <w:rPr>
          <w:rFonts w:ascii="Arial" w:eastAsia="Arial" w:hAnsi="Arial" w:cs="Arial"/>
          <w:sz w:val="20"/>
          <w:szCs w:val="20"/>
        </w:rPr>
        <w:t xml:space="preserve"> Evropskega parlamenta in Sveta z dne 7. oktobra 2020 o spremembi </w:t>
      </w:r>
      <w:r w:rsidR="005A782A"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xml:space="preserve"> o trgih finančnih instrumentov (UL L št. 347 z dne 20. 10. 2020, str. 50);</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15.   </w:t>
      </w:r>
      <w:r w:rsidR="005A782A" w:rsidRPr="004319E8">
        <w:rPr>
          <w:rFonts w:ascii="Arial" w:eastAsia="Arial" w:hAnsi="Arial" w:cs="Arial"/>
          <w:color w:val="0000EE"/>
          <w:sz w:val="20"/>
          <w:szCs w:val="20"/>
          <w:u w:val="single" w:color="0000EE"/>
        </w:rPr>
        <w:t>Direktiva 2021/338</w:t>
      </w:r>
      <w:r w:rsidRPr="004319E8">
        <w:rPr>
          <w:rFonts w:ascii="Arial" w:eastAsia="Arial" w:hAnsi="Arial" w:cs="Arial"/>
          <w:sz w:val="20"/>
          <w:szCs w:val="20"/>
        </w:rPr>
        <w:t xml:space="preserve"> Evropskega parlamenta in Sveta z dne 16. februarja 2021 o spremembi </w:t>
      </w:r>
      <w:r w:rsidR="005A782A"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xml:space="preserve"> glede zahtev po informacijah, upravljanja produktov in omejitev pozicij ter </w:t>
      </w:r>
      <w:r w:rsidR="005A782A" w:rsidRPr="004319E8">
        <w:rPr>
          <w:rFonts w:ascii="Arial" w:eastAsia="Arial" w:hAnsi="Arial" w:cs="Arial"/>
          <w:color w:val="0000EE"/>
          <w:sz w:val="20"/>
          <w:szCs w:val="20"/>
          <w:u w:val="single" w:color="0000EE"/>
        </w:rPr>
        <w:t>direktiv 2013/36/EU</w:t>
      </w:r>
      <w:r w:rsidRPr="004319E8">
        <w:rPr>
          <w:rFonts w:ascii="Arial" w:eastAsia="Arial" w:hAnsi="Arial" w:cs="Arial"/>
          <w:sz w:val="20"/>
          <w:szCs w:val="20"/>
        </w:rPr>
        <w:t xml:space="preserve"> in </w:t>
      </w:r>
      <w:r w:rsidR="005A782A" w:rsidRPr="004319E8">
        <w:rPr>
          <w:rFonts w:ascii="Arial" w:eastAsia="Arial" w:hAnsi="Arial" w:cs="Arial"/>
          <w:color w:val="0000EE"/>
          <w:sz w:val="20"/>
          <w:szCs w:val="20"/>
          <w:u w:val="single" w:color="0000EE"/>
        </w:rPr>
        <w:t>(EU) 2019/878</w:t>
      </w:r>
      <w:r w:rsidRPr="004319E8">
        <w:rPr>
          <w:rFonts w:ascii="Arial" w:eastAsia="Arial" w:hAnsi="Arial" w:cs="Arial"/>
          <w:sz w:val="20"/>
          <w:szCs w:val="20"/>
        </w:rPr>
        <w:t xml:space="preserve"> glede njihove uporabe v zvezi z investicijskimi podjetji, za podporo okrevanju po pandemiji COVID-19 (UL L št. 68 z dne 26. 2. 2021, str. 14);</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16. </w:t>
      </w:r>
      <w:r w:rsidR="005A782A" w:rsidRPr="004319E8">
        <w:rPr>
          <w:rFonts w:ascii="Arial" w:eastAsia="Arial" w:hAnsi="Arial" w:cs="Arial"/>
          <w:color w:val="0000EE"/>
          <w:sz w:val="20"/>
          <w:szCs w:val="20"/>
          <w:u w:val="single" w:color="0000EE"/>
        </w:rPr>
        <w:t>Direktiva (EU) 2022/2464/EU</w:t>
      </w:r>
      <w:r w:rsidRPr="004319E8">
        <w:rPr>
          <w:rFonts w:ascii="Arial" w:eastAsia="Arial" w:hAnsi="Arial" w:cs="Arial"/>
          <w:sz w:val="20"/>
          <w:szCs w:val="20"/>
        </w:rPr>
        <w:t xml:space="preserve"> Evropskega parlamenta in Sveta z dne 14. decembra 2022 o spremembi </w:t>
      </w:r>
      <w:r w:rsidR="005A782A" w:rsidRPr="004319E8">
        <w:rPr>
          <w:rFonts w:ascii="Arial" w:eastAsia="Arial" w:hAnsi="Arial" w:cs="Arial"/>
          <w:color w:val="0000EE"/>
          <w:sz w:val="20"/>
          <w:szCs w:val="20"/>
          <w:u w:val="single" w:color="0000EE"/>
        </w:rPr>
        <w:t>Uredbe (EU) št. 537/2014</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Direktive 2004/109/ES</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Direktive 2006/43/ES</w:t>
      </w:r>
      <w:r w:rsidRPr="004319E8">
        <w:rPr>
          <w:rFonts w:ascii="Arial" w:eastAsia="Arial" w:hAnsi="Arial" w:cs="Arial"/>
          <w:sz w:val="20"/>
          <w:szCs w:val="20"/>
        </w:rPr>
        <w:t xml:space="preserve"> in </w:t>
      </w:r>
      <w:r w:rsidR="005A782A" w:rsidRPr="004319E8">
        <w:rPr>
          <w:rFonts w:ascii="Arial" w:eastAsia="Arial" w:hAnsi="Arial" w:cs="Arial"/>
          <w:color w:val="0000EE"/>
          <w:sz w:val="20"/>
          <w:szCs w:val="20"/>
          <w:u w:val="single" w:color="0000EE"/>
        </w:rPr>
        <w:t>Direktive 2013/34/EU</w:t>
      </w:r>
      <w:r w:rsidRPr="004319E8">
        <w:rPr>
          <w:rFonts w:ascii="Arial" w:eastAsia="Arial" w:hAnsi="Arial" w:cs="Arial"/>
          <w:sz w:val="20"/>
          <w:szCs w:val="20"/>
        </w:rPr>
        <w:t xml:space="preserve"> glede poročanja podjetij o trajnostnosti (UL L št. 322 z dne 16. 12. 2022, str. 15).</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S tem zakonom se podrobneje ureja izvajanje naslednjih uredb EU:</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1.      </w:t>
      </w:r>
      <w:r w:rsidRPr="004319E8">
        <w:rPr>
          <w:rFonts w:ascii="Arial" w:eastAsia="Arial" w:hAnsi="Arial" w:cs="Arial"/>
          <w:b/>
          <w:bCs/>
          <w:sz w:val="20"/>
          <w:szCs w:val="20"/>
        </w:rPr>
        <w:t>(črtana)</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2.      </w:t>
      </w:r>
      <w:r w:rsidR="005A782A" w:rsidRPr="004319E8">
        <w:rPr>
          <w:rFonts w:ascii="Arial" w:eastAsia="Arial" w:hAnsi="Arial" w:cs="Arial"/>
          <w:color w:val="0000EE"/>
          <w:sz w:val="20"/>
          <w:szCs w:val="20"/>
          <w:u w:val="single" w:color="0000EE"/>
        </w:rPr>
        <w:t>Uredbe (EU) št. 575/2013</w:t>
      </w:r>
      <w:r w:rsidRPr="004319E8">
        <w:rPr>
          <w:rFonts w:ascii="Arial" w:eastAsia="Arial" w:hAnsi="Arial" w:cs="Arial"/>
          <w:sz w:val="20"/>
          <w:szCs w:val="20"/>
        </w:rPr>
        <w:t xml:space="preserve"> Evropskega parlamenta in Sveta z dne 26. junija 2013 o bonitetnih zahtevah za kreditne institucije in investicijska podjetja ter o spremembi </w:t>
      </w:r>
      <w:r w:rsidR="005A782A" w:rsidRPr="004319E8">
        <w:rPr>
          <w:rFonts w:ascii="Arial" w:eastAsia="Arial" w:hAnsi="Arial" w:cs="Arial"/>
          <w:color w:val="0000EE"/>
          <w:sz w:val="20"/>
          <w:szCs w:val="20"/>
          <w:u w:val="single" w:color="0000EE"/>
        </w:rPr>
        <w:t>Uredbe (EU) št. 648/2012</w:t>
      </w:r>
      <w:r w:rsidRPr="004319E8">
        <w:rPr>
          <w:rFonts w:ascii="Arial" w:eastAsia="Arial" w:hAnsi="Arial" w:cs="Arial"/>
          <w:sz w:val="20"/>
          <w:szCs w:val="20"/>
        </w:rPr>
        <w:t xml:space="preserve"> (UL L št. 176 z dne 27. 6. 2013, str. 1), zadnjič spremenjena z </w:t>
      </w:r>
      <w:r w:rsidR="005A782A" w:rsidRPr="004319E8">
        <w:rPr>
          <w:rFonts w:ascii="Arial" w:eastAsia="Arial" w:hAnsi="Arial" w:cs="Arial"/>
          <w:color w:val="0000EE"/>
          <w:sz w:val="20"/>
          <w:szCs w:val="20"/>
          <w:u w:val="single" w:color="0000EE"/>
        </w:rPr>
        <w:t>Uredbo (EU) 2019/630</w:t>
      </w:r>
      <w:r w:rsidRPr="004319E8">
        <w:rPr>
          <w:rFonts w:ascii="Arial" w:eastAsia="Arial" w:hAnsi="Arial" w:cs="Arial"/>
          <w:sz w:val="20"/>
          <w:szCs w:val="20"/>
        </w:rPr>
        <w:t xml:space="preserve"> Evropskega parlamenta in Sveta z dne 17. aprila 2019 o spremembi </w:t>
      </w:r>
      <w:r w:rsidR="005A782A" w:rsidRPr="004319E8">
        <w:rPr>
          <w:rFonts w:ascii="Arial" w:eastAsia="Arial" w:hAnsi="Arial" w:cs="Arial"/>
          <w:color w:val="0000EE"/>
          <w:sz w:val="20"/>
          <w:szCs w:val="20"/>
          <w:u w:val="single" w:color="0000EE"/>
        </w:rPr>
        <w:t>Uredbe (EU) št. 575/2013</w:t>
      </w:r>
      <w:r w:rsidRPr="004319E8">
        <w:rPr>
          <w:rFonts w:ascii="Arial" w:eastAsia="Arial" w:hAnsi="Arial" w:cs="Arial"/>
          <w:sz w:val="20"/>
          <w:szCs w:val="20"/>
        </w:rPr>
        <w:t xml:space="preserve"> glede minimalnega kritja izgub za nedonosne izpostavljenosti (UL L št. 111 z dne 25. 4. 2019, str. 4), (v nadaljnjem besedilu: </w:t>
      </w:r>
      <w:r w:rsidR="005A782A" w:rsidRPr="004319E8">
        <w:rPr>
          <w:rFonts w:ascii="Arial" w:eastAsia="Arial" w:hAnsi="Arial" w:cs="Arial"/>
          <w:color w:val="0000EE"/>
          <w:sz w:val="20"/>
          <w:szCs w:val="20"/>
          <w:u w:val="single" w:color="0000EE"/>
        </w:rPr>
        <w:t>Uredba 575/2013/EU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3.      </w:t>
      </w:r>
      <w:r w:rsidR="005A782A" w:rsidRPr="004319E8">
        <w:rPr>
          <w:rFonts w:ascii="Arial" w:eastAsia="Arial" w:hAnsi="Arial" w:cs="Arial"/>
          <w:color w:val="0000EE"/>
          <w:sz w:val="20"/>
          <w:szCs w:val="20"/>
          <w:u w:val="single" w:color="0000EE"/>
        </w:rPr>
        <w:t>Uredbe (EU) št. 596/2014</w:t>
      </w:r>
      <w:r w:rsidRPr="004319E8">
        <w:rPr>
          <w:rFonts w:ascii="Arial" w:eastAsia="Arial" w:hAnsi="Arial" w:cs="Arial"/>
          <w:sz w:val="20"/>
          <w:szCs w:val="20"/>
        </w:rPr>
        <w:t xml:space="preserve"> Evropskega parlamenta in Sveta z dne 16. aprila 2014 o zlorabi trga (uredba o zlorabi trga) ter razveljavitvi </w:t>
      </w:r>
      <w:r w:rsidR="005A782A" w:rsidRPr="004319E8">
        <w:rPr>
          <w:rFonts w:ascii="Arial" w:eastAsia="Arial" w:hAnsi="Arial" w:cs="Arial"/>
          <w:color w:val="0000EE"/>
          <w:sz w:val="20"/>
          <w:szCs w:val="20"/>
          <w:u w:val="single" w:color="0000EE"/>
        </w:rPr>
        <w:t>Direktive 2003/6/ES</w:t>
      </w:r>
      <w:r w:rsidRPr="004319E8">
        <w:rPr>
          <w:rFonts w:ascii="Arial" w:eastAsia="Arial" w:hAnsi="Arial" w:cs="Arial"/>
          <w:sz w:val="20"/>
          <w:szCs w:val="20"/>
        </w:rPr>
        <w:t xml:space="preserve"> Evropskega parlamenta in Sveta ter </w:t>
      </w:r>
      <w:r w:rsidR="005A782A" w:rsidRPr="004319E8">
        <w:rPr>
          <w:rFonts w:ascii="Arial" w:eastAsia="Arial" w:hAnsi="Arial" w:cs="Arial"/>
          <w:color w:val="0000EE"/>
          <w:sz w:val="20"/>
          <w:szCs w:val="20"/>
          <w:u w:val="single" w:color="0000EE"/>
        </w:rPr>
        <w:t>direktiv Komisije 2003/124/ES</w:t>
      </w:r>
      <w:r w:rsidRPr="004319E8">
        <w:rPr>
          <w:rFonts w:ascii="Arial" w:eastAsia="Arial" w:hAnsi="Arial" w:cs="Arial"/>
          <w:sz w:val="20"/>
          <w:szCs w:val="20"/>
        </w:rPr>
        <w:t xml:space="preserve">, </w:t>
      </w:r>
      <w:r w:rsidR="005A782A" w:rsidRPr="004319E8">
        <w:rPr>
          <w:rFonts w:ascii="Arial" w:eastAsia="Arial" w:hAnsi="Arial" w:cs="Arial"/>
          <w:color w:val="0000EE"/>
          <w:sz w:val="20"/>
          <w:szCs w:val="20"/>
          <w:u w:val="single" w:color="0000EE"/>
        </w:rPr>
        <w:t>2003/125/ES</w:t>
      </w:r>
      <w:r w:rsidRPr="004319E8">
        <w:rPr>
          <w:rFonts w:ascii="Arial" w:eastAsia="Arial" w:hAnsi="Arial" w:cs="Arial"/>
          <w:sz w:val="20"/>
          <w:szCs w:val="20"/>
        </w:rPr>
        <w:t xml:space="preserve"> in </w:t>
      </w:r>
      <w:r w:rsidR="005A782A" w:rsidRPr="004319E8">
        <w:rPr>
          <w:rFonts w:ascii="Arial" w:eastAsia="Arial" w:hAnsi="Arial" w:cs="Arial"/>
          <w:color w:val="0000EE"/>
          <w:sz w:val="20"/>
          <w:szCs w:val="20"/>
          <w:u w:val="single" w:color="0000EE"/>
        </w:rPr>
        <w:t>2004/72/ES</w:t>
      </w:r>
      <w:r w:rsidRPr="004319E8">
        <w:rPr>
          <w:rFonts w:ascii="Arial" w:eastAsia="Arial" w:hAnsi="Arial" w:cs="Arial"/>
          <w:sz w:val="20"/>
          <w:szCs w:val="20"/>
        </w:rPr>
        <w:t xml:space="preserve"> (UL L št. 173 z dne </w:t>
      </w:r>
      <w:r w:rsidRPr="004319E8">
        <w:rPr>
          <w:rFonts w:ascii="Arial" w:eastAsia="Arial" w:hAnsi="Arial" w:cs="Arial"/>
          <w:sz w:val="20"/>
          <w:szCs w:val="20"/>
        </w:rPr>
        <w:lastRenderedPageBreak/>
        <w:t xml:space="preserve">16. 4. 2014, str. 1), zadnjič spremenjena z </w:t>
      </w:r>
      <w:r w:rsidR="005A782A" w:rsidRPr="004319E8">
        <w:rPr>
          <w:rFonts w:ascii="Arial" w:eastAsia="Arial" w:hAnsi="Arial" w:cs="Arial"/>
          <w:color w:val="0000EE"/>
          <w:sz w:val="20"/>
          <w:szCs w:val="20"/>
          <w:u w:val="single" w:color="0000EE"/>
        </w:rPr>
        <w:t>Uredbo (EU) 2016/1033</w:t>
      </w:r>
      <w:r w:rsidRPr="004319E8">
        <w:rPr>
          <w:rFonts w:ascii="Arial" w:eastAsia="Arial" w:hAnsi="Arial" w:cs="Arial"/>
          <w:sz w:val="20"/>
          <w:szCs w:val="20"/>
        </w:rPr>
        <w:t xml:space="preserve"> Evropskega parlamenta in Sveta z dne 23. junija 2016 o spremembi </w:t>
      </w:r>
      <w:r w:rsidR="005A782A" w:rsidRPr="004319E8">
        <w:rPr>
          <w:rFonts w:ascii="Arial" w:eastAsia="Arial" w:hAnsi="Arial" w:cs="Arial"/>
          <w:color w:val="0000EE"/>
          <w:sz w:val="20"/>
          <w:szCs w:val="20"/>
          <w:u w:val="single" w:color="0000EE"/>
        </w:rPr>
        <w:t>Uredbe (EU) št. 600/2014</w:t>
      </w:r>
      <w:r w:rsidRPr="004319E8">
        <w:rPr>
          <w:rFonts w:ascii="Arial" w:eastAsia="Arial" w:hAnsi="Arial" w:cs="Arial"/>
          <w:sz w:val="20"/>
          <w:szCs w:val="20"/>
        </w:rPr>
        <w:t xml:space="preserve"> o trgih finančnih instrumentov, </w:t>
      </w:r>
      <w:r w:rsidR="005A782A" w:rsidRPr="004319E8">
        <w:rPr>
          <w:rFonts w:ascii="Arial" w:eastAsia="Arial" w:hAnsi="Arial" w:cs="Arial"/>
          <w:color w:val="0000EE"/>
          <w:sz w:val="20"/>
          <w:szCs w:val="20"/>
          <w:u w:val="single" w:color="0000EE"/>
        </w:rPr>
        <w:t>Uredbe (EU) št. 596/2014</w:t>
      </w:r>
      <w:r w:rsidRPr="004319E8">
        <w:rPr>
          <w:rFonts w:ascii="Arial" w:eastAsia="Arial" w:hAnsi="Arial" w:cs="Arial"/>
          <w:sz w:val="20"/>
          <w:szCs w:val="20"/>
        </w:rPr>
        <w:t xml:space="preserve"> o zlorabi trga in </w:t>
      </w:r>
      <w:r w:rsidR="005A782A" w:rsidRPr="004319E8">
        <w:rPr>
          <w:rFonts w:ascii="Arial" w:eastAsia="Arial" w:hAnsi="Arial" w:cs="Arial"/>
          <w:color w:val="0000EE"/>
          <w:sz w:val="20"/>
          <w:szCs w:val="20"/>
          <w:u w:val="single" w:color="0000EE"/>
        </w:rPr>
        <w:t>Uredbe (EU) št. 909/2014</w:t>
      </w:r>
      <w:r w:rsidRPr="004319E8">
        <w:rPr>
          <w:rFonts w:ascii="Arial" w:eastAsia="Arial" w:hAnsi="Arial" w:cs="Arial"/>
          <w:sz w:val="20"/>
          <w:szCs w:val="20"/>
        </w:rPr>
        <w:t xml:space="preserve"> o izboljšanju ureditve poravnav vrednostnih papirjev v Evropski uniji in o centralnih depotnih družbah (UL L št. 175 z dne 30. 6. 2016, str. 1), (v nadaljnjem besedilu: </w:t>
      </w:r>
      <w:r w:rsidR="005A782A" w:rsidRPr="004319E8">
        <w:rPr>
          <w:rFonts w:ascii="Arial" w:eastAsia="Arial" w:hAnsi="Arial" w:cs="Arial"/>
          <w:color w:val="0000EE"/>
          <w:sz w:val="20"/>
          <w:szCs w:val="20"/>
          <w:u w:val="single" w:color="0000EE"/>
        </w:rPr>
        <w:t>Uredba 596/2014/EU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4.      </w:t>
      </w:r>
      <w:r w:rsidR="005A782A" w:rsidRPr="004319E8">
        <w:rPr>
          <w:rFonts w:ascii="Arial" w:eastAsia="Arial" w:hAnsi="Arial" w:cs="Arial"/>
          <w:color w:val="0000EE"/>
          <w:sz w:val="20"/>
          <w:szCs w:val="20"/>
          <w:u w:val="single" w:color="0000EE"/>
        </w:rPr>
        <w:t>Uredbe (EU) št. 600/2014</w:t>
      </w:r>
      <w:r w:rsidRPr="004319E8">
        <w:rPr>
          <w:rFonts w:ascii="Arial" w:eastAsia="Arial" w:hAnsi="Arial" w:cs="Arial"/>
          <w:sz w:val="20"/>
          <w:szCs w:val="20"/>
        </w:rPr>
        <w:t xml:space="preserve"> Evropskega parlamenta in Sveta z dne 15. maja 2014 o trgih finančnih instrumentov ter spremembi </w:t>
      </w:r>
      <w:r w:rsidR="005A782A" w:rsidRPr="004319E8">
        <w:rPr>
          <w:rFonts w:ascii="Arial" w:eastAsia="Arial" w:hAnsi="Arial" w:cs="Arial"/>
          <w:color w:val="0000EE"/>
          <w:sz w:val="20"/>
          <w:szCs w:val="20"/>
          <w:u w:val="single" w:color="0000EE"/>
        </w:rPr>
        <w:t>Uredbe (EU) št. 648/2012</w:t>
      </w:r>
      <w:r w:rsidRPr="004319E8">
        <w:rPr>
          <w:rFonts w:ascii="Arial" w:eastAsia="Arial" w:hAnsi="Arial" w:cs="Arial"/>
          <w:sz w:val="20"/>
          <w:szCs w:val="20"/>
        </w:rPr>
        <w:t xml:space="preserve"> (UL L št. 173 z dne 12. 6. 2014, str. 84), zadnjič spremenjena z </w:t>
      </w:r>
      <w:r w:rsidR="005A782A" w:rsidRPr="004319E8">
        <w:rPr>
          <w:rFonts w:ascii="Arial" w:eastAsia="Arial" w:hAnsi="Arial" w:cs="Arial"/>
          <w:color w:val="0000EE"/>
          <w:sz w:val="20"/>
          <w:szCs w:val="20"/>
          <w:u w:val="single" w:color="0000EE"/>
        </w:rPr>
        <w:t>Delegirano uredbo Komisije (EU) 2017/2417</w:t>
      </w:r>
      <w:r w:rsidRPr="004319E8">
        <w:rPr>
          <w:rFonts w:ascii="Arial" w:eastAsia="Arial" w:hAnsi="Arial" w:cs="Arial"/>
          <w:sz w:val="20"/>
          <w:szCs w:val="20"/>
        </w:rPr>
        <w:t xml:space="preserve"> z dne 17. novembra 2017 o dopolnitvi </w:t>
      </w:r>
      <w:r w:rsidR="005A782A" w:rsidRPr="004319E8">
        <w:rPr>
          <w:rFonts w:ascii="Arial" w:eastAsia="Arial" w:hAnsi="Arial" w:cs="Arial"/>
          <w:color w:val="0000EE"/>
          <w:sz w:val="20"/>
          <w:szCs w:val="20"/>
          <w:u w:val="single" w:color="0000EE"/>
        </w:rPr>
        <w:t>Uredbe (EU) št. 600/2014</w:t>
      </w:r>
      <w:r w:rsidRPr="004319E8">
        <w:rPr>
          <w:rFonts w:ascii="Arial" w:eastAsia="Arial" w:hAnsi="Arial" w:cs="Arial"/>
          <w:sz w:val="20"/>
          <w:szCs w:val="20"/>
        </w:rPr>
        <w:t xml:space="preserve"> Evropskega parlamenta in Sveta o trgih finančnih instrumentov v zvezi z regulativnimi tehničnimi standardi o obveznosti trgovanja za določene izvedene finančne instrumente (UL L št. 343 z dne 22. 12. 2017, str. 48), (v nadaljnjem besedilu: </w:t>
      </w:r>
      <w:r w:rsidR="005A782A" w:rsidRPr="004319E8">
        <w:rPr>
          <w:rFonts w:ascii="Arial" w:eastAsia="Arial" w:hAnsi="Arial" w:cs="Arial"/>
          <w:color w:val="0000EE"/>
          <w:sz w:val="20"/>
          <w:szCs w:val="20"/>
          <w:u w:val="single" w:color="0000EE"/>
        </w:rPr>
        <w:t>Uredba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5.      </w:t>
      </w:r>
      <w:r w:rsidR="005A782A" w:rsidRPr="004319E8">
        <w:rPr>
          <w:rFonts w:ascii="Arial" w:eastAsia="Arial" w:hAnsi="Arial" w:cs="Arial"/>
          <w:color w:val="0000EE"/>
          <w:sz w:val="20"/>
          <w:szCs w:val="20"/>
          <w:u w:val="single" w:color="0000EE"/>
        </w:rPr>
        <w:t>Uredbe (EU) št. 909/2014</w:t>
      </w:r>
      <w:r w:rsidRPr="004319E8">
        <w:rPr>
          <w:rFonts w:ascii="Arial" w:eastAsia="Arial" w:hAnsi="Arial" w:cs="Arial"/>
          <w:sz w:val="20"/>
          <w:szCs w:val="20"/>
        </w:rPr>
        <w:t xml:space="preserve"> Evropskega parlamenta in Sveta z dne 23. julija 2014 o izboljšanju ureditve poravnav vrednostnih papirjev v Evropski uniji in o centralnih depotnih družbah ter o spremembi </w:t>
      </w:r>
      <w:r w:rsidR="005A782A" w:rsidRPr="004319E8">
        <w:rPr>
          <w:rFonts w:ascii="Arial" w:eastAsia="Arial" w:hAnsi="Arial" w:cs="Arial"/>
          <w:color w:val="0000EE"/>
          <w:sz w:val="20"/>
          <w:szCs w:val="20"/>
          <w:u w:val="single" w:color="0000EE"/>
        </w:rPr>
        <w:t>direktiv 98/26/ES</w:t>
      </w:r>
      <w:r w:rsidRPr="004319E8">
        <w:rPr>
          <w:rFonts w:ascii="Arial" w:eastAsia="Arial" w:hAnsi="Arial" w:cs="Arial"/>
          <w:sz w:val="20"/>
          <w:szCs w:val="20"/>
        </w:rPr>
        <w:t xml:space="preserve"> in </w:t>
      </w:r>
      <w:r w:rsidR="005A782A" w:rsidRPr="004319E8">
        <w:rPr>
          <w:rFonts w:ascii="Arial" w:eastAsia="Arial" w:hAnsi="Arial" w:cs="Arial"/>
          <w:color w:val="0000EE"/>
          <w:sz w:val="20"/>
          <w:szCs w:val="20"/>
          <w:u w:val="single" w:color="0000EE"/>
        </w:rPr>
        <w:t>2014/65/EU</w:t>
      </w:r>
      <w:r w:rsidRPr="004319E8">
        <w:rPr>
          <w:rFonts w:ascii="Arial" w:eastAsia="Arial" w:hAnsi="Arial" w:cs="Arial"/>
          <w:sz w:val="20"/>
          <w:szCs w:val="20"/>
        </w:rPr>
        <w:t xml:space="preserve"> ter </w:t>
      </w:r>
      <w:r w:rsidR="005A782A" w:rsidRPr="004319E8">
        <w:rPr>
          <w:rFonts w:ascii="Arial" w:eastAsia="Arial" w:hAnsi="Arial" w:cs="Arial"/>
          <w:color w:val="0000EE"/>
          <w:sz w:val="20"/>
          <w:szCs w:val="20"/>
          <w:u w:val="single" w:color="0000EE"/>
        </w:rPr>
        <w:t>Uredbe (EU) št. 236/2012</w:t>
      </w:r>
      <w:r w:rsidRPr="004319E8">
        <w:rPr>
          <w:rFonts w:ascii="Arial" w:eastAsia="Arial" w:hAnsi="Arial" w:cs="Arial"/>
          <w:sz w:val="20"/>
          <w:szCs w:val="20"/>
        </w:rPr>
        <w:t xml:space="preserve"> (UL L št. 257 z dne 28. 8. 2014, str. 1), zadnjič spremenjene z Uredbo EU) 2023/2845 Evropskega parlamenta in Sveta z dne 13. decembra 2023 o spremembi </w:t>
      </w:r>
      <w:r w:rsidR="005A782A" w:rsidRPr="004319E8">
        <w:rPr>
          <w:rFonts w:ascii="Arial" w:eastAsia="Arial" w:hAnsi="Arial" w:cs="Arial"/>
          <w:color w:val="0000EE"/>
          <w:sz w:val="20"/>
          <w:szCs w:val="20"/>
          <w:u w:val="single" w:color="0000EE"/>
        </w:rPr>
        <w:t>Uredbe (EU) št. 909/2014</w:t>
      </w:r>
      <w:r w:rsidRPr="004319E8">
        <w:rPr>
          <w:rFonts w:ascii="Arial" w:eastAsia="Arial" w:hAnsi="Arial" w:cs="Arial"/>
          <w:sz w:val="20"/>
          <w:szCs w:val="20"/>
        </w:rPr>
        <w:t xml:space="preserve"> glede discipline pri poravnavi, čezmejnega opravljanja storitev, sodelovanja pri nadzoru, zagotavljanja pomožnih bančnih storitev in zahtev za centralne depotne družbe tretjih držav ter spremembi </w:t>
      </w:r>
      <w:r w:rsidR="005A782A" w:rsidRPr="004319E8">
        <w:rPr>
          <w:rFonts w:ascii="Arial" w:eastAsia="Arial" w:hAnsi="Arial" w:cs="Arial"/>
          <w:color w:val="0000EE"/>
          <w:sz w:val="20"/>
          <w:szCs w:val="20"/>
          <w:u w:val="single" w:color="0000EE"/>
        </w:rPr>
        <w:t>Uredbe (EU) št. 236/2012</w:t>
      </w:r>
      <w:r w:rsidRPr="004319E8">
        <w:rPr>
          <w:rFonts w:ascii="Arial" w:eastAsia="Arial" w:hAnsi="Arial" w:cs="Arial"/>
          <w:sz w:val="20"/>
          <w:szCs w:val="20"/>
        </w:rPr>
        <w:t xml:space="preserve"> (UL L št. 2023/2845 z dne 27. 12. 2023), (v nadaljnjem besedilu: </w:t>
      </w:r>
      <w:r w:rsidR="005A782A" w:rsidRPr="004319E8">
        <w:rPr>
          <w:rFonts w:ascii="Arial" w:eastAsia="Arial" w:hAnsi="Arial" w:cs="Arial"/>
          <w:color w:val="0000EE"/>
          <w:sz w:val="20"/>
          <w:szCs w:val="20"/>
          <w:u w:val="single" w:color="0000EE"/>
        </w:rPr>
        <w:t>Uredba 909/2014/EU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6.      </w:t>
      </w:r>
      <w:r w:rsidR="005A782A" w:rsidRPr="004319E8">
        <w:rPr>
          <w:rFonts w:ascii="Arial" w:eastAsia="Arial" w:hAnsi="Arial" w:cs="Arial"/>
          <w:color w:val="0000EE"/>
          <w:sz w:val="20"/>
          <w:szCs w:val="20"/>
          <w:u w:val="single" w:color="0000EE"/>
        </w:rPr>
        <w:t>Uredbe (EU) 2016/1011</w:t>
      </w:r>
      <w:r w:rsidRPr="004319E8">
        <w:rPr>
          <w:rFonts w:ascii="Arial" w:eastAsia="Arial" w:hAnsi="Arial" w:cs="Arial"/>
          <w:sz w:val="20"/>
          <w:szCs w:val="20"/>
        </w:rPr>
        <w:t xml:space="preserve"> Evropskega parlamenta in Sveta z dne 8. junija 2016 o indeksih, ki se uporabljajo kot referenčne vrednosti v finančnih instrumentih in finančnih pogodbah ali za merjenje uspešnosti investicijskih skladov, in spremembi </w:t>
      </w:r>
      <w:r w:rsidR="005A782A" w:rsidRPr="004319E8">
        <w:rPr>
          <w:rFonts w:ascii="Arial" w:eastAsia="Arial" w:hAnsi="Arial" w:cs="Arial"/>
          <w:color w:val="0000EE"/>
          <w:sz w:val="20"/>
          <w:szCs w:val="20"/>
          <w:u w:val="single" w:color="0000EE"/>
        </w:rPr>
        <w:t>direktiv 2008/48/ES</w:t>
      </w:r>
      <w:r w:rsidRPr="004319E8">
        <w:rPr>
          <w:rFonts w:ascii="Arial" w:eastAsia="Arial" w:hAnsi="Arial" w:cs="Arial"/>
          <w:sz w:val="20"/>
          <w:szCs w:val="20"/>
        </w:rPr>
        <w:t xml:space="preserve"> in </w:t>
      </w:r>
      <w:r w:rsidR="005A782A" w:rsidRPr="004319E8">
        <w:rPr>
          <w:rFonts w:ascii="Arial" w:eastAsia="Arial" w:hAnsi="Arial" w:cs="Arial"/>
          <w:color w:val="0000EE"/>
          <w:sz w:val="20"/>
          <w:szCs w:val="20"/>
          <w:u w:val="single" w:color="0000EE"/>
        </w:rPr>
        <w:t>2014/17/EU</w:t>
      </w:r>
      <w:r w:rsidRPr="004319E8">
        <w:rPr>
          <w:rFonts w:ascii="Arial" w:eastAsia="Arial" w:hAnsi="Arial" w:cs="Arial"/>
          <w:sz w:val="20"/>
          <w:szCs w:val="20"/>
        </w:rPr>
        <w:t xml:space="preserve"> ter </w:t>
      </w:r>
      <w:r w:rsidR="005A782A" w:rsidRPr="004319E8">
        <w:rPr>
          <w:rFonts w:ascii="Arial" w:eastAsia="Arial" w:hAnsi="Arial" w:cs="Arial"/>
          <w:color w:val="0000EE"/>
          <w:sz w:val="20"/>
          <w:szCs w:val="20"/>
          <w:u w:val="single" w:color="0000EE"/>
        </w:rPr>
        <w:t>Uredbe (EU) št. 596/2014</w:t>
      </w:r>
      <w:r w:rsidRPr="004319E8">
        <w:rPr>
          <w:rFonts w:ascii="Arial" w:eastAsia="Arial" w:hAnsi="Arial" w:cs="Arial"/>
          <w:sz w:val="20"/>
          <w:szCs w:val="20"/>
        </w:rPr>
        <w:t xml:space="preserve"> (UL L št. 171 z dne 29. 6. 2016, str. 1), zadnjič spremenjena z </w:t>
      </w:r>
      <w:r w:rsidR="005A782A" w:rsidRPr="004319E8">
        <w:rPr>
          <w:rFonts w:ascii="Arial" w:eastAsia="Arial" w:hAnsi="Arial" w:cs="Arial"/>
          <w:color w:val="0000EE"/>
          <w:sz w:val="20"/>
          <w:szCs w:val="20"/>
          <w:u w:val="single" w:color="0000EE"/>
        </w:rPr>
        <w:t>Delegirano uredbo Komisije (EU) 2018/1646</w:t>
      </w:r>
      <w:r w:rsidRPr="004319E8">
        <w:rPr>
          <w:rFonts w:ascii="Arial" w:eastAsia="Arial" w:hAnsi="Arial" w:cs="Arial"/>
          <w:sz w:val="20"/>
          <w:szCs w:val="20"/>
        </w:rPr>
        <w:t xml:space="preserve"> z dne 13. julija 2018 o dopolnitvi </w:t>
      </w:r>
      <w:r w:rsidR="005A782A" w:rsidRPr="004319E8">
        <w:rPr>
          <w:rFonts w:ascii="Arial" w:eastAsia="Arial" w:hAnsi="Arial" w:cs="Arial"/>
          <w:color w:val="0000EE"/>
          <w:sz w:val="20"/>
          <w:szCs w:val="20"/>
          <w:u w:val="single" w:color="0000EE"/>
        </w:rPr>
        <w:t>Uredbe (EU) 2016/1011</w:t>
      </w:r>
      <w:r w:rsidRPr="004319E8">
        <w:rPr>
          <w:rFonts w:ascii="Arial" w:eastAsia="Arial" w:hAnsi="Arial" w:cs="Arial"/>
          <w:sz w:val="20"/>
          <w:szCs w:val="20"/>
        </w:rPr>
        <w:t xml:space="preserve"> Evropskega parlamenta in Sveta v zvezi z regulativnimi tehničnimi standardi za informacije, ki se navedejo v vlogi za dovoljenje in v vlogi za registracijo (UL L št. 274 z dne 5. 11. 2018, str. 4), (v nadaljnjem besedilu: </w:t>
      </w:r>
      <w:r w:rsidR="005A782A" w:rsidRPr="004319E8">
        <w:rPr>
          <w:rFonts w:ascii="Arial" w:eastAsia="Arial" w:hAnsi="Arial" w:cs="Arial"/>
          <w:color w:val="0000EE"/>
          <w:sz w:val="20"/>
          <w:szCs w:val="20"/>
          <w:u w:val="single" w:color="0000EE"/>
        </w:rPr>
        <w:t>Uredba 2016/1011/EU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7.      </w:t>
      </w:r>
      <w:r w:rsidR="005A782A" w:rsidRPr="004319E8">
        <w:rPr>
          <w:rFonts w:ascii="Arial" w:eastAsia="Arial" w:hAnsi="Arial" w:cs="Arial"/>
          <w:color w:val="0000EE"/>
          <w:sz w:val="20"/>
          <w:szCs w:val="20"/>
          <w:u w:val="single" w:color="0000EE"/>
        </w:rPr>
        <w:t>Uredbe (EU) 2017/1129</w:t>
      </w:r>
      <w:r w:rsidRPr="004319E8">
        <w:rPr>
          <w:rFonts w:ascii="Arial" w:eastAsia="Arial" w:hAnsi="Arial" w:cs="Arial"/>
          <w:sz w:val="20"/>
          <w:szCs w:val="20"/>
        </w:rPr>
        <w:t xml:space="preserve"> Evropskega parlamenta in Sveta z dne 14. junija 2017 o prospektu, ki se objavi ob ponudbi vrednostnih papirjev javnosti ali njihovi uvrstitvi v trgovanje na reguliranem trgu, in razveljavitvi </w:t>
      </w:r>
      <w:r w:rsidR="005A782A" w:rsidRPr="004319E8">
        <w:rPr>
          <w:rFonts w:ascii="Arial" w:eastAsia="Arial" w:hAnsi="Arial" w:cs="Arial"/>
          <w:color w:val="0000EE"/>
          <w:sz w:val="20"/>
          <w:szCs w:val="20"/>
          <w:u w:val="single" w:color="0000EE"/>
        </w:rPr>
        <w:t>Direktive 2003/71/ES</w:t>
      </w:r>
      <w:r w:rsidRPr="004319E8">
        <w:rPr>
          <w:rFonts w:ascii="Arial" w:eastAsia="Arial" w:hAnsi="Arial" w:cs="Arial"/>
          <w:sz w:val="20"/>
          <w:szCs w:val="20"/>
        </w:rPr>
        <w:t xml:space="preserve"> (UL L št. 168 z dne 30. 6. 2017, str. 12; v nadaljnjem besedilu: </w:t>
      </w:r>
      <w:r w:rsidR="005A782A" w:rsidRPr="004319E8">
        <w:rPr>
          <w:rFonts w:ascii="Arial" w:eastAsia="Arial" w:hAnsi="Arial" w:cs="Arial"/>
          <w:color w:val="0000EE"/>
          <w:sz w:val="20"/>
          <w:szCs w:val="20"/>
          <w:u w:val="single" w:color="0000EE"/>
        </w:rPr>
        <w:t>Uredba 2017/1129/EU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8. </w:t>
      </w:r>
      <w:r w:rsidR="005A782A" w:rsidRPr="004319E8">
        <w:rPr>
          <w:rFonts w:ascii="Arial" w:eastAsia="Arial" w:hAnsi="Arial" w:cs="Arial"/>
          <w:color w:val="0000EE"/>
          <w:sz w:val="20"/>
          <w:szCs w:val="20"/>
          <w:u w:val="single" w:color="0000EE"/>
        </w:rPr>
        <w:t>Uredbe (EU) št. 2020/852</w:t>
      </w:r>
      <w:r w:rsidRPr="004319E8">
        <w:rPr>
          <w:rFonts w:ascii="Arial" w:eastAsia="Arial" w:hAnsi="Arial" w:cs="Arial"/>
          <w:sz w:val="20"/>
          <w:szCs w:val="20"/>
        </w:rPr>
        <w:t xml:space="preserve"> Evropskega parlamenta in Sveta z dne 18. junija 2020 o vzpostavitvi okvira za spodbujanje trajnostnih naložb ter spremembi </w:t>
      </w:r>
      <w:r w:rsidR="005A782A" w:rsidRPr="004319E8">
        <w:rPr>
          <w:rFonts w:ascii="Arial" w:eastAsia="Arial" w:hAnsi="Arial" w:cs="Arial"/>
          <w:color w:val="0000EE"/>
          <w:sz w:val="20"/>
          <w:szCs w:val="20"/>
          <w:u w:val="single" w:color="0000EE"/>
        </w:rPr>
        <w:t>Uredbe (EU) 2019/2088</w:t>
      </w:r>
      <w:r w:rsidRPr="004319E8">
        <w:rPr>
          <w:rFonts w:ascii="Arial" w:eastAsia="Arial" w:hAnsi="Arial" w:cs="Arial"/>
          <w:sz w:val="20"/>
          <w:szCs w:val="20"/>
        </w:rPr>
        <w:t xml:space="preserve"> (UL L št. 198 z dne 22. 6. 2020, str. 13), zadnjič spremenjene z </w:t>
      </w:r>
      <w:r w:rsidR="005A782A" w:rsidRPr="004319E8">
        <w:rPr>
          <w:rFonts w:ascii="Arial" w:eastAsia="Arial" w:hAnsi="Arial" w:cs="Arial"/>
          <w:color w:val="0000EE"/>
          <w:sz w:val="20"/>
          <w:szCs w:val="20"/>
          <w:u w:val="single" w:color="0000EE"/>
        </w:rPr>
        <w:t>Delegirano uredbo Komisije (EU) 2023/2486</w:t>
      </w:r>
      <w:r w:rsidRPr="004319E8">
        <w:rPr>
          <w:rFonts w:ascii="Arial" w:eastAsia="Arial" w:hAnsi="Arial" w:cs="Arial"/>
          <w:sz w:val="20"/>
          <w:szCs w:val="20"/>
        </w:rPr>
        <w:t xml:space="preserve"> z dne 27. junija 2023 o dopolnitvi </w:t>
      </w:r>
      <w:r w:rsidR="005A782A" w:rsidRPr="004319E8">
        <w:rPr>
          <w:rFonts w:ascii="Arial" w:eastAsia="Arial" w:hAnsi="Arial" w:cs="Arial"/>
          <w:color w:val="0000EE"/>
          <w:sz w:val="20"/>
          <w:szCs w:val="20"/>
          <w:u w:val="single" w:color="0000EE"/>
        </w:rPr>
        <w:t>Uredbe (EU) 2020/852</w:t>
      </w:r>
      <w:r w:rsidRPr="004319E8">
        <w:rPr>
          <w:rFonts w:ascii="Arial" w:eastAsia="Arial" w:hAnsi="Arial" w:cs="Arial"/>
          <w:sz w:val="20"/>
          <w:szCs w:val="20"/>
        </w:rPr>
        <w:t xml:space="preserve"> Evropskega parlamenta in Sveta z določitvijo tehničnih meril za pregled za določitev pogojev, pod katerimi se šteje, da gospodarska dejavnost bistveno prispeva k trajnostni rabi ter varstvu vodnih in morskih virov, prehodu na krožno gospodarstvo, preprečevanju in nadzorovanju onesnaževanja ali varstvu in obnovi biotske raznovrstnosti in ekosistemov, in za ugotavljanje, ali ta gospodarska dejavnost ne škoduje bistveno kateremu od drugih okoljskih ciljev, ter o spremembi </w:t>
      </w:r>
      <w:r w:rsidR="005A782A" w:rsidRPr="004319E8">
        <w:rPr>
          <w:rFonts w:ascii="Arial" w:eastAsia="Arial" w:hAnsi="Arial" w:cs="Arial"/>
          <w:color w:val="0000EE"/>
          <w:sz w:val="20"/>
          <w:szCs w:val="20"/>
          <w:u w:val="single" w:color="0000EE"/>
        </w:rPr>
        <w:t>Delegirane uredbe Komisije (EU) 2021/2178</w:t>
      </w:r>
      <w:r w:rsidRPr="004319E8">
        <w:rPr>
          <w:rFonts w:ascii="Arial" w:eastAsia="Arial" w:hAnsi="Arial" w:cs="Arial"/>
          <w:sz w:val="20"/>
          <w:szCs w:val="20"/>
        </w:rPr>
        <w:t xml:space="preserve"> glede posebnih javnih razkritij za te gospodarske dejavnosti (UL L št. 2023/2486 z dne 21. 11. 2023), (v nadaljnjem besedilu: </w:t>
      </w:r>
      <w:r w:rsidR="005A782A" w:rsidRPr="004319E8">
        <w:rPr>
          <w:rFonts w:ascii="Arial" w:eastAsia="Arial" w:hAnsi="Arial" w:cs="Arial"/>
          <w:color w:val="0000EE"/>
          <w:sz w:val="20"/>
          <w:szCs w:val="20"/>
          <w:u w:val="single" w:color="0000EE"/>
        </w:rPr>
        <w:t>Uredba 2020/852/EU</w:t>
      </w:r>
      <w:r w:rsidRPr="004319E8">
        <w:rPr>
          <w:rFonts w:ascii="Arial" w:eastAsia="Arial" w:hAnsi="Arial" w:cs="Arial"/>
          <w:sz w:val="20"/>
          <w:szCs w:val="20"/>
        </w:rPr>
        <w:t>).</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4.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(kratice drugih zakonov in predpisov EU)</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(1) V tem zakonu so uporabljene naslednje kratice drugih zakonov: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ZBan-3 je zakon, ki ureja bančništvo,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ZFK je zakon, ki ureja finančne konglomerate,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ZGD-1 je zakon, ki ureja gospodarske družbe,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ZISDU-3 je zakon, ki ureja investicijske sklade in družbe za upravljanje,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      ZIN je zakon, ki ureja inšpekcijski nadzor,</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6.      ZPre-1 je zakon, ki ureja prevzeme,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7.      ZUP je zakon, ki ureja splošni upravni postopek,</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8.      ZUS-1 je zakon, ki ureja upravni spor,</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9.      ZUAIS je zakon, ki ureja upravljavce alternativnih investicijskih skladov,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10.   ZSJV je zakon, ki ureja sistem jamstva za vloge,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11.   ZFPPIPP je zakon, ki ureja finančno poslovanje, postopke zaradi insolventnosti in prisilno prenehanje,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12.   ZVO-1 je zakon, ki ureja varstvo okolja,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13.   EZ-1 je zakon, ki ureja energetiko,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14.   ZPPDFT-1 je zakon, ki ureja preprečevanje pranja denarja in financiranje terorizma,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15.   ZBNIP je zakon, ki ureja bonitetni nadzor investicijskih podjetij.</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V tem zakonu so za predpise EU, poleg skrajšanih naslovov, navedenih v 2. členu tega zakona, uporabljeni še naslednji naslovi: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1.      </w:t>
      </w:r>
      <w:r w:rsidR="00E76D53" w:rsidRPr="004319E8">
        <w:rPr>
          <w:rFonts w:ascii="Arial" w:eastAsia="Arial" w:hAnsi="Arial" w:cs="Arial"/>
          <w:color w:val="0000EE"/>
          <w:sz w:val="20"/>
          <w:szCs w:val="20"/>
          <w:u w:val="single" w:color="0000EE"/>
        </w:rPr>
        <w:t>Direktiva 94/19/ES</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Direktiva 94/19/ES</w:t>
      </w:r>
      <w:r w:rsidRPr="004319E8">
        <w:rPr>
          <w:rFonts w:ascii="Arial" w:eastAsia="Arial" w:hAnsi="Arial" w:cs="Arial"/>
          <w:sz w:val="20"/>
          <w:szCs w:val="20"/>
        </w:rPr>
        <w:t xml:space="preserve"> Evropskega parlamenta in Sveta z dne 30. maja 1994 o sistemih zajamčenih vlog (UL L št. 135 z dne 31. 5. 1994, str. 5), zadnjič spremenjena z </w:t>
      </w:r>
      <w:r w:rsidR="00E76D53" w:rsidRPr="004319E8">
        <w:rPr>
          <w:rFonts w:ascii="Arial" w:eastAsia="Arial" w:hAnsi="Arial" w:cs="Arial"/>
          <w:color w:val="0000EE"/>
          <w:sz w:val="20"/>
          <w:szCs w:val="20"/>
          <w:u w:val="single" w:color="0000EE"/>
        </w:rPr>
        <w:t>Direktivo 2014/49/EU</w:t>
      </w:r>
      <w:r w:rsidRPr="004319E8">
        <w:rPr>
          <w:rFonts w:ascii="Arial" w:eastAsia="Arial" w:hAnsi="Arial" w:cs="Arial"/>
          <w:sz w:val="20"/>
          <w:szCs w:val="20"/>
        </w:rPr>
        <w:t xml:space="preserve"> Evropskega parlamenta in Sveta z dne 16. aprila 2014 o sistemih jamstva za vloge (UL L št. 173 z dne 12. 6. 2014, str. 149),</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2.      </w:t>
      </w:r>
      <w:r w:rsidR="00E76D53" w:rsidRPr="004319E8">
        <w:rPr>
          <w:rFonts w:ascii="Arial" w:eastAsia="Arial" w:hAnsi="Arial" w:cs="Arial"/>
          <w:color w:val="0000EE"/>
          <w:sz w:val="20"/>
          <w:szCs w:val="20"/>
          <w:u w:val="single" w:color="0000EE"/>
        </w:rPr>
        <w:t>Uredba 1606/2002/ES</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Uredba (ES) št. 1606/2002/ES</w:t>
      </w:r>
      <w:r w:rsidRPr="004319E8">
        <w:rPr>
          <w:rFonts w:ascii="Arial" w:eastAsia="Arial" w:hAnsi="Arial" w:cs="Arial"/>
          <w:sz w:val="20"/>
          <w:szCs w:val="20"/>
        </w:rPr>
        <w:t xml:space="preserve"> Evropskega parlamenta in Sveta z dne 19. julija 2002 o uporabi mednarodnih računovodskih standardov (UL L št. 243 z dne 11. 9. 2002, str. 1), zadnjič spremenjena z </w:t>
      </w:r>
      <w:r w:rsidR="00E76D53" w:rsidRPr="004319E8">
        <w:rPr>
          <w:rFonts w:ascii="Arial" w:eastAsia="Arial" w:hAnsi="Arial" w:cs="Arial"/>
          <w:color w:val="0000EE"/>
          <w:sz w:val="20"/>
          <w:szCs w:val="20"/>
          <w:u w:val="single" w:color="0000EE"/>
        </w:rPr>
        <w:t>Uredbo (ES) št. 297/2008</w:t>
      </w:r>
      <w:r w:rsidRPr="004319E8">
        <w:rPr>
          <w:rFonts w:ascii="Arial" w:eastAsia="Arial" w:hAnsi="Arial" w:cs="Arial"/>
          <w:sz w:val="20"/>
          <w:szCs w:val="20"/>
        </w:rPr>
        <w:t xml:space="preserve"> Evropskega parlamenta in Sveta z dne 11. marca 2008 o spremembah </w:t>
      </w:r>
      <w:r w:rsidR="00E76D53" w:rsidRPr="004319E8">
        <w:rPr>
          <w:rFonts w:ascii="Arial" w:eastAsia="Arial" w:hAnsi="Arial" w:cs="Arial"/>
          <w:color w:val="0000EE"/>
          <w:sz w:val="20"/>
          <w:szCs w:val="20"/>
          <w:u w:val="single" w:color="0000EE"/>
        </w:rPr>
        <w:t>Uredbe (ES) št. 1606/2002</w:t>
      </w:r>
      <w:r w:rsidRPr="004319E8">
        <w:rPr>
          <w:rFonts w:ascii="Arial" w:eastAsia="Arial" w:hAnsi="Arial" w:cs="Arial"/>
          <w:sz w:val="20"/>
          <w:szCs w:val="20"/>
        </w:rPr>
        <w:t xml:space="preserve"> o uporabi mednarodnih računovodskih standardov, glede Komisiji podeljenih izvedbenih pooblastil (UL L št. 97 z dne 9. 4. 2008, str. 62),</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3.      </w:t>
      </w:r>
      <w:r w:rsidR="00E76D53" w:rsidRPr="004319E8">
        <w:rPr>
          <w:rFonts w:ascii="Arial" w:eastAsia="Arial" w:hAnsi="Arial" w:cs="Arial"/>
          <w:color w:val="0000EE"/>
          <w:sz w:val="20"/>
          <w:szCs w:val="20"/>
          <w:u w:val="single" w:color="0000EE"/>
        </w:rPr>
        <w:t>Direktiva 2001/24/ES</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Direktiva 2001/24/ES</w:t>
      </w:r>
      <w:r w:rsidRPr="004319E8">
        <w:rPr>
          <w:rFonts w:ascii="Arial" w:eastAsia="Arial" w:hAnsi="Arial" w:cs="Arial"/>
          <w:sz w:val="20"/>
          <w:szCs w:val="20"/>
        </w:rPr>
        <w:t xml:space="preserve"> Evropskega parlamenta in Sveta z dne 4. aprila 2001 o reorganizaciji in prenehanju kreditnih institucij (UL L št. 125 z dne 5. 5. 2001, str. 15), zadnjič spremenjena z </w:t>
      </w:r>
      <w:r w:rsidR="00E76D53" w:rsidRPr="004319E8">
        <w:rPr>
          <w:rFonts w:ascii="Arial" w:eastAsia="Arial" w:hAnsi="Arial" w:cs="Arial"/>
          <w:color w:val="0000EE"/>
          <w:sz w:val="20"/>
          <w:szCs w:val="20"/>
          <w:u w:val="single" w:color="0000EE"/>
        </w:rPr>
        <w:t>Direktivo 2014/59/EU</w:t>
      </w:r>
      <w:r w:rsidRPr="004319E8">
        <w:rPr>
          <w:rFonts w:ascii="Arial" w:eastAsia="Arial" w:hAnsi="Arial" w:cs="Arial"/>
          <w:sz w:val="20"/>
          <w:szCs w:val="20"/>
        </w:rPr>
        <w:t xml:space="preserve"> Evropskega parlamenta in Sveta z dne 15. maja 2014 o vzpostavitvi okvira za sanacijo ter reševanje kreditnih institucij in investicijskih podjetij ter o spremembi Šeste </w:t>
      </w:r>
      <w:r w:rsidR="00E76D53" w:rsidRPr="004319E8">
        <w:rPr>
          <w:rFonts w:ascii="Arial" w:eastAsia="Arial" w:hAnsi="Arial" w:cs="Arial"/>
          <w:color w:val="0000EE"/>
          <w:sz w:val="20"/>
          <w:szCs w:val="20"/>
          <w:u w:val="single" w:color="0000EE"/>
        </w:rPr>
        <w:t>direktive Sveta 82/891/EGS</w:t>
      </w:r>
      <w:r w:rsidRPr="004319E8">
        <w:rPr>
          <w:rFonts w:ascii="Arial" w:eastAsia="Arial" w:hAnsi="Arial" w:cs="Arial"/>
          <w:sz w:val="20"/>
          <w:szCs w:val="20"/>
        </w:rPr>
        <w:t xml:space="preserve"> ter </w:t>
      </w:r>
      <w:r w:rsidR="00E76D53" w:rsidRPr="004319E8">
        <w:rPr>
          <w:rFonts w:ascii="Arial" w:eastAsia="Arial" w:hAnsi="Arial" w:cs="Arial"/>
          <w:color w:val="0000EE"/>
          <w:sz w:val="20"/>
          <w:szCs w:val="20"/>
          <w:u w:val="single" w:color="0000EE"/>
        </w:rPr>
        <w:t>direktiv 2001/24/ES</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2002/47/ES</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2004/25/ES</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2005/56/ES</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2007/36/ES</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2011/35/EU</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2012/30/EU</w:t>
      </w:r>
      <w:r w:rsidRPr="004319E8">
        <w:rPr>
          <w:rFonts w:ascii="Arial" w:eastAsia="Arial" w:hAnsi="Arial" w:cs="Arial"/>
          <w:sz w:val="20"/>
          <w:szCs w:val="20"/>
        </w:rPr>
        <w:t xml:space="preserve"> in </w:t>
      </w:r>
      <w:r w:rsidR="00E76D53" w:rsidRPr="004319E8">
        <w:rPr>
          <w:rFonts w:ascii="Arial" w:eastAsia="Arial" w:hAnsi="Arial" w:cs="Arial"/>
          <w:color w:val="0000EE"/>
          <w:sz w:val="20"/>
          <w:szCs w:val="20"/>
          <w:u w:val="single" w:color="0000EE"/>
        </w:rPr>
        <w:t>2013/36/EU</w:t>
      </w:r>
      <w:r w:rsidRPr="004319E8">
        <w:rPr>
          <w:rFonts w:ascii="Arial" w:eastAsia="Arial" w:hAnsi="Arial" w:cs="Arial"/>
          <w:sz w:val="20"/>
          <w:szCs w:val="20"/>
        </w:rPr>
        <w:t xml:space="preserve"> in </w:t>
      </w:r>
      <w:r w:rsidR="00E76D53" w:rsidRPr="004319E8">
        <w:rPr>
          <w:rFonts w:ascii="Arial" w:eastAsia="Arial" w:hAnsi="Arial" w:cs="Arial"/>
          <w:color w:val="0000EE"/>
          <w:sz w:val="20"/>
          <w:szCs w:val="20"/>
          <w:u w:val="single" w:color="0000EE"/>
        </w:rPr>
        <w:t>uredb (EU) št. 1093/2010</w:t>
      </w:r>
      <w:r w:rsidRPr="004319E8">
        <w:rPr>
          <w:rFonts w:ascii="Arial" w:eastAsia="Arial" w:hAnsi="Arial" w:cs="Arial"/>
          <w:sz w:val="20"/>
          <w:szCs w:val="20"/>
        </w:rPr>
        <w:t xml:space="preserve"> ter </w:t>
      </w:r>
      <w:r w:rsidR="00E76D53" w:rsidRPr="004319E8">
        <w:rPr>
          <w:rFonts w:ascii="Arial" w:eastAsia="Arial" w:hAnsi="Arial" w:cs="Arial"/>
          <w:color w:val="0000EE"/>
          <w:sz w:val="20"/>
          <w:szCs w:val="20"/>
          <w:u w:val="single" w:color="0000EE"/>
        </w:rPr>
        <w:t>(EU) št. 648/2012</w:t>
      </w:r>
      <w:r w:rsidRPr="004319E8">
        <w:rPr>
          <w:rFonts w:ascii="Arial" w:eastAsia="Arial" w:hAnsi="Arial" w:cs="Arial"/>
          <w:sz w:val="20"/>
          <w:szCs w:val="20"/>
        </w:rPr>
        <w:t xml:space="preserve"> Evropskega parlamenta in Sveta (UL L št. 173 z dne 12. 6. 2014, str. 190),</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4.      </w:t>
      </w:r>
      <w:r w:rsidR="00E76D53" w:rsidRPr="004319E8">
        <w:rPr>
          <w:rFonts w:ascii="Arial" w:eastAsia="Arial" w:hAnsi="Arial" w:cs="Arial"/>
          <w:color w:val="0000EE"/>
          <w:sz w:val="20"/>
          <w:szCs w:val="20"/>
          <w:u w:val="single" w:color="0000EE"/>
        </w:rPr>
        <w:t>Direktiva 2003/87/ES</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Direktiva 2003/87/ES</w:t>
      </w:r>
      <w:r w:rsidRPr="004319E8">
        <w:rPr>
          <w:rFonts w:ascii="Arial" w:eastAsia="Arial" w:hAnsi="Arial" w:cs="Arial"/>
          <w:sz w:val="20"/>
          <w:szCs w:val="20"/>
        </w:rPr>
        <w:t xml:space="preserve"> Evropskega parlamenta in Sveta z dne 13. oktobra 2003 o vzpostavitvi sistema za trgovanje s pravicami do emisije toplogrednih </w:t>
      </w:r>
      <w:r w:rsidRPr="004319E8">
        <w:rPr>
          <w:rFonts w:ascii="Arial" w:eastAsia="Arial" w:hAnsi="Arial" w:cs="Arial"/>
          <w:sz w:val="20"/>
          <w:szCs w:val="20"/>
        </w:rPr>
        <w:lastRenderedPageBreak/>
        <w:t xml:space="preserve">plinov v Skupnosti in o spremembi </w:t>
      </w:r>
      <w:r w:rsidR="00E76D53" w:rsidRPr="004319E8">
        <w:rPr>
          <w:rFonts w:ascii="Arial" w:eastAsia="Arial" w:hAnsi="Arial" w:cs="Arial"/>
          <w:color w:val="0000EE"/>
          <w:sz w:val="20"/>
          <w:szCs w:val="20"/>
          <w:u w:val="single" w:color="0000EE"/>
        </w:rPr>
        <w:t>Direktive Sveta 96/61/ES</w:t>
      </w:r>
      <w:r w:rsidRPr="004319E8">
        <w:rPr>
          <w:rFonts w:ascii="Arial" w:eastAsia="Arial" w:hAnsi="Arial" w:cs="Arial"/>
          <w:sz w:val="20"/>
          <w:szCs w:val="20"/>
        </w:rPr>
        <w:t xml:space="preserve"> (UL L št. 275, z dne 25. 10. 2003, str. 32), zadnjič spremenjena z </w:t>
      </w:r>
      <w:r w:rsidR="00E76D53" w:rsidRPr="004319E8">
        <w:rPr>
          <w:rFonts w:ascii="Arial" w:eastAsia="Arial" w:hAnsi="Arial" w:cs="Arial"/>
          <w:color w:val="0000EE"/>
          <w:sz w:val="20"/>
          <w:szCs w:val="20"/>
          <w:u w:val="single" w:color="0000EE"/>
        </w:rPr>
        <w:t>Delegiranim sklepom Komisije (EU) 2019/708</w:t>
      </w:r>
      <w:r w:rsidRPr="004319E8">
        <w:rPr>
          <w:rFonts w:ascii="Arial" w:eastAsia="Arial" w:hAnsi="Arial" w:cs="Arial"/>
          <w:sz w:val="20"/>
          <w:szCs w:val="20"/>
        </w:rPr>
        <w:t xml:space="preserve"> z dne 15. februarja 2019 o dopolnitvi </w:t>
      </w:r>
      <w:r w:rsidR="00E76D53" w:rsidRPr="004319E8">
        <w:rPr>
          <w:rFonts w:ascii="Arial" w:eastAsia="Arial" w:hAnsi="Arial" w:cs="Arial"/>
          <w:color w:val="0000EE"/>
          <w:sz w:val="20"/>
          <w:szCs w:val="20"/>
          <w:u w:val="single" w:color="0000EE"/>
        </w:rPr>
        <w:t>Direktive 2003/87/ES</w:t>
      </w:r>
      <w:r w:rsidRPr="004319E8">
        <w:rPr>
          <w:rFonts w:ascii="Arial" w:eastAsia="Arial" w:hAnsi="Arial" w:cs="Arial"/>
          <w:sz w:val="20"/>
          <w:szCs w:val="20"/>
        </w:rPr>
        <w:t xml:space="preserve"> Evropskega parlamenta in Sveta v zvezi z določitvijo sektorjev in delov sektorjev, ki veljajo za izpostavljene tveganju premestitve emisij CO2, za obdobje med letoma 2021 in 2030 (UL L št. 120 z dne 8. 5. 2019, str. 20),</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5.      </w:t>
      </w:r>
      <w:r w:rsidR="00E76D53" w:rsidRPr="004319E8">
        <w:rPr>
          <w:rFonts w:ascii="Arial" w:eastAsia="Arial" w:hAnsi="Arial" w:cs="Arial"/>
          <w:color w:val="0000EE"/>
          <w:sz w:val="20"/>
          <w:szCs w:val="20"/>
          <w:u w:val="single" w:color="0000EE"/>
        </w:rPr>
        <w:t>Uredba 714/2009/ES</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Uredba (ES) št. 714/2009</w:t>
      </w:r>
      <w:r w:rsidRPr="004319E8">
        <w:rPr>
          <w:rFonts w:ascii="Arial" w:eastAsia="Arial" w:hAnsi="Arial" w:cs="Arial"/>
          <w:sz w:val="20"/>
          <w:szCs w:val="20"/>
        </w:rPr>
        <w:t xml:space="preserve"> Evropskega parlamenta in Sveta z dne 13. julija 2009 o pogojih za dostop do omrežja za čezmejne izmenjave električne energije in razveljavitvi </w:t>
      </w:r>
      <w:r w:rsidR="00E76D53" w:rsidRPr="004319E8">
        <w:rPr>
          <w:rFonts w:ascii="Arial" w:eastAsia="Arial" w:hAnsi="Arial" w:cs="Arial"/>
          <w:color w:val="0000EE"/>
          <w:sz w:val="20"/>
          <w:szCs w:val="20"/>
          <w:u w:val="single" w:color="0000EE"/>
        </w:rPr>
        <w:t>Uredbe (ES) št. 1228/2003</w:t>
      </w:r>
      <w:r w:rsidRPr="004319E8">
        <w:rPr>
          <w:rFonts w:ascii="Arial" w:eastAsia="Arial" w:hAnsi="Arial" w:cs="Arial"/>
          <w:sz w:val="20"/>
          <w:szCs w:val="20"/>
        </w:rPr>
        <w:t xml:space="preserve"> (UL L št. 211 z dne 14. 8. 2009, str. 15), zadnjič spremenjena z </w:t>
      </w:r>
      <w:r w:rsidR="00E76D53" w:rsidRPr="004319E8">
        <w:rPr>
          <w:rFonts w:ascii="Arial" w:eastAsia="Arial" w:hAnsi="Arial" w:cs="Arial"/>
          <w:color w:val="0000EE"/>
          <w:sz w:val="20"/>
          <w:szCs w:val="20"/>
          <w:u w:val="single" w:color="0000EE"/>
        </w:rPr>
        <w:t>Uredbo Komisije (EU) št. 543/2013</w:t>
      </w:r>
      <w:r w:rsidRPr="004319E8">
        <w:rPr>
          <w:rFonts w:ascii="Arial" w:eastAsia="Arial" w:hAnsi="Arial" w:cs="Arial"/>
          <w:sz w:val="20"/>
          <w:szCs w:val="20"/>
        </w:rPr>
        <w:t xml:space="preserve"> z dne 14. junija 2013 (UL L št. 163 z dne 15. 6. 2013, str. 1),</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6.      </w:t>
      </w:r>
      <w:r w:rsidR="00E76D53" w:rsidRPr="004319E8">
        <w:rPr>
          <w:rFonts w:ascii="Arial" w:eastAsia="Arial" w:hAnsi="Arial" w:cs="Arial"/>
          <w:color w:val="0000EE"/>
          <w:sz w:val="20"/>
          <w:szCs w:val="20"/>
          <w:u w:val="single" w:color="0000EE"/>
        </w:rPr>
        <w:t>Uredba 715/2009/ES</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Uredba (ES) št. 715/2009</w:t>
      </w:r>
      <w:r w:rsidRPr="004319E8">
        <w:rPr>
          <w:rFonts w:ascii="Arial" w:eastAsia="Arial" w:hAnsi="Arial" w:cs="Arial"/>
          <w:sz w:val="20"/>
          <w:szCs w:val="20"/>
        </w:rPr>
        <w:t xml:space="preserve"> Evropskega parlamenta in Sveta z dne 13. julija 2009 o pogojih za dostop do prenosnih omrežij zemeljskega plina in razveljavitvi </w:t>
      </w:r>
      <w:r w:rsidR="00E76D53" w:rsidRPr="004319E8">
        <w:rPr>
          <w:rFonts w:ascii="Arial" w:eastAsia="Arial" w:hAnsi="Arial" w:cs="Arial"/>
          <w:color w:val="0000EE"/>
          <w:sz w:val="20"/>
          <w:szCs w:val="20"/>
          <w:u w:val="single" w:color="0000EE"/>
        </w:rPr>
        <w:t>Uredbe (ES) št. 1775/2005</w:t>
      </w:r>
      <w:r w:rsidRPr="004319E8">
        <w:rPr>
          <w:rFonts w:ascii="Arial" w:eastAsia="Arial" w:hAnsi="Arial" w:cs="Arial"/>
          <w:sz w:val="20"/>
          <w:szCs w:val="20"/>
        </w:rPr>
        <w:t xml:space="preserve"> (UL L št. 211 z dne 14. 8. 2009, str. 36), zadnjič spremenjena z </w:t>
      </w:r>
      <w:r w:rsidR="00E76D53" w:rsidRPr="004319E8">
        <w:rPr>
          <w:rFonts w:ascii="Arial" w:eastAsia="Arial" w:hAnsi="Arial" w:cs="Arial"/>
          <w:color w:val="0000EE"/>
          <w:sz w:val="20"/>
          <w:szCs w:val="20"/>
          <w:u w:val="single" w:color="0000EE"/>
        </w:rPr>
        <w:t>Uredbo (EU) 2018/1999</w:t>
      </w:r>
      <w:r w:rsidRPr="004319E8">
        <w:rPr>
          <w:rFonts w:ascii="Arial" w:eastAsia="Arial" w:hAnsi="Arial" w:cs="Arial"/>
          <w:sz w:val="20"/>
          <w:szCs w:val="20"/>
        </w:rPr>
        <w:t xml:space="preserve"> Evropskega parlamenta in Sveta z dne 11. decembra 2018 o upravljanju energetske unije in podnebnih ukrepov, spremembi </w:t>
      </w:r>
      <w:r w:rsidR="00E76D53" w:rsidRPr="004319E8">
        <w:rPr>
          <w:rFonts w:ascii="Arial" w:eastAsia="Arial" w:hAnsi="Arial" w:cs="Arial"/>
          <w:color w:val="0000EE"/>
          <w:sz w:val="20"/>
          <w:szCs w:val="20"/>
          <w:u w:val="single" w:color="0000EE"/>
        </w:rPr>
        <w:t>uredb (ES) št. 663/2009</w:t>
      </w:r>
      <w:r w:rsidRPr="004319E8">
        <w:rPr>
          <w:rFonts w:ascii="Arial" w:eastAsia="Arial" w:hAnsi="Arial" w:cs="Arial"/>
          <w:sz w:val="20"/>
          <w:szCs w:val="20"/>
        </w:rPr>
        <w:t xml:space="preserve"> in </w:t>
      </w:r>
      <w:r w:rsidR="00E76D53" w:rsidRPr="004319E8">
        <w:rPr>
          <w:rFonts w:ascii="Arial" w:eastAsia="Arial" w:hAnsi="Arial" w:cs="Arial"/>
          <w:color w:val="0000EE"/>
          <w:sz w:val="20"/>
          <w:szCs w:val="20"/>
          <w:u w:val="single" w:color="0000EE"/>
        </w:rPr>
        <w:t>(ES) št. 715/2009</w:t>
      </w:r>
      <w:r w:rsidRPr="004319E8">
        <w:rPr>
          <w:rFonts w:ascii="Arial" w:eastAsia="Arial" w:hAnsi="Arial" w:cs="Arial"/>
          <w:sz w:val="20"/>
          <w:szCs w:val="20"/>
        </w:rPr>
        <w:t xml:space="preserve"> Evropskega parlamenta in Sveta, </w:t>
      </w:r>
      <w:r w:rsidR="00E76D53" w:rsidRPr="004319E8">
        <w:rPr>
          <w:rFonts w:ascii="Arial" w:eastAsia="Arial" w:hAnsi="Arial" w:cs="Arial"/>
          <w:color w:val="0000EE"/>
          <w:sz w:val="20"/>
          <w:szCs w:val="20"/>
          <w:u w:val="single" w:color="0000EE"/>
        </w:rPr>
        <w:t>direktiv 94/22/ES</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98/70/ES</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2009/31/ES</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2009/73/ES</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2010/31/EU</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2012/27/EU</w:t>
      </w:r>
      <w:r w:rsidRPr="004319E8">
        <w:rPr>
          <w:rFonts w:ascii="Arial" w:eastAsia="Arial" w:hAnsi="Arial" w:cs="Arial"/>
          <w:sz w:val="20"/>
          <w:szCs w:val="20"/>
        </w:rPr>
        <w:t xml:space="preserve"> in </w:t>
      </w:r>
      <w:r w:rsidR="00E76D53" w:rsidRPr="004319E8">
        <w:rPr>
          <w:rFonts w:ascii="Arial" w:eastAsia="Arial" w:hAnsi="Arial" w:cs="Arial"/>
          <w:color w:val="0000EE"/>
          <w:sz w:val="20"/>
          <w:szCs w:val="20"/>
          <w:u w:val="single" w:color="0000EE"/>
        </w:rPr>
        <w:t>2013/30/EU</w:t>
      </w:r>
      <w:r w:rsidRPr="004319E8">
        <w:rPr>
          <w:rFonts w:ascii="Arial" w:eastAsia="Arial" w:hAnsi="Arial" w:cs="Arial"/>
          <w:sz w:val="20"/>
          <w:szCs w:val="20"/>
        </w:rPr>
        <w:t xml:space="preserve"> Evropskega parlamenta in Sveta, </w:t>
      </w:r>
      <w:r w:rsidR="00E76D53" w:rsidRPr="004319E8">
        <w:rPr>
          <w:rFonts w:ascii="Arial" w:eastAsia="Arial" w:hAnsi="Arial" w:cs="Arial"/>
          <w:color w:val="0000EE"/>
          <w:sz w:val="20"/>
          <w:szCs w:val="20"/>
          <w:u w:val="single" w:color="0000EE"/>
        </w:rPr>
        <w:t>direktiv Sveta 2009/119/ES</w:t>
      </w:r>
      <w:r w:rsidRPr="004319E8">
        <w:rPr>
          <w:rFonts w:ascii="Arial" w:eastAsia="Arial" w:hAnsi="Arial" w:cs="Arial"/>
          <w:sz w:val="20"/>
          <w:szCs w:val="20"/>
        </w:rPr>
        <w:t xml:space="preserve"> in </w:t>
      </w:r>
      <w:r w:rsidR="00E76D53" w:rsidRPr="004319E8">
        <w:rPr>
          <w:rFonts w:ascii="Arial" w:eastAsia="Arial" w:hAnsi="Arial" w:cs="Arial"/>
          <w:color w:val="0000EE"/>
          <w:sz w:val="20"/>
          <w:szCs w:val="20"/>
          <w:u w:val="single" w:color="0000EE"/>
        </w:rPr>
        <w:t>(EU) 2015/652</w:t>
      </w:r>
      <w:r w:rsidRPr="004319E8">
        <w:rPr>
          <w:rFonts w:ascii="Arial" w:eastAsia="Arial" w:hAnsi="Arial" w:cs="Arial"/>
          <w:sz w:val="20"/>
          <w:szCs w:val="20"/>
        </w:rPr>
        <w:t xml:space="preserve"> ter razveljavitvi </w:t>
      </w:r>
      <w:r w:rsidR="00E76D53" w:rsidRPr="004319E8">
        <w:rPr>
          <w:rFonts w:ascii="Arial" w:eastAsia="Arial" w:hAnsi="Arial" w:cs="Arial"/>
          <w:color w:val="0000EE"/>
          <w:sz w:val="20"/>
          <w:szCs w:val="20"/>
          <w:u w:val="single" w:color="0000EE"/>
        </w:rPr>
        <w:t>Uredbe (EU) št. 525/2013</w:t>
      </w:r>
      <w:r w:rsidRPr="004319E8">
        <w:rPr>
          <w:rFonts w:ascii="Arial" w:eastAsia="Arial" w:hAnsi="Arial" w:cs="Arial"/>
          <w:sz w:val="20"/>
          <w:szCs w:val="20"/>
        </w:rPr>
        <w:t xml:space="preserve"> Evropskega parlamenta in Sveta (UL L št. 328, z dne 21. 12. 2018, str. 1),</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7.      </w:t>
      </w:r>
      <w:r w:rsidR="00E76D53" w:rsidRPr="004319E8">
        <w:rPr>
          <w:rFonts w:ascii="Arial" w:eastAsia="Arial" w:hAnsi="Arial" w:cs="Arial"/>
          <w:color w:val="0000EE"/>
          <w:sz w:val="20"/>
          <w:szCs w:val="20"/>
          <w:u w:val="single" w:color="0000EE"/>
        </w:rPr>
        <w:t>Direktiva 2009/65/ES</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Direktiva 2009/65/ES</w:t>
      </w:r>
      <w:r w:rsidRPr="004319E8">
        <w:rPr>
          <w:rFonts w:ascii="Arial" w:eastAsia="Arial" w:hAnsi="Arial" w:cs="Arial"/>
          <w:sz w:val="20"/>
          <w:szCs w:val="20"/>
        </w:rPr>
        <w:t xml:space="preserve"> Evropskega parlamenta in Sveta z dne 13. julija 2009 o usklajevanju zakonov in drugih predpisov o kolektivnih naložbenih podjemih za vlaganja v prenosljive vrednostne papirje (KNPVP) (UL L št. 302 z dne 17. 11. 2009, str. 32), zadnjič spremenjena z </w:t>
      </w:r>
      <w:r w:rsidR="00E76D53" w:rsidRPr="004319E8">
        <w:rPr>
          <w:rFonts w:ascii="Arial" w:eastAsia="Arial" w:hAnsi="Arial" w:cs="Arial"/>
          <w:color w:val="0000EE"/>
          <w:sz w:val="20"/>
          <w:szCs w:val="20"/>
          <w:u w:val="single" w:color="0000EE"/>
        </w:rPr>
        <w:t>Uredbo (EU) 2017/2402</w:t>
      </w:r>
      <w:r w:rsidRPr="004319E8">
        <w:rPr>
          <w:rFonts w:ascii="Arial" w:eastAsia="Arial" w:hAnsi="Arial" w:cs="Arial"/>
          <w:sz w:val="20"/>
          <w:szCs w:val="20"/>
        </w:rPr>
        <w:t xml:space="preserve"> Evropskega parlamenta in Sveta z dne 12. decembra 2017 o določitvi splošnega okvira za listinjenje in o vzpostavitvi posebnega okvira za enostavno, pregledno in standardizirano listinjenje ter o spremembah </w:t>
      </w:r>
      <w:r w:rsidR="00E76D53" w:rsidRPr="004319E8">
        <w:rPr>
          <w:rFonts w:ascii="Arial" w:eastAsia="Arial" w:hAnsi="Arial" w:cs="Arial"/>
          <w:color w:val="0000EE"/>
          <w:sz w:val="20"/>
          <w:szCs w:val="20"/>
          <w:u w:val="single" w:color="0000EE"/>
        </w:rPr>
        <w:t>direktiv 2009/65/ES</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2009/138/ES</w:t>
      </w:r>
      <w:r w:rsidRPr="004319E8">
        <w:rPr>
          <w:rFonts w:ascii="Arial" w:eastAsia="Arial" w:hAnsi="Arial" w:cs="Arial"/>
          <w:sz w:val="20"/>
          <w:szCs w:val="20"/>
        </w:rPr>
        <w:t xml:space="preserve"> in </w:t>
      </w:r>
      <w:r w:rsidR="00E76D53" w:rsidRPr="004319E8">
        <w:rPr>
          <w:rFonts w:ascii="Arial" w:eastAsia="Arial" w:hAnsi="Arial" w:cs="Arial"/>
          <w:color w:val="0000EE"/>
          <w:sz w:val="20"/>
          <w:szCs w:val="20"/>
          <w:u w:val="single" w:color="0000EE"/>
        </w:rPr>
        <w:t>2011/61/EU</w:t>
      </w:r>
      <w:r w:rsidRPr="004319E8">
        <w:rPr>
          <w:rFonts w:ascii="Arial" w:eastAsia="Arial" w:hAnsi="Arial" w:cs="Arial"/>
          <w:sz w:val="20"/>
          <w:szCs w:val="20"/>
        </w:rPr>
        <w:t xml:space="preserve"> ter </w:t>
      </w:r>
      <w:r w:rsidR="00E76D53" w:rsidRPr="004319E8">
        <w:rPr>
          <w:rFonts w:ascii="Arial" w:eastAsia="Arial" w:hAnsi="Arial" w:cs="Arial"/>
          <w:color w:val="0000EE"/>
          <w:sz w:val="20"/>
          <w:szCs w:val="20"/>
          <w:u w:val="single" w:color="0000EE"/>
        </w:rPr>
        <w:t>uredb (ES) št. 1060/2009</w:t>
      </w:r>
      <w:r w:rsidRPr="004319E8">
        <w:rPr>
          <w:rFonts w:ascii="Arial" w:eastAsia="Arial" w:hAnsi="Arial" w:cs="Arial"/>
          <w:sz w:val="20"/>
          <w:szCs w:val="20"/>
        </w:rPr>
        <w:t xml:space="preserve"> in </w:t>
      </w:r>
      <w:r w:rsidR="00E76D53" w:rsidRPr="004319E8">
        <w:rPr>
          <w:rFonts w:ascii="Arial" w:eastAsia="Arial" w:hAnsi="Arial" w:cs="Arial"/>
          <w:color w:val="0000EE"/>
          <w:sz w:val="20"/>
          <w:szCs w:val="20"/>
          <w:u w:val="single" w:color="0000EE"/>
        </w:rPr>
        <w:t>(EU) št. 648/2012</w:t>
      </w:r>
      <w:r w:rsidRPr="004319E8">
        <w:rPr>
          <w:rFonts w:ascii="Arial" w:eastAsia="Arial" w:hAnsi="Arial" w:cs="Arial"/>
          <w:sz w:val="20"/>
          <w:szCs w:val="20"/>
        </w:rPr>
        <w:t xml:space="preserve"> (UL L št. 347 z dne 28. 12. 2017, str. 35),</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8.      </w:t>
      </w:r>
      <w:r w:rsidR="00E76D53" w:rsidRPr="004319E8">
        <w:rPr>
          <w:rFonts w:ascii="Arial" w:eastAsia="Arial" w:hAnsi="Arial" w:cs="Arial"/>
          <w:color w:val="0000EE"/>
          <w:sz w:val="20"/>
          <w:szCs w:val="20"/>
          <w:u w:val="single" w:color="0000EE"/>
        </w:rPr>
        <w:t>Uredba 1031/2010/EU</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Uredba Komisije (EU) št. 1031/2010</w:t>
      </w:r>
      <w:r w:rsidRPr="004319E8">
        <w:rPr>
          <w:rFonts w:ascii="Arial" w:eastAsia="Arial" w:hAnsi="Arial" w:cs="Arial"/>
          <w:sz w:val="20"/>
          <w:szCs w:val="20"/>
        </w:rPr>
        <w:t xml:space="preserve"> z dne 12. novembra 2010 o časovnem načrtu, upravljanju in drugih vidikih dražbe pravic do emisije toplogrednih plinov na podlagi </w:t>
      </w:r>
      <w:r w:rsidR="00E76D53" w:rsidRPr="004319E8">
        <w:rPr>
          <w:rFonts w:ascii="Arial" w:eastAsia="Arial" w:hAnsi="Arial" w:cs="Arial"/>
          <w:color w:val="0000EE"/>
          <w:sz w:val="20"/>
          <w:szCs w:val="20"/>
          <w:u w:val="single" w:color="0000EE"/>
        </w:rPr>
        <w:t>Direktive 2003/87/ES</w:t>
      </w:r>
      <w:r w:rsidRPr="004319E8">
        <w:rPr>
          <w:rFonts w:ascii="Arial" w:eastAsia="Arial" w:hAnsi="Arial" w:cs="Arial"/>
          <w:sz w:val="20"/>
          <w:szCs w:val="20"/>
        </w:rPr>
        <w:t xml:space="preserve"> Evropskega parlamenta in Sveta o vzpostavitvi sistema za trgovanje s pravicami do emisije toplogrednih plinov v Skupnosti (UL L št. 302 z dne 18. 11. 2010, str. 1), zadnjič spremenjena z </w:t>
      </w:r>
      <w:r w:rsidR="00E76D53" w:rsidRPr="004319E8">
        <w:rPr>
          <w:rFonts w:ascii="Arial" w:eastAsia="Arial" w:hAnsi="Arial" w:cs="Arial"/>
          <w:color w:val="0000EE"/>
          <w:sz w:val="20"/>
          <w:szCs w:val="20"/>
          <w:u w:val="single" w:color="0000EE"/>
        </w:rPr>
        <w:t>Delegirano uredbo Komisije (EU) 2019/7</w:t>
      </w:r>
      <w:r w:rsidRPr="004319E8">
        <w:rPr>
          <w:rFonts w:ascii="Arial" w:eastAsia="Arial" w:hAnsi="Arial" w:cs="Arial"/>
          <w:sz w:val="20"/>
          <w:szCs w:val="20"/>
        </w:rPr>
        <w:t xml:space="preserve"> z dne 30. oktobra 2018 o spremembi </w:t>
      </w:r>
      <w:r w:rsidR="00E76D53" w:rsidRPr="004319E8">
        <w:rPr>
          <w:rFonts w:ascii="Arial" w:eastAsia="Arial" w:hAnsi="Arial" w:cs="Arial"/>
          <w:color w:val="0000EE"/>
          <w:sz w:val="20"/>
          <w:szCs w:val="20"/>
          <w:u w:val="single" w:color="0000EE"/>
        </w:rPr>
        <w:t>Uredbe (EU) št. 1031/2010</w:t>
      </w:r>
      <w:r w:rsidRPr="004319E8">
        <w:rPr>
          <w:rFonts w:ascii="Arial" w:eastAsia="Arial" w:hAnsi="Arial" w:cs="Arial"/>
          <w:sz w:val="20"/>
          <w:szCs w:val="20"/>
        </w:rPr>
        <w:t xml:space="preserve"> glede dražbe 50 milijonov nedodeljenih pravic iz rezerve za stabilnost trga za sklad za inovacije in o vključitvi dražbenega sistema, ki ga imenuje Nemčija, v seznam dražbenih sistemov (UL L št. 2 z dne 4. 1. 2019, str. 1),</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9.      </w:t>
      </w:r>
      <w:r w:rsidR="00E76D53" w:rsidRPr="004319E8">
        <w:rPr>
          <w:rFonts w:ascii="Arial" w:eastAsia="Arial" w:hAnsi="Arial" w:cs="Arial"/>
          <w:color w:val="0000EE"/>
          <w:sz w:val="20"/>
          <w:szCs w:val="20"/>
          <w:u w:val="single" w:color="0000EE"/>
        </w:rPr>
        <w:t>Uredba 1092/2010/ES</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Uredba (EU) št. 1092/2010</w:t>
      </w:r>
      <w:r w:rsidRPr="004319E8">
        <w:rPr>
          <w:rFonts w:ascii="Arial" w:eastAsia="Arial" w:hAnsi="Arial" w:cs="Arial"/>
          <w:sz w:val="20"/>
          <w:szCs w:val="20"/>
        </w:rPr>
        <w:t xml:space="preserve"> Evropskega parlamenta in Sveta z dne 24. novembra 2010 o makrobonitetnem nadzoru nad finančnim sistemom Evropske unije in ustanovitvi Evropskega odbora za sistemska tveganja (UL L št. 331 z dne 15. 12. 2010, str. 1),</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10.   </w:t>
      </w:r>
      <w:r w:rsidR="00E76D53" w:rsidRPr="004319E8">
        <w:rPr>
          <w:rFonts w:ascii="Arial" w:eastAsia="Arial" w:hAnsi="Arial" w:cs="Arial"/>
          <w:color w:val="0000EE"/>
          <w:sz w:val="20"/>
          <w:szCs w:val="20"/>
          <w:u w:val="single" w:color="0000EE"/>
        </w:rPr>
        <w:t>Uredba 1095/2010/ES</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Uredba (EU) št. 1095/2010</w:t>
      </w:r>
      <w:r w:rsidRPr="004319E8">
        <w:rPr>
          <w:rFonts w:ascii="Arial" w:eastAsia="Arial" w:hAnsi="Arial" w:cs="Arial"/>
          <w:sz w:val="20"/>
          <w:szCs w:val="20"/>
        </w:rPr>
        <w:t xml:space="preserve"> Evropskega parlamenta in Sveta z dne 24. novembra 2010 o ustanovitvi Evropskega nadzornega organa (Evropski organ za vrednostne papirje in trge) in o spremembi </w:t>
      </w:r>
      <w:r w:rsidR="00E76D53" w:rsidRPr="004319E8">
        <w:rPr>
          <w:rFonts w:ascii="Arial" w:eastAsia="Arial" w:hAnsi="Arial" w:cs="Arial"/>
          <w:color w:val="0000EE"/>
          <w:sz w:val="20"/>
          <w:szCs w:val="20"/>
          <w:u w:val="single" w:color="0000EE"/>
        </w:rPr>
        <w:t>Sklepa št. 716/2009/ES</w:t>
      </w:r>
      <w:r w:rsidRPr="004319E8">
        <w:rPr>
          <w:rFonts w:ascii="Arial" w:eastAsia="Arial" w:hAnsi="Arial" w:cs="Arial"/>
          <w:sz w:val="20"/>
          <w:szCs w:val="20"/>
        </w:rPr>
        <w:t xml:space="preserve"> ter razveljavitvi </w:t>
      </w:r>
      <w:r w:rsidR="00E76D53" w:rsidRPr="004319E8">
        <w:rPr>
          <w:rFonts w:ascii="Arial" w:eastAsia="Arial" w:hAnsi="Arial" w:cs="Arial"/>
          <w:color w:val="0000EE"/>
          <w:sz w:val="20"/>
          <w:szCs w:val="20"/>
          <w:u w:val="single" w:color="0000EE"/>
        </w:rPr>
        <w:t>Sklepa Komisije 2009/77/ES</w:t>
      </w:r>
      <w:r w:rsidRPr="004319E8">
        <w:rPr>
          <w:rFonts w:ascii="Arial" w:eastAsia="Arial" w:hAnsi="Arial" w:cs="Arial"/>
          <w:sz w:val="20"/>
          <w:szCs w:val="20"/>
        </w:rPr>
        <w:t xml:space="preserve"> (UL L št. 331 z dne 15. 12. 2010, str. 84), zadnjič spremenjena za </w:t>
      </w:r>
      <w:r w:rsidR="00E76D53" w:rsidRPr="004319E8">
        <w:rPr>
          <w:rFonts w:ascii="Arial" w:eastAsia="Arial" w:hAnsi="Arial" w:cs="Arial"/>
          <w:color w:val="0000EE"/>
          <w:sz w:val="20"/>
          <w:szCs w:val="20"/>
          <w:u w:val="single" w:color="0000EE"/>
        </w:rPr>
        <w:t>Uredbo (EU) št. 258/2014</w:t>
      </w:r>
      <w:r w:rsidRPr="004319E8">
        <w:rPr>
          <w:rFonts w:ascii="Arial" w:eastAsia="Arial" w:hAnsi="Arial" w:cs="Arial"/>
          <w:sz w:val="20"/>
          <w:szCs w:val="20"/>
        </w:rPr>
        <w:t xml:space="preserve"> Evropskega parlamenta in Sveta z dne 3. aprila 2014 o vzpostavitvi programa Unije za podpiranje posebnih dejavnosti na področju računovodskega poročanja in revizije za obdobje 2014–2020 in o razveljavitvi </w:t>
      </w:r>
      <w:r w:rsidR="00E76D53" w:rsidRPr="004319E8">
        <w:rPr>
          <w:rFonts w:ascii="Arial" w:eastAsia="Arial" w:hAnsi="Arial" w:cs="Arial"/>
          <w:color w:val="0000EE"/>
          <w:sz w:val="20"/>
          <w:szCs w:val="20"/>
          <w:u w:val="single" w:color="0000EE"/>
        </w:rPr>
        <w:t>Sklepa št. 716/2009/ES</w:t>
      </w:r>
      <w:r w:rsidRPr="004319E8">
        <w:rPr>
          <w:rFonts w:ascii="Arial" w:eastAsia="Arial" w:hAnsi="Arial" w:cs="Arial"/>
          <w:sz w:val="20"/>
          <w:szCs w:val="20"/>
        </w:rPr>
        <w:t xml:space="preserve"> (UL L št. 105 z dne 8. 4. 2014, str. 1),</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11.   </w:t>
      </w:r>
      <w:r w:rsidR="00E76D53" w:rsidRPr="004319E8">
        <w:rPr>
          <w:rFonts w:ascii="Arial" w:eastAsia="Arial" w:hAnsi="Arial" w:cs="Arial"/>
          <w:color w:val="0000EE"/>
          <w:sz w:val="20"/>
          <w:szCs w:val="20"/>
          <w:u w:val="single" w:color="0000EE"/>
        </w:rPr>
        <w:t>Uredba 1227/2011/EU</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Uredba (EU) št. 1227/2011</w:t>
      </w:r>
      <w:r w:rsidRPr="004319E8">
        <w:rPr>
          <w:rFonts w:ascii="Arial" w:eastAsia="Arial" w:hAnsi="Arial" w:cs="Arial"/>
          <w:sz w:val="20"/>
          <w:szCs w:val="20"/>
        </w:rPr>
        <w:t xml:space="preserve"> Evropskega parlamenta in Sveta z dne 25. oktobra 2011 o celovitosti in preglednosti veleprodajnega energetskega trga (UL L št. 326 z dne 8. 12. 2011, str. 1),</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 xml:space="preserve">12.   </w:t>
      </w:r>
      <w:r w:rsidR="00E76D53" w:rsidRPr="004319E8">
        <w:rPr>
          <w:rFonts w:ascii="Arial" w:eastAsia="Arial" w:hAnsi="Arial" w:cs="Arial"/>
          <w:color w:val="0000EE"/>
          <w:sz w:val="20"/>
          <w:szCs w:val="20"/>
          <w:u w:val="single" w:color="0000EE"/>
        </w:rPr>
        <w:t>Uredba 648/2012/EU</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Uredba (EU) št. 648/2012</w:t>
      </w:r>
      <w:r w:rsidRPr="004319E8">
        <w:rPr>
          <w:rFonts w:ascii="Arial" w:eastAsia="Arial" w:hAnsi="Arial" w:cs="Arial"/>
          <w:sz w:val="20"/>
          <w:szCs w:val="20"/>
        </w:rPr>
        <w:t xml:space="preserve"> Evropskega parlamenta in Sveta z dne 4. julija 2012 o izvedenih finančnih instrumentih OTC, centralnih nasprotnih strankah in repozitorijih sklenjenih poslov (UL L št. 201 z dne 27. 7. 2012, str. 1), zadnjič spremenjena z </w:t>
      </w:r>
      <w:r w:rsidR="00E76D53" w:rsidRPr="004319E8">
        <w:rPr>
          <w:rFonts w:ascii="Arial" w:eastAsia="Arial" w:hAnsi="Arial" w:cs="Arial"/>
          <w:color w:val="0000EE"/>
          <w:sz w:val="20"/>
          <w:szCs w:val="20"/>
          <w:u w:val="single" w:color="0000EE"/>
        </w:rPr>
        <w:t>Delegirano uredbo Komisije (EU) 2019/460</w:t>
      </w:r>
      <w:r w:rsidRPr="004319E8">
        <w:rPr>
          <w:rFonts w:ascii="Arial" w:eastAsia="Arial" w:hAnsi="Arial" w:cs="Arial"/>
          <w:sz w:val="20"/>
          <w:szCs w:val="20"/>
        </w:rPr>
        <w:t xml:space="preserve"> z dne 30. januarja 2019 o spremembi </w:t>
      </w:r>
      <w:r w:rsidR="00E76D53" w:rsidRPr="004319E8">
        <w:rPr>
          <w:rFonts w:ascii="Arial" w:eastAsia="Arial" w:hAnsi="Arial" w:cs="Arial"/>
          <w:color w:val="0000EE"/>
          <w:sz w:val="20"/>
          <w:szCs w:val="20"/>
          <w:u w:val="single" w:color="0000EE"/>
        </w:rPr>
        <w:t>Uredbe (EU) št. 648/2012</w:t>
      </w:r>
      <w:r w:rsidRPr="004319E8">
        <w:rPr>
          <w:rFonts w:ascii="Arial" w:eastAsia="Arial" w:hAnsi="Arial" w:cs="Arial"/>
          <w:sz w:val="20"/>
          <w:szCs w:val="20"/>
        </w:rPr>
        <w:t xml:space="preserve"> Evropskega parlamenta in Sveta glede seznama izvzetih subjektov (UL L št. 80 z dne 22. 3. 2019, str. 8),</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13.   </w:t>
      </w:r>
      <w:r w:rsidR="00E76D53" w:rsidRPr="004319E8">
        <w:rPr>
          <w:rFonts w:ascii="Arial" w:eastAsia="Arial" w:hAnsi="Arial" w:cs="Arial"/>
          <w:color w:val="0000EE"/>
          <w:sz w:val="20"/>
          <w:szCs w:val="20"/>
          <w:u w:val="single" w:color="0000EE"/>
        </w:rPr>
        <w:t>Direktiva 2013/34/EU</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Direktiva 2013/34/EU</w:t>
      </w:r>
      <w:r w:rsidRPr="004319E8">
        <w:rPr>
          <w:rFonts w:ascii="Arial" w:eastAsia="Arial" w:hAnsi="Arial" w:cs="Arial"/>
          <w:sz w:val="20"/>
          <w:szCs w:val="20"/>
        </w:rPr>
        <w:t xml:space="preserve"> Evropskega parlamenta in Sveta z dne 26. junija 2013 o letnih računovodskih izkazih, konsolidiranih računovodskih izkazih in povezanih poročilih nekaterih vrst podjetij, spremembi </w:t>
      </w:r>
      <w:r w:rsidR="00E76D53" w:rsidRPr="004319E8">
        <w:rPr>
          <w:rFonts w:ascii="Arial" w:eastAsia="Arial" w:hAnsi="Arial" w:cs="Arial"/>
          <w:color w:val="0000EE"/>
          <w:sz w:val="20"/>
          <w:szCs w:val="20"/>
          <w:u w:val="single" w:color="0000EE"/>
        </w:rPr>
        <w:t>Direktive 2006/43/ES</w:t>
      </w:r>
      <w:r w:rsidRPr="004319E8">
        <w:rPr>
          <w:rFonts w:ascii="Arial" w:eastAsia="Arial" w:hAnsi="Arial" w:cs="Arial"/>
          <w:sz w:val="20"/>
          <w:szCs w:val="20"/>
        </w:rPr>
        <w:t xml:space="preserve"> Evropskega parlamenta in Sveta ter razveljavitvi </w:t>
      </w:r>
      <w:r w:rsidR="00E76D53" w:rsidRPr="004319E8">
        <w:rPr>
          <w:rFonts w:ascii="Arial" w:eastAsia="Arial" w:hAnsi="Arial" w:cs="Arial"/>
          <w:color w:val="0000EE"/>
          <w:sz w:val="20"/>
          <w:szCs w:val="20"/>
          <w:u w:val="single" w:color="0000EE"/>
        </w:rPr>
        <w:t>direktiv Sveta 78/660/EGS</w:t>
      </w:r>
      <w:r w:rsidRPr="004319E8">
        <w:rPr>
          <w:rFonts w:ascii="Arial" w:eastAsia="Arial" w:hAnsi="Arial" w:cs="Arial"/>
          <w:sz w:val="20"/>
          <w:szCs w:val="20"/>
        </w:rPr>
        <w:t xml:space="preserve"> in </w:t>
      </w:r>
      <w:r w:rsidR="00E76D53" w:rsidRPr="004319E8">
        <w:rPr>
          <w:rFonts w:ascii="Arial" w:eastAsia="Arial" w:hAnsi="Arial" w:cs="Arial"/>
          <w:color w:val="0000EE"/>
          <w:sz w:val="20"/>
          <w:szCs w:val="20"/>
          <w:u w:val="single" w:color="0000EE"/>
        </w:rPr>
        <w:t>83/349/EGS</w:t>
      </w:r>
      <w:r w:rsidRPr="004319E8">
        <w:rPr>
          <w:rFonts w:ascii="Arial" w:eastAsia="Arial" w:hAnsi="Arial" w:cs="Arial"/>
          <w:sz w:val="20"/>
          <w:szCs w:val="20"/>
        </w:rPr>
        <w:t xml:space="preserve"> (UL L št. 182 z dne 29. 6. 2013, str. 19) zadnjič spremenjena z </w:t>
      </w:r>
      <w:r w:rsidR="00E76D53" w:rsidRPr="004319E8">
        <w:rPr>
          <w:rFonts w:ascii="Arial" w:eastAsia="Arial" w:hAnsi="Arial" w:cs="Arial"/>
          <w:color w:val="0000EE"/>
          <w:sz w:val="20"/>
          <w:szCs w:val="20"/>
          <w:u w:val="single" w:color="0000EE"/>
        </w:rPr>
        <w:t>Direktivo Sveta 2014/102/EU</w:t>
      </w:r>
      <w:r w:rsidRPr="004319E8">
        <w:rPr>
          <w:rFonts w:ascii="Arial" w:eastAsia="Arial" w:hAnsi="Arial" w:cs="Arial"/>
          <w:sz w:val="20"/>
          <w:szCs w:val="20"/>
        </w:rPr>
        <w:t xml:space="preserve"> z dne 7. novembra 2014 o prilagoditvi </w:t>
      </w:r>
      <w:r w:rsidR="00E76D53" w:rsidRPr="004319E8">
        <w:rPr>
          <w:rFonts w:ascii="Arial" w:eastAsia="Arial" w:hAnsi="Arial" w:cs="Arial"/>
          <w:color w:val="0000EE"/>
          <w:sz w:val="20"/>
          <w:szCs w:val="20"/>
          <w:u w:val="single" w:color="0000EE"/>
        </w:rPr>
        <w:t>Direktive 2013/34/EU</w:t>
      </w:r>
      <w:r w:rsidRPr="004319E8">
        <w:rPr>
          <w:rFonts w:ascii="Arial" w:eastAsia="Arial" w:hAnsi="Arial" w:cs="Arial"/>
          <w:sz w:val="20"/>
          <w:szCs w:val="20"/>
        </w:rPr>
        <w:t xml:space="preserve"> Evropskega parlamenta in Sveta o letnih računovodskih izkazih, konsolidiranih računovodskih izkazih in povezanih poročilih nekaterih vrst podjetij zaradi pristopa Republike Hrvaške (UL L št. 334 z dne 21. 11. 2014, str. 86),</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14.   </w:t>
      </w:r>
      <w:r w:rsidR="00E76D53" w:rsidRPr="004319E8">
        <w:rPr>
          <w:rFonts w:ascii="Arial" w:eastAsia="Arial" w:hAnsi="Arial" w:cs="Arial"/>
          <w:color w:val="0000EE"/>
          <w:sz w:val="20"/>
          <w:szCs w:val="20"/>
          <w:u w:val="single" w:color="0000EE"/>
        </w:rPr>
        <w:t>Uredba 1308/2013/EU</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Uredba (EU) št. 1308/2013</w:t>
      </w:r>
      <w:r w:rsidRPr="004319E8">
        <w:rPr>
          <w:rFonts w:ascii="Arial" w:eastAsia="Arial" w:hAnsi="Arial" w:cs="Arial"/>
          <w:sz w:val="20"/>
          <w:szCs w:val="20"/>
        </w:rPr>
        <w:t xml:space="preserve"> Evropskega parlamenta in Sveta z dne 17. decembra 2013 o vzpostavitvi skupne ureditve trgov kmetijskih proizvodov in razveljavitvi </w:t>
      </w:r>
      <w:r w:rsidR="00E76D53" w:rsidRPr="004319E8">
        <w:rPr>
          <w:rFonts w:ascii="Arial" w:eastAsia="Arial" w:hAnsi="Arial" w:cs="Arial"/>
          <w:color w:val="0000EE"/>
          <w:sz w:val="20"/>
          <w:szCs w:val="20"/>
          <w:u w:val="single" w:color="0000EE"/>
        </w:rPr>
        <w:t>uredb Sveta (EGS) št. 922/72</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(EGS) št. 234/79</w:t>
      </w:r>
      <w:r w:rsidRPr="004319E8">
        <w:rPr>
          <w:rFonts w:ascii="Arial" w:eastAsia="Arial" w:hAnsi="Arial" w:cs="Arial"/>
          <w:sz w:val="20"/>
          <w:szCs w:val="20"/>
        </w:rPr>
        <w:t xml:space="preserve">, </w:t>
      </w:r>
      <w:r w:rsidR="00E76D53" w:rsidRPr="004319E8">
        <w:rPr>
          <w:rFonts w:ascii="Arial" w:eastAsia="Arial" w:hAnsi="Arial" w:cs="Arial"/>
          <w:color w:val="0000EE"/>
          <w:sz w:val="20"/>
          <w:szCs w:val="20"/>
          <w:u w:val="single" w:color="0000EE"/>
        </w:rPr>
        <w:t>(ES) št. 1037/2001</w:t>
      </w:r>
      <w:r w:rsidRPr="004319E8">
        <w:rPr>
          <w:rFonts w:ascii="Arial" w:eastAsia="Arial" w:hAnsi="Arial" w:cs="Arial"/>
          <w:sz w:val="20"/>
          <w:szCs w:val="20"/>
        </w:rPr>
        <w:t xml:space="preserve"> in </w:t>
      </w:r>
      <w:r w:rsidR="00E76D53" w:rsidRPr="004319E8">
        <w:rPr>
          <w:rFonts w:ascii="Arial" w:eastAsia="Arial" w:hAnsi="Arial" w:cs="Arial"/>
          <w:color w:val="0000EE"/>
          <w:sz w:val="20"/>
          <w:szCs w:val="20"/>
          <w:u w:val="single" w:color="0000EE"/>
        </w:rPr>
        <w:t>(ES) št. 1234/2007</w:t>
      </w:r>
      <w:r w:rsidRPr="004319E8">
        <w:rPr>
          <w:rFonts w:ascii="Arial" w:eastAsia="Arial" w:hAnsi="Arial" w:cs="Arial"/>
          <w:sz w:val="20"/>
          <w:szCs w:val="20"/>
        </w:rPr>
        <w:t xml:space="preserve"> (UL L št. 347 z dne 20. 12. 2013, str. 671), zadnjič spremenjena z </w:t>
      </w:r>
      <w:r w:rsidR="00E76D53" w:rsidRPr="004319E8">
        <w:rPr>
          <w:rFonts w:ascii="Arial" w:eastAsia="Arial" w:hAnsi="Arial" w:cs="Arial"/>
          <w:color w:val="0000EE"/>
          <w:sz w:val="20"/>
          <w:szCs w:val="20"/>
          <w:u w:val="single" w:color="0000EE"/>
        </w:rPr>
        <w:t>Delegirano uredbo Komisije (EU) 2019/33</w:t>
      </w:r>
      <w:r w:rsidRPr="004319E8">
        <w:rPr>
          <w:rFonts w:ascii="Arial" w:eastAsia="Arial" w:hAnsi="Arial" w:cs="Arial"/>
          <w:sz w:val="20"/>
          <w:szCs w:val="20"/>
        </w:rPr>
        <w:t xml:space="preserve"> z dne 17. oktobra 2018 o dopolnitvi </w:t>
      </w:r>
      <w:r w:rsidR="00E76D53" w:rsidRPr="004319E8">
        <w:rPr>
          <w:rFonts w:ascii="Arial" w:eastAsia="Arial" w:hAnsi="Arial" w:cs="Arial"/>
          <w:color w:val="0000EE"/>
          <w:sz w:val="20"/>
          <w:szCs w:val="20"/>
          <w:u w:val="single" w:color="0000EE"/>
        </w:rPr>
        <w:t>Uredbe (EU) št. 1308/2013</w:t>
      </w:r>
      <w:r w:rsidRPr="004319E8">
        <w:rPr>
          <w:rFonts w:ascii="Arial" w:eastAsia="Arial" w:hAnsi="Arial" w:cs="Arial"/>
          <w:sz w:val="20"/>
          <w:szCs w:val="20"/>
        </w:rPr>
        <w:t xml:space="preserve"> Evropskega parlamenta in Sveta v zvezi z vlogami za zaščito označb porekla, geografskih označb in tradicionalnih izrazov v vinskem sektorju, postopkom ugovora, omejitvami uporabe, spremembami specifikacij proizvoda, preklicem zaščite ter označevanjem in predstavitvijo (UL L št. 9 z dne 11. 1. 2019, str. 2),</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15. </w:t>
      </w:r>
      <w:r w:rsidR="00E76D53" w:rsidRPr="004319E8">
        <w:rPr>
          <w:rFonts w:ascii="Arial" w:eastAsia="Arial" w:hAnsi="Arial" w:cs="Arial"/>
          <w:color w:val="0000EE"/>
          <w:sz w:val="20"/>
          <w:szCs w:val="20"/>
          <w:u w:val="single" w:color="0000EE"/>
        </w:rPr>
        <w:t>Uredba 2022/858/EU</w:t>
      </w:r>
      <w:r w:rsidRPr="004319E8">
        <w:rPr>
          <w:rFonts w:ascii="Arial" w:eastAsia="Arial" w:hAnsi="Arial" w:cs="Arial"/>
          <w:sz w:val="20"/>
          <w:szCs w:val="20"/>
        </w:rPr>
        <w:t xml:space="preserve"> je </w:t>
      </w:r>
      <w:r w:rsidR="00E76D53" w:rsidRPr="004319E8">
        <w:rPr>
          <w:rFonts w:ascii="Arial" w:eastAsia="Arial" w:hAnsi="Arial" w:cs="Arial"/>
          <w:color w:val="0000EE"/>
          <w:sz w:val="20"/>
          <w:szCs w:val="20"/>
          <w:u w:val="single" w:color="0000EE"/>
        </w:rPr>
        <w:t>Uredba (EU) 2022/858</w:t>
      </w:r>
      <w:r w:rsidRPr="004319E8">
        <w:rPr>
          <w:rFonts w:ascii="Arial" w:eastAsia="Arial" w:hAnsi="Arial" w:cs="Arial"/>
          <w:sz w:val="20"/>
          <w:szCs w:val="20"/>
        </w:rPr>
        <w:t xml:space="preserve"> Evropskega parlamenta in Sveta z dne 30. maja 2022 o pilotni ureditvi za tržne infrastrukture na podlagi tehnologije razpršene evidence ter spremembi </w:t>
      </w:r>
      <w:r w:rsidR="00E76D53" w:rsidRPr="004319E8">
        <w:rPr>
          <w:rFonts w:ascii="Arial" w:eastAsia="Arial" w:hAnsi="Arial" w:cs="Arial"/>
          <w:color w:val="0000EE"/>
          <w:sz w:val="20"/>
          <w:szCs w:val="20"/>
          <w:u w:val="single" w:color="0000EE"/>
        </w:rPr>
        <w:t>uredb (EU) št. 600/2014</w:t>
      </w:r>
      <w:r w:rsidRPr="004319E8">
        <w:rPr>
          <w:rFonts w:ascii="Arial" w:eastAsia="Arial" w:hAnsi="Arial" w:cs="Arial"/>
          <w:sz w:val="20"/>
          <w:szCs w:val="20"/>
        </w:rPr>
        <w:t xml:space="preserve"> in </w:t>
      </w:r>
      <w:r w:rsidR="00E76D53" w:rsidRPr="004319E8">
        <w:rPr>
          <w:rFonts w:ascii="Arial" w:eastAsia="Arial" w:hAnsi="Arial" w:cs="Arial"/>
          <w:color w:val="0000EE"/>
          <w:sz w:val="20"/>
          <w:szCs w:val="20"/>
          <w:u w:val="single" w:color="0000EE"/>
        </w:rPr>
        <w:t>(EU) št. 909/2014</w:t>
      </w:r>
      <w:r w:rsidRPr="004319E8">
        <w:rPr>
          <w:rFonts w:ascii="Arial" w:eastAsia="Arial" w:hAnsi="Arial" w:cs="Arial"/>
          <w:sz w:val="20"/>
          <w:szCs w:val="20"/>
        </w:rPr>
        <w:t xml:space="preserve"> ter </w:t>
      </w:r>
      <w:r w:rsidR="00E76D53"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xml:space="preserve"> (UL L št. 151 z dne 2. 6. 2022, str. 1).</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5.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(opredelitve pojmov)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Pojmi »pokojninska družba«, »družba za upravljanje« in »skupina« se uporabljajo, kot so določeni v ZFK.</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(2) Pojem »upravljavec alternativnih investicijskih skladov « (v nadaljnjem besedilu: upravljavec AIS) se uporablja, kot je določen v 19. točki prvega odstavka 4. člena </w:t>
      </w:r>
      <w:r w:rsidR="00801FB2" w:rsidRPr="004319E8">
        <w:rPr>
          <w:rFonts w:ascii="Arial" w:eastAsia="Arial" w:hAnsi="Arial" w:cs="Arial"/>
          <w:color w:val="0000EE"/>
          <w:sz w:val="20"/>
          <w:szCs w:val="20"/>
          <w:u w:val="single" w:color="0000EE"/>
        </w:rPr>
        <w:t>Uredbe 575/2013/EU</w:t>
      </w:r>
      <w:r w:rsidRPr="004319E8">
        <w:rPr>
          <w:rFonts w:ascii="Arial" w:eastAsia="Arial" w:hAnsi="Arial" w:cs="Arial"/>
          <w:sz w:val="20"/>
          <w:szCs w:val="20"/>
        </w:rPr>
        <w:t xml:space="preserve"> in pomeni upravljavca AIS iz 9. člena ZUAIS.</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Če ta zakon ne določa drugače, se pojmi »finančne storitve«, »bančne storitve«, »pomožne storitve«, »vzajemno priznane finančne storitve«, »dodatne finančne storitve«, »druge finančne storitve«, »banka«, »banka države članice«, »banka tretje države«, »finančna družba«, »država članica«, »tretja država«, »Komisija«, »ožji družinski član«, »bančna skupina«, »subjekt finančnega sektorja«, »sistemsko tveganje« in »modelsko tveganje« uporabljajo, kot so določeni v ZBan-3.</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(4) Pojmi iz 6. poglavja tega zakona imajo pomen, kot je določen v 4. členu </w:t>
      </w:r>
      <w:r w:rsidR="00801FB2" w:rsidRPr="004319E8">
        <w:rPr>
          <w:rFonts w:ascii="Arial" w:eastAsia="Arial" w:hAnsi="Arial" w:cs="Arial"/>
          <w:color w:val="0000EE"/>
          <w:sz w:val="20"/>
          <w:szCs w:val="20"/>
          <w:u w:val="single" w:color="0000EE"/>
        </w:rPr>
        <w:t>Uredbe 575/2013/EU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Za pojme »finančni holding«, »mešani poslovni holding«, »nadrejeni finančni holding države članice« in »EU nadrejeni finančni holding« se smiselno uporabljata tretja in četrta alineja 11. točke prvega odstavka 7. člena ZBan-3.</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(6) Pojem »zavarovalni holding« se uporablja, kot je določen v zakonu, ki ureja zavarovalništvo.</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Pojma »nematerializiran vrednostni papir« in »račun nematerializiranih vrednostnih papirjev« se uporabljata, kot sta določena v zakonu, ki ureja nematerializirane vrednostne papirje.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Država sedeža finančne družbe je država, v kateri je finančna družba pridobila ustrezno dovoljenje za opravljanje finančnih storitev, država gostiteljica pa je država, ki ni država sedeža družbe in v kateri je družba ustanovila podružnico ali v kateri neposredno opravlja finančne storitve.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(9) Nadzorovana finančna družba je finančna družba, nad katero opravlja nadzor nadzorni organ države sedeža finančne družbe.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(10) Oseba države članice je oseba države članice, ki je fizična oseba in ima v tej državi članici stalno ali začasno prebivališče, ali pravna oseba, ki ima sedež na območju te države članice.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(11) Oseba tretje države je oseba tretje države, ki je fizična oseba in ima v tej tretji državi stalno ali začasno prebivališče, ali pravna oseba, ki ima sedež na območju te tretje države.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(12) Pojem »kreditna institucija« se uporablja, kot je določen v 1. točki prvega odstavka 4. člena </w:t>
      </w:r>
      <w:r w:rsidR="00801FB2" w:rsidRPr="004319E8">
        <w:rPr>
          <w:rFonts w:ascii="Arial" w:eastAsia="Arial" w:hAnsi="Arial" w:cs="Arial"/>
          <w:color w:val="0000EE"/>
          <w:sz w:val="20"/>
          <w:szCs w:val="20"/>
          <w:u w:val="single" w:color="0000EE"/>
        </w:rPr>
        <w:t>Uredbe 575/2013/EU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(13) Pojem »institucija« se uporablja, kot je določen v 3. točki prvega odstavka 4. člena </w:t>
      </w:r>
      <w:r w:rsidR="00801FB2" w:rsidRPr="004319E8">
        <w:rPr>
          <w:rFonts w:ascii="Arial" w:eastAsia="Arial" w:hAnsi="Arial" w:cs="Arial"/>
          <w:color w:val="0000EE"/>
          <w:sz w:val="20"/>
          <w:szCs w:val="20"/>
          <w:u w:val="single" w:color="0000EE"/>
        </w:rPr>
        <w:t>Uredbe 575/2013/EU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(14) Pojem »veleprodajni energetski proizvod« se uporablja, kot je določen v 4. točki 2. člena </w:t>
      </w:r>
      <w:r w:rsidR="00801FB2" w:rsidRPr="004319E8">
        <w:rPr>
          <w:rFonts w:ascii="Arial" w:eastAsia="Arial" w:hAnsi="Arial" w:cs="Arial"/>
          <w:color w:val="0000EE"/>
          <w:sz w:val="20"/>
          <w:szCs w:val="20"/>
          <w:u w:val="single" w:color="0000EE"/>
        </w:rPr>
        <w:t>Uredbe 1227/2011/EU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(15) Pojem »investicijski sklad« se uporablja, kot je določen v ZISDU-3 in pomeni investicijski sklad iz 5. člena ZISDU-3.</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(16) Pojem »obvladujoča družba« se uporablja, kot je določen v ZGD-1 in pomeni družbo, ki obvladuje eno ali več odvisnih družb pod pogoji iz 56. člena ZGD-1.</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(17) Pojem »odvisna družba« se uporablja, kot je določen v ZGD-1 in pomeni družbo, ki jo obvladuje obvladujoča družba, vključno s katerokoli odvisno družbo končne obvladujoče družbe pod pogoji iz 56. člena ZGD-1.</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(18) Pojem »centralna nasprotna stranka« (v nadaljnjem besedilu: CNS) se uporablja, kot je določen v 1. točki 2. člena </w:t>
      </w:r>
      <w:r w:rsidR="00801FB2" w:rsidRPr="004319E8">
        <w:rPr>
          <w:rFonts w:ascii="Arial" w:eastAsia="Arial" w:hAnsi="Arial" w:cs="Arial"/>
          <w:color w:val="0000EE"/>
          <w:sz w:val="20"/>
          <w:szCs w:val="20"/>
          <w:u w:val="single" w:color="0000EE"/>
        </w:rPr>
        <w:t>Uredbe 648/2012/EU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(19) Pojmi »indeks«, »izdajatelj indeksa«, »referenčna vrednost«, »zagotavljanje referenčne vrednosti«, »upravljavec referenčne vrednosti«, »prispevajoča oseba«, »nadzorovana prispevajoča oseba«, »predlagatelj«, »ocenjevalec« se uporabljajo, kot so določeni v 3. členu </w:t>
      </w:r>
      <w:r w:rsidR="00801FB2" w:rsidRPr="004319E8">
        <w:rPr>
          <w:rFonts w:ascii="Arial" w:eastAsia="Arial" w:hAnsi="Arial" w:cs="Arial"/>
          <w:color w:val="0000EE"/>
          <w:sz w:val="20"/>
          <w:szCs w:val="20"/>
          <w:u w:val="single" w:color="0000EE"/>
        </w:rPr>
        <w:t>Uredbe 2016/1011/EU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(20) Organ vodenja oziroma poslovodstvo: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ima pri pravnih osebah s sedežem v Republiki Sloveniji pomen, opredeljen v 10. členu ZGD-1,</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je pri pravnih osebah, ki nimajo sedeža v Republiki Sloveniji, organ pravne osebe, ki je po zakonu oziroma pravilih te pravne osebe pristojen in odgovoren za vodenje njenih poslov.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(21) Organ nadzora pravne osebe je organ, ki je po zakonu oziroma pravilih te pravne osebe pristojen in odgovoren za nadzor nad vodenjem njenih poslov.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(22) Upravljalni organ je organ vodenja oziroma poslovodstva in nadzora pravne osebe, ki je pristojen za določanje strategije, ciljev in splošnih usmeritev pravne osebe ter za nadziranje in spremljanje vodstvenih odločitev in poslovanja, ter praviloma vključuje tudi osebe, ki dejansko vodijo posle.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(23) Višje vodstvo so fizične osebe, ki opravljajo izvršne funkcije oziroma vodijo posle ter so odgovorne za izvajanje strategije in splošnih usmeritev ter doseganje ciljev pravne osebe.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(24) Če ta zakon ne določa drugače, se pri uporabi tega zakona šteje, da ima pravna oseba registriran sedež (v nadaljnjem besedilu: sedež) v določeni državi, če je vpisana v javni register pravnih oseb, ki ga vodi ta država.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(25) Poslovni naslov je kraj, v katerem poslovodstvo pravne osebe ali podjema, ki nima lastnosti pravne osebe, opravlja svoje naloge in pristojnosti, če to ni hkrati sedež.</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(26) Pojem »regionalna oblast« oziroma »lokalna oblast« pomeni lokalno skupnost ali drugo organizacijsko obliko lokalne samouprave.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(27) Pojmi iz 2. poglavja in drugih določb tega zakona, ki se sklicujejo na določbe 2. poglavja, pomenijo, kot je določeno v 2. členu </w:t>
      </w:r>
      <w:r w:rsidR="00801FB2" w:rsidRPr="004319E8">
        <w:rPr>
          <w:rFonts w:ascii="Arial" w:eastAsia="Arial" w:hAnsi="Arial" w:cs="Arial"/>
          <w:color w:val="0000EE"/>
          <w:sz w:val="20"/>
          <w:szCs w:val="20"/>
          <w:u w:val="single" w:color="0000EE"/>
        </w:rPr>
        <w:t>Uredbe 2017/1129/EU</w:t>
      </w:r>
      <w:r w:rsidRPr="004319E8">
        <w:rPr>
          <w:rFonts w:ascii="Arial" w:eastAsia="Arial" w:hAnsi="Arial" w:cs="Arial"/>
          <w:sz w:val="20"/>
          <w:szCs w:val="20"/>
        </w:rPr>
        <w:t>.</w:t>
      </w:r>
    </w:p>
    <w:p w:rsidR="0001341E" w:rsidRPr="004319E8" w:rsidRDefault="0001341E" w:rsidP="0001341E">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20. člen</w:t>
      </w:r>
    </w:p>
    <w:p w:rsidR="0001341E" w:rsidRPr="004319E8" w:rsidRDefault="0001341E" w:rsidP="0001341E">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(investicijsko podjetje, borznoposredniška družba, mala borznoposredniška družba, borzni posrednik)</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Investicijsko podjetje je pravna oseba, ki profesionalno kot svojo redno dejavnost opravlja investicijske storitve za druge osebe ali investicijske posle.</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Borznoposredniška družba je investicijsko podjetje s sedežem v Republiki Sloveniji, ki ni banka in je pridobilo dovoljenje agencije za opravljanje investicijskih storitev in poslov. Borznoposredniška družba je lahko le pravna oseba.</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Ne glede na prvi odstavek tega člena pri uporabi 6. in 10. poglavja tega zakona pojem investicijsko podjetje pomeni investicijsko podjetje iz prvega odstavka tega člena, razen:</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kreditnih institucij,</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lokalnih podjetij,</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podjetij, ki v skladu s tem zakonom niso pooblaščena za opravljanje pomožnih investicijskih storitev iz 1. točke prvega odstavka 19. člena tega zakona in so upravičena opravljati le eno ali več investicijskih storitev in poslov iz 1., 2., 4. in 5. točke prvega odstavka 11. člena tega zakona ter ne smejo gospodariti z denarjem ali vrednostnimi papirji svojih strank in zato ne morejo nikoli stopiti v dolžniško razmerje z njimi.</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Borzni posrednik je fizična oseba, ki ima dovoljenje agencije za opravljanje poslov borznega posrednika in za borznoposredniško družbo ali banko na podlagi zaposlitve ali na drugi pravni podlagi opravlja posle, zajete v investicijskih storitvah in poslih, ki jih za svoje stranke opravlja borznoposredniška družba.</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Mala borznoposredniška družba je borznoposredniška družba:</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1.      ki opravlja samo naslednje investicijske storitve in posle:</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posredovanje naročil v zvezi s prenosljivimi vrednostnimi papirji ali enotami kolektivnih naložbenih podjemov osebam iz 59. člena tega zakona ali družbam za upravljanje ali</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investicijsko svetovanje in</w:t>
      </w:r>
    </w:p>
    <w:p w:rsidR="0001341E" w:rsidRPr="004319E8" w:rsidRDefault="0001341E"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katere letni prihodki ne presegajo 750.000 eurov.</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28.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(večstranski sistem)</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Večstranski sistem pomeni sistem ali infrastrukturo, v kateri lahko vzajemno delujejo nakupni in prodajni interesi več tretjih oseb v zvezi s finančnimi instrumenti.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Večstranski sistemi iz prejšnjega odstavka delujejo v skladu z določbami 4. in 7. poglavja tega zakona glede MTF ali OTF oziroma določbami 11. poglavja tega zakona glede organiziranega trga.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(3) Ne glede na 23. in 28. člen </w:t>
      </w:r>
      <w:r w:rsidR="00801FB2"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morajo biti vsi posli s finančnimi instrumenti, s katerimi se trguje na mestu trgovanja ali prek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 xml:space="preserve">, ki niso sklenjeni na večstranskih sistemih ali prek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 xml:space="preserve">, skladni z določbami iz III. naslova </w:t>
      </w:r>
      <w:r w:rsidR="00801FB2"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34.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 xml:space="preserve">(vzdrževalec trga in sistematični </w:t>
      </w:r>
      <w:proofErr w:type="spellStart"/>
      <w:r w:rsidRPr="004319E8">
        <w:rPr>
          <w:rFonts w:ascii="Arial" w:eastAsia="Arial" w:hAnsi="Arial" w:cs="Arial"/>
          <w:b/>
          <w:bCs/>
          <w:sz w:val="20"/>
          <w:szCs w:val="20"/>
          <w:lang w:val="sl-SI"/>
        </w:rPr>
        <w:t>internalizator</w:t>
      </w:r>
      <w:proofErr w:type="spellEnd"/>
      <w:r w:rsidRPr="004319E8">
        <w:rPr>
          <w:rFonts w:ascii="Arial" w:eastAsia="Arial" w:hAnsi="Arial" w:cs="Arial"/>
          <w:b/>
          <w:bCs/>
          <w:sz w:val="20"/>
          <w:szCs w:val="20"/>
          <w:lang w:val="sl-SI"/>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Vzdrževalec trga je oseba, ki neprekinjeno nastopa na trgu finančnih instrumentov ter je pripravljena poslovati za svoj račun s kupovanjem in prodajanjem finančnih instrumentov v breme lastnega kapitala po cenah, ki jih določi sama.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(2) Sistematični </w:t>
      </w:r>
      <w:proofErr w:type="spellStart"/>
      <w:r w:rsidRPr="004319E8">
        <w:rPr>
          <w:rFonts w:ascii="Arial" w:eastAsia="Arial" w:hAnsi="Arial" w:cs="Arial"/>
          <w:sz w:val="20"/>
          <w:szCs w:val="20"/>
        </w:rPr>
        <w:t>internalizator</w:t>
      </w:r>
      <w:proofErr w:type="spellEnd"/>
      <w:r w:rsidRPr="004319E8">
        <w:rPr>
          <w:rFonts w:ascii="Arial" w:eastAsia="Arial" w:hAnsi="Arial" w:cs="Arial"/>
          <w:sz w:val="20"/>
          <w:szCs w:val="20"/>
        </w:rPr>
        <w:t xml:space="preserve"> je investicijsko podjetje, ki na organizirani, pogosti in sistematični podlagi ter v precejšnjem obsegu posluje za lasten račun z izvrševanjem naročil strank zunaj organiziranega trga, MTF ali OTF, ne da bi upravljal večstranski sistem.</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(3) Pogosta in sistematična podlaga se meri s številom poslov s finančnim instrumentom, ki jih investicijsko podjetje izvede na OTC za lasten račun z izvrševanjem naročil strank. Precejšnji obseg trgovanja se meri z obsegom trgovanja investicijskega podjetja na OTC v primerjavi s celotnim trgovanjem investicijskega podjetja z določenim finančnim instrumentom ali z obsegom trgovanja investicijskega podjetja na OTC v primerjavi s celotnim trgovanjem z določenim finančnim instrumentom v EU. Opredelitev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 xml:space="preserve"> se uporablja le, kadar sta vnaprej določeni omejitvi pogoste in sistematične podlage ter precejšnjega obsega prekoračeni ali kadar se investicijsko podjetje odloči za delovanje v sistemu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w:t>
      </w:r>
    </w:p>
    <w:p w:rsidR="0001341E" w:rsidRPr="004319E8" w:rsidRDefault="00512760" w:rsidP="0001341E">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(4) Podjetja, ki ustrezajo opredelitvi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 xml:space="preserve"> iz tega člena, o tem obvestijo agencijo. Agencija to obvestilo pošlje ESMA.</w:t>
      </w:r>
    </w:p>
    <w:p w:rsidR="0001341E" w:rsidRPr="004319E8" w:rsidRDefault="0001341E" w:rsidP="0001341E">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36. člen</w:t>
      </w:r>
    </w:p>
    <w:p w:rsidR="0001341E" w:rsidRPr="004319E8" w:rsidRDefault="0001341E" w:rsidP="0001341E">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lastRenderedPageBreak/>
        <w:t xml:space="preserve">(centralni depo in </w:t>
      </w:r>
      <w:proofErr w:type="spellStart"/>
      <w:r w:rsidRPr="004319E8">
        <w:rPr>
          <w:rFonts w:ascii="Arial" w:eastAsia="Arial" w:hAnsi="Arial" w:cs="Arial"/>
          <w:b/>
          <w:bCs/>
          <w:sz w:val="20"/>
          <w:szCs w:val="20"/>
          <w:lang w:val="sl-SI"/>
        </w:rPr>
        <w:t>poddepo</w:t>
      </w:r>
      <w:proofErr w:type="spellEnd"/>
      <w:r w:rsidRPr="004319E8">
        <w:rPr>
          <w:rFonts w:ascii="Arial" w:eastAsia="Arial" w:hAnsi="Arial" w:cs="Arial"/>
          <w:b/>
          <w:bCs/>
          <w:sz w:val="20"/>
          <w:szCs w:val="20"/>
          <w:lang w:val="sl-SI"/>
        </w:rPr>
        <w:t>)</w:t>
      </w:r>
    </w:p>
    <w:p w:rsidR="0001341E" w:rsidRPr="004319E8" w:rsidRDefault="0001341E" w:rsidP="0001341E">
      <w:pPr>
        <w:pStyle w:val="zamik"/>
        <w:spacing w:before="210" w:after="210"/>
        <w:jc w:val="both"/>
        <w:rPr>
          <w:rFonts w:ascii="Arial" w:eastAsia="Arial" w:hAnsi="Arial" w:cs="Arial"/>
          <w:sz w:val="20"/>
          <w:szCs w:val="20"/>
        </w:rPr>
      </w:pPr>
      <w:r w:rsidRPr="004319E8">
        <w:rPr>
          <w:rFonts w:ascii="Arial" w:eastAsia="Arial" w:hAnsi="Arial" w:cs="Arial"/>
          <w:sz w:val="20"/>
          <w:szCs w:val="20"/>
        </w:rPr>
        <w:t>(1) Centralni depo je centralni register ali druga evidenca imetnikov nematerializiranih finančnih instrumentov:</w:t>
      </w:r>
    </w:p>
    <w:p w:rsidR="0001341E" w:rsidRPr="004319E8" w:rsidRDefault="0001341E" w:rsidP="0001341E">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ki jo vodi posamezna oseba (v nadaljnjem besedilu: centralni depozitar) v skladu s predpisi države, na območju katere je ustanovljen ta depo, in</w:t>
      </w:r>
    </w:p>
    <w:p w:rsidR="0001341E" w:rsidRPr="004319E8" w:rsidRDefault="0001341E" w:rsidP="0001341E">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vpisi v katero imajo pravne učinke neposredno v razmerju do izdajatelja teh finančnih instrumentov in do tretjih oseb, tako da se imetnik računa, pri katerem so vpisani ti finančni instrumenti, šteje za zakonitega imetnika teh finančnih instrumentov.</w:t>
      </w:r>
    </w:p>
    <w:p w:rsidR="0001341E" w:rsidRPr="004319E8" w:rsidRDefault="0001341E" w:rsidP="0001341E">
      <w:pPr>
        <w:pStyle w:val="zamik"/>
        <w:spacing w:before="210" w:after="210"/>
        <w:jc w:val="both"/>
        <w:rPr>
          <w:rFonts w:ascii="Arial" w:eastAsia="Arial" w:hAnsi="Arial" w:cs="Arial"/>
          <w:sz w:val="20"/>
          <w:szCs w:val="20"/>
        </w:rPr>
      </w:pPr>
      <w:r w:rsidRPr="004319E8">
        <w:rPr>
          <w:rFonts w:ascii="Arial" w:eastAsia="Arial" w:hAnsi="Arial" w:cs="Arial"/>
          <w:sz w:val="20"/>
          <w:szCs w:val="20"/>
        </w:rPr>
        <w:t>(2) </w:t>
      </w:r>
      <w:proofErr w:type="spellStart"/>
      <w:r w:rsidRPr="004319E8">
        <w:rPr>
          <w:rFonts w:ascii="Arial" w:eastAsia="Arial" w:hAnsi="Arial" w:cs="Arial"/>
          <w:sz w:val="20"/>
          <w:szCs w:val="20"/>
        </w:rPr>
        <w:t>Poddepo</w:t>
      </w:r>
      <w:proofErr w:type="spellEnd"/>
      <w:r w:rsidRPr="004319E8">
        <w:rPr>
          <w:rFonts w:ascii="Arial" w:eastAsia="Arial" w:hAnsi="Arial" w:cs="Arial"/>
          <w:sz w:val="20"/>
          <w:szCs w:val="20"/>
        </w:rPr>
        <w:t xml:space="preserve"> je evidenca imetnikov nematerializiranih finančnih instrumentov:</w:t>
      </w:r>
    </w:p>
    <w:p w:rsidR="0001341E" w:rsidRPr="004319E8" w:rsidRDefault="0001341E" w:rsidP="0001341E">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ki ni centralni depo,</w:t>
      </w:r>
    </w:p>
    <w:p w:rsidR="0001341E" w:rsidRPr="004319E8" w:rsidRDefault="0001341E" w:rsidP="0001341E">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      ki jo vodi borznoposredniška družba, banka, investicijsko podjetje ali druga oseba (v nadaljnjem besedilu: </w:t>
      </w:r>
      <w:proofErr w:type="spellStart"/>
      <w:r w:rsidRPr="004319E8">
        <w:rPr>
          <w:rFonts w:ascii="Arial" w:eastAsia="Arial" w:hAnsi="Arial" w:cs="Arial"/>
          <w:sz w:val="20"/>
          <w:szCs w:val="20"/>
        </w:rPr>
        <w:t>poddepozitar</w:t>
      </w:r>
      <w:proofErr w:type="spellEnd"/>
      <w:r w:rsidRPr="004319E8">
        <w:rPr>
          <w:rFonts w:ascii="Arial" w:eastAsia="Arial" w:hAnsi="Arial" w:cs="Arial"/>
          <w:sz w:val="20"/>
          <w:szCs w:val="20"/>
        </w:rPr>
        <w:t xml:space="preserve">)  v skladu s predpisi države, na območju katere je ustanovljen ta </w:t>
      </w:r>
      <w:proofErr w:type="spellStart"/>
      <w:r w:rsidRPr="004319E8">
        <w:rPr>
          <w:rFonts w:ascii="Arial" w:eastAsia="Arial" w:hAnsi="Arial" w:cs="Arial"/>
          <w:sz w:val="20"/>
          <w:szCs w:val="20"/>
        </w:rPr>
        <w:t>poddepo</w:t>
      </w:r>
      <w:proofErr w:type="spellEnd"/>
      <w:r w:rsidRPr="004319E8">
        <w:rPr>
          <w:rFonts w:ascii="Arial" w:eastAsia="Arial" w:hAnsi="Arial" w:cs="Arial"/>
          <w:sz w:val="20"/>
          <w:szCs w:val="20"/>
        </w:rPr>
        <w:t>,</w:t>
      </w:r>
    </w:p>
    <w:p w:rsidR="0001341E" w:rsidRPr="004319E8" w:rsidRDefault="0001341E" w:rsidP="0001341E">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vpisi v katero nimajo pravnih učinkov neposredno v razmerju do izdajatelja teh finančnih instrumentov in centralnega depozitarja in</w:t>
      </w:r>
    </w:p>
    <w:p w:rsidR="0001341E" w:rsidRPr="004319E8" w:rsidRDefault="0001341E" w:rsidP="0001341E">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      vpisi v katero imajo pravne učinke v razmerju do </w:t>
      </w:r>
      <w:proofErr w:type="spellStart"/>
      <w:r w:rsidRPr="004319E8">
        <w:rPr>
          <w:rFonts w:ascii="Arial" w:eastAsia="Arial" w:hAnsi="Arial" w:cs="Arial"/>
          <w:sz w:val="20"/>
          <w:szCs w:val="20"/>
        </w:rPr>
        <w:t>poddepozitarja</w:t>
      </w:r>
      <w:proofErr w:type="spellEnd"/>
      <w:r w:rsidRPr="004319E8">
        <w:rPr>
          <w:rFonts w:ascii="Arial" w:eastAsia="Arial" w:hAnsi="Arial" w:cs="Arial"/>
          <w:sz w:val="20"/>
          <w:szCs w:val="20"/>
        </w:rPr>
        <w:t xml:space="preserve"> tako, da v tem razmerju z vpisom v </w:t>
      </w:r>
      <w:proofErr w:type="spellStart"/>
      <w:r w:rsidRPr="004319E8">
        <w:rPr>
          <w:rFonts w:ascii="Arial" w:eastAsia="Arial" w:hAnsi="Arial" w:cs="Arial"/>
          <w:sz w:val="20"/>
          <w:szCs w:val="20"/>
        </w:rPr>
        <w:t>poddepo</w:t>
      </w:r>
      <w:proofErr w:type="spellEnd"/>
      <w:r w:rsidRPr="004319E8">
        <w:rPr>
          <w:rFonts w:ascii="Arial" w:eastAsia="Arial" w:hAnsi="Arial" w:cs="Arial"/>
          <w:sz w:val="20"/>
          <w:szCs w:val="20"/>
        </w:rPr>
        <w:t xml:space="preserve"> nastane pravica stranke zahtevati od </w:t>
      </w:r>
      <w:proofErr w:type="spellStart"/>
      <w:r w:rsidRPr="004319E8">
        <w:rPr>
          <w:rFonts w:ascii="Arial" w:eastAsia="Arial" w:hAnsi="Arial" w:cs="Arial"/>
          <w:sz w:val="20"/>
          <w:szCs w:val="20"/>
        </w:rPr>
        <w:t>poddepozitarja</w:t>
      </w:r>
      <w:proofErr w:type="spellEnd"/>
      <w:r w:rsidRPr="004319E8">
        <w:rPr>
          <w:rFonts w:ascii="Arial" w:eastAsia="Arial" w:hAnsi="Arial" w:cs="Arial"/>
          <w:sz w:val="20"/>
          <w:szCs w:val="20"/>
        </w:rPr>
        <w:t>, da za njen račun uresničuje pravice iz teh finančnih instrumentov in da po njenem nalogu za njen račun razpolaga s temi finančnimi instrumenti.</w:t>
      </w:r>
    </w:p>
    <w:p w:rsidR="0001341E" w:rsidRPr="004319E8" w:rsidRDefault="0001341E" w:rsidP="0001341E">
      <w:pPr>
        <w:pStyle w:val="zamik"/>
        <w:spacing w:before="210" w:after="210"/>
        <w:jc w:val="both"/>
        <w:rPr>
          <w:rFonts w:ascii="Arial" w:eastAsia="Arial" w:hAnsi="Arial" w:cs="Arial"/>
          <w:sz w:val="20"/>
          <w:szCs w:val="20"/>
        </w:rPr>
      </w:pPr>
      <w:r w:rsidRPr="004319E8">
        <w:rPr>
          <w:rFonts w:ascii="Arial" w:eastAsia="Arial" w:hAnsi="Arial" w:cs="Arial"/>
          <w:sz w:val="20"/>
          <w:szCs w:val="20"/>
        </w:rPr>
        <w:t xml:space="preserve">(3) Prvi in drugi odstavek tega člena se smiselno uporabljata tudi za finančne instrumente, izdane kot pisne listine, ki so v zbirni hrambi v centralnem depoju oziroma </w:t>
      </w:r>
      <w:proofErr w:type="spellStart"/>
      <w:r w:rsidRPr="004319E8">
        <w:rPr>
          <w:rFonts w:ascii="Arial" w:eastAsia="Arial" w:hAnsi="Arial" w:cs="Arial"/>
          <w:sz w:val="20"/>
          <w:szCs w:val="20"/>
        </w:rPr>
        <w:t>poddepoju</w:t>
      </w:r>
      <w:proofErr w:type="spellEnd"/>
      <w:r w:rsidRPr="004319E8">
        <w:rPr>
          <w:rFonts w:ascii="Arial" w:eastAsia="Arial" w:hAnsi="Arial" w:cs="Arial"/>
          <w:sz w:val="20"/>
          <w:szCs w:val="20"/>
        </w:rPr>
        <w:t>.</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59.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(opravljanje investicijskih storitev in poslov ter pomožnih investicijskih storitev iz 1. točke prvega odstavka 19.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V Republiki Sloveniji lahko investicijske storitve in posle opravlja: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borznoposredniška družba, ki za to pridobi dovoljenje agencije,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investicijsko podjetje države članice, ki ni banka ali posebna finančna institucija in v skladu s tem zakonom ustanovi podružnico v Republiki Sloveniji oziroma je v skladu s tem zakonom upravičena neposredno opravljati investicijske storitve in posle v Republiki Sloveniji,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investicijsko podjetje tretje države, ki ni banka in pridobi dovoljenje agencije za ustanovitev podružnice v Republiki Sloveniji.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V Republiki Sloveniji lahko investicijske storitve in posle opravlja tudi: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banka, ki za to pridobi dovoljenje Banke Slovenije,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2.      banka ali posebna finančna institucija države članice, ki v skladu z ZBan-3 ustanovi podružnico v Republiki Sloveniji oziroma je v skladu z ZBan-3 upravičena neposredno opravljati investicijske storitve in posle v Republiki Sloveniji,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banka tretje države, ki v skladu z ZBan-3 pridobi dovoljenje za ustanovitev podružnice v Republiki Sloveniji ter je v skladu z ZBan-3 upravičena opravljati investicijske storitve in posle.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V Republiki Sloveniji lahko investicijske storitve in posle v zvezi z upravljanjem MTF ali OTF opravlja tudi upravljavec organiziranega trga, ki izpolnjuje pogoje iz prvega odstavka tega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V Republiki Sloveniji lahko: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družba za upravljanje oziroma družba za upravljanje države članice opravlja investicijsko storitev gospodarjenja s finančnimi instrumenti in pomožne storitve investicijskega svetovanja v zvezi s finančnimi instrumenti ter hrambo in administrativne storitve v zvezi z enotami investicijskih skladov, če je za opravljanje teh storitev pridobila dovoljenje agencije v skladu z zakonom, ki ureja družbe za upravljanje,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upravljavec AIS oziroma upravljavec AIS države članice opravlja investicijsko storitev gospodarjenja s finančnimi instrumenti in pomožne storitve investicijskega svetovanja, hrambo in administrativne storitve v zvezi z enotami investicijskih skladov ter sprejemanje in posredovanje naročil v zvezi z enim ali več finančnimi instrumenti, če je za opravljanje teh storitev pridobil dovoljenje agencije v skladu z zakonom, ki ureja upravljavce alternativnih investicijskih skladov.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Investicijske storitve in posle lahko opravljajo tudi osebe iz prvega odstavka 62. člena tega zakona, in sicer v obsegu, ki ga določa prvi odstavek 62.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V Republiki Sloveniji lahko pomožne investicijske storitve iz 1. točke prvega odstavka 19. člena tega zakona kot samostojno storitev opravljajo le osebe iz prvega ali drugega odstavka tega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(7) Osebe iz prvega in drugega odstavka tega člena, ki organizirano, pogosto, sistematično in v znatni meri poslujejo za svoj račun pri izvrševanju naročil strank zunaj organiziranega trga, MTF ali OTF, ravnajo skladno z določbami </w:t>
      </w:r>
      <w:r w:rsidR="00801FB2"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glede preglednosti za sistematične </w:t>
      </w:r>
      <w:proofErr w:type="spellStart"/>
      <w:r w:rsidRPr="004319E8">
        <w:rPr>
          <w:rFonts w:ascii="Arial" w:eastAsia="Arial" w:hAnsi="Arial" w:cs="Arial"/>
          <w:sz w:val="20"/>
          <w:szCs w:val="20"/>
        </w:rPr>
        <w:t>internalizatorje</w:t>
      </w:r>
      <w:proofErr w:type="spellEnd"/>
      <w:r w:rsidRPr="004319E8">
        <w:rPr>
          <w:rFonts w:ascii="Arial" w:eastAsia="Arial" w:hAnsi="Arial" w:cs="Arial"/>
          <w:sz w:val="20"/>
          <w:szCs w:val="20"/>
        </w:rPr>
        <w:t xml:space="preserve"> in investicijska podjetja, ki trgujejo na OTC.</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60.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(uporaba zakona za banke)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Za banke, ki v skladu s 1. točko drugega odstavka 59. člena tega zakona opravljajo investicijske storitve in posle v Republiki Sloveniji, se smiselno uporabljajo: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      določba o sistematičnem </w:t>
      </w:r>
      <w:proofErr w:type="spellStart"/>
      <w:r w:rsidRPr="004319E8">
        <w:rPr>
          <w:rFonts w:ascii="Arial" w:eastAsia="Arial" w:hAnsi="Arial" w:cs="Arial"/>
          <w:sz w:val="20"/>
          <w:szCs w:val="20"/>
        </w:rPr>
        <w:t>internalizatorju</w:t>
      </w:r>
      <w:proofErr w:type="spellEnd"/>
      <w:r w:rsidRPr="004319E8">
        <w:rPr>
          <w:rFonts w:ascii="Arial" w:eastAsia="Arial" w:hAnsi="Arial" w:cs="Arial"/>
          <w:sz w:val="20"/>
          <w:szCs w:val="20"/>
        </w:rPr>
        <w:t xml:space="preserve"> iz četrtega odstavka 34.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za prenehanje opravljanja investicijskih storitev in poslov: tretji in četrti odstavek 187.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za izdajo dovoljenja za opravljanje investicijskih storitev in poslov: 198. člen in 5. točka prvega odstavka ter tretji, četrti in peti odstavek 200.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določbe o odvisnih borznoposredniških zastopnikih iz 203. do 207.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5.      določbe o posebnih pravilih za MTF in OTF iz 208.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6.      določbe 7. poglavja razen 240. člena, četrtega odstavka 279. člena, tretjega odstavka 286. člena in drugega odstavka 307.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7.      določbe 8. poglavja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8.      peti odstavek 347. člena, 348. in 350. člen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9.      določbe 11. poglavja tega zakona, ki se nanašajo na člane borze,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10.   določbe 13. poglavja tega zakona, ki se nanašajo na člane CDD.</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Za banke in posebne finančne institucije držav članic, ki v skladu z 2. točko drugega odstavka 59. člena tega zakona opravljajo investicijske storitve in posle v Republiki Sloveniji, se smiselno uporabljata 211. člen in 341. člen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Za banke tretjih držav, ki v skladu s 3. točko drugega odstavka 59. člena tega zakona opravljajo investicijske storitve in posle v Republiki Sloveniji, se smiselno uporabljajo 215. do 218. člen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Pri smiselni uporabi prvega, drugega in tretjega odstavka tega člena se: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namesto pojma »borznoposredniška družba« in pojma »investicijsko podjetje« uporablja pojem »banka« oziroma »posebna finančna institucija«,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namesto pojma »agencija« uporablja pojem »Banka Slovenije« razen pri uporabi:</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določb, ki pooblaščajo agencijo za izdajo podzakonskih aktov,</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7. in 8. poglavja tega zakona in</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petega odstavka 347. člena, 348. in 350.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Za banke, ki v skladu z drugim odstavkom 59. člena tega zakona opravljajo investicijske storitve in posle v Republiki Sloveniji, se 14. poglavje tega zakona uporablja neposredno.</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Za izdajo dovoljenj za opravljanje investicijskih storitev in poslov ter za nadzor nad opravljanjem investicijskih storitev in poslov, ki jih opravlja banka ali posebna finančna institucija iz drugega odstavka 59. člena tega zakona, se uporablja ZBan-3, če ni v drugem, tretjem in sedmem do devetem odstavku tega člena določeno drugače.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Nadzor nad poslovanjem banke, banke in posebne finančne institucije držav članic in banke tretje države glede investicijskih storitev in poslov opravlja agencija v sodelovanju z Banko Slovenije.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Pri opravljanju nadzora po prejšnjem odstavku lahko agencija izreče naslednje nadzorne ukrepe: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odredi odpravo kršitev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izreče dodatne nadzorne ukrepe iz 348.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(9) Če agencija pri opravljanju nadzora po sedmem odstavku tega člena ugotovi, da obstaja razlog za odvzem dovoljenja za opravljanje investicijskih storitev in poslov, mora o tem obvestiti Banko Slovenije.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(10) Prvi do deveti odstavek tega člena se ne uporablja za banko, banko in posebno finančno institucijo države članice in banko tretje države, ki ima položaj osebe iz 62. člena tega zakona.</w:t>
      </w:r>
    </w:p>
    <w:p w:rsidR="00345774" w:rsidRPr="004319E8" w:rsidRDefault="00345774" w:rsidP="00345774">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61. člen</w:t>
      </w:r>
    </w:p>
    <w:p w:rsidR="00345774" w:rsidRPr="004319E8" w:rsidRDefault="00345774" w:rsidP="00345774">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(uporaba zakona za opravljanje storitev v zvezi s strukturiranimi vlogami)</w:t>
      </w:r>
    </w:p>
    <w:p w:rsidR="00345774" w:rsidRPr="004319E8" w:rsidRDefault="00345774" w:rsidP="00345774">
      <w:pPr>
        <w:pStyle w:val="zamik"/>
        <w:spacing w:before="210" w:after="210"/>
        <w:jc w:val="both"/>
        <w:rPr>
          <w:rFonts w:ascii="Arial" w:eastAsia="Arial" w:hAnsi="Arial" w:cs="Arial"/>
          <w:sz w:val="20"/>
          <w:szCs w:val="20"/>
        </w:rPr>
      </w:pPr>
      <w:r w:rsidRPr="004319E8">
        <w:rPr>
          <w:rFonts w:ascii="Arial" w:eastAsia="Arial" w:hAnsi="Arial" w:cs="Arial"/>
          <w:sz w:val="20"/>
          <w:szCs w:val="20"/>
        </w:rPr>
        <w:t>(1) Za borznoposredniške družbe in banke se smiselno uporabljajo naslednje določbe tega zakona, kadar strankam prodajajo strukturirane vloge ali jim svetujejo v zvezi z njimi:</w:t>
      </w:r>
    </w:p>
    <w:p w:rsidR="00345774" w:rsidRPr="004319E8" w:rsidRDefault="00345774" w:rsidP="00345774">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šesti in sedmi odstavek 185. člena, 232., 233., 237. in 313. člen ter prvi odstavek 450. člena tega zakona;</w:t>
      </w:r>
    </w:p>
    <w:p w:rsidR="00345774" w:rsidRPr="004319E8" w:rsidRDefault="00345774" w:rsidP="00345774">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250. do 260. člen, 5. točka prvega odstavka 261. člena, drugi odstavek 344. člena, 272., 273., 276., 278, 279., razen četrtega odstavka 279. člena in 280. člen tega zakona, in</w:t>
      </w:r>
    </w:p>
    <w:p w:rsidR="00345774" w:rsidRPr="004319E8" w:rsidRDefault="00345774" w:rsidP="00345774">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48. člen, sedmi do deveti odstavek 60. člena, prvi odstavek 322. člena, tretji odstavek 422. člena, 328., 340. do 342., 346., 347, 350., 348., 357., 358, 489. člen tega zakona ter 15. in 16. poglavje tega zakona.</w:t>
      </w:r>
    </w:p>
    <w:p w:rsidR="00345774" w:rsidRPr="004319E8" w:rsidRDefault="00345774" w:rsidP="00345774">
      <w:pPr>
        <w:pStyle w:val="zamik"/>
        <w:spacing w:before="210" w:after="210"/>
        <w:jc w:val="both"/>
        <w:rPr>
          <w:rFonts w:ascii="Arial" w:eastAsia="Arial" w:hAnsi="Arial" w:cs="Arial"/>
          <w:sz w:val="20"/>
          <w:szCs w:val="20"/>
        </w:rPr>
      </w:pPr>
      <w:r w:rsidRPr="004319E8">
        <w:rPr>
          <w:rFonts w:ascii="Arial" w:eastAsia="Arial" w:hAnsi="Arial" w:cs="Arial"/>
          <w:sz w:val="20"/>
          <w:szCs w:val="20"/>
        </w:rPr>
        <w:t>(2) Nadzor nad določbami iz prejšnjega odstavka opravlja Banka Slovenije v sodelovanju z agencijo. Za nadzor, ki ga opravlja Banka Slovenije, se smiselno uporabljajo določbe 10. poglavja tega zakona.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62.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(izjeme)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Določbe tega zakona o opravljanju investicijskih storitev in poslov, razen 330., 331. in 332. člena tega zakona, se ne uporabljajo za: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zavarovalnice in pozavarovalnice,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osebe, ki opravljajo investicijske storitve in posle izključno za svoje nadrejene družbe, za svoje podrejene družbe ali za druge podrejene družbe svojih nadrejenih družb,</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osebe, ki opravljajo investicijske storitve in posle občasno pri opravljanju svoje redne dejavnosti ali poklica, če so izpolnjeni naslednji pogoji:</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opravljanje te dejavnosti ali poklica je urejeno s pravili, določenimi z zakonom, drugim predpisom ali kodeksom etike, in</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pravila iz prejšnje alineje ne prepovedujejo opravljanja investicijskih storitev in poslov,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osebe, ki poslujejo samo za svoj račun, s finančnimi instrumenti, ki niso izvedeni finančni instrumenti na blago, emisijski kuponi ali izvedeni finančni instrumenti na emisijske kupone, razen če:</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nastopajo kot vzdrževalci trga,</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xml:space="preserve">-  so člani ali udeleženci organiziranega trga oziroma MTF ali imajo neposredni elektronski dostop do mesta trgovanja, razen če gre za nefinančne subjekte, ki izvršujejo posle na mestu trgovanja, ki po objektivnih merilih zmanjšujejo tveganja, neposredno povezana s </w:t>
      </w:r>
      <w:r w:rsidRPr="004319E8">
        <w:rPr>
          <w:rFonts w:ascii="Arial" w:eastAsia="Arial" w:hAnsi="Arial" w:cs="Arial"/>
          <w:sz w:val="20"/>
          <w:szCs w:val="20"/>
          <w:lang w:val="sl-SI"/>
        </w:rPr>
        <w:lastRenderedPageBreak/>
        <w:t>poslovno dejavnostjo ali dejavnostjo financiranja zakladnice teh nefinančnih subjektov ali njihovih skupin,</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uporabljajo tehniko visokofrekvenčnega algoritemskega trgovanja ali</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poslujejo za svoj račun pri izvrševanju naročil strank, pri čemer velja izjema po tem členu za osebe iz 1., 9. in 10. točke prvega odstavka tega člena ne glede na pogoje iz te točke,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      upravljavce, ki izpolnjujejo zahteve iz 6. poglavja ZVO-1, in pri trgovanju z emisijskimi kuponi ne izvršujejo naročil strank in ne opravljajo drugih investicijskih storitev in poslov, razen trgovanja za svoj račun, pri čemer ne uporabljajo tehnike visokofrekvenčnega algoritemskega trgovanja,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6.      osebe, ki opravljajo investicijske storitve in posle, ki zajemajo samo upravljanje programov udeležbe zaposlenih,</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7.      osebe, ki opravljajo investicijske storitve in posle, ki zajemajo samo upravljanje programov udeležbe zaposlenih in zagotavljanje investicijskih storitev in poslov izključno za lastne nadrejene družbe, za lastne podrejene družbe ali za druge podrejene družbe lastnih nadrejenih družb,</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8.      člane evropskega sistema centralnih bank (v nadaljnjem besedilu: ESCB) in druge nacionalne subjekte, ki opravljajo podobne naloge, druge osebe javnega prava, ki so odgovorne za upravljanje javnega dolga ali posredujejo pri tem upravljanju, ter mednarodne finančne institucije, ki jih ustanovita dve ali več držav članic in katerih namen je zagotoviti financiranje oziroma finančno pomoč za svoje članice, ki imajo ali jim grozijo resne finančne težave,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9.      investicijske sklade po zakonu, ki ureja investicijske sklade in družbe za upravljanje, ter pokojninske sklade po zakonu, ki ureja pokojninsko in invalidsko zavarovanje, ali druge kolektivne naložbene podjeme in pokojninske sklade, ne glede na to, ali so usklajeni na ravni EU ali ne, ter skrbnike oziroma skrbnice in upravljavce takih podjemov,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10.   vzdrževalce trga in druge osebe, ki poslujejo za svoj račun z izvedenimi finančnimi instrumenti na blago, emisijskimi kuponi ali izvedenimi finančnimi instrumenti na emisijske kupone, razen če poslujejo za svoj račun pri izvrševanju naročil strank, ali osebe, ki opravljajo investicijske storitve in posle, razen poslovanja za svoj račun, v zvezi z izvedenimi finančnimi instrumenti na blago, emisijskimi kuponi ali izvedenimi finančnimi instrumenti na emisijske kupone za stranke iz svoje redne dejavnosti, če:</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opravljanje teh investicijskih storitev in poslov v vsakem od teh primerov posamezno ali po presoji glede na celotno skupino pomeni pomožno dejavnost njihovi redni dejavnosti,</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te osebe niso del skupine, katere redna dejavnost je opravljanje investicijskih storitev in poslov po tem zakonu, bančnih storitev po ZBan-3 oziroma izvajanje dejavnosti vzdrževalca trga v zvezi z izvedenimi finančnimi instrumenti na blago,</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ne uporabljajo tehnike visokofrekvenčnega algoritemskega trgovanja ter</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o uporabi izjeme letno obveščajo pristojni nadzorni organ in na zahtevo poročajo pristojnemu nadzornemu organu, zakaj je njihova dejavnost, ob upoštevanju pogojev iz te točke, pomožna dejavnost k redni dejavnosti,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11.   osebe, ki opravljajo investicijsko svetovanje v zvezi z opravljanjem drugih storitev v okviru svoje redne dejavnosti ali poklica, če:</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se za te druge storitve ne uporabljajo določbe tega zakona o opravljanju investicijskih storitev in poslov ter</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za tako investicijsko svetovanje ne zaračunavajo posebnega plačila,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 xml:space="preserve">12.   operaterje prenosnega sistema iz 26. točke 4. člena EZ-1 oziroma osebe, ki delujejo kot izvajalci storitev v imenu operaterja prenosnega sistema, pri opravljanju dejavnosti v skladu z določbami EZ-1, </w:t>
      </w:r>
      <w:r w:rsidR="00801FB2" w:rsidRPr="004319E8">
        <w:rPr>
          <w:rFonts w:ascii="Arial" w:eastAsia="Arial" w:hAnsi="Arial" w:cs="Arial"/>
          <w:color w:val="0000EE"/>
          <w:sz w:val="20"/>
          <w:szCs w:val="20"/>
          <w:u w:val="single" w:color="0000EE"/>
        </w:rPr>
        <w:t>Uredbe 714/2009/ES</w:t>
      </w:r>
      <w:r w:rsidRPr="004319E8">
        <w:rPr>
          <w:rFonts w:ascii="Arial" w:eastAsia="Arial" w:hAnsi="Arial" w:cs="Arial"/>
          <w:sz w:val="20"/>
          <w:szCs w:val="20"/>
        </w:rPr>
        <w:t xml:space="preserve"> in </w:t>
      </w:r>
      <w:r w:rsidR="00801FB2" w:rsidRPr="004319E8">
        <w:rPr>
          <w:rFonts w:ascii="Arial" w:eastAsia="Arial" w:hAnsi="Arial" w:cs="Arial"/>
          <w:color w:val="0000EE"/>
          <w:sz w:val="20"/>
          <w:szCs w:val="20"/>
          <w:u w:val="single" w:color="0000EE"/>
        </w:rPr>
        <w:t>Uredbe 715/2009/ES</w:t>
      </w:r>
      <w:r w:rsidRPr="004319E8">
        <w:rPr>
          <w:rFonts w:ascii="Arial" w:eastAsia="Arial" w:hAnsi="Arial" w:cs="Arial"/>
          <w:sz w:val="20"/>
          <w:szCs w:val="20"/>
        </w:rPr>
        <w:t xml:space="preserve"> ter kodeksov omrežij ali smernic, sprejetih na podlagi navedenih uredb, in operaterje ali upravitelje mehanizma za energetsko ravnovesje, plinovodnega omrežja ali sistema, ki ohranja ravnovesje dobave in porabe energije pri opravljanju takih nalog, če opravljajo investicijske storitve in posle v zvezi z izvedenimi finančnimi instrumenti na blago za namen opravljanja svoje dejavnosti, pri čemer ta izjema ne velja za sekundarni trg, vključno s platformo za sekundarno trgovanje s finančno vrednotenimi pravicami prenosa električne energije (v nadaljnjem besedilu: FTR),</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13.   CDD, razen če 73. člen </w:t>
      </w:r>
      <w:r w:rsidR="00801FB2" w:rsidRPr="004319E8">
        <w:rPr>
          <w:rFonts w:ascii="Arial" w:eastAsia="Arial" w:hAnsi="Arial" w:cs="Arial"/>
          <w:color w:val="0000EE"/>
          <w:sz w:val="20"/>
          <w:szCs w:val="20"/>
          <w:u w:val="single" w:color="0000EE"/>
        </w:rPr>
        <w:t>Uredbe 909/2014/EU</w:t>
      </w:r>
      <w:r w:rsidRPr="004319E8">
        <w:rPr>
          <w:rFonts w:ascii="Arial" w:eastAsia="Arial" w:hAnsi="Arial" w:cs="Arial"/>
          <w:sz w:val="20"/>
          <w:szCs w:val="20"/>
        </w:rPr>
        <w:t xml:space="preserve"> določa drugače,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14.   ponudnike storitev množičnega financiranja, kot so opredeljeni v točki (e) prvega odstavka 2. člena </w:t>
      </w:r>
      <w:r w:rsidR="00801FB2" w:rsidRPr="004319E8">
        <w:rPr>
          <w:rFonts w:ascii="Arial" w:eastAsia="Arial" w:hAnsi="Arial" w:cs="Arial"/>
          <w:color w:val="0000EE"/>
          <w:sz w:val="20"/>
          <w:szCs w:val="20"/>
          <w:u w:val="single" w:color="0000EE"/>
        </w:rPr>
        <w:t>Uredbe 2020/1503</w:t>
      </w:r>
      <w:r w:rsidRPr="004319E8">
        <w:rPr>
          <w:rFonts w:ascii="Arial" w:eastAsia="Arial" w:hAnsi="Arial" w:cs="Arial"/>
          <w:sz w:val="20"/>
          <w:szCs w:val="20"/>
        </w:rPr>
        <w:t xml:space="preserve"> Evropskega parlamenta in Sveta z dne 7. oktobra 2020 o evropskih ponudnikih storitev množičnega financiranja za podjetnike ter spremembi </w:t>
      </w:r>
      <w:r w:rsidR="00801FB2" w:rsidRPr="004319E8">
        <w:rPr>
          <w:rFonts w:ascii="Arial" w:eastAsia="Arial" w:hAnsi="Arial" w:cs="Arial"/>
          <w:color w:val="0000EE"/>
          <w:sz w:val="20"/>
          <w:szCs w:val="20"/>
          <w:u w:val="single" w:color="0000EE"/>
        </w:rPr>
        <w:t>Uredbe (EU) 2017/1129</w:t>
      </w:r>
      <w:r w:rsidRPr="004319E8">
        <w:rPr>
          <w:rFonts w:ascii="Arial" w:eastAsia="Arial" w:hAnsi="Arial" w:cs="Arial"/>
          <w:sz w:val="20"/>
          <w:szCs w:val="20"/>
        </w:rPr>
        <w:t xml:space="preserve"> in </w:t>
      </w:r>
      <w:r w:rsidR="00801FB2" w:rsidRPr="004319E8">
        <w:rPr>
          <w:rFonts w:ascii="Arial" w:eastAsia="Arial" w:hAnsi="Arial" w:cs="Arial"/>
          <w:color w:val="0000EE"/>
          <w:sz w:val="20"/>
          <w:szCs w:val="20"/>
          <w:u w:val="single" w:color="0000EE"/>
        </w:rPr>
        <w:t>Direktive (EU) 2019/1937</w:t>
      </w:r>
      <w:r w:rsidRPr="004319E8">
        <w:rPr>
          <w:rFonts w:ascii="Arial" w:eastAsia="Arial" w:hAnsi="Arial" w:cs="Arial"/>
          <w:sz w:val="20"/>
          <w:szCs w:val="20"/>
        </w:rPr>
        <w:t xml:space="preserve"> (UL L št. 347 z dne 20. 10. 2020, str. 1).</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Pravila o opravljanju investicijskih storitev in poslov, določena s tem zakonom, se ne uporabljajo za opravljanje storitev s položajem nasprotne stranke pri poslih, ki jih izvajajo državni organi ali osebe javnega prava v zvezi z upravljanjem javnega dolga ali člani ESCB, ki opravljajo svoje naloge v skladu s Pogodbo o ustanovitvi Evropske skupnosti (Uradni list RS – Mednarodne pogodbe, št. 7/04) in statutom ESCB in Evropske centralne banke (Uradni list RS – Mednarodne pogodbe, št. 7/04) ali opravljajo enakovredne naloge v skladu s predpisi drugih držav članic.</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Ne glede na 1., 5., 9. in 10. točko prvega odstavka tega člena se za člane ali udeležence organiziranih trgov ali MTF, ki so osebe iz navedenih točk, uporabljajo 242., 243. in 244. člen tega zakona.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133.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(uporaba ZGD-1 in direktiv EU za letno poročilo in revizorjevo poročilo)</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(1) Če ima javna družba sedež v Republiki Sloveniji, se za njeno letno in konsolidirano letno poročilo ter revizorjevo poročilo, ki jih objavi v skladu z oddelkom 3.2 tega zakona, uporablja osmo poglavje I. dela ZGD-1. Pri uporabi dvanajstega odstavka 56. člena ali 70.c člena ZGD-1 se za izjavo o nefinančnem poslovanju javne družbe, tudi v primeru, ko je ta pripravljena in objavljena kot ločeno poročilo, uporablja tudi 8. člen </w:t>
      </w:r>
      <w:r w:rsidR="00801FB2" w:rsidRPr="004319E8">
        <w:rPr>
          <w:rFonts w:ascii="Arial" w:eastAsia="Arial" w:hAnsi="Arial" w:cs="Arial"/>
          <w:color w:val="0000EE"/>
          <w:sz w:val="20"/>
          <w:szCs w:val="20"/>
          <w:u w:val="single" w:color="0000EE"/>
        </w:rPr>
        <w:t>Uredbe 2020/852/EU</w:t>
      </w:r>
      <w:r w:rsidRPr="004319E8">
        <w:rPr>
          <w:rFonts w:ascii="Arial" w:eastAsia="Arial" w:hAnsi="Arial" w:cs="Arial"/>
          <w:sz w:val="20"/>
          <w:szCs w:val="20"/>
        </w:rPr>
        <w:t>, del izjave pa je tudi poročanje o trajnostnosti.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Če ima javna družba sedež v drugi državi članici ali v tretji državi, njeno letno in konsolidirano letno poročilo ter revizorjevo poročilo, ki jih objavi v skladu z oddelkom 3.2 tega zakona, ustreza naslednjim zahtevam:</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      če družba sestavi konsolidirano računovodsko poročilo po predpisu države članice, sprejetim za prenos </w:t>
      </w:r>
      <w:r w:rsidR="00801FB2" w:rsidRPr="004319E8">
        <w:rPr>
          <w:rFonts w:ascii="Arial" w:eastAsia="Arial" w:hAnsi="Arial" w:cs="Arial"/>
          <w:color w:val="0000EE"/>
          <w:sz w:val="20"/>
          <w:szCs w:val="20"/>
          <w:u w:val="single" w:color="0000EE"/>
        </w:rPr>
        <w:t>Direktive 2013/34/EU</w:t>
      </w:r>
      <w:r w:rsidRPr="004319E8">
        <w:rPr>
          <w:rFonts w:ascii="Arial" w:eastAsia="Arial" w:hAnsi="Arial" w:cs="Arial"/>
          <w:sz w:val="20"/>
          <w:szCs w:val="20"/>
        </w:rPr>
        <w:t xml:space="preserve">, njeno računovodsko poročilo vsebuje konsolidirane računovodske izkaze, sestavljene v skladu z </w:t>
      </w:r>
      <w:r w:rsidR="00801FB2" w:rsidRPr="004319E8">
        <w:rPr>
          <w:rFonts w:ascii="Arial" w:eastAsia="Arial" w:hAnsi="Arial" w:cs="Arial"/>
          <w:color w:val="0000EE"/>
          <w:sz w:val="20"/>
          <w:szCs w:val="20"/>
          <w:u w:val="single" w:color="0000EE"/>
        </w:rPr>
        <w:t>Uredbo 1606/2002/ES</w:t>
      </w:r>
      <w:r w:rsidRPr="004319E8">
        <w:rPr>
          <w:rFonts w:ascii="Arial" w:eastAsia="Arial" w:hAnsi="Arial" w:cs="Arial"/>
          <w:sz w:val="20"/>
          <w:szCs w:val="20"/>
        </w:rPr>
        <w:t>, letno poročilo nadrejene družbe v skupini pa je sestavljeno v skladu s pravom države sedeža nadrejene družbe,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če družba ni zavezana h konsolidaciji, njeno revidirano računovodsko poročilo vsebuje računovodske izkaze in pojasnila k tem izkazom, sestavljene v skladu s pravom države njenega sedeža,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3.      računovodsko poročilo je revidirano v skladu s predpisom države članice, sprejetim za prenos prvega odstavka 34. člena in 35. člena </w:t>
      </w:r>
      <w:r w:rsidR="00801FB2" w:rsidRPr="004319E8">
        <w:rPr>
          <w:rFonts w:ascii="Arial" w:eastAsia="Arial" w:hAnsi="Arial" w:cs="Arial"/>
          <w:color w:val="0000EE"/>
          <w:sz w:val="20"/>
          <w:szCs w:val="20"/>
          <w:u w:val="single" w:color="0000EE"/>
        </w:rPr>
        <w:t>Direktive 2013/34/EU</w:t>
      </w:r>
      <w:r w:rsidRPr="004319E8">
        <w:rPr>
          <w:rFonts w:ascii="Arial" w:eastAsia="Arial" w:hAnsi="Arial" w:cs="Arial"/>
          <w:sz w:val="20"/>
          <w:szCs w:val="20"/>
        </w:rPr>
        <w:t xml:space="preserve">, in če je družba </w:t>
      </w:r>
      <w:r w:rsidRPr="004319E8">
        <w:rPr>
          <w:rFonts w:ascii="Arial" w:eastAsia="Arial" w:hAnsi="Arial" w:cs="Arial"/>
          <w:sz w:val="20"/>
          <w:szCs w:val="20"/>
        </w:rPr>
        <w:lastRenderedPageBreak/>
        <w:t xml:space="preserve">zavezana h konsolidaciji, tudi v skladu s predpisom države članice, sprejetim za prenos drugega odstavka 34. člena </w:t>
      </w:r>
      <w:r w:rsidR="00801FB2" w:rsidRPr="004319E8">
        <w:rPr>
          <w:rFonts w:ascii="Arial" w:eastAsia="Arial" w:hAnsi="Arial" w:cs="Arial"/>
          <w:color w:val="0000EE"/>
          <w:sz w:val="20"/>
          <w:szCs w:val="20"/>
          <w:u w:val="single" w:color="0000EE"/>
        </w:rPr>
        <w:t>Direktive 2013/34/EU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      poslovno poročilo je sestavljeno v skladu s predpisom države članice, sprejetim za prenos 19. člena </w:t>
      </w:r>
      <w:r w:rsidR="00801FB2" w:rsidRPr="004319E8">
        <w:rPr>
          <w:rFonts w:ascii="Arial" w:eastAsia="Arial" w:hAnsi="Arial" w:cs="Arial"/>
          <w:color w:val="0000EE"/>
          <w:sz w:val="20"/>
          <w:szCs w:val="20"/>
          <w:u w:val="single" w:color="0000EE"/>
        </w:rPr>
        <w:t>Direktive 2013/34/EU</w:t>
      </w:r>
      <w:r w:rsidRPr="004319E8">
        <w:rPr>
          <w:rFonts w:ascii="Arial" w:eastAsia="Arial" w:hAnsi="Arial" w:cs="Arial"/>
          <w:sz w:val="20"/>
          <w:szCs w:val="20"/>
        </w:rPr>
        <w:t xml:space="preserve"> in če je družba zavezana h konsolidaciji tudi v skladu s predpisom države članice, sprejetim za prenos 29. člena </w:t>
      </w:r>
      <w:r w:rsidR="00801FB2" w:rsidRPr="004319E8">
        <w:rPr>
          <w:rFonts w:ascii="Arial" w:eastAsia="Arial" w:hAnsi="Arial" w:cs="Arial"/>
          <w:color w:val="0000EE"/>
          <w:sz w:val="20"/>
          <w:szCs w:val="20"/>
          <w:u w:val="single" w:color="0000EE"/>
        </w:rPr>
        <w:t>Direktive 2013/34/EU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Če je javna družba po 56. členu ZGD-1 oziroma po 1. točki drugega odstavka tega člena zavezana h konsolidaciji, se pravila o obveznostih v zvezi z letnim in polletnim poročilom, določenih v oddelku 3.2 tega zakona, uporabljajo tudi za obveznosti v zvezi s konsolidiranim letnim oziroma polletnim poročilom.</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134.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(obveznost objave letnega poročila in revizorjevega poročila)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Javna družba objavi svoje letno poročilo najpozneje v štirih mesecih po koncu poslovnega leta in zagotovi, da ostane javno dostopno najmanj deset let po njegovi objavi.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Letno poročilo vsebuje: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revidirano računovodsko poročilo,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poslovno poročilo,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izjavo članov poslovodstva in drugih oseb javne družbe, ki so odgovorni za sestavo letnega poročila in katerih imena in položaj v javni družbi je jasno razkrit, da je po njihovem najboljšem vedenju:</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računovodsko poročilo sestavljeno v skladu z ustreznim okvirom računovodskega poročanja ter daje resničen in pošten prikaz sredstev in obveznosti, finančnega položaja in poslovnega izida družbe in morebitnih drugih družb, vključenih v konsolidacijo kot celote, in</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v poslovno poročilo vključen pošten prikaz razvoja in izidov poslovanja družbe ter njenega finančnega položaja, vključno z opisom bistvenih vrst tveganja, ki so jim družba in morebitne druge družbe, vključene v konsolidacijo, kot celota izpostavljene.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Hkrati z objavo letnega poročila javna družba na način iz prvega odstavka tega člena objavi tudi revizorjevo poročilo, ki ga je podpisal revizor, odgovoren za revidiranje letnega poročila družbe.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(4) Javna družba svoje letno poročilo pripravi, predloži agenciji, predloži v sistem za centralno shranjevanje nadzorovanih informacij in objavi v enotni elektronski obliki, ki jo določa </w:t>
      </w:r>
      <w:r w:rsidR="00801FB2" w:rsidRPr="004319E8">
        <w:rPr>
          <w:rFonts w:ascii="Arial" w:eastAsia="Arial" w:hAnsi="Arial" w:cs="Arial"/>
          <w:color w:val="0000EE"/>
          <w:sz w:val="20"/>
          <w:szCs w:val="20"/>
          <w:u w:val="single" w:color="0000EE"/>
        </w:rPr>
        <w:t>Delegirana uredba Komisije (EU) 2019/815</w:t>
      </w:r>
      <w:r w:rsidRPr="004319E8">
        <w:rPr>
          <w:rFonts w:ascii="Arial" w:eastAsia="Arial" w:hAnsi="Arial" w:cs="Arial"/>
          <w:sz w:val="20"/>
          <w:szCs w:val="20"/>
        </w:rPr>
        <w:t xml:space="preserve"> z dne 17. decembra 2018 o dopolnitvi </w:t>
      </w:r>
      <w:r w:rsidR="00801FB2" w:rsidRPr="004319E8">
        <w:rPr>
          <w:rFonts w:ascii="Arial" w:eastAsia="Arial" w:hAnsi="Arial" w:cs="Arial"/>
          <w:color w:val="0000EE"/>
          <w:sz w:val="20"/>
          <w:szCs w:val="20"/>
          <w:u w:val="single" w:color="0000EE"/>
        </w:rPr>
        <w:t>Direktive 2004/109/ES</w:t>
      </w:r>
      <w:r w:rsidRPr="004319E8">
        <w:rPr>
          <w:rFonts w:ascii="Arial" w:eastAsia="Arial" w:hAnsi="Arial" w:cs="Arial"/>
          <w:sz w:val="20"/>
          <w:szCs w:val="20"/>
        </w:rPr>
        <w:t xml:space="preserve"> Evropskega parlamenta in Sveta v zvezi z regulativnimi tehničnimi standardi za določitev enotne elektronske oblike poročanja (UL L št. 143 z dne 29. 5. 2019, str. 1). Navedeno morajo skupaj zagotavljati člani organov vodenja in nadzora javne družbe.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Javna družba zagotovi revizorjev pregled in revizorjevo poročilo o tem, ali je njeno letno poročilo pripravljeno tako, kot določa prejšnji odstavek. Revizorjev pregled in revizorjevo poročilo se opravita v skladu z zakonom, ki ureja revidiranje. Agencija za javni nadzor nad revidiranjem predpiše podrobnejšo obliko in vsebino revizorjevega pregleda in revizorjevega poročila o opravljenem pregledu.</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lastRenderedPageBreak/>
        <w:t>141.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(obveznost delničarjev obveščati javno družbo o spremembi pomembnih deležev)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Delničar obvesti javno družbo, če doseže ali preseže posamezen prag pomembnega deleža ali se njegov delež zmanjša pod posamezen prag pomembnega deleža, na podlagi enega od naslednjih dejstev: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pravnih poslov razpolaganja z delnicami ali drugih pravnih poslov, katerih posledica je sprememba deleža glasovalnih pravic, ali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korporacijskih dejanj javne družbe ali drugih pravnih dejstev iz 149.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Prejšnji odstavek se ne uporablja za: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delnice, ki so bile pridobljene izključno za poravnavo znotraj običajno kratkega poravnalnega obdobja,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delnice, katerih imetnik je depozitar v zvezi z opravljanjem storitev hrambe, če lahko iz teh delnic uresničuje glasovalne pravice samo na podlagi navodil, ki mu jih da oseba, za račun katere jih hrani, v pisni obliki ali z uporabo elektronskega načina.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Prvi odstavek tega člena se ne uporablja za pridobitve in odsvojitve delnic, s katerimi vzdrževalec trga pri opravljanju poslov vzdrževanja trga preseže 5 % prag pomembnega deleža ali se njegov delež zmanjša pod 5 % prag pomembnega deleža, če vzdrževalec trga izpolnjuje naslednja pogoja: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ima dovoljenje za opravljanje investicijskih storitev in poslov agencije oziroma drugega pristojnega nadzornega organa države članice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ne posega v poslovodenje javne družbe niti ne izvaja vpliva na javno družbo za nakup teh delnic ali kritje njihove nakupne cene.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(4) Prvi odstavek tega člena se ne uporablja za glasovalne pravice iz trgovalne knjige banke, banke države članice, banke tretje države ali investicijskega podjetja na podlagi trgovalne knjige, kot jo ureja </w:t>
      </w:r>
      <w:r w:rsidR="00801FB2" w:rsidRPr="004319E8">
        <w:rPr>
          <w:rFonts w:ascii="Arial" w:eastAsia="Arial" w:hAnsi="Arial" w:cs="Arial"/>
          <w:color w:val="0000EE"/>
          <w:sz w:val="20"/>
          <w:szCs w:val="20"/>
          <w:u w:val="single" w:color="0000EE"/>
        </w:rPr>
        <w:t>Uredba 575/2013/EU</w:t>
      </w:r>
      <w:r w:rsidRPr="004319E8">
        <w:rPr>
          <w:rFonts w:ascii="Arial" w:eastAsia="Arial" w:hAnsi="Arial" w:cs="Arial"/>
          <w:sz w:val="20"/>
          <w:szCs w:val="20"/>
        </w:rPr>
        <w:t>,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delež glasovalnih pravic iz trgovalne knjige ne presega 5 %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se glasovalne pravice iz delnic iz trgovalne knjige ne uveljavijo ali kako drugače uporabijo za poseganje v poslovodenje javne družbe.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(5) Prvi odstavek tega člena se ne uporablja za glasovalne pravice iz delnic, pridobljenih za stabilizacijo finančnih instrumentov v skladu s 5. členom </w:t>
      </w:r>
      <w:r w:rsidR="00801FB2" w:rsidRPr="004319E8">
        <w:rPr>
          <w:rFonts w:ascii="Arial" w:eastAsia="Arial" w:hAnsi="Arial" w:cs="Arial"/>
          <w:color w:val="0000EE"/>
          <w:sz w:val="20"/>
          <w:szCs w:val="20"/>
          <w:u w:val="single" w:color="0000EE"/>
        </w:rPr>
        <w:t>Uredbe 596/2014/EU</w:t>
      </w:r>
      <w:r w:rsidRPr="004319E8">
        <w:rPr>
          <w:rFonts w:ascii="Arial" w:eastAsia="Arial" w:hAnsi="Arial" w:cs="Arial"/>
          <w:sz w:val="20"/>
          <w:szCs w:val="20"/>
        </w:rPr>
        <w:t>, če se glasovalne pravice iz teh delnic ne uveljavijo ali kako drugače uporabijo za poseganje v poslovodenje javne družbe.</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158.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lastRenderedPageBreak/>
        <w:t>(dostop do nadzorovanih informacij)</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Javna družba oziroma oseba, ki je zahtevala uvrstitev vrednostnih papirjev v trgovanje na organiziranem trgu brez soglasja javne družbe, nadzorovane informacije: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objavi na način, ki omogoča hiter dostop do teh informacij na nediskriminatorni podlagi,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jih predloži sistemu za centralno shranjevanje nadzorovanih informacij iz 159.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Javna družba oziroma oseba, ki je zahtevala uvrstitev vrednostnih papirjev v trgovanje na organiziranem trgu brez soglasja javne družbe, za objavo in predložitev nadzorovanih informacij po prejšnjem odstavku vlagateljem ne sme zaračunavati nobenih stroškov.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Javna družba oziroma oseba, ki je zahtevala uvrstitev vrednostnih papirjev v trgovanje na organiziranem trgu brez soglasja javne družbe, za objavo iz 1. točke prvega odstavka tega člena uporabi medij, ki razumno zanesljivo omogoča razširitev informacij javnosti na celotnem območju EU.</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159.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(sistem za centralno shranjevanje nadzorovanih informacij)</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Agencija sama upravlja sistem za centralno shranjevanje nadzorovanih informacij ali imenuje vsaj enega upravljavca, ki bo sistem upravljal v njenem imenu in za njen račun.</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Sistem za centralno shranjevanje nadzorovanih informacij izpolnjuje naslednje zahteve: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ustreza minimalnim kakovostnim standardom glede varnosti, zanesljivosti informacijskega vira, zapisa časa in enostavnega dostopa končnim uporabnikom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je usklajen s postopkom predložitve nadzorovanih informacij agenciji po 155. in 156. členu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Oseba, ki jo je imenovala agencija za upravljanje sistema iz prvega odstavka tega člena, s tarifo določi nadomestila za storitve v zvezi z upravljanjem sistema za centralno shranjevanje nadzorovanih informacij.</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Če agencija v skladu s prvim odstavkom tega člena imenuje upravljavca, mora upravljavec k tarifi iz prejšnjega odstavka in njenim spremembam dobiti soglasje agencije.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Upravljavec sistema iz prvega odstavka tega člena zagotovi, da je sistem za centralno shranjevanje nadzorovanih informacij, ki ga upravlja, dostopen tudi prek evropske točke za elektronski dostop, ki jo vzpostavi ESMA.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169.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lastRenderedPageBreak/>
        <w:t>(razkritje informacij o izrečenih ukrepih)</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Agencija zaradi preprečevanja in odvračanja ravnanj, ki pomenijo kršitev 3. poglavja tega zakona, javno objavi informacije o nadzornih ukrepih in sankcijah za prekršek, ki jih je izrekla zaradi kršitev 3. poglavja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Agencija v skladu s prejšnjim odstavkom javno objavi informacije na svoji spletni strani takoj, ko je oseba, na katero se nadzorni ukrep ali sankcija za prekršek nanaša, z odločbo obveščena o kršitvi.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Informacije iz prvega odstavka tega člena obsegajo naslednje podatke: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o kršitelju:</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naziv in sedež pravne osebe ali</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osebno ime in leto rojstva fizične osebe;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o kršitvi:</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opis okoliščin in ravnanj, ki pomenijo kršitev 3. poglavja tega zakona,</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naravo ugotovljenih kršitev;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informacijo o tem, ali je zoper odločbo začet postopek sodnega ali upravnega varstva in odločitev o tem pravnem sredstvu.</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Podatki, ki so v skladu s tem členom javno objavljeni na spletni strani agencije, ostanejo objavljeni pet let od objave. Podatki, ki v skladu z zakonom, ki ureja varstvo osebnih podatkov, veljajo za osebne, se obravnavajo v skladu z zakonom, ki ureja varstvo osebnih podatkov.</w:t>
      </w:r>
    </w:p>
    <w:p w:rsidR="00345774" w:rsidRPr="004319E8" w:rsidRDefault="00345774" w:rsidP="00345774">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195. člen</w:t>
      </w:r>
    </w:p>
    <w:p w:rsidR="00345774" w:rsidRPr="004319E8" w:rsidRDefault="00345774" w:rsidP="00345774">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(register dovoljenj za opravljanje investicijskih storitev in poslov)</w:t>
      </w:r>
    </w:p>
    <w:p w:rsidR="00345774" w:rsidRPr="004319E8" w:rsidRDefault="00345774" w:rsidP="00345774">
      <w:pPr>
        <w:pStyle w:val="zamik"/>
        <w:spacing w:before="210" w:after="210"/>
        <w:jc w:val="both"/>
        <w:rPr>
          <w:rFonts w:ascii="Arial" w:eastAsia="Arial" w:hAnsi="Arial" w:cs="Arial"/>
          <w:sz w:val="20"/>
          <w:szCs w:val="20"/>
        </w:rPr>
      </w:pPr>
      <w:r w:rsidRPr="004319E8">
        <w:rPr>
          <w:rFonts w:ascii="Arial" w:eastAsia="Arial" w:hAnsi="Arial" w:cs="Arial"/>
          <w:sz w:val="20"/>
          <w:szCs w:val="20"/>
        </w:rPr>
        <w:t>(1) Agencija vzpostavi in redno dopolnjuje register dovoljenj za opravljanje investicijskih storitev in poslov, v katerega se vpisujejo vse:</w:t>
      </w:r>
    </w:p>
    <w:p w:rsidR="00345774" w:rsidRPr="004319E8" w:rsidRDefault="00345774" w:rsidP="00345774">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borznoposredniške družbe, ki jim je agencija izdala dovoljenje za opravljanje investicijskih storitev in poslov, in</w:t>
      </w:r>
    </w:p>
    <w:p w:rsidR="00345774" w:rsidRPr="004319E8" w:rsidRDefault="00345774" w:rsidP="00345774">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banke, ki jim je Banka Slovenije izdala dovoljenje za opravljanje investicijskih storitev in poslov.</w:t>
      </w:r>
    </w:p>
    <w:p w:rsidR="00345774" w:rsidRPr="004319E8" w:rsidRDefault="00345774" w:rsidP="00345774">
      <w:pPr>
        <w:pStyle w:val="zamik"/>
        <w:spacing w:before="210" w:after="210"/>
        <w:jc w:val="both"/>
        <w:rPr>
          <w:rFonts w:ascii="Arial" w:eastAsia="Arial" w:hAnsi="Arial" w:cs="Arial"/>
          <w:sz w:val="20"/>
          <w:szCs w:val="20"/>
        </w:rPr>
      </w:pPr>
      <w:r w:rsidRPr="004319E8">
        <w:rPr>
          <w:rFonts w:ascii="Arial" w:eastAsia="Arial" w:hAnsi="Arial" w:cs="Arial"/>
          <w:sz w:val="20"/>
          <w:szCs w:val="20"/>
        </w:rPr>
        <w:t>(2) Register iz prejšnjega odstavka za vsako borznoposredniško družbo oziroma banko iz prejšnjega odstavka vsebuje informacije o firmi in sedežu borznoposredniške družbe oziroma banke ter o investicijskih storitvah in poslih ter pomožnih investicijskih storitvah, ki jih je ta oseba upravičena opravljati.</w:t>
      </w:r>
    </w:p>
    <w:p w:rsidR="00345774" w:rsidRPr="004319E8" w:rsidRDefault="00345774" w:rsidP="00345774">
      <w:pPr>
        <w:pStyle w:val="zamik"/>
        <w:spacing w:before="210" w:after="210"/>
        <w:jc w:val="both"/>
        <w:rPr>
          <w:rFonts w:ascii="Arial" w:eastAsia="Arial" w:hAnsi="Arial" w:cs="Arial"/>
          <w:sz w:val="20"/>
          <w:szCs w:val="20"/>
        </w:rPr>
      </w:pPr>
      <w:r w:rsidRPr="004319E8">
        <w:rPr>
          <w:rFonts w:ascii="Arial" w:eastAsia="Arial" w:hAnsi="Arial" w:cs="Arial"/>
          <w:sz w:val="20"/>
          <w:szCs w:val="20"/>
        </w:rPr>
        <w:t>(3) Banka Slovenije agencijo obvešča o izdaji ali odvzemu dovoljenj iz 2. točke prvega odstavka tega člena.</w:t>
      </w:r>
    </w:p>
    <w:p w:rsidR="00345774" w:rsidRPr="004319E8" w:rsidRDefault="00345774" w:rsidP="00345774">
      <w:pPr>
        <w:pStyle w:val="zamik"/>
        <w:spacing w:before="210" w:after="210"/>
        <w:jc w:val="both"/>
        <w:rPr>
          <w:rFonts w:ascii="Arial" w:eastAsia="Arial" w:hAnsi="Arial" w:cs="Arial"/>
          <w:sz w:val="20"/>
          <w:szCs w:val="20"/>
        </w:rPr>
      </w:pPr>
      <w:r w:rsidRPr="004319E8">
        <w:rPr>
          <w:rFonts w:ascii="Arial" w:eastAsia="Arial" w:hAnsi="Arial" w:cs="Arial"/>
          <w:sz w:val="20"/>
          <w:szCs w:val="20"/>
        </w:rPr>
        <w:t>(4) Agencija zagotovi javno dostopnost registra iz prvega odstavka tega člena.</w:t>
      </w:r>
    </w:p>
    <w:p w:rsidR="00345774" w:rsidRPr="004319E8" w:rsidRDefault="00345774" w:rsidP="00345774">
      <w:pPr>
        <w:pStyle w:val="zamik"/>
        <w:spacing w:before="210" w:after="210"/>
        <w:jc w:val="both"/>
        <w:rPr>
          <w:rFonts w:ascii="Arial" w:eastAsia="Arial" w:hAnsi="Arial" w:cs="Arial"/>
          <w:sz w:val="20"/>
          <w:szCs w:val="20"/>
        </w:rPr>
      </w:pPr>
      <w:r w:rsidRPr="004319E8">
        <w:rPr>
          <w:rFonts w:ascii="Arial" w:eastAsia="Arial" w:hAnsi="Arial" w:cs="Arial"/>
          <w:sz w:val="20"/>
          <w:szCs w:val="20"/>
        </w:rPr>
        <w:lastRenderedPageBreak/>
        <w:t>(5) Agencija v register iz prvega odstavka tega člena vpiše informacijo, da je bilo dovoljenje odvzeto, kdaj je bilo odvzeto in razlog odvzema. Ta informacija je javnosti na voljo pet let po odvzemu dovoljenja. Agencija lahko javno objavi odločbo oziroma povzetek odločbe o odvzemu dovoljenja za opravljanje investicijskih storitev in poslov v skladu s 357. členom tega zakon in drugim odstavkom 488. člena ZTFI.</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229.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(zamenjava revizijske družbe)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Borznoposredniška družba najmanj enkrat v petih zaporednih letih zamenja revizijsko družbo, ki je revidirala njeno letno poročilo.</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234.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(ukrepi za neprekinjeno poslovanje)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Borznoposredniška družba opravi vse razumne ukrepe za zagotovitev neprekinjenega in rednega opravljanja investicijskih storitev in poslov.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Za dosego namena iz prejšnjega odstavka borznoposredniška družba uporabi ustrezne sisteme, vire in postopke, ki so sorazmerni vrsti in obsegu investicijskih storitev in poslov, ki jih opravlja.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236.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(sistemi upravljanja glede investicijskih storitev in poslov)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Borznoposredniška družba vzpostavi in vzdržuje: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ustrezen sistem notranjih kontrol, ki vključuje ustrezne administrativne in računovodske postopke,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učinkovite postopke ugotavljanja, merjenja ali ocenjevanja, obvladovanja in spremljanja tveganj, ki jim je ali bi jim lahko bila izpostavljena pri opravljanju investicijskih storitev in poslov,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učinkovite ukrepe za nadzor in varovanje informacijskih sistemov za obdelavo podatkov, vključno z osebnimi podatki, ki jih potrebuje za opravljanje investicijskih storitev in poslov.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Borznoposredniška družba vzpostavi in vzdržuje zanesljive varnostne mehanizme, ki zagotavljajo varnost in preverjanje prenosa informacij, zmanjšujejo tveganje spreminjanja in izgube informacij, nepooblaščenega dostopa do informacij in preprečijo odtekanje informacij. Ti mehanizmi ves čas zagotavljajo tudi zaupnost informacij.</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242.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(algoritemsko trgovanje)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 xml:space="preserve">(1) Borznoposredniška družba, ki uporablja algoritemsko trgovanje, ima učinkovite sisteme in nadzor tveganj, ki so primerni njenim dejavnostim in zagotavljajo, da so njeni trgovalni sistemi odporni in dovolj zmogljivi, imajo ustrezne trgovalne pragove in omejitve ter preprečujejo pošiljanje napačnih naročil in onemogočajo delovanje, ki bi lahko škodilo ali škodi trgom. Z njimi se zagotavlja, da se trgovalni sistemi borznoposredniške družbe ne uporabljajo na način, ki ni skladen z </w:t>
      </w:r>
      <w:r w:rsidR="00801FB2" w:rsidRPr="004319E8">
        <w:rPr>
          <w:rFonts w:ascii="Arial" w:eastAsia="Arial" w:hAnsi="Arial" w:cs="Arial"/>
          <w:color w:val="0000EE"/>
          <w:sz w:val="20"/>
          <w:szCs w:val="20"/>
          <w:u w:val="single" w:color="0000EE"/>
        </w:rPr>
        <w:t>Uredbo 596/2014/EU</w:t>
      </w:r>
      <w:r w:rsidRPr="004319E8">
        <w:rPr>
          <w:rFonts w:ascii="Arial" w:eastAsia="Arial" w:hAnsi="Arial" w:cs="Arial"/>
          <w:sz w:val="20"/>
          <w:szCs w:val="20"/>
        </w:rPr>
        <w:t xml:space="preserve"> ali pravili mesta trgovanja s katerim je trgovalni sistem povezan. Borznoposredniška družba ima učinkovit sistem neprekinjenega poslovanja, ki zagotavlja nemoteno delovanje v primeru odpovedi trgovalnega sistema. Trgovalne sisteme se redno testira in nadzoruje, da ustrezajo zahtevam iz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Borznoposredniška družba, ki uporablja algoritemsko trgovanje na območju Republike Slovenije ali druge države članice, o tem obvesti agencijo in pristojni organ države mesta trgovanja, kjer takšno trgovanje uporablja kot član ali udeleženec mesta trgovanja.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Borznoposredniška družba na zahtevo agencije predloži opis delovanja algoritma in strategij, ki jih algoritem uporablja pri trgovanju, podrobnosti trgovalnih pragov in omejitev algoritma, ključne kontrole skladnosti in tveganj, ki zagotavljajo, da algoritem izpolnjuje zahteve iz tega zakona, ter podrobne rezultate testiranj sistema. Agencija lahko zahteva tudi druge informacije, ki so potrebne za nadzor nad sistemom algoritemskega trgovanja.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Borznoposredniška družba v zvezi z algoritemskim trgovanjem hrani vso dokumentacijo in informacije, ki so potrebne, da lahko agencija nadzoruje delovanje takšnega trgovanja.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(5) Borznoposredniška družba, ki uporablja tehniko visokofrekvenčnega algoritemskega trgovanja, v skladu z </w:t>
      </w:r>
      <w:r w:rsidR="00801FB2" w:rsidRPr="004319E8">
        <w:rPr>
          <w:rFonts w:ascii="Arial" w:eastAsia="Arial" w:hAnsi="Arial" w:cs="Arial"/>
          <w:color w:val="0000EE"/>
          <w:sz w:val="20"/>
          <w:szCs w:val="20"/>
          <w:u w:val="single" w:color="0000EE"/>
        </w:rPr>
        <w:t>delegiranima uredbama 2017/578/EU</w:t>
      </w:r>
      <w:r w:rsidRPr="004319E8">
        <w:rPr>
          <w:rFonts w:ascii="Arial" w:eastAsia="Arial" w:hAnsi="Arial" w:cs="Arial"/>
          <w:sz w:val="20"/>
          <w:szCs w:val="20"/>
        </w:rPr>
        <w:t xml:space="preserve"> in </w:t>
      </w:r>
      <w:r w:rsidR="00801FB2" w:rsidRPr="004319E8">
        <w:rPr>
          <w:rFonts w:ascii="Arial" w:eastAsia="Arial" w:hAnsi="Arial" w:cs="Arial"/>
          <w:color w:val="0000EE"/>
          <w:sz w:val="20"/>
          <w:szCs w:val="20"/>
          <w:u w:val="single" w:color="0000EE"/>
        </w:rPr>
        <w:t>2017/589/EU</w:t>
      </w:r>
      <w:r w:rsidRPr="004319E8">
        <w:rPr>
          <w:rFonts w:ascii="Arial" w:eastAsia="Arial" w:hAnsi="Arial" w:cs="Arial"/>
          <w:sz w:val="20"/>
          <w:szCs w:val="20"/>
        </w:rPr>
        <w:t>, hrani točne in časovno razdelane podatke o vseh oddanih in preklicanih naročilih, izvršenih naročilih in kotacijah cen na mestih trgovanja in jih na zahtevo predloži agenciji.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Borznoposredniška družba, ki uporablja algoritemsko trgovanje pri izvajanju vzdrževanja trga, upošteva likvidnost, obseg in naravo posameznega trga ter lastnosti finančnih instrumentov na tem trgu in zagotavlja, da: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opravlja vzdrževanje trga neprekinjeno v znatnem obsegu trgovalnega časa mesta trgovanja, razen v izjemnih primerih, in mestu trgovanja zagotovi redno in predvidljivo likvidnost,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ima sklenjeno pisno pogodbo z mestom trgovanja, v kateri opredeli obveznosti iz 1. točke tega odstavka,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ima učinkovite sisteme in nadzorne postopke, ki ves čas zagotavljajo izpolnitev obveznosti iz pogodbe iz 2. točke tega odstavka.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Šteje se, da borznoposredniška družba, ki uporablja algoritemsko trgovanje, izvaja vzdrževanje trga, če kot član ali udeleženec enega ali več mest trgovanja trguje za svoj račun in objavlja zavezujoče kotacije v zvezi s ponudbo in povpraševanjem in so te kotacije, ki so vezane na posamezni finančni instrument, primerljivih cen in velikosti, ne glede na to, ali se pojavljajo na enem ali več mestih trgovanja, za zagotavljanje redne in pogoste likvidnosti na celotnem trgu.</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267.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(izvrševanje naročil pod najugodnejšimi pogoji za stranko)</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(1) Borznoposredniška družba pri izvrševanju naročil strank opravi vse razumne ukrepe za izvršitev naročila stranke pod pogoji, ki so za stranko najugodnejši, ob upoštevanju </w:t>
      </w:r>
      <w:r w:rsidRPr="004319E8">
        <w:rPr>
          <w:rFonts w:ascii="Arial" w:eastAsia="Arial" w:hAnsi="Arial" w:cs="Arial"/>
          <w:sz w:val="20"/>
          <w:szCs w:val="20"/>
        </w:rPr>
        <w:lastRenderedPageBreak/>
        <w:t>dejavnikov, ki so pomembni za izvršitev naročila, kot so cena, stroški, hitrost, verjetnost sklenitve in poravnave posla, vrednost in značilnosti naročila stranke ter druge okoliščine, pomembne za izvršitev naročila.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Če strankino naročilo vsebuje določna navodila glede vseh dejavnikov iz prejšnjega odstavka, ga borznoposredniška družba izvrši v skladu z navodili stranke in ni dolžna opraviti ukrepov po prejšnjem odstavku.</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Če strankino naročilo vsebuje določna navodila glede posameznih dejavnikov iz prvega odstavka tega člena, borznoposredniška družba glede dejavnikov, določenih z navodili stranke, naročilo izvrši v skladu s temi navodili stranke, glede drugih dejavnikov pa opravi ukrepe po prvem odstavku tega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Če borznoposredniška družba izvršuje naročilo neprofesionalne stranke, se najugodnejši pogoji za stranko določijo na podlagi skupne ocene, ki jo sestavljajo cena finančnega instrumenta in stroški sklenitve posla, ki zajemajo vse stroške, ki jih stranka plača in so neposredno povezani s sklenitvijo posla, vključno s stroški mesta trgovanja, poravnave ali katerihkoli drugih stroškov, plačanih tretjim osebam, povezanim s sklenitvijo posla.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Kadar obstaja več mest trgovanja, kjer se lahko sklene posel po naročilu stranke, in so navedena v politiki izvrševanja naročil strank borznoposredniške družbe, borznoposredniška družba pri presoji najugodnejših pogojev za stranko upošteva lastne provizije in stroške za sklenitev posla na posameznem mestu trgovanja.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Borznoposredniška družba ne sme prejeti kakršnegakoli plačila, popusta ali nedenarnih koristi za usmerjanje naročil strank na določeno mesto trgovanja, če bi to pomenilo kršenje zahtev glede konflikta interesov ali sprejemanja provizij ali spodbud v nasprotju z 233. členom in oddelkom 7.2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(7) Mesta trgovanja in sistematični </w:t>
      </w:r>
      <w:proofErr w:type="spellStart"/>
      <w:r w:rsidRPr="004319E8">
        <w:rPr>
          <w:rFonts w:ascii="Arial" w:eastAsia="Arial" w:hAnsi="Arial" w:cs="Arial"/>
          <w:sz w:val="20"/>
          <w:szCs w:val="20"/>
        </w:rPr>
        <w:t>internalizatorji</w:t>
      </w:r>
      <w:proofErr w:type="spellEnd"/>
      <w:r w:rsidRPr="004319E8">
        <w:rPr>
          <w:rFonts w:ascii="Arial" w:eastAsia="Arial" w:hAnsi="Arial" w:cs="Arial"/>
          <w:sz w:val="20"/>
          <w:szCs w:val="20"/>
        </w:rPr>
        <w:t xml:space="preserve"> vsaj enkrat letno brezplačno objavijo podatke o kakovosti izvršitve poslov v svojih trgovalnih sistemih za finančne instrumente, za katere veljajo obveznosti iz 23. in 28. člena </w:t>
      </w:r>
      <w:r w:rsidR="00801FB2"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Enaka zahteva velja za mesta izvrševanja naročil s tistimi finančnimi instrumenti, za katere ne veljajo obveznosti iz 23. in 28. člena </w:t>
      </w:r>
      <w:r w:rsidR="00801FB2"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Redna poročila vključujejo podrobnosti glede cene, stroškov, hitrosti in verjetnost sklenitve posla za posamezne finančne instrumente.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Borznoposredniška družba po izvršitvi posla za stranko to obvesti o mestu, kjer je bilo njeno naročilo izvršeno.</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269.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(mesto izvrševanja naročil strank)</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Če je v politiki izvrševanja naročil strank določena možnost izvršitve teh naročil zunaj mesta trgovanja, borznoposredniška družba stranko opozori zlasti na to možnost.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Pred izvršitvijo naročila stranke zunaj mesta trgovanja borznoposredniška družba za izvršitev naročila na tak način pridobi izrecno soglasje stranke.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Soglasje iz prejšnjega odstavka lahko stranka da kot splošno soglasje glede vseh naročil ali kot posebno soglasje v zvezi z izvršitvijo posameznega naročila.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Borznoposredniška družba enkrat letno objavi povzetek prvih petih mest, kjer je izvršila največ poslov za stranke s posameznim finančnim instrumentom, skupaj z informacijo o kakovosti izvršitev poslov iz sedmega odstavka 267. člena tega zakona.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lastRenderedPageBreak/>
        <w:t>270.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(spremljanje in ocenjevanje učinkovitosti politike izvrševanja naročil)</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Borznoposredniška družba spremlja učinkovitost sistema in postopkov ter politike izvrševanja naročil zato, da se ugotovijo in odpravijo pomanjkljivosti teh ukrepov ali politik. Zlasti redno presoja, ali mesta izvrševanja naročil, ki so zajeta v politiki izvrševanja naročil, omogočajo izvršitev naročil pod pogoji, ki so najugodnejši za stranke, in ali je treba ustrezno spremeniti ukrepe za izvrševanje naročil strank ob upoštevanju informacij iz sedmega in osmega odstavka 267. in četrtega odstavka 269.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Borznoposredniška družba stranke obvesti o vsaki pomembni spremembi sistema in postopkov ter politike izvrševanja njihovih naročil.</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Borznoposredniška družba: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stranki na njeno zahtevo izkaže, da je njeno naročilo izvršila v skladu s svojo politiko izvrševanja naročil,</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vzpostavi in uresničuje ustrezne ukrepe za spremljanje izvrševanja naročil, ki omogočajo izkazovanje okoliščin iz prejšnje točke,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na zahtevo agencije dokaže, da je pri izvrševanju naročil strank vedno ravnala v skladu z najugodnejšimi pogoji za stranko.</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278.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(register odvisnih borznoposredniških zastopnikov)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Agencija za namene tega zakona vodi register odvisnih borznoposredniških zastopnikov s sedežem v Republiki Sloveniji (v nadaljnjem besedilu: register zastopnikov).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Odvisni borznoposredniški zastopnik se vpiše v register zastopnikov, če:</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ima dobro ime ter ima</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v primeru, da bo dejavnost odvisnega borznega zastopnika opravljala fizična oseba, ta oseba dovoljenja za opravljanje poslov borznega posrednika najmanj za posle iz 1. in 2. točke prvega odstavka 219. člena tega zakona,</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v primeru, da bo dejavnost odvisnega borznega zastopnika opravljala pravna oseba, ta oseba izkaže, da bo zanjo storitve iz prvega odstavka 279. člena tega zakona dejansko opravljalo ustrezno število fizičnih oseb, ki so pridobile dovoljenje za opravljanje poslov borznega posrednika, in sicer najmanj za posle iz 1. in 2. točke prvega odstavka 219.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Agencija o zahtevi za vpis v register zastopnikov odloči z odločbo.</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Za namen vodenja registra zastopnikov, register vsebuje najmanj te podatke o osebah iz prvega odstavka tega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enolično identifikacijo, ki jo predstavlja opravilna številka zadeve, pod katero se je vodila zahteva za vpis v register,</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2.      osebno ime in stalno prebivališče fizične osebe oziroma firmo in sedež pravne osebe,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davčno številko.</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Agencija borznoposredniški družbi zagotovi vse informacije, s katerimi razpolaga in jih borznoposredniška družba potrebuje za preveritev ustreznih lastnosti odvisnega borznoposredniškega zastopnika iz prvega odstavka tega člena, ki ga namerava pooblastiti.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Agencija redno vzdržuje register zastopnikov in omogoča javno dostopnost podatkov, ki se vpisujejo vanj.</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Za vpis in izbris odvisnih borznoposredniških zastopnikov iz registra zastopnikov se smiselno uporabljajo 220. in 222. do 224. člen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Agencija izbriše odvisnega borznoposredniškega zastopnika iz registra tudi v primeru, če nima poravnanih obveznosti do agencije ali če preneha obstajati.</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322.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(obveznosti glede začasnega ali trajnega umika finančnega instrumenta iz trgovanja v MTF ali OTF)</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Upravljavec MTF ali OTF začasno ustavi trgovanje s finančnim instrumentom ali trajno umakne finančni instrument iz trgovanja v svojem sistemu, če je ustavitev ali prepoved trgovanja kot nadzorni ukrep odredila agencija ali drug nadzorni organ države članice izdajatelja tega finančnega instrumenta.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Upravljavec MTF ali OTF lahko začasno ustavi trgovanje s finančnim instrumentom ali trajno umakne finančni instrument iz trgovanja v svojem sistemu, če ta finančni instrument ne izpolnjuje več zahtev za trgovanje v takšnem sistemu, razen če bi tak ukrep lahko povzročil pomembne škodljive posledice za interese vlagateljev ali normalno delovanje trga.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(3) Upravljavec MTF ali OTF v primeru iz prejšnjega odstavka uporabi, ob upoštevanju delegiranega akta Evropske komisije, izdanega na podlagi drugega odstavka 32. člena </w:t>
      </w:r>
      <w:r w:rsidR="00801FB2"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enak ukrep za izvedene finančne instrumente iz 4. do 10. točke drugega odstavka 7. člena tega zakona, ki se nanašajo na finančni instrument, ki je predmet ustavitve ali umika iz trgovanja, da bi se zagotovil cilj, zaradi katerega je bil finančni instrument predmet ustavitve ali umika iz trgovanja.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(4) Upravljavec MTF ali OTF ob upoštevanju izvedbenega akta Evropske komisije, izdanega na podlagi tretjega odstavka 32. člena </w:t>
      </w:r>
      <w:r w:rsidR="00801FB2"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agencijo takoj obvesti o vsaki začasni ustavitvi trgovanja in vsakem umiku iz trgovanja za vsak finančni instrument ali izvedeni finančni instrument, ki se nanaša na ta finančni instrument, ter informacijo o tem javno objavi na svojih spletnih straneh.</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(5) Agencija v primeru iz drugega ali tretjega odstavka tega člena od vseh drugih mest trgovanja in sistematičnih </w:t>
      </w:r>
      <w:proofErr w:type="spellStart"/>
      <w:r w:rsidRPr="004319E8">
        <w:rPr>
          <w:rFonts w:ascii="Arial" w:eastAsia="Arial" w:hAnsi="Arial" w:cs="Arial"/>
          <w:sz w:val="20"/>
          <w:szCs w:val="20"/>
        </w:rPr>
        <w:t>internalizatorjev</w:t>
      </w:r>
      <w:proofErr w:type="spellEnd"/>
      <w:r w:rsidRPr="004319E8">
        <w:rPr>
          <w:rFonts w:ascii="Arial" w:eastAsia="Arial" w:hAnsi="Arial" w:cs="Arial"/>
          <w:sz w:val="20"/>
          <w:szCs w:val="20"/>
        </w:rPr>
        <w:t xml:space="preserve"> s sedežem v Republiki Sloveniji, ki trgujejo z enakim finančnim ali izvedenim finančnim instrumentom, zahteva, da začasno ustavijo trgovanje oziroma umaknejo iz trgovanja zadevni finančni ali izvedeni finančni instrument v svojem sistemu, če je tak ukrep posledica suma kršitev predpisov o zlorabah trga, prevzemov javnih družb ali nerazkritja notranjih informacij o izdajatelju ali finančnem instrumentu, kot je določeno v 7. in 17. členu </w:t>
      </w:r>
      <w:r w:rsidR="00801FB2" w:rsidRPr="004319E8">
        <w:rPr>
          <w:rFonts w:ascii="Arial" w:eastAsia="Arial" w:hAnsi="Arial" w:cs="Arial"/>
          <w:color w:val="0000EE"/>
          <w:sz w:val="20"/>
          <w:szCs w:val="20"/>
          <w:u w:val="single" w:color="0000EE"/>
        </w:rPr>
        <w:t>Uredbe 596/2014/EU</w:t>
      </w:r>
      <w:r w:rsidRPr="004319E8">
        <w:rPr>
          <w:rFonts w:ascii="Arial" w:eastAsia="Arial" w:hAnsi="Arial" w:cs="Arial"/>
          <w:sz w:val="20"/>
          <w:szCs w:val="20"/>
        </w:rPr>
        <w:t>, razen če bi tak ukrep lahko povzročil pomembne škodljive posledice za interese vlagateljev ali normalno delovanje trga.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(6) Ukrep iz prejšnjega odstavka agencija nemudoma sporoči ESMA in nadzornim organom drugih držav članic.</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(7) Če agencija prejme obvestilo iz prejšnjega odstavka od pristojnega organa druge države članice, agencija od vseh mest trgovanja in sistematičnih </w:t>
      </w:r>
      <w:proofErr w:type="spellStart"/>
      <w:r w:rsidRPr="004319E8">
        <w:rPr>
          <w:rFonts w:ascii="Arial" w:eastAsia="Arial" w:hAnsi="Arial" w:cs="Arial"/>
          <w:sz w:val="20"/>
          <w:szCs w:val="20"/>
        </w:rPr>
        <w:t>internalizatorjev</w:t>
      </w:r>
      <w:proofErr w:type="spellEnd"/>
      <w:r w:rsidRPr="004319E8">
        <w:rPr>
          <w:rFonts w:ascii="Arial" w:eastAsia="Arial" w:hAnsi="Arial" w:cs="Arial"/>
          <w:sz w:val="20"/>
          <w:szCs w:val="20"/>
        </w:rPr>
        <w:t xml:space="preserve"> s sedežem v Republiki Sloveniji, ki trgujejo z enakim finančnim ali izvedenim finančnim instrumentom, zahteva, da začasno ustavijo trgovanje ali umaknejo iz trgovanja zadevni finančni ali izvedeni finančni instrument v svojem sistemu, če je tak ukrep posledica suma kršitev predpisov o zlorabah trga, prevzemov javnih družb ali nerazkritja notranjih informacij o izdajatelju ali finančnem instrumentu, kot je določeno v 7. in 17. členu </w:t>
      </w:r>
      <w:r w:rsidR="00801FB2" w:rsidRPr="004319E8">
        <w:rPr>
          <w:rFonts w:ascii="Arial" w:eastAsia="Arial" w:hAnsi="Arial" w:cs="Arial"/>
          <w:color w:val="0000EE"/>
          <w:sz w:val="20"/>
          <w:szCs w:val="20"/>
          <w:u w:val="single" w:color="0000EE"/>
        </w:rPr>
        <w:t>Uredbe 596/2014/EU</w:t>
      </w:r>
      <w:r w:rsidRPr="004319E8">
        <w:rPr>
          <w:rFonts w:ascii="Arial" w:eastAsia="Arial" w:hAnsi="Arial" w:cs="Arial"/>
          <w:sz w:val="20"/>
          <w:szCs w:val="20"/>
        </w:rPr>
        <w:t>, razen če bi tak ukrep lahko povzročil pomembne škodljive posledice za interese vlagateljev ali normalno delovanje trga.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Agencija sporoči ESMA in nadzornim organom drugih držav članic svojo odločitev, ki jo je sprejela na podlagi prejšnjega odstavka, vključno z obrazložitvijo, če ni sprejela enakega ukrepa kot nadzorni organ druge države članice.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(9) Ta člen se smiselno uporablja tudi, kadar je bila začasna ustavitev trgovanja ali umik finančnega instrumenta iz trgovanja umaknjen.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325.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(spremljanje skladnosti ravnanja s pravili MTF in OTF)</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Upravljavec MTF ali OTF vzpostavi in vzdržuje učinkovite ukrepe in postopke za redno spremljanje skladnosti ravnanja članov, udeležencev ali uporabnikov tega sistema z njegovimi pravili.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(2) Upravljavec MTF ali OTF spremlja poslana naročila, vključno s preklicanimi, in izvršene posle, ki jih sklepajo člani, udeleženci ali uporabniki v tem MTF ali OTF, zaradi odkrivanja kršitev pravil tega sistema, neurejenih pogojev trgovanja ali ravnanj, ki imajo značilnosti zlorabe trga, kot jih določa </w:t>
      </w:r>
      <w:r w:rsidR="00801FB2" w:rsidRPr="004319E8">
        <w:rPr>
          <w:rFonts w:ascii="Arial" w:eastAsia="Arial" w:hAnsi="Arial" w:cs="Arial"/>
          <w:color w:val="0000EE"/>
          <w:sz w:val="20"/>
          <w:szCs w:val="20"/>
          <w:u w:val="single" w:color="0000EE"/>
        </w:rPr>
        <w:t>Uredba 596/2014/EU</w:t>
      </w:r>
      <w:r w:rsidRPr="004319E8">
        <w:rPr>
          <w:rFonts w:ascii="Arial" w:eastAsia="Arial" w:hAnsi="Arial" w:cs="Arial"/>
          <w:sz w:val="20"/>
          <w:szCs w:val="20"/>
        </w:rPr>
        <w:t>, ali motenj v sistemu v zvezi s posameznim finančnim instrumentom. Upravljavec MTF ali OTF zagotovi, da učinkovito spremlja delovanje sistema iz prejšnjega stavka.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(3) Upravljavec MTF ali OTF agenciji poroča o pomembnih kršitvah pravil MTF ali OTF, neurejenih pogojih trgovanja in ravnanjih, ki imajo značilnosti zlorabe trga, kot jih določa </w:t>
      </w:r>
      <w:r w:rsidR="00801FB2" w:rsidRPr="004319E8">
        <w:rPr>
          <w:rFonts w:ascii="Arial" w:eastAsia="Arial" w:hAnsi="Arial" w:cs="Arial"/>
          <w:color w:val="0000EE"/>
          <w:sz w:val="20"/>
          <w:szCs w:val="20"/>
          <w:u w:val="single" w:color="0000EE"/>
        </w:rPr>
        <w:t>Uredba 596/2014/EU</w:t>
      </w:r>
      <w:r w:rsidRPr="004319E8">
        <w:rPr>
          <w:rFonts w:ascii="Arial" w:eastAsia="Arial" w:hAnsi="Arial" w:cs="Arial"/>
          <w:sz w:val="20"/>
          <w:szCs w:val="20"/>
        </w:rPr>
        <w:t>, ali motenj v sistemu v zvezi s posameznim finančnim instrumentom.</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(4) Upravljavec MTF ali OTF agenciji, nadzornemu organu druge države članice, pristojnemu za nadzor nad zlorabami trga, kot jih določa </w:t>
      </w:r>
      <w:r w:rsidR="00801FB2" w:rsidRPr="004319E8">
        <w:rPr>
          <w:rFonts w:ascii="Arial" w:eastAsia="Arial" w:hAnsi="Arial" w:cs="Arial"/>
          <w:color w:val="0000EE"/>
          <w:sz w:val="20"/>
          <w:szCs w:val="20"/>
          <w:u w:val="single" w:color="0000EE"/>
        </w:rPr>
        <w:t>Uredba 596/2014/EU</w:t>
      </w:r>
      <w:r w:rsidRPr="004319E8">
        <w:rPr>
          <w:rFonts w:ascii="Arial" w:eastAsia="Arial" w:hAnsi="Arial" w:cs="Arial"/>
          <w:sz w:val="20"/>
          <w:szCs w:val="20"/>
        </w:rPr>
        <w:t>, ali drugemu organu, pristojnemu za odkrivanje ali pregon dejanj, ki pomenijo zlorabo trga, na njegovo zahtevo brez nepotrebnega odlašanja da vse informacije, ki jih potrebuje za izvajanje svojih pristojnosti v zvezi z zlorabami trga, ter mu zagotovi celovito pomoč pri preiskavi in pregonu zlorabe trga, storjene v MTF ali OTF ali z uporabo MTF ali OTF.</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Agencija informacije iz tretjega odstavka tega člena pošlje ESMA in nadzornim organom drugih držav članic. Če gre za ravnanja, ki imajo značilnosti zlorabe trga, agencija poročanje opravi šele, ko je prepričana, da gre za takšno ravnanje</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326.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(registracija razvojnega trga MSP)</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(1) Upravljavec MTF s sedežem v Republiki Sloveniji lahko pri agenciji vloži zahtevo, da se MTF registrira kot razvojni trg MSP.</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Agencija registrira MTF kot razvojni trg MSP, če iz zahteve iz prejšnjega odstavka izhaja, da so izpolnjeni pogoji iz tega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Razvojni trg MSP lahko postane MTF, če izpolnjuje naslednje pogoje: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v času registracije razvojnega trga MSP in vsako koledarsko leto po tem vsaj 50 % izdajateljev, katerih finančni instrumenti so uvrščeni v trgovanje na MTF, predstavljajo mala in srednja podjetja, kot jih določa drugi odstavek 31.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sprejme ustrezna merila za sprejem v trgovanje in nadaljnje trgovanje s finančnimi instrumenti izdajateljev na tem trgu,</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ob sprejemu v trgovanje so javno dostopne zadostne informacije, ki omogočajo vlagateljem oblikovanje investicijske presoje o naložbi v finančni instrument. Te informacije so na voljo v obliki uvrstitvenega dokumenta ali v obliki prospekta, če so izpolnjeni pogoji za objavo prospekta iz 2. poglavja tega zakona in se finančni instrument uvršča v trgovanje v povezavi z izdajo prospekta,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zagotovljeno je zadostno redno finančno poročanje, kot na primer letno revidirano finančno poročilo, s strani izdajatelja ali druge osebe za izdajatelja,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      izdajatelji na tem MTF kot jih določa 21. točka, osebe, ki v izdajateljih opravljajo poslovodne naloge kot jih določa 25. točka, in osebe, ki so z njimi tesno povezane, kot jih določa 26. točka prvega odstavka 3. člena </w:t>
      </w:r>
      <w:r w:rsidR="00801FB2" w:rsidRPr="004319E8">
        <w:rPr>
          <w:rFonts w:ascii="Arial" w:eastAsia="Arial" w:hAnsi="Arial" w:cs="Arial"/>
          <w:color w:val="0000EE"/>
          <w:sz w:val="20"/>
          <w:szCs w:val="20"/>
          <w:u w:val="single" w:color="0000EE"/>
        </w:rPr>
        <w:t>Uredbe 596/2014/EU</w:t>
      </w:r>
      <w:r w:rsidRPr="004319E8">
        <w:rPr>
          <w:rFonts w:ascii="Arial" w:eastAsia="Arial" w:hAnsi="Arial" w:cs="Arial"/>
          <w:sz w:val="20"/>
          <w:szCs w:val="20"/>
        </w:rPr>
        <w:t xml:space="preserve">, izvršujejo obveznosti, kot jih določa </w:t>
      </w:r>
      <w:r w:rsidR="00801FB2" w:rsidRPr="004319E8">
        <w:rPr>
          <w:rFonts w:ascii="Arial" w:eastAsia="Arial" w:hAnsi="Arial" w:cs="Arial"/>
          <w:color w:val="0000EE"/>
          <w:sz w:val="20"/>
          <w:szCs w:val="20"/>
          <w:u w:val="single" w:color="0000EE"/>
        </w:rPr>
        <w:t>Uredba 596/2014/EU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6.      informacije o izdajateljih na tem MTF, ki jih predpisujejo predpisi, se hranijo in javno objavljajo,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7.      MTF ima učinkovite sisteme in ukrepe, ki preprečujejo in zaznavajo zlorabe trga na tem trgu v skladu z </w:t>
      </w:r>
      <w:r w:rsidR="00801FB2" w:rsidRPr="004319E8">
        <w:rPr>
          <w:rFonts w:ascii="Arial" w:eastAsia="Arial" w:hAnsi="Arial" w:cs="Arial"/>
          <w:color w:val="0000EE"/>
          <w:sz w:val="20"/>
          <w:szCs w:val="20"/>
          <w:u w:val="single" w:color="0000EE"/>
        </w:rPr>
        <w:t>Uredbo 596/2014/EU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Pogoji iz prejšnjega odstavka ne vplivajo na druge obveznosti upravljavca MTF, ki jih ima v skladu s tem zakonom, niti mu ne preprečujejo, da za svoj sistem ne postavi dodatnih pogojev.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Agencija MTF s sedežem v Republiki Sloveniji odvzame registracijo razvojnega trga MSP,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to zahteva upravljavec MTF,</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ne izpolnjuje pogojev iz tretjega odstavka tega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Agencija o registraciji razvojnega trga MSP in odvzemu registracije nemudoma obvesti ESMA.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Finančni instrument izdajatelja, ki je sprejet v trgovanje na razvojnem trgu MSP, se lahko v trgovanje na drugem razvojnem trgu MSP uvrsti le, če je bil izdajatelj o tem obveščen in temu ni nasprotoval. V tem primeru izdajatelj do drugega razvojnega trga MSP nima nobenih obveznosti.</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331.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lastRenderedPageBreak/>
        <w:t>(nadziranje upravljanja pozicij za izvedene finančne instrumente na blago)</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Upravljavec mesta trgovanja s sedežem v Republiki Sloveniji, na katerem se trguje z izvedenimi finančnimi instrumenti na blago, zagotovi nadzor upravljanja pozicij. Nadzor zagotavlja vsaj z naslednjimi ukrepi: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nadziranjem odprtih pozicij oseb,</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pridobivanjem informacij od oseb, vključno s potrebno dokumentacijo, o velikosti in namenu njihovih pozicij ali izpostavljenosti, upravičenih ali končnih lastnikih, usklajenih dogovorih ali ravnanjih in o sredstvih ter obveznostih na osnovnem trgu blaga, pozicijah v izvedenih instrumentih na blago na podlagi istega osnovnega blaga in z enakimi značilnostmi na drugih mestih trgovanja in gospodarsko enakovrednih pogodbah OTC prek članov in udeležencev,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zahtevo, da oseba začasno ali trajno zapre ali zmanjša pozicijo, odvisno od primera, in možnostjo, da upravljavec mesta trgovanja takšen ukrep izvede sam, v primeru nespoštovanja njegove zahteve,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zahtevo, če je to potrebno, da oseba znova začasno vzpostavi likvidnost na trgu po dogovorjeni ceni in v dogovorjenem obsegu, pri čemer se izreče o nameri, da bo zmanjšala učinek velike ali prevladujoče pozicije.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Omejitve pozicij in nadziranje upravljanja pozicij iz 330. in 331. člena tega zakona so transparentne in ne smejo biti diskriminatorne ter določajo, kako se uporabljajo za osebe, z upoštevanjem značilnosti in sestave udeležencev na trgu ter načina uporabe pogodb, ki so predmet trgovanja.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Upravljavec mesta trgovanja s sedežem v Republiki Sloveniji agenciji sporoči podrobne informacije o nadzoru upravljanja pozicij, ki ga izvaja.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Agencija informacije iz prejšnjega odstavka skupaj s podrobnimi informacijami o omejitvah pozicij, ki jih je sprejela, sporoči ESMA.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Agencija je pristojna za nadzor nad 8. poglavjem tega zakona. Pri izvajanju nadzora lahko agencija uporabi nadzorne ukrepe v skladu s tem zakonom, da zagotovi, da pozicije oseb, ki imajo sedež ali poslujejo: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v Republiki Sloveniji ali drugje, ne presegajo omejitev v izvedenih finančnih instrumentih na blago, ki jih je agencija določila glede pogodb s katerimi se trguje na mestih trgovanja v Republiki Sloveniji, in ekonomsko enakovrednih OTC pogodb,</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v Republiki Sloveniji, ne presegajo omejitev v izvedenih finančnih instrumentih na blago, ki jih je določil nadzorni organ druge države članice.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Agencija lahko določi strožje omejitve pozicij, kot je določeno v drugem odstavku 330. člena tega zakona, le v izjemnem primeru, če je to objektivno nujno in sorazmerno glede na likvidnost posameznega trga in urejenega trgovanja na tem trgu. V tem primeru agencija na svojih spletnih straneh javno objavi podrobnosti strožjih omejitev. Strožje omejitve veljajo največ šest mesecev od njihove objave. Veljavnost se vsakič lahko podaljša za nadaljnjih šest mesecev, če še vedno obstajajo razlogi, zaradi katerih so bile strožje omejitve uvedene. Če se veljavnost ne podaljša, strožje omejitve avtomatsko prenehajo veljati po šestih mesecih od objave.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Agencija v primeru iz prejšnjega odstavka obvesti ESMA. V obvestilu navede razloge za določitev strožjih omejitev. Če so omejitve v nasprotju z mnenjem ESMA, agencija na svojih spletnih straneh objavi razloge za določitev takšnih omejitev.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(8) Za nadzor iz petega odstavka tega člena se smiselno uporablja 347. člen tega zakona razen prvega, tretjega in desetega odstavka navedenega člena.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332.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(poročanje pozicij za izvedene finančne instrumente na blago)</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Upravljavec mesta trgovanja, na katerem se trguje z izvedenimi finančnimi instrumenti na blago ali emisijskimi kuponi ali izvedenimi finančnimi instrumenti na njihovi podlagi: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objavi tedensko poročilo, ki vsebuje skupne pozicije, ki jih imajo posamezne kategorije oseb v različnih izvedenih finančnih instrumentih na blago ali emisijskih kuponih ali njihovih izvedenih finančnih instrumentih, s katerimi se trguje na tem mestu trgovanja. V poročilu navede število dolgih in kratkih pozicij posameznih kategorij, njihovih sprememb glede na prejšnje poročilo, delež posamezne kategorije v skupnem količini odprtih pozicij in število oseb, ki imajo pozicijo v posamezni kategoriji v skladu s petim odstavkom tega člena. Poročilo pošlje agenciji in ESMA;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vsakodnevno poroča agenciji razčlenitev pozicij vseh oseb na tem mestu trgovanja, vključno z udeleženci in njihovimi strankami.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Obveznost iz 1. točke prejšnjega odstavka se uporablja le, če sta tako število oseb kot njihove odprte pozicije presegli minimalne pragove.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(3) Borznoposredniške družbe, ki trgujejo z izvedenimi finančnimi instrumenti na blago ali emisijskimi kuponi ali njihovimi izvedenimi finančnimi instrumenti izven mesta trgovanja, agenciji vsakodnevno poročajo popolno razčlenitev svojih pozicij v izvedenih finančnih instrumentih na blago ali emisijskih kuponih ali njihovih izvedenih finančnih instrumentih, s katerimi se trguje na mestu trgovanja v Republiki Sloveniji, in ekonomsko enakovrednih OTC pogodb, kot tudi pozicij svojih strank in strank teh strank vse do zadnje stranke, in sicer v skladu s 26. členom </w:t>
      </w:r>
      <w:r w:rsidR="00801FB2"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in, če je primerno, z 8. členom </w:t>
      </w:r>
      <w:r w:rsidR="00801FB2" w:rsidRPr="004319E8">
        <w:rPr>
          <w:rFonts w:ascii="Arial" w:eastAsia="Arial" w:hAnsi="Arial" w:cs="Arial"/>
          <w:color w:val="0000EE"/>
          <w:sz w:val="20"/>
          <w:szCs w:val="20"/>
          <w:u w:val="single" w:color="0000EE"/>
        </w:rPr>
        <w:t>Uredbe 1227/2011/EU</w:t>
      </w:r>
      <w:r w:rsidRPr="004319E8">
        <w:rPr>
          <w:rFonts w:ascii="Arial" w:eastAsia="Arial" w:hAnsi="Arial" w:cs="Arial"/>
          <w:sz w:val="20"/>
          <w:szCs w:val="20"/>
        </w:rPr>
        <w:t>. Če se s finančnimi instrumenti iz prejšnjega stavka trguje na mestu trgovanja v drugi državi članici, borznoposredniška družba poroča centralnemu nadzornemu organu ali, kjer ni centralnega nadzornega organa, nadzornemu organu države članice mesta trgovanja.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Člani ali udeleženci mest trgovanja v Republiki Sloveniji vsakodnevno upravljavcem teh mest trgovanja poročajo o podrobnostih svojih pozicij, ki jih imajo na podlagi pogodb, s katerimi se trguje na teh mestih trgovanja, ter pozicij svojih strank in strank teh strank vse do zadnje stranke.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Upravljavec mesta trgovanja, na katerem se trguje z izvedenimi finančnimi instrumenti na blago ali emisijskimi kuponi ali njihovimi izvedenimi finančnimi instrumenti, razvrsti osebe, ki imajo pozicije v teh finančnih instrumentih, glede na značilnosti njihove osnovne dejavnosti v kategorije, ob upoštevanju njihovih pridobljenih dovoljenj kot: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borznoposredniške družbe in banke,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investicijske sklade, kot kolektivne naložbene podjeme za vlaganja v prenosljive vrednostne papirje ali kot upravljavca alternativnega investicijskega sklada,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druge finančne institucije, kot zavarovalnice, pozavarovalnice ali pokojninski skladi,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gospodarske družbe,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 xml:space="preserve">5.      v primeru emisijskih kuponov ali njihovih izvedenih finančnih instrumentov, upravljavce, za katere veljajo obveznosti iz </w:t>
      </w:r>
      <w:r w:rsidR="00801FB2" w:rsidRPr="004319E8">
        <w:rPr>
          <w:rFonts w:ascii="Arial" w:eastAsia="Arial" w:hAnsi="Arial" w:cs="Arial"/>
          <w:color w:val="0000EE"/>
          <w:sz w:val="20"/>
          <w:szCs w:val="20"/>
          <w:u w:val="single" w:color="0000EE"/>
        </w:rPr>
        <w:t>Direktive 2003/87/ES</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Poročilo iz 1. točke prvega odstavka tega člena vsebuje število dolgih in kratkih pozicij za posamezno kategorijo oseb, spremembe glede na prejšnje poročilo, delež posamezne kategorije v skupni količini odprtih pozicij in število oseb v posamezni kategoriji.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Poročilo iz 1. točke prvega odstavka tega člena in razčlenitev pozicij iz tretjega odstavka tega člena loči med:</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pozicijami, ki so opredeljene kot pozicije, ki objektivno zmanjšujejo tveganja, ki se nanašajo na poslovno dejavnost,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drugimi pozicijami.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Poročanje o pozicijah iz prvega odstavka tega člena se ne uporablja za vrednostne papirje iz 3. točke tretjega odstavka 7. člena tega zakona, povezane z osnovnim proizvodom ali osnovnim blagom iz 10. ali 11. točke drugega odstavka 7. člena tega zakona.</w:t>
      </w:r>
    </w:p>
    <w:p w:rsidR="00064A50" w:rsidRPr="004319E8" w:rsidRDefault="00064A50" w:rsidP="00064A50">
      <w:pPr>
        <w:pStyle w:val="center"/>
        <w:pBdr>
          <w:top w:val="none" w:sz="0" w:space="10"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344. člen</w:t>
      </w:r>
    </w:p>
    <w:p w:rsidR="00064A50" w:rsidRPr="004319E8" w:rsidRDefault="00064A50" w:rsidP="00064A50">
      <w:pPr>
        <w:pStyle w:val="center"/>
        <w:pBdr>
          <w:top w:val="none" w:sz="0" w:space="10"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(pristojnost agencije za nadzor nad odvisnimi borznoposredniškimi zastopniki)</w:t>
      </w:r>
    </w:p>
    <w:p w:rsidR="00064A50" w:rsidRPr="004319E8" w:rsidRDefault="00064A50" w:rsidP="00064A50">
      <w:pPr>
        <w:pStyle w:val="zamik"/>
        <w:spacing w:before="210" w:after="210"/>
        <w:jc w:val="both"/>
        <w:rPr>
          <w:rFonts w:ascii="Arial" w:eastAsia="Arial" w:hAnsi="Arial" w:cs="Arial"/>
          <w:sz w:val="20"/>
          <w:szCs w:val="20"/>
        </w:rPr>
      </w:pPr>
      <w:r w:rsidRPr="004319E8">
        <w:rPr>
          <w:rFonts w:ascii="Arial" w:eastAsia="Arial" w:hAnsi="Arial" w:cs="Arial"/>
          <w:sz w:val="20"/>
          <w:szCs w:val="20"/>
        </w:rPr>
        <w:t>(1) Agencija je pristojna in odgovorna za nadzor nad odvisnimi borznoposredniškimi zastopniki, vpisanimi v register odvisnih borznoposredniških zastopnikov iz 278. člena tega zakona.</w:t>
      </w:r>
    </w:p>
    <w:p w:rsidR="00064A50" w:rsidRPr="004319E8" w:rsidRDefault="00064A50" w:rsidP="00064A50">
      <w:pPr>
        <w:pStyle w:val="zamik"/>
        <w:spacing w:before="210" w:after="210"/>
        <w:jc w:val="both"/>
        <w:rPr>
          <w:rFonts w:ascii="Arial" w:eastAsia="Arial" w:hAnsi="Arial" w:cs="Arial"/>
          <w:sz w:val="20"/>
          <w:szCs w:val="20"/>
        </w:rPr>
      </w:pPr>
      <w:r w:rsidRPr="004319E8">
        <w:rPr>
          <w:rFonts w:ascii="Arial" w:eastAsia="Arial" w:hAnsi="Arial" w:cs="Arial"/>
          <w:sz w:val="20"/>
          <w:szCs w:val="20"/>
        </w:rPr>
        <w:t>(2) Agencija lahko pri nadzoru, ali odvisni borznoposredniški zastopnik izpolnjuje pogoje iz drugega odstavka 278. člena tega zakona, sodeluje z borznoposredniškimi družbami in bankami, ki poslujejo prek tega odvisnega borznoposredniškega zastopnika.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357.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(objava nadzornih ukrepov)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(1) Ne glede na druge določbe tega zakona agencija zaradi preprečevanja in odvračanja ravnanj, ki pomenijo kršitev 1., 4. in 7. do 9. poglavja tega zakona, </w:t>
      </w:r>
      <w:r w:rsidR="00801FB2"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w:t>
      </w:r>
      <w:r w:rsidR="00801FB2" w:rsidRPr="004319E8">
        <w:rPr>
          <w:rFonts w:ascii="Arial" w:eastAsia="Arial" w:hAnsi="Arial" w:cs="Arial"/>
          <w:color w:val="0000EE"/>
          <w:sz w:val="20"/>
          <w:szCs w:val="20"/>
          <w:u w:val="single" w:color="0000EE"/>
        </w:rPr>
        <w:t>Uredbe 2016/1011/EU</w:t>
      </w:r>
      <w:r w:rsidRPr="004319E8">
        <w:rPr>
          <w:rFonts w:ascii="Arial" w:eastAsia="Arial" w:hAnsi="Arial" w:cs="Arial"/>
          <w:sz w:val="20"/>
          <w:szCs w:val="20"/>
        </w:rPr>
        <w:t xml:space="preserve"> in drugih predpisov s področja opravljanja investicijskih storitev in poslov, za nadzor nad katerimi je pristojna, javno objavi informacije o nadzornih ukrepih in sankcijah za prekršek, ki jih je izrekla zaradi kršitev teh predpisov.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Agencija v skladu s prejšnjim odstavkom javno objavi informacije na svoji spletni strani takoj, ko je oseba, na katero se nadzorni ukrep ali sankcija za prekršek nanaša, z odločbo obveščena o kršitvi.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Informacije iz prvega odstavka tega člena obsegajo naslednje podatke: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o kršitelju:</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naziv in sedež pravne osebe ali</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osebno ime in leto rojstva fizične osebe;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o kršitvi:</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lastRenderedPageBreak/>
        <w:t>-  opis okoliščin in ravnanj, ki pomenijo kršitev predpisov iz prvega odstavka tega člena,</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naravo ugotovljenih kršitev;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informacijo o tem, ali je zoper odločbo začet postopek sodnega ali upravnega varstva in odločitev o tem pravnem sredstvu.</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Ne glede na prejšnji odstavek lahko agencija v primeru, ko bi bila objava identitete kršitelja nesorazmerna s težo kršitve ali bi objava lahko ogrozila stabilnost finančnih trgov ali uspešnost uradnih preiskav, hkrati z izdajo odločbe, s katero izreče nadzorni ukrep ali sankcijo za prekršek, odloči tudi, da se objava informacije o nadzornih ukrepih in sankcijah za prekršek:</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odloži do prenehanja razlogov proti objavi informacije,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objavi brez identitete kršitelja, ali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ne izvede.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Agencija se na podlagi okoliščin posameznega primera odloči, ali bi bila objava identitete kršitelja nesorazmerna s težo kršitve.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Za oceno, ali je podan razlog, da bi objava lahko ogrozila uspešnost uradnih preiskav, ki se nanaša na interese uspešne izvedbe predkazenskega ali kazenskega postopka, agencija, če je s predkazenskim ali kazenskim postopkom seznanjena, predhodno pridobi mnenje pristojnega državnega tožilca, ki agencijo pri oceni zavezuje.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Agencija ne objavi ukrepa ali sankcije iz 3. točke prejšnjega odstavka, če ne bi mogla v primeru iz 1. in 2. točke prejšnjega odstavka zagotoviti ustrezne stabilnosti finančnih trgov ali bi bila objava ukrepa ali sankcije nesorazmerna s težo kršitve. Agencija lahko v primeru razlogov iz prejšnjega odstavka odloči tudi, da se objava identitete kršitelja začasno zadrži, ter navede rok za zadržanje objave, če bodo razlogi za zadržanje objave v tem obdobju verjetno prenehali obstajati.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Agencija lahko v primeru iz 2. točke četrtega odstavka tega člena odloči tudi, da se objava identitete kršitelja začasno zadrži, ter navede rok za zadržanje objave identitete, če bodo razlogi za zadržanje objave identitete v tem obdobju verjetno prenehali obstajati.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(9) V postopku odločanja o sankciji za prekršek agencija pred izdajo odločbe o prekršku kršitelja v pozivu k izjavi opozori na javno objavo informacij o izrečenih sankcijah za prekršek v skladu s tem členom in pouči, da v primeru obstoja razlogov iz četrtega odstavka tega člena te razloge navede v izjavi ter zanje predloži ustrezne dokaze.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(10) Prejšnji odstavek se smiselno uporablja tudi v tistih postopkih nadzora, ko je kršitelju pred izdajo odločbe o nadzornem ukrepu zagotovljena pravica do izjave.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(11) Podatki, v skladu s tem členom javno objavljeni na spletni strani agencije, ostanejo objavljeni pet let po objavi. Podatki, ki v skladu z zakonom, ki ureja varstvo osebnih podatkov, veljajo za osebne, se obravnavajo v skladu z zakonom, ki ureja varstvo osebnih podatkov.</w:t>
      </w:r>
    </w:p>
    <w:p w:rsidR="003263D1" w:rsidRPr="004319E8" w:rsidRDefault="003263D1" w:rsidP="003263D1">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358. člen</w:t>
      </w:r>
    </w:p>
    <w:p w:rsidR="003263D1" w:rsidRPr="004319E8" w:rsidRDefault="003263D1" w:rsidP="003263D1">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(sistem sprejemanja prijav o kršitvah)</w:t>
      </w:r>
    </w:p>
    <w:p w:rsidR="003263D1" w:rsidRPr="004319E8" w:rsidRDefault="003263D1" w:rsidP="003263D1">
      <w:pPr>
        <w:pStyle w:val="zamik"/>
        <w:spacing w:before="210" w:after="210"/>
        <w:jc w:val="both"/>
        <w:rPr>
          <w:rFonts w:ascii="Arial" w:eastAsia="Arial" w:hAnsi="Arial" w:cs="Arial"/>
          <w:sz w:val="20"/>
          <w:szCs w:val="20"/>
        </w:rPr>
      </w:pPr>
      <w:r w:rsidRPr="004319E8">
        <w:rPr>
          <w:rFonts w:ascii="Arial" w:eastAsia="Arial" w:hAnsi="Arial" w:cs="Arial"/>
          <w:sz w:val="20"/>
          <w:szCs w:val="20"/>
        </w:rPr>
        <w:lastRenderedPageBreak/>
        <w:t xml:space="preserve">(1) Agencija vzpostavi sistem sprejemanja prijav o dejstvih, ki pomenijo ali bi lahko pomenili kršitev 1. 4., 7. do 9. in 11. poglavja tega zakona ali </w:t>
      </w:r>
      <w:r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v skladu z 269. členom ZBan-3.</w:t>
      </w:r>
    </w:p>
    <w:p w:rsidR="003263D1" w:rsidRPr="004319E8" w:rsidRDefault="003263D1" w:rsidP="003263D1">
      <w:pPr>
        <w:pStyle w:val="zamik"/>
        <w:spacing w:before="210" w:after="210"/>
        <w:jc w:val="both"/>
        <w:rPr>
          <w:rFonts w:ascii="Arial" w:eastAsia="Arial" w:hAnsi="Arial" w:cs="Arial"/>
          <w:sz w:val="20"/>
          <w:szCs w:val="20"/>
        </w:rPr>
      </w:pPr>
      <w:r w:rsidRPr="004319E8">
        <w:rPr>
          <w:rFonts w:ascii="Arial" w:eastAsia="Arial" w:hAnsi="Arial" w:cs="Arial"/>
          <w:sz w:val="20"/>
          <w:szCs w:val="20"/>
        </w:rPr>
        <w:t xml:space="preserve">(2) Borznoposredniške družbe, banke pri opravljanju investicijskih storitev in poslov ter pomožnih investicijskih storitev, borza, APA in ARM iz prvega odstavka 333. člena tega zakona in podružnice investicijskih podjetij tretjih držav vzpostavijo sistem obveščanja o kršitvah tega zakona in </w:t>
      </w:r>
      <w:r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ki zaposlenim omogoča, da prek neodvisnih in samostojnih poročevalskih linij interno poročajo o kršitvah tega zakona in </w:t>
      </w:r>
      <w:r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Upravljavci referenčnih vrednosti vzpostavijo sistem internega obveščanja o kršitvah </w:t>
      </w:r>
      <w:r w:rsidRPr="004319E8">
        <w:rPr>
          <w:rFonts w:ascii="Arial" w:eastAsia="Arial" w:hAnsi="Arial" w:cs="Arial"/>
          <w:color w:val="0000EE"/>
          <w:sz w:val="20"/>
          <w:szCs w:val="20"/>
          <w:u w:val="single" w:color="0000EE"/>
        </w:rPr>
        <w:t>Uredbe 2016/1011/EU</w:t>
      </w:r>
      <w:r w:rsidRPr="004319E8">
        <w:rPr>
          <w:rFonts w:ascii="Arial" w:eastAsia="Arial" w:hAnsi="Arial" w:cs="Arial"/>
          <w:sz w:val="20"/>
          <w:szCs w:val="20"/>
        </w:rPr>
        <w:t>.</w:t>
      </w:r>
    </w:p>
    <w:p w:rsidR="003263D1" w:rsidRPr="004319E8" w:rsidRDefault="003263D1" w:rsidP="003263D1">
      <w:pPr>
        <w:pStyle w:val="zamik"/>
        <w:spacing w:before="210" w:after="210"/>
        <w:jc w:val="both"/>
        <w:rPr>
          <w:rFonts w:ascii="Arial" w:eastAsia="Arial" w:hAnsi="Arial" w:cs="Arial"/>
          <w:sz w:val="20"/>
          <w:szCs w:val="20"/>
        </w:rPr>
      </w:pPr>
      <w:r w:rsidRPr="004319E8">
        <w:rPr>
          <w:rFonts w:ascii="Arial" w:eastAsia="Arial" w:hAnsi="Arial" w:cs="Arial"/>
          <w:sz w:val="20"/>
          <w:szCs w:val="20"/>
        </w:rPr>
        <w:t>(3) Za sistem iz prejšnjega odstavka se smiselno uporablja 432. člen tega zakona.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368.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(delničarji borze)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Za delničarje borze se smiselno uporabljajo 66. do 82. člen, razen osmega odstavka 71. člena in četrtega odstavka 76. člena, ter 296. do 301. člen ZBan-3.</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Pri smiselni uporabi določb ZBan-3 iz prejšnjega odstavka se: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namesto pojma »banka« uporablja pojem »borza«,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namesto pojma »Banka Slovenije« uporablja pojem »agencija« in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namesto splošnega sklicevanja na pravila ZBan-3 uporabi splošno sklicevanje na pravila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Borza o vsaki pridobitvi ali spremembi kvalificiranega deleža obvesti agencijo, razen če je ta na zahtevo imetnika tega deleža že izdala ustrezno dovoljenje.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Borza na svojih spletnih straneh javno objavi: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vse imetnike kvalificiranih deležev s podatki o višini teh deležev,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vsako spremembo imetnika kvalificiranega deleža, ki lahko glede na višino tega deleža izvaja pomembnejši vpliv na upravljanje borze.</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373.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(trden in zanesljiv sistem upravljanja)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Borza vzpostavi in uresničuje trden in zanesljiv sistem upravljanja, ki vsebuje: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jasno organizacijsko ureditev z natančno opredeljenimi, preglednimi in doslednimi notranjimi razmerji glede odgovornosti,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učinkovite postopke ugotavljanja, merjenja ali ocenjevanja, obvladovanja in spremljanja tveganj, ki jim je borza izpostavljena ali bi jim bila lahko izpostavljena pri svojem poslovanju,</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3. ustrezen sistem notranjih kontrol, ki vključuje ustrezne administrativne in računovodske postopke.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Organizacijska ureditev, postopki in sistemi iz prejšnjega odstavka so jasno in razumljivo opredeljeni in sorazmerni z značilnostmi, obsegom in zapletenostjo poslov, ki jih opravlja borza.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Borza na borznem trgu, ki ga upravlja, ne sme izvrševati naročil strank v breme lastnega kapitala ali uporabiti tehnike trgovanja s hkratnim nakupom in prodajo za svoj račun.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375.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(varovalni mehanizmi)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Borza pri upravljanju borznega trga zagotovi učinkovite sisteme in postopke, ki zavračajo naročila, ki presegajo vnaprej določene količinske in cenovne prage ali so očitno napačna.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Borza zagotovi možnost začasne ustavitve ali omejitve trgovanja na borznem trgu, če pride do precejšnjega nihanja cen finančnega instrumenta na tem ali podobnem trgu v kratkem časovnem obdobju. V izjemnih primerih lahko prekliče, spremeni ali popravi že sklenjeni posel.</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Parametri za začasno ustavitev trgovanja so primerni likvidnosti različnih vrst finančnih instrumentov, značilnosti tržnega modela in vrstam uporabnikov. Zagotavljajo preprečevanje resnih motenj urejenega trgovanja.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Borza agenciji predloži parametre za začasno ustavitev trgovanja in ji sporoči vsako pomembno spremembo teh.</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Agencija informacije iz prejšnjega odstavka pošlje ESMA.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Če je borzni trg glede likvidnosti posameznega finančnega instrumenta pomemben za ta instrument, borza vzpostavi sistem obveščanja, ki ob začasni ustavitvi trgovanja s finančnim instrumentom obvesti agencijo in nadzorne organe drugih držav članic, kjer se trguje s tem finančnim instrumentom, da bi lahko uskladili, ali je potrebno začasno ustaviti trgovanje tudi na drugih mestih trgovanja.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376.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(algoritemsko in elektronsko trgovanje, kolokacija)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Borza pri upravljanju borznega trga zagotovi učinkovite sisteme in postopke, ki zagotavljajo, da algoritemski trgovalni sistemi ne ustvarjajo neurejenega trgovanja ali k temu prispevajo, in da ustrezno upravljajo z oteženimi trgovalnimi pogoji, ki izhajajo iz algoritemskega trgovanja. Takšni sistemi vključujejo omejitve števila neizvršenih naročil, ki jih lahko udeleženec vnese v trgovalni sistem, upočasnitev toka naročil, če obstaja nevarnost preobremenitve trgovalnega sistema ter omejitve in zagotavljanje najmanjših korakov kotacije, ki jih je mogoče izvršiti na trgu.</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Sistemi in postopki iz prejšnjega odstavka vključujejo zagotavljanje pogojev za testiranje algoritmov in zahtevo borze, da od udeležencev trga zahteva ustrezna testiranja algoritmov.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(3) Borza dovoli opravljanje storitve zagotavljanja neposrednega elektronskega dostopa le osebam iz prvega in drugega odstavka 59. člena tega zakona, pri čemer se smiselno uporablja 243. člen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Borza vzpostavi primerna pravila in standarde glede nadzora tveganj in pragove trgovanja glede neposrednega elektronskega dostopa. Sposobna je razlikovati naročila in posle posameznih oseb, ki uporabljajo neposredni elektronski dostop, od drugih naročil ali trgovanja osebe iz prvega in drugega odstavka 59. člena tega zakona in jih po potrebi ustavi.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Borza lahko začasno odvzame ali prepove neposredni elektronski dostop, ki ga oseba iz prvega in drugega odstavka 59. člena tega zakona zagotavlja svoji stranki, če so kršena pravila iz tega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Pravila, ki se nanašajo na storitve kolokacije, so pregledna, poštena in ne smejo biti diskriminatorna.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Borza je sposobna, na podlagi spremnih označb članov ali udeležencev, identificirati naročila, ustvarjena z algoritemskim trgovanjem, različne uporabljene algoritme za ustvarjanje naročil in osebe, ki so sprožile ta naročila. Na zahtevo agencije ji borza te podatke predloži.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Borza agenciji brezplačno zagotovi vse trgovalne podatke, ki jih agencija potrebuje za opravljanje nadzora. Agencija lahko zahteva, da ji borza te podatke zagotovi z neposrednim dostopom do trgovalnih sistemov.</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377.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(koraki kotacije)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(1) Borza sprejme sistem korakov kotacije za delnice, potrdila o deponiranju vrednostnih papirjev, ETF, certifikate in druge podobne finančne instrumente ter za vsak drug finančni instrument v skladu z aktom Evropske komisije, izdanim na podlagi tretjega in četrtega odstavka 49. člena </w:t>
      </w:r>
      <w:r w:rsidR="00801FB2"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Izvajanje sistema korakov kotacije borzam ne preprečuje, da te povežejo naročila velike vrednosti po srednji vrednosti, znotraj trenutno ponujene nakupne ali prodajne cene.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Ureditev korakov kotacije: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je prilagojena likvidnosti in značilnostim finančnega instrumenta na različnih trgih in povprečnemu razponu med ponujeno in povpraševano ceno ob upoštevanju želje po zagotavljanju primerno stabilne cene, ne da bi se neopravičeno omejevalo nadaljnje zmanjševanje razponov,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sprejme primerne korake kotacije za vsak posamezni finančni instrument.</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378.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(uskladitev poslovnih ur)</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Vsa mesta trgovanja in njihovi člani ali udeleženci uskladijo poslovne ure, s katerimi beležijo datume in čase, ki jih uporabljajo za poročanje posameznih dejstev, ki jih zahtevajo predpisi.</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lastRenderedPageBreak/>
        <w:t>382.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(krizni načrt in načrt neprekinjenega poslovanja ter odpornost)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Borza izdela krizni načrt in načrt neprekinjenega poslovanja, ki zagotavlja ustrezne pogoje, da tudi ob hudih poslovnih motnjah nadaljuje poslovanje in da se ustrezno omejijo izgube borze zaradi teh motenj.</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Borza pri upravljanju borznega trga zagotovi učinkovite sisteme in postopke, ki zagotavljajo odpornost trgovalnega sistema, da lahko prenese močno povečan obseg naročil in sporočil v sistem. Trgovalni sistem zagotovi urejeno trgovanje v primeru hudih motenj na trgu, kar borza zagotovi z rednim testiranjem takšnih situacij, ki morajo biti opredeljene v kriznem načrtu in načrtu neprekinjenega poslovanja.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406.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(obveščanje agencije in objava začasne ustavitve trgovanja in umika finančnih instrumentov iz trgovanja na borznem trgu)</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Borza agencijo takoj obvesti o vsaki začasni ustavitvi trgovanja in vsakem umiku iz trgovanja na borznem trgu za vsak finančni instrument ali izvedeni finančni instrument, ki se nanaša na ta finančni instrument.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(2) Borza ob upoštevanju izvedbenega akta Evropske komisije, izdanega na podlagi tretjega odstavka 52. člena </w:t>
      </w:r>
      <w:r w:rsidR="00801FB2"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xml:space="preserve"> javno objavi informacije o začasni ustaviti trgovanja in umiku iz trgovanja na borznem trgu za vsak finančni instrument ali izvedeni finančni instrument, ki se nanaša na ta finančni instrument, na svojih spletnih straneh.</w:t>
      </w:r>
    </w:p>
    <w:p w:rsidR="002B5F0D" w:rsidRPr="004319E8" w:rsidRDefault="002B5F0D" w:rsidP="002B5F0D">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411. člen</w:t>
      </w:r>
    </w:p>
    <w:p w:rsidR="002B5F0D" w:rsidRPr="004319E8" w:rsidRDefault="002B5F0D" w:rsidP="002B5F0D">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(osebe, ki jih borza lahko sprejme v članstvo)</w:t>
      </w:r>
    </w:p>
    <w:p w:rsidR="002B5F0D" w:rsidRPr="004319E8" w:rsidRDefault="002B5F0D" w:rsidP="002B5F0D">
      <w:pPr>
        <w:pStyle w:val="zamik"/>
        <w:spacing w:before="210" w:after="210"/>
        <w:jc w:val="both"/>
        <w:rPr>
          <w:rFonts w:ascii="Arial" w:eastAsia="Arial" w:hAnsi="Arial" w:cs="Arial"/>
          <w:sz w:val="20"/>
          <w:szCs w:val="20"/>
        </w:rPr>
      </w:pPr>
      <w:r w:rsidRPr="004319E8">
        <w:rPr>
          <w:rFonts w:ascii="Arial" w:eastAsia="Arial" w:hAnsi="Arial" w:cs="Arial"/>
          <w:sz w:val="20"/>
          <w:szCs w:val="20"/>
        </w:rPr>
        <w:t>(1) Borza lahko v članstvo sprejme:</w:t>
      </w:r>
    </w:p>
    <w:p w:rsidR="002B5F0D" w:rsidRPr="004319E8" w:rsidRDefault="002B5F0D" w:rsidP="002B5F0D">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borznoposredniško družbo, investicijsko podjetje, banko ali posebno finančno institucijo, ki je v Republiki Sloveniji v skladu s prvim oziroma drugim odstavkom 59. člena tega zakona upravičena neposredno ali prek podružnice opravljati investicijske storitve in posle iz 2., 3. ali 4. točke prvega odstavka 11. člena tega zakona,</w:t>
      </w:r>
    </w:p>
    <w:p w:rsidR="002B5F0D" w:rsidRPr="004319E8" w:rsidRDefault="002B5F0D" w:rsidP="002B5F0D">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investicijsko podjetje, banko ali posebno finančno institucijo države članice, ki je v državi članici svojega sedeža upravičena opravljati investicijske storitve in posle iz 2., 3. ali 4. točke prvega odstavka 11. člena tega zakona.</w:t>
      </w:r>
    </w:p>
    <w:p w:rsidR="002B5F0D" w:rsidRPr="004319E8" w:rsidRDefault="002B5F0D" w:rsidP="002B5F0D">
      <w:pPr>
        <w:pStyle w:val="zamik"/>
        <w:spacing w:before="210" w:after="210"/>
        <w:jc w:val="both"/>
        <w:rPr>
          <w:rFonts w:ascii="Arial" w:eastAsia="Arial" w:hAnsi="Arial" w:cs="Arial"/>
          <w:sz w:val="20"/>
          <w:szCs w:val="20"/>
        </w:rPr>
      </w:pPr>
      <w:r w:rsidRPr="004319E8">
        <w:rPr>
          <w:rFonts w:ascii="Arial" w:eastAsia="Arial" w:hAnsi="Arial" w:cs="Arial"/>
          <w:sz w:val="20"/>
          <w:szCs w:val="20"/>
        </w:rPr>
        <w:t>(2) Pravila borze lahko določijo, da lahko borzni član postane tudi druga oseba, ki:</w:t>
      </w:r>
    </w:p>
    <w:p w:rsidR="002B5F0D" w:rsidRPr="004319E8" w:rsidRDefault="002B5F0D" w:rsidP="002B5F0D">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ima ustrezen ugled in dobro ime,</w:t>
      </w:r>
    </w:p>
    <w:p w:rsidR="002B5F0D" w:rsidRPr="004319E8" w:rsidRDefault="002B5F0D" w:rsidP="002B5F0D">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ima ustrezne trgovalne izkušnje in sposobnosti,</w:t>
      </w:r>
    </w:p>
    <w:p w:rsidR="002B5F0D" w:rsidRPr="004319E8" w:rsidRDefault="002B5F0D" w:rsidP="002B5F0D">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izpolnjuje druge pogoje za borznega člana, določene v pravilih borze.</w:t>
      </w:r>
    </w:p>
    <w:p w:rsidR="002B5F0D" w:rsidRPr="004319E8" w:rsidRDefault="002B5F0D" w:rsidP="002B5F0D">
      <w:pPr>
        <w:pStyle w:val="zamik"/>
        <w:spacing w:before="210" w:after="210"/>
        <w:jc w:val="both"/>
        <w:rPr>
          <w:rFonts w:ascii="Arial" w:eastAsia="Arial" w:hAnsi="Arial" w:cs="Arial"/>
          <w:sz w:val="20"/>
          <w:szCs w:val="20"/>
        </w:rPr>
      </w:pPr>
      <w:r w:rsidRPr="004319E8">
        <w:rPr>
          <w:rFonts w:ascii="Arial" w:eastAsia="Arial" w:hAnsi="Arial" w:cs="Arial"/>
          <w:sz w:val="20"/>
          <w:szCs w:val="20"/>
        </w:rPr>
        <w:t>(3) Borza lahko v članstvo sprejme tudi Republiko Slovenijo in Banko Slovenije.</w:t>
      </w:r>
    </w:p>
    <w:p w:rsidR="002B5F0D" w:rsidRPr="004319E8" w:rsidRDefault="002B5F0D" w:rsidP="00512760">
      <w:pPr>
        <w:pStyle w:val="zamik"/>
        <w:pBdr>
          <w:top w:val="none" w:sz="0" w:space="12" w:color="auto"/>
        </w:pBdr>
        <w:spacing w:before="210" w:after="210"/>
        <w:jc w:val="both"/>
        <w:rPr>
          <w:rFonts w:ascii="Arial" w:eastAsia="Arial" w:hAnsi="Arial" w:cs="Arial"/>
          <w:sz w:val="20"/>
          <w:szCs w:val="20"/>
        </w:rPr>
      </w:pP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422.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(namen nadzora in način opravljanja nadzora nad trgovanjem na borznem trgu)</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Agencija opravlja nadzor nad trgovanjem na borznem trgu zaradi preverjanja, ali trgovanje poteka na pošten in urejen način, in ugotavljanja morebitnih ravnanj, ki pomenijo zlorabo trga.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Agencija opravlja nadzor nad trgovanjem na borznem trgu:</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s spremljanjem, zbiranjem in preverjanjem objavljenih informacij in poročil ter obvestil borze in drugih oseb, ki po tem ali drugem zakonu poročajo agenciji,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z opravljanjem pregledov poslovanja:</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borze in oseb iz drugega odstavka 419. člena tega zakona,</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borznoposredniških družb in drugih oseb v skladu z določbami 10. poglavja tega zakona o nadzoru nad opravljanjem investicijskih storitev in poslov ter določbami 12. poglavja tega zakona o nadzoru nad kršitvami prepovedi zlorabe trga,</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izdajatelja in njegovih podrejenih ali nadrejenih družb v Republiki Sloveniji,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z izrekanjem nadzornih ukrepov.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Poleg nadzornih ukrepov, ki jih je agencija upravičena izreči po drugih določbah tega zakona, lahko agencija, če je to potrebno za varovanje interesov vlagateljev ali zagotovitve poštenega in urejenega trgovanja na borznem trgu, odredi začasno ustavitev trgovanja ali umik finančnega instrumenta iz trgovanja na borznem trgu. Agencija lahko odredi tudi ustavitev trgovanja ali umik izvedenih finančnih instrumentov iz 4. do 10. točke drugega odstavka 7. člena tega zakona, ki se nanašajo na finančni instrument, ki je predmet ustavitve oziroma umika iz trgovanja, da bi se zagotovil cilj ustavitve trgovanja oziroma umika iz trgovanja tega finančnega instrumenta.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(4) Agencija v primeru iz prejšnjega odstavka, tretjega ali četrtega odstavka 403. člena ali drugega ali tretjega odstavka 404. člena tega zakona od vseh drugih mest trgovanja in sistematičnih </w:t>
      </w:r>
      <w:proofErr w:type="spellStart"/>
      <w:r w:rsidRPr="004319E8">
        <w:rPr>
          <w:rFonts w:ascii="Arial" w:eastAsia="Arial" w:hAnsi="Arial" w:cs="Arial"/>
          <w:sz w:val="20"/>
          <w:szCs w:val="20"/>
        </w:rPr>
        <w:t>internalizatorjev</w:t>
      </w:r>
      <w:proofErr w:type="spellEnd"/>
      <w:r w:rsidRPr="004319E8">
        <w:rPr>
          <w:rFonts w:ascii="Arial" w:eastAsia="Arial" w:hAnsi="Arial" w:cs="Arial"/>
          <w:sz w:val="20"/>
          <w:szCs w:val="20"/>
        </w:rPr>
        <w:t xml:space="preserve"> s sedežem v Republiki Sloveniji, ki trgujejo z enakim finančnim ali izvedenim finančnim instrumentom, zahteva, da začasno ustavijo trgovanje ali umaknejo iz trgovanja zadevni finančni ali izvedeni finančni instrument v svojem sistemu, če je tak ukrep posledica suma kršitev določb predpisov o zlorabah trga ali prevzemih javnih družb ali nerazkritja notranjih informacij o izdajatelju ali finančnem instrumentu, kot je določeno v 7. in 17. členu </w:t>
      </w:r>
      <w:r w:rsidR="00801FB2" w:rsidRPr="004319E8">
        <w:rPr>
          <w:rFonts w:ascii="Arial" w:eastAsia="Arial" w:hAnsi="Arial" w:cs="Arial"/>
          <w:color w:val="0000EE"/>
          <w:sz w:val="20"/>
          <w:szCs w:val="20"/>
          <w:u w:val="single" w:color="0000EE"/>
        </w:rPr>
        <w:t>Uredbe 596/2014/EU</w:t>
      </w:r>
      <w:r w:rsidRPr="004319E8">
        <w:rPr>
          <w:rFonts w:ascii="Arial" w:eastAsia="Arial" w:hAnsi="Arial" w:cs="Arial"/>
          <w:sz w:val="20"/>
          <w:szCs w:val="20"/>
        </w:rPr>
        <w:t>, razen če bi tak ukrep lahko povzročil pomembne škodljive posledice za interese vlagateljev ali normalno delovanje trga.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Ukrep iz prejšnjega odstavka agencija nemudoma sporoči ESMA in nadzornim organom drugih držav članic.</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(6) Če agencija prejme obvestilo iz prejšnjega odstavka od pristojnega organa druge države članice, agencija od vseh mest trgovanja in sistematičnih </w:t>
      </w:r>
      <w:proofErr w:type="spellStart"/>
      <w:r w:rsidRPr="004319E8">
        <w:rPr>
          <w:rFonts w:ascii="Arial" w:eastAsia="Arial" w:hAnsi="Arial" w:cs="Arial"/>
          <w:sz w:val="20"/>
          <w:szCs w:val="20"/>
        </w:rPr>
        <w:t>internalizatorjev</w:t>
      </w:r>
      <w:proofErr w:type="spellEnd"/>
      <w:r w:rsidRPr="004319E8">
        <w:rPr>
          <w:rFonts w:ascii="Arial" w:eastAsia="Arial" w:hAnsi="Arial" w:cs="Arial"/>
          <w:sz w:val="20"/>
          <w:szCs w:val="20"/>
        </w:rPr>
        <w:t xml:space="preserve"> s sedežem v Republiki Sloveniji, ki trgujejo z enakim finančnim ali izvedenim finančnim instrumentom, zahteva, da začasno ustavijo trgovanje oziroma umaknejo iz trgovanja zadevni finančni ali izvedeni finančni instrument v svojem sistemu, če je tak ukrep posledica suma kršitev določb predpisov o zlorabah trga ali prevzemih javnih družb ali nerazkritja notranjih informacij o izdajatelju ali </w:t>
      </w:r>
      <w:r w:rsidRPr="004319E8">
        <w:rPr>
          <w:rFonts w:ascii="Arial" w:eastAsia="Arial" w:hAnsi="Arial" w:cs="Arial"/>
          <w:sz w:val="20"/>
          <w:szCs w:val="20"/>
        </w:rPr>
        <w:lastRenderedPageBreak/>
        <w:t xml:space="preserve">finančnem instrumentu, kot je določeno v 7. in 17. členu </w:t>
      </w:r>
      <w:r w:rsidR="00801FB2" w:rsidRPr="004319E8">
        <w:rPr>
          <w:rFonts w:ascii="Arial" w:eastAsia="Arial" w:hAnsi="Arial" w:cs="Arial"/>
          <w:color w:val="0000EE"/>
          <w:sz w:val="20"/>
          <w:szCs w:val="20"/>
          <w:u w:val="single" w:color="0000EE"/>
        </w:rPr>
        <w:t>Uredbe 596/2014/EU</w:t>
      </w:r>
      <w:r w:rsidRPr="004319E8">
        <w:rPr>
          <w:rFonts w:ascii="Arial" w:eastAsia="Arial" w:hAnsi="Arial" w:cs="Arial"/>
          <w:sz w:val="20"/>
          <w:szCs w:val="20"/>
        </w:rPr>
        <w:t>, razen če bi tak ukrep lahko povzročil pomembne škodljive posledice za interese vlagateljev ali normalno delovanje trga.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Agencija sporoči ESMA in nadzornim organom drugih držav članic svojo odločitev, ki jo je sprejela na podlagi prejšnjega odstavka, vključno z obrazložitvijo, če ni sprejela enakega ukrepa kot nadzorni organ druge države članice.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Ta člen se smiselno uporablja tudi, kadar sta bila začasna ustavitev trgovanja ali umik finančnega instrumenta iz trgovanja umaknjena.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443.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(pristojnost agencije za nadzor nad CDD)</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Agencija je pristojna za nadzor nad CDD.</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Agencija opravlja nadzor nad CDD zaradi preverjanja, ali CDD posluje v skladu s tem zakonom in predpisi, izdanimi na njegovi podlagi, ter drugimi akti, ki urejajo poslovanje s finančnimi instrumenti ali poslovanje CDD, in predpisi, izdanimi na njihovi podlagi.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Agencija opravlja nadzor nad CDD:</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s spremljanjem, zbiranjem in preverjanjem objavljenih informacij in poročil ter obvestil CDD in drugih oseb, ki ji po tem ali drugem zakonu oziroma predpisu poročajo,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z opravljanjem pregledov poslovanja CDD,</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z izrekanjem nadzornih ukrepov.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Za dosego namena nadzora nad CDD je agencija pristojna tudi za nadzor:</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nad člani uprave CDD v obsegu, določenem v 302. do 304. členu ZBan-3 v zvezi s 438.c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nad člani nadzornega sveta CDD v obsegu, določenem v 302. in 305. členu ZBan-3 v zvezi s 438.c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nad imetniki kvalificiranih deležev CDD, ki vključuje tudi neupravičene imetnike takšnih deležev v obsegu, določenem v 80. členu ZBan-3 v zvezi s 438.f členom tega zakona, in 438.h do 438.m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Agencija lahko CDD, članom uprave ter nadzornega sveta in imetnikom kvalificiranih deležev v CDD, izreče naslednje nadzorne ukrepe: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odreditev odprave kršitve, ki lahko vključuje tudi zahtevo za ustrezno spremembo ali dopolnitev pravil CDD,</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odvzem dovoljenja,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druge ukrepe, ki jih zakon oziroma drug predpis določa za vzpostavitev poslovanja CDD v skladu s predpisi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(6) Za nadzor nad CDD se smiselno uporabljajo 271. do 277. člen, prvi odstavek 279. člena, 281., 282., 293. in 295. člen ZBan-3. Za nadzor nad osebami iz 1. in 2. točke četrtega odstavka tega člena se smiselno uporablja podpoglavje 9.4 ZBan-3, če za posamezni primer ni določeno drugače.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Pri smiselni uporabi določb ZBan-3 iz četrtega in šestega odstavka tega člena se: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namesto izraza »banka« uporablja izraz »CDD«,</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namesto izraza »Banka Slovenije« uporablja izraz »agencija«,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namesto napotila na predpise iz drugega odstavka 9. člena ZBan-3 uporablja napotilo na drugi odstavek tega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Za izvajanje nadzora po tem ali drugem zakonu CDD agenciji omogoča elektronski dostop do podatkov, ki jih zbira na podlagi zakonov, ki urejajo prevzeme, nematerializirane vrednostne papirje in trgovanje s finančnimi instrumenti.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(9) Agencija lahko dostopa do podatkov iz tega člena v obsegu, ki je potreben za izvajanje posameznega nadzora. Pridobljene podatke je dolžna varovati v skladu z zakonom, ki varuje osebne podatke, in s pravili o varovanju poklicne skrivnosti.</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(10) Agencija izda predpis v zvezi s podrobnejšo vsebino meril za ocenjevanje ustreznosti kandidata za opravljanje funkcije člana uprave CDD ter v zvezi s podrobnejšo vsebino meril za ocenjevanje ustreznosti kandidata za opravljanje funkcije člana nadzornega sveta CDD.</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(11) Določbe tega člena se smiselno uporabljajo tudi kadar pristojnost za nadzor nad CDD izvaja Banka Slovenije.</w:t>
      </w:r>
    </w:p>
    <w:p w:rsidR="00224187" w:rsidRPr="004319E8" w:rsidRDefault="00224187" w:rsidP="00224187">
      <w:pPr>
        <w:pStyle w:val="center"/>
        <w:pBdr>
          <w:top w:val="none" w:sz="0" w:space="10"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448. člen</w:t>
      </w:r>
    </w:p>
    <w:p w:rsidR="00224187" w:rsidRPr="004319E8" w:rsidRDefault="00224187" w:rsidP="00224187">
      <w:pPr>
        <w:pStyle w:val="center"/>
        <w:pBdr>
          <w:top w:val="none" w:sz="0" w:space="10"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(upravljanje poravnalnega sistema za poravnavo borznih poslov)</w:t>
      </w:r>
    </w:p>
    <w:p w:rsidR="00224187" w:rsidRPr="004319E8" w:rsidRDefault="00224187" w:rsidP="00224187">
      <w:pPr>
        <w:pStyle w:val="zamik"/>
        <w:spacing w:before="210" w:after="210"/>
        <w:jc w:val="both"/>
        <w:rPr>
          <w:rFonts w:ascii="Arial" w:eastAsia="Arial" w:hAnsi="Arial" w:cs="Arial"/>
          <w:sz w:val="20"/>
          <w:szCs w:val="20"/>
        </w:rPr>
      </w:pPr>
      <w:r w:rsidRPr="004319E8">
        <w:rPr>
          <w:rFonts w:ascii="Arial" w:eastAsia="Arial" w:hAnsi="Arial" w:cs="Arial"/>
          <w:sz w:val="20"/>
          <w:szCs w:val="20"/>
        </w:rPr>
        <w:t>(1) Borza lahko za zagotovitev poravnave borznih poslov izbere katerikoli poravnalni sistem, ki ga upravlja:</w:t>
      </w:r>
    </w:p>
    <w:p w:rsidR="00224187" w:rsidRPr="004319E8" w:rsidRDefault="00224187" w:rsidP="00224187">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borznoposredniška družba, banka ali druga pravna oseba s sedežem v Republiki Sloveniji, ki za upravljanje tega poravnalnega sistema dobi dovoljenje agencije, ali</w:t>
      </w:r>
    </w:p>
    <w:p w:rsidR="00224187" w:rsidRPr="004319E8" w:rsidRDefault="00224187" w:rsidP="00224187">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investicijsko podjetje, banka ali druga pravna oseba druge države članice, ki je na podlagi dovoljenja nadzornega organa te države članice upravičena upravljati tak poravnalni sistem.</w:t>
      </w:r>
    </w:p>
    <w:p w:rsidR="00224187" w:rsidRPr="004319E8" w:rsidRDefault="00224187" w:rsidP="00224187">
      <w:pPr>
        <w:pStyle w:val="zamik"/>
        <w:spacing w:before="210" w:after="210"/>
        <w:jc w:val="both"/>
        <w:rPr>
          <w:rFonts w:ascii="Arial" w:eastAsia="Arial" w:hAnsi="Arial" w:cs="Arial"/>
          <w:sz w:val="20"/>
          <w:szCs w:val="20"/>
        </w:rPr>
      </w:pPr>
      <w:r w:rsidRPr="004319E8">
        <w:rPr>
          <w:rFonts w:ascii="Arial" w:eastAsia="Arial" w:hAnsi="Arial" w:cs="Arial"/>
          <w:sz w:val="20"/>
          <w:szCs w:val="20"/>
        </w:rPr>
        <w:t xml:space="preserve">(2) Za upravljavca poravnalnega sistema iz 1. točke prejšnjega odstavka se smiselno uporabljajo pododdelka 13.2.1 in 13.2.2, oddelek 13.3 tega zakona ter akti, sprejeti na podlagi </w:t>
      </w:r>
      <w:r w:rsidRPr="004319E8">
        <w:rPr>
          <w:rFonts w:ascii="Arial" w:eastAsia="Arial" w:hAnsi="Arial" w:cs="Arial"/>
          <w:color w:val="0000EE"/>
          <w:sz w:val="20"/>
          <w:szCs w:val="20"/>
          <w:u w:val="single" w:color="0000EE"/>
        </w:rPr>
        <w:t>Uredbe 909/2014/EU</w:t>
      </w:r>
      <w:r w:rsidRPr="004319E8">
        <w:rPr>
          <w:rFonts w:ascii="Arial" w:eastAsia="Arial" w:hAnsi="Arial" w:cs="Arial"/>
          <w:sz w:val="20"/>
          <w:szCs w:val="20"/>
        </w:rPr>
        <w:t xml:space="preserve"> glede dovoljenja za upravljanje poravnalnega sistema ter nadzora agencije in Banke Slovenije.</w:t>
      </w:r>
    </w:p>
    <w:p w:rsidR="00224187" w:rsidRPr="004319E8" w:rsidRDefault="00224187" w:rsidP="00224187">
      <w:pPr>
        <w:pStyle w:val="zamik"/>
        <w:spacing w:before="210" w:after="210"/>
        <w:jc w:val="both"/>
        <w:rPr>
          <w:rFonts w:ascii="Arial" w:eastAsia="Arial" w:hAnsi="Arial" w:cs="Arial"/>
          <w:sz w:val="20"/>
          <w:szCs w:val="20"/>
        </w:rPr>
      </w:pPr>
      <w:r w:rsidRPr="004319E8">
        <w:rPr>
          <w:rFonts w:ascii="Arial" w:eastAsia="Arial" w:hAnsi="Arial" w:cs="Arial"/>
          <w:sz w:val="20"/>
          <w:szCs w:val="20"/>
        </w:rPr>
        <w:t xml:space="preserve">(3) Za poravnalni sistem, ki ga upravlja upravljavec iz prvega odstavka tega člena, se smiselno uporabljajo 39. do 41. člen </w:t>
      </w:r>
      <w:r w:rsidRPr="004319E8">
        <w:rPr>
          <w:rFonts w:ascii="Arial" w:eastAsia="Arial" w:hAnsi="Arial" w:cs="Arial"/>
          <w:color w:val="0000EE"/>
          <w:sz w:val="20"/>
          <w:szCs w:val="20"/>
          <w:u w:val="single" w:color="0000EE"/>
        </w:rPr>
        <w:t>Uredbe 909/2014/EU</w:t>
      </w:r>
      <w:r w:rsidRPr="004319E8">
        <w:rPr>
          <w:rFonts w:ascii="Arial" w:eastAsia="Arial" w:hAnsi="Arial" w:cs="Arial"/>
          <w:sz w:val="20"/>
          <w:szCs w:val="20"/>
        </w:rPr>
        <w:t>.</w:t>
      </w:r>
    </w:p>
    <w:p w:rsidR="00224187" w:rsidRPr="004319E8" w:rsidRDefault="00224187" w:rsidP="00224187">
      <w:pPr>
        <w:pStyle w:val="zamik"/>
        <w:spacing w:before="210" w:after="210"/>
        <w:jc w:val="both"/>
        <w:rPr>
          <w:rFonts w:ascii="Arial" w:eastAsia="Arial" w:hAnsi="Arial" w:cs="Arial"/>
          <w:sz w:val="20"/>
          <w:szCs w:val="20"/>
        </w:rPr>
      </w:pPr>
      <w:r w:rsidRPr="004319E8">
        <w:rPr>
          <w:rFonts w:ascii="Arial" w:eastAsia="Arial" w:hAnsi="Arial" w:cs="Arial"/>
          <w:sz w:val="20"/>
          <w:szCs w:val="20"/>
        </w:rPr>
        <w:t>(4) Za izbiro upravljavca sistema iz prvega odstavka tega člena borza dobi dovoljenje agencije.</w:t>
      </w:r>
    </w:p>
    <w:p w:rsidR="00224187" w:rsidRPr="004319E8" w:rsidRDefault="00224187" w:rsidP="00224187">
      <w:pPr>
        <w:pStyle w:val="zamik"/>
        <w:spacing w:before="210" w:after="210"/>
        <w:jc w:val="both"/>
        <w:rPr>
          <w:rFonts w:ascii="Arial" w:eastAsia="Arial" w:hAnsi="Arial" w:cs="Arial"/>
          <w:sz w:val="20"/>
          <w:szCs w:val="20"/>
        </w:rPr>
      </w:pPr>
      <w:r w:rsidRPr="004319E8">
        <w:rPr>
          <w:rFonts w:ascii="Arial" w:eastAsia="Arial" w:hAnsi="Arial" w:cs="Arial"/>
          <w:sz w:val="20"/>
          <w:szCs w:val="20"/>
        </w:rPr>
        <w:t>(5) Agencija lahko zavrne zahtevo za dovoljenje za izbiro poravnalnega sistema samo v enem od naslednjih primerov:</w:t>
      </w:r>
    </w:p>
    <w:p w:rsidR="00224187" w:rsidRPr="004319E8" w:rsidRDefault="00224187" w:rsidP="00224187">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1.      če izbrani upravljavec poravnalnega sistema ne izpolnjuje pogojev iz prvega odstavka tega člena,</w:t>
      </w:r>
    </w:p>
    <w:p w:rsidR="00224187" w:rsidRPr="004319E8" w:rsidRDefault="00224187" w:rsidP="00224187">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      če izbrani upravljavec poravnalnega sistema ne zagotovi povezav in drugih pogojev za opravljanje poravnave borznih poslov v skladu z 39. do 41. členom </w:t>
      </w:r>
      <w:r w:rsidRPr="004319E8">
        <w:rPr>
          <w:rFonts w:ascii="Arial" w:eastAsia="Arial" w:hAnsi="Arial" w:cs="Arial"/>
          <w:color w:val="0000EE"/>
          <w:sz w:val="20"/>
          <w:szCs w:val="20"/>
          <w:u w:val="single" w:color="0000EE"/>
        </w:rPr>
        <w:t>Uredbe 909/2014/EU</w:t>
      </w:r>
      <w:r w:rsidRPr="004319E8">
        <w:rPr>
          <w:rFonts w:ascii="Arial" w:eastAsia="Arial" w:hAnsi="Arial" w:cs="Arial"/>
          <w:sz w:val="20"/>
          <w:szCs w:val="20"/>
        </w:rPr>
        <w:t xml:space="preserve"> ali</w:t>
      </w:r>
    </w:p>
    <w:p w:rsidR="00224187" w:rsidRPr="004319E8" w:rsidRDefault="00224187" w:rsidP="00224187">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v drugih primerih, ko je to očitno potrebno za zagotovitev normalnega delovanja borznega trga.</w:t>
      </w:r>
    </w:p>
    <w:p w:rsidR="00224187" w:rsidRPr="004319E8" w:rsidRDefault="00224187" w:rsidP="00224187">
      <w:pPr>
        <w:pStyle w:val="zamik"/>
        <w:spacing w:before="210" w:after="210"/>
        <w:jc w:val="both"/>
        <w:rPr>
          <w:rFonts w:ascii="Arial" w:eastAsia="Arial" w:hAnsi="Arial" w:cs="Arial"/>
          <w:sz w:val="20"/>
          <w:szCs w:val="20"/>
        </w:rPr>
      </w:pPr>
      <w:r w:rsidRPr="004319E8">
        <w:rPr>
          <w:rFonts w:ascii="Arial" w:eastAsia="Arial" w:hAnsi="Arial" w:cs="Arial"/>
          <w:sz w:val="20"/>
          <w:szCs w:val="20"/>
        </w:rPr>
        <w:t>(6) Za poravnalni sistem iz 2. točke prvega odstavka tega člena se smiselno uporablja peti odstavek 320. člena tega zakona.</w:t>
      </w:r>
    </w:p>
    <w:p w:rsidR="00224187" w:rsidRPr="004319E8" w:rsidRDefault="00224187" w:rsidP="00224187">
      <w:pPr>
        <w:pStyle w:val="zamik"/>
        <w:spacing w:before="210" w:after="210"/>
        <w:jc w:val="both"/>
        <w:rPr>
          <w:rFonts w:ascii="Arial" w:eastAsia="Arial" w:hAnsi="Arial" w:cs="Arial"/>
          <w:sz w:val="20"/>
          <w:szCs w:val="20"/>
        </w:rPr>
      </w:pPr>
      <w:r w:rsidRPr="004319E8">
        <w:rPr>
          <w:rFonts w:ascii="Arial" w:eastAsia="Arial" w:hAnsi="Arial" w:cs="Arial"/>
          <w:sz w:val="20"/>
          <w:szCs w:val="20"/>
        </w:rPr>
        <w:t>(7) V primeru izbire poravnalnega sistema, ki ga upravlja oseba iz prvega odstavka tega člena, poravnalno obdobje določi borza v pravilih borze.</w:t>
      </w:r>
    </w:p>
    <w:p w:rsidR="00224187" w:rsidRPr="004319E8" w:rsidRDefault="00224187" w:rsidP="00224187">
      <w:pPr>
        <w:pStyle w:val="zamik"/>
        <w:spacing w:before="210" w:after="210"/>
        <w:jc w:val="both"/>
        <w:rPr>
          <w:rFonts w:ascii="Arial" w:eastAsia="Arial" w:hAnsi="Arial" w:cs="Arial"/>
          <w:sz w:val="20"/>
          <w:szCs w:val="20"/>
        </w:rPr>
      </w:pPr>
      <w:r w:rsidRPr="004319E8">
        <w:rPr>
          <w:rFonts w:ascii="Arial" w:eastAsia="Arial" w:hAnsi="Arial" w:cs="Arial"/>
          <w:sz w:val="20"/>
          <w:szCs w:val="20"/>
        </w:rPr>
        <w:t>(8) Agencija pred izdajo soglasja k pravilom borze iz prejšnjega odstavka oziroma njihovim spremembam na podlagi tretjega odstavka 385. člena tega zakona v zvezi z določbami iz prejšnjega odstavka predhodno pridobi mnenje Banke Slovenije.</w:t>
      </w:r>
    </w:p>
    <w:p w:rsidR="00224187" w:rsidRPr="004319E8" w:rsidRDefault="00224187" w:rsidP="00224187">
      <w:pPr>
        <w:pStyle w:val="zamik"/>
        <w:spacing w:before="210" w:after="210"/>
        <w:jc w:val="both"/>
        <w:rPr>
          <w:rFonts w:ascii="Arial" w:eastAsia="Arial" w:hAnsi="Arial" w:cs="Arial"/>
          <w:sz w:val="20"/>
          <w:szCs w:val="20"/>
        </w:rPr>
      </w:pPr>
      <w:r w:rsidRPr="004319E8">
        <w:rPr>
          <w:rFonts w:ascii="Arial" w:eastAsia="Arial" w:hAnsi="Arial" w:cs="Arial"/>
          <w:sz w:val="20"/>
          <w:szCs w:val="20"/>
        </w:rPr>
        <w:t>(9) Agencija zavrne soglasje k pravilom borze ali spremembam pravil borze glede določb, ki se nanašajo na poravnalno obdobje, če:</w:t>
      </w:r>
    </w:p>
    <w:p w:rsidR="00224187" w:rsidRPr="004319E8" w:rsidRDefault="00224187" w:rsidP="00224187">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ne pridobi pozitivnega mnenja Banke Slovenije glede ustreznosti ureditve vodenja sistema poravnave vrednostnih papirjev,</w:t>
      </w:r>
    </w:p>
    <w:p w:rsidR="00224187" w:rsidRPr="004319E8" w:rsidRDefault="00224187" w:rsidP="00224187">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predlagana ureditev ne omogoča nemotenega in urejenega delovanja finančnih trgov ali</w:t>
      </w:r>
    </w:p>
    <w:p w:rsidR="00224187" w:rsidRPr="004319E8" w:rsidRDefault="00224187" w:rsidP="00224187">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s strani poravnalnega sistema niso izpolnjeni pogoji za zagotavljanje zanesljive, učinkovite in ekonomične poravnave borznih poslov.</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450.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(član sistema jamstva in zajamčena terjatev vlagatelja)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V sistem jamstva za terjatve vlagateljev po tem zakonu so,v skladu s pravili, ki jih izda agencija na podlagi 4. točke prvega odstavka 452. člena tega zakona, kot člani sistema jamstva vključeni:</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borznoposredniška družba s sedežem v Republiki Sloveniji in njene podružnice v državah članicah in tretjih državah, razen kadar je podružnica v tretji državi vključena v sistem jamstva za terjatve vlagateljev tretje države v skladu s predpisi tretje države,</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banka s sedežem v Republiki Sloveniji, ki opravlja investicijske storitve in posle in njene podružnice v državah članicah in tretjih državah, razen kadar je podružnica v tretji državi vključena v sistem jamstva za terjatve vlagateljev tretje države v skladu s predpisi tretje države,</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podružnica investicijskega podjetja iz tretje države v Republiki Sloveniji, v skladu s 3. točko drugega odstavka 217. člena tega zakona,</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podružnica banke iz tretje države v Republiki Sloveniji, ki opravlja investicijske storitve in posle, v skladu s 3. točko drugega odstavka 217. člena v povezavi s tretjim odstavkom 60. člena tega zakona,</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xml:space="preserve">-        družba za upravljanje s sedežem v Republiki Sloveniji, ki opravlja storitve gospodarjenja s finančnimi instrumenti in storitve hrambe v zvezi z enotami investicijskih skladov, in njene podružnice v državah članicah in tretjih državah, razen kadar je podružnica v tretji državi </w:t>
      </w:r>
      <w:r w:rsidRPr="004319E8">
        <w:rPr>
          <w:rFonts w:ascii="Arial" w:eastAsia="Arial" w:hAnsi="Arial" w:cs="Arial"/>
          <w:sz w:val="20"/>
          <w:szCs w:val="20"/>
          <w:lang w:val="sl-SI"/>
        </w:rPr>
        <w:lastRenderedPageBreak/>
        <w:t>vključena v sistem jamstva za terjatve vlagateljev tretje države v skladu s predpisi tretje države,</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upravljavec AIS s sedežem v Republiki Sloveniji, ki opravlja storitve gospodarjenja s finančnimi instrumenti, storitve hrambe v zvezi z enotami investicijskih skladov in storitve sprejemanja in posredovanja naročil v zvezi z enim ali več finančnimi instrumenti iz 2.c točke prvega odstavka 163. člena ZUAIS, ter njegove podružnice v državah članicah in tretjih državah, razen kadar je podružnica v tretji državi vključena v sistem jamstva za terjatve vlagateljev tretje države v skladu s predpisi tretje države.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Član sistema jamstva po tem zakonu postane tudi druga oseba iz prvega do petega odstavka 59. člena tega zakona, ki ni oseba iz prejšnjega odstavka, in ki jo agencija vključi v sistem jamstva v skladu s pravili iz četrte točke prvega odstavka 452. člena tega zakona, ker:</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jo k temu zavezuje drug predpis ali</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zaprosi agencijo za vključitev v sistem jamstva na lastno pobudo, v skladu s tem zakonom.</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Terjatev vlagatelja po tem zakonu je skupno stanje vseh terjatev fizične ali pravne osebe do člana sistema jamstva na podlagi pogodbe o opravljanju investicijskih storitev in poslov iz 1., 2., 4., 6. in 7. točke prvega odstavka 11. člena tega zakona ali pomožnih investicijskih storitev iz 1. točke prvega odstavka 19. člena tega zakona, pogodbe o opravljanju storitve gospodarjenja s finančnimi instrumenti iz 1. točke prvega odstavka 150. člena ZISDU-3 ali pomožne investicijske storitve hrambe v zvezi z enotami investicijskih skladov iz 2. alineje 2. točke prvega odstavka 150. člena ZISDU-3, ter pogodbe o opravljanju storitve gospodarjenja s finančnimi instrumenti iz 1. točke prvega odstavka 163. člena ZUAIS ali pomožne storitve hrambe v zvezi z enotami investicijskih skladov iz 2.b točke prvega odstavka 163. člena ZUAIS ali pomožne storitve sprejemanja in posredovanja naročil v zvezi z enim ali več finančnimi instrumenti iz 2.c točke prvega odstavka 163. člena ZUAIS. Za namene tega odstavka se kot terjatev vlagatelja ne upoštevajo izločitvene terjatve vlagatelja za izročitev finančnih instrumentov ali denarnih sredstev, za katere se vlagatelju v stečajnem postopku prizna izločitvena pravica.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Terjatev vlagatelja po tem zakonu je, pod enakimi pogoji, tudi:</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terjatev vlagatelja, ki jo v okviru skrbniških storitev na podlagi zakona, do člana sistema jamstva uveljavlja določena pooblaščena oseba, pri čemer se ta terjatev v skladu z zakonom obravnava ločeno od drugih terjatev in sredstev pooblaščene osebe; če izvajalec skrbniških storitev članu sistema jamstva na njegovo zahtevo ne sporoči pravočasno podatkov o dejanskih vlagateljih v zvezi s skrbniškim računom, se skrbniški račun za namene tega poglavja zakona obravnava kot račun na prinosnika,</w:t>
      </w:r>
    </w:p>
    <w:p w:rsidR="00512760" w:rsidRPr="004319E8" w:rsidRDefault="00512760" w:rsidP="00512760">
      <w:pPr>
        <w:pStyle w:val="alineazaodstavkom1"/>
        <w:spacing w:before="210" w:after="210"/>
        <w:ind w:left="425"/>
        <w:rPr>
          <w:rFonts w:ascii="Arial" w:eastAsia="Arial" w:hAnsi="Arial" w:cs="Arial"/>
          <w:sz w:val="20"/>
          <w:szCs w:val="20"/>
          <w:lang w:val="sl-SI"/>
        </w:rPr>
      </w:pPr>
      <w:r w:rsidRPr="004319E8">
        <w:rPr>
          <w:rFonts w:ascii="Arial" w:eastAsia="Arial" w:hAnsi="Arial" w:cs="Arial"/>
          <w:sz w:val="20"/>
          <w:szCs w:val="20"/>
          <w:lang w:val="sl-SI"/>
        </w:rPr>
        <w:t>-        – terjatev vlagatelja do člana sistema jamstva iz skupnega investicijskega posla, ki sta ga sklenili dve osebi ali več, kot člani poslovnega partnerstva, združenja ali povezave podobne narave, ki ni pravna oseba. Ob odsotnosti drugih določb v pogodbi o skupnem investicijskem poslu, se vlagateljem priznajo terjatve v enakih deležih.</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Ta odstavek se v skladu s 1. točko osmega odstavka tega člena ne uporablja v primeru terjatev kolektivnih naložbenih podjemov do člana sistema jamstva.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Upravičena terjatev vlagatelja po tem zakonu je stanje terjatve vlagatelja do istega člana sistema jamstva iz tretjega in četrtega odstavka tega člena, zmanjšano za skupno stanje vseh obveznosti vlagatelja do tega člana sistema jamstva na podlagi poslov iz tretjega in četrtega odstavka tega člena, ne glede na število računov vlagatelja pri tem članu sistema jamstva, ali valuto. Upravičena terjatev vlagatelja se upošteva kot osnova pri izračunu zajamčene terjatve vlagatelja po tem zakonu.</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(6) Zajamčena terjatev vlagatelja po tem zakonu je upravičena terjatev vlagatelja na dan začetka stečajnega postopka nad članom sistema jamstva, do višine 22.000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Če je terjatev ali obveznost vlagatelja, ki se upošteva pri ugotavljanju upravičene terjatve vlagatelja iz petega odstavka tega člena, nominirana v valuti, ki ni euro, se ta terjatev oziroma obveznost pretvori v euro po deviznem tečaju, ki ga objavi Banka Slovenije na dan začetka stečajnega postopka.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Ne glede na prvi do šesti odstavek tega člena se pri izračunu upravičenih terjatev po tem zakonu ne upoštevajo in med zajamčene terjatve po tem zakonu ne spadajo: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terjatve oseb iz prvega odstavka 246. člena tega zakona, tudi če so zahtevale, da jih član sistema jamstva v stečaju obravnava kot neprofesionalne stranke,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terjatve oseb, ki jih član sistema jamstva v stečaju v skladu z 247. in 248. členom tega zakona obravnava kot profesionalne stranke,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terjatve v zvezi s posli, zaradi katerih je bil imetnik terjatve pravnomočno obsojen za kaznivo dejanje pranja denarja,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terjatve članov organov vodenja in nadzora člana sistema jamstva v stečaju ter njihovih ožjih družinskih članov,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      terjatve delničarjev člana sistema jamstva v stečaju, ki imajo najmanj 5% delež v kapitalu investicijskega podjetja ali glasovalnih pravicah,</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6.      terjatve pravnih oseb, ki so podrejene družbe člana sistema jamstva v stečaju,</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7.      terjatve članov organov vodenja in nadzora pravnih oseb iz 5. in 6. točke tega odstavka in njihovih ožjih družinskih članov,</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8.      terjatve, ki se glede na svoje lastnosti upoštevajo pri izračunu kapitala člana sistema jamstva v stečaju,</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9.      terjatve pravnih oseb, ki na podlagi podatkov iz zadnjega objavljenega letnega poročila sodijo med velike oziroma srednje družbe po ZGD-1,</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10.   terjatve na računu na prinosnika iz prve alineje četrtega odstavka tega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(9) Član sistema jamstva obravnava račune iz četrtega odstavka tega člena v skladu s predpisom agencije iz 3. točke prvega odstavka 452.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(10) Član sistema jamstva vzpostavi in vodi evidence ter agenciji poroča v skladu s predpisom iz 5. točke prvega odstavka 452.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(11) V primeru stečaja člana sistema jamstva iz 2., 5. in 6. alineje prvega odstavka tega člena ali člana sistema jamstva iz drugega odstavka tega člena, ki ima sedež v Republiki Sloveniji, se smiselno uporabljata tudi prvi stavek drugega odstavka ter tretji in četrti odstavek 191. člena, 192. in 193. člen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(12) Osebe iz prvega odstavka tega člena niso vključene v sistem jamstva kot člani sistema jamstva, če do njih ne more nastati terjatev vlagatelja v skladu s tretjim ali četrtim odstavkom tega člena.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531.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lastRenderedPageBreak/>
        <w:t>(kršitve 7. poglavja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Z globo od 25.000 do 250.000 eurov se za prekršek kaznuje borznoposredniška družba ali banka ali odvisni borznoposredniški zastopnik, ki je pravna oseba, z globo od 80.000 do 500.000 eurov pa borznoposredniška družba ali banka, ki se po ZGD-1 šteje za srednjo ali veliko gospodarsko družbo,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ne obvesti svojih strank, da se telefonski pogovori, ki vodijo ali lahko vodijo k prejemu naročila stranke za trgovanje, beležijo, ali če sprejme, posreduje ali izvrši naročilo za trgovanje stranke brez podaje obvestila o beleženju teh pogovorov (četrti in peti odstavek 238.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pisno ne zabeleži naročil stranke, ki so bila oddana v osebnem pogovoru v skladu s šestim odstavkom 238.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razpolaga s finančnimi instrumenti v svojem imenu in za račun ali v imenu in za račun strank v nasprotju z 239.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razpolaga z denarnim dobroimetjem svojih strank v nasprotju z 240.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      z neprofesionalno stranko sklene dogovor o prenosu lastninske pravice v zavarovanje zaradi zavarovanja obstoječega ali bodočega, dejanskega, mogočega ali pričakovanega dolga (241. člen);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6.      na zahtevo agencije ne dokaže, da fizične osebe, ki v imenu borznoposredniške družbe ali banke opravljajo investicijsko svetovanje ali dajejo strankam informacije o finančnih instrumentih, investicijskih storitvah in poslih ter pomožnih investicijskih storitvah, razpolagajo z ustreznim znanjem in so usposobljene za izpolnitev zahtev do strank iz oddelka 7.2. tega zakona (tretji odstavek 250.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7.      glede dajanja ali objavljanja informacij strankam oziroma objavljanja tržnih sporočil ne ravna v skladu s prvim do osmim odstavkom 251.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8.      opravlja neodvisno investicijsko svetovanje za stranko in ne ravna v skladu z enajstim odstavkom 251.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9.      pri opravljanju storitev gospodarjenja s finančnimi instrumenti sprejme ali obdrži provizije, spodbude ali katerekoli druge denarne ali nedenarne koristi v zvezi z opravljanjem te investicijske storitve za stranke (dvanajsti odstavek 251.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10.   nagrajuje ali ocenjuje uspešnost zaposlenih v nasprotju z obveznostjo varovanja interesov strank (sedemnajsti odstavek 251.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11.   ponuja investicijsko storitev in posel skupaj z neko drugo storitvijo ali produktom, kot del paketa ali kot pogoj za isti dogovor oziroma paket in ne ravna v skladu z osemnajstim odstavkom 251.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12.   pri opravljanju investicijskih storitev in poslov ter pomožnih investicijskih storitev ne ravna vestno, pošteno in z ustrezno profesionalno skrbnostjo ter ne varuje interesov strank (252. člen);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13.   glede finančnih instrumentov, ki jih ta ponuja ali priporoča svojim strankam na način iz 253. člena tega zakona, ne ravna v skladu z zahtevami iz 253.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14.   od stranke oziroma morebitne stranke v okviru opravljanja storitve investicijskega svetovanja ali gospodarjenja s finančnimi instrumenti ne pridobi informacij v skladu s prvim odstavkom 254.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15.   stranki priporoča paket storitev ali produktov v nasprotju z drugim ali četrtim odstavkom 254.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16.   v primerih, ki jih določa ta zakon, ne sklene pisne pogodbe o opravljanju posameznih vrst investicijskih storitev in poslov ali pomožnih investicijskih storitev oziroma pogodba ne vsebuje določb o vsebini vseh medsebojnih pravic in obveznosti pogodbenih strank (prvi in drugi odstavek 257.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17.   stranki ne poroča o opravljenih storitvah, ki jih je opravila zanjo oziroma ne predloži izjave o primernosti v skladu z 258.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18.   stranki, katere naročilo je posredovala borznoposredniški družbi prejemnici naročila, ni podala ustreznih priporočil, pojasnil ali nasvetov v zvezi s storitvami in posli, glede katerih je posredovala naročilo (tretji in četrti odstavek 260.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19.   ne izvrši naročila stranke po najugodnejšimi pogoji za stranko v skladu s prvim do šestim odstavkom 267.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20.   ne vzpostavi in izvaja sistema in postopkov, ki omogočajo učinkovito izpolnjevanje obveznosti, določenih v 267. členu tega zakona (prvi odstavek 268.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21.   ne vzpostavi in uresničuje politike izvrševanja naročil strank oziroma stranke ne seznani s politiko izvrševanja naročil oziroma od stranke ne pridobi predhodnega soglasja k politiki izvrševanja naročil v skladu z drugim, tretjim in četrtim odstavkom 268.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22.   stranke ne opozori, da politika izvrševanja naročil strank določa možnost izvršitve teh naročil zunaj mest trgovanja oziroma je izvršitev naročila stranke opravila zunaj mesta trgovanja in za to prej ni dobila izrecnega soglasja stranke (prvi in drugi odstavek 269.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23.   ne spremlja učinkovitosti sistema in postopkov ter politike izvrševanja naročil, da bi se ugotovile in odpravile pomanjkljivosti teh ukrepov oziroma politik v skladu s prvim odstavkom 270.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24.   strank ne obvesti o vsaki spremembi sistema in postopkov ter politike izvrševanja naročil v skladu z drugim odstavkom 270.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25.   ne izvaja obveznosti glede izvrševanja naročil strank v skladu s tretjim odstavkom 270.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26.   s stranko ne sklene pogodbe o gospodarjenju z vrednostnimi papirji v pisni obliki (drugi odstavek 281.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27.   se nematerializirani vrednostni papirji ali finančni instrumenti ne prenesejo na račun stranke v skladu z 285.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28.   zneska kupnine oziroma neizkoriščenega predujma ne nakaže v skladu z 286. členom tega zakona ali ga uporablja v nasprotju s tem členom;</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29.   svojih vrednostnih papirjev ne vodi na hišnem računu (prvi in tretji odstavek 295.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30.   na hišni račun prenese vrednostne papirje, katerih imetniki so stranke oziroma jih je pridobila na račun stranke (drugi odstavek 295.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31.   vnese nalog stranke za prenos nematerializiranih vrednostnih papirjev oziroma nalog za vpis pravic tretjih na nematerializiranih vrednostnih papirjih brez ustreznega pisnega naloga te stranke (prvi odstavek 298.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32.   ne vnaša nalogov za prenose med računi imetnika oziroma za vpis pravic tretjih na vrednostnih papirjih tega imetnika po vrstnem redu prejema nalogov v skladu s 300.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33.   vrednostnih papirjev stranke, izdanih kot pisne listine, ne hrani na način iz 303.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34.   vodi denarni račun strank v nasprotju s 307.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35.   sporoči zaupne podatke o posamezni stranki tretjim osebam oziroma jih uporabi sama ali omogoči, da bi jih uporabile tretje osebe (310. člen);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36.   ne zagotavlja učinkovitega varovanja zaupnih podatkov in varovanja pred njihovo morebitno zlorabo v skladu s 313. členom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(2) Z globo od 25.000 do 250.000 eurov se za prekršek kaznuje sistematični </w:t>
      </w:r>
      <w:proofErr w:type="spellStart"/>
      <w:r w:rsidRPr="004319E8">
        <w:rPr>
          <w:rFonts w:ascii="Arial" w:eastAsia="Arial" w:hAnsi="Arial" w:cs="Arial"/>
          <w:sz w:val="20"/>
          <w:szCs w:val="20"/>
        </w:rPr>
        <w:t>internalizator</w:t>
      </w:r>
      <w:proofErr w:type="spellEnd"/>
      <w:r w:rsidRPr="004319E8">
        <w:rPr>
          <w:rFonts w:ascii="Arial" w:eastAsia="Arial" w:hAnsi="Arial" w:cs="Arial"/>
          <w:sz w:val="20"/>
          <w:szCs w:val="20"/>
        </w:rPr>
        <w:t xml:space="preserve">, če vsaj enkrat letno brezplačno ne objavi podatkov o kakovosti izvršitve poslov v svojih trgovalnih sistemih za finančne instrumente za katere velja obveznost trgovanja iz 23. in 28. člena </w:t>
      </w:r>
      <w:r w:rsidR="00801FB2"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v skladu s sedmim odstavkom 267.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(3) Če je narava storjenega prekrška iz prvega in drugega odstavka tega člena posebno huda zaradi višine povzročene škode oziroma višine pridobljene protipravne premoženjske koristi ali zaradi storilčevega naklepa oziroma njegovega namena koristoljubnosti, se oseba iz prvega odstavka tega člena ali sistematični </w:t>
      </w:r>
      <w:proofErr w:type="spellStart"/>
      <w:r w:rsidRPr="004319E8">
        <w:rPr>
          <w:rFonts w:ascii="Arial" w:eastAsia="Arial" w:hAnsi="Arial" w:cs="Arial"/>
          <w:sz w:val="20"/>
          <w:szCs w:val="20"/>
        </w:rPr>
        <w:t>internalizator</w:t>
      </w:r>
      <w:proofErr w:type="spellEnd"/>
      <w:r w:rsidRPr="004319E8">
        <w:rPr>
          <w:rFonts w:ascii="Arial" w:eastAsia="Arial" w:hAnsi="Arial" w:cs="Arial"/>
          <w:sz w:val="20"/>
          <w:szCs w:val="20"/>
        </w:rPr>
        <w:t xml:space="preserve"> kaznuje z globo v višini do: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10 % skupnega letnega prometa glede na zadnje razpoložljive letne računovodske izkaze, ki jih je odobril pristojni organ družbe, oziroma skupnega letnega prometa ali ustrezne vrste prihodka, ki izhaja iz zadnje razpoložljive konsolidirane letne bilance, ki jo je odobril pristojni organ matične družbe, če pravna oseba pripravi konsolidirane računovodske izkaze na podlagi ZGD-1, ali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dvakratnega zneska dobička, pridobljenega s kršitvijo, ali izgube, preprečene s kršitvijo, kadar ju je mogoče opredeliti, če ta znesek presega znesek iz prejšnje točke.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(4) Član uprave osebe iz prvega odstavka tega člena ali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 ki stori prekršek iz prvega ali drugega odstavka tega člena, se za prekršek kaznuje z globo v višini od 2.500 eurov do 10.000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(5) Član nadzornega sveta osebe iz prvega odstavka tega člena ali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 ki stori prekršek iz prvega ali drugega odstavka tega člena, se za prekršek kaznuje z globo v višini od 2.500 eurov do 10.000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(6) Če je narava storjenega prekrška iz četrtega ali petega odstavka tega člena posebno huda zaradi višine povzročene škode oziroma višine pridobljene protipravne premoženjske koristi ali zaradi storilčevega naklepa oziroma njegovega namena koristoljubnosti, se član uprave ali nadzornega sveta osebe iz prvega odstavka tega člena ali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 xml:space="preserve"> kaznuje z globo do višine 5.000.000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(7) Odgovorna oseba osebe iz prvega odstavka tega člena ali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 xml:space="preserve">, ki ni član uprave ali nadzornega sveta borznoposredniške družbe ali banke, se za prekršek iz prvega ali drugega odstavka tega člena kaznuje z globo od 800 do 10.000 eurov. Če je narava storjenega prekrška iz prejšnjega stavka posebno huda zaradi višine povzročene škode oziroma višine pridobljene protipravne premoženjske koristi ali zaradi storilčevega naklepa oziroma njegovega namena koristoljubnosti, se odgovorna oseba osebe iz prvega odstavka tega člena ali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 xml:space="preserve"> kaznuje z globo od 2.500 do 30.000 eurov.</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532.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(druge hujše kršitve borznoposredniške družbe ali banke)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(1) Z globo od 25.000 do 250.000 eurov se za prekršek kaznuje borznoposredniška družba ali banka, z globo od 80.000 do 500.000 eurov pa borznoposredniška družba ali banka, ki se po ZGD-1 šteje za srednjo ali veliko gospodarsko družbo,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opravlja druge dejavnosti razen dejavnosti iz prvega in drugega odstavka 176. člena tega zakona (četrti odstavek 176.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kreditira oziroma daje jamstva za nakup delnic v nasprotju s petim odstavkom 181.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ne obvesti agencije o spremembi deleža posameznega delničarja v skladu s 81. členom ZBan-3 v zvezi s prvim odstavkom 182.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ne vzpostavi ali ne izvaja ustrezne politike izbora kandidatov za člane upravljalnega organa v skladu s prvim in drugim odstavkom 35. člena ZBan-3 v zvezi s 185.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      določi število direktorskih funkcij, ki jih lahko sočasno opravlja posamezni član upravljalnega organa v drugih družbah in organizacijah hkrati z opravljanjem funkcije člana upravljalnega organa borznoposredniške družbe v nasprotju z 38. členom ZBan-3 v zvezi s prvim in drugim odstavkom 185.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6.      uprava borznoposredniške družbe nima vsaj dveh članov uprave, ki borznoposredniško družbo skupaj zastopata in predstavljata v pravnem prometu (prvi odstavek 39. člena ZBan-3 v povezavi s prvim odstavkom 185.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7.      je omogočila, da ena ali več oseb, ki ne izpolnjujejo pogojev, določenih s tem zakonom, opravlja funkcijo člana uprave ali člana nadzornega sveta borznoposredniške družbe (40. člen, prvi in drugi odstavek 41. člena ter 55. člen ZBan-3 v povezavi s 185.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8.      </w:t>
      </w:r>
      <w:r w:rsidRPr="004319E8">
        <w:rPr>
          <w:rFonts w:ascii="Arial" w:eastAsia="Arial" w:hAnsi="Arial" w:cs="Arial"/>
          <w:b/>
          <w:bCs/>
          <w:sz w:val="20"/>
          <w:szCs w:val="20"/>
        </w:rPr>
        <w:t>(črtana)</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9.      </w:t>
      </w:r>
      <w:r w:rsidRPr="004319E8">
        <w:rPr>
          <w:rFonts w:ascii="Arial" w:eastAsia="Arial" w:hAnsi="Arial" w:cs="Arial"/>
          <w:b/>
          <w:bCs/>
          <w:sz w:val="20"/>
          <w:szCs w:val="20"/>
        </w:rPr>
        <w:t>(črtana)</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10.   </w:t>
      </w:r>
      <w:r w:rsidRPr="004319E8">
        <w:rPr>
          <w:rFonts w:ascii="Arial" w:eastAsia="Arial" w:hAnsi="Arial" w:cs="Arial"/>
          <w:b/>
          <w:bCs/>
          <w:sz w:val="20"/>
          <w:szCs w:val="20"/>
        </w:rPr>
        <w:t>(črtana)</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11.   </w:t>
      </w:r>
      <w:r w:rsidRPr="004319E8">
        <w:rPr>
          <w:rFonts w:ascii="Arial" w:eastAsia="Arial" w:hAnsi="Arial" w:cs="Arial"/>
          <w:b/>
          <w:bCs/>
          <w:sz w:val="20"/>
          <w:szCs w:val="20"/>
        </w:rPr>
        <w:t>(črtana)</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12.   o nameri ustanovitve podružnice borznoposredniške družbe v državi članici oziroma nameri poslovati prek odvisnih borznoposredniških zastopnikov s sedežem v drugi državi članici, kjer nima ustanovljene podružnice, ne obvesti agencije ali obvestilo ni v skladu s prvim in drugim odstavkom 203.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13.   začne opravljati posle prek podružnice v državi članici v nasprotju z 205.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14.   glede podružnice v državi članici oziroma v primeru uporabe odvisnega borznoposredniškega zastopnika s sedežem v drugi državi članici ne obvesti agencije en mesec pred izvedbo nameravane spremembe v nasprotju s prvim odstavkom 206.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15.   posluje v drugi državi članici prek odvisnih borznoposredniških zastopnikov s sedežem v Republiki Sloveniji in agenciji ni sporočila podatkov o teh zastopnikih v skladu s prvim odstavkom 207.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16.   v roku in na način iz petega odstavka 207. člena tega zakona ne obvesti agencije o vsaki spremembi podatkov glede neposrednega opravljanja investicijskih storitev in poslov v državi članici;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17.   ustanovi podružnico v tretji državi, ne da bi za ustanovitev podružnice pridobila dovoljenje agencije (drugi odstavek 209.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18.   začne neposredno opravljati investicijske storitve in posle ali pomožne investicijske storitve v državi članici ali tretji državi, ne da bi o tem obvestila agencijo (prvi odstavek 207. člena oziroma drugi odstavek 210.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19.   </w:t>
      </w:r>
      <w:r w:rsidRPr="004319E8">
        <w:rPr>
          <w:rFonts w:ascii="Arial" w:eastAsia="Arial" w:hAnsi="Arial" w:cs="Arial"/>
          <w:b/>
          <w:bCs/>
          <w:sz w:val="20"/>
          <w:szCs w:val="20"/>
        </w:rPr>
        <w:t>(črtana)</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20.   </w:t>
      </w:r>
      <w:r w:rsidRPr="004319E8">
        <w:rPr>
          <w:rFonts w:ascii="Arial" w:eastAsia="Arial" w:hAnsi="Arial" w:cs="Arial"/>
          <w:b/>
          <w:bCs/>
          <w:sz w:val="20"/>
          <w:szCs w:val="20"/>
        </w:rPr>
        <w:t>(črtana)</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21.   </w:t>
      </w:r>
      <w:r w:rsidRPr="004319E8">
        <w:rPr>
          <w:rFonts w:ascii="Arial" w:eastAsia="Arial" w:hAnsi="Arial" w:cs="Arial"/>
          <w:b/>
          <w:bCs/>
          <w:sz w:val="20"/>
          <w:szCs w:val="20"/>
        </w:rPr>
        <w:t>(črtana)</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22.   ne poroča agenciji v skladu z 271. členom ZBan-3 v zvezi s prvim odstavkom 347.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23.   vodi poslovne knjige, sestavlja knjigovodske listine, vrednoti knjigovodske postavke ali sestavlja računovodska poročila v nasprotju z drugim odstavkom 102. člena ZBan-3 v zvezi s prvim odstavkom 230.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24.   ne poroča finančnih informacij glede računovodskih izkazov v skladu s tretjim odstavkom 103. člena ZBan-3 v zvezi s prvim odstavkom 230.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25.   ne predloži letnega poročila, konsolidiranega letnega poročila, revizorjevega poročila ali dodatnega revizorjevega poročila v skladu s 105. členom ZBan-3 v zvezi s prvim odstavkom 230.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26.   v rokih iz prvega oziroma tretjega odstavka 108. člena ZBan-3 v zvezi s prvim odstavkom 230. člena tega zakona na svojih javnih spletnih straneh ne objavi letnega poročila oziroma konsolidiranega letnega poročila ali revizorjevega poročila o revidiranju letnega poročila iz drugega odstavka 57. člena ZGD-1;</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27.   ne zagotovi, da ostaneta letno poročilo in revizorjevo poročilo iz drugega odstavka 57. člena ZGD-1 dostopna na njenih javnih spletnih straneh najmanj pet let po objavi (četrti odstavek 108. člena ZBan-3 v zvezi s prvim odstavkom 230.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28.   glede razkritja dodatnih informacij ne ravna v skladu z 231.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29.   ni vzpostavila in uresničevala ustrezne politike in postopkov pravilnega poslovanja v skladu z 232.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30.   po pridobitvi dovoljenja za opravljanje investicijskih storitev in poslov ne izpolnjuje katerega od pogojev, ki so potrebni za pridobitev tega dovoljenja (tretji odstavek 232.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31.   ni vzpostavila in uresničevala ustreznih ukrepov za ugotavljanje in preprečevanje nasprotij interesov v skladu s prvim in drugim odstavkom 233.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32.   ni izpolnjevala obveznosti in vzpostavila ter uresničevala postopkov potrjevanja finančnih instrumentov, ki jih ponuja svojim strankam, v skladu s petim do devetim odstavkom 233.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33.   ne opravi vseh razumnih ukrepov za zagotovitev neprekinjenega in rednega opravljanja investicijskih storitev in poslov v skladu z 234.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34.   prenese poslovne procese na drugo osebo v nasprotju z 235.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35.   ne vzpostavi in vzdržuje sistemov notranjih kontrol, postopkov ugotavljanja, merjenja oziroma ocenjevanja, obvladovanja in spremljanja tveganj in ukrepov za nadzor in varovanje informacijskih sistemov za obdelavo podatkov (prvi odstavek 236.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36.   ne vzpostavi in vzdržuje zanesljivih varnostnih mehanizmov, ki zagotavljajo varnost in preverjanje prenosa informacij, zmanjšujejo tveganje spreminjanja in izgube informacij, preprečujejo nepooblaščen dostop do informacij in odtekanje informacij ali ne zagotavljajo zaupnosti informacij v skladu z drugim odstavkom 236.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37.   ne vodi in hrani evidenc, poslovnih knjig in druge dokumentacije v skladu s prvim in drugim odstavkom 237.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38.   ne vodi in ne hrani elektronske komunikacije in telefonskih pogovorov v skladu s prvim, drugim, tretjim in osmim odstavkom 238.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39.   ne zagotovi, da osebe, ki zanjo izvajajo investicijske storitve in posle ne prejemajo, pošiljajo ali ustvarjajo telefonskih pogovorov in druge elektronske komunikacije z lastno opremo, ki borznoposredniški družbi ne omogoča beleženja ali shranjevanja v skladu s sedmim odstavkom 238.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40.   ni vzpostavila učinkovitih sistemov in nadzora ter ni izpolnjevala obveznosti v zvezi z algoritemskim trgovanjem, neposrednim elektronskim dostopom in opravljanjem poravnalnih storitev za druge osebe v skladu z 242., 243. in 244.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41.   kot borznoposredniška družba prejemnica naročila ni opravila storitev ali posla v skladu z oddelkom 7.2 tega zakona (peti odstavek 260.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42.   pred izvršitvijo naročila za družbo iz četrtega odstavka 276. člena tega zakona ne pridobi izrecnega soglasja te družbe, da jo borznoposredniška družba obravnava kot primerno nasprotno stranko (peti odstavek 276.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43.   pri opravljanju investicijskih storitev in poslov ter pomožnih investicijskih storitev za primerno nasprotno stranko ne ravna vestno, pošteno in z ustrezno profesionalno skrbnostjo ter jim ne daje informacij, ki so poštene, jasne in niso zavajajoče, pri čemer ne upošteva značilnosti primerne nasprotne stranke in njenih poslov (sedmi odstavek 276.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44.   ne zagotovi, da odvisni borznoposredniški zastopnik takoj, ko vzpostavi stik oziroma pred začetkom poslovanja s stranko oziroma morebitno stranko tej razkrije, da nastopa kot odvisni borznoposredniški zastopnik ali razkrije borznoposredniško družbo, ki jo zastopa v skladu s tretjim odstavkom 279.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45.   pooblasti osebo, ki opravlja storitve odvisnega borznoposredniškega zastopnika, čeprav ni vpisana v register zastopnikov iz 278. člena tega zakona ali v javni register odvisnih borznoposredniških zastopnikov druge države članice (prvi odstavek 280.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46.   ne nadzoruje dejanj iz prvega odstavka 279. člena tega zakona, ki jih v njenem imenu opravlja odvisni borznoposredniški zastopnik ali ne opravi vseh ukrepov, potrebnih za zagotovitev, da ta zastopnik pri opravljanju teh dejanj ravna v skladu s predpisi iz 1. točke prvega odstavka 232. člena tega zakona (drugi odstavek 280.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47.   ne opravi vseh ukrepov, potrebnih za zagotovitev, da drugi posli, ki jih opravlja odvisni borznoposredniški zastopnik in za katere se ne uporabljajo določbe tega zakona o investicijskih storitvah in poslih oziroma pomožnih investicijskih storitvah, nimajo negativnega vpliva na opravljanje investicijskih storitev in poslov, ki jih odvisni borznoposredniški zastopnik opravlja za to borznoposredniško družbo (tretji odstavek 280.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48.   krši dolžnost varovanja zaupnih podatkov po 311. členu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49.   trguje z izvedenimi finančnimi instrumenti na blago ali emisijskimi kuponi ali njihovimi izvedenimi finančnimi instrumenti izven mesta trgovanja in agenciji ne poroča v skladu s tretjim odstavkom 332.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50.   pooblaščeni osebi agencije ne omogoči pregleda ali ovira izvajanje njegovih nalog in pooblastil na način, določen v 272., 275., 276., 277. in 278. členu ZBan-3 v zvezi s 347.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51.   pridobi dovoljenje ali soglasje, ki je določeno s tem zakonom ali </w:t>
      </w:r>
      <w:r w:rsidR="00801FB2" w:rsidRPr="004319E8">
        <w:rPr>
          <w:rFonts w:ascii="Arial" w:eastAsia="Arial" w:hAnsi="Arial" w:cs="Arial"/>
          <w:color w:val="0000EE"/>
          <w:sz w:val="20"/>
          <w:szCs w:val="20"/>
          <w:u w:val="single" w:color="0000EE"/>
        </w:rPr>
        <w:t>Uredbo 575/2013/EU</w:t>
      </w:r>
      <w:r w:rsidRPr="004319E8">
        <w:rPr>
          <w:rFonts w:ascii="Arial" w:eastAsia="Arial" w:hAnsi="Arial" w:cs="Arial"/>
          <w:sz w:val="20"/>
          <w:szCs w:val="20"/>
        </w:rPr>
        <w:t>, z navajanjem neresničnih podatkov ali na podlagi drugega zavajajočega ravnanja (347. člen);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52.   ne vzpostavi in dosledno ne uresničuje primernih notranjih postopkov za upravljanje tveganj in mehanizmov notranjih kontrol, vključno z zanesljivimi postopki poročanja ter računovodskimi postopki, z namenom ugotavljanja, merjenja, spremljanja in nadzora poslov z njenim nadrejenim mešanim poslovnim holdingom in njegovimi podrejenimi družbami v skladu z drugim odstavkom 337. člena ZBan-3 v zvezi s prvim odstavkom 347.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53.   ne ravna v skladu z odredbo iz 283. in 288. člena ZBan-3 v zvezi s tretjim odstavkom 347.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54.   posebnemu pooblaščencu iz 289. člena ZBan-3 ne omogoči ali ga ovira pri izvajanju njegovih nalog in pooblastil v skladu z 289. in 291. členom ZBan-3 v zvezi s tretjim odstavkom 347.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 xml:space="preserve">(2)  </w:t>
      </w:r>
      <w:r w:rsidRPr="004319E8">
        <w:rPr>
          <w:rFonts w:ascii="Arial" w:eastAsia="Arial" w:hAnsi="Arial" w:cs="Arial"/>
          <w:b/>
          <w:bCs/>
          <w:sz w:val="20"/>
          <w:szCs w:val="20"/>
        </w:rPr>
        <w:t>(črtan)</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Če je narava storjenega prekrška iz prvega ali drugega odstavka tega člena posebno huda zaradi višine povzročene škode oziroma višine pridobljene protipravne premoženjske koristi ali zaradi storilčevega naklepa oziroma njegovega namena koristoljubnosti, se borznoposredniška družba ali banka kaznuje z globo v višini do: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5.000.000 eurov ali 10 % skupnega letnega prometa glede na zadnje razpoložljive računovodske izkaze, ki jih je odobril pristojni organ družbe, oziroma skupnega letnega prometa ali ustrezne vrste prihodka, ki izhaja iz zadnje razpoložljive konsolidirane letne bilance, ki jo je odobril pristojni organ matične družbe, če pravna oseba pripravi konsolidirane računovodske izkaze na podlagi ZGD-1, pri čemer se upošteva višji znesek, ali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dvakratnega zneska dobička, pridobljenega s kršitvijo, ali izgube, preprečene s kršitvijo, kadar ju je mogoče opredeliti, če ta znesek presega znesek iz prejšnje točke.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Član uprave borznoposredniške družbe ali banke, ki stori prekršek iz prvega ali drugega odstavka tega člena, se za prekršek kaznuje z globo v višini od 2.500 do 10.000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Član nadzornega sveta borznoposredniške družbe ali banke, ki stori prekršek iz prvega ali drugega odstavka tega člena, se za prekršek kaznuje z globo v višini od 2.500 do 10.000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Če je narava storjenega prekrška iz četrtega ali petega odstavka tega člena posebno huda zaradi višine povzročene škode oziroma višine pridobljene protipravne premoženjske koristi ali zaradi storilčevega naklepa oziroma njegovega namena koristoljubnosti, se član uprave ali nadzornega sveta borznoposredniške družbe ali banke kaznuje z globo do višine 5.000.000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Odgovorna oseba borznoposredniške družbe ali banke, ki ni član uprave ali nadzornega sveta, se za prekršek iz prvega ali drugega odstavka tega člena kaznuje z globo od 800 do 10.000 eurov. Če je narava storjenega prekrška iz prejšnjega stavka posebno huda zaradi višine povzročene škode oziroma višine pridobljene protipravne premoženjske koristi ali zaradi storilčevega naklepa oziroma njegovega namena koristoljubnosti, se odgovorna oseba borznoposredniške družbe ali banke kaznuje z globo od 2.500 do 30.000 eurov.</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lastRenderedPageBreak/>
        <w:t>533.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(druge lažje kršitve člana uprave ali nadzornega sveta borznoposredniške družbe)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Z globo od 400 do 10.000 eurov se za prekršek kaznuje član uprave borznoposredniške družbe ali banke, ki: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ne zagotovi, da borznoposredniška družba ali banka posluje v skladu s pravili iz prvega in drugega odstavka 47. člena ZBan-3 v zvezi s 185.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ne obvesti nemudoma nadzornega sveta borznoposredniške družbe ali banke o okoliščinah iz 48. člena ZBan-3 v zvezi s 185.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ne opredeli, potrdi in nadzoruje organizacije in politik borznoposredniške družbe ali banke v skladu šestim odstavkom 185.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Z globo od 400 do 10.000 eurov se za prekršek kaznuje član nadzornega sveta borznoposredniške družbe ali banke, ki: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ne izpolnjuje svojih dolžnosti iz prvega in drugega odstavka 62. člena ZBan-3 v zvezi s 185.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ne obvesti nemudoma agencije o dogodkih iz 63. člena ZBan-3 v zvezi s 185.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ne spremlja in redno ne ocenjuje primernosti ter izvajanja strateških ciljev borznoposredniške družbe ali banke pri opravljanju investicijskih storitev in poslov ter pomožnih storitev, učinkovitosti ureditve upravljanja borznoposredniške družbe ali banke in ustreznosti politik glede zagotavljanja storitev strankam ter ne sprejme ustreznih ukrepov za odpravo morebitnih pomanjkljivosti (sedmi odstavek 185. člena).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534.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(kršitve upravljavca MTF ali OTF)</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Z globo od 25.000 do 250.000 eurov se za prekršek kaznuje banka ali drug upravljavec MTF ali OTF, z globo od 80.000 do 500.000 eurov pa banka ali drug upravljavec MTF ali OTF, ki se po ZGD-1 šteje za srednjo ali veliko gospodarsko družbo,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namerava omogočiti oddaljeni dostop in uporabo tega sistema osebam s sedežem v drugi državi članici in o tem ne obvesti agencije ali ne navede te države članice (prvi odstavek 208.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vsaj enkrat letno brezplačno ne objavi podatkov o kakovosti izvršitve poslov v sistemu MTF ali OTF v skladu s sedmim odstavkom 267.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ne izpolnjuje organizacijskih zahtev, določenih v oddelku 7.1 in pododdelku 7.3.2 tega zakona, ali ne vzpostavi in ne uresničuje ustreznih ukrepov za pravilno upravljanje tehničnih operacij trgovalnega sistema, vključno z zagotovitvijo načrta neprekinjenega in rednega delovanja trgovalnega sistema v skladu s prvim in drugim odstavkom 315.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4.      omogoči delovanje sistema brez vsaj treh dejansko aktivnih članov ali udeležencev v nasprotju s tretjim odstavkom 315.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      ne določi pravil, postopkov in sistemov glede trgovanje, izvrševanje naročil, dostopa in meril za določitev finančnih instrumentov, s katerimi se lahko trguje v MTF ali OTF v skladu s 316.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6.      glede razkritja informacij ne ravna v skladu s 317.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7.      ne vzpostavi in ne uresniči ustreznih ukrepov za ugotavljanje in preprečevanje nasprotij interesov v skladu s 318.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8.      na zahtevo agencije ne pošlje natančnega opisa delovanja MTF ali OTF v skladu s prvim odstavkom 319.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9.      uporabnikov sistema MTF ali OTF jasno ne seznani z njihovimi odgovornostmi za izpolnitev obveznosti iz poslov, sklenjenih v sistemu MTF ali OTF ali če ne zagotovi ukrepov, ki zagotavljajo učinkovito izpolnitev obveznosti iz poslov, sklenjenih v sistemu MTF ali OTF v skladu s prvim in drugim odstavkom 320.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10.   na zahtevo agencije takoj začasno ali trajno ne umakne finančnih instrumentov iz trgovanja v MTF ali OTF v skladu s prvim odstavkom 322.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11.   začasno ne ustavi trgovanja s finančnim instrumentom ali trajno ne umakne finančnega instrumenta iz trgovanja v svojem sistemu, če ta finančni instrument ne izpolnjuje več zahtev za trgovanje v takšnem sistemu oziroma ne ustavi ali trajno umakne izvedenih finančnih instrumentov iz 4. do 10. točke drugega odstavka 7. člena tega zakona, ki se nanašajo na finančni instrument, ki je predmet ustavitve ali umika iz trgovanja v skladu z drugim in tretjim odstavkom 322.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12.   o ukrepu začasne ustavitve trgovanja s finančnim instrumentom ali trajnega umika finančnega instrumenta iz trgovanja v svojem sistemu ne obvesti agencije ali ukrepa javno ne objavi v skladu s četrtim odstavkom 322.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13.   ne vzpostavi in vzdržuje učinkovitih ukrepov in postopkov za redno spremljanje skladnosti ravnanj članov, udeležencev ali uporabnikov sistema MTF ali OTF s pravili tega sistema v skladu s prvim odstavkom 325.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14.   ne spremlja poslanih naročil in izvršenih poslov, ki jih sklepa s člani, udeleženci ali uporabniki sistema MTF ali OTF v skladu z drugim odstavkom 325.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15.   ne poroča agenciji o pomembnih kršitvah pravil MTF ali OTF, neurejenih pogojih trgovanja in ravnanjih, ki imajo značilnosti zlorabe trga ali motenj v sistemu v zvezi s posameznim finančnim instrumentom v skladu s tretjim odstavkom 325.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16.   agenciji, nadzornemu organu druge države članice, pristojnemu za nadzor nad zlorabami trga, kot jih določa </w:t>
      </w:r>
      <w:r w:rsidR="00801FB2" w:rsidRPr="004319E8">
        <w:rPr>
          <w:rFonts w:ascii="Arial" w:eastAsia="Arial" w:hAnsi="Arial" w:cs="Arial"/>
          <w:color w:val="0000EE"/>
          <w:sz w:val="20"/>
          <w:szCs w:val="20"/>
          <w:u w:val="single" w:color="0000EE"/>
        </w:rPr>
        <w:t>Uredba 596/2014/EU</w:t>
      </w:r>
      <w:r w:rsidRPr="004319E8">
        <w:rPr>
          <w:rFonts w:ascii="Arial" w:eastAsia="Arial" w:hAnsi="Arial" w:cs="Arial"/>
          <w:sz w:val="20"/>
          <w:szCs w:val="20"/>
        </w:rPr>
        <w:t xml:space="preserve"> ali drugemu organu, pristojnemu za odkrivanje ali pregon dejanj, ki pomenijo zlorabo trga, na njihovo zahtevo ne pošlje vseh informacij in ne zagotovi celovite pomoči pri preiskavi in pregonu zlorabe trga, storjene v MTF ali OTF ali z uporabo MTF ali OTF v skladu s četrtim odstavkom 325.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17.   upravlja MTF ali OTF, na katerem se trguje z izvedenimi finančnimi instrumenti na blago, in ne zagotovi nadzora upravljanja pozicij vsaj z ukrepi, določenimi v prvem odstavku 331.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18.   agenciji ne sporoči podrobnih informacij o nadzoru upravljanja pozicij, ki ga izvaja v skladu s tretjim odstavkom 331.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19.   glede poročanja pozicij za izvedene finančne instrumente na blago ali emisijske kupone ali njihove izvedene finančne instrumente ne ravna v skladu s prvim, šestim in sedmim odstavkom 332.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20.   ne razvrsti oseb, ki imajo pozicije v izvedenih finančnih instrumentih na blago ali emisijskih kuponih ali njihovih izvedenih finančnih instrumentih v skladu s petim odstavkom 332.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21.   borznoposredniški družbi ali banki, ki ji je z odredbo agencije začasno prepovedano opravljanje investicijskih storitev in poslov, ne onemogoči uresničevanja pravic člana (četrti odstavek 348.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22.   ne zagotovi uskladitve poslovnih ur med sistemom MTF ali OTF in člani ali udeleženci v skladu s 378. členom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Z globo od 25.000 do 250.000 eurov se za prekršek kaznuje banka ali drug upravljavec MTF, z globo od 80.000 do 500.000 eurov pa banka ali drug upravljavec MTF, ki se po ZGD-1 šteje za srednjo ali veliko gospodarsko družbo,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določi pravila za izvrševanje naročil v trgovalnem sistemu, ki omogočajo diskrecijo glede izvrševanja naročil (prvi odstavek 323.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pri določanju pravil iz 4. točke prvega odstavka 316. člena tega zakona o dostopu do MTF smiselno ne uporablja določb 411. člena tega zakona v skladu z drugim odstavkom 323.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ne vzpostavi in ne uresničuje ustreznih ukrepov za upravljanje s tveganji ali za učinkovito in pravočasno zaključevanje poslov izvršenih na MTF ali za zagotavljanje zadostnih finančnih virov v skladu s tretjim odstavkom 323.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izvršuje naročila strank v breme lastnega kapitala ali trguje s tehniko trgovanja s hkratnim nakupom in prodajo v nasprotju s petim odstavkom 323.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      upravlja sistem MTF kot razvojni trg MSP in ne izpolnjuje pogojev iz tretjega odstavka 326.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Z globo od 25.000 do 250.000 eurov se za prekršek kaznuje banka ali drug upravljavec OTF, z globo od 80.000 do 500.000 eurov pa banka ali drug upravljavec OTF, ki se po ZGD-1 šteje za srednjo ali veliko gospodarsko družbo,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izvršuje naročila strank v sistemu OTF v breme lastnega kapitala ali kapitala drugega subjekta, ki je del iste skupine ali pravne osebe v nasprotju s prvim odstavkom 324.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če brez soglasja stranke uporabi tehniko trgovanja s hkratnim nakupom in prodajo v nasprotju z drugim odstavkom 324.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če pri izvrševanju naročil strank v OTF uporabi tehniko trgovanja s hkratnim nakupom in prodajo v nasprotju s tretjim odstavkom 324.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      če poleg upravljanja OTF opravlja storitev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 xml:space="preserve"> znotraj istega pravnega subjekta ali če se povezuje s sistematičnim </w:t>
      </w:r>
      <w:proofErr w:type="spellStart"/>
      <w:r w:rsidRPr="004319E8">
        <w:rPr>
          <w:rFonts w:ascii="Arial" w:eastAsia="Arial" w:hAnsi="Arial" w:cs="Arial"/>
          <w:sz w:val="20"/>
          <w:szCs w:val="20"/>
        </w:rPr>
        <w:t>internalizatorjem</w:t>
      </w:r>
      <w:proofErr w:type="spellEnd"/>
      <w:r w:rsidRPr="004319E8">
        <w:rPr>
          <w:rFonts w:ascii="Arial" w:eastAsia="Arial" w:hAnsi="Arial" w:cs="Arial"/>
          <w:sz w:val="20"/>
          <w:szCs w:val="20"/>
        </w:rPr>
        <w:t xml:space="preserve"> ali drugim OTF v nasprotju s šestim odstavkom 324.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      če diskrecijsko izvršuje naročila v nasprotju z devetim odstavkom 324.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6.      če na zahtevo agencije ne poda podrobnih pojasnil v skladu z dvanajstim odstavkom 324.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(4) Če je narava storjenega prekrška iz prvega, drugega ali tretjega odstavka tega člena posebno huda zaradi višine povzročene škode oziroma višine pridobljene protipravne premoženjske koristi ali zaradi storilčevega naklepa oziroma njegovega namena koristoljubnosti, se banka ali drug upravljavec MTF ali OTF kaznuje z globo v višini do: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5.000.000 eurov ali 10 % skupnega letnega prometa glede na zadnje razpoložljive računovodske izkaze, ki jih je odobril pristojni organ družbe, oziroma skupnega letnega prometa ali ustrezne vrste prihodka, ki izhaja iz zadnje razpoložljive konsolidirane letne bilance, ki jo je odobril pristojni organ matične družbe, če pravna oseba pripravi konsolidirane računovodske izkaze na podlagi ZGD-1, pri čemer se upošteva višji znesek, ali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dvakratnega zneska dobička, pridobljenega s kršitvijo, ali izgube, preprečene s kršitvijo, kadar ju je mogoče opredeliti, če ta znesek presega znesek iz prejšnje točke.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Član uprave banke ali drugega upravljavca MTF ali OTF, ki krši dolžnosti člana uprave in je zato v banki ali drugemu upravljavcu MTF ali OTF podana kršitev iz prvega, drugega ali tretjega odstavka tega člena, se za prekršek kaznuje z globo v višini od 2.500 do 10.000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Član nadzornega sveta banke ali drugega upravljavca MTF ali OTF, ki krši dolžnosti člana nadzornega sveta in je zato v banki ali drugemu upravljavcu MTF ali OTF podana kršitev iz prvega, drugega ali tretjega odstavka tega člena, se za prekršek kaznuje z globo v višini od 2.500 do 10.000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Če je narava storjenega prekrška iz petega ali šestega odstavka tega člena posebno huda zaradi višine povzročene škode oziroma višine pridobljene protipravne premoženjske koristi ali zaradi storilčevega naklepa oziroma njegovega namena koristoljubnosti, se član uprave ali nadzornega sveta banke ali drugega upravljavca MTF ali OTF kaznuje z globo do višine 5.000.000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Odgovorna oseba banke ali drugega upravljavca MTF ali OTF, ki ni član uprave ali nadzornega sveta, se za prekršek iz prvega, drugega ali tretjega odstavka tega člena kaznuje z globo od 800 do 10.000 eurov. Če je narava storjenega prekrška iz prejšnjega stavka posebno huda zaradi višine povzročene škode oziroma višine pridobljene protipravne premoženjske koristi ali zaradi storilčevega naklepa oziroma njegovega namena koristoljubnosti, se odgovorna oseba banke ali drugega upravljavca MTF ali OTF, ki ni član uprave ali nadzornega sveta, kaznuje z globo od 2.500 do 30.000 eurov.</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539.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(kršitve 11. poglavja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Z globo od 25.000 do 250.000 eurov se za prekršek kaznuje borza,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vsaj enkrat letno brezplačno ne objavi podatkov o kakovosti izvršitve poslov na borznem trgu v skladu s sedmim odstavkom 267.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ne zagotovi nadzora upravljanja pozicij vsaj z ukrepi, določenimi v prvem odstavku 331.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agenciji ne sporoči podrobnih informacij o nadzoru upravljanja pozicij, ki ga izvaja v skladu s tretjim odstavkom 331.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glede poročanja pozicij za izvedene finančne instrumente na blago ali emisijske kupone ali njihove izvedene finančne instrumente ne ravna v skladu s prvim, šestim in sedmim odstavkom 332.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5.      ne razvrsti oseb, ki imajo pozicije v izvedenih finančnih instrumentih na blago ali emisijskih kuponih ali njihovih izvedenih finančnih instrumentih v skladu s petim odstavkom 332.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6.      borznoposredniški družbi, kateri je z odredbo agencije začasno prepovedano opravljanje investicijskih storitev in poslov, ne onemogoči uresničevanja pravic člana (četrti odstavek 348.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7.      brez dovoljenja agencije za upravljanje borznega trga upravlja borzni trg (prvi odstavek 359. in 387.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8.      brez dovoljenja agencije za upravljanje MTF ali OTF upravlja MTF ali OTF (prvi odstavek 387. člena v zvezi z 2. točko prvega odstavka 365.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9.      ne obvesti agencije o vsaki pridobitvi ali spremembi kvalificiranega deleža posameznega delničarja, razen če je ta na zahtevo imetnika tega deleža že izdala ustrezno dovoljenje (tretji odstavek 368.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10.   na svojih javnih spletnih straneh ne objavi vseh imetnikov kvalificiranih deležev s podatki o višini teh deležev in vsake spremembe imetnika kvalificiranega deleža, ki lahko glede na višino tega deleža izvaja pomembnejši vpliv na upravljanje borze (četrti odstavek 368.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11.   ne vzpostavi ali ne izvaja ustrezne politike izbora kandidatov za člane organa vodenja in organa nadzora v skladu s prvim in drugim odstavkom 35. člena ZBan-3 v zvezi s 370.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12.   glede določanja števila direktorskih funkcij, ki jih lahko sočasno opravlja posamezni član organa vodenja in organa nadzora v drugih družbah in organizacijah hkrati z opravljanjem funkcije člana organa vodenja ali organa nadzora borze, ravna v nasprotju z 38. členom ZBan-3 v zvezi s prvim in drugim odstavkom 370.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13.   ni zagotovila, da nadzorni svet borze imenuje komisiji v skladu z 51. členom ZBan-3, ali delovanje teh komisij ni v skladu s 52., 53. ali 54. členom ZBan-3 v zvezi s prvim in drugim odstavkom 370.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14.   v petih dneh po sprejetju sklepa o imenovanju ali razrešitvi člana uprave ali člana nadzornega sveta o tem ne obvesti agencije in ji ne predloži informacij, ki so potrebne za presojo ustreznosti tega člana (šesti odstavek 370.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15.   ne vzpostavi ali ne uresničuje ustreznih ukrepov za ugotavljanje in preprečevanje nasprotij interesov v skladu s 372.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16.   ne vzpostavi in uresničuje trdnega in zanesljivega sistema upravljanja v skladu s 373.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17.   na borznem trgu, ki ga upravlja, izvršuje naročila strank v breme lastnega kapitala ali uporablja tehniko trgovanja s hkratnim nakupom in prodajo v nasprotju s tretjim odstavkom 373.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18.   z vzdrževalci trga nima urejenih razmerij v skladu s prvim do tretjim odstavkom 374.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19.   agencije ne obvesti o vsebini dogovorov iz prvega odstavka 374. člena tega zakona in ji na podlagi njene zahteve ne predloži natančnejših informacij, ki so potrebne za ugotavljanje skladnosti borze s prvim do tretjim odstavkom 374. člena tega zakona (četrti odstavek 374.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20.   ne zagotovi učinkovitih sistemov in postopkov, ki zavračajo naročila, ki presegajo vnaprej določene količinske in cenovne prage ali so očitno napačna (prvi odstavek 375.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21.   začasno ne ustavi ali omeji trgovanja na borznem trgu, v primeru precejšnjega nihanja cen finančnega instrumenta na tem ali podobnem trgu v kratkem časovnem obdobju (drugi odstavek 375.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22.   parametri za začasno ustavitev trgovanja niso primerni likvidnosti različnih vrst finančnih instrumentov, značilnosti tržnega modela ali vrstam uporabnikov ali ne zagotavljajo preprečevanja resnih motenj urejenega trgovanja (tretji odstavek 375.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23.   agenciji ne predloži parametrov za začasno ustavitev trgovanja ali ji ne sporoči vsake pomembne spremembe teh (četrti odstavek 375.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24.   je borzni trg glede likvidnosti posameznega finančnega instrumenta pomemben za ta instrument in borza ne vzpostavi sistema obveščanja v skladu s šestim odstavkom 375.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25.   ne zagotovi učinkovitih sistemov in postopkov, ki zagotavljajo, da algoritemski trgovalni sistemi ne ustvarjajo neurejenega trgovanja ali k temu prispevajo, in da ustrezno upravljajo z oteženimi trgovalnimi pogoji, ki izhajajo iz algoritemskega trgovanja v skladu s prvim odstavkom 376.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26.   dovoli neposreden elektronski dostop do borznega trga v nasprotju s tretjim odstavkom 376.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27.   ne vzpostavi primernih standardov glede nadzora tveganj in pragov trgovanja glede neposrednega elektronskega dostopa v skladu s četrtim odstavkom 376.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28.   pravila, ki se nanašajo na storitve kolokacije, niso transparentna, poštena in so diskriminatorna (šesti odstavek 376.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29.   ne opredeli naročil, ustvarjenih z algoritemskim trgovanjem, v skladu s sedmim odstavkom 376.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30.   agenciji brezplačno ne zagotovi vseh trgovalnih podatkov, ki jih agencija potrebuje za opravljanje nadzora (osmi odstavek 376.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31.   ne sprejme sistema korakov kotacije za delnice, potrdila o deponiranju vrednostnih papirjev, ETF, certifikate in druge podobne finančne instrumente v skladu z delegiranim aktom Evropske komisije, izdanim na podlagi tretjega in četrtega odstavka 49. člena </w:t>
      </w:r>
      <w:r w:rsidR="00801FB2"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xml:space="preserve"> (prvi odstavek 377.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32.   ne zagotovi uskladitve poslovnih ur med borzo in člani ali udeleženci v skladu s 378.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33.   ne določi načrta ukrepov upravljanja s tveganji v skladu s 380.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34.   ne oblikuje in izvaja politik in procesov za ocenjevanje in upravljanje z operativnimi tveganji v skladu z drugim in tretjim odstavkom 381.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35.   ne izdela kriznega načrta ali načrta neprekinjenega poslovanja, ki zagotavlja ustrezne pogoje, da tudi ob hudih poslovnih motnjah nadaljuje poslovanje in da se ustrezno omejijo izgube borze zaradi teh motenj (prvi odstavek 382.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36.   ne zagotovi učinkovitih sistemov in postopkov, ki zagotavljajo odpornost trgovalnega sistema v skladu z drugim odstavkom 382.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37.   sporoči zaupne podatke o posameznem izdajatelju, članu ali o drugi osebi tretjim osebam, oziroma jih uporabi sama ali omogoči, da bi jih uporabile tretje osebe (384. člen);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38.   ne sprejme pravil in izvedbenih postopkov v skladu s 385.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39.   nadomestila, določena s tarifo borze, niso v skladu z drugim odstavkom 386.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40.   ne zagotovi ustreznega kapitala, ki omogoča normalno delovanje borze (prvi odstavek 383.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41.   agenciji ne zagotovi vseh informacij, ki jih je potrebno priložiti zahtevi za izdajo dovoljenja za upravljanje borznega trga v skladu s prvim odstavkom 388.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42.   ne obvesti agencije o nameri vzpostavitve sistema za dostop do borznega trga v drugi državi članici v skladu s 393.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43.   pravila borze ne določajo jasnih in preglednih pravil o uvrstitvi finančnih instrumentov v trgovanje na borznem trg ali če pravila ne zagotavljajo, da se v trgovanje na borznem trgu lahko uvrstijo samo finančni instrumenti, katerih lastnosti omogočajo, da se z njimi trguje pošteno, urejeno in učinkovito (prvi in drugi odstavek 395.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44.   ureditev v pravilih borze glede izvedenih finančnih instrumentov ne zagotavlja, da se v trgovanje uvrstijo samo tisti izvedeni finančni instrumenti, katerih vsebina omogoča pregledno določanje cene in učinkovite pogoje poravnave v skladu s tretjim odstavkom 395.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45.   glede uvrstitve vrednostnih papirjev v trgovanje na borznem trgu ne ravna v skladu s tretjim odstavkom 397.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46.   v zvezi z vrednostnimi papirji, uvrščenimi v trgovanje na borznem trgu, ne vzpostavi ali ne uresničuje učinkovitih ukrepov za redno preverjanje, ali izdajatelji izpolnjujejo obveznosti glede objave nadzorovanih informacij, določene v 3. poglavju tega zakona in 17. členom </w:t>
      </w:r>
      <w:r w:rsidR="00801FB2" w:rsidRPr="004319E8">
        <w:rPr>
          <w:rFonts w:ascii="Arial" w:eastAsia="Arial" w:hAnsi="Arial" w:cs="Arial"/>
          <w:color w:val="0000EE"/>
          <w:sz w:val="20"/>
          <w:szCs w:val="20"/>
          <w:u w:val="single" w:color="0000EE"/>
        </w:rPr>
        <w:t>Uredbe 596/2014/EU</w:t>
      </w:r>
      <w:r w:rsidRPr="004319E8">
        <w:rPr>
          <w:rFonts w:ascii="Arial" w:eastAsia="Arial" w:hAnsi="Arial" w:cs="Arial"/>
          <w:sz w:val="20"/>
          <w:szCs w:val="20"/>
        </w:rPr>
        <w:t>, ali ukrepov, ki so potrebni za redno preverjanje izpolnjevanja pogojev za trgovanje z vrednostnimi papirji na borznem trgu (tretji odstavek 398.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47.   svojih članov tekoče ne seznanja z možnostmi dostopa do nadzorovanih informacij, ki jih je objavil izdajatelj v skladu s 3. poglavjem tega zakona in 17. členom </w:t>
      </w:r>
      <w:r w:rsidR="00801FB2" w:rsidRPr="004319E8">
        <w:rPr>
          <w:rFonts w:ascii="Arial" w:eastAsia="Arial" w:hAnsi="Arial" w:cs="Arial"/>
          <w:color w:val="0000EE"/>
          <w:sz w:val="20"/>
          <w:szCs w:val="20"/>
          <w:u w:val="single" w:color="0000EE"/>
        </w:rPr>
        <w:t>Uredbe 596/2014/EU</w:t>
      </w:r>
      <w:r w:rsidRPr="004319E8">
        <w:rPr>
          <w:rFonts w:ascii="Arial" w:eastAsia="Arial" w:hAnsi="Arial" w:cs="Arial"/>
          <w:sz w:val="20"/>
          <w:szCs w:val="20"/>
        </w:rPr>
        <w:t xml:space="preserve"> (četrti odstavek 398.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48.   začasno ne ustavi trgovanja s finančnim instrumentom ali ne umakne finančnega instrumenta iz trgovanja na borznem trgu, če ta finančni instrument ne izpolnjuje več zahtev za trgovanje v takšnem sistemu oziroma ne ustavi ali umakne izvedenih finančnih instrumentov iz 4. do 10. točke drugega odstavka 7. člena tega zakona, ki se nanašajo na finančni instrument, ki je predmet ustavitve ali umika iz trgovanja v skladu s tretjim in četrtim odstavkom 403. člena in drugim in tretjim odstavkom 404.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49.   glede dostopa do borznega trga ravna v nasprotju s 410.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50.   kot borzne člane pripozna osebe, ki niso osebe iz 411.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51.   ne vzpostavi in uresničuje učinkovitih ukrepov in postopkov, vključno s potrebnimi sredstvi, za redno spremljanje, ali borzni člani izpolnjujejo obveznosti, določene s pravili in navodili borze v skladu s prvim odstavkom 414.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52.   ne spremlja posredovanih naročil, vključno s preklicanimi, in izvršenih poslov, ki jih na borznem trgu sklepajo njeni člani v skladu z drugim odstavkom 414.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53.   ne obvešča agencije o pomembnih kršitvah pravil borze, neurejenih trgovalnih razmerah in ravnanjih borznih članov, ki imajo značilnosti zlorabe trga, ali motenj v sistemu v zvezi s posameznim finančnim instrumentom v skladu s prvim odstavkom 415.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54.   brez nepotrebnega odlašanja na zahtevo agencije ali drugega organa Republike Slovenije ali druge države članice, ki je pristojen za preiskavo in pregon prepovedanih ravnanj zlorabe trga, ne predloži vseh informacije in zagotovi druge pomoči v zvezi s preiskavo in pregonom </w:t>
      </w:r>
      <w:r w:rsidRPr="004319E8">
        <w:rPr>
          <w:rFonts w:ascii="Arial" w:eastAsia="Arial" w:hAnsi="Arial" w:cs="Arial"/>
          <w:sz w:val="20"/>
          <w:szCs w:val="20"/>
        </w:rPr>
        <w:lastRenderedPageBreak/>
        <w:t>prepovedanih dejanj zlorabe trga, storjenih pri trgovanju na borznem trgu ali prek informacijskega sistema za trgovanje na borznem trgu (tretji odstavek 415.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55.   ureditev borznega trgovanja v pravilih borze ne vključujejo pravil, ki omogočajo pošteno in urejeno trgovanje in ki določajo objektivna merila za sklepanje borznih poslov ter pravil, katerih namen je odkrivanje in preprečevanje tržnih manipulacij (šesti odstavek 416. člena);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56.   ne zagotovi pogojev za učinkovit in pravočasen zaključek borznih poslov (417. člen);</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57.   je pridobila dovoljenje za upravljanje borznega trga z navajanjem neresničnih podatkov ali na podlagi drugega zavajajočega ravnanja (prvi odstavek 294. člena ZBan-3 v zvezi s 420. členom);</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57.a   agenciji ne omogoči izvajanja ukrepov v skladu z drugim odstavkom 422.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58.   ne ravna v skladu z zahtevo agencije o začasni ustavitvi ali trajnem umiku finančnega ali izvedenega finančnega instrumenta iz trgovanja v svojem sistemu v skladu s četrtim in šestim odstavkom 422.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59.   borznemu članu na njegovo zahtevo ne omogoči, da poravnavo svojih obveznosti na podlagi borznih poslov opravlja prek drugega poravnalnega sistema države članice od tistega, ki ga je izbrala borza (prvi odstavek 449.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(2) Če je narava storjenega prekrška iz prejšnjega odstavka posebno huda zaradi višine povzročene škode oziroma višine pridobljene protipravne premoženjske koristi ali zaradi storilčevega naklepa oziroma njegovega namena koristoljubnosti, se borza kaznuje z globo v višini do: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5.000.000 eurov ali 10 % skupnega letnega prometa glede na zadnje razpoložljive računovodske izkaze, ki jih je odobril pristojni organ družbe, oziroma skupnega letnega prometa ali ustrezne vrste prihodka, ki izhaja iz zadnje razpoložljive konsolidirane letne bilance, ki jo je odobril pristojni organ matične družbe, če pravna oseba pripravi konsolidirane računovodske izkaze na podlagi ZGD-1, pri čemer se upošteva višji znesek, ali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dvakratnega zneska dobička, pridobljenega s kršitvijo, ali izgube, preprečene s kršitvijo, kadar ju je mogoče opredeliti, če ta znesek presega znesek iz prejšnje točke.</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Član uprave borze, ki krši dolžnosti člana uprave iz prvega ali drugega odstavka 47. člena ZBan-3 v zvezi s prvim odstavkom 370. člena tega zakona, in je zato podana kršitev iz prvega odstavka tega člena, se za prekršek kaznuje z globo v višini od 2.500 do 10.000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Član nadzornega sveta borze, ki krši dolžnosti člana nadzornega sveta borze iz prvega odstavka 62. člena ZBan-3 v zvezi s prvim odstavkom 370. člena tega zakona in je zato podana kršitev iz prvega odstavka tega člena, se za prekršek kaznuje z globo v višini od 2.500 do 10.000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Če je narava storjenega prekrška iz tretjega ali četrtega odstavka tega člena posebno huda zaradi višine povzročene škode oziroma višine pridobljene protipravne premoženjske koristi ali zaradi storilčevega naklepa oziroma njegovega namena koristoljubnosti, se član uprave ali nadzornega sveta kaznuje z globo do višine 5.000.000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Odgovorna oseba borze, ki ni član uprave ali nadzornega sveta, se za prekršek iz prvega odstavka tega člena kaznuje z globo od 800 do 10.000 eurov. Če je narava storjenega prekrška iz prejšnjega stavka posebno huda zaradi višine povzročene škode oziroma višine pridobljene protipravne premoženjske koristi ali zaradi storilčevega naklepa oziroma njegovega namena koristoljubnosti, se odgovorna oseba borze kaznuje z globo od 2.500 do 30.000 eurov.</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(7) Z globo od 400 do 5.000 eurov se za prekršek kaznuje član uprave borze, ki: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ne zagotovi, da borza posluje v skladu s pravili iz prvega in drugega odstavka 47. člena ZBan-3 v zvezi s 370.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ne zagotovi, da ima komisija za imenovanje zadostne kadrovske in finančne vire za izvajanje svojih nalog, vključno z možnostjo uporabe zunanjih svetovalcev (šesti odstavek 51. člena ZBan-3 v zvezi s 370. členom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ne zagotovi, da borza posluje v skladu s pravili o upravljanju s tveganji v skladu z drugim odstavkom 379. člena tega zakona.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Z globo od 400 do 5.000 eurov se za prekršek kaznuje član nadzornega sveta borze, ki ne izpolnjuje svojih dolžnosti iz prvega odstavka 62. člena ZBan-3 v zvezi s 370. členom tega zakona.</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541.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 xml:space="preserve">(kršitve </w:t>
      </w:r>
      <w:r w:rsidR="00DB373D" w:rsidRPr="004319E8">
        <w:rPr>
          <w:rFonts w:ascii="Arial" w:eastAsia="Arial" w:hAnsi="Arial" w:cs="Arial"/>
          <w:b/>
          <w:bCs/>
          <w:sz w:val="20"/>
          <w:szCs w:val="20"/>
          <w:lang w:val="sl-SI"/>
        </w:rPr>
        <w:t>Uredbe 600/2014/EU</w:t>
      </w:r>
      <w:r w:rsidRPr="004319E8">
        <w:rPr>
          <w:rFonts w:ascii="Arial" w:eastAsia="Arial" w:hAnsi="Arial" w:cs="Arial"/>
          <w:b/>
          <w:bCs/>
          <w:sz w:val="20"/>
          <w:szCs w:val="20"/>
          <w:lang w:val="sl-SI"/>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Z globo od 25.000 do 250.000 eurov se za prekršek kaznuje banka, upravljavec trga ali investicijsko podjetje, ki upravlja mesto trgovanja, z globo od 80.000 do 500.000 eurov pa banka, upravljavec trga ali investicijsko podjetje, ki se po ZGD-1 šteje za srednjo ali veliko gospodarsko družbo,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      ne ravna v skladu z zahtevami po preglednosti pred trgovanjem za mesta trgovanja v zvezi z delnicami, potrdili o lastništvu, ETF, certifikati in drugimi podobnimi finančnimi instrumenti iz prvega ali tretjega odstavka 3.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      mesto trgovanja upravlja sisteme, ki formalizirajo posle, dogovorjene v pogajanjih v skladu z (i) podtočko b) točke prvega odstavka 4.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in ne ravna v skladu z a), b) ali c) točko tretjega odstavka 4.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3.      ne ravna v skladu z zahtevami po preglednosti po trgovanju za mesta trgovanja v zvezi z delnicami, potrdili o lastništvu, ETF, certifikati in drugimi podobnimi finančnimi instrumenti iz 6.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      od pristojnega organa pridobi predhodno odobritev predlagane ureditve za odlog objave v zvezi s trgovanjem in tega jasno ne razkrije udeležencem na trgu in javnosti (prvi odstavek 7.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      ne ravna v skladu z zahtevami po preglednosti pred trgovanjem za mesta trgovanja v zvezi z obveznicami, strukturiranimi finančnimi produkti, pravicami do emisij in izvedenimi finančnimi instrumenti iz prvega, tretjega ali četrtega odstavka 8.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6.      ne ravna v skladu z zahtevami po preglednosti po trgovanju za mesta trgovanja v zvezi z obveznicami, strukturiranimi finančnimi produkti, pravicami do emisij in izvedenimi finančnimi instrumenti iz 10.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7.      od pristojnega organa pridobi predhodno odobritev predlagane ureditve za odlog objave v zvezi s trgovanjem in tega jasno ne razkrije udeležencem na trgu in javnosti (prvi odstavek 11.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 xml:space="preserve">8.      za finančne instrumente, ki niso državni dolžniški instrumenti, po izteku obdobja odloga objave podrobnosti o poslih ne objavi še ostalih podrobnosti o poslu in vseh podrobnosti o posameznih poslih (tretji odstavek 11.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9.      informacije, objavljene v skladu s 3., 4. in 6. do 11. členom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niso na voljo javnosti tako, da so podatki o preglednosti pred trgovanjem in po njem zagotovljeni ločeno v skladu s prvim odstavkom 12.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10.   informacije, objavljene v skladu s 3., 4. in 6. do 11. členom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niso na voljo javnosti ob razumnih poslovnih pogojih ali ni zagotovljen nediskriminatoren dostop do njih ali te informacije niso na voljo brezplačno 15 minut po njihovi objavi (prvi odstavek 13.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11.   ne hrani potrebnih podatkov za obdobje določeno z regulativnimi tehničnimi standardi iz četrtega odstavka 22.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(drugi odstavek 22.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12.   ne vodi evidenc ali agenciji ne daje na voljo podatkov v skladu z drugim odstavkom 25.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13.   o podrobnostih poslov s finančnimi instrumenti, s katerimi se trguje v njegovem sistemu, ne poroča v skladu z zahtevami petega odstavka 26.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14.   poroča v imenu investicijskega podjetja in ne predloži poročila v skladu s prvim, tretjim, sedmim in devetim odstavkom 26.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(sedmi odstavek 26.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15.   ne predloži referenčnih podatkov o finančnih instrumentih v skladu s prvim odstavkom 27.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16.   kot upravljavec organiziranega trga ne zagotovi, da CNS opravi kliringa vseh poslov z izvedenimi finančnimi instrumenti, sklenjenih na tem organiziranem trgu (prvi odstavek 29.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17.   deluje kot klirinški član v skladu s štirinajstim odstavkom 2. člena </w:t>
      </w:r>
      <w:r w:rsidR="00702B05" w:rsidRPr="004319E8">
        <w:rPr>
          <w:rFonts w:ascii="Arial" w:eastAsia="Arial" w:hAnsi="Arial" w:cs="Arial"/>
          <w:color w:val="0000EE"/>
          <w:sz w:val="20"/>
          <w:szCs w:val="20"/>
          <w:u w:val="single" w:color="0000EE"/>
        </w:rPr>
        <w:t>Uredbe 648/2012/EU</w:t>
      </w:r>
      <w:r w:rsidRPr="004319E8">
        <w:rPr>
          <w:rFonts w:ascii="Arial" w:eastAsia="Arial" w:hAnsi="Arial" w:cs="Arial"/>
          <w:sz w:val="20"/>
          <w:szCs w:val="20"/>
        </w:rPr>
        <w:t xml:space="preserve"> in nima vzpostavljenih učinkovitih sistemov, postopkov in ureditev v skladu z drugim odstavkom 29.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18.   kot upravljavec organiziranega trga zagotavlja stiskanje portfelja in prek APA ne objavi obsega poslov, ki so predmet stiskanja portfelja in časa, v katerem je bilo to izvršeno ali če teh podatkov ne objavi v rokih iz 10.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(drugi odstavek 31.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19.   kot upravljavec organiziranega trga zagotavlja stiskanje portfelja in ne vodi popolne in točne evidence vseh stiskanj portfelja, ki jih organizira ali pri katerih sodeluje ali če teh podatkov na zahtevo nemudoma na predloži agenciji ali ESMA (tretji odstavek 31.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20.   zahteva dostop do CNS in zahteve uradno ne predloži tej CNS in agenciji v skladu z drugim odstavkom 35.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21.   na zahtevo katerekoli CNS, ki ima dovoljenje ali je priznana v skladu z </w:t>
      </w:r>
      <w:r w:rsidR="00702B05" w:rsidRPr="004319E8">
        <w:rPr>
          <w:rFonts w:ascii="Arial" w:eastAsia="Arial" w:hAnsi="Arial" w:cs="Arial"/>
          <w:color w:val="0000EE"/>
          <w:sz w:val="20"/>
          <w:szCs w:val="20"/>
          <w:u w:val="single" w:color="0000EE"/>
        </w:rPr>
        <w:t>Uredbo 648/2012/EU</w:t>
      </w:r>
      <w:r w:rsidRPr="004319E8">
        <w:rPr>
          <w:rFonts w:ascii="Arial" w:eastAsia="Arial" w:hAnsi="Arial" w:cs="Arial"/>
          <w:sz w:val="20"/>
          <w:szCs w:val="20"/>
        </w:rPr>
        <w:t xml:space="preserve"> in ki želi opraviti kliringa poslov s finančnimi instrumenti, sklenjenih na tem mestu trgovanja, ne zagotovi podatkov o trgovanju na nediskriminatoren in pregleden način v skladu s prvim odstavkom 36.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22.   v zvezi z zavrnitvijo ali odobritvijo zahteve za dostop do CNS ne ravna v skladu s tretjim odstavkom 36.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23.   sklene dogovor iz tretjega odstavka 37.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 xml:space="preserve">(2) Z globo od 25.000 do 250.000 eurov se za prekršek kaznuje banka ali investicijsko podjetje, ki je sistematični </w:t>
      </w:r>
      <w:proofErr w:type="spellStart"/>
      <w:r w:rsidRPr="004319E8">
        <w:rPr>
          <w:rFonts w:ascii="Arial" w:eastAsia="Arial" w:hAnsi="Arial" w:cs="Arial"/>
          <w:sz w:val="20"/>
          <w:szCs w:val="20"/>
        </w:rPr>
        <w:t>internalizator</w:t>
      </w:r>
      <w:proofErr w:type="spellEnd"/>
      <w:r w:rsidRPr="004319E8">
        <w:rPr>
          <w:rFonts w:ascii="Arial" w:eastAsia="Arial" w:hAnsi="Arial" w:cs="Arial"/>
          <w:sz w:val="20"/>
          <w:szCs w:val="20"/>
        </w:rPr>
        <w:t xml:space="preserve">, z globo od 80.000 do 500.000 eurov pa banka ali investicijsko podjetje, ki je sistematični </w:t>
      </w:r>
      <w:proofErr w:type="spellStart"/>
      <w:r w:rsidRPr="004319E8">
        <w:rPr>
          <w:rFonts w:ascii="Arial" w:eastAsia="Arial" w:hAnsi="Arial" w:cs="Arial"/>
          <w:sz w:val="20"/>
          <w:szCs w:val="20"/>
        </w:rPr>
        <w:t>internalizator</w:t>
      </w:r>
      <w:proofErr w:type="spellEnd"/>
      <w:r w:rsidRPr="004319E8">
        <w:rPr>
          <w:rFonts w:ascii="Arial" w:eastAsia="Arial" w:hAnsi="Arial" w:cs="Arial"/>
          <w:sz w:val="20"/>
          <w:szCs w:val="20"/>
        </w:rPr>
        <w:t>, ki se po ZGD-1 šteje za srednjo ali veliko gospodarsko družbo,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      ne objavi zavezujoče ponudbe v zvezi s tistimi delnicami, potrdili o lastništvu, ETF, certifikati in drugimi podobnimi finančnimi instrumenti, s katerimi se trguje na mestu trgovanja, za katere je sistematični </w:t>
      </w:r>
      <w:proofErr w:type="spellStart"/>
      <w:r w:rsidRPr="004319E8">
        <w:rPr>
          <w:rFonts w:ascii="Arial" w:eastAsia="Arial" w:hAnsi="Arial" w:cs="Arial"/>
          <w:sz w:val="20"/>
          <w:szCs w:val="20"/>
        </w:rPr>
        <w:t>internalizator</w:t>
      </w:r>
      <w:proofErr w:type="spellEnd"/>
      <w:r w:rsidRPr="004319E8">
        <w:rPr>
          <w:rFonts w:ascii="Arial" w:eastAsia="Arial" w:hAnsi="Arial" w:cs="Arial"/>
          <w:sz w:val="20"/>
          <w:szCs w:val="20"/>
        </w:rPr>
        <w:t xml:space="preserve"> in za katere obstaja likvidni trg (prvi odstavek 14.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      za finančne instrumente iz prvega pododstavka prvega odstavka 14.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likvidni trg ne obstaja in na zahtevo strank ne razkrije ponudbe (prvi odstavek 14.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3.      pri opravljanju poslov z obsegom do standardnega tržnega obsega ne ravna v skladu z določbami 14., 15., 16., ali 17. člena </w:t>
      </w:r>
      <w:r w:rsidR="00702B05" w:rsidRPr="004319E8">
        <w:rPr>
          <w:rFonts w:ascii="Arial" w:eastAsia="Arial" w:hAnsi="Arial" w:cs="Arial"/>
          <w:color w:val="0000EE"/>
          <w:sz w:val="20"/>
          <w:szCs w:val="20"/>
          <w:u w:val="single" w:color="0000EE"/>
        </w:rPr>
        <w:t>Uredbe 600/2014</w:t>
      </w:r>
      <w:r w:rsidRPr="004319E8">
        <w:rPr>
          <w:rFonts w:ascii="Arial" w:eastAsia="Arial" w:hAnsi="Arial" w:cs="Arial"/>
          <w:sz w:val="20"/>
          <w:szCs w:val="20"/>
        </w:rPr>
        <w:t xml:space="preserve"> (drugi odstavek 14. člena </w:t>
      </w:r>
      <w:r w:rsidR="00702B05"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      najmanjši dovoljeni obseg ponudbe ni enak vsaj 10 % standardnega tržnega obsega delnice, potrdila o lastništvu, ETF, certifikata ali drugega podobnega finančnega instrumenta, s katerim se trguje na mestu trgovanja (tretji odstavek 14.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      za posamezno delnico, potrdilo o lastništvu, ETF, certifikat ali drug podoben finančni instrument, s katerim se trguje na mestu trgovanja, vsaka ponudba ne zajema zavezujoče nakupne in prodajne cene ali cene za obseg ali obsege do standardnega tržnega obsega za razred delnic, potrdil o lastništvu, ETF, certifikatov ali drugih podobnih finančnih instrumentov, ki mu finančni instrument pripada ali če cena ali cene ne odražajo prevladujočih tržnih pogojev za te finančne instrumente (tretji odstavek 14.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6.      redno in stalno ne objavlja svojih ponudb v času običajnih ur trgovanja ali če ponudb ne objavi na način, ki je lahko dostopen drugim udeležencem na trgu na razumni poslovni podlagi v skladu s prvim odstavkom 15.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7.      pri izvrševanju naročil strank ne ravna v skladu s 27. členom </w:t>
      </w:r>
      <w:r w:rsidR="00130CDA"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xml:space="preserve"> ali če ne izvršuje naročil strank v zvezi z delnicami, potrdili o lastništvu, ETF, certifikati ali drugimi podobnimi finančnimi instrumenti, za katere so sistematični </w:t>
      </w:r>
      <w:proofErr w:type="spellStart"/>
      <w:r w:rsidRPr="004319E8">
        <w:rPr>
          <w:rFonts w:ascii="Arial" w:eastAsia="Arial" w:hAnsi="Arial" w:cs="Arial"/>
          <w:sz w:val="20"/>
          <w:szCs w:val="20"/>
        </w:rPr>
        <w:t>internalizatorji</w:t>
      </w:r>
      <w:proofErr w:type="spellEnd"/>
      <w:r w:rsidRPr="004319E8">
        <w:rPr>
          <w:rFonts w:ascii="Arial" w:eastAsia="Arial" w:hAnsi="Arial" w:cs="Arial"/>
          <w:sz w:val="20"/>
          <w:szCs w:val="20"/>
        </w:rPr>
        <w:t xml:space="preserve">, po cenah, ponujenih ob prejetju naročila (drugi odstavek 15.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8.      ponuja v različnih velikostih in prejme naročilo med temi velikostmi, ki se ga odloči izvršiti, in naročila ne izvrši po eni od ponujenih cen v skladu z 28. členom </w:t>
      </w:r>
      <w:r w:rsidR="00130CDA" w:rsidRPr="004319E8">
        <w:rPr>
          <w:rFonts w:ascii="Arial" w:eastAsia="Arial" w:hAnsi="Arial" w:cs="Arial"/>
          <w:color w:val="0000EE"/>
          <w:sz w:val="20"/>
          <w:szCs w:val="20"/>
          <w:u w:val="single" w:color="0000EE"/>
        </w:rPr>
        <w:t>Direktive 2014/65/EU</w:t>
      </w:r>
      <w:r w:rsidRPr="004319E8">
        <w:rPr>
          <w:rFonts w:ascii="Arial" w:eastAsia="Arial" w:hAnsi="Arial" w:cs="Arial"/>
          <w:sz w:val="20"/>
          <w:szCs w:val="20"/>
        </w:rPr>
        <w:t xml:space="preserve">, razen če je v skladu z drugim in tretjim odstavkom 15.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dovoljeno drugače (četrti odstavek 15.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9.      nima jasnih in objektivno nediskriminatornih standardov, ki veljajo za dostop do njegovih ponudb v skladu s prvim odstavkom 17.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10.   ga je k ponudbi pozvala stranka in se je strinjal z zagotovitvijo ponudbe in ne objavi zavezujoče ponudbe glede tistih obveznic, strukturiranih finančnih produktov, pravic do emisij in izvedenih finančnih instrumentov, s katerimi se trguje na mestu trgovanja, za katere je sistematični </w:t>
      </w:r>
      <w:proofErr w:type="spellStart"/>
      <w:r w:rsidRPr="004319E8">
        <w:rPr>
          <w:rFonts w:ascii="Arial" w:eastAsia="Arial" w:hAnsi="Arial" w:cs="Arial"/>
          <w:sz w:val="20"/>
          <w:szCs w:val="20"/>
        </w:rPr>
        <w:t>internalizator</w:t>
      </w:r>
      <w:proofErr w:type="spellEnd"/>
      <w:r w:rsidRPr="004319E8">
        <w:rPr>
          <w:rFonts w:ascii="Arial" w:eastAsia="Arial" w:hAnsi="Arial" w:cs="Arial"/>
          <w:sz w:val="20"/>
          <w:szCs w:val="20"/>
        </w:rPr>
        <w:t xml:space="preserve"> in za katere obstaja likvidni trg, razen če gre za finančne instrumente, ki so pod pragom likvidnosti, določenim v skladu s četrtim odstavkom 9.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(prvi odstavek 18.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11.   v primeru obveznic, strukturiranih finančnih produktov, pravice do emisij in izvedenih finančnih instrumentov, s katerimi se trguje na mestu trgovanja in za katere ne obstaja likvidni trg, ne razkrije ponudbe svojim strankam na njihovo zahtevo, če se je strinjal z zagotovitvijo ponudbe v skladu z drugim odstavkom 18.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 xml:space="preserve">12.   ne da zavezujoče ponudbe, objavljene v skladu s prvim odstavkom 18.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na voljo svojim drugim strankam (peti odstavek 18.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13.   se ne zaveže, da bo sklenil posle v skladu z objavljenimi pogoji s katerokoli drugo stranko, kateri je v skladu s petim odstavkom 18.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ponudba dana na voljo, če je obseg ponudbe enak ali manjši od obsega, ki je značilen za finančni instrument določen v skladu z d) točko petega odstavka 9.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(šesti odstavek 18.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14.   ponudbe iz prvega in petega odstavka 18.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in ponudbe, katerih obseg je enak ali manjši od obsega iz šestega odstavka 18.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ne objavi na način, ki je lahko dostopen drugim udeležencem na trgu na razumni poslovni podlagi (osmi odstavek 18.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15.   če pri oblikovanju ponujenih cen ne ravna v skladu z devetim odstavkom 18.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16.   za svoj račun ali v imenu strank sklene posle s finančnimi instrumenti iz prvega odstavka 20. člena ali prvega odstavka 21.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in ne objavi obsega in cene teh poslov ter časa njihove sklenitve ali če teh informacij ne objavi prek APA (prvi odstavek 20. člena in prvi odstavek 21.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17.   informacije, objavljene v skladu s prvim odstavkom 20.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in časovni okviri, v katerih so objavljene, niso skladni z zahtevami, sprejetimi na podlagi 6.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vključno z regulativnimi tehničnimi standardi, sprejetimi v skladu z a) točko drugega odstavka 7.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(drugi odstavek 20.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18.   vsakega posameznega posla v zvezi z obveznicami, strukturiranimi finančnimi produkti, pravicami do emisij in izvedenimi finančnimi instrumenti javno ne objavi preko APA (drugi odstavek 21.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19.   informacije, objavljene v skladu s prvim odstavkom 21.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in časovni okviri, v katerih so objavljene, niso skladni z zahtevami, sprejetimi na podlagi 10.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vključno z regulativnimi tehničnimi standardi, sprejetimi v skladu z a) in b) točko četrtega odstavka 11.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(tretji odstavek 21.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Z globo od 25.000 do 250.000 eurov se za prekršek kaznuje banka ali investicijsko podjetje, z globo od 80.000 do 500.000 eurov pa banka ali investicijsko podjetje, ki se po ZGD-1 šteje za srednjo ali veliko gospodarsko družbo,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      ustreza opredelitvi sistematičnega </w:t>
      </w:r>
      <w:proofErr w:type="spellStart"/>
      <w:r w:rsidRPr="004319E8">
        <w:rPr>
          <w:rFonts w:ascii="Arial" w:eastAsia="Arial" w:hAnsi="Arial" w:cs="Arial"/>
          <w:sz w:val="20"/>
          <w:szCs w:val="20"/>
        </w:rPr>
        <w:t>internalizatorja</w:t>
      </w:r>
      <w:proofErr w:type="spellEnd"/>
      <w:r w:rsidRPr="004319E8">
        <w:rPr>
          <w:rFonts w:ascii="Arial" w:eastAsia="Arial" w:hAnsi="Arial" w:cs="Arial"/>
          <w:sz w:val="20"/>
          <w:szCs w:val="20"/>
        </w:rPr>
        <w:t xml:space="preserve"> in o tem uradno ne obvesti agencije v skladu s prvim odstavkom 15. člena ali četrtim odstavkom 18.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      za svoj račun ali v imenu strank sklene posle s finančnimi instrumenti iz prvega odstavka 20. člena ali prvega odstavka 21.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in ne objavi obsega in cene teh poslov ter časa njihove sklenitve ali če teh informacij ne objavi prek APA (prvi odstavek 20. člena in prvi odstavek 21.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3.      informacije, objavljene v skladu s prvim odstavkom 20.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in časovni okviri, v katerih so objavljene, niso skladni z zahtevami, sprejetimi na podlagi 6.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vključno z regulativnimi tehničnimi standardi, sprejetimi v skladu z a) točko drugega odstavka 7.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(drugi odstavek 20.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 xml:space="preserve">4.      vsakega posameznega posla v zvezi z obveznicami, strukturiranimi finančnimi produkti, pravicami do emisij in izvedenimi finančnimi instrumenti javno ne objavi preko APA (drugi odstavek 21.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      informacije, objavljene v skladu s prvim odstavkom 21.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in časovni okviri, v katerih so objavljene, niso skladni z zahtevami, sprejetimi na podlagi 10.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vključno z regulativnimi tehničnimi standardi, sprejetimi v skladu z a) in b) točko četrtega odstavka 11.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(tretji odstavek 21.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6.      z delnicami, uvrščenimi v trgovanje na organiziranem trgu ali s katerimi se trguje na mestu trgovanja, trguje v nasprotju s prvim odstavkom 23.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7.      upravlja notranji sistem združevanja, ki izvršuje naročila strank v zvezi z delnicami, potrdili o lastništvu, ETF, certifikati in drugimi podobnimi finančnimi instrumenti na večstranski osnovi, in ne pridobi dovoljenja kot MTF v skladu z </w:t>
      </w:r>
      <w:r w:rsidR="00130CDA" w:rsidRPr="004319E8">
        <w:rPr>
          <w:rFonts w:ascii="Arial" w:eastAsia="Arial" w:hAnsi="Arial" w:cs="Arial"/>
          <w:color w:val="0000EE"/>
          <w:sz w:val="20"/>
          <w:szCs w:val="20"/>
          <w:u w:val="single" w:color="0000EE"/>
        </w:rPr>
        <w:t>Direktivo 2014/65/EU</w:t>
      </w:r>
      <w:r w:rsidRPr="004319E8">
        <w:rPr>
          <w:rFonts w:ascii="Arial" w:eastAsia="Arial" w:hAnsi="Arial" w:cs="Arial"/>
          <w:sz w:val="20"/>
          <w:szCs w:val="20"/>
        </w:rPr>
        <w:t xml:space="preserve"> ali ne izpolnjuje vseh ustreznih določbe v zvezi s takšnim dovoljenjem (drugi odstavek 23.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8.      ne vodi evidenc ali agenciji ne daje na voljo podatkov v skladu s prvim odstavkom 25.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9.      izvršuje posle s finančnimi instrumenti iz drugega odstavka 26.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in agenciji izčrpno in točno ne poroča o podrobnostih teh poslov čim prej oziroma najpozneje do konca naslednjega delovnega dne (prvi odstavek 26.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10.   v poročilih ni vključenih podatkov v skladu s tretjim in četrtim odstavkom 26.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11.   pri poročanju ne uporabi označbe za pravne osebe v skladu s šestim odstavkom 26.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12.   agenciji ne predloži poročila o poslih v skladu s prvim, tretjim in devetim odstavkom 26.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razen če to poročilo v njegovem imenu predloži ARM ali mesto trgovanja, preko sistema katerega je bil posel opravljen (sedmi odstavek 26.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13.   deluje kot klirinški član v skladu s štirinajstim odstavkom 2. člena </w:t>
      </w:r>
      <w:r w:rsidR="00130CDA" w:rsidRPr="004319E8">
        <w:rPr>
          <w:rFonts w:ascii="Arial" w:eastAsia="Arial" w:hAnsi="Arial" w:cs="Arial"/>
          <w:color w:val="0000EE"/>
          <w:sz w:val="20"/>
          <w:szCs w:val="20"/>
          <w:u w:val="single" w:color="0000EE"/>
        </w:rPr>
        <w:t>Uredbe 648/2012/EU</w:t>
      </w:r>
      <w:r w:rsidRPr="004319E8">
        <w:rPr>
          <w:rFonts w:ascii="Arial" w:eastAsia="Arial" w:hAnsi="Arial" w:cs="Arial"/>
          <w:sz w:val="20"/>
          <w:szCs w:val="20"/>
        </w:rPr>
        <w:t xml:space="preserve"> in nima vzpostavljenih učinkovitih sistemov, postopkov in ureditev v skladu z drugim odstavkom 29.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14.   zagotavlja stiskanje portfelja in prek APA ne objavi obsega poslov, ki so predmet stiskanja portfelja in časa, v katerem je bilo to izvršeno ali če teh podatkov ne objavi v rokih iz 10.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(drugi odstavek 31.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15.   zagotavlja stiskanje portfelja in ne vodi popolne in točne evidence vseh stiskanj portfelja, ki jih organizira ali pri katerih sodeluje ali če teh podatkov na zahtevo nemudoma ne predloži agenciji ali ESMA (tretji odstavek 31.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(4) Z globo od 25.000 do 250.000 eurov se za prekršek kaznuje izvajalec storitev poročanja podatkov, z globo od 80.000 do 500.000 eurov pa kaznuje izvajalec storitev poročanja podatkov, ki se po ZGD-1 šteje za srednjo ali veliko gospodarsko družbo,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      kot APA ali CTP ne hrani potrebnih podatkov za obdobje določeno z regulativnimi tehničnimi standardi iz četrtega odstavka 22.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(drugi odstavek 22.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 xml:space="preserve">2.      kot ARM deluje v imenu investicijskega podjetja in ne predloži poročila o poslovanju v skladu s prvim, tretjim, sedmim in devetim odstavkom 26.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(sedmi odstavek 26.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3.      kot APA ali ARM iz prvega odstavka 333. člena tega zakona nima dovoljenja v skladu s 27.b členom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      kot APA ali ARM iz prvega odstavka 333. člena tega zakona ne izpolnjuje zahtev za upravljalni organ iz prvega, drugega in tretjega odstavka 27f.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      kot APA iz prvega odstavka 333. člena tega zakona ne izpolnjuje organizacijskih zahtev iz prvega do petega odstavka 27.g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6.      kot ARM iz prvega odstavka 333. člena tega zakona ne izpolnjuje organizacijskih zahtev iz prvega do četrtega odstavka 27.i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(5) Z globo od 25.000 do 250.000 eurov se za prekršek kaznuje CNS, z globo od 25.000 do 500.000 eurov pa CNS, ki se po ZGD-1 šteje za srednjo ali veliko gospodarsko družbo,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      deluje kot klirinški član v skladu s štirinajstim odstavkom 2. člena </w:t>
      </w:r>
      <w:r w:rsidR="00130CDA" w:rsidRPr="004319E8">
        <w:rPr>
          <w:rFonts w:ascii="Arial" w:eastAsia="Arial" w:hAnsi="Arial" w:cs="Arial"/>
          <w:color w:val="0000EE"/>
          <w:sz w:val="20"/>
          <w:szCs w:val="20"/>
          <w:u w:val="single" w:color="0000EE"/>
        </w:rPr>
        <w:t>Uredbe 648/2012/EU</w:t>
      </w:r>
      <w:r w:rsidRPr="004319E8">
        <w:rPr>
          <w:rFonts w:ascii="Arial" w:eastAsia="Arial" w:hAnsi="Arial" w:cs="Arial"/>
          <w:sz w:val="20"/>
          <w:szCs w:val="20"/>
        </w:rPr>
        <w:t xml:space="preserve"> ter nima vzpostavljenih učinkovitih sistemov, postopkov in ureditev v skladu z drugim odstavkom 29.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      nediskriminatorno in pregledno ne sprejme kliringa finančnih instrumentov v skladu s prvim odstavkom 35.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3.      v zvezi z zavrnitvijo ali odobritvijo zahteve za dostop do CNS ne ravna v skladu s tretjim odstavkom 35.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      zahteva dostop do mesta trgovanja in zahteve uradno ne predloži temu mestu trgovanja in agenciji v skladu z drugim odstavkom 36.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      sklene dogovor iz tretjega odstavka 37.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(6) Z globo od 25.000 do 250.000 eurov se za prekršek kaznuje pravna oseba, z globo od 25.000 do 500.000 eurov pa pravna oseba, ki se po ZGD-1 šteje za srednjo ali veliko gospodarsko družbo, če: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      je oseba iz prvega ali drugega odstavka 28.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 xml:space="preserve"> in z izvedenimi finančnimi instrumenti, za katere velja obveznost trgovanja, trguje zunaj organiziranega trga, MTF ali OTF;</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      uporablja posredno ureditev kliringa in ne izpolnjujejo pogojev iz prvega odstavka 30.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3.      je oseba z lastninsko pravico v zvezi referenčnim merilom na podlagi katerega se izračuna vrednost finančnega instrumenta in ne zagotovi, da imajo CNS in mesta trgovanja za namene trgovanja in kliringa omogočen </w:t>
      </w:r>
      <w:proofErr w:type="spellStart"/>
      <w:r w:rsidRPr="004319E8">
        <w:rPr>
          <w:rFonts w:ascii="Arial" w:eastAsia="Arial" w:hAnsi="Arial" w:cs="Arial"/>
          <w:sz w:val="20"/>
          <w:szCs w:val="20"/>
        </w:rPr>
        <w:t>nediskriminatoren</w:t>
      </w:r>
      <w:proofErr w:type="spellEnd"/>
      <w:r w:rsidRPr="004319E8">
        <w:rPr>
          <w:rFonts w:ascii="Arial" w:eastAsia="Arial" w:hAnsi="Arial" w:cs="Arial"/>
          <w:sz w:val="20"/>
          <w:szCs w:val="20"/>
        </w:rPr>
        <w:t xml:space="preserve"> dostop v skladu s prvim odstavkom 37.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4.      je s CNS ali mestom trgovanja povezan subjekt in sklene dogovor iz tretjega odstavka 37.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      ne ravna v skladu z ukrepom, ki ga izreče ESMA v skladu s prvim odstavkom 40.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lastRenderedPageBreak/>
        <w:t xml:space="preserve">6.      ne ravna v skladu z ukrepom, ki ga izreče Evropski bančni organ v skladu s prvim odstavkom 41.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7.      ne ravna v skladu z ukrepom, ki ga izreče agencija v skladu s prvim odstavkom 42. člena </w:t>
      </w:r>
      <w:r w:rsidR="00130CDA" w:rsidRPr="004319E8">
        <w:rPr>
          <w:rFonts w:ascii="Arial" w:eastAsia="Arial" w:hAnsi="Arial" w:cs="Arial"/>
          <w:color w:val="0000EE"/>
          <w:sz w:val="20"/>
          <w:szCs w:val="20"/>
          <w:u w:val="single" w:color="0000EE"/>
        </w:rPr>
        <w:t>Uredbe 600/2014/EU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(7) Če je narava storjenega prekrška iz prvega do šestega odstavka tega člena posebno huda zaradi višine povzročene škode oziroma višine pridobljene protipravne premoženjske koristi ali zaradi storilčevega naklepa oziroma njegovega namena koristoljubnosti, se pravna oseba kaznuje z globo v višini do:</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5.000.000 eurov ali 10 % skupnega letnega prometa glede na zadnje razpoložljive računovodske izkaze, ki jih je odobril pristojni organ družbe, oziroma skupnega letnega prometa ali ustrezne vrste prihodka, ki izhaja iz zadnje razpoložljive konsolidirane letne bilance, ki jo je odobril pristojni organ matične družbe, če pravna oseba pripravi konsolidirane računovodske izkaze na podlagi ZGD-1, pri čemer se upošteva višji znesek, če gre za kršitev iz 1. do 5. točke prejšnjega odstavka, ali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2.500.000 eurov ali 2 % skupnega letnega prometa glede na zadnje razpoložljive računovodske izkaze, ki jih je odobril pristojni organ družbe, oziroma skupnega letnega prometa ali ustrezne vrste prihodka, ki izhaja iz zadnje razpoložljive konsolidirane letne bilance, ki jo je odobril pristojni organ matične družbe, če pravna oseba pripravi konsolidirane računovodske izkaze na podlagi ZGD-1, pri čemer se upošteva višji znesek, če gre za kršitev iz 6. ali 7. točke prejšnjega odstavka, ali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trikratnega zneska dobička, pridobljenega s kršitvijo, ali izgube, preprečene s kršitvijo, kadar ju je mogoče opredeliti, če ta znesek presega znesek iz 1. oziroma 2. točke tega odstavka.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(8) Z globo od 400 do 150.000 eurov se za prekršek kaznuje podjetnik ali posameznik, ki samostojno opravlja dejavnost, ki stori prekršek iz prvega do šestega odstavka tega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(9) Z globo od 800 do 10.000 eurov se za prekršek kaznuje odgovorna oseba pravne osebe, ki stori prekršek iz prvega do šestega odstavka tega člena, in odgovorna oseba podjetnika ali posameznika, ki samostojno opravlja dejavnost, ki stori prekršek iz prvega do šestega odstavka tega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(10) Z globo od 400 do 5.000 eurov se za prekršek kaznuje posameznik, ki stori prekršek iz prvega do šestega odstavka tega člena.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(11) Če je narava storjenega prekrška iz osmega, devetega ali desetega odstavka tega člena posebno huda zaradi višine povzročene škode oziroma višine pridobljene protipravne premoženjske koristi ali zaradi storilčevega naklepa oziroma njegovega namena koristoljubnosti, se oseba iz osmega, devetega ali desetega odstavka tega člena kaznuje z globo do višine:</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      5.000.000 eurov, če gre za kršitev iz prvega do šestega odstavka tega člena, ali</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2.      trikratnega zneska dobička, pridobljenega s kršitvijo, ali izgube, preprečene s kršitvijo, kadar ju je mogoče opredeliti, če ta znesek presega znesek iz prejšnje točke.</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546. člen</w:t>
      </w:r>
    </w:p>
    <w:p w:rsidR="00512760" w:rsidRPr="004319E8" w:rsidRDefault="00512760" w:rsidP="00512760">
      <w:pPr>
        <w:pStyle w:val="center"/>
        <w:pBdr>
          <w:top w:val="none" w:sz="0" w:space="24" w:color="auto"/>
        </w:pBdr>
        <w:spacing w:before="210" w:after="210"/>
        <w:rPr>
          <w:rFonts w:ascii="Arial" w:eastAsia="Arial" w:hAnsi="Arial" w:cs="Arial"/>
          <w:b/>
          <w:bCs/>
          <w:sz w:val="20"/>
          <w:szCs w:val="20"/>
          <w:lang w:val="sl-SI"/>
        </w:rPr>
      </w:pPr>
      <w:r w:rsidRPr="004319E8">
        <w:rPr>
          <w:rFonts w:ascii="Arial" w:eastAsia="Arial" w:hAnsi="Arial" w:cs="Arial"/>
          <w:b/>
          <w:bCs/>
          <w:sz w:val="20"/>
          <w:szCs w:val="20"/>
          <w:lang w:val="sl-SI"/>
        </w:rPr>
        <w:t>(prekrškovni organ)</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(1) Prekrškovni organ, ki vodi postopke in odloča o prekrških iz tega zakona in ZPre-1, je agencija.</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lastRenderedPageBreak/>
        <w:t>(2) Ne glede na prejšnji odstavek je Banka Slovenije pristojna voditi postopke in odločati o prekrških iz 543. in 544. člena tega zakona v primerih, ko je storjen prekršek:</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      iz 3. točke prvega odstavka 543. člena tega zakona v zvezi z opravljanjem storitev iz 3. točke oddelka A, 1., 3. in 4.a točke oddelka B ter oddelka C </w:t>
      </w:r>
      <w:r w:rsidR="00130CDA" w:rsidRPr="004319E8">
        <w:rPr>
          <w:rFonts w:ascii="Arial" w:eastAsia="Arial" w:hAnsi="Arial" w:cs="Arial"/>
          <w:color w:val="0000EE"/>
          <w:sz w:val="20"/>
          <w:szCs w:val="20"/>
          <w:u w:val="single" w:color="0000EE"/>
        </w:rPr>
        <w:t>Priloge Uredbe 909/2014/EU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2.      iz 4. točke prvega odstavka 543. člena tega zakona v zvezi s pridobitvijo dovoljenja za opravljanje storitev iz 3. točke oddelka A, 1., 3. in 4.a točke oddelka B ter oddelka C </w:t>
      </w:r>
      <w:r w:rsidR="00130CDA" w:rsidRPr="004319E8">
        <w:rPr>
          <w:rFonts w:ascii="Arial" w:eastAsia="Arial" w:hAnsi="Arial" w:cs="Arial"/>
          <w:color w:val="0000EE"/>
          <w:sz w:val="20"/>
          <w:szCs w:val="20"/>
          <w:u w:val="single" w:color="0000EE"/>
        </w:rPr>
        <w:t>Priloge Uredbe 909/2014/EU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3.      iz 6. točke prvega odstavka 543. člena tega zakona v zvezi z:</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izpolnjevanjem organizacijskih zahtev iz 28. člena</w:t>
      </w:r>
      <w:r w:rsidR="008E3603" w:rsidRPr="004319E8">
        <w:rPr>
          <w:rFonts w:ascii="Arial" w:eastAsia="Arial" w:hAnsi="Arial" w:cs="Arial"/>
          <w:sz w:val="20"/>
          <w:szCs w:val="20"/>
          <w:lang w:val="sl-SI"/>
        </w:rPr>
        <w:t xml:space="preserve"> Uredbe 909/2014/EU</w:t>
      </w:r>
      <w:r w:rsidRPr="004319E8">
        <w:rPr>
          <w:rFonts w:ascii="Arial" w:eastAsia="Arial" w:hAnsi="Arial" w:cs="Arial"/>
          <w:sz w:val="20"/>
          <w:szCs w:val="20"/>
          <w:lang w:val="sl-SI"/>
        </w:rPr>
        <w:t xml:space="preserve"> in</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izpolnjevanjem organizacijskih zahtev iz 29. in 30. člena</w:t>
      </w:r>
      <w:r w:rsidR="008E3603" w:rsidRPr="00EB5E5A">
        <w:rPr>
          <w:rFonts w:ascii="Arial" w:hAnsi="Arial" w:cs="Arial"/>
          <w:sz w:val="20"/>
          <w:szCs w:val="20"/>
          <w:lang w:val="sl-SI"/>
        </w:rPr>
        <w:t xml:space="preserve"> </w:t>
      </w:r>
      <w:r w:rsidR="008E3603" w:rsidRPr="004319E8">
        <w:rPr>
          <w:rFonts w:ascii="Arial" w:eastAsia="Arial" w:hAnsi="Arial" w:cs="Arial"/>
          <w:sz w:val="20"/>
          <w:szCs w:val="20"/>
          <w:lang w:val="sl-SI"/>
        </w:rPr>
        <w:t>Uredbe 909/2014/EU</w:t>
      </w:r>
      <w:r w:rsidRPr="004319E8">
        <w:rPr>
          <w:rFonts w:ascii="Arial" w:eastAsia="Arial" w:hAnsi="Arial" w:cs="Arial"/>
          <w:sz w:val="20"/>
          <w:szCs w:val="20"/>
          <w:lang w:val="sl-SI"/>
        </w:rPr>
        <w:t xml:space="preserve"> za opravljanje storitev iz 3. točke oddelka A, 1., 3. in 4.a točke oddelka B ter oddelka C </w:t>
      </w:r>
      <w:r w:rsidR="008E3603" w:rsidRPr="004319E8">
        <w:rPr>
          <w:rFonts w:ascii="Arial" w:eastAsia="Arial" w:hAnsi="Arial" w:cs="Arial"/>
          <w:color w:val="0000EE"/>
          <w:sz w:val="20"/>
          <w:szCs w:val="20"/>
          <w:u w:val="single" w:color="0000EE"/>
          <w:lang w:val="sl-SI"/>
        </w:rPr>
        <w:t>Priloge Uredbe 909/2014/EU</w:t>
      </w:r>
      <w:r w:rsidRPr="004319E8">
        <w:rPr>
          <w:rFonts w:ascii="Arial" w:eastAsia="Arial" w:hAnsi="Arial" w:cs="Arial"/>
          <w:sz w:val="20"/>
          <w:szCs w:val="20"/>
          <w:lang w:val="sl-SI"/>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4.      iz 7. točke prvega odstavka 543. člena tega zakona v zvezi z:</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xml:space="preserve">-  izpolnjevanjem pravil vodenja poslov iz 32. člena </w:t>
      </w:r>
      <w:r w:rsidR="008E3603" w:rsidRPr="004319E8">
        <w:rPr>
          <w:rFonts w:ascii="Arial" w:eastAsia="Arial" w:hAnsi="Arial" w:cs="Arial"/>
          <w:color w:val="0000EE"/>
          <w:sz w:val="20"/>
          <w:szCs w:val="20"/>
          <w:u w:val="single" w:color="0000EE"/>
          <w:lang w:val="sl-SI"/>
        </w:rPr>
        <w:t>Uredbe 909/2014/EU</w:t>
      </w:r>
      <w:r w:rsidRPr="004319E8">
        <w:rPr>
          <w:rFonts w:ascii="Arial" w:eastAsia="Arial" w:hAnsi="Arial" w:cs="Arial"/>
          <w:sz w:val="20"/>
          <w:szCs w:val="20"/>
          <w:lang w:val="sl-SI"/>
        </w:rPr>
        <w:t xml:space="preserve"> za opravljanje storitev iz 3. točke oddelka A, 1., 3. in 4.a točke oddelka B ter oddelka C </w:t>
      </w:r>
      <w:r w:rsidR="008E3603" w:rsidRPr="004319E8">
        <w:rPr>
          <w:rFonts w:ascii="Arial" w:eastAsia="Arial" w:hAnsi="Arial" w:cs="Arial"/>
          <w:color w:val="0000EE"/>
          <w:sz w:val="20"/>
          <w:szCs w:val="20"/>
          <w:u w:val="single" w:color="0000EE"/>
          <w:lang w:val="sl-SI"/>
        </w:rPr>
        <w:t>Priloge Uredbe 909/2014/EU</w:t>
      </w:r>
      <w:r w:rsidRPr="004319E8">
        <w:rPr>
          <w:rFonts w:ascii="Arial" w:eastAsia="Arial" w:hAnsi="Arial" w:cs="Arial"/>
          <w:sz w:val="20"/>
          <w:szCs w:val="20"/>
          <w:lang w:val="sl-SI"/>
        </w:rPr>
        <w:t>,</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xml:space="preserve">-  izpolnjevanjem pravil vodenja poslov iz 33. in 35. člena </w:t>
      </w:r>
      <w:r w:rsidR="008E3603" w:rsidRPr="004319E8">
        <w:rPr>
          <w:rFonts w:ascii="Arial" w:eastAsia="Arial" w:hAnsi="Arial" w:cs="Arial"/>
          <w:color w:val="0000EE"/>
          <w:sz w:val="20"/>
          <w:szCs w:val="20"/>
          <w:u w:val="single" w:color="0000EE"/>
          <w:lang w:val="sl-SI"/>
        </w:rPr>
        <w:t>Uredbe 909/2014/EU</w:t>
      </w:r>
      <w:r w:rsidRPr="004319E8">
        <w:rPr>
          <w:rFonts w:ascii="Arial" w:eastAsia="Arial" w:hAnsi="Arial" w:cs="Arial"/>
          <w:sz w:val="20"/>
          <w:szCs w:val="20"/>
          <w:lang w:val="sl-SI"/>
        </w:rPr>
        <w:t xml:space="preserve"> in</w:t>
      </w:r>
    </w:p>
    <w:p w:rsidR="00512760" w:rsidRPr="004319E8" w:rsidRDefault="00512760" w:rsidP="00512760">
      <w:pPr>
        <w:pStyle w:val="alineazastevilcnotocko"/>
        <w:spacing w:before="210" w:after="210"/>
        <w:ind w:left="567"/>
        <w:rPr>
          <w:rFonts w:ascii="Arial" w:eastAsia="Arial" w:hAnsi="Arial" w:cs="Arial"/>
          <w:sz w:val="20"/>
          <w:szCs w:val="20"/>
          <w:lang w:val="sl-SI"/>
        </w:rPr>
      </w:pPr>
      <w:r w:rsidRPr="004319E8">
        <w:rPr>
          <w:rFonts w:ascii="Arial" w:eastAsia="Arial" w:hAnsi="Arial" w:cs="Arial"/>
          <w:sz w:val="20"/>
          <w:szCs w:val="20"/>
          <w:lang w:val="sl-SI"/>
        </w:rPr>
        <w:t xml:space="preserve">-  izpolnjevanjem pravil vodenja poslov iz 34. člena </w:t>
      </w:r>
      <w:r w:rsidR="008E3603" w:rsidRPr="004319E8">
        <w:rPr>
          <w:rFonts w:ascii="Arial" w:eastAsia="Arial" w:hAnsi="Arial" w:cs="Arial"/>
          <w:color w:val="0000EE"/>
          <w:sz w:val="20"/>
          <w:szCs w:val="20"/>
          <w:u w:val="single" w:color="0000EE"/>
          <w:lang w:val="sl-SI"/>
        </w:rPr>
        <w:t>Uredbe 909/2014/EU</w:t>
      </w:r>
      <w:r w:rsidRPr="004319E8">
        <w:rPr>
          <w:rFonts w:ascii="Arial" w:eastAsia="Arial" w:hAnsi="Arial" w:cs="Arial"/>
          <w:sz w:val="20"/>
          <w:szCs w:val="20"/>
          <w:lang w:val="sl-SI"/>
        </w:rPr>
        <w:t xml:space="preserve"> za opravljanje storitev iz 3. točke oddelka A</w:t>
      </w:r>
      <w:r w:rsidR="004410BD" w:rsidRPr="004319E8">
        <w:rPr>
          <w:rFonts w:ascii="Arial" w:eastAsia="Arial" w:hAnsi="Arial" w:cs="Arial"/>
          <w:sz w:val="20"/>
          <w:szCs w:val="20"/>
          <w:lang w:val="sl-SI"/>
        </w:rPr>
        <w:t xml:space="preserve"> Priloge Uredbe 909/2014/EU</w:t>
      </w:r>
      <w:r w:rsidRPr="004319E8">
        <w:rPr>
          <w:rFonts w:ascii="Arial" w:eastAsia="Arial" w:hAnsi="Arial" w:cs="Arial"/>
          <w:sz w:val="20"/>
          <w:szCs w:val="20"/>
          <w:lang w:val="sl-SI"/>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5.      iz 8. točke prvega odstavka 543. člena tega zakona v zvezi z izpolnjevanjem zahtev za storitve CDD iz 39. do 41. člena </w:t>
      </w:r>
      <w:r w:rsidR="00130CDA" w:rsidRPr="004319E8">
        <w:rPr>
          <w:rFonts w:ascii="Arial" w:eastAsia="Arial" w:hAnsi="Arial" w:cs="Arial"/>
          <w:color w:val="0000EE"/>
          <w:sz w:val="20"/>
          <w:szCs w:val="20"/>
          <w:u w:val="single" w:color="0000EE"/>
        </w:rPr>
        <w:t>Uredbe 909/2014/EU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6.      iz 9. točke prvega odstavka 543. člena tega zakona v zvezi z izpolnjevanjem bonitetnih zahtev iz 43. in 45. člena </w:t>
      </w:r>
      <w:r w:rsidR="00130CDA" w:rsidRPr="004319E8">
        <w:rPr>
          <w:rFonts w:ascii="Arial" w:eastAsia="Arial" w:hAnsi="Arial" w:cs="Arial"/>
          <w:color w:val="0000EE"/>
          <w:sz w:val="20"/>
          <w:szCs w:val="20"/>
          <w:u w:val="single" w:color="0000EE"/>
        </w:rPr>
        <w:t>Uredbe 909/2014/EU</w:t>
      </w:r>
      <w:r w:rsidRPr="004319E8">
        <w:rPr>
          <w:rFonts w:ascii="Arial" w:eastAsia="Arial" w:hAnsi="Arial" w:cs="Arial"/>
          <w:sz w:val="20"/>
          <w:szCs w:val="20"/>
        </w:rPr>
        <w:t xml:space="preserve"> za opravljanje storitev iz 3. točke oddelka A, 1., 3. in 4.a točke oddelka B ter oddelka C </w:t>
      </w:r>
      <w:r w:rsidR="00130CDA" w:rsidRPr="004319E8">
        <w:rPr>
          <w:rFonts w:ascii="Arial" w:eastAsia="Arial" w:hAnsi="Arial" w:cs="Arial"/>
          <w:color w:val="0000EE"/>
          <w:sz w:val="20"/>
          <w:szCs w:val="20"/>
          <w:u w:val="single" w:color="0000EE"/>
        </w:rPr>
        <w:t>Priloge Uredbe 909/2014/EU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7.      iz 10. točke prvega odstavka 543.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8.      iz 11. točke prvega odstavka 543. člena tega zakona v zvezi z zagotavljanjem različnih vrst dostopa iz 50. do 52. člena </w:t>
      </w:r>
      <w:r w:rsidR="00130CDA" w:rsidRPr="004319E8">
        <w:rPr>
          <w:rFonts w:ascii="Arial" w:eastAsia="Arial" w:hAnsi="Arial" w:cs="Arial"/>
          <w:color w:val="0000EE"/>
          <w:sz w:val="20"/>
          <w:szCs w:val="20"/>
          <w:u w:val="single" w:color="0000EE"/>
        </w:rPr>
        <w:t>Uredbe 909/2014/EU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9.      iz 1. točke prvega odstavka 544.. člena tega zakona v zvezi z opravljanjem storitev iz 3. točke oddelka A, 1., 3. in 4.a točke oddelka B ter oddelka C </w:t>
      </w:r>
      <w:r w:rsidR="00130CDA" w:rsidRPr="004319E8">
        <w:rPr>
          <w:rFonts w:ascii="Arial" w:eastAsia="Arial" w:hAnsi="Arial" w:cs="Arial"/>
          <w:color w:val="0000EE"/>
          <w:sz w:val="20"/>
          <w:szCs w:val="20"/>
          <w:u w:val="single" w:color="0000EE"/>
        </w:rPr>
        <w:t>Priloge Uredbe 909/2014/EU</w:t>
      </w:r>
      <w:r w:rsidRPr="004319E8">
        <w:rPr>
          <w:rFonts w:ascii="Arial" w:eastAsia="Arial" w:hAnsi="Arial" w:cs="Arial"/>
          <w:sz w:val="20"/>
          <w:szCs w:val="20"/>
        </w:rPr>
        <w:t>;</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10.   iz 2. in 3. točke prvega odstavka 544. člena tega zakona;</w:t>
      </w:r>
    </w:p>
    <w:p w:rsidR="00512760" w:rsidRPr="004319E8" w:rsidRDefault="00512760" w:rsidP="00512760">
      <w:pPr>
        <w:pStyle w:val="zamik"/>
        <w:spacing w:before="210" w:after="210"/>
        <w:ind w:left="425" w:hanging="425"/>
        <w:jc w:val="both"/>
        <w:rPr>
          <w:rFonts w:ascii="Arial" w:eastAsia="Arial" w:hAnsi="Arial" w:cs="Arial"/>
          <w:sz w:val="20"/>
          <w:szCs w:val="20"/>
        </w:rPr>
      </w:pPr>
      <w:r w:rsidRPr="004319E8">
        <w:rPr>
          <w:rFonts w:ascii="Arial" w:eastAsia="Arial" w:hAnsi="Arial" w:cs="Arial"/>
          <w:sz w:val="20"/>
          <w:szCs w:val="20"/>
        </w:rPr>
        <w:t xml:space="preserve">11.   iz 4. točke prvega odstavka 544. člena tega zakona v zvezi z opravljanjem storitev iz 3. točke oddelka A, 1., 3. in 4.a točke oddelka B ter oddelka C </w:t>
      </w:r>
      <w:r w:rsidR="00130CDA" w:rsidRPr="004319E8">
        <w:rPr>
          <w:rFonts w:ascii="Arial" w:eastAsia="Arial" w:hAnsi="Arial" w:cs="Arial"/>
          <w:color w:val="0000EE"/>
          <w:sz w:val="20"/>
          <w:szCs w:val="20"/>
          <w:u w:val="single" w:color="0000EE"/>
        </w:rPr>
        <w:t>Priloge Uredbe 909/2014/EU</w:t>
      </w:r>
      <w:r w:rsidRPr="004319E8">
        <w:rPr>
          <w:rFonts w:ascii="Arial" w:eastAsia="Arial" w:hAnsi="Arial" w:cs="Arial"/>
          <w:sz w:val="20"/>
          <w:szCs w:val="20"/>
        </w:rPr>
        <w:t>.</w:t>
      </w:r>
    </w:p>
    <w:p w:rsidR="00512760" w:rsidRPr="004319E8" w:rsidRDefault="00512760" w:rsidP="00512760">
      <w:pPr>
        <w:pStyle w:val="zamik"/>
        <w:pBdr>
          <w:top w:val="none" w:sz="0" w:space="12" w:color="auto"/>
        </w:pBdr>
        <w:spacing w:before="210" w:after="210"/>
        <w:jc w:val="both"/>
        <w:rPr>
          <w:rFonts w:ascii="Arial" w:eastAsia="Arial" w:hAnsi="Arial" w:cs="Arial"/>
          <w:sz w:val="20"/>
          <w:szCs w:val="20"/>
        </w:rPr>
      </w:pPr>
      <w:r w:rsidRPr="004319E8">
        <w:rPr>
          <w:rFonts w:ascii="Arial" w:eastAsia="Arial" w:hAnsi="Arial" w:cs="Arial"/>
          <w:sz w:val="20"/>
          <w:szCs w:val="20"/>
        </w:rPr>
        <w:t>(3) Ne glede na prvi odstavek tega člena je Banka Slovenije pristojna voditi postopke in odločati o prekrških iz 531., 532., 533., 534. in 541. člena tega zakona, če je kršitelj banka, njena odgovorna oseba oziroma član uprave ali nadzornega sveta banke.</w:t>
      </w:r>
    </w:p>
    <w:p w:rsidR="001F7CAE" w:rsidRDefault="001F7CAE" w:rsidP="00C64B3F">
      <w:pPr>
        <w:spacing w:line="260" w:lineRule="exact"/>
        <w:jc w:val="both"/>
        <w:rPr>
          <w:rFonts w:cs="Arial"/>
          <w:b/>
          <w:szCs w:val="20"/>
        </w:rPr>
      </w:pPr>
    </w:p>
    <w:p w:rsidR="00E16CD0" w:rsidRPr="00732B0A" w:rsidRDefault="00E16CD0" w:rsidP="00C64B3F">
      <w:pPr>
        <w:spacing w:line="240" w:lineRule="auto"/>
        <w:jc w:val="both"/>
        <w:rPr>
          <w:rFonts w:cs="Arial"/>
          <w:szCs w:val="20"/>
        </w:rPr>
      </w:pPr>
      <w:bookmarkStart w:id="77" w:name="_GoBack"/>
      <w:bookmarkEnd w:id="77"/>
    </w:p>
    <w:p w:rsidR="00E16CD0" w:rsidRDefault="008E4F17" w:rsidP="00C64B3F">
      <w:pPr>
        <w:ind w:left="709" w:hanging="709"/>
        <w:jc w:val="both"/>
        <w:rPr>
          <w:rFonts w:cs="Arial"/>
          <w:b/>
          <w:szCs w:val="20"/>
        </w:rPr>
      </w:pPr>
      <w:r>
        <w:rPr>
          <w:rFonts w:cs="Arial"/>
          <w:b/>
          <w:szCs w:val="20"/>
        </w:rPr>
        <w:t>V</w:t>
      </w:r>
      <w:r w:rsidR="006813E2">
        <w:rPr>
          <w:rFonts w:cs="Arial"/>
          <w:b/>
          <w:szCs w:val="20"/>
        </w:rPr>
        <w:t>. PRILOGA</w:t>
      </w:r>
      <w:r w:rsidR="00E16CD0" w:rsidRPr="00732B0A">
        <w:rPr>
          <w:rFonts w:cs="Arial"/>
          <w:b/>
          <w:szCs w:val="20"/>
        </w:rPr>
        <w:t>:</w:t>
      </w:r>
    </w:p>
    <w:p w:rsidR="006813E2" w:rsidRPr="006813E2" w:rsidRDefault="006813E2" w:rsidP="00C64B3F">
      <w:pPr>
        <w:ind w:left="709" w:hanging="709"/>
        <w:jc w:val="both"/>
        <w:rPr>
          <w:rFonts w:cs="Arial"/>
          <w:szCs w:val="20"/>
        </w:rPr>
      </w:pPr>
      <w:r w:rsidRPr="006813E2">
        <w:rPr>
          <w:rFonts w:cs="Arial"/>
          <w:szCs w:val="20"/>
        </w:rPr>
        <w:t>Izjava o skladnosti</w:t>
      </w:r>
    </w:p>
    <w:p w:rsidR="00042A13" w:rsidRPr="00732B0A" w:rsidRDefault="00042A13" w:rsidP="00C64B3F">
      <w:pPr>
        <w:spacing w:line="240" w:lineRule="auto"/>
        <w:jc w:val="both"/>
        <w:rPr>
          <w:rFonts w:cs="Arial"/>
          <w:bCs/>
          <w:szCs w:val="20"/>
        </w:rPr>
      </w:pPr>
    </w:p>
    <w:sectPr w:rsidR="00042A13" w:rsidRPr="00732B0A" w:rsidSect="00D0002D">
      <w:headerReference w:type="default" r:id="rId13"/>
      <w:headerReference w:type="first" r:id="rId14"/>
      <w:pgSz w:w="11900" w:h="16840" w:code="9"/>
      <w:pgMar w:top="1701" w:right="1701" w:bottom="1418"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0090" w:rsidRDefault="003B0090">
      <w:r>
        <w:separator/>
      </w:r>
    </w:p>
  </w:endnote>
  <w:endnote w:type="continuationSeparator" w:id="0">
    <w:p w:rsidR="003B0090" w:rsidRDefault="003B0090">
      <w:r>
        <w:continuationSeparator/>
      </w:r>
    </w:p>
  </w:endnote>
  <w:endnote w:type="continuationNotice" w:id="1">
    <w:p w:rsidR="003B0090" w:rsidRDefault="003B009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altName w:val="Arial Narrow"/>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0090" w:rsidRDefault="003B0090">
      <w:r>
        <w:separator/>
      </w:r>
    </w:p>
  </w:footnote>
  <w:footnote w:type="continuationSeparator" w:id="0">
    <w:p w:rsidR="003B0090" w:rsidRDefault="003B0090">
      <w:r>
        <w:continuationSeparator/>
      </w:r>
    </w:p>
  </w:footnote>
  <w:footnote w:type="continuationNotice" w:id="1">
    <w:p w:rsidR="003B0090" w:rsidRDefault="003B0090">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49E8" w:rsidRPr="00110CBD" w:rsidRDefault="00F249E8"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49E8" w:rsidRPr="007175FE" w:rsidRDefault="00F249E8" w:rsidP="007D75CF">
    <w:pPr>
      <w:pStyle w:val="Glava"/>
      <w:tabs>
        <w:tab w:val="clear" w:pos="4320"/>
        <w:tab w:val="clear" w:pos="8640"/>
        <w:tab w:val="left" w:pos="5112"/>
      </w:tabs>
      <w:rPr>
        <w:lang w:val="de-D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B05DE5"/>
    <w:multiLevelType w:val="hybridMultilevel"/>
    <w:tmpl w:val="D9D458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 w15:restartNumberingAfterBreak="0">
    <w:nsid w:val="26152590"/>
    <w:multiLevelType w:val="hybridMultilevel"/>
    <w:tmpl w:val="A1826B0C"/>
    <w:lvl w:ilvl="0" w:tplc="AF90B5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362629"/>
    <w:multiLevelType w:val="hybridMultilevel"/>
    <w:tmpl w:val="3892941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A704B46"/>
    <w:multiLevelType w:val="hybridMultilevel"/>
    <w:tmpl w:val="94E8F860"/>
    <w:lvl w:ilvl="0" w:tplc="0D5E2966">
      <w:start w:val="1"/>
      <w:numFmt w:val="bullet"/>
      <w:pStyle w:val="Naslov1"/>
      <w:lvlText w:val=""/>
      <w:lvlJc w:val="left"/>
      <w:pPr>
        <w:ind w:left="997" w:hanging="360"/>
      </w:pPr>
      <w:rPr>
        <w:rFonts w:ascii="Symbol" w:hAnsi="Symbol" w:cs="Symbol" w:hint="default"/>
        <w:color w:val="auto"/>
      </w:rPr>
    </w:lvl>
    <w:lvl w:ilvl="1" w:tplc="04240003" w:tentative="1">
      <w:start w:val="1"/>
      <w:numFmt w:val="bullet"/>
      <w:lvlText w:val="o"/>
      <w:lvlJc w:val="left"/>
      <w:pPr>
        <w:ind w:left="1717" w:hanging="360"/>
      </w:pPr>
      <w:rPr>
        <w:rFonts w:ascii="Courier New" w:hAnsi="Courier New" w:cs="Courier New" w:hint="default"/>
      </w:rPr>
    </w:lvl>
    <w:lvl w:ilvl="2" w:tplc="04240005" w:tentative="1">
      <w:start w:val="1"/>
      <w:numFmt w:val="bullet"/>
      <w:lvlText w:val=""/>
      <w:lvlJc w:val="left"/>
      <w:pPr>
        <w:ind w:left="2437" w:hanging="360"/>
      </w:pPr>
      <w:rPr>
        <w:rFonts w:ascii="Wingdings" w:hAnsi="Wingdings" w:hint="default"/>
      </w:rPr>
    </w:lvl>
    <w:lvl w:ilvl="3" w:tplc="04240001" w:tentative="1">
      <w:start w:val="1"/>
      <w:numFmt w:val="bullet"/>
      <w:lvlText w:val=""/>
      <w:lvlJc w:val="left"/>
      <w:pPr>
        <w:ind w:left="3157" w:hanging="360"/>
      </w:pPr>
      <w:rPr>
        <w:rFonts w:ascii="Symbol" w:hAnsi="Symbol" w:hint="default"/>
      </w:rPr>
    </w:lvl>
    <w:lvl w:ilvl="4" w:tplc="04240003" w:tentative="1">
      <w:start w:val="1"/>
      <w:numFmt w:val="bullet"/>
      <w:lvlText w:val="o"/>
      <w:lvlJc w:val="left"/>
      <w:pPr>
        <w:ind w:left="3877" w:hanging="360"/>
      </w:pPr>
      <w:rPr>
        <w:rFonts w:ascii="Courier New" w:hAnsi="Courier New" w:cs="Courier New" w:hint="default"/>
      </w:rPr>
    </w:lvl>
    <w:lvl w:ilvl="5" w:tplc="04240005" w:tentative="1">
      <w:start w:val="1"/>
      <w:numFmt w:val="bullet"/>
      <w:lvlText w:val=""/>
      <w:lvlJc w:val="left"/>
      <w:pPr>
        <w:ind w:left="4597" w:hanging="360"/>
      </w:pPr>
      <w:rPr>
        <w:rFonts w:ascii="Wingdings" w:hAnsi="Wingdings" w:hint="default"/>
      </w:rPr>
    </w:lvl>
    <w:lvl w:ilvl="6" w:tplc="04240001" w:tentative="1">
      <w:start w:val="1"/>
      <w:numFmt w:val="bullet"/>
      <w:lvlText w:val=""/>
      <w:lvlJc w:val="left"/>
      <w:pPr>
        <w:ind w:left="5317" w:hanging="360"/>
      </w:pPr>
      <w:rPr>
        <w:rFonts w:ascii="Symbol" w:hAnsi="Symbol" w:hint="default"/>
      </w:rPr>
    </w:lvl>
    <w:lvl w:ilvl="7" w:tplc="04240003" w:tentative="1">
      <w:start w:val="1"/>
      <w:numFmt w:val="bullet"/>
      <w:lvlText w:val="o"/>
      <w:lvlJc w:val="left"/>
      <w:pPr>
        <w:ind w:left="6037" w:hanging="360"/>
      </w:pPr>
      <w:rPr>
        <w:rFonts w:ascii="Courier New" w:hAnsi="Courier New" w:cs="Courier New" w:hint="default"/>
      </w:rPr>
    </w:lvl>
    <w:lvl w:ilvl="8" w:tplc="04240005" w:tentative="1">
      <w:start w:val="1"/>
      <w:numFmt w:val="bullet"/>
      <w:lvlText w:val=""/>
      <w:lvlJc w:val="left"/>
      <w:pPr>
        <w:ind w:left="6757"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8"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2AA3A63"/>
    <w:multiLevelType w:val="multilevel"/>
    <w:tmpl w:val="156E70D8"/>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473B64DA"/>
    <w:multiLevelType w:val="hybridMultilevel"/>
    <w:tmpl w:val="8EEEAD3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DA2078A"/>
    <w:multiLevelType w:val="hybridMultilevel"/>
    <w:tmpl w:val="24EA7E58"/>
    <w:lvl w:ilvl="0" w:tplc="B94E715E">
      <w:start w:val="1"/>
      <w:numFmt w:val="decimal"/>
      <w:lvlText w:val="%1. "/>
      <w:lvlJc w:val="left"/>
      <w:pPr>
        <w:ind w:left="600" w:hanging="360"/>
      </w:pPr>
      <w:rPr>
        <w:rFonts w:hint="default"/>
        <w:sz w:val="20"/>
        <w:szCs w:val="20"/>
      </w:rPr>
    </w:lvl>
    <w:lvl w:ilvl="1" w:tplc="04240019">
      <w:start w:val="1"/>
      <w:numFmt w:val="lowerLetter"/>
      <w:lvlText w:val="%2."/>
      <w:lvlJc w:val="left"/>
      <w:pPr>
        <w:ind w:left="-5974" w:hanging="360"/>
      </w:pPr>
    </w:lvl>
    <w:lvl w:ilvl="2" w:tplc="0424001B">
      <w:start w:val="1"/>
      <w:numFmt w:val="lowerRoman"/>
      <w:lvlText w:val="%3."/>
      <w:lvlJc w:val="right"/>
      <w:pPr>
        <w:ind w:left="-5254" w:hanging="180"/>
      </w:pPr>
    </w:lvl>
    <w:lvl w:ilvl="3" w:tplc="0424000F">
      <w:start w:val="1"/>
      <w:numFmt w:val="decimal"/>
      <w:lvlText w:val="%4."/>
      <w:lvlJc w:val="left"/>
      <w:pPr>
        <w:ind w:left="-4534" w:hanging="360"/>
      </w:pPr>
    </w:lvl>
    <w:lvl w:ilvl="4" w:tplc="04240019" w:tentative="1">
      <w:start w:val="1"/>
      <w:numFmt w:val="lowerLetter"/>
      <w:lvlText w:val="%5."/>
      <w:lvlJc w:val="left"/>
      <w:pPr>
        <w:ind w:left="-3814" w:hanging="360"/>
      </w:pPr>
    </w:lvl>
    <w:lvl w:ilvl="5" w:tplc="0424001B" w:tentative="1">
      <w:start w:val="1"/>
      <w:numFmt w:val="lowerRoman"/>
      <w:lvlText w:val="%6."/>
      <w:lvlJc w:val="right"/>
      <w:pPr>
        <w:ind w:left="-3094" w:hanging="180"/>
      </w:pPr>
    </w:lvl>
    <w:lvl w:ilvl="6" w:tplc="0424000F" w:tentative="1">
      <w:start w:val="1"/>
      <w:numFmt w:val="decimal"/>
      <w:lvlText w:val="%7."/>
      <w:lvlJc w:val="left"/>
      <w:pPr>
        <w:ind w:left="-2374" w:hanging="360"/>
      </w:pPr>
    </w:lvl>
    <w:lvl w:ilvl="7" w:tplc="04240019" w:tentative="1">
      <w:start w:val="1"/>
      <w:numFmt w:val="lowerLetter"/>
      <w:lvlText w:val="%8."/>
      <w:lvlJc w:val="left"/>
      <w:pPr>
        <w:ind w:left="-1654" w:hanging="360"/>
      </w:pPr>
    </w:lvl>
    <w:lvl w:ilvl="8" w:tplc="0424001B" w:tentative="1">
      <w:start w:val="1"/>
      <w:numFmt w:val="lowerRoman"/>
      <w:lvlText w:val="%9."/>
      <w:lvlJc w:val="right"/>
      <w:pPr>
        <w:ind w:left="-934" w:hanging="180"/>
      </w:pPr>
    </w:lvl>
  </w:abstractNum>
  <w:abstractNum w:abstractNumId="14"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0867932"/>
    <w:multiLevelType w:val="hybridMultilevel"/>
    <w:tmpl w:val="A956E41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CBB3A33"/>
    <w:multiLevelType w:val="hybridMultilevel"/>
    <w:tmpl w:val="17461CA6"/>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D1C3BD2"/>
    <w:multiLevelType w:val="hybridMultilevel"/>
    <w:tmpl w:val="49DA814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5CE5182"/>
    <w:multiLevelType w:val="hybridMultilevel"/>
    <w:tmpl w:val="6C020E9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22" w15:restartNumberingAfterBreak="0">
    <w:nsid w:val="73C93E3B"/>
    <w:multiLevelType w:val="hybridMultilevel"/>
    <w:tmpl w:val="39AE33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9"/>
  </w:num>
  <w:num w:numId="4">
    <w:abstractNumId w:val="24"/>
  </w:num>
  <w:num w:numId="5">
    <w:abstractNumId w:val="7"/>
  </w:num>
  <w:num w:numId="6">
    <w:abstractNumId w:val="21"/>
  </w:num>
  <w:num w:numId="7">
    <w:abstractNumId w:val="23"/>
  </w:num>
  <w:num w:numId="8">
    <w:abstractNumId w:val="10"/>
  </w:num>
  <w:num w:numId="9">
    <w:abstractNumId w:val="5"/>
  </w:num>
  <w:num w:numId="10">
    <w:abstractNumId w:val="8"/>
  </w:num>
  <w:num w:numId="11">
    <w:abstractNumId w:val="6"/>
  </w:num>
  <w:num w:numId="12">
    <w:abstractNumId w:val="11"/>
  </w:num>
  <w:num w:numId="13">
    <w:abstractNumId w:val="16"/>
  </w:num>
  <w:num w:numId="14">
    <w:abstractNumId w:val="20"/>
  </w:num>
  <w:num w:numId="15">
    <w:abstractNumId w:val="14"/>
  </w:num>
  <w:num w:numId="16">
    <w:abstractNumId w:val="13"/>
  </w:num>
  <w:num w:numId="17">
    <w:abstractNumId w:val="15"/>
  </w:num>
  <w:num w:numId="18">
    <w:abstractNumId w:val="4"/>
  </w:num>
  <w:num w:numId="19">
    <w:abstractNumId w:val="2"/>
  </w:num>
  <w:num w:numId="20">
    <w:abstractNumId w:val="3"/>
  </w:num>
  <w:num w:numId="21">
    <w:abstractNumId w:val="0"/>
  </w:num>
  <w:num w:numId="22">
    <w:abstractNumId w:val="4"/>
  </w:num>
  <w:num w:numId="23">
    <w:abstractNumId w:val="4"/>
  </w:num>
  <w:num w:numId="24">
    <w:abstractNumId w:val="4"/>
  </w:num>
  <w:num w:numId="25">
    <w:abstractNumId w:val="4"/>
  </w:num>
  <w:num w:numId="26">
    <w:abstractNumId w:val="4"/>
  </w:num>
  <w:num w:numId="27">
    <w:abstractNumId w:val="17"/>
  </w:num>
  <w:num w:numId="28">
    <w:abstractNumId w:val="4"/>
  </w:num>
  <w:num w:numId="29">
    <w:abstractNumId w:val="18"/>
  </w:num>
  <w:num w:numId="30">
    <w:abstractNumId w:val="4"/>
  </w:num>
  <w:num w:numId="31">
    <w:abstractNumId w:val="22"/>
  </w:num>
  <w:num w:numId="32">
    <w:abstractNumId w:val="1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embedSystemFonts/>
  <w:hideSpellingErrors/>
  <w:hideGrammaticalErrors/>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activeWritingStyle w:appName="MSWord" w:lang="it-IT"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de-DE" w:vendorID="64" w:dllVersion="0" w:nlCheck="1" w:checkStyle="0"/>
  <w:activeWritingStyle w:appName="MSWord" w:lang="de-DE" w:vendorID="64" w:dllVersion="6" w:nlCheck="1" w:checkStyle="1"/>
  <w:activeWritingStyle w:appName="MSWord" w:lang="en-US" w:vendorID="64" w:dllVersion="131078" w:nlCheck="1" w:checkStyle="1"/>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A1E"/>
    <w:rsid w:val="000018E4"/>
    <w:rsid w:val="000019F1"/>
    <w:rsid w:val="00001E53"/>
    <w:rsid w:val="000025D1"/>
    <w:rsid w:val="00003088"/>
    <w:rsid w:val="000034AD"/>
    <w:rsid w:val="000047A4"/>
    <w:rsid w:val="0000516F"/>
    <w:rsid w:val="00006119"/>
    <w:rsid w:val="00006B33"/>
    <w:rsid w:val="00010478"/>
    <w:rsid w:val="000106C8"/>
    <w:rsid w:val="00010EED"/>
    <w:rsid w:val="0001118F"/>
    <w:rsid w:val="000122B2"/>
    <w:rsid w:val="000123B1"/>
    <w:rsid w:val="00012F1E"/>
    <w:rsid w:val="0001341E"/>
    <w:rsid w:val="0001356D"/>
    <w:rsid w:val="00013BB7"/>
    <w:rsid w:val="00014310"/>
    <w:rsid w:val="00014C91"/>
    <w:rsid w:val="000156AC"/>
    <w:rsid w:val="00016506"/>
    <w:rsid w:val="00016CBC"/>
    <w:rsid w:val="000170A9"/>
    <w:rsid w:val="0001748B"/>
    <w:rsid w:val="00020877"/>
    <w:rsid w:val="0002141F"/>
    <w:rsid w:val="0002173E"/>
    <w:rsid w:val="0002184D"/>
    <w:rsid w:val="00022249"/>
    <w:rsid w:val="000222E6"/>
    <w:rsid w:val="000230FD"/>
    <w:rsid w:val="00023923"/>
    <w:rsid w:val="00023A88"/>
    <w:rsid w:val="00024034"/>
    <w:rsid w:val="000248C7"/>
    <w:rsid w:val="00024972"/>
    <w:rsid w:val="000255B4"/>
    <w:rsid w:val="000258C6"/>
    <w:rsid w:val="000262CB"/>
    <w:rsid w:val="000266FA"/>
    <w:rsid w:val="00026DC7"/>
    <w:rsid w:val="00030293"/>
    <w:rsid w:val="000304AC"/>
    <w:rsid w:val="000305D3"/>
    <w:rsid w:val="0003108D"/>
    <w:rsid w:val="0003110F"/>
    <w:rsid w:val="000316C0"/>
    <w:rsid w:val="0003210C"/>
    <w:rsid w:val="0003288D"/>
    <w:rsid w:val="00032C67"/>
    <w:rsid w:val="000330E2"/>
    <w:rsid w:val="0003422E"/>
    <w:rsid w:val="00034636"/>
    <w:rsid w:val="00034E1A"/>
    <w:rsid w:val="00035575"/>
    <w:rsid w:val="00035E86"/>
    <w:rsid w:val="0003629B"/>
    <w:rsid w:val="0003645F"/>
    <w:rsid w:val="000371C8"/>
    <w:rsid w:val="000375E3"/>
    <w:rsid w:val="00040A3B"/>
    <w:rsid w:val="00040AF9"/>
    <w:rsid w:val="00040CF3"/>
    <w:rsid w:val="0004194C"/>
    <w:rsid w:val="00041FC2"/>
    <w:rsid w:val="00042126"/>
    <w:rsid w:val="000426B7"/>
    <w:rsid w:val="00042A13"/>
    <w:rsid w:val="0004335F"/>
    <w:rsid w:val="00044415"/>
    <w:rsid w:val="0004546E"/>
    <w:rsid w:val="000461B9"/>
    <w:rsid w:val="00047D01"/>
    <w:rsid w:val="00047F5F"/>
    <w:rsid w:val="000507AF"/>
    <w:rsid w:val="0005085F"/>
    <w:rsid w:val="00050C2E"/>
    <w:rsid w:val="000520BD"/>
    <w:rsid w:val="00053A60"/>
    <w:rsid w:val="000554C1"/>
    <w:rsid w:val="000566D3"/>
    <w:rsid w:val="00056803"/>
    <w:rsid w:val="000568A0"/>
    <w:rsid w:val="0006106F"/>
    <w:rsid w:val="000611EF"/>
    <w:rsid w:val="000631DF"/>
    <w:rsid w:val="00063463"/>
    <w:rsid w:val="00064A50"/>
    <w:rsid w:val="000651F4"/>
    <w:rsid w:val="000655C8"/>
    <w:rsid w:val="00065A3E"/>
    <w:rsid w:val="00066674"/>
    <w:rsid w:val="00067737"/>
    <w:rsid w:val="00067ADE"/>
    <w:rsid w:val="00067B77"/>
    <w:rsid w:val="00070DC8"/>
    <w:rsid w:val="0007131A"/>
    <w:rsid w:val="0007161F"/>
    <w:rsid w:val="00071A16"/>
    <w:rsid w:val="000725CF"/>
    <w:rsid w:val="000726DC"/>
    <w:rsid w:val="00072D21"/>
    <w:rsid w:val="00074A75"/>
    <w:rsid w:val="0007746C"/>
    <w:rsid w:val="00077F50"/>
    <w:rsid w:val="00080C28"/>
    <w:rsid w:val="00081910"/>
    <w:rsid w:val="000820D9"/>
    <w:rsid w:val="0008377A"/>
    <w:rsid w:val="00086C3F"/>
    <w:rsid w:val="00087C79"/>
    <w:rsid w:val="00091F34"/>
    <w:rsid w:val="000927E5"/>
    <w:rsid w:val="000946EB"/>
    <w:rsid w:val="00094811"/>
    <w:rsid w:val="00095F03"/>
    <w:rsid w:val="000A0299"/>
    <w:rsid w:val="000A064A"/>
    <w:rsid w:val="000A07AB"/>
    <w:rsid w:val="000A12A7"/>
    <w:rsid w:val="000A241C"/>
    <w:rsid w:val="000A275D"/>
    <w:rsid w:val="000A34CB"/>
    <w:rsid w:val="000A379E"/>
    <w:rsid w:val="000A3BB4"/>
    <w:rsid w:val="000A3D86"/>
    <w:rsid w:val="000A3EA8"/>
    <w:rsid w:val="000A4D1C"/>
    <w:rsid w:val="000A51CC"/>
    <w:rsid w:val="000A6060"/>
    <w:rsid w:val="000A60A3"/>
    <w:rsid w:val="000A6579"/>
    <w:rsid w:val="000A7238"/>
    <w:rsid w:val="000B49C7"/>
    <w:rsid w:val="000B603C"/>
    <w:rsid w:val="000B6A17"/>
    <w:rsid w:val="000B6E4A"/>
    <w:rsid w:val="000B775F"/>
    <w:rsid w:val="000B7AC9"/>
    <w:rsid w:val="000C0212"/>
    <w:rsid w:val="000C2A45"/>
    <w:rsid w:val="000C3387"/>
    <w:rsid w:val="000C34BD"/>
    <w:rsid w:val="000C702F"/>
    <w:rsid w:val="000D02A4"/>
    <w:rsid w:val="000D1998"/>
    <w:rsid w:val="000D2A97"/>
    <w:rsid w:val="000D405B"/>
    <w:rsid w:val="000D4A03"/>
    <w:rsid w:val="000D628E"/>
    <w:rsid w:val="000D70B5"/>
    <w:rsid w:val="000D798B"/>
    <w:rsid w:val="000D7EE4"/>
    <w:rsid w:val="000E0D24"/>
    <w:rsid w:val="000E4532"/>
    <w:rsid w:val="000E4925"/>
    <w:rsid w:val="000E4D33"/>
    <w:rsid w:val="000E5F39"/>
    <w:rsid w:val="000E7502"/>
    <w:rsid w:val="000F07EC"/>
    <w:rsid w:val="000F09F8"/>
    <w:rsid w:val="000F1A45"/>
    <w:rsid w:val="000F1AB0"/>
    <w:rsid w:val="000F27A2"/>
    <w:rsid w:val="000F2C51"/>
    <w:rsid w:val="000F42F6"/>
    <w:rsid w:val="000F485F"/>
    <w:rsid w:val="000F68AF"/>
    <w:rsid w:val="000F6E83"/>
    <w:rsid w:val="001003F1"/>
    <w:rsid w:val="00101081"/>
    <w:rsid w:val="00102BD8"/>
    <w:rsid w:val="00102FF1"/>
    <w:rsid w:val="0010588D"/>
    <w:rsid w:val="0010643C"/>
    <w:rsid w:val="00106A6A"/>
    <w:rsid w:val="001077A9"/>
    <w:rsid w:val="001101C9"/>
    <w:rsid w:val="0011080B"/>
    <w:rsid w:val="00110A00"/>
    <w:rsid w:val="00110EBF"/>
    <w:rsid w:val="00111B94"/>
    <w:rsid w:val="00112593"/>
    <w:rsid w:val="001128FD"/>
    <w:rsid w:val="0011388A"/>
    <w:rsid w:val="00114FF0"/>
    <w:rsid w:val="00116A6D"/>
    <w:rsid w:val="00116EC2"/>
    <w:rsid w:val="0011718D"/>
    <w:rsid w:val="00121B62"/>
    <w:rsid w:val="00121B6A"/>
    <w:rsid w:val="00122C02"/>
    <w:rsid w:val="001239A6"/>
    <w:rsid w:val="00123C18"/>
    <w:rsid w:val="00123C1D"/>
    <w:rsid w:val="00123C5A"/>
    <w:rsid w:val="0012468E"/>
    <w:rsid w:val="001246FA"/>
    <w:rsid w:val="00124BE2"/>
    <w:rsid w:val="00124E10"/>
    <w:rsid w:val="001253FC"/>
    <w:rsid w:val="0012677D"/>
    <w:rsid w:val="0012679A"/>
    <w:rsid w:val="00126871"/>
    <w:rsid w:val="001269AD"/>
    <w:rsid w:val="00126A09"/>
    <w:rsid w:val="00126CEF"/>
    <w:rsid w:val="0012750A"/>
    <w:rsid w:val="00127C79"/>
    <w:rsid w:val="001300DD"/>
    <w:rsid w:val="001308E6"/>
    <w:rsid w:val="00130B84"/>
    <w:rsid w:val="00130CDA"/>
    <w:rsid w:val="001313AC"/>
    <w:rsid w:val="00132A57"/>
    <w:rsid w:val="00132E61"/>
    <w:rsid w:val="00132F57"/>
    <w:rsid w:val="001334BB"/>
    <w:rsid w:val="0013359A"/>
    <w:rsid w:val="0013360D"/>
    <w:rsid w:val="0013482C"/>
    <w:rsid w:val="00134AEF"/>
    <w:rsid w:val="00134B73"/>
    <w:rsid w:val="00135274"/>
    <w:rsid w:val="001357B2"/>
    <w:rsid w:val="00135F90"/>
    <w:rsid w:val="00136415"/>
    <w:rsid w:val="00136C3B"/>
    <w:rsid w:val="00137CFE"/>
    <w:rsid w:val="001414F2"/>
    <w:rsid w:val="00142118"/>
    <w:rsid w:val="00142A77"/>
    <w:rsid w:val="001436A9"/>
    <w:rsid w:val="0014452D"/>
    <w:rsid w:val="00145D79"/>
    <w:rsid w:val="00146847"/>
    <w:rsid w:val="00146BE4"/>
    <w:rsid w:val="00150488"/>
    <w:rsid w:val="00150872"/>
    <w:rsid w:val="00152305"/>
    <w:rsid w:val="0015286E"/>
    <w:rsid w:val="0015373D"/>
    <w:rsid w:val="00153E20"/>
    <w:rsid w:val="00153F31"/>
    <w:rsid w:val="00155DF2"/>
    <w:rsid w:val="00156F6B"/>
    <w:rsid w:val="001570F0"/>
    <w:rsid w:val="00161647"/>
    <w:rsid w:val="001616D5"/>
    <w:rsid w:val="00162088"/>
    <w:rsid w:val="001625C9"/>
    <w:rsid w:val="00163840"/>
    <w:rsid w:val="001638A0"/>
    <w:rsid w:val="0016461C"/>
    <w:rsid w:val="00166152"/>
    <w:rsid w:val="0016616E"/>
    <w:rsid w:val="00166EB2"/>
    <w:rsid w:val="00167462"/>
    <w:rsid w:val="00167F9C"/>
    <w:rsid w:val="0017355B"/>
    <w:rsid w:val="001742D9"/>
    <w:rsid w:val="0017468B"/>
    <w:rsid w:val="0017478F"/>
    <w:rsid w:val="0017599A"/>
    <w:rsid w:val="0017669E"/>
    <w:rsid w:val="00176EB4"/>
    <w:rsid w:val="001776C9"/>
    <w:rsid w:val="001808FC"/>
    <w:rsid w:val="001816D7"/>
    <w:rsid w:val="001818E6"/>
    <w:rsid w:val="0018219F"/>
    <w:rsid w:val="001828EF"/>
    <w:rsid w:val="00182E61"/>
    <w:rsid w:val="00183C2B"/>
    <w:rsid w:val="00183D1E"/>
    <w:rsid w:val="001867CE"/>
    <w:rsid w:val="00186E25"/>
    <w:rsid w:val="00191AB8"/>
    <w:rsid w:val="00192D1A"/>
    <w:rsid w:val="00193BB4"/>
    <w:rsid w:val="00193E7D"/>
    <w:rsid w:val="0019406E"/>
    <w:rsid w:val="00195982"/>
    <w:rsid w:val="00195DA7"/>
    <w:rsid w:val="0019640D"/>
    <w:rsid w:val="00197947"/>
    <w:rsid w:val="001A0343"/>
    <w:rsid w:val="001A080A"/>
    <w:rsid w:val="001A1BD0"/>
    <w:rsid w:val="001A1DE5"/>
    <w:rsid w:val="001A27F7"/>
    <w:rsid w:val="001A2C8E"/>
    <w:rsid w:val="001A3ABC"/>
    <w:rsid w:val="001A4517"/>
    <w:rsid w:val="001A4DD5"/>
    <w:rsid w:val="001A4E79"/>
    <w:rsid w:val="001A55E9"/>
    <w:rsid w:val="001A5966"/>
    <w:rsid w:val="001A5E65"/>
    <w:rsid w:val="001A60E5"/>
    <w:rsid w:val="001A61CA"/>
    <w:rsid w:val="001A6472"/>
    <w:rsid w:val="001A6508"/>
    <w:rsid w:val="001A713F"/>
    <w:rsid w:val="001A7171"/>
    <w:rsid w:val="001A77E9"/>
    <w:rsid w:val="001A7FCA"/>
    <w:rsid w:val="001B00CB"/>
    <w:rsid w:val="001B01F4"/>
    <w:rsid w:val="001B07BB"/>
    <w:rsid w:val="001B13E2"/>
    <w:rsid w:val="001B2268"/>
    <w:rsid w:val="001B241B"/>
    <w:rsid w:val="001B2A9F"/>
    <w:rsid w:val="001B5435"/>
    <w:rsid w:val="001B55A9"/>
    <w:rsid w:val="001B7A7F"/>
    <w:rsid w:val="001C11D1"/>
    <w:rsid w:val="001C25A3"/>
    <w:rsid w:val="001C3B35"/>
    <w:rsid w:val="001C3BE5"/>
    <w:rsid w:val="001C4B82"/>
    <w:rsid w:val="001C66DD"/>
    <w:rsid w:val="001C77C0"/>
    <w:rsid w:val="001D0313"/>
    <w:rsid w:val="001D14AD"/>
    <w:rsid w:val="001D2256"/>
    <w:rsid w:val="001D39C2"/>
    <w:rsid w:val="001D46A2"/>
    <w:rsid w:val="001D4C69"/>
    <w:rsid w:val="001D5C1D"/>
    <w:rsid w:val="001D5EF4"/>
    <w:rsid w:val="001D5F43"/>
    <w:rsid w:val="001D6C78"/>
    <w:rsid w:val="001E08DC"/>
    <w:rsid w:val="001E150C"/>
    <w:rsid w:val="001E1871"/>
    <w:rsid w:val="001E1AA2"/>
    <w:rsid w:val="001E2B81"/>
    <w:rsid w:val="001E2C6C"/>
    <w:rsid w:val="001E4AEE"/>
    <w:rsid w:val="001E527D"/>
    <w:rsid w:val="001E5282"/>
    <w:rsid w:val="001E5C10"/>
    <w:rsid w:val="001E6B3A"/>
    <w:rsid w:val="001E78B0"/>
    <w:rsid w:val="001F0A29"/>
    <w:rsid w:val="001F3917"/>
    <w:rsid w:val="001F41F7"/>
    <w:rsid w:val="001F5BB5"/>
    <w:rsid w:val="001F609E"/>
    <w:rsid w:val="001F60CC"/>
    <w:rsid w:val="001F666B"/>
    <w:rsid w:val="001F7CAE"/>
    <w:rsid w:val="00200CE1"/>
    <w:rsid w:val="00202106"/>
    <w:rsid w:val="00202A77"/>
    <w:rsid w:val="0020355C"/>
    <w:rsid w:val="00203C48"/>
    <w:rsid w:val="0020520D"/>
    <w:rsid w:val="002063C6"/>
    <w:rsid w:val="00206498"/>
    <w:rsid w:val="00206F31"/>
    <w:rsid w:val="00206FC8"/>
    <w:rsid w:val="00210F96"/>
    <w:rsid w:val="00211B20"/>
    <w:rsid w:val="0021308E"/>
    <w:rsid w:val="0021327C"/>
    <w:rsid w:val="00214059"/>
    <w:rsid w:val="00214101"/>
    <w:rsid w:val="00214248"/>
    <w:rsid w:val="002159C4"/>
    <w:rsid w:val="00215D34"/>
    <w:rsid w:val="002161DA"/>
    <w:rsid w:val="00216371"/>
    <w:rsid w:val="00217176"/>
    <w:rsid w:val="00220FDE"/>
    <w:rsid w:val="00221E68"/>
    <w:rsid w:val="0022324C"/>
    <w:rsid w:val="00224187"/>
    <w:rsid w:val="00224C63"/>
    <w:rsid w:val="00226C69"/>
    <w:rsid w:val="00227845"/>
    <w:rsid w:val="00227AB4"/>
    <w:rsid w:val="002309E9"/>
    <w:rsid w:val="00230CA4"/>
    <w:rsid w:val="0023240A"/>
    <w:rsid w:val="0023278F"/>
    <w:rsid w:val="0023355F"/>
    <w:rsid w:val="00234347"/>
    <w:rsid w:val="002343A0"/>
    <w:rsid w:val="0023481E"/>
    <w:rsid w:val="00234F7A"/>
    <w:rsid w:val="0023520D"/>
    <w:rsid w:val="002356BD"/>
    <w:rsid w:val="00235B8D"/>
    <w:rsid w:val="0023649D"/>
    <w:rsid w:val="002406CF"/>
    <w:rsid w:val="00243820"/>
    <w:rsid w:val="0024401E"/>
    <w:rsid w:val="00244ED9"/>
    <w:rsid w:val="00245CCD"/>
    <w:rsid w:val="0024651F"/>
    <w:rsid w:val="0025030B"/>
    <w:rsid w:val="00250BD0"/>
    <w:rsid w:val="00250BF6"/>
    <w:rsid w:val="0025253A"/>
    <w:rsid w:val="002525B0"/>
    <w:rsid w:val="00252753"/>
    <w:rsid w:val="00252C72"/>
    <w:rsid w:val="00254231"/>
    <w:rsid w:val="00254A59"/>
    <w:rsid w:val="00254BED"/>
    <w:rsid w:val="002576A9"/>
    <w:rsid w:val="002578BA"/>
    <w:rsid w:val="00257D07"/>
    <w:rsid w:val="00260A88"/>
    <w:rsid w:val="00261403"/>
    <w:rsid w:val="00261716"/>
    <w:rsid w:val="00261892"/>
    <w:rsid w:val="002619E7"/>
    <w:rsid w:val="00261B8C"/>
    <w:rsid w:val="00261D37"/>
    <w:rsid w:val="0026282E"/>
    <w:rsid w:val="002628EF"/>
    <w:rsid w:val="00263266"/>
    <w:rsid w:val="00263D56"/>
    <w:rsid w:val="00263F60"/>
    <w:rsid w:val="0026474F"/>
    <w:rsid w:val="00264CD6"/>
    <w:rsid w:val="0026533B"/>
    <w:rsid w:val="00265434"/>
    <w:rsid w:val="002656C8"/>
    <w:rsid w:val="00265E45"/>
    <w:rsid w:val="00267054"/>
    <w:rsid w:val="00270701"/>
    <w:rsid w:val="00270947"/>
    <w:rsid w:val="00271CE5"/>
    <w:rsid w:val="00271FC9"/>
    <w:rsid w:val="00273A68"/>
    <w:rsid w:val="00274474"/>
    <w:rsid w:val="002757F6"/>
    <w:rsid w:val="00275901"/>
    <w:rsid w:val="00275CDE"/>
    <w:rsid w:val="00276430"/>
    <w:rsid w:val="0027658D"/>
    <w:rsid w:val="00276A3A"/>
    <w:rsid w:val="002774B9"/>
    <w:rsid w:val="0027758E"/>
    <w:rsid w:val="002806EE"/>
    <w:rsid w:val="002808B3"/>
    <w:rsid w:val="00280A4F"/>
    <w:rsid w:val="00281525"/>
    <w:rsid w:val="00282020"/>
    <w:rsid w:val="00282C4D"/>
    <w:rsid w:val="00282C5B"/>
    <w:rsid w:val="00282D49"/>
    <w:rsid w:val="00284C35"/>
    <w:rsid w:val="002857E4"/>
    <w:rsid w:val="002860AB"/>
    <w:rsid w:val="0028644F"/>
    <w:rsid w:val="002867A7"/>
    <w:rsid w:val="00286CFD"/>
    <w:rsid w:val="00286F2A"/>
    <w:rsid w:val="00290ADE"/>
    <w:rsid w:val="00290C06"/>
    <w:rsid w:val="00291ADA"/>
    <w:rsid w:val="002930F8"/>
    <w:rsid w:val="00293DB9"/>
    <w:rsid w:val="00293E8F"/>
    <w:rsid w:val="00296C9D"/>
    <w:rsid w:val="002973FE"/>
    <w:rsid w:val="0029742D"/>
    <w:rsid w:val="00297448"/>
    <w:rsid w:val="00297A76"/>
    <w:rsid w:val="002A0A79"/>
    <w:rsid w:val="002A1473"/>
    <w:rsid w:val="002A2B69"/>
    <w:rsid w:val="002A4726"/>
    <w:rsid w:val="002A48DD"/>
    <w:rsid w:val="002A49A9"/>
    <w:rsid w:val="002A5550"/>
    <w:rsid w:val="002A5ABF"/>
    <w:rsid w:val="002A5CBF"/>
    <w:rsid w:val="002A6767"/>
    <w:rsid w:val="002B0A6A"/>
    <w:rsid w:val="002B1451"/>
    <w:rsid w:val="002B193B"/>
    <w:rsid w:val="002B1BFA"/>
    <w:rsid w:val="002B491B"/>
    <w:rsid w:val="002B593A"/>
    <w:rsid w:val="002B5A0A"/>
    <w:rsid w:val="002B5F0D"/>
    <w:rsid w:val="002B674D"/>
    <w:rsid w:val="002C20CB"/>
    <w:rsid w:val="002C247A"/>
    <w:rsid w:val="002C296D"/>
    <w:rsid w:val="002C3340"/>
    <w:rsid w:val="002C3875"/>
    <w:rsid w:val="002C51DA"/>
    <w:rsid w:val="002D02A2"/>
    <w:rsid w:val="002D06D8"/>
    <w:rsid w:val="002D1A9C"/>
    <w:rsid w:val="002D1CCB"/>
    <w:rsid w:val="002D280D"/>
    <w:rsid w:val="002D4FAB"/>
    <w:rsid w:val="002D6646"/>
    <w:rsid w:val="002D7340"/>
    <w:rsid w:val="002E0A5D"/>
    <w:rsid w:val="002E1909"/>
    <w:rsid w:val="002E21AE"/>
    <w:rsid w:val="002E28A2"/>
    <w:rsid w:val="002E5F88"/>
    <w:rsid w:val="002E70FE"/>
    <w:rsid w:val="002F0A05"/>
    <w:rsid w:val="002F2E0C"/>
    <w:rsid w:val="002F3CB9"/>
    <w:rsid w:val="002F4068"/>
    <w:rsid w:val="002F4209"/>
    <w:rsid w:val="002F5892"/>
    <w:rsid w:val="002F76FF"/>
    <w:rsid w:val="003001EC"/>
    <w:rsid w:val="003013E2"/>
    <w:rsid w:val="003019B3"/>
    <w:rsid w:val="00301CD2"/>
    <w:rsid w:val="003023DA"/>
    <w:rsid w:val="00302B01"/>
    <w:rsid w:val="00303EF5"/>
    <w:rsid w:val="00304900"/>
    <w:rsid w:val="003050FA"/>
    <w:rsid w:val="00305E64"/>
    <w:rsid w:val="00306036"/>
    <w:rsid w:val="0030643B"/>
    <w:rsid w:val="003065CC"/>
    <w:rsid w:val="00307F42"/>
    <w:rsid w:val="00310796"/>
    <w:rsid w:val="0031090C"/>
    <w:rsid w:val="00313614"/>
    <w:rsid w:val="00316766"/>
    <w:rsid w:val="003167B1"/>
    <w:rsid w:val="00316EE2"/>
    <w:rsid w:val="00320181"/>
    <w:rsid w:val="00320338"/>
    <w:rsid w:val="0032077C"/>
    <w:rsid w:val="00320FC8"/>
    <w:rsid w:val="00321881"/>
    <w:rsid w:val="00321DE5"/>
    <w:rsid w:val="00322D02"/>
    <w:rsid w:val="00323709"/>
    <w:rsid w:val="00325031"/>
    <w:rsid w:val="00325202"/>
    <w:rsid w:val="003253C8"/>
    <w:rsid w:val="003263D1"/>
    <w:rsid w:val="00326603"/>
    <w:rsid w:val="0032688E"/>
    <w:rsid w:val="00326C3C"/>
    <w:rsid w:val="0032788C"/>
    <w:rsid w:val="00330293"/>
    <w:rsid w:val="00330543"/>
    <w:rsid w:val="00330BED"/>
    <w:rsid w:val="00330F12"/>
    <w:rsid w:val="0033107D"/>
    <w:rsid w:val="003314ED"/>
    <w:rsid w:val="00331898"/>
    <w:rsid w:val="00331B5D"/>
    <w:rsid w:val="0033200B"/>
    <w:rsid w:val="00332B86"/>
    <w:rsid w:val="00334769"/>
    <w:rsid w:val="00334EC7"/>
    <w:rsid w:val="003356D6"/>
    <w:rsid w:val="003357A8"/>
    <w:rsid w:val="0033702D"/>
    <w:rsid w:val="00340707"/>
    <w:rsid w:val="003409C1"/>
    <w:rsid w:val="00340BAC"/>
    <w:rsid w:val="00340D86"/>
    <w:rsid w:val="00341046"/>
    <w:rsid w:val="0034147D"/>
    <w:rsid w:val="00341504"/>
    <w:rsid w:val="00341703"/>
    <w:rsid w:val="00341E37"/>
    <w:rsid w:val="003421AC"/>
    <w:rsid w:val="00343239"/>
    <w:rsid w:val="003446AB"/>
    <w:rsid w:val="003449C4"/>
    <w:rsid w:val="00344A5D"/>
    <w:rsid w:val="00345774"/>
    <w:rsid w:val="00345912"/>
    <w:rsid w:val="00345A34"/>
    <w:rsid w:val="00345E6E"/>
    <w:rsid w:val="0034672C"/>
    <w:rsid w:val="003468C1"/>
    <w:rsid w:val="003477B9"/>
    <w:rsid w:val="00350A4F"/>
    <w:rsid w:val="003517DB"/>
    <w:rsid w:val="00352700"/>
    <w:rsid w:val="00352E57"/>
    <w:rsid w:val="00352FDD"/>
    <w:rsid w:val="003534FF"/>
    <w:rsid w:val="00355117"/>
    <w:rsid w:val="003552A3"/>
    <w:rsid w:val="0035535D"/>
    <w:rsid w:val="003557E1"/>
    <w:rsid w:val="00360569"/>
    <w:rsid w:val="00361A51"/>
    <w:rsid w:val="0036263A"/>
    <w:rsid w:val="00362A0F"/>
    <w:rsid w:val="0036354B"/>
    <w:rsid w:val="003636BF"/>
    <w:rsid w:val="00363E86"/>
    <w:rsid w:val="003643F7"/>
    <w:rsid w:val="00364840"/>
    <w:rsid w:val="0036490C"/>
    <w:rsid w:val="00366BA8"/>
    <w:rsid w:val="00366FDE"/>
    <w:rsid w:val="00367D1B"/>
    <w:rsid w:val="00371327"/>
    <w:rsid w:val="00371442"/>
    <w:rsid w:val="003722A4"/>
    <w:rsid w:val="003732A5"/>
    <w:rsid w:val="00373A7D"/>
    <w:rsid w:val="003758D4"/>
    <w:rsid w:val="003762CF"/>
    <w:rsid w:val="00376B76"/>
    <w:rsid w:val="00376CCF"/>
    <w:rsid w:val="00380BF4"/>
    <w:rsid w:val="003817D0"/>
    <w:rsid w:val="00381DF6"/>
    <w:rsid w:val="00382A90"/>
    <w:rsid w:val="00383105"/>
    <w:rsid w:val="003840F9"/>
    <w:rsid w:val="003845B4"/>
    <w:rsid w:val="0038544A"/>
    <w:rsid w:val="00385B99"/>
    <w:rsid w:val="00385DC4"/>
    <w:rsid w:val="003876D0"/>
    <w:rsid w:val="0038797F"/>
    <w:rsid w:val="00387A90"/>
    <w:rsid w:val="00387B1A"/>
    <w:rsid w:val="00392C21"/>
    <w:rsid w:val="003933E3"/>
    <w:rsid w:val="00393DB6"/>
    <w:rsid w:val="003A048F"/>
    <w:rsid w:val="003A18D4"/>
    <w:rsid w:val="003A32E6"/>
    <w:rsid w:val="003A514B"/>
    <w:rsid w:val="003A52D9"/>
    <w:rsid w:val="003A6E1E"/>
    <w:rsid w:val="003A7299"/>
    <w:rsid w:val="003B0090"/>
    <w:rsid w:val="003B0EF7"/>
    <w:rsid w:val="003B0F61"/>
    <w:rsid w:val="003B14F0"/>
    <w:rsid w:val="003B2C0F"/>
    <w:rsid w:val="003B377D"/>
    <w:rsid w:val="003B45BA"/>
    <w:rsid w:val="003B49E0"/>
    <w:rsid w:val="003B49E9"/>
    <w:rsid w:val="003B4B3A"/>
    <w:rsid w:val="003B4C07"/>
    <w:rsid w:val="003B5826"/>
    <w:rsid w:val="003B58FC"/>
    <w:rsid w:val="003B73B2"/>
    <w:rsid w:val="003B77AC"/>
    <w:rsid w:val="003B7E7A"/>
    <w:rsid w:val="003C05D8"/>
    <w:rsid w:val="003C15B4"/>
    <w:rsid w:val="003C1AC7"/>
    <w:rsid w:val="003C4484"/>
    <w:rsid w:val="003C4E4A"/>
    <w:rsid w:val="003C5EE5"/>
    <w:rsid w:val="003C6BD4"/>
    <w:rsid w:val="003C6E08"/>
    <w:rsid w:val="003C7D53"/>
    <w:rsid w:val="003D1374"/>
    <w:rsid w:val="003D1A16"/>
    <w:rsid w:val="003D30E2"/>
    <w:rsid w:val="003D3382"/>
    <w:rsid w:val="003D34F6"/>
    <w:rsid w:val="003D3D64"/>
    <w:rsid w:val="003D3DF2"/>
    <w:rsid w:val="003D5FF4"/>
    <w:rsid w:val="003D683E"/>
    <w:rsid w:val="003D6B74"/>
    <w:rsid w:val="003D6D80"/>
    <w:rsid w:val="003D7F44"/>
    <w:rsid w:val="003E0029"/>
    <w:rsid w:val="003E0206"/>
    <w:rsid w:val="003E02CD"/>
    <w:rsid w:val="003E03D0"/>
    <w:rsid w:val="003E0F3A"/>
    <w:rsid w:val="003E11E4"/>
    <w:rsid w:val="003E1844"/>
    <w:rsid w:val="003E1908"/>
    <w:rsid w:val="003E1C74"/>
    <w:rsid w:val="003E222D"/>
    <w:rsid w:val="003E2471"/>
    <w:rsid w:val="003E35B2"/>
    <w:rsid w:val="003E40A3"/>
    <w:rsid w:val="003E4B73"/>
    <w:rsid w:val="003E4F14"/>
    <w:rsid w:val="003E6641"/>
    <w:rsid w:val="003E67B7"/>
    <w:rsid w:val="003E7722"/>
    <w:rsid w:val="003F00A0"/>
    <w:rsid w:val="003F33B8"/>
    <w:rsid w:val="003F38D9"/>
    <w:rsid w:val="003F471F"/>
    <w:rsid w:val="003F6E1F"/>
    <w:rsid w:val="003F7820"/>
    <w:rsid w:val="004003AF"/>
    <w:rsid w:val="00400E9C"/>
    <w:rsid w:val="00402221"/>
    <w:rsid w:val="0040250B"/>
    <w:rsid w:val="00402828"/>
    <w:rsid w:val="00403751"/>
    <w:rsid w:val="004039F5"/>
    <w:rsid w:val="004042E9"/>
    <w:rsid w:val="00406622"/>
    <w:rsid w:val="004070A8"/>
    <w:rsid w:val="004072FB"/>
    <w:rsid w:val="00407E6A"/>
    <w:rsid w:val="0041010A"/>
    <w:rsid w:val="00410E83"/>
    <w:rsid w:val="00411D40"/>
    <w:rsid w:val="00411EB9"/>
    <w:rsid w:val="0041202B"/>
    <w:rsid w:val="004127E7"/>
    <w:rsid w:val="0041284F"/>
    <w:rsid w:val="00412A11"/>
    <w:rsid w:val="00413637"/>
    <w:rsid w:val="004138E2"/>
    <w:rsid w:val="00413A0C"/>
    <w:rsid w:val="004143B9"/>
    <w:rsid w:val="00414568"/>
    <w:rsid w:val="00416396"/>
    <w:rsid w:val="0041696C"/>
    <w:rsid w:val="00417DAB"/>
    <w:rsid w:val="004204DB"/>
    <w:rsid w:val="00421499"/>
    <w:rsid w:val="00421509"/>
    <w:rsid w:val="0042157B"/>
    <w:rsid w:val="0042272D"/>
    <w:rsid w:val="00423067"/>
    <w:rsid w:val="00425E8B"/>
    <w:rsid w:val="00426E3F"/>
    <w:rsid w:val="00427CA7"/>
    <w:rsid w:val="00427E3C"/>
    <w:rsid w:val="00430A99"/>
    <w:rsid w:val="004310F0"/>
    <w:rsid w:val="004319E8"/>
    <w:rsid w:val="00431BFF"/>
    <w:rsid w:val="004340FC"/>
    <w:rsid w:val="00437176"/>
    <w:rsid w:val="00440B99"/>
    <w:rsid w:val="004410BD"/>
    <w:rsid w:val="00442845"/>
    <w:rsid w:val="004433C3"/>
    <w:rsid w:val="00444554"/>
    <w:rsid w:val="004445E9"/>
    <w:rsid w:val="00444D87"/>
    <w:rsid w:val="004451FC"/>
    <w:rsid w:val="00445605"/>
    <w:rsid w:val="00445B9C"/>
    <w:rsid w:val="00447128"/>
    <w:rsid w:val="004477AB"/>
    <w:rsid w:val="00447A02"/>
    <w:rsid w:val="004504BD"/>
    <w:rsid w:val="004509C8"/>
    <w:rsid w:val="004511B9"/>
    <w:rsid w:val="00452064"/>
    <w:rsid w:val="004532D0"/>
    <w:rsid w:val="00453748"/>
    <w:rsid w:val="00454AA1"/>
    <w:rsid w:val="00455A63"/>
    <w:rsid w:val="004568EA"/>
    <w:rsid w:val="00456947"/>
    <w:rsid w:val="00457222"/>
    <w:rsid w:val="00460082"/>
    <w:rsid w:val="00460715"/>
    <w:rsid w:val="00461417"/>
    <w:rsid w:val="00461940"/>
    <w:rsid w:val="004634DC"/>
    <w:rsid w:val="004650DE"/>
    <w:rsid w:val="004657EE"/>
    <w:rsid w:val="0046694F"/>
    <w:rsid w:val="00467648"/>
    <w:rsid w:val="00470369"/>
    <w:rsid w:val="0047038B"/>
    <w:rsid w:val="00470391"/>
    <w:rsid w:val="00470ED6"/>
    <w:rsid w:val="00471890"/>
    <w:rsid w:val="00471F77"/>
    <w:rsid w:val="00476C7B"/>
    <w:rsid w:val="00480AF4"/>
    <w:rsid w:val="00481145"/>
    <w:rsid w:val="00481151"/>
    <w:rsid w:val="004816B6"/>
    <w:rsid w:val="0048196A"/>
    <w:rsid w:val="00482410"/>
    <w:rsid w:val="00483913"/>
    <w:rsid w:val="00483AE8"/>
    <w:rsid w:val="00483E42"/>
    <w:rsid w:val="00484026"/>
    <w:rsid w:val="004842FB"/>
    <w:rsid w:val="00484C5A"/>
    <w:rsid w:val="004865F5"/>
    <w:rsid w:val="004870E6"/>
    <w:rsid w:val="00490A67"/>
    <w:rsid w:val="00491965"/>
    <w:rsid w:val="00491D1D"/>
    <w:rsid w:val="00491F58"/>
    <w:rsid w:val="00497482"/>
    <w:rsid w:val="004974C8"/>
    <w:rsid w:val="004977E5"/>
    <w:rsid w:val="004A16AC"/>
    <w:rsid w:val="004A3D32"/>
    <w:rsid w:val="004A4518"/>
    <w:rsid w:val="004A454B"/>
    <w:rsid w:val="004A702B"/>
    <w:rsid w:val="004A73FA"/>
    <w:rsid w:val="004B0B86"/>
    <w:rsid w:val="004B19DE"/>
    <w:rsid w:val="004B2B7F"/>
    <w:rsid w:val="004B395D"/>
    <w:rsid w:val="004B3BC0"/>
    <w:rsid w:val="004B3CA6"/>
    <w:rsid w:val="004B3E38"/>
    <w:rsid w:val="004B46A8"/>
    <w:rsid w:val="004B699F"/>
    <w:rsid w:val="004B73B4"/>
    <w:rsid w:val="004C023E"/>
    <w:rsid w:val="004C0825"/>
    <w:rsid w:val="004C09F0"/>
    <w:rsid w:val="004C1206"/>
    <w:rsid w:val="004C29EC"/>
    <w:rsid w:val="004C45A5"/>
    <w:rsid w:val="004C5FE4"/>
    <w:rsid w:val="004C6445"/>
    <w:rsid w:val="004C650B"/>
    <w:rsid w:val="004D07FD"/>
    <w:rsid w:val="004D09F8"/>
    <w:rsid w:val="004D0B4C"/>
    <w:rsid w:val="004D11C6"/>
    <w:rsid w:val="004D1476"/>
    <w:rsid w:val="004D16D6"/>
    <w:rsid w:val="004D1A2D"/>
    <w:rsid w:val="004D24E9"/>
    <w:rsid w:val="004D30F5"/>
    <w:rsid w:val="004D35D6"/>
    <w:rsid w:val="004D3CE2"/>
    <w:rsid w:val="004D49B2"/>
    <w:rsid w:val="004D6213"/>
    <w:rsid w:val="004D6264"/>
    <w:rsid w:val="004D6523"/>
    <w:rsid w:val="004D69D4"/>
    <w:rsid w:val="004D6CA7"/>
    <w:rsid w:val="004D73BB"/>
    <w:rsid w:val="004E0A22"/>
    <w:rsid w:val="004E1CE5"/>
    <w:rsid w:val="004E1F48"/>
    <w:rsid w:val="004E2D75"/>
    <w:rsid w:val="004E42B2"/>
    <w:rsid w:val="004E43B1"/>
    <w:rsid w:val="004E4F48"/>
    <w:rsid w:val="004E53CF"/>
    <w:rsid w:val="004E7281"/>
    <w:rsid w:val="004F18EB"/>
    <w:rsid w:val="004F2B7E"/>
    <w:rsid w:val="004F2F8C"/>
    <w:rsid w:val="004F397A"/>
    <w:rsid w:val="004F40BD"/>
    <w:rsid w:val="004F4CDA"/>
    <w:rsid w:val="004F570C"/>
    <w:rsid w:val="004F621D"/>
    <w:rsid w:val="004F6F31"/>
    <w:rsid w:val="004F71AA"/>
    <w:rsid w:val="00500588"/>
    <w:rsid w:val="00500E5B"/>
    <w:rsid w:val="00501550"/>
    <w:rsid w:val="00501570"/>
    <w:rsid w:val="00502938"/>
    <w:rsid w:val="005041B7"/>
    <w:rsid w:val="00505069"/>
    <w:rsid w:val="005052A9"/>
    <w:rsid w:val="00506C92"/>
    <w:rsid w:val="0051073F"/>
    <w:rsid w:val="00510F5E"/>
    <w:rsid w:val="005115A7"/>
    <w:rsid w:val="00512760"/>
    <w:rsid w:val="005128F9"/>
    <w:rsid w:val="00513496"/>
    <w:rsid w:val="00514D67"/>
    <w:rsid w:val="005165A3"/>
    <w:rsid w:val="005173AB"/>
    <w:rsid w:val="00520231"/>
    <w:rsid w:val="00520CEB"/>
    <w:rsid w:val="00521965"/>
    <w:rsid w:val="00521BB8"/>
    <w:rsid w:val="00523EFB"/>
    <w:rsid w:val="005249D5"/>
    <w:rsid w:val="005252B4"/>
    <w:rsid w:val="00525A0B"/>
    <w:rsid w:val="00525FDD"/>
    <w:rsid w:val="00526246"/>
    <w:rsid w:val="00526309"/>
    <w:rsid w:val="005269F3"/>
    <w:rsid w:val="0052776A"/>
    <w:rsid w:val="0052778C"/>
    <w:rsid w:val="0053051D"/>
    <w:rsid w:val="00532220"/>
    <w:rsid w:val="0053256E"/>
    <w:rsid w:val="00533019"/>
    <w:rsid w:val="005332B8"/>
    <w:rsid w:val="0053366C"/>
    <w:rsid w:val="00535CF3"/>
    <w:rsid w:val="00536510"/>
    <w:rsid w:val="0053711D"/>
    <w:rsid w:val="005373A4"/>
    <w:rsid w:val="00537885"/>
    <w:rsid w:val="00537A3B"/>
    <w:rsid w:val="00537FF1"/>
    <w:rsid w:val="0054006B"/>
    <w:rsid w:val="00540F47"/>
    <w:rsid w:val="0054122B"/>
    <w:rsid w:val="0054125E"/>
    <w:rsid w:val="0054143C"/>
    <w:rsid w:val="0054178C"/>
    <w:rsid w:val="005422B1"/>
    <w:rsid w:val="0054298A"/>
    <w:rsid w:val="0054342D"/>
    <w:rsid w:val="00545AE4"/>
    <w:rsid w:val="00545B46"/>
    <w:rsid w:val="00545C23"/>
    <w:rsid w:val="00547B7D"/>
    <w:rsid w:val="00547F8D"/>
    <w:rsid w:val="0055308D"/>
    <w:rsid w:val="00553A30"/>
    <w:rsid w:val="0055573B"/>
    <w:rsid w:val="00555812"/>
    <w:rsid w:val="005568CD"/>
    <w:rsid w:val="0055715E"/>
    <w:rsid w:val="00557B19"/>
    <w:rsid w:val="00557C6E"/>
    <w:rsid w:val="00557D36"/>
    <w:rsid w:val="00557F33"/>
    <w:rsid w:val="0056054D"/>
    <w:rsid w:val="0056100D"/>
    <w:rsid w:val="005614AA"/>
    <w:rsid w:val="00562370"/>
    <w:rsid w:val="005623FB"/>
    <w:rsid w:val="005629F7"/>
    <w:rsid w:val="00562AB1"/>
    <w:rsid w:val="00563664"/>
    <w:rsid w:val="00563CED"/>
    <w:rsid w:val="00563F00"/>
    <w:rsid w:val="00565D78"/>
    <w:rsid w:val="005660D8"/>
    <w:rsid w:val="0056662C"/>
    <w:rsid w:val="00566ACB"/>
    <w:rsid w:val="00566D0E"/>
    <w:rsid w:val="00567106"/>
    <w:rsid w:val="00567BE0"/>
    <w:rsid w:val="00567C88"/>
    <w:rsid w:val="00570C03"/>
    <w:rsid w:val="00570D1E"/>
    <w:rsid w:val="00573791"/>
    <w:rsid w:val="00574043"/>
    <w:rsid w:val="00575393"/>
    <w:rsid w:val="00575778"/>
    <w:rsid w:val="00575CA5"/>
    <w:rsid w:val="0057619F"/>
    <w:rsid w:val="00576B34"/>
    <w:rsid w:val="00576BFF"/>
    <w:rsid w:val="00576DE8"/>
    <w:rsid w:val="00576F26"/>
    <w:rsid w:val="00577040"/>
    <w:rsid w:val="0057709F"/>
    <w:rsid w:val="00580931"/>
    <w:rsid w:val="00580D6D"/>
    <w:rsid w:val="00581EB0"/>
    <w:rsid w:val="00584C88"/>
    <w:rsid w:val="00585F28"/>
    <w:rsid w:val="00586E37"/>
    <w:rsid w:val="00587B95"/>
    <w:rsid w:val="00587F87"/>
    <w:rsid w:val="00590CFC"/>
    <w:rsid w:val="00592AD7"/>
    <w:rsid w:val="00593595"/>
    <w:rsid w:val="00593774"/>
    <w:rsid w:val="00593F66"/>
    <w:rsid w:val="005949E1"/>
    <w:rsid w:val="0059546E"/>
    <w:rsid w:val="00595550"/>
    <w:rsid w:val="00595908"/>
    <w:rsid w:val="00595B42"/>
    <w:rsid w:val="00596443"/>
    <w:rsid w:val="00596B20"/>
    <w:rsid w:val="0059761B"/>
    <w:rsid w:val="005A0410"/>
    <w:rsid w:val="005A1E6D"/>
    <w:rsid w:val="005A20D4"/>
    <w:rsid w:val="005A2582"/>
    <w:rsid w:val="005A2676"/>
    <w:rsid w:val="005A35EE"/>
    <w:rsid w:val="005A3661"/>
    <w:rsid w:val="005A3AE2"/>
    <w:rsid w:val="005A4099"/>
    <w:rsid w:val="005A5726"/>
    <w:rsid w:val="005A6610"/>
    <w:rsid w:val="005A782A"/>
    <w:rsid w:val="005B0306"/>
    <w:rsid w:val="005B0E0D"/>
    <w:rsid w:val="005B10BE"/>
    <w:rsid w:val="005B12F1"/>
    <w:rsid w:val="005B1642"/>
    <w:rsid w:val="005B233F"/>
    <w:rsid w:val="005B24F6"/>
    <w:rsid w:val="005B2A34"/>
    <w:rsid w:val="005B2AED"/>
    <w:rsid w:val="005B2C39"/>
    <w:rsid w:val="005B2F20"/>
    <w:rsid w:val="005B3060"/>
    <w:rsid w:val="005B39FE"/>
    <w:rsid w:val="005B3A1E"/>
    <w:rsid w:val="005B3C9F"/>
    <w:rsid w:val="005B5415"/>
    <w:rsid w:val="005B5EF8"/>
    <w:rsid w:val="005B6683"/>
    <w:rsid w:val="005B78BD"/>
    <w:rsid w:val="005C0C6C"/>
    <w:rsid w:val="005C1CB3"/>
    <w:rsid w:val="005C21AA"/>
    <w:rsid w:val="005C32FC"/>
    <w:rsid w:val="005C3F6F"/>
    <w:rsid w:val="005C40DE"/>
    <w:rsid w:val="005C488B"/>
    <w:rsid w:val="005C58D3"/>
    <w:rsid w:val="005C60C8"/>
    <w:rsid w:val="005C651A"/>
    <w:rsid w:val="005C7BC4"/>
    <w:rsid w:val="005D1302"/>
    <w:rsid w:val="005D160B"/>
    <w:rsid w:val="005D1660"/>
    <w:rsid w:val="005D2088"/>
    <w:rsid w:val="005D20A2"/>
    <w:rsid w:val="005D2793"/>
    <w:rsid w:val="005D60D7"/>
    <w:rsid w:val="005D64A4"/>
    <w:rsid w:val="005D7A59"/>
    <w:rsid w:val="005D7B0F"/>
    <w:rsid w:val="005D7E22"/>
    <w:rsid w:val="005D7FB3"/>
    <w:rsid w:val="005E05D7"/>
    <w:rsid w:val="005E1D31"/>
    <w:rsid w:val="005E1D3C"/>
    <w:rsid w:val="005E3005"/>
    <w:rsid w:val="005E335B"/>
    <w:rsid w:val="005E34BC"/>
    <w:rsid w:val="005E3D29"/>
    <w:rsid w:val="005E4F11"/>
    <w:rsid w:val="005E61F7"/>
    <w:rsid w:val="005E7439"/>
    <w:rsid w:val="005F04B2"/>
    <w:rsid w:val="005F1B6B"/>
    <w:rsid w:val="005F214D"/>
    <w:rsid w:val="005F44F3"/>
    <w:rsid w:val="005F4BFC"/>
    <w:rsid w:val="005F73D9"/>
    <w:rsid w:val="005F7692"/>
    <w:rsid w:val="006005FA"/>
    <w:rsid w:val="00601356"/>
    <w:rsid w:val="00601701"/>
    <w:rsid w:val="0060267F"/>
    <w:rsid w:val="00603046"/>
    <w:rsid w:val="00603A31"/>
    <w:rsid w:val="00606117"/>
    <w:rsid w:val="006066DF"/>
    <w:rsid w:val="006106D7"/>
    <w:rsid w:val="00610BCD"/>
    <w:rsid w:val="00610F44"/>
    <w:rsid w:val="00611141"/>
    <w:rsid w:val="00611907"/>
    <w:rsid w:val="00611F6F"/>
    <w:rsid w:val="006134F4"/>
    <w:rsid w:val="0061351E"/>
    <w:rsid w:val="00613DCE"/>
    <w:rsid w:val="00614E1D"/>
    <w:rsid w:val="00615012"/>
    <w:rsid w:val="006156AE"/>
    <w:rsid w:val="006161D6"/>
    <w:rsid w:val="00616D0F"/>
    <w:rsid w:val="00617027"/>
    <w:rsid w:val="0061705B"/>
    <w:rsid w:val="00621206"/>
    <w:rsid w:val="006221E0"/>
    <w:rsid w:val="00622D6B"/>
    <w:rsid w:val="00623944"/>
    <w:rsid w:val="00623F64"/>
    <w:rsid w:val="00624844"/>
    <w:rsid w:val="00624B89"/>
    <w:rsid w:val="00625AE6"/>
    <w:rsid w:val="0062610B"/>
    <w:rsid w:val="006265CF"/>
    <w:rsid w:val="00630273"/>
    <w:rsid w:val="00631087"/>
    <w:rsid w:val="00632253"/>
    <w:rsid w:val="00632622"/>
    <w:rsid w:val="006327B8"/>
    <w:rsid w:val="00632E44"/>
    <w:rsid w:val="006334FE"/>
    <w:rsid w:val="006358B1"/>
    <w:rsid w:val="00636178"/>
    <w:rsid w:val="006365D8"/>
    <w:rsid w:val="00636E66"/>
    <w:rsid w:val="00636EF3"/>
    <w:rsid w:val="00636F9E"/>
    <w:rsid w:val="00640C17"/>
    <w:rsid w:val="00640CBC"/>
    <w:rsid w:val="00641273"/>
    <w:rsid w:val="0064143C"/>
    <w:rsid w:val="00641D83"/>
    <w:rsid w:val="00642714"/>
    <w:rsid w:val="006438D8"/>
    <w:rsid w:val="006455CE"/>
    <w:rsid w:val="00645699"/>
    <w:rsid w:val="00645F15"/>
    <w:rsid w:val="0064762E"/>
    <w:rsid w:val="00650CCC"/>
    <w:rsid w:val="00650DEF"/>
    <w:rsid w:val="00650F7D"/>
    <w:rsid w:val="00651798"/>
    <w:rsid w:val="00652A00"/>
    <w:rsid w:val="00652D8F"/>
    <w:rsid w:val="00653A70"/>
    <w:rsid w:val="0065405E"/>
    <w:rsid w:val="0065414C"/>
    <w:rsid w:val="00654C32"/>
    <w:rsid w:val="00654F05"/>
    <w:rsid w:val="00655841"/>
    <w:rsid w:val="006561FB"/>
    <w:rsid w:val="00656CB4"/>
    <w:rsid w:val="00656E7B"/>
    <w:rsid w:val="006575BE"/>
    <w:rsid w:val="00657E2A"/>
    <w:rsid w:val="006604C4"/>
    <w:rsid w:val="00660F55"/>
    <w:rsid w:val="0066146D"/>
    <w:rsid w:val="006616BD"/>
    <w:rsid w:val="0066209E"/>
    <w:rsid w:val="006625C7"/>
    <w:rsid w:val="006635CC"/>
    <w:rsid w:val="006638D5"/>
    <w:rsid w:val="00663DA2"/>
    <w:rsid w:val="00664234"/>
    <w:rsid w:val="0066444F"/>
    <w:rsid w:val="006673FA"/>
    <w:rsid w:val="00670088"/>
    <w:rsid w:val="006700C6"/>
    <w:rsid w:val="0067027F"/>
    <w:rsid w:val="00670B84"/>
    <w:rsid w:val="00670F73"/>
    <w:rsid w:val="00671296"/>
    <w:rsid w:val="0067227B"/>
    <w:rsid w:val="006723E1"/>
    <w:rsid w:val="006730EA"/>
    <w:rsid w:val="006733B6"/>
    <w:rsid w:val="006737A9"/>
    <w:rsid w:val="00673C68"/>
    <w:rsid w:val="0067492E"/>
    <w:rsid w:val="00674FE7"/>
    <w:rsid w:val="006771F9"/>
    <w:rsid w:val="00677944"/>
    <w:rsid w:val="00677F66"/>
    <w:rsid w:val="006807FA"/>
    <w:rsid w:val="00680D7A"/>
    <w:rsid w:val="006813E2"/>
    <w:rsid w:val="006817C8"/>
    <w:rsid w:val="00681890"/>
    <w:rsid w:val="00681F58"/>
    <w:rsid w:val="006822F9"/>
    <w:rsid w:val="00682509"/>
    <w:rsid w:val="00682CDC"/>
    <w:rsid w:val="00683F56"/>
    <w:rsid w:val="006846E7"/>
    <w:rsid w:val="00684763"/>
    <w:rsid w:val="00684A25"/>
    <w:rsid w:val="00684CE0"/>
    <w:rsid w:val="0068592F"/>
    <w:rsid w:val="0068615E"/>
    <w:rsid w:val="00686916"/>
    <w:rsid w:val="00687215"/>
    <w:rsid w:val="00690414"/>
    <w:rsid w:val="00690A59"/>
    <w:rsid w:val="00691667"/>
    <w:rsid w:val="00692A18"/>
    <w:rsid w:val="00692C21"/>
    <w:rsid w:val="00692E71"/>
    <w:rsid w:val="00693034"/>
    <w:rsid w:val="00693D90"/>
    <w:rsid w:val="00694351"/>
    <w:rsid w:val="006947A9"/>
    <w:rsid w:val="00694E16"/>
    <w:rsid w:val="0069566C"/>
    <w:rsid w:val="006974ED"/>
    <w:rsid w:val="00697E0A"/>
    <w:rsid w:val="006A0FF4"/>
    <w:rsid w:val="006A17B7"/>
    <w:rsid w:val="006A204B"/>
    <w:rsid w:val="006A2506"/>
    <w:rsid w:val="006A321C"/>
    <w:rsid w:val="006A3FA1"/>
    <w:rsid w:val="006A4231"/>
    <w:rsid w:val="006A5042"/>
    <w:rsid w:val="006A7671"/>
    <w:rsid w:val="006B09DA"/>
    <w:rsid w:val="006B157A"/>
    <w:rsid w:val="006B180B"/>
    <w:rsid w:val="006B372A"/>
    <w:rsid w:val="006B4014"/>
    <w:rsid w:val="006B4253"/>
    <w:rsid w:val="006B45BB"/>
    <w:rsid w:val="006B4A08"/>
    <w:rsid w:val="006B4B89"/>
    <w:rsid w:val="006B5805"/>
    <w:rsid w:val="006B5A4B"/>
    <w:rsid w:val="006B61A8"/>
    <w:rsid w:val="006B77F8"/>
    <w:rsid w:val="006B7E82"/>
    <w:rsid w:val="006C06F3"/>
    <w:rsid w:val="006C17AE"/>
    <w:rsid w:val="006C2918"/>
    <w:rsid w:val="006C30FC"/>
    <w:rsid w:val="006C45A5"/>
    <w:rsid w:val="006C4DE0"/>
    <w:rsid w:val="006C513C"/>
    <w:rsid w:val="006C5653"/>
    <w:rsid w:val="006C67A2"/>
    <w:rsid w:val="006C7E7C"/>
    <w:rsid w:val="006D109E"/>
    <w:rsid w:val="006D1640"/>
    <w:rsid w:val="006D1833"/>
    <w:rsid w:val="006D19BC"/>
    <w:rsid w:val="006D2679"/>
    <w:rsid w:val="006D2E27"/>
    <w:rsid w:val="006D466A"/>
    <w:rsid w:val="006D480D"/>
    <w:rsid w:val="006D49F7"/>
    <w:rsid w:val="006D4B56"/>
    <w:rsid w:val="006D57C9"/>
    <w:rsid w:val="006D5DCE"/>
    <w:rsid w:val="006D6FD8"/>
    <w:rsid w:val="006D7571"/>
    <w:rsid w:val="006E03F5"/>
    <w:rsid w:val="006E26A3"/>
    <w:rsid w:val="006E3D2D"/>
    <w:rsid w:val="006E5198"/>
    <w:rsid w:val="006E6420"/>
    <w:rsid w:val="006E7CA9"/>
    <w:rsid w:val="006F0434"/>
    <w:rsid w:val="006F1C19"/>
    <w:rsid w:val="006F2F7B"/>
    <w:rsid w:val="006F5455"/>
    <w:rsid w:val="006F6066"/>
    <w:rsid w:val="006F7AA8"/>
    <w:rsid w:val="006F7F73"/>
    <w:rsid w:val="007018D2"/>
    <w:rsid w:val="00701FA8"/>
    <w:rsid w:val="007023EE"/>
    <w:rsid w:val="00702B05"/>
    <w:rsid w:val="00702BF8"/>
    <w:rsid w:val="00702EF5"/>
    <w:rsid w:val="00702F23"/>
    <w:rsid w:val="00703C85"/>
    <w:rsid w:val="0070568A"/>
    <w:rsid w:val="00705F83"/>
    <w:rsid w:val="007065DD"/>
    <w:rsid w:val="00706ABD"/>
    <w:rsid w:val="00706DBF"/>
    <w:rsid w:val="007074DB"/>
    <w:rsid w:val="00707C39"/>
    <w:rsid w:val="0071182F"/>
    <w:rsid w:val="0071206C"/>
    <w:rsid w:val="00712294"/>
    <w:rsid w:val="00712AF4"/>
    <w:rsid w:val="0071396D"/>
    <w:rsid w:val="00716669"/>
    <w:rsid w:val="00717094"/>
    <w:rsid w:val="007172CA"/>
    <w:rsid w:val="007175FE"/>
    <w:rsid w:val="007211FC"/>
    <w:rsid w:val="00721307"/>
    <w:rsid w:val="00723D68"/>
    <w:rsid w:val="00723DD0"/>
    <w:rsid w:val="00724BDA"/>
    <w:rsid w:val="00724EA7"/>
    <w:rsid w:val="007255AC"/>
    <w:rsid w:val="00725A61"/>
    <w:rsid w:val="00725B5B"/>
    <w:rsid w:val="0072683E"/>
    <w:rsid w:val="00726C35"/>
    <w:rsid w:val="00726F02"/>
    <w:rsid w:val="00726F97"/>
    <w:rsid w:val="00727D44"/>
    <w:rsid w:val="00730169"/>
    <w:rsid w:val="00730BAC"/>
    <w:rsid w:val="00731826"/>
    <w:rsid w:val="00732A3E"/>
    <w:rsid w:val="00732AFA"/>
    <w:rsid w:val="00732B0A"/>
    <w:rsid w:val="00733017"/>
    <w:rsid w:val="00734F0F"/>
    <w:rsid w:val="007353AF"/>
    <w:rsid w:val="00736C2C"/>
    <w:rsid w:val="00737821"/>
    <w:rsid w:val="00737AD0"/>
    <w:rsid w:val="00737D4F"/>
    <w:rsid w:val="00740FD8"/>
    <w:rsid w:val="00742018"/>
    <w:rsid w:val="00742C4B"/>
    <w:rsid w:val="00743161"/>
    <w:rsid w:val="00743C49"/>
    <w:rsid w:val="00746941"/>
    <w:rsid w:val="0074706F"/>
    <w:rsid w:val="00747C1D"/>
    <w:rsid w:val="0075097D"/>
    <w:rsid w:val="00751680"/>
    <w:rsid w:val="0075202D"/>
    <w:rsid w:val="00752439"/>
    <w:rsid w:val="007533BD"/>
    <w:rsid w:val="007534DB"/>
    <w:rsid w:val="00753813"/>
    <w:rsid w:val="0075386F"/>
    <w:rsid w:val="00754015"/>
    <w:rsid w:val="007550D0"/>
    <w:rsid w:val="00756343"/>
    <w:rsid w:val="007570E3"/>
    <w:rsid w:val="0076094A"/>
    <w:rsid w:val="00760C7D"/>
    <w:rsid w:val="00762E17"/>
    <w:rsid w:val="00762F52"/>
    <w:rsid w:val="00763203"/>
    <w:rsid w:val="007633BA"/>
    <w:rsid w:val="00763CBB"/>
    <w:rsid w:val="00764784"/>
    <w:rsid w:val="00764D2D"/>
    <w:rsid w:val="00765153"/>
    <w:rsid w:val="00765997"/>
    <w:rsid w:val="00766CC9"/>
    <w:rsid w:val="007720D0"/>
    <w:rsid w:val="0077232C"/>
    <w:rsid w:val="00773098"/>
    <w:rsid w:val="0077409E"/>
    <w:rsid w:val="0077600D"/>
    <w:rsid w:val="007763C7"/>
    <w:rsid w:val="0077723F"/>
    <w:rsid w:val="00777D4C"/>
    <w:rsid w:val="00780269"/>
    <w:rsid w:val="00781838"/>
    <w:rsid w:val="00783310"/>
    <w:rsid w:val="00783A08"/>
    <w:rsid w:val="00783CB6"/>
    <w:rsid w:val="00783FED"/>
    <w:rsid w:val="00785AF0"/>
    <w:rsid w:val="0078688A"/>
    <w:rsid w:val="007869B5"/>
    <w:rsid w:val="007878F5"/>
    <w:rsid w:val="007907B1"/>
    <w:rsid w:val="0079251A"/>
    <w:rsid w:val="00792CFB"/>
    <w:rsid w:val="007939DB"/>
    <w:rsid w:val="00794674"/>
    <w:rsid w:val="007947F5"/>
    <w:rsid w:val="00795CB7"/>
    <w:rsid w:val="0079626F"/>
    <w:rsid w:val="0079628A"/>
    <w:rsid w:val="007963C3"/>
    <w:rsid w:val="00796678"/>
    <w:rsid w:val="00797746"/>
    <w:rsid w:val="007A0223"/>
    <w:rsid w:val="007A02C8"/>
    <w:rsid w:val="007A27FB"/>
    <w:rsid w:val="007A2D6D"/>
    <w:rsid w:val="007A35FC"/>
    <w:rsid w:val="007A36B4"/>
    <w:rsid w:val="007A4A6D"/>
    <w:rsid w:val="007A5AAC"/>
    <w:rsid w:val="007A5DE3"/>
    <w:rsid w:val="007B0468"/>
    <w:rsid w:val="007B0C9A"/>
    <w:rsid w:val="007B0E1D"/>
    <w:rsid w:val="007B2C2F"/>
    <w:rsid w:val="007B3019"/>
    <w:rsid w:val="007B3D9A"/>
    <w:rsid w:val="007B4444"/>
    <w:rsid w:val="007B4C48"/>
    <w:rsid w:val="007B5A98"/>
    <w:rsid w:val="007B5CAB"/>
    <w:rsid w:val="007B6457"/>
    <w:rsid w:val="007B69DD"/>
    <w:rsid w:val="007B795E"/>
    <w:rsid w:val="007B7976"/>
    <w:rsid w:val="007B7E69"/>
    <w:rsid w:val="007C03B2"/>
    <w:rsid w:val="007C0792"/>
    <w:rsid w:val="007C0AB6"/>
    <w:rsid w:val="007C0B57"/>
    <w:rsid w:val="007C1FEA"/>
    <w:rsid w:val="007C34EC"/>
    <w:rsid w:val="007C3DA0"/>
    <w:rsid w:val="007C4284"/>
    <w:rsid w:val="007C50DC"/>
    <w:rsid w:val="007C53E9"/>
    <w:rsid w:val="007C5681"/>
    <w:rsid w:val="007C5912"/>
    <w:rsid w:val="007C7016"/>
    <w:rsid w:val="007C7991"/>
    <w:rsid w:val="007D0A0D"/>
    <w:rsid w:val="007D0C8B"/>
    <w:rsid w:val="007D15CC"/>
    <w:rsid w:val="007D1BCF"/>
    <w:rsid w:val="007D3086"/>
    <w:rsid w:val="007D33A2"/>
    <w:rsid w:val="007D4860"/>
    <w:rsid w:val="007D4C97"/>
    <w:rsid w:val="007D5077"/>
    <w:rsid w:val="007D52D0"/>
    <w:rsid w:val="007D53F0"/>
    <w:rsid w:val="007D5B63"/>
    <w:rsid w:val="007D6560"/>
    <w:rsid w:val="007D75CF"/>
    <w:rsid w:val="007E0440"/>
    <w:rsid w:val="007E1BA1"/>
    <w:rsid w:val="007E3862"/>
    <w:rsid w:val="007E5B59"/>
    <w:rsid w:val="007E6B8D"/>
    <w:rsid w:val="007E6DC5"/>
    <w:rsid w:val="007F0127"/>
    <w:rsid w:val="007F16CC"/>
    <w:rsid w:val="007F1FC7"/>
    <w:rsid w:val="007F2C7C"/>
    <w:rsid w:val="007F37F9"/>
    <w:rsid w:val="007F3837"/>
    <w:rsid w:val="007F6586"/>
    <w:rsid w:val="007F70C6"/>
    <w:rsid w:val="007F7FBB"/>
    <w:rsid w:val="00801FB2"/>
    <w:rsid w:val="0080281F"/>
    <w:rsid w:val="008029EB"/>
    <w:rsid w:val="00802B0A"/>
    <w:rsid w:val="00803D49"/>
    <w:rsid w:val="0080416F"/>
    <w:rsid w:val="008044EE"/>
    <w:rsid w:val="00806F67"/>
    <w:rsid w:val="00807911"/>
    <w:rsid w:val="00810B78"/>
    <w:rsid w:val="00810F09"/>
    <w:rsid w:val="008121AF"/>
    <w:rsid w:val="0081334F"/>
    <w:rsid w:val="008139C3"/>
    <w:rsid w:val="00814AD5"/>
    <w:rsid w:val="00815A22"/>
    <w:rsid w:val="008167A8"/>
    <w:rsid w:val="00816A9C"/>
    <w:rsid w:val="00816F15"/>
    <w:rsid w:val="00817CB1"/>
    <w:rsid w:val="00820A39"/>
    <w:rsid w:val="00820B5E"/>
    <w:rsid w:val="00820CDF"/>
    <w:rsid w:val="00821F99"/>
    <w:rsid w:val="00824242"/>
    <w:rsid w:val="00824D53"/>
    <w:rsid w:val="00825024"/>
    <w:rsid w:val="008264DD"/>
    <w:rsid w:val="00826918"/>
    <w:rsid w:val="00826C9A"/>
    <w:rsid w:val="008306BF"/>
    <w:rsid w:val="00830A2F"/>
    <w:rsid w:val="008320B8"/>
    <w:rsid w:val="00833F4F"/>
    <w:rsid w:val="0083422B"/>
    <w:rsid w:val="0083437C"/>
    <w:rsid w:val="00835A1A"/>
    <w:rsid w:val="00836F80"/>
    <w:rsid w:val="0083719D"/>
    <w:rsid w:val="0084108B"/>
    <w:rsid w:val="008424E0"/>
    <w:rsid w:val="00842B56"/>
    <w:rsid w:val="0084388A"/>
    <w:rsid w:val="00844401"/>
    <w:rsid w:val="008449AE"/>
    <w:rsid w:val="008456AE"/>
    <w:rsid w:val="00845F77"/>
    <w:rsid w:val="00846433"/>
    <w:rsid w:val="00846687"/>
    <w:rsid w:val="008471B3"/>
    <w:rsid w:val="008506E3"/>
    <w:rsid w:val="00850ECD"/>
    <w:rsid w:val="00851B7D"/>
    <w:rsid w:val="00852A35"/>
    <w:rsid w:val="00853B24"/>
    <w:rsid w:val="0085401A"/>
    <w:rsid w:val="00854B2B"/>
    <w:rsid w:val="00854C0A"/>
    <w:rsid w:val="00854CFA"/>
    <w:rsid w:val="00856482"/>
    <w:rsid w:val="008564A7"/>
    <w:rsid w:val="008569C3"/>
    <w:rsid w:val="00856F2A"/>
    <w:rsid w:val="00857CBB"/>
    <w:rsid w:val="00863203"/>
    <w:rsid w:val="00863310"/>
    <w:rsid w:val="00863494"/>
    <w:rsid w:val="00864264"/>
    <w:rsid w:val="00864719"/>
    <w:rsid w:val="008650CC"/>
    <w:rsid w:val="00865CB1"/>
    <w:rsid w:val="00865F47"/>
    <w:rsid w:val="0086765B"/>
    <w:rsid w:val="008712D4"/>
    <w:rsid w:val="008727AC"/>
    <w:rsid w:val="00873871"/>
    <w:rsid w:val="00875B3D"/>
    <w:rsid w:val="00875FD2"/>
    <w:rsid w:val="0087744B"/>
    <w:rsid w:val="0087753F"/>
    <w:rsid w:val="0088043C"/>
    <w:rsid w:val="008807B2"/>
    <w:rsid w:val="00880E3F"/>
    <w:rsid w:val="00881A8F"/>
    <w:rsid w:val="0088200A"/>
    <w:rsid w:val="00883107"/>
    <w:rsid w:val="00883468"/>
    <w:rsid w:val="008845E1"/>
    <w:rsid w:val="00884889"/>
    <w:rsid w:val="008858A7"/>
    <w:rsid w:val="00885981"/>
    <w:rsid w:val="00886B79"/>
    <w:rsid w:val="00887165"/>
    <w:rsid w:val="0088753B"/>
    <w:rsid w:val="00887CB2"/>
    <w:rsid w:val="00887D09"/>
    <w:rsid w:val="008906C9"/>
    <w:rsid w:val="00890B0B"/>
    <w:rsid w:val="00890E98"/>
    <w:rsid w:val="0089102C"/>
    <w:rsid w:val="00891708"/>
    <w:rsid w:val="00891EE2"/>
    <w:rsid w:val="00891FCD"/>
    <w:rsid w:val="00894285"/>
    <w:rsid w:val="0089434D"/>
    <w:rsid w:val="008951EC"/>
    <w:rsid w:val="008952AB"/>
    <w:rsid w:val="008969B9"/>
    <w:rsid w:val="00897002"/>
    <w:rsid w:val="00897505"/>
    <w:rsid w:val="00897B42"/>
    <w:rsid w:val="008A02FB"/>
    <w:rsid w:val="008A19FC"/>
    <w:rsid w:val="008A1DE3"/>
    <w:rsid w:val="008A23AE"/>
    <w:rsid w:val="008A298D"/>
    <w:rsid w:val="008A31C8"/>
    <w:rsid w:val="008A4073"/>
    <w:rsid w:val="008A541A"/>
    <w:rsid w:val="008A59AB"/>
    <w:rsid w:val="008A6273"/>
    <w:rsid w:val="008A634A"/>
    <w:rsid w:val="008A6643"/>
    <w:rsid w:val="008A72C7"/>
    <w:rsid w:val="008A7CA8"/>
    <w:rsid w:val="008B0474"/>
    <w:rsid w:val="008B05AE"/>
    <w:rsid w:val="008B0EA2"/>
    <w:rsid w:val="008B101E"/>
    <w:rsid w:val="008B1447"/>
    <w:rsid w:val="008B16A7"/>
    <w:rsid w:val="008B188B"/>
    <w:rsid w:val="008B1E1A"/>
    <w:rsid w:val="008B2860"/>
    <w:rsid w:val="008B29D3"/>
    <w:rsid w:val="008B2C64"/>
    <w:rsid w:val="008B2D99"/>
    <w:rsid w:val="008B50C3"/>
    <w:rsid w:val="008B592F"/>
    <w:rsid w:val="008B7023"/>
    <w:rsid w:val="008B7F93"/>
    <w:rsid w:val="008C06B5"/>
    <w:rsid w:val="008C06DF"/>
    <w:rsid w:val="008C1C66"/>
    <w:rsid w:val="008C2477"/>
    <w:rsid w:val="008C4C27"/>
    <w:rsid w:val="008C5738"/>
    <w:rsid w:val="008C5B00"/>
    <w:rsid w:val="008C7E63"/>
    <w:rsid w:val="008D0137"/>
    <w:rsid w:val="008D04F0"/>
    <w:rsid w:val="008D12A7"/>
    <w:rsid w:val="008D1381"/>
    <w:rsid w:val="008D21D2"/>
    <w:rsid w:val="008D31EB"/>
    <w:rsid w:val="008D3B4B"/>
    <w:rsid w:val="008D4094"/>
    <w:rsid w:val="008D50A8"/>
    <w:rsid w:val="008D6099"/>
    <w:rsid w:val="008D650A"/>
    <w:rsid w:val="008D6617"/>
    <w:rsid w:val="008D7365"/>
    <w:rsid w:val="008D759B"/>
    <w:rsid w:val="008D7625"/>
    <w:rsid w:val="008E08CC"/>
    <w:rsid w:val="008E0CFF"/>
    <w:rsid w:val="008E138F"/>
    <w:rsid w:val="008E16C2"/>
    <w:rsid w:val="008E1D59"/>
    <w:rsid w:val="008E24C9"/>
    <w:rsid w:val="008E2AB0"/>
    <w:rsid w:val="008E3603"/>
    <w:rsid w:val="008E4789"/>
    <w:rsid w:val="008E496E"/>
    <w:rsid w:val="008E4CA9"/>
    <w:rsid w:val="008E4F17"/>
    <w:rsid w:val="008E5DEC"/>
    <w:rsid w:val="008E7024"/>
    <w:rsid w:val="008E79C2"/>
    <w:rsid w:val="008F03FB"/>
    <w:rsid w:val="008F0D91"/>
    <w:rsid w:val="008F3500"/>
    <w:rsid w:val="008F3504"/>
    <w:rsid w:val="008F40B4"/>
    <w:rsid w:val="008F5C5E"/>
    <w:rsid w:val="008F6AC6"/>
    <w:rsid w:val="008F6DB8"/>
    <w:rsid w:val="008F7E9B"/>
    <w:rsid w:val="009003EB"/>
    <w:rsid w:val="009003ED"/>
    <w:rsid w:val="0090117E"/>
    <w:rsid w:val="009021EE"/>
    <w:rsid w:val="009026E2"/>
    <w:rsid w:val="0090401C"/>
    <w:rsid w:val="00904E51"/>
    <w:rsid w:val="0090550A"/>
    <w:rsid w:val="00905FF1"/>
    <w:rsid w:val="00906858"/>
    <w:rsid w:val="0090741F"/>
    <w:rsid w:val="009075EB"/>
    <w:rsid w:val="00907A29"/>
    <w:rsid w:val="00907F48"/>
    <w:rsid w:val="0091147A"/>
    <w:rsid w:val="00911688"/>
    <w:rsid w:val="00913236"/>
    <w:rsid w:val="0091377D"/>
    <w:rsid w:val="00913E39"/>
    <w:rsid w:val="0091403C"/>
    <w:rsid w:val="00914086"/>
    <w:rsid w:val="009148BB"/>
    <w:rsid w:val="00914EB2"/>
    <w:rsid w:val="00916868"/>
    <w:rsid w:val="0091793C"/>
    <w:rsid w:val="00917E7B"/>
    <w:rsid w:val="0092037A"/>
    <w:rsid w:val="00921646"/>
    <w:rsid w:val="0092245E"/>
    <w:rsid w:val="00922547"/>
    <w:rsid w:val="00923145"/>
    <w:rsid w:val="00923DAE"/>
    <w:rsid w:val="00924E3C"/>
    <w:rsid w:val="009251BE"/>
    <w:rsid w:val="00925549"/>
    <w:rsid w:val="0092603C"/>
    <w:rsid w:val="00926EE9"/>
    <w:rsid w:val="0092712D"/>
    <w:rsid w:val="009271F6"/>
    <w:rsid w:val="00927591"/>
    <w:rsid w:val="009321B9"/>
    <w:rsid w:val="009329DE"/>
    <w:rsid w:val="00933AD2"/>
    <w:rsid w:val="00933E15"/>
    <w:rsid w:val="00934133"/>
    <w:rsid w:val="00935388"/>
    <w:rsid w:val="009353E1"/>
    <w:rsid w:val="00936BEC"/>
    <w:rsid w:val="00936E94"/>
    <w:rsid w:val="00940434"/>
    <w:rsid w:val="0094058A"/>
    <w:rsid w:val="00940A53"/>
    <w:rsid w:val="00940D39"/>
    <w:rsid w:val="00941F23"/>
    <w:rsid w:val="00941F69"/>
    <w:rsid w:val="00942878"/>
    <w:rsid w:val="00944186"/>
    <w:rsid w:val="009453D4"/>
    <w:rsid w:val="009457BF"/>
    <w:rsid w:val="00945B39"/>
    <w:rsid w:val="00945C70"/>
    <w:rsid w:val="00947429"/>
    <w:rsid w:val="00947D1F"/>
    <w:rsid w:val="00950464"/>
    <w:rsid w:val="00952346"/>
    <w:rsid w:val="009550B0"/>
    <w:rsid w:val="00955F8F"/>
    <w:rsid w:val="0095621E"/>
    <w:rsid w:val="00957A68"/>
    <w:rsid w:val="00957B35"/>
    <w:rsid w:val="00957F20"/>
    <w:rsid w:val="009612BB"/>
    <w:rsid w:val="00961B4A"/>
    <w:rsid w:val="00962D39"/>
    <w:rsid w:val="00962D5E"/>
    <w:rsid w:val="00964886"/>
    <w:rsid w:val="0096583A"/>
    <w:rsid w:val="0096701F"/>
    <w:rsid w:val="009674AF"/>
    <w:rsid w:val="00967D39"/>
    <w:rsid w:val="00970914"/>
    <w:rsid w:val="0097110C"/>
    <w:rsid w:val="00971C8A"/>
    <w:rsid w:val="00972775"/>
    <w:rsid w:val="009742AF"/>
    <w:rsid w:val="0097456D"/>
    <w:rsid w:val="009747B9"/>
    <w:rsid w:val="0097686D"/>
    <w:rsid w:val="009803C0"/>
    <w:rsid w:val="00980D2E"/>
    <w:rsid w:val="00980F91"/>
    <w:rsid w:val="009826E7"/>
    <w:rsid w:val="009827D8"/>
    <w:rsid w:val="00982F13"/>
    <w:rsid w:val="00983705"/>
    <w:rsid w:val="00984EC8"/>
    <w:rsid w:val="0098605C"/>
    <w:rsid w:val="009911BA"/>
    <w:rsid w:val="00991547"/>
    <w:rsid w:val="00991A79"/>
    <w:rsid w:val="00991C6B"/>
    <w:rsid w:val="009925A2"/>
    <w:rsid w:val="00992729"/>
    <w:rsid w:val="00994A83"/>
    <w:rsid w:val="0099517D"/>
    <w:rsid w:val="009952B2"/>
    <w:rsid w:val="00995928"/>
    <w:rsid w:val="009965EB"/>
    <w:rsid w:val="00997ADD"/>
    <w:rsid w:val="00997ED2"/>
    <w:rsid w:val="009A0655"/>
    <w:rsid w:val="009A2BBE"/>
    <w:rsid w:val="009A3657"/>
    <w:rsid w:val="009A3992"/>
    <w:rsid w:val="009A4A1D"/>
    <w:rsid w:val="009A5362"/>
    <w:rsid w:val="009A5D3B"/>
    <w:rsid w:val="009A6E3F"/>
    <w:rsid w:val="009A7DFE"/>
    <w:rsid w:val="009B0346"/>
    <w:rsid w:val="009B24A6"/>
    <w:rsid w:val="009B2B96"/>
    <w:rsid w:val="009B5B9F"/>
    <w:rsid w:val="009B75AD"/>
    <w:rsid w:val="009C02F5"/>
    <w:rsid w:val="009C2D3B"/>
    <w:rsid w:val="009C2E5A"/>
    <w:rsid w:val="009C32B7"/>
    <w:rsid w:val="009C4DB3"/>
    <w:rsid w:val="009C5C45"/>
    <w:rsid w:val="009C60CB"/>
    <w:rsid w:val="009C65E5"/>
    <w:rsid w:val="009C68E4"/>
    <w:rsid w:val="009C72BF"/>
    <w:rsid w:val="009C733C"/>
    <w:rsid w:val="009C740A"/>
    <w:rsid w:val="009D01DA"/>
    <w:rsid w:val="009D0B41"/>
    <w:rsid w:val="009D4F90"/>
    <w:rsid w:val="009D6EB2"/>
    <w:rsid w:val="009D6F50"/>
    <w:rsid w:val="009D7CE5"/>
    <w:rsid w:val="009E0A8F"/>
    <w:rsid w:val="009E1BA8"/>
    <w:rsid w:val="009E1C0C"/>
    <w:rsid w:val="009E1EB5"/>
    <w:rsid w:val="009E2865"/>
    <w:rsid w:val="009E303C"/>
    <w:rsid w:val="009E32D8"/>
    <w:rsid w:val="009E35D7"/>
    <w:rsid w:val="009E37DF"/>
    <w:rsid w:val="009E48FC"/>
    <w:rsid w:val="009E4DCE"/>
    <w:rsid w:val="009E51C1"/>
    <w:rsid w:val="009E529F"/>
    <w:rsid w:val="009E52E6"/>
    <w:rsid w:val="009E574C"/>
    <w:rsid w:val="009E57D9"/>
    <w:rsid w:val="009E626A"/>
    <w:rsid w:val="009E6427"/>
    <w:rsid w:val="009E6FD1"/>
    <w:rsid w:val="009E77E6"/>
    <w:rsid w:val="009E77F4"/>
    <w:rsid w:val="009E79D2"/>
    <w:rsid w:val="009F1A55"/>
    <w:rsid w:val="009F1C82"/>
    <w:rsid w:val="009F3612"/>
    <w:rsid w:val="009F3D7C"/>
    <w:rsid w:val="009F4C97"/>
    <w:rsid w:val="009F57FF"/>
    <w:rsid w:val="009F5C51"/>
    <w:rsid w:val="009F5EB1"/>
    <w:rsid w:val="009F6193"/>
    <w:rsid w:val="00A007A0"/>
    <w:rsid w:val="00A01D74"/>
    <w:rsid w:val="00A022A3"/>
    <w:rsid w:val="00A022B6"/>
    <w:rsid w:val="00A029D9"/>
    <w:rsid w:val="00A03280"/>
    <w:rsid w:val="00A049A9"/>
    <w:rsid w:val="00A055E8"/>
    <w:rsid w:val="00A05D88"/>
    <w:rsid w:val="00A0687E"/>
    <w:rsid w:val="00A10CE9"/>
    <w:rsid w:val="00A11460"/>
    <w:rsid w:val="00A125C5"/>
    <w:rsid w:val="00A12706"/>
    <w:rsid w:val="00A13592"/>
    <w:rsid w:val="00A14DF3"/>
    <w:rsid w:val="00A1533E"/>
    <w:rsid w:val="00A15CBA"/>
    <w:rsid w:val="00A160F0"/>
    <w:rsid w:val="00A16B28"/>
    <w:rsid w:val="00A17AD3"/>
    <w:rsid w:val="00A17C74"/>
    <w:rsid w:val="00A218B8"/>
    <w:rsid w:val="00A22D42"/>
    <w:rsid w:val="00A22E7A"/>
    <w:rsid w:val="00A231F1"/>
    <w:rsid w:val="00A233BC"/>
    <w:rsid w:val="00A23A50"/>
    <w:rsid w:val="00A2403E"/>
    <w:rsid w:val="00A2451C"/>
    <w:rsid w:val="00A266A0"/>
    <w:rsid w:val="00A2705F"/>
    <w:rsid w:val="00A27CC9"/>
    <w:rsid w:val="00A30E44"/>
    <w:rsid w:val="00A32871"/>
    <w:rsid w:val="00A33CB3"/>
    <w:rsid w:val="00A35558"/>
    <w:rsid w:val="00A35F81"/>
    <w:rsid w:val="00A36F98"/>
    <w:rsid w:val="00A3752D"/>
    <w:rsid w:val="00A3763E"/>
    <w:rsid w:val="00A4057F"/>
    <w:rsid w:val="00A407A2"/>
    <w:rsid w:val="00A42E62"/>
    <w:rsid w:val="00A4469D"/>
    <w:rsid w:val="00A45970"/>
    <w:rsid w:val="00A46E0E"/>
    <w:rsid w:val="00A47891"/>
    <w:rsid w:val="00A5037A"/>
    <w:rsid w:val="00A504D8"/>
    <w:rsid w:val="00A5168D"/>
    <w:rsid w:val="00A52149"/>
    <w:rsid w:val="00A531C0"/>
    <w:rsid w:val="00A535DD"/>
    <w:rsid w:val="00A560C9"/>
    <w:rsid w:val="00A56649"/>
    <w:rsid w:val="00A566CB"/>
    <w:rsid w:val="00A5765F"/>
    <w:rsid w:val="00A6018E"/>
    <w:rsid w:val="00A61F25"/>
    <w:rsid w:val="00A620D9"/>
    <w:rsid w:val="00A6269C"/>
    <w:rsid w:val="00A6443F"/>
    <w:rsid w:val="00A64928"/>
    <w:rsid w:val="00A65359"/>
    <w:rsid w:val="00A65801"/>
    <w:rsid w:val="00A65EE7"/>
    <w:rsid w:val="00A660B7"/>
    <w:rsid w:val="00A660BD"/>
    <w:rsid w:val="00A6613B"/>
    <w:rsid w:val="00A662B6"/>
    <w:rsid w:val="00A66BE7"/>
    <w:rsid w:val="00A6734B"/>
    <w:rsid w:val="00A678A9"/>
    <w:rsid w:val="00A70133"/>
    <w:rsid w:val="00A70D63"/>
    <w:rsid w:val="00A72381"/>
    <w:rsid w:val="00A73218"/>
    <w:rsid w:val="00A73940"/>
    <w:rsid w:val="00A73D1D"/>
    <w:rsid w:val="00A75715"/>
    <w:rsid w:val="00A76A28"/>
    <w:rsid w:val="00A770A6"/>
    <w:rsid w:val="00A813B1"/>
    <w:rsid w:val="00A81CB2"/>
    <w:rsid w:val="00A828CD"/>
    <w:rsid w:val="00A82BB8"/>
    <w:rsid w:val="00A82D80"/>
    <w:rsid w:val="00A845DF"/>
    <w:rsid w:val="00A85979"/>
    <w:rsid w:val="00A8616D"/>
    <w:rsid w:val="00A86271"/>
    <w:rsid w:val="00A87F43"/>
    <w:rsid w:val="00A9026D"/>
    <w:rsid w:val="00A91237"/>
    <w:rsid w:val="00A925FF"/>
    <w:rsid w:val="00A92A64"/>
    <w:rsid w:val="00A930A5"/>
    <w:rsid w:val="00A93426"/>
    <w:rsid w:val="00A95DE6"/>
    <w:rsid w:val="00A96364"/>
    <w:rsid w:val="00A965AF"/>
    <w:rsid w:val="00A96AFC"/>
    <w:rsid w:val="00AA09E9"/>
    <w:rsid w:val="00AA0C11"/>
    <w:rsid w:val="00AA0EBF"/>
    <w:rsid w:val="00AA1C79"/>
    <w:rsid w:val="00AA2175"/>
    <w:rsid w:val="00AA59CF"/>
    <w:rsid w:val="00AA6892"/>
    <w:rsid w:val="00AA6943"/>
    <w:rsid w:val="00AA6CB7"/>
    <w:rsid w:val="00AA74AF"/>
    <w:rsid w:val="00AB36C4"/>
    <w:rsid w:val="00AB3E59"/>
    <w:rsid w:val="00AB4D84"/>
    <w:rsid w:val="00AB4FA5"/>
    <w:rsid w:val="00AB5ADF"/>
    <w:rsid w:val="00AB7832"/>
    <w:rsid w:val="00AB7B0A"/>
    <w:rsid w:val="00AC0977"/>
    <w:rsid w:val="00AC0BC6"/>
    <w:rsid w:val="00AC1DD3"/>
    <w:rsid w:val="00AC262C"/>
    <w:rsid w:val="00AC32B2"/>
    <w:rsid w:val="00AC4B06"/>
    <w:rsid w:val="00AC4DBE"/>
    <w:rsid w:val="00AC6D5C"/>
    <w:rsid w:val="00AD02FB"/>
    <w:rsid w:val="00AD0693"/>
    <w:rsid w:val="00AD06D4"/>
    <w:rsid w:val="00AD1D3B"/>
    <w:rsid w:val="00AD2BDF"/>
    <w:rsid w:val="00AD36EA"/>
    <w:rsid w:val="00AD3C47"/>
    <w:rsid w:val="00AD411D"/>
    <w:rsid w:val="00AD4986"/>
    <w:rsid w:val="00AD53FA"/>
    <w:rsid w:val="00AD5AC9"/>
    <w:rsid w:val="00AD5D43"/>
    <w:rsid w:val="00AD65C8"/>
    <w:rsid w:val="00AD7263"/>
    <w:rsid w:val="00AD76D0"/>
    <w:rsid w:val="00AE14C0"/>
    <w:rsid w:val="00AE16E8"/>
    <w:rsid w:val="00AE19E1"/>
    <w:rsid w:val="00AE2EEF"/>
    <w:rsid w:val="00AE361C"/>
    <w:rsid w:val="00AE3A8F"/>
    <w:rsid w:val="00AE3EDC"/>
    <w:rsid w:val="00AE492D"/>
    <w:rsid w:val="00AE4950"/>
    <w:rsid w:val="00AE52A2"/>
    <w:rsid w:val="00AE7909"/>
    <w:rsid w:val="00AF08C8"/>
    <w:rsid w:val="00AF1339"/>
    <w:rsid w:val="00AF1BAC"/>
    <w:rsid w:val="00AF1FF3"/>
    <w:rsid w:val="00AF208E"/>
    <w:rsid w:val="00AF2E0A"/>
    <w:rsid w:val="00AF2EE4"/>
    <w:rsid w:val="00AF7083"/>
    <w:rsid w:val="00B00DFB"/>
    <w:rsid w:val="00B00E4E"/>
    <w:rsid w:val="00B027D1"/>
    <w:rsid w:val="00B02A77"/>
    <w:rsid w:val="00B04202"/>
    <w:rsid w:val="00B044B1"/>
    <w:rsid w:val="00B05593"/>
    <w:rsid w:val="00B05D89"/>
    <w:rsid w:val="00B05F37"/>
    <w:rsid w:val="00B075AC"/>
    <w:rsid w:val="00B1013A"/>
    <w:rsid w:val="00B11B58"/>
    <w:rsid w:val="00B161B3"/>
    <w:rsid w:val="00B16DC4"/>
    <w:rsid w:val="00B16FCA"/>
    <w:rsid w:val="00B17141"/>
    <w:rsid w:val="00B17639"/>
    <w:rsid w:val="00B201A0"/>
    <w:rsid w:val="00B2069C"/>
    <w:rsid w:val="00B20844"/>
    <w:rsid w:val="00B20867"/>
    <w:rsid w:val="00B216C1"/>
    <w:rsid w:val="00B233CD"/>
    <w:rsid w:val="00B2382F"/>
    <w:rsid w:val="00B2423F"/>
    <w:rsid w:val="00B2527F"/>
    <w:rsid w:val="00B267F0"/>
    <w:rsid w:val="00B267F9"/>
    <w:rsid w:val="00B26C8C"/>
    <w:rsid w:val="00B277D5"/>
    <w:rsid w:val="00B27C7A"/>
    <w:rsid w:val="00B303EA"/>
    <w:rsid w:val="00B30561"/>
    <w:rsid w:val="00B31575"/>
    <w:rsid w:val="00B31619"/>
    <w:rsid w:val="00B31B3A"/>
    <w:rsid w:val="00B32094"/>
    <w:rsid w:val="00B32776"/>
    <w:rsid w:val="00B32D78"/>
    <w:rsid w:val="00B32DC6"/>
    <w:rsid w:val="00B33A5C"/>
    <w:rsid w:val="00B33B64"/>
    <w:rsid w:val="00B34242"/>
    <w:rsid w:val="00B34372"/>
    <w:rsid w:val="00B34A8C"/>
    <w:rsid w:val="00B35198"/>
    <w:rsid w:val="00B3605E"/>
    <w:rsid w:val="00B37640"/>
    <w:rsid w:val="00B40D61"/>
    <w:rsid w:val="00B41055"/>
    <w:rsid w:val="00B413D9"/>
    <w:rsid w:val="00B417CA"/>
    <w:rsid w:val="00B4191E"/>
    <w:rsid w:val="00B41E55"/>
    <w:rsid w:val="00B429D1"/>
    <w:rsid w:val="00B42E66"/>
    <w:rsid w:val="00B43BC3"/>
    <w:rsid w:val="00B43E28"/>
    <w:rsid w:val="00B44F17"/>
    <w:rsid w:val="00B47911"/>
    <w:rsid w:val="00B47CA3"/>
    <w:rsid w:val="00B510AE"/>
    <w:rsid w:val="00B51672"/>
    <w:rsid w:val="00B51F20"/>
    <w:rsid w:val="00B520EC"/>
    <w:rsid w:val="00B52220"/>
    <w:rsid w:val="00B527D4"/>
    <w:rsid w:val="00B52850"/>
    <w:rsid w:val="00B52DC1"/>
    <w:rsid w:val="00B5307A"/>
    <w:rsid w:val="00B53D80"/>
    <w:rsid w:val="00B544A4"/>
    <w:rsid w:val="00B54CA2"/>
    <w:rsid w:val="00B55D5A"/>
    <w:rsid w:val="00B55EE3"/>
    <w:rsid w:val="00B565B5"/>
    <w:rsid w:val="00B5723F"/>
    <w:rsid w:val="00B6079F"/>
    <w:rsid w:val="00B6095F"/>
    <w:rsid w:val="00B610BE"/>
    <w:rsid w:val="00B616C3"/>
    <w:rsid w:val="00B617CF"/>
    <w:rsid w:val="00B6215B"/>
    <w:rsid w:val="00B631EF"/>
    <w:rsid w:val="00B63286"/>
    <w:rsid w:val="00B634F9"/>
    <w:rsid w:val="00B63727"/>
    <w:rsid w:val="00B64057"/>
    <w:rsid w:val="00B641E0"/>
    <w:rsid w:val="00B647BE"/>
    <w:rsid w:val="00B66E7B"/>
    <w:rsid w:val="00B67A3D"/>
    <w:rsid w:val="00B7032D"/>
    <w:rsid w:val="00B714AD"/>
    <w:rsid w:val="00B71E96"/>
    <w:rsid w:val="00B73DB1"/>
    <w:rsid w:val="00B76334"/>
    <w:rsid w:val="00B766E0"/>
    <w:rsid w:val="00B773BD"/>
    <w:rsid w:val="00B806EF"/>
    <w:rsid w:val="00B8129A"/>
    <w:rsid w:val="00B81EFB"/>
    <w:rsid w:val="00B8290A"/>
    <w:rsid w:val="00B82B12"/>
    <w:rsid w:val="00B83DBF"/>
    <w:rsid w:val="00B85436"/>
    <w:rsid w:val="00B8547D"/>
    <w:rsid w:val="00B857A8"/>
    <w:rsid w:val="00B86ACC"/>
    <w:rsid w:val="00B9090C"/>
    <w:rsid w:val="00B90AAE"/>
    <w:rsid w:val="00B91A2A"/>
    <w:rsid w:val="00B9333E"/>
    <w:rsid w:val="00B938A0"/>
    <w:rsid w:val="00B93DF5"/>
    <w:rsid w:val="00B9513B"/>
    <w:rsid w:val="00B953CC"/>
    <w:rsid w:val="00B9588A"/>
    <w:rsid w:val="00B963FC"/>
    <w:rsid w:val="00BA05F6"/>
    <w:rsid w:val="00BA0CD4"/>
    <w:rsid w:val="00BA12D7"/>
    <w:rsid w:val="00BA14FF"/>
    <w:rsid w:val="00BA1F87"/>
    <w:rsid w:val="00BA23B0"/>
    <w:rsid w:val="00BA3AA8"/>
    <w:rsid w:val="00BA3BF3"/>
    <w:rsid w:val="00BA3FFE"/>
    <w:rsid w:val="00BA408D"/>
    <w:rsid w:val="00BA554F"/>
    <w:rsid w:val="00BA6145"/>
    <w:rsid w:val="00BA63B9"/>
    <w:rsid w:val="00BA6D82"/>
    <w:rsid w:val="00BA6F0B"/>
    <w:rsid w:val="00BA786D"/>
    <w:rsid w:val="00BA7C44"/>
    <w:rsid w:val="00BB252D"/>
    <w:rsid w:val="00BB26EE"/>
    <w:rsid w:val="00BB2A84"/>
    <w:rsid w:val="00BB2DD2"/>
    <w:rsid w:val="00BB32A5"/>
    <w:rsid w:val="00BB3C27"/>
    <w:rsid w:val="00BB4575"/>
    <w:rsid w:val="00BB4D3C"/>
    <w:rsid w:val="00BB529A"/>
    <w:rsid w:val="00BB594E"/>
    <w:rsid w:val="00BB7A9E"/>
    <w:rsid w:val="00BB7B49"/>
    <w:rsid w:val="00BC0BDF"/>
    <w:rsid w:val="00BC1F1A"/>
    <w:rsid w:val="00BC23EA"/>
    <w:rsid w:val="00BC2898"/>
    <w:rsid w:val="00BC2D1F"/>
    <w:rsid w:val="00BC3639"/>
    <w:rsid w:val="00BC428C"/>
    <w:rsid w:val="00BC495C"/>
    <w:rsid w:val="00BC4C2C"/>
    <w:rsid w:val="00BC5017"/>
    <w:rsid w:val="00BC5794"/>
    <w:rsid w:val="00BC73ED"/>
    <w:rsid w:val="00BD09B5"/>
    <w:rsid w:val="00BD0BB3"/>
    <w:rsid w:val="00BD11FB"/>
    <w:rsid w:val="00BD34BF"/>
    <w:rsid w:val="00BD3DC3"/>
    <w:rsid w:val="00BD448E"/>
    <w:rsid w:val="00BD4603"/>
    <w:rsid w:val="00BD505A"/>
    <w:rsid w:val="00BD5DB3"/>
    <w:rsid w:val="00BD5F1C"/>
    <w:rsid w:val="00BD7ABF"/>
    <w:rsid w:val="00BE08F0"/>
    <w:rsid w:val="00BE12E6"/>
    <w:rsid w:val="00BE15A0"/>
    <w:rsid w:val="00BE1C6A"/>
    <w:rsid w:val="00BE211D"/>
    <w:rsid w:val="00BE214C"/>
    <w:rsid w:val="00BE24C0"/>
    <w:rsid w:val="00BE3760"/>
    <w:rsid w:val="00BE46FE"/>
    <w:rsid w:val="00BE49AC"/>
    <w:rsid w:val="00BE6AC1"/>
    <w:rsid w:val="00BE7C25"/>
    <w:rsid w:val="00BF0DCD"/>
    <w:rsid w:val="00BF0FCA"/>
    <w:rsid w:val="00BF1058"/>
    <w:rsid w:val="00BF16C2"/>
    <w:rsid w:val="00BF1837"/>
    <w:rsid w:val="00BF192D"/>
    <w:rsid w:val="00BF1AA4"/>
    <w:rsid w:val="00BF232B"/>
    <w:rsid w:val="00BF3AAD"/>
    <w:rsid w:val="00BF4434"/>
    <w:rsid w:val="00BF5C11"/>
    <w:rsid w:val="00BF5C70"/>
    <w:rsid w:val="00BF7CA9"/>
    <w:rsid w:val="00C00504"/>
    <w:rsid w:val="00C008D5"/>
    <w:rsid w:val="00C03581"/>
    <w:rsid w:val="00C03C70"/>
    <w:rsid w:val="00C04E4C"/>
    <w:rsid w:val="00C058CB"/>
    <w:rsid w:val="00C05BD5"/>
    <w:rsid w:val="00C0609A"/>
    <w:rsid w:val="00C07081"/>
    <w:rsid w:val="00C07E2F"/>
    <w:rsid w:val="00C118A4"/>
    <w:rsid w:val="00C11C61"/>
    <w:rsid w:val="00C13F72"/>
    <w:rsid w:val="00C14D33"/>
    <w:rsid w:val="00C16260"/>
    <w:rsid w:val="00C169AE"/>
    <w:rsid w:val="00C17F59"/>
    <w:rsid w:val="00C20571"/>
    <w:rsid w:val="00C20FC0"/>
    <w:rsid w:val="00C21D1B"/>
    <w:rsid w:val="00C21DE5"/>
    <w:rsid w:val="00C21DF7"/>
    <w:rsid w:val="00C22339"/>
    <w:rsid w:val="00C22489"/>
    <w:rsid w:val="00C23583"/>
    <w:rsid w:val="00C23E48"/>
    <w:rsid w:val="00C25065"/>
    <w:rsid w:val="00C250D5"/>
    <w:rsid w:val="00C25C86"/>
    <w:rsid w:val="00C27559"/>
    <w:rsid w:val="00C27F86"/>
    <w:rsid w:val="00C30643"/>
    <w:rsid w:val="00C3069C"/>
    <w:rsid w:val="00C30FE4"/>
    <w:rsid w:val="00C31C4B"/>
    <w:rsid w:val="00C31F3B"/>
    <w:rsid w:val="00C32B8C"/>
    <w:rsid w:val="00C33417"/>
    <w:rsid w:val="00C33975"/>
    <w:rsid w:val="00C35666"/>
    <w:rsid w:val="00C36ACA"/>
    <w:rsid w:val="00C36BB9"/>
    <w:rsid w:val="00C401FF"/>
    <w:rsid w:val="00C427B7"/>
    <w:rsid w:val="00C42E48"/>
    <w:rsid w:val="00C4385A"/>
    <w:rsid w:val="00C43B39"/>
    <w:rsid w:val="00C43BF6"/>
    <w:rsid w:val="00C44530"/>
    <w:rsid w:val="00C44FE6"/>
    <w:rsid w:val="00C45558"/>
    <w:rsid w:val="00C460B8"/>
    <w:rsid w:val="00C4684F"/>
    <w:rsid w:val="00C4704E"/>
    <w:rsid w:val="00C47F56"/>
    <w:rsid w:val="00C50BA3"/>
    <w:rsid w:val="00C51D18"/>
    <w:rsid w:val="00C53313"/>
    <w:rsid w:val="00C53BB7"/>
    <w:rsid w:val="00C558D7"/>
    <w:rsid w:val="00C55DF9"/>
    <w:rsid w:val="00C55F5A"/>
    <w:rsid w:val="00C569B9"/>
    <w:rsid w:val="00C5732C"/>
    <w:rsid w:val="00C60A3B"/>
    <w:rsid w:val="00C6128B"/>
    <w:rsid w:val="00C61D59"/>
    <w:rsid w:val="00C62997"/>
    <w:rsid w:val="00C64B3F"/>
    <w:rsid w:val="00C64F96"/>
    <w:rsid w:val="00C65DC5"/>
    <w:rsid w:val="00C662E9"/>
    <w:rsid w:val="00C66B13"/>
    <w:rsid w:val="00C66E4B"/>
    <w:rsid w:val="00C70C7B"/>
    <w:rsid w:val="00C70EAC"/>
    <w:rsid w:val="00C70FDB"/>
    <w:rsid w:val="00C735D1"/>
    <w:rsid w:val="00C750D4"/>
    <w:rsid w:val="00C766CC"/>
    <w:rsid w:val="00C77CA0"/>
    <w:rsid w:val="00C8013E"/>
    <w:rsid w:val="00C82B40"/>
    <w:rsid w:val="00C82DB5"/>
    <w:rsid w:val="00C836DD"/>
    <w:rsid w:val="00C838DE"/>
    <w:rsid w:val="00C83C12"/>
    <w:rsid w:val="00C856F2"/>
    <w:rsid w:val="00C85937"/>
    <w:rsid w:val="00C85BA0"/>
    <w:rsid w:val="00C85EDB"/>
    <w:rsid w:val="00C865A5"/>
    <w:rsid w:val="00C86E5E"/>
    <w:rsid w:val="00C901EB"/>
    <w:rsid w:val="00C907A1"/>
    <w:rsid w:val="00C91A33"/>
    <w:rsid w:val="00C921BB"/>
    <w:rsid w:val="00C9253C"/>
    <w:rsid w:val="00C92898"/>
    <w:rsid w:val="00C9332D"/>
    <w:rsid w:val="00C9398D"/>
    <w:rsid w:val="00C93E72"/>
    <w:rsid w:val="00C94B97"/>
    <w:rsid w:val="00C9513C"/>
    <w:rsid w:val="00C955A7"/>
    <w:rsid w:val="00C95D08"/>
    <w:rsid w:val="00C963B0"/>
    <w:rsid w:val="00C96C5C"/>
    <w:rsid w:val="00CA0B86"/>
    <w:rsid w:val="00CA10F0"/>
    <w:rsid w:val="00CA1B72"/>
    <w:rsid w:val="00CA1B87"/>
    <w:rsid w:val="00CA2F23"/>
    <w:rsid w:val="00CA3EE5"/>
    <w:rsid w:val="00CA4340"/>
    <w:rsid w:val="00CA5181"/>
    <w:rsid w:val="00CA52ED"/>
    <w:rsid w:val="00CA5D4B"/>
    <w:rsid w:val="00CA6453"/>
    <w:rsid w:val="00CA6D04"/>
    <w:rsid w:val="00CA7E75"/>
    <w:rsid w:val="00CB076E"/>
    <w:rsid w:val="00CB0ACA"/>
    <w:rsid w:val="00CB1F7D"/>
    <w:rsid w:val="00CB3F2D"/>
    <w:rsid w:val="00CB65EA"/>
    <w:rsid w:val="00CB688E"/>
    <w:rsid w:val="00CB6B7D"/>
    <w:rsid w:val="00CB794A"/>
    <w:rsid w:val="00CC235E"/>
    <w:rsid w:val="00CC2799"/>
    <w:rsid w:val="00CC29E4"/>
    <w:rsid w:val="00CC3580"/>
    <w:rsid w:val="00CC38D4"/>
    <w:rsid w:val="00CC412E"/>
    <w:rsid w:val="00CC5919"/>
    <w:rsid w:val="00CC6585"/>
    <w:rsid w:val="00CC6D99"/>
    <w:rsid w:val="00CC793B"/>
    <w:rsid w:val="00CD0B50"/>
    <w:rsid w:val="00CD2D02"/>
    <w:rsid w:val="00CD3666"/>
    <w:rsid w:val="00CD4635"/>
    <w:rsid w:val="00CD4D57"/>
    <w:rsid w:val="00CD54A2"/>
    <w:rsid w:val="00CD5AFF"/>
    <w:rsid w:val="00CD7D14"/>
    <w:rsid w:val="00CE0AE9"/>
    <w:rsid w:val="00CE1967"/>
    <w:rsid w:val="00CE3D2F"/>
    <w:rsid w:val="00CE4535"/>
    <w:rsid w:val="00CE4DD1"/>
    <w:rsid w:val="00CE50E7"/>
    <w:rsid w:val="00CE5238"/>
    <w:rsid w:val="00CE5447"/>
    <w:rsid w:val="00CE5A7C"/>
    <w:rsid w:val="00CE5BCB"/>
    <w:rsid w:val="00CE6393"/>
    <w:rsid w:val="00CE6CC0"/>
    <w:rsid w:val="00CE7086"/>
    <w:rsid w:val="00CE7087"/>
    <w:rsid w:val="00CE7514"/>
    <w:rsid w:val="00CE7BDD"/>
    <w:rsid w:val="00CE7E09"/>
    <w:rsid w:val="00CF077A"/>
    <w:rsid w:val="00CF0FDA"/>
    <w:rsid w:val="00CF2318"/>
    <w:rsid w:val="00CF2C66"/>
    <w:rsid w:val="00CF328F"/>
    <w:rsid w:val="00CF3FA7"/>
    <w:rsid w:val="00CF6DC8"/>
    <w:rsid w:val="00CF7586"/>
    <w:rsid w:val="00D0002D"/>
    <w:rsid w:val="00D00581"/>
    <w:rsid w:val="00D04184"/>
    <w:rsid w:val="00D052C0"/>
    <w:rsid w:val="00D05CCB"/>
    <w:rsid w:val="00D05F8E"/>
    <w:rsid w:val="00D07B1B"/>
    <w:rsid w:val="00D10000"/>
    <w:rsid w:val="00D1061F"/>
    <w:rsid w:val="00D1064D"/>
    <w:rsid w:val="00D10B96"/>
    <w:rsid w:val="00D10F3D"/>
    <w:rsid w:val="00D11E3D"/>
    <w:rsid w:val="00D12185"/>
    <w:rsid w:val="00D12FD1"/>
    <w:rsid w:val="00D12FE7"/>
    <w:rsid w:val="00D135FD"/>
    <w:rsid w:val="00D150BC"/>
    <w:rsid w:val="00D15BC0"/>
    <w:rsid w:val="00D205AC"/>
    <w:rsid w:val="00D209E4"/>
    <w:rsid w:val="00D22860"/>
    <w:rsid w:val="00D228FA"/>
    <w:rsid w:val="00D22DE6"/>
    <w:rsid w:val="00D23100"/>
    <w:rsid w:val="00D23336"/>
    <w:rsid w:val="00D2394F"/>
    <w:rsid w:val="00D24683"/>
    <w:rsid w:val="00D248DE"/>
    <w:rsid w:val="00D252EE"/>
    <w:rsid w:val="00D25B0B"/>
    <w:rsid w:val="00D268F3"/>
    <w:rsid w:val="00D27982"/>
    <w:rsid w:val="00D27A86"/>
    <w:rsid w:val="00D30112"/>
    <w:rsid w:val="00D315FD"/>
    <w:rsid w:val="00D31F43"/>
    <w:rsid w:val="00D328DB"/>
    <w:rsid w:val="00D33982"/>
    <w:rsid w:val="00D33F2D"/>
    <w:rsid w:val="00D34DD1"/>
    <w:rsid w:val="00D35758"/>
    <w:rsid w:val="00D37313"/>
    <w:rsid w:val="00D408C2"/>
    <w:rsid w:val="00D40E6A"/>
    <w:rsid w:val="00D41B93"/>
    <w:rsid w:val="00D41F27"/>
    <w:rsid w:val="00D4212A"/>
    <w:rsid w:val="00D428A6"/>
    <w:rsid w:val="00D43095"/>
    <w:rsid w:val="00D4635F"/>
    <w:rsid w:val="00D47CA0"/>
    <w:rsid w:val="00D50774"/>
    <w:rsid w:val="00D50844"/>
    <w:rsid w:val="00D51101"/>
    <w:rsid w:val="00D5338E"/>
    <w:rsid w:val="00D546A5"/>
    <w:rsid w:val="00D54874"/>
    <w:rsid w:val="00D56923"/>
    <w:rsid w:val="00D57B4E"/>
    <w:rsid w:val="00D605F1"/>
    <w:rsid w:val="00D60898"/>
    <w:rsid w:val="00D609B2"/>
    <w:rsid w:val="00D61241"/>
    <w:rsid w:val="00D614B9"/>
    <w:rsid w:val="00D61576"/>
    <w:rsid w:val="00D61645"/>
    <w:rsid w:val="00D61B01"/>
    <w:rsid w:val="00D63C01"/>
    <w:rsid w:val="00D64015"/>
    <w:rsid w:val="00D64114"/>
    <w:rsid w:val="00D64D06"/>
    <w:rsid w:val="00D65EF9"/>
    <w:rsid w:val="00D66DCC"/>
    <w:rsid w:val="00D66E98"/>
    <w:rsid w:val="00D67963"/>
    <w:rsid w:val="00D67E04"/>
    <w:rsid w:val="00D67FF8"/>
    <w:rsid w:val="00D70200"/>
    <w:rsid w:val="00D71CFE"/>
    <w:rsid w:val="00D739C5"/>
    <w:rsid w:val="00D74A90"/>
    <w:rsid w:val="00D75375"/>
    <w:rsid w:val="00D76376"/>
    <w:rsid w:val="00D76D49"/>
    <w:rsid w:val="00D7704A"/>
    <w:rsid w:val="00D81867"/>
    <w:rsid w:val="00D81F5F"/>
    <w:rsid w:val="00D827B3"/>
    <w:rsid w:val="00D83C20"/>
    <w:rsid w:val="00D83E4B"/>
    <w:rsid w:val="00D85249"/>
    <w:rsid w:val="00D853A8"/>
    <w:rsid w:val="00D8542D"/>
    <w:rsid w:val="00D865DC"/>
    <w:rsid w:val="00D87140"/>
    <w:rsid w:val="00D876D3"/>
    <w:rsid w:val="00D87BCB"/>
    <w:rsid w:val="00D87CA3"/>
    <w:rsid w:val="00D87EFB"/>
    <w:rsid w:val="00D9005F"/>
    <w:rsid w:val="00D90747"/>
    <w:rsid w:val="00D90807"/>
    <w:rsid w:val="00D90BD3"/>
    <w:rsid w:val="00D90F02"/>
    <w:rsid w:val="00D923F9"/>
    <w:rsid w:val="00D9242B"/>
    <w:rsid w:val="00D93538"/>
    <w:rsid w:val="00D94052"/>
    <w:rsid w:val="00D94848"/>
    <w:rsid w:val="00D95117"/>
    <w:rsid w:val="00D9640D"/>
    <w:rsid w:val="00D96A7D"/>
    <w:rsid w:val="00D96B46"/>
    <w:rsid w:val="00D97763"/>
    <w:rsid w:val="00D97888"/>
    <w:rsid w:val="00D97CE0"/>
    <w:rsid w:val="00DA1177"/>
    <w:rsid w:val="00DA19C5"/>
    <w:rsid w:val="00DA3BD5"/>
    <w:rsid w:val="00DA4493"/>
    <w:rsid w:val="00DA54AA"/>
    <w:rsid w:val="00DA7026"/>
    <w:rsid w:val="00DA710A"/>
    <w:rsid w:val="00DA73D8"/>
    <w:rsid w:val="00DB27FE"/>
    <w:rsid w:val="00DB2BF1"/>
    <w:rsid w:val="00DB2F5E"/>
    <w:rsid w:val="00DB3005"/>
    <w:rsid w:val="00DB36AE"/>
    <w:rsid w:val="00DB373D"/>
    <w:rsid w:val="00DB387A"/>
    <w:rsid w:val="00DB3C77"/>
    <w:rsid w:val="00DB3D06"/>
    <w:rsid w:val="00DB7266"/>
    <w:rsid w:val="00DB7AF3"/>
    <w:rsid w:val="00DC03A0"/>
    <w:rsid w:val="00DC156E"/>
    <w:rsid w:val="00DC16DC"/>
    <w:rsid w:val="00DC1A0A"/>
    <w:rsid w:val="00DC1AE7"/>
    <w:rsid w:val="00DC1E30"/>
    <w:rsid w:val="00DC1EB1"/>
    <w:rsid w:val="00DC4437"/>
    <w:rsid w:val="00DC4888"/>
    <w:rsid w:val="00DC4C89"/>
    <w:rsid w:val="00DC4DE8"/>
    <w:rsid w:val="00DC588B"/>
    <w:rsid w:val="00DC5F55"/>
    <w:rsid w:val="00DC6A71"/>
    <w:rsid w:val="00DC704F"/>
    <w:rsid w:val="00DC7530"/>
    <w:rsid w:val="00DC76AA"/>
    <w:rsid w:val="00DC7810"/>
    <w:rsid w:val="00DD0017"/>
    <w:rsid w:val="00DD0B00"/>
    <w:rsid w:val="00DD0D74"/>
    <w:rsid w:val="00DD14E4"/>
    <w:rsid w:val="00DD323E"/>
    <w:rsid w:val="00DD345B"/>
    <w:rsid w:val="00DD53D2"/>
    <w:rsid w:val="00DD6679"/>
    <w:rsid w:val="00DD6B3D"/>
    <w:rsid w:val="00DD6C62"/>
    <w:rsid w:val="00DD7A6A"/>
    <w:rsid w:val="00DE3755"/>
    <w:rsid w:val="00DE431C"/>
    <w:rsid w:val="00DE4759"/>
    <w:rsid w:val="00DE49AE"/>
    <w:rsid w:val="00DE65B4"/>
    <w:rsid w:val="00DE6BF1"/>
    <w:rsid w:val="00DE6E33"/>
    <w:rsid w:val="00DE7839"/>
    <w:rsid w:val="00DE7CBB"/>
    <w:rsid w:val="00DE7FCC"/>
    <w:rsid w:val="00DF0701"/>
    <w:rsid w:val="00DF22CC"/>
    <w:rsid w:val="00DF23F7"/>
    <w:rsid w:val="00DF2500"/>
    <w:rsid w:val="00DF31E3"/>
    <w:rsid w:val="00DF4D5D"/>
    <w:rsid w:val="00DF4DFD"/>
    <w:rsid w:val="00DF5256"/>
    <w:rsid w:val="00DF5CF1"/>
    <w:rsid w:val="00DF6381"/>
    <w:rsid w:val="00DF69EC"/>
    <w:rsid w:val="00DF6EB7"/>
    <w:rsid w:val="00DF7BCD"/>
    <w:rsid w:val="00E00A0D"/>
    <w:rsid w:val="00E0357D"/>
    <w:rsid w:val="00E046D9"/>
    <w:rsid w:val="00E05CD4"/>
    <w:rsid w:val="00E06C9C"/>
    <w:rsid w:val="00E06CA0"/>
    <w:rsid w:val="00E10BA0"/>
    <w:rsid w:val="00E13EF0"/>
    <w:rsid w:val="00E1404E"/>
    <w:rsid w:val="00E1406A"/>
    <w:rsid w:val="00E16347"/>
    <w:rsid w:val="00E16CD0"/>
    <w:rsid w:val="00E1737F"/>
    <w:rsid w:val="00E17462"/>
    <w:rsid w:val="00E20B92"/>
    <w:rsid w:val="00E20BF2"/>
    <w:rsid w:val="00E215F7"/>
    <w:rsid w:val="00E23711"/>
    <w:rsid w:val="00E2394A"/>
    <w:rsid w:val="00E239F1"/>
    <w:rsid w:val="00E24E90"/>
    <w:rsid w:val="00E25693"/>
    <w:rsid w:val="00E2592D"/>
    <w:rsid w:val="00E25B39"/>
    <w:rsid w:val="00E30075"/>
    <w:rsid w:val="00E3118A"/>
    <w:rsid w:val="00E316EB"/>
    <w:rsid w:val="00E322CB"/>
    <w:rsid w:val="00E328C2"/>
    <w:rsid w:val="00E34076"/>
    <w:rsid w:val="00E364C1"/>
    <w:rsid w:val="00E379A9"/>
    <w:rsid w:val="00E37C99"/>
    <w:rsid w:val="00E4141B"/>
    <w:rsid w:val="00E4217E"/>
    <w:rsid w:val="00E423F3"/>
    <w:rsid w:val="00E42F18"/>
    <w:rsid w:val="00E437EA"/>
    <w:rsid w:val="00E45E6B"/>
    <w:rsid w:val="00E45EFC"/>
    <w:rsid w:val="00E467B5"/>
    <w:rsid w:val="00E46B21"/>
    <w:rsid w:val="00E470C6"/>
    <w:rsid w:val="00E50378"/>
    <w:rsid w:val="00E52248"/>
    <w:rsid w:val="00E534CF"/>
    <w:rsid w:val="00E53976"/>
    <w:rsid w:val="00E5600E"/>
    <w:rsid w:val="00E601B5"/>
    <w:rsid w:val="00E610BA"/>
    <w:rsid w:val="00E615A3"/>
    <w:rsid w:val="00E6341B"/>
    <w:rsid w:val="00E638D9"/>
    <w:rsid w:val="00E648BE"/>
    <w:rsid w:val="00E6548A"/>
    <w:rsid w:val="00E65DB1"/>
    <w:rsid w:val="00E66428"/>
    <w:rsid w:val="00E66587"/>
    <w:rsid w:val="00E66925"/>
    <w:rsid w:val="00E67F69"/>
    <w:rsid w:val="00E70BE2"/>
    <w:rsid w:val="00E719E4"/>
    <w:rsid w:val="00E72AE7"/>
    <w:rsid w:val="00E72E19"/>
    <w:rsid w:val="00E74B2E"/>
    <w:rsid w:val="00E75582"/>
    <w:rsid w:val="00E769A2"/>
    <w:rsid w:val="00E76D53"/>
    <w:rsid w:val="00E807A7"/>
    <w:rsid w:val="00E80C47"/>
    <w:rsid w:val="00E80C9D"/>
    <w:rsid w:val="00E81AEE"/>
    <w:rsid w:val="00E81BA4"/>
    <w:rsid w:val="00E82100"/>
    <w:rsid w:val="00E82FD0"/>
    <w:rsid w:val="00E84347"/>
    <w:rsid w:val="00E843DD"/>
    <w:rsid w:val="00E850D6"/>
    <w:rsid w:val="00E86280"/>
    <w:rsid w:val="00E86A6F"/>
    <w:rsid w:val="00E86C88"/>
    <w:rsid w:val="00E91302"/>
    <w:rsid w:val="00E9201F"/>
    <w:rsid w:val="00E920BF"/>
    <w:rsid w:val="00E939E9"/>
    <w:rsid w:val="00E95138"/>
    <w:rsid w:val="00E95675"/>
    <w:rsid w:val="00E96B16"/>
    <w:rsid w:val="00E96C82"/>
    <w:rsid w:val="00E97B4F"/>
    <w:rsid w:val="00EA200C"/>
    <w:rsid w:val="00EA2363"/>
    <w:rsid w:val="00EA3717"/>
    <w:rsid w:val="00EA43AD"/>
    <w:rsid w:val="00EA6256"/>
    <w:rsid w:val="00EA6CC8"/>
    <w:rsid w:val="00EA7758"/>
    <w:rsid w:val="00EA78F0"/>
    <w:rsid w:val="00EB072F"/>
    <w:rsid w:val="00EB1003"/>
    <w:rsid w:val="00EB1933"/>
    <w:rsid w:val="00EB1EBB"/>
    <w:rsid w:val="00EB36F4"/>
    <w:rsid w:val="00EB39A2"/>
    <w:rsid w:val="00EB3C93"/>
    <w:rsid w:val="00EB4180"/>
    <w:rsid w:val="00EB4745"/>
    <w:rsid w:val="00EB515A"/>
    <w:rsid w:val="00EB5474"/>
    <w:rsid w:val="00EB5E5A"/>
    <w:rsid w:val="00EB7C4B"/>
    <w:rsid w:val="00EC25FF"/>
    <w:rsid w:val="00EC2788"/>
    <w:rsid w:val="00EC321C"/>
    <w:rsid w:val="00EC35B6"/>
    <w:rsid w:val="00EC4C76"/>
    <w:rsid w:val="00ED1C3E"/>
    <w:rsid w:val="00ED2ED4"/>
    <w:rsid w:val="00ED36BF"/>
    <w:rsid w:val="00ED459C"/>
    <w:rsid w:val="00ED4642"/>
    <w:rsid w:val="00ED48B9"/>
    <w:rsid w:val="00ED49AF"/>
    <w:rsid w:val="00ED5CDC"/>
    <w:rsid w:val="00ED6166"/>
    <w:rsid w:val="00ED66D3"/>
    <w:rsid w:val="00EE0217"/>
    <w:rsid w:val="00EE0B69"/>
    <w:rsid w:val="00EE1968"/>
    <w:rsid w:val="00EE2284"/>
    <w:rsid w:val="00EE3BE0"/>
    <w:rsid w:val="00EE3DCC"/>
    <w:rsid w:val="00EE425F"/>
    <w:rsid w:val="00EE5333"/>
    <w:rsid w:val="00EE6396"/>
    <w:rsid w:val="00EE6EF5"/>
    <w:rsid w:val="00EE7C55"/>
    <w:rsid w:val="00EF0961"/>
    <w:rsid w:val="00EF105C"/>
    <w:rsid w:val="00EF228E"/>
    <w:rsid w:val="00EF3ADD"/>
    <w:rsid w:val="00EF3EA1"/>
    <w:rsid w:val="00EF437A"/>
    <w:rsid w:val="00EF5CE5"/>
    <w:rsid w:val="00EF6133"/>
    <w:rsid w:val="00EF6273"/>
    <w:rsid w:val="00EF6809"/>
    <w:rsid w:val="00EF6CB1"/>
    <w:rsid w:val="00EF74F6"/>
    <w:rsid w:val="00F01BF9"/>
    <w:rsid w:val="00F03379"/>
    <w:rsid w:val="00F034D8"/>
    <w:rsid w:val="00F0505F"/>
    <w:rsid w:val="00F05765"/>
    <w:rsid w:val="00F05B3C"/>
    <w:rsid w:val="00F06057"/>
    <w:rsid w:val="00F06557"/>
    <w:rsid w:val="00F06D4B"/>
    <w:rsid w:val="00F11A6A"/>
    <w:rsid w:val="00F132CE"/>
    <w:rsid w:val="00F14308"/>
    <w:rsid w:val="00F143F8"/>
    <w:rsid w:val="00F169CA"/>
    <w:rsid w:val="00F17385"/>
    <w:rsid w:val="00F20933"/>
    <w:rsid w:val="00F21A95"/>
    <w:rsid w:val="00F2229D"/>
    <w:rsid w:val="00F22591"/>
    <w:rsid w:val="00F23ABD"/>
    <w:rsid w:val="00F240BB"/>
    <w:rsid w:val="00F249E8"/>
    <w:rsid w:val="00F24E56"/>
    <w:rsid w:val="00F2515B"/>
    <w:rsid w:val="00F251B9"/>
    <w:rsid w:val="00F2566F"/>
    <w:rsid w:val="00F259F3"/>
    <w:rsid w:val="00F25D3A"/>
    <w:rsid w:val="00F26C5B"/>
    <w:rsid w:val="00F270CB"/>
    <w:rsid w:val="00F274C7"/>
    <w:rsid w:val="00F27967"/>
    <w:rsid w:val="00F3033C"/>
    <w:rsid w:val="00F30347"/>
    <w:rsid w:val="00F3237E"/>
    <w:rsid w:val="00F335A9"/>
    <w:rsid w:val="00F35458"/>
    <w:rsid w:val="00F36798"/>
    <w:rsid w:val="00F3698B"/>
    <w:rsid w:val="00F36F1F"/>
    <w:rsid w:val="00F40722"/>
    <w:rsid w:val="00F429C4"/>
    <w:rsid w:val="00F42E93"/>
    <w:rsid w:val="00F430AD"/>
    <w:rsid w:val="00F436C3"/>
    <w:rsid w:val="00F43CF8"/>
    <w:rsid w:val="00F45241"/>
    <w:rsid w:val="00F45D2C"/>
    <w:rsid w:val="00F46190"/>
    <w:rsid w:val="00F46AE0"/>
    <w:rsid w:val="00F47732"/>
    <w:rsid w:val="00F47BB7"/>
    <w:rsid w:val="00F5265D"/>
    <w:rsid w:val="00F54110"/>
    <w:rsid w:val="00F54C16"/>
    <w:rsid w:val="00F569E6"/>
    <w:rsid w:val="00F57FED"/>
    <w:rsid w:val="00F60412"/>
    <w:rsid w:val="00F624B0"/>
    <w:rsid w:val="00F63866"/>
    <w:rsid w:val="00F6418D"/>
    <w:rsid w:val="00F6457F"/>
    <w:rsid w:val="00F64EA3"/>
    <w:rsid w:val="00F665C1"/>
    <w:rsid w:val="00F66A17"/>
    <w:rsid w:val="00F66E79"/>
    <w:rsid w:val="00F70330"/>
    <w:rsid w:val="00F705E9"/>
    <w:rsid w:val="00F711B5"/>
    <w:rsid w:val="00F71424"/>
    <w:rsid w:val="00F73D28"/>
    <w:rsid w:val="00F749B7"/>
    <w:rsid w:val="00F74CF8"/>
    <w:rsid w:val="00F753A3"/>
    <w:rsid w:val="00F755E6"/>
    <w:rsid w:val="00F75D8E"/>
    <w:rsid w:val="00F76687"/>
    <w:rsid w:val="00F76970"/>
    <w:rsid w:val="00F76ECD"/>
    <w:rsid w:val="00F77EFC"/>
    <w:rsid w:val="00F8021A"/>
    <w:rsid w:val="00F810A8"/>
    <w:rsid w:val="00F810E6"/>
    <w:rsid w:val="00F81D76"/>
    <w:rsid w:val="00F842E3"/>
    <w:rsid w:val="00F84B6B"/>
    <w:rsid w:val="00F856F7"/>
    <w:rsid w:val="00F85836"/>
    <w:rsid w:val="00F877EF"/>
    <w:rsid w:val="00F922A3"/>
    <w:rsid w:val="00F93FE4"/>
    <w:rsid w:val="00F94A47"/>
    <w:rsid w:val="00F97D89"/>
    <w:rsid w:val="00FA0D10"/>
    <w:rsid w:val="00FA1FCB"/>
    <w:rsid w:val="00FA2487"/>
    <w:rsid w:val="00FA31F0"/>
    <w:rsid w:val="00FA3277"/>
    <w:rsid w:val="00FA37FA"/>
    <w:rsid w:val="00FA4764"/>
    <w:rsid w:val="00FA755B"/>
    <w:rsid w:val="00FA7965"/>
    <w:rsid w:val="00FA7CEA"/>
    <w:rsid w:val="00FB10D2"/>
    <w:rsid w:val="00FB1439"/>
    <w:rsid w:val="00FB1B5C"/>
    <w:rsid w:val="00FB1C10"/>
    <w:rsid w:val="00FB21C6"/>
    <w:rsid w:val="00FB22B3"/>
    <w:rsid w:val="00FB2AAC"/>
    <w:rsid w:val="00FB2C2C"/>
    <w:rsid w:val="00FB3468"/>
    <w:rsid w:val="00FB4136"/>
    <w:rsid w:val="00FB420E"/>
    <w:rsid w:val="00FB49AB"/>
    <w:rsid w:val="00FB4DD3"/>
    <w:rsid w:val="00FB4FB3"/>
    <w:rsid w:val="00FB5065"/>
    <w:rsid w:val="00FB7902"/>
    <w:rsid w:val="00FC09F9"/>
    <w:rsid w:val="00FC1115"/>
    <w:rsid w:val="00FC1699"/>
    <w:rsid w:val="00FC3EA4"/>
    <w:rsid w:val="00FC7014"/>
    <w:rsid w:val="00FC72E8"/>
    <w:rsid w:val="00FC7B78"/>
    <w:rsid w:val="00FD0FF2"/>
    <w:rsid w:val="00FD1812"/>
    <w:rsid w:val="00FD19EE"/>
    <w:rsid w:val="00FD1CE8"/>
    <w:rsid w:val="00FD2424"/>
    <w:rsid w:val="00FD2915"/>
    <w:rsid w:val="00FD35DE"/>
    <w:rsid w:val="00FD38D6"/>
    <w:rsid w:val="00FD3D06"/>
    <w:rsid w:val="00FD3E50"/>
    <w:rsid w:val="00FD4815"/>
    <w:rsid w:val="00FD4CD6"/>
    <w:rsid w:val="00FD5F1F"/>
    <w:rsid w:val="00FD5FB0"/>
    <w:rsid w:val="00FD659F"/>
    <w:rsid w:val="00FD71CC"/>
    <w:rsid w:val="00FE0488"/>
    <w:rsid w:val="00FE08F8"/>
    <w:rsid w:val="00FE0F83"/>
    <w:rsid w:val="00FE21ED"/>
    <w:rsid w:val="00FE2A20"/>
    <w:rsid w:val="00FE3714"/>
    <w:rsid w:val="00FE5425"/>
    <w:rsid w:val="00FE5F65"/>
    <w:rsid w:val="00FF1D9B"/>
    <w:rsid w:val="00FF2A25"/>
    <w:rsid w:val="00FF3D49"/>
    <w:rsid w:val="00FF4F34"/>
    <w:rsid w:val="00FF5D97"/>
    <w:rsid w:val="00FF68BC"/>
    <w:rsid w:val="00FF729F"/>
    <w:rsid w:val="00FF7361"/>
    <w:rsid w:val="00FF755E"/>
    <w:rsid w:val="00FF75B1"/>
    <w:rsid w:val="00FF782C"/>
    <w:rsid w:val="00FF7B1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5:docId w15:val="{DBFE3A54-5558-4A3B-BABC-2CE469E33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94674"/>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0266FA"/>
    <w:pPr>
      <w:numPr>
        <w:numId w:val="18"/>
      </w:numPr>
      <w:spacing w:before="240" w:after="60"/>
      <w:jc w:val="both"/>
      <w:outlineLvl w:val="0"/>
    </w:pPr>
    <w:rPr>
      <w:bCs/>
      <w:kern w:val="32"/>
      <w:szCs w:val="20"/>
    </w:rPr>
  </w:style>
  <w:style w:type="paragraph" w:styleId="Naslov2">
    <w:name w:val="heading 2"/>
    <w:basedOn w:val="Navaden"/>
    <w:next w:val="Navaden"/>
    <w:link w:val="Naslov2Znak"/>
    <w:qFormat/>
    <w:rsid w:val="0017599A"/>
    <w:pPr>
      <w:keepNext/>
      <w:spacing w:before="240" w:after="60"/>
      <w:outlineLvl w:val="1"/>
    </w:pPr>
    <w:rPr>
      <w:rFonts w:ascii="Cambria" w:hAnsi="Cambria"/>
      <w:b/>
      <w:bCs/>
      <w:i/>
      <w:iCs/>
      <w:sz w:val="28"/>
      <w:szCs w:val="28"/>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rPr>
      <w:lang w:val="en-US"/>
    </w:r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link w:val="Naslov2"/>
    <w:rsid w:val="0017599A"/>
    <w:rPr>
      <w:rFonts w:ascii="Cambria" w:hAnsi="Cambria"/>
      <w:b/>
      <w:bCs/>
      <w:i/>
      <w:iCs/>
      <w:sz w:val="28"/>
      <w:szCs w:val="28"/>
      <w:lang w:val="en-US" w:eastAsia="en-US"/>
    </w:rPr>
  </w:style>
  <w:style w:type="paragraph" w:customStyle="1" w:styleId="Naslovpredpisa">
    <w:name w:val="Naslov_predpisa"/>
    <w:basedOn w:val="Navaden"/>
    <w:link w:val="NaslovpredpisaZnak"/>
    <w:qFormat/>
    <w:rsid w:val="0017599A"/>
    <w:pPr>
      <w:suppressAutoHyphens/>
      <w:overflowPunct w:val="0"/>
      <w:autoSpaceDE w:val="0"/>
      <w:autoSpaceDN w:val="0"/>
      <w:adjustRightInd w:val="0"/>
      <w:spacing w:before="120" w:after="160" w:line="200" w:lineRule="exact"/>
      <w:jc w:val="center"/>
      <w:textAlignment w:val="baseline"/>
    </w:pPr>
    <w:rPr>
      <w:b/>
      <w:sz w:val="22"/>
      <w:szCs w:val="20"/>
    </w:rPr>
  </w:style>
  <w:style w:type="character" w:customStyle="1" w:styleId="NaslovpredpisaZnak">
    <w:name w:val="Naslov_predpisa Znak"/>
    <w:link w:val="Naslovpredpisa"/>
    <w:locked/>
    <w:rsid w:val="0017599A"/>
    <w:rPr>
      <w:rFonts w:ascii="Arial" w:hAnsi="Arial"/>
      <w:b/>
      <w:sz w:val="22"/>
    </w:rPr>
  </w:style>
  <w:style w:type="paragraph" w:customStyle="1" w:styleId="Oddelek">
    <w:name w:val="Oddelek"/>
    <w:basedOn w:val="Navaden"/>
    <w:link w:val="OddelekZnak1"/>
    <w:qFormat/>
    <w:rsid w:val="0017599A"/>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sid w:val="0017599A"/>
    <w:rPr>
      <w:rFonts w:ascii="Arial" w:hAnsi="Arial"/>
      <w:b/>
      <w:sz w:val="22"/>
      <w:lang w:eastAsia="en-US"/>
    </w:rPr>
  </w:style>
  <w:style w:type="paragraph" w:styleId="Brezrazmikov">
    <w:name w:val="No Spacing"/>
    <w:link w:val="BrezrazmikovZnak"/>
    <w:uiPriority w:val="1"/>
    <w:qFormat/>
    <w:rsid w:val="0017599A"/>
    <w:rPr>
      <w:rFonts w:ascii="Arial" w:hAnsi="Arial"/>
      <w:szCs w:val="24"/>
      <w:lang w:val="en-US" w:eastAsia="en-US"/>
    </w:rPr>
  </w:style>
  <w:style w:type="paragraph" w:customStyle="1" w:styleId="Neotevilenodstavek">
    <w:name w:val="Neoštevilčen odstavek"/>
    <w:basedOn w:val="Navaden"/>
    <w:link w:val="NeotevilenodstavekZnak"/>
    <w:qFormat/>
    <w:rsid w:val="0017599A"/>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17599A"/>
    <w:rPr>
      <w:rFonts w:ascii="Arial" w:hAnsi="Arial"/>
      <w:sz w:val="22"/>
    </w:rPr>
  </w:style>
  <w:style w:type="character" w:customStyle="1" w:styleId="GlavaZnak">
    <w:name w:val="Glava Znak"/>
    <w:link w:val="Glava"/>
    <w:locked/>
    <w:rsid w:val="0017599A"/>
    <w:rPr>
      <w:rFonts w:ascii="Arial" w:hAnsi="Arial"/>
      <w:szCs w:val="24"/>
      <w:lang w:val="en-US" w:eastAsia="en-US"/>
    </w:rPr>
  </w:style>
  <w:style w:type="paragraph" w:styleId="Telobesedila-zamik2">
    <w:name w:val="Body Text Indent 2"/>
    <w:basedOn w:val="Navaden"/>
    <w:link w:val="Telobesedila-zamik2Znak"/>
    <w:uiPriority w:val="99"/>
    <w:rsid w:val="0017599A"/>
    <w:pPr>
      <w:spacing w:after="120" w:line="480" w:lineRule="auto"/>
      <w:ind w:left="283"/>
    </w:pPr>
    <w:rPr>
      <w:lang w:val="en-US"/>
    </w:rPr>
  </w:style>
  <w:style w:type="character" w:customStyle="1" w:styleId="Telobesedila-zamik2Znak">
    <w:name w:val="Telo besedila - zamik 2 Znak"/>
    <w:link w:val="Telobesedila-zamik2"/>
    <w:uiPriority w:val="99"/>
    <w:rsid w:val="0017599A"/>
    <w:rPr>
      <w:rFonts w:ascii="Arial" w:hAnsi="Arial"/>
      <w:szCs w:val="24"/>
      <w:lang w:val="en-US" w:eastAsia="en-US"/>
    </w:rPr>
  </w:style>
  <w:style w:type="character" w:customStyle="1" w:styleId="st">
    <w:name w:val="st"/>
    <w:rsid w:val="0017599A"/>
  </w:style>
  <w:style w:type="paragraph" w:styleId="Besedilooblaka">
    <w:name w:val="Balloon Text"/>
    <w:basedOn w:val="Navaden"/>
    <w:link w:val="BesedilooblakaZnak"/>
    <w:uiPriority w:val="99"/>
    <w:rsid w:val="009B75AD"/>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9B75AD"/>
    <w:rPr>
      <w:rFonts w:ascii="Tahoma" w:hAnsi="Tahoma" w:cs="Tahoma"/>
      <w:sz w:val="16"/>
      <w:szCs w:val="16"/>
      <w:lang w:val="en-US" w:eastAsia="en-US"/>
    </w:rPr>
  </w:style>
  <w:style w:type="character" w:customStyle="1" w:styleId="Bodytext">
    <w:name w:val="Body text_"/>
    <w:link w:val="BodyText2"/>
    <w:rsid w:val="00C51D18"/>
    <w:rPr>
      <w:rFonts w:ascii="Arial" w:eastAsia="Arial" w:hAnsi="Arial" w:cs="Arial"/>
      <w:sz w:val="18"/>
      <w:szCs w:val="18"/>
      <w:shd w:val="clear" w:color="auto" w:fill="FFFFFF"/>
    </w:rPr>
  </w:style>
  <w:style w:type="character" w:customStyle="1" w:styleId="Heading1">
    <w:name w:val="Heading #1_"/>
    <w:link w:val="Heading10"/>
    <w:rsid w:val="00C51D18"/>
    <w:rPr>
      <w:rFonts w:ascii="Arial" w:eastAsia="Arial" w:hAnsi="Arial" w:cs="Arial"/>
      <w:sz w:val="19"/>
      <w:szCs w:val="19"/>
      <w:shd w:val="clear" w:color="auto" w:fill="FFFFFF"/>
    </w:rPr>
  </w:style>
  <w:style w:type="paragraph" w:customStyle="1" w:styleId="BodyText2">
    <w:name w:val="Body Text2"/>
    <w:basedOn w:val="Navaden"/>
    <w:link w:val="Bodytext"/>
    <w:rsid w:val="00C51D18"/>
    <w:pPr>
      <w:shd w:val="clear" w:color="auto" w:fill="FFFFFF"/>
      <w:spacing w:line="259" w:lineRule="exact"/>
      <w:jc w:val="both"/>
    </w:pPr>
    <w:rPr>
      <w:rFonts w:eastAsia="Arial"/>
      <w:sz w:val="18"/>
      <w:szCs w:val="18"/>
    </w:rPr>
  </w:style>
  <w:style w:type="paragraph" w:customStyle="1" w:styleId="Heading10">
    <w:name w:val="Heading #1"/>
    <w:basedOn w:val="Navaden"/>
    <w:link w:val="Heading1"/>
    <w:rsid w:val="00C51D18"/>
    <w:pPr>
      <w:shd w:val="clear" w:color="auto" w:fill="FFFFFF"/>
      <w:spacing w:before="240" w:line="259" w:lineRule="exact"/>
      <w:jc w:val="both"/>
      <w:outlineLvl w:val="0"/>
    </w:pPr>
    <w:rPr>
      <w:rFonts w:eastAsia="Arial"/>
      <w:sz w:val="19"/>
      <w:szCs w:val="19"/>
    </w:rPr>
  </w:style>
  <w:style w:type="paragraph" w:styleId="Odstavekseznama">
    <w:name w:val="List Paragraph"/>
    <w:aliases w:val="numbered list"/>
    <w:basedOn w:val="Navaden"/>
    <w:link w:val="OdstavekseznamaZnak"/>
    <w:uiPriority w:val="1"/>
    <w:qFormat/>
    <w:rsid w:val="009E1BA8"/>
    <w:pPr>
      <w:ind w:left="720"/>
      <w:contextualSpacing/>
    </w:pPr>
  </w:style>
  <w:style w:type="character" w:styleId="Pripombasklic">
    <w:name w:val="annotation reference"/>
    <w:uiPriority w:val="99"/>
    <w:unhideWhenUsed/>
    <w:rsid w:val="00016506"/>
    <w:rPr>
      <w:sz w:val="16"/>
      <w:szCs w:val="16"/>
    </w:rPr>
  </w:style>
  <w:style w:type="paragraph" w:styleId="Pripombabesedilo">
    <w:name w:val="annotation text"/>
    <w:basedOn w:val="Navaden"/>
    <w:link w:val="PripombabesediloZnak"/>
    <w:uiPriority w:val="99"/>
    <w:unhideWhenUsed/>
    <w:rsid w:val="00016506"/>
    <w:rPr>
      <w:szCs w:val="20"/>
      <w:lang w:val="en-US"/>
    </w:rPr>
  </w:style>
  <w:style w:type="character" w:customStyle="1" w:styleId="PripombabesediloZnak">
    <w:name w:val="Pripomba – besedilo Znak"/>
    <w:link w:val="Pripombabesedilo"/>
    <w:rsid w:val="00016506"/>
    <w:rPr>
      <w:rFonts w:ascii="Arial" w:hAnsi="Arial"/>
      <w:lang w:val="en-US" w:eastAsia="en-US"/>
    </w:rPr>
  </w:style>
  <w:style w:type="character" w:customStyle="1" w:styleId="shorttext">
    <w:name w:val="short_text"/>
    <w:rsid w:val="00482410"/>
  </w:style>
  <w:style w:type="character" w:styleId="Krepko">
    <w:name w:val="Strong"/>
    <w:uiPriority w:val="22"/>
    <w:qFormat/>
    <w:rsid w:val="001A60E5"/>
    <w:rPr>
      <w:b/>
      <w:bCs/>
    </w:rPr>
  </w:style>
  <w:style w:type="character" w:customStyle="1" w:styleId="BodyText1">
    <w:name w:val="Body Text1"/>
    <w:rsid w:val="00C5732C"/>
    <w:rPr>
      <w:rFonts w:ascii="Arial" w:eastAsia="Arial" w:hAnsi="Arial" w:cs="Arial"/>
      <w:b w:val="0"/>
      <w:bCs w:val="0"/>
      <w:i w:val="0"/>
      <w:iCs w:val="0"/>
      <w:smallCaps w:val="0"/>
      <w:strike w:val="0"/>
      <w:spacing w:val="0"/>
      <w:sz w:val="18"/>
      <w:szCs w:val="18"/>
      <w:u w:val="single"/>
      <w:shd w:val="clear" w:color="auto" w:fill="FFFFFF"/>
    </w:rPr>
  </w:style>
  <w:style w:type="paragraph" w:customStyle="1" w:styleId="BodyText3">
    <w:name w:val="Body Text3"/>
    <w:basedOn w:val="Navaden"/>
    <w:rsid w:val="00C5732C"/>
    <w:pPr>
      <w:shd w:val="clear" w:color="auto" w:fill="FFFFFF"/>
      <w:spacing w:after="720" w:line="259" w:lineRule="exact"/>
    </w:pPr>
    <w:rPr>
      <w:rFonts w:eastAsia="Arial" w:cs="Arial"/>
      <w:color w:val="000000"/>
      <w:sz w:val="18"/>
      <w:szCs w:val="18"/>
      <w:lang w:eastAsia="sl-SI"/>
    </w:rPr>
  </w:style>
  <w:style w:type="paragraph" w:customStyle="1" w:styleId="BodyText4">
    <w:name w:val="Body Text4"/>
    <w:basedOn w:val="Navaden"/>
    <w:rsid w:val="004042E9"/>
    <w:pPr>
      <w:shd w:val="clear" w:color="auto" w:fill="FFFFFF"/>
      <w:spacing w:before="480" w:after="180" w:line="252" w:lineRule="exact"/>
      <w:jc w:val="both"/>
    </w:pPr>
    <w:rPr>
      <w:rFonts w:ascii="Arial Unicode MS" w:eastAsia="Arial Unicode MS" w:hAnsi="Arial Unicode MS" w:cs="Arial Unicode MS"/>
      <w:color w:val="000000"/>
      <w:sz w:val="21"/>
      <w:szCs w:val="21"/>
      <w:lang w:eastAsia="sl-SI"/>
    </w:rPr>
  </w:style>
  <w:style w:type="character" w:styleId="Poudarek">
    <w:name w:val="Emphasis"/>
    <w:uiPriority w:val="20"/>
    <w:qFormat/>
    <w:rsid w:val="00050C2E"/>
    <w:rPr>
      <w:b/>
      <w:bCs/>
      <w:i w:val="0"/>
      <w:iCs w:val="0"/>
    </w:rPr>
  </w:style>
  <w:style w:type="character" w:customStyle="1" w:styleId="st1">
    <w:name w:val="st1"/>
    <w:rsid w:val="00050C2E"/>
  </w:style>
  <w:style w:type="character" w:customStyle="1" w:styleId="Bodytext5">
    <w:name w:val="Body text (5)_"/>
    <w:link w:val="Bodytext50"/>
    <w:rsid w:val="00A049A9"/>
    <w:rPr>
      <w:sz w:val="17"/>
      <w:szCs w:val="17"/>
      <w:shd w:val="clear" w:color="auto" w:fill="FFFFFF"/>
    </w:rPr>
  </w:style>
  <w:style w:type="paragraph" w:customStyle="1" w:styleId="Bodytext50">
    <w:name w:val="Body text (5)"/>
    <w:basedOn w:val="Navaden"/>
    <w:link w:val="Bodytext5"/>
    <w:rsid w:val="00A049A9"/>
    <w:pPr>
      <w:shd w:val="clear" w:color="auto" w:fill="FFFFFF"/>
      <w:spacing w:after="180" w:line="259" w:lineRule="exact"/>
      <w:ind w:hanging="700"/>
      <w:jc w:val="both"/>
    </w:pPr>
    <w:rPr>
      <w:rFonts w:ascii="Times New Roman" w:hAnsi="Times New Roman"/>
      <w:sz w:val="17"/>
      <w:szCs w:val="17"/>
    </w:rPr>
  </w:style>
  <w:style w:type="character" w:customStyle="1" w:styleId="Footnote2">
    <w:name w:val="Footnote (2)_"/>
    <w:link w:val="Footnote20"/>
    <w:rsid w:val="00A049A9"/>
    <w:rPr>
      <w:shd w:val="clear" w:color="auto" w:fill="FFFFFF"/>
    </w:rPr>
  </w:style>
  <w:style w:type="character" w:customStyle="1" w:styleId="Footnote3">
    <w:name w:val="Footnote (3)_"/>
    <w:link w:val="Footnote30"/>
    <w:rsid w:val="00A049A9"/>
    <w:rPr>
      <w:shd w:val="clear" w:color="auto" w:fill="FFFFFF"/>
    </w:rPr>
  </w:style>
  <w:style w:type="character" w:customStyle="1" w:styleId="Footnote385ptNotBoldItalic">
    <w:name w:val="Footnote (3) + 8;5 pt;Not Bold;Italic"/>
    <w:rsid w:val="00A049A9"/>
    <w:rPr>
      <w:b/>
      <w:bCs/>
      <w:i/>
      <w:iCs/>
      <w:smallCaps w:val="0"/>
      <w:strike w:val="0"/>
      <w:spacing w:val="0"/>
      <w:sz w:val="17"/>
      <w:szCs w:val="17"/>
    </w:rPr>
  </w:style>
  <w:style w:type="paragraph" w:customStyle="1" w:styleId="Footnote20">
    <w:name w:val="Footnote (2)"/>
    <w:basedOn w:val="Navaden"/>
    <w:link w:val="Footnote2"/>
    <w:rsid w:val="00A049A9"/>
    <w:pPr>
      <w:shd w:val="clear" w:color="auto" w:fill="FFFFFF"/>
      <w:spacing w:line="278" w:lineRule="exact"/>
      <w:jc w:val="both"/>
    </w:pPr>
    <w:rPr>
      <w:rFonts w:ascii="Times New Roman" w:hAnsi="Times New Roman"/>
      <w:szCs w:val="20"/>
    </w:rPr>
  </w:style>
  <w:style w:type="paragraph" w:customStyle="1" w:styleId="Footnote30">
    <w:name w:val="Footnote (3)"/>
    <w:basedOn w:val="Navaden"/>
    <w:link w:val="Footnote3"/>
    <w:rsid w:val="00A049A9"/>
    <w:pPr>
      <w:shd w:val="clear" w:color="auto" w:fill="FFFFFF"/>
      <w:spacing w:line="278" w:lineRule="exact"/>
      <w:jc w:val="both"/>
    </w:pPr>
    <w:rPr>
      <w:rFonts w:ascii="Times New Roman" w:hAnsi="Times New Roman"/>
      <w:szCs w:val="20"/>
    </w:rPr>
  </w:style>
  <w:style w:type="paragraph" w:styleId="Navadensplet">
    <w:name w:val="Normal (Web)"/>
    <w:basedOn w:val="Navaden"/>
    <w:uiPriority w:val="99"/>
    <w:unhideWhenUsed/>
    <w:rsid w:val="009E6427"/>
    <w:pPr>
      <w:spacing w:before="100" w:beforeAutospacing="1" w:after="100" w:afterAutospacing="1" w:line="240" w:lineRule="auto"/>
    </w:pPr>
    <w:rPr>
      <w:rFonts w:ascii="Times New Roman" w:hAnsi="Times New Roman"/>
      <w:sz w:val="24"/>
      <w:lang w:eastAsia="sl-SI"/>
    </w:rPr>
  </w:style>
  <w:style w:type="paragraph" w:customStyle="1" w:styleId="text-justify1">
    <w:name w:val="text-justify1"/>
    <w:basedOn w:val="Navaden"/>
    <w:rsid w:val="00E638D9"/>
    <w:pPr>
      <w:spacing w:line="240" w:lineRule="auto"/>
      <w:jc w:val="both"/>
    </w:pPr>
    <w:rPr>
      <w:rFonts w:ascii="Times New Roman" w:hAnsi="Times New Roman"/>
      <w:sz w:val="24"/>
      <w:lang w:eastAsia="sl-SI"/>
    </w:rPr>
  </w:style>
  <w:style w:type="character" w:customStyle="1" w:styleId="Nerazreenaomemba1">
    <w:name w:val="Nerazrešena omemba1"/>
    <w:uiPriority w:val="99"/>
    <w:semiHidden/>
    <w:unhideWhenUsed/>
    <w:rsid w:val="00E638D9"/>
    <w:rPr>
      <w:color w:val="605E5C"/>
      <w:shd w:val="clear" w:color="auto" w:fill="E1DFDD"/>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unhideWhenUsed/>
    <w:rsid w:val="00A4469D"/>
    <w:pPr>
      <w:spacing w:line="240" w:lineRule="auto"/>
      <w:jc w:val="both"/>
    </w:pPr>
    <w:rPr>
      <w:rFonts w:ascii="Times New Roman" w:hAnsi="Times New Roman"/>
      <w:szCs w:val="20"/>
      <w:lang w:eastAsia="zh-CN"/>
    </w:r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link w:val="Sprotnaopomba-besedilo"/>
    <w:uiPriority w:val="99"/>
    <w:rsid w:val="00A4469D"/>
    <w:rPr>
      <w:lang w:eastAsia="zh-CN"/>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unhideWhenUsed/>
    <w:qFormat/>
    <w:rsid w:val="00A4469D"/>
    <w:rPr>
      <w:vertAlign w:val="superscript"/>
    </w:rPr>
  </w:style>
  <w:style w:type="paragraph" w:customStyle="1" w:styleId="Brezrazmikov1">
    <w:name w:val="Brez razmikov1"/>
    <w:uiPriority w:val="1"/>
    <w:qFormat/>
    <w:rsid w:val="00A4469D"/>
    <w:rPr>
      <w:rFonts w:ascii="Trebuchet MS" w:eastAsia="Calibri" w:hAnsi="Trebuchet MS"/>
      <w:szCs w:val="22"/>
      <w:lang w:eastAsia="en-US"/>
    </w:rPr>
  </w:style>
  <w:style w:type="paragraph" w:customStyle="1" w:styleId="Zadevakomentarja1">
    <w:name w:val="Zadeva komentarja1"/>
    <w:basedOn w:val="Pripombabesedilo"/>
    <w:next w:val="Pripombabesedilo"/>
    <w:link w:val="ZadevakomentarjaZnak"/>
    <w:rsid w:val="00C93E72"/>
    <w:rPr>
      <w:b/>
      <w:bCs/>
    </w:rPr>
  </w:style>
  <w:style w:type="character" w:customStyle="1" w:styleId="ZadevakomentarjaZnak">
    <w:name w:val="Zadeva komentarja Znak"/>
    <w:link w:val="Zadevakomentarja1"/>
    <w:rsid w:val="00C93E72"/>
    <w:rPr>
      <w:rFonts w:ascii="Arial" w:hAnsi="Arial"/>
      <w:b/>
      <w:bCs/>
      <w:lang w:val="en-US" w:eastAsia="en-US"/>
    </w:rPr>
  </w:style>
  <w:style w:type="character" w:customStyle="1" w:styleId="Nerazreenaomemba11">
    <w:name w:val="Nerazrešena omemba11"/>
    <w:uiPriority w:val="99"/>
    <w:semiHidden/>
    <w:unhideWhenUsed/>
    <w:rsid w:val="009B24A6"/>
    <w:rPr>
      <w:color w:val="605E5C"/>
      <w:shd w:val="clear" w:color="auto" w:fill="E1DFDD"/>
    </w:rPr>
  </w:style>
  <w:style w:type="character" w:customStyle="1" w:styleId="ZadevapripombeZnak">
    <w:name w:val="Zadeva pripombe Znak"/>
    <w:uiPriority w:val="99"/>
    <w:rsid w:val="009B24A6"/>
    <w:rPr>
      <w:rFonts w:ascii="Arial" w:hAnsi="Arial"/>
      <w:b/>
      <w:bCs/>
      <w:lang w:val="en-US" w:eastAsia="en-US"/>
    </w:rPr>
  </w:style>
  <w:style w:type="paragraph" w:styleId="Revizija">
    <w:name w:val="Revision"/>
    <w:hidden/>
    <w:uiPriority w:val="99"/>
    <w:semiHidden/>
    <w:rsid w:val="009B24A6"/>
    <w:rPr>
      <w:rFonts w:ascii="Arial" w:hAnsi="Arial"/>
      <w:szCs w:val="24"/>
      <w:lang w:eastAsia="en-US"/>
    </w:rPr>
  </w:style>
  <w:style w:type="character" w:styleId="SledenaHiperpovezava">
    <w:name w:val="FollowedHyperlink"/>
    <w:uiPriority w:val="99"/>
    <w:rsid w:val="009B24A6"/>
    <w:rPr>
      <w:color w:val="954F72"/>
      <w:u w:val="single"/>
    </w:rPr>
  </w:style>
  <w:style w:type="character" w:customStyle="1" w:styleId="Naslov1Znak">
    <w:name w:val="Naslov 1 Znak"/>
    <w:aliases w:val="NASLOV Znak"/>
    <w:link w:val="Naslov1"/>
    <w:uiPriority w:val="9"/>
    <w:rsid w:val="000266FA"/>
    <w:rPr>
      <w:rFonts w:ascii="Arial" w:hAnsi="Arial"/>
      <w:bCs/>
      <w:kern w:val="32"/>
      <w:lang w:eastAsia="en-US"/>
    </w:rPr>
  </w:style>
  <w:style w:type="paragraph" w:customStyle="1" w:styleId="Odstavek">
    <w:name w:val="Odstavek"/>
    <w:basedOn w:val="Navaden"/>
    <w:link w:val="OdstavekZnak"/>
    <w:qFormat/>
    <w:rsid w:val="00794674"/>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94674"/>
    <w:rPr>
      <w:rFonts w:ascii="Arial" w:hAnsi="Arial"/>
      <w:sz w:val="22"/>
      <w:szCs w:val="22"/>
    </w:rPr>
  </w:style>
  <w:style w:type="character" w:customStyle="1" w:styleId="OdstavekseznamaZnak">
    <w:name w:val="Odstavek seznama Znak"/>
    <w:aliases w:val="numbered list Znak"/>
    <w:link w:val="Odstavekseznama"/>
    <w:uiPriority w:val="1"/>
    <w:qFormat/>
    <w:locked/>
    <w:rsid w:val="00794674"/>
    <w:rPr>
      <w:rFonts w:ascii="Arial" w:hAnsi="Arial"/>
      <w:szCs w:val="24"/>
      <w:lang w:eastAsia="en-US"/>
    </w:rPr>
  </w:style>
  <w:style w:type="character" w:customStyle="1" w:styleId="BrezrazmikovZnak">
    <w:name w:val="Brez razmikov Znak"/>
    <w:link w:val="Brezrazmikov"/>
    <w:uiPriority w:val="1"/>
    <w:rsid w:val="00794674"/>
    <w:rPr>
      <w:rFonts w:ascii="Arial" w:hAnsi="Arial"/>
      <w:szCs w:val="24"/>
      <w:lang w:val="en-US" w:eastAsia="en-US" w:bidi="ar-SA"/>
    </w:rPr>
  </w:style>
  <w:style w:type="paragraph" w:customStyle="1" w:styleId="Default">
    <w:name w:val="Default"/>
    <w:rsid w:val="00794674"/>
    <w:pPr>
      <w:autoSpaceDE w:val="0"/>
      <w:autoSpaceDN w:val="0"/>
      <w:adjustRightInd w:val="0"/>
    </w:pPr>
    <w:rPr>
      <w:rFonts w:ascii="Arial" w:eastAsia="Calibri" w:hAnsi="Arial" w:cs="Arial"/>
      <w:color w:val="000000"/>
      <w:sz w:val="24"/>
      <w:szCs w:val="24"/>
      <w:lang w:eastAsia="en-US"/>
    </w:rPr>
  </w:style>
  <w:style w:type="paragraph" w:styleId="Zadevapripombe">
    <w:name w:val="annotation subject"/>
    <w:basedOn w:val="Pripombabesedilo"/>
    <w:next w:val="Pripombabesedilo"/>
    <w:link w:val="ZadevapripombeZnak1"/>
    <w:uiPriority w:val="99"/>
    <w:rsid w:val="00EF105C"/>
    <w:pPr>
      <w:spacing w:line="240" w:lineRule="auto"/>
    </w:pPr>
    <w:rPr>
      <w:b/>
      <w:bCs/>
      <w:lang w:val="sl-SI"/>
    </w:rPr>
  </w:style>
  <w:style w:type="character" w:customStyle="1" w:styleId="ZadevapripombeZnak1">
    <w:name w:val="Zadeva pripombe Znak1"/>
    <w:basedOn w:val="PripombabesediloZnak"/>
    <w:link w:val="Zadevapripombe"/>
    <w:rsid w:val="00EF105C"/>
    <w:rPr>
      <w:rFonts w:ascii="Arial" w:hAnsi="Arial"/>
      <w:b/>
      <w:bCs/>
      <w:lang w:val="en-US" w:eastAsia="en-US"/>
    </w:rPr>
  </w:style>
  <w:style w:type="paragraph" w:customStyle="1" w:styleId="Vrstapredpisa">
    <w:name w:val="Vrsta predpisa"/>
    <w:basedOn w:val="Navaden"/>
    <w:link w:val="VrstapredpisaZnak"/>
    <w:qFormat/>
    <w:rsid w:val="00621206"/>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621206"/>
    <w:rPr>
      <w:rFonts w:ascii="Arial" w:hAnsi="Arial" w:cs="Arial"/>
      <w:b/>
      <w:bCs/>
      <w:color w:val="000000"/>
      <w:spacing w:val="40"/>
      <w:sz w:val="22"/>
      <w:szCs w:val="22"/>
    </w:rPr>
  </w:style>
  <w:style w:type="paragraph" w:customStyle="1" w:styleId="len">
    <w:name w:val="Člen"/>
    <w:basedOn w:val="Navaden"/>
    <w:link w:val="lenZnak"/>
    <w:qFormat/>
    <w:rsid w:val="00621206"/>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621206"/>
    <w:rPr>
      <w:rFonts w:ascii="Arial" w:hAnsi="Arial"/>
      <w:b/>
      <w:sz w:val="22"/>
      <w:szCs w:val="22"/>
    </w:rPr>
  </w:style>
  <w:style w:type="paragraph" w:customStyle="1" w:styleId="lennaslov">
    <w:name w:val="Člen_naslov"/>
    <w:basedOn w:val="len"/>
    <w:qFormat/>
    <w:rsid w:val="00621206"/>
    <w:pPr>
      <w:spacing w:before="0"/>
    </w:pPr>
  </w:style>
  <w:style w:type="paragraph" w:customStyle="1" w:styleId="tevilnatoka111">
    <w:name w:val="Številčna točka 1.1.1"/>
    <w:basedOn w:val="Navaden"/>
    <w:qFormat/>
    <w:rsid w:val="00621206"/>
    <w:pPr>
      <w:widowControl w:val="0"/>
      <w:numPr>
        <w:ilvl w:val="2"/>
        <w:numId w:val="15"/>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uiPriority w:val="99"/>
    <w:qFormat/>
    <w:rsid w:val="00621206"/>
    <w:pPr>
      <w:numPr>
        <w:numId w:val="15"/>
      </w:numPr>
      <w:spacing w:line="240" w:lineRule="auto"/>
      <w:jc w:val="both"/>
    </w:pPr>
    <w:rPr>
      <w:sz w:val="22"/>
      <w:szCs w:val="22"/>
    </w:rPr>
  </w:style>
  <w:style w:type="character" w:customStyle="1" w:styleId="tevilnatokaZnak">
    <w:name w:val="Številčna točka Znak"/>
    <w:link w:val="tevilnatoka"/>
    <w:uiPriority w:val="99"/>
    <w:rsid w:val="00621206"/>
    <w:rPr>
      <w:rFonts w:ascii="Arial" w:hAnsi="Arial"/>
      <w:sz w:val="22"/>
      <w:szCs w:val="22"/>
      <w:lang w:eastAsia="en-US"/>
    </w:rPr>
  </w:style>
  <w:style w:type="paragraph" w:customStyle="1" w:styleId="tevilnatoka11Nova">
    <w:name w:val="Številčna točka 1.1 Nova"/>
    <w:basedOn w:val="tevilnatoka"/>
    <w:qFormat/>
    <w:rsid w:val="00621206"/>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621206"/>
    <w:pPr>
      <w:numPr>
        <w:numId w:val="14"/>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621206"/>
    <w:rPr>
      <w:rFonts w:ascii="Arial" w:hAnsi="Arial" w:cs="Arial"/>
      <w:sz w:val="22"/>
      <w:szCs w:val="22"/>
    </w:rPr>
  </w:style>
  <w:style w:type="paragraph" w:customStyle="1" w:styleId="odstavek0">
    <w:name w:val="odstavek"/>
    <w:basedOn w:val="Navaden"/>
    <w:rsid w:val="00621206"/>
    <w:pPr>
      <w:spacing w:before="100" w:beforeAutospacing="1" w:after="100" w:afterAutospacing="1" w:line="240" w:lineRule="auto"/>
    </w:pPr>
    <w:rPr>
      <w:rFonts w:ascii="Times New Roman" w:hAnsi="Times New Roman"/>
      <w:sz w:val="24"/>
      <w:lang w:eastAsia="sl-SI"/>
    </w:rPr>
  </w:style>
  <w:style w:type="paragraph" w:customStyle="1" w:styleId="Telobesedila1">
    <w:name w:val="Telo besedila1"/>
    <w:basedOn w:val="Navaden"/>
    <w:rsid w:val="00A6018E"/>
    <w:pPr>
      <w:shd w:val="clear" w:color="auto" w:fill="FFFFFF"/>
      <w:spacing w:before="300" w:after="1560" w:line="0" w:lineRule="atLeast"/>
      <w:jc w:val="both"/>
    </w:pPr>
    <w:rPr>
      <w:rFonts w:eastAsia="Arial" w:cs="Arial"/>
      <w:color w:val="000000"/>
      <w:sz w:val="18"/>
      <w:szCs w:val="18"/>
      <w:lang w:eastAsia="sl-SI"/>
    </w:rPr>
  </w:style>
  <w:style w:type="paragraph" w:customStyle="1" w:styleId="Brezrazmikov2">
    <w:name w:val="Brez razmikov2"/>
    <w:uiPriority w:val="1"/>
    <w:qFormat/>
    <w:rsid w:val="00260A88"/>
    <w:rPr>
      <w:rFonts w:ascii="Trebuchet MS" w:eastAsia="Calibri" w:hAnsi="Trebuchet MS"/>
      <w:szCs w:val="22"/>
      <w:lang w:eastAsia="en-US"/>
    </w:rPr>
  </w:style>
  <w:style w:type="paragraph" w:customStyle="1" w:styleId="len0">
    <w:name w:val="len"/>
    <w:basedOn w:val="Navaden"/>
    <w:rsid w:val="00D052C0"/>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D052C0"/>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D052C0"/>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8B2C64"/>
    <w:rPr>
      <w:color w:val="605E5C"/>
      <w:shd w:val="clear" w:color="auto" w:fill="E1DFDD"/>
    </w:rPr>
  </w:style>
  <w:style w:type="paragraph" w:styleId="Telobesedila">
    <w:name w:val="Body Text"/>
    <w:basedOn w:val="Navaden"/>
    <w:link w:val="TelobesedilaZnak"/>
    <w:uiPriority w:val="1"/>
    <w:qFormat/>
    <w:rsid w:val="000258C6"/>
    <w:pPr>
      <w:spacing w:after="120"/>
    </w:pPr>
  </w:style>
  <w:style w:type="character" w:customStyle="1" w:styleId="TelobesedilaZnak">
    <w:name w:val="Telo besedila Znak"/>
    <w:basedOn w:val="Privzetapisavaodstavka"/>
    <w:link w:val="Telobesedila"/>
    <w:uiPriority w:val="1"/>
    <w:rsid w:val="000258C6"/>
    <w:rPr>
      <w:rFonts w:ascii="Arial" w:hAnsi="Arial"/>
      <w:szCs w:val="24"/>
      <w:lang w:eastAsia="en-US"/>
    </w:rPr>
  </w:style>
  <w:style w:type="paragraph" w:customStyle="1" w:styleId="Pododdelek">
    <w:name w:val="Pododdelek"/>
    <w:basedOn w:val="Navaden"/>
    <w:link w:val="PododdelekZnak"/>
    <w:qFormat/>
    <w:rsid w:val="000258C6"/>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0258C6"/>
    <w:rPr>
      <w:rFonts w:ascii="Arial" w:hAnsi="Arial"/>
      <w:sz w:val="22"/>
      <w:szCs w:val="22"/>
    </w:rPr>
  </w:style>
  <w:style w:type="paragraph" w:customStyle="1" w:styleId="tevilnatoka1">
    <w:name w:val="tevilnatoka1"/>
    <w:basedOn w:val="Navaden"/>
    <w:rsid w:val="000258C6"/>
    <w:pPr>
      <w:spacing w:line="240" w:lineRule="auto"/>
      <w:ind w:left="425" w:hanging="425"/>
      <w:jc w:val="both"/>
    </w:pPr>
    <w:rPr>
      <w:rFonts w:cs="Arial"/>
      <w:sz w:val="22"/>
      <w:szCs w:val="22"/>
      <w:lang w:eastAsia="sl-SI"/>
    </w:rPr>
  </w:style>
  <w:style w:type="paragraph" w:customStyle="1" w:styleId="len1">
    <w:name w:val="len1"/>
    <w:basedOn w:val="Navaden"/>
    <w:rsid w:val="000258C6"/>
    <w:pPr>
      <w:spacing w:before="480" w:line="240" w:lineRule="auto"/>
      <w:jc w:val="center"/>
    </w:pPr>
    <w:rPr>
      <w:rFonts w:cs="Arial"/>
      <w:b/>
      <w:bCs/>
      <w:sz w:val="22"/>
      <w:szCs w:val="22"/>
      <w:lang w:eastAsia="sl-SI"/>
    </w:rPr>
  </w:style>
  <w:style w:type="paragraph" w:customStyle="1" w:styleId="odstavek1">
    <w:name w:val="odstavek1"/>
    <w:basedOn w:val="Navaden"/>
    <w:rsid w:val="000258C6"/>
    <w:pPr>
      <w:spacing w:before="240" w:line="240" w:lineRule="auto"/>
      <w:ind w:firstLine="1021"/>
      <w:jc w:val="both"/>
    </w:pPr>
    <w:rPr>
      <w:rFonts w:cs="Arial"/>
      <w:sz w:val="22"/>
      <w:szCs w:val="22"/>
      <w:lang w:eastAsia="sl-SI"/>
    </w:rPr>
  </w:style>
  <w:style w:type="paragraph" w:customStyle="1" w:styleId="lennaslov1">
    <w:name w:val="lennaslov1"/>
    <w:basedOn w:val="Navaden"/>
    <w:rsid w:val="000258C6"/>
    <w:pPr>
      <w:spacing w:line="240" w:lineRule="auto"/>
      <w:jc w:val="center"/>
    </w:pPr>
    <w:rPr>
      <w:rFonts w:cs="Arial"/>
      <w:b/>
      <w:bCs/>
      <w:sz w:val="22"/>
      <w:szCs w:val="22"/>
      <w:lang w:eastAsia="sl-SI"/>
    </w:rPr>
  </w:style>
  <w:style w:type="character" w:customStyle="1" w:styleId="NogaZnak">
    <w:name w:val="Noga Znak"/>
    <w:basedOn w:val="Privzetapisavaodstavka"/>
    <w:link w:val="Noga"/>
    <w:uiPriority w:val="99"/>
    <w:rsid w:val="000258C6"/>
    <w:rPr>
      <w:rFonts w:ascii="Arial" w:hAnsi="Arial"/>
      <w:szCs w:val="24"/>
      <w:lang w:eastAsia="en-US"/>
    </w:rPr>
  </w:style>
  <w:style w:type="character" w:customStyle="1" w:styleId="oj-super">
    <w:name w:val="oj-super"/>
    <w:basedOn w:val="Privzetapisavaodstavka"/>
    <w:rsid w:val="000258C6"/>
    <w:rPr>
      <w:sz w:val="17"/>
      <w:szCs w:val="17"/>
      <w:vertAlign w:val="superscript"/>
    </w:rPr>
  </w:style>
  <w:style w:type="paragraph" w:customStyle="1" w:styleId="oj-normal1">
    <w:name w:val="oj-normal1"/>
    <w:basedOn w:val="Navaden"/>
    <w:rsid w:val="000258C6"/>
    <w:pPr>
      <w:spacing w:before="120" w:line="312" w:lineRule="atLeast"/>
      <w:jc w:val="both"/>
    </w:pPr>
    <w:rPr>
      <w:rFonts w:ascii="Times New Roman" w:hAnsi="Times New Roman"/>
      <w:sz w:val="24"/>
      <w:lang w:eastAsia="sl-SI"/>
    </w:rPr>
  </w:style>
  <w:style w:type="character" w:customStyle="1" w:styleId="UnresolvedMention1">
    <w:name w:val="Unresolved Mention1"/>
    <w:basedOn w:val="Privzetapisavaodstavka"/>
    <w:uiPriority w:val="99"/>
    <w:semiHidden/>
    <w:unhideWhenUsed/>
    <w:rsid w:val="000258C6"/>
    <w:rPr>
      <w:color w:val="605E5C"/>
      <w:shd w:val="clear" w:color="auto" w:fill="E1DFDD"/>
    </w:rPr>
  </w:style>
  <w:style w:type="paragraph" w:customStyle="1" w:styleId="msonormal0">
    <w:name w:val="msonormal"/>
    <w:basedOn w:val="Navaden"/>
    <w:rsid w:val="000258C6"/>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0258C6"/>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0258C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F44F3"/>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A93426"/>
    <w:rPr>
      <w:rFonts w:ascii="Segoe UI" w:hAnsi="Segoe UI" w:cs="Segoe UI" w:hint="default"/>
      <w:sz w:val="18"/>
      <w:szCs w:val="18"/>
    </w:rPr>
  </w:style>
  <w:style w:type="character" w:customStyle="1" w:styleId="cf11">
    <w:name w:val="cf11"/>
    <w:basedOn w:val="Privzetapisavaodstavka"/>
    <w:rsid w:val="00A93426"/>
    <w:rPr>
      <w:rFonts w:ascii="Segoe UI" w:hAnsi="Segoe UI" w:cs="Segoe UI" w:hint="default"/>
      <w:sz w:val="18"/>
      <w:szCs w:val="18"/>
    </w:rPr>
  </w:style>
  <w:style w:type="character" w:customStyle="1" w:styleId="Nerazreenaomemba3">
    <w:name w:val="Nerazrešena omemba3"/>
    <w:basedOn w:val="Privzetapisavaodstavka"/>
    <w:uiPriority w:val="99"/>
    <w:semiHidden/>
    <w:unhideWhenUsed/>
    <w:rsid w:val="003065CC"/>
    <w:rPr>
      <w:color w:val="605E5C"/>
      <w:shd w:val="clear" w:color="auto" w:fill="E1DFDD"/>
    </w:rPr>
  </w:style>
  <w:style w:type="paragraph" w:customStyle="1" w:styleId="zamik">
    <w:name w:val="zamik"/>
    <w:basedOn w:val="Navaden"/>
    <w:rsid w:val="00854B2B"/>
    <w:pPr>
      <w:spacing w:line="240" w:lineRule="auto"/>
      <w:ind w:firstLine="1021"/>
    </w:pPr>
    <w:rPr>
      <w:rFonts w:ascii="Times New Roman" w:hAnsi="Times New Roman"/>
      <w:sz w:val="24"/>
    </w:rPr>
  </w:style>
  <w:style w:type="paragraph" w:customStyle="1" w:styleId="mainText">
    <w:name w:val="mainText"/>
    <w:basedOn w:val="Navaden"/>
    <w:rsid w:val="00512760"/>
    <w:pPr>
      <w:spacing w:line="240" w:lineRule="auto"/>
    </w:pPr>
    <w:rPr>
      <w:rFonts w:ascii="Times New Roman" w:hAnsi="Times New Roman"/>
      <w:sz w:val="24"/>
      <w:lang w:val="en-US"/>
    </w:rPr>
  </w:style>
  <w:style w:type="paragraph" w:customStyle="1" w:styleId="textJustify">
    <w:name w:val="textJustify"/>
    <w:basedOn w:val="Navaden"/>
    <w:rsid w:val="00512760"/>
    <w:pPr>
      <w:spacing w:line="240" w:lineRule="auto"/>
      <w:jc w:val="both"/>
    </w:pPr>
    <w:rPr>
      <w:rFonts w:ascii="Times New Roman" w:hAnsi="Times New Roman"/>
      <w:sz w:val="24"/>
      <w:lang w:val="en-US"/>
    </w:rPr>
  </w:style>
  <w:style w:type="paragraph" w:customStyle="1" w:styleId="alineazaodstavkom1">
    <w:name w:val="alinea_za_odstavkom"/>
    <w:basedOn w:val="Navaden"/>
    <w:rsid w:val="00512760"/>
    <w:pPr>
      <w:spacing w:line="240" w:lineRule="auto"/>
      <w:ind w:hanging="425"/>
      <w:jc w:val="both"/>
    </w:pPr>
    <w:rPr>
      <w:rFonts w:ascii="Times New Roman" w:hAnsi="Times New Roman"/>
      <w:sz w:val="24"/>
      <w:lang w:val="en-US"/>
    </w:rPr>
  </w:style>
  <w:style w:type="paragraph" w:customStyle="1" w:styleId="center">
    <w:name w:val="center"/>
    <w:basedOn w:val="Navaden"/>
    <w:rsid w:val="00512760"/>
    <w:pPr>
      <w:spacing w:line="240" w:lineRule="auto"/>
      <w:jc w:val="center"/>
    </w:pPr>
    <w:rPr>
      <w:rFonts w:ascii="Times New Roman" w:hAnsi="Times New Roman"/>
      <w:sz w:val="24"/>
      <w:lang w:val="en-US"/>
    </w:rPr>
  </w:style>
  <w:style w:type="paragraph" w:customStyle="1" w:styleId="alineazastevilcnotocko">
    <w:name w:val="alinea_za_stevilcno_tocko"/>
    <w:basedOn w:val="Navaden"/>
    <w:rsid w:val="00512760"/>
    <w:pPr>
      <w:spacing w:line="240" w:lineRule="auto"/>
      <w:ind w:hanging="142"/>
      <w:jc w:val="both"/>
    </w:pPr>
    <w:rPr>
      <w:rFonts w:ascii="Times New Roman" w:hAnsi="Times New Roman"/>
      <w:sz w:val="24"/>
      <w:lang w:val="en-US"/>
    </w:rPr>
  </w:style>
  <w:style w:type="character" w:customStyle="1" w:styleId="Bodytext20">
    <w:name w:val="Body text|2_"/>
    <w:basedOn w:val="Privzetapisavaodstavka"/>
    <w:link w:val="Bodytext21"/>
    <w:uiPriority w:val="99"/>
    <w:locked/>
    <w:rsid w:val="00AE4950"/>
    <w:rPr>
      <w:rFonts w:ascii="Arial" w:hAnsi="Arial" w:cs="Arial"/>
      <w:color w:val="000000"/>
      <w:sz w:val="12"/>
      <w:szCs w:val="12"/>
    </w:rPr>
  </w:style>
  <w:style w:type="paragraph" w:customStyle="1" w:styleId="Bodytext21">
    <w:name w:val="Body text|2"/>
    <w:basedOn w:val="Navaden"/>
    <w:link w:val="Bodytext20"/>
    <w:uiPriority w:val="99"/>
    <w:rsid w:val="00AE4950"/>
    <w:pPr>
      <w:widowControl w:val="0"/>
      <w:spacing w:line="240" w:lineRule="auto"/>
    </w:pPr>
    <w:rPr>
      <w:rFonts w:cs="Arial"/>
      <w:color w:val="000000"/>
      <w:sz w:val="12"/>
      <w:szCs w:val="12"/>
      <w:lang w:eastAsia="sl-SI"/>
    </w:rPr>
  </w:style>
  <w:style w:type="character" w:customStyle="1" w:styleId="PripombabesediloZnak1">
    <w:name w:val="Pripomba – besedilo Znak1"/>
    <w:aliases w:val="Komentar - besedilo Znak"/>
    <w:basedOn w:val="Privzetapisavaodstavka"/>
    <w:uiPriority w:val="99"/>
    <w:rsid w:val="00C32B8C"/>
    <w:rPr>
      <w:rFonts w:ascii="Arial" w:eastAsia="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662076">
      <w:bodyDiv w:val="1"/>
      <w:marLeft w:val="0"/>
      <w:marRight w:val="0"/>
      <w:marTop w:val="0"/>
      <w:marBottom w:val="0"/>
      <w:divBdr>
        <w:top w:val="none" w:sz="0" w:space="0" w:color="auto"/>
        <w:left w:val="none" w:sz="0" w:space="0" w:color="auto"/>
        <w:bottom w:val="none" w:sz="0" w:space="0" w:color="auto"/>
        <w:right w:val="none" w:sz="0" w:space="0" w:color="auto"/>
      </w:divBdr>
      <w:divsChild>
        <w:div w:id="1550805500">
          <w:marLeft w:val="0"/>
          <w:marRight w:val="0"/>
          <w:marTop w:val="0"/>
          <w:marBottom w:val="0"/>
          <w:divBdr>
            <w:top w:val="none" w:sz="0" w:space="0" w:color="auto"/>
            <w:left w:val="none" w:sz="0" w:space="0" w:color="auto"/>
            <w:bottom w:val="none" w:sz="0" w:space="0" w:color="auto"/>
            <w:right w:val="none" w:sz="0" w:space="0" w:color="auto"/>
          </w:divBdr>
        </w:div>
      </w:divsChild>
    </w:div>
    <w:div w:id="36010991">
      <w:bodyDiv w:val="1"/>
      <w:marLeft w:val="0"/>
      <w:marRight w:val="0"/>
      <w:marTop w:val="0"/>
      <w:marBottom w:val="0"/>
      <w:divBdr>
        <w:top w:val="none" w:sz="0" w:space="0" w:color="auto"/>
        <w:left w:val="none" w:sz="0" w:space="0" w:color="auto"/>
        <w:bottom w:val="none" w:sz="0" w:space="0" w:color="auto"/>
        <w:right w:val="none" w:sz="0" w:space="0" w:color="auto"/>
      </w:divBdr>
    </w:div>
    <w:div w:id="81074583">
      <w:bodyDiv w:val="1"/>
      <w:marLeft w:val="0"/>
      <w:marRight w:val="0"/>
      <w:marTop w:val="0"/>
      <w:marBottom w:val="0"/>
      <w:divBdr>
        <w:top w:val="none" w:sz="0" w:space="0" w:color="auto"/>
        <w:left w:val="none" w:sz="0" w:space="0" w:color="auto"/>
        <w:bottom w:val="none" w:sz="0" w:space="0" w:color="auto"/>
        <w:right w:val="none" w:sz="0" w:space="0" w:color="auto"/>
      </w:divBdr>
    </w:div>
    <w:div w:id="148330294">
      <w:bodyDiv w:val="1"/>
      <w:marLeft w:val="0"/>
      <w:marRight w:val="0"/>
      <w:marTop w:val="0"/>
      <w:marBottom w:val="0"/>
      <w:divBdr>
        <w:top w:val="none" w:sz="0" w:space="0" w:color="auto"/>
        <w:left w:val="none" w:sz="0" w:space="0" w:color="auto"/>
        <w:bottom w:val="none" w:sz="0" w:space="0" w:color="auto"/>
        <w:right w:val="none" w:sz="0" w:space="0" w:color="auto"/>
      </w:divBdr>
    </w:div>
    <w:div w:id="152989193">
      <w:bodyDiv w:val="1"/>
      <w:marLeft w:val="0"/>
      <w:marRight w:val="0"/>
      <w:marTop w:val="0"/>
      <w:marBottom w:val="0"/>
      <w:divBdr>
        <w:top w:val="none" w:sz="0" w:space="0" w:color="auto"/>
        <w:left w:val="none" w:sz="0" w:space="0" w:color="auto"/>
        <w:bottom w:val="none" w:sz="0" w:space="0" w:color="auto"/>
        <w:right w:val="none" w:sz="0" w:space="0" w:color="auto"/>
      </w:divBdr>
    </w:div>
    <w:div w:id="167255954">
      <w:bodyDiv w:val="1"/>
      <w:marLeft w:val="0"/>
      <w:marRight w:val="0"/>
      <w:marTop w:val="0"/>
      <w:marBottom w:val="0"/>
      <w:divBdr>
        <w:top w:val="none" w:sz="0" w:space="0" w:color="auto"/>
        <w:left w:val="none" w:sz="0" w:space="0" w:color="auto"/>
        <w:bottom w:val="none" w:sz="0" w:space="0" w:color="auto"/>
        <w:right w:val="none" w:sz="0" w:space="0" w:color="auto"/>
      </w:divBdr>
    </w:div>
    <w:div w:id="206069543">
      <w:bodyDiv w:val="1"/>
      <w:marLeft w:val="0"/>
      <w:marRight w:val="0"/>
      <w:marTop w:val="0"/>
      <w:marBottom w:val="0"/>
      <w:divBdr>
        <w:top w:val="none" w:sz="0" w:space="0" w:color="auto"/>
        <w:left w:val="none" w:sz="0" w:space="0" w:color="auto"/>
        <w:bottom w:val="none" w:sz="0" w:space="0" w:color="auto"/>
        <w:right w:val="none" w:sz="0" w:space="0" w:color="auto"/>
      </w:divBdr>
    </w:div>
    <w:div w:id="229197102">
      <w:bodyDiv w:val="1"/>
      <w:marLeft w:val="0"/>
      <w:marRight w:val="0"/>
      <w:marTop w:val="0"/>
      <w:marBottom w:val="0"/>
      <w:divBdr>
        <w:top w:val="none" w:sz="0" w:space="0" w:color="auto"/>
        <w:left w:val="none" w:sz="0" w:space="0" w:color="auto"/>
        <w:bottom w:val="none" w:sz="0" w:space="0" w:color="auto"/>
        <w:right w:val="none" w:sz="0" w:space="0" w:color="auto"/>
      </w:divBdr>
      <w:divsChild>
        <w:div w:id="1229342305">
          <w:marLeft w:val="0"/>
          <w:marRight w:val="0"/>
          <w:marTop w:val="0"/>
          <w:marBottom w:val="0"/>
          <w:divBdr>
            <w:top w:val="none" w:sz="0" w:space="0" w:color="auto"/>
            <w:left w:val="none" w:sz="0" w:space="0" w:color="auto"/>
            <w:bottom w:val="none" w:sz="0" w:space="0" w:color="auto"/>
            <w:right w:val="none" w:sz="0" w:space="0" w:color="auto"/>
          </w:divBdr>
          <w:divsChild>
            <w:div w:id="115521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584064">
      <w:bodyDiv w:val="1"/>
      <w:marLeft w:val="0"/>
      <w:marRight w:val="0"/>
      <w:marTop w:val="0"/>
      <w:marBottom w:val="0"/>
      <w:divBdr>
        <w:top w:val="none" w:sz="0" w:space="0" w:color="auto"/>
        <w:left w:val="none" w:sz="0" w:space="0" w:color="auto"/>
        <w:bottom w:val="none" w:sz="0" w:space="0" w:color="auto"/>
        <w:right w:val="none" w:sz="0" w:space="0" w:color="auto"/>
      </w:divBdr>
      <w:divsChild>
        <w:div w:id="1975868853">
          <w:marLeft w:val="0"/>
          <w:marRight w:val="0"/>
          <w:marTop w:val="0"/>
          <w:marBottom w:val="0"/>
          <w:divBdr>
            <w:top w:val="none" w:sz="0" w:space="0" w:color="auto"/>
            <w:left w:val="none" w:sz="0" w:space="0" w:color="auto"/>
            <w:bottom w:val="none" w:sz="0" w:space="0" w:color="auto"/>
            <w:right w:val="none" w:sz="0" w:space="0" w:color="auto"/>
          </w:divBdr>
        </w:div>
      </w:divsChild>
    </w:div>
    <w:div w:id="361327352">
      <w:bodyDiv w:val="1"/>
      <w:marLeft w:val="0"/>
      <w:marRight w:val="0"/>
      <w:marTop w:val="0"/>
      <w:marBottom w:val="0"/>
      <w:divBdr>
        <w:top w:val="none" w:sz="0" w:space="0" w:color="auto"/>
        <w:left w:val="none" w:sz="0" w:space="0" w:color="auto"/>
        <w:bottom w:val="none" w:sz="0" w:space="0" w:color="auto"/>
        <w:right w:val="none" w:sz="0" w:space="0" w:color="auto"/>
      </w:divBdr>
    </w:div>
    <w:div w:id="363948176">
      <w:bodyDiv w:val="1"/>
      <w:marLeft w:val="0"/>
      <w:marRight w:val="0"/>
      <w:marTop w:val="0"/>
      <w:marBottom w:val="0"/>
      <w:divBdr>
        <w:top w:val="none" w:sz="0" w:space="0" w:color="auto"/>
        <w:left w:val="none" w:sz="0" w:space="0" w:color="auto"/>
        <w:bottom w:val="none" w:sz="0" w:space="0" w:color="auto"/>
        <w:right w:val="none" w:sz="0" w:space="0" w:color="auto"/>
      </w:divBdr>
    </w:div>
    <w:div w:id="365452907">
      <w:bodyDiv w:val="1"/>
      <w:marLeft w:val="0"/>
      <w:marRight w:val="0"/>
      <w:marTop w:val="0"/>
      <w:marBottom w:val="0"/>
      <w:divBdr>
        <w:top w:val="none" w:sz="0" w:space="0" w:color="auto"/>
        <w:left w:val="none" w:sz="0" w:space="0" w:color="auto"/>
        <w:bottom w:val="none" w:sz="0" w:space="0" w:color="auto"/>
        <w:right w:val="none" w:sz="0" w:space="0" w:color="auto"/>
      </w:divBdr>
      <w:divsChild>
        <w:div w:id="1658802863">
          <w:marLeft w:val="0"/>
          <w:marRight w:val="0"/>
          <w:marTop w:val="0"/>
          <w:marBottom w:val="0"/>
          <w:divBdr>
            <w:top w:val="none" w:sz="0" w:space="0" w:color="auto"/>
            <w:left w:val="none" w:sz="0" w:space="0" w:color="auto"/>
            <w:bottom w:val="none" w:sz="0" w:space="0" w:color="auto"/>
            <w:right w:val="none" w:sz="0" w:space="0" w:color="auto"/>
          </w:divBdr>
        </w:div>
      </w:divsChild>
    </w:div>
    <w:div w:id="366569063">
      <w:bodyDiv w:val="1"/>
      <w:marLeft w:val="0"/>
      <w:marRight w:val="0"/>
      <w:marTop w:val="0"/>
      <w:marBottom w:val="0"/>
      <w:divBdr>
        <w:top w:val="none" w:sz="0" w:space="0" w:color="auto"/>
        <w:left w:val="none" w:sz="0" w:space="0" w:color="auto"/>
        <w:bottom w:val="none" w:sz="0" w:space="0" w:color="auto"/>
        <w:right w:val="none" w:sz="0" w:space="0" w:color="auto"/>
      </w:divBdr>
    </w:div>
    <w:div w:id="376322814">
      <w:bodyDiv w:val="1"/>
      <w:marLeft w:val="0"/>
      <w:marRight w:val="0"/>
      <w:marTop w:val="0"/>
      <w:marBottom w:val="0"/>
      <w:divBdr>
        <w:top w:val="none" w:sz="0" w:space="0" w:color="auto"/>
        <w:left w:val="none" w:sz="0" w:space="0" w:color="auto"/>
        <w:bottom w:val="none" w:sz="0" w:space="0" w:color="auto"/>
        <w:right w:val="none" w:sz="0" w:space="0" w:color="auto"/>
      </w:divBdr>
    </w:div>
    <w:div w:id="380523468">
      <w:bodyDiv w:val="1"/>
      <w:marLeft w:val="0"/>
      <w:marRight w:val="0"/>
      <w:marTop w:val="0"/>
      <w:marBottom w:val="0"/>
      <w:divBdr>
        <w:top w:val="none" w:sz="0" w:space="0" w:color="auto"/>
        <w:left w:val="none" w:sz="0" w:space="0" w:color="auto"/>
        <w:bottom w:val="none" w:sz="0" w:space="0" w:color="auto"/>
        <w:right w:val="none" w:sz="0" w:space="0" w:color="auto"/>
      </w:divBdr>
    </w:div>
    <w:div w:id="381947652">
      <w:bodyDiv w:val="1"/>
      <w:marLeft w:val="0"/>
      <w:marRight w:val="0"/>
      <w:marTop w:val="0"/>
      <w:marBottom w:val="0"/>
      <w:divBdr>
        <w:top w:val="none" w:sz="0" w:space="0" w:color="auto"/>
        <w:left w:val="none" w:sz="0" w:space="0" w:color="auto"/>
        <w:bottom w:val="none" w:sz="0" w:space="0" w:color="auto"/>
        <w:right w:val="none" w:sz="0" w:space="0" w:color="auto"/>
      </w:divBdr>
    </w:div>
    <w:div w:id="424226284">
      <w:bodyDiv w:val="1"/>
      <w:marLeft w:val="0"/>
      <w:marRight w:val="0"/>
      <w:marTop w:val="0"/>
      <w:marBottom w:val="0"/>
      <w:divBdr>
        <w:top w:val="none" w:sz="0" w:space="0" w:color="auto"/>
        <w:left w:val="none" w:sz="0" w:space="0" w:color="auto"/>
        <w:bottom w:val="none" w:sz="0" w:space="0" w:color="auto"/>
        <w:right w:val="none" w:sz="0" w:space="0" w:color="auto"/>
      </w:divBdr>
    </w:div>
    <w:div w:id="469055278">
      <w:bodyDiv w:val="1"/>
      <w:marLeft w:val="0"/>
      <w:marRight w:val="0"/>
      <w:marTop w:val="0"/>
      <w:marBottom w:val="0"/>
      <w:divBdr>
        <w:top w:val="none" w:sz="0" w:space="0" w:color="auto"/>
        <w:left w:val="none" w:sz="0" w:space="0" w:color="auto"/>
        <w:bottom w:val="none" w:sz="0" w:space="0" w:color="auto"/>
        <w:right w:val="none" w:sz="0" w:space="0" w:color="auto"/>
      </w:divBdr>
    </w:div>
    <w:div w:id="495998015">
      <w:bodyDiv w:val="1"/>
      <w:marLeft w:val="0"/>
      <w:marRight w:val="0"/>
      <w:marTop w:val="0"/>
      <w:marBottom w:val="0"/>
      <w:divBdr>
        <w:top w:val="none" w:sz="0" w:space="0" w:color="auto"/>
        <w:left w:val="none" w:sz="0" w:space="0" w:color="auto"/>
        <w:bottom w:val="none" w:sz="0" w:space="0" w:color="auto"/>
        <w:right w:val="none" w:sz="0" w:space="0" w:color="auto"/>
      </w:divBdr>
    </w:div>
    <w:div w:id="512960402">
      <w:bodyDiv w:val="1"/>
      <w:marLeft w:val="0"/>
      <w:marRight w:val="0"/>
      <w:marTop w:val="0"/>
      <w:marBottom w:val="0"/>
      <w:divBdr>
        <w:top w:val="none" w:sz="0" w:space="0" w:color="auto"/>
        <w:left w:val="none" w:sz="0" w:space="0" w:color="auto"/>
        <w:bottom w:val="none" w:sz="0" w:space="0" w:color="auto"/>
        <w:right w:val="none" w:sz="0" w:space="0" w:color="auto"/>
      </w:divBdr>
    </w:div>
    <w:div w:id="514468403">
      <w:bodyDiv w:val="1"/>
      <w:marLeft w:val="0"/>
      <w:marRight w:val="0"/>
      <w:marTop w:val="0"/>
      <w:marBottom w:val="0"/>
      <w:divBdr>
        <w:top w:val="none" w:sz="0" w:space="0" w:color="auto"/>
        <w:left w:val="none" w:sz="0" w:space="0" w:color="auto"/>
        <w:bottom w:val="none" w:sz="0" w:space="0" w:color="auto"/>
        <w:right w:val="none" w:sz="0" w:space="0" w:color="auto"/>
      </w:divBdr>
    </w:div>
    <w:div w:id="602539488">
      <w:bodyDiv w:val="1"/>
      <w:marLeft w:val="0"/>
      <w:marRight w:val="0"/>
      <w:marTop w:val="0"/>
      <w:marBottom w:val="0"/>
      <w:divBdr>
        <w:top w:val="none" w:sz="0" w:space="0" w:color="auto"/>
        <w:left w:val="none" w:sz="0" w:space="0" w:color="auto"/>
        <w:bottom w:val="none" w:sz="0" w:space="0" w:color="auto"/>
        <w:right w:val="none" w:sz="0" w:space="0" w:color="auto"/>
      </w:divBdr>
    </w:div>
    <w:div w:id="636765645">
      <w:bodyDiv w:val="1"/>
      <w:marLeft w:val="0"/>
      <w:marRight w:val="0"/>
      <w:marTop w:val="0"/>
      <w:marBottom w:val="0"/>
      <w:divBdr>
        <w:top w:val="none" w:sz="0" w:space="0" w:color="auto"/>
        <w:left w:val="none" w:sz="0" w:space="0" w:color="auto"/>
        <w:bottom w:val="none" w:sz="0" w:space="0" w:color="auto"/>
        <w:right w:val="none" w:sz="0" w:space="0" w:color="auto"/>
      </w:divBdr>
    </w:div>
    <w:div w:id="712925895">
      <w:bodyDiv w:val="1"/>
      <w:marLeft w:val="0"/>
      <w:marRight w:val="0"/>
      <w:marTop w:val="0"/>
      <w:marBottom w:val="0"/>
      <w:divBdr>
        <w:top w:val="none" w:sz="0" w:space="0" w:color="auto"/>
        <w:left w:val="none" w:sz="0" w:space="0" w:color="auto"/>
        <w:bottom w:val="none" w:sz="0" w:space="0" w:color="auto"/>
        <w:right w:val="none" w:sz="0" w:space="0" w:color="auto"/>
      </w:divBdr>
    </w:div>
    <w:div w:id="743991291">
      <w:bodyDiv w:val="1"/>
      <w:marLeft w:val="0"/>
      <w:marRight w:val="0"/>
      <w:marTop w:val="0"/>
      <w:marBottom w:val="0"/>
      <w:divBdr>
        <w:top w:val="none" w:sz="0" w:space="0" w:color="auto"/>
        <w:left w:val="none" w:sz="0" w:space="0" w:color="auto"/>
        <w:bottom w:val="none" w:sz="0" w:space="0" w:color="auto"/>
        <w:right w:val="none" w:sz="0" w:space="0" w:color="auto"/>
      </w:divBdr>
    </w:div>
    <w:div w:id="751895353">
      <w:bodyDiv w:val="1"/>
      <w:marLeft w:val="0"/>
      <w:marRight w:val="0"/>
      <w:marTop w:val="0"/>
      <w:marBottom w:val="0"/>
      <w:divBdr>
        <w:top w:val="none" w:sz="0" w:space="0" w:color="auto"/>
        <w:left w:val="none" w:sz="0" w:space="0" w:color="auto"/>
        <w:bottom w:val="none" w:sz="0" w:space="0" w:color="auto"/>
        <w:right w:val="none" w:sz="0" w:space="0" w:color="auto"/>
      </w:divBdr>
    </w:div>
    <w:div w:id="781345103">
      <w:bodyDiv w:val="1"/>
      <w:marLeft w:val="0"/>
      <w:marRight w:val="0"/>
      <w:marTop w:val="0"/>
      <w:marBottom w:val="0"/>
      <w:divBdr>
        <w:top w:val="none" w:sz="0" w:space="0" w:color="auto"/>
        <w:left w:val="none" w:sz="0" w:space="0" w:color="auto"/>
        <w:bottom w:val="none" w:sz="0" w:space="0" w:color="auto"/>
        <w:right w:val="none" w:sz="0" w:space="0" w:color="auto"/>
      </w:divBdr>
    </w:div>
    <w:div w:id="837813549">
      <w:bodyDiv w:val="1"/>
      <w:marLeft w:val="0"/>
      <w:marRight w:val="0"/>
      <w:marTop w:val="0"/>
      <w:marBottom w:val="0"/>
      <w:divBdr>
        <w:top w:val="none" w:sz="0" w:space="0" w:color="auto"/>
        <w:left w:val="none" w:sz="0" w:space="0" w:color="auto"/>
        <w:bottom w:val="none" w:sz="0" w:space="0" w:color="auto"/>
        <w:right w:val="none" w:sz="0" w:space="0" w:color="auto"/>
      </w:divBdr>
    </w:div>
    <w:div w:id="863591116">
      <w:bodyDiv w:val="1"/>
      <w:marLeft w:val="0"/>
      <w:marRight w:val="0"/>
      <w:marTop w:val="0"/>
      <w:marBottom w:val="0"/>
      <w:divBdr>
        <w:top w:val="none" w:sz="0" w:space="0" w:color="auto"/>
        <w:left w:val="none" w:sz="0" w:space="0" w:color="auto"/>
        <w:bottom w:val="none" w:sz="0" w:space="0" w:color="auto"/>
        <w:right w:val="none" w:sz="0" w:space="0" w:color="auto"/>
      </w:divBdr>
    </w:div>
    <w:div w:id="876549804">
      <w:bodyDiv w:val="1"/>
      <w:marLeft w:val="0"/>
      <w:marRight w:val="0"/>
      <w:marTop w:val="0"/>
      <w:marBottom w:val="0"/>
      <w:divBdr>
        <w:top w:val="none" w:sz="0" w:space="0" w:color="auto"/>
        <w:left w:val="none" w:sz="0" w:space="0" w:color="auto"/>
        <w:bottom w:val="none" w:sz="0" w:space="0" w:color="auto"/>
        <w:right w:val="none" w:sz="0" w:space="0" w:color="auto"/>
      </w:divBdr>
    </w:div>
    <w:div w:id="903495078">
      <w:bodyDiv w:val="1"/>
      <w:marLeft w:val="0"/>
      <w:marRight w:val="0"/>
      <w:marTop w:val="0"/>
      <w:marBottom w:val="0"/>
      <w:divBdr>
        <w:top w:val="none" w:sz="0" w:space="0" w:color="auto"/>
        <w:left w:val="none" w:sz="0" w:space="0" w:color="auto"/>
        <w:bottom w:val="none" w:sz="0" w:space="0" w:color="auto"/>
        <w:right w:val="none" w:sz="0" w:space="0" w:color="auto"/>
      </w:divBdr>
    </w:div>
    <w:div w:id="920331793">
      <w:bodyDiv w:val="1"/>
      <w:marLeft w:val="0"/>
      <w:marRight w:val="0"/>
      <w:marTop w:val="0"/>
      <w:marBottom w:val="0"/>
      <w:divBdr>
        <w:top w:val="none" w:sz="0" w:space="0" w:color="auto"/>
        <w:left w:val="none" w:sz="0" w:space="0" w:color="auto"/>
        <w:bottom w:val="none" w:sz="0" w:space="0" w:color="auto"/>
        <w:right w:val="none" w:sz="0" w:space="0" w:color="auto"/>
      </w:divBdr>
    </w:div>
    <w:div w:id="926186296">
      <w:bodyDiv w:val="1"/>
      <w:marLeft w:val="0"/>
      <w:marRight w:val="0"/>
      <w:marTop w:val="0"/>
      <w:marBottom w:val="0"/>
      <w:divBdr>
        <w:top w:val="none" w:sz="0" w:space="0" w:color="auto"/>
        <w:left w:val="none" w:sz="0" w:space="0" w:color="auto"/>
        <w:bottom w:val="none" w:sz="0" w:space="0" w:color="auto"/>
        <w:right w:val="none" w:sz="0" w:space="0" w:color="auto"/>
      </w:divBdr>
    </w:div>
    <w:div w:id="972560018">
      <w:bodyDiv w:val="1"/>
      <w:marLeft w:val="0"/>
      <w:marRight w:val="0"/>
      <w:marTop w:val="0"/>
      <w:marBottom w:val="0"/>
      <w:divBdr>
        <w:top w:val="none" w:sz="0" w:space="0" w:color="auto"/>
        <w:left w:val="none" w:sz="0" w:space="0" w:color="auto"/>
        <w:bottom w:val="none" w:sz="0" w:space="0" w:color="auto"/>
        <w:right w:val="none" w:sz="0" w:space="0" w:color="auto"/>
      </w:divBdr>
    </w:div>
    <w:div w:id="1025406647">
      <w:bodyDiv w:val="1"/>
      <w:marLeft w:val="0"/>
      <w:marRight w:val="0"/>
      <w:marTop w:val="0"/>
      <w:marBottom w:val="0"/>
      <w:divBdr>
        <w:top w:val="none" w:sz="0" w:space="0" w:color="auto"/>
        <w:left w:val="none" w:sz="0" w:space="0" w:color="auto"/>
        <w:bottom w:val="none" w:sz="0" w:space="0" w:color="auto"/>
        <w:right w:val="none" w:sz="0" w:space="0" w:color="auto"/>
      </w:divBdr>
    </w:div>
    <w:div w:id="1031345140">
      <w:bodyDiv w:val="1"/>
      <w:marLeft w:val="0"/>
      <w:marRight w:val="0"/>
      <w:marTop w:val="0"/>
      <w:marBottom w:val="0"/>
      <w:divBdr>
        <w:top w:val="none" w:sz="0" w:space="0" w:color="auto"/>
        <w:left w:val="none" w:sz="0" w:space="0" w:color="auto"/>
        <w:bottom w:val="none" w:sz="0" w:space="0" w:color="auto"/>
        <w:right w:val="none" w:sz="0" w:space="0" w:color="auto"/>
      </w:divBdr>
    </w:div>
    <w:div w:id="1051805146">
      <w:bodyDiv w:val="1"/>
      <w:marLeft w:val="0"/>
      <w:marRight w:val="0"/>
      <w:marTop w:val="0"/>
      <w:marBottom w:val="0"/>
      <w:divBdr>
        <w:top w:val="none" w:sz="0" w:space="0" w:color="auto"/>
        <w:left w:val="none" w:sz="0" w:space="0" w:color="auto"/>
        <w:bottom w:val="none" w:sz="0" w:space="0" w:color="auto"/>
        <w:right w:val="none" w:sz="0" w:space="0" w:color="auto"/>
      </w:divBdr>
      <w:divsChild>
        <w:div w:id="1515806071">
          <w:marLeft w:val="0"/>
          <w:marRight w:val="0"/>
          <w:marTop w:val="0"/>
          <w:marBottom w:val="0"/>
          <w:divBdr>
            <w:top w:val="none" w:sz="0" w:space="0" w:color="auto"/>
            <w:left w:val="none" w:sz="0" w:space="0" w:color="auto"/>
            <w:bottom w:val="none" w:sz="0" w:space="0" w:color="auto"/>
            <w:right w:val="none" w:sz="0" w:space="0" w:color="auto"/>
          </w:divBdr>
        </w:div>
      </w:divsChild>
    </w:div>
    <w:div w:id="1060635149">
      <w:bodyDiv w:val="1"/>
      <w:marLeft w:val="0"/>
      <w:marRight w:val="0"/>
      <w:marTop w:val="0"/>
      <w:marBottom w:val="0"/>
      <w:divBdr>
        <w:top w:val="none" w:sz="0" w:space="0" w:color="auto"/>
        <w:left w:val="none" w:sz="0" w:space="0" w:color="auto"/>
        <w:bottom w:val="none" w:sz="0" w:space="0" w:color="auto"/>
        <w:right w:val="none" w:sz="0" w:space="0" w:color="auto"/>
      </w:divBdr>
    </w:div>
    <w:div w:id="1126199756">
      <w:bodyDiv w:val="1"/>
      <w:marLeft w:val="0"/>
      <w:marRight w:val="0"/>
      <w:marTop w:val="0"/>
      <w:marBottom w:val="0"/>
      <w:divBdr>
        <w:top w:val="none" w:sz="0" w:space="0" w:color="auto"/>
        <w:left w:val="none" w:sz="0" w:space="0" w:color="auto"/>
        <w:bottom w:val="none" w:sz="0" w:space="0" w:color="auto"/>
        <w:right w:val="none" w:sz="0" w:space="0" w:color="auto"/>
      </w:divBdr>
    </w:div>
    <w:div w:id="1127746445">
      <w:bodyDiv w:val="1"/>
      <w:marLeft w:val="0"/>
      <w:marRight w:val="0"/>
      <w:marTop w:val="0"/>
      <w:marBottom w:val="0"/>
      <w:divBdr>
        <w:top w:val="none" w:sz="0" w:space="0" w:color="auto"/>
        <w:left w:val="none" w:sz="0" w:space="0" w:color="auto"/>
        <w:bottom w:val="none" w:sz="0" w:space="0" w:color="auto"/>
        <w:right w:val="none" w:sz="0" w:space="0" w:color="auto"/>
      </w:divBdr>
    </w:div>
    <w:div w:id="1137992086">
      <w:bodyDiv w:val="1"/>
      <w:marLeft w:val="0"/>
      <w:marRight w:val="0"/>
      <w:marTop w:val="0"/>
      <w:marBottom w:val="0"/>
      <w:divBdr>
        <w:top w:val="none" w:sz="0" w:space="0" w:color="auto"/>
        <w:left w:val="none" w:sz="0" w:space="0" w:color="auto"/>
        <w:bottom w:val="none" w:sz="0" w:space="0" w:color="auto"/>
        <w:right w:val="none" w:sz="0" w:space="0" w:color="auto"/>
      </w:divBdr>
    </w:div>
    <w:div w:id="1138106657">
      <w:bodyDiv w:val="1"/>
      <w:marLeft w:val="0"/>
      <w:marRight w:val="0"/>
      <w:marTop w:val="0"/>
      <w:marBottom w:val="0"/>
      <w:divBdr>
        <w:top w:val="none" w:sz="0" w:space="0" w:color="auto"/>
        <w:left w:val="none" w:sz="0" w:space="0" w:color="auto"/>
        <w:bottom w:val="none" w:sz="0" w:space="0" w:color="auto"/>
        <w:right w:val="none" w:sz="0" w:space="0" w:color="auto"/>
      </w:divBdr>
    </w:div>
    <w:div w:id="1183938301">
      <w:bodyDiv w:val="1"/>
      <w:marLeft w:val="0"/>
      <w:marRight w:val="0"/>
      <w:marTop w:val="0"/>
      <w:marBottom w:val="0"/>
      <w:divBdr>
        <w:top w:val="none" w:sz="0" w:space="0" w:color="auto"/>
        <w:left w:val="none" w:sz="0" w:space="0" w:color="auto"/>
        <w:bottom w:val="none" w:sz="0" w:space="0" w:color="auto"/>
        <w:right w:val="none" w:sz="0" w:space="0" w:color="auto"/>
      </w:divBdr>
    </w:div>
    <w:div w:id="1226836100">
      <w:bodyDiv w:val="1"/>
      <w:marLeft w:val="0"/>
      <w:marRight w:val="0"/>
      <w:marTop w:val="0"/>
      <w:marBottom w:val="0"/>
      <w:divBdr>
        <w:top w:val="none" w:sz="0" w:space="0" w:color="auto"/>
        <w:left w:val="none" w:sz="0" w:space="0" w:color="auto"/>
        <w:bottom w:val="none" w:sz="0" w:space="0" w:color="auto"/>
        <w:right w:val="none" w:sz="0" w:space="0" w:color="auto"/>
      </w:divBdr>
    </w:div>
    <w:div w:id="1435131954">
      <w:bodyDiv w:val="1"/>
      <w:marLeft w:val="0"/>
      <w:marRight w:val="0"/>
      <w:marTop w:val="0"/>
      <w:marBottom w:val="0"/>
      <w:divBdr>
        <w:top w:val="none" w:sz="0" w:space="0" w:color="auto"/>
        <w:left w:val="none" w:sz="0" w:space="0" w:color="auto"/>
        <w:bottom w:val="none" w:sz="0" w:space="0" w:color="auto"/>
        <w:right w:val="none" w:sz="0" w:space="0" w:color="auto"/>
      </w:divBdr>
    </w:div>
    <w:div w:id="1512254353">
      <w:bodyDiv w:val="1"/>
      <w:marLeft w:val="0"/>
      <w:marRight w:val="0"/>
      <w:marTop w:val="0"/>
      <w:marBottom w:val="0"/>
      <w:divBdr>
        <w:top w:val="none" w:sz="0" w:space="0" w:color="auto"/>
        <w:left w:val="none" w:sz="0" w:space="0" w:color="auto"/>
        <w:bottom w:val="none" w:sz="0" w:space="0" w:color="auto"/>
        <w:right w:val="none" w:sz="0" w:space="0" w:color="auto"/>
      </w:divBdr>
    </w:div>
    <w:div w:id="1563364502">
      <w:bodyDiv w:val="1"/>
      <w:marLeft w:val="0"/>
      <w:marRight w:val="0"/>
      <w:marTop w:val="0"/>
      <w:marBottom w:val="0"/>
      <w:divBdr>
        <w:top w:val="none" w:sz="0" w:space="0" w:color="auto"/>
        <w:left w:val="none" w:sz="0" w:space="0" w:color="auto"/>
        <w:bottom w:val="none" w:sz="0" w:space="0" w:color="auto"/>
        <w:right w:val="none" w:sz="0" w:space="0" w:color="auto"/>
      </w:divBdr>
    </w:div>
    <w:div w:id="1593008275">
      <w:bodyDiv w:val="1"/>
      <w:marLeft w:val="0"/>
      <w:marRight w:val="0"/>
      <w:marTop w:val="0"/>
      <w:marBottom w:val="0"/>
      <w:divBdr>
        <w:top w:val="none" w:sz="0" w:space="0" w:color="auto"/>
        <w:left w:val="none" w:sz="0" w:space="0" w:color="auto"/>
        <w:bottom w:val="none" w:sz="0" w:space="0" w:color="auto"/>
        <w:right w:val="none" w:sz="0" w:space="0" w:color="auto"/>
      </w:divBdr>
    </w:div>
    <w:div w:id="1606035551">
      <w:bodyDiv w:val="1"/>
      <w:marLeft w:val="0"/>
      <w:marRight w:val="0"/>
      <w:marTop w:val="0"/>
      <w:marBottom w:val="0"/>
      <w:divBdr>
        <w:top w:val="none" w:sz="0" w:space="0" w:color="auto"/>
        <w:left w:val="none" w:sz="0" w:space="0" w:color="auto"/>
        <w:bottom w:val="none" w:sz="0" w:space="0" w:color="auto"/>
        <w:right w:val="none" w:sz="0" w:space="0" w:color="auto"/>
      </w:divBdr>
    </w:div>
    <w:div w:id="1616249478">
      <w:bodyDiv w:val="1"/>
      <w:marLeft w:val="0"/>
      <w:marRight w:val="0"/>
      <w:marTop w:val="0"/>
      <w:marBottom w:val="0"/>
      <w:divBdr>
        <w:top w:val="none" w:sz="0" w:space="0" w:color="auto"/>
        <w:left w:val="none" w:sz="0" w:space="0" w:color="auto"/>
        <w:bottom w:val="none" w:sz="0" w:space="0" w:color="auto"/>
        <w:right w:val="none" w:sz="0" w:space="0" w:color="auto"/>
      </w:divBdr>
    </w:div>
    <w:div w:id="1661494435">
      <w:bodyDiv w:val="1"/>
      <w:marLeft w:val="0"/>
      <w:marRight w:val="0"/>
      <w:marTop w:val="0"/>
      <w:marBottom w:val="0"/>
      <w:divBdr>
        <w:top w:val="none" w:sz="0" w:space="0" w:color="auto"/>
        <w:left w:val="none" w:sz="0" w:space="0" w:color="auto"/>
        <w:bottom w:val="none" w:sz="0" w:space="0" w:color="auto"/>
        <w:right w:val="none" w:sz="0" w:space="0" w:color="auto"/>
      </w:divBdr>
    </w:div>
    <w:div w:id="1794708220">
      <w:bodyDiv w:val="1"/>
      <w:marLeft w:val="0"/>
      <w:marRight w:val="0"/>
      <w:marTop w:val="0"/>
      <w:marBottom w:val="0"/>
      <w:divBdr>
        <w:top w:val="none" w:sz="0" w:space="0" w:color="auto"/>
        <w:left w:val="none" w:sz="0" w:space="0" w:color="auto"/>
        <w:bottom w:val="none" w:sz="0" w:space="0" w:color="auto"/>
        <w:right w:val="none" w:sz="0" w:space="0" w:color="auto"/>
      </w:divBdr>
    </w:div>
    <w:div w:id="1850564355">
      <w:bodyDiv w:val="1"/>
      <w:marLeft w:val="0"/>
      <w:marRight w:val="0"/>
      <w:marTop w:val="0"/>
      <w:marBottom w:val="0"/>
      <w:divBdr>
        <w:top w:val="none" w:sz="0" w:space="0" w:color="auto"/>
        <w:left w:val="none" w:sz="0" w:space="0" w:color="auto"/>
        <w:bottom w:val="none" w:sz="0" w:space="0" w:color="auto"/>
        <w:right w:val="none" w:sz="0" w:space="0" w:color="auto"/>
      </w:divBdr>
    </w:div>
    <w:div w:id="1929340030">
      <w:bodyDiv w:val="1"/>
      <w:marLeft w:val="0"/>
      <w:marRight w:val="0"/>
      <w:marTop w:val="0"/>
      <w:marBottom w:val="0"/>
      <w:divBdr>
        <w:top w:val="none" w:sz="0" w:space="0" w:color="auto"/>
        <w:left w:val="none" w:sz="0" w:space="0" w:color="auto"/>
        <w:bottom w:val="none" w:sz="0" w:space="0" w:color="auto"/>
        <w:right w:val="none" w:sz="0" w:space="0" w:color="auto"/>
      </w:divBdr>
    </w:div>
    <w:div w:id="2030835241">
      <w:bodyDiv w:val="1"/>
      <w:marLeft w:val="0"/>
      <w:marRight w:val="0"/>
      <w:marTop w:val="0"/>
      <w:marBottom w:val="0"/>
      <w:divBdr>
        <w:top w:val="none" w:sz="0" w:space="0" w:color="auto"/>
        <w:left w:val="none" w:sz="0" w:space="0" w:color="auto"/>
        <w:bottom w:val="none" w:sz="0" w:space="0" w:color="auto"/>
        <w:right w:val="none" w:sz="0" w:space="0" w:color="auto"/>
      </w:divBdr>
    </w:div>
    <w:div w:id="2064518577">
      <w:bodyDiv w:val="1"/>
      <w:marLeft w:val="0"/>
      <w:marRight w:val="0"/>
      <w:marTop w:val="0"/>
      <w:marBottom w:val="0"/>
      <w:divBdr>
        <w:top w:val="none" w:sz="0" w:space="0" w:color="auto"/>
        <w:left w:val="none" w:sz="0" w:space="0" w:color="auto"/>
        <w:bottom w:val="none" w:sz="0" w:space="0" w:color="auto"/>
        <w:right w:val="none" w:sz="0" w:space="0" w:color="auto"/>
      </w:divBdr>
    </w:div>
    <w:div w:id="2067802259">
      <w:bodyDiv w:val="1"/>
      <w:marLeft w:val="0"/>
      <w:marRight w:val="0"/>
      <w:marTop w:val="0"/>
      <w:marBottom w:val="0"/>
      <w:divBdr>
        <w:top w:val="none" w:sz="0" w:space="0" w:color="auto"/>
        <w:left w:val="none" w:sz="0" w:space="0" w:color="auto"/>
        <w:bottom w:val="none" w:sz="0" w:space="0" w:color="auto"/>
        <w:right w:val="none" w:sz="0" w:space="0" w:color="auto"/>
      </w:divBdr>
    </w:div>
    <w:div w:id="2085639072">
      <w:bodyDiv w:val="1"/>
      <w:marLeft w:val="0"/>
      <w:marRight w:val="0"/>
      <w:marTop w:val="0"/>
      <w:marBottom w:val="0"/>
      <w:divBdr>
        <w:top w:val="none" w:sz="0" w:space="0" w:color="auto"/>
        <w:left w:val="none" w:sz="0" w:space="0" w:color="auto"/>
        <w:bottom w:val="none" w:sz="0" w:space="0" w:color="auto"/>
        <w:right w:val="none" w:sz="0" w:space="0" w:color="auto"/>
      </w:divBdr>
    </w:div>
    <w:div w:id="2102599840">
      <w:bodyDiv w:val="1"/>
      <w:marLeft w:val="0"/>
      <w:marRight w:val="0"/>
      <w:marTop w:val="0"/>
      <w:marBottom w:val="0"/>
      <w:divBdr>
        <w:top w:val="none" w:sz="0" w:space="0" w:color="auto"/>
        <w:left w:val="none" w:sz="0" w:space="0" w:color="auto"/>
        <w:bottom w:val="none" w:sz="0" w:space="0" w:color="auto"/>
        <w:right w:val="none" w:sz="0" w:space="0" w:color="auto"/>
      </w:divBdr>
    </w:div>
    <w:div w:id="2123913012">
      <w:bodyDiv w:val="1"/>
      <w:marLeft w:val="0"/>
      <w:marRight w:val="0"/>
      <w:marTop w:val="0"/>
      <w:marBottom w:val="0"/>
      <w:divBdr>
        <w:top w:val="none" w:sz="0" w:space="0" w:color="auto"/>
        <w:left w:val="none" w:sz="0" w:space="0" w:color="auto"/>
        <w:bottom w:val="none" w:sz="0" w:space="0" w:color="auto"/>
        <w:right w:val="none" w:sz="0" w:space="0" w:color="auto"/>
      </w:divBdr>
    </w:div>
    <w:div w:id="213039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A7A7E6561E108F4F8A4FBEBE24469AE6" ma:contentTypeVersion="2" ma:contentTypeDescription="Ustvari nov dokument." ma:contentTypeScope="" ma:versionID="4bd608e0ccb92a5e77f9d49492452c62">
  <xsd:schema xmlns:xsd="http://www.w3.org/2001/XMLSchema" xmlns:xs="http://www.w3.org/2001/XMLSchema" xmlns:p="http://schemas.microsoft.com/office/2006/metadata/properties" xmlns:ns2="151a32cb-68d4-46e2-8990-209d00cbea1a" xmlns:ns3="5e3a6384-3b6b-49ae-bcf7-b979de823623" targetNamespace="http://schemas.microsoft.com/office/2006/metadata/properties" ma:root="true" ma:fieldsID="b2566c72db5190d614a1ad4ee8095677" ns2:_="" ns3:_="">
    <xsd:import namespace="151a32cb-68d4-46e2-8990-209d00cbea1a"/>
    <xsd:import namespace="5e3a6384-3b6b-49ae-bcf7-b979de82362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e3a6384-3b6b-49ae-bcf7-b979de82362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79308AA-E5C6-42CA-ACA1-6562FD46C53D}">
  <ds:schemaRefs>
    <ds:schemaRef ds:uri="http://schemas.microsoft.com/sharepoint/events"/>
  </ds:schemaRefs>
</ds:datastoreItem>
</file>

<file path=customXml/itemProps2.xml><?xml version="1.0" encoding="utf-8"?>
<ds:datastoreItem xmlns:ds="http://schemas.openxmlformats.org/officeDocument/2006/customXml" ds:itemID="{66AC8CD8-70E2-43CD-A4AC-D7B21D54F0C8}">
  <ds:schemaRefs>
    <ds:schemaRef ds:uri="http://schemas.microsoft.com/sharepoint/v3/contenttype/forms"/>
  </ds:schemaRefs>
</ds:datastoreItem>
</file>

<file path=customXml/itemProps3.xml><?xml version="1.0" encoding="utf-8"?>
<ds:datastoreItem xmlns:ds="http://schemas.openxmlformats.org/officeDocument/2006/customXml" ds:itemID="{750ACD3D-635E-4CF3-B984-3217F033F82D}">
  <ds:schemaRefs>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http://purl.org/dc/elements/1.1/"/>
    <ds:schemaRef ds:uri="http://schemas.microsoft.com/office/2006/metadata/properties"/>
    <ds:schemaRef ds:uri="5e3a6384-3b6b-49ae-bcf7-b979de823623"/>
    <ds:schemaRef ds:uri="http://www.w3.org/XML/1998/namespace"/>
    <ds:schemaRef ds:uri="http://purl.org/dc/dcmitype/"/>
  </ds:schemaRefs>
</ds:datastoreItem>
</file>

<file path=customXml/itemProps4.xml><?xml version="1.0" encoding="utf-8"?>
<ds:datastoreItem xmlns:ds="http://schemas.openxmlformats.org/officeDocument/2006/customXml" ds:itemID="{253094C8-34BF-4C61-A72C-FF558FBC7F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5e3a6384-3b6b-49ae-bcf7-b979de8236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96591EA-EE8D-4522-9E60-2C9881C4B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109</Pages>
  <Words>48019</Words>
  <Characters>281966</Characters>
  <Application>Microsoft Office Word</Application>
  <DocSecurity>0</DocSecurity>
  <Lines>2349</Lines>
  <Paragraphs>658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329327</CharactersWithSpaces>
  <SharedDoc>false</SharedDoc>
  <HLinks>
    <vt:vector size="36" baseType="variant">
      <vt:variant>
        <vt:i4>2031687</vt:i4>
      </vt:variant>
      <vt:variant>
        <vt:i4>15</vt:i4>
      </vt:variant>
      <vt:variant>
        <vt:i4>0</vt:i4>
      </vt:variant>
      <vt:variant>
        <vt:i4>5</vt:i4>
      </vt:variant>
      <vt:variant>
        <vt:lpwstr>https://e-uprava.gov.si/drzava-in-druzba/e-demokracija/predlogi-predpisov/predlog-predpisa.html?id=12096</vt:lpwstr>
      </vt:variant>
      <vt:variant>
        <vt:lpwstr/>
      </vt:variant>
      <vt:variant>
        <vt:i4>8257583</vt:i4>
      </vt:variant>
      <vt:variant>
        <vt:i4>12</vt:i4>
      </vt:variant>
      <vt:variant>
        <vt:i4>0</vt:i4>
      </vt:variant>
      <vt:variant>
        <vt:i4>5</vt:i4>
      </vt:variant>
      <vt:variant>
        <vt:lpwstr>http://www.uradni-list.si/1/objava.jsp?sop=2015-01-1299</vt:lpwstr>
      </vt:variant>
      <vt:variant>
        <vt:lpwstr/>
      </vt:variant>
      <vt:variant>
        <vt:i4>8192044</vt:i4>
      </vt:variant>
      <vt:variant>
        <vt:i4>9</vt:i4>
      </vt:variant>
      <vt:variant>
        <vt:i4>0</vt:i4>
      </vt:variant>
      <vt:variant>
        <vt:i4>5</vt:i4>
      </vt:variant>
      <vt:variant>
        <vt:lpwstr>http://www.uradni-list.si/1/objava.jsp?sop=2015-01-3189</vt:lpwstr>
      </vt:variant>
      <vt:variant>
        <vt:lpwstr/>
      </vt:variant>
      <vt:variant>
        <vt:i4>8257583</vt:i4>
      </vt:variant>
      <vt:variant>
        <vt:i4>6</vt:i4>
      </vt:variant>
      <vt:variant>
        <vt:i4>0</vt:i4>
      </vt:variant>
      <vt:variant>
        <vt:i4>5</vt:i4>
      </vt:variant>
      <vt:variant>
        <vt:lpwstr>http://www.uradni-list.si/1/objava.jsp?sop=2015-01-1299</vt:lpwstr>
      </vt:variant>
      <vt:variant>
        <vt:lpwstr/>
      </vt:variant>
      <vt:variant>
        <vt:i4>2031687</vt:i4>
      </vt:variant>
      <vt:variant>
        <vt:i4>3</vt:i4>
      </vt:variant>
      <vt:variant>
        <vt:i4>0</vt:i4>
      </vt:variant>
      <vt:variant>
        <vt:i4>5</vt:i4>
      </vt:variant>
      <vt:variant>
        <vt:lpwstr>https://e-uprava.gov.si/drzava-in-druzba/e-demokracija/predlogi-predpisov/predlog-predpisa.html?id=12096</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Nada Bizjak</dc:creator>
  <cp:lastModifiedBy>Lidija Vidergar</cp:lastModifiedBy>
  <cp:revision>5</cp:revision>
  <cp:lastPrinted>2021-06-07T08:14:00Z</cp:lastPrinted>
  <dcterms:created xsi:type="dcterms:W3CDTF">2025-06-20T09:28:00Z</dcterms:created>
  <dcterms:modified xsi:type="dcterms:W3CDTF">2025-06-20T09:34:00Z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5692d07ae9d6b40ab9d6e48a39dda2cd3c6c539b7d939ef9b9ec56e97d75df3f</vt:lpwstr>
  </property>
  <property fmtid="{D5CDD505-2E9C-101B-9397-08002B2CF9AE}" pid="3" name="ContentTypeId">
    <vt:lpwstr>0x010100A7A7E6561E108F4F8A4FBEBE24469AE6</vt:lpwstr>
  </property>
</Properties>
</file>