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7191AC" w14:textId="77777777" w:rsidR="001F0977" w:rsidRDefault="001F0977" w:rsidP="001F0977">
      <w:pPr>
        <w:pStyle w:val="datumtevilka"/>
        <w:rPr>
          <w:rFonts w:cs="Arial"/>
          <w:color w:val="000000"/>
        </w:rPr>
      </w:pPr>
      <w:bookmarkStart w:id="0" w:name="_Hlk61014710"/>
      <w:bookmarkEnd w:id="0"/>
    </w:p>
    <w:p w14:paraId="6EEE27DB" w14:textId="77777777" w:rsidR="001F0977" w:rsidRDefault="001F0977" w:rsidP="001F0977">
      <w:pPr>
        <w:pStyle w:val="datumtevilka"/>
        <w:jc w:val="right"/>
        <w:rPr>
          <w:rFonts w:cs="Arial"/>
          <w:color w:val="000000"/>
        </w:rPr>
      </w:pPr>
      <w:r>
        <w:rPr>
          <w:rFonts w:cs="Arial"/>
          <w:color w:val="000000"/>
        </w:rPr>
        <w:t>SKRAJŠANI POSTOPEK</w:t>
      </w:r>
    </w:p>
    <w:p w14:paraId="417BFB7D" w14:textId="77777777" w:rsidR="009C657E" w:rsidRPr="002760DC" w:rsidRDefault="009C657E" w:rsidP="001F0977">
      <w:pPr>
        <w:pStyle w:val="datumtevilka"/>
        <w:jc w:val="right"/>
      </w:pPr>
      <w:r w:rsidRPr="002760DC">
        <w:rPr>
          <w:rFonts w:cs="Arial"/>
          <w:color w:val="000000"/>
        </w:rPr>
        <w:t>E</w:t>
      </w:r>
      <w:r w:rsidR="001F0977">
        <w:rPr>
          <w:rFonts w:cs="Arial"/>
          <w:color w:val="000000"/>
        </w:rPr>
        <w:t xml:space="preserve">VA </w:t>
      </w:r>
      <w:r w:rsidR="00DA5D5E">
        <w:rPr>
          <w:rFonts w:cs="Arial"/>
          <w:color w:val="000000"/>
        </w:rPr>
        <w:t>2025-1611-0008</w:t>
      </w:r>
    </w:p>
    <w:p w14:paraId="4C6BB8DC" w14:textId="77777777" w:rsidR="009C657E" w:rsidRDefault="001F0977" w:rsidP="001F0977">
      <w:pPr>
        <w:jc w:val="right"/>
      </w:pPr>
      <w:r>
        <w:t>PREDLOG</w:t>
      </w:r>
    </w:p>
    <w:p w14:paraId="5B9FB094" w14:textId="77777777" w:rsidR="001F0977" w:rsidRPr="002760DC" w:rsidRDefault="001F0977" w:rsidP="001F0977"/>
    <w:p w14:paraId="184603BF" w14:textId="77777777" w:rsidR="009C657E" w:rsidRDefault="009C657E" w:rsidP="001F0977">
      <w:pPr>
        <w:autoSpaceDE w:val="0"/>
        <w:autoSpaceDN w:val="0"/>
        <w:adjustRightInd w:val="0"/>
        <w:rPr>
          <w:rFonts w:cs="Arial"/>
          <w:color w:val="000000"/>
          <w:szCs w:val="20"/>
        </w:rPr>
      </w:pPr>
    </w:p>
    <w:p w14:paraId="510A7207" w14:textId="77777777" w:rsidR="001F0977" w:rsidRPr="00A6784E" w:rsidRDefault="001F0977" w:rsidP="001F0977">
      <w:pPr>
        <w:jc w:val="center"/>
        <w:rPr>
          <w:rFonts w:cs="Arial"/>
          <w:b/>
          <w:szCs w:val="20"/>
        </w:rPr>
      </w:pPr>
      <w:r w:rsidRPr="00A6784E">
        <w:rPr>
          <w:rFonts w:cs="Arial"/>
          <w:b/>
          <w:szCs w:val="20"/>
        </w:rPr>
        <w:t xml:space="preserve">ZAKON O SPREMEMBAH IN DOPOLNITVAH ZAKONA O UPRAVLJAVCIH ALTERNATIVNIH INVESTICIJSKIH SKLADOV </w:t>
      </w:r>
    </w:p>
    <w:p w14:paraId="18C566DD" w14:textId="77777777" w:rsidR="001F0977" w:rsidRPr="00A6784E" w:rsidRDefault="001F0977" w:rsidP="001F0977">
      <w:pPr>
        <w:ind w:left="1080" w:hanging="720"/>
        <w:rPr>
          <w:rFonts w:cs="Arial"/>
          <w:szCs w:val="20"/>
        </w:rPr>
      </w:pPr>
    </w:p>
    <w:p w14:paraId="6807EA79" w14:textId="77777777" w:rsidR="001F0977" w:rsidRPr="00A6784E" w:rsidRDefault="001F0977" w:rsidP="001F0977">
      <w:pPr>
        <w:numPr>
          <w:ilvl w:val="0"/>
          <w:numId w:val="2"/>
        </w:numPr>
        <w:rPr>
          <w:rFonts w:cs="Arial"/>
          <w:b/>
          <w:szCs w:val="20"/>
        </w:rPr>
      </w:pPr>
      <w:r w:rsidRPr="00A6784E">
        <w:rPr>
          <w:rFonts w:cs="Arial"/>
          <w:b/>
          <w:szCs w:val="20"/>
        </w:rPr>
        <w:t>UVOD</w:t>
      </w:r>
    </w:p>
    <w:p w14:paraId="12BB1B05" w14:textId="77777777" w:rsidR="001F0977" w:rsidRPr="00A6784E" w:rsidRDefault="001F0977" w:rsidP="001F0977">
      <w:pPr>
        <w:jc w:val="both"/>
        <w:rPr>
          <w:rFonts w:cs="Arial"/>
          <w:szCs w:val="20"/>
        </w:rPr>
      </w:pPr>
    </w:p>
    <w:p w14:paraId="2F085A58" w14:textId="77777777" w:rsidR="001F0977" w:rsidRPr="00A6784E" w:rsidRDefault="001F0977" w:rsidP="001F0977">
      <w:pPr>
        <w:numPr>
          <w:ilvl w:val="0"/>
          <w:numId w:val="3"/>
        </w:numPr>
        <w:rPr>
          <w:rFonts w:cs="Arial"/>
          <w:b/>
          <w:szCs w:val="20"/>
        </w:rPr>
      </w:pPr>
      <w:bookmarkStart w:id="1" w:name="_Hlk55770662"/>
      <w:r w:rsidRPr="00A6784E">
        <w:rPr>
          <w:rFonts w:cs="Arial"/>
          <w:b/>
          <w:szCs w:val="20"/>
        </w:rPr>
        <w:t>OCENA STANJA IN RAZLOGI ZA SPREJEM PREDLOGA ZAKONA</w:t>
      </w:r>
    </w:p>
    <w:p w14:paraId="6E7EBF67" w14:textId="77777777" w:rsidR="001F0977" w:rsidRPr="00A6784E" w:rsidRDefault="001F0977" w:rsidP="001F0977">
      <w:pPr>
        <w:ind w:left="720"/>
        <w:rPr>
          <w:rFonts w:cs="Arial"/>
          <w:b/>
          <w:szCs w:val="20"/>
        </w:rPr>
      </w:pPr>
    </w:p>
    <w:p w14:paraId="0F81BFAB" w14:textId="77777777" w:rsidR="001F0977" w:rsidRPr="00A6784E" w:rsidRDefault="001F0977" w:rsidP="001F0977">
      <w:pPr>
        <w:jc w:val="both"/>
        <w:rPr>
          <w:rFonts w:cs="Arial"/>
          <w:bCs/>
          <w:szCs w:val="20"/>
        </w:rPr>
      </w:pPr>
      <w:bookmarkStart w:id="2" w:name="_Hlk55770710"/>
      <w:bookmarkEnd w:id="1"/>
    </w:p>
    <w:p w14:paraId="7FA2B04D" w14:textId="77777777" w:rsidR="001F0977" w:rsidRPr="00A6784E" w:rsidRDefault="001F0977" w:rsidP="001F0977">
      <w:pPr>
        <w:jc w:val="both"/>
        <w:rPr>
          <w:rFonts w:cs="Arial"/>
          <w:szCs w:val="20"/>
        </w:rPr>
      </w:pPr>
      <w:bookmarkStart w:id="3" w:name="_Hlk195618698"/>
      <w:r w:rsidRPr="00A6784E">
        <w:rPr>
          <w:rFonts w:cs="Arial"/>
          <w:szCs w:val="20"/>
        </w:rPr>
        <w:t>Zakon o upravljavcih alternativnih investicijskih skladov (Uradni list RS, št. 32/15, 77/18, 161/21 in 101/22) je temeljni predpis, ki ureja področje upravljavcev alternativnih investicijskih skladov v Republiki Sloveniji.</w:t>
      </w:r>
    </w:p>
    <w:p w14:paraId="1F52681F" w14:textId="77777777" w:rsidR="001F0977" w:rsidRPr="00A6784E" w:rsidRDefault="001F0977" w:rsidP="001F0977">
      <w:pPr>
        <w:jc w:val="both"/>
        <w:rPr>
          <w:rFonts w:cs="Arial"/>
          <w:szCs w:val="20"/>
        </w:rPr>
      </w:pPr>
      <w:bookmarkStart w:id="4" w:name="_Hlk185948346"/>
      <w:r w:rsidRPr="00A6784E">
        <w:rPr>
          <w:rFonts w:cs="Arial"/>
          <w:szCs w:val="20"/>
        </w:rPr>
        <w:t>Evropski parlament in Svet sta 14. decembra 2022 sprejela Direktivo (EU) 2022/2556</w:t>
      </w:r>
      <w:r w:rsidRPr="00A6784E">
        <w:rPr>
          <w:rStyle w:val="Sprotnaopomba-sklic"/>
          <w:rFonts w:cs="Arial"/>
          <w:szCs w:val="20"/>
        </w:rPr>
        <w:footnoteReference w:id="1"/>
      </w:r>
      <w:r w:rsidRPr="00A6784E">
        <w:rPr>
          <w:rFonts w:cs="Arial"/>
          <w:szCs w:val="20"/>
        </w:rPr>
        <w:t xml:space="preserve"> in Uredbo (EU) 2022/2554</w:t>
      </w:r>
      <w:r w:rsidRPr="00A6784E">
        <w:rPr>
          <w:rStyle w:val="Sprotnaopomba-sklic"/>
          <w:rFonts w:cs="Arial"/>
          <w:szCs w:val="20"/>
        </w:rPr>
        <w:footnoteReference w:id="2"/>
      </w:r>
      <w:r w:rsidRPr="00A6784E">
        <w:rPr>
          <w:rFonts w:cs="Arial"/>
          <w:szCs w:val="20"/>
        </w:rPr>
        <w:t xml:space="preserve"> o digitalni operativni odpornosti za finančni sektor.</w:t>
      </w:r>
    </w:p>
    <w:bookmarkEnd w:id="4"/>
    <w:p w14:paraId="37712156" w14:textId="77777777" w:rsidR="001F0977" w:rsidRDefault="001F0977" w:rsidP="001F0977">
      <w:pPr>
        <w:jc w:val="both"/>
        <w:rPr>
          <w:rFonts w:cs="Arial"/>
          <w:szCs w:val="20"/>
        </w:rPr>
      </w:pPr>
    </w:p>
    <w:p w14:paraId="0A18C34D" w14:textId="77777777" w:rsidR="001F0977" w:rsidRDefault="001F0977" w:rsidP="001F0977">
      <w:pPr>
        <w:jc w:val="both"/>
        <w:rPr>
          <w:rFonts w:cs="Arial"/>
          <w:szCs w:val="20"/>
        </w:rPr>
      </w:pPr>
      <w:r w:rsidRPr="00A6784E">
        <w:rPr>
          <w:rFonts w:cs="Arial"/>
          <w:szCs w:val="20"/>
        </w:rPr>
        <w:t>Finančni subjekti so pri vsakodnevnem poslovanju močno odvisni od uporabe digitalnih tehnologij. Zato je izredno pomembno zagotoviti operativno odpornost njihovih digitalnih dejavnosti na tveganja na področju IKT. Ta potreba je še toliko bolj nujna zaradi rasti prelomnih tehnologij na trgu, zlasti tehnologij, ki omogočajo elektronski prenos in shranjevanje digitalnih predstavitev vrednosti ali pravic z uporabo tehnologije razpršene evidence ali podobne tehnologije (t. i. kripto</w:t>
      </w:r>
      <w:r>
        <w:rPr>
          <w:rFonts w:cs="Arial"/>
          <w:szCs w:val="20"/>
        </w:rPr>
        <w:t xml:space="preserve"> </w:t>
      </w:r>
      <w:r w:rsidRPr="00A6784E">
        <w:rPr>
          <w:rFonts w:cs="Arial"/>
          <w:szCs w:val="20"/>
        </w:rPr>
        <w:t>sredstev).</w:t>
      </w:r>
    </w:p>
    <w:p w14:paraId="73091964" w14:textId="77777777" w:rsidR="001F0977" w:rsidRPr="00A6784E" w:rsidRDefault="001F0977" w:rsidP="001F0977">
      <w:pPr>
        <w:jc w:val="both"/>
        <w:rPr>
          <w:rFonts w:cs="Arial"/>
          <w:szCs w:val="20"/>
        </w:rPr>
      </w:pPr>
    </w:p>
    <w:p w14:paraId="3F2008EA" w14:textId="77777777" w:rsidR="001F0977" w:rsidRDefault="001F0977" w:rsidP="001F0977">
      <w:pPr>
        <w:jc w:val="both"/>
        <w:rPr>
          <w:rFonts w:cs="Arial"/>
          <w:szCs w:val="20"/>
        </w:rPr>
      </w:pPr>
      <w:r w:rsidRPr="00A6784E">
        <w:rPr>
          <w:rFonts w:cs="Arial"/>
          <w:szCs w:val="20"/>
        </w:rPr>
        <w:t>Na ravni Evropske unije so zahteve glede upravljanja tveganja na področju IKT v finančnem sektorju določene v več direktivah, vključno z Direktivo 2011/61/EU</w:t>
      </w:r>
      <w:r w:rsidRPr="00A6784E">
        <w:rPr>
          <w:rStyle w:val="Sprotnaopomba-sklic"/>
          <w:rFonts w:cs="Arial"/>
          <w:szCs w:val="20"/>
        </w:rPr>
        <w:footnoteReference w:id="3"/>
      </w:r>
      <w:r w:rsidRPr="00A6784E">
        <w:rPr>
          <w:rFonts w:cs="Arial"/>
          <w:szCs w:val="20"/>
        </w:rPr>
        <w:t>. Te zahteve so raznolike in deloma nepopolne. V nekaterih primerih je bilo tveganje na področju IKT obravnavano le posredno kot del operativnega tveganja, v drugih pa sploh ni bilo obravnavano.</w:t>
      </w:r>
    </w:p>
    <w:p w14:paraId="4B02CEF3" w14:textId="77777777" w:rsidR="001F0977" w:rsidRPr="00A6784E" w:rsidRDefault="001F0977" w:rsidP="001F0977">
      <w:pPr>
        <w:jc w:val="both"/>
        <w:rPr>
          <w:rFonts w:cs="Arial"/>
          <w:szCs w:val="20"/>
        </w:rPr>
      </w:pPr>
    </w:p>
    <w:p w14:paraId="45CA273B" w14:textId="77777777" w:rsidR="001F0977" w:rsidRDefault="001F0977" w:rsidP="001F0977">
      <w:pPr>
        <w:jc w:val="both"/>
        <w:rPr>
          <w:rFonts w:cs="Arial"/>
          <w:szCs w:val="20"/>
        </w:rPr>
      </w:pPr>
      <w:r w:rsidRPr="00A6784E">
        <w:rPr>
          <w:rFonts w:cs="Arial"/>
          <w:szCs w:val="20"/>
        </w:rPr>
        <w:t xml:space="preserve">Namen Direktive (EU) 2022/2556 in Uredbe (EU) 2022/2554 je vzpostaviti celoviti in usklajeni pravni okvir za krepitev digitalne operativne odpornosti finančnega sektorja EU ter zagotoviti pravno jasnost in doslednost pri uporabi različnih zahtev glede digitalne operativne odpornosti. Namen je tudi zagotoviti usklajeno obravnavo operativnih tveganj, povezanih z informacijsko in </w:t>
      </w:r>
      <w:r w:rsidRPr="00A6784E">
        <w:rPr>
          <w:rFonts w:cs="Arial"/>
          <w:szCs w:val="20"/>
        </w:rPr>
        <w:lastRenderedPageBreak/>
        <w:t>komunikacijsko tehnologijo (IKT), ter vzpostaviti minimalne zahteve za zagotavljanje kibernetske varnosti v finančnem sektorju.</w:t>
      </w:r>
    </w:p>
    <w:p w14:paraId="774FCBEF" w14:textId="77777777" w:rsidR="001F0977" w:rsidRPr="00A6784E" w:rsidRDefault="001F0977" w:rsidP="001F0977">
      <w:pPr>
        <w:jc w:val="both"/>
        <w:rPr>
          <w:rFonts w:cs="Arial"/>
          <w:szCs w:val="20"/>
        </w:rPr>
      </w:pPr>
    </w:p>
    <w:p w14:paraId="4B4F974B" w14:textId="77777777" w:rsidR="001F0977" w:rsidRPr="00A6784E" w:rsidRDefault="001F0977" w:rsidP="001F0977">
      <w:pPr>
        <w:jc w:val="both"/>
        <w:rPr>
          <w:rFonts w:cs="Arial"/>
          <w:szCs w:val="20"/>
        </w:rPr>
      </w:pPr>
      <w:r w:rsidRPr="00A6784E">
        <w:rPr>
          <w:rFonts w:cs="Arial"/>
          <w:szCs w:val="20"/>
        </w:rPr>
        <w:t>Glavni razlog za sprejetje predloga zakona je prenos Direktive (EU) 2022/2556 v domačo zakonodajo v delu, ki se nanaša na spremembe Direktive 2011/61/EU glede upravljavcev alternativnih investicijskih skladov.</w:t>
      </w:r>
    </w:p>
    <w:p w14:paraId="476C01AC" w14:textId="77777777" w:rsidR="001F0977" w:rsidRPr="00A6784E" w:rsidRDefault="001F0977" w:rsidP="001F0977">
      <w:pPr>
        <w:jc w:val="both"/>
        <w:rPr>
          <w:rFonts w:cs="Arial"/>
          <w:szCs w:val="20"/>
        </w:rPr>
      </w:pPr>
    </w:p>
    <w:bookmarkEnd w:id="3"/>
    <w:p w14:paraId="1588ECC4" w14:textId="77777777" w:rsidR="001F0977" w:rsidRPr="00A6784E" w:rsidRDefault="001F0977" w:rsidP="001F0977">
      <w:pPr>
        <w:jc w:val="both"/>
        <w:rPr>
          <w:rFonts w:cs="Arial"/>
          <w:szCs w:val="20"/>
        </w:rPr>
      </w:pPr>
    </w:p>
    <w:p w14:paraId="40EFE768" w14:textId="77777777" w:rsidR="001F0977" w:rsidRPr="00A6784E" w:rsidRDefault="001F0977" w:rsidP="001F0977">
      <w:pPr>
        <w:numPr>
          <w:ilvl w:val="0"/>
          <w:numId w:val="3"/>
        </w:numPr>
        <w:rPr>
          <w:rFonts w:cs="Arial"/>
          <w:b/>
          <w:szCs w:val="20"/>
        </w:rPr>
      </w:pPr>
      <w:r w:rsidRPr="00A6784E">
        <w:rPr>
          <w:rFonts w:cs="Arial"/>
          <w:b/>
          <w:szCs w:val="20"/>
        </w:rPr>
        <w:t>CILJI, NAČELA IN POGLAVITNE REŠITVE PREDLOGA ZAKONA</w:t>
      </w:r>
    </w:p>
    <w:p w14:paraId="4E8D5034" w14:textId="77777777" w:rsidR="001F0977" w:rsidRPr="00A6784E" w:rsidRDefault="001F0977" w:rsidP="001F0977">
      <w:pPr>
        <w:jc w:val="both"/>
        <w:rPr>
          <w:rFonts w:cs="Arial"/>
          <w:szCs w:val="20"/>
        </w:rPr>
      </w:pPr>
    </w:p>
    <w:p w14:paraId="1E4AC96A" w14:textId="77777777" w:rsidR="001F0977" w:rsidRPr="00A6784E" w:rsidRDefault="001F0977" w:rsidP="001F0977">
      <w:pPr>
        <w:jc w:val="both"/>
        <w:rPr>
          <w:rFonts w:cs="Arial"/>
          <w:b/>
          <w:szCs w:val="20"/>
        </w:rPr>
      </w:pPr>
      <w:r w:rsidRPr="00A6784E">
        <w:rPr>
          <w:rFonts w:cs="Arial"/>
          <w:b/>
          <w:szCs w:val="20"/>
        </w:rPr>
        <w:t>2.1. Cilji</w:t>
      </w:r>
    </w:p>
    <w:p w14:paraId="361D97EA" w14:textId="77777777" w:rsidR="001F0977" w:rsidRPr="00A6784E" w:rsidRDefault="001F0977" w:rsidP="001F0977">
      <w:pPr>
        <w:jc w:val="both"/>
        <w:rPr>
          <w:rFonts w:cs="Arial"/>
          <w:szCs w:val="20"/>
        </w:rPr>
      </w:pPr>
    </w:p>
    <w:p w14:paraId="2859AC86" w14:textId="77777777" w:rsidR="001F0977" w:rsidRPr="00A6784E" w:rsidRDefault="001F0977" w:rsidP="001F0977">
      <w:pPr>
        <w:jc w:val="both"/>
        <w:rPr>
          <w:rFonts w:cs="Arial"/>
          <w:szCs w:val="20"/>
        </w:rPr>
      </w:pPr>
    </w:p>
    <w:p w14:paraId="133C5338" w14:textId="77777777" w:rsidR="001F0977" w:rsidRPr="00A6784E" w:rsidRDefault="001F0977" w:rsidP="001F0977">
      <w:pPr>
        <w:jc w:val="both"/>
        <w:rPr>
          <w:rFonts w:cs="Arial"/>
          <w:szCs w:val="20"/>
        </w:rPr>
      </w:pPr>
      <w:r w:rsidRPr="00A6784E">
        <w:rPr>
          <w:rFonts w:cs="Arial"/>
          <w:szCs w:val="20"/>
        </w:rPr>
        <w:t>Glavni cilj predloga zakona je uskladitev slovenske zakonodaje z evropskim pravnim redom, in sicer prenos Direktive (EU) 2022/2556 v slovenski pravni red v delu, ki se nanaša na spremembe Direktive 2011/61/EU. S tem se bo zagotovil celovit in usklajen okvir za obvladovanje operativnih tveganj, povezanih z IKT, pri upravljavcih alternativnih investicijskih skladov ter vzpostavil enoten pristop k digitalni operativni odpornosti v finančnem sektorju.</w:t>
      </w:r>
    </w:p>
    <w:p w14:paraId="0C514A36" w14:textId="77777777" w:rsidR="001F0977" w:rsidRPr="00A6784E" w:rsidRDefault="001F0977" w:rsidP="001F0977">
      <w:pPr>
        <w:jc w:val="both"/>
        <w:rPr>
          <w:rFonts w:cs="Arial"/>
          <w:szCs w:val="20"/>
        </w:rPr>
      </w:pPr>
    </w:p>
    <w:p w14:paraId="2598BC4E" w14:textId="77777777" w:rsidR="001F0977" w:rsidRPr="00A6784E" w:rsidRDefault="001F0977" w:rsidP="001F0977">
      <w:pPr>
        <w:jc w:val="both"/>
        <w:rPr>
          <w:rFonts w:cs="Arial"/>
          <w:b/>
          <w:szCs w:val="20"/>
        </w:rPr>
      </w:pPr>
      <w:r w:rsidRPr="00A6784E">
        <w:rPr>
          <w:rFonts w:cs="Arial"/>
          <w:b/>
          <w:szCs w:val="20"/>
        </w:rPr>
        <w:t>2.2. Načela</w:t>
      </w:r>
    </w:p>
    <w:p w14:paraId="6F7CC923" w14:textId="77777777" w:rsidR="001F0977" w:rsidRPr="00A6784E" w:rsidRDefault="001F0977" w:rsidP="001F0977">
      <w:pPr>
        <w:autoSpaceDE w:val="0"/>
        <w:autoSpaceDN w:val="0"/>
        <w:adjustRightInd w:val="0"/>
        <w:jc w:val="both"/>
        <w:rPr>
          <w:rFonts w:cs="Arial"/>
          <w:szCs w:val="20"/>
        </w:rPr>
      </w:pPr>
    </w:p>
    <w:p w14:paraId="213D2486" w14:textId="77777777" w:rsidR="001F0977" w:rsidRPr="00A6784E" w:rsidRDefault="001F0977" w:rsidP="001F0977">
      <w:pPr>
        <w:autoSpaceDE w:val="0"/>
        <w:autoSpaceDN w:val="0"/>
        <w:adjustRightInd w:val="0"/>
        <w:jc w:val="both"/>
        <w:rPr>
          <w:rFonts w:cs="Arial"/>
          <w:szCs w:val="20"/>
        </w:rPr>
      </w:pPr>
      <w:r w:rsidRPr="00A6784E">
        <w:rPr>
          <w:rFonts w:cs="Arial"/>
          <w:szCs w:val="20"/>
        </w:rPr>
        <w:t>Predlog zakona ne odstopa od načel, ki so bila upoštevana že ob pripravi veljavnega zakona.</w:t>
      </w:r>
    </w:p>
    <w:p w14:paraId="41AEF63B" w14:textId="77777777" w:rsidR="001F0977" w:rsidRPr="00A6784E" w:rsidRDefault="001F0977" w:rsidP="001F0977">
      <w:pPr>
        <w:jc w:val="both"/>
        <w:rPr>
          <w:rFonts w:cs="Arial"/>
          <w:szCs w:val="20"/>
        </w:rPr>
      </w:pPr>
    </w:p>
    <w:p w14:paraId="70290F32" w14:textId="77777777" w:rsidR="001F0977" w:rsidRPr="00A6784E" w:rsidRDefault="001F0977" w:rsidP="001F0977">
      <w:pPr>
        <w:jc w:val="both"/>
        <w:rPr>
          <w:rFonts w:cs="Arial"/>
          <w:b/>
          <w:szCs w:val="20"/>
        </w:rPr>
      </w:pPr>
      <w:bookmarkStart w:id="5" w:name="_Hlk55899654"/>
      <w:bookmarkStart w:id="6" w:name="_Hlk36040354"/>
      <w:r w:rsidRPr="00A6784E">
        <w:rPr>
          <w:rFonts w:cs="Arial"/>
          <w:b/>
          <w:szCs w:val="20"/>
        </w:rPr>
        <w:t>2.3. Poglavitne rešitve</w:t>
      </w:r>
    </w:p>
    <w:bookmarkEnd w:id="5"/>
    <w:p w14:paraId="7238E23A" w14:textId="77777777" w:rsidR="001F0977" w:rsidRPr="00A6784E" w:rsidRDefault="001F0977" w:rsidP="001F0977">
      <w:pPr>
        <w:jc w:val="both"/>
        <w:rPr>
          <w:rFonts w:cs="Arial"/>
          <w:szCs w:val="20"/>
        </w:rPr>
      </w:pPr>
    </w:p>
    <w:bookmarkEnd w:id="2"/>
    <w:bookmarkEnd w:id="6"/>
    <w:p w14:paraId="0B4BCF06" w14:textId="77777777" w:rsidR="001F0977" w:rsidRDefault="001F0977" w:rsidP="001F0977">
      <w:pPr>
        <w:jc w:val="both"/>
        <w:rPr>
          <w:rFonts w:cs="Arial"/>
          <w:szCs w:val="20"/>
        </w:rPr>
      </w:pPr>
      <w:r w:rsidRPr="00A6784E">
        <w:rPr>
          <w:rFonts w:cs="Arial"/>
          <w:szCs w:val="20"/>
        </w:rPr>
        <w:t xml:space="preserve">Pri pripravi predloga zakona so pripravljavci upoštevali predvsem prenos zahtev Direktive (EU) 2022/2556 v slovenski pravni red. Direktiva spreminja več direktiv EU s področja finančnih storitev z namenom vzpostavitve enotnega okvira za digitalno operativno odpornost. V </w:t>
      </w:r>
      <w:r w:rsidRPr="004D401E">
        <w:rPr>
          <w:rFonts w:cs="Arial"/>
          <w:szCs w:val="20"/>
        </w:rPr>
        <w:t xml:space="preserve">Zakon o upravljavcih alternativnih investicijskih skladov </w:t>
      </w:r>
      <w:r w:rsidRPr="00A6784E">
        <w:rPr>
          <w:rFonts w:cs="Arial"/>
          <w:szCs w:val="20"/>
        </w:rPr>
        <w:t>se prenašajo določbe, ki spreminjajo Direktivo 2011/61/EU.</w:t>
      </w:r>
    </w:p>
    <w:p w14:paraId="7651C7B5" w14:textId="77777777" w:rsidR="001F0977" w:rsidRPr="00A6784E" w:rsidRDefault="001F0977" w:rsidP="001F0977">
      <w:pPr>
        <w:jc w:val="both"/>
        <w:rPr>
          <w:rFonts w:cs="Arial"/>
          <w:szCs w:val="20"/>
        </w:rPr>
      </w:pPr>
    </w:p>
    <w:p w14:paraId="3A67633D" w14:textId="77777777" w:rsidR="001F0977" w:rsidRDefault="001F0977" w:rsidP="001F0977">
      <w:pPr>
        <w:jc w:val="both"/>
        <w:rPr>
          <w:rFonts w:cs="Arial"/>
          <w:szCs w:val="20"/>
        </w:rPr>
      </w:pPr>
      <w:r w:rsidRPr="00A6784E">
        <w:rPr>
          <w:rFonts w:cs="Arial"/>
          <w:szCs w:val="20"/>
        </w:rPr>
        <w:t xml:space="preserve">S tem zakonom se najprej dopolnjuje seznam evropskih direktiv, katerih prenos se ureja s tem zakonom. </w:t>
      </w:r>
    </w:p>
    <w:p w14:paraId="2B56F7FF" w14:textId="77777777" w:rsidR="001F0977" w:rsidRPr="00A6784E" w:rsidRDefault="001F0977" w:rsidP="001F0977">
      <w:pPr>
        <w:jc w:val="both"/>
        <w:rPr>
          <w:rFonts w:cs="Arial"/>
          <w:szCs w:val="20"/>
        </w:rPr>
      </w:pPr>
      <w:r w:rsidRPr="00A6784E">
        <w:rPr>
          <w:rFonts w:cs="Arial"/>
          <w:szCs w:val="20"/>
        </w:rPr>
        <w:t xml:space="preserve">V 2. člen </w:t>
      </w:r>
      <w:r w:rsidRPr="004D401E">
        <w:rPr>
          <w:rFonts w:cs="Arial"/>
          <w:szCs w:val="20"/>
        </w:rPr>
        <w:t>Zakona o upravljavcih alternativnih investicijskih skladov</w:t>
      </w:r>
      <w:r w:rsidRPr="00A6784E">
        <w:rPr>
          <w:rFonts w:cs="Arial"/>
          <w:szCs w:val="20"/>
        </w:rPr>
        <w:t xml:space="preserve"> se tako dodaja sklic na Direktivo (EU) 2022/2556. S tem se zagotavlja preglednost izvajanja evropske zakonodaje in jasno navaja, da zakon v slovenski pravni red prenaša tudi to direktivo.</w:t>
      </w:r>
    </w:p>
    <w:p w14:paraId="4274CD80" w14:textId="77777777" w:rsidR="001F0977" w:rsidRPr="00A6784E" w:rsidRDefault="001F0977" w:rsidP="001F0977">
      <w:pPr>
        <w:jc w:val="both"/>
        <w:rPr>
          <w:rFonts w:cs="Arial"/>
          <w:szCs w:val="20"/>
        </w:rPr>
      </w:pPr>
      <w:r w:rsidRPr="00A6784E">
        <w:rPr>
          <w:rFonts w:cs="Arial"/>
          <w:szCs w:val="20"/>
        </w:rPr>
        <w:t>Ključna vsebinska sprememba se nanaša na dopolnitev določb zakona glede zahtev za nadzorno in varnostno ureditev za elektronsko obdelavo podatkov. Po novem bodo morali biti informacijski sistemi upravljavcev alternativnih investicijskih skladov vzpostavljeni in upravljani v skladu z Uredbo (EU) 2022/2554, ki celovito ureja področje digitalne operativne odpornosti v finančnem sektorju. Ta sprememba bo zagotovila, da bodo upravljavci vzpostavili ustrezne sisteme in postopke za obvladovanje tveganj, povezanih z informacijsko in komunikacijsko tehnologijo (IKT).</w:t>
      </w:r>
    </w:p>
    <w:p w14:paraId="15FC7581" w14:textId="77777777" w:rsidR="001F0977" w:rsidRPr="00A6784E" w:rsidRDefault="001F0977" w:rsidP="001F0977">
      <w:pPr>
        <w:jc w:val="both"/>
        <w:rPr>
          <w:rFonts w:cs="Arial"/>
          <w:szCs w:val="20"/>
        </w:rPr>
      </w:pPr>
      <w:r w:rsidRPr="00A6784E">
        <w:rPr>
          <w:rFonts w:cs="Arial"/>
          <w:szCs w:val="20"/>
        </w:rPr>
        <w:t>Cilj predloga zakona je vzpostavitev enotnega pristopa k upravljanju tveganj IKT v finančnem sektorju. Doslej so bile zahteve na tem področju razpršene po različnih predpisih in niso bile vedno celovite. V nekaterih primerih je bilo tveganje na področju IKT obravnavano le posredno kot del operativnega tveganja. Z novimi določbami se vzpostavlja enotni in celoviti okvir za obvladovanje teh tveganj, kar bo prispevalo k večji digitalni odpornosti upravljavcev alternativnih investicijskih skladov.</w:t>
      </w:r>
    </w:p>
    <w:p w14:paraId="11348CB7" w14:textId="77777777" w:rsidR="001F0977" w:rsidRPr="00A6784E" w:rsidRDefault="001F0977" w:rsidP="001F0977">
      <w:pPr>
        <w:jc w:val="both"/>
        <w:rPr>
          <w:rFonts w:cs="Arial"/>
          <w:szCs w:val="20"/>
        </w:rPr>
      </w:pPr>
      <w:r w:rsidRPr="00A6784E">
        <w:rPr>
          <w:rFonts w:cs="Arial"/>
          <w:szCs w:val="20"/>
        </w:rPr>
        <w:t>Predlagana ureditev tudi vzpostavlja minimalne zahteve za zagotavljanje kibernetske varnosti, ki jih morajo izpolnjevati upravljavci alternativnih investicijskih skladov. Te zahteve so določene v Uredbi (EU) 2022/2554, na katero se sklicuje predlog zakona. S tem se zagotavlja pravna jasnost glede potrebnih ukrepov za zagotavljanje kibernetske varnosti in operativne odpornosti informacijskih sistemov.</w:t>
      </w:r>
    </w:p>
    <w:p w14:paraId="2806FA76" w14:textId="77777777" w:rsidR="001F0977" w:rsidRPr="00A6784E" w:rsidRDefault="001F0977" w:rsidP="001F0977">
      <w:pPr>
        <w:jc w:val="both"/>
        <w:rPr>
          <w:rFonts w:cs="Arial"/>
          <w:szCs w:val="20"/>
        </w:rPr>
      </w:pPr>
      <w:r w:rsidRPr="00A6784E">
        <w:rPr>
          <w:rFonts w:cs="Arial"/>
          <w:szCs w:val="20"/>
        </w:rPr>
        <w:lastRenderedPageBreak/>
        <w:t xml:space="preserve">Vse te spremembe bodo prispevale k večji varnosti in zanesljivosti poslovanja upravljavcev alternativnih investicijskih skladov in boljšemu obvladovanju tveganj, povezanih z digitalizacijo finančnega sektorja.  </w:t>
      </w:r>
    </w:p>
    <w:p w14:paraId="2EC33A43" w14:textId="77777777" w:rsidR="001F0977" w:rsidRPr="00A6784E" w:rsidRDefault="001F0977" w:rsidP="001F0977">
      <w:pPr>
        <w:jc w:val="both"/>
        <w:rPr>
          <w:rFonts w:cs="Arial"/>
          <w:szCs w:val="20"/>
        </w:rPr>
      </w:pPr>
    </w:p>
    <w:p w14:paraId="129EFB6D" w14:textId="77777777" w:rsidR="001F0977" w:rsidRPr="00A6784E" w:rsidRDefault="001F0977" w:rsidP="001F0977">
      <w:pPr>
        <w:numPr>
          <w:ilvl w:val="0"/>
          <w:numId w:val="3"/>
        </w:numPr>
        <w:rPr>
          <w:rFonts w:cs="Arial"/>
          <w:b/>
          <w:szCs w:val="20"/>
        </w:rPr>
      </w:pPr>
      <w:r w:rsidRPr="00A6784E">
        <w:rPr>
          <w:rFonts w:cs="Arial"/>
          <w:b/>
          <w:szCs w:val="20"/>
        </w:rPr>
        <w:t>OCENA FINANČNIH POSLEDIC PREDLOGA ZAKONA ZA DRŽAVNI PRORAČUN IN DRUGA JAVNA FINANČNA SREDSTVA</w:t>
      </w:r>
    </w:p>
    <w:p w14:paraId="78204B54" w14:textId="77777777" w:rsidR="001F0977" w:rsidRPr="00A6784E" w:rsidRDefault="001F0977" w:rsidP="001F0977">
      <w:pPr>
        <w:rPr>
          <w:rFonts w:cs="Arial"/>
          <w:b/>
          <w:szCs w:val="20"/>
        </w:rPr>
      </w:pPr>
    </w:p>
    <w:p w14:paraId="09F6C157" w14:textId="77777777" w:rsidR="001F0977" w:rsidRPr="00A6784E" w:rsidRDefault="001F0977" w:rsidP="001F0977">
      <w:pPr>
        <w:rPr>
          <w:rFonts w:cs="Arial"/>
          <w:szCs w:val="20"/>
        </w:rPr>
      </w:pPr>
      <w:r w:rsidRPr="00A6784E">
        <w:rPr>
          <w:rFonts w:cs="Arial"/>
          <w:szCs w:val="20"/>
        </w:rPr>
        <w:t>Predlog zakona nima finančnih posledic za državni proračun in druga javna finančna sredstva.</w:t>
      </w:r>
    </w:p>
    <w:p w14:paraId="5A63E8C4" w14:textId="77777777" w:rsidR="001F0977" w:rsidRPr="00A6784E" w:rsidRDefault="001F0977" w:rsidP="001F0977">
      <w:pPr>
        <w:rPr>
          <w:rFonts w:cs="Arial"/>
          <w:szCs w:val="20"/>
        </w:rPr>
      </w:pPr>
    </w:p>
    <w:p w14:paraId="45E58FF4" w14:textId="77777777" w:rsidR="001F0977" w:rsidRPr="00A6784E" w:rsidRDefault="001F0977" w:rsidP="001F0977">
      <w:pPr>
        <w:numPr>
          <w:ilvl w:val="0"/>
          <w:numId w:val="3"/>
        </w:numPr>
        <w:jc w:val="both"/>
        <w:rPr>
          <w:rFonts w:cs="Arial"/>
          <w:b/>
          <w:szCs w:val="20"/>
        </w:rPr>
      </w:pPr>
      <w:r w:rsidRPr="00A6784E">
        <w:rPr>
          <w:rFonts w:cs="Arial"/>
          <w:b/>
          <w:szCs w:val="20"/>
        </w:rPr>
        <w:t>NAVEDBA, DA SO SREDSTVA ZA IZVAJANJE ZAKONA V DRŽAVNEM PRORAČUNU ZAGOTOVLJENA, ČE PREDLOG ZAKONA PREDVIDEVA PORABO PRORAČUNSKIH SREDSTEV V OBDOBJU, ZA KATERO JE BIL DRŽAVNI PRORAČUN ŽE SPREJET</w:t>
      </w:r>
    </w:p>
    <w:p w14:paraId="12D05AEF" w14:textId="77777777" w:rsidR="001F0977" w:rsidRPr="00A6784E" w:rsidRDefault="001F0977" w:rsidP="001F0977">
      <w:pPr>
        <w:rPr>
          <w:rFonts w:cs="Arial"/>
          <w:szCs w:val="20"/>
        </w:rPr>
      </w:pPr>
    </w:p>
    <w:p w14:paraId="5E3D4DC0" w14:textId="77777777" w:rsidR="001F0977" w:rsidRPr="00A6784E" w:rsidRDefault="001F0977" w:rsidP="001F0977">
      <w:pPr>
        <w:rPr>
          <w:rFonts w:cs="Arial"/>
          <w:szCs w:val="20"/>
        </w:rPr>
      </w:pPr>
      <w:r w:rsidRPr="00A6784E">
        <w:rPr>
          <w:rFonts w:cs="Arial"/>
          <w:szCs w:val="20"/>
        </w:rPr>
        <w:t>Predlog zakona ne predvideva porabe proračunskih sredstev za obdobje, za katero je bil državni proračun že sprejet.</w:t>
      </w:r>
    </w:p>
    <w:p w14:paraId="70DCB12A" w14:textId="77777777" w:rsidR="001F0977" w:rsidRPr="00A6784E" w:rsidRDefault="001F0977" w:rsidP="001F0977">
      <w:pPr>
        <w:rPr>
          <w:rFonts w:cs="Arial"/>
          <w:szCs w:val="20"/>
        </w:rPr>
      </w:pPr>
    </w:p>
    <w:p w14:paraId="5D85801B" w14:textId="77777777" w:rsidR="001F0977" w:rsidRPr="00A6784E" w:rsidRDefault="001F0977" w:rsidP="001F0977">
      <w:pPr>
        <w:numPr>
          <w:ilvl w:val="0"/>
          <w:numId w:val="3"/>
        </w:numPr>
        <w:jc w:val="both"/>
        <w:rPr>
          <w:rFonts w:cs="Arial"/>
          <w:b/>
          <w:szCs w:val="20"/>
        </w:rPr>
      </w:pPr>
      <w:bookmarkStart w:id="7" w:name="_Hlk55537161"/>
      <w:r w:rsidRPr="00A6784E">
        <w:rPr>
          <w:rFonts w:cs="Arial"/>
          <w:b/>
          <w:szCs w:val="20"/>
        </w:rPr>
        <w:t xml:space="preserve">PRIKAZ UREDITVE V DRUGIH PRAVNIH SISTEMIH </w:t>
      </w:r>
      <w:bookmarkEnd w:id="7"/>
      <w:r w:rsidRPr="00A6784E">
        <w:rPr>
          <w:rFonts w:cs="Arial"/>
          <w:b/>
          <w:szCs w:val="20"/>
        </w:rPr>
        <w:t>IN PRILAGOJENOSTI PREDLAGANE UREDITVE PRAVU EVROPSKE UNIJE</w:t>
      </w:r>
    </w:p>
    <w:p w14:paraId="7D7E142E" w14:textId="77777777" w:rsidR="000D4E06" w:rsidRDefault="000D4E06" w:rsidP="000D4E06">
      <w:pPr>
        <w:autoSpaceDE w:val="0"/>
        <w:autoSpaceDN w:val="0"/>
        <w:adjustRightInd w:val="0"/>
        <w:spacing w:line="240" w:lineRule="auto"/>
        <w:rPr>
          <w:rFonts w:ascii="Tms Rmn" w:eastAsiaTheme="minorHAnsi" w:hAnsi="Tms Rmn" w:cstheme="minorBidi"/>
          <w:sz w:val="24"/>
        </w:rPr>
      </w:pPr>
    </w:p>
    <w:p w14:paraId="68D935B9" w14:textId="77777777" w:rsidR="000D4E06" w:rsidRDefault="000D4E06" w:rsidP="000D4E06">
      <w:pPr>
        <w:autoSpaceDE w:val="0"/>
        <w:autoSpaceDN w:val="0"/>
        <w:adjustRightInd w:val="0"/>
        <w:spacing w:line="240" w:lineRule="auto"/>
        <w:rPr>
          <w:rFonts w:eastAsiaTheme="minorHAnsi" w:cs="Arial"/>
          <w:color w:val="000000"/>
          <w:szCs w:val="20"/>
        </w:rPr>
      </w:pPr>
      <w:bookmarkStart w:id="8" w:name="_GoBack"/>
      <w:r>
        <w:rPr>
          <w:rFonts w:eastAsiaTheme="minorHAnsi" w:cs="Arial"/>
          <w:color w:val="000000"/>
          <w:szCs w:val="20"/>
        </w:rPr>
        <w:t>Države članice EU so v procesu prenosa Direktive (EU) 2022/2556 v svoje domače zakonodaje</w:t>
      </w:r>
      <w:r>
        <w:rPr>
          <w:rFonts w:eastAsiaTheme="minorHAnsi" w:cs="Arial"/>
          <w:color w:val="FF0000"/>
          <w:szCs w:val="20"/>
        </w:rPr>
        <w:t xml:space="preserve">, </w:t>
      </w:r>
      <w:r w:rsidRPr="000D4E06">
        <w:rPr>
          <w:rFonts w:ascii="Helv" w:eastAsiaTheme="minorHAnsi" w:hAnsi="Helv" w:cs="Helv"/>
          <w:szCs w:val="20"/>
        </w:rPr>
        <w:t>zaradi tega ne moremo podati primerjave treh držav članic</w:t>
      </w:r>
      <w:r w:rsidRPr="000D4E06">
        <w:rPr>
          <w:rFonts w:eastAsiaTheme="minorHAnsi" w:cs="Arial"/>
          <w:szCs w:val="20"/>
        </w:rPr>
        <w:t xml:space="preserve">. </w:t>
      </w:r>
      <w:r>
        <w:rPr>
          <w:rFonts w:eastAsiaTheme="minorHAnsi" w:cs="Arial"/>
          <w:color w:val="000000"/>
          <w:szCs w:val="20"/>
        </w:rPr>
        <w:t>Rok za prenos je 17. januar 2025. Države članice morajo te predpise uporabljati od tega dne.</w:t>
      </w:r>
    </w:p>
    <w:bookmarkEnd w:id="8"/>
    <w:p w14:paraId="08928E8C" w14:textId="77777777" w:rsidR="000D4E06" w:rsidRPr="00A6784E" w:rsidRDefault="000D4E06" w:rsidP="001F0977">
      <w:pPr>
        <w:jc w:val="both"/>
        <w:rPr>
          <w:rFonts w:cs="Arial"/>
          <w:szCs w:val="20"/>
        </w:rPr>
      </w:pPr>
    </w:p>
    <w:p w14:paraId="30E47698" w14:textId="77777777" w:rsidR="001F0977" w:rsidRPr="00A6784E" w:rsidRDefault="001F0977" w:rsidP="001F0977">
      <w:pPr>
        <w:jc w:val="both"/>
        <w:rPr>
          <w:rFonts w:cs="Arial"/>
          <w:szCs w:val="20"/>
        </w:rPr>
      </w:pPr>
      <w:r w:rsidRPr="00A6784E">
        <w:rPr>
          <w:rFonts w:cs="Arial"/>
          <w:szCs w:val="20"/>
        </w:rPr>
        <w:t xml:space="preserve"> </w:t>
      </w:r>
    </w:p>
    <w:p w14:paraId="47A66043" w14:textId="77777777" w:rsidR="001F0977" w:rsidRPr="00A6784E" w:rsidRDefault="001F0977" w:rsidP="001F0977">
      <w:pPr>
        <w:numPr>
          <w:ilvl w:val="0"/>
          <w:numId w:val="3"/>
        </w:numPr>
        <w:rPr>
          <w:rFonts w:cs="Arial"/>
          <w:b/>
          <w:szCs w:val="20"/>
        </w:rPr>
      </w:pPr>
      <w:r w:rsidRPr="00A6784E">
        <w:rPr>
          <w:rFonts w:cs="Arial"/>
          <w:b/>
          <w:szCs w:val="20"/>
        </w:rPr>
        <w:t>PRESOJA POSLEDIC, KI JIH BO IMEL SPREJEM ZAKONA</w:t>
      </w:r>
    </w:p>
    <w:p w14:paraId="54C7C946" w14:textId="77777777" w:rsidR="001F0977" w:rsidRPr="00A6784E" w:rsidRDefault="001F0977" w:rsidP="001F0977">
      <w:pPr>
        <w:jc w:val="both"/>
        <w:rPr>
          <w:rFonts w:cs="Arial"/>
          <w:szCs w:val="20"/>
        </w:rPr>
      </w:pPr>
    </w:p>
    <w:p w14:paraId="0F816198" w14:textId="77777777" w:rsidR="001F0977" w:rsidRPr="00A6784E" w:rsidRDefault="001F0977" w:rsidP="001F0977">
      <w:pPr>
        <w:jc w:val="both"/>
        <w:rPr>
          <w:rFonts w:cs="Arial"/>
          <w:szCs w:val="20"/>
        </w:rPr>
      </w:pPr>
      <w:r w:rsidRPr="00A6784E">
        <w:rPr>
          <w:rFonts w:cs="Arial"/>
          <w:b/>
          <w:szCs w:val="20"/>
        </w:rPr>
        <w:t>6.1 Presoja administrativnih posledic</w:t>
      </w:r>
    </w:p>
    <w:p w14:paraId="7189AB8E" w14:textId="77777777" w:rsidR="001F0977" w:rsidRPr="00A6784E" w:rsidRDefault="001F0977" w:rsidP="001F0977">
      <w:pPr>
        <w:jc w:val="both"/>
        <w:rPr>
          <w:rFonts w:cs="Arial"/>
          <w:b/>
          <w:szCs w:val="20"/>
        </w:rPr>
      </w:pPr>
    </w:p>
    <w:p w14:paraId="49874E49" w14:textId="77777777" w:rsidR="001F0977" w:rsidRPr="00A6784E" w:rsidRDefault="001F0977" w:rsidP="001F0977">
      <w:pPr>
        <w:jc w:val="both"/>
        <w:rPr>
          <w:rFonts w:cs="Arial"/>
          <w:b/>
          <w:szCs w:val="20"/>
        </w:rPr>
      </w:pPr>
      <w:r w:rsidRPr="00A6784E">
        <w:rPr>
          <w:rFonts w:cs="Arial"/>
          <w:b/>
          <w:szCs w:val="20"/>
        </w:rPr>
        <w:t>a) v postopkih oziroma poslovanju javne uprave ali pravosodnih organov:</w:t>
      </w:r>
    </w:p>
    <w:p w14:paraId="66D32F58" w14:textId="77777777" w:rsidR="001F0977" w:rsidRPr="00A6784E" w:rsidRDefault="001F0977" w:rsidP="001F0977">
      <w:pPr>
        <w:jc w:val="both"/>
        <w:rPr>
          <w:rFonts w:cs="Arial"/>
          <w:szCs w:val="20"/>
        </w:rPr>
      </w:pPr>
    </w:p>
    <w:p w14:paraId="4ECC213A" w14:textId="77777777" w:rsidR="001F0977" w:rsidRPr="00A6784E" w:rsidRDefault="001F0977" w:rsidP="001F0977">
      <w:pPr>
        <w:jc w:val="both"/>
        <w:rPr>
          <w:rFonts w:cs="Arial"/>
          <w:szCs w:val="20"/>
        </w:rPr>
      </w:pPr>
      <w:r w:rsidRPr="00A6784E">
        <w:rPr>
          <w:rFonts w:cs="Arial"/>
          <w:szCs w:val="20"/>
        </w:rPr>
        <w:t>Ni posledic.</w:t>
      </w:r>
    </w:p>
    <w:p w14:paraId="08239B3F" w14:textId="77777777" w:rsidR="001F0977" w:rsidRPr="00A6784E" w:rsidRDefault="001F0977" w:rsidP="001F0977">
      <w:pPr>
        <w:jc w:val="both"/>
        <w:rPr>
          <w:rFonts w:cs="Arial"/>
          <w:b/>
          <w:szCs w:val="20"/>
        </w:rPr>
      </w:pPr>
    </w:p>
    <w:p w14:paraId="590765F3" w14:textId="77777777" w:rsidR="001F0977" w:rsidRPr="00A6784E" w:rsidRDefault="001F0977" w:rsidP="001F0977">
      <w:pPr>
        <w:jc w:val="both"/>
        <w:rPr>
          <w:rFonts w:cs="Arial"/>
          <w:szCs w:val="20"/>
        </w:rPr>
      </w:pPr>
      <w:r w:rsidRPr="00A6784E">
        <w:rPr>
          <w:rFonts w:cs="Arial"/>
          <w:b/>
          <w:szCs w:val="20"/>
        </w:rPr>
        <w:t>b) pri obveznostih strank do javne uprave ali pravosodnih organov:</w:t>
      </w:r>
    </w:p>
    <w:p w14:paraId="0BDEFF9C" w14:textId="77777777" w:rsidR="001F0977" w:rsidRPr="00A6784E" w:rsidRDefault="001F0977" w:rsidP="001F0977">
      <w:pPr>
        <w:jc w:val="both"/>
        <w:rPr>
          <w:rFonts w:cs="Arial"/>
          <w:szCs w:val="20"/>
        </w:rPr>
      </w:pPr>
      <w:r w:rsidRPr="00A6784E">
        <w:rPr>
          <w:rFonts w:cs="Arial"/>
          <w:szCs w:val="20"/>
        </w:rPr>
        <w:t>Ni posledic.</w:t>
      </w:r>
    </w:p>
    <w:p w14:paraId="0500BF78" w14:textId="77777777" w:rsidR="001F0977" w:rsidRPr="00A6784E" w:rsidRDefault="001F0977" w:rsidP="001F0977">
      <w:pPr>
        <w:jc w:val="both"/>
        <w:rPr>
          <w:rFonts w:cs="Arial"/>
          <w:b/>
          <w:szCs w:val="20"/>
        </w:rPr>
      </w:pPr>
    </w:p>
    <w:p w14:paraId="08BE1020" w14:textId="77777777" w:rsidR="001F0977" w:rsidRPr="00A6784E" w:rsidRDefault="001F0977" w:rsidP="001F0977">
      <w:pPr>
        <w:jc w:val="both"/>
        <w:rPr>
          <w:rFonts w:cs="Arial"/>
          <w:b/>
          <w:szCs w:val="20"/>
        </w:rPr>
      </w:pPr>
      <w:r w:rsidRPr="00A6784E">
        <w:rPr>
          <w:rFonts w:cs="Arial"/>
          <w:b/>
          <w:szCs w:val="20"/>
        </w:rPr>
        <w:t>6.2. Presoja posledic za okolje, vključno s prostorskimi in varstvenimi vidiki</w:t>
      </w:r>
    </w:p>
    <w:p w14:paraId="7E7D5192" w14:textId="77777777" w:rsidR="001F0977" w:rsidRPr="00A6784E" w:rsidRDefault="001F0977" w:rsidP="001F0977">
      <w:pPr>
        <w:jc w:val="both"/>
        <w:rPr>
          <w:rFonts w:cs="Arial"/>
          <w:szCs w:val="20"/>
        </w:rPr>
      </w:pPr>
    </w:p>
    <w:p w14:paraId="28AF45DA" w14:textId="77777777" w:rsidR="001F0977" w:rsidRPr="00A6784E" w:rsidRDefault="001F0977" w:rsidP="001F0977">
      <w:pPr>
        <w:jc w:val="both"/>
        <w:rPr>
          <w:rFonts w:cs="Arial"/>
          <w:szCs w:val="20"/>
        </w:rPr>
      </w:pPr>
      <w:r w:rsidRPr="00A6784E">
        <w:rPr>
          <w:rFonts w:cs="Arial"/>
          <w:szCs w:val="20"/>
        </w:rPr>
        <w:t>Predlog zakona nima posledic za okolje, vključno s prostorskimi in varstvenimi vidiki.</w:t>
      </w:r>
    </w:p>
    <w:p w14:paraId="671780C1" w14:textId="77777777" w:rsidR="001F0977" w:rsidRPr="00A6784E" w:rsidRDefault="001F0977" w:rsidP="001F0977">
      <w:pPr>
        <w:jc w:val="both"/>
        <w:rPr>
          <w:rFonts w:cs="Arial"/>
          <w:szCs w:val="20"/>
        </w:rPr>
      </w:pPr>
    </w:p>
    <w:p w14:paraId="0BB34DAC" w14:textId="77777777" w:rsidR="001F0977" w:rsidRPr="00A6784E" w:rsidRDefault="001F0977" w:rsidP="001F0977">
      <w:pPr>
        <w:jc w:val="both"/>
        <w:rPr>
          <w:rFonts w:cs="Arial"/>
          <w:b/>
          <w:szCs w:val="20"/>
        </w:rPr>
      </w:pPr>
      <w:r w:rsidRPr="00A6784E">
        <w:rPr>
          <w:rFonts w:cs="Arial"/>
          <w:b/>
          <w:szCs w:val="20"/>
        </w:rPr>
        <w:t>6.3. Presoja posledic za gospodarstvo</w:t>
      </w:r>
    </w:p>
    <w:p w14:paraId="78B785FD" w14:textId="77777777" w:rsidR="001F0977" w:rsidRPr="00A6784E" w:rsidRDefault="001F0977" w:rsidP="001F0977">
      <w:pPr>
        <w:jc w:val="both"/>
        <w:rPr>
          <w:rFonts w:cs="Arial"/>
          <w:szCs w:val="20"/>
        </w:rPr>
      </w:pPr>
    </w:p>
    <w:p w14:paraId="339C3831" w14:textId="77777777" w:rsidR="001F0977" w:rsidRPr="00A6784E" w:rsidRDefault="001F0977" w:rsidP="001F0977">
      <w:pPr>
        <w:jc w:val="both"/>
        <w:rPr>
          <w:rFonts w:cs="Arial"/>
          <w:szCs w:val="20"/>
        </w:rPr>
      </w:pPr>
      <w:r w:rsidRPr="00A6784E">
        <w:rPr>
          <w:rFonts w:cs="Arial"/>
          <w:szCs w:val="20"/>
        </w:rPr>
        <w:t>Predlog zakona bo pozitivno učinkoval na gospodarstvo, saj bo prispeval k večji digitalni operativni odpornosti družb za upravljanje.</w:t>
      </w:r>
    </w:p>
    <w:p w14:paraId="0B247E41" w14:textId="77777777" w:rsidR="001F0977" w:rsidRPr="00A6784E" w:rsidRDefault="001F0977" w:rsidP="001F0977">
      <w:pPr>
        <w:jc w:val="both"/>
        <w:rPr>
          <w:rFonts w:cs="Arial"/>
          <w:bCs/>
          <w:szCs w:val="20"/>
        </w:rPr>
      </w:pPr>
    </w:p>
    <w:p w14:paraId="120C3DE9" w14:textId="77777777" w:rsidR="001F0977" w:rsidRPr="00A6784E" w:rsidRDefault="001F0977" w:rsidP="001F0977">
      <w:pPr>
        <w:jc w:val="both"/>
        <w:rPr>
          <w:rFonts w:cs="Arial"/>
          <w:b/>
          <w:szCs w:val="20"/>
        </w:rPr>
      </w:pPr>
      <w:r w:rsidRPr="00A6784E">
        <w:rPr>
          <w:rFonts w:cs="Arial"/>
          <w:b/>
          <w:szCs w:val="20"/>
        </w:rPr>
        <w:t>6.4. Presoja posledic za socialno področje</w:t>
      </w:r>
    </w:p>
    <w:p w14:paraId="7AAFD341" w14:textId="77777777" w:rsidR="001F0977" w:rsidRPr="00A6784E" w:rsidRDefault="001F0977" w:rsidP="001F0977">
      <w:pPr>
        <w:jc w:val="both"/>
        <w:rPr>
          <w:rFonts w:cs="Arial"/>
          <w:szCs w:val="20"/>
        </w:rPr>
      </w:pPr>
    </w:p>
    <w:p w14:paraId="46486CFC" w14:textId="77777777" w:rsidR="001F0977" w:rsidRPr="00A6784E" w:rsidRDefault="001F0977" w:rsidP="001F0977">
      <w:pPr>
        <w:jc w:val="both"/>
        <w:rPr>
          <w:rFonts w:cs="Arial"/>
          <w:szCs w:val="20"/>
        </w:rPr>
      </w:pPr>
      <w:r w:rsidRPr="00A6784E">
        <w:rPr>
          <w:rFonts w:cs="Arial"/>
          <w:szCs w:val="20"/>
        </w:rPr>
        <w:t>Predlog zakona nima posledic za socialno področje.</w:t>
      </w:r>
    </w:p>
    <w:p w14:paraId="6389C980" w14:textId="77777777" w:rsidR="001F0977" w:rsidRPr="00A6784E" w:rsidRDefault="001F0977" w:rsidP="001F0977">
      <w:pPr>
        <w:jc w:val="both"/>
        <w:rPr>
          <w:rFonts w:cs="Arial"/>
          <w:b/>
          <w:szCs w:val="20"/>
        </w:rPr>
      </w:pPr>
    </w:p>
    <w:p w14:paraId="3804180E" w14:textId="77777777" w:rsidR="001F0977" w:rsidRPr="00A6784E" w:rsidRDefault="001F0977" w:rsidP="001F0977">
      <w:pPr>
        <w:jc w:val="both"/>
        <w:rPr>
          <w:rFonts w:cs="Arial"/>
          <w:b/>
          <w:szCs w:val="20"/>
        </w:rPr>
      </w:pPr>
      <w:r w:rsidRPr="00A6784E">
        <w:rPr>
          <w:rFonts w:cs="Arial"/>
          <w:b/>
          <w:szCs w:val="20"/>
        </w:rPr>
        <w:t>6.5. Presoja posledic za dokumente razvojnega načrtovanja</w:t>
      </w:r>
    </w:p>
    <w:p w14:paraId="101BA1C9" w14:textId="77777777" w:rsidR="001F0977" w:rsidRPr="00A6784E" w:rsidRDefault="001F0977" w:rsidP="001F0977">
      <w:pPr>
        <w:jc w:val="both"/>
        <w:rPr>
          <w:rFonts w:cs="Arial"/>
          <w:szCs w:val="20"/>
        </w:rPr>
      </w:pPr>
    </w:p>
    <w:p w14:paraId="0F1A678D" w14:textId="77777777" w:rsidR="001F0977" w:rsidRPr="00A6784E" w:rsidRDefault="001F0977" w:rsidP="001F0977">
      <w:pPr>
        <w:jc w:val="both"/>
        <w:rPr>
          <w:rFonts w:cs="Arial"/>
          <w:szCs w:val="20"/>
        </w:rPr>
      </w:pPr>
      <w:r w:rsidRPr="00A6784E">
        <w:rPr>
          <w:rFonts w:cs="Arial"/>
          <w:szCs w:val="20"/>
        </w:rPr>
        <w:t>Predlog zakona nima posledic za dokumente razvojnega načrtovanja.</w:t>
      </w:r>
    </w:p>
    <w:p w14:paraId="0303434D" w14:textId="77777777" w:rsidR="001F0977" w:rsidRPr="00A6784E" w:rsidRDefault="001F0977" w:rsidP="001F0977">
      <w:pPr>
        <w:jc w:val="both"/>
        <w:rPr>
          <w:rFonts w:cs="Arial"/>
          <w:b/>
          <w:szCs w:val="20"/>
        </w:rPr>
      </w:pPr>
    </w:p>
    <w:p w14:paraId="2F39817E" w14:textId="77777777" w:rsidR="001F0977" w:rsidRPr="00A6784E" w:rsidRDefault="001F0977" w:rsidP="001F0977">
      <w:pPr>
        <w:jc w:val="both"/>
        <w:rPr>
          <w:rFonts w:cs="Arial"/>
          <w:b/>
          <w:szCs w:val="20"/>
        </w:rPr>
      </w:pPr>
      <w:r w:rsidRPr="00A6784E">
        <w:rPr>
          <w:rFonts w:cs="Arial"/>
          <w:b/>
          <w:szCs w:val="20"/>
        </w:rPr>
        <w:t>6.6. Presoja posledic za druga področja</w:t>
      </w:r>
    </w:p>
    <w:p w14:paraId="4C29922C" w14:textId="77777777" w:rsidR="001F0977" w:rsidRPr="00A6784E" w:rsidRDefault="001F0977" w:rsidP="001F0977">
      <w:pPr>
        <w:jc w:val="both"/>
        <w:rPr>
          <w:rFonts w:cs="Arial"/>
          <w:szCs w:val="20"/>
        </w:rPr>
      </w:pPr>
    </w:p>
    <w:p w14:paraId="71D972D4" w14:textId="77777777" w:rsidR="001F0977" w:rsidRPr="00A6784E" w:rsidRDefault="001F0977" w:rsidP="001F0977">
      <w:pPr>
        <w:jc w:val="both"/>
        <w:rPr>
          <w:rFonts w:cs="Arial"/>
          <w:szCs w:val="20"/>
        </w:rPr>
      </w:pPr>
      <w:r w:rsidRPr="00A6784E">
        <w:rPr>
          <w:rFonts w:cs="Arial"/>
          <w:szCs w:val="20"/>
        </w:rPr>
        <w:t>Predlog zakona nima posledic za druga področja.</w:t>
      </w:r>
    </w:p>
    <w:p w14:paraId="3E172ED8" w14:textId="77777777" w:rsidR="001F0977" w:rsidRPr="00A6784E" w:rsidRDefault="001F0977" w:rsidP="001F0977">
      <w:pPr>
        <w:jc w:val="both"/>
        <w:rPr>
          <w:rFonts w:cs="Arial"/>
          <w:szCs w:val="20"/>
        </w:rPr>
      </w:pPr>
    </w:p>
    <w:p w14:paraId="1A6CE9D1" w14:textId="77777777" w:rsidR="001F0977" w:rsidRPr="00A6784E" w:rsidRDefault="001F0977" w:rsidP="001F0977">
      <w:pPr>
        <w:jc w:val="both"/>
        <w:rPr>
          <w:rFonts w:cs="Arial"/>
          <w:b/>
          <w:szCs w:val="20"/>
        </w:rPr>
      </w:pPr>
      <w:r w:rsidRPr="00A6784E">
        <w:rPr>
          <w:rFonts w:cs="Arial"/>
          <w:b/>
          <w:szCs w:val="20"/>
        </w:rPr>
        <w:t>6.7. Izvajanje sprejetega predpisa</w:t>
      </w:r>
    </w:p>
    <w:p w14:paraId="5F52A621" w14:textId="77777777" w:rsidR="001F0977" w:rsidRPr="00A6784E" w:rsidRDefault="001F0977" w:rsidP="001F0977">
      <w:pPr>
        <w:jc w:val="both"/>
        <w:rPr>
          <w:rFonts w:cs="Arial"/>
          <w:szCs w:val="20"/>
        </w:rPr>
      </w:pPr>
    </w:p>
    <w:p w14:paraId="00BC2A77" w14:textId="77777777" w:rsidR="001F0977" w:rsidRPr="00A6784E" w:rsidRDefault="001F0977" w:rsidP="001F0977">
      <w:pPr>
        <w:numPr>
          <w:ilvl w:val="0"/>
          <w:numId w:val="5"/>
        </w:numPr>
        <w:jc w:val="both"/>
        <w:rPr>
          <w:rFonts w:cs="Arial"/>
          <w:b/>
          <w:szCs w:val="20"/>
        </w:rPr>
      </w:pPr>
      <w:r w:rsidRPr="00A6784E">
        <w:rPr>
          <w:rFonts w:cs="Arial"/>
          <w:b/>
          <w:szCs w:val="20"/>
        </w:rPr>
        <w:t>Predstavitev sprejetega zakona:</w:t>
      </w:r>
    </w:p>
    <w:p w14:paraId="4DB5CEFA" w14:textId="77777777" w:rsidR="001F0977" w:rsidRPr="00A6784E" w:rsidRDefault="001F0977" w:rsidP="001F0977">
      <w:pPr>
        <w:jc w:val="both"/>
        <w:rPr>
          <w:rFonts w:cs="Arial"/>
          <w:b/>
          <w:szCs w:val="20"/>
        </w:rPr>
      </w:pPr>
    </w:p>
    <w:p w14:paraId="52D22C0E" w14:textId="77777777" w:rsidR="001F0977" w:rsidRPr="00A6784E" w:rsidRDefault="001F0977" w:rsidP="001F0977">
      <w:pPr>
        <w:jc w:val="both"/>
        <w:rPr>
          <w:rFonts w:cs="Arial"/>
          <w:szCs w:val="20"/>
        </w:rPr>
      </w:pPr>
      <w:r w:rsidRPr="00A6784E">
        <w:rPr>
          <w:rFonts w:cs="Arial"/>
          <w:szCs w:val="20"/>
        </w:rPr>
        <w:t>Predpis prenaša določbe Direktive (EU) 2022/2556 v delu sprememb Direktive 2011/61/EU in posledično za upravljavce alternativnih investicijskih skladov, ki morajo poznati veljavne predpise. Zaradi novih zahtev bo Agencija za trg vrednostnih papirjev (v nadaljnjem besedilu: ATVP) organizirala izobraževanja, da bodo upravljavci seznanjeni z novimi zahtevami. Posebna dodatna izobraževanja in predstavitve niso predvideni.</w:t>
      </w:r>
    </w:p>
    <w:p w14:paraId="63F0F538" w14:textId="77777777" w:rsidR="001F0977" w:rsidRPr="00A6784E" w:rsidRDefault="001F0977" w:rsidP="001F0977">
      <w:pPr>
        <w:jc w:val="both"/>
        <w:rPr>
          <w:rFonts w:cs="Arial"/>
          <w:b/>
          <w:szCs w:val="20"/>
        </w:rPr>
      </w:pPr>
    </w:p>
    <w:p w14:paraId="2DFC40E8" w14:textId="77777777" w:rsidR="001F0977" w:rsidRPr="00A6784E" w:rsidRDefault="001F0977" w:rsidP="001F0977">
      <w:pPr>
        <w:numPr>
          <w:ilvl w:val="0"/>
          <w:numId w:val="5"/>
        </w:numPr>
        <w:jc w:val="both"/>
        <w:rPr>
          <w:rFonts w:cs="Arial"/>
          <w:b/>
          <w:szCs w:val="20"/>
        </w:rPr>
      </w:pPr>
      <w:r w:rsidRPr="00A6784E">
        <w:rPr>
          <w:rFonts w:cs="Arial"/>
          <w:b/>
          <w:szCs w:val="20"/>
        </w:rPr>
        <w:t>Spremljanje izvajanja sprejetega predpisa</w:t>
      </w:r>
    </w:p>
    <w:p w14:paraId="4152DCC6" w14:textId="77777777" w:rsidR="001F0977" w:rsidRPr="00A6784E" w:rsidRDefault="001F0977" w:rsidP="001F0977">
      <w:pPr>
        <w:jc w:val="both"/>
        <w:rPr>
          <w:rFonts w:cs="Arial"/>
          <w:b/>
          <w:szCs w:val="20"/>
        </w:rPr>
      </w:pPr>
    </w:p>
    <w:p w14:paraId="22EC5F43" w14:textId="77777777" w:rsidR="001F0977" w:rsidRPr="00A6784E" w:rsidRDefault="001F0977" w:rsidP="001F0977">
      <w:pPr>
        <w:jc w:val="both"/>
        <w:rPr>
          <w:rFonts w:cs="Arial"/>
          <w:szCs w:val="20"/>
        </w:rPr>
      </w:pPr>
      <w:r w:rsidRPr="00A6784E">
        <w:rPr>
          <w:rFonts w:cs="Arial"/>
          <w:szCs w:val="20"/>
        </w:rPr>
        <w:t>Izvajanje predpisa bo spremljala ATVP v okviru svojih rednih nadzornih</w:t>
      </w:r>
    </w:p>
    <w:p w14:paraId="610F642E" w14:textId="77777777" w:rsidR="001F0977" w:rsidRPr="00A6784E" w:rsidRDefault="001F0977" w:rsidP="001F0977">
      <w:pPr>
        <w:jc w:val="both"/>
        <w:rPr>
          <w:rFonts w:cs="Arial"/>
          <w:szCs w:val="20"/>
        </w:rPr>
      </w:pPr>
      <w:r w:rsidRPr="00A6784E">
        <w:rPr>
          <w:rFonts w:cs="Arial"/>
          <w:szCs w:val="20"/>
        </w:rPr>
        <w:t>aktivnosti.</w:t>
      </w:r>
    </w:p>
    <w:p w14:paraId="2683268F" w14:textId="77777777" w:rsidR="001F0977" w:rsidRPr="00A6784E" w:rsidRDefault="001F0977" w:rsidP="001F0977">
      <w:pPr>
        <w:jc w:val="both"/>
        <w:rPr>
          <w:rFonts w:cs="Arial"/>
          <w:szCs w:val="20"/>
        </w:rPr>
      </w:pPr>
    </w:p>
    <w:p w14:paraId="106AFA5E" w14:textId="77777777" w:rsidR="001F0977" w:rsidRPr="00A6784E" w:rsidRDefault="001F0977" w:rsidP="001F0977">
      <w:pPr>
        <w:jc w:val="both"/>
        <w:rPr>
          <w:rFonts w:cs="Arial"/>
          <w:b/>
          <w:szCs w:val="20"/>
        </w:rPr>
      </w:pPr>
      <w:r w:rsidRPr="00A6784E">
        <w:rPr>
          <w:rFonts w:cs="Arial"/>
          <w:b/>
          <w:szCs w:val="20"/>
        </w:rPr>
        <w:t>6.8. Druge pomembne okoliščine v zvezi z vprašanji, ki jih ureja predlog zakona</w:t>
      </w:r>
    </w:p>
    <w:p w14:paraId="7313A763" w14:textId="77777777" w:rsidR="001F0977" w:rsidRPr="00A6784E" w:rsidRDefault="001F0977" w:rsidP="001F0977">
      <w:pPr>
        <w:rPr>
          <w:rFonts w:cs="Arial"/>
          <w:szCs w:val="20"/>
        </w:rPr>
      </w:pPr>
    </w:p>
    <w:p w14:paraId="5409667E" w14:textId="77777777" w:rsidR="001F0977" w:rsidRPr="00A6784E" w:rsidRDefault="001F0977" w:rsidP="001F0977">
      <w:pPr>
        <w:rPr>
          <w:rFonts w:cs="Arial"/>
          <w:szCs w:val="20"/>
        </w:rPr>
      </w:pPr>
      <w:r w:rsidRPr="00A6784E">
        <w:rPr>
          <w:rFonts w:cs="Arial"/>
          <w:szCs w:val="20"/>
        </w:rPr>
        <w:t>V zvezi s predlogom zakona ni drugih pomembnih okoliščin.</w:t>
      </w:r>
    </w:p>
    <w:p w14:paraId="07ADCE69" w14:textId="77777777" w:rsidR="001F0977" w:rsidRPr="00A6784E" w:rsidRDefault="001F0977" w:rsidP="001F0977">
      <w:pPr>
        <w:rPr>
          <w:rFonts w:cs="Arial"/>
          <w:szCs w:val="20"/>
        </w:rPr>
      </w:pPr>
    </w:p>
    <w:p w14:paraId="31D4556E" w14:textId="77777777" w:rsidR="001F0977" w:rsidRPr="00A6784E" w:rsidRDefault="001F0977" w:rsidP="001F0977">
      <w:pPr>
        <w:numPr>
          <w:ilvl w:val="0"/>
          <w:numId w:val="3"/>
        </w:numPr>
        <w:rPr>
          <w:rFonts w:cs="Arial"/>
          <w:b/>
          <w:szCs w:val="20"/>
        </w:rPr>
      </w:pPr>
      <w:r w:rsidRPr="00A6784E">
        <w:rPr>
          <w:rFonts w:cs="Arial"/>
          <w:b/>
          <w:szCs w:val="20"/>
        </w:rPr>
        <w:t>PRIKAZ SODELOVANJA JAVNOSTI PRI PRIPRAVI PREDLOGA ZAKONA</w:t>
      </w:r>
    </w:p>
    <w:p w14:paraId="39DE3B26" w14:textId="77777777" w:rsidR="001F0977" w:rsidRPr="00A6784E" w:rsidRDefault="001F0977" w:rsidP="001F0977">
      <w:pPr>
        <w:jc w:val="both"/>
        <w:rPr>
          <w:rFonts w:eastAsiaTheme="minorHAnsi" w:cs="Arial"/>
          <w:iCs/>
          <w:szCs w:val="20"/>
        </w:rPr>
      </w:pPr>
    </w:p>
    <w:p w14:paraId="1D8FE0A5" w14:textId="77777777" w:rsidR="001F0977" w:rsidRPr="00A6784E" w:rsidRDefault="001F0977" w:rsidP="001F0977">
      <w:pPr>
        <w:jc w:val="both"/>
      </w:pPr>
      <w:r w:rsidRPr="00A6784E">
        <w:t xml:space="preserve">Predlog zakona je bil objavljen na spletni strani e-demokracija.si dne 15. januarja 2025. Javna obravnava je potekala do 29. januarja 2025. V času javne obravnave je bila prejeta ena pripomba, ki se je nanašala na 3. člen predloga zakona (začetek veljavnosti). </w:t>
      </w:r>
    </w:p>
    <w:p w14:paraId="33A9EA7E" w14:textId="77777777" w:rsidR="001F0977" w:rsidRPr="00A6784E" w:rsidRDefault="001F0977" w:rsidP="001F0977">
      <w:pPr>
        <w:jc w:val="both"/>
      </w:pPr>
    </w:p>
    <w:p w14:paraId="1895A15E" w14:textId="77777777" w:rsidR="001F0977" w:rsidRPr="00A6784E" w:rsidRDefault="001F0977" w:rsidP="001F0977">
      <w:pPr>
        <w:jc w:val="both"/>
      </w:pPr>
      <w:proofErr w:type="spellStart"/>
      <w:r w:rsidRPr="00A6784E">
        <w:t>Pripombodajalec</w:t>
      </w:r>
      <w:proofErr w:type="spellEnd"/>
      <w:r w:rsidRPr="00A6784E">
        <w:t xml:space="preserve"> je opozoril, da določba, ki predvideva začetek uporabe zakona 17. januarja 2025, vzpostavlja retroaktivno veljavo zakona. Glede na to, da se s predlogom zakona spreminja tudi 2. točka drugega odstavka 74. člena, na katero se veže predvidena kazenska sankcija, je bil podan pomislek, da je predlagana zakonska ureditev zaradi povratne veljave neskladna z ustavnim načelom pravne varnosti kot elementa pravne države iz 2. člena Ustave Republike Slovenije in v nasprotju s 155. členom Ustave Republike Slovenije, ki prepoveduje povratno veljavo pravnih aktov. Pripomba je bila upoštevana.</w:t>
      </w:r>
    </w:p>
    <w:p w14:paraId="3F5C5277" w14:textId="77777777" w:rsidR="001F0977" w:rsidRPr="00A6784E" w:rsidRDefault="001F0977" w:rsidP="001F0977">
      <w:pPr>
        <w:jc w:val="both"/>
        <w:rPr>
          <w:rFonts w:cs="Arial"/>
          <w:szCs w:val="20"/>
        </w:rPr>
      </w:pPr>
    </w:p>
    <w:p w14:paraId="53D4655D" w14:textId="77777777" w:rsidR="001F0977" w:rsidRPr="00A6784E" w:rsidRDefault="001F0977" w:rsidP="001F0977">
      <w:pPr>
        <w:numPr>
          <w:ilvl w:val="0"/>
          <w:numId w:val="3"/>
        </w:numPr>
        <w:jc w:val="both"/>
        <w:rPr>
          <w:rFonts w:cs="Arial"/>
          <w:b/>
          <w:szCs w:val="20"/>
        </w:rPr>
      </w:pPr>
      <w:r w:rsidRPr="00A6784E">
        <w:rPr>
          <w:rFonts w:cs="Arial"/>
          <w:b/>
          <w:szCs w:val="20"/>
        </w:rPr>
        <w:t>PODATEK O ZUNANJEM STROKOVNJAKU OZIROMA PRAVNI OSEBI, KI JE SODELOVALA PRI PRIPRAVI PREDLOGA ZAKONA</w:t>
      </w:r>
    </w:p>
    <w:p w14:paraId="16417B3A" w14:textId="77777777" w:rsidR="001F0977" w:rsidRPr="00A6784E" w:rsidRDefault="001F0977" w:rsidP="001F0977">
      <w:pPr>
        <w:rPr>
          <w:rFonts w:cs="Arial"/>
          <w:szCs w:val="20"/>
        </w:rPr>
      </w:pPr>
    </w:p>
    <w:p w14:paraId="69211CC3" w14:textId="77777777" w:rsidR="001F0977" w:rsidRPr="00A6784E" w:rsidRDefault="001F0977" w:rsidP="001F0977">
      <w:pPr>
        <w:rPr>
          <w:rFonts w:cs="Arial"/>
          <w:szCs w:val="20"/>
        </w:rPr>
      </w:pPr>
      <w:r w:rsidRPr="00A6784E">
        <w:rPr>
          <w:rFonts w:cs="Arial"/>
          <w:szCs w:val="20"/>
        </w:rPr>
        <w:t>Pri pripravi predloga zakona niso sodelovali zunanji strokovnjaki oziroma pravne osebe.</w:t>
      </w:r>
    </w:p>
    <w:p w14:paraId="365943A0" w14:textId="77777777" w:rsidR="001F0977" w:rsidRPr="00A6784E" w:rsidRDefault="001F0977" w:rsidP="001F0977">
      <w:pPr>
        <w:rPr>
          <w:rFonts w:cs="Arial"/>
          <w:szCs w:val="20"/>
        </w:rPr>
      </w:pPr>
    </w:p>
    <w:p w14:paraId="1984225A" w14:textId="77777777" w:rsidR="001F0977" w:rsidRPr="00A6784E" w:rsidRDefault="001F0977" w:rsidP="001F0977">
      <w:pPr>
        <w:numPr>
          <w:ilvl w:val="0"/>
          <w:numId w:val="3"/>
        </w:numPr>
        <w:rPr>
          <w:rFonts w:cs="Arial"/>
          <w:b/>
          <w:szCs w:val="20"/>
        </w:rPr>
      </w:pPr>
      <w:r w:rsidRPr="00A6784E">
        <w:rPr>
          <w:rFonts w:cs="Arial"/>
          <w:b/>
          <w:szCs w:val="20"/>
        </w:rPr>
        <w:t>ZNESEK PLAČILA ZUNANJIH STROKOVNJAKOV</w:t>
      </w:r>
    </w:p>
    <w:p w14:paraId="7D268645" w14:textId="77777777" w:rsidR="001F0977" w:rsidRPr="00A6784E" w:rsidRDefault="001F0977" w:rsidP="001F0977">
      <w:pPr>
        <w:rPr>
          <w:rFonts w:cs="Arial"/>
          <w:szCs w:val="20"/>
        </w:rPr>
      </w:pPr>
      <w:bookmarkStart w:id="9" w:name="_Hlk55899731"/>
    </w:p>
    <w:p w14:paraId="49FA1262" w14:textId="77777777" w:rsidR="001F0977" w:rsidRPr="00A6784E" w:rsidRDefault="001F0977" w:rsidP="001F0977">
      <w:pPr>
        <w:rPr>
          <w:rFonts w:cs="Arial"/>
          <w:szCs w:val="20"/>
        </w:rPr>
      </w:pPr>
      <w:r w:rsidRPr="00A6784E">
        <w:rPr>
          <w:rFonts w:cs="Arial"/>
          <w:szCs w:val="20"/>
        </w:rPr>
        <w:t xml:space="preserve">Za pripravo predloga zakona ni bilo plačil zunanjih strokovnjakov oziroma pravnih oseb. </w:t>
      </w:r>
    </w:p>
    <w:p w14:paraId="19A00342" w14:textId="77777777" w:rsidR="001F0977" w:rsidRPr="00A6784E" w:rsidRDefault="001F0977" w:rsidP="001F0977">
      <w:pPr>
        <w:rPr>
          <w:rFonts w:cs="Arial"/>
          <w:szCs w:val="20"/>
        </w:rPr>
      </w:pPr>
    </w:p>
    <w:p w14:paraId="2AA9C3A9" w14:textId="77777777" w:rsidR="001F0977" w:rsidRPr="00A6784E" w:rsidRDefault="001F0977" w:rsidP="001F0977">
      <w:pPr>
        <w:numPr>
          <w:ilvl w:val="0"/>
          <w:numId w:val="3"/>
        </w:numPr>
        <w:rPr>
          <w:rFonts w:cs="Arial"/>
          <w:b/>
          <w:szCs w:val="20"/>
        </w:rPr>
      </w:pPr>
      <w:r w:rsidRPr="00A6784E">
        <w:rPr>
          <w:rFonts w:cs="Arial"/>
          <w:b/>
          <w:szCs w:val="20"/>
        </w:rPr>
        <w:t>NAVEDBA, KATERI PREDSTAVNIKI PREDLAGATELJA BODO SODELOVALI PRI DELU DRŽAVNEGA ZBORA IN DELOVNIH TELES</w:t>
      </w:r>
    </w:p>
    <w:p w14:paraId="4DC3E536" w14:textId="77777777" w:rsidR="001F0977" w:rsidRPr="00A6784E" w:rsidRDefault="001F0977" w:rsidP="001F0977">
      <w:pPr>
        <w:rPr>
          <w:rFonts w:cs="Arial"/>
          <w:b/>
          <w:szCs w:val="20"/>
        </w:rPr>
      </w:pPr>
    </w:p>
    <w:bookmarkEnd w:id="9"/>
    <w:p w14:paraId="6F3D3902" w14:textId="77777777" w:rsidR="001F0977" w:rsidRPr="00A6784E" w:rsidRDefault="001F0977" w:rsidP="001F0977">
      <w:pPr>
        <w:jc w:val="both"/>
        <w:rPr>
          <w:rFonts w:cs="Arial"/>
          <w:szCs w:val="20"/>
        </w:rPr>
      </w:pPr>
      <w:r w:rsidRPr="00A6784E">
        <w:rPr>
          <w:rFonts w:cs="Arial"/>
          <w:szCs w:val="20"/>
        </w:rPr>
        <w:t>– Klemen Boštjančič, minister,</w:t>
      </w:r>
    </w:p>
    <w:p w14:paraId="1AC0ED40" w14:textId="77777777" w:rsidR="001F0977" w:rsidRPr="00A6784E" w:rsidRDefault="001F0977" w:rsidP="001F0977">
      <w:pPr>
        <w:jc w:val="both"/>
        <w:rPr>
          <w:rFonts w:cs="Arial"/>
          <w:szCs w:val="20"/>
        </w:rPr>
      </w:pPr>
      <w:r w:rsidRPr="00A6784E">
        <w:rPr>
          <w:rFonts w:cs="Arial"/>
          <w:szCs w:val="20"/>
        </w:rPr>
        <w:t>– Saša Jazbec, državna sekretarka,</w:t>
      </w:r>
    </w:p>
    <w:p w14:paraId="765A7CE6" w14:textId="77777777" w:rsidR="001F0977" w:rsidRPr="00A6784E" w:rsidRDefault="001F0977" w:rsidP="001F0977">
      <w:pPr>
        <w:jc w:val="both"/>
        <w:rPr>
          <w:rFonts w:cs="Arial"/>
          <w:szCs w:val="20"/>
        </w:rPr>
      </w:pPr>
      <w:r w:rsidRPr="00A6784E">
        <w:rPr>
          <w:rFonts w:cs="Arial"/>
          <w:szCs w:val="20"/>
        </w:rPr>
        <w:t>– Gordana Pipan, državna sekretarka,</w:t>
      </w:r>
    </w:p>
    <w:p w14:paraId="08767CCB" w14:textId="77777777" w:rsidR="001F0977" w:rsidRPr="00A6784E" w:rsidRDefault="001F0977" w:rsidP="001F0977">
      <w:pPr>
        <w:jc w:val="both"/>
        <w:rPr>
          <w:rFonts w:cs="Arial"/>
          <w:szCs w:val="20"/>
        </w:rPr>
      </w:pPr>
      <w:r w:rsidRPr="00A6784E">
        <w:rPr>
          <w:rFonts w:cs="Arial"/>
          <w:szCs w:val="20"/>
        </w:rPr>
        <w:t xml:space="preserve">– </w:t>
      </w:r>
      <w:r>
        <w:rPr>
          <w:rFonts w:cs="Arial"/>
          <w:szCs w:val="20"/>
        </w:rPr>
        <w:t xml:space="preserve">mag. </w:t>
      </w:r>
      <w:r w:rsidRPr="00A6784E">
        <w:rPr>
          <w:rFonts w:cs="Arial"/>
          <w:szCs w:val="20"/>
        </w:rPr>
        <w:t>Katja Božič, državna sekretarka,</w:t>
      </w:r>
    </w:p>
    <w:p w14:paraId="449E2753" w14:textId="77777777" w:rsidR="001F0977" w:rsidRPr="00A6784E" w:rsidRDefault="001F0977" w:rsidP="001F0977">
      <w:pPr>
        <w:rPr>
          <w:rFonts w:cs="Arial"/>
          <w:szCs w:val="20"/>
        </w:rPr>
      </w:pPr>
      <w:r w:rsidRPr="00A6784E">
        <w:rPr>
          <w:rFonts w:cs="Arial"/>
          <w:szCs w:val="20"/>
        </w:rPr>
        <w:t xml:space="preserve">– </w:t>
      </w:r>
      <w:proofErr w:type="spellStart"/>
      <w:r w:rsidRPr="00A6784E">
        <w:rPr>
          <w:rFonts w:cs="Arial"/>
          <w:szCs w:val="20"/>
        </w:rPr>
        <w:t>Nikolina</w:t>
      </w:r>
      <w:proofErr w:type="spellEnd"/>
      <w:r w:rsidRPr="00A6784E">
        <w:rPr>
          <w:rFonts w:cs="Arial"/>
          <w:szCs w:val="20"/>
        </w:rPr>
        <w:t xml:space="preserve"> Prah, državna sekretarka,</w:t>
      </w:r>
    </w:p>
    <w:p w14:paraId="0257821C" w14:textId="77777777" w:rsidR="001F0977" w:rsidRDefault="001F0977" w:rsidP="001F0977">
      <w:pPr>
        <w:jc w:val="both"/>
        <w:rPr>
          <w:rFonts w:cs="Arial"/>
          <w:szCs w:val="20"/>
        </w:rPr>
      </w:pPr>
      <w:r w:rsidRPr="00A6784E">
        <w:rPr>
          <w:rFonts w:cs="Arial"/>
          <w:szCs w:val="20"/>
        </w:rPr>
        <w:lastRenderedPageBreak/>
        <w:t>– Urška Cvelbar, generalna direktorica Direktorata za finančni sistem,</w:t>
      </w:r>
    </w:p>
    <w:p w14:paraId="72270F4F" w14:textId="77777777" w:rsidR="001F0977" w:rsidRPr="00C237BE" w:rsidRDefault="001F0977" w:rsidP="001F0977">
      <w:pPr>
        <w:pStyle w:val="Odstavekseznama"/>
        <w:numPr>
          <w:ilvl w:val="1"/>
          <w:numId w:val="4"/>
        </w:numPr>
        <w:spacing w:line="260" w:lineRule="exact"/>
        <w:ind w:left="142" w:hanging="142"/>
        <w:jc w:val="both"/>
        <w:rPr>
          <w:rFonts w:cs="Arial"/>
          <w:szCs w:val="20"/>
        </w:rPr>
      </w:pPr>
      <w:r>
        <w:rPr>
          <w:rFonts w:cs="Arial"/>
          <w:szCs w:val="20"/>
        </w:rPr>
        <w:t xml:space="preserve">Natalija </w:t>
      </w:r>
      <w:proofErr w:type="spellStart"/>
      <w:r>
        <w:rPr>
          <w:rFonts w:cs="Arial"/>
          <w:szCs w:val="20"/>
        </w:rPr>
        <w:t>Stošicki</w:t>
      </w:r>
      <w:proofErr w:type="spellEnd"/>
      <w:r>
        <w:rPr>
          <w:rFonts w:cs="Arial"/>
          <w:szCs w:val="20"/>
        </w:rPr>
        <w:t>, vodja Sektorja za zavarovalništvo in trg kapitala, Direktorat za finančni sistem,</w:t>
      </w:r>
    </w:p>
    <w:p w14:paraId="5F83512C" w14:textId="77777777" w:rsidR="001F0977" w:rsidRPr="00A6784E" w:rsidRDefault="001F0977" w:rsidP="001F0977">
      <w:pPr>
        <w:pStyle w:val="Brezrazmikov"/>
        <w:spacing w:line="260" w:lineRule="exact"/>
        <w:rPr>
          <w:szCs w:val="20"/>
          <w:lang w:val="sl-SI"/>
        </w:rPr>
      </w:pPr>
      <w:r w:rsidRPr="00A6784E">
        <w:rPr>
          <w:sz w:val="20"/>
          <w:szCs w:val="20"/>
          <w:lang w:val="sl-SI"/>
        </w:rPr>
        <w:t>– Blaž Zupančič, sekretar, Sektor za zavarovalništvo in trg kapitala, Direktorat za finančni sistem.</w:t>
      </w:r>
      <w:r w:rsidRPr="00A6784E" w:rsidDel="00E35AE4">
        <w:rPr>
          <w:sz w:val="20"/>
          <w:szCs w:val="20"/>
          <w:lang w:val="sl-SI"/>
        </w:rPr>
        <w:t xml:space="preserve"> </w:t>
      </w:r>
      <w:r w:rsidRPr="00A6784E">
        <w:rPr>
          <w:szCs w:val="20"/>
          <w:lang w:val="sl-SI"/>
        </w:rPr>
        <w:br w:type="page"/>
      </w:r>
    </w:p>
    <w:p w14:paraId="4BCDDF1F" w14:textId="77777777" w:rsidR="001F0977" w:rsidRPr="00A6784E" w:rsidRDefault="001F0977" w:rsidP="001F0977">
      <w:pPr>
        <w:tabs>
          <w:tab w:val="left" w:pos="708"/>
        </w:tabs>
        <w:jc w:val="both"/>
        <w:rPr>
          <w:rFonts w:cs="Arial"/>
          <w:bCs/>
          <w:szCs w:val="20"/>
        </w:rPr>
      </w:pPr>
    </w:p>
    <w:tbl>
      <w:tblPr>
        <w:tblW w:w="0" w:type="auto"/>
        <w:tblLook w:val="04A0" w:firstRow="1" w:lastRow="0" w:firstColumn="1" w:lastColumn="0" w:noHBand="0" w:noVBand="1"/>
      </w:tblPr>
      <w:tblGrid>
        <w:gridCol w:w="8504"/>
      </w:tblGrid>
      <w:tr w:rsidR="001F0977" w:rsidRPr="00A6784E" w14:paraId="54548193" w14:textId="77777777" w:rsidTr="009C5A0D">
        <w:tc>
          <w:tcPr>
            <w:tcW w:w="9072" w:type="dxa"/>
          </w:tcPr>
          <w:p w14:paraId="33F595CF" w14:textId="77777777" w:rsidR="001F0977" w:rsidRPr="00A6784E" w:rsidRDefault="001F0977" w:rsidP="001F0977">
            <w:pPr>
              <w:pStyle w:val="Poglavje"/>
              <w:spacing w:before="0" w:line="260" w:lineRule="exact"/>
              <w:ind w:firstLine="0"/>
              <w:jc w:val="left"/>
              <w:rPr>
                <w:sz w:val="20"/>
                <w:szCs w:val="20"/>
              </w:rPr>
            </w:pPr>
            <w:r w:rsidRPr="00A6784E">
              <w:rPr>
                <w:b/>
                <w:bCs/>
                <w:sz w:val="20"/>
                <w:szCs w:val="20"/>
              </w:rPr>
              <w:t>II. BESEDILO ČLENOV</w:t>
            </w:r>
          </w:p>
          <w:p w14:paraId="6F80EF1A" w14:textId="77777777" w:rsidR="001F0977" w:rsidRPr="00A6784E" w:rsidRDefault="001F0977" w:rsidP="001F0977">
            <w:pPr>
              <w:pStyle w:val="Poglavje"/>
              <w:spacing w:before="0" w:line="260" w:lineRule="exact"/>
              <w:jc w:val="left"/>
              <w:rPr>
                <w:sz w:val="20"/>
                <w:szCs w:val="20"/>
              </w:rPr>
            </w:pPr>
          </w:p>
          <w:p w14:paraId="4061AE88" w14:textId="77777777" w:rsidR="001F0977" w:rsidRPr="00A6784E" w:rsidRDefault="001F0977" w:rsidP="001F0977">
            <w:pPr>
              <w:pStyle w:val="Poglavje"/>
              <w:spacing w:before="0" w:line="260" w:lineRule="exact"/>
              <w:jc w:val="left"/>
              <w:rPr>
                <w:sz w:val="20"/>
                <w:szCs w:val="20"/>
              </w:rPr>
            </w:pPr>
          </w:p>
          <w:p w14:paraId="7E717B6F" w14:textId="77777777" w:rsidR="001F0977" w:rsidRDefault="001F0977" w:rsidP="001F0977">
            <w:pPr>
              <w:tabs>
                <w:tab w:val="left" w:pos="720"/>
              </w:tabs>
              <w:overflowPunct w:val="0"/>
              <w:autoSpaceDE w:val="0"/>
              <w:autoSpaceDN w:val="0"/>
              <w:adjustRightInd w:val="0"/>
              <w:ind w:left="720" w:hanging="360"/>
              <w:jc w:val="center"/>
              <w:textAlignment w:val="baseline"/>
              <w:rPr>
                <w:rFonts w:cs="Arial"/>
                <w:b/>
                <w:szCs w:val="20"/>
                <w:lang w:eastAsia="sl-SI"/>
              </w:rPr>
            </w:pPr>
            <w:r w:rsidRPr="00A6784E">
              <w:rPr>
                <w:rFonts w:cs="Arial"/>
                <w:b/>
                <w:szCs w:val="20"/>
                <w:lang w:eastAsia="sl-SI"/>
              </w:rPr>
              <w:t>1.</w:t>
            </w:r>
            <w:r w:rsidRPr="00A6784E">
              <w:rPr>
                <w:rFonts w:cs="Arial"/>
                <w:b/>
                <w:szCs w:val="20"/>
                <w:lang w:eastAsia="sl-SI"/>
              </w:rPr>
              <w:tab/>
              <w:t>člen</w:t>
            </w:r>
          </w:p>
          <w:p w14:paraId="62993DF8" w14:textId="77777777" w:rsidR="001F0977" w:rsidRPr="00A6784E" w:rsidRDefault="001F0977" w:rsidP="001F0977">
            <w:pPr>
              <w:tabs>
                <w:tab w:val="left" w:pos="720"/>
              </w:tabs>
              <w:overflowPunct w:val="0"/>
              <w:autoSpaceDE w:val="0"/>
              <w:autoSpaceDN w:val="0"/>
              <w:adjustRightInd w:val="0"/>
              <w:ind w:left="720" w:hanging="360"/>
              <w:jc w:val="center"/>
              <w:textAlignment w:val="baseline"/>
              <w:rPr>
                <w:rFonts w:cs="Arial"/>
                <w:b/>
                <w:szCs w:val="20"/>
                <w:lang w:eastAsia="sl-SI"/>
              </w:rPr>
            </w:pPr>
          </w:p>
          <w:p w14:paraId="2BEB3B9F" w14:textId="77777777" w:rsidR="001F0977" w:rsidRDefault="001F0977" w:rsidP="001F0977">
            <w:pPr>
              <w:pStyle w:val="whitespace-pre-wrap"/>
              <w:spacing w:before="0" w:beforeAutospacing="0" w:after="0" w:afterAutospacing="0" w:line="260" w:lineRule="exact"/>
              <w:rPr>
                <w:rFonts w:ascii="Arial" w:hAnsi="Arial" w:cs="Arial"/>
                <w:sz w:val="20"/>
                <w:szCs w:val="20"/>
              </w:rPr>
            </w:pPr>
            <w:r w:rsidRPr="00A6784E">
              <w:rPr>
                <w:rFonts w:ascii="Arial" w:hAnsi="Arial" w:cs="Arial"/>
                <w:sz w:val="20"/>
                <w:szCs w:val="20"/>
              </w:rPr>
              <w:t xml:space="preserve">V Zakonu o upravljavcih alternativnih investicijskih skladov (Uradni list RS, št. 32/15, 77/18, 161/21 in 101/22) se v </w:t>
            </w:r>
            <w:r>
              <w:rPr>
                <w:rFonts w:ascii="Arial" w:hAnsi="Arial" w:cs="Arial"/>
                <w:sz w:val="20"/>
                <w:szCs w:val="20"/>
              </w:rPr>
              <w:t xml:space="preserve">2. členu v </w:t>
            </w:r>
            <w:r w:rsidRPr="00A6784E">
              <w:rPr>
                <w:rFonts w:ascii="Arial" w:hAnsi="Arial" w:cs="Arial"/>
                <w:sz w:val="20"/>
                <w:szCs w:val="20"/>
              </w:rPr>
              <w:t xml:space="preserve">prvem odstavku </w:t>
            </w:r>
            <w:r>
              <w:rPr>
                <w:rFonts w:ascii="Arial" w:hAnsi="Arial" w:cs="Arial"/>
                <w:sz w:val="20"/>
                <w:szCs w:val="20"/>
              </w:rPr>
              <w:t>1</w:t>
            </w:r>
            <w:r w:rsidRPr="00A6784E">
              <w:rPr>
                <w:rFonts w:ascii="Arial" w:hAnsi="Arial" w:cs="Arial"/>
                <w:sz w:val="20"/>
                <w:szCs w:val="20"/>
              </w:rPr>
              <w:t>. točk</w:t>
            </w:r>
            <w:r>
              <w:rPr>
                <w:rFonts w:ascii="Arial" w:hAnsi="Arial" w:cs="Arial"/>
                <w:sz w:val="20"/>
                <w:szCs w:val="20"/>
              </w:rPr>
              <w:t>a spremeni tako</w:t>
            </w:r>
            <w:r w:rsidRPr="00A6784E">
              <w:rPr>
                <w:rFonts w:ascii="Arial" w:hAnsi="Arial" w:cs="Arial"/>
                <w:sz w:val="20"/>
                <w:szCs w:val="20"/>
              </w:rPr>
              <w:t xml:space="preserve">, </w:t>
            </w:r>
            <w:r>
              <w:rPr>
                <w:rFonts w:ascii="Arial" w:hAnsi="Arial" w:cs="Arial"/>
                <w:sz w:val="20"/>
                <w:szCs w:val="20"/>
              </w:rPr>
              <w:t xml:space="preserve">da </w:t>
            </w:r>
            <w:r w:rsidRPr="00A6784E">
              <w:rPr>
                <w:rFonts w:ascii="Arial" w:hAnsi="Arial" w:cs="Arial"/>
                <w:sz w:val="20"/>
                <w:szCs w:val="20"/>
              </w:rPr>
              <w:t>se glasi:</w:t>
            </w:r>
          </w:p>
          <w:p w14:paraId="7A5B0525" w14:textId="77777777" w:rsidR="001F0977" w:rsidRDefault="001F0977" w:rsidP="001F0977">
            <w:pPr>
              <w:pStyle w:val="whitespace-pre-wrap"/>
              <w:spacing w:before="0" w:beforeAutospacing="0" w:after="0" w:afterAutospacing="0" w:line="260" w:lineRule="exact"/>
              <w:jc w:val="both"/>
              <w:rPr>
                <w:rFonts w:ascii="Arial" w:hAnsi="Arial" w:cs="Arial"/>
                <w:sz w:val="20"/>
                <w:szCs w:val="20"/>
              </w:rPr>
            </w:pPr>
            <w:r w:rsidRPr="00164779">
              <w:rPr>
                <w:rFonts w:ascii="Arial" w:hAnsi="Arial" w:cs="Arial"/>
                <w:sz w:val="20"/>
                <w:szCs w:val="20"/>
              </w:rPr>
              <w:t>»1. Direktiva 2011/61/EU Evropskega parlamenta in Sveta z dne 8. junija 2011 o upraviteljih alternativnih investicijskih skladov in spremembah direktiv 2003/41/ES in 2009/65/ES ter uredb (ES) št. 1060/2009 in 2095/2010/EU (UL L št. 174 z dne 1. 7. 2011, str. 1), zadnjič spremenjena z Direktivo 2022/2556/EU Evropskega parlamenta in Sveta z dne 14. decembra 2022 o spremembi direktiv 2009/65/ES, 2009/138/ES, 2011/61/EU, 2013/36/EU, 2014/59/EU, 2014/65/EU, 2015/2366/EU in 2016/2341/EU glede digitalne operativne odpornosti za finančni sektor (UL L št. 333 z dne 27. 12. 2022, str. 153), (v nadaljnjem besedilu: Direktiva 2011/61/EU);«</w:t>
            </w:r>
            <w:r>
              <w:rPr>
                <w:rFonts w:ascii="Arial" w:hAnsi="Arial" w:cs="Arial"/>
                <w:sz w:val="20"/>
                <w:szCs w:val="20"/>
              </w:rPr>
              <w:t>.</w:t>
            </w:r>
          </w:p>
          <w:p w14:paraId="10E15A19" w14:textId="77777777" w:rsidR="001F0977" w:rsidRPr="00A6784E" w:rsidRDefault="001F0977" w:rsidP="001F0977">
            <w:pPr>
              <w:pStyle w:val="whitespace-pre-wrap"/>
              <w:spacing w:before="0" w:beforeAutospacing="0" w:after="0" w:afterAutospacing="0" w:line="260" w:lineRule="exact"/>
              <w:jc w:val="both"/>
              <w:rPr>
                <w:rFonts w:ascii="Arial" w:hAnsi="Arial" w:cs="Arial"/>
                <w:sz w:val="20"/>
                <w:szCs w:val="20"/>
              </w:rPr>
            </w:pPr>
            <w:r>
              <w:rPr>
                <w:rFonts w:ascii="Arial" w:hAnsi="Arial" w:cs="Arial"/>
                <w:sz w:val="20"/>
                <w:szCs w:val="20"/>
              </w:rPr>
              <w:t>V</w:t>
            </w:r>
            <w:r w:rsidRPr="00A6784E">
              <w:rPr>
                <w:rFonts w:ascii="Arial" w:hAnsi="Arial" w:cs="Arial"/>
                <w:sz w:val="20"/>
                <w:szCs w:val="20"/>
              </w:rPr>
              <w:t xml:space="preserve"> drugem odstavku</w:t>
            </w:r>
            <w:r>
              <w:rPr>
                <w:rFonts w:ascii="Arial" w:hAnsi="Arial" w:cs="Arial"/>
                <w:sz w:val="20"/>
                <w:szCs w:val="20"/>
              </w:rPr>
              <w:t xml:space="preserve"> </w:t>
            </w:r>
            <w:r w:rsidRPr="00A6784E">
              <w:rPr>
                <w:rFonts w:ascii="Arial" w:hAnsi="Arial" w:cs="Arial"/>
                <w:sz w:val="20"/>
                <w:szCs w:val="20"/>
              </w:rPr>
              <w:t xml:space="preserve">se </w:t>
            </w:r>
            <w:r>
              <w:rPr>
                <w:rFonts w:ascii="Arial" w:hAnsi="Arial" w:cs="Arial"/>
                <w:sz w:val="20"/>
                <w:szCs w:val="20"/>
              </w:rPr>
              <w:t xml:space="preserve">na koncu 8. točke pika nadomesti s podpičjem ter </w:t>
            </w:r>
            <w:r w:rsidRPr="00A6784E">
              <w:rPr>
                <w:rFonts w:ascii="Arial" w:hAnsi="Arial" w:cs="Arial"/>
                <w:sz w:val="20"/>
                <w:szCs w:val="20"/>
              </w:rPr>
              <w:t>doda nova</w:t>
            </w:r>
            <w:r>
              <w:rPr>
                <w:rFonts w:ascii="Arial" w:hAnsi="Arial" w:cs="Arial"/>
                <w:sz w:val="20"/>
                <w:szCs w:val="20"/>
              </w:rPr>
              <w:t>,</w:t>
            </w:r>
            <w:r w:rsidRPr="00A6784E">
              <w:rPr>
                <w:rFonts w:ascii="Arial" w:hAnsi="Arial" w:cs="Arial"/>
                <w:sz w:val="20"/>
                <w:szCs w:val="20"/>
              </w:rPr>
              <w:t xml:space="preserve"> 9. točka, ki se glasi:</w:t>
            </w:r>
          </w:p>
          <w:p w14:paraId="304A3C16" w14:textId="456BA8BD" w:rsidR="001F0977" w:rsidRDefault="001F0977" w:rsidP="001F0977">
            <w:pPr>
              <w:pStyle w:val="whitespace-pre-wrap"/>
              <w:spacing w:before="0" w:beforeAutospacing="0" w:after="0" w:afterAutospacing="0" w:line="260" w:lineRule="exact"/>
              <w:jc w:val="both"/>
              <w:rPr>
                <w:rFonts w:ascii="Arial" w:hAnsi="Arial" w:cs="Arial"/>
                <w:sz w:val="20"/>
                <w:szCs w:val="20"/>
              </w:rPr>
            </w:pPr>
            <w:r w:rsidRPr="00A6784E">
              <w:rPr>
                <w:rFonts w:ascii="Arial" w:hAnsi="Arial" w:cs="Arial"/>
                <w:sz w:val="20"/>
                <w:szCs w:val="20"/>
              </w:rPr>
              <w:t>"</w:t>
            </w:r>
            <w:r>
              <w:rPr>
                <w:rFonts w:ascii="Arial" w:hAnsi="Arial" w:cs="Arial"/>
                <w:sz w:val="20"/>
                <w:szCs w:val="20"/>
              </w:rPr>
              <w:t>9</w:t>
            </w:r>
            <w:r w:rsidRPr="00A6784E">
              <w:rPr>
                <w:rFonts w:ascii="Arial" w:hAnsi="Arial" w:cs="Arial"/>
                <w:sz w:val="20"/>
                <w:szCs w:val="20"/>
              </w:rPr>
              <w:t>. Uredba (EU) 2022/2554 Evropskega parlamenta in Sveta z dne 14. decembra 2022 o digitalni operativni odpornosti za finančni sektor in spremembi uredb (ES) št. 1060/2009, (EU) št. 648/2012, (EU) št. 600/2014, (EU) št. 909/2014 in (EU) 2016/1011 (UL L št. 333 z dne 27. 12. 2022, str. 1</w:t>
            </w:r>
            <w:r>
              <w:rPr>
                <w:rFonts w:ascii="Arial" w:hAnsi="Arial" w:cs="Arial"/>
                <w:sz w:val="20"/>
                <w:szCs w:val="20"/>
              </w:rPr>
              <w:t xml:space="preserve">), </w:t>
            </w:r>
            <w:r w:rsidRPr="004C2DE0">
              <w:rPr>
                <w:rFonts w:ascii="Arial" w:hAnsi="Arial" w:cs="Arial"/>
                <w:sz w:val="20"/>
                <w:szCs w:val="20"/>
              </w:rPr>
              <w:t xml:space="preserve">zadnjič spremenjena z Delegirano uredbo Komisije (EU) 2025/420 z dne 16. decembra 2024 o dopolnitvi Uredbe (EU) 2022/2554 Evropskega parlamenta in Sveta v zvezi z regulativnimi tehničnimi standardi, v katerih se določijo merila za določitev sestave skupne </w:t>
            </w:r>
            <w:proofErr w:type="spellStart"/>
            <w:r w:rsidRPr="004C2DE0">
              <w:rPr>
                <w:rFonts w:ascii="Arial" w:hAnsi="Arial" w:cs="Arial"/>
                <w:sz w:val="20"/>
                <w:szCs w:val="20"/>
              </w:rPr>
              <w:t>pregledniške</w:t>
            </w:r>
            <w:proofErr w:type="spellEnd"/>
            <w:r w:rsidRPr="004C2DE0">
              <w:rPr>
                <w:rFonts w:ascii="Arial" w:hAnsi="Arial" w:cs="Arial"/>
                <w:sz w:val="20"/>
                <w:szCs w:val="20"/>
              </w:rPr>
              <w:t xml:space="preserve"> ekipe</w:t>
            </w:r>
            <w:r>
              <w:rPr>
                <w:rFonts w:ascii="Arial" w:hAnsi="Arial" w:cs="Arial"/>
                <w:sz w:val="20"/>
                <w:szCs w:val="20"/>
              </w:rPr>
              <w:t xml:space="preserve">, </w:t>
            </w:r>
            <w:r w:rsidRPr="00EE69E3">
              <w:rPr>
                <w:rFonts w:ascii="Arial" w:hAnsi="Arial" w:cs="Arial"/>
                <w:sz w:val="20"/>
                <w:szCs w:val="20"/>
              </w:rPr>
              <w:t>ki zagotavljajo uravnoteženo udeležbo članov osebja iz evropskih nadzornih organov in ustreznih pristojnih organov, njihovo imenovanje, naloge in delovne dogovore</w:t>
            </w:r>
            <w:r w:rsidRPr="004C2DE0">
              <w:rPr>
                <w:rFonts w:ascii="Arial" w:hAnsi="Arial" w:cs="Arial"/>
                <w:sz w:val="20"/>
                <w:szCs w:val="20"/>
              </w:rPr>
              <w:t xml:space="preserve"> (UL L </w:t>
            </w:r>
            <w:r w:rsidR="00303F3C">
              <w:rPr>
                <w:rFonts w:ascii="Arial" w:hAnsi="Arial" w:cs="Arial"/>
                <w:sz w:val="20"/>
                <w:szCs w:val="20"/>
              </w:rPr>
              <w:t xml:space="preserve">št. </w:t>
            </w:r>
            <w:r w:rsidRPr="004C2DE0">
              <w:rPr>
                <w:rFonts w:ascii="Arial" w:hAnsi="Arial" w:cs="Arial"/>
                <w:sz w:val="20"/>
                <w:szCs w:val="20"/>
              </w:rPr>
              <w:t xml:space="preserve">2025/420 </w:t>
            </w:r>
            <w:r w:rsidR="00303F3C">
              <w:rPr>
                <w:rFonts w:ascii="Arial" w:hAnsi="Arial" w:cs="Arial"/>
                <w:sz w:val="20"/>
                <w:szCs w:val="20"/>
              </w:rPr>
              <w:t xml:space="preserve">z dne </w:t>
            </w:r>
            <w:r w:rsidRPr="004C2DE0">
              <w:rPr>
                <w:rFonts w:ascii="Arial" w:hAnsi="Arial" w:cs="Arial"/>
                <w:sz w:val="20"/>
                <w:szCs w:val="20"/>
              </w:rPr>
              <w:t>24.</w:t>
            </w:r>
            <w:r>
              <w:rPr>
                <w:rFonts w:ascii="Arial" w:hAnsi="Arial" w:cs="Arial"/>
                <w:sz w:val="20"/>
                <w:szCs w:val="20"/>
              </w:rPr>
              <w:t xml:space="preserve"> </w:t>
            </w:r>
            <w:r w:rsidRPr="004C2DE0">
              <w:rPr>
                <w:rFonts w:ascii="Arial" w:hAnsi="Arial" w:cs="Arial"/>
                <w:sz w:val="20"/>
                <w:szCs w:val="20"/>
              </w:rPr>
              <w:t>3.</w:t>
            </w:r>
            <w:r>
              <w:rPr>
                <w:rFonts w:ascii="Arial" w:hAnsi="Arial" w:cs="Arial"/>
                <w:sz w:val="20"/>
                <w:szCs w:val="20"/>
              </w:rPr>
              <w:t xml:space="preserve"> </w:t>
            </w:r>
            <w:r w:rsidRPr="004C2DE0">
              <w:rPr>
                <w:rFonts w:ascii="Arial" w:hAnsi="Arial" w:cs="Arial"/>
                <w:sz w:val="20"/>
                <w:szCs w:val="20"/>
              </w:rPr>
              <w:t>2025),</w:t>
            </w:r>
            <w:r>
              <w:rPr>
                <w:rFonts w:ascii="Arial" w:hAnsi="Arial" w:cs="Arial"/>
                <w:sz w:val="20"/>
                <w:szCs w:val="20"/>
              </w:rPr>
              <w:t xml:space="preserve"> (</w:t>
            </w:r>
            <w:r w:rsidRPr="00A6784E">
              <w:rPr>
                <w:rFonts w:ascii="Arial" w:hAnsi="Arial" w:cs="Arial"/>
                <w:sz w:val="20"/>
                <w:szCs w:val="20"/>
              </w:rPr>
              <w:t>v nadaljnjem besedilu: Uredba 2022/2554</w:t>
            </w:r>
            <w:r>
              <w:rPr>
                <w:rFonts w:ascii="Arial" w:hAnsi="Arial" w:cs="Arial"/>
                <w:sz w:val="20"/>
                <w:szCs w:val="20"/>
              </w:rPr>
              <w:t>/EU</w:t>
            </w:r>
            <w:r w:rsidRPr="00A6784E">
              <w:rPr>
                <w:rFonts w:ascii="Arial" w:hAnsi="Arial" w:cs="Arial"/>
                <w:sz w:val="20"/>
                <w:szCs w:val="20"/>
              </w:rPr>
              <w:t>)."</w:t>
            </w:r>
            <w:r>
              <w:rPr>
                <w:rFonts w:ascii="Arial" w:hAnsi="Arial" w:cs="Arial"/>
                <w:sz w:val="20"/>
                <w:szCs w:val="20"/>
              </w:rPr>
              <w:t>.</w:t>
            </w:r>
          </w:p>
          <w:p w14:paraId="2AEFEB04" w14:textId="77777777" w:rsidR="001F0977" w:rsidRPr="00A6784E" w:rsidRDefault="001F0977" w:rsidP="001F0977">
            <w:pPr>
              <w:pStyle w:val="whitespace-pre-wrap"/>
              <w:spacing w:before="0" w:beforeAutospacing="0" w:after="0" w:afterAutospacing="0" w:line="260" w:lineRule="exact"/>
              <w:jc w:val="both"/>
              <w:rPr>
                <w:rFonts w:ascii="Arial" w:hAnsi="Arial" w:cs="Arial"/>
                <w:sz w:val="20"/>
                <w:szCs w:val="20"/>
              </w:rPr>
            </w:pPr>
          </w:p>
          <w:p w14:paraId="5117B5D2" w14:textId="77777777" w:rsidR="001F0977" w:rsidRPr="00A6784E" w:rsidRDefault="001F0977" w:rsidP="001F0977">
            <w:pPr>
              <w:tabs>
                <w:tab w:val="left" w:pos="720"/>
              </w:tabs>
              <w:overflowPunct w:val="0"/>
              <w:autoSpaceDE w:val="0"/>
              <w:autoSpaceDN w:val="0"/>
              <w:adjustRightInd w:val="0"/>
              <w:ind w:left="720" w:hanging="360"/>
              <w:jc w:val="center"/>
              <w:textAlignment w:val="baseline"/>
              <w:rPr>
                <w:rFonts w:cs="Arial"/>
                <w:b/>
                <w:szCs w:val="20"/>
                <w:lang w:eastAsia="sl-SI"/>
              </w:rPr>
            </w:pPr>
            <w:bookmarkStart w:id="10" w:name="_Ref380673752"/>
            <w:r w:rsidRPr="00A6784E">
              <w:rPr>
                <w:rFonts w:cs="Arial"/>
                <w:b/>
                <w:szCs w:val="20"/>
                <w:lang w:eastAsia="sl-SI"/>
              </w:rPr>
              <w:t>2. člen</w:t>
            </w:r>
            <w:bookmarkEnd w:id="10"/>
          </w:p>
          <w:p w14:paraId="15A70A11" w14:textId="77777777" w:rsidR="001F0977" w:rsidRPr="00A6784E" w:rsidRDefault="001F0977" w:rsidP="001F0977">
            <w:pPr>
              <w:jc w:val="both"/>
              <w:rPr>
                <w:rFonts w:cs="Arial"/>
                <w:szCs w:val="20"/>
              </w:rPr>
            </w:pPr>
          </w:p>
          <w:p w14:paraId="4439DA4F" w14:textId="77777777" w:rsidR="001F0977" w:rsidRPr="00A6784E" w:rsidRDefault="001F0977" w:rsidP="001F0977">
            <w:pPr>
              <w:jc w:val="both"/>
              <w:rPr>
                <w:rFonts w:cs="Arial"/>
                <w:szCs w:val="20"/>
              </w:rPr>
            </w:pPr>
            <w:r w:rsidRPr="00A6784E">
              <w:rPr>
                <w:rFonts w:cs="Arial"/>
                <w:szCs w:val="20"/>
              </w:rPr>
              <w:t>V 74. členu se v drugem odstavku 2. točka spremeni tako, da se glasi:</w:t>
            </w:r>
          </w:p>
          <w:p w14:paraId="7A78E203" w14:textId="77777777" w:rsidR="001F0977" w:rsidRDefault="001F0977" w:rsidP="001F0977">
            <w:pPr>
              <w:jc w:val="both"/>
              <w:rPr>
                <w:rFonts w:cs="Arial"/>
                <w:szCs w:val="20"/>
              </w:rPr>
            </w:pPr>
          </w:p>
          <w:p w14:paraId="0A837AB7" w14:textId="77777777" w:rsidR="001F0977" w:rsidRPr="00A6784E" w:rsidRDefault="001F0977" w:rsidP="001F0977">
            <w:pPr>
              <w:jc w:val="both"/>
              <w:rPr>
                <w:rFonts w:cs="Arial"/>
                <w:szCs w:val="20"/>
              </w:rPr>
            </w:pPr>
            <w:r w:rsidRPr="00A6784E">
              <w:rPr>
                <w:rFonts w:cs="Arial"/>
                <w:szCs w:val="20"/>
              </w:rPr>
              <w:t>»</w:t>
            </w:r>
            <w:bookmarkStart w:id="11" w:name="_Hlk185952802"/>
            <w:r w:rsidRPr="00A6784E">
              <w:rPr>
                <w:rFonts w:cs="Arial"/>
                <w:szCs w:val="20"/>
              </w:rPr>
              <w:t>2. nadzorno in varnostno ureditev za elektronsko obdelavo podatkov, vključno z omrežnimi in informacijskimi sistemi, ki so vzpostavljeni in se upravljajo v skladu z Uredbo 2022/2554</w:t>
            </w:r>
            <w:r>
              <w:rPr>
                <w:rFonts w:cs="Arial"/>
                <w:szCs w:val="20"/>
              </w:rPr>
              <w:t>/EU,«.</w:t>
            </w:r>
            <w:r w:rsidRPr="0018737F">
              <w:rPr>
                <w:rFonts w:cs="Arial"/>
                <w:szCs w:val="20"/>
              </w:rPr>
              <w:t xml:space="preserve"> </w:t>
            </w:r>
            <w:bookmarkEnd w:id="11"/>
          </w:p>
          <w:p w14:paraId="71076810" w14:textId="77777777" w:rsidR="001F0977" w:rsidRPr="00A6784E" w:rsidRDefault="001F0977" w:rsidP="001F0977">
            <w:pPr>
              <w:jc w:val="both"/>
              <w:rPr>
                <w:rFonts w:cs="Arial"/>
                <w:szCs w:val="20"/>
              </w:rPr>
            </w:pPr>
          </w:p>
          <w:p w14:paraId="443026BF" w14:textId="77777777" w:rsidR="001F0977" w:rsidRPr="00A6784E" w:rsidRDefault="001F0977" w:rsidP="001F0977">
            <w:pPr>
              <w:jc w:val="both"/>
              <w:rPr>
                <w:rFonts w:cs="Arial"/>
                <w:szCs w:val="20"/>
              </w:rPr>
            </w:pPr>
          </w:p>
          <w:p w14:paraId="064B4DD3" w14:textId="77777777" w:rsidR="001F0977" w:rsidRDefault="001F0977" w:rsidP="001F0977">
            <w:pPr>
              <w:jc w:val="center"/>
              <w:rPr>
                <w:rFonts w:cs="Arial"/>
                <w:b/>
                <w:bCs/>
                <w:szCs w:val="20"/>
              </w:rPr>
            </w:pPr>
            <w:r>
              <w:rPr>
                <w:rFonts w:cs="Arial"/>
                <w:b/>
                <w:bCs/>
                <w:szCs w:val="20"/>
              </w:rPr>
              <w:t>3</w:t>
            </w:r>
            <w:r w:rsidRPr="007B3C53">
              <w:rPr>
                <w:rFonts w:cs="Arial"/>
                <w:b/>
                <w:bCs/>
                <w:szCs w:val="20"/>
              </w:rPr>
              <w:t>. člen</w:t>
            </w:r>
          </w:p>
          <w:p w14:paraId="11F5425D" w14:textId="77777777" w:rsidR="001F0977" w:rsidRPr="007B3C53" w:rsidRDefault="001F0977" w:rsidP="001F0977">
            <w:pPr>
              <w:jc w:val="center"/>
              <w:rPr>
                <w:rFonts w:cs="Arial"/>
                <w:b/>
                <w:bCs/>
                <w:szCs w:val="20"/>
              </w:rPr>
            </w:pPr>
            <w:r>
              <w:rPr>
                <w:rFonts w:cs="Arial"/>
                <w:b/>
                <w:bCs/>
                <w:szCs w:val="20"/>
              </w:rPr>
              <w:t xml:space="preserve">(začetek veljavnosti) </w:t>
            </w:r>
          </w:p>
          <w:p w14:paraId="08FFB1CC" w14:textId="77777777" w:rsidR="001F0977" w:rsidRPr="00A6784E" w:rsidRDefault="001F0977" w:rsidP="001F0977">
            <w:pPr>
              <w:jc w:val="both"/>
              <w:rPr>
                <w:rFonts w:cs="Arial"/>
                <w:szCs w:val="20"/>
              </w:rPr>
            </w:pPr>
          </w:p>
        </w:tc>
      </w:tr>
      <w:tr w:rsidR="001F0977" w:rsidRPr="00A6784E" w14:paraId="7B502A80" w14:textId="77777777" w:rsidTr="009C5A0D">
        <w:tc>
          <w:tcPr>
            <w:tcW w:w="9072" w:type="dxa"/>
          </w:tcPr>
          <w:p w14:paraId="48FBD385" w14:textId="77777777" w:rsidR="001F0977" w:rsidRDefault="001F0977" w:rsidP="001F0977">
            <w:pPr>
              <w:rPr>
                <w:rFonts w:cs="Arial"/>
                <w:bCs/>
                <w:szCs w:val="20"/>
              </w:rPr>
            </w:pPr>
            <w:r w:rsidRPr="000D3150">
              <w:rPr>
                <w:rFonts w:cs="Arial"/>
                <w:bCs/>
                <w:szCs w:val="20"/>
              </w:rPr>
              <w:t>Ta zakon začne veljati petnajsti dan po objavi v Uradnem listu Republike Slovenije.</w:t>
            </w:r>
          </w:p>
          <w:p w14:paraId="7FEE7D77" w14:textId="77777777" w:rsidR="001F0977" w:rsidRPr="00A6784E" w:rsidRDefault="001F0977" w:rsidP="001F0977">
            <w:pPr>
              <w:pStyle w:val="Poglavje"/>
              <w:spacing w:before="0" w:line="260" w:lineRule="exact"/>
              <w:ind w:firstLine="0"/>
              <w:jc w:val="left"/>
              <w:rPr>
                <w:b/>
                <w:bCs/>
                <w:sz w:val="20"/>
                <w:szCs w:val="20"/>
              </w:rPr>
            </w:pPr>
          </w:p>
        </w:tc>
      </w:tr>
      <w:tr w:rsidR="001F0977" w:rsidRPr="00A6784E" w14:paraId="10975E0F" w14:textId="77777777" w:rsidTr="009C5A0D">
        <w:tc>
          <w:tcPr>
            <w:tcW w:w="9072" w:type="dxa"/>
          </w:tcPr>
          <w:p w14:paraId="4D7B5C79" w14:textId="77777777" w:rsidR="001F0977" w:rsidRPr="00A6784E" w:rsidRDefault="001F0977" w:rsidP="001F0977">
            <w:pPr>
              <w:pStyle w:val="Poglavje"/>
              <w:spacing w:before="0" w:line="260" w:lineRule="exact"/>
              <w:ind w:firstLine="0"/>
              <w:jc w:val="left"/>
              <w:rPr>
                <w:b/>
                <w:bCs/>
                <w:sz w:val="20"/>
                <w:szCs w:val="20"/>
              </w:rPr>
            </w:pPr>
          </w:p>
        </w:tc>
      </w:tr>
    </w:tbl>
    <w:p w14:paraId="1A001F99" w14:textId="77777777" w:rsidR="001F0977" w:rsidRPr="00A6784E" w:rsidRDefault="001F0977" w:rsidP="001F0977">
      <w:pPr>
        <w:rPr>
          <w:rFonts w:cs="Arial"/>
          <w:szCs w:val="20"/>
        </w:rPr>
      </w:pPr>
      <w:r w:rsidRPr="00A6784E">
        <w:rPr>
          <w:rFonts w:cs="Arial"/>
          <w:b/>
          <w:szCs w:val="20"/>
        </w:rPr>
        <w:br w:type="page"/>
      </w:r>
    </w:p>
    <w:tbl>
      <w:tblPr>
        <w:tblW w:w="0" w:type="auto"/>
        <w:tblLook w:val="04A0" w:firstRow="1" w:lastRow="0" w:firstColumn="1" w:lastColumn="0" w:noHBand="0" w:noVBand="1"/>
      </w:tblPr>
      <w:tblGrid>
        <w:gridCol w:w="8504"/>
      </w:tblGrid>
      <w:tr w:rsidR="001F0977" w:rsidRPr="00A6784E" w14:paraId="629CE839" w14:textId="77777777" w:rsidTr="009C5A0D">
        <w:tc>
          <w:tcPr>
            <w:tcW w:w="9072" w:type="dxa"/>
          </w:tcPr>
          <w:p w14:paraId="11C8E243" w14:textId="77777777" w:rsidR="001F0977" w:rsidRPr="001967D8" w:rsidRDefault="001F0977" w:rsidP="001F0977">
            <w:pPr>
              <w:pStyle w:val="Poglavje"/>
              <w:spacing w:before="0" w:line="260" w:lineRule="exact"/>
              <w:ind w:firstLine="0"/>
              <w:jc w:val="left"/>
              <w:rPr>
                <w:b/>
                <w:bCs/>
                <w:sz w:val="20"/>
                <w:szCs w:val="20"/>
              </w:rPr>
            </w:pPr>
            <w:r w:rsidRPr="001967D8">
              <w:rPr>
                <w:b/>
                <w:bCs/>
                <w:sz w:val="20"/>
                <w:szCs w:val="20"/>
              </w:rPr>
              <w:lastRenderedPageBreak/>
              <w:t>III. OBRAZLOŽITEV</w:t>
            </w:r>
          </w:p>
        </w:tc>
      </w:tr>
      <w:tr w:rsidR="001F0977" w:rsidRPr="00A6784E" w14:paraId="7E7AE306" w14:textId="77777777" w:rsidTr="009C5A0D">
        <w:tc>
          <w:tcPr>
            <w:tcW w:w="9072" w:type="dxa"/>
          </w:tcPr>
          <w:p w14:paraId="3885C247" w14:textId="77777777" w:rsidR="001F0977" w:rsidRPr="001967D8" w:rsidRDefault="001F0977" w:rsidP="001F0977">
            <w:pPr>
              <w:pStyle w:val="Neotevilenodstavek"/>
              <w:spacing w:before="0" w:after="0" w:line="260" w:lineRule="exact"/>
              <w:rPr>
                <w:b/>
                <w:bCs/>
              </w:rPr>
            </w:pPr>
          </w:p>
        </w:tc>
      </w:tr>
    </w:tbl>
    <w:p w14:paraId="4B645716" w14:textId="77777777" w:rsidR="001F0977" w:rsidRPr="00A6784E" w:rsidRDefault="001F0977" w:rsidP="001F0977">
      <w:pPr>
        <w:tabs>
          <w:tab w:val="left" w:pos="708"/>
        </w:tabs>
        <w:jc w:val="both"/>
        <w:rPr>
          <w:rFonts w:cs="Arial"/>
          <w:bCs/>
          <w:szCs w:val="20"/>
        </w:rPr>
      </w:pPr>
    </w:p>
    <w:p w14:paraId="636DD536" w14:textId="77777777" w:rsidR="001F0977" w:rsidRPr="00A6784E" w:rsidRDefault="001F0977" w:rsidP="001F0977">
      <w:pPr>
        <w:tabs>
          <w:tab w:val="left" w:pos="708"/>
        </w:tabs>
        <w:jc w:val="both"/>
        <w:rPr>
          <w:rFonts w:cs="Arial"/>
          <w:b/>
          <w:bCs/>
          <w:szCs w:val="20"/>
        </w:rPr>
      </w:pPr>
      <w:r w:rsidRPr="00A6784E">
        <w:rPr>
          <w:rFonts w:cs="Arial"/>
          <w:b/>
          <w:bCs/>
          <w:szCs w:val="20"/>
        </w:rPr>
        <w:t>K 1. členu:</w:t>
      </w:r>
    </w:p>
    <w:p w14:paraId="079959E1" w14:textId="77777777" w:rsidR="001F0977" w:rsidRDefault="001F0977" w:rsidP="001F0977">
      <w:pPr>
        <w:tabs>
          <w:tab w:val="left" w:pos="708"/>
        </w:tabs>
        <w:jc w:val="both"/>
        <w:rPr>
          <w:rFonts w:cs="Arial"/>
          <w:bCs/>
          <w:szCs w:val="20"/>
        </w:rPr>
      </w:pPr>
      <w:r w:rsidRPr="00A6784E">
        <w:rPr>
          <w:rFonts w:cs="Arial"/>
          <w:bCs/>
          <w:szCs w:val="20"/>
        </w:rPr>
        <w:t xml:space="preserve">S tem členom se v 2. člen </w:t>
      </w:r>
      <w:r w:rsidRPr="00D11B3F">
        <w:rPr>
          <w:rFonts w:cs="Arial"/>
          <w:bCs/>
          <w:szCs w:val="20"/>
        </w:rPr>
        <w:t>Zakona o upravljavcih alternativnih investicijskih skladov</w:t>
      </w:r>
      <w:r w:rsidRPr="00A6784E">
        <w:rPr>
          <w:rFonts w:cs="Arial"/>
          <w:bCs/>
          <w:szCs w:val="20"/>
        </w:rPr>
        <w:t xml:space="preserve"> dodajata </w:t>
      </w:r>
      <w:r w:rsidRPr="00164779">
        <w:rPr>
          <w:rFonts w:cs="Arial"/>
          <w:bCs/>
          <w:szCs w:val="20"/>
        </w:rPr>
        <w:t>dopolnjuje sklic na Direktivo 2011/61/EU z navedbo Direktive 2022/2556/EU (DORA direktiva) kot zadnje spremembe ter dodaja sklic na</w:t>
      </w:r>
      <w:r>
        <w:rPr>
          <w:rFonts w:cs="Arial"/>
          <w:bCs/>
          <w:szCs w:val="20"/>
        </w:rPr>
        <w:t xml:space="preserve"> </w:t>
      </w:r>
      <w:r w:rsidRPr="00A6784E">
        <w:rPr>
          <w:rFonts w:cs="Arial"/>
          <w:bCs/>
          <w:szCs w:val="20"/>
        </w:rPr>
        <w:t xml:space="preserve">Uredbo (EU) 2022/2554 (DORA uredba). Uredba se dodaja v drugi odstavek, ki našteva uredbe, katerih izvajanje se ureja s tem zakonom. </w:t>
      </w:r>
    </w:p>
    <w:p w14:paraId="2119B760" w14:textId="77777777" w:rsidR="001F0977" w:rsidRPr="00A6784E" w:rsidRDefault="001F0977" w:rsidP="001F0977">
      <w:pPr>
        <w:tabs>
          <w:tab w:val="left" w:pos="708"/>
        </w:tabs>
        <w:jc w:val="both"/>
        <w:rPr>
          <w:rFonts w:cs="Arial"/>
          <w:bCs/>
          <w:szCs w:val="20"/>
        </w:rPr>
      </w:pPr>
    </w:p>
    <w:p w14:paraId="729C9EE9" w14:textId="77777777" w:rsidR="001F0977" w:rsidRPr="00A6784E" w:rsidRDefault="001F0977" w:rsidP="001F0977">
      <w:pPr>
        <w:tabs>
          <w:tab w:val="left" w:pos="708"/>
        </w:tabs>
        <w:jc w:val="both"/>
        <w:rPr>
          <w:rFonts w:cs="Arial"/>
          <w:b/>
          <w:bCs/>
          <w:szCs w:val="20"/>
        </w:rPr>
      </w:pPr>
      <w:r w:rsidRPr="00A6784E">
        <w:rPr>
          <w:rFonts w:cs="Arial"/>
          <w:b/>
          <w:bCs/>
          <w:szCs w:val="20"/>
        </w:rPr>
        <w:t>K 2. členu:</w:t>
      </w:r>
    </w:p>
    <w:p w14:paraId="7D8943F5" w14:textId="77777777" w:rsidR="001F0977" w:rsidRDefault="001F0977" w:rsidP="001F0977">
      <w:pPr>
        <w:tabs>
          <w:tab w:val="left" w:pos="708"/>
        </w:tabs>
        <w:jc w:val="both"/>
        <w:rPr>
          <w:rFonts w:cs="Arial"/>
          <w:bCs/>
          <w:szCs w:val="20"/>
        </w:rPr>
      </w:pPr>
      <w:r w:rsidRPr="00A6784E">
        <w:rPr>
          <w:rFonts w:cs="Arial"/>
          <w:bCs/>
          <w:szCs w:val="20"/>
        </w:rPr>
        <w:t xml:space="preserve">Sprememba 2. točke drugega odstavka 74. člena </w:t>
      </w:r>
      <w:r w:rsidRPr="00D11B3F">
        <w:rPr>
          <w:rFonts w:cs="Arial"/>
          <w:bCs/>
          <w:szCs w:val="20"/>
        </w:rPr>
        <w:t>Zakona o upravljavcih alternativnih investicijskih skladov</w:t>
      </w:r>
      <w:r w:rsidRPr="00A6784E">
        <w:rPr>
          <w:rFonts w:cs="Arial"/>
          <w:bCs/>
          <w:szCs w:val="20"/>
        </w:rPr>
        <w:t xml:space="preserve"> prenaša dopolnitev člena 18(1) Direktive 2011/61/EU, kot je bila spremenjena z Direktivo 2022/2556</w:t>
      </w:r>
      <w:r>
        <w:rPr>
          <w:rFonts w:cs="Arial"/>
          <w:bCs/>
          <w:szCs w:val="20"/>
        </w:rPr>
        <w:t>/EU</w:t>
      </w:r>
      <w:r w:rsidRPr="00A6784E">
        <w:rPr>
          <w:rFonts w:cs="Arial"/>
          <w:bCs/>
          <w:szCs w:val="20"/>
        </w:rPr>
        <w:t>. Dopolnitev se nanaša na zahtevo, da morajo biti omrežni in informacijski sistemi upravljavcev alternativnih investicijskih skladov vzpostavljeni in se upravljati v skladu z Uredbo 2022/2554</w:t>
      </w:r>
      <w:r>
        <w:rPr>
          <w:rFonts w:cs="Arial"/>
          <w:bCs/>
          <w:szCs w:val="20"/>
        </w:rPr>
        <w:t>/EU</w:t>
      </w:r>
      <w:r w:rsidRPr="00A6784E">
        <w:rPr>
          <w:rFonts w:cs="Arial"/>
          <w:bCs/>
          <w:szCs w:val="20"/>
        </w:rPr>
        <w:t xml:space="preserve"> o digitalni operativni odpornosti za finančni sektor</w:t>
      </w:r>
      <w:r w:rsidRPr="000A5706">
        <w:t xml:space="preserve"> </w:t>
      </w:r>
      <w:r w:rsidRPr="000A5706">
        <w:rPr>
          <w:rFonts w:cs="Arial"/>
          <w:bCs/>
          <w:szCs w:val="20"/>
        </w:rPr>
        <w:t>ter predpisi, izdani na njeni podlagi, vključno z Uredbo o izvajanju uredbe (EU) o digitalni operativni odpornosti za finančni sektor</w:t>
      </w:r>
      <w:r>
        <w:rPr>
          <w:rFonts w:cs="Arial"/>
          <w:bCs/>
          <w:szCs w:val="20"/>
        </w:rPr>
        <w:t xml:space="preserve"> </w:t>
      </w:r>
      <w:r w:rsidRPr="00775D89">
        <w:rPr>
          <w:rFonts w:cs="Arial"/>
          <w:bCs/>
          <w:szCs w:val="20"/>
        </w:rPr>
        <w:t>(Uradni list RS, št. 25/25)</w:t>
      </w:r>
      <w:r w:rsidRPr="00A6784E">
        <w:rPr>
          <w:rFonts w:cs="Arial"/>
          <w:bCs/>
          <w:szCs w:val="20"/>
        </w:rPr>
        <w:t>. S tem se zagotavlja skladnost sistemov z zahtevami glede digitalne operativne odpornosti in vzpostavlja enotni pristop k upravljanju tveganj na področju IKT.</w:t>
      </w:r>
    </w:p>
    <w:p w14:paraId="1600FCD3" w14:textId="77777777" w:rsidR="001F0977" w:rsidRPr="00A6784E" w:rsidRDefault="001F0977" w:rsidP="001F0977">
      <w:pPr>
        <w:tabs>
          <w:tab w:val="left" w:pos="708"/>
        </w:tabs>
        <w:jc w:val="both"/>
        <w:rPr>
          <w:rFonts w:cs="Arial"/>
          <w:bCs/>
          <w:szCs w:val="20"/>
        </w:rPr>
      </w:pPr>
    </w:p>
    <w:p w14:paraId="3EEFF701" w14:textId="77777777" w:rsidR="001F0977" w:rsidRPr="00344C8C" w:rsidRDefault="001F0977" w:rsidP="001F0977">
      <w:pPr>
        <w:tabs>
          <w:tab w:val="left" w:pos="708"/>
        </w:tabs>
        <w:jc w:val="both"/>
        <w:rPr>
          <w:rFonts w:cs="Arial"/>
          <w:b/>
          <w:bCs/>
          <w:szCs w:val="20"/>
        </w:rPr>
      </w:pPr>
      <w:r w:rsidRPr="00344C8C">
        <w:rPr>
          <w:rFonts w:cs="Arial"/>
          <w:b/>
          <w:bCs/>
          <w:szCs w:val="20"/>
        </w:rPr>
        <w:t>K 3. členu:</w:t>
      </w:r>
    </w:p>
    <w:p w14:paraId="16E3BEBA" w14:textId="77777777" w:rsidR="001F0977" w:rsidRDefault="001F0977" w:rsidP="001F0977">
      <w:pPr>
        <w:tabs>
          <w:tab w:val="left" w:pos="708"/>
        </w:tabs>
        <w:jc w:val="both"/>
        <w:rPr>
          <w:rFonts w:cs="Arial"/>
          <w:bCs/>
          <w:szCs w:val="20"/>
        </w:rPr>
      </w:pPr>
      <w:r w:rsidRPr="000D3150">
        <w:rPr>
          <w:rFonts w:cs="Arial"/>
          <w:bCs/>
          <w:szCs w:val="20"/>
        </w:rPr>
        <w:t xml:space="preserve">Za uveljavitev zakona je določen petnajstdnevni </w:t>
      </w:r>
      <w:proofErr w:type="spellStart"/>
      <w:r w:rsidRPr="000D3150">
        <w:rPr>
          <w:rFonts w:cs="Arial"/>
          <w:bCs/>
          <w:szCs w:val="20"/>
        </w:rPr>
        <w:t>vacatio</w:t>
      </w:r>
      <w:proofErr w:type="spellEnd"/>
      <w:r w:rsidRPr="000D3150">
        <w:rPr>
          <w:rFonts w:cs="Arial"/>
          <w:bCs/>
          <w:szCs w:val="20"/>
        </w:rPr>
        <w:t xml:space="preserve"> </w:t>
      </w:r>
      <w:proofErr w:type="spellStart"/>
      <w:r w:rsidRPr="000D3150">
        <w:rPr>
          <w:rFonts w:cs="Arial"/>
          <w:bCs/>
          <w:szCs w:val="20"/>
        </w:rPr>
        <w:t>legis</w:t>
      </w:r>
      <w:proofErr w:type="spellEnd"/>
      <w:r w:rsidRPr="000D3150">
        <w:rPr>
          <w:rFonts w:cs="Arial"/>
          <w:bCs/>
          <w:szCs w:val="20"/>
        </w:rPr>
        <w:t>.</w:t>
      </w:r>
    </w:p>
    <w:p w14:paraId="3A18A57C" w14:textId="77777777" w:rsidR="001F0977" w:rsidRDefault="001F0977" w:rsidP="001F0977">
      <w:pPr>
        <w:tabs>
          <w:tab w:val="left" w:pos="708"/>
        </w:tabs>
        <w:jc w:val="both"/>
        <w:rPr>
          <w:rFonts w:cs="Arial"/>
          <w:bCs/>
          <w:szCs w:val="20"/>
        </w:rPr>
      </w:pPr>
    </w:p>
    <w:p w14:paraId="5E915D90" w14:textId="77777777" w:rsidR="001F0977" w:rsidRDefault="001F0977" w:rsidP="001F0977">
      <w:pPr>
        <w:tabs>
          <w:tab w:val="left" w:pos="708"/>
        </w:tabs>
        <w:jc w:val="both"/>
        <w:rPr>
          <w:rFonts w:cs="Arial"/>
          <w:bCs/>
          <w:szCs w:val="20"/>
        </w:rPr>
      </w:pPr>
    </w:p>
    <w:p w14:paraId="09BF3D26" w14:textId="77777777" w:rsidR="001F0977" w:rsidRDefault="001F0977" w:rsidP="001F0977">
      <w:pPr>
        <w:tabs>
          <w:tab w:val="left" w:pos="708"/>
        </w:tabs>
        <w:jc w:val="both"/>
        <w:rPr>
          <w:rFonts w:cs="Arial"/>
          <w:bCs/>
          <w:szCs w:val="20"/>
        </w:rPr>
      </w:pPr>
    </w:p>
    <w:p w14:paraId="08999A7F" w14:textId="77777777" w:rsidR="001F0977" w:rsidRDefault="001F0977" w:rsidP="001F0977">
      <w:pPr>
        <w:tabs>
          <w:tab w:val="left" w:pos="708"/>
        </w:tabs>
        <w:jc w:val="both"/>
        <w:rPr>
          <w:rFonts w:cs="Arial"/>
          <w:bCs/>
          <w:szCs w:val="20"/>
        </w:rPr>
      </w:pPr>
    </w:p>
    <w:p w14:paraId="07C8BCC0" w14:textId="77777777" w:rsidR="001F0977" w:rsidRDefault="001F0977" w:rsidP="001F0977">
      <w:pPr>
        <w:tabs>
          <w:tab w:val="left" w:pos="708"/>
        </w:tabs>
        <w:jc w:val="both"/>
        <w:rPr>
          <w:rFonts w:cs="Arial"/>
          <w:bCs/>
          <w:szCs w:val="20"/>
        </w:rPr>
      </w:pPr>
    </w:p>
    <w:p w14:paraId="3AFDD795" w14:textId="77777777" w:rsidR="001F0977" w:rsidRDefault="001F0977" w:rsidP="001F0977">
      <w:pPr>
        <w:tabs>
          <w:tab w:val="left" w:pos="708"/>
        </w:tabs>
        <w:jc w:val="both"/>
        <w:rPr>
          <w:rFonts w:cs="Arial"/>
          <w:bCs/>
          <w:szCs w:val="20"/>
        </w:rPr>
      </w:pPr>
    </w:p>
    <w:p w14:paraId="3744540F" w14:textId="77777777" w:rsidR="001F0977" w:rsidRDefault="001F0977" w:rsidP="001F0977">
      <w:pPr>
        <w:tabs>
          <w:tab w:val="left" w:pos="708"/>
        </w:tabs>
        <w:jc w:val="both"/>
        <w:rPr>
          <w:rFonts w:cs="Arial"/>
          <w:bCs/>
          <w:szCs w:val="20"/>
        </w:rPr>
      </w:pPr>
    </w:p>
    <w:p w14:paraId="535990A0" w14:textId="77777777" w:rsidR="001F0977" w:rsidRDefault="001F0977" w:rsidP="001F0977">
      <w:pPr>
        <w:tabs>
          <w:tab w:val="left" w:pos="708"/>
        </w:tabs>
        <w:jc w:val="both"/>
        <w:rPr>
          <w:rFonts w:cs="Arial"/>
          <w:bCs/>
          <w:szCs w:val="20"/>
        </w:rPr>
      </w:pPr>
    </w:p>
    <w:p w14:paraId="2E0E276A" w14:textId="77777777" w:rsidR="001F0977" w:rsidRDefault="001F0977" w:rsidP="001F0977">
      <w:pPr>
        <w:tabs>
          <w:tab w:val="left" w:pos="708"/>
        </w:tabs>
        <w:jc w:val="both"/>
        <w:rPr>
          <w:rFonts w:cs="Arial"/>
          <w:bCs/>
          <w:szCs w:val="20"/>
        </w:rPr>
      </w:pPr>
    </w:p>
    <w:p w14:paraId="700AC673" w14:textId="77777777" w:rsidR="001F0977" w:rsidRDefault="001F0977" w:rsidP="001F0977">
      <w:pPr>
        <w:tabs>
          <w:tab w:val="left" w:pos="708"/>
        </w:tabs>
        <w:jc w:val="both"/>
        <w:rPr>
          <w:rFonts w:cs="Arial"/>
          <w:bCs/>
          <w:szCs w:val="20"/>
        </w:rPr>
      </w:pPr>
    </w:p>
    <w:p w14:paraId="686C2BC7" w14:textId="77777777" w:rsidR="001F0977" w:rsidRDefault="001F0977" w:rsidP="001F0977">
      <w:pPr>
        <w:tabs>
          <w:tab w:val="left" w:pos="708"/>
        </w:tabs>
        <w:jc w:val="both"/>
        <w:rPr>
          <w:rFonts w:cs="Arial"/>
          <w:bCs/>
          <w:szCs w:val="20"/>
        </w:rPr>
      </w:pPr>
    </w:p>
    <w:p w14:paraId="18D850D4" w14:textId="77777777" w:rsidR="001F0977" w:rsidRDefault="001F0977" w:rsidP="001F0977">
      <w:pPr>
        <w:tabs>
          <w:tab w:val="left" w:pos="708"/>
        </w:tabs>
        <w:jc w:val="both"/>
        <w:rPr>
          <w:rFonts w:cs="Arial"/>
          <w:bCs/>
          <w:szCs w:val="20"/>
        </w:rPr>
      </w:pPr>
    </w:p>
    <w:p w14:paraId="3DA19F32" w14:textId="77777777" w:rsidR="001F0977" w:rsidRDefault="001F0977" w:rsidP="001F0977">
      <w:pPr>
        <w:tabs>
          <w:tab w:val="left" w:pos="708"/>
        </w:tabs>
        <w:jc w:val="both"/>
        <w:rPr>
          <w:rFonts w:cs="Arial"/>
          <w:bCs/>
          <w:szCs w:val="20"/>
        </w:rPr>
      </w:pPr>
    </w:p>
    <w:p w14:paraId="7C651442" w14:textId="77777777" w:rsidR="001F0977" w:rsidRDefault="001F0977" w:rsidP="001F0977">
      <w:pPr>
        <w:tabs>
          <w:tab w:val="left" w:pos="708"/>
        </w:tabs>
        <w:jc w:val="both"/>
        <w:rPr>
          <w:rFonts w:cs="Arial"/>
          <w:bCs/>
          <w:szCs w:val="20"/>
        </w:rPr>
      </w:pPr>
    </w:p>
    <w:p w14:paraId="4CC712AD" w14:textId="77777777" w:rsidR="001F0977" w:rsidRDefault="001F0977" w:rsidP="001F0977">
      <w:pPr>
        <w:tabs>
          <w:tab w:val="left" w:pos="708"/>
        </w:tabs>
        <w:jc w:val="both"/>
        <w:rPr>
          <w:rFonts w:cs="Arial"/>
          <w:bCs/>
          <w:szCs w:val="20"/>
        </w:rPr>
      </w:pPr>
    </w:p>
    <w:p w14:paraId="0C244381" w14:textId="77777777" w:rsidR="001F0977" w:rsidRDefault="001F0977" w:rsidP="001F0977">
      <w:pPr>
        <w:tabs>
          <w:tab w:val="left" w:pos="708"/>
        </w:tabs>
        <w:jc w:val="both"/>
        <w:rPr>
          <w:rFonts w:cs="Arial"/>
          <w:bCs/>
          <w:szCs w:val="20"/>
        </w:rPr>
      </w:pPr>
    </w:p>
    <w:p w14:paraId="663E585E" w14:textId="77777777" w:rsidR="001F0977" w:rsidRDefault="001F0977" w:rsidP="001F0977">
      <w:pPr>
        <w:tabs>
          <w:tab w:val="left" w:pos="708"/>
        </w:tabs>
        <w:jc w:val="both"/>
        <w:rPr>
          <w:rFonts w:cs="Arial"/>
          <w:bCs/>
          <w:szCs w:val="20"/>
        </w:rPr>
      </w:pPr>
    </w:p>
    <w:p w14:paraId="00D10A4F" w14:textId="77777777" w:rsidR="001F0977" w:rsidRDefault="001F0977" w:rsidP="001F0977">
      <w:pPr>
        <w:tabs>
          <w:tab w:val="left" w:pos="708"/>
        </w:tabs>
        <w:jc w:val="both"/>
        <w:rPr>
          <w:rFonts w:cs="Arial"/>
          <w:bCs/>
          <w:szCs w:val="20"/>
        </w:rPr>
      </w:pPr>
    </w:p>
    <w:p w14:paraId="6E852B59" w14:textId="77777777" w:rsidR="001F0977" w:rsidRDefault="001F0977" w:rsidP="001F0977">
      <w:pPr>
        <w:tabs>
          <w:tab w:val="left" w:pos="708"/>
        </w:tabs>
        <w:jc w:val="both"/>
        <w:rPr>
          <w:rFonts w:cs="Arial"/>
          <w:bCs/>
          <w:szCs w:val="20"/>
        </w:rPr>
      </w:pPr>
    </w:p>
    <w:p w14:paraId="05DCED72" w14:textId="77777777" w:rsidR="001F0977" w:rsidRDefault="001F0977" w:rsidP="001F0977">
      <w:pPr>
        <w:tabs>
          <w:tab w:val="left" w:pos="708"/>
        </w:tabs>
        <w:jc w:val="both"/>
        <w:rPr>
          <w:rFonts w:cs="Arial"/>
          <w:bCs/>
          <w:szCs w:val="20"/>
        </w:rPr>
      </w:pPr>
    </w:p>
    <w:p w14:paraId="078DF407" w14:textId="77777777" w:rsidR="001F0977" w:rsidRDefault="001F0977" w:rsidP="001F0977">
      <w:pPr>
        <w:tabs>
          <w:tab w:val="left" w:pos="708"/>
        </w:tabs>
        <w:jc w:val="both"/>
        <w:rPr>
          <w:rFonts w:cs="Arial"/>
          <w:bCs/>
          <w:szCs w:val="20"/>
        </w:rPr>
      </w:pPr>
    </w:p>
    <w:p w14:paraId="6BD75A33" w14:textId="77777777" w:rsidR="001F0977" w:rsidRDefault="001F0977" w:rsidP="001F0977">
      <w:pPr>
        <w:tabs>
          <w:tab w:val="left" w:pos="708"/>
        </w:tabs>
        <w:jc w:val="both"/>
        <w:rPr>
          <w:rFonts w:cs="Arial"/>
          <w:bCs/>
          <w:szCs w:val="20"/>
        </w:rPr>
      </w:pPr>
    </w:p>
    <w:p w14:paraId="3FAC566E" w14:textId="77777777" w:rsidR="001F0977" w:rsidRDefault="001F0977" w:rsidP="001F0977">
      <w:pPr>
        <w:tabs>
          <w:tab w:val="left" w:pos="708"/>
        </w:tabs>
        <w:jc w:val="both"/>
        <w:rPr>
          <w:rFonts w:cs="Arial"/>
          <w:bCs/>
          <w:szCs w:val="20"/>
        </w:rPr>
      </w:pPr>
    </w:p>
    <w:p w14:paraId="517C9632" w14:textId="77777777" w:rsidR="001F0977" w:rsidRDefault="001F0977" w:rsidP="001F0977">
      <w:pPr>
        <w:tabs>
          <w:tab w:val="left" w:pos="708"/>
        </w:tabs>
        <w:jc w:val="both"/>
        <w:rPr>
          <w:rFonts w:cs="Arial"/>
          <w:bCs/>
          <w:szCs w:val="20"/>
        </w:rPr>
      </w:pPr>
    </w:p>
    <w:p w14:paraId="339AED02" w14:textId="77777777" w:rsidR="001F0977" w:rsidRDefault="001F0977" w:rsidP="001F0977">
      <w:pPr>
        <w:tabs>
          <w:tab w:val="left" w:pos="708"/>
        </w:tabs>
        <w:jc w:val="both"/>
        <w:rPr>
          <w:rFonts w:cs="Arial"/>
          <w:bCs/>
          <w:szCs w:val="20"/>
        </w:rPr>
      </w:pPr>
    </w:p>
    <w:p w14:paraId="59832E55" w14:textId="77777777" w:rsidR="001F0977" w:rsidRDefault="001F0977" w:rsidP="001F0977">
      <w:pPr>
        <w:tabs>
          <w:tab w:val="left" w:pos="708"/>
        </w:tabs>
        <w:jc w:val="both"/>
        <w:rPr>
          <w:rFonts w:cs="Arial"/>
          <w:bCs/>
          <w:szCs w:val="20"/>
        </w:rPr>
      </w:pPr>
    </w:p>
    <w:p w14:paraId="18954D18" w14:textId="77777777" w:rsidR="001F0977" w:rsidRDefault="001F0977" w:rsidP="001F0977">
      <w:pPr>
        <w:tabs>
          <w:tab w:val="left" w:pos="708"/>
        </w:tabs>
        <w:jc w:val="both"/>
        <w:rPr>
          <w:rFonts w:cs="Arial"/>
          <w:bCs/>
          <w:szCs w:val="20"/>
        </w:rPr>
      </w:pPr>
    </w:p>
    <w:p w14:paraId="32BB5FDF" w14:textId="77777777" w:rsidR="001F0977" w:rsidRDefault="001F0977" w:rsidP="001F0977">
      <w:pPr>
        <w:tabs>
          <w:tab w:val="left" w:pos="708"/>
        </w:tabs>
        <w:jc w:val="both"/>
        <w:rPr>
          <w:rFonts w:cs="Arial"/>
          <w:bCs/>
          <w:szCs w:val="20"/>
        </w:rPr>
      </w:pPr>
    </w:p>
    <w:p w14:paraId="5959B2CB" w14:textId="77777777" w:rsidR="001F0977" w:rsidRDefault="001F0977" w:rsidP="001F0977">
      <w:pPr>
        <w:tabs>
          <w:tab w:val="left" w:pos="708"/>
        </w:tabs>
        <w:jc w:val="both"/>
        <w:rPr>
          <w:rFonts w:cs="Arial"/>
          <w:bCs/>
          <w:szCs w:val="20"/>
        </w:rPr>
      </w:pPr>
    </w:p>
    <w:p w14:paraId="612D0C35" w14:textId="77777777" w:rsidR="001F0977" w:rsidRDefault="001F0977" w:rsidP="001F0977">
      <w:pPr>
        <w:tabs>
          <w:tab w:val="left" w:pos="708"/>
        </w:tabs>
        <w:jc w:val="both"/>
        <w:rPr>
          <w:rFonts w:cs="Arial"/>
          <w:bCs/>
          <w:szCs w:val="20"/>
        </w:rPr>
      </w:pPr>
    </w:p>
    <w:p w14:paraId="183A2DC4" w14:textId="77777777" w:rsidR="001F0977" w:rsidRDefault="001F0977" w:rsidP="001F0977">
      <w:pPr>
        <w:tabs>
          <w:tab w:val="left" w:pos="708"/>
        </w:tabs>
        <w:jc w:val="both"/>
        <w:rPr>
          <w:rFonts w:cs="Arial"/>
          <w:bCs/>
          <w:szCs w:val="20"/>
        </w:rPr>
      </w:pPr>
    </w:p>
    <w:p w14:paraId="0AFA69E2" w14:textId="77777777" w:rsidR="001F0977" w:rsidRDefault="001F0977" w:rsidP="001F0977">
      <w:pPr>
        <w:tabs>
          <w:tab w:val="left" w:pos="708"/>
        </w:tabs>
        <w:jc w:val="both"/>
        <w:rPr>
          <w:rFonts w:cs="Arial"/>
          <w:bCs/>
          <w:szCs w:val="20"/>
        </w:rPr>
      </w:pPr>
    </w:p>
    <w:p w14:paraId="43BCC6FD" w14:textId="77777777" w:rsidR="001F0977" w:rsidRDefault="001F0977" w:rsidP="001F0977">
      <w:pPr>
        <w:tabs>
          <w:tab w:val="left" w:pos="708"/>
        </w:tabs>
        <w:jc w:val="both"/>
        <w:rPr>
          <w:rFonts w:cs="Arial"/>
          <w:bCs/>
          <w:szCs w:val="20"/>
        </w:rPr>
      </w:pPr>
    </w:p>
    <w:p w14:paraId="3C2AA11E" w14:textId="77777777" w:rsidR="001F0977" w:rsidRDefault="001F0977" w:rsidP="001F0977">
      <w:pPr>
        <w:tabs>
          <w:tab w:val="left" w:pos="708"/>
        </w:tabs>
        <w:jc w:val="both"/>
        <w:rPr>
          <w:rFonts w:cs="Arial"/>
          <w:b/>
          <w:bCs/>
          <w:szCs w:val="20"/>
        </w:rPr>
      </w:pPr>
      <w:r>
        <w:rPr>
          <w:rFonts w:cs="Arial"/>
          <w:b/>
          <w:bCs/>
          <w:szCs w:val="20"/>
        </w:rPr>
        <w:t xml:space="preserve">IV. </w:t>
      </w:r>
      <w:r w:rsidRPr="00195BF3">
        <w:rPr>
          <w:rFonts w:cs="Arial"/>
          <w:b/>
          <w:bCs/>
          <w:szCs w:val="20"/>
        </w:rPr>
        <w:t>BESEDILO ČLENOV, KI SE SPREMINJA</w:t>
      </w:r>
      <w:r>
        <w:rPr>
          <w:rFonts w:cs="Arial"/>
          <w:b/>
          <w:bCs/>
          <w:szCs w:val="20"/>
        </w:rPr>
        <w:t>TA</w:t>
      </w:r>
      <w:r w:rsidRPr="00195BF3">
        <w:rPr>
          <w:rFonts w:cs="Arial"/>
          <w:b/>
          <w:bCs/>
          <w:szCs w:val="20"/>
        </w:rPr>
        <w:t xml:space="preserve"> </w:t>
      </w:r>
    </w:p>
    <w:p w14:paraId="4A73C122" w14:textId="77777777" w:rsidR="001F0977" w:rsidRDefault="001F0977" w:rsidP="001F0977">
      <w:pPr>
        <w:tabs>
          <w:tab w:val="left" w:pos="708"/>
        </w:tabs>
        <w:jc w:val="both"/>
        <w:rPr>
          <w:rFonts w:cs="Arial"/>
          <w:b/>
          <w:bCs/>
          <w:szCs w:val="20"/>
        </w:rPr>
      </w:pPr>
    </w:p>
    <w:p w14:paraId="55C508E5" w14:textId="77777777" w:rsidR="001F0977" w:rsidRDefault="001F0977" w:rsidP="001F0977">
      <w:pPr>
        <w:tabs>
          <w:tab w:val="left" w:pos="708"/>
        </w:tabs>
        <w:jc w:val="both"/>
        <w:rPr>
          <w:rFonts w:cs="Arial"/>
          <w:b/>
          <w:bCs/>
          <w:szCs w:val="20"/>
        </w:rPr>
      </w:pPr>
    </w:p>
    <w:p w14:paraId="02F32757" w14:textId="77777777" w:rsidR="001F0977" w:rsidRPr="00195BF3" w:rsidRDefault="001F0977" w:rsidP="001F0977">
      <w:pPr>
        <w:tabs>
          <w:tab w:val="left" w:pos="708"/>
        </w:tabs>
        <w:jc w:val="center"/>
        <w:rPr>
          <w:rFonts w:cs="Arial"/>
          <w:b/>
          <w:bCs/>
          <w:szCs w:val="20"/>
        </w:rPr>
      </w:pPr>
      <w:r w:rsidRPr="00195BF3">
        <w:rPr>
          <w:rFonts w:cs="Arial"/>
          <w:b/>
          <w:bCs/>
          <w:szCs w:val="20"/>
        </w:rPr>
        <w:t>2. člen</w:t>
      </w:r>
    </w:p>
    <w:p w14:paraId="4538E888" w14:textId="77777777" w:rsidR="001F0977" w:rsidRPr="00195BF3" w:rsidRDefault="001F0977" w:rsidP="001F0977">
      <w:pPr>
        <w:tabs>
          <w:tab w:val="left" w:pos="708"/>
        </w:tabs>
        <w:jc w:val="center"/>
        <w:rPr>
          <w:rFonts w:cs="Arial"/>
          <w:b/>
          <w:bCs/>
          <w:szCs w:val="20"/>
        </w:rPr>
      </w:pPr>
      <w:r w:rsidRPr="00195BF3">
        <w:rPr>
          <w:rFonts w:cs="Arial"/>
          <w:b/>
          <w:bCs/>
          <w:szCs w:val="20"/>
        </w:rPr>
        <w:t>(prenos direktiv in izvajanje uredb Evropske unije)</w:t>
      </w:r>
    </w:p>
    <w:p w14:paraId="333D7E87" w14:textId="77777777" w:rsidR="001F0977" w:rsidRDefault="001F0977" w:rsidP="001F0977">
      <w:pPr>
        <w:tabs>
          <w:tab w:val="left" w:pos="708"/>
        </w:tabs>
        <w:jc w:val="both"/>
        <w:rPr>
          <w:rFonts w:cs="Arial"/>
          <w:szCs w:val="20"/>
        </w:rPr>
      </w:pPr>
    </w:p>
    <w:p w14:paraId="592BD8B5" w14:textId="77777777" w:rsidR="001F0977" w:rsidRPr="00195BF3" w:rsidRDefault="001F0977" w:rsidP="001F0977">
      <w:pPr>
        <w:tabs>
          <w:tab w:val="left" w:pos="708"/>
        </w:tabs>
        <w:jc w:val="both"/>
        <w:rPr>
          <w:rFonts w:cs="Arial"/>
          <w:szCs w:val="20"/>
        </w:rPr>
      </w:pPr>
      <w:r w:rsidRPr="00195BF3">
        <w:rPr>
          <w:rFonts w:cs="Arial"/>
          <w:szCs w:val="20"/>
        </w:rPr>
        <w:t>(1) S tem zakonom se v pravni red Republike Slovenije prenaša:</w:t>
      </w:r>
    </w:p>
    <w:p w14:paraId="02258587" w14:textId="77777777" w:rsidR="001F0977" w:rsidRPr="00195BF3" w:rsidRDefault="001F0977" w:rsidP="001F0977">
      <w:pPr>
        <w:numPr>
          <w:ilvl w:val="0"/>
          <w:numId w:val="6"/>
        </w:numPr>
        <w:tabs>
          <w:tab w:val="clear" w:pos="720"/>
          <w:tab w:val="left" w:pos="708"/>
        </w:tabs>
        <w:jc w:val="both"/>
        <w:rPr>
          <w:rFonts w:cs="Arial"/>
          <w:szCs w:val="20"/>
        </w:rPr>
      </w:pPr>
      <w:r w:rsidRPr="00195BF3">
        <w:rPr>
          <w:rFonts w:cs="Arial"/>
          <w:szCs w:val="20"/>
        </w:rPr>
        <w:t xml:space="preserve">Direktiva 2011/61/EU Evropskega parlamenta in Sveta z dne 8. junija 2011 o upraviteljih alternativnih investicijskih skladov in spremembah direktiv 2003/41/ES in 2009/65/ES ter uredb (ES) št. 1060/2009 in (EU) št. 1095/2010 (UL L št. 174 z dne 1. 7. 2011, str. 1;), zadnjič spremenjena z Uredbo (EU) 2017/2402 Evropskega parlamenta in Sveta z dne 12. decembra 2017 o določitvi splošnega okvira za </w:t>
      </w:r>
      <w:proofErr w:type="spellStart"/>
      <w:r w:rsidRPr="00195BF3">
        <w:rPr>
          <w:rFonts w:cs="Arial"/>
          <w:szCs w:val="20"/>
        </w:rPr>
        <w:t>listinjenje</w:t>
      </w:r>
      <w:proofErr w:type="spellEnd"/>
      <w:r w:rsidRPr="00195BF3">
        <w:rPr>
          <w:rFonts w:cs="Arial"/>
          <w:szCs w:val="20"/>
        </w:rPr>
        <w:t xml:space="preserve"> in o vzpostavitvi posebnega okvira za enostavno, pregledno in standardizirano </w:t>
      </w:r>
      <w:proofErr w:type="spellStart"/>
      <w:r w:rsidRPr="00195BF3">
        <w:rPr>
          <w:rFonts w:cs="Arial"/>
          <w:szCs w:val="20"/>
        </w:rPr>
        <w:t>listinjenje</w:t>
      </w:r>
      <w:proofErr w:type="spellEnd"/>
      <w:r w:rsidRPr="00195BF3">
        <w:rPr>
          <w:rFonts w:cs="Arial"/>
          <w:szCs w:val="20"/>
        </w:rPr>
        <w:t xml:space="preserve"> ter o spremembah direktiv 2009/65/ES, 2009/138/ES in 2011/61/EU ter uredb (ES) št. 1060/2009 in (EU) št. 648/2012 (UL L št. 347 z dne 28. 12. 2017, str. 35), (v nadaljnjem besedilu: Direktiva 2011/61/EU);</w:t>
      </w:r>
    </w:p>
    <w:p w14:paraId="7480437D" w14:textId="77777777" w:rsidR="001F0977" w:rsidRPr="00195BF3" w:rsidRDefault="001F0977" w:rsidP="001F0977">
      <w:pPr>
        <w:numPr>
          <w:ilvl w:val="0"/>
          <w:numId w:val="6"/>
        </w:numPr>
        <w:tabs>
          <w:tab w:val="clear" w:pos="720"/>
          <w:tab w:val="left" w:pos="708"/>
        </w:tabs>
        <w:jc w:val="both"/>
        <w:rPr>
          <w:rFonts w:cs="Arial"/>
          <w:szCs w:val="20"/>
        </w:rPr>
      </w:pPr>
      <w:r w:rsidRPr="00195BF3">
        <w:rPr>
          <w:rFonts w:cs="Arial"/>
          <w:szCs w:val="20"/>
        </w:rPr>
        <w:t>Direktiva 2013/14/EU Evropskega parlamenta in Sveta z dne 21. maja 2013 o spremembi Direktive 2003/41/ES o dejavnostih in nadzoru institucij za poklicno pokojninsko zavarovanje, Direktive 2009/65/ES o usklajevanju zakonov in drugih predpisov o kolektivnih naložbenih podjemih za vlaganja v prenosljive vrednostne papirje (KNPVP) in Direktive 2011/61/EU o upraviteljih alternativnih investicijskih skladov v zvezi s prevelikim zanašanjem na bonitetne ocene (UL L št. 145 z dne 31. 5. 2013, str. 1), zadnjič spremenjena z Direktivo (EU) 2016/2341 Evropskega parlamenta in Sveta z dne 14. decembra 2016 o dejavnostih in nadzoru institucij za poklicno pokojninsko zavarovanje (UL L št. 354 z dne 23. 12. 2016, str. 37), (v nadaljnjem besedilu: Direktiva 2013/14/EU), v delu, v katerem se nanaša na upravljavce alternativnih investicijskih skladov;</w:t>
      </w:r>
    </w:p>
    <w:p w14:paraId="77A9FC22" w14:textId="77777777" w:rsidR="001F0977" w:rsidRPr="00195BF3" w:rsidRDefault="001F0977" w:rsidP="001F0977">
      <w:pPr>
        <w:numPr>
          <w:ilvl w:val="0"/>
          <w:numId w:val="6"/>
        </w:numPr>
        <w:tabs>
          <w:tab w:val="clear" w:pos="720"/>
          <w:tab w:val="left" w:pos="708"/>
        </w:tabs>
        <w:jc w:val="both"/>
        <w:rPr>
          <w:rFonts w:cs="Arial"/>
          <w:szCs w:val="20"/>
        </w:rPr>
      </w:pPr>
      <w:r w:rsidRPr="00195BF3">
        <w:rPr>
          <w:rFonts w:cs="Arial"/>
          <w:szCs w:val="20"/>
        </w:rPr>
        <w:t>Direktiva (EU) 2019/1160 Evropskega parlamenta in Sveta z dne 20. junija 2019 o spremembi direktiv 2009/65/ES in 2011/61/EU v zvezi s čezmejno distribucijo kolektivnih naložbenih podjemov (UL L št. 188 z dne 12. 7. 2019, str. 106) v delu, ki se nanaša na upravljavce AIS;</w:t>
      </w:r>
    </w:p>
    <w:p w14:paraId="4F3AA082" w14:textId="77777777" w:rsidR="001F0977" w:rsidRDefault="001F0977" w:rsidP="001F0977">
      <w:pPr>
        <w:numPr>
          <w:ilvl w:val="0"/>
          <w:numId w:val="6"/>
        </w:numPr>
        <w:tabs>
          <w:tab w:val="clear" w:pos="720"/>
          <w:tab w:val="left" w:pos="708"/>
        </w:tabs>
        <w:jc w:val="both"/>
        <w:rPr>
          <w:rFonts w:cs="Arial"/>
          <w:szCs w:val="20"/>
        </w:rPr>
      </w:pPr>
      <w:r w:rsidRPr="00195BF3">
        <w:rPr>
          <w:rFonts w:cs="Arial"/>
          <w:szCs w:val="20"/>
        </w:rPr>
        <w:t>Direktiva (EU) 2019/2034 Evropskega parlamenta in Sveta z dne 27. novembra 2019 o bonitetnem nadzoru investicijskih podjetij ter o spremembi direktiv 2002/87/ES, 2009/65/ES, 2011/61/EU, 2013/36/EU, 2014/59/EU in 2014/65/EU (UL L št. 314 z dne 5. 12. 2019, str. 64), zadnjič popravljena s Popravkom (UL L št. 405 z dne 2. 12. 2020, str. 84), v delu, ki se nanaša na upravljavce AIS.</w:t>
      </w:r>
    </w:p>
    <w:p w14:paraId="172C7452" w14:textId="77777777" w:rsidR="001F0977" w:rsidRPr="00195BF3" w:rsidRDefault="001F0977" w:rsidP="001F0977">
      <w:pPr>
        <w:tabs>
          <w:tab w:val="left" w:pos="708"/>
        </w:tabs>
        <w:ind w:left="720"/>
        <w:jc w:val="both"/>
        <w:rPr>
          <w:rFonts w:cs="Arial"/>
          <w:szCs w:val="20"/>
        </w:rPr>
      </w:pPr>
    </w:p>
    <w:p w14:paraId="1F772025" w14:textId="77777777" w:rsidR="001F0977" w:rsidRPr="00195BF3" w:rsidRDefault="001F0977" w:rsidP="001F0977">
      <w:pPr>
        <w:tabs>
          <w:tab w:val="left" w:pos="708"/>
        </w:tabs>
        <w:jc w:val="both"/>
        <w:rPr>
          <w:rFonts w:cs="Arial"/>
          <w:szCs w:val="20"/>
        </w:rPr>
      </w:pPr>
      <w:r w:rsidRPr="00195BF3">
        <w:rPr>
          <w:rFonts w:cs="Arial"/>
          <w:szCs w:val="20"/>
        </w:rPr>
        <w:t>(2) S tem zakonom se podrobneje ureja izvajanje naslednjih uredb Evropske unije:</w:t>
      </w:r>
    </w:p>
    <w:p w14:paraId="3818E151" w14:textId="77777777" w:rsidR="001F0977" w:rsidRPr="00195BF3" w:rsidRDefault="001F0977" w:rsidP="001F0977">
      <w:pPr>
        <w:numPr>
          <w:ilvl w:val="0"/>
          <w:numId w:val="7"/>
        </w:numPr>
        <w:tabs>
          <w:tab w:val="clear" w:pos="720"/>
          <w:tab w:val="left" w:pos="708"/>
        </w:tabs>
        <w:jc w:val="both"/>
        <w:rPr>
          <w:rFonts w:cs="Arial"/>
          <w:szCs w:val="20"/>
        </w:rPr>
      </w:pPr>
      <w:r w:rsidRPr="00195BF3">
        <w:rPr>
          <w:rFonts w:cs="Arial"/>
          <w:szCs w:val="20"/>
        </w:rPr>
        <w:t>Delegirane uredbe Komisije (EU) št. 231/2013 z dne 19. decembra 2012 o dopolnitvi Direktive 2011/61/EU Evropskega parlamenta in Sveta v zvezi z izjemami, splošnimi pogoji poslovanja, depozitarji, finančnim vzvodom, preglednostjo in nadzorom (UL L št. 83 z dne 22. 3. 2013, str. 1; v nadaljnjem besedilu: Uredba 231/2013/EU);</w:t>
      </w:r>
    </w:p>
    <w:p w14:paraId="2D88AAE8" w14:textId="77777777" w:rsidR="001F0977" w:rsidRPr="00195BF3" w:rsidRDefault="001F0977" w:rsidP="001F0977">
      <w:pPr>
        <w:numPr>
          <w:ilvl w:val="0"/>
          <w:numId w:val="7"/>
        </w:numPr>
        <w:tabs>
          <w:tab w:val="clear" w:pos="720"/>
          <w:tab w:val="left" w:pos="708"/>
        </w:tabs>
        <w:jc w:val="both"/>
        <w:rPr>
          <w:rFonts w:cs="Arial"/>
          <w:szCs w:val="20"/>
        </w:rPr>
      </w:pPr>
      <w:r w:rsidRPr="00195BF3">
        <w:rPr>
          <w:rFonts w:cs="Arial"/>
          <w:szCs w:val="20"/>
        </w:rPr>
        <w:t>Izvedbene uredbe Komisije (EU) št. 447/2013 z dne 15. maja 2013 o uvedbi postopka za UAIS, ki se odločijo, da bodo upoštevali Direktivo 2011/61/EU Evropskega parlamenta in Sveta (UL L št. 132 z dne 16. 5. 2013, str. 1; v nadaljnjem besedilu: Uredba 447/2013/EU);</w:t>
      </w:r>
    </w:p>
    <w:p w14:paraId="6F114EE2" w14:textId="77777777" w:rsidR="001F0977" w:rsidRPr="00195BF3" w:rsidRDefault="001F0977" w:rsidP="001F0977">
      <w:pPr>
        <w:numPr>
          <w:ilvl w:val="0"/>
          <w:numId w:val="7"/>
        </w:numPr>
        <w:tabs>
          <w:tab w:val="clear" w:pos="720"/>
          <w:tab w:val="left" w:pos="708"/>
        </w:tabs>
        <w:jc w:val="both"/>
        <w:rPr>
          <w:rFonts w:cs="Arial"/>
          <w:szCs w:val="20"/>
        </w:rPr>
      </w:pPr>
      <w:r w:rsidRPr="00195BF3">
        <w:rPr>
          <w:rFonts w:cs="Arial"/>
          <w:szCs w:val="20"/>
        </w:rPr>
        <w:t>Izvedbene uredbe Komisije (EU) št. 448/2013 z dne 15. maja 2013 o uvedbi postopka za določitev referenčne države članice UAIS zunaj Unije v skladu z Direktivo 2011/61/EU Evropskega parlamenta in Sveta (UL L št. 132 z dne 16. 5. 2013, str. 3; v nadaljnjem besedilu: Uredba 448/2013/EU);</w:t>
      </w:r>
    </w:p>
    <w:p w14:paraId="060C34AF" w14:textId="77777777" w:rsidR="001F0977" w:rsidRPr="00195BF3" w:rsidRDefault="001F0977" w:rsidP="001F0977">
      <w:pPr>
        <w:numPr>
          <w:ilvl w:val="0"/>
          <w:numId w:val="7"/>
        </w:numPr>
        <w:tabs>
          <w:tab w:val="clear" w:pos="720"/>
          <w:tab w:val="left" w:pos="708"/>
        </w:tabs>
        <w:jc w:val="both"/>
        <w:rPr>
          <w:rFonts w:cs="Arial"/>
          <w:szCs w:val="20"/>
        </w:rPr>
      </w:pPr>
      <w:r w:rsidRPr="00195BF3">
        <w:rPr>
          <w:rFonts w:cs="Arial"/>
          <w:szCs w:val="20"/>
        </w:rPr>
        <w:t xml:space="preserve">Uredbe (EU) št. 345/2013 Evropskega parlamenta in Sveta z dne 17. aprila 2013 o evropskih skladih tveganega kapitala (UL L št. 115 z dne 25. 4. 2013, str. 1), zadnjič </w:t>
      </w:r>
      <w:r w:rsidRPr="00195BF3">
        <w:rPr>
          <w:rFonts w:cs="Arial"/>
          <w:szCs w:val="20"/>
        </w:rPr>
        <w:lastRenderedPageBreak/>
        <w:t>spremenjene z Uredbo (EU) št. 2019/1156 Evropskega parlamenta in Sveta z dne 20. junija 2019 o olajšanju čezmejne distribucije kolektivnih naložbenih podjemov in spremembi uredb (EU) št. 345/2013, (EU) št. 346/2013 in (EU) 1286/2014, (UL L št. 188 z dne 12. 7. 2019, str. 55; v nadaljnjem besedilu: Uredba 345/2013/EU);</w:t>
      </w:r>
    </w:p>
    <w:p w14:paraId="1D4DC55D" w14:textId="77777777" w:rsidR="001F0977" w:rsidRPr="00195BF3" w:rsidRDefault="001F0977" w:rsidP="001F0977">
      <w:pPr>
        <w:numPr>
          <w:ilvl w:val="0"/>
          <w:numId w:val="7"/>
        </w:numPr>
        <w:tabs>
          <w:tab w:val="clear" w:pos="720"/>
          <w:tab w:val="left" w:pos="708"/>
        </w:tabs>
        <w:jc w:val="both"/>
        <w:rPr>
          <w:rFonts w:cs="Arial"/>
          <w:szCs w:val="20"/>
        </w:rPr>
      </w:pPr>
      <w:r w:rsidRPr="00195BF3">
        <w:rPr>
          <w:rFonts w:cs="Arial"/>
          <w:szCs w:val="20"/>
        </w:rPr>
        <w:t>Uredbe (EU) št. 346/2013 Evropskega parlamenta in Sveta z dne 17. aprila 2013 o evropskih skladih za socialno podjetništvo (UL L št. 115 z dne 25. 4. 2013, str. 18), zadnjič spremenjene z Uredbo (EU) št. 2019/1156 Evropskega parlamenta in Sveta z dne 20. junija 2019 o olajšanju čezmejne distribucije kolektivnih naložbenih podjemov in spremembi uredb (EU) št. 345/2013, (EU) št. 346/2013 in (EU) 1286/2014 (UL L št. 188 z dne 12. 7. 2019, str. 55; v nadaljnjem besedilu: Uredba 346/2013/EU);</w:t>
      </w:r>
    </w:p>
    <w:p w14:paraId="4B994592" w14:textId="77777777" w:rsidR="001F0977" w:rsidRPr="00195BF3" w:rsidRDefault="001F0977" w:rsidP="001F0977">
      <w:pPr>
        <w:numPr>
          <w:ilvl w:val="0"/>
          <w:numId w:val="7"/>
        </w:numPr>
        <w:tabs>
          <w:tab w:val="clear" w:pos="720"/>
          <w:tab w:val="left" w:pos="708"/>
        </w:tabs>
        <w:jc w:val="both"/>
        <w:rPr>
          <w:rFonts w:cs="Arial"/>
          <w:szCs w:val="20"/>
        </w:rPr>
      </w:pPr>
      <w:r w:rsidRPr="00195BF3">
        <w:rPr>
          <w:rFonts w:cs="Arial"/>
          <w:szCs w:val="20"/>
        </w:rPr>
        <w:t>Delegirane uredbe Komisije (EU) št. 694/2014 z dne 17. decembra 2013 o dopolnitvi Direktive 2011/61/EU Evropskega parlamenta in Sveta v zvezi z regulativnimi tehničnimi standardi, ki določajo vrste upraviteljev alternativnih investicijskih skladov (UL L št. 183 z dne 24. 6. 2014, str. 18; v nadaljnjem besedilu: Uredba 694/2014/EU),</w:t>
      </w:r>
    </w:p>
    <w:p w14:paraId="520EC223" w14:textId="77777777" w:rsidR="001F0977" w:rsidRPr="00195BF3" w:rsidRDefault="001F0977" w:rsidP="001F0977">
      <w:pPr>
        <w:numPr>
          <w:ilvl w:val="0"/>
          <w:numId w:val="7"/>
        </w:numPr>
        <w:tabs>
          <w:tab w:val="clear" w:pos="720"/>
          <w:tab w:val="left" w:pos="708"/>
        </w:tabs>
        <w:jc w:val="both"/>
        <w:rPr>
          <w:rFonts w:cs="Arial"/>
          <w:szCs w:val="20"/>
        </w:rPr>
      </w:pPr>
      <w:r w:rsidRPr="00195BF3">
        <w:rPr>
          <w:rFonts w:cs="Arial"/>
          <w:szCs w:val="20"/>
        </w:rPr>
        <w:t>Uredbe (EU) 2015/760 Evropskega parlamenta in Sveta z dne 29. aprila 2015 o evropskih dolgoročnih investicijskih skladih (UL L št. 123 z dne 19. 5. 2015, str. 98; v nadaljnjem besedilu: Uredba 2015/760/EU);</w:t>
      </w:r>
    </w:p>
    <w:p w14:paraId="1B3A993A" w14:textId="77777777" w:rsidR="001F0977" w:rsidRDefault="001F0977" w:rsidP="001F0977">
      <w:pPr>
        <w:numPr>
          <w:ilvl w:val="0"/>
          <w:numId w:val="7"/>
        </w:numPr>
        <w:tabs>
          <w:tab w:val="clear" w:pos="720"/>
          <w:tab w:val="left" w:pos="708"/>
        </w:tabs>
        <w:jc w:val="both"/>
        <w:rPr>
          <w:rFonts w:cs="Arial"/>
          <w:szCs w:val="20"/>
        </w:rPr>
      </w:pPr>
      <w:r w:rsidRPr="00195BF3">
        <w:rPr>
          <w:rFonts w:cs="Arial"/>
          <w:szCs w:val="20"/>
        </w:rPr>
        <w:t>Uredbe (EU) št. 2019/1156 Evropskega parlamenta in Sveta z dne 20. junija 2019 o olajšanju čezmejne distribucije kolektivnih naložbenih podjemov in spremembi uredb (EU) št. 345/2013, (EU) št. 346/2013 in (EU) št. 1286/2014 (UL L št. 188 z dne 12. 7. 2019, str. 55; v nadaljnjem besedilu: Uredba 2019/1156/EU).</w:t>
      </w:r>
    </w:p>
    <w:p w14:paraId="3214F7C0" w14:textId="77777777" w:rsidR="001F0977" w:rsidRPr="00195BF3" w:rsidRDefault="001F0977" w:rsidP="001F0977">
      <w:pPr>
        <w:jc w:val="both"/>
        <w:rPr>
          <w:rFonts w:cs="Arial"/>
          <w:szCs w:val="20"/>
        </w:rPr>
      </w:pPr>
    </w:p>
    <w:p w14:paraId="697144A2" w14:textId="77777777" w:rsidR="001F0977" w:rsidRDefault="001F0977" w:rsidP="001F0977">
      <w:pPr>
        <w:tabs>
          <w:tab w:val="left" w:pos="708"/>
        </w:tabs>
        <w:jc w:val="both"/>
        <w:rPr>
          <w:rFonts w:cs="Arial"/>
          <w:szCs w:val="20"/>
        </w:rPr>
      </w:pPr>
      <w:r w:rsidRPr="00195BF3">
        <w:rPr>
          <w:rFonts w:cs="Arial"/>
          <w:szCs w:val="20"/>
        </w:rPr>
        <w:t>(3) Organ, pristojen za izvajanje Uredbe 345/2013/EU in Uredbe 346/2013/EU, je Agencija za trg vrednostnih papirjev (v nadaljnjem besedilu: Agencija).</w:t>
      </w:r>
    </w:p>
    <w:p w14:paraId="3962EA6C" w14:textId="77777777" w:rsidR="001F0977" w:rsidRPr="00195BF3" w:rsidRDefault="001F0977" w:rsidP="001F0977">
      <w:pPr>
        <w:tabs>
          <w:tab w:val="left" w:pos="708"/>
        </w:tabs>
        <w:jc w:val="both"/>
        <w:rPr>
          <w:rFonts w:cs="Arial"/>
          <w:szCs w:val="20"/>
        </w:rPr>
      </w:pPr>
    </w:p>
    <w:p w14:paraId="22C7F678" w14:textId="77777777" w:rsidR="001F0977" w:rsidRPr="0010604F" w:rsidRDefault="001F0977" w:rsidP="001F0977">
      <w:pPr>
        <w:tabs>
          <w:tab w:val="left" w:pos="708"/>
        </w:tabs>
        <w:jc w:val="center"/>
        <w:rPr>
          <w:rFonts w:cs="Arial"/>
          <w:b/>
          <w:bCs/>
          <w:szCs w:val="20"/>
        </w:rPr>
      </w:pPr>
      <w:r w:rsidRPr="0010604F">
        <w:rPr>
          <w:rFonts w:cs="Arial"/>
          <w:b/>
          <w:bCs/>
          <w:szCs w:val="20"/>
        </w:rPr>
        <w:t>74. člen</w:t>
      </w:r>
    </w:p>
    <w:p w14:paraId="6C472D23" w14:textId="77777777" w:rsidR="001F0977" w:rsidRDefault="001F0977" w:rsidP="001F0977">
      <w:pPr>
        <w:tabs>
          <w:tab w:val="left" w:pos="708"/>
        </w:tabs>
        <w:jc w:val="center"/>
        <w:rPr>
          <w:rFonts w:cs="Arial"/>
          <w:b/>
          <w:bCs/>
          <w:szCs w:val="20"/>
        </w:rPr>
      </w:pPr>
      <w:r w:rsidRPr="0010604F">
        <w:rPr>
          <w:rFonts w:cs="Arial"/>
          <w:b/>
          <w:bCs/>
          <w:szCs w:val="20"/>
        </w:rPr>
        <w:t>(splošna načela)</w:t>
      </w:r>
    </w:p>
    <w:p w14:paraId="019B85DD" w14:textId="77777777" w:rsidR="001F0977" w:rsidRPr="0010604F" w:rsidRDefault="001F0977" w:rsidP="001F0977">
      <w:pPr>
        <w:tabs>
          <w:tab w:val="left" w:pos="708"/>
        </w:tabs>
        <w:jc w:val="center"/>
        <w:rPr>
          <w:rFonts w:cs="Arial"/>
          <w:b/>
          <w:bCs/>
          <w:szCs w:val="20"/>
        </w:rPr>
      </w:pPr>
    </w:p>
    <w:p w14:paraId="466B235C" w14:textId="77777777" w:rsidR="001F0977" w:rsidRDefault="001F0977" w:rsidP="001F0977">
      <w:pPr>
        <w:tabs>
          <w:tab w:val="left" w:pos="708"/>
        </w:tabs>
        <w:jc w:val="both"/>
        <w:rPr>
          <w:rFonts w:cs="Arial"/>
          <w:szCs w:val="20"/>
        </w:rPr>
      </w:pPr>
      <w:r w:rsidRPr="00195BF3">
        <w:rPr>
          <w:rFonts w:cs="Arial"/>
          <w:szCs w:val="20"/>
        </w:rPr>
        <w:t>(1) Upravljavec AIS vzpostavi in uresničuje trden in zanesljiv sistem upravljanja, pri čemer uporabi ustrezne človeške in tehnične vire, potrebne za ustrezno upravljanje AIS, AIS države članice oziroma AIS tretje države, upoštevajoč tudi naravo skladov, ki jih upravlja, v skladu s 6. oddelkom III. poglavja Uredbe 231/2013/EU.</w:t>
      </w:r>
    </w:p>
    <w:p w14:paraId="1738637B" w14:textId="77777777" w:rsidR="001F0977" w:rsidRPr="00195BF3" w:rsidRDefault="001F0977" w:rsidP="001F0977">
      <w:pPr>
        <w:tabs>
          <w:tab w:val="left" w:pos="708"/>
        </w:tabs>
        <w:jc w:val="both"/>
        <w:rPr>
          <w:rFonts w:cs="Arial"/>
          <w:szCs w:val="20"/>
        </w:rPr>
      </w:pPr>
    </w:p>
    <w:p w14:paraId="694D2991" w14:textId="77777777" w:rsidR="001F0977" w:rsidRPr="00195BF3" w:rsidRDefault="001F0977" w:rsidP="001F0977">
      <w:pPr>
        <w:tabs>
          <w:tab w:val="left" w:pos="708"/>
        </w:tabs>
        <w:jc w:val="both"/>
        <w:rPr>
          <w:rFonts w:cs="Arial"/>
          <w:szCs w:val="20"/>
        </w:rPr>
      </w:pPr>
      <w:r w:rsidRPr="00195BF3">
        <w:rPr>
          <w:rFonts w:cs="Arial"/>
          <w:szCs w:val="20"/>
        </w:rPr>
        <w:t>(2) Sistem upravljanja vključuje:</w:t>
      </w:r>
    </w:p>
    <w:p w14:paraId="50408F3E" w14:textId="77777777" w:rsidR="001F0977" w:rsidRPr="00195BF3" w:rsidRDefault="001F0977" w:rsidP="001F0977">
      <w:pPr>
        <w:numPr>
          <w:ilvl w:val="0"/>
          <w:numId w:val="8"/>
        </w:numPr>
        <w:tabs>
          <w:tab w:val="clear" w:pos="720"/>
          <w:tab w:val="left" w:pos="708"/>
        </w:tabs>
        <w:jc w:val="both"/>
        <w:rPr>
          <w:rFonts w:cs="Arial"/>
          <w:szCs w:val="20"/>
        </w:rPr>
      </w:pPr>
      <w:r w:rsidRPr="00195BF3">
        <w:rPr>
          <w:rFonts w:cs="Arial"/>
          <w:szCs w:val="20"/>
        </w:rPr>
        <w:t>zanesljive administrativne in računovodske postopke,</w:t>
      </w:r>
    </w:p>
    <w:p w14:paraId="57C4291F" w14:textId="77777777" w:rsidR="001F0977" w:rsidRPr="00195BF3" w:rsidRDefault="001F0977" w:rsidP="001F0977">
      <w:pPr>
        <w:numPr>
          <w:ilvl w:val="0"/>
          <w:numId w:val="8"/>
        </w:numPr>
        <w:tabs>
          <w:tab w:val="clear" w:pos="720"/>
          <w:tab w:val="left" w:pos="708"/>
        </w:tabs>
        <w:jc w:val="both"/>
        <w:rPr>
          <w:rFonts w:cs="Arial"/>
          <w:szCs w:val="20"/>
        </w:rPr>
      </w:pPr>
      <w:r w:rsidRPr="00C45504">
        <w:rPr>
          <w:rFonts w:cs="Arial"/>
          <w:szCs w:val="20"/>
        </w:rPr>
        <w:t xml:space="preserve">nadzorno in varnostno ureditev za elektronsko obdelavo podatkov, </w:t>
      </w:r>
    </w:p>
    <w:p w14:paraId="1B6A5DCF" w14:textId="77777777" w:rsidR="001F0977" w:rsidRDefault="001F0977" w:rsidP="001F0977">
      <w:pPr>
        <w:numPr>
          <w:ilvl w:val="0"/>
          <w:numId w:val="8"/>
        </w:numPr>
        <w:tabs>
          <w:tab w:val="clear" w:pos="720"/>
          <w:tab w:val="left" w:pos="708"/>
        </w:tabs>
        <w:jc w:val="both"/>
        <w:rPr>
          <w:rFonts w:cs="Arial"/>
          <w:szCs w:val="20"/>
        </w:rPr>
      </w:pPr>
      <w:r w:rsidRPr="00195BF3">
        <w:rPr>
          <w:rFonts w:cs="Arial"/>
          <w:szCs w:val="20"/>
        </w:rPr>
        <w:t>ustrezen sistem notranjih kontrol.</w:t>
      </w:r>
    </w:p>
    <w:p w14:paraId="5A9D95FB" w14:textId="77777777" w:rsidR="001F0977" w:rsidRPr="00195BF3" w:rsidRDefault="001F0977" w:rsidP="001F0977">
      <w:pPr>
        <w:ind w:left="720"/>
        <w:jc w:val="both"/>
        <w:rPr>
          <w:rFonts w:cs="Arial"/>
          <w:szCs w:val="20"/>
        </w:rPr>
      </w:pPr>
    </w:p>
    <w:p w14:paraId="6A8F9878" w14:textId="77777777" w:rsidR="001F0977" w:rsidRPr="00195BF3" w:rsidRDefault="001F0977" w:rsidP="001F0977">
      <w:pPr>
        <w:tabs>
          <w:tab w:val="left" w:pos="708"/>
        </w:tabs>
        <w:jc w:val="both"/>
        <w:rPr>
          <w:rFonts w:cs="Arial"/>
          <w:szCs w:val="20"/>
        </w:rPr>
      </w:pPr>
      <w:r w:rsidRPr="00195BF3">
        <w:rPr>
          <w:rFonts w:cs="Arial"/>
          <w:szCs w:val="20"/>
        </w:rPr>
        <w:t>(3) Sistem notranjih kontrol iz 3. točke prejšnjega odstavka zlasti vključuje in zagotavlja:</w:t>
      </w:r>
    </w:p>
    <w:p w14:paraId="21D92F14" w14:textId="77777777" w:rsidR="001F0977" w:rsidRPr="00195BF3" w:rsidRDefault="001F0977" w:rsidP="001F0977">
      <w:pPr>
        <w:numPr>
          <w:ilvl w:val="0"/>
          <w:numId w:val="9"/>
        </w:numPr>
        <w:tabs>
          <w:tab w:val="clear" w:pos="720"/>
          <w:tab w:val="left" w:pos="708"/>
        </w:tabs>
        <w:jc w:val="both"/>
        <w:rPr>
          <w:rFonts w:cs="Arial"/>
          <w:szCs w:val="20"/>
        </w:rPr>
      </w:pPr>
      <w:r w:rsidRPr="00195BF3">
        <w:rPr>
          <w:rFonts w:cs="Arial"/>
          <w:szCs w:val="20"/>
        </w:rPr>
        <w:t>pravila za osebne transakcije zaposlenih v upravljavcu AIS;</w:t>
      </w:r>
    </w:p>
    <w:p w14:paraId="23EFD2EE" w14:textId="77777777" w:rsidR="001F0977" w:rsidRPr="00195BF3" w:rsidRDefault="001F0977" w:rsidP="001F0977">
      <w:pPr>
        <w:numPr>
          <w:ilvl w:val="0"/>
          <w:numId w:val="9"/>
        </w:numPr>
        <w:tabs>
          <w:tab w:val="clear" w:pos="720"/>
          <w:tab w:val="left" w:pos="708"/>
        </w:tabs>
        <w:jc w:val="both"/>
        <w:rPr>
          <w:rFonts w:cs="Arial"/>
          <w:szCs w:val="20"/>
        </w:rPr>
      </w:pPr>
      <w:r w:rsidRPr="00195BF3">
        <w:rPr>
          <w:rFonts w:cs="Arial"/>
          <w:szCs w:val="20"/>
        </w:rPr>
        <w:t xml:space="preserve">pravila v zvezi z </w:t>
      </w:r>
      <w:proofErr w:type="spellStart"/>
      <w:r w:rsidRPr="00195BF3">
        <w:rPr>
          <w:rFonts w:cs="Arial"/>
          <w:szCs w:val="20"/>
        </w:rPr>
        <w:t>imetništvom</w:t>
      </w:r>
      <w:proofErr w:type="spellEnd"/>
      <w:r w:rsidRPr="00195BF3">
        <w:rPr>
          <w:rFonts w:cs="Arial"/>
          <w:szCs w:val="20"/>
        </w:rPr>
        <w:t xml:space="preserve"> ali upravljanjem naložb z namenom vlagati za svoj račun;</w:t>
      </w:r>
    </w:p>
    <w:p w14:paraId="427BC4EF" w14:textId="77777777" w:rsidR="001F0977" w:rsidRPr="00195BF3" w:rsidRDefault="001F0977" w:rsidP="001F0977">
      <w:pPr>
        <w:numPr>
          <w:ilvl w:val="0"/>
          <w:numId w:val="9"/>
        </w:numPr>
        <w:tabs>
          <w:tab w:val="clear" w:pos="720"/>
          <w:tab w:val="left" w:pos="708"/>
        </w:tabs>
        <w:jc w:val="both"/>
        <w:rPr>
          <w:rFonts w:cs="Arial"/>
          <w:szCs w:val="20"/>
        </w:rPr>
      </w:pPr>
      <w:r w:rsidRPr="00195BF3">
        <w:rPr>
          <w:rFonts w:cs="Arial"/>
          <w:szCs w:val="20"/>
        </w:rPr>
        <w:t>da je vsako transakcijo, v katero je vključen AIS, AIS države članice oziroma AIS tretje države, mogoče rekonstruirati glede na njen izvor, stranke transakcije, vrste ter časa in kraja, ko je bila izvedena;</w:t>
      </w:r>
    </w:p>
    <w:p w14:paraId="213EE1D0" w14:textId="77777777" w:rsidR="001F0977" w:rsidRDefault="001F0977" w:rsidP="001F0977">
      <w:pPr>
        <w:numPr>
          <w:ilvl w:val="0"/>
          <w:numId w:val="9"/>
        </w:numPr>
        <w:tabs>
          <w:tab w:val="clear" w:pos="720"/>
          <w:tab w:val="left" w:pos="708"/>
        </w:tabs>
        <w:jc w:val="both"/>
        <w:rPr>
          <w:rFonts w:cs="Arial"/>
          <w:szCs w:val="20"/>
        </w:rPr>
      </w:pPr>
      <w:r w:rsidRPr="00195BF3">
        <w:rPr>
          <w:rFonts w:cs="Arial"/>
          <w:szCs w:val="20"/>
        </w:rPr>
        <w:t>da se sredstva AIS, AIS države članice oziroma AIS tretje države nalagajo v skladu s pravili upravljanja ali aktom o ustanovitvi AIS, AIS države članice oziroma AIS tretje države in predpisi, ki urejajo poslovanje AIS, AIS države članice oziroma AIS tretje države.</w:t>
      </w:r>
    </w:p>
    <w:p w14:paraId="0469AC00" w14:textId="77777777" w:rsidR="001F0977" w:rsidRPr="00195BF3" w:rsidRDefault="001F0977" w:rsidP="001F0977">
      <w:pPr>
        <w:tabs>
          <w:tab w:val="left" w:pos="708"/>
        </w:tabs>
        <w:jc w:val="both"/>
        <w:rPr>
          <w:rFonts w:cs="Arial"/>
          <w:szCs w:val="20"/>
        </w:rPr>
      </w:pPr>
    </w:p>
    <w:p w14:paraId="64F841C2" w14:textId="77777777" w:rsidR="001F0977" w:rsidRDefault="001F0977" w:rsidP="001F0977">
      <w:pPr>
        <w:tabs>
          <w:tab w:val="left" w:pos="708"/>
        </w:tabs>
        <w:jc w:val="both"/>
        <w:rPr>
          <w:rFonts w:cs="Arial"/>
          <w:b/>
          <w:bCs/>
          <w:szCs w:val="20"/>
        </w:rPr>
      </w:pPr>
    </w:p>
    <w:p w14:paraId="22FF8D70" w14:textId="77777777" w:rsidR="001F0977" w:rsidRDefault="001F0977" w:rsidP="001F0977">
      <w:pPr>
        <w:tabs>
          <w:tab w:val="left" w:pos="708"/>
        </w:tabs>
        <w:jc w:val="both"/>
        <w:rPr>
          <w:rFonts w:cs="Arial"/>
          <w:b/>
          <w:bCs/>
          <w:szCs w:val="20"/>
        </w:rPr>
      </w:pPr>
    </w:p>
    <w:p w14:paraId="40E1D2FC" w14:textId="77777777" w:rsidR="001F0977" w:rsidRPr="00195BF3" w:rsidRDefault="001F0977" w:rsidP="001F0977">
      <w:pPr>
        <w:tabs>
          <w:tab w:val="left" w:pos="708"/>
        </w:tabs>
        <w:jc w:val="both"/>
        <w:rPr>
          <w:rFonts w:cs="Arial"/>
          <w:b/>
          <w:bCs/>
          <w:szCs w:val="20"/>
        </w:rPr>
      </w:pPr>
    </w:p>
    <w:p w14:paraId="3267EA76" w14:textId="77777777" w:rsidR="001F0977" w:rsidRPr="00195BF3" w:rsidRDefault="001F0977" w:rsidP="001F0977">
      <w:pPr>
        <w:tabs>
          <w:tab w:val="left" w:pos="708"/>
        </w:tabs>
        <w:jc w:val="both"/>
        <w:rPr>
          <w:rFonts w:cs="Arial"/>
          <w:b/>
          <w:bCs/>
          <w:szCs w:val="20"/>
        </w:rPr>
      </w:pPr>
    </w:p>
    <w:p w14:paraId="579A6D55" w14:textId="77777777" w:rsidR="001F0977" w:rsidRDefault="001F0977" w:rsidP="001F0977">
      <w:pPr>
        <w:tabs>
          <w:tab w:val="left" w:pos="708"/>
        </w:tabs>
        <w:jc w:val="both"/>
        <w:rPr>
          <w:rFonts w:cs="Arial"/>
          <w:b/>
          <w:bCs/>
          <w:szCs w:val="20"/>
        </w:rPr>
      </w:pPr>
      <w:r>
        <w:rPr>
          <w:rFonts w:cs="Arial"/>
          <w:b/>
          <w:bCs/>
          <w:szCs w:val="20"/>
        </w:rPr>
        <w:lastRenderedPageBreak/>
        <w:t>V. PRILOGA</w:t>
      </w:r>
    </w:p>
    <w:p w14:paraId="5A61461F" w14:textId="77777777" w:rsidR="001F0977" w:rsidRPr="007C218F" w:rsidRDefault="001F0977" w:rsidP="001F0977">
      <w:pPr>
        <w:tabs>
          <w:tab w:val="left" w:pos="708"/>
        </w:tabs>
        <w:jc w:val="both"/>
        <w:rPr>
          <w:rFonts w:cs="Arial"/>
          <w:bCs/>
          <w:szCs w:val="20"/>
        </w:rPr>
      </w:pPr>
      <w:r>
        <w:rPr>
          <w:rFonts w:cs="Arial"/>
          <w:b/>
          <w:bCs/>
          <w:szCs w:val="20"/>
        </w:rPr>
        <w:t>– Izjava o skladnosti</w:t>
      </w:r>
    </w:p>
    <w:p w14:paraId="60CBF0D8" w14:textId="77777777" w:rsidR="001F0977" w:rsidRPr="00A6784E" w:rsidRDefault="001F0977" w:rsidP="001F0977">
      <w:pPr>
        <w:ind w:left="709" w:hanging="709"/>
        <w:rPr>
          <w:rFonts w:cs="Arial"/>
          <w:b/>
          <w:szCs w:val="20"/>
        </w:rPr>
      </w:pPr>
    </w:p>
    <w:p w14:paraId="0AE389A8" w14:textId="77777777" w:rsidR="001F0977" w:rsidRPr="00A6784E" w:rsidRDefault="001F0977" w:rsidP="001F0977">
      <w:pPr>
        <w:rPr>
          <w:rFonts w:cs="Arial"/>
          <w:szCs w:val="20"/>
        </w:rPr>
      </w:pPr>
    </w:p>
    <w:p w14:paraId="562496D2" w14:textId="77777777" w:rsidR="001F0977" w:rsidRPr="00A6784E" w:rsidRDefault="001F0977" w:rsidP="001F0977">
      <w:pPr>
        <w:rPr>
          <w:rFonts w:cs="Arial"/>
          <w:b/>
          <w:szCs w:val="20"/>
        </w:rPr>
      </w:pPr>
    </w:p>
    <w:p w14:paraId="54BAD73F" w14:textId="77777777" w:rsidR="001F0977" w:rsidRPr="00A6784E" w:rsidRDefault="001F0977" w:rsidP="001F0977">
      <w:pPr>
        <w:jc w:val="both"/>
        <w:rPr>
          <w:rFonts w:cs="Arial"/>
          <w:b/>
          <w:szCs w:val="20"/>
        </w:rPr>
      </w:pPr>
    </w:p>
    <w:p w14:paraId="1EE06760" w14:textId="77777777" w:rsidR="001F0977" w:rsidRPr="00A6784E" w:rsidRDefault="001F0977" w:rsidP="001F0977">
      <w:pPr>
        <w:rPr>
          <w:rFonts w:cs="Arial"/>
          <w:szCs w:val="20"/>
        </w:rPr>
      </w:pPr>
    </w:p>
    <w:p w14:paraId="21EA9F66" w14:textId="77777777" w:rsidR="009C657E" w:rsidRPr="002760DC" w:rsidRDefault="009C657E" w:rsidP="001F0977"/>
    <w:p w14:paraId="40F1D782" w14:textId="77777777" w:rsidR="00862981" w:rsidRDefault="00862981" w:rsidP="001F0977">
      <w:pPr>
        <w:autoSpaceDE w:val="0"/>
        <w:autoSpaceDN w:val="0"/>
        <w:adjustRightInd w:val="0"/>
        <w:rPr>
          <w:rFonts w:cs="Arial"/>
          <w:color w:val="000000"/>
          <w:szCs w:val="20"/>
        </w:rPr>
      </w:pPr>
    </w:p>
    <w:p w14:paraId="18E56CB2" w14:textId="77777777" w:rsidR="00862981" w:rsidRPr="002760DC" w:rsidRDefault="00862981" w:rsidP="001F0977">
      <w:pPr>
        <w:autoSpaceDE w:val="0"/>
        <w:autoSpaceDN w:val="0"/>
        <w:adjustRightInd w:val="0"/>
        <w:jc w:val="both"/>
        <w:rPr>
          <w:rFonts w:cs="Arial"/>
          <w:color w:val="000000"/>
          <w:szCs w:val="20"/>
        </w:rPr>
      </w:pPr>
    </w:p>
    <w:p w14:paraId="3487B3AB" w14:textId="77777777" w:rsidR="00862981" w:rsidRDefault="00862981" w:rsidP="001F0977">
      <w:pPr>
        <w:pStyle w:val="podpisi"/>
        <w:rPr>
          <w:rFonts w:cs="Arial"/>
          <w:color w:val="000000"/>
          <w:szCs w:val="20"/>
          <w:lang w:val="sl-SI"/>
        </w:rPr>
      </w:pPr>
    </w:p>
    <w:p w14:paraId="55047A24" w14:textId="77777777" w:rsidR="00862981" w:rsidRPr="002760DC" w:rsidRDefault="00862981" w:rsidP="001F0977">
      <w:pPr>
        <w:tabs>
          <w:tab w:val="left" w:pos="7920"/>
        </w:tabs>
        <w:autoSpaceDE w:val="0"/>
        <w:autoSpaceDN w:val="0"/>
        <w:adjustRightInd w:val="0"/>
        <w:jc w:val="both"/>
        <w:rPr>
          <w:rFonts w:cs="Arial"/>
          <w:color w:val="000000"/>
          <w:szCs w:val="20"/>
        </w:rPr>
      </w:pPr>
    </w:p>
    <w:p w14:paraId="27CE9ACF" w14:textId="77777777" w:rsidR="00862981" w:rsidRPr="002760DC" w:rsidRDefault="00862981" w:rsidP="001F0977">
      <w:pPr>
        <w:tabs>
          <w:tab w:val="left" w:pos="7920"/>
        </w:tabs>
        <w:autoSpaceDE w:val="0"/>
        <w:autoSpaceDN w:val="0"/>
        <w:adjustRightInd w:val="0"/>
        <w:jc w:val="both"/>
        <w:rPr>
          <w:rFonts w:cs="Arial"/>
          <w:color w:val="000000"/>
          <w:szCs w:val="20"/>
        </w:rPr>
      </w:pPr>
    </w:p>
    <w:p w14:paraId="3C15C7F9" w14:textId="77777777" w:rsidR="00862981" w:rsidRPr="002760DC" w:rsidRDefault="00862981" w:rsidP="001F0977">
      <w:pPr>
        <w:tabs>
          <w:tab w:val="left" w:pos="5570"/>
        </w:tabs>
        <w:autoSpaceDE w:val="0"/>
        <w:autoSpaceDN w:val="0"/>
        <w:adjustRightInd w:val="0"/>
        <w:rPr>
          <w:rFonts w:cs="Arial"/>
          <w:color w:val="000000"/>
          <w:szCs w:val="20"/>
        </w:rPr>
      </w:pPr>
    </w:p>
    <w:p w14:paraId="2AA56DF4" w14:textId="77777777" w:rsidR="007E1230" w:rsidRDefault="007E1230" w:rsidP="001F0977">
      <w:pPr>
        <w:autoSpaceDE w:val="0"/>
        <w:autoSpaceDN w:val="0"/>
        <w:adjustRightInd w:val="0"/>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2CFB18" w14:textId="77777777" w:rsidR="002C1BB1" w:rsidRDefault="002C1BB1" w:rsidP="00767987">
      <w:pPr>
        <w:spacing w:line="240" w:lineRule="auto"/>
      </w:pPr>
      <w:r>
        <w:separator/>
      </w:r>
    </w:p>
  </w:endnote>
  <w:endnote w:type="continuationSeparator" w:id="0">
    <w:p w14:paraId="27BC073A" w14:textId="77777777" w:rsidR="002C1BB1" w:rsidRDefault="002C1BB1"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77A395" w14:textId="77777777" w:rsidR="00FC3CA9" w:rsidRDefault="00FC3CA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1BD03A" w14:textId="77777777" w:rsidR="00FC3CA9" w:rsidRDefault="00FC3CA9">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CED803" w14:textId="77777777" w:rsidR="00FC3CA9" w:rsidRDefault="00FC3CA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8491B5" w14:textId="77777777" w:rsidR="002C1BB1" w:rsidRDefault="002C1BB1" w:rsidP="00767987">
      <w:pPr>
        <w:spacing w:line="240" w:lineRule="auto"/>
      </w:pPr>
      <w:r>
        <w:separator/>
      </w:r>
    </w:p>
  </w:footnote>
  <w:footnote w:type="continuationSeparator" w:id="0">
    <w:p w14:paraId="417B0F2F" w14:textId="77777777" w:rsidR="002C1BB1" w:rsidRDefault="002C1BB1" w:rsidP="00767987">
      <w:pPr>
        <w:spacing w:line="240" w:lineRule="auto"/>
      </w:pPr>
      <w:r>
        <w:continuationSeparator/>
      </w:r>
    </w:p>
  </w:footnote>
  <w:footnote w:id="1">
    <w:p w14:paraId="2ADFF06B" w14:textId="77777777" w:rsidR="001F0977" w:rsidRPr="009954D9" w:rsidRDefault="001F0977" w:rsidP="001F0977">
      <w:pPr>
        <w:pStyle w:val="Sprotnaopomba-besedilo"/>
        <w:rPr>
          <w:sz w:val="18"/>
          <w:szCs w:val="18"/>
        </w:rPr>
      </w:pPr>
      <w:r>
        <w:rPr>
          <w:rStyle w:val="Sprotnaopomba-sklic"/>
        </w:rPr>
        <w:footnoteRef/>
      </w:r>
      <w:r>
        <w:t xml:space="preserve"> </w:t>
      </w:r>
      <w:r w:rsidRPr="009954D9">
        <w:rPr>
          <w:sz w:val="18"/>
          <w:szCs w:val="18"/>
        </w:rPr>
        <w:t>Direktiva (EU) 2022/2556 Evropskega parlamenta in Sveta z dne 14. decembra 2022 o spremembi direktiv 2009/65/ES, 2009/138/ES, 2011/61/EU, 2013/36/EU, 2014/59/EU, 2014/65/EU, (EU) 2015/2366 in (EU) 2016/2341 glede digitalne operativne odpornosti za finančni sektor (UL L št. 333 z dne 27. 12. 2022, str. 153)</w:t>
      </w:r>
    </w:p>
  </w:footnote>
  <w:footnote w:id="2">
    <w:p w14:paraId="6C170CA3" w14:textId="77777777" w:rsidR="001F0977" w:rsidRPr="009954D9" w:rsidRDefault="001F0977" w:rsidP="001F0977">
      <w:pPr>
        <w:pStyle w:val="Sprotnaopomba-besedilo"/>
        <w:rPr>
          <w:sz w:val="18"/>
          <w:szCs w:val="18"/>
        </w:rPr>
      </w:pPr>
      <w:r w:rsidRPr="009954D9">
        <w:rPr>
          <w:rStyle w:val="Sprotnaopomba-sklic"/>
          <w:sz w:val="18"/>
          <w:szCs w:val="18"/>
        </w:rPr>
        <w:footnoteRef/>
      </w:r>
      <w:r w:rsidRPr="009954D9">
        <w:rPr>
          <w:sz w:val="18"/>
          <w:szCs w:val="18"/>
        </w:rPr>
        <w:t xml:space="preserve"> Uredba (EU) 2022/2554 Evropskega parlamenta in Sveta z dne 14. decembra 2022 o digitalni operativni odpornosti za finančni sektor in spremembi uredb (ES) št. 1060/2009, (EU) št. 648/2012, (EU) št. 600/2014, (EU) št. 909/2014 in (EU) 2016/1011 (UL L št. 333 z dne 27. 12. 2022, str. 1)</w:t>
      </w:r>
    </w:p>
  </w:footnote>
  <w:footnote w:id="3">
    <w:p w14:paraId="4B4CCC44" w14:textId="77777777" w:rsidR="001F0977" w:rsidRDefault="001F0977" w:rsidP="001F0977">
      <w:pPr>
        <w:pStyle w:val="Sprotnaopomba-besedilo"/>
      </w:pPr>
      <w:r>
        <w:rPr>
          <w:rStyle w:val="Sprotnaopomba-sklic"/>
        </w:rPr>
        <w:footnoteRef/>
      </w:r>
      <w:r>
        <w:t xml:space="preserve"> </w:t>
      </w:r>
      <w:r w:rsidRPr="007120D4">
        <w:rPr>
          <w:sz w:val="18"/>
          <w:szCs w:val="18"/>
        </w:rPr>
        <w:t>Direktiva 2011/61/EU Evropskega parlamenta in Sveta z dne 8. junija 2011 o upraviteljih alternativnih investicijskih skladov in spremembah direktiv 2003/41/ES in 2009/65/ES ter uredb (ES) št. 1060/2009 in (EU) št. 1095/2010 (UL L št. 174 z dne 1. 7. 2011, str. 1), zadnjič spremenjena z Direktivo (EU) 2022/2556 Evropskega parlamenta in Sveta z dne 14. decembra 2022 o spremembi direktiv 2009/65/ES, 2009/138/ES, 2011/61/EU, 2013/36/EU, 2014/59/EU, 2014/65/EU, (EU) 2015/2366 in (EU) 2016/2341 glede digitalne operativne odpornosti za finančni sektor (UL L št. 333 z dne 27. 12. 2022, str. 153).</w:t>
      </w:r>
    </w:p>
    <w:p w14:paraId="5C451AB4" w14:textId="77777777" w:rsidR="001F0977" w:rsidRPr="007120D4" w:rsidRDefault="001F0977" w:rsidP="001F0977">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AD7444" w14:textId="77777777" w:rsidR="00FC3CA9" w:rsidRDefault="00FC3CA9">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118B36" w14:textId="77777777" w:rsidR="00FC3CA9" w:rsidRDefault="00FC3CA9">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9D518E" w14:textId="77777777"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680B14E0" wp14:editId="0C2CB9C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D4E5B8D" w14:textId="77777777"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321AF515" w14:textId="77777777"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14:paraId="4F38FDB2" w14:textId="77777777"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14:paraId="5869720D" w14:textId="77777777"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14:paraId="60493523"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 w15:restartNumberingAfterBreak="0">
    <w:nsid w:val="47264667"/>
    <w:multiLevelType w:val="multilevel"/>
    <w:tmpl w:val="54AA5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87F7ACE"/>
    <w:multiLevelType w:val="multilevel"/>
    <w:tmpl w:val="16309F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0633CC8"/>
    <w:multiLevelType w:val="multilevel"/>
    <w:tmpl w:val="F9AA94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CBB3A33"/>
    <w:multiLevelType w:val="hybridMultilevel"/>
    <w:tmpl w:val="17461CA6"/>
    <w:lvl w:ilvl="0" w:tplc="3C04B97A">
      <w:start w:val="1"/>
      <w:numFmt w:val="upperRoman"/>
      <w:lvlText w:val="%1."/>
      <w:lvlJc w:val="left"/>
      <w:pPr>
        <w:ind w:left="1080" w:hanging="720"/>
      </w:pPr>
    </w:lvl>
    <w:lvl w:ilvl="1" w:tplc="79C046B8">
      <w:start w:val="1"/>
      <w:numFmt w:val="decimal"/>
      <w:lvlText w:val="%2."/>
      <w:lvlJc w:val="left"/>
      <w:pPr>
        <w:ind w:left="1785" w:hanging="705"/>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 w15:restartNumberingAfterBreak="0">
    <w:nsid w:val="63266800"/>
    <w:multiLevelType w:val="hybridMultilevel"/>
    <w:tmpl w:val="313C336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8" w15:restartNumberingAfterBreak="0">
    <w:nsid w:val="7E1E0688"/>
    <w:multiLevelType w:val="multilevel"/>
    <w:tmpl w:val="83C6D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6"/>
  </w:num>
  <w:num w:numId="5">
    <w:abstractNumId w:val="5"/>
  </w:num>
  <w:num w:numId="6">
    <w:abstractNumId w:val="1"/>
  </w:num>
  <w:num w:numId="7">
    <w:abstractNumId w:val="8"/>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0D4E06"/>
    <w:rsid w:val="001F0977"/>
    <w:rsid w:val="002C1BB1"/>
    <w:rsid w:val="00303F3C"/>
    <w:rsid w:val="00366636"/>
    <w:rsid w:val="00367DE6"/>
    <w:rsid w:val="003B3E19"/>
    <w:rsid w:val="004076C6"/>
    <w:rsid w:val="00457A58"/>
    <w:rsid w:val="004B7F76"/>
    <w:rsid w:val="004E1BCE"/>
    <w:rsid w:val="00592079"/>
    <w:rsid w:val="00594080"/>
    <w:rsid w:val="00682FFE"/>
    <w:rsid w:val="00684751"/>
    <w:rsid w:val="006C69EC"/>
    <w:rsid w:val="007039D0"/>
    <w:rsid w:val="00767987"/>
    <w:rsid w:val="00782FD4"/>
    <w:rsid w:val="007E1230"/>
    <w:rsid w:val="00811140"/>
    <w:rsid w:val="00862981"/>
    <w:rsid w:val="00904A48"/>
    <w:rsid w:val="00980294"/>
    <w:rsid w:val="009C5392"/>
    <w:rsid w:val="009C657E"/>
    <w:rsid w:val="00A16E6F"/>
    <w:rsid w:val="00A50E4B"/>
    <w:rsid w:val="00A51D2D"/>
    <w:rsid w:val="00A56EFB"/>
    <w:rsid w:val="00A9231D"/>
    <w:rsid w:val="00AD3BB3"/>
    <w:rsid w:val="00C0216A"/>
    <w:rsid w:val="00CD6077"/>
    <w:rsid w:val="00CE234E"/>
    <w:rsid w:val="00D02973"/>
    <w:rsid w:val="00DA09BE"/>
    <w:rsid w:val="00DA5D5E"/>
    <w:rsid w:val="00E83A83"/>
    <w:rsid w:val="00F502C5"/>
    <w:rsid w:val="00FB00DD"/>
    <w:rsid w:val="00FC3CA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1B1447"/>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Poglavje">
    <w:name w:val="Poglavje"/>
    <w:basedOn w:val="Navaden"/>
    <w:uiPriority w:val="99"/>
    <w:qFormat/>
    <w:rsid w:val="001F0977"/>
    <w:pPr>
      <w:suppressAutoHyphens/>
      <w:spacing w:before="480" w:line="240" w:lineRule="auto"/>
      <w:ind w:firstLine="1021"/>
      <w:jc w:val="center"/>
    </w:pPr>
    <w:rPr>
      <w:rFonts w:cs="Arial"/>
      <w:sz w:val="22"/>
      <w:szCs w:val="22"/>
      <w:lang w:eastAsia="sl-SI"/>
    </w:rPr>
  </w:style>
  <w:style w:type="paragraph" w:styleId="Odstavekseznama">
    <w:name w:val="List Paragraph"/>
    <w:basedOn w:val="Navaden"/>
    <w:link w:val="OdstavekseznamaZnak"/>
    <w:uiPriority w:val="34"/>
    <w:qFormat/>
    <w:rsid w:val="001F0977"/>
    <w:pPr>
      <w:spacing w:line="260" w:lineRule="atLeast"/>
      <w:ind w:left="720"/>
      <w:contextualSpacing/>
    </w:p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locked/>
    <w:rsid w:val="001F0977"/>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unhideWhenUsed/>
    <w:rsid w:val="001F0977"/>
    <w:pPr>
      <w:spacing w:line="240" w:lineRule="auto"/>
      <w:jc w:val="both"/>
    </w:pPr>
    <w:rPr>
      <w:rFonts w:asciiTheme="minorHAnsi" w:eastAsiaTheme="minorHAnsi" w:hAnsiTheme="minorHAnsi" w:cstheme="minorBidi"/>
      <w:sz w:val="22"/>
      <w:szCs w:val="22"/>
      <w:lang w:eastAsia="zh-CN"/>
    </w:rPr>
  </w:style>
  <w:style w:type="character" w:customStyle="1" w:styleId="Sprotnaopomba-besediloZnak1">
    <w:name w:val="Sprotna opomba - besedilo Znak1"/>
    <w:basedOn w:val="Privzetapisavaodstavka"/>
    <w:uiPriority w:val="99"/>
    <w:semiHidden/>
    <w:rsid w:val="001F0977"/>
    <w:rPr>
      <w:rFonts w:ascii="Arial" w:eastAsia="Times New Roman" w:hAnsi="Arial" w:cs="Times New Roman"/>
      <w:sz w:val="20"/>
      <w:szCs w:val="20"/>
    </w:rPr>
  </w:style>
  <w:style w:type="character" w:customStyle="1" w:styleId="BrezrazmikovZnak">
    <w:name w:val="Brez razmikov Znak"/>
    <w:link w:val="Brezrazmikov"/>
    <w:uiPriority w:val="1"/>
    <w:locked/>
    <w:rsid w:val="001F0977"/>
    <w:rPr>
      <w:rFonts w:ascii="Arial" w:hAnsi="Arial" w:cs="Arial"/>
      <w:szCs w:val="24"/>
      <w:lang w:val="en-US"/>
    </w:rPr>
  </w:style>
  <w:style w:type="paragraph" w:styleId="Brezrazmikov">
    <w:name w:val="No Spacing"/>
    <w:link w:val="BrezrazmikovZnak"/>
    <w:uiPriority w:val="1"/>
    <w:qFormat/>
    <w:rsid w:val="001F0977"/>
    <w:pPr>
      <w:spacing w:after="0" w:line="240" w:lineRule="auto"/>
    </w:pPr>
    <w:rPr>
      <w:rFonts w:ascii="Arial" w:hAnsi="Arial" w:cs="Arial"/>
      <w:szCs w:val="24"/>
      <w:lang w:val="en-US"/>
    </w:rPr>
  </w:style>
  <w:style w:type="character" w:customStyle="1" w:styleId="OdstavekseznamaZnak">
    <w:name w:val="Odstavek seznama Znak"/>
    <w:link w:val="Odstavekseznama"/>
    <w:uiPriority w:val="34"/>
    <w:locked/>
    <w:rsid w:val="001F0977"/>
    <w:rPr>
      <w:rFonts w:ascii="Arial" w:eastAsia="Times New Roman" w:hAnsi="Arial" w:cs="Times New Roman"/>
      <w:sz w:val="20"/>
      <w:szCs w:val="24"/>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unhideWhenUsed/>
    <w:qFormat/>
    <w:rsid w:val="001F0977"/>
    <w:rPr>
      <w:vertAlign w:val="superscript"/>
    </w:rPr>
  </w:style>
  <w:style w:type="paragraph" w:customStyle="1" w:styleId="Neotevilenodstavek">
    <w:name w:val="Neoštevilčen odstavek"/>
    <w:basedOn w:val="Navaden"/>
    <w:link w:val="NeotevilenodstavekZnak"/>
    <w:qFormat/>
    <w:rsid w:val="001F0977"/>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1F0977"/>
    <w:rPr>
      <w:rFonts w:ascii="Arial" w:eastAsia="Times New Roman" w:hAnsi="Arial" w:cs="Times New Roman"/>
      <w:szCs w:val="20"/>
    </w:rPr>
  </w:style>
  <w:style w:type="paragraph" w:customStyle="1" w:styleId="whitespace-pre-wrap">
    <w:name w:val="whitespace-pre-wrap"/>
    <w:basedOn w:val="Navaden"/>
    <w:rsid w:val="001F0977"/>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303F3C"/>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2930</Words>
  <Characters>16703</Characters>
  <Application>Microsoft Office Word</Application>
  <DocSecurity>0</DocSecurity>
  <Lines>139</Lines>
  <Paragraphs>39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2025-06-13T05:36:00Z</dcterms:created>
  <dcterms:modified xsi:type="dcterms:W3CDTF">2025-06-13T05:36:00Z</dcterms:modified>
</cp:coreProperties>
</file>