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CE9E3B" w14:textId="77777777" w:rsidR="0001623A" w:rsidRPr="004F2DC3" w:rsidRDefault="0001623A" w:rsidP="0001623A">
      <w:pPr>
        <w:spacing w:after="0" w:line="269" w:lineRule="auto"/>
        <w:jc w:val="both"/>
        <w:rPr>
          <w:rFonts w:ascii="Arial" w:hAnsi="Arial" w:cs="Arial"/>
          <w:sz w:val="20"/>
          <w:szCs w:val="20"/>
        </w:rPr>
      </w:pPr>
    </w:p>
    <w:p w14:paraId="6D98F10F" w14:textId="77777777" w:rsidR="0001623A" w:rsidRPr="004F2DC3" w:rsidRDefault="0001623A" w:rsidP="0001623A">
      <w:pPr>
        <w:spacing w:after="0" w:line="269" w:lineRule="auto"/>
        <w:jc w:val="right"/>
        <w:rPr>
          <w:rFonts w:ascii="Arial" w:hAnsi="Arial" w:cs="Arial"/>
          <w:b/>
          <w:bCs/>
          <w:sz w:val="20"/>
          <w:szCs w:val="20"/>
        </w:rPr>
      </w:pPr>
      <w:r w:rsidRPr="004F2DC3">
        <w:rPr>
          <w:rFonts w:ascii="Arial" w:hAnsi="Arial" w:cs="Arial"/>
          <w:b/>
          <w:bCs/>
          <w:sz w:val="20"/>
          <w:szCs w:val="20"/>
        </w:rPr>
        <w:t>PREDLOG</w:t>
      </w:r>
    </w:p>
    <w:p w14:paraId="1F64AC0F" w14:textId="77777777" w:rsidR="0001623A" w:rsidRPr="004F2DC3" w:rsidRDefault="0001623A" w:rsidP="0001623A">
      <w:pPr>
        <w:spacing w:after="0" w:line="269" w:lineRule="auto"/>
        <w:jc w:val="right"/>
        <w:rPr>
          <w:rFonts w:ascii="Arial" w:hAnsi="Arial" w:cs="Arial"/>
          <w:b/>
          <w:bCs/>
          <w:sz w:val="20"/>
          <w:szCs w:val="20"/>
        </w:rPr>
      </w:pPr>
      <w:r w:rsidRPr="004F2DC3">
        <w:rPr>
          <w:rFonts w:ascii="Arial" w:hAnsi="Arial" w:cs="Arial"/>
          <w:b/>
          <w:bCs/>
          <w:sz w:val="20"/>
          <w:szCs w:val="20"/>
        </w:rPr>
        <w:t>REDNI POSTOPEK</w:t>
      </w:r>
    </w:p>
    <w:p w14:paraId="74298C98" w14:textId="77777777" w:rsidR="0001623A" w:rsidRPr="004F2DC3" w:rsidRDefault="0001623A" w:rsidP="0001623A">
      <w:pPr>
        <w:spacing w:after="0" w:line="269" w:lineRule="auto"/>
        <w:jc w:val="right"/>
        <w:rPr>
          <w:rFonts w:ascii="Arial" w:hAnsi="Arial" w:cs="Arial"/>
          <w:b/>
          <w:bCs/>
          <w:sz w:val="20"/>
          <w:szCs w:val="20"/>
        </w:rPr>
      </w:pPr>
      <w:r w:rsidRPr="004F2DC3">
        <w:rPr>
          <w:rFonts w:ascii="Arial" w:hAnsi="Arial" w:cs="Arial"/>
          <w:b/>
          <w:bCs/>
          <w:sz w:val="20"/>
          <w:szCs w:val="20"/>
        </w:rPr>
        <w:t>(EVA 2025-1611-0049)</w:t>
      </w:r>
    </w:p>
    <w:p w14:paraId="7903988E" w14:textId="77777777" w:rsidR="0001623A" w:rsidRPr="004F2DC3" w:rsidRDefault="0001623A" w:rsidP="0001623A">
      <w:pPr>
        <w:suppressAutoHyphens/>
        <w:overflowPunct w:val="0"/>
        <w:autoSpaceDE w:val="0"/>
        <w:autoSpaceDN w:val="0"/>
        <w:adjustRightInd w:val="0"/>
        <w:spacing w:after="0" w:line="269" w:lineRule="auto"/>
        <w:jc w:val="center"/>
        <w:textAlignment w:val="baseline"/>
        <w:rPr>
          <w:rFonts w:ascii="Arial" w:hAnsi="Arial" w:cs="Arial"/>
          <w:b/>
          <w:bCs/>
          <w:sz w:val="20"/>
          <w:szCs w:val="20"/>
        </w:rPr>
      </w:pPr>
    </w:p>
    <w:p w14:paraId="1A006AD0" w14:textId="77777777" w:rsidR="0001623A" w:rsidRPr="004F2DC3" w:rsidRDefault="0001623A" w:rsidP="0001623A">
      <w:pPr>
        <w:suppressAutoHyphens/>
        <w:overflowPunct w:val="0"/>
        <w:autoSpaceDE w:val="0"/>
        <w:autoSpaceDN w:val="0"/>
        <w:adjustRightInd w:val="0"/>
        <w:spacing w:after="0" w:line="269" w:lineRule="auto"/>
        <w:jc w:val="center"/>
        <w:textAlignment w:val="baseline"/>
        <w:rPr>
          <w:rFonts w:ascii="Arial" w:hAnsi="Arial" w:cs="Arial"/>
          <w:b/>
          <w:bCs/>
          <w:sz w:val="20"/>
          <w:szCs w:val="20"/>
        </w:rPr>
      </w:pPr>
      <w:r w:rsidRPr="004F2DC3">
        <w:rPr>
          <w:rFonts w:ascii="Arial" w:hAnsi="Arial" w:cs="Arial"/>
          <w:b/>
          <w:bCs/>
          <w:sz w:val="20"/>
          <w:szCs w:val="20"/>
        </w:rPr>
        <w:t xml:space="preserve">ZAKON </w:t>
      </w:r>
    </w:p>
    <w:p w14:paraId="1D0E5E58" w14:textId="77777777" w:rsidR="0001623A" w:rsidRPr="004F2DC3" w:rsidRDefault="0001623A" w:rsidP="0001623A">
      <w:pPr>
        <w:suppressAutoHyphens/>
        <w:overflowPunct w:val="0"/>
        <w:autoSpaceDE w:val="0"/>
        <w:autoSpaceDN w:val="0"/>
        <w:adjustRightInd w:val="0"/>
        <w:spacing w:after="0" w:line="269" w:lineRule="auto"/>
        <w:jc w:val="center"/>
        <w:textAlignment w:val="baseline"/>
        <w:rPr>
          <w:rFonts w:ascii="Arial" w:hAnsi="Arial" w:cs="Arial"/>
          <w:b/>
          <w:bCs/>
          <w:sz w:val="20"/>
          <w:szCs w:val="20"/>
        </w:rPr>
      </w:pPr>
      <w:r w:rsidRPr="004F2DC3">
        <w:rPr>
          <w:rFonts w:ascii="Arial" w:hAnsi="Arial" w:cs="Arial"/>
          <w:b/>
          <w:bCs/>
          <w:sz w:val="20"/>
          <w:szCs w:val="20"/>
        </w:rPr>
        <w:t>O SPREMEMBAH IN DOPOLNITVAH ZAKONA O DAVKU OD DOHODKOV PRAVNIH OSEB</w:t>
      </w:r>
    </w:p>
    <w:p w14:paraId="4B4612F6"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t xml:space="preserve"> </w:t>
      </w:r>
    </w:p>
    <w:p w14:paraId="5A523BA9"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t>I. UVOD</w:t>
      </w:r>
    </w:p>
    <w:p w14:paraId="1FC7A980" w14:textId="77777777" w:rsidR="0001623A" w:rsidRDefault="0001623A" w:rsidP="0001623A">
      <w:pPr>
        <w:spacing w:after="0" w:line="269" w:lineRule="auto"/>
        <w:jc w:val="both"/>
        <w:rPr>
          <w:rFonts w:ascii="Arial" w:hAnsi="Arial" w:cs="Arial"/>
          <w:b/>
          <w:bCs/>
          <w:sz w:val="20"/>
          <w:szCs w:val="20"/>
        </w:rPr>
      </w:pPr>
    </w:p>
    <w:p w14:paraId="49BE4494"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t>1. OCENA STANJA IN RAZLOGI ZA SPREJEM PREDLOGA ZAKONA</w:t>
      </w:r>
    </w:p>
    <w:p w14:paraId="2359BAA2"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 xml:space="preserve">1.1. Zakon o davku od dohodkov pravnih oseb (Uradni list RS, št. 117/06, 56/08, 76/08, 5/09, 96/09, 110/09 – ZDavP-2B, 43/10, 59/11, 24/12, 30/12, 94/12, 81/13, 50/14, 23/15, 82/15, 68/16, 69/17, 79/18, 66/19, 172/21, 105/22 – ZZNŠPP, 12/24 in 100/24, v nadaljnjem besedilu: ZDDPO-2) je sistemski zakon, ki ureja obdavčitev dohodkov pravnih oseb. ZDDPO-2 temelji na načelih, ki so bila ključna že pri njegovem oblikovanju v okviru davčne reforme 2006. ZDDPO-2 vključuje standarde obdavčenja, ki so utemeljeni s cilji in nameni davčne politike v Sloveniji, hkrati pa upoštevajo načela ter zaveze obdavčenja, dogovorjene na mednarodni ravni. Kljub zavezanosti davčni stabilnosti in predvidljivosti ter zavedanju o njunem pomenu, se je ZDDPO-2 že večkrat spremenil, pri tem je povečini šlo za spremembe, ki niso prepoznane kot reformne ali sistemske, temveč za manjše posege v zakon zaradi ožjih, a relevantnih ciljev davčne politike, nadalje za spremembe zaradi implementacije direktiv Evropske unije na področju podjetniškega obdavčevanja oziroma njihovih sprememb in tudi zaradi spoznanj iz prakse, ki zahtevajo hiter odziv, zlasti zaradi zasledovanja učinkovitejšega izvajanja zakona. Tudi ta predlog zakona je pripravljen zaradi zasledovanja ožjih ciljev, ki so tako pomembni, da je ustrezneje pripraviti predlog zakona z manj posegi v zakon, kot pa počakati do naslednje morebitne obsežnejše spremembe. To stališče podkrepijo tudi trdna podpora zavezancev, ki jih sprememba na področju davčne obravnave alternativnih investicijskih skladov, vključena v predlog zakona, zadeva, ter nadalje potreba davčnega organa za učinkovitejše izvajanje zakona na področju uveljavljanja davčne nevtralnosti v obliki odloga davka v primerih in v trenutku reorganizacij zavezancev. Obe bistveni spremembi oziroma dopolnitvi pa sledita ciljem, da se davčni okvir za deležnike, zavezance in davčni organ, izboljša in pomeni spodbudo zanje ter olajša njihovo delovanje. S tem spremembi prispevata k bolj ustreznemu, učinkovitemu in konkurenčnemu davčnemu okolju.  </w:t>
      </w:r>
    </w:p>
    <w:p w14:paraId="44599CA9" w14:textId="77777777" w:rsidR="0001623A" w:rsidRPr="004F2DC3" w:rsidRDefault="0001623A" w:rsidP="0001623A">
      <w:pPr>
        <w:spacing w:after="0" w:line="269" w:lineRule="auto"/>
        <w:jc w:val="both"/>
        <w:rPr>
          <w:rFonts w:ascii="Arial" w:hAnsi="Arial" w:cs="Arial"/>
          <w:sz w:val="20"/>
          <w:szCs w:val="20"/>
        </w:rPr>
      </w:pPr>
    </w:p>
    <w:p w14:paraId="3CDBE7FF"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 xml:space="preserve">1.2. Davčna stopnja v ZDDPO-2 je poleg določitve zavezanca za davek, davčne osnove in načina obračunavanja ter plačevanja davka eden temeljnih elementov sistema oziroma zakona. Prepoznati pa je treba, da je za predstavitev celovite obdavčitve dohodkov pravne osebe treba upoštevati stopnjo obdavčitve, ki je sicer bolj »viden« element, v povezavi z vsemi drugimi ukrepi, ki jih navedeni zakon določa. </w:t>
      </w:r>
    </w:p>
    <w:p w14:paraId="5B5FEAFD" w14:textId="77777777" w:rsidR="0001623A" w:rsidRPr="004F2DC3" w:rsidRDefault="0001623A" w:rsidP="0001623A">
      <w:pPr>
        <w:spacing w:after="0" w:line="269" w:lineRule="auto"/>
        <w:jc w:val="both"/>
        <w:rPr>
          <w:rFonts w:ascii="Arial" w:hAnsi="Arial" w:cs="Arial"/>
          <w:sz w:val="20"/>
          <w:szCs w:val="20"/>
        </w:rPr>
      </w:pPr>
    </w:p>
    <w:p w14:paraId="09C6E573"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 xml:space="preserve">ZDDPO-2 določa splošno nominalno stopnjo obdavčitve. V 61. členu ZDDPO-2 pa je določena posebna stopnja, vključno za investicijske sklade, ki so obdavčeni po ZDDPO-2, torej za tiste, ki so pravne osebe in zato opredeljeni kot zavezanci po ZDDPO-2. Določeno je, da investicijski skladi, obdavčeni po tem zakonu, ki so ustanovljeni po zakonu, ki ureja investicijske sklade in družbe za upravljanje, plačujejo davek v davčnem obdobju po stopnji 0 % od davčne osnove, če do 30. novembra tega obdobja razdelijo najmanj 90 % poslovnega dobička prejšnjega davčnega obdobja. </w:t>
      </w:r>
    </w:p>
    <w:p w14:paraId="2E5D11B8" w14:textId="77777777" w:rsidR="0001623A" w:rsidRPr="004F2DC3" w:rsidRDefault="0001623A" w:rsidP="0001623A">
      <w:pPr>
        <w:spacing w:after="0" w:line="269" w:lineRule="auto"/>
        <w:jc w:val="both"/>
        <w:rPr>
          <w:rFonts w:ascii="Arial" w:hAnsi="Arial" w:cs="Arial"/>
          <w:sz w:val="20"/>
          <w:szCs w:val="20"/>
        </w:rPr>
      </w:pPr>
    </w:p>
    <w:p w14:paraId="437D8860"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 xml:space="preserve">Ureditev, da investicijski skladi plačajo davek, pod pogoji, po stopnji 0 % ima oziroma mora imeti utemeljene cilje in namene zaradi zagotavljanja sistemskosti davčne ureditve in skladnosti z domačim pravnim okvirjem ter mednarodnimi zavezami na davčnem področju. Pristop z ničelno stopnjo za zavezance investicijske sklade je zasledoval in zasleduje ureditev, ki pomeni, da sta v okviru obsega ZDDPO-2 vlagatelj, ki vlaga preko sklada, in vlagatelj, ki vlaga neposredno, v enakem položaju. </w:t>
      </w:r>
    </w:p>
    <w:p w14:paraId="41E59E1F" w14:textId="77777777" w:rsidR="0001623A" w:rsidRPr="004F2DC3" w:rsidRDefault="0001623A" w:rsidP="0001623A">
      <w:pPr>
        <w:spacing w:after="0" w:line="269" w:lineRule="auto"/>
        <w:jc w:val="both"/>
        <w:rPr>
          <w:rFonts w:ascii="Arial" w:hAnsi="Arial" w:cs="Arial"/>
          <w:sz w:val="20"/>
          <w:szCs w:val="20"/>
        </w:rPr>
      </w:pPr>
    </w:p>
    <w:p w14:paraId="20EFDD89"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lastRenderedPageBreak/>
        <w:t xml:space="preserve">Zgodovinsko gledano je opisana ureditev v sistemu obdavčevanja dohodkov pravnih oseb prisotna, sicer nekoliko modelirana z ničelno stopnjo, ki je nadomestila oprostitev, že od leta 1993. Torej gre za določbo z dolgo tradicijo, ki jo zavezanci, ki jih naslavlja, in drugi deležniki ZDDPO-2, že dlje uporabljajo. </w:t>
      </w:r>
    </w:p>
    <w:p w14:paraId="2D12952E" w14:textId="77777777" w:rsidR="0001623A" w:rsidRPr="004F2DC3" w:rsidRDefault="0001623A" w:rsidP="0001623A">
      <w:pPr>
        <w:spacing w:after="0" w:line="269" w:lineRule="auto"/>
        <w:jc w:val="both"/>
        <w:rPr>
          <w:rFonts w:ascii="Arial" w:hAnsi="Arial" w:cs="Arial"/>
          <w:sz w:val="20"/>
          <w:szCs w:val="20"/>
        </w:rPr>
      </w:pPr>
    </w:p>
    <w:p w14:paraId="3CF1D955" w14:textId="77777777" w:rsidR="0001623A" w:rsidRPr="004F2DC3" w:rsidRDefault="0001623A" w:rsidP="0001623A">
      <w:pPr>
        <w:spacing w:after="0" w:line="269" w:lineRule="auto"/>
        <w:ind w:right="50"/>
        <w:jc w:val="both"/>
        <w:rPr>
          <w:rFonts w:ascii="Arial" w:hAnsi="Arial" w:cs="Arial"/>
          <w:sz w:val="20"/>
          <w:szCs w:val="20"/>
        </w:rPr>
      </w:pPr>
      <w:r w:rsidRPr="004F2DC3">
        <w:rPr>
          <w:rFonts w:ascii="Arial" w:hAnsi="Arial" w:cs="Arial"/>
          <w:sz w:val="20"/>
          <w:szCs w:val="20"/>
        </w:rPr>
        <w:t xml:space="preserve">Novo dejstvo, povezano z opisano določbo ZDDPO-2, je spremenjen pravni okvir oziroma zakonodaja, ki določa osnovno ureditev investicijskih skladov. Bistvena in relevantna sprememba za ZDDPO-2 je bilo sprejetje novega, vključno zaradi prenosa prava EU, Zakona o oblikah alternativnih investicijskih skladov (ZOAIS), ki je začel veljati 10. 8. 2022 in ureja oziroma definira oblike alternativnih investicijskih skladov (AIS), pri tem pa je bilo potrebno z njegovo uveljavitvijo prilagoditi tudi Zakon o investicijskih skladih in družbah za upravljanje (Uradni list RS, št. 31/15, 81/15, 77/16, 77/18 in 161/21) ter Zakon o upravljavcih alternativnih investicijskih skladov (Uradni list RS, št. 32/15, 77/18 in 161/21). Brez navajanja podrobnosti o namenu, ciljih in posameznih sklopih ureditve ZOAIS ter povezav z drugo matično zakonodajo, je za davčne namene ključna ugotovitev, da se je zaradi sprememb v pravnem okviru za investicijske sklade spremenila uporaba in s tem obseg določbe prvega odstavka 61. člena ZDDPO-2. Drugače povedano, predmetna določba ZDDPO-2 se sklicuje na zakon, ki ureja investicijske sklade in družbe za upravljanje, pri tem pa določba, ker gre za določbo ZDDPO-2, zajame le investicijske sklade, ki so pravne osebe. Opisano je učinkovalo pred predhodno opisano spremembo okvira urejanja investicijskih skladov, po tej spremembi pa navedena davčna določba ne učinkuje, ker zakon, ki ureja investicijske sklade in družbe za upravljanje, ne ureja več investicijskih skladov, ki bi bili pravne osebe. V tem okviru se je vzpostavila posebna situacija, ko kljub veljavni določbi ZDDPO-2 niso možni davčni učinki, hkrati pa se je v določeni meri vzpostavilo stanje delne negotovosti v zvezi s konkretno rešitvijo. Treba je poudariti, da je negotovost zgolj v tem, da ničelna stopnja velja, zavezanec pa je ne more uporabiti. Za zavezanca investicijski sklad, ki je pravna oseba, posledično veljajo druge določbe ZDDPO-2.  </w:t>
      </w:r>
    </w:p>
    <w:p w14:paraId="252B60A1" w14:textId="77777777" w:rsidR="0001623A" w:rsidRPr="004F2DC3" w:rsidRDefault="0001623A" w:rsidP="0001623A">
      <w:pPr>
        <w:spacing w:after="0" w:line="269" w:lineRule="auto"/>
        <w:ind w:right="50"/>
        <w:jc w:val="both"/>
        <w:rPr>
          <w:rFonts w:ascii="Arial" w:hAnsi="Arial" w:cs="Arial"/>
          <w:sz w:val="20"/>
          <w:szCs w:val="20"/>
        </w:rPr>
      </w:pPr>
    </w:p>
    <w:p w14:paraId="0C26D6A9" w14:textId="77777777" w:rsidR="0001623A" w:rsidRPr="004F2DC3" w:rsidRDefault="0001623A" w:rsidP="0001623A">
      <w:pPr>
        <w:spacing w:after="0" w:line="269" w:lineRule="auto"/>
        <w:ind w:right="50"/>
        <w:jc w:val="both"/>
        <w:rPr>
          <w:rFonts w:ascii="Arial" w:hAnsi="Arial" w:cs="Arial"/>
          <w:sz w:val="20"/>
          <w:szCs w:val="20"/>
        </w:rPr>
      </w:pPr>
      <w:r w:rsidRPr="004F2DC3">
        <w:rPr>
          <w:rFonts w:ascii="Arial" w:hAnsi="Arial" w:cs="Arial"/>
          <w:sz w:val="20"/>
          <w:szCs w:val="20"/>
        </w:rPr>
        <w:t xml:space="preserve">Pristop na način, da se predmetna določba prilagodi in uskladi z novim pravnim okvirom pomeni ponovno učinkovanje določbe oziroma njeno »oživitev«, kar za nekatere zavezance, ki so skladi, predstavlja ponovno delujočo davčno obravnavo in posledično gotovost glede 0 % stopnje in njihovega davčnega položaja. </w:t>
      </w:r>
    </w:p>
    <w:p w14:paraId="4905C086" w14:textId="77777777" w:rsidR="0001623A" w:rsidRPr="004F2DC3" w:rsidRDefault="0001623A" w:rsidP="0001623A">
      <w:pPr>
        <w:spacing w:after="0" w:line="269" w:lineRule="auto"/>
        <w:jc w:val="both"/>
        <w:rPr>
          <w:rFonts w:ascii="Arial" w:hAnsi="Arial" w:cs="Arial"/>
          <w:sz w:val="20"/>
          <w:szCs w:val="20"/>
        </w:rPr>
      </w:pPr>
    </w:p>
    <w:p w14:paraId="7CB7B82E"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 xml:space="preserve">V povezavi z drugimi določbami ZDDPO-2 in povezano z naravo in obsegom dejavnosti investicijskih skladov je pomembno, da ZDDPO-2, med drugim, določa izvzem dividend iz osnove pri prejemniku teh dividend, če je bil dobiček obdavčen pri izplačevalcu, torej če je izplačevalec zavezanec po ZDDPO-2 v Sloveniji (ali primerljivo v EU in tretjih državah, razen tretjih držav na seznamu po 8.a členu ZDDPO-2). Gre za splošne določbe ZDDPO-2, ki pomenijo tudi, da je preprečeno ekonomsko dvojno obdavčenje pri vlaganjih, v katera so lahko vpleteni tudi investicijski skladi pravne osebe in vlagatelji preko skladov, ki so pravne osebe. Pomembno je omeniti tudi splošno določbo ZDDPO-2 o izvzemu polovice dobičkov, pod pogoji, iz odsvojitve lastniških deležev iz davčne osnove, ki je tudi relevantna določba z vidika investicijskih skladov in vlagateljev vanje. </w:t>
      </w:r>
    </w:p>
    <w:p w14:paraId="2F21C54E" w14:textId="77777777" w:rsidR="0001623A" w:rsidRPr="004F2DC3" w:rsidRDefault="0001623A" w:rsidP="0001623A">
      <w:pPr>
        <w:spacing w:after="0" w:line="269" w:lineRule="auto"/>
        <w:jc w:val="both"/>
        <w:rPr>
          <w:rFonts w:ascii="Arial" w:hAnsi="Arial" w:cs="Arial"/>
          <w:sz w:val="20"/>
          <w:szCs w:val="20"/>
        </w:rPr>
      </w:pPr>
    </w:p>
    <w:p w14:paraId="3D9B2045"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 xml:space="preserve">Pri oceni stanja v zvezi z navajano določbo 61. člena ZDDPO-2 in povezano s pravnim okvirom za investicijske sklade ter logiko poslovanja navedenih skladov je treba ponovno poudariti, da ZDDPO-2 ureja le obdavčitev dohodkov pravnih oseb. Konkretno to pri strukturi poslovanja investicijskih skladov, ob upoštevanju že predhodno poudarjenega dejstva, da v obseg ZDDPO-2 sodijo le skladi, ki so pravne osebe, pomeni, da ZDDPO-2 ureja davčno obravnavo oziroma obdavčitev izplačanih in prejetih dohodkov pri pravnih osebah. To pomeni, da se brez širšega pristopa izven ZDDPO-2 oziroma brez poseganja v drugo davčno zakonodajo, lahko uredi le obravnava za investicijske sklade pravne osebe, ki pa mora slediti sistemu ZDDPO-2. V nadaljevanju je treba z vidika davčne politike ugotoviti, da je takšna davčna obravnava investicijskih skladov in dohodkov iz kapitala parcialna. Na način kompromisa predstavljena pa, da se uredi področje, ki je bilo že do sedaj urejeno na poseben način, to je z 0 % stopnjo, na enak način tudi za naprej. Rešitev je, kot navedeno, parcialna, širši pomisleki ali skrbi ali predlogi niso naslovljeni ali rešeni. Rešitev ne prejudicira ali začrta morebitne bodoče širše celovite ureditve vseh oblik investicijskih skladov in njihovih dohodkov oziroma izplačil vlagateljem.     </w:t>
      </w:r>
    </w:p>
    <w:p w14:paraId="0331D63B" w14:textId="77777777" w:rsidR="0001623A" w:rsidRPr="004F2DC3" w:rsidRDefault="0001623A" w:rsidP="0001623A">
      <w:pPr>
        <w:spacing w:after="0" w:line="269" w:lineRule="auto"/>
        <w:jc w:val="both"/>
        <w:rPr>
          <w:rFonts w:ascii="Arial" w:hAnsi="Arial" w:cs="Arial"/>
          <w:sz w:val="20"/>
          <w:szCs w:val="20"/>
        </w:rPr>
      </w:pPr>
    </w:p>
    <w:p w14:paraId="29F43CC6" w14:textId="77777777" w:rsidR="0001623A" w:rsidRPr="004F2DC3" w:rsidRDefault="0001623A" w:rsidP="0001623A">
      <w:pPr>
        <w:spacing w:after="0" w:line="269" w:lineRule="auto"/>
        <w:jc w:val="both"/>
        <w:rPr>
          <w:rFonts w:ascii="Arial" w:eastAsia="Times New Roman" w:hAnsi="Arial" w:cs="Arial"/>
          <w:sz w:val="20"/>
          <w:szCs w:val="20"/>
          <w:lang w:eastAsia="sl-SI"/>
        </w:rPr>
      </w:pPr>
      <w:r w:rsidRPr="004F2DC3">
        <w:rPr>
          <w:rFonts w:ascii="Arial" w:hAnsi="Arial" w:cs="Arial"/>
          <w:sz w:val="20"/>
          <w:szCs w:val="20"/>
        </w:rPr>
        <w:lastRenderedPageBreak/>
        <w:t>1.</w:t>
      </w:r>
      <w:r>
        <w:rPr>
          <w:rFonts w:ascii="Arial" w:hAnsi="Arial" w:cs="Arial"/>
          <w:sz w:val="20"/>
          <w:szCs w:val="20"/>
        </w:rPr>
        <w:t>3</w:t>
      </w:r>
      <w:r w:rsidRPr="004F2DC3">
        <w:rPr>
          <w:rFonts w:ascii="Arial" w:hAnsi="Arial" w:cs="Arial"/>
          <w:sz w:val="20"/>
          <w:szCs w:val="20"/>
        </w:rPr>
        <w:t xml:space="preserve">. </w:t>
      </w:r>
      <w:r w:rsidRPr="004F2DC3">
        <w:rPr>
          <w:rFonts w:ascii="Arial" w:eastAsia="Times New Roman" w:hAnsi="Arial" w:cs="Arial"/>
          <w:sz w:val="20"/>
          <w:szCs w:val="20"/>
          <w:lang w:eastAsia="sl-SI"/>
        </w:rPr>
        <w:t xml:space="preserve">V ZDDPO-2 </w:t>
      </w:r>
      <w:r w:rsidRPr="004F2DC3">
        <w:rPr>
          <w:rFonts w:ascii="Arial" w:hAnsi="Arial" w:cs="Arial"/>
          <w:sz w:val="20"/>
          <w:szCs w:val="20"/>
        </w:rPr>
        <w:t>je bila v VII. poglavje prenesena</w:t>
      </w:r>
      <w:r w:rsidRPr="004F2DC3">
        <w:rPr>
          <w:rFonts w:ascii="Arial" w:eastAsia="Times New Roman" w:hAnsi="Arial" w:cs="Arial"/>
          <w:sz w:val="20"/>
          <w:szCs w:val="20"/>
          <w:lang w:eastAsia="sl-SI"/>
        </w:rPr>
        <w:t xml:space="preserve"> tudi direktiva EU, ki v Uniji oziroma na notranjem trgu odpravlja morebitne razlike med različnimi nacionalnimi davčnimi pravili v primerih čezmejnih reorganizacij zavezancev iz dveh ali več držav članic EU (kot so združitve, delitve in podobne transakcije), ki predstavljajo oviro za te transakcije. Cilj opisanih pravil je vzpostavitev sistema, ki dovoljuje odlog obdavčitve dohodka ob izvedbi transakcij, torej oprostitev v trenutku posamezne kvalificirane transakcije. Za opisano davčno obravnavo morajo biti izpolnjeni določeni pogoji v podporo ciljem direktive. ZDDPO-2 opisan odlog obdavčitve določa tudi za povsem notranje predmetne transakcije, kar sicer zahteva dodatne napore pri izvajanju (preverjanje pogojev, nadzor), vendar gre za ugodnost za zavezance, ki so udeleženi v navedenih transakcijah, in doseganje širših pozitivnih učinkov. </w:t>
      </w:r>
      <w:bookmarkStart w:id="0" w:name="_Hlk198900057"/>
      <w:r w:rsidRPr="004F2DC3">
        <w:rPr>
          <w:rFonts w:ascii="Arial" w:eastAsia="Times New Roman" w:hAnsi="Arial" w:cs="Arial"/>
          <w:sz w:val="20"/>
          <w:szCs w:val="20"/>
          <w:lang w:eastAsia="sl-SI"/>
        </w:rPr>
        <w:t>Opisana pravila se v Sloveniji uporabljajo od pridružitve Slovenije EU, torej so bila vključena že v ZDDPO-1. V obdobjih od takrat dalje je davčni organ pridobil določene izkušnje, te pa občasno, s ciljem pravilnega in primernega izvajanja in uporabe določb zakona, terjajo nekatere posege v določbe oziroma nadgradnjo pravil. Pomemben pogoj pri prenosu premoženja ter delitvah je prenos oziroma oddelitev obrata oziroma definicija le-tega, zlasti z vidika učinkovitega izvajanja</w:t>
      </w:r>
      <w:bookmarkEnd w:id="0"/>
      <w:r w:rsidRPr="004F2DC3">
        <w:rPr>
          <w:rFonts w:ascii="Arial" w:eastAsia="Times New Roman" w:hAnsi="Arial" w:cs="Arial"/>
          <w:sz w:val="20"/>
          <w:szCs w:val="20"/>
          <w:lang w:eastAsia="sl-SI"/>
        </w:rPr>
        <w:t xml:space="preserve">. Nekatera vprašanja so se tekom izvajanja v navedenem obdobju veljavnosti opisanega režima reševala s pojasnili, vendar je ustreznejša rešitev določitev jasnega pravila v zakonu. Pri izvajanju določb zakona jasnost in določnost prispeva k pravni varnosti in hkrati preprečuje zlorabe, posledično so upravna bremena manjša. Dodati je treba, da se davčna nevtralnost določa s ciljem olajšanja določenih situacij zavezancev oziroma se odpravljajo ovire v prav posebnih situacijah, ki se po ekonomski vsebini razlikujejo od običajnih odtujitev oziroma prodaj.      </w:t>
      </w:r>
    </w:p>
    <w:p w14:paraId="19CC3946" w14:textId="77777777" w:rsidR="0001623A" w:rsidRPr="004F2DC3" w:rsidRDefault="0001623A" w:rsidP="0001623A">
      <w:pPr>
        <w:spacing w:after="0" w:line="269" w:lineRule="auto"/>
        <w:jc w:val="both"/>
        <w:rPr>
          <w:rFonts w:ascii="Arial" w:eastAsia="Times New Roman" w:hAnsi="Arial" w:cs="Arial"/>
          <w:sz w:val="20"/>
          <w:szCs w:val="20"/>
          <w:lang w:eastAsia="sl-SI"/>
        </w:rPr>
      </w:pPr>
    </w:p>
    <w:p w14:paraId="4ABDE588" w14:textId="77777777" w:rsidR="0001623A" w:rsidRPr="004F2DC3" w:rsidRDefault="0001623A" w:rsidP="0001623A">
      <w:pPr>
        <w:spacing w:line="269" w:lineRule="auto"/>
        <w:jc w:val="both"/>
        <w:rPr>
          <w:rFonts w:ascii="Arial" w:hAnsi="Arial" w:cs="Arial"/>
          <w:color w:val="000000"/>
          <w:sz w:val="20"/>
          <w:szCs w:val="20"/>
        </w:rPr>
      </w:pPr>
      <w:r w:rsidRPr="004F2DC3">
        <w:rPr>
          <w:rFonts w:ascii="Arial" w:eastAsia="Times New Roman" w:hAnsi="Arial" w:cs="Arial"/>
          <w:sz w:val="20"/>
          <w:szCs w:val="20"/>
          <w:lang w:eastAsia="sl-SI"/>
        </w:rPr>
        <w:t>1.</w:t>
      </w:r>
      <w:r>
        <w:rPr>
          <w:rFonts w:ascii="Arial" w:eastAsia="Times New Roman" w:hAnsi="Arial" w:cs="Arial"/>
          <w:sz w:val="20"/>
          <w:szCs w:val="20"/>
          <w:lang w:eastAsia="sl-SI"/>
        </w:rPr>
        <w:t>4</w:t>
      </w:r>
      <w:r w:rsidRPr="004F2DC3">
        <w:rPr>
          <w:rFonts w:ascii="Arial" w:eastAsia="Times New Roman" w:hAnsi="Arial" w:cs="Arial"/>
          <w:sz w:val="20"/>
          <w:szCs w:val="20"/>
          <w:lang w:eastAsia="sl-SI"/>
        </w:rPr>
        <w:t>. Druge predlagane spremembe in dopolnitve v tej noveli zakona so tehnične narave oziroma so namenjene zlasti učinkovitejšemu izvajanju ZDDPO-2.</w:t>
      </w:r>
      <w:r w:rsidRPr="004F2DC3">
        <w:rPr>
          <w:rFonts w:ascii="Arial" w:hAnsi="Arial" w:cs="Arial"/>
          <w:color w:val="000000"/>
          <w:sz w:val="20"/>
          <w:szCs w:val="20"/>
        </w:rPr>
        <w:t xml:space="preserve"> </w:t>
      </w:r>
    </w:p>
    <w:p w14:paraId="721B6799" w14:textId="77777777" w:rsidR="0001623A" w:rsidRPr="004F2DC3" w:rsidRDefault="0001623A" w:rsidP="0001623A">
      <w:pPr>
        <w:spacing w:after="0" w:line="269" w:lineRule="auto"/>
        <w:jc w:val="both"/>
        <w:rPr>
          <w:rFonts w:ascii="Arial" w:hAnsi="Arial" w:cs="Arial"/>
          <w:sz w:val="20"/>
          <w:szCs w:val="20"/>
        </w:rPr>
      </w:pPr>
    </w:p>
    <w:p w14:paraId="20624694"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t>2. CILJI, NAČELA IN POGLAVITNE REŠITVE PREDLOGA ZAKONA</w:t>
      </w:r>
    </w:p>
    <w:p w14:paraId="753A681D" w14:textId="77777777" w:rsidR="0001623A" w:rsidRDefault="0001623A" w:rsidP="0001623A">
      <w:pPr>
        <w:spacing w:after="0" w:line="269" w:lineRule="auto"/>
        <w:jc w:val="both"/>
        <w:rPr>
          <w:rFonts w:ascii="Arial" w:hAnsi="Arial" w:cs="Arial"/>
          <w:b/>
          <w:bCs/>
          <w:sz w:val="20"/>
          <w:szCs w:val="20"/>
        </w:rPr>
      </w:pPr>
    </w:p>
    <w:p w14:paraId="5CB92442"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t>2.1 Cilji</w:t>
      </w:r>
    </w:p>
    <w:p w14:paraId="45B0DE67" w14:textId="77777777" w:rsidR="0001623A" w:rsidRPr="004F2DC3" w:rsidRDefault="0001623A" w:rsidP="0001623A">
      <w:pPr>
        <w:overflowPunct w:val="0"/>
        <w:autoSpaceDE w:val="0"/>
        <w:autoSpaceDN w:val="0"/>
        <w:adjustRightInd w:val="0"/>
        <w:spacing w:after="0" w:line="269" w:lineRule="auto"/>
        <w:jc w:val="both"/>
        <w:textAlignment w:val="baseline"/>
        <w:rPr>
          <w:rFonts w:ascii="Arial" w:hAnsi="Arial" w:cs="Arial"/>
          <w:sz w:val="20"/>
          <w:szCs w:val="20"/>
        </w:rPr>
      </w:pPr>
      <w:r w:rsidRPr="004F2DC3">
        <w:rPr>
          <w:rFonts w:ascii="Arial" w:hAnsi="Arial" w:cs="Arial"/>
          <w:sz w:val="20"/>
          <w:szCs w:val="20"/>
        </w:rPr>
        <w:t>Cilj predloga zakona je zagotoviti večjo gotovost in predvidljivost davčnega sistema predvsem zaradi sprememb matične zakonodaje, ki ureja področje investicijskih skladov tako na EU kot nacionalni ravni. Ostale spremembe, ki so bolj izvedbene oziroma tehnične narave, pa imajo za cilj izboljšanje jasnosti, preglednosti in enostavnosti davčnih določb.</w:t>
      </w:r>
    </w:p>
    <w:p w14:paraId="2D50FADF" w14:textId="77777777" w:rsidR="0001623A" w:rsidRPr="004F2DC3" w:rsidRDefault="0001623A" w:rsidP="0001623A">
      <w:pPr>
        <w:spacing w:after="0" w:line="269" w:lineRule="auto"/>
        <w:jc w:val="both"/>
        <w:rPr>
          <w:rFonts w:ascii="Arial" w:hAnsi="Arial" w:cs="Arial"/>
          <w:b/>
          <w:bCs/>
          <w:sz w:val="20"/>
          <w:szCs w:val="20"/>
        </w:rPr>
      </w:pPr>
    </w:p>
    <w:p w14:paraId="16B5149B" w14:textId="77777777" w:rsidR="0001623A" w:rsidRPr="004F2DC3" w:rsidRDefault="0001623A" w:rsidP="0001623A">
      <w:pPr>
        <w:spacing w:after="0" w:line="269" w:lineRule="auto"/>
        <w:jc w:val="both"/>
        <w:rPr>
          <w:rFonts w:ascii="Arial" w:hAnsi="Arial" w:cs="Arial"/>
          <w:sz w:val="20"/>
          <w:szCs w:val="20"/>
        </w:rPr>
      </w:pPr>
    </w:p>
    <w:p w14:paraId="3BE43EBF"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t>2.2 Načela</w:t>
      </w:r>
    </w:p>
    <w:p w14:paraId="3E480752" w14:textId="77777777" w:rsidR="0001623A" w:rsidRPr="004F2DC3" w:rsidRDefault="0001623A" w:rsidP="0001623A">
      <w:pPr>
        <w:overflowPunct w:val="0"/>
        <w:autoSpaceDE w:val="0"/>
        <w:autoSpaceDN w:val="0"/>
        <w:adjustRightInd w:val="0"/>
        <w:spacing w:after="0" w:line="269" w:lineRule="auto"/>
        <w:jc w:val="both"/>
        <w:textAlignment w:val="baseline"/>
        <w:rPr>
          <w:rFonts w:ascii="Arial" w:hAnsi="Arial" w:cs="Arial"/>
          <w:sz w:val="20"/>
          <w:szCs w:val="20"/>
        </w:rPr>
      </w:pPr>
      <w:r w:rsidRPr="004F2DC3">
        <w:rPr>
          <w:rFonts w:ascii="Arial" w:hAnsi="Arial" w:cs="Arial"/>
          <w:sz w:val="20"/>
          <w:szCs w:val="20"/>
        </w:rPr>
        <w:t>Predlog zakona ne odstopa od temeljnih načel, na katerih temelji osnovni zakon. V predlogu zakona se tako izhaja predvsem iz načela preglednosti in predvidljivosti ter učinkovitega in konkurenčnega obdavčenja.</w:t>
      </w:r>
    </w:p>
    <w:p w14:paraId="6C4D97C6" w14:textId="77777777" w:rsidR="0001623A" w:rsidRPr="004F2DC3" w:rsidRDefault="0001623A" w:rsidP="0001623A">
      <w:pPr>
        <w:spacing w:after="0" w:line="269" w:lineRule="auto"/>
        <w:jc w:val="both"/>
        <w:rPr>
          <w:rFonts w:ascii="Arial" w:hAnsi="Arial" w:cs="Arial"/>
          <w:b/>
          <w:bCs/>
          <w:sz w:val="20"/>
          <w:szCs w:val="20"/>
        </w:rPr>
      </w:pPr>
    </w:p>
    <w:p w14:paraId="77C46F9A"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t>2.3 Poglavitne rešitve</w:t>
      </w:r>
    </w:p>
    <w:p w14:paraId="45FA5DB5" w14:textId="77777777" w:rsidR="0001623A" w:rsidRPr="004F2DC3" w:rsidRDefault="0001623A" w:rsidP="0001623A">
      <w:pPr>
        <w:spacing w:after="0" w:line="269" w:lineRule="auto"/>
        <w:jc w:val="both"/>
        <w:rPr>
          <w:rFonts w:ascii="Arial" w:hAnsi="Arial" w:cs="Arial"/>
          <w:kern w:val="2"/>
          <w:sz w:val="20"/>
          <w:szCs w:val="20"/>
        </w:rPr>
      </w:pPr>
      <w:r w:rsidRPr="004F2DC3">
        <w:rPr>
          <w:rFonts w:ascii="Arial" w:hAnsi="Arial" w:cs="Arial"/>
          <w:kern w:val="2"/>
          <w:sz w:val="20"/>
          <w:szCs w:val="20"/>
        </w:rPr>
        <w:t xml:space="preserve">2.3.1. Predlaga se, da se določbo prvega odstavka 61. člena ZDDPO-2 zaradi nadaljnje ohranitve in zasledovanja večje jasnosti in gotovosti, »oživi« in prilagodi na način, da bo učinkovala za zavezance, ki jih naslavlja, to je za določene alternativne investicijske sklade pravne osebe. Določba, ki bo urejala obdavčitev investicijskih skladov pod pogoji, se po predlogu zadrži v veljavnem 61. členu ZDDPO-2. Še vedno se bo ureditev štela za ureditev posebne stopnje. V predmetni določbi se zakon, ki ureja investicijske sklade in družbe za upravljanje, nadomesti z zakonom, ki ureja oblike alternativnih investicijskih skladov. To pomeni, da ZDDPO-2 zajame v predmetni obseg določene investicijske sklade po zakonu, ki ureja oblike alternativnih investicijskih skladov, in so hkrati pravne osebe. Zaradi ožjih ciljev in namenov, tako davčne zakonodaje in njenih posledic kot zakonodaje o oblikah investicijskih skladov, zlasti zaradi zagotovljene </w:t>
      </w:r>
      <w:proofErr w:type="spellStart"/>
      <w:r w:rsidRPr="004F2DC3">
        <w:rPr>
          <w:rFonts w:ascii="Arial" w:hAnsi="Arial" w:cs="Arial"/>
          <w:kern w:val="2"/>
          <w:sz w:val="20"/>
          <w:szCs w:val="20"/>
        </w:rPr>
        <w:t>reguliranosti</w:t>
      </w:r>
      <w:proofErr w:type="spellEnd"/>
      <w:r w:rsidRPr="004F2DC3">
        <w:rPr>
          <w:rFonts w:ascii="Arial" w:hAnsi="Arial" w:cs="Arial"/>
          <w:kern w:val="2"/>
          <w:sz w:val="20"/>
          <w:szCs w:val="20"/>
        </w:rPr>
        <w:t xml:space="preserve"> in preprečevanja izogibanj davku ter agresivnih načrtovanj, se po predlogu oblike, ki naj so deležne posebne obravnave, omeji, glede na obliko in s pogoji. </w:t>
      </w:r>
    </w:p>
    <w:p w14:paraId="30E9BED9" w14:textId="77777777" w:rsidR="0001623A" w:rsidRPr="004F2DC3" w:rsidRDefault="0001623A" w:rsidP="0001623A">
      <w:pPr>
        <w:spacing w:after="0" w:line="269" w:lineRule="auto"/>
        <w:jc w:val="both"/>
        <w:rPr>
          <w:rFonts w:ascii="Arial" w:hAnsi="Arial" w:cs="Arial"/>
          <w:kern w:val="2"/>
          <w:sz w:val="20"/>
          <w:szCs w:val="20"/>
        </w:rPr>
      </w:pPr>
    </w:p>
    <w:p w14:paraId="124B595C" w14:textId="77777777" w:rsidR="0001623A" w:rsidRPr="004F2DC3" w:rsidRDefault="0001623A" w:rsidP="0001623A">
      <w:pPr>
        <w:spacing w:after="0" w:line="269" w:lineRule="auto"/>
        <w:jc w:val="both"/>
        <w:rPr>
          <w:rFonts w:ascii="Arial" w:hAnsi="Arial" w:cs="Arial"/>
          <w:kern w:val="2"/>
          <w:sz w:val="20"/>
          <w:szCs w:val="20"/>
        </w:rPr>
      </w:pPr>
      <w:r w:rsidRPr="004F2DC3">
        <w:rPr>
          <w:rFonts w:ascii="Arial" w:hAnsi="Arial" w:cs="Arial"/>
          <w:kern w:val="2"/>
          <w:sz w:val="20"/>
          <w:szCs w:val="20"/>
        </w:rPr>
        <w:lastRenderedPageBreak/>
        <w:t xml:space="preserve">Posledično predlog navedeni obseg omeji le na tipe alternativnih investicijskih skladov iz predmetnega zakona, ki so urejeni v 3.1 in 3.2 oddelku prvega dela Zakona o oblikah alternativnih investicijskih skladov, to je na specialne investicijske sklade in nepremičninske investicijske družbe. Ti so sicer oblikovani in ustanovljeni ter delujejo v skladu s predmetnim matičnim zakonom. V posebno obravnavo so zajete le izrecno navedene oblike skladov, gre za alternativne investicijske sklade, ki so predmet licenciranja in nadzora s strani Agencije za trg vrednostnih papirjev, in sicer kot sklad sam in ne samo z vidika upravljavca tega sklada. Za sklade v obsegu določbe ZDDPO-2 veljajo zahteve matične zakonodaje glede razpršitve naložb, minimalnih sredstev, strategije, vključno dovoljene strategije in druge. Predlagana davčna rešitev je torej pogojena z oblikovanjem, statusom in delovanjem zavezanca po drugi matični zakonodaji. </w:t>
      </w:r>
    </w:p>
    <w:p w14:paraId="6FAFDFAF" w14:textId="77777777" w:rsidR="0001623A" w:rsidRPr="004F2DC3" w:rsidRDefault="0001623A" w:rsidP="0001623A">
      <w:pPr>
        <w:spacing w:after="0" w:line="269" w:lineRule="auto"/>
        <w:jc w:val="both"/>
        <w:rPr>
          <w:rFonts w:ascii="Arial" w:hAnsi="Arial" w:cs="Arial"/>
          <w:kern w:val="2"/>
          <w:sz w:val="20"/>
          <w:szCs w:val="20"/>
        </w:rPr>
      </w:pPr>
    </w:p>
    <w:p w14:paraId="49251E6E" w14:textId="77777777" w:rsidR="0001623A" w:rsidRPr="004F2DC3" w:rsidRDefault="0001623A" w:rsidP="0001623A">
      <w:pPr>
        <w:spacing w:after="0" w:line="269" w:lineRule="auto"/>
        <w:jc w:val="both"/>
        <w:rPr>
          <w:rFonts w:ascii="Arial" w:hAnsi="Arial" w:cs="Arial"/>
          <w:kern w:val="2"/>
          <w:sz w:val="20"/>
          <w:szCs w:val="20"/>
        </w:rPr>
      </w:pPr>
      <w:proofErr w:type="spellStart"/>
      <w:r w:rsidRPr="004F2DC3">
        <w:rPr>
          <w:rFonts w:ascii="Arial" w:hAnsi="Arial" w:cs="Arial"/>
          <w:kern w:val="2"/>
          <w:sz w:val="20"/>
          <w:szCs w:val="20"/>
        </w:rPr>
        <w:t>Sovplivanje</w:t>
      </w:r>
      <w:proofErr w:type="spellEnd"/>
      <w:r w:rsidRPr="004F2DC3">
        <w:rPr>
          <w:rFonts w:ascii="Arial" w:hAnsi="Arial" w:cs="Arial"/>
          <w:kern w:val="2"/>
          <w:sz w:val="20"/>
          <w:szCs w:val="20"/>
        </w:rPr>
        <w:t xml:space="preserve"> zakonodaj in s tem ciljev in namenov teh zakonodaj je pri predlagani rešitvi poudarjeno. Davčna zakonodaja mora, zlasti ko zasleduje podporo nekemu področju, skrbno proučiti in upoštevati osnovno zakonodajo tega področja na način, da večja raznolikost oziroma razrahljanost osnovne zakonodaje (kot npr. veliko število statusnih oblik subjektov, regulacija ali manjša regulacija) ne povzroča vrzeli v davčni ureditvi. Nadalje se, ker je davčna zakonodaja lahko tudi podporni ukrep ciljem in namenom druge zakonodaje, v davčni zakonodaji vzporedno upoštevajo oziroma predpostavljajo tudi pogoji, ki izhajajo iz osnovne zakonodaje in so vezani na del urejanja v ZDDPO-2 (kot npr. </w:t>
      </w:r>
      <w:proofErr w:type="spellStart"/>
      <w:r w:rsidRPr="004F2DC3">
        <w:rPr>
          <w:rFonts w:ascii="Arial" w:hAnsi="Arial" w:cs="Arial"/>
          <w:kern w:val="2"/>
          <w:sz w:val="20"/>
          <w:szCs w:val="20"/>
        </w:rPr>
        <w:t>neopravljanje</w:t>
      </w:r>
      <w:proofErr w:type="spellEnd"/>
      <w:r w:rsidRPr="004F2DC3">
        <w:rPr>
          <w:rFonts w:ascii="Arial" w:hAnsi="Arial" w:cs="Arial"/>
          <w:kern w:val="2"/>
          <w:sz w:val="20"/>
          <w:szCs w:val="20"/>
        </w:rPr>
        <w:t xml:space="preserve"> dejavnosti splošnega poslovnega ali gospodarskega namena). Vse zadnje navedeno je narekovalo tudi obseg ureditve v predlogu zakona.  </w:t>
      </w:r>
    </w:p>
    <w:p w14:paraId="300D447E" w14:textId="77777777" w:rsidR="0001623A" w:rsidRPr="004F2DC3" w:rsidRDefault="0001623A" w:rsidP="0001623A">
      <w:pPr>
        <w:spacing w:after="0" w:line="269" w:lineRule="auto"/>
        <w:jc w:val="both"/>
        <w:rPr>
          <w:rFonts w:ascii="Arial" w:hAnsi="Arial" w:cs="Arial"/>
          <w:kern w:val="2"/>
          <w:sz w:val="20"/>
          <w:szCs w:val="20"/>
        </w:rPr>
      </w:pPr>
    </w:p>
    <w:p w14:paraId="08096A25" w14:textId="77777777" w:rsidR="0001623A" w:rsidRPr="004F2DC3" w:rsidRDefault="0001623A" w:rsidP="0001623A">
      <w:pPr>
        <w:spacing w:line="269" w:lineRule="auto"/>
        <w:jc w:val="both"/>
        <w:rPr>
          <w:rFonts w:ascii="Arial" w:hAnsi="Arial" w:cs="Arial"/>
          <w:sz w:val="20"/>
          <w:szCs w:val="20"/>
        </w:rPr>
      </w:pPr>
      <w:r w:rsidRPr="004F2DC3">
        <w:rPr>
          <w:rFonts w:ascii="Arial" w:hAnsi="Arial" w:cs="Arial"/>
          <w:kern w:val="2"/>
          <w:sz w:val="20"/>
          <w:szCs w:val="20"/>
        </w:rPr>
        <w:t xml:space="preserve">Pri oblikovanju predlagane nove določbe je bilo treba </w:t>
      </w:r>
      <w:r w:rsidRPr="004F2DC3">
        <w:rPr>
          <w:rFonts w:ascii="Arial" w:hAnsi="Arial" w:cs="Arial"/>
          <w:sz w:val="20"/>
          <w:szCs w:val="20"/>
        </w:rPr>
        <w:t>z davčnega vidika smiselno upoštevati obstoječo davčno obravnavo prejetih dividend, ki se pri prejemniku izvzemajo</w:t>
      </w:r>
      <w:r w:rsidRPr="004F2DC3">
        <w:rPr>
          <w:rFonts w:ascii="Arial" w:hAnsi="Arial" w:cs="Arial"/>
          <w:color w:val="FF0000"/>
          <w:sz w:val="20"/>
          <w:szCs w:val="20"/>
        </w:rPr>
        <w:t xml:space="preserve"> </w:t>
      </w:r>
      <w:r w:rsidRPr="004F2DC3">
        <w:rPr>
          <w:rFonts w:ascii="Arial" w:hAnsi="Arial" w:cs="Arial"/>
          <w:sz w:val="20"/>
          <w:szCs w:val="20"/>
        </w:rPr>
        <w:t xml:space="preserve">iz davčne osnove in so bile iz sklada izplačane v obliki razdelitve dividend iz dobička sklada, ki pa je bil sestavljen tudi iz denimo najemnin in obresti, ki so bile pri izplačevalcu teh dohodkov skladu, davčno priznan odhodek. Na ta način se prepreči </w:t>
      </w:r>
      <w:proofErr w:type="spellStart"/>
      <w:r w:rsidRPr="004F2DC3">
        <w:rPr>
          <w:rFonts w:ascii="Arial" w:hAnsi="Arial" w:cs="Arial"/>
          <w:sz w:val="20"/>
          <w:szCs w:val="20"/>
        </w:rPr>
        <w:t>neobdavčitev</w:t>
      </w:r>
      <w:proofErr w:type="spellEnd"/>
      <w:r w:rsidRPr="004F2DC3">
        <w:rPr>
          <w:rFonts w:ascii="Arial" w:hAnsi="Arial" w:cs="Arial"/>
          <w:sz w:val="20"/>
          <w:szCs w:val="20"/>
        </w:rPr>
        <w:t xml:space="preserve"> dohodkov iz najemnin (npr. od dejavnosti oddajanja nepremičnin v najem) in obresti, ki so pri izplačevalcu v pravilu davčno priznan odhodek, pri skladu bi bile obdavčene (prihodek) po 0 % kot del dobička in bile preko (prekvalifikacije) dohodka kot dividende izvzete iz davčne osnove prejemnika dividende – vlagatelja.</w:t>
      </w:r>
      <w:r w:rsidRPr="004F2DC3">
        <w:rPr>
          <w:rFonts w:ascii="Arial" w:hAnsi="Arial" w:cs="Arial"/>
          <w:color w:val="FF0000"/>
          <w:sz w:val="20"/>
          <w:szCs w:val="20"/>
        </w:rPr>
        <w:t xml:space="preserve"> </w:t>
      </w:r>
      <w:r w:rsidRPr="004F2DC3">
        <w:rPr>
          <w:rFonts w:ascii="Arial" w:hAnsi="Arial" w:cs="Arial"/>
          <w:sz w:val="20"/>
          <w:szCs w:val="20"/>
        </w:rPr>
        <w:t xml:space="preserve">Na drugi način obrazloženo: pri omejevanju obsega predlog prvenstveno upošteva načelo zagotavljanja obdavčitve oziroma preprečevanja </w:t>
      </w:r>
      <w:proofErr w:type="spellStart"/>
      <w:r w:rsidRPr="004F2DC3">
        <w:rPr>
          <w:rFonts w:ascii="Arial" w:hAnsi="Arial" w:cs="Arial"/>
          <w:sz w:val="20"/>
          <w:szCs w:val="20"/>
        </w:rPr>
        <w:t>neobdavčitve</w:t>
      </w:r>
      <w:proofErr w:type="spellEnd"/>
      <w:r w:rsidRPr="004F2DC3">
        <w:rPr>
          <w:rFonts w:ascii="Arial" w:hAnsi="Arial" w:cs="Arial"/>
          <w:sz w:val="20"/>
          <w:szCs w:val="20"/>
        </w:rPr>
        <w:t xml:space="preserve">. Do </w:t>
      </w:r>
      <w:proofErr w:type="spellStart"/>
      <w:r w:rsidRPr="004F2DC3">
        <w:rPr>
          <w:rFonts w:ascii="Arial" w:hAnsi="Arial" w:cs="Arial"/>
          <w:sz w:val="20"/>
          <w:szCs w:val="20"/>
        </w:rPr>
        <w:t>neobdavčitve</w:t>
      </w:r>
      <w:proofErr w:type="spellEnd"/>
      <w:r w:rsidRPr="004F2DC3">
        <w:rPr>
          <w:rFonts w:ascii="Arial" w:hAnsi="Arial" w:cs="Arial"/>
          <w:sz w:val="20"/>
          <w:szCs w:val="20"/>
        </w:rPr>
        <w:t xml:space="preserve"> dohodkov, kot že opisano, bi lahko prišlo v primeru dohodka, ki je pri izplačevalcu predstavljal davčno priznan odhodek, pri skladu bi bil obdavčen po stopnji 0 % in pri vlagatelju izvzet iz osnove kot prejeta dividenda, izplačana s strani sklada. Opisani situaciji in davčnim načelom ustreza omejitev v predlogu zakona. Predlog pa nadalje upošteva, da ni ustrezno, da davčna ureditev, v okviru njenih ciljev in namenov, nesorazmerno posega v poslovanje zavezancev oziroma predstavlja nesorazmerne ovire v smislu svobode delovanja in primerne fleksibilnosti zavezanca. Zato je predlagan nekoliko nižji del dobička (75 %, do sedaj 90 %), ki se mora razdeliti za izpolnitev glavnega pogoja za ničelno obdavčitev. Prav tako se pri pogoju razdelitve v znesek za razdelitev ne vštevajo t. i. nerealizirani dobički, kar prispeva k razumni ureditvi, ki izhaja iz značilnosti nastanka in </w:t>
      </w:r>
      <w:proofErr w:type="spellStart"/>
      <w:r w:rsidRPr="004F2DC3">
        <w:rPr>
          <w:rFonts w:ascii="Arial" w:hAnsi="Arial" w:cs="Arial"/>
          <w:sz w:val="20"/>
          <w:szCs w:val="20"/>
        </w:rPr>
        <w:t>računovodenja</w:t>
      </w:r>
      <w:proofErr w:type="spellEnd"/>
      <w:r w:rsidRPr="004F2DC3">
        <w:rPr>
          <w:rFonts w:ascii="Arial" w:hAnsi="Arial" w:cs="Arial"/>
          <w:sz w:val="20"/>
          <w:szCs w:val="20"/>
        </w:rPr>
        <w:t xml:space="preserve"> dobičkov pri zavezancu, v konkretnem primeru pri investicijskem subjektu. </w:t>
      </w:r>
    </w:p>
    <w:p w14:paraId="6C39D525" w14:textId="77777777" w:rsidR="0001623A" w:rsidRPr="004F2DC3" w:rsidRDefault="0001623A" w:rsidP="0001623A">
      <w:pPr>
        <w:spacing w:line="269" w:lineRule="auto"/>
        <w:jc w:val="both"/>
        <w:rPr>
          <w:rFonts w:ascii="Arial" w:hAnsi="Arial" w:cs="Arial"/>
          <w:sz w:val="20"/>
          <w:szCs w:val="20"/>
        </w:rPr>
      </w:pPr>
      <w:r w:rsidRPr="004F2DC3">
        <w:rPr>
          <w:rFonts w:ascii="Arial" w:hAnsi="Arial" w:cs="Arial"/>
          <w:sz w:val="20"/>
          <w:szCs w:val="20"/>
        </w:rPr>
        <w:t>Cilj predloga je tudi zasledovanje najmanj upravno zahtevne ureditve, upoštevaje, da gre za parcialno ureditev.</w:t>
      </w:r>
    </w:p>
    <w:p w14:paraId="01B2E621" w14:textId="77777777" w:rsidR="0001623A" w:rsidRPr="004F2DC3" w:rsidRDefault="0001623A" w:rsidP="0001623A">
      <w:pPr>
        <w:spacing w:line="269" w:lineRule="auto"/>
        <w:jc w:val="both"/>
        <w:rPr>
          <w:rFonts w:ascii="Arial" w:hAnsi="Arial" w:cs="Arial"/>
          <w:sz w:val="20"/>
          <w:szCs w:val="20"/>
        </w:rPr>
      </w:pPr>
      <w:r w:rsidRPr="004F2DC3">
        <w:rPr>
          <w:rFonts w:ascii="Arial" w:hAnsi="Arial" w:cs="Arial"/>
          <w:sz w:val="20"/>
          <w:szCs w:val="20"/>
        </w:rPr>
        <w:t xml:space="preserve">V zvezi s predlagano rešitvijo je treba sklepno in ponovno z vidika davčne politike poudariti, da predlagana rešitev predstavlja parcialen pristop k ureditvi davčne obravnave investicijskih skladov in dohodkov iz kapitala. Predlog temelji na kompromisni rešitvi, katere namen je ohraniti obstoječi posebni davčni režim, to je obdavčitev z 0 % stopnjo,  tudi v prihodnje za zadevno področje. Odločitev za parcialen pristop je posledica več dejavnikov. Prvič, gre za utemeljeno in ciljno usmerjeno prilagoditev, ki preprečuje morebitne negativne davčne posledice za določeno skupino zavezancev. Drugič, morebitna priprava celovite davčne ureditve investicijskih skladov zahteva poglobljeno analizo, daljša usklajevanja in širšo tehnično razpravo, saj vključuje številne kompleksne vidike, vključno z mednarodnimi davčnimi praksami, delovanjem finančnih trgov in cilje dolgoročnega spodbujanja vlaganj. Zaradi omenjene kompleksnosti in potrebe po ustreznem času za pripravo sistemskih rešitev </w:t>
      </w:r>
      <w:r w:rsidRPr="004F2DC3">
        <w:rPr>
          <w:rFonts w:ascii="Arial" w:hAnsi="Arial" w:cs="Arial"/>
          <w:sz w:val="20"/>
          <w:szCs w:val="20"/>
        </w:rPr>
        <w:lastRenderedPageBreak/>
        <w:t>je bila sprejeta odločitev, da se v tem trenutku predlaga rešitev le za ožji segment zakonodaje, ki je bil že doslej urejen na poseben način. Kot že navedeno, namen predloga rešitve je zagotoviti pravno varnost in predvidljivost za zavezance, obenem pa ohraniti odprto možnost za pripravo celovite davčne ureditve tega področja v prihodnje.</w:t>
      </w:r>
    </w:p>
    <w:p w14:paraId="473332DD" w14:textId="77777777" w:rsidR="0001623A" w:rsidRPr="004F2DC3" w:rsidRDefault="0001623A" w:rsidP="0001623A">
      <w:pPr>
        <w:spacing w:line="269" w:lineRule="auto"/>
        <w:jc w:val="both"/>
        <w:rPr>
          <w:rFonts w:ascii="Arial" w:hAnsi="Arial" w:cs="Arial"/>
          <w:sz w:val="20"/>
          <w:szCs w:val="20"/>
        </w:rPr>
      </w:pPr>
      <w:r w:rsidRPr="004F2DC3">
        <w:rPr>
          <w:rFonts w:ascii="Arial" w:hAnsi="Arial" w:cs="Arial"/>
          <w:kern w:val="2"/>
          <w:sz w:val="20"/>
          <w:szCs w:val="20"/>
        </w:rPr>
        <w:t xml:space="preserve">2.3.2. </w:t>
      </w:r>
      <w:r w:rsidRPr="004F2DC3">
        <w:rPr>
          <w:rFonts w:ascii="Arial" w:hAnsi="Arial" w:cs="Arial"/>
          <w:sz w:val="20"/>
          <w:szCs w:val="20"/>
        </w:rPr>
        <w:t xml:space="preserve">VII. poglavje ZDDPO-2 ureja nevtralno davčno obravnavo v trenutku izvedbe prestrukturiranja (t. i. odlog obdavčitve dohodka v trenutku transakcije, tako za čezmejne kot domače transakcije, pod določenimi pogoji). Navedeno poglavje zakona prenaša Direktivo Sveta 90/434/EGS z dne 23. julija 1990 o skupnem sistemu obdavčitve za združitve, delitve, prenose sredstev in zamenjave kapitalskih deležev družb iz različnih držav članic (UL L št. 225 z dne 20. avgusta 1990, str. 142), zadnjič spremenjena z Direktivo Sveta 2005/19/ES o spremembah Direktive 90/434/EGS o skupnem sistemu obdavčitve za združitve, delitve, prenose sredstev in zamenjave kapitalskih deležev iz različnih držav članic (UL L št. 58 z dne 4. marca 2005, str. 19). V navedeni direktivi je med drugim podana definicija »veje dejavnosti«. Pojem, uporabljen v ZDDPO-2 za ta namen je »obrat«. Tudi v navedeni direktivi je pri predmetni definiciji določeno izpolnjevanje pogojev »ob« transakciji. Države članice EU so morale direktivo prenesti v svoje zakonodaje. Predlog zakona določa bolj opredeljivo definicijo obrata, s poudarkom na izpolnjevanju pogojev za obrat v trenutku transakcije. Predlog s svojo večjo opredeljivostjo bolj tesno sledi ciljem in namenom direktive in definiciji v direktivi, ki je podlaga za nacionalna pravila.   </w:t>
      </w:r>
    </w:p>
    <w:p w14:paraId="12332EF1"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2.3.3. Zaradi prenosa pravila o omejevanju priznavanja obresti v ZDDPO-2 – t. i. pravila EBITDA, iz Direktive Sveta (EU) 2016/1164 z dne 12. julija 2016 o določitvi pravil proti praksam izogibanja davkom, ki neposredno vplivajo na delovanje notranjega trga (v nadaljnjem besedilu direktiva ATAD), ki je bilo preneseno v letu 2023, je bil v ZDDPO-2 v letu 2024 črtan 32. člen ZDDPO-2, ki je do tedaj urejal davčno obravnavo obresti od presežka posojil. Pri tem se hkratno ni črtalo sklicevanja na črtani 32. člen v 74. členu ZDDPO-2, v delu, kjer se ureja prikrito izplačilo dobička. Črtanje navedenega sklicevanja ureja ta predlog zakona.</w:t>
      </w:r>
    </w:p>
    <w:p w14:paraId="509C982F" w14:textId="77777777" w:rsidR="0001623A" w:rsidRPr="004F2DC3" w:rsidRDefault="0001623A" w:rsidP="0001623A">
      <w:pPr>
        <w:spacing w:after="0" w:line="269" w:lineRule="auto"/>
        <w:jc w:val="both"/>
        <w:rPr>
          <w:rFonts w:ascii="Arial" w:hAnsi="Arial" w:cs="Arial"/>
          <w:sz w:val="20"/>
          <w:szCs w:val="20"/>
        </w:rPr>
      </w:pPr>
    </w:p>
    <w:p w14:paraId="22872B9A"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t>3. OCENA FINANČNIH POSLEDIC PREDLOGA ZAKONA ZA DRŽAVNI PRORAČUN IN DRUGA JAVNA FINANČNA SREDSTVA</w:t>
      </w:r>
    </w:p>
    <w:p w14:paraId="36A07555"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Na podlagi trenutno razpoložljivih podatkov iz registra alternativnih investicijskih skladov, ki ga vodi Agencija za trg vrednostnih papirjev, je razvidno, da ima zelo majhno število investicijskih skladov pravno subjektiviteto in hkrati pridobljeni status specialnega investicijskega sklada ali nepremičninske investicijske družbe. Ti subjekti so tisti, ki bodo izpolnjevali pogoje za uporabo posebnega davčnega režima po predlogu spremembe 61. člena predloga zakona. Ocenjujemo, da zaradi majhnega števila zavezancev in ob upoštevanju dejstva, da je ključna rešitev pripravljena z namenom ohranitve in zagotovitve pravne varnosti in predvidljivosti za zavezance, predlagana rešit</w:t>
      </w:r>
      <w:r>
        <w:rPr>
          <w:rFonts w:ascii="Arial" w:hAnsi="Arial" w:cs="Arial"/>
          <w:sz w:val="20"/>
          <w:szCs w:val="20"/>
        </w:rPr>
        <w:t>e</w:t>
      </w:r>
      <w:r w:rsidRPr="004F2DC3">
        <w:rPr>
          <w:rFonts w:ascii="Arial" w:hAnsi="Arial" w:cs="Arial"/>
          <w:sz w:val="20"/>
          <w:szCs w:val="20"/>
        </w:rPr>
        <w:t>v ne bo imela pomembnega finančnega učinka na državni proračun in druga javnofinančna sredstva.</w:t>
      </w:r>
    </w:p>
    <w:p w14:paraId="44C2152C" w14:textId="77777777" w:rsidR="0001623A" w:rsidRPr="004F2DC3" w:rsidRDefault="0001623A" w:rsidP="0001623A">
      <w:pPr>
        <w:spacing w:after="0" w:line="269" w:lineRule="auto"/>
        <w:jc w:val="both"/>
        <w:rPr>
          <w:rFonts w:ascii="Arial" w:hAnsi="Arial" w:cs="Arial"/>
          <w:sz w:val="20"/>
          <w:szCs w:val="20"/>
        </w:rPr>
      </w:pPr>
    </w:p>
    <w:p w14:paraId="64B303E9"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Ocenjujemo, da tudi ostale predlagane rešitve ne bodo imele pomembnih učinkov na državni proračun in druga javnofinančna sredstva.</w:t>
      </w:r>
    </w:p>
    <w:p w14:paraId="42A9F40F" w14:textId="77777777" w:rsidR="0001623A" w:rsidRPr="004F2DC3" w:rsidRDefault="0001623A" w:rsidP="0001623A">
      <w:pPr>
        <w:spacing w:after="0" w:line="269" w:lineRule="auto"/>
        <w:jc w:val="both"/>
        <w:rPr>
          <w:rFonts w:ascii="Arial" w:hAnsi="Arial" w:cs="Arial"/>
          <w:sz w:val="20"/>
          <w:szCs w:val="20"/>
        </w:rPr>
      </w:pPr>
    </w:p>
    <w:p w14:paraId="0D04CB4E"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Poleg tega predlagane spremembe, dopolnitev definicije pojma »obrat«, črtanje sklicevanja na črtani 32. člen v 74. členu, predstavljajo predvsem izvedbene in redakcijske prilagoditve, ki nimajo neposrednega vpliva na prihodke državnega proračuna. Ker razpoložljivi podatki ne omogočajo natančne kvantifikacije vseh posrednih učinkov, se ocenjuje, da predlagane spremembe ne bodo imele pomembnega vpliva na javnofinančne prihodke.</w:t>
      </w:r>
    </w:p>
    <w:p w14:paraId="0BF81960" w14:textId="77777777" w:rsidR="0001623A" w:rsidRPr="004F2DC3" w:rsidRDefault="0001623A" w:rsidP="0001623A">
      <w:pPr>
        <w:spacing w:after="0" w:line="269" w:lineRule="auto"/>
        <w:jc w:val="both"/>
        <w:rPr>
          <w:rFonts w:ascii="Arial" w:hAnsi="Arial" w:cs="Arial"/>
          <w:b/>
          <w:bCs/>
          <w:sz w:val="20"/>
          <w:szCs w:val="20"/>
        </w:rPr>
      </w:pPr>
    </w:p>
    <w:p w14:paraId="47F22787"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t>4. NAVEDBA, DA SO SREDSTVA ZA IZVAJANJE ZAKONA V DRŽAVNEM PRORAČUNU ZAGOTOVLJENA, ČE PREDLOG ZAKONA PREDVIDEVA PORABO PRORAČUNSKIH SREDSTEV V OBDOBJU, ZA KATERO JE BIL DRŽAVNI PRORAČUN ŽE SPREJET</w:t>
      </w:r>
    </w:p>
    <w:p w14:paraId="2FE353F7" w14:textId="77777777" w:rsidR="0001623A" w:rsidRPr="004F2DC3" w:rsidRDefault="0001623A" w:rsidP="0001623A">
      <w:pPr>
        <w:overflowPunct w:val="0"/>
        <w:autoSpaceDE w:val="0"/>
        <w:autoSpaceDN w:val="0"/>
        <w:adjustRightInd w:val="0"/>
        <w:spacing w:after="0" w:line="269" w:lineRule="auto"/>
        <w:jc w:val="both"/>
        <w:textAlignment w:val="baseline"/>
        <w:rPr>
          <w:rFonts w:ascii="Arial" w:eastAsia="Times New Roman" w:hAnsi="Arial" w:cs="Arial"/>
          <w:sz w:val="20"/>
          <w:szCs w:val="20"/>
          <w:lang w:eastAsia="sl-SI"/>
        </w:rPr>
      </w:pPr>
      <w:r w:rsidRPr="004F2DC3">
        <w:rPr>
          <w:rFonts w:ascii="Arial" w:eastAsia="Times New Roman" w:hAnsi="Arial" w:cs="Arial"/>
          <w:sz w:val="20"/>
          <w:szCs w:val="20"/>
          <w:lang w:eastAsia="sl-SI"/>
        </w:rPr>
        <w:t>Za izvajanje zakona ne bodo potrebna dodatna proračunska sredstva.</w:t>
      </w:r>
    </w:p>
    <w:p w14:paraId="3F18F01D" w14:textId="77777777" w:rsidR="0001623A" w:rsidRPr="004F2DC3" w:rsidRDefault="0001623A" w:rsidP="0001623A">
      <w:pPr>
        <w:spacing w:after="0" w:line="269" w:lineRule="auto"/>
        <w:jc w:val="both"/>
        <w:rPr>
          <w:rFonts w:ascii="Arial" w:hAnsi="Arial" w:cs="Arial"/>
          <w:b/>
          <w:bCs/>
          <w:sz w:val="20"/>
          <w:szCs w:val="20"/>
        </w:rPr>
      </w:pPr>
    </w:p>
    <w:p w14:paraId="3AC06A04"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lastRenderedPageBreak/>
        <w:t>5. PRIKAZ UREDITVE V DRUGIH PRAVNIH SISTEMIH IN PRILAGOJENOSTI PREDLAGANE UREDITVE PRAVU EVROPSKE UNIJE</w:t>
      </w:r>
    </w:p>
    <w:p w14:paraId="02B0015C" w14:textId="77777777" w:rsidR="0001623A" w:rsidRPr="004F2DC3" w:rsidRDefault="0001623A" w:rsidP="0001623A">
      <w:pPr>
        <w:spacing w:line="269" w:lineRule="auto"/>
        <w:jc w:val="both"/>
        <w:rPr>
          <w:rFonts w:ascii="Arial" w:hAnsi="Arial" w:cs="Arial"/>
          <w:sz w:val="20"/>
          <w:szCs w:val="20"/>
        </w:rPr>
      </w:pPr>
      <w:r w:rsidRPr="004F2DC3">
        <w:rPr>
          <w:rFonts w:ascii="Arial" w:hAnsi="Arial" w:cs="Arial"/>
          <w:sz w:val="20"/>
          <w:szCs w:val="20"/>
        </w:rPr>
        <w:t xml:space="preserve">5.1. Pri mednarodnih primerjavah je treba splošno ugotoviti, da posamezne države za davčne namene različno obravnavajo sklade, po vsebini in tudi glede vključenosti takšnih določb v posamezne davčne zakone. Pri primerjavah je pomembno upoštevanje statusnega oziroma osnovnega in davčnega okvira za predmetne subjekte. V tej povezavi je treba dodati, da je davčni okvir običajno širši od zgolj obravnave sklada v okviru davčnih zakonov, ki določajo sistem obdavčitve dohodkov pravnih oseb, namreč gledati je treba tudi davčno obravnavo vlagateljev, pravnih in fizičnih oseb ter nadalje tudi čezmejni davčni vidik. Splošen cilj oziroma skupno glavno načelo davčnih obravnav je praviloma zagotavljanje nevtralnosti med neposrednimi in posrednimi vlaganji. Ne glede na to, pa posamezne države podeljujejo določene posebnosti, praviloma ugodnosti, skladom ali vlagateljem, neposredno s specialnimi davčnimi določbami ali preko na splošno spodbudnega davčnega okvira. </w:t>
      </w:r>
    </w:p>
    <w:p w14:paraId="3530DB19" w14:textId="77777777" w:rsidR="0001623A" w:rsidRPr="004F2DC3" w:rsidRDefault="0001623A" w:rsidP="0001623A">
      <w:pPr>
        <w:spacing w:after="0" w:line="269" w:lineRule="auto"/>
        <w:jc w:val="both"/>
        <w:rPr>
          <w:rFonts w:ascii="Arial" w:hAnsi="Arial" w:cs="Arial"/>
          <w:b/>
          <w:bCs/>
          <w:sz w:val="20"/>
          <w:szCs w:val="20"/>
        </w:rPr>
      </w:pPr>
    </w:p>
    <w:p w14:paraId="2E521C29"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5.1.1. Nizozemska</w:t>
      </w:r>
    </w:p>
    <w:p w14:paraId="1F0F25B7"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 xml:space="preserve">Za investicijske sklade velja stopnja obdavčitve dohodkov pravnih oseb 0 % pod pogojem, da je dobiček skladov na razpolago delničarjem in imetnikom deležev najpozneje v osmih mesecih po koncu leta. Od 1. 1. 2025 dalje pa je začel veljati ukrep, na podlagi katerega investicijski skladi ne morejo več investirati neposredno v nizozemske nepremičnine. Takšen ukrep ima namen zagotoviti, da se dohodek iz nizozemskih nepremičnin v vseh primerih obdavči z davkom od dohodkov pravnih oseb in je zagotovljena obdavčitev, tudi če tuji vlagatelji investirajo v nizozemske nepremičnine. Splošna stopnja obdavčitve dohodkov pravnih oseb je sicer 25,8 %. Nobenih sprememb ni za sklade, ki vlagajo v vrednostne papirje.  </w:t>
      </w:r>
    </w:p>
    <w:p w14:paraId="2326A8A3" w14:textId="77777777" w:rsidR="0001623A" w:rsidRPr="004F2DC3" w:rsidRDefault="0001623A" w:rsidP="0001623A">
      <w:pPr>
        <w:spacing w:after="0" w:line="269" w:lineRule="auto"/>
        <w:jc w:val="both"/>
        <w:rPr>
          <w:rFonts w:ascii="Arial" w:hAnsi="Arial" w:cs="Arial"/>
          <w:b/>
          <w:bCs/>
          <w:sz w:val="20"/>
          <w:szCs w:val="20"/>
        </w:rPr>
      </w:pPr>
    </w:p>
    <w:p w14:paraId="1D202FD0" w14:textId="77777777" w:rsidR="0001623A" w:rsidRPr="004F2DC3" w:rsidRDefault="0001623A" w:rsidP="0001623A">
      <w:pPr>
        <w:spacing w:after="0" w:line="269" w:lineRule="auto"/>
        <w:rPr>
          <w:rFonts w:ascii="Arial" w:hAnsi="Arial" w:cs="Arial"/>
          <w:sz w:val="20"/>
          <w:szCs w:val="20"/>
        </w:rPr>
      </w:pPr>
      <w:r w:rsidRPr="004F2DC3">
        <w:rPr>
          <w:rFonts w:ascii="Arial" w:hAnsi="Arial" w:cs="Arial"/>
          <w:sz w:val="20"/>
          <w:szCs w:val="20"/>
        </w:rPr>
        <w:t>5.1.2.  Finska</w:t>
      </w:r>
    </w:p>
    <w:p w14:paraId="76D6F3AF" w14:textId="77777777" w:rsidR="0001623A" w:rsidRDefault="0001623A" w:rsidP="0001623A">
      <w:pPr>
        <w:spacing w:after="0" w:line="269" w:lineRule="auto"/>
        <w:jc w:val="both"/>
        <w:rPr>
          <w:rFonts w:ascii="Arial" w:hAnsi="Arial" w:cs="Arial"/>
          <w:sz w:val="20"/>
          <w:szCs w:val="20"/>
        </w:rPr>
      </w:pPr>
      <w:r w:rsidRPr="004F2DC3">
        <w:rPr>
          <w:rFonts w:ascii="Arial" w:hAnsi="Arial" w:cs="Arial"/>
          <w:sz w:val="20"/>
          <w:szCs w:val="20"/>
        </w:rPr>
        <w:t xml:space="preserve">Na Finskem je specialni investicijski sklad, pod pogojem, da je odprti sklad (kar pomeni, da mora biti odprt za javnost in mora imeti obveznost izdaje in odkupa deležev sklada) in ima najmanj 30 imetnikov enot premoženja, oproščen davka od dohodka. Če ima specialni investicijski sklad manj kot 30 enot premoženja, ali ga ni mogoče šteti za odprtega, za davčno oprostitev veljajo tudi naslednji pogoji: i.) posebni investicijski sklad svojim imetnikom enot letno razdeli najmanj tri četrtine svojega dobička poslovnega leta, razen nerealiziranih dobičkov; ii.) kapital posebnega investicijskega sklada znaša najmanj dva milijona evrov; in iii.) imetniki enot posebnega investicijskega sklada so profesionalni vlagatelji ali primerljivi premožni posamezniki (definirani v zakonu o upraviteljih alternativnih investicijskih skladov). Zahteva po razdelitvi dobička v vsakem poslovnem letu se nanaša na dejansko razdelitev dobička. V vsakem primeru pa je zahteva za oprostitev davka za posebni investicijski sklad, ki svoja sredstva vlaga predvsem v nepremičnine in nepremičninske vrednostne papirje, da svojim imetnikom enot letno razdeli vsaj tri četrtine svojega dobička za poslovno leto, brez nerealiziranih kapitalskih dobičkov. </w:t>
      </w:r>
    </w:p>
    <w:p w14:paraId="2F4F7876" w14:textId="77777777" w:rsidR="0001623A" w:rsidRDefault="0001623A" w:rsidP="0001623A">
      <w:pPr>
        <w:spacing w:after="0" w:line="269" w:lineRule="auto"/>
        <w:jc w:val="both"/>
        <w:rPr>
          <w:rFonts w:ascii="Arial" w:hAnsi="Arial" w:cs="Arial"/>
          <w:sz w:val="20"/>
          <w:szCs w:val="20"/>
        </w:rPr>
      </w:pPr>
    </w:p>
    <w:p w14:paraId="16CD1253" w14:textId="77777777" w:rsidR="0001623A" w:rsidRPr="005E76D7" w:rsidRDefault="0001623A" w:rsidP="0001623A">
      <w:pPr>
        <w:spacing w:after="0" w:line="269" w:lineRule="auto"/>
        <w:jc w:val="both"/>
        <w:rPr>
          <w:rFonts w:ascii="Arial" w:hAnsi="Arial" w:cs="Arial"/>
          <w:sz w:val="20"/>
          <w:szCs w:val="20"/>
        </w:rPr>
      </w:pPr>
      <w:r>
        <w:rPr>
          <w:rFonts w:ascii="Arial" w:hAnsi="Arial" w:cs="Arial"/>
          <w:sz w:val="20"/>
          <w:szCs w:val="20"/>
        </w:rPr>
        <w:t xml:space="preserve">5.1.3. </w:t>
      </w:r>
      <w:r w:rsidRPr="005E76D7">
        <w:rPr>
          <w:rFonts w:ascii="Arial" w:hAnsi="Arial" w:cs="Arial"/>
          <w:sz w:val="20"/>
          <w:szCs w:val="20"/>
        </w:rPr>
        <w:t>Francija</w:t>
      </w:r>
    </w:p>
    <w:p w14:paraId="5444AA41" w14:textId="77777777" w:rsidR="0001623A" w:rsidRPr="005E76D7" w:rsidRDefault="0001623A" w:rsidP="0001623A">
      <w:pPr>
        <w:spacing w:after="0" w:line="269" w:lineRule="auto"/>
        <w:jc w:val="both"/>
        <w:rPr>
          <w:rFonts w:ascii="Arial" w:hAnsi="Arial" w:cs="Arial"/>
          <w:sz w:val="20"/>
          <w:szCs w:val="20"/>
        </w:rPr>
      </w:pPr>
      <w:r w:rsidRPr="005E76D7">
        <w:rPr>
          <w:rFonts w:ascii="Arial" w:hAnsi="Arial" w:cs="Arial"/>
          <w:sz w:val="20"/>
          <w:szCs w:val="20"/>
        </w:rPr>
        <w:t>Dohodek, ki ga ustvarijo francoski vlagatelji, je praviloma predmet davka od dohodkov pravnih oseb (CIT) v višini 25 odstotkov.  Vendar so lahko dohodki, ki jih ustvarijo nekateri regulirani subjekti, (kot SIIC ali SPPICAV), oproščeni davka na dohodek pravnih oseb, zlasti ob upoštevanju zahtev glede razdelitve.</w:t>
      </w:r>
    </w:p>
    <w:p w14:paraId="694470FA" w14:textId="77777777" w:rsidR="0001623A" w:rsidRPr="004F2DC3" w:rsidRDefault="0001623A" w:rsidP="0001623A">
      <w:pPr>
        <w:spacing w:after="0" w:line="269" w:lineRule="auto"/>
        <w:jc w:val="both"/>
        <w:rPr>
          <w:rFonts w:ascii="Arial" w:hAnsi="Arial" w:cs="Arial"/>
          <w:sz w:val="20"/>
          <w:szCs w:val="20"/>
        </w:rPr>
      </w:pPr>
    </w:p>
    <w:p w14:paraId="01AF2035" w14:textId="77777777" w:rsidR="0001623A" w:rsidRPr="004F2DC3" w:rsidRDefault="0001623A" w:rsidP="0001623A">
      <w:pPr>
        <w:spacing w:after="0" w:line="269" w:lineRule="auto"/>
        <w:jc w:val="both"/>
        <w:rPr>
          <w:rFonts w:ascii="Arial" w:hAnsi="Arial" w:cs="Arial"/>
          <w:sz w:val="20"/>
          <w:szCs w:val="20"/>
        </w:rPr>
      </w:pPr>
    </w:p>
    <w:p w14:paraId="36734E9F"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5.2. Pri implementaciji EU direktiv države članice običajno sledijo določbam direktive, razen če so v sami direktivi določene opcije ali drugi načini odstopanja. Enotni pristopi so pomembni zaradi enotnega in jasnega ter lažjega izvajanja.  V direktivi EU, ki za davčne namene ureja režim davčnih obravnav dohodkov v času reorganizacij v obsegu direktive, je izraz "</w:t>
      </w:r>
      <w:proofErr w:type="spellStart"/>
      <w:r w:rsidRPr="004F2DC3">
        <w:rPr>
          <w:rFonts w:ascii="Arial" w:hAnsi="Arial" w:cs="Arial"/>
          <w:sz w:val="20"/>
          <w:szCs w:val="20"/>
        </w:rPr>
        <w:t>branch</w:t>
      </w:r>
      <w:proofErr w:type="spellEnd"/>
      <w:r w:rsidRPr="004F2DC3">
        <w:rPr>
          <w:rFonts w:ascii="Arial" w:hAnsi="Arial" w:cs="Arial"/>
          <w:sz w:val="20"/>
          <w:szCs w:val="20"/>
        </w:rPr>
        <w:t xml:space="preserve"> </w:t>
      </w:r>
      <w:proofErr w:type="spellStart"/>
      <w:r w:rsidRPr="004F2DC3">
        <w:rPr>
          <w:rFonts w:ascii="Arial" w:hAnsi="Arial" w:cs="Arial"/>
          <w:sz w:val="20"/>
          <w:szCs w:val="20"/>
        </w:rPr>
        <w:t>of</w:t>
      </w:r>
      <w:proofErr w:type="spellEnd"/>
      <w:r w:rsidRPr="004F2DC3">
        <w:rPr>
          <w:rFonts w:ascii="Arial" w:hAnsi="Arial" w:cs="Arial"/>
          <w:sz w:val="20"/>
          <w:szCs w:val="20"/>
        </w:rPr>
        <w:t xml:space="preserve"> </w:t>
      </w:r>
      <w:proofErr w:type="spellStart"/>
      <w:r w:rsidRPr="004F2DC3">
        <w:rPr>
          <w:rFonts w:ascii="Arial" w:hAnsi="Arial" w:cs="Arial"/>
          <w:sz w:val="20"/>
          <w:szCs w:val="20"/>
        </w:rPr>
        <w:t>activity</w:t>
      </w:r>
      <w:proofErr w:type="spellEnd"/>
      <w:r w:rsidRPr="004F2DC3">
        <w:rPr>
          <w:rFonts w:ascii="Arial" w:hAnsi="Arial" w:cs="Arial"/>
          <w:sz w:val="20"/>
          <w:szCs w:val="20"/>
        </w:rPr>
        <w:t>« oz. »veja dejavnosti« definiran tako, da pomeni vsa sredstva in obveznosti ob delitvi družbe, ki iz organizacijskega vidika tvorijo neodvisno poslovanje, torej subjekt, ki je zmožen delovati z lastnimi sredstvi.</w:t>
      </w:r>
    </w:p>
    <w:p w14:paraId="009BFA8A" w14:textId="77777777" w:rsidR="0001623A" w:rsidRPr="004F2DC3" w:rsidRDefault="0001623A" w:rsidP="0001623A">
      <w:pPr>
        <w:spacing w:after="0" w:line="269" w:lineRule="auto"/>
        <w:rPr>
          <w:rFonts w:ascii="Arial" w:hAnsi="Arial" w:cs="Arial"/>
          <w:sz w:val="20"/>
          <w:szCs w:val="20"/>
        </w:rPr>
      </w:pPr>
    </w:p>
    <w:p w14:paraId="7AE74344" w14:textId="77777777" w:rsidR="0001623A" w:rsidRPr="004F2DC3" w:rsidRDefault="0001623A" w:rsidP="0001623A">
      <w:pPr>
        <w:spacing w:after="0" w:line="269" w:lineRule="auto"/>
        <w:rPr>
          <w:rFonts w:ascii="Arial" w:hAnsi="Arial" w:cs="Arial"/>
          <w:sz w:val="20"/>
          <w:szCs w:val="20"/>
        </w:rPr>
      </w:pPr>
      <w:r w:rsidRPr="004F2DC3">
        <w:rPr>
          <w:rFonts w:ascii="Arial" w:hAnsi="Arial" w:cs="Arial"/>
          <w:sz w:val="20"/>
          <w:szCs w:val="20"/>
        </w:rPr>
        <w:t>5.2.1. Belgija</w:t>
      </w:r>
    </w:p>
    <w:p w14:paraId="150C7E52"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lastRenderedPageBreak/>
        <w:t>Izraz "veja dejavnosti" v belgijski zakonodaji ni opredeljen. V upravnih smernicah pa je pojem "veja dejavnosti" opredeljen kot celota sredstev in obveznosti oddelka podjetja, ki je sposoben delovati z lastnimi sredstvi.</w:t>
      </w:r>
    </w:p>
    <w:p w14:paraId="1B56BD20" w14:textId="77777777" w:rsidR="0001623A" w:rsidRPr="004F2DC3" w:rsidRDefault="0001623A" w:rsidP="0001623A">
      <w:pPr>
        <w:spacing w:after="0" w:line="269" w:lineRule="auto"/>
        <w:jc w:val="both"/>
        <w:rPr>
          <w:rFonts w:ascii="Arial" w:hAnsi="Arial" w:cs="Arial"/>
          <w:sz w:val="20"/>
          <w:szCs w:val="20"/>
        </w:rPr>
      </w:pPr>
    </w:p>
    <w:p w14:paraId="69A223FA" w14:textId="77777777" w:rsidR="0001623A" w:rsidRPr="004F2DC3" w:rsidRDefault="0001623A" w:rsidP="0001623A">
      <w:pPr>
        <w:spacing w:after="0" w:line="269" w:lineRule="auto"/>
        <w:jc w:val="both"/>
        <w:rPr>
          <w:rFonts w:ascii="Arial" w:hAnsi="Arial" w:cs="Arial"/>
          <w:sz w:val="20"/>
          <w:szCs w:val="20"/>
        </w:rPr>
      </w:pPr>
    </w:p>
    <w:p w14:paraId="0C4B263C"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5.2.2. Malta</w:t>
      </w:r>
    </w:p>
    <w:p w14:paraId="3A067B4D"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»Veja dejavnosti« v malteški zakonodaji pomeni vsa sredstva in obveznosti delitve družbe, ki z organizacijskega vidika sestavljajo samostojno podjetje, to je subjekt, ki je sposoben delovati z lastnimi sredstvi.</w:t>
      </w:r>
    </w:p>
    <w:p w14:paraId="25B518F5" w14:textId="77777777" w:rsidR="0001623A" w:rsidRPr="004F2DC3" w:rsidRDefault="0001623A" w:rsidP="0001623A">
      <w:pPr>
        <w:spacing w:after="0" w:line="269" w:lineRule="auto"/>
        <w:rPr>
          <w:rFonts w:ascii="Arial" w:hAnsi="Arial" w:cs="Arial"/>
          <w:sz w:val="20"/>
          <w:szCs w:val="20"/>
        </w:rPr>
      </w:pPr>
    </w:p>
    <w:p w14:paraId="2F8B3CA2" w14:textId="77777777" w:rsidR="0001623A" w:rsidRPr="004F2DC3" w:rsidRDefault="0001623A" w:rsidP="0001623A">
      <w:pPr>
        <w:spacing w:after="0" w:line="269" w:lineRule="auto"/>
        <w:rPr>
          <w:rFonts w:ascii="Arial" w:hAnsi="Arial" w:cs="Arial"/>
          <w:sz w:val="20"/>
          <w:szCs w:val="20"/>
        </w:rPr>
      </w:pPr>
      <w:r w:rsidRPr="004F2DC3">
        <w:rPr>
          <w:rFonts w:ascii="Arial" w:hAnsi="Arial" w:cs="Arial"/>
          <w:sz w:val="20"/>
          <w:szCs w:val="20"/>
        </w:rPr>
        <w:t>5.2.3. Italija</w:t>
      </w:r>
    </w:p>
    <w:p w14:paraId="0BA1CD39"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Izraz »veja dejavnosti« pomeni delujoče podjetje ali neodvisni del podjetja. Izraz se razlaga kot „zbirko sredstev, ki skupaj omogočajo opravljanje poslovne dejavnosti, t. i. zbirko sredstev, ki lahko zadovoljijo tehnične potrebe proizvodne dejavnosti.</w:t>
      </w:r>
    </w:p>
    <w:p w14:paraId="594ACA4A" w14:textId="77777777" w:rsidR="0001623A" w:rsidRPr="004F2DC3" w:rsidRDefault="0001623A" w:rsidP="0001623A">
      <w:pPr>
        <w:spacing w:after="0" w:line="269" w:lineRule="auto"/>
        <w:jc w:val="both"/>
        <w:rPr>
          <w:rFonts w:ascii="Arial" w:hAnsi="Arial" w:cs="Arial"/>
          <w:b/>
          <w:bCs/>
          <w:sz w:val="20"/>
          <w:szCs w:val="20"/>
        </w:rPr>
      </w:pPr>
    </w:p>
    <w:p w14:paraId="253F56C5"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t>6. PRESOJA POSLEDIC, KI JIH BO IMEL SPREJEM ZAKONA</w:t>
      </w:r>
    </w:p>
    <w:p w14:paraId="09F08DE6" w14:textId="77777777" w:rsidR="0001623A" w:rsidRDefault="0001623A" w:rsidP="0001623A">
      <w:pPr>
        <w:spacing w:after="0" w:line="269" w:lineRule="auto"/>
        <w:jc w:val="both"/>
        <w:rPr>
          <w:rFonts w:ascii="Arial" w:hAnsi="Arial" w:cs="Arial"/>
          <w:b/>
          <w:bCs/>
          <w:sz w:val="20"/>
          <w:szCs w:val="20"/>
        </w:rPr>
      </w:pPr>
    </w:p>
    <w:p w14:paraId="6C806B39"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t xml:space="preserve">6.1 Presoja administrativnih posledic </w:t>
      </w:r>
    </w:p>
    <w:p w14:paraId="159E4C2A"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t xml:space="preserve">a) v postopkih oziroma poslovanju javne uprave ali pravosodnih organov: </w:t>
      </w:r>
    </w:p>
    <w:p w14:paraId="74DCB4CE" w14:textId="77777777" w:rsidR="0001623A" w:rsidRPr="004F2DC3" w:rsidRDefault="0001623A" w:rsidP="0001623A">
      <w:pPr>
        <w:spacing w:after="0" w:line="269" w:lineRule="auto"/>
        <w:jc w:val="both"/>
        <w:rPr>
          <w:rFonts w:ascii="Arial" w:eastAsia="Times New Roman" w:hAnsi="Arial" w:cs="Arial"/>
          <w:sz w:val="20"/>
          <w:szCs w:val="20"/>
          <w:lang w:eastAsia="sl-SI"/>
        </w:rPr>
      </w:pPr>
      <w:r w:rsidRPr="004F2DC3">
        <w:rPr>
          <w:rFonts w:ascii="Arial" w:eastAsia="Times New Roman" w:hAnsi="Arial" w:cs="Arial"/>
          <w:sz w:val="20"/>
          <w:szCs w:val="20"/>
          <w:lang w:eastAsia="sl-SI"/>
        </w:rPr>
        <w:t>Naloge države v zvezi s plačevanjem in obračunavanjem davka in posledično z nadzorom bo opravljala Finančna uprava Republike Slovenije. Predlog zakona ne bo imel povečanih administrativnih posledic v postopkih oziroma pri poslovanju davčnega organa, saj se s predmetno novelo zakona ne uvaja bistveno novih vsebinskih rešitev, ki bi bile drugačne od do sedaj uveljavljenih, prav tako se ne uvaja novih postopkov.</w:t>
      </w:r>
    </w:p>
    <w:p w14:paraId="521142F6" w14:textId="77777777" w:rsidR="0001623A" w:rsidRPr="004F2DC3" w:rsidRDefault="0001623A" w:rsidP="0001623A">
      <w:pPr>
        <w:spacing w:after="0" w:line="269" w:lineRule="auto"/>
        <w:jc w:val="both"/>
        <w:rPr>
          <w:rFonts w:ascii="Arial" w:hAnsi="Arial" w:cs="Arial"/>
          <w:sz w:val="20"/>
          <w:szCs w:val="20"/>
        </w:rPr>
      </w:pPr>
    </w:p>
    <w:p w14:paraId="7B42C895"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t>b) pri obveznostih strank do javne uprave ali pravosodnih organov:</w:t>
      </w:r>
    </w:p>
    <w:p w14:paraId="4C15E793" w14:textId="77777777" w:rsidR="0001623A" w:rsidRPr="004F2DC3" w:rsidRDefault="0001623A" w:rsidP="0001623A">
      <w:pPr>
        <w:spacing w:after="0" w:line="269" w:lineRule="auto"/>
        <w:jc w:val="both"/>
        <w:rPr>
          <w:rFonts w:ascii="Arial" w:eastAsia="Times New Roman" w:hAnsi="Arial" w:cs="Arial"/>
          <w:sz w:val="20"/>
          <w:szCs w:val="20"/>
          <w:lang w:eastAsia="sl-SI"/>
        </w:rPr>
      </w:pPr>
      <w:r w:rsidRPr="004F2DC3">
        <w:rPr>
          <w:rFonts w:ascii="Arial" w:eastAsia="Times New Roman" w:hAnsi="Arial" w:cs="Arial"/>
          <w:sz w:val="20"/>
          <w:szCs w:val="20"/>
          <w:lang w:eastAsia="sl-SI"/>
        </w:rPr>
        <w:t>Davčni zavezanci bodo davek oziroma obveznost ugotavljali enako kot doslej, to je kot posebne postavke davčnega obračuna davka od dohodkov pravnih oseb. Predlog zakona torej ne bo imel povečanih administrativnih posledic za obveznosti davčnih zavezancev do davčnega organa.</w:t>
      </w:r>
    </w:p>
    <w:p w14:paraId="7F61DE85" w14:textId="77777777" w:rsidR="0001623A" w:rsidRPr="004F2DC3" w:rsidRDefault="0001623A" w:rsidP="0001623A">
      <w:pPr>
        <w:spacing w:after="0" w:line="269" w:lineRule="auto"/>
        <w:jc w:val="both"/>
        <w:rPr>
          <w:rFonts w:ascii="Arial" w:hAnsi="Arial" w:cs="Arial"/>
          <w:b/>
          <w:bCs/>
          <w:sz w:val="20"/>
          <w:szCs w:val="20"/>
        </w:rPr>
      </w:pPr>
    </w:p>
    <w:p w14:paraId="68A298A3"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t>6.2 Presoja posledic za okolje, vključno s prostorskimi in varstvenimi vidiki, in sicer za:</w:t>
      </w:r>
    </w:p>
    <w:p w14:paraId="40C69D07" w14:textId="77777777" w:rsidR="0001623A" w:rsidRPr="004F2DC3" w:rsidRDefault="0001623A" w:rsidP="0001623A">
      <w:pPr>
        <w:spacing w:after="0" w:line="269" w:lineRule="auto"/>
        <w:jc w:val="both"/>
        <w:rPr>
          <w:rFonts w:ascii="Arial" w:eastAsia="Times New Roman" w:hAnsi="Arial" w:cs="Arial"/>
          <w:sz w:val="20"/>
          <w:szCs w:val="20"/>
          <w:lang w:eastAsia="sl-SI"/>
        </w:rPr>
      </w:pPr>
      <w:r w:rsidRPr="004F2DC3">
        <w:rPr>
          <w:rFonts w:ascii="Arial" w:eastAsia="Times New Roman" w:hAnsi="Arial" w:cs="Arial"/>
          <w:sz w:val="20"/>
          <w:szCs w:val="20"/>
          <w:lang w:eastAsia="sl-SI"/>
        </w:rPr>
        <w:t>Predlog zakona ne vpliva na okolje.</w:t>
      </w:r>
    </w:p>
    <w:p w14:paraId="1E82DA08" w14:textId="77777777" w:rsidR="0001623A" w:rsidRPr="004F2DC3" w:rsidRDefault="0001623A" w:rsidP="0001623A">
      <w:pPr>
        <w:spacing w:after="0" w:line="269" w:lineRule="auto"/>
        <w:jc w:val="both"/>
        <w:rPr>
          <w:rFonts w:ascii="Arial" w:hAnsi="Arial" w:cs="Arial"/>
          <w:color w:val="A6A6A6"/>
          <w:sz w:val="20"/>
          <w:szCs w:val="20"/>
        </w:rPr>
      </w:pPr>
    </w:p>
    <w:p w14:paraId="1CF31922"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t>6.3 Presoja posledic za gospodarstvo, in sicer za:</w:t>
      </w:r>
    </w:p>
    <w:p w14:paraId="3517F7FB" w14:textId="77777777" w:rsidR="0001623A" w:rsidRPr="004F2DC3" w:rsidRDefault="0001623A" w:rsidP="0001623A">
      <w:pPr>
        <w:overflowPunct w:val="0"/>
        <w:autoSpaceDE w:val="0"/>
        <w:autoSpaceDN w:val="0"/>
        <w:adjustRightInd w:val="0"/>
        <w:spacing w:after="0" w:line="269" w:lineRule="auto"/>
        <w:jc w:val="both"/>
        <w:textAlignment w:val="baseline"/>
        <w:rPr>
          <w:rFonts w:ascii="Arial" w:eastAsia="Times New Roman" w:hAnsi="Arial" w:cs="Arial"/>
          <w:sz w:val="20"/>
          <w:szCs w:val="20"/>
          <w:lang w:eastAsia="sl-SI"/>
        </w:rPr>
      </w:pPr>
      <w:r w:rsidRPr="004F2DC3">
        <w:rPr>
          <w:rFonts w:ascii="Arial" w:eastAsia="Times New Roman" w:hAnsi="Arial" w:cs="Arial"/>
          <w:sz w:val="20"/>
          <w:szCs w:val="20"/>
          <w:lang w:eastAsia="sl-SI"/>
        </w:rPr>
        <w:t>Pričakuje se, da bo predlog zakona poleg večje gotovosti z vidika davčne obravnave samih skladov imel pozitivne učinke tudi na gospodarstvo, pri čemer pa je te učinke na kratek rok težje ovrednotiti, saj se navedeni učinki razširijo tudi na širše gospodarstvo. Skladi na splošno, vključno z alternativnimi investicijskimi skladi, imajo ključno vlogo v gospodarstvu, saj mobilizirajo kapital, povečujejo likvidnost in podpirajo gospodarsko rast. Predlog zakona omogoča, da bodo alternativni investicijski skladi še naprej nudili oziroma zagotavljali financiranje podjetjem, infrastrukturnim projektom in inovacijam ter pomagali pri učinkoviti razporeditvi virov, a hkrati bo povečana pravna varnost in stabilnost lahko privabila dodatne naložbe. Alternativni skladi, kot so skladi z naložbeno strategijo zasebnega kapitala (tudi v tvegan kapital), z naložbeno strategijo posojil ali z naložbeno strategijo vlaganja v nepremičnine, ponujajo raznolike investicijske priložnosti zunaj tradicionalnih trgov. Pomagajo zapolniti finančne vrzeli, zlasti za mala in srednje velika podjetja (MSP) ter zagonska podjetja, ki imajo pogosto težave pri pridobivanju sredstev prek običajnih bančnih poti, kar ravno za slednje predstavlja možnost za rast in razvoj v prihodnje. Skladi spodbujajo podjetništvo z vlaganjem v podjetja z visokim potencialom rasti, kar prispeva k inovacijam in ustvarjanju delovnih mest. Ta proces dolgoročno prispeva k večji konkurenčnosti gospodarstva in večji stabilnosti delovnih mest v različnih sektorjih.</w:t>
      </w:r>
      <w:r w:rsidRPr="004F2DC3">
        <w:rPr>
          <w:rFonts w:ascii="Arial" w:hAnsi="Arial" w:cs="Arial"/>
          <w:sz w:val="20"/>
          <w:szCs w:val="20"/>
        </w:rPr>
        <w:t xml:space="preserve"> </w:t>
      </w:r>
      <w:r w:rsidRPr="004F2DC3">
        <w:rPr>
          <w:rFonts w:ascii="Arial" w:eastAsia="Times New Roman" w:hAnsi="Arial" w:cs="Arial"/>
          <w:sz w:val="20"/>
          <w:szCs w:val="20"/>
          <w:lang w:eastAsia="sl-SI"/>
        </w:rPr>
        <w:t>Poleg tega rešitev v predlogu zakona spodbuja večjo prilagodljivost in dinamičnost na trgu investicij, kar bo posledično omogočilo hitrejše prilagajanje gospodarskih subjektov na spremenljive razmere. S tem se ustvarjajo pogoji za večjo gospodarsko odpornost, zlasti v času morebitnih gospodarskih kriz ali globalnih finančnih izzivov.</w:t>
      </w:r>
    </w:p>
    <w:p w14:paraId="73912EB9" w14:textId="77777777" w:rsidR="0001623A" w:rsidRPr="004F2DC3" w:rsidRDefault="0001623A" w:rsidP="0001623A">
      <w:pPr>
        <w:overflowPunct w:val="0"/>
        <w:autoSpaceDE w:val="0"/>
        <w:autoSpaceDN w:val="0"/>
        <w:adjustRightInd w:val="0"/>
        <w:spacing w:after="0" w:line="269" w:lineRule="auto"/>
        <w:jc w:val="both"/>
        <w:textAlignment w:val="baseline"/>
        <w:rPr>
          <w:rFonts w:ascii="Arial" w:hAnsi="Arial" w:cs="Arial"/>
          <w:sz w:val="20"/>
          <w:szCs w:val="20"/>
        </w:rPr>
      </w:pPr>
    </w:p>
    <w:p w14:paraId="23BA678B" w14:textId="77777777" w:rsidR="0001623A" w:rsidRPr="004F2DC3" w:rsidRDefault="0001623A" w:rsidP="0001623A">
      <w:pPr>
        <w:overflowPunct w:val="0"/>
        <w:autoSpaceDE w:val="0"/>
        <w:autoSpaceDN w:val="0"/>
        <w:adjustRightInd w:val="0"/>
        <w:spacing w:after="0" w:line="269" w:lineRule="auto"/>
        <w:jc w:val="both"/>
        <w:textAlignment w:val="baseline"/>
        <w:rPr>
          <w:rFonts w:ascii="Arial" w:hAnsi="Arial" w:cs="Arial"/>
          <w:sz w:val="20"/>
          <w:szCs w:val="20"/>
        </w:rPr>
      </w:pPr>
      <w:r w:rsidRPr="004F2DC3">
        <w:rPr>
          <w:rFonts w:ascii="Arial" w:hAnsi="Arial" w:cs="Arial"/>
          <w:sz w:val="20"/>
          <w:szCs w:val="20"/>
        </w:rPr>
        <w:lastRenderedPageBreak/>
        <w:t>Zagotovitev pravne varnosti za alternativne investicijske sklade predstavlja pomemben prispevek k uresničevanju razvojnih ciljev slovenskega finančnega sistema, zlasti na področju diverzifikacije virov financiranja gospodarstva. Predlagane spremembe podpirajo nadaljnji razvoj segmenta alternativnih investicijskih skladov, ki tvorijo ključen del finančne infrastrukture za financiranje gospodarskih subjektov.</w:t>
      </w:r>
    </w:p>
    <w:p w14:paraId="41230E8C" w14:textId="77777777" w:rsidR="0001623A" w:rsidRPr="004F2DC3" w:rsidRDefault="0001623A" w:rsidP="0001623A">
      <w:pPr>
        <w:spacing w:after="0" w:line="269" w:lineRule="auto"/>
        <w:jc w:val="both"/>
        <w:rPr>
          <w:rFonts w:ascii="Arial" w:hAnsi="Arial" w:cs="Arial"/>
          <w:b/>
          <w:bCs/>
          <w:sz w:val="20"/>
          <w:szCs w:val="20"/>
        </w:rPr>
      </w:pPr>
    </w:p>
    <w:p w14:paraId="78F1DC89"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t>6.4 Presoja posledic za socialno področje, in sicer za:</w:t>
      </w:r>
    </w:p>
    <w:p w14:paraId="71A65F24"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Predlog zakona ne vpliva na socialno področje.</w:t>
      </w:r>
    </w:p>
    <w:p w14:paraId="169CCD29" w14:textId="77777777" w:rsidR="0001623A" w:rsidRPr="004F2DC3" w:rsidRDefault="0001623A" w:rsidP="0001623A">
      <w:pPr>
        <w:spacing w:after="0" w:line="269" w:lineRule="auto"/>
        <w:jc w:val="both"/>
        <w:rPr>
          <w:rFonts w:ascii="Arial" w:hAnsi="Arial" w:cs="Arial"/>
          <w:color w:val="808080"/>
          <w:sz w:val="20"/>
          <w:szCs w:val="20"/>
        </w:rPr>
      </w:pPr>
    </w:p>
    <w:p w14:paraId="187752B9"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t>6.5 Presoja posledic za dokumente razvojnega načrtovanja, in sicer za:</w:t>
      </w:r>
    </w:p>
    <w:p w14:paraId="34AD38DB"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Predlagane spremembe so skladne s cilji Strategije razvoja trga kapitala v Sloveniji za obdobje 2023-2030, katere končni cilj je doseganje statusa razvijajočega trga (EMS). Zagotovitev pravne varnosti in hkrati konkurenčne davčne obravnave alternativnih investicijskih skladov omogoča učinkovitejše financiranje podjetij z visokim potencialom rasti. Skladi zasebnega kapitala in drugi AIS lahko s tem financirajo podjetja, ki lahko v prihodnosti postanejo pomembni izdajatelji na organiziranem trgu, kar neposredno prispeva k povečanju tržne kapitalizacije in likvidnosti slovenskega trga kapitala - obema temeljnima pogojema za doseganje statusa EMS.</w:t>
      </w:r>
    </w:p>
    <w:p w14:paraId="746B057E" w14:textId="77777777" w:rsidR="0001623A" w:rsidRPr="004F2DC3" w:rsidRDefault="0001623A" w:rsidP="0001623A">
      <w:pPr>
        <w:spacing w:after="0" w:line="269" w:lineRule="auto"/>
        <w:jc w:val="both"/>
        <w:rPr>
          <w:rFonts w:ascii="Arial" w:hAnsi="Arial" w:cs="Arial"/>
          <w:color w:val="808080"/>
          <w:sz w:val="20"/>
          <w:szCs w:val="20"/>
        </w:rPr>
      </w:pPr>
    </w:p>
    <w:p w14:paraId="48BEAE1B"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t>6.6 Presoja posledic za druga področja</w:t>
      </w:r>
    </w:p>
    <w:p w14:paraId="562A1B0C"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Predlog zakona ne vpliva na druga področja</w:t>
      </w:r>
    </w:p>
    <w:p w14:paraId="285C8203" w14:textId="77777777" w:rsidR="0001623A" w:rsidRPr="004F2DC3" w:rsidRDefault="0001623A" w:rsidP="0001623A">
      <w:pPr>
        <w:spacing w:after="0" w:line="269" w:lineRule="auto"/>
        <w:jc w:val="both"/>
        <w:rPr>
          <w:rFonts w:ascii="Arial" w:hAnsi="Arial" w:cs="Arial"/>
          <w:b/>
          <w:bCs/>
          <w:sz w:val="20"/>
          <w:szCs w:val="20"/>
        </w:rPr>
      </w:pPr>
    </w:p>
    <w:p w14:paraId="7FF48115"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t>6.7 Izvajanje sprejetega predpisa:</w:t>
      </w:r>
    </w:p>
    <w:p w14:paraId="6208F438"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a)</w:t>
      </w:r>
      <w:r w:rsidRPr="004F2DC3">
        <w:rPr>
          <w:rFonts w:ascii="Arial" w:hAnsi="Arial" w:cs="Arial"/>
          <w:sz w:val="20"/>
          <w:szCs w:val="20"/>
        </w:rPr>
        <w:tab/>
        <w:t>Predstavitev sprejetega zakona:</w:t>
      </w:r>
    </w:p>
    <w:p w14:paraId="0C8DF046"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 xml:space="preserve">Za izvajanje zakona je pristojna Finančna uprava Republike Slovenije, ki bo na običajen način zagotovila obveščanje zavezancev o novostih iz predloga zakona. </w:t>
      </w:r>
    </w:p>
    <w:p w14:paraId="3C475E6F" w14:textId="77777777" w:rsidR="0001623A" w:rsidRPr="004F2DC3" w:rsidRDefault="0001623A" w:rsidP="0001623A">
      <w:pPr>
        <w:spacing w:after="0" w:line="269" w:lineRule="auto"/>
        <w:jc w:val="both"/>
        <w:rPr>
          <w:rFonts w:ascii="Arial" w:hAnsi="Arial" w:cs="Arial"/>
          <w:color w:val="808080"/>
          <w:sz w:val="20"/>
          <w:szCs w:val="20"/>
        </w:rPr>
      </w:pPr>
    </w:p>
    <w:p w14:paraId="18FE9A39"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b)</w:t>
      </w:r>
      <w:r w:rsidRPr="004F2DC3">
        <w:rPr>
          <w:rFonts w:ascii="Arial" w:hAnsi="Arial" w:cs="Arial"/>
          <w:sz w:val="20"/>
          <w:szCs w:val="20"/>
        </w:rPr>
        <w:tab/>
        <w:t>Spremljanje izvajanja sprejetega predpisa:</w:t>
      </w:r>
    </w:p>
    <w:p w14:paraId="7A6F44A3"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Izvajanje zakona spremlja Ministrstvo za finance Republike Slovenije v skladu s svojimi pristojnostmi.</w:t>
      </w:r>
    </w:p>
    <w:p w14:paraId="19A90971" w14:textId="77777777" w:rsidR="0001623A" w:rsidRPr="004F2DC3" w:rsidRDefault="0001623A" w:rsidP="0001623A">
      <w:pPr>
        <w:spacing w:after="0" w:line="269" w:lineRule="auto"/>
        <w:jc w:val="both"/>
        <w:rPr>
          <w:rFonts w:ascii="Arial" w:hAnsi="Arial" w:cs="Arial"/>
          <w:color w:val="808080"/>
          <w:sz w:val="20"/>
          <w:szCs w:val="20"/>
        </w:rPr>
      </w:pPr>
    </w:p>
    <w:p w14:paraId="04DC0102"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t>6.8 Druge pomembne okoliščine v zvezi z vprašanji, ki jih ureja predlog zakona</w:t>
      </w:r>
    </w:p>
    <w:p w14:paraId="071F4BBF"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Drugih pomembnih okoliščin ni.</w:t>
      </w:r>
    </w:p>
    <w:p w14:paraId="5FB95A34" w14:textId="719F524B" w:rsidR="0001623A" w:rsidRDefault="0001623A">
      <w:pPr>
        <w:spacing w:after="160" w:line="259" w:lineRule="auto"/>
      </w:pPr>
      <w:r>
        <w:br w:type="page"/>
      </w:r>
    </w:p>
    <w:p w14:paraId="0824FBD7" w14:textId="77777777" w:rsidR="009147E1" w:rsidRDefault="009147E1"/>
    <w:p w14:paraId="63AD9A0C"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t>II. BESEDILO ČLENOV</w:t>
      </w:r>
    </w:p>
    <w:p w14:paraId="15FBA8D6" w14:textId="77777777" w:rsidR="0001623A" w:rsidRPr="004F2DC3" w:rsidRDefault="0001623A" w:rsidP="0001623A">
      <w:pPr>
        <w:spacing w:after="0" w:line="269" w:lineRule="auto"/>
        <w:jc w:val="center"/>
        <w:rPr>
          <w:rFonts w:ascii="Arial" w:hAnsi="Arial" w:cs="Arial"/>
          <w:b/>
          <w:bCs/>
          <w:sz w:val="20"/>
          <w:szCs w:val="20"/>
        </w:rPr>
      </w:pPr>
    </w:p>
    <w:p w14:paraId="7288D17C" w14:textId="77777777" w:rsidR="0001623A" w:rsidRPr="004F2DC3" w:rsidRDefault="0001623A" w:rsidP="0001623A">
      <w:pPr>
        <w:spacing w:after="0" w:line="269" w:lineRule="auto"/>
        <w:jc w:val="center"/>
        <w:rPr>
          <w:rFonts w:ascii="Arial" w:hAnsi="Arial" w:cs="Arial"/>
          <w:b/>
          <w:bCs/>
          <w:sz w:val="20"/>
          <w:szCs w:val="20"/>
        </w:rPr>
      </w:pPr>
      <w:r w:rsidRPr="004F2DC3">
        <w:rPr>
          <w:rFonts w:ascii="Arial" w:hAnsi="Arial" w:cs="Arial"/>
          <w:b/>
          <w:bCs/>
          <w:sz w:val="20"/>
          <w:szCs w:val="20"/>
        </w:rPr>
        <w:t>1. člen</w:t>
      </w:r>
    </w:p>
    <w:p w14:paraId="05D987A6" w14:textId="77777777" w:rsidR="0001623A" w:rsidRPr="004F2DC3" w:rsidRDefault="0001623A" w:rsidP="0001623A">
      <w:pPr>
        <w:spacing w:after="0" w:line="269" w:lineRule="auto"/>
        <w:jc w:val="both"/>
        <w:rPr>
          <w:rFonts w:ascii="Arial" w:hAnsi="Arial" w:cs="Arial"/>
          <w:sz w:val="20"/>
          <w:szCs w:val="20"/>
        </w:rPr>
      </w:pPr>
    </w:p>
    <w:p w14:paraId="053599B0"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V Zakonu o davku od dohodkov pravnih oseb (Uradni list RS, št. 117/06, 56/08, 76/08, 5/09, 96/09, 110/09 – ZDavP-2B, 43/10, 59/11, 24/12, 30/12, 94/12, 81/13, 50/14, 23/15, 82/15, 68/16, 69/17, 79/18, 66/19, 172/21, 105/22 – ZZNŠPP, 12/24 in 100/24) se v 39. členu zadnji stavek nadomesti z novim zadnjim stavkom, ki se glasi:</w:t>
      </w:r>
    </w:p>
    <w:p w14:paraId="7455B91F"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»Za obrat po tem členu se šteje premoženje (vsa sredstva in obveznosti), ki se pripiše delu družbe, ki ob prenosu premoženja z organizacijskega vidika predstavlja neodvisno poslovanje.«.</w:t>
      </w:r>
    </w:p>
    <w:p w14:paraId="17ABBF58" w14:textId="77777777" w:rsidR="0001623A" w:rsidRPr="004F2DC3" w:rsidRDefault="0001623A" w:rsidP="0001623A">
      <w:pPr>
        <w:spacing w:after="0" w:line="269" w:lineRule="auto"/>
        <w:jc w:val="both"/>
        <w:rPr>
          <w:rFonts w:ascii="Arial" w:hAnsi="Arial" w:cs="Arial"/>
          <w:sz w:val="20"/>
          <w:szCs w:val="20"/>
        </w:rPr>
      </w:pPr>
    </w:p>
    <w:p w14:paraId="32D847CB"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Za prvim odstavkom, ki se oštevilči, se doda nov drugi odstavek, ki se glasi:</w:t>
      </w:r>
    </w:p>
    <w:p w14:paraId="2E4712C2"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 xml:space="preserve">»(2) Po tem členu se obravnava tudi </w:t>
      </w:r>
      <w:proofErr w:type="spellStart"/>
      <w:r w:rsidRPr="004F2DC3">
        <w:rPr>
          <w:rFonts w:ascii="Arial" w:hAnsi="Arial" w:cs="Arial"/>
          <w:sz w:val="20"/>
          <w:szCs w:val="20"/>
        </w:rPr>
        <w:t>izčlenitev</w:t>
      </w:r>
      <w:proofErr w:type="spellEnd"/>
      <w:r w:rsidRPr="004F2DC3">
        <w:rPr>
          <w:rFonts w:ascii="Arial" w:hAnsi="Arial" w:cs="Arial"/>
          <w:sz w:val="20"/>
          <w:szCs w:val="20"/>
        </w:rPr>
        <w:t xml:space="preserve">, ki je transakcija, ki se izvede v skladu z določili zakona, ki ureja gospodarske družbe o statusnem preoblikovanju družb, pri tem se pri </w:t>
      </w:r>
      <w:proofErr w:type="spellStart"/>
      <w:r w:rsidRPr="004F2DC3">
        <w:rPr>
          <w:rFonts w:ascii="Arial" w:hAnsi="Arial" w:cs="Arial"/>
          <w:sz w:val="20"/>
          <w:szCs w:val="20"/>
        </w:rPr>
        <w:t>izčlenitvi</w:t>
      </w:r>
      <w:proofErr w:type="spellEnd"/>
      <w:r w:rsidRPr="004F2DC3">
        <w:rPr>
          <w:rFonts w:ascii="Arial" w:hAnsi="Arial" w:cs="Arial"/>
          <w:sz w:val="20"/>
          <w:szCs w:val="20"/>
        </w:rPr>
        <w:t xml:space="preserve"> z ustanovitvijo ali </w:t>
      </w:r>
      <w:proofErr w:type="spellStart"/>
      <w:r w:rsidRPr="004F2DC3">
        <w:rPr>
          <w:rFonts w:ascii="Arial" w:hAnsi="Arial" w:cs="Arial"/>
          <w:sz w:val="20"/>
          <w:szCs w:val="20"/>
        </w:rPr>
        <w:t>izčlenitvi</w:t>
      </w:r>
      <w:proofErr w:type="spellEnd"/>
      <w:r w:rsidRPr="004F2DC3">
        <w:rPr>
          <w:rFonts w:ascii="Arial" w:hAnsi="Arial" w:cs="Arial"/>
          <w:sz w:val="20"/>
          <w:szCs w:val="20"/>
        </w:rPr>
        <w:t xml:space="preserve"> s prevzemom določbe tega poglavja uporabljajo le, če gre za </w:t>
      </w:r>
      <w:proofErr w:type="spellStart"/>
      <w:r w:rsidRPr="004F2DC3">
        <w:rPr>
          <w:rFonts w:ascii="Arial" w:hAnsi="Arial" w:cs="Arial"/>
          <w:sz w:val="20"/>
          <w:szCs w:val="20"/>
        </w:rPr>
        <w:t>izčlenitev</w:t>
      </w:r>
      <w:proofErr w:type="spellEnd"/>
      <w:r w:rsidRPr="004F2DC3">
        <w:rPr>
          <w:rFonts w:ascii="Arial" w:hAnsi="Arial" w:cs="Arial"/>
          <w:sz w:val="20"/>
          <w:szCs w:val="20"/>
        </w:rPr>
        <w:t xml:space="preserve"> enega ali več obratov prenosne družbe.«.</w:t>
      </w:r>
    </w:p>
    <w:p w14:paraId="77A77869" w14:textId="77777777" w:rsidR="0001623A" w:rsidRPr="004F2DC3" w:rsidRDefault="0001623A" w:rsidP="0001623A">
      <w:pPr>
        <w:spacing w:after="0" w:line="269" w:lineRule="auto"/>
        <w:jc w:val="both"/>
        <w:rPr>
          <w:rFonts w:ascii="Arial" w:hAnsi="Arial" w:cs="Arial"/>
          <w:sz w:val="20"/>
          <w:szCs w:val="20"/>
        </w:rPr>
      </w:pPr>
    </w:p>
    <w:p w14:paraId="6EC34F79" w14:textId="77777777" w:rsidR="0001623A" w:rsidRPr="004F2DC3" w:rsidRDefault="0001623A" w:rsidP="0001623A">
      <w:pPr>
        <w:spacing w:after="0" w:line="269" w:lineRule="auto"/>
        <w:jc w:val="center"/>
        <w:rPr>
          <w:rFonts w:ascii="Arial" w:hAnsi="Arial" w:cs="Arial"/>
          <w:b/>
          <w:bCs/>
          <w:sz w:val="20"/>
          <w:szCs w:val="20"/>
        </w:rPr>
      </w:pPr>
      <w:r w:rsidRPr="004F2DC3">
        <w:rPr>
          <w:rFonts w:ascii="Arial" w:hAnsi="Arial" w:cs="Arial"/>
          <w:b/>
          <w:bCs/>
          <w:sz w:val="20"/>
          <w:szCs w:val="20"/>
        </w:rPr>
        <w:t>2. člen</w:t>
      </w:r>
    </w:p>
    <w:p w14:paraId="55CCD48F" w14:textId="77777777" w:rsidR="0001623A" w:rsidRPr="004F2DC3" w:rsidRDefault="0001623A" w:rsidP="0001623A">
      <w:pPr>
        <w:spacing w:after="0" w:line="269" w:lineRule="auto"/>
        <w:jc w:val="both"/>
        <w:rPr>
          <w:rFonts w:ascii="Arial" w:hAnsi="Arial" w:cs="Arial"/>
          <w:sz w:val="20"/>
          <w:szCs w:val="20"/>
        </w:rPr>
      </w:pPr>
    </w:p>
    <w:p w14:paraId="2E0358AD"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V 48. členu se v drugem odstavku za besedilom »V primeru oddelitev« doda besedilo, ki se glasi: »z ustanovitvijo ali s prevzemom«.</w:t>
      </w:r>
    </w:p>
    <w:p w14:paraId="516DBFCF" w14:textId="77777777" w:rsidR="0001623A" w:rsidRPr="004F2DC3" w:rsidRDefault="0001623A" w:rsidP="0001623A">
      <w:pPr>
        <w:shd w:val="clear" w:color="auto" w:fill="FFFFFF"/>
        <w:spacing w:after="0" w:line="269" w:lineRule="auto"/>
        <w:jc w:val="both"/>
        <w:rPr>
          <w:rFonts w:ascii="Arial" w:hAnsi="Arial" w:cs="Arial"/>
          <w:sz w:val="20"/>
          <w:szCs w:val="20"/>
        </w:rPr>
      </w:pPr>
    </w:p>
    <w:p w14:paraId="7A6455AB"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V tretjem odstavku se za besedilom »V primeru oddelitve« doda besedilo, ki se glasi: »z ustanovitvijo ali s prevzemom«.</w:t>
      </w:r>
    </w:p>
    <w:p w14:paraId="7637696B" w14:textId="77777777" w:rsidR="0001623A" w:rsidRPr="004F2DC3" w:rsidRDefault="0001623A" w:rsidP="0001623A">
      <w:pPr>
        <w:shd w:val="clear" w:color="auto" w:fill="FFFFFF"/>
        <w:spacing w:after="0" w:line="269" w:lineRule="auto"/>
        <w:jc w:val="both"/>
        <w:rPr>
          <w:rFonts w:ascii="Arial" w:hAnsi="Arial" w:cs="Arial"/>
          <w:sz w:val="20"/>
          <w:szCs w:val="20"/>
        </w:rPr>
      </w:pPr>
    </w:p>
    <w:p w14:paraId="46D42814" w14:textId="77777777" w:rsidR="0001623A" w:rsidRPr="004F2DC3" w:rsidRDefault="0001623A" w:rsidP="0001623A">
      <w:pPr>
        <w:shd w:val="clear" w:color="auto" w:fill="FFFFFF"/>
        <w:spacing w:after="0" w:line="269" w:lineRule="auto"/>
        <w:jc w:val="both"/>
        <w:rPr>
          <w:rFonts w:ascii="Arial" w:hAnsi="Arial" w:cs="Arial"/>
          <w:sz w:val="20"/>
          <w:szCs w:val="20"/>
        </w:rPr>
      </w:pPr>
      <w:r w:rsidRPr="004F2DC3">
        <w:rPr>
          <w:rFonts w:ascii="Arial" w:hAnsi="Arial" w:cs="Arial"/>
          <w:sz w:val="20"/>
          <w:szCs w:val="20"/>
        </w:rPr>
        <w:t>V četrtem odstavku se besedilo nadomesti z novim besedilom, ki se glasi: »Za obrat po tem členu se šteje premoženje (vsa sredstva in obveznosti), ki ob združitvi oziroma delitvi z organizacijskega vidika predstavlja neodvisno poslovanje.«.</w:t>
      </w:r>
    </w:p>
    <w:p w14:paraId="54126AFF" w14:textId="77777777" w:rsidR="0001623A" w:rsidRPr="004F2DC3" w:rsidRDefault="0001623A" w:rsidP="0001623A">
      <w:pPr>
        <w:spacing w:after="0" w:line="269" w:lineRule="auto"/>
        <w:jc w:val="center"/>
        <w:rPr>
          <w:rFonts w:ascii="Arial" w:hAnsi="Arial" w:cs="Arial"/>
          <w:b/>
          <w:bCs/>
          <w:sz w:val="20"/>
          <w:szCs w:val="20"/>
        </w:rPr>
      </w:pPr>
    </w:p>
    <w:p w14:paraId="619F8968" w14:textId="77777777" w:rsidR="0001623A" w:rsidRPr="004F2DC3" w:rsidRDefault="0001623A" w:rsidP="0001623A">
      <w:pPr>
        <w:spacing w:after="0" w:line="269" w:lineRule="auto"/>
        <w:jc w:val="center"/>
        <w:rPr>
          <w:rFonts w:ascii="Arial" w:hAnsi="Arial" w:cs="Arial"/>
          <w:b/>
          <w:bCs/>
          <w:sz w:val="20"/>
          <w:szCs w:val="20"/>
        </w:rPr>
      </w:pPr>
      <w:r w:rsidRPr="004F2DC3">
        <w:rPr>
          <w:rFonts w:ascii="Arial" w:hAnsi="Arial" w:cs="Arial"/>
          <w:b/>
          <w:bCs/>
          <w:sz w:val="20"/>
          <w:szCs w:val="20"/>
        </w:rPr>
        <w:t>3. člen</w:t>
      </w:r>
    </w:p>
    <w:p w14:paraId="406753A4" w14:textId="77777777" w:rsidR="0001623A" w:rsidRPr="004F2DC3" w:rsidRDefault="0001623A" w:rsidP="0001623A">
      <w:pPr>
        <w:spacing w:after="0" w:line="269" w:lineRule="auto"/>
        <w:jc w:val="center"/>
        <w:rPr>
          <w:rFonts w:ascii="Arial" w:hAnsi="Arial" w:cs="Arial"/>
          <w:sz w:val="20"/>
          <w:szCs w:val="20"/>
        </w:rPr>
      </w:pPr>
    </w:p>
    <w:p w14:paraId="570093E4"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 xml:space="preserve">V 61. členu se prvi odstavek nadomesti z novim prvim odstavkom, ki se glasi: </w:t>
      </w:r>
    </w:p>
    <w:p w14:paraId="61C42EA6" w14:textId="0DDE0C80" w:rsidR="0001623A" w:rsidRDefault="0001623A" w:rsidP="0001623A">
      <w:pPr>
        <w:spacing w:after="0" w:line="269" w:lineRule="auto"/>
        <w:jc w:val="both"/>
        <w:rPr>
          <w:rFonts w:ascii="Arial" w:hAnsi="Arial" w:cs="Arial"/>
          <w:sz w:val="20"/>
          <w:szCs w:val="20"/>
        </w:rPr>
      </w:pPr>
      <w:r w:rsidRPr="004F2DC3">
        <w:rPr>
          <w:rFonts w:ascii="Arial" w:hAnsi="Arial" w:cs="Arial"/>
          <w:sz w:val="20"/>
          <w:szCs w:val="20"/>
        </w:rPr>
        <w:t xml:space="preserve">»(1) Investicijski skladi, obdavčeni po tem zakonu, iz 3.1 in 3.2 oddelka prvega dela Zakona o oblikah alternativnih investicijskih skladih (Uradni list RS, št. 101/22, v nadaljnjem besedilu ZOAIS) in ustanovljeni po ZOAIS, plačujejo davek v davčnem obdobju po stopnji 0 % od davčne osnove, če do 30. novembra tega obdobja razdelijo najmanj 75 % poslovnega dobička prejšnjega davčnega obdobja (v nadaljnjem besedilu: razdelitev), ki ne zajema nerealiziranih dobičkov. Nerealizirani dobički po tem odstavku so dobički, ki niso nastali ob prodaji ali drugi odtujitvi.«.   </w:t>
      </w:r>
    </w:p>
    <w:p w14:paraId="754CA96A" w14:textId="77777777" w:rsidR="0001623A" w:rsidRPr="004F2DC3" w:rsidRDefault="0001623A" w:rsidP="0001623A">
      <w:pPr>
        <w:spacing w:after="0" w:line="269" w:lineRule="auto"/>
        <w:jc w:val="both"/>
        <w:rPr>
          <w:rFonts w:ascii="Arial" w:hAnsi="Arial" w:cs="Arial"/>
          <w:sz w:val="20"/>
          <w:szCs w:val="20"/>
        </w:rPr>
      </w:pPr>
    </w:p>
    <w:p w14:paraId="3E3E8845" w14:textId="77777777" w:rsidR="0001623A" w:rsidRPr="004F2DC3" w:rsidRDefault="0001623A" w:rsidP="0001623A">
      <w:pPr>
        <w:spacing w:line="269" w:lineRule="auto"/>
        <w:jc w:val="both"/>
        <w:rPr>
          <w:rFonts w:ascii="Arial" w:hAnsi="Arial" w:cs="Arial"/>
          <w:sz w:val="20"/>
          <w:szCs w:val="20"/>
        </w:rPr>
      </w:pPr>
      <w:r w:rsidRPr="004F2DC3">
        <w:rPr>
          <w:rFonts w:ascii="Arial" w:hAnsi="Arial" w:cs="Arial"/>
          <w:sz w:val="20"/>
          <w:szCs w:val="20"/>
        </w:rPr>
        <w:t>Dodata se nova četrti in peti odstavek, ki se glasita:</w:t>
      </w:r>
    </w:p>
    <w:p w14:paraId="7FFEA377" w14:textId="77777777" w:rsidR="0001623A" w:rsidRPr="004F2DC3" w:rsidRDefault="0001623A" w:rsidP="0001623A">
      <w:pPr>
        <w:spacing w:line="269" w:lineRule="auto"/>
        <w:jc w:val="both"/>
        <w:rPr>
          <w:rFonts w:ascii="Arial" w:hAnsi="Arial" w:cs="Arial"/>
          <w:sz w:val="20"/>
          <w:szCs w:val="20"/>
        </w:rPr>
      </w:pPr>
      <w:r w:rsidRPr="004F2DC3">
        <w:rPr>
          <w:rFonts w:ascii="Arial" w:hAnsi="Arial" w:cs="Arial"/>
          <w:sz w:val="20"/>
          <w:szCs w:val="20"/>
        </w:rPr>
        <w:t xml:space="preserve">»(4) Investicijski skladi iz prvega odstavka tega člena iz davčne osnove, na katero se uporabi davčna stopnja 0 %, izključijo dohodke iz dejavnosti oddajanja v najem, finančnega zakupa in posojil. Za te dejavnosti investicijski skladi iz prvega odstavka tega člena sestavijo ločen davčni obračun v skladu s tem zakonom.   </w:t>
      </w:r>
    </w:p>
    <w:p w14:paraId="66D21BB7" w14:textId="77777777" w:rsidR="0001623A" w:rsidRPr="004F2DC3" w:rsidRDefault="0001623A" w:rsidP="0001623A">
      <w:pPr>
        <w:spacing w:after="0" w:line="269" w:lineRule="auto"/>
        <w:jc w:val="both"/>
        <w:rPr>
          <w:rFonts w:ascii="Arial" w:hAnsi="Arial" w:cs="Arial"/>
          <w:i/>
          <w:iCs/>
          <w:sz w:val="20"/>
          <w:szCs w:val="20"/>
        </w:rPr>
      </w:pPr>
      <w:r w:rsidRPr="004F2DC3">
        <w:rPr>
          <w:rFonts w:ascii="Arial" w:hAnsi="Arial" w:cs="Arial"/>
          <w:sz w:val="20"/>
          <w:szCs w:val="20"/>
        </w:rPr>
        <w:t>(5) Po prvem in četrtem odstavku tega člena se obravnavajo tudi</w:t>
      </w:r>
      <w:r w:rsidRPr="004F2DC3">
        <w:rPr>
          <w:rFonts w:ascii="Arial" w:hAnsi="Arial" w:cs="Arial"/>
          <w:i/>
          <w:iCs/>
          <w:sz w:val="20"/>
          <w:szCs w:val="20"/>
        </w:rPr>
        <w:t>:</w:t>
      </w:r>
    </w:p>
    <w:p w14:paraId="257E35B1" w14:textId="77777777" w:rsidR="0001623A" w:rsidRPr="004F2DC3" w:rsidRDefault="0001623A" w:rsidP="0001623A">
      <w:pPr>
        <w:spacing w:line="269" w:lineRule="auto"/>
        <w:ind w:firstLine="708"/>
        <w:jc w:val="both"/>
        <w:rPr>
          <w:rFonts w:ascii="Arial" w:hAnsi="Arial" w:cs="Arial"/>
          <w:sz w:val="20"/>
          <w:szCs w:val="20"/>
        </w:rPr>
      </w:pPr>
      <w:r w:rsidRPr="004F2DC3">
        <w:rPr>
          <w:rFonts w:ascii="Arial" w:hAnsi="Arial" w:cs="Arial"/>
          <w:sz w:val="20"/>
          <w:szCs w:val="20"/>
        </w:rPr>
        <w:t>- evropski dolgoročni investicijski skladi (ELTIF), ustanovljeni v skladu z Uredbo (EU) 2015/760 Evropskega parlamenta in Sveta z dne 29. aprila 2025 o evropskih dolgoročnih investicijskih skladih,</w:t>
      </w:r>
    </w:p>
    <w:p w14:paraId="75DE8497" w14:textId="77777777" w:rsidR="0001623A" w:rsidRPr="004F2DC3" w:rsidRDefault="0001623A" w:rsidP="0001623A">
      <w:pPr>
        <w:spacing w:after="0" w:line="269" w:lineRule="auto"/>
        <w:ind w:firstLine="708"/>
        <w:jc w:val="both"/>
        <w:rPr>
          <w:rFonts w:ascii="Arial" w:hAnsi="Arial" w:cs="Arial"/>
          <w:sz w:val="20"/>
          <w:szCs w:val="20"/>
        </w:rPr>
      </w:pPr>
      <w:r w:rsidRPr="004F2DC3">
        <w:rPr>
          <w:rFonts w:ascii="Arial" w:hAnsi="Arial" w:cs="Arial"/>
          <w:sz w:val="20"/>
          <w:szCs w:val="20"/>
        </w:rPr>
        <w:t>- evropski skladi za socialno podjetništvo (</w:t>
      </w:r>
      <w:proofErr w:type="spellStart"/>
      <w:r w:rsidRPr="004F2DC3">
        <w:rPr>
          <w:rFonts w:ascii="Arial" w:hAnsi="Arial" w:cs="Arial"/>
          <w:sz w:val="20"/>
          <w:szCs w:val="20"/>
        </w:rPr>
        <w:t>EuSEF</w:t>
      </w:r>
      <w:proofErr w:type="spellEnd"/>
      <w:r w:rsidRPr="004F2DC3">
        <w:rPr>
          <w:rFonts w:ascii="Arial" w:hAnsi="Arial" w:cs="Arial"/>
          <w:sz w:val="20"/>
          <w:szCs w:val="20"/>
        </w:rPr>
        <w:t>) in evropski skladi tveganega kapitala (</w:t>
      </w:r>
      <w:proofErr w:type="spellStart"/>
      <w:r w:rsidRPr="004F2DC3">
        <w:rPr>
          <w:rFonts w:ascii="Arial" w:hAnsi="Arial" w:cs="Arial"/>
          <w:sz w:val="20"/>
          <w:szCs w:val="20"/>
        </w:rPr>
        <w:t>EuVECA</w:t>
      </w:r>
      <w:proofErr w:type="spellEnd"/>
      <w:r w:rsidRPr="004F2DC3">
        <w:rPr>
          <w:rFonts w:ascii="Arial" w:hAnsi="Arial" w:cs="Arial"/>
          <w:sz w:val="20"/>
          <w:szCs w:val="20"/>
        </w:rPr>
        <w:t xml:space="preserve">), ustanovljeni v skladu z Uredbo (EU) št. 346/2013 Evropskega parlamenta in Sveta z dne </w:t>
      </w:r>
      <w:r w:rsidRPr="004F2DC3">
        <w:rPr>
          <w:rFonts w:ascii="Arial" w:hAnsi="Arial" w:cs="Arial"/>
          <w:sz w:val="20"/>
          <w:szCs w:val="20"/>
        </w:rPr>
        <w:lastRenderedPageBreak/>
        <w:t>17. aprila 2013 o evropskih skladih za socialno podjetništvo oziroma Uredbo (EU) št. 345/2013 Evropskega parlamenta in Sveta z dne 17. aprila 2013 o evropskih skladih tveganega kapitala.«.</w:t>
      </w:r>
    </w:p>
    <w:p w14:paraId="74918505" w14:textId="77777777" w:rsidR="0001623A" w:rsidRPr="004F2DC3" w:rsidRDefault="0001623A" w:rsidP="0001623A">
      <w:pPr>
        <w:spacing w:after="0" w:line="269" w:lineRule="auto"/>
        <w:jc w:val="both"/>
        <w:rPr>
          <w:rFonts w:ascii="Arial" w:hAnsi="Arial" w:cs="Arial"/>
          <w:color w:val="FF0000"/>
          <w:sz w:val="20"/>
          <w:szCs w:val="20"/>
        </w:rPr>
      </w:pPr>
    </w:p>
    <w:p w14:paraId="0DA90DE0" w14:textId="77777777" w:rsidR="0001623A" w:rsidRPr="004F2DC3" w:rsidRDefault="0001623A" w:rsidP="0001623A">
      <w:pPr>
        <w:shd w:val="clear" w:color="auto" w:fill="FFFFFF"/>
        <w:tabs>
          <w:tab w:val="left" w:pos="426"/>
        </w:tabs>
        <w:spacing w:after="0" w:line="269" w:lineRule="auto"/>
        <w:ind w:left="360"/>
        <w:jc w:val="center"/>
        <w:rPr>
          <w:rFonts w:ascii="Arial" w:hAnsi="Arial" w:cs="Arial"/>
          <w:b/>
          <w:bCs/>
          <w:sz w:val="20"/>
          <w:szCs w:val="20"/>
        </w:rPr>
      </w:pPr>
      <w:r w:rsidRPr="004F2DC3">
        <w:rPr>
          <w:rFonts w:ascii="Arial" w:hAnsi="Arial" w:cs="Arial"/>
          <w:b/>
          <w:bCs/>
          <w:sz w:val="20"/>
          <w:szCs w:val="20"/>
        </w:rPr>
        <w:t>4. člen</w:t>
      </w:r>
    </w:p>
    <w:p w14:paraId="298603FF" w14:textId="77777777" w:rsidR="0001623A" w:rsidRPr="004F2DC3" w:rsidRDefault="0001623A" w:rsidP="0001623A">
      <w:pPr>
        <w:pStyle w:val="ListParagraph"/>
        <w:shd w:val="clear" w:color="auto" w:fill="FFFFFF"/>
        <w:tabs>
          <w:tab w:val="left" w:pos="426"/>
        </w:tabs>
        <w:spacing w:line="269" w:lineRule="auto"/>
        <w:rPr>
          <w:rFonts w:ascii="Arial" w:hAnsi="Arial" w:cs="Arial"/>
          <w:sz w:val="20"/>
          <w:szCs w:val="20"/>
        </w:rPr>
      </w:pPr>
    </w:p>
    <w:p w14:paraId="15541B44" w14:textId="77777777" w:rsidR="0001623A" w:rsidRPr="004F2DC3" w:rsidRDefault="0001623A" w:rsidP="0001623A">
      <w:pPr>
        <w:pStyle w:val="ListParagraph"/>
        <w:shd w:val="clear" w:color="auto" w:fill="FFFFFF"/>
        <w:tabs>
          <w:tab w:val="left" w:pos="426"/>
        </w:tabs>
        <w:spacing w:line="269" w:lineRule="auto"/>
        <w:ind w:left="0"/>
        <w:jc w:val="both"/>
        <w:rPr>
          <w:rFonts w:ascii="Arial" w:hAnsi="Arial" w:cs="Arial"/>
          <w:sz w:val="20"/>
          <w:szCs w:val="20"/>
        </w:rPr>
      </w:pPr>
      <w:r w:rsidRPr="004F2DC3">
        <w:rPr>
          <w:rFonts w:ascii="Arial" w:hAnsi="Arial" w:cs="Arial"/>
          <w:sz w:val="20"/>
          <w:szCs w:val="20"/>
        </w:rPr>
        <w:t xml:space="preserve">V 74. členu se v sedmi točki na koncu za besedilom »iz 19. člena tega zakona« namesto vejice postavi pika in preostalo besedilo se črta. </w:t>
      </w:r>
    </w:p>
    <w:p w14:paraId="56A6BA12" w14:textId="77777777" w:rsidR="0001623A" w:rsidRPr="004F2DC3" w:rsidRDefault="0001623A" w:rsidP="0001623A">
      <w:pPr>
        <w:pStyle w:val="ListParagraph"/>
        <w:shd w:val="clear" w:color="auto" w:fill="FFFFFF"/>
        <w:tabs>
          <w:tab w:val="left" w:pos="426"/>
        </w:tabs>
        <w:spacing w:line="269" w:lineRule="auto"/>
        <w:ind w:left="0"/>
        <w:jc w:val="both"/>
        <w:rPr>
          <w:rFonts w:ascii="Arial" w:hAnsi="Arial" w:cs="Arial"/>
          <w:sz w:val="20"/>
          <w:szCs w:val="20"/>
        </w:rPr>
      </w:pPr>
    </w:p>
    <w:p w14:paraId="553D317C" w14:textId="77777777" w:rsidR="0001623A" w:rsidRPr="004F2DC3" w:rsidRDefault="0001623A" w:rsidP="0001623A">
      <w:pPr>
        <w:shd w:val="clear" w:color="auto" w:fill="FFFFFF"/>
        <w:tabs>
          <w:tab w:val="left" w:pos="426"/>
        </w:tabs>
        <w:spacing w:after="0" w:line="269" w:lineRule="auto"/>
        <w:ind w:left="360"/>
        <w:jc w:val="center"/>
        <w:rPr>
          <w:rFonts w:ascii="Arial" w:hAnsi="Arial" w:cs="Arial"/>
          <w:b/>
          <w:bCs/>
          <w:sz w:val="20"/>
          <w:szCs w:val="20"/>
        </w:rPr>
      </w:pPr>
      <w:r w:rsidRPr="004F2DC3">
        <w:rPr>
          <w:rFonts w:ascii="Arial" w:hAnsi="Arial" w:cs="Arial"/>
          <w:b/>
          <w:bCs/>
          <w:sz w:val="20"/>
          <w:szCs w:val="20"/>
        </w:rPr>
        <w:t>5. člen</w:t>
      </w:r>
    </w:p>
    <w:p w14:paraId="27A03FEF" w14:textId="77777777" w:rsidR="0001623A" w:rsidRPr="004F2DC3" w:rsidRDefault="0001623A" w:rsidP="0001623A">
      <w:pPr>
        <w:spacing w:after="0" w:line="269" w:lineRule="auto"/>
        <w:jc w:val="both"/>
        <w:rPr>
          <w:rFonts w:ascii="Arial" w:hAnsi="Arial" w:cs="Arial"/>
          <w:color w:val="808080"/>
          <w:sz w:val="20"/>
          <w:szCs w:val="20"/>
        </w:rPr>
      </w:pPr>
    </w:p>
    <w:p w14:paraId="49C17E27"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sz w:val="20"/>
          <w:szCs w:val="20"/>
        </w:rPr>
        <w:t>Ta zakon začne veljati 15. dan po objavi v Uradnem listu RS, uporablja pa se za davčna obdobja, ki se začnejo  1. januarja 2026 ali kasneje.</w:t>
      </w:r>
      <w:r w:rsidRPr="004F2DC3">
        <w:rPr>
          <w:rFonts w:ascii="Arial" w:hAnsi="Arial" w:cs="Arial"/>
          <w:b/>
          <w:bCs/>
          <w:sz w:val="20"/>
          <w:szCs w:val="20"/>
        </w:rPr>
        <w:t xml:space="preserve">  </w:t>
      </w:r>
    </w:p>
    <w:p w14:paraId="1F117F34"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b/>
          <w:bCs/>
          <w:sz w:val="20"/>
          <w:szCs w:val="20"/>
        </w:rPr>
        <w:br w:type="page"/>
      </w:r>
    </w:p>
    <w:p w14:paraId="7D49A9FB"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lastRenderedPageBreak/>
        <w:t>III. OBRAZLOŽITEV</w:t>
      </w:r>
    </w:p>
    <w:p w14:paraId="0E0AF5F4" w14:textId="77777777" w:rsidR="0001623A" w:rsidRPr="004F2DC3" w:rsidRDefault="0001623A" w:rsidP="0001623A">
      <w:pPr>
        <w:shd w:val="clear" w:color="auto" w:fill="FFFFFF"/>
        <w:spacing w:after="0" w:line="269" w:lineRule="auto"/>
        <w:jc w:val="both"/>
        <w:rPr>
          <w:rFonts w:ascii="Arial" w:hAnsi="Arial" w:cs="Arial"/>
          <w:b/>
          <w:bCs/>
          <w:sz w:val="20"/>
          <w:szCs w:val="20"/>
        </w:rPr>
      </w:pPr>
    </w:p>
    <w:p w14:paraId="558A372E" w14:textId="77777777" w:rsidR="0001623A" w:rsidRPr="004F2DC3" w:rsidRDefault="0001623A" w:rsidP="0001623A">
      <w:pPr>
        <w:shd w:val="clear" w:color="auto" w:fill="FFFFFF"/>
        <w:spacing w:after="0" w:line="269" w:lineRule="auto"/>
        <w:jc w:val="both"/>
        <w:rPr>
          <w:rFonts w:ascii="Arial" w:hAnsi="Arial" w:cs="Arial"/>
          <w:b/>
          <w:bCs/>
          <w:sz w:val="20"/>
          <w:szCs w:val="20"/>
        </w:rPr>
      </w:pPr>
      <w:r w:rsidRPr="004F2DC3">
        <w:rPr>
          <w:rFonts w:ascii="Arial" w:hAnsi="Arial" w:cs="Arial"/>
          <w:b/>
          <w:bCs/>
          <w:sz w:val="20"/>
          <w:szCs w:val="20"/>
        </w:rPr>
        <w:t xml:space="preserve">K 1. členu </w:t>
      </w:r>
    </w:p>
    <w:p w14:paraId="3273B9A0"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 xml:space="preserve">Ta člen določa nekoliko revidirano definicijo obrata v primeru transakcij prenosa premoženja. Revidirana definicija dosledno odraža definicijo iz direktive. Bistven poseg v do sedaj veljavno definicijo je v tem, da ta člen izrecno določa, da morajo kriteriji oziroma atributi za opredelitev obrata obstajati že ob izvedbi transakcije, torej ob prenosu premoženja oziroma </w:t>
      </w:r>
      <w:proofErr w:type="spellStart"/>
      <w:r w:rsidRPr="004F2DC3">
        <w:rPr>
          <w:rFonts w:ascii="Arial" w:hAnsi="Arial" w:cs="Arial"/>
          <w:sz w:val="20"/>
          <w:szCs w:val="20"/>
        </w:rPr>
        <w:t>izčlenitvi</w:t>
      </w:r>
      <w:proofErr w:type="spellEnd"/>
      <w:r w:rsidRPr="004F2DC3">
        <w:rPr>
          <w:rFonts w:ascii="Arial" w:hAnsi="Arial" w:cs="Arial"/>
          <w:sz w:val="20"/>
          <w:szCs w:val="20"/>
        </w:rPr>
        <w:t xml:space="preserve">. Določeno je, da se za obrat po tem členu šteje premoženje (vsa sredstva in obveznosti), ki se pripišejo delu družbe, ki ob prenosu premoženja z organizacijskega vidika predstavlja neodvisno poslovanje. Definicija odpravlja možnosti argumentiranja v smislu, da bo obrat šele v bodoče, po kvalificirani transakciji, sposoben oziroma zmožen tvoriti neodvisno poslovanje, kar ni v skladu s cilji in nameni direktive in ZDDPO-2, ki določata ugodnost odloga davka (davčna nevtralnost) v trenutku transakcije pri prestrukturiranjih zaradi reorganizacije ali racionalizacije dejavnosti oziroma poslovanja. Nedvomno se pri ugotavljanju pogojev za opisano ugodnost upoštevajo vsa dejstva in okoliščine konkretnega primera, vendar je za obrate skupna </w:t>
      </w:r>
      <w:proofErr w:type="spellStart"/>
      <w:r w:rsidRPr="004F2DC3">
        <w:rPr>
          <w:rFonts w:ascii="Arial" w:hAnsi="Arial" w:cs="Arial"/>
          <w:sz w:val="20"/>
          <w:szCs w:val="20"/>
        </w:rPr>
        <w:t>opredelilna</w:t>
      </w:r>
      <w:proofErr w:type="spellEnd"/>
      <w:r w:rsidRPr="004F2DC3">
        <w:rPr>
          <w:rFonts w:ascii="Arial" w:hAnsi="Arial" w:cs="Arial"/>
          <w:sz w:val="20"/>
          <w:szCs w:val="20"/>
        </w:rPr>
        <w:t xml:space="preserve"> značilnost, da so notranji organizacijski deli družbe, ki so s poslovno organizacijskega vidika samostojni do te mere, da tvorijo neodvisno poslovanje, vključno z možnostjo ustvarjanja učinkov (prihodki, odhodki). Terja se izvedljivost v funkcionalnem smislu oziroma organizirano premoženje v ekonomskem smislu (podjetje).    </w:t>
      </w:r>
    </w:p>
    <w:p w14:paraId="1CA507C5" w14:textId="77777777" w:rsidR="0001623A" w:rsidRPr="004F2DC3" w:rsidRDefault="0001623A" w:rsidP="0001623A">
      <w:pPr>
        <w:spacing w:after="0" w:line="269" w:lineRule="auto"/>
        <w:jc w:val="both"/>
        <w:rPr>
          <w:rFonts w:ascii="Arial" w:hAnsi="Arial" w:cs="Arial"/>
          <w:sz w:val="20"/>
          <w:szCs w:val="20"/>
        </w:rPr>
      </w:pPr>
    </w:p>
    <w:p w14:paraId="0227BF7A"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 xml:space="preserve">Ta člen določa nov drugi odstavek 39. člena zakona in na novo določa, kar je sicer že dolgo uveljavljena izvedbena praksa, da se člen ZDDPO-2, ki določa nevtralno davčno obravnavo pri prenosu premoženja uporablja tudi za transakcije </w:t>
      </w:r>
      <w:proofErr w:type="spellStart"/>
      <w:r w:rsidRPr="004F2DC3">
        <w:rPr>
          <w:rFonts w:ascii="Arial" w:hAnsi="Arial" w:cs="Arial"/>
          <w:sz w:val="20"/>
          <w:szCs w:val="20"/>
        </w:rPr>
        <w:t>izčlenitev</w:t>
      </w:r>
      <w:proofErr w:type="spellEnd"/>
      <w:r w:rsidRPr="004F2DC3">
        <w:rPr>
          <w:rFonts w:ascii="Arial" w:hAnsi="Arial" w:cs="Arial"/>
          <w:sz w:val="20"/>
          <w:szCs w:val="20"/>
        </w:rPr>
        <w:t xml:space="preserve">, ki se izvedejo v skladu z zakonom, ki ureja gospodarske družbe. Namreč, kljub temu, da je </w:t>
      </w:r>
      <w:proofErr w:type="spellStart"/>
      <w:r w:rsidRPr="004F2DC3">
        <w:rPr>
          <w:rFonts w:ascii="Arial" w:hAnsi="Arial" w:cs="Arial"/>
          <w:sz w:val="20"/>
          <w:szCs w:val="20"/>
        </w:rPr>
        <w:t>izčlenitev</w:t>
      </w:r>
      <w:proofErr w:type="spellEnd"/>
      <w:r w:rsidRPr="004F2DC3">
        <w:rPr>
          <w:rFonts w:ascii="Arial" w:hAnsi="Arial" w:cs="Arial"/>
          <w:sz w:val="20"/>
          <w:szCs w:val="20"/>
        </w:rPr>
        <w:t xml:space="preserve"> v skladu z določbami zakona, ki ureja gospodarske družbe, opredeljena kot pojavna oblika delitve, pa jo zaradi značilnosti, zlasti v smislu, da deleži, ki jih prevzemna družba zagotovi v zameno za prejeto premoženje, pripadajo prenosni družbi in ne imetnikom deležev prenosne družbe, po vsebini lahko primerjamo s prenosom premoženja, kot ga ureja ZDDPO-2 v 39. členu. Za prenos premoženja se namreč po navedenem členu ZDDPO-2 in enako tudi po direktivi EU šteje transakcija, s katero družba (prenosna družba), ne da bi prenehala, prenese enega ali več obratov na drugo že ustanovljeno družbo ali na družbo, ki jo ustanovi (prevzemna družba), v zamenjavo za izdajo ali prenos vrednostnih papirjev, ki predstavljajo deleže v kapitalu prevzemne družbe, prenosni družbi. Nadalje je relevantno, da zakon, ki ureja gospodarske družbe, ne pozna instituta prenosa premoženja v smislu ZDDPO-2. </w:t>
      </w:r>
    </w:p>
    <w:p w14:paraId="49E9538E" w14:textId="77777777" w:rsidR="0001623A" w:rsidRPr="004F2DC3" w:rsidRDefault="0001623A" w:rsidP="0001623A">
      <w:pPr>
        <w:spacing w:after="0" w:line="269" w:lineRule="auto"/>
        <w:rPr>
          <w:rFonts w:ascii="Arial" w:eastAsia="Times New Roman" w:hAnsi="Arial" w:cs="Arial"/>
          <w:sz w:val="20"/>
          <w:szCs w:val="20"/>
          <w:lang w:eastAsia="sl-SI"/>
        </w:rPr>
      </w:pPr>
    </w:p>
    <w:p w14:paraId="17375D2F" w14:textId="77777777" w:rsidR="0001623A" w:rsidRPr="004F2DC3" w:rsidRDefault="0001623A" w:rsidP="0001623A">
      <w:pPr>
        <w:shd w:val="clear" w:color="auto" w:fill="FFFFFF"/>
        <w:spacing w:after="0" w:line="269" w:lineRule="auto"/>
        <w:jc w:val="both"/>
        <w:rPr>
          <w:rFonts w:ascii="Arial" w:hAnsi="Arial" w:cs="Arial"/>
          <w:b/>
          <w:bCs/>
          <w:sz w:val="20"/>
          <w:szCs w:val="20"/>
        </w:rPr>
      </w:pPr>
      <w:r w:rsidRPr="004F2DC3">
        <w:rPr>
          <w:rFonts w:ascii="Arial" w:hAnsi="Arial" w:cs="Arial"/>
          <w:b/>
          <w:bCs/>
          <w:sz w:val="20"/>
          <w:szCs w:val="20"/>
        </w:rPr>
        <w:t>K 2. členu</w:t>
      </w:r>
    </w:p>
    <w:p w14:paraId="41FEA273"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 xml:space="preserve">Ta člen zaradi jasnosti in nedvoumnosti dopolnjuje drugi in tretji odstavek 48. člena zakona. Jasno je določeno, da se tako v primeru oddelitev z ustanovitvijo kot v primeru oddelitve s prevzemom za davčno nevtralno obravnavo transakcije oddelitve, med drugim, zahteva prenos enega ali več obratov prenosne družbe. </w:t>
      </w:r>
    </w:p>
    <w:p w14:paraId="60AAEF77" w14:textId="77777777" w:rsidR="0001623A" w:rsidRPr="004F2DC3" w:rsidRDefault="0001623A" w:rsidP="0001623A">
      <w:pPr>
        <w:spacing w:after="0" w:line="269" w:lineRule="auto"/>
        <w:jc w:val="both"/>
        <w:rPr>
          <w:rFonts w:ascii="Arial" w:hAnsi="Arial" w:cs="Arial"/>
          <w:sz w:val="20"/>
          <w:szCs w:val="20"/>
        </w:rPr>
      </w:pPr>
    </w:p>
    <w:p w14:paraId="18B19255"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 xml:space="preserve">Ta člen tudi nadomešča dosedanje besedilo oziroma konkretno definicijo obrata v četrtem odstavku 48. členu zakona, kot je to določeno tudi v 2. členu te novele, ki spreminja definicijo obrata v 39. členu zakona. </w:t>
      </w:r>
    </w:p>
    <w:p w14:paraId="6F478225" w14:textId="77777777" w:rsidR="0001623A" w:rsidRPr="004F2DC3" w:rsidRDefault="0001623A" w:rsidP="0001623A">
      <w:pPr>
        <w:spacing w:after="0" w:line="269" w:lineRule="auto"/>
        <w:jc w:val="both"/>
        <w:rPr>
          <w:rFonts w:ascii="Arial" w:hAnsi="Arial" w:cs="Arial"/>
          <w:sz w:val="20"/>
          <w:szCs w:val="20"/>
        </w:rPr>
      </w:pPr>
    </w:p>
    <w:p w14:paraId="2558B948" w14:textId="77777777" w:rsidR="0001623A" w:rsidRPr="004F2DC3" w:rsidRDefault="0001623A" w:rsidP="0001623A">
      <w:pPr>
        <w:shd w:val="clear" w:color="auto" w:fill="FFFFFF"/>
        <w:spacing w:after="0" w:line="269" w:lineRule="auto"/>
        <w:jc w:val="both"/>
        <w:rPr>
          <w:rFonts w:ascii="Arial" w:hAnsi="Arial" w:cs="Arial"/>
          <w:b/>
          <w:bCs/>
          <w:sz w:val="20"/>
          <w:szCs w:val="20"/>
        </w:rPr>
      </w:pPr>
      <w:r w:rsidRPr="004F2DC3">
        <w:rPr>
          <w:rFonts w:ascii="Arial" w:hAnsi="Arial" w:cs="Arial"/>
          <w:b/>
          <w:bCs/>
          <w:sz w:val="20"/>
          <w:szCs w:val="20"/>
        </w:rPr>
        <w:t>K 3. členu</w:t>
      </w:r>
    </w:p>
    <w:p w14:paraId="57C8D21A" w14:textId="77777777" w:rsidR="0001623A" w:rsidRPr="004F2DC3" w:rsidRDefault="0001623A" w:rsidP="0001623A">
      <w:pPr>
        <w:spacing w:line="269" w:lineRule="auto"/>
        <w:jc w:val="both"/>
        <w:rPr>
          <w:rFonts w:ascii="Arial" w:hAnsi="Arial" w:cs="Arial"/>
          <w:sz w:val="20"/>
          <w:szCs w:val="20"/>
        </w:rPr>
      </w:pPr>
      <w:r w:rsidRPr="004F2DC3">
        <w:rPr>
          <w:rFonts w:ascii="Arial" w:hAnsi="Arial" w:cs="Arial"/>
          <w:sz w:val="20"/>
          <w:szCs w:val="20"/>
        </w:rPr>
        <w:t xml:space="preserve">Ta člen določa materijo ZDDPO-2, ki je bolj odvisna ali vezana na drugo zakonodajo kot večina določb ZDDPO-2 v smislu opredelitev in delno vsebine, hkrati pa zasleduje tudi davčne cilje in namene, zato dodatno določa nekatere pogoje, vendar na način, ki je primeren in smiseln ter sledi dejanski vsebini delovanja predmetnih skladov.  </w:t>
      </w:r>
    </w:p>
    <w:p w14:paraId="4E310C35" w14:textId="77777777" w:rsidR="0001623A" w:rsidRPr="004F2DC3" w:rsidRDefault="0001623A" w:rsidP="0001623A">
      <w:pPr>
        <w:spacing w:line="269" w:lineRule="auto"/>
        <w:jc w:val="both"/>
        <w:rPr>
          <w:rFonts w:ascii="Arial" w:hAnsi="Arial" w:cs="Arial"/>
          <w:i/>
          <w:iCs/>
          <w:sz w:val="20"/>
          <w:szCs w:val="20"/>
        </w:rPr>
      </w:pPr>
      <w:r w:rsidRPr="004F2DC3">
        <w:rPr>
          <w:rFonts w:ascii="Arial" w:hAnsi="Arial" w:cs="Arial"/>
          <w:sz w:val="20"/>
          <w:szCs w:val="20"/>
        </w:rPr>
        <w:t xml:space="preserve">4. člen posega v 61. člen ZDDPO-2. Določa posebno stopnjo obdavčitve in posledično posebno davčno obravnavo dohodkov investicijskih skladov oziroma zaradi spremembe pravnega okvira za ustanavljanje in delovanje investicijskih skladov prilagaja 61. člen v predmetnem delu. V obseg prvega odstavka 61. člena zakona spadajo alternativni investicijski skladi, ki so pravne osebe in so ustanovljeni po zakonu, ki ureja oblike alternativnih investicijskih skladov, in sicer specialni investicijski skladi ter nepremičninske </w:t>
      </w:r>
      <w:r w:rsidRPr="004F2DC3">
        <w:rPr>
          <w:rFonts w:ascii="Arial" w:hAnsi="Arial" w:cs="Arial"/>
          <w:sz w:val="20"/>
          <w:szCs w:val="20"/>
        </w:rPr>
        <w:lastRenderedPageBreak/>
        <w:t xml:space="preserve">investicijske družbe. V členu je izbran </w:t>
      </w:r>
      <w:proofErr w:type="spellStart"/>
      <w:r w:rsidRPr="004F2DC3">
        <w:rPr>
          <w:rFonts w:ascii="Arial" w:hAnsi="Arial" w:cs="Arial"/>
          <w:sz w:val="20"/>
          <w:szCs w:val="20"/>
        </w:rPr>
        <w:t>nomotehnični</w:t>
      </w:r>
      <w:proofErr w:type="spellEnd"/>
      <w:r w:rsidRPr="004F2DC3">
        <w:rPr>
          <w:rFonts w:ascii="Arial" w:hAnsi="Arial" w:cs="Arial"/>
          <w:sz w:val="20"/>
          <w:szCs w:val="20"/>
        </w:rPr>
        <w:t xml:space="preserve"> pristop v obliki sklicevanja na točno določena oddelka Zakona o oblikah alternativnih investicijskih skladov, ki jih urejata. V členu je dodatno določeno še, da morajo biti ustanovljeni po ZOAIS, kar pomeni, da se glede njihove določnosti in vsebine uporabljajo tudi druge ustrezne določbe matične zakonodaje. Za predmetne investicijske sklade je določeno, da plačujejo davek v davčnem obdobju po stopnji 0 % od davčne osnove, če do 30. novembra tega obdobja razdelijo najmanj 75 % poslovnega dobička prejšnjega davčnega obdobja (v nadaljnjem besedilu: razdelitev), ki ne zajema nerealiziranih dobičkov. V izogib presplošnemu navajanju zakonskih pojmov, upoštevaje navezovanje določb ZDDPO-2 na računovodska pravila in izjeme od njih, je na koncu prvega odstavka pojasnjevalno določeno, da so nerealizirani dobički po tem odstavku dobički, ki niso nastali ob prodaji ali drugi odtujitvi. To pomeni, da je skladom po prvem odstavku tega člena določena enaka davčna obravnava, kot je bila določena za investicijske sklade pravne osebe, ki so bili urejeni po zakonu, ki ureja investicijske sklade in družbe za upravljanje. Nadalje, to pomeni, da se zadrži plačilo davka po 0 % stopnji od davčne osnove in pogoj razdelitve poslovnega dobička prejšnjega davčnega obdobja. Kot že navedeno, je dodano, da se v znesek, »ki se mora deliti«, da je pogoj izpolnjen, ne vključujejo t. i. nerealizirani dobički. Znesek poslovnega dobička za razdelitev za izpolnitev pogoja za posebno davčno obravnavo je določen v razumnem znesku, in sicer na 75 %.</w:t>
      </w:r>
      <w:r w:rsidRPr="004F2DC3">
        <w:rPr>
          <w:rFonts w:ascii="Arial" w:hAnsi="Arial" w:cs="Arial"/>
          <w:i/>
          <w:iCs/>
          <w:sz w:val="20"/>
          <w:szCs w:val="20"/>
        </w:rPr>
        <w:t xml:space="preserve"> </w:t>
      </w:r>
    </w:p>
    <w:p w14:paraId="4AAE2226" w14:textId="77777777" w:rsidR="0001623A" w:rsidRPr="004F2DC3" w:rsidRDefault="0001623A" w:rsidP="0001623A">
      <w:pPr>
        <w:spacing w:line="269" w:lineRule="auto"/>
        <w:jc w:val="both"/>
        <w:rPr>
          <w:rFonts w:ascii="Arial" w:hAnsi="Arial" w:cs="Arial"/>
          <w:sz w:val="20"/>
          <w:szCs w:val="20"/>
        </w:rPr>
      </w:pPr>
      <w:r w:rsidRPr="004F2DC3">
        <w:rPr>
          <w:rFonts w:ascii="Arial" w:hAnsi="Arial" w:cs="Arial"/>
          <w:sz w:val="20"/>
          <w:szCs w:val="20"/>
        </w:rPr>
        <w:t xml:space="preserve">V drugem odstavku se ureja situacije, da sklad izključi nekatere dohodke (najemnine, obresti) oziroma dohodke iz nekaterih dejavnosti, ker bo denimo opravljal dejavnost neposrednega nalaganja v nepremičnine oziroma bo posojal sredstva. Povezano in dodatno je treba pojasniti, da je obseg opravljanja dejavnosti določen že v osnovni, matični zakonodaji, ki ureja predmetne sklade. Za te primere je določeno, da se pri investicijskih skladih iz prvega odstavka iz davčne osnove, na katero se uporabi davčna stopnja 0 %, izključi dohodke iz dejavnosti oddajanja v najem, finančnega zakupa in posojil. Za slednje dejavnosti investicijski skladi iz prvega odstavka tega člena sestavijo ločen davčni obračun v skladu z ZDDPO-2.   </w:t>
      </w:r>
    </w:p>
    <w:p w14:paraId="1560DDEE" w14:textId="77777777" w:rsidR="0001623A" w:rsidRPr="004F2DC3" w:rsidRDefault="0001623A" w:rsidP="0001623A">
      <w:pPr>
        <w:spacing w:line="269" w:lineRule="auto"/>
        <w:jc w:val="both"/>
        <w:rPr>
          <w:rFonts w:ascii="Arial" w:hAnsi="Arial" w:cs="Arial"/>
          <w:b/>
          <w:bCs/>
          <w:sz w:val="20"/>
          <w:szCs w:val="20"/>
        </w:rPr>
      </w:pPr>
      <w:r w:rsidRPr="004F2DC3">
        <w:rPr>
          <w:rFonts w:ascii="Arial" w:hAnsi="Arial" w:cs="Arial"/>
          <w:sz w:val="20"/>
          <w:szCs w:val="20"/>
        </w:rPr>
        <w:t>V enak položaj kot skladi, določeni oziroma našteti v prvem odstavku 61. člena ZDDPO-2, so zaradi spoštovanja pravic in svoboščin na enotnem trgu postavljeni tudi skladi, določeni in oblikovani v skladu z ustreznimi Uredbami EU, in sicer evropski dolgoročni investicijski skladi (ELTIF), evropski skladi za socialno podjetništvo (</w:t>
      </w:r>
      <w:proofErr w:type="spellStart"/>
      <w:r w:rsidRPr="004F2DC3">
        <w:rPr>
          <w:rFonts w:ascii="Arial" w:hAnsi="Arial" w:cs="Arial"/>
          <w:sz w:val="20"/>
          <w:szCs w:val="20"/>
        </w:rPr>
        <w:t>EuSEF</w:t>
      </w:r>
      <w:proofErr w:type="spellEnd"/>
      <w:r w:rsidRPr="004F2DC3">
        <w:rPr>
          <w:rFonts w:ascii="Arial" w:hAnsi="Arial" w:cs="Arial"/>
          <w:sz w:val="20"/>
          <w:szCs w:val="20"/>
        </w:rPr>
        <w:t>) in evropski skladi tveganega kapitala (</w:t>
      </w:r>
      <w:proofErr w:type="spellStart"/>
      <w:r w:rsidRPr="004F2DC3">
        <w:rPr>
          <w:rFonts w:ascii="Arial" w:hAnsi="Arial" w:cs="Arial"/>
          <w:sz w:val="20"/>
          <w:szCs w:val="20"/>
        </w:rPr>
        <w:t>EuVECA</w:t>
      </w:r>
      <w:proofErr w:type="spellEnd"/>
      <w:r w:rsidRPr="004F2DC3">
        <w:rPr>
          <w:rFonts w:ascii="Arial" w:hAnsi="Arial" w:cs="Arial"/>
          <w:sz w:val="20"/>
          <w:szCs w:val="20"/>
        </w:rPr>
        <w:t xml:space="preserve">).  </w:t>
      </w:r>
    </w:p>
    <w:p w14:paraId="402EA9EF" w14:textId="77777777" w:rsidR="0001623A" w:rsidRPr="004F2DC3" w:rsidRDefault="0001623A" w:rsidP="0001623A">
      <w:pPr>
        <w:shd w:val="clear" w:color="auto" w:fill="FFFFFF"/>
        <w:spacing w:after="0" w:line="269" w:lineRule="auto"/>
        <w:jc w:val="both"/>
        <w:rPr>
          <w:rFonts w:ascii="Arial" w:hAnsi="Arial" w:cs="Arial"/>
          <w:b/>
          <w:bCs/>
          <w:sz w:val="20"/>
          <w:szCs w:val="20"/>
        </w:rPr>
      </w:pPr>
      <w:r w:rsidRPr="004F2DC3">
        <w:rPr>
          <w:rFonts w:ascii="Arial" w:hAnsi="Arial" w:cs="Arial"/>
          <w:b/>
          <w:bCs/>
          <w:sz w:val="20"/>
          <w:szCs w:val="20"/>
        </w:rPr>
        <w:t>K  4. členu</w:t>
      </w:r>
    </w:p>
    <w:p w14:paraId="593A11AF"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 xml:space="preserve">Zaradi prenosa pravila o omejitvi obresti, t. i. pravila EBITDA iz Direktive Sveta (EU) 2016/1164 z dne 12. julija 2016 o določitvi pravil proti praksam izogibanja davkom, ki neposredno vplivajo na delovanje notranjega trga (v nadaljnjem besedilu direktiva ATAD), v ZDDPO-2 je bilo preneseno v letu 2023, je bil v letu 2024 iz ZDDPO-2 črtan 32. člen ZDDPO-2, ki je do tedaj urejal davčno podobno vsebino t j. davčno  obravnavo obresti od presežka posojil. Pri tem pa se ni črtala omemba črtanega 32. člena ZDDPO-2 iz določbe 74. člena ZDDPO-2, v delu, ki ureja prikrito izplačilo dobička. Ta člen citirano določilo oziroma njegov del črta. </w:t>
      </w:r>
    </w:p>
    <w:p w14:paraId="23C55AF1" w14:textId="77777777" w:rsidR="0001623A" w:rsidRPr="004F2DC3" w:rsidRDefault="0001623A" w:rsidP="0001623A">
      <w:pPr>
        <w:spacing w:after="0" w:line="269" w:lineRule="auto"/>
        <w:jc w:val="both"/>
        <w:rPr>
          <w:rFonts w:ascii="Arial" w:hAnsi="Arial" w:cs="Arial"/>
          <w:sz w:val="20"/>
          <w:szCs w:val="20"/>
        </w:rPr>
      </w:pPr>
    </w:p>
    <w:p w14:paraId="653E8665" w14:textId="77777777" w:rsidR="0001623A" w:rsidRPr="004F2DC3" w:rsidRDefault="0001623A" w:rsidP="0001623A">
      <w:pPr>
        <w:shd w:val="clear" w:color="auto" w:fill="FFFFFF"/>
        <w:spacing w:after="0" w:line="269" w:lineRule="auto"/>
        <w:jc w:val="both"/>
        <w:rPr>
          <w:rFonts w:ascii="Arial" w:hAnsi="Arial" w:cs="Arial"/>
          <w:b/>
          <w:bCs/>
          <w:sz w:val="20"/>
          <w:szCs w:val="20"/>
        </w:rPr>
      </w:pPr>
      <w:r w:rsidRPr="004F2DC3">
        <w:rPr>
          <w:rFonts w:ascii="Arial" w:hAnsi="Arial" w:cs="Arial"/>
          <w:b/>
          <w:bCs/>
          <w:sz w:val="20"/>
          <w:szCs w:val="20"/>
        </w:rPr>
        <w:t>K  5. členu</w:t>
      </w:r>
    </w:p>
    <w:p w14:paraId="2AB6CF66" w14:textId="77777777" w:rsidR="0001623A" w:rsidRPr="004F2DC3" w:rsidRDefault="0001623A" w:rsidP="0001623A">
      <w:pPr>
        <w:shd w:val="clear" w:color="auto" w:fill="FFFFFF"/>
        <w:spacing w:after="0" w:line="269" w:lineRule="auto"/>
        <w:jc w:val="both"/>
        <w:rPr>
          <w:rFonts w:ascii="Arial" w:hAnsi="Arial" w:cs="Arial"/>
          <w:sz w:val="20"/>
          <w:szCs w:val="20"/>
        </w:rPr>
      </w:pPr>
      <w:r w:rsidRPr="004F2DC3">
        <w:rPr>
          <w:rFonts w:ascii="Arial" w:hAnsi="Arial" w:cs="Arial"/>
          <w:sz w:val="20"/>
          <w:szCs w:val="20"/>
        </w:rPr>
        <w:t xml:space="preserve">Ta člen je končna in uveljavitvena določba ter določa uporabo zakona. </w:t>
      </w:r>
    </w:p>
    <w:p w14:paraId="423F3573"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br w:type="page"/>
      </w:r>
    </w:p>
    <w:p w14:paraId="0DF25BDD" w14:textId="77777777" w:rsidR="0001623A" w:rsidRPr="004F2DC3" w:rsidRDefault="0001623A" w:rsidP="0001623A">
      <w:pPr>
        <w:spacing w:after="0" w:line="269" w:lineRule="auto"/>
        <w:jc w:val="both"/>
        <w:rPr>
          <w:rFonts w:ascii="Arial" w:hAnsi="Arial" w:cs="Arial"/>
          <w:b/>
          <w:bCs/>
          <w:sz w:val="20"/>
          <w:szCs w:val="20"/>
        </w:rPr>
      </w:pPr>
      <w:r w:rsidRPr="004F2DC3">
        <w:rPr>
          <w:rFonts w:ascii="Arial" w:hAnsi="Arial" w:cs="Arial"/>
          <w:b/>
          <w:bCs/>
          <w:sz w:val="20"/>
          <w:szCs w:val="20"/>
        </w:rPr>
        <w:lastRenderedPageBreak/>
        <w:t>IV. BESEDILO ČLENOV, KI SE SPREMINJAJO</w:t>
      </w:r>
    </w:p>
    <w:p w14:paraId="25BAF405" w14:textId="77777777" w:rsidR="0001623A" w:rsidRPr="004F2DC3" w:rsidRDefault="0001623A" w:rsidP="0001623A">
      <w:pPr>
        <w:spacing w:after="0" w:line="269" w:lineRule="auto"/>
        <w:jc w:val="both"/>
        <w:rPr>
          <w:rFonts w:ascii="Arial" w:hAnsi="Arial" w:cs="Arial"/>
          <w:sz w:val="20"/>
          <w:szCs w:val="20"/>
        </w:rPr>
      </w:pPr>
    </w:p>
    <w:p w14:paraId="10302947" w14:textId="77777777" w:rsidR="0001623A" w:rsidRPr="004F2DC3" w:rsidRDefault="0001623A" w:rsidP="0001623A">
      <w:pPr>
        <w:spacing w:after="0" w:line="269" w:lineRule="auto"/>
        <w:jc w:val="both"/>
        <w:rPr>
          <w:rFonts w:ascii="Arial" w:hAnsi="Arial" w:cs="Arial"/>
          <w:b/>
          <w:bCs/>
          <w:sz w:val="20"/>
          <w:szCs w:val="20"/>
        </w:rPr>
      </w:pPr>
    </w:p>
    <w:p w14:paraId="22AC4AE2" w14:textId="77777777" w:rsidR="0001623A" w:rsidRPr="004F2DC3" w:rsidRDefault="0001623A" w:rsidP="0001623A">
      <w:pPr>
        <w:spacing w:after="0" w:line="269" w:lineRule="auto"/>
        <w:jc w:val="center"/>
        <w:rPr>
          <w:rFonts w:ascii="Arial" w:hAnsi="Arial" w:cs="Arial"/>
          <w:sz w:val="20"/>
          <w:szCs w:val="20"/>
        </w:rPr>
      </w:pPr>
      <w:r w:rsidRPr="004F2DC3">
        <w:rPr>
          <w:rFonts w:ascii="Arial" w:hAnsi="Arial" w:cs="Arial"/>
          <w:sz w:val="20"/>
          <w:szCs w:val="20"/>
        </w:rPr>
        <w:t>39. člen</w:t>
      </w:r>
    </w:p>
    <w:p w14:paraId="46C17B85" w14:textId="77777777" w:rsidR="0001623A" w:rsidRPr="004F2DC3" w:rsidRDefault="0001623A" w:rsidP="0001623A">
      <w:pPr>
        <w:spacing w:after="0" w:line="269" w:lineRule="auto"/>
        <w:jc w:val="center"/>
        <w:rPr>
          <w:rFonts w:ascii="Arial" w:hAnsi="Arial" w:cs="Arial"/>
          <w:sz w:val="20"/>
          <w:szCs w:val="20"/>
        </w:rPr>
      </w:pPr>
      <w:r w:rsidRPr="004F2DC3">
        <w:rPr>
          <w:rFonts w:ascii="Arial" w:hAnsi="Arial" w:cs="Arial"/>
          <w:sz w:val="20"/>
          <w:szCs w:val="20"/>
        </w:rPr>
        <w:t>(prenos premoženja)</w:t>
      </w:r>
    </w:p>
    <w:p w14:paraId="07AC78BC" w14:textId="77777777" w:rsidR="0001623A" w:rsidRPr="004F2DC3" w:rsidRDefault="0001623A" w:rsidP="0001623A">
      <w:pPr>
        <w:spacing w:after="0" w:line="269" w:lineRule="auto"/>
        <w:jc w:val="both"/>
        <w:rPr>
          <w:rFonts w:ascii="Arial" w:hAnsi="Arial" w:cs="Arial"/>
          <w:b/>
          <w:bCs/>
          <w:sz w:val="20"/>
          <w:szCs w:val="20"/>
        </w:rPr>
      </w:pPr>
    </w:p>
    <w:p w14:paraId="7EA0687C"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Za prenos premoženja po tem členu se šteje transakcija, s katero družba (v nadaljnjem besedilu: prenosna družba), ne da bi prenehala, prenese enega ali več obratov na drugo že ustanovljeno družbo ali na družbo, ki jo ustanovi (v nadaljnjem besedilu: prevzemna družba), v zamenjavo za izdajo ali prenos vrednostnih papirjev, ki predstavljajo deleže v kapitalu prevzemne družbe, prenosni družbi. Za obrat po tem členu se šteje premoženje (vsa sredstva in obveznosti), ki se lahko pripiše delu družbe, ki je s poslovno organizacijskega vidika sposobno tvoriti neodvisno poslovanje, in je subjekt, ki je zmožen poslovati z lastnim premoženjem.</w:t>
      </w:r>
    </w:p>
    <w:p w14:paraId="6AD552FB" w14:textId="77777777" w:rsidR="0001623A" w:rsidRPr="004F2DC3" w:rsidRDefault="0001623A" w:rsidP="0001623A">
      <w:pPr>
        <w:spacing w:after="0" w:line="269" w:lineRule="auto"/>
        <w:jc w:val="both"/>
        <w:rPr>
          <w:rFonts w:ascii="Arial" w:hAnsi="Arial" w:cs="Arial"/>
          <w:b/>
          <w:bCs/>
          <w:sz w:val="20"/>
          <w:szCs w:val="20"/>
        </w:rPr>
      </w:pPr>
    </w:p>
    <w:p w14:paraId="14DD63CB" w14:textId="77777777" w:rsidR="0001623A" w:rsidRPr="004F2DC3" w:rsidRDefault="0001623A" w:rsidP="0001623A">
      <w:pPr>
        <w:spacing w:after="0" w:line="269" w:lineRule="auto"/>
        <w:jc w:val="center"/>
        <w:rPr>
          <w:rFonts w:ascii="Arial" w:hAnsi="Arial" w:cs="Arial"/>
          <w:sz w:val="20"/>
          <w:szCs w:val="20"/>
        </w:rPr>
      </w:pPr>
      <w:r w:rsidRPr="004F2DC3">
        <w:rPr>
          <w:rFonts w:ascii="Arial" w:hAnsi="Arial" w:cs="Arial"/>
          <w:sz w:val="20"/>
          <w:szCs w:val="20"/>
        </w:rPr>
        <w:t>48. člen</w:t>
      </w:r>
    </w:p>
    <w:p w14:paraId="0C4A18EC" w14:textId="77777777" w:rsidR="0001623A" w:rsidRPr="004F2DC3" w:rsidRDefault="0001623A" w:rsidP="0001623A">
      <w:pPr>
        <w:spacing w:after="0" w:line="269" w:lineRule="auto"/>
        <w:jc w:val="center"/>
        <w:rPr>
          <w:rFonts w:ascii="Arial" w:hAnsi="Arial" w:cs="Arial"/>
          <w:sz w:val="20"/>
          <w:szCs w:val="20"/>
        </w:rPr>
      </w:pPr>
      <w:r w:rsidRPr="004F2DC3">
        <w:rPr>
          <w:rFonts w:ascii="Arial" w:hAnsi="Arial" w:cs="Arial"/>
          <w:sz w:val="20"/>
          <w:szCs w:val="20"/>
        </w:rPr>
        <w:t>(združitve in delitve)</w:t>
      </w:r>
    </w:p>
    <w:p w14:paraId="11AAD5BA" w14:textId="77777777" w:rsidR="0001623A" w:rsidRPr="004F2DC3" w:rsidRDefault="0001623A" w:rsidP="0001623A">
      <w:pPr>
        <w:spacing w:after="0" w:line="269" w:lineRule="auto"/>
        <w:jc w:val="both"/>
        <w:rPr>
          <w:rFonts w:ascii="Arial" w:hAnsi="Arial" w:cs="Arial"/>
          <w:sz w:val="20"/>
          <w:szCs w:val="20"/>
        </w:rPr>
      </w:pPr>
    </w:p>
    <w:p w14:paraId="61D5F8B1"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(1) Za združitev in delitev se šteje transakcija, ki se izvede v skladu z določili zakona, ki ureja gospodarske družbe o statusnem preoblikovanju družb.</w:t>
      </w:r>
    </w:p>
    <w:p w14:paraId="68B27A03" w14:textId="77777777" w:rsidR="0001623A" w:rsidRPr="004F2DC3" w:rsidRDefault="0001623A" w:rsidP="0001623A">
      <w:pPr>
        <w:spacing w:after="0" w:line="269" w:lineRule="auto"/>
        <w:jc w:val="both"/>
        <w:rPr>
          <w:rFonts w:ascii="Arial" w:hAnsi="Arial" w:cs="Arial"/>
          <w:sz w:val="20"/>
          <w:szCs w:val="20"/>
        </w:rPr>
      </w:pPr>
    </w:p>
    <w:p w14:paraId="21FFAB85"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(2) V primeru oddelitev in razdelitev s prevzemom se določbe tega poglavja uporabljajo samo, če gre za oddelitev ali razdelitev enega ali več obratov prenosne družbe.</w:t>
      </w:r>
    </w:p>
    <w:p w14:paraId="6863CC67" w14:textId="77777777" w:rsidR="0001623A" w:rsidRPr="004F2DC3" w:rsidRDefault="0001623A" w:rsidP="0001623A">
      <w:pPr>
        <w:spacing w:after="0" w:line="269" w:lineRule="auto"/>
        <w:jc w:val="both"/>
        <w:rPr>
          <w:rFonts w:ascii="Arial" w:hAnsi="Arial" w:cs="Arial"/>
          <w:sz w:val="20"/>
          <w:szCs w:val="20"/>
        </w:rPr>
      </w:pPr>
    </w:p>
    <w:p w14:paraId="57A5895F"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(3) V primeru oddelitve se določbe tega poglavja uporabljajo samo, če po oddelitvi na prenosni družbi ostane vsaj en obrat.</w:t>
      </w:r>
    </w:p>
    <w:p w14:paraId="0493E851" w14:textId="77777777" w:rsidR="0001623A" w:rsidRPr="004F2DC3" w:rsidRDefault="0001623A" w:rsidP="0001623A">
      <w:pPr>
        <w:spacing w:after="0" w:line="269" w:lineRule="auto"/>
        <w:jc w:val="both"/>
        <w:rPr>
          <w:rFonts w:ascii="Arial" w:hAnsi="Arial" w:cs="Arial"/>
          <w:sz w:val="20"/>
          <w:szCs w:val="20"/>
        </w:rPr>
      </w:pPr>
    </w:p>
    <w:p w14:paraId="394426FF"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(4) Za obrat po tem členu se šteje premoženje (vsa sredstva in obveznosti), ki se lahko pripiše delu družbe, ki je s poslovno organizacijskega vidika sposobno tvoriti neodvisno poslovanje, in je subjekt, ki je zmožen poslovati z lastnim premoženjem.</w:t>
      </w:r>
    </w:p>
    <w:p w14:paraId="0698C7A0" w14:textId="77777777" w:rsidR="0001623A" w:rsidRPr="004F2DC3" w:rsidRDefault="0001623A" w:rsidP="0001623A">
      <w:pPr>
        <w:spacing w:after="0" w:line="269" w:lineRule="auto"/>
        <w:jc w:val="both"/>
        <w:rPr>
          <w:rFonts w:ascii="Arial" w:hAnsi="Arial" w:cs="Arial"/>
          <w:b/>
          <w:bCs/>
          <w:sz w:val="20"/>
          <w:szCs w:val="20"/>
        </w:rPr>
      </w:pPr>
    </w:p>
    <w:p w14:paraId="2E2F0770" w14:textId="77777777" w:rsidR="0001623A" w:rsidRPr="004F2DC3" w:rsidRDefault="0001623A" w:rsidP="0001623A">
      <w:pPr>
        <w:spacing w:after="0" w:line="269" w:lineRule="auto"/>
        <w:jc w:val="center"/>
        <w:rPr>
          <w:rFonts w:ascii="Arial" w:hAnsi="Arial" w:cs="Arial"/>
          <w:sz w:val="20"/>
          <w:szCs w:val="20"/>
        </w:rPr>
      </w:pPr>
      <w:r w:rsidRPr="004F2DC3">
        <w:rPr>
          <w:rFonts w:ascii="Arial" w:hAnsi="Arial" w:cs="Arial"/>
          <w:sz w:val="20"/>
          <w:szCs w:val="20"/>
        </w:rPr>
        <w:t>61. člen</w:t>
      </w:r>
    </w:p>
    <w:p w14:paraId="5D3D2402" w14:textId="77777777" w:rsidR="0001623A" w:rsidRPr="004F2DC3" w:rsidRDefault="0001623A" w:rsidP="0001623A">
      <w:pPr>
        <w:spacing w:after="0" w:line="269" w:lineRule="auto"/>
        <w:jc w:val="center"/>
        <w:rPr>
          <w:rFonts w:ascii="Arial" w:hAnsi="Arial" w:cs="Arial"/>
          <w:sz w:val="20"/>
          <w:szCs w:val="20"/>
        </w:rPr>
      </w:pPr>
      <w:r w:rsidRPr="004F2DC3">
        <w:rPr>
          <w:rFonts w:ascii="Arial" w:hAnsi="Arial" w:cs="Arial"/>
          <w:sz w:val="20"/>
          <w:szCs w:val="20"/>
        </w:rPr>
        <w:t>(posebna stopnja)</w:t>
      </w:r>
    </w:p>
    <w:p w14:paraId="0D9B5625" w14:textId="77777777" w:rsidR="0001623A" w:rsidRPr="004F2DC3" w:rsidRDefault="0001623A" w:rsidP="0001623A">
      <w:pPr>
        <w:spacing w:after="0" w:line="269" w:lineRule="auto"/>
        <w:jc w:val="both"/>
        <w:rPr>
          <w:rFonts w:ascii="Arial" w:hAnsi="Arial" w:cs="Arial"/>
          <w:sz w:val="20"/>
          <w:szCs w:val="20"/>
        </w:rPr>
      </w:pPr>
    </w:p>
    <w:p w14:paraId="1B446EC2"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(1) Investicijski skladi, obdavčeni po tem zakonu, ki so ustanovljeni po zakonu, ki ureja investicijske sklade in družbe za upravljanje, plačujejo davek v davčnem obdobju po stopnji 0% od davčne osnove, če do 30. novembra tega obdobja razdelijo najmanj 90% poslovnega dobička prejšnjega davčnega obdobja.</w:t>
      </w:r>
    </w:p>
    <w:p w14:paraId="2B59CD7D" w14:textId="77777777" w:rsidR="0001623A" w:rsidRPr="004F2DC3" w:rsidRDefault="0001623A" w:rsidP="0001623A">
      <w:pPr>
        <w:spacing w:after="0" w:line="269" w:lineRule="auto"/>
        <w:jc w:val="both"/>
        <w:rPr>
          <w:rFonts w:ascii="Arial" w:hAnsi="Arial" w:cs="Arial"/>
          <w:sz w:val="20"/>
          <w:szCs w:val="20"/>
        </w:rPr>
      </w:pPr>
    </w:p>
    <w:p w14:paraId="2F2CF30D"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(2) Pokojninski skladi, obdavčeni po tem zakonu, ki so ustanovljeni po zakonu, ki ureja pokojninsko in invalidsko zavarovanje, plačujejo davek po stopnji 0% od davčne osnove.</w:t>
      </w:r>
    </w:p>
    <w:p w14:paraId="6A750DDD" w14:textId="77777777" w:rsidR="0001623A" w:rsidRPr="004F2DC3" w:rsidRDefault="0001623A" w:rsidP="0001623A">
      <w:pPr>
        <w:spacing w:after="0" w:line="269" w:lineRule="auto"/>
        <w:jc w:val="both"/>
        <w:rPr>
          <w:rFonts w:ascii="Arial" w:hAnsi="Arial" w:cs="Arial"/>
          <w:sz w:val="20"/>
          <w:szCs w:val="20"/>
        </w:rPr>
      </w:pPr>
    </w:p>
    <w:p w14:paraId="27A1D6D1"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(3) Zavarovalnice, ki lahko izvajajo pokojninski načrt v skladu z zakonom, ki ureja pokojninsko in invalidsko zavarovanje, plačujejo od dejavnosti izvajanja pokojninskega načrta davek po stopnji 0% od davčne osnove, če sestavijo ločen davčni obračun samo za ta pokojninski načrt.</w:t>
      </w:r>
    </w:p>
    <w:p w14:paraId="06BAC940" w14:textId="77777777" w:rsidR="0001623A" w:rsidRPr="004F2DC3" w:rsidRDefault="0001623A" w:rsidP="0001623A">
      <w:pPr>
        <w:spacing w:after="0" w:line="269" w:lineRule="auto"/>
        <w:jc w:val="both"/>
        <w:rPr>
          <w:rFonts w:ascii="Arial" w:hAnsi="Arial" w:cs="Arial"/>
          <w:sz w:val="20"/>
          <w:szCs w:val="20"/>
        </w:rPr>
      </w:pPr>
    </w:p>
    <w:p w14:paraId="46C74E01" w14:textId="77777777" w:rsidR="0001623A" w:rsidRPr="004F2DC3" w:rsidRDefault="0001623A" w:rsidP="0001623A">
      <w:pPr>
        <w:spacing w:after="0" w:line="269" w:lineRule="auto"/>
        <w:jc w:val="center"/>
        <w:rPr>
          <w:rFonts w:ascii="Arial" w:hAnsi="Arial" w:cs="Arial"/>
          <w:sz w:val="20"/>
          <w:szCs w:val="20"/>
        </w:rPr>
      </w:pPr>
      <w:r w:rsidRPr="004F2DC3">
        <w:rPr>
          <w:rFonts w:ascii="Arial" w:hAnsi="Arial" w:cs="Arial"/>
          <w:sz w:val="20"/>
          <w:szCs w:val="20"/>
        </w:rPr>
        <w:t>74. člen</w:t>
      </w:r>
    </w:p>
    <w:p w14:paraId="67084737" w14:textId="77777777" w:rsidR="0001623A" w:rsidRPr="004F2DC3" w:rsidRDefault="0001623A" w:rsidP="0001623A">
      <w:pPr>
        <w:spacing w:after="0" w:line="269" w:lineRule="auto"/>
        <w:jc w:val="center"/>
        <w:rPr>
          <w:rFonts w:ascii="Arial" w:hAnsi="Arial" w:cs="Arial"/>
          <w:sz w:val="20"/>
          <w:szCs w:val="20"/>
        </w:rPr>
      </w:pPr>
      <w:r w:rsidRPr="004F2DC3">
        <w:rPr>
          <w:rFonts w:ascii="Arial" w:hAnsi="Arial" w:cs="Arial"/>
          <w:sz w:val="20"/>
          <w:szCs w:val="20"/>
        </w:rPr>
        <w:t>(dohodki, podobni dividendam)</w:t>
      </w:r>
    </w:p>
    <w:p w14:paraId="43A0F46E" w14:textId="77777777" w:rsidR="0001623A" w:rsidRPr="004F2DC3" w:rsidRDefault="0001623A" w:rsidP="0001623A">
      <w:pPr>
        <w:spacing w:after="0" w:line="269" w:lineRule="auto"/>
        <w:jc w:val="both"/>
        <w:rPr>
          <w:rFonts w:ascii="Arial" w:hAnsi="Arial" w:cs="Arial"/>
          <w:sz w:val="20"/>
          <w:szCs w:val="20"/>
        </w:rPr>
      </w:pPr>
    </w:p>
    <w:p w14:paraId="10CDE593"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Za dohodke, podobne dividendam, se štejejo:</w:t>
      </w:r>
    </w:p>
    <w:p w14:paraId="45ECE210"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1.     dobiček, ki se izplača v zvezi z vrednostnimi papirji in krediti, ki zagotavljajo udeležbo v dobičku izplačevalca;</w:t>
      </w:r>
    </w:p>
    <w:p w14:paraId="2BA9595A"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2.     dobiček, rezerve iz dobička, osnovni kapital v delu, ki se je oblikoval iz predhodnega povečanja osnovnega kapitala iz dobička ali rezerv iz dobička in skrite rezerve izplačevalca, ob prenehanju izplačevalca;</w:t>
      </w:r>
    </w:p>
    <w:p w14:paraId="1AD5ADDC"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lastRenderedPageBreak/>
        <w:t>Skrite rezerve se izračunajo kot razlika med pošteno vrednostjo in davčno vrednostjo sredstev in obveznosti po stanju na dan pred vpisom zaključka likvidacije v sodni register.</w:t>
      </w:r>
    </w:p>
    <w:p w14:paraId="127B946F"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Poštena vrednost je znesek, za katerega je mogoče prodati ali na drug način zamenjati sredstvo ali s katerim je mogoče poravnati obveznost ali za katerega je mogoče zamenjati podeljen kapitalski inštrument med dobro obveščenima in voljnima strankama v poslu, v katerem sta stranki medsebojno neodvisni in enakopravni.</w:t>
      </w:r>
    </w:p>
    <w:p w14:paraId="29FA330D"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Davčna vrednost posameznega sredstva ali obveznosti je znesek, ki se prisodi temu sredstvu ali obveznosti pri obračunu davka oziroma na podlagi katerega se izračunavajo prihodki, odhodki, dobički in izgube pri obračunu davka.</w:t>
      </w:r>
    </w:p>
    <w:p w14:paraId="7E85538F"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3.     izplačana vrednost delnic ali poslovnih deležev, zmanjšana za njihovo emisijsko vrednost in za sorazmerni del kapitalskih rezerv, ob izključitvi ali izstopu delničarja, družbenika ali člana izplačevalca;</w:t>
      </w:r>
    </w:p>
    <w:p w14:paraId="5BE38CFC"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4.     izplačilo na podlagi rednega zmanjšanja osnovnega kapitala izplačevalca v delu, ki se je oblikoval iz predhodnega povečanja osnovnega kapitala iz dobička ali rezerv iz dobička;</w:t>
      </w:r>
    </w:p>
    <w:p w14:paraId="43A47916"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5.     izplačana vrednost pridobljenih lastnih delnic ali lastnih poslovnih in drugih lastnih deležev, zmanjšana za njihovo emisijsko vrednost in za sorazmerni del kapitalskih rezerv;</w:t>
      </w:r>
    </w:p>
    <w:p w14:paraId="17C61D28"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6.     dobiček, prenesen na podlagi podjetniške pogodbe v skladu z zakonom, ki ureja gospodarske družbe;</w:t>
      </w:r>
    </w:p>
    <w:p w14:paraId="26594B0B" w14:textId="77777777" w:rsidR="0001623A" w:rsidRPr="004F2DC3" w:rsidRDefault="0001623A" w:rsidP="0001623A">
      <w:pPr>
        <w:spacing w:after="0" w:line="269" w:lineRule="auto"/>
        <w:jc w:val="both"/>
        <w:rPr>
          <w:rFonts w:ascii="Arial" w:hAnsi="Arial" w:cs="Arial"/>
          <w:sz w:val="20"/>
          <w:szCs w:val="20"/>
        </w:rPr>
      </w:pPr>
      <w:r w:rsidRPr="004F2DC3">
        <w:rPr>
          <w:rFonts w:ascii="Arial" w:hAnsi="Arial" w:cs="Arial"/>
          <w:sz w:val="20"/>
          <w:szCs w:val="20"/>
        </w:rPr>
        <w:t>7.     prikrito izplačilo dobička, ki se opravi osebi, ki ima neposredno ali posredno v lasti najmanj 25% vrednosti ali števila delnic ali deležev v kapitalu, upravljanju ali nadzoru izplačevalca ali obvladuje izplačevalca na podlagi pogodbe ali na način, ki se razlikuje od razmerij med nepovezanimi osebami. Za prikrito izplačilo dobička se šteje vsako nadomestilo, ki ga zagotovi izplačevalec osebi iz prejšnjega stavka, zlasti zagotovitev vseh oblik sredstev in opravljanje storitev, vključno z odpustom dolga, brez plačila ali po ceni, ki je nižja od primerljive tržne cene iz 16. in 17. člena tega zakona, ali plačila za nakup vseh oblik sredstev in storitev po ceni, ki je višja od primerljive tržne cene iz 16. in 17. člena tega zakona, ali plačila za sredstva in storitve, če sredstva niso bila prevzeta ali storitve niso bile opravljene. Za prikrito izplačilo dobička se štejejo tudi obresti na posojila, dana po nižji ali prejeta po višji obrestni meri, kot znaša priznana obrestna mera iz 19. člena tega zakona, in obresti od presežka posojil iz 32. člena tega zakona.</w:t>
      </w:r>
    </w:p>
    <w:p w14:paraId="4AA0B1B9" w14:textId="77777777" w:rsidR="0001623A" w:rsidRPr="004F2DC3" w:rsidRDefault="0001623A" w:rsidP="0001623A">
      <w:pPr>
        <w:spacing w:after="0" w:line="269" w:lineRule="auto"/>
        <w:jc w:val="both"/>
        <w:rPr>
          <w:rFonts w:ascii="Arial" w:hAnsi="Arial" w:cs="Arial"/>
          <w:sz w:val="20"/>
          <w:szCs w:val="20"/>
        </w:rPr>
      </w:pPr>
    </w:p>
    <w:p w14:paraId="5C9538B7" w14:textId="77777777" w:rsidR="0001623A" w:rsidRDefault="0001623A"/>
    <w:sectPr w:rsidR="0001623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altName w:val="Arial"/>
    <w:panose1 w:val="020B0604020202020204"/>
    <w:charset w:val="EE"/>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623A"/>
    <w:rsid w:val="0001623A"/>
    <w:rsid w:val="009147E1"/>
    <w:rsid w:val="00AD5DD8"/>
    <w:rsid w:val="00C8796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862456"/>
  <w15:chartTrackingRefBased/>
  <w15:docId w15:val="{AF3592A8-A0B7-4DB7-900E-2F00D1BC4F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623A"/>
    <w:pPr>
      <w:spacing w:after="200" w:line="276" w:lineRule="auto"/>
    </w:pPr>
    <w:rPr>
      <w:rFonts w:ascii="Calibri" w:eastAsia="Calibri" w:hAnsi="Calibri" w:cs="Times New Roman"/>
      <w:kern w:val="0"/>
      <w14:ligatures w14:val="none"/>
    </w:rPr>
  </w:style>
  <w:style w:type="paragraph" w:styleId="Heading1">
    <w:name w:val="heading 1"/>
    <w:basedOn w:val="Normal"/>
    <w:next w:val="Normal"/>
    <w:link w:val="Heading1Char"/>
    <w:uiPriority w:val="9"/>
    <w:qFormat/>
    <w:rsid w:val="0001623A"/>
    <w:pPr>
      <w:keepNext/>
      <w:keepLines/>
      <w:spacing w:before="360" w:after="80" w:line="259" w:lineRule="auto"/>
      <w:outlineLvl w:val="0"/>
    </w:pPr>
    <w:rPr>
      <w:rFonts w:asciiTheme="majorHAnsi" w:eastAsiaTheme="majorEastAsia" w:hAnsiTheme="majorHAnsi" w:cstheme="majorBidi"/>
      <w:color w:val="2F5496"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01623A"/>
    <w:pPr>
      <w:keepNext/>
      <w:keepLines/>
      <w:spacing w:before="160" w:after="80" w:line="259" w:lineRule="auto"/>
      <w:outlineLvl w:val="1"/>
    </w:pPr>
    <w:rPr>
      <w:rFonts w:asciiTheme="majorHAnsi" w:eastAsiaTheme="majorEastAsia" w:hAnsiTheme="majorHAnsi" w:cstheme="majorBidi"/>
      <w:color w:val="2F5496"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01623A"/>
    <w:pPr>
      <w:keepNext/>
      <w:keepLines/>
      <w:spacing w:before="160" w:after="80" w:line="259" w:lineRule="auto"/>
      <w:outlineLvl w:val="2"/>
    </w:pPr>
    <w:rPr>
      <w:rFonts w:asciiTheme="minorHAnsi" w:eastAsiaTheme="majorEastAsia" w:hAnsiTheme="minorHAnsi" w:cstheme="majorBidi"/>
      <w:color w:val="2F5496"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01623A"/>
    <w:pPr>
      <w:keepNext/>
      <w:keepLines/>
      <w:spacing w:before="80" w:after="40" w:line="259" w:lineRule="auto"/>
      <w:outlineLvl w:val="3"/>
    </w:pPr>
    <w:rPr>
      <w:rFonts w:asciiTheme="minorHAnsi" w:eastAsiaTheme="majorEastAsia" w:hAnsiTheme="minorHAnsi" w:cstheme="majorBidi"/>
      <w:i/>
      <w:iCs/>
      <w:color w:val="2F5496"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01623A"/>
    <w:pPr>
      <w:keepNext/>
      <w:keepLines/>
      <w:spacing w:before="80" w:after="40" w:line="259" w:lineRule="auto"/>
      <w:outlineLvl w:val="4"/>
    </w:pPr>
    <w:rPr>
      <w:rFonts w:asciiTheme="minorHAnsi" w:eastAsiaTheme="majorEastAsia" w:hAnsiTheme="minorHAnsi" w:cstheme="majorBidi"/>
      <w:color w:val="2F5496"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01623A"/>
    <w:pPr>
      <w:keepNext/>
      <w:keepLines/>
      <w:spacing w:before="40" w:after="0" w:line="259"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01623A"/>
    <w:pPr>
      <w:keepNext/>
      <w:keepLines/>
      <w:spacing w:before="40" w:after="0" w:line="259"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01623A"/>
    <w:pPr>
      <w:keepNext/>
      <w:keepLines/>
      <w:spacing w:after="0" w:line="259"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01623A"/>
    <w:pPr>
      <w:keepNext/>
      <w:keepLines/>
      <w:spacing w:after="0" w:line="259"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623A"/>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01623A"/>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01623A"/>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01623A"/>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01623A"/>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01623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1623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1623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1623A"/>
    <w:rPr>
      <w:rFonts w:eastAsiaTheme="majorEastAsia" w:cstheme="majorBidi"/>
      <w:color w:val="272727" w:themeColor="text1" w:themeTint="D8"/>
    </w:rPr>
  </w:style>
  <w:style w:type="paragraph" w:styleId="Title">
    <w:name w:val="Title"/>
    <w:basedOn w:val="Normal"/>
    <w:next w:val="Normal"/>
    <w:link w:val="TitleChar"/>
    <w:uiPriority w:val="10"/>
    <w:qFormat/>
    <w:rsid w:val="0001623A"/>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01623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1623A"/>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01623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1623A"/>
    <w:pPr>
      <w:spacing w:before="160" w:after="160" w:line="259"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01623A"/>
    <w:rPr>
      <w:i/>
      <w:iCs/>
      <w:color w:val="404040" w:themeColor="text1" w:themeTint="BF"/>
    </w:rPr>
  </w:style>
  <w:style w:type="paragraph" w:styleId="ListParagraph">
    <w:name w:val="List Paragraph"/>
    <w:basedOn w:val="Normal"/>
    <w:uiPriority w:val="34"/>
    <w:qFormat/>
    <w:rsid w:val="0001623A"/>
    <w:pPr>
      <w:spacing w:after="160" w:line="259"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01623A"/>
    <w:rPr>
      <w:i/>
      <w:iCs/>
      <w:color w:val="2F5496" w:themeColor="accent1" w:themeShade="BF"/>
    </w:rPr>
  </w:style>
  <w:style w:type="paragraph" w:styleId="IntenseQuote">
    <w:name w:val="Intense Quote"/>
    <w:basedOn w:val="Normal"/>
    <w:next w:val="Normal"/>
    <w:link w:val="IntenseQuoteChar"/>
    <w:uiPriority w:val="30"/>
    <w:qFormat/>
    <w:rsid w:val="0001623A"/>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eastAsiaTheme="minorHAnsi" w:hAnsiTheme="minorHAnsi" w:cstheme="minorBidi"/>
      <w:i/>
      <w:iCs/>
      <w:color w:val="2F5496" w:themeColor="accent1" w:themeShade="BF"/>
      <w:kern w:val="2"/>
      <w14:ligatures w14:val="standardContextual"/>
    </w:rPr>
  </w:style>
  <w:style w:type="character" w:customStyle="1" w:styleId="IntenseQuoteChar">
    <w:name w:val="Intense Quote Char"/>
    <w:basedOn w:val="DefaultParagraphFont"/>
    <w:link w:val="IntenseQuote"/>
    <w:uiPriority w:val="30"/>
    <w:rsid w:val="0001623A"/>
    <w:rPr>
      <w:i/>
      <w:iCs/>
      <w:color w:val="2F5496" w:themeColor="accent1" w:themeShade="BF"/>
    </w:rPr>
  </w:style>
  <w:style w:type="character" w:styleId="IntenseReference">
    <w:name w:val="Intense Reference"/>
    <w:basedOn w:val="DefaultParagraphFont"/>
    <w:uiPriority w:val="32"/>
    <w:qFormat/>
    <w:rsid w:val="0001623A"/>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14</Pages>
  <Words>6971</Words>
  <Characters>39737</Characters>
  <Application>Microsoft Office Word</Application>
  <DocSecurity>0</DocSecurity>
  <Lines>331</Lines>
  <Paragraphs>93</Paragraphs>
  <ScaleCrop>false</ScaleCrop>
  <Company/>
  <LinksUpToDate>false</LinksUpToDate>
  <CharactersWithSpaces>46615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Larisa Eva Ramovš</dc:creator>
  <cp:keywords/>
  <dc:description/>
  <cp:lastModifiedBy>Larisa Eva Ramovš</cp:lastModifiedBy>
  <cp:revision>1</cp:revision>
  <dcterms:created xsi:type="dcterms:W3CDTF">2025-06-05T12:20:00Z</dcterms:created>
  <dcterms:modified xsi:type="dcterms:W3CDTF">2025-06-05T12:23:00Z</dcterms:modified>
</cp:coreProperties>
</file>