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659A1" w14:textId="00B86423" w:rsidR="005F3390" w:rsidRPr="000E78F4" w:rsidRDefault="00AF11B1" w:rsidP="000E78F4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Opomnik </w:t>
      </w:r>
    </w:p>
    <w:p w14:paraId="4C9B8460" w14:textId="0B57C4B3" w:rsidR="001B09EF" w:rsidRPr="000E78F4" w:rsidRDefault="000E78F4" w:rsidP="00D55F8D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</w:t>
      </w:r>
      <w:r w:rsidR="001B09EF" w:rsidRPr="000E78F4">
        <w:rPr>
          <w:rFonts w:ascii="Arial" w:hAnsi="Arial" w:cs="Arial"/>
          <w:b/>
          <w:bCs/>
          <w:sz w:val="20"/>
          <w:szCs w:val="20"/>
        </w:rPr>
        <w:t xml:space="preserve"> </w:t>
      </w:r>
      <w:r w:rsidR="00D55F8D">
        <w:rPr>
          <w:rFonts w:ascii="Arial" w:hAnsi="Arial" w:cs="Arial"/>
          <w:b/>
          <w:bCs/>
          <w:sz w:val="20"/>
          <w:szCs w:val="20"/>
        </w:rPr>
        <w:t>Uredb</w:t>
      </w:r>
      <w:r w:rsidR="00337B7E">
        <w:rPr>
          <w:rFonts w:ascii="Arial" w:hAnsi="Arial" w:cs="Arial"/>
          <w:b/>
          <w:bCs/>
          <w:sz w:val="20"/>
          <w:szCs w:val="20"/>
        </w:rPr>
        <w:t>i</w:t>
      </w:r>
      <w:r w:rsidR="00D55F8D">
        <w:rPr>
          <w:rFonts w:ascii="Arial" w:hAnsi="Arial" w:cs="Arial"/>
          <w:b/>
          <w:bCs/>
          <w:sz w:val="20"/>
          <w:szCs w:val="20"/>
        </w:rPr>
        <w:t xml:space="preserve"> o </w:t>
      </w:r>
      <w:r w:rsidR="00D55F8D" w:rsidRPr="00D55F8D">
        <w:rPr>
          <w:rFonts w:ascii="Arial" w:hAnsi="Arial" w:cs="Arial"/>
          <w:b/>
          <w:bCs/>
          <w:sz w:val="20"/>
          <w:szCs w:val="20"/>
        </w:rPr>
        <w:t xml:space="preserve">izvajanju </w:t>
      </w:r>
      <w:r w:rsidR="00D55F8D">
        <w:rPr>
          <w:rFonts w:ascii="Arial" w:hAnsi="Arial" w:cs="Arial"/>
          <w:b/>
          <w:bCs/>
          <w:sz w:val="20"/>
          <w:szCs w:val="20"/>
        </w:rPr>
        <w:t>U</w:t>
      </w:r>
      <w:r w:rsidR="00D55F8D" w:rsidRPr="00D55F8D">
        <w:rPr>
          <w:rFonts w:ascii="Arial" w:hAnsi="Arial" w:cs="Arial"/>
          <w:b/>
          <w:bCs/>
          <w:sz w:val="20"/>
          <w:szCs w:val="20"/>
        </w:rPr>
        <w:t>redbe (</w:t>
      </w:r>
      <w:r w:rsidR="00D55F8D">
        <w:rPr>
          <w:rFonts w:ascii="Arial" w:hAnsi="Arial" w:cs="Arial"/>
          <w:b/>
          <w:bCs/>
          <w:sz w:val="20"/>
          <w:szCs w:val="20"/>
        </w:rPr>
        <w:t>EU</w:t>
      </w:r>
      <w:r w:rsidR="00D55F8D" w:rsidRPr="00D55F8D">
        <w:rPr>
          <w:rFonts w:ascii="Arial" w:hAnsi="Arial" w:cs="Arial"/>
          <w:b/>
          <w:bCs/>
          <w:sz w:val="20"/>
          <w:szCs w:val="20"/>
        </w:rPr>
        <w:t xml:space="preserve">) </w:t>
      </w:r>
      <w:r w:rsidR="00D55F8D">
        <w:rPr>
          <w:rFonts w:ascii="Arial" w:hAnsi="Arial" w:cs="Arial"/>
          <w:b/>
          <w:bCs/>
          <w:sz w:val="20"/>
          <w:szCs w:val="20"/>
        </w:rPr>
        <w:t>o neto ničelnih tehnologijah</w:t>
      </w:r>
    </w:p>
    <w:p w14:paraId="50F678BD" w14:textId="77777777" w:rsidR="001B09EF" w:rsidRPr="000E78F4" w:rsidRDefault="001B09EF">
      <w:pPr>
        <w:rPr>
          <w:rFonts w:ascii="Arial" w:hAnsi="Arial" w:cs="Arial"/>
          <w:sz w:val="20"/>
          <w:szCs w:val="20"/>
        </w:rPr>
      </w:pPr>
    </w:p>
    <w:p w14:paraId="28A4928D" w14:textId="77777777" w:rsidR="001B09EF" w:rsidRPr="000E78F4" w:rsidRDefault="001B09EF">
      <w:pPr>
        <w:rPr>
          <w:rFonts w:ascii="Arial" w:hAnsi="Arial" w:cs="Arial"/>
          <w:sz w:val="20"/>
          <w:szCs w:val="20"/>
        </w:rPr>
      </w:pPr>
    </w:p>
    <w:p w14:paraId="0DD5A382" w14:textId="79C4E0A3" w:rsidR="000E78F4" w:rsidRPr="00220618" w:rsidRDefault="000E78F4" w:rsidP="00F13568">
      <w:pPr>
        <w:pStyle w:val="Odstavekseznama"/>
        <w:numPr>
          <w:ilvl w:val="0"/>
          <w:numId w:val="1"/>
        </w:numPr>
        <w:spacing w:after="0" w:line="260" w:lineRule="exact"/>
        <w:jc w:val="both"/>
        <w:textAlignment w:val="baseline"/>
        <w:rPr>
          <w:rFonts w:ascii="Arial" w:hAnsi="Arial" w:cs="Arial"/>
          <w:sz w:val="20"/>
          <w:szCs w:val="20"/>
        </w:rPr>
      </w:pPr>
      <w:r w:rsidRPr="00F13568">
        <w:rPr>
          <w:rFonts w:ascii="Arial" w:hAnsi="Arial" w:cs="Arial"/>
          <w:sz w:val="20"/>
          <w:szCs w:val="20"/>
        </w:rPr>
        <w:t xml:space="preserve">Predlagana Uredba </w:t>
      </w:r>
      <w:r w:rsidR="00D55F8D" w:rsidRPr="00D55F8D">
        <w:rPr>
          <w:rFonts w:ascii="Arial" w:hAnsi="Arial" w:cs="Arial"/>
          <w:sz w:val="20"/>
          <w:szCs w:val="20"/>
        </w:rPr>
        <w:t xml:space="preserve">o izvajanju Uredbe (EU) o neto ničelnih tehnologijah </w:t>
      </w:r>
      <w:r w:rsidRPr="00F13568">
        <w:rPr>
          <w:rFonts w:ascii="Arial" w:hAnsi="Arial" w:cs="Arial"/>
          <w:sz w:val="20"/>
          <w:szCs w:val="20"/>
        </w:rPr>
        <w:t xml:space="preserve">se sprejema za izvajanje </w:t>
      </w:r>
      <w:hyperlink r:id="rId5" w:history="1">
        <w:r w:rsidRPr="008C3BEF">
          <w:rPr>
            <w:rStyle w:val="Hiperpovezava"/>
            <w:rFonts w:ascii="Arial" w:hAnsi="Arial" w:cs="Arial"/>
            <w:sz w:val="20"/>
            <w:szCs w:val="20"/>
          </w:rPr>
          <w:t>Uredbe (EU</w:t>
        </w:r>
        <w:r w:rsidR="00D55F8D" w:rsidRPr="008C3BEF">
          <w:rPr>
            <w:rStyle w:val="Hiperpovezava"/>
            <w:rFonts w:ascii="Arial" w:hAnsi="Arial" w:cs="Arial"/>
            <w:sz w:val="20"/>
            <w:szCs w:val="20"/>
          </w:rPr>
          <w:t>) 2024/1735</w:t>
        </w:r>
      </w:hyperlink>
      <w:r w:rsidR="00D55F8D" w:rsidRPr="00D55F8D">
        <w:rPr>
          <w:rFonts w:ascii="Arial" w:hAnsi="Arial" w:cs="Arial"/>
          <w:sz w:val="20"/>
          <w:szCs w:val="20"/>
        </w:rPr>
        <w:t xml:space="preserve"> z dne 13. 6. 2024</w:t>
      </w:r>
      <w:r w:rsidR="00A75850">
        <w:rPr>
          <w:rFonts w:ascii="Arial" w:hAnsi="Arial" w:cs="Arial"/>
          <w:sz w:val="20"/>
          <w:szCs w:val="20"/>
        </w:rPr>
        <w:t>,</w:t>
      </w:r>
      <w:r w:rsidR="00D55F8D" w:rsidRPr="00D55F8D">
        <w:rPr>
          <w:rFonts w:ascii="Arial" w:hAnsi="Arial" w:cs="Arial"/>
          <w:sz w:val="20"/>
          <w:szCs w:val="20"/>
        </w:rPr>
        <w:t xml:space="preserve"> o vzpostavitvi okvira ukrepov za krepitev ekosistema proizvodnje neto ničelnih tehnologij </w:t>
      </w:r>
      <w:r w:rsidR="00D55F8D">
        <w:rPr>
          <w:rFonts w:ascii="Arial" w:hAnsi="Arial" w:cs="Arial"/>
          <w:sz w:val="20"/>
          <w:szCs w:val="20"/>
        </w:rPr>
        <w:t>E</w:t>
      </w:r>
      <w:r w:rsidR="00D55F8D" w:rsidRPr="00D55F8D">
        <w:rPr>
          <w:rFonts w:ascii="Arial" w:hAnsi="Arial" w:cs="Arial"/>
          <w:sz w:val="20"/>
          <w:szCs w:val="20"/>
        </w:rPr>
        <w:t xml:space="preserve">vrope in spremembi </w:t>
      </w:r>
      <w:r w:rsidR="00D55F8D">
        <w:rPr>
          <w:rFonts w:ascii="Arial" w:hAnsi="Arial" w:cs="Arial"/>
          <w:sz w:val="20"/>
          <w:szCs w:val="20"/>
        </w:rPr>
        <w:t>U</w:t>
      </w:r>
      <w:r w:rsidR="00D55F8D" w:rsidRPr="00D55F8D">
        <w:rPr>
          <w:rFonts w:ascii="Arial" w:hAnsi="Arial" w:cs="Arial"/>
          <w:sz w:val="20"/>
          <w:szCs w:val="20"/>
        </w:rPr>
        <w:t>redbe (</w:t>
      </w:r>
      <w:r w:rsidR="00D55F8D">
        <w:rPr>
          <w:rFonts w:ascii="Arial" w:hAnsi="Arial" w:cs="Arial"/>
          <w:sz w:val="20"/>
          <w:szCs w:val="20"/>
        </w:rPr>
        <w:t>EU</w:t>
      </w:r>
      <w:r w:rsidR="00D55F8D" w:rsidRPr="00D55F8D">
        <w:rPr>
          <w:rFonts w:ascii="Arial" w:hAnsi="Arial" w:cs="Arial"/>
          <w:sz w:val="20"/>
          <w:szCs w:val="20"/>
        </w:rPr>
        <w:t>) 2018/1724</w:t>
      </w:r>
      <w:r w:rsidR="00A75850">
        <w:rPr>
          <w:rFonts w:ascii="Arial" w:hAnsi="Arial" w:cs="Arial"/>
          <w:sz w:val="20"/>
          <w:szCs w:val="20"/>
        </w:rPr>
        <w:t xml:space="preserve"> (kratko: Uredbe EU o neto ničelnih tehnologijah)</w:t>
      </w:r>
      <w:r w:rsidR="00D55F8D" w:rsidRPr="00D55F8D">
        <w:rPr>
          <w:rFonts w:ascii="Arial" w:hAnsi="Arial" w:cs="Arial"/>
          <w:sz w:val="20"/>
          <w:szCs w:val="20"/>
        </w:rPr>
        <w:t xml:space="preserve"> </w:t>
      </w:r>
      <w:r w:rsidRPr="00220618">
        <w:rPr>
          <w:rFonts w:ascii="Arial" w:hAnsi="Arial" w:cs="Arial"/>
          <w:b/>
          <w:bCs/>
          <w:sz w:val="20"/>
          <w:szCs w:val="20"/>
        </w:rPr>
        <w:t xml:space="preserve">in sicer se določa pristojni </w:t>
      </w:r>
      <w:r w:rsidR="00220618" w:rsidRPr="00220618">
        <w:rPr>
          <w:rFonts w:ascii="Arial" w:hAnsi="Arial" w:cs="Arial"/>
          <w:b/>
          <w:bCs/>
          <w:sz w:val="20"/>
          <w:szCs w:val="20"/>
        </w:rPr>
        <w:t xml:space="preserve">nacionalni </w:t>
      </w:r>
      <w:r w:rsidRPr="00220618">
        <w:rPr>
          <w:rFonts w:ascii="Arial" w:hAnsi="Arial" w:cs="Arial"/>
          <w:b/>
          <w:bCs/>
          <w:sz w:val="20"/>
          <w:szCs w:val="20"/>
        </w:rPr>
        <w:t xml:space="preserve">organ za izvajanje </w:t>
      </w:r>
      <w:r w:rsidR="00220618" w:rsidRPr="00220618">
        <w:rPr>
          <w:rFonts w:ascii="Arial" w:hAnsi="Arial" w:cs="Arial"/>
          <w:b/>
          <w:bCs/>
          <w:sz w:val="20"/>
          <w:szCs w:val="20"/>
        </w:rPr>
        <w:t>Enotne kontaktne točke za dovoljenja.</w:t>
      </w:r>
    </w:p>
    <w:p w14:paraId="0BCF7B7F" w14:textId="77777777" w:rsidR="00220618" w:rsidRDefault="00220618" w:rsidP="00220618">
      <w:pPr>
        <w:spacing w:after="0" w:line="260" w:lineRule="exact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59C0CA0B" w14:textId="5B4AD9F2" w:rsidR="007C6605" w:rsidRPr="00337B7E" w:rsidRDefault="00220618" w:rsidP="00F018B2">
      <w:pPr>
        <w:pStyle w:val="Odstavekseznama"/>
        <w:numPr>
          <w:ilvl w:val="0"/>
          <w:numId w:val="1"/>
        </w:numPr>
        <w:spacing w:after="0" w:line="260" w:lineRule="exact"/>
        <w:jc w:val="both"/>
        <w:textAlignment w:val="baseline"/>
        <w:rPr>
          <w:rFonts w:ascii="Arial" w:hAnsi="Arial" w:cs="Arial"/>
          <w:b/>
          <w:bCs/>
          <w:sz w:val="20"/>
          <w:szCs w:val="20"/>
        </w:rPr>
      </w:pPr>
      <w:r w:rsidRPr="00220618">
        <w:rPr>
          <w:rFonts w:ascii="Arial" w:hAnsi="Arial" w:cs="Arial"/>
          <w:sz w:val="20"/>
          <w:szCs w:val="20"/>
        </w:rPr>
        <w:t>Enotn</w:t>
      </w:r>
      <w:r w:rsidR="00A75850">
        <w:rPr>
          <w:rFonts w:ascii="Arial" w:hAnsi="Arial" w:cs="Arial"/>
          <w:sz w:val="20"/>
          <w:szCs w:val="20"/>
        </w:rPr>
        <w:t>e</w:t>
      </w:r>
      <w:r w:rsidRPr="00220618">
        <w:rPr>
          <w:rFonts w:ascii="Arial" w:hAnsi="Arial" w:cs="Arial"/>
          <w:sz w:val="20"/>
          <w:szCs w:val="20"/>
        </w:rPr>
        <w:t xml:space="preserve"> kontaktn</w:t>
      </w:r>
      <w:r w:rsidR="00A75850">
        <w:rPr>
          <w:rFonts w:ascii="Arial" w:hAnsi="Arial" w:cs="Arial"/>
          <w:sz w:val="20"/>
          <w:szCs w:val="20"/>
        </w:rPr>
        <w:t>e</w:t>
      </w:r>
      <w:r w:rsidRPr="00220618">
        <w:rPr>
          <w:rFonts w:ascii="Arial" w:hAnsi="Arial" w:cs="Arial"/>
          <w:sz w:val="20"/>
          <w:szCs w:val="20"/>
        </w:rPr>
        <w:t xml:space="preserve"> točk</w:t>
      </w:r>
      <w:r w:rsidR="00A75850">
        <w:rPr>
          <w:rFonts w:ascii="Arial" w:hAnsi="Arial" w:cs="Arial"/>
          <w:sz w:val="20"/>
          <w:szCs w:val="20"/>
        </w:rPr>
        <w:t xml:space="preserve">e </w:t>
      </w:r>
      <w:r w:rsidR="00337B7E">
        <w:rPr>
          <w:rFonts w:ascii="Arial" w:hAnsi="Arial" w:cs="Arial"/>
          <w:sz w:val="20"/>
          <w:szCs w:val="20"/>
        </w:rPr>
        <w:t xml:space="preserve">za dovoljenja </w:t>
      </w:r>
      <w:r w:rsidR="00A75850">
        <w:rPr>
          <w:rFonts w:ascii="Arial" w:hAnsi="Arial" w:cs="Arial"/>
          <w:sz w:val="20"/>
          <w:szCs w:val="20"/>
        </w:rPr>
        <w:t>moramo vzpostaviti v vseh državah članicah EU in sicer</w:t>
      </w:r>
      <w:r w:rsidRPr="00220618">
        <w:rPr>
          <w:rFonts w:ascii="Arial" w:hAnsi="Arial" w:cs="Arial"/>
          <w:sz w:val="20"/>
          <w:szCs w:val="20"/>
        </w:rPr>
        <w:t xml:space="preserve"> bo </w:t>
      </w:r>
      <w:r w:rsidR="00A75850">
        <w:rPr>
          <w:rFonts w:ascii="Arial" w:hAnsi="Arial" w:cs="Arial"/>
          <w:sz w:val="20"/>
          <w:szCs w:val="20"/>
        </w:rPr>
        <w:t xml:space="preserve">ta točka </w:t>
      </w:r>
      <w:r w:rsidRPr="00220618">
        <w:rPr>
          <w:rFonts w:ascii="Arial" w:hAnsi="Arial" w:cs="Arial"/>
          <w:sz w:val="20"/>
          <w:szCs w:val="20"/>
        </w:rPr>
        <w:t xml:space="preserve">v RS </w:t>
      </w:r>
      <w:r w:rsidR="007C6605">
        <w:rPr>
          <w:rFonts w:ascii="Arial" w:hAnsi="Arial" w:cs="Arial"/>
          <w:sz w:val="20"/>
          <w:szCs w:val="20"/>
        </w:rPr>
        <w:t xml:space="preserve">izvajala </w:t>
      </w:r>
      <w:r w:rsidR="007C6605" w:rsidRPr="00337B7E">
        <w:rPr>
          <w:rFonts w:ascii="Arial" w:hAnsi="Arial" w:cs="Arial"/>
          <w:b/>
          <w:bCs/>
          <w:sz w:val="20"/>
          <w:szCs w:val="20"/>
        </w:rPr>
        <w:t xml:space="preserve">naloge </w:t>
      </w:r>
      <w:r w:rsidRPr="00337B7E">
        <w:rPr>
          <w:rFonts w:ascii="Arial" w:hAnsi="Arial" w:cs="Arial"/>
          <w:b/>
          <w:bCs/>
          <w:sz w:val="20"/>
          <w:szCs w:val="20"/>
        </w:rPr>
        <w:t>za lajšanje in usklajevanje postopka izdaje gradbenih dovoljenj za proizvodne obrate neto ničelnih tehnologij ter bo za predlagatelja projekta edina kontaktna točka v postopku izdaje dovoljenja za projekt za proizv</w:t>
      </w:r>
      <w:r w:rsidR="00BD3EA3" w:rsidRPr="00337B7E">
        <w:rPr>
          <w:rFonts w:ascii="Arial" w:hAnsi="Arial" w:cs="Arial"/>
          <w:b/>
          <w:bCs/>
          <w:sz w:val="20"/>
          <w:szCs w:val="20"/>
        </w:rPr>
        <w:t>o</w:t>
      </w:r>
      <w:r w:rsidRPr="00337B7E">
        <w:rPr>
          <w:rFonts w:ascii="Arial" w:hAnsi="Arial" w:cs="Arial"/>
          <w:b/>
          <w:bCs/>
          <w:sz w:val="20"/>
          <w:szCs w:val="20"/>
        </w:rPr>
        <w:t>dnjo neto ničelnih tehnologij</w:t>
      </w:r>
      <w:r w:rsidR="00BD3EA3" w:rsidRPr="00337B7E">
        <w:rPr>
          <w:rFonts w:ascii="Arial" w:hAnsi="Arial" w:cs="Arial"/>
          <w:b/>
          <w:bCs/>
          <w:sz w:val="20"/>
          <w:szCs w:val="20"/>
        </w:rPr>
        <w:t xml:space="preserve">. </w:t>
      </w:r>
    </w:p>
    <w:p w14:paraId="5413F9BD" w14:textId="77777777" w:rsidR="007C6605" w:rsidRPr="007C6605" w:rsidRDefault="007C6605" w:rsidP="007C6605">
      <w:pPr>
        <w:pStyle w:val="Odstavekseznama"/>
        <w:rPr>
          <w:rFonts w:ascii="Arial" w:hAnsi="Arial" w:cs="Arial"/>
          <w:sz w:val="20"/>
          <w:szCs w:val="20"/>
        </w:rPr>
      </w:pPr>
    </w:p>
    <w:p w14:paraId="1553F3F3" w14:textId="1C64954F" w:rsidR="00346F93" w:rsidRPr="00220618" w:rsidRDefault="00220618" w:rsidP="00F018B2">
      <w:pPr>
        <w:pStyle w:val="Odstavekseznama"/>
        <w:numPr>
          <w:ilvl w:val="0"/>
          <w:numId w:val="1"/>
        </w:numPr>
        <w:spacing w:after="0" w:line="260" w:lineRule="exact"/>
        <w:jc w:val="both"/>
        <w:textAlignment w:val="baselin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Členi Uredbe (EU) o neto ničelnih tehnologijah, ki se nanašajo na delovanje Enotne kontaktne točke, so členi od 6. do 10. </w:t>
      </w:r>
    </w:p>
    <w:p w14:paraId="2001F9C2" w14:textId="77777777" w:rsidR="00AD2928" w:rsidRPr="00AD2928" w:rsidRDefault="00AD2928" w:rsidP="00AD2928">
      <w:pPr>
        <w:pStyle w:val="Odstavekseznama"/>
        <w:spacing w:line="256" w:lineRule="auto"/>
        <w:rPr>
          <w:rFonts w:ascii="Arial" w:hAnsi="Arial" w:cs="Arial"/>
          <w:sz w:val="20"/>
          <w:szCs w:val="20"/>
        </w:rPr>
      </w:pPr>
    </w:p>
    <w:p w14:paraId="5888222B" w14:textId="26D6041C" w:rsidR="00DD0C3A" w:rsidRPr="000C2F2A" w:rsidRDefault="00BD3EA3" w:rsidP="00014C1C">
      <w:pPr>
        <w:pStyle w:val="Odstavekseznama"/>
        <w:numPr>
          <w:ilvl w:val="0"/>
          <w:numId w:val="1"/>
        </w:numPr>
        <w:spacing w:after="0" w:line="260" w:lineRule="exact"/>
        <w:jc w:val="both"/>
        <w:textAlignment w:val="baseline"/>
        <w:rPr>
          <w:rFonts w:ascii="Arial" w:hAnsi="Arial" w:cs="Arial"/>
          <w:sz w:val="20"/>
          <w:szCs w:val="20"/>
        </w:rPr>
      </w:pPr>
      <w:r w:rsidRPr="000C2F2A">
        <w:rPr>
          <w:rFonts w:ascii="Arial" w:hAnsi="Arial" w:cs="Arial"/>
          <w:sz w:val="20"/>
          <w:szCs w:val="20"/>
        </w:rPr>
        <w:t>Splošni c</w:t>
      </w:r>
      <w:r w:rsidR="00DD0C3A" w:rsidRPr="000C2F2A">
        <w:rPr>
          <w:rFonts w:ascii="Arial" w:hAnsi="Arial" w:cs="Arial"/>
          <w:sz w:val="20"/>
          <w:szCs w:val="20"/>
        </w:rPr>
        <w:t xml:space="preserve">ilj </w:t>
      </w:r>
      <w:hyperlink r:id="rId6" w:history="1">
        <w:r w:rsidR="00DD0C3A" w:rsidRPr="008C3BEF">
          <w:rPr>
            <w:rStyle w:val="Hiperpovezava"/>
            <w:rFonts w:ascii="Arial" w:hAnsi="Arial" w:cs="Arial"/>
            <w:sz w:val="20"/>
            <w:szCs w:val="20"/>
          </w:rPr>
          <w:t xml:space="preserve">Uredbe (EU) </w:t>
        </w:r>
        <w:r w:rsidR="00220618" w:rsidRPr="008C3BEF">
          <w:rPr>
            <w:rStyle w:val="Hiperpovezava"/>
            <w:rFonts w:ascii="Arial" w:hAnsi="Arial" w:cs="Arial"/>
            <w:sz w:val="20"/>
            <w:szCs w:val="20"/>
          </w:rPr>
          <w:t>2024/1735</w:t>
        </w:r>
      </w:hyperlink>
      <w:r w:rsidR="00220618" w:rsidRPr="000C2F2A">
        <w:rPr>
          <w:rFonts w:ascii="Arial" w:hAnsi="Arial" w:cs="Arial"/>
          <w:sz w:val="20"/>
          <w:szCs w:val="20"/>
        </w:rPr>
        <w:t xml:space="preserve"> </w:t>
      </w:r>
      <w:r w:rsidR="00962A4B" w:rsidRPr="000C2F2A">
        <w:rPr>
          <w:rFonts w:ascii="Arial" w:hAnsi="Arial" w:cs="Arial"/>
          <w:sz w:val="20"/>
          <w:szCs w:val="20"/>
        </w:rPr>
        <w:t>je izboljšati delovanje notranjega trga z vzpostavitvijo okvira za zagotovitev dostopa Unije do varne in trajnostne dobave z neto ničelnimi tehnologijami, tudi s povečanjem proizvodnih zmogljivosti za neto ničelne tehnologije in njihovih dobavnih verig, da bi tako ohranili njihovo odpornost, hkrati pa prispevali k doseganju podnebnih ciljev Unije in njenega cilja glede podnebne nevtralnosti, da bi razogljičili gospodarstvo in družbo Unije, ter s prispevanjem h kakovostnim delovnim mestom na področju neto ničelnih tehnologij, s čimer se bo izboljšala tudi konkurenčnost Unije.</w:t>
      </w:r>
    </w:p>
    <w:p w14:paraId="513D2DC5" w14:textId="77777777" w:rsidR="00220618" w:rsidRPr="00220618" w:rsidRDefault="00220618" w:rsidP="00220618">
      <w:pPr>
        <w:pStyle w:val="Odstavekseznama"/>
        <w:rPr>
          <w:rFonts w:ascii="Arial" w:hAnsi="Arial" w:cs="Arial"/>
          <w:sz w:val="20"/>
          <w:szCs w:val="20"/>
        </w:rPr>
      </w:pPr>
    </w:p>
    <w:p w14:paraId="29EF026F" w14:textId="77777777" w:rsidR="00220618" w:rsidRPr="00220618" w:rsidRDefault="00220618" w:rsidP="00220618">
      <w:pPr>
        <w:pStyle w:val="Odstavekseznama"/>
        <w:spacing w:after="0" w:line="260" w:lineRule="exact"/>
        <w:jc w:val="both"/>
        <w:textAlignment w:val="baseline"/>
        <w:rPr>
          <w:rFonts w:ascii="Arial" w:hAnsi="Arial" w:cs="Arial"/>
          <w:sz w:val="20"/>
          <w:szCs w:val="20"/>
        </w:rPr>
      </w:pPr>
    </w:p>
    <w:p w14:paraId="243DDF70" w14:textId="320B1440" w:rsidR="00F13568" w:rsidRDefault="00D32287" w:rsidP="00E24A06">
      <w:pPr>
        <w:pStyle w:val="Odstavekseznama"/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Referenčna cilja </w:t>
      </w:r>
      <w:hyperlink r:id="rId7" w:history="1">
        <w:r w:rsidRPr="008C3BEF">
          <w:rPr>
            <w:rStyle w:val="Hiperpovezava"/>
            <w:rFonts w:ascii="Arial" w:hAnsi="Arial" w:cs="Arial"/>
            <w:sz w:val="20"/>
            <w:szCs w:val="20"/>
          </w:rPr>
          <w:t>Uredbe (EU) 2024/1735</w:t>
        </w:r>
      </w:hyperlink>
      <w:r>
        <w:rPr>
          <w:rFonts w:ascii="Arial" w:hAnsi="Arial" w:cs="Arial"/>
          <w:sz w:val="20"/>
          <w:szCs w:val="20"/>
        </w:rPr>
        <w:t xml:space="preserve"> sta:</w:t>
      </w:r>
    </w:p>
    <w:p w14:paraId="0D358D4D" w14:textId="6F6DE988" w:rsidR="00D32287" w:rsidRPr="00D32287" w:rsidRDefault="00D32287" w:rsidP="008827B3">
      <w:pPr>
        <w:pStyle w:val="Odstavekseznama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D32287">
        <w:rPr>
          <w:rFonts w:ascii="Arial" w:hAnsi="Arial" w:cs="Arial"/>
          <w:sz w:val="20"/>
          <w:szCs w:val="20"/>
        </w:rPr>
        <w:t xml:space="preserve">zagotoviti vsaj 40 % letnih potreb Unije po uvajanju </w:t>
      </w:r>
      <w:r w:rsidR="007C6605">
        <w:rPr>
          <w:rFonts w:ascii="Arial" w:hAnsi="Arial" w:cs="Arial"/>
          <w:sz w:val="20"/>
          <w:szCs w:val="20"/>
        </w:rPr>
        <w:t>v Uredbi (EU) določenih</w:t>
      </w:r>
      <w:r>
        <w:rPr>
          <w:rFonts w:ascii="Arial" w:hAnsi="Arial" w:cs="Arial"/>
          <w:sz w:val="20"/>
          <w:szCs w:val="20"/>
        </w:rPr>
        <w:t xml:space="preserve"> 19 neto ničelnih </w:t>
      </w:r>
      <w:r w:rsidRPr="00D32287">
        <w:rPr>
          <w:rFonts w:ascii="Arial" w:hAnsi="Arial" w:cs="Arial"/>
          <w:sz w:val="20"/>
          <w:szCs w:val="20"/>
        </w:rPr>
        <w:t>tehnologij, potrebnih za doseganje podnebnih in energetskih ciljev Unije za leto 2030;</w:t>
      </w:r>
    </w:p>
    <w:p w14:paraId="098098D9" w14:textId="7AE4ADA1" w:rsidR="00220618" w:rsidRDefault="00D32287" w:rsidP="00D32287">
      <w:pPr>
        <w:pStyle w:val="Odstavekseznama"/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doseči</w:t>
      </w:r>
      <w:r w:rsidRPr="00D32287">
        <w:rPr>
          <w:rFonts w:ascii="Arial" w:hAnsi="Arial" w:cs="Arial"/>
          <w:sz w:val="20"/>
          <w:szCs w:val="20"/>
        </w:rPr>
        <w:t xml:space="preserve"> večji delež Unije za </w:t>
      </w:r>
      <w:r>
        <w:rPr>
          <w:rFonts w:ascii="Arial" w:hAnsi="Arial" w:cs="Arial"/>
          <w:sz w:val="20"/>
          <w:szCs w:val="20"/>
        </w:rPr>
        <w:t>te</w:t>
      </w:r>
      <w:r w:rsidRPr="00D32287">
        <w:rPr>
          <w:rFonts w:ascii="Arial" w:hAnsi="Arial" w:cs="Arial"/>
          <w:sz w:val="20"/>
          <w:szCs w:val="20"/>
        </w:rPr>
        <w:t xml:space="preserve"> tehnologije, </w:t>
      </w:r>
      <w:r>
        <w:rPr>
          <w:rFonts w:ascii="Arial" w:hAnsi="Arial" w:cs="Arial"/>
          <w:sz w:val="20"/>
          <w:szCs w:val="20"/>
        </w:rPr>
        <w:t xml:space="preserve">cilj je, </w:t>
      </w:r>
      <w:r w:rsidRPr="00D32287">
        <w:rPr>
          <w:rFonts w:ascii="Arial" w:hAnsi="Arial" w:cs="Arial"/>
          <w:sz w:val="20"/>
          <w:szCs w:val="20"/>
        </w:rPr>
        <w:t>da bi do leta 2040 dosegli 15 % svetovne proizvodnje</w:t>
      </w:r>
      <w:r>
        <w:rPr>
          <w:rFonts w:ascii="Arial" w:hAnsi="Arial" w:cs="Arial"/>
          <w:sz w:val="20"/>
          <w:szCs w:val="20"/>
        </w:rPr>
        <w:t>.</w:t>
      </w:r>
    </w:p>
    <w:p w14:paraId="22E1EFFA" w14:textId="77777777" w:rsidR="00D32287" w:rsidRDefault="00D32287" w:rsidP="000E415A">
      <w:pPr>
        <w:rPr>
          <w:rFonts w:ascii="Arial" w:hAnsi="Arial" w:cs="Arial"/>
          <w:sz w:val="20"/>
          <w:szCs w:val="20"/>
        </w:rPr>
      </w:pPr>
    </w:p>
    <w:p w14:paraId="68232E92" w14:textId="4FD01BBF" w:rsidR="000E415A" w:rsidRPr="007C6605" w:rsidRDefault="000E415A" w:rsidP="000E415A">
      <w:pPr>
        <w:pStyle w:val="Odstavekseznama"/>
        <w:numPr>
          <w:ilvl w:val="0"/>
          <w:numId w:val="3"/>
        </w:num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Med ukrepi, ki jih Uredba (EU) </w:t>
      </w:r>
      <w:r w:rsidRPr="000E415A">
        <w:rPr>
          <w:rFonts w:ascii="Arial" w:hAnsi="Arial" w:cs="Arial"/>
          <w:sz w:val="20"/>
          <w:szCs w:val="20"/>
        </w:rPr>
        <w:t>2024/1735</w:t>
      </w:r>
      <w:r>
        <w:rPr>
          <w:rFonts w:ascii="Arial" w:hAnsi="Arial" w:cs="Arial"/>
          <w:sz w:val="20"/>
          <w:szCs w:val="20"/>
        </w:rPr>
        <w:t xml:space="preserve"> predpisuje za doseganje teh ciljev, je med drugim</w:t>
      </w:r>
      <w:r w:rsidR="007C6605">
        <w:rPr>
          <w:rFonts w:ascii="Arial" w:hAnsi="Arial" w:cs="Arial"/>
          <w:sz w:val="20"/>
          <w:szCs w:val="20"/>
        </w:rPr>
        <w:t xml:space="preserve">i </w:t>
      </w:r>
      <w:r>
        <w:rPr>
          <w:rFonts w:ascii="Arial" w:hAnsi="Arial" w:cs="Arial"/>
          <w:sz w:val="20"/>
          <w:szCs w:val="20"/>
        </w:rPr>
        <w:t xml:space="preserve"> tudi r</w:t>
      </w:r>
      <w:r w:rsidRPr="000E415A">
        <w:rPr>
          <w:rFonts w:ascii="Arial" w:hAnsi="Arial" w:cs="Arial"/>
          <w:sz w:val="20"/>
          <w:szCs w:val="20"/>
        </w:rPr>
        <w:t>acionalizacija upravnih postopkov in postopkov izdaje dovoljen</w:t>
      </w:r>
      <w:r w:rsidR="005B709E">
        <w:rPr>
          <w:rFonts w:ascii="Arial" w:hAnsi="Arial" w:cs="Arial"/>
          <w:sz w:val="20"/>
          <w:szCs w:val="20"/>
        </w:rPr>
        <w:t>j</w:t>
      </w:r>
      <w:r w:rsidR="007C6605">
        <w:rPr>
          <w:rFonts w:ascii="Arial" w:hAnsi="Arial" w:cs="Arial"/>
          <w:sz w:val="20"/>
          <w:szCs w:val="20"/>
        </w:rPr>
        <w:t xml:space="preserve">, katere namen je </w:t>
      </w:r>
      <w:r w:rsidR="005B709E">
        <w:rPr>
          <w:rFonts w:ascii="Arial" w:hAnsi="Arial" w:cs="Arial"/>
          <w:sz w:val="20"/>
          <w:szCs w:val="20"/>
        </w:rPr>
        <w:t xml:space="preserve">povečanje proizvodnih zmogljivosti neto ničelnih tehnologij in </w:t>
      </w:r>
      <w:r w:rsidR="005B709E" w:rsidRPr="007C6605">
        <w:rPr>
          <w:rFonts w:ascii="Arial" w:hAnsi="Arial" w:cs="Arial"/>
          <w:b/>
          <w:bCs/>
          <w:sz w:val="20"/>
          <w:szCs w:val="20"/>
        </w:rPr>
        <w:t>ključni ukrep na tem področju je prav uvedba Enotne kontaktne točke</w:t>
      </w:r>
      <w:r w:rsidR="00A75850" w:rsidRPr="007C6605">
        <w:rPr>
          <w:rFonts w:ascii="Arial" w:hAnsi="Arial" w:cs="Arial"/>
          <w:b/>
          <w:bCs/>
          <w:sz w:val="20"/>
          <w:szCs w:val="20"/>
        </w:rPr>
        <w:t xml:space="preserve"> za dovoljenja</w:t>
      </w:r>
      <w:r w:rsidR="005B709E" w:rsidRPr="007C6605">
        <w:rPr>
          <w:rFonts w:ascii="Arial" w:hAnsi="Arial" w:cs="Arial"/>
          <w:b/>
          <w:bCs/>
          <w:sz w:val="20"/>
          <w:szCs w:val="20"/>
        </w:rPr>
        <w:t>.</w:t>
      </w:r>
    </w:p>
    <w:p w14:paraId="1B50F5FA" w14:textId="77777777" w:rsidR="00D32287" w:rsidRDefault="00D32287" w:rsidP="00D32287">
      <w:pPr>
        <w:pStyle w:val="Odstavekseznama"/>
        <w:rPr>
          <w:rFonts w:ascii="Arial" w:hAnsi="Arial" w:cs="Arial"/>
          <w:sz w:val="20"/>
          <w:szCs w:val="20"/>
        </w:rPr>
      </w:pPr>
    </w:p>
    <w:p w14:paraId="5EC58BC1" w14:textId="77777777" w:rsidR="00D32287" w:rsidRPr="00220618" w:rsidRDefault="00D32287" w:rsidP="00D32287">
      <w:pPr>
        <w:pStyle w:val="Odstavekseznama"/>
        <w:rPr>
          <w:rFonts w:ascii="Arial" w:hAnsi="Arial" w:cs="Arial"/>
          <w:sz w:val="20"/>
          <w:szCs w:val="20"/>
        </w:rPr>
      </w:pPr>
    </w:p>
    <w:p w14:paraId="10923FCB" w14:textId="77777777" w:rsidR="00DD0C3A" w:rsidRDefault="00DD0C3A">
      <w:pPr>
        <w:rPr>
          <w:rFonts w:ascii="Arial" w:hAnsi="Arial" w:cs="Arial"/>
          <w:sz w:val="20"/>
          <w:szCs w:val="20"/>
        </w:rPr>
      </w:pPr>
    </w:p>
    <w:p w14:paraId="20484E5D" w14:textId="77777777" w:rsidR="00DD0C3A" w:rsidRDefault="00DD0C3A">
      <w:pPr>
        <w:rPr>
          <w:rFonts w:ascii="Arial" w:hAnsi="Arial" w:cs="Arial"/>
          <w:sz w:val="20"/>
          <w:szCs w:val="20"/>
        </w:rPr>
      </w:pPr>
    </w:p>
    <w:p w14:paraId="55A7619F" w14:textId="77777777" w:rsidR="00DD0C3A" w:rsidRPr="000E78F4" w:rsidRDefault="00DD0C3A">
      <w:pPr>
        <w:rPr>
          <w:rFonts w:ascii="Arial" w:hAnsi="Arial" w:cs="Arial"/>
          <w:sz w:val="20"/>
          <w:szCs w:val="20"/>
        </w:rPr>
      </w:pPr>
    </w:p>
    <w:sectPr w:rsidR="00DD0C3A" w:rsidRPr="000E78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C469F"/>
    <w:multiLevelType w:val="hybridMultilevel"/>
    <w:tmpl w:val="91E693C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000C73"/>
    <w:multiLevelType w:val="hybridMultilevel"/>
    <w:tmpl w:val="9BAED5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3770679">
    <w:abstractNumId w:val="0"/>
  </w:num>
  <w:num w:numId="2" w16cid:durableId="2110663302">
    <w:abstractNumId w:val="0"/>
  </w:num>
  <w:num w:numId="3" w16cid:durableId="4138917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9EF"/>
    <w:rsid w:val="000C2F2A"/>
    <w:rsid w:val="000E415A"/>
    <w:rsid w:val="000E78F4"/>
    <w:rsid w:val="001B09EF"/>
    <w:rsid w:val="00220618"/>
    <w:rsid w:val="003158F6"/>
    <w:rsid w:val="00337B7E"/>
    <w:rsid w:val="00346F93"/>
    <w:rsid w:val="00453355"/>
    <w:rsid w:val="00493084"/>
    <w:rsid w:val="005B1DCB"/>
    <w:rsid w:val="005B709E"/>
    <w:rsid w:val="005F3390"/>
    <w:rsid w:val="00752163"/>
    <w:rsid w:val="007C6605"/>
    <w:rsid w:val="00826ECA"/>
    <w:rsid w:val="00856529"/>
    <w:rsid w:val="0086419E"/>
    <w:rsid w:val="008C3BEF"/>
    <w:rsid w:val="00962A4B"/>
    <w:rsid w:val="00A75850"/>
    <w:rsid w:val="00A85B20"/>
    <w:rsid w:val="00AB5F8E"/>
    <w:rsid w:val="00AC2F5E"/>
    <w:rsid w:val="00AD2928"/>
    <w:rsid w:val="00AF11B1"/>
    <w:rsid w:val="00B33DCF"/>
    <w:rsid w:val="00B45D39"/>
    <w:rsid w:val="00BD3EA3"/>
    <w:rsid w:val="00D32287"/>
    <w:rsid w:val="00D55F8D"/>
    <w:rsid w:val="00DD0C3A"/>
    <w:rsid w:val="00F13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266D5"/>
  <w15:chartTrackingRefBased/>
  <w15:docId w15:val="{51D2C589-8B77-4FA8-9441-91537099B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13568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8C3BEF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8C3B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102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ur-lex.europa.eu/legal-content/EN/TXT/?uri=OJ:L_20240173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ur-lex.europa.eu/legal-content/EN/TXT/?uri=OJ:L_202401735" TargetMode="External"/><Relationship Id="rId5" Type="http://schemas.openxmlformats.org/officeDocument/2006/relationships/hyperlink" Target="https://eur-lex.europa.eu/legal-content/EN/TXT/?uri=OJ:L_20240173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</TotalTime>
  <Pages>1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Možek Grgurevič</dc:creator>
  <cp:keywords/>
  <dc:description/>
  <cp:lastModifiedBy>Natalija Medica</cp:lastModifiedBy>
  <cp:revision>14</cp:revision>
  <dcterms:created xsi:type="dcterms:W3CDTF">2025-04-03T07:08:00Z</dcterms:created>
  <dcterms:modified xsi:type="dcterms:W3CDTF">2025-05-06T09:58:00Z</dcterms:modified>
</cp:coreProperties>
</file>