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5070A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B57D1">
        <w:rPr>
          <w:rFonts w:cs="Arial"/>
          <w:color w:val="000000"/>
        </w:rPr>
        <w:t>2023-1544-0005</w:t>
      </w:r>
    </w:p>
    <w:p w:rsidR="009C657E" w:rsidRPr="002760DC" w:rsidRDefault="009C657E" w:rsidP="0095070A">
      <w:pPr>
        <w:pStyle w:val="datumtevilka"/>
      </w:pPr>
      <w:r w:rsidRPr="002760DC">
        <w:t xml:space="preserve">Številka: </w:t>
      </w:r>
      <w:r w:rsidRPr="002760DC">
        <w:tab/>
      </w:r>
      <w:r w:rsidR="008B57D1">
        <w:rPr>
          <w:rFonts w:cs="Arial"/>
          <w:color w:val="000000"/>
        </w:rPr>
        <w:t>00704-121/2024/19</w:t>
      </w:r>
    </w:p>
    <w:p w:rsidR="009C657E" w:rsidRPr="002760DC" w:rsidRDefault="009C657E" w:rsidP="0095070A">
      <w:pPr>
        <w:pStyle w:val="datumtevilka"/>
      </w:pPr>
      <w:r>
        <w:t>Datum:</w:t>
      </w:r>
      <w:r w:rsidRPr="002760DC">
        <w:tab/>
      </w:r>
      <w:r w:rsidR="008B57D1">
        <w:rPr>
          <w:rFonts w:cs="Arial"/>
          <w:color w:val="000000"/>
        </w:rPr>
        <w:t>16. 5. 2025</w:t>
      </w:r>
      <w:r w:rsidRPr="002760DC">
        <w:t xml:space="preserve"> </w:t>
      </w:r>
    </w:p>
    <w:p w:rsidR="009C657E" w:rsidRPr="002760DC" w:rsidRDefault="009C657E" w:rsidP="0095070A"/>
    <w:p w:rsidR="009C657E" w:rsidRDefault="009C657E" w:rsidP="009507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B28DA" w:rsidRPr="00EB596C" w:rsidRDefault="000B28DA" w:rsidP="00EB596C">
      <w:pPr>
        <w:tabs>
          <w:tab w:val="left" w:pos="7920"/>
        </w:tabs>
        <w:autoSpaceDE w:val="0"/>
        <w:autoSpaceDN w:val="0"/>
        <w:adjustRightInd w:val="0"/>
        <w:ind w:left="709" w:hanging="709"/>
        <w:jc w:val="center"/>
        <w:rPr>
          <w:rFonts w:cs="Arial"/>
          <w:b/>
          <w:color w:val="000000"/>
          <w:szCs w:val="20"/>
        </w:rPr>
      </w:pPr>
      <w:r w:rsidRPr="00EB596C">
        <w:rPr>
          <w:rFonts w:cs="Arial"/>
          <w:b/>
          <w:szCs w:val="20"/>
        </w:rPr>
        <w:t>Predlogi amandmajev k dopolnjenemu predlogu Zakona o informacijski varnosti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rFonts w:cs="Arial"/>
          <w:b/>
          <w:bCs/>
          <w:szCs w:val="20"/>
          <w:u w:val="single"/>
        </w:rPr>
      </w:pPr>
      <w:r>
        <w:rPr>
          <w:rFonts w:cs="Arial"/>
          <w:b/>
          <w:bCs/>
          <w:szCs w:val="20"/>
          <w:u w:val="single"/>
        </w:rPr>
        <w:t>K 8. členu</w:t>
      </w:r>
    </w:p>
    <w:p w:rsidR="00EB596C" w:rsidRDefault="00EB596C" w:rsidP="00EB596C">
      <w:pPr>
        <w:jc w:val="both"/>
        <w:rPr>
          <w:rFonts w:cs="Arial"/>
          <w:szCs w:val="20"/>
        </w:rPr>
      </w:pP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Na koncu drugega odstavka 8. člena se doda besedilo:</w:t>
      </w: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»Zavezanci ob </w:t>
      </w:r>
      <w:proofErr w:type="spellStart"/>
      <w:r>
        <w:rPr>
          <w:rFonts w:cs="Arial"/>
          <w:szCs w:val="20"/>
        </w:rPr>
        <w:t>samoregistraciji</w:t>
      </w:r>
      <w:proofErr w:type="spellEnd"/>
      <w:r>
        <w:rPr>
          <w:rFonts w:cs="Arial"/>
          <w:szCs w:val="20"/>
        </w:rPr>
        <w:t xml:space="preserve"> podajo vsaj naslednje informacije: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 imenu in naslovu, kontaktnih podatkih, matični številki in elektronskem naslovu zavezanca za vročanje,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o ustreznem sektorju in </w:t>
      </w:r>
      <w:proofErr w:type="spellStart"/>
      <w:r>
        <w:rPr>
          <w:rFonts w:cs="Arial"/>
          <w:szCs w:val="20"/>
        </w:rPr>
        <w:t>podsektorju</w:t>
      </w:r>
      <w:proofErr w:type="spellEnd"/>
      <w:r>
        <w:rPr>
          <w:rFonts w:cs="Arial"/>
          <w:szCs w:val="20"/>
        </w:rPr>
        <w:t xml:space="preserve"> iz Priloge 1 ali 2 tega zakona, v katerem zavezanec izvaja vrste storitev iz teh prilog, ali kategorijo zavezancev, ki niso vključeni v navedenih prilogah, so pa zavezanci na podlagi tretjega odstavka 6. člena tega zakona,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navedbo, ali ima subjekt vsaj 50 zaposlenih in letni promet ali bilančno vsoto vsaj 10.000.000,00 eura,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navedbo, ali ima subjekt vsaj 250 zaposlenih ali letni promet vsaj 50.000.000,00 eura ali letno bilančno vsoto vsaj 43.000.000,00 eura,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 kontaktni osebi za informacijsko varnost in njenem namestniku ter njune kontaktne podatke, vključno z elektronskimi naslovi in telefonskimi številkami,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 dodeljenih blokih javnih naslovov IP,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 seznamu držav članic Evropske unije, kjer opravljajo storitve, ki spadajo na področje uporabe tega zakona, ter</w:t>
      </w:r>
    </w:p>
    <w:p w:rsidR="00EB596C" w:rsidRDefault="00EB596C" w:rsidP="00EB596C">
      <w:pPr>
        <w:numPr>
          <w:ilvl w:val="0"/>
          <w:numId w:val="2"/>
        </w:numPr>
        <w:spacing w:after="160" w:line="25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 registriranih številkah avtonomnih sistemov in vseh domenskih imenih, ki jih zavezanec uporablja pri poslovanju.«.</w:t>
      </w:r>
    </w:p>
    <w:p w:rsidR="00EB596C" w:rsidRDefault="00EB596C" w:rsidP="00EB596C">
      <w:pPr>
        <w:rPr>
          <w:rFonts w:cs="Arial"/>
          <w:szCs w:val="20"/>
        </w:rPr>
      </w:pPr>
    </w:p>
    <w:p w:rsidR="00EB596C" w:rsidRDefault="00EB596C" w:rsidP="00EB596C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Obrazložitev:</w:t>
      </w: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amandmajem se dodaja besedilo, ki je bilo s sprejetjem amandmaja na seji matičnega delovnega telesa pomotoma izpuščeno. Zato je treba v določbo drugega odstavka 8. člena Predloga zakona ponovno vključiti navedbe o tistih informacijah, ki jih morajo zavezanci ob </w:t>
      </w:r>
      <w:proofErr w:type="spellStart"/>
      <w:r>
        <w:rPr>
          <w:rFonts w:cs="Arial"/>
          <w:szCs w:val="20"/>
        </w:rPr>
        <w:t>samoregistraciji</w:t>
      </w:r>
      <w:proofErr w:type="spellEnd"/>
      <w:r>
        <w:rPr>
          <w:rFonts w:cs="Arial"/>
          <w:szCs w:val="20"/>
        </w:rPr>
        <w:t xml:space="preserve"> podati.</w:t>
      </w:r>
    </w:p>
    <w:p w:rsidR="00EB596C" w:rsidRDefault="00EB596C" w:rsidP="00EB596C">
      <w:pPr>
        <w:jc w:val="both"/>
        <w:rPr>
          <w:rFonts w:cs="Arial"/>
          <w:szCs w:val="20"/>
        </w:rPr>
      </w:pPr>
    </w:p>
    <w:p w:rsidR="00EB596C" w:rsidRDefault="00EB596C" w:rsidP="00EB596C">
      <w:pPr>
        <w:rPr>
          <w:rFonts w:cs="Arial"/>
          <w:szCs w:val="20"/>
        </w:rPr>
      </w:pPr>
      <w:r>
        <w:rPr>
          <w:rFonts w:cs="Arial"/>
          <w:b/>
          <w:bCs/>
          <w:szCs w:val="20"/>
          <w:u w:val="single"/>
        </w:rPr>
        <w:t>K 12. členu</w:t>
      </w:r>
    </w:p>
    <w:p w:rsidR="00EB596C" w:rsidRDefault="00EB596C" w:rsidP="00EB596C">
      <w:pPr>
        <w:jc w:val="both"/>
        <w:rPr>
          <w:rFonts w:cs="Arial"/>
          <w:szCs w:val="20"/>
        </w:rPr>
      </w:pP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šestem odstavku 12. člena se drugi in tretji stavek spremenita tako, da se glasita:</w:t>
      </w: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»Evropski komisiji in mreži EU-</w:t>
      </w:r>
      <w:proofErr w:type="spellStart"/>
      <w:r>
        <w:rPr>
          <w:rFonts w:cs="Arial"/>
          <w:szCs w:val="20"/>
        </w:rPr>
        <w:t>CyCLONe</w:t>
      </w:r>
      <w:proofErr w:type="spellEnd"/>
      <w:r>
        <w:rPr>
          <w:rFonts w:cs="Arial"/>
          <w:szCs w:val="20"/>
        </w:rPr>
        <w:t xml:space="preserve"> predloži ustrezne informacije o sprejetju nacionalnega načrta odzivanja v zvezi z zahtevami iz tretjega odstavka tega člena. Iz posredovanja se izključijo podatki in informacije iz petega odstavka 4. člena tega zakona.«.</w:t>
      </w:r>
    </w:p>
    <w:p w:rsidR="00EB596C" w:rsidRDefault="00EB596C" w:rsidP="00EB596C">
      <w:pPr>
        <w:rPr>
          <w:rFonts w:cs="Arial"/>
          <w:szCs w:val="20"/>
        </w:rPr>
      </w:pPr>
    </w:p>
    <w:p w:rsidR="00EB596C" w:rsidRDefault="00EB596C" w:rsidP="00EB596C">
      <w:pPr>
        <w:rPr>
          <w:rFonts w:cs="Arial"/>
          <w:szCs w:val="20"/>
        </w:rPr>
      </w:pPr>
    </w:p>
    <w:p w:rsidR="00EB596C" w:rsidRDefault="00EB596C" w:rsidP="00EB596C">
      <w:pPr>
        <w:rPr>
          <w:rFonts w:cs="Arial"/>
          <w:szCs w:val="20"/>
        </w:rPr>
      </w:pPr>
    </w:p>
    <w:p w:rsidR="00EB596C" w:rsidRDefault="00EB596C" w:rsidP="00EB596C">
      <w:pPr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lastRenderedPageBreak/>
        <w:t>Obrazložitev:</w:t>
      </w:r>
    </w:p>
    <w:p w:rsidR="00EB596C" w:rsidRDefault="00EB596C" w:rsidP="00EB596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Amandma k tej določbi se predlaga zaradi napačnega sklica v amandmaju k šestem odstavku 12. člena Predloga zakona, ki je bil sprejet na seji matičnega delovnega telesa. Zato se v besedilo določbe ponovno umešča pomotoma izpadlo besedilo (glede predložitve informacij Evropski komisiji in mreži EU-</w:t>
      </w:r>
      <w:proofErr w:type="spellStart"/>
      <w:r>
        <w:rPr>
          <w:rFonts w:cs="Arial"/>
          <w:szCs w:val="20"/>
        </w:rPr>
        <w:t>CyCLONe</w:t>
      </w:r>
      <w:proofErr w:type="spellEnd"/>
      <w:r>
        <w:rPr>
          <w:rFonts w:cs="Arial"/>
          <w:szCs w:val="20"/>
        </w:rPr>
        <w:t>) ter odpravlja podvojeno ureditev (glede izključitve informacij).</w:t>
      </w:r>
    </w:p>
    <w:p w:rsidR="00EB596C" w:rsidRDefault="00EB596C" w:rsidP="00EB596C">
      <w:pPr>
        <w:rPr>
          <w:b/>
          <w:bCs/>
          <w:u w:val="single"/>
        </w:rPr>
      </w:pPr>
    </w:p>
    <w:p w:rsidR="00EB596C" w:rsidRDefault="00EB596C" w:rsidP="00EB596C">
      <w:r>
        <w:rPr>
          <w:b/>
          <w:bCs/>
          <w:u w:val="single"/>
        </w:rPr>
        <w:t>K 27. členu: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sedmem odstavku 27. člena se beseda »šestega« nadomesti z besedo »petega«.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devetem odstavku se beseda »osmi« nadomesti z besedo »sedmi«.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enajstem odstavku se besedilo »sedmega, osmega« nadomesti z besedilom »šestega, sedmega«.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dvanajstem odstavku se v prvem stavku besedilo »sedmega, osmega ali devetega« nadomesti z besedilom »šestega, sedmega ali osmega«, v drugem stavku pa se besedi »z osmim« nadomestita z besedama »s sedmim«.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štirinajstem odstavku se besedilo »osmega ali devetega« nadomesti z besedilom »sedmega ali osmega«.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petnajstem odstavku se črta besedilo »desetega, enajstega,« beseda »dvanajstega« pa se nadomesti z besedo »trinajstega«.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  <w:r>
        <w:rPr>
          <w:b/>
          <w:bCs/>
        </w:rPr>
        <w:t>Obrazložitev:</w:t>
      </w:r>
    </w:p>
    <w:p w:rsidR="00EB596C" w:rsidRDefault="00EB596C" w:rsidP="00EB596C">
      <w:pPr>
        <w:jc w:val="both"/>
      </w:pPr>
      <w:r>
        <w:t xml:space="preserve">Amandma se predlaga, ker je v tem členu treba popraviti notranja sklicevanja, zaradi črtanja  drugega odstavka Predloga zakona z amandmajem, ki je bil sprejet na MDT. </w:t>
      </w:r>
      <w:bookmarkStart w:id="1" w:name="_Hlk198048636"/>
      <w:r>
        <w:t xml:space="preserve">V petnajstem odstavku pa je notranje sklicevanje treba popraviti ob hkratnem dodatnem upoštevanju pripombe iz mnenja Zakonodajno-pravne službe, Državnega zbora RS k takratnem šestnajstem odstavku 27.člena Predloga zakona. </w:t>
      </w:r>
    </w:p>
    <w:bookmarkEnd w:id="1"/>
    <w:p w:rsidR="00EB596C" w:rsidRDefault="00EB596C" w:rsidP="00EB596C"/>
    <w:p w:rsidR="00EB596C" w:rsidRDefault="00EB596C" w:rsidP="00EB596C">
      <w:r>
        <w:rPr>
          <w:b/>
          <w:bCs/>
          <w:u w:val="single"/>
        </w:rPr>
        <w:t>K 44. členu:</w:t>
      </w:r>
    </w:p>
    <w:p w:rsidR="00EB596C" w:rsidRDefault="00EB596C" w:rsidP="00EB596C"/>
    <w:p w:rsidR="00EB596C" w:rsidRDefault="00EB596C" w:rsidP="00EB596C">
      <w:r>
        <w:t>V petem odstavku 44. člena se beseda »šesti« nadomesti z besedo »četrti«.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  <w:r>
        <w:rPr>
          <w:b/>
          <w:bCs/>
        </w:rPr>
        <w:t>Obrazložitev:</w:t>
      </w:r>
    </w:p>
    <w:p w:rsidR="00EB596C" w:rsidRDefault="00EB596C" w:rsidP="00EB596C">
      <w:pPr>
        <w:jc w:val="both"/>
      </w:pPr>
      <w:r>
        <w:t xml:space="preserve">Popravek notranjega sklicevanja s predlaganim amandmaje se vlaga zaradi črtanja petega in šestega odstavka tega člena z amandmajem, ki je bil k temu členu Predloga zakona sprejet na MDT. </w:t>
      </w:r>
    </w:p>
    <w:p w:rsidR="00EB596C" w:rsidRDefault="00EB596C" w:rsidP="00EB596C">
      <w:pPr>
        <w:jc w:val="both"/>
      </w:pPr>
    </w:p>
    <w:p w:rsidR="00EB596C" w:rsidRDefault="00EB596C" w:rsidP="00EB596C">
      <w:r>
        <w:rPr>
          <w:b/>
          <w:bCs/>
          <w:u w:val="single"/>
        </w:rPr>
        <w:t>K 45. členu: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V drugem odstavku 45. člena se besedilo »osmega ali devetega« nadomesti z besedilom »sedmega ali osmega«.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  <w:r>
        <w:rPr>
          <w:b/>
          <w:bCs/>
        </w:rPr>
        <w:t>Obrazložitev:</w:t>
      </w:r>
    </w:p>
    <w:p w:rsidR="00EB596C" w:rsidRDefault="00EB596C" w:rsidP="00EB596C">
      <w:pPr>
        <w:jc w:val="both"/>
      </w:pPr>
      <w:r>
        <w:t>Amandma predlaga popravek notranjega sklicevanja v tej določbi zaradi črtanja drugega odstavka 27. člena Predloga zakona z amandmajem, ki je bil sprejet na MDT.</w:t>
      </w:r>
    </w:p>
    <w:p w:rsidR="00EB596C" w:rsidRDefault="00EB596C" w:rsidP="00EB596C"/>
    <w:p w:rsidR="00EB596C" w:rsidRDefault="00EB596C" w:rsidP="00EB596C">
      <w:pPr>
        <w:rPr>
          <w:b/>
          <w:bCs/>
          <w:u w:val="single"/>
        </w:rPr>
      </w:pPr>
      <w:r>
        <w:rPr>
          <w:b/>
          <w:bCs/>
          <w:u w:val="single"/>
        </w:rPr>
        <w:t>K 52. členu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 xml:space="preserve">V drugi alineji prvega odstavka 52. člena se beseda »in« nadomesti z besedo »ali«. </w:t>
      </w:r>
      <w:bookmarkStart w:id="2" w:name="_GoBack"/>
      <w:bookmarkEnd w:id="2"/>
      <w:r>
        <w:br w:type="page"/>
      </w:r>
    </w:p>
    <w:p w:rsidR="00EB596C" w:rsidRDefault="00EB596C" w:rsidP="00EB596C">
      <w:pPr>
        <w:rPr>
          <w:b/>
          <w:bCs/>
        </w:rPr>
      </w:pPr>
      <w:r>
        <w:rPr>
          <w:b/>
          <w:bCs/>
        </w:rPr>
        <w:lastRenderedPageBreak/>
        <w:t xml:space="preserve">Obrazložitev </w:t>
      </w:r>
    </w:p>
    <w:p w:rsidR="00EB596C" w:rsidRDefault="00EB596C" w:rsidP="00EB596C">
      <w:pPr>
        <w:jc w:val="both"/>
      </w:pPr>
      <w:r>
        <w:t xml:space="preserve">Predlog amandmaja odpravlja pomanjkljivost določbe, ki je za izpolnitev znakov prekrška z uporabo veznika »in« pomotoma zahtevala kršitev vseh v tej določbi naštetih obveznosti. Ker za izpolnitev znakov prekrška zadošča kršitev katerekoli izmed v tej določbi naštetih obveznosti, se torej predlaga beseda »ali«, kar je primerljivo tudi z rabo veznikov v podobni določbi iz prvega odstavka 53. člena Dopolnjenega predloga zakona. </w:t>
      </w:r>
    </w:p>
    <w:p w:rsidR="00EB596C" w:rsidRDefault="00EB596C" w:rsidP="00EB596C">
      <w:pPr>
        <w:jc w:val="both"/>
      </w:pPr>
    </w:p>
    <w:p w:rsidR="00EB596C" w:rsidRDefault="00EB596C" w:rsidP="00EB596C">
      <w:r>
        <w:rPr>
          <w:b/>
          <w:bCs/>
          <w:u w:val="single"/>
        </w:rPr>
        <w:t>K 65. členu: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Za 2. točko se doda nova 3. točka, ki se glasi:</w:t>
      </w:r>
    </w:p>
    <w:p w:rsidR="00EB596C" w:rsidRDefault="00EB596C" w:rsidP="00EB596C">
      <w:pPr>
        <w:jc w:val="both"/>
      </w:pPr>
      <w:r>
        <w:t>»3. se 118., 119., 120., 121. in 122. člen črtajo;«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Dosedanje 3. do  9. točka postanejo 4. do 10. točka.</w:t>
      </w:r>
    </w:p>
    <w:p w:rsidR="00EB596C" w:rsidRDefault="00EB596C" w:rsidP="00EB596C">
      <w:pPr>
        <w:jc w:val="both"/>
      </w:pPr>
    </w:p>
    <w:p w:rsidR="00EB596C" w:rsidRDefault="00EB596C" w:rsidP="00EB596C">
      <w:pPr>
        <w:jc w:val="both"/>
      </w:pPr>
      <w:r>
        <w:t>Drugi odstavek se črta.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  <w:r>
        <w:rPr>
          <w:b/>
          <w:bCs/>
        </w:rPr>
        <w:t>Obrazložitev:</w:t>
      </w:r>
    </w:p>
    <w:p w:rsidR="00EB596C" w:rsidRDefault="00EB596C" w:rsidP="00EB596C">
      <w:pPr>
        <w:jc w:val="both"/>
      </w:pPr>
      <w:r>
        <w:t xml:space="preserve">Amandma se vlaga zaradi poenotenja </w:t>
      </w:r>
      <w:proofErr w:type="spellStart"/>
      <w:r>
        <w:t>nomotehničnega</w:t>
      </w:r>
      <w:proofErr w:type="spellEnd"/>
      <w:r>
        <w:t xml:space="preserve"> pristopa pri spreminjanju Zakona o elektronskih komunikacijah (ZEKom-2). Vsebino drugega odstavka, katerega črtanje se sedaj predlaga, je namreč treba umesti med ostale točke tega člena. </w:t>
      </w:r>
    </w:p>
    <w:p w:rsidR="00EB596C" w:rsidRDefault="00EB596C" w:rsidP="00EB596C">
      <w:pPr>
        <w:rPr>
          <w:b/>
          <w:bCs/>
          <w:u w:val="single"/>
        </w:rPr>
      </w:pPr>
    </w:p>
    <w:p w:rsidR="00EB596C" w:rsidRDefault="00EB596C" w:rsidP="00EB596C">
      <w:pPr>
        <w:rPr>
          <w:b/>
          <w:bCs/>
          <w:u w:val="single"/>
        </w:rPr>
      </w:pPr>
      <w:r>
        <w:rPr>
          <w:b/>
          <w:bCs/>
          <w:u w:val="single"/>
        </w:rPr>
        <w:t>K 67. členu:</w:t>
      </w:r>
    </w:p>
    <w:p w:rsidR="00EB596C" w:rsidRDefault="00EB596C" w:rsidP="00EB596C">
      <w:r>
        <w:t>Besedilo 67. člena se spremeni tako, da se glasi:</w:t>
      </w:r>
    </w:p>
    <w:p w:rsidR="00EB596C" w:rsidRDefault="00EB596C" w:rsidP="00EB596C">
      <w:r>
        <w:t>»V Zakonu o varstvu osebnih podatkov (Uradni list RS, št. 163/22) se v 23. členu v prvem odstavku besedilo »o varnostnih zahtevah« nadomesti z besedilom »o ukrepih za obvladovanje tveganj«, besedilo »izvajalce bistvenih storitev« pa se nadomesti z besedilom »bistvene subjekte«.«.</w:t>
      </w:r>
    </w:p>
    <w:p w:rsidR="00EB596C" w:rsidRDefault="00EB596C" w:rsidP="00EB596C">
      <w:pPr>
        <w:rPr>
          <w:b/>
          <w:bCs/>
        </w:rPr>
      </w:pPr>
    </w:p>
    <w:p w:rsidR="00EB596C" w:rsidRDefault="00EB596C" w:rsidP="00EB596C">
      <w:pPr>
        <w:rPr>
          <w:b/>
          <w:bCs/>
        </w:rPr>
      </w:pPr>
      <w:r>
        <w:rPr>
          <w:b/>
          <w:bCs/>
        </w:rPr>
        <w:t>Obrazložitev:</w:t>
      </w:r>
    </w:p>
    <w:p w:rsidR="00EB596C" w:rsidRDefault="00EB596C" w:rsidP="00EB596C">
      <w:pPr>
        <w:rPr>
          <w:b/>
          <w:bCs/>
        </w:rPr>
      </w:pPr>
      <w:r>
        <w:t xml:space="preserve">S predlaganim amandmajem se odpravlja nepravilno sklicevanje na (ta) zakon in se hkrati uporabi pravilen zapis spremenjenega besedila glede na določbo 23. člena Zakona o varstvu osebnih podatkov (ZVOP-2).  </w:t>
      </w:r>
    </w:p>
    <w:p w:rsidR="00EB596C" w:rsidRDefault="00EB596C" w:rsidP="00EB596C"/>
    <w:p w:rsidR="00EB596C" w:rsidRDefault="00EB596C" w:rsidP="00EB596C">
      <w:pPr>
        <w:rPr>
          <w:b/>
          <w:bCs/>
        </w:rPr>
      </w:pPr>
    </w:p>
    <w:p w:rsidR="007E1230" w:rsidRDefault="007E1230" w:rsidP="00EB596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E9C" w:rsidRDefault="00814E9C" w:rsidP="00767987">
      <w:pPr>
        <w:spacing w:line="240" w:lineRule="auto"/>
      </w:pPr>
      <w:r>
        <w:separator/>
      </w:r>
    </w:p>
  </w:endnote>
  <w:endnote w:type="continuationSeparator" w:id="0">
    <w:p w:rsidR="00814E9C" w:rsidRDefault="00814E9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E9C" w:rsidRDefault="00814E9C" w:rsidP="00767987">
      <w:pPr>
        <w:spacing w:line="240" w:lineRule="auto"/>
      </w:pPr>
      <w:r>
        <w:separator/>
      </w:r>
    </w:p>
  </w:footnote>
  <w:footnote w:type="continuationSeparator" w:id="0">
    <w:p w:rsidR="00814E9C" w:rsidRDefault="00814E9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B5A" w:rsidRDefault="00E90B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8324FD"/>
    <w:multiLevelType w:val="hybridMultilevel"/>
    <w:tmpl w:val="83781164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28DA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14E9C"/>
    <w:rsid w:val="008B57D1"/>
    <w:rsid w:val="00904A48"/>
    <w:rsid w:val="0095070A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90B5A"/>
    <w:rsid w:val="00EB596C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73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835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2025-05-16T11:49:00Z</dcterms:created>
  <dcterms:modified xsi:type="dcterms:W3CDTF">2025-05-16T11:49:00Z</dcterms:modified>
</cp:coreProperties>
</file>