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793EF" w14:textId="0FB4E485" w:rsidR="00331D90" w:rsidRPr="008D7697" w:rsidRDefault="0025591D" w:rsidP="0025591D">
      <w:pPr>
        <w:suppressAutoHyphens/>
        <w:overflowPunct w:val="0"/>
        <w:autoSpaceDE w:val="0"/>
        <w:autoSpaceDN w:val="0"/>
        <w:adjustRightInd w:val="0"/>
        <w:spacing w:line="260" w:lineRule="exact"/>
        <w:jc w:val="right"/>
        <w:textAlignment w:val="baseline"/>
        <w:rPr>
          <w:rFonts w:cs="Arial"/>
          <w:b/>
          <w:bCs/>
          <w:szCs w:val="20"/>
          <w:lang w:val="sl-SI"/>
        </w:rPr>
      </w:pPr>
      <w:bookmarkStart w:id="0" w:name="_Hlk145337954"/>
      <w:r>
        <w:rPr>
          <w:rFonts w:cs="Arial"/>
          <w:b/>
          <w:bCs/>
          <w:szCs w:val="20"/>
          <w:lang w:val="sl-SI"/>
        </w:rPr>
        <w:t>PRVA OBRAVNAVA</w:t>
      </w:r>
    </w:p>
    <w:p w14:paraId="3A02FF62" w14:textId="77777777" w:rsidR="00331D90" w:rsidRDefault="00331D90" w:rsidP="00A40742">
      <w:pPr>
        <w:suppressAutoHyphens/>
        <w:overflowPunct w:val="0"/>
        <w:autoSpaceDE w:val="0"/>
        <w:autoSpaceDN w:val="0"/>
        <w:adjustRightInd w:val="0"/>
        <w:spacing w:line="260" w:lineRule="exact"/>
        <w:jc w:val="right"/>
        <w:textAlignment w:val="baseline"/>
        <w:rPr>
          <w:rFonts w:cs="Arial"/>
          <w:b/>
          <w:bCs/>
          <w:szCs w:val="20"/>
          <w:lang w:val="sl-SI"/>
        </w:rPr>
      </w:pPr>
      <w:r w:rsidRPr="008D7697">
        <w:rPr>
          <w:rFonts w:cs="Arial"/>
          <w:b/>
          <w:bCs/>
          <w:szCs w:val="20"/>
          <w:lang w:val="sl-SI"/>
        </w:rPr>
        <w:t>EVA 2025-2030-0010</w:t>
      </w:r>
    </w:p>
    <w:p w14:paraId="29AF8513" w14:textId="4C3CE2C8" w:rsidR="0025591D" w:rsidRPr="008D7697" w:rsidRDefault="0025591D" w:rsidP="00A40742">
      <w:pPr>
        <w:suppressAutoHyphens/>
        <w:overflowPunct w:val="0"/>
        <w:autoSpaceDE w:val="0"/>
        <w:autoSpaceDN w:val="0"/>
        <w:adjustRightInd w:val="0"/>
        <w:spacing w:line="260" w:lineRule="exact"/>
        <w:jc w:val="right"/>
        <w:textAlignment w:val="baseline"/>
        <w:rPr>
          <w:rFonts w:cs="Arial"/>
          <w:b/>
          <w:bCs/>
          <w:szCs w:val="20"/>
          <w:lang w:val="sl-SI"/>
        </w:rPr>
      </w:pPr>
      <w:r>
        <w:rPr>
          <w:rFonts w:cs="Arial"/>
          <w:b/>
          <w:bCs/>
          <w:szCs w:val="20"/>
          <w:lang w:val="sl-SI"/>
        </w:rPr>
        <w:t>PREDLOG</w:t>
      </w:r>
    </w:p>
    <w:bookmarkEnd w:id="0"/>
    <w:p w14:paraId="200C17FD"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0B010008"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p>
    <w:p w14:paraId="406AF272" w14:textId="77777777" w:rsidR="00331D90" w:rsidRPr="008D7697" w:rsidRDefault="00331D90" w:rsidP="00A40742">
      <w:pPr>
        <w:suppressAutoHyphens/>
        <w:overflowPunct w:val="0"/>
        <w:autoSpaceDE w:val="0"/>
        <w:autoSpaceDN w:val="0"/>
        <w:adjustRightInd w:val="0"/>
        <w:spacing w:line="260" w:lineRule="exact"/>
        <w:jc w:val="center"/>
        <w:textAlignment w:val="baseline"/>
        <w:rPr>
          <w:rFonts w:cs="Arial"/>
          <w:b/>
          <w:bCs/>
          <w:szCs w:val="20"/>
          <w:lang w:val="sl-SI"/>
        </w:rPr>
      </w:pPr>
      <w:r w:rsidRPr="008D7697">
        <w:rPr>
          <w:rFonts w:cs="Arial"/>
          <w:b/>
          <w:bCs/>
          <w:szCs w:val="20"/>
          <w:lang w:val="sl-SI"/>
        </w:rPr>
        <w:t>ZAKON O SPREMEMBAH IN DOPOLNITVAH ZAKONA O DRŽAVNEM TOŽILSTVU</w:t>
      </w:r>
    </w:p>
    <w:p w14:paraId="61E3DA73"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7D406236"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r w:rsidRPr="008D7697">
        <w:rPr>
          <w:rFonts w:cs="Arial"/>
          <w:b/>
          <w:bCs/>
          <w:szCs w:val="20"/>
          <w:lang w:val="sl-SI"/>
        </w:rPr>
        <w:t>I. UVOD</w:t>
      </w:r>
    </w:p>
    <w:p w14:paraId="2A04BC29"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bCs/>
          <w:szCs w:val="20"/>
          <w:lang w:val="sl-SI"/>
        </w:rPr>
      </w:pPr>
    </w:p>
    <w:p w14:paraId="12B34531"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r w:rsidRPr="008D7697">
        <w:rPr>
          <w:rFonts w:cs="Arial"/>
          <w:b/>
          <w:szCs w:val="20"/>
          <w:lang w:val="sl-SI" w:eastAsia="sl-SI"/>
        </w:rPr>
        <w:t xml:space="preserve">1. </w:t>
      </w:r>
      <w:bookmarkStart w:id="1" w:name="_Hlk145337913"/>
      <w:r w:rsidRPr="008D7697">
        <w:rPr>
          <w:rFonts w:cs="Arial"/>
          <w:b/>
          <w:szCs w:val="20"/>
          <w:lang w:val="sl-SI" w:eastAsia="sl-SI"/>
        </w:rPr>
        <w:t>OCENA STANJA IN RAZLOGI ZA SPREJETJE PREDLOGA ZAKONA</w:t>
      </w:r>
      <w:bookmarkEnd w:id="1"/>
    </w:p>
    <w:p w14:paraId="0272298B"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0B06A92" w14:textId="77777777" w:rsidR="00331D90" w:rsidRPr="008D7697" w:rsidRDefault="00331D90" w:rsidP="00A40742">
      <w:pPr>
        <w:numPr>
          <w:ilvl w:val="1"/>
          <w:numId w:val="17"/>
        </w:numPr>
        <w:shd w:val="clear" w:color="auto" w:fill="FFFFFF"/>
        <w:spacing w:line="260" w:lineRule="exact"/>
        <w:contextualSpacing/>
        <w:jc w:val="both"/>
        <w:rPr>
          <w:rFonts w:cs="Arial"/>
          <w:b/>
          <w:bCs/>
          <w:szCs w:val="20"/>
          <w:lang w:val="sl-SI" w:eastAsia="sl-SI"/>
        </w:rPr>
      </w:pPr>
      <w:r w:rsidRPr="008D7697">
        <w:rPr>
          <w:rFonts w:cs="Arial"/>
          <w:b/>
          <w:bCs/>
          <w:szCs w:val="20"/>
          <w:lang w:val="sl-SI" w:eastAsia="sl-SI"/>
        </w:rPr>
        <w:t>Veljavna ureditev na področju državnega tožilstva</w:t>
      </w:r>
    </w:p>
    <w:p w14:paraId="3AF56245" w14:textId="77777777" w:rsidR="00331D90" w:rsidRPr="008D7697" w:rsidRDefault="00331D90" w:rsidP="00A40742">
      <w:pPr>
        <w:suppressAutoHyphens/>
        <w:overflowPunct w:val="0"/>
        <w:autoSpaceDE w:val="0"/>
        <w:autoSpaceDN w:val="0"/>
        <w:adjustRightInd w:val="0"/>
        <w:spacing w:line="260" w:lineRule="exact"/>
        <w:textAlignment w:val="baseline"/>
        <w:rPr>
          <w:rFonts w:cs="Arial"/>
          <w:b/>
          <w:szCs w:val="20"/>
          <w:lang w:val="sl-SI" w:eastAsia="sl-SI"/>
        </w:rPr>
      </w:pPr>
    </w:p>
    <w:p w14:paraId="72C7CBF4"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Ustava Republike Slovenije</w:t>
      </w:r>
      <w:r w:rsidRPr="008D7697">
        <w:rPr>
          <w:rStyle w:val="Sprotnaopomba-sklic"/>
          <w:rFonts w:eastAsia="Calibri" w:cs="Arial"/>
          <w:szCs w:val="20"/>
          <w:lang w:val="sl-SI"/>
        </w:rPr>
        <w:footnoteReference w:id="1"/>
      </w:r>
      <w:r w:rsidRPr="008D7697">
        <w:rPr>
          <w:rFonts w:eastAsia="Calibri" w:cs="Arial"/>
          <w:szCs w:val="20"/>
          <w:lang w:val="sl-SI"/>
        </w:rPr>
        <w:t xml:space="preserve"> v drugem odstavku 135. člena določa, da ureditev in pristojnosti državnih tožilstev določa zakon. Veljavni Zakon o državnem tožilstvu</w:t>
      </w:r>
      <w:r w:rsidRPr="008D7697">
        <w:rPr>
          <w:rStyle w:val="Sprotnaopomba-sklic"/>
          <w:rFonts w:eastAsia="Calibri" w:cs="Arial"/>
          <w:szCs w:val="20"/>
          <w:lang w:val="sl-SI"/>
        </w:rPr>
        <w:footnoteReference w:id="2"/>
      </w:r>
      <w:r w:rsidRPr="008D7697">
        <w:rPr>
          <w:rFonts w:eastAsia="Calibri" w:cs="Arial"/>
          <w:szCs w:val="20"/>
          <w:lang w:val="sl-SI"/>
        </w:rPr>
        <w:t xml:space="preserve"> (v nadaljnjem besedilu: ZDT-1) je začel veljati 6. 8. 2011, uporabljati pa se je začel 6. 11. 2011. ZDT-1 ureja državnotožilsko službo, pristojnosti in nezdružljivost funkcije državnega tožilca, ureditev in pristojnosti državnih tožilstev, državnotožilsko in pravosodno upravo, sestavo, pristojnosti in delovanje Državnotožilskega sveta, razmerja med državnimi tožilstvi in druga vprašanja, pomembna za delo državnih tožilcev in državnih tožilstev.</w:t>
      </w:r>
    </w:p>
    <w:p w14:paraId="75E83624" w14:textId="77777777" w:rsidR="00331D90" w:rsidRPr="008D7697" w:rsidRDefault="00331D90" w:rsidP="00A40742">
      <w:pPr>
        <w:spacing w:line="260" w:lineRule="exact"/>
        <w:jc w:val="both"/>
        <w:rPr>
          <w:rFonts w:eastAsia="Calibri" w:cs="Arial"/>
          <w:szCs w:val="20"/>
          <w:lang w:val="sl-SI"/>
        </w:rPr>
      </w:pPr>
    </w:p>
    <w:p w14:paraId="6871EF7F" w14:textId="4731A158"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ZDT-1 je bil do zdaj petkrat parcialno noveliran, in sicer </w:t>
      </w:r>
      <w:r w:rsidR="006861FB">
        <w:rPr>
          <w:rFonts w:eastAsia="Calibri" w:cs="Arial"/>
          <w:szCs w:val="20"/>
          <w:lang w:val="sl-SI"/>
        </w:rPr>
        <w:t xml:space="preserve">v </w:t>
      </w:r>
      <w:r w:rsidRPr="008D7697">
        <w:rPr>
          <w:rFonts w:eastAsia="Calibri" w:cs="Arial"/>
          <w:szCs w:val="20"/>
          <w:lang w:val="sl-SI"/>
        </w:rPr>
        <w:t>let</w:t>
      </w:r>
      <w:r w:rsidR="006861FB">
        <w:rPr>
          <w:rFonts w:eastAsia="Calibri" w:cs="Arial"/>
          <w:szCs w:val="20"/>
          <w:lang w:val="sl-SI"/>
        </w:rPr>
        <w:t>ih</w:t>
      </w:r>
      <w:r w:rsidRPr="008D7697">
        <w:rPr>
          <w:rFonts w:eastAsia="Calibri" w:cs="Arial"/>
          <w:szCs w:val="20"/>
          <w:lang w:val="sl-SI"/>
        </w:rPr>
        <w:t xml:space="preserve"> 2012</w:t>
      </w:r>
      <w:r w:rsidRPr="008D7697">
        <w:rPr>
          <w:rStyle w:val="Sprotnaopomba-sklic"/>
          <w:rFonts w:cs="Arial"/>
          <w:szCs w:val="20"/>
          <w:lang w:val="sl-SI"/>
        </w:rPr>
        <w:footnoteReference w:id="3"/>
      </w:r>
      <w:r w:rsidRPr="008D7697">
        <w:rPr>
          <w:rFonts w:eastAsia="Calibri" w:cs="Arial"/>
          <w:szCs w:val="20"/>
          <w:lang w:val="sl-SI"/>
        </w:rPr>
        <w:t xml:space="preserve"> (ZDT-1A), 2015</w:t>
      </w:r>
      <w:r w:rsidRPr="008D7697">
        <w:rPr>
          <w:rStyle w:val="Sprotnaopomba-sklic"/>
          <w:rFonts w:cs="Arial"/>
          <w:szCs w:val="20"/>
          <w:lang w:val="sl-SI"/>
        </w:rPr>
        <w:footnoteReference w:id="4"/>
      </w:r>
      <w:r w:rsidRPr="008D7697">
        <w:rPr>
          <w:rFonts w:eastAsia="Calibri" w:cs="Arial"/>
          <w:szCs w:val="20"/>
          <w:lang w:val="sl-SI"/>
        </w:rPr>
        <w:t xml:space="preserve"> (ZDT-1B), 2019</w:t>
      </w:r>
      <w:r w:rsidRPr="008D7697">
        <w:rPr>
          <w:rStyle w:val="Sprotnaopomba-sklic"/>
          <w:rFonts w:cs="Arial"/>
          <w:szCs w:val="20"/>
          <w:lang w:val="sl-SI"/>
        </w:rPr>
        <w:footnoteReference w:id="5"/>
      </w:r>
      <w:r w:rsidRPr="008D7697">
        <w:rPr>
          <w:rFonts w:eastAsia="Calibri" w:cs="Arial"/>
          <w:szCs w:val="20"/>
          <w:lang w:val="sl-SI"/>
        </w:rPr>
        <w:t xml:space="preserve"> (ZDT-1C), 2020</w:t>
      </w:r>
      <w:r w:rsidRPr="008D7697">
        <w:rPr>
          <w:rStyle w:val="Sprotnaopomba-sklic"/>
          <w:rFonts w:eastAsia="Calibri" w:cs="Arial"/>
          <w:szCs w:val="20"/>
          <w:lang w:val="sl-SI"/>
        </w:rPr>
        <w:footnoteReference w:id="6"/>
      </w:r>
      <w:r w:rsidRPr="008D7697">
        <w:rPr>
          <w:rFonts w:eastAsia="Calibri" w:cs="Arial"/>
          <w:szCs w:val="20"/>
          <w:lang w:val="sl-SI"/>
        </w:rPr>
        <w:t xml:space="preserve"> (ZDT-1D) in 2021</w:t>
      </w:r>
      <w:r w:rsidRPr="008D7697">
        <w:rPr>
          <w:rStyle w:val="Sprotnaopomba-sklic"/>
          <w:rFonts w:eastAsia="Calibri" w:cs="Arial"/>
          <w:szCs w:val="20"/>
          <w:lang w:val="sl-SI"/>
        </w:rPr>
        <w:footnoteReference w:id="7"/>
      </w:r>
      <w:r w:rsidRPr="008D7697">
        <w:rPr>
          <w:rFonts w:eastAsia="Calibri" w:cs="Arial"/>
          <w:szCs w:val="20"/>
          <w:lang w:val="sl-SI"/>
        </w:rPr>
        <w:t xml:space="preserve"> (ZDT-1E). </w:t>
      </w:r>
    </w:p>
    <w:p w14:paraId="75FDD50B" w14:textId="77777777" w:rsidR="00331D90" w:rsidRPr="008D7697" w:rsidRDefault="00331D90" w:rsidP="00A40742">
      <w:pPr>
        <w:spacing w:line="260" w:lineRule="exact"/>
        <w:jc w:val="both"/>
        <w:rPr>
          <w:rFonts w:eastAsia="Calibri" w:cs="Arial"/>
          <w:szCs w:val="20"/>
          <w:lang w:val="sl-SI"/>
        </w:rPr>
      </w:pPr>
    </w:p>
    <w:p w14:paraId="25E2F525" w14:textId="42CA5A54"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Eden od institutov, ki so od spreje</w:t>
      </w:r>
      <w:r w:rsidR="001743E1">
        <w:rPr>
          <w:rFonts w:eastAsia="Calibri" w:cs="Arial"/>
          <w:szCs w:val="20"/>
          <w:lang w:val="sl-SI"/>
        </w:rPr>
        <w:t>tj</w:t>
      </w:r>
      <w:r w:rsidRPr="008D7697">
        <w:rPr>
          <w:rFonts w:eastAsia="Calibri" w:cs="Arial"/>
          <w:szCs w:val="20"/>
          <w:lang w:val="sl-SI"/>
        </w:rPr>
        <w:t xml:space="preserve">a ZDT-1 do zdaj ostali nespremenjeni, so državnotožilski nazivi. Po veljavni ureditvi se državnotožilska služba na državnotožilskih mestih opravlja v državnotožilskih nazivih okrajni državni tožilec, okrožni državni tožilec, višji državni tožilec, vrhovni državni tožilec oziroma na položajih okrajni državni tožilec svetnik, okrožni državni tožilec svetnik, višji državni tožilec svetnik in vrhovni državni tožilec svetnik. Z imenovanjem na državnotožilsko mesto na okrožnem državnem tožilstvu, ki se opravlja v nazivu okrajnega državnega tožilca, pridobi državni tožilec naziv okrajnega državnega tožilca. Z imenovanjem na državnotožilsko mesto na okrožnem državnem tožilstvu, ki se opravlja v nazivu okrožnega državnega tožilca, pridobi državni tožilec naziv okrožnega državnega tožilca. Z imenovanjem na državnotožilsko mesto na okrožnem ali Vrhovnem državnem tožilstvu Republike Slovenije, ki se opravlja v nazivu višjega državnega tožilca, pridobi državni tožilec naziv višjega državnega </w:t>
      </w:r>
      <w:r w:rsidRPr="008D7697">
        <w:rPr>
          <w:rFonts w:eastAsia="Calibri" w:cs="Arial"/>
          <w:szCs w:val="20"/>
          <w:lang w:val="sl-SI"/>
        </w:rPr>
        <w:lastRenderedPageBreak/>
        <w:t>tožilca. Z imenovanjem na državnotožilsko mesto na V</w:t>
      </w:r>
      <w:r w:rsidR="00C957F5">
        <w:rPr>
          <w:rFonts w:eastAsia="Calibri" w:cs="Arial"/>
          <w:szCs w:val="20"/>
          <w:lang w:val="sl-SI"/>
        </w:rPr>
        <w:t>rhovnem državnem tožilstvu Republike Slovenije</w:t>
      </w:r>
      <w:r w:rsidRPr="008D7697">
        <w:rPr>
          <w:rFonts w:eastAsia="Calibri" w:cs="Arial"/>
          <w:szCs w:val="20"/>
          <w:lang w:val="sl-SI"/>
        </w:rPr>
        <w:t>, ki se opravlja v nazivu vrhovnega državnega tožilca, pa pridobi državni tožilec naziv vrhovnega državnega tožilca (22. člen ZDT-1).</w:t>
      </w:r>
    </w:p>
    <w:p w14:paraId="0EE34085" w14:textId="77777777" w:rsidR="00331D90" w:rsidRPr="008D7697" w:rsidRDefault="00331D90" w:rsidP="00331D90">
      <w:pPr>
        <w:spacing w:line="260" w:lineRule="exact"/>
        <w:jc w:val="both"/>
        <w:rPr>
          <w:rFonts w:eastAsia="Calibri" w:cs="Arial"/>
          <w:szCs w:val="20"/>
          <w:lang w:val="sl-SI"/>
        </w:rPr>
      </w:pPr>
    </w:p>
    <w:p w14:paraId="3F2EEB02" w14:textId="3DF8375E"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Zakon torej jasno razlikuje med različnimi nazivi državnih tožilcev, med drugim med nazivom okrajnega državnega tožilca in okrožnega državnega tožilca. Vendar pa zakonske pristojnosti državnih tožilcev različnih nazivov niso tako strogo ločene kot njihovi nazivi, saj v </w:t>
      </w:r>
      <w:r w:rsidR="005D6C36">
        <w:rPr>
          <w:rFonts w:eastAsia="Calibri" w:cs="Arial"/>
          <w:szCs w:val="20"/>
          <w:lang w:val="sl-SI"/>
        </w:rPr>
        <w:t xml:space="preserve">nekaterih okoliščinah </w:t>
      </w:r>
      <w:r w:rsidRPr="008D7697">
        <w:rPr>
          <w:rFonts w:eastAsia="Calibri" w:cs="Arial"/>
          <w:szCs w:val="20"/>
          <w:lang w:val="sl-SI"/>
        </w:rPr>
        <w:t xml:space="preserve">okrajni in okrožni državni tožilci opravljajo enake naloge. Tako npr. ZDT-1 določa izvorno pristojnost okrajnih državnih tožilcev za nastopanje pred okrajnimi sodišči, po pooblastilu pa lahko nastopajo tudi pred okrožnimi in višjimi sodišči (prvi, peti in šesti odstavek 21. člena ZDT-1).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665607">
        <w:rPr>
          <w:rFonts w:eastAsia="Calibri" w:cs="Arial"/>
          <w:szCs w:val="20"/>
          <w:lang w:val="sl-SI"/>
        </w:rPr>
        <w:t>Poleg tega</w:t>
      </w:r>
      <w:r w:rsidRPr="008D7697">
        <w:rPr>
          <w:rFonts w:eastAsia="Calibri" w:cs="Arial"/>
          <w:szCs w:val="20"/>
          <w:lang w:val="sl-SI"/>
        </w:rPr>
        <w:t xml:space="preserve"> okrajni državni tožilci opravljajo dežurno službo, v okviru katere obravnavajo vsa kazniva dejanja, o katerih so obveščeni, torej ne le zadev iz okrajne</w:t>
      </w:r>
      <w:r w:rsidR="000A704A">
        <w:rPr>
          <w:rFonts w:eastAsia="Calibri" w:cs="Arial"/>
          <w:szCs w:val="20"/>
          <w:lang w:val="sl-SI"/>
        </w:rPr>
        <w:t xml:space="preserve"> pristojnosti</w:t>
      </w:r>
      <w:r w:rsidRPr="008D7697">
        <w:rPr>
          <w:rFonts w:eastAsia="Calibri" w:cs="Arial"/>
          <w:szCs w:val="20"/>
          <w:lang w:val="sl-SI"/>
        </w:rPr>
        <w:t xml:space="preserve">, temveč tudi </w:t>
      </w:r>
      <w:r w:rsidR="004763CA">
        <w:rPr>
          <w:rFonts w:eastAsia="Calibri" w:cs="Arial"/>
          <w:szCs w:val="20"/>
          <w:lang w:val="sl-SI"/>
        </w:rPr>
        <w:t xml:space="preserve">zadeve iz </w:t>
      </w:r>
      <w:r w:rsidRPr="008D7697">
        <w:rPr>
          <w:rFonts w:eastAsia="Calibri" w:cs="Arial"/>
          <w:szCs w:val="20"/>
          <w:lang w:val="sl-SI"/>
        </w:rPr>
        <w:t>okrožne pristojnosti. Zakon o kazenskem postopku</w:t>
      </w:r>
      <w:r w:rsidRPr="008D7697">
        <w:rPr>
          <w:rStyle w:val="Sprotnaopomba-sklic"/>
          <w:rFonts w:eastAsia="Calibri" w:cs="Arial"/>
          <w:szCs w:val="20"/>
          <w:lang w:val="sl-SI"/>
        </w:rPr>
        <w:footnoteReference w:id="8"/>
      </w:r>
      <w:r w:rsidRPr="008D7697">
        <w:rPr>
          <w:rFonts w:eastAsia="Calibri" w:cs="Arial"/>
          <w:szCs w:val="20"/>
          <w:lang w:val="sl-SI"/>
        </w:rPr>
        <w:t xml:space="preserve"> (v nadaljnjem besedilu: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w:t>
      </w:r>
      <w:r w:rsidR="00C653D1">
        <w:rPr>
          <w:rFonts w:eastAsia="Calibri" w:cs="Arial"/>
          <w:szCs w:val="20"/>
          <w:lang w:val="sl-SI"/>
        </w:rPr>
        <w:t>ter</w:t>
      </w:r>
      <w:r w:rsidRPr="008D7697">
        <w:rPr>
          <w:rFonts w:eastAsia="Calibri" w:cs="Arial"/>
          <w:szCs w:val="20"/>
          <w:lang w:val="sl-SI"/>
        </w:rPr>
        <w:t xml:space="preserve"> niso enaki položajem v sodstvu, kjer praviloma na okrajnih sodiščih sodijo okrajni sodniki in na okrožnih sodiščih sodniki, ki imajo najmanj naziv okrožnega sodnika. </w:t>
      </w:r>
    </w:p>
    <w:p w14:paraId="05FA8A84" w14:textId="77777777" w:rsidR="00331D90" w:rsidRPr="008D7697" w:rsidRDefault="00331D90" w:rsidP="00A40742">
      <w:pPr>
        <w:spacing w:line="260" w:lineRule="exact"/>
        <w:jc w:val="both"/>
        <w:rPr>
          <w:rFonts w:eastAsia="Calibri" w:cs="Arial"/>
          <w:szCs w:val="20"/>
          <w:lang w:val="sl-SI"/>
        </w:rPr>
      </w:pPr>
    </w:p>
    <w:p w14:paraId="77A094CF" w14:textId="77777777"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Stroge razmejitve pristojnosti med okrajnimi in okrožnimi državnimi tožilci torej ni najti niti na zakonski ravni, še manj pa v praksi zaradi potrebe po odzivanju vodij državnih tožilstev na dinamiko pripada zadev iz okrajne in okrožne pristojnosti ob upoštevanju razpoložljivih kadrovskih virov. </w:t>
      </w:r>
    </w:p>
    <w:p w14:paraId="6679C581" w14:textId="77777777" w:rsidR="00331D90" w:rsidRPr="008D7697" w:rsidRDefault="00331D90" w:rsidP="00A40742">
      <w:pPr>
        <w:spacing w:line="260" w:lineRule="exact"/>
        <w:jc w:val="both"/>
        <w:rPr>
          <w:rFonts w:eastAsia="Calibri" w:cs="Arial"/>
          <w:szCs w:val="20"/>
          <w:lang w:val="sl-SI"/>
        </w:rPr>
      </w:pPr>
    </w:p>
    <w:p w14:paraId="689ACCE3" w14:textId="77777777" w:rsidR="00331D90" w:rsidRPr="008D7697" w:rsidRDefault="00331D90" w:rsidP="00A40742">
      <w:pPr>
        <w:spacing w:line="260" w:lineRule="exact"/>
        <w:jc w:val="both"/>
        <w:rPr>
          <w:rFonts w:cs="Arial"/>
          <w:b/>
          <w:bCs/>
          <w:szCs w:val="20"/>
          <w:lang w:val="sl-SI" w:eastAsia="sl-SI"/>
        </w:rPr>
      </w:pPr>
      <w:r w:rsidRPr="008D7697">
        <w:rPr>
          <w:rFonts w:eastAsia="Calibri" w:cs="Arial"/>
          <w:szCs w:val="20"/>
          <w:lang w:val="sl-SI"/>
        </w:rPr>
        <w:t xml:space="preserve"> </w:t>
      </w:r>
      <w:r w:rsidRPr="008D7697">
        <w:rPr>
          <w:rFonts w:eastAsia="Calibri" w:cs="Arial"/>
          <w:b/>
          <w:bCs/>
          <w:szCs w:val="20"/>
          <w:lang w:val="sl-SI"/>
        </w:rPr>
        <w:t>1.2</w:t>
      </w:r>
      <w:r w:rsidRPr="008D7697">
        <w:rPr>
          <w:rFonts w:cs="Arial"/>
          <w:b/>
          <w:bCs/>
          <w:szCs w:val="20"/>
          <w:lang w:val="sl-SI" w:eastAsia="sl-SI"/>
        </w:rPr>
        <w:t xml:space="preserve"> Kadrovsko stanje na državnih tožilstvih</w:t>
      </w:r>
    </w:p>
    <w:p w14:paraId="15B3174E" w14:textId="77777777" w:rsidR="00331D90" w:rsidRPr="008D7697" w:rsidRDefault="00331D90" w:rsidP="00A40742">
      <w:pPr>
        <w:spacing w:line="260" w:lineRule="exact"/>
        <w:jc w:val="both"/>
        <w:rPr>
          <w:rFonts w:cs="Arial"/>
          <w:b/>
          <w:bCs/>
          <w:szCs w:val="20"/>
          <w:lang w:val="sl-SI" w:eastAsia="sl-SI"/>
        </w:rPr>
      </w:pPr>
    </w:p>
    <w:p w14:paraId="1291C1F6" w14:textId="762CFF3F" w:rsidR="00331D90" w:rsidRPr="008D7697" w:rsidRDefault="00331D90" w:rsidP="00A40742">
      <w:pPr>
        <w:spacing w:line="260" w:lineRule="exact"/>
        <w:jc w:val="both"/>
        <w:rPr>
          <w:rFonts w:cs="Arial"/>
          <w:szCs w:val="20"/>
          <w:lang w:val="sl-SI"/>
        </w:rPr>
      </w:pPr>
      <w:r w:rsidRPr="008D7697">
        <w:rPr>
          <w:rFonts w:cs="Arial"/>
          <w:szCs w:val="20"/>
          <w:lang w:val="sl-SI"/>
        </w:rPr>
        <w:t>Število mest državnih tožilcev in nazive, v katerih se pri posameznih državnih tožilstvih opravlja državnotožilska služba, določa Odredba o številu mest državnih tožilcev</w:t>
      </w:r>
      <w:r w:rsidR="0032705D">
        <w:rPr>
          <w:rFonts w:cs="Arial"/>
          <w:szCs w:val="20"/>
          <w:lang w:val="sl-SI"/>
        </w:rPr>
        <w:t>.</w:t>
      </w:r>
      <w:r w:rsidRPr="008D7697">
        <w:rPr>
          <w:rStyle w:val="Sprotnaopomba-sklic"/>
          <w:rFonts w:cs="Arial"/>
          <w:szCs w:val="20"/>
          <w:lang w:val="sl-SI"/>
        </w:rPr>
        <w:footnoteReference w:id="9"/>
      </w:r>
      <w:r w:rsidRPr="008D7697">
        <w:rPr>
          <w:rFonts w:cs="Arial"/>
          <w:szCs w:val="20"/>
          <w:lang w:val="sl-SI"/>
        </w:rPr>
        <w:t xml:space="preserve"> Skupno je določenih 268 mest državnotožilskih funkcionarjev, od tega 18 vrhovnih, 37 višjih, 140 okrožnih in 73 okrajnih državnih tožilcev. </w:t>
      </w:r>
    </w:p>
    <w:p w14:paraId="7CCABDCD" w14:textId="77777777" w:rsidR="00331D90" w:rsidRPr="008D7697" w:rsidRDefault="00331D90" w:rsidP="00A40742">
      <w:pPr>
        <w:spacing w:line="260" w:lineRule="exact"/>
        <w:jc w:val="both"/>
        <w:rPr>
          <w:rFonts w:cs="Arial"/>
          <w:szCs w:val="20"/>
          <w:lang w:val="sl-SI"/>
        </w:rPr>
      </w:pPr>
    </w:p>
    <w:p w14:paraId="08E04D99" w14:textId="77777777" w:rsidR="00331D90" w:rsidRPr="008D7697" w:rsidRDefault="00331D90" w:rsidP="00A40742">
      <w:pPr>
        <w:spacing w:line="260" w:lineRule="exact"/>
        <w:jc w:val="both"/>
        <w:rPr>
          <w:rFonts w:cs="Arial"/>
          <w:b/>
          <w:bCs/>
          <w:szCs w:val="20"/>
          <w:lang w:val="sl-SI" w:eastAsia="sl-SI"/>
        </w:rPr>
      </w:pPr>
      <w:r w:rsidRPr="008D7697">
        <w:rPr>
          <w:rFonts w:cs="Arial"/>
          <w:szCs w:val="20"/>
          <w:lang w:val="sl-SI"/>
        </w:rPr>
        <w:t>Na dan 21. 1. 2025 je v Sloveniji opravljalo funkcijo 219 državnih tožilcev.</w:t>
      </w:r>
      <w:r w:rsidRPr="008D7697">
        <w:rPr>
          <w:lang w:val="sl-SI"/>
        </w:rPr>
        <w:t xml:space="preserve"> </w:t>
      </w:r>
      <w:r w:rsidRPr="008D7697">
        <w:rPr>
          <w:rFonts w:cs="Arial"/>
          <w:szCs w:val="20"/>
          <w:lang w:val="sl-SI"/>
        </w:rPr>
        <w:t>Spodnja preglednica prikazuje podatke o njihovem številu po državnotožilskih nazivih:</w:t>
      </w:r>
    </w:p>
    <w:p w14:paraId="200D9E42" w14:textId="77777777" w:rsidR="00331D90" w:rsidRPr="008D7697" w:rsidRDefault="00331D90" w:rsidP="00331D90">
      <w:pPr>
        <w:spacing w:line="260" w:lineRule="exact"/>
        <w:jc w:val="both"/>
        <w:rPr>
          <w:rFonts w:cs="Arial"/>
          <w:b/>
          <w:bCs/>
          <w:szCs w:val="20"/>
          <w:lang w:val="sl-SI" w:eastAsia="sl-SI"/>
        </w:rPr>
      </w:pPr>
    </w:p>
    <w:tbl>
      <w:tblPr>
        <w:tblStyle w:val="Tabelamrea"/>
        <w:tblW w:w="850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5"/>
        <w:gridCol w:w="1507"/>
        <w:gridCol w:w="1508"/>
        <w:gridCol w:w="1507"/>
        <w:gridCol w:w="1507"/>
        <w:gridCol w:w="1111"/>
      </w:tblGrid>
      <w:tr w:rsidR="00331D90" w:rsidRPr="008D7697" w14:paraId="7DDB813F" w14:textId="77777777" w:rsidTr="00042F56">
        <w:tc>
          <w:tcPr>
            <w:tcW w:w="1365" w:type="dxa"/>
            <w:vMerge w:val="restart"/>
            <w:tcBorders>
              <w:top w:val="single" w:sz="2" w:space="0" w:color="000000" w:themeColor="text1"/>
              <w:left w:val="single" w:sz="2" w:space="0" w:color="000000" w:themeColor="text1"/>
              <w:right w:val="single" w:sz="2" w:space="0" w:color="000000" w:themeColor="text1"/>
            </w:tcBorders>
            <w:shd w:val="clear" w:color="auto" w:fill="auto"/>
          </w:tcPr>
          <w:p w14:paraId="457CFBE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Državno tožilstvo</w:t>
            </w:r>
          </w:p>
        </w:tc>
        <w:tc>
          <w:tcPr>
            <w:tcW w:w="7140" w:type="dxa"/>
            <w:gridSpan w:val="5"/>
            <w:tcBorders>
              <w:top w:val="single" w:sz="2" w:space="0" w:color="000000" w:themeColor="text1"/>
              <w:left w:val="single" w:sz="2" w:space="0" w:color="000000" w:themeColor="text1"/>
              <w:bottom w:val="nil"/>
              <w:right w:val="single" w:sz="4" w:space="0" w:color="auto"/>
            </w:tcBorders>
            <w:shd w:val="clear" w:color="auto" w:fill="auto"/>
          </w:tcPr>
          <w:p w14:paraId="66D7BF8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Državni tožilci</w:t>
            </w:r>
          </w:p>
        </w:tc>
      </w:tr>
      <w:tr w:rsidR="00331D90" w:rsidRPr="008D7697" w14:paraId="78FD733C" w14:textId="77777777" w:rsidTr="00042F56">
        <w:tc>
          <w:tcPr>
            <w:tcW w:w="1365" w:type="dxa"/>
            <w:vMerge/>
            <w:tcBorders>
              <w:left w:val="single" w:sz="2" w:space="0" w:color="000000" w:themeColor="text1"/>
              <w:bottom w:val="single" w:sz="2" w:space="0" w:color="000000" w:themeColor="text1"/>
              <w:right w:val="single" w:sz="2" w:space="0" w:color="000000" w:themeColor="text1"/>
            </w:tcBorders>
            <w:shd w:val="clear" w:color="auto" w:fill="auto"/>
          </w:tcPr>
          <w:p w14:paraId="68FA3A9B" w14:textId="77777777" w:rsidR="00331D90" w:rsidRPr="008D7697" w:rsidRDefault="00331D90" w:rsidP="006F446D">
            <w:pPr>
              <w:spacing w:before="120" w:after="120" w:line="260" w:lineRule="exact"/>
              <w:jc w:val="both"/>
              <w:rPr>
                <w:rFonts w:cs="Arial"/>
                <w:szCs w:val="20"/>
                <w:lang w:val="sl-SI"/>
              </w:rPr>
            </w:pPr>
          </w:p>
        </w:tc>
        <w:tc>
          <w:tcPr>
            <w:tcW w:w="1507" w:type="dxa"/>
            <w:tcBorders>
              <w:top w:val="nil"/>
              <w:left w:val="single" w:sz="2" w:space="0" w:color="000000" w:themeColor="text1"/>
              <w:bottom w:val="single" w:sz="2" w:space="0" w:color="000000" w:themeColor="text1"/>
              <w:right w:val="single" w:sz="4" w:space="0" w:color="auto"/>
            </w:tcBorders>
            <w:shd w:val="clear" w:color="auto" w:fill="auto"/>
          </w:tcPr>
          <w:p w14:paraId="62A73BB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okrajni</w:t>
            </w:r>
          </w:p>
        </w:tc>
        <w:tc>
          <w:tcPr>
            <w:tcW w:w="1508" w:type="dxa"/>
            <w:tcBorders>
              <w:top w:val="nil"/>
              <w:left w:val="single" w:sz="4" w:space="0" w:color="auto"/>
              <w:bottom w:val="single" w:sz="2" w:space="0" w:color="000000" w:themeColor="text1"/>
              <w:right w:val="single" w:sz="2" w:space="0" w:color="000000" w:themeColor="text1"/>
            </w:tcBorders>
            <w:shd w:val="clear" w:color="auto" w:fill="auto"/>
          </w:tcPr>
          <w:p w14:paraId="44AB2C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okrožni</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75CCAF3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višji </w:t>
            </w:r>
          </w:p>
        </w:tc>
        <w:tc>
          <w:tcPr>
            <w:tcW w:w="1507" w:type="dxa"/>
            <w:tcBorders>
              <w:top w:val="nil"/>
              <w:left w:val="single" w:sz="2" w:space="0" w:color="000000" w:themeColor="text1"/>
              <w:bottom w:val="single" w:sz="2" w:space="0" w:color="000000" w:themeColor="text1"/>
              <w:right w:val="single" w:sz="2" w:space="0" w:color="000000" w:themeColor="text1"/>
            </w:tcBorders>
            <w:shd w:val="clear" w:color="auto" w:fill="auto"/>
          </w:tcPr>
          <w:p w14:paraId="486AE4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vrhovni</w:t>
            </w:r>
          </w:p>
        </w:tc>
        <w:tc>
          <w:tcPr>
            <w:tcW w:w="1111" w:type="dxa"/>
            <w:tcBorders>
              <w:top w:val="nil"/>
              <w:left w:val="single" w:sz="2" w:space="0" w:color="000000" w:themeColor="text1"/>
              <w:bottom w:val="single" w:sz="2" w:space="0" w:color="000000" w:themeColor="text1"/>
              <w:right w:val="single" w:sz="2" w:space="0" w:color="000000" w:themeColor="text1"/>
            </w:tcBorders>
          </w:tcPr>
          <w:p w14:paraId="47D607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skupaj</w:t>
            </w:r>
          </w:p>
        </w:tc>
      </w:tr>
      <w:tr w:rsidR="00331D90" w:rsidRPr="008D7697" w14:paraId="253D1B9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E3ACE7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CE</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10E92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1537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410F80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0874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661B9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26</w:t>
            </w:r>
          </w:p>
        </w:tc>
      </w:tr>
      <w:tr w:rsidR="00331D90" w:rsidRPr="008D7697" w14:paraId="5A0CD24D"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5932DF"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lastRenderedPageBreak/>
              <w:t>ODT KK</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D0170D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B540F6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DEB31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4892B5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503B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7B8B66D7"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8ECB801"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KP</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C5BC4A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93D6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D91BC5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F22F9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1793B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1F35B6A0"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DF5344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KR</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2E255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FFE23F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3B7A60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76A5EA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BEC26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12</w:t>
            </w:r>
          </w:p>
        </w:tc>
      </w:tr>
      <w:tr w:rsidR="00331D90" w:rsidRPr="008D7697" w14:paraId="3B67860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AABE89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LJ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007129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602E7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6E3C41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E6113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2FAF5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r>
      <w:tr w:rsidR="00331D90" w:rsidRPr="008D7697" w14:paraId="33DF90E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8ED048"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MB</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D9240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84ADB"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B6C886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DB8BC6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20295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28</w:t>
            </w:r>
          </w:p>
        </w:tc>
      </w:tr>
      <w:tr w:rsidR="00331D90" w:rsidRPr="008D7697" w14:paraId="2107365F"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C5D54B"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MS</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A9451A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70D180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C5EE23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F1A0C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4B9E5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10</w:t>
            </w:r>
          </w:p>
        </w:tc>
      </w:tr>
      <w:tr w:rsidR="00331D90" w:rsidRPr="008D7697" w14:paraId="24C75951"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CBD9329"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NG</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FC34BA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3A5BFA"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3E747A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AB5D1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31278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8</w:t>
            </w:r>
          </w:p>
        </w:tc>
      </w:tr>
      <w:tr w:rsidR="00331D90" w:rsidRPr="008D7697" w14:paraId="78E7441E"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EBA2D07"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NM</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75E2CA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2E3C49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6</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6FA422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9C8B5D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F42974"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11</w:t>
            </w:r>
          </w:p>
        </w:tc>
      </w:tr>
      <w:tr w:rsidR="00331D90" w:rsidRPr="008D7697" w14:paraId="1B4A073F" w14:textId="77777777" w:rsidTr="00042F56">
        <w:tc>
          <w:tcPr>
            <w:tcW w:w="1365"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5B2D323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PT</w:t>
            </w:r>
          </w:p>
        </w:tc>
        <w:tc>
          <w:tcPr>
            <w:tcW w:w="1507"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6FEBBFB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8"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Pr>
          <w:p w14:paraId="4227C77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4" w:space="0" w:color="000000" w:themeColor="text1"/>
              <w:right w:val="single" w:sz="4" w:space="0" w:color="000000" w:themeColor="text1"/>
            </w:tcBorders>
            <w:shd w:val="clear" w:color="auto" w:fill="auto"/>
          </w:tcPr>
          <w:p w14:paraId="0B1C32B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2" w:space="0" w:color="000000" w:themeColor="text1"/>
              <w:left w:val="single" w:sz="4" w:space="0" w:color="000000" w:themeColor="text1"/>
              <w:bottom w:val="single" w:sz="4" w:space="0" w:color="000000" w:themeColor="text1"/>
              <w:right w:val="single" w:sz="2" w:space="0" w:color="000000" w:themeColor="text1"/>
            </w:tcBorders>
            <w:shd w:val="clear" w:color="auto" w:fill="auto"/>
          </w:tcPr>
          <w:p w14:paraId="53D2747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4" w:space="0" w:color="000000" w:themeColor="text1"/>
              <w:bottom w:val="single" w:sz="4" w:space="0" w:color="000000" w:themeColor="text1"/>
              <w:right w:val="single" w:sz="2" w:space="0" w:color="000000" w:themeColor="text1"/>
            </w:tcBorders>
          </w:tcPr>
          <w:p w14:paraId="4BC9E459"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r>
      <w:tr w:rsidR="00331D90" w:rsidRPr="008D7697" w14:paraId="1094C71F" w14:textId="77777777" w:rsidTr="00042F56">
        <w:tc>
          <w:tcPr>
            <w:tcW w:w="1365"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204B85C"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ODT SG</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A2144F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95E88C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B1FFBD"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4"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9ACF53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4" w:space="0" w:color="000000" w:themeColor="text1"/>
              <w:left w:val="single" w:sz="2" w:space="0" w:color="000000" w:themeColor="text1"/>
              <w:bottom w:val="single" w:sz="2" w:space="0" w:color="000000" w:themeColor="text1"/>
              <w:right w:val="single" w:sz="2" w:space="0" w:color="000000" w:themeColor="text1"/>
            </w:tcBorders>
          </w:tcPr>
          <w:p w14:paraId="1B471246"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02CC34E8"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6A7B2E0"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SDT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A860135"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1E9332E"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A5D5F4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B1BF78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F4221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14</w:t>
            </w:r>
          </w:p>
        </w:tc>
      </w:tr>
      <w:tr w:rsidR="00331D90" w:rsidRPr="008D7697" w14:paraId="7705C7BA"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F166173" w14:textId="77777777" w:rsidR="00331D90" w:rsidRPr="008D7697" w:rsidRDefault="00331D90" w:rsidP="006F446D">
            <w:pPr>
              <w:spacing w:before="120" w:after="120" w:line="260" w:lineRule="exact"/>
              <w:jc w:val="both"/>
              <w:rPr>
                <w:rFonts w:cs="Arial"/>
                <w:szCs w:val="20"/>
                <w:lang w:val="sl-SI"/>
              </w:rPr>
            </w:pPr>
            <w:r w:rsidRPr="008D7697">
              <w:rPr>
                <w:rFonts w:cs="Arial"/>
                <w:szCs w:val="20"/>
                <w:lang w:val="sl-SI"/>
              </w:rPr>
              <w:t>VDT</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8A5695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CC658F7"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04FBDF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2</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E379C7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79B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17</w:t>
            </w:r>
          </w:p>
        </w:tc>
      </w:tr>
      <w:tr w:rsidR="00331D90" w:rsidRPr="008D7697" w14:paraId="0C88D473" w14:textId="77777777" w:rsidTr="00042F56">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3CC2767" w14:textId="77777777" w:rsidR="00331D90" w:rsidRPr="008D7697" w:rsidRDefault="00331D90" w:rsidP="006F446D">
            <w:pPr>
              <w:spacing w:before="120" w:after="120" w:line="260" w:lineRule="exact"/>
              <w:jc w:val="both"/>
              <w:rPr>
                <w:rFonts w:cs="Arial"/>
                <w:b/>
                <w:bCs/>
                <w:szCs w:val="20"/>
                <w:lang w:val="sl-SI"/>
              </w:rPr>
            </w:pPr>
            <w:r w:rsidRPr="008D7697">
              <w:rPr>
                <w:rFonts w:cs="Arial"/>
                <w:b/>
                <w:bCs/>
                <w:szCs w:val="20"/>
                <w:lang w:val="sl-SI"/>
              </w:rPr>
              <w:t>Skupaj</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106592"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39</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215730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115</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BE97C20"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49</w:t>
            </w:r>
          </w:p>
        </w:tc>
        <w:tc>
          <w:tcPr>
            <w:tcW w:w="150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74BA926" w14:textId="777777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15</w:t>
            </w:r>
          </w:p>
        </w:tc>
        <w:tc>
          <w:tcPr>
            <w:tcW w:w="11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A4E241" w14:textId="7843F377" w:rsidR="00331D90" w:rsidRPr="008D7697" w:rsidRDefault="00331D90" w:rsidP="006F446D">
            <w:pPr>
              <w:spacing w:before="120" w:after="120" w:line="260" w:lineRule="exact"/>
              <w:jc w:val="center"/>
              <w:rPr>
                <w:rFonts w:cs="Arial"/>
                <w:b/>
                <w:bCs/>
                <w:szCs w:val="20"/>
                <w:lang w:val="sl-SI"/>
              </w:rPr>
            </w:pPr>
            <w:r w:rsidRPr="008D7697">
              <w:rPr>
                <w:rFonts w:cs="Arial"/>
                <w:b/>
                <w:bCs/>
                <w:szCs w:val="20"/>
                <w:lang w:val="sl-SI"/>
              </w:rPr>
              <w:t>218</w:t>
            </w:r>
            <w:r w:rsidR="000C440F">
              <w:rPr>
                <w:rFonts w:cs="Arial"/>
                <w:b/>
                <w:bCs/>
                <w:szCs w:val="20"/>
                <w:lang w:val="sl-SI"/>
              </w:rPr>
              <w:t xml:space="preserve"> </w:t>
            </w:r>
            <w:r w:rsidRPr="008D7697">
              <w:rPr>
                <w:rFonts w:cs="Arial"/>
                <w:b/>
                <w:bCs/>
                <w:szCs w:val="20"/>
                <w:lang w:val="sl-SI"/>
              </w:rPr>
              <w:t>(+1)</w:t>
            </w:r>
          </w:p>
        </w:tc>
      </w:tr>
    </w:tbl>
    <w:p w14:paraId="784AE490" w14:textId="77777777" w:rsidR="00331D90" w:rsidRPr="008D7697" w:rsidRDefault="00331D90" w:rsidP="00331D90">
      <w:pPr>
        <w:spacing w:line="288" w:lineRule="auto"/>
        <w:jc w:val="both"/>
        <w:rPr>
          <w:rFonts w:cs="Arial"/>
          <w:sz w:val="18"/>
          <w:szCs w:val="18"/>
          <w:lang w:val="sl-SI" w:eastAsia="sl-SI"/>
        </w:rPr>
      </w:pPr>
      <w:r w:rsidRPr="008D7697">
        <w:rPr>
          <w:rFonts w:cs="Arial"/>
          <w:sz w:val="18"/>
          <w:szCs w:val="18"/>
          <w:lang w:val="sl-SI" w:eastAsia="sl-SI"/>
        </w:rPr>
        <w:t>Vir: spletne strani državnih tožilstev</w:t>
      </w:r>
    </w:p>
    <w:p w14:paraId="6C2F6FA1" w14:textId="77777777" w:rsidR="00331D90" w:rsidRPr="008D7697" w:rsidRDefault="00331D90" w:rsidP="00331D90">
      <w:pPr>
        <w:spacing w:line="260" w:lineRule="exact"/>
        <w:jc w:val="both"/>
        <w:rPr>
          <w:lang w:val="sl-SI"/>
        </w:rPr>
      </w:pPr>
    </w:p>
    <w:p w14:paraId="72DA757C" w14:textId="70531886" w:rsidR="00331D90" w:rsidRPr="008D7697" w:rsidRDefault="00331D90" w:rsidP="00A40742">
      <w:pPr>
        <w:spacing w:line="260" w:lineRule="exact"/>
        <w:jc w:val="both"/>
        <w:rPr>
          <w:rFonts w:eastAsia="Calibri" w:cs="Arial"/>
          <w:szCs w:val="20"/>
          <w:lang w:val="sl-SI"/>
        </w:rPr>
      </w:pPr>
      <w:r w:rsidRPr="008D7697">
        <w:rPr>
          <w:rFonts w:eastAsia="Calibri" w:cs="Arial"/>
          <w:szCs w:val="20"/>
          <w:lang w:val="sl-SI"/>
        </w:rPr>
        <w:t xml:space="preserve">V kadrovskih načrtih državnih tožilstev in Državnotožilskega sveta je načrtovana zasedenost vseh 268 mest državnih tožilcev. Ena od težav pri zapolnjevanju državnotožilskih mest je v tem, da v razpisnih postopkih za prosta mesta okrožnih državnih tožilcev, ki </w:t>
      </w:r>
      <w:r w:rsidR="00075553">
        <w:rPr>
          <w:rFonts w:eastAsia="Calibri" w:cs="Arial"/>
          <w:szCs w:val="20"/>
          <w:lang w:val="sl-SI"/>
        </w:rPr>
        <w:t xml:space="preserve">jih je </w:t>
      </w:r>
      <w:r w:rsidRPr="008D7697">
        <w:rPr>
          <w:rFonts w:eastAsia="Calibri" w:cs="Arial"/>
          <w:szCs w:val="20"/>
          <w:lang w:val="sl-SI"/>
        </w:rPr>
        <w:t>skoraj tretjin</w:t>
      </w:r>
      <w:r w:rsidR="00075553">
        <w:rPr>
          <w:rFonts w:eastAsia="Calibri" w:cs="Arial"/>
          <w:szCs w:val="20"/>
          <w:lang w:val="sl-SI"/>
        </w:rPr>
        <w:t>a</w:t>
      </w:r>
      <w:r w:rsidRPr="008D7697">
        <w:rPr>
          <w:rFonts w:eastAsia="Calibri" w:cs="Arial"/>
          <w:szCs w:val="20"/>
          <w:lang w:val="sl-SI"/>
        </w:rPr>
        <w:t xml:space="preserve"> vseh odprtih razpisnih postopkov, praviloma kandidirajo okrajni državni tožilci, ki so velikokrat kot najboljši kandidati tudi izbrani. </w:t>
      </w:r>
      <w:r w:rsidR="000704DD">
        <w:rPr>
          <w:rFonts w:eastAsia="Calibri" w:cs="Arial"/>
          <w:szCs w:val="20"/>
          <w:lang w:val="sl-SI"/>
        </w:rPr>
        <w:t xml:space="preserve">To </w:t>
      </w:r>
      <w:r w:rsidRPr="008D7697">
        <w:rPr>
          <w:rFonts w:eastAsia="Calibri"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41DA1BF2" w14:textId="77777777" w:rsidR="00331D90" w:rsidRPr="008D7697" w:rsidRDefault="00331D90" w:rsidP="00A40742">
      <w:pPr>
        <w:spacing w:line="260" w:lineRule="exact"/>
        <w:jc w:val="both"/>
        <w:rPr>
          <w:rFonts w:eastAsia="Calibri" w:cs="Arial"/>
          <w:szCs w:val="20"/>
          <w:lang w:val="sl-SI"/>
        </w:rPr>
      </w:pPr>
    </w:p>
    <w:p w14:paraId="676EDD2A" w14:textId="77777777" w:rsidR="00331D90" w:rsidRPr="008D7697" w:rsidRDefault="00331D90" w:rsidP="00A40742">
      <w:pPr>
        <w:spacing w:line="260" w:lineRule="exact"/>
        <w:jc w:val="both"/>
        <w:rPr>
          <w:lang w:val="sl-SI"/>
        </w:rPr>
      </w:pPr>
      <w:r w:rsidRPr="008D7697">
        <w:rPr>
          <w:rFonts w:eastAsia="Calibri" w:cs="Arial"/>
          <w:szCs w:val="20"/>
          <w:lang w:val="sl-SI"/>
        </w:rPr>
        <w:t xml:space="preserve">Na podlagi vsega navedenega pod točko 1 predlagatelj meni, da je smiselno uvesti eno vrsto naziva državnega tožilca na prvi stopnji, to je naziv okrožnega državnega tožilca namesto dosedanjih okrajnega in okrožnega državnega tožilca. Ta sprememba je predlagana hkrati </w:t>
      </w:r>
      <w:r w:rsidRPr="008D7697">
        <w:rPr>
          <w:rFonts w:cs="Arial"/>
          <w:szCs w:val="20"/>
          <w:lang w:val="sl-SI" w:eastAsia="sl-SI"/>
        </w:rPr>
        <w:t>z uvedbo enega naziva sodnika na prvi stopnji</w:t>
      </w:r>
      <w:r w:rsidRPr="008D7697">
        <w:rPr>
          <w:rFonts w:eastAsia="Calibri" w:cs="Arial"/>
          <w:szCs w:val="20"/>
          <w:lang w:val="sl-SI"/>
        </w:rPr>
        <w:t xml:space="preserve"> po predlogu novega Zakona o sodnikih, ki je povezana z </w:t>
      </w:r>
      <w:r w:rsidRPr="008D7697">
        <w:rPr>
          <w:rFonts w:cs="Arial"/>
          <w:szCs w:val="20"/>
          <w:lang w:val="sl-SI" w:eastAsia="sl-SI"/>
        </w:rPr>
        <w:t>uvedbo sodnega okrožja kot osnovne organizacijske enote na prvi stopnji</w:t>
      </w:r>
      <w:r w:rsidRPr="008D7697">
        <w:rPr>
          <w:rFonts w:eastAsia="Calibri" w:cs="Arial"/>
          <w:szCs w:val="20"/>
          <w:lang w:val="sl-SI"/>
        </w:rPr>
        <w:t xml:space="preserve"> po predlogu novega Zakona o sodiščih. </w:t>
      </w:r>
    </w:p>
    <w:p w14:paraId="232794B0" w14:textId="77777777" w:rsidR="00331D90" w:rsidRPr="008D7697" w:rsidRDefault="00331D90" w:rsidP="00A40742">
      <w:pPr>
        <w:spacing w:line="260" w:lineRule="exact"/>
        <w:jc w:val="both"/>
        <w:rPr>
          <w:lang w:val="sl-SI"/>
        </w:rPr>
      </w:pPr>
    </w:p>
    <w:p w14:paraId="407FE427" w14:textId="77777777" w:rsidR="00331D90" w:rsidRPr="008D7697" w:rsidRDefault="00331D90" w:rsidP="00A40742">
      <w:pPr>
        <w:spacing w:line="260" w:lineRule="exact"/>
        <w:jc w:val="both"/>
        <w:rPr>
          <w:rFonts w:cs="Arial"/>
          <w:szCs w:val="20"/>
          <w:lang w:val="sl-SI" w:eastAsia="sl-SI"/>
        </w:rPr>
      </w:pPr>
      <w:bookmarkStart w:id="3" w:name="_Hlk181108438"/>
    </w:p>
    <w:bookmarkEnd w:id="3"/>
    <w:p w14:paraId="05607933" w14:textId="77777777" w:rsidR="00331D90" w:rsidRPr="008D7697" w:rsidRDefault="00331D90" w:rsidP="00A40742">
      <w:pPr>
        <w:spacing w:line="260" w:lineRule="exact"/>
        <w:rPr>
          <w:rFonts w:cs="Arial"/>
          <w:b/>
          <w:bCs/>
          <w:szCs w:val="20"/>
          <w:lang w:val="sl-SI" w:eastAsia="sl-SI"/>
        </w:rPr>
      </w:pPr>
      <w:r w:rsidRPr="008D7697">
        <w:rPr>
          <w:rFonts w:cs="Arial"/>
          <w:b/>
          <w:bCs/>
          <w:szCs w:val="20"/>
          <w:lang w:val="sl-SI" w:eastAsia="sl-SI"/>
        </w:rPr>
        <w:t>2. CILJI, NAČELA IN POGLAVITNE REŠITVE PREDLOGA ZAKONA</w:t>
      </w:r>
    </w:p>
    <w:p w14:paraId="61164283" w14:textId="77777777" w:rsidR="00331D90" w:rsidRPr="008D7697" w:rsidRDefault="00331D90" w:rsidP="00A40742">
      <w:pPr>
        <w:spacing w:line="260" w:lineRule="exact"/>
        <w:rPr>
          <w:rFonts w:cs="Arial"/>
          <w:b/>
          <w:bCs/>
          <w:szCs w:val="20"/>
          <w:lang w:val="sl-SI" w:eastAsia="sl-SI"/>
        </w:rPr>
      </w:pPr>
    </w:p>
    <w:p w14:paraId="2E028324" w14:textId="77777777" w:rsidR="00331D90" w:rsidRPr="008D7697" w:rsidRDefault="00331D90" w:rsidP="00A40742">
      <w:pPr>
        <w:spacing w:line="260" w:lineRule="exact"/>
        <w:rPr>
          <w:rFonts w:cs="Arial"/>
          <w:b/>
          <w:bCs/>
          <w:szCs w:val="20"/>
          <w:lang w:val="sl-SI" w:eastAsia="sl-SI"/>
        </w:rPr>
      </w:pPr>
      <w:bookmarkStart w:id="4" w:name="_Hlk183620158"/>
      <w:r w:rsidRPr="008D7697">
        <w:rPr>
          <w:rFonts w:cs="Arial"/>
          <w:b/>
          <w:bCs/>
          <w:szCs w:val="20"/>
          <w:lang w:val="sl-SI" w:eastAsia="sl-SI"/>
        </w:rPr>
        <w:t>2.1 Cilji</w:t>
      </w:r>
    </w:p>
    <w:p w14:paraId="316DD6F8" w14:textId="77777777" w:rsidR="00331D90" w:rsidRPr="008D7697" w:rsidRDefault="00331D90" w:rsidP="00A40742">
      <w:pPr>
        <w:spacing w:line="260" w:lineRule="exact"/>
        <w:jc w:val="both"/>
        <w:rPr>
          <w:rFonts w:cs="Arial"/>
          <w:szCs w:val="20"/>
          <w:lang w:val="sl-SI" w:eastAsia="sl-SI"/>
        </w:rPr>
      </w:pPr>
    </w:p>
    <w:p w14:paraId="5DDCA83B" w14:textId="42CC624C" w:rsidR="00331D90" w:rsidRPr="008D7697" w:rsidRDefault="00331D90" w:rsidP="00A40742">
      <w:pPr>
        <w:spacing w:line="260" w:lineRule="exact"/>
        <w:rPr>
          <w:rFonts w:cs="Arial"/>
          <w:bCs/>
          <w:szCs w:val="20"/>
          <w:lang w:val="sl-SI" w:eastAsia="sl-SI"/>
        </w:rPr>
      </w:pPr>
      <w:r w:rsidRPr="008D7697">
        <w:rPr>
          <w:rFonts w:cs="Arial"/>
          <w:bCs/>
          <w:szCs w:val="20"/>
          <w:lang w:val="sl-SI" w:eastAsia="sl-SI"/>
        </w:rPr>
        <w:t xml:space="preserve">Predlagane rešitve </w:t>
      </w:r>
      <w:r w:rsidR="00E91813">
        <w:rPr>
          <w:rFonts w:cs="Arial"/>
          <w:bCs/>
          <w:szCs w:val="20"/>
          <w:lang w:val="sl-SI" w:eastAsia="sl-SI"/>
        </w:rPr>
        <w:t xml:space="preserve">so namenjene dosegi </w:t>
      </w:r>
      <w:r w:rsidRPr="008D7697">
        <w:rPr>
          <w:rFonts w:cs="Arial"/>
          <w:bCs/>
          <w:szCs w:val="20"/>
          <w:lang w:val="sl-SI" w:eastAsia="sl-SI"/>
        </w:rPr>
        <w:t>naslednj</w:t>
      </w:r>
      <w:r w:rsidR="00E91813">
        <w:rPr>
          <w:rFonts w:cs="Arial"/>
          <w:bCs/>
          <w:szCs w:val="20"/>
          <w:lang w:val="sl-SI" w:eastAsia="sl-SI"/>
        </w:rPr>
        <w:t>ih</w:t>
      </w:r>
      <w:r w:rsidRPr="008D7697">
        <w:rPr>
          <w:rFonts w:cs="Arial"/>
          <w:bCs/>
          <w:szCs w:val="20"/>
          <w:lang w:val="sl-SI" w:eastAsia="sl-SI"/>
        </w:rPr>
        <w:t xml:space="preserve"> cilje</w:t>
      </w:r>
      <w:r w:rsidR="00E91813">
        <w:rPr>
          <w:rFonts w:cs="Arial"/>
          <w:bCs/>
          <w:szCs w:val="20"/>
          <w:lang w:val="sl-SI" w:eastAsia="sl-SI"/>
        </w:rPr>
        <w:t>v</w:t>
      </w:r>
      <w:r w:rsidRPr="008D7697">
        <w:rPr>
          <w:rFonts w:cs="Arial"/>
          <w:bCs/>
          <w:szCs w:val="20"/>
          <w:lang w:val="sl-SI" w:eastAsia="sl-SI"/>
        </w:rPr>
        <w:t>:</w:t>
      </w:r>
    </w:p>
    <w:p w14:paraId="752ECBDA" w14:textId="77777777" w:rsidR="00331D90" w:rsidRPr="008D7697" w:rsidRDefault="00331D90" w:rsidP="00A40742">
      <w:pPr>
        <w:numPr>
          <w:ilvl w:val="0"/>
          <w:numId w:val="18"/>
        </w:numPr>
        <w:spacing w:line="260" w:lineRule="exact"/>
        <w:contextualSpacing/>
        <w:jc w:val="both"/>
        <w:rPr>
          <w:rFonts w:cs="Arial"/>
          <w:bCs/>
          <w:szCs w:val="20"/>
          <w:lang w:val="sl-SI" w:eastAsia="sl-SI"/>
        </w:rPr>
      </w:pPr>
      <w:bookmarkStart w:id="5" w:name="_Hlk184027263"/>
      <w:r w:rsidRPr="008D7697">
        <w:rPr>
          <w:rFonts w:cs="Arial"/>
          <w:bCs/>
          <w:szCs w:val="20"/>
          <w:lang w:val="sl-SI" w:eastAsia="sl-SI"/>
        </w:rPr>
        <w:lastRenderedPageBreak/>
        <w:t>povečanje učinkovitosti organizacije dela državnih tožilstev na prvi stopnji z omogočanjem učinkovitejšega vodenja in organiziranja poslovanja državnih tožilstev,</w:t>
      </w:r>
    </w:p>
    <w:p w14:paraId="1F4F6408" w14:textId="77777777" w:rsidR="00331D90" w:rsidRPr="008D7697" w:rsidRDefault="00331D90" w:rsidP="00A40742">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izenačitev obremenitve in boljša izraba kadrovskih virov državnih tožilstev,</w:t>
      </w:r>
    </w:p>
    <w:p w14:paraId="43BD47DF"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ustreznejša ureditev položaja okrajnih državnih tožilcev v razmerju do okrožnih državnih tožilcev iz naslova dejansko opravljenega dela,</w:t>
      </w:r>
    </w:p>
    <w:p w14:paraId="4F7AFBFE"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lažje zapolnjevanje državnotožilskih mest in</w:t>
      </w:r>
    </w:p>
    <w:p w14:paraId="3C223224" w14:textId="77777777" w:rsidR="00331D90" w:rsidRPr="008D7697" w:rsidRDefault="00331D90" w:rsidP="00195481">
      <w:pPr>
        <w:numPr>
          <w:ilvl w:val="0"/>
          <w:numId w:val="18"/>
        </w:numPr>
        <w:spacing w:line="260" w:lineRule="exact"/>
        <w:contextualSpacing/>
        <w:jc w:val="both"/>
        <w:rPr>
          <w:rFonts w:cs="Arial"/>
          <w:bCs/>
          <w:szCs w:val="20"/>
          <w:lang w:val="sl-SI" w:eastAsia="sl-SI"/>
        </w:rPr>
      </w:pPr>
      <w:r w:rsidRPr="008D7697">
        <w:rPr>
          <w:rFonts w:cs="Arial"/>
          <w:bCs/>
          <w:szCs w:val="20"/>
          <w:lang w:val="sl-SI" w:eastAsia="sl-SI"/>
        </w:rPr>
        <w:t>uskladitev s sodniško zakonodajo.</w:t>
      </w:r>
    </w:p>
    <w:bookmarkEnd w:id="5"/>
    <w:p w14:paraId="06EA5404" w14:textId="77777777" w:rsidR="00331D90" w:rsidRPr="008D7697" w:rsidRDefault="00331D90" w:rsidP="00195481">
      <w:pPr>
        <w:spacing w:line="260" w:lineRule="exact"/>
        <w:jc w:val="both"/>
        <w:rPr>
          <w:rFonts w:cs="Arial"/>
          <w:color w:val="FF0000"/>
          <w:szCs w:val="20"/>
          <w:lang w:val="sl-SI" w:eastAsia="sl-SI"/>
        </w:rPr>
      </w:pPr>
    </w:p>
    <w:p w14:paraId="66A5D51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2.2 Načela</w:t>
      </w:r>
    </w:p>
    <w:p w14:paraId="02EE04E5" w14:textId="48970A30" w:rsidR="00331D90" w:rsidRPr="008D7697" w:rsidRDefault="00331D90" w:rsidP="00195481">
      <w:pPr>
        <w:spacing w:line="260" w:lineRule="exact"/>
        <w:jc w:val="both"/>
        <w:rPr>
          <w:rFonts w:cs="Arial"/>
          <w:color w:val="000000"/>
          <w:szCs w:val="20"/>
          <w:lang w:val="sl-SI" w:eastAsia="sl-SI"/>
        </w:rPr>
      </w:pPr>
      <w:r w:rsidRPr="008D7697">
        <w:rPr>
          <w:rFonts w:cs="Arial"/>
          <w:color w:val="000000"/>
          <w:szCs w:val="20"/>
          <w:lang w:val="sl-SI" w:eastAsia="sl-SI"/>
        </w:rPr>
        <w:br/>
        <w:t>Predlog Zakona o spremembah in dopolnitvah Zakona o državnem tožilstvu ne spreminja temelj</w:t>
      </w:r>
      <w:r w:rsidR="003B3549">
        <w:rPr>
          <w:rFonts w:cs="Arial"/>
          <w:color w:val="000000"/>
          <w:szCs w:val="20"/>
          <w:lang w:val="sl-SI" w:eastAsia="sl-SI"/>
        </w:rPr>
        <w:t>n</w:t>
      </w:r>
      <w:r w:rsidRPr="008D7697">
        <w:rPr>
          <w:rFonts w:cs="Arial"/>
          <w:color w:val="000000"/>
          <w:szCs w:val="20"/>
          <w:lang w:val="sl-SI" w:eastAsia="sl-SI"/>
        </w:rPr>
        <w:t>ih načel veljavnega zakona, uresničuje pa predvsem naslednja:</w:t>
      </w:r>
    </w:p>
    <w:p w14:paraId="003E779F"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ustavnosti in zakonitosti,</w:t>
      </w:r>
    </w:p>
    <w:p w14:paraId="777FCB9A"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učinkovitosti opravljanja funkcije državnega tožilca, </w:t>
      </w:r>
    </w:p>
    <w:p w14:paraId="7CB2D6A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 xml:space="preserve">načelo učinkovitega pregona kaznivih dejanj, </w:t>
      </w:r>
    </w:p>
    <w:bookmarkEnd w:id="4"/>
    <w:p w14:paraId="73E20DD9" w14:textId="77777777" w:rsidR="00331D90" w:rsidRPr="008D7697" w:rsidRDefault="00331D90" w:rsidP="00195481">
      <w:pPr>
        <w:pStyle w:val="Odstavekseznama"/>
        <w:numPr>
          <w:ilvl w:val="0"/>
          <w:numId w:val="22"/>
        </w:numPr>
        <w:spacing w:line="260" w:lineRule="exact"/>
        <w:rPr>
          <w:rFonts w:cs="Arial"/>
          <w:szCs w:val="20"/>
          <w:lang w:val="sl-SI"/>
        </w:rPr>
      </w:pPr>
      <w:r w:rsidRPr="008D7697">
        <w:rPr>
          <w:rFonts w:cs="Arial"/>
          <w:szCs w:val="20"/>
          <w:lang w:val="sl-SI"/>
        </w:rPr>
        <w:t>načelo optimizacije poslovanja in</w:t>
      </w:r>
    </w:p>
    <w:p w14:paraId="423A32CC" w14:textId="77777777" w:rsidR="00331D90" w:rsidRPr="008D7697" w:rsidRDefault="00331D90" w:rsidP="00195481">
      <w:pPr>
        <w:pStyle w:val="Odstavekseznama"/>
        <w:numPr>
          <w:ilvl w:val="0"/>
          <w:numId w:val="22"/>
        </w:numPr>
        <w:spacing w:line="260" w:lineRule="exact"/>
        <w:rPr>
          <w:rFonts w:cs="Arial"/>
          <w:color w:val="000000"/>
          <w:szCs w:val="20"/>
          <w:lang w:val="sl-SI" w:eastAsia="sl-SI"/>
        </w:rPr>
      </w:pPr>
      <w:r w:rsidRPr="008D7697">
        <w:rPr>
          <w:rFonts w:cs="Arial"/>
          <w:szCs w:val="20"/>
          <w:lang w:val="sl-SI"/>
        </w:rPr>
        <w:t xml:space="preserve">načelo optimalne izrabe kadrovskih virov. </w:t>
      </w:r>
    </w:p>
    <w:p w14:paraId="4DBB846A" w14:textId="77777777" w:rsidR="00331D90" w:rsidRPr="008D7697" w:rsidRDefault="00331D90" w:rsidP="00195481">
      <w:pPr>
        <w:spacing w:line="260" w:lineRule="exact"/>
        <w:rPr>
          <w:rFonts w:cs="Arial"/>
          <w:b/>
          <w:szCs w:val="20"/>
          <w:lang w:val="sl-SI" w:eastAsia="sl-SI"/>
        </w:rPr>
      </w:pPr>
    </w:p>
    <w:p w14:paraId="2DD3BB36"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2.3 Poglavitne rešitve </w:t>
      </w:r>
    </w:p>
    <w:p w14:paraId="2EC1E541" w14:textId="77777777" w:rsidR="00331D90" w:rsidRPr="008D7697" w:rsidRDefault="00331D90" w:rsidP="00195481">
      <w:pPr>
        <w:spacing w:line="260" w:lineRule="exact"/>
        <w:rPr>
          <w:rFonts w:cs="Arial"/>
          <w:b/>
          <w:szCs w:val="20"/>
          <w:lang w:val="sl-SI" w:eastAsia="sl-SI"/>
        </w:rPr>
      </w:pPr>
    </w:p>
    <w:p w14:paraId="5F84B1E6" w14:textId="77777777" w:rsidR="00331D90" w:rsidRPr="008D7697" w:rsidRDefault="00331D90" w:rsidP="00195481">
      <w:pPr>
        <w:spacing w:line="260" w:lineRule="exact"/>
        <w:rPr>
          <w:rFonts w:cs="Arial"/>
          <w:b/>
          <w:bCs/>
          <w:szCs w:val="20"/>
          <w:lang w:val="sl-SI" w:eastAsia="sl-SI"/>
        </w:rPr>
      </w:pPr>
      <w:r w:rsidRPr="008D7697">
        <w:rPr>
          <w:rFonts w:eastAsia="Arial" w:cs="Arial"/>
          <w:b/>
          <w:bCs/>
          <w:szCs w:val="20"/>
          <w:lang w:val="sl-SI"/>
        </w:rPr>
        <w:t>2.3.1 Uvedba ene vrste naziva državnega tožilca na prvi stopnji</w:t>
      </w:r>
    </w:p>
    <w:p w14:paraId="00A9A2BE" w14:textId="77777777" w:rsidR="00331D90" w:rsidRPr="008D7697" w:rsidRDefault="00331D90" w:rsidP="00195481">
      <w:pPr>
        <w:spacing w:line="260" w:lineRule="exact"/>
        <w:rPr>
          <w:rFonts w:cs="Arial"/>
          <w:b/>
          <w:szCs w:val="20"/>
          <w:lang w:val="sl-SI" w:eastAsia="sl-SI"/>
        </w:rPr>
      </w:pPr>
    </w:p>
    <w:p w14:paraId="06D512DE" w14:textId="21610B5C"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Najpomembnejša novost predlaganega zakona je uvedba ene vrste naziva državnega tožilca na prvi stopnji. Povezana je s predvideno spremembo organizacije sodišč v predlogu novega Zakona o sodiščih, s katero bo namesto sedanjega dvotirnega sistema prvostopenjskih sodišč, ki so organizirana kot okrajna in okrožna sodišča z različnimi pristojnostmi, vzpostavljeno sodno okrožje kot osnovna organizacijska raven sodišč na prvi stopnji. V skladu s tem se odpravlja razlikovanje med ureditvijo nastopanja državnih tožilcev pred okrajnimi sodišči in ureditvijo nastopanja državnih tožilcev pred okrožnimi sodišči. Ker okrajnih sodišč ne bo več, bodo lahko pred (vsemi) sodišči prve stopnje, ki bodo po novem okrožna sodišča, nastopali vsi državni tožilci oziroma državni tožilci katerega</w:t>
      </w:r>
      <w:r w:rsidR="007712D8">
        <w:rPr>
          <w:rFonts w:eastAsia="Arial" w:cs="Arial"/>
          <w:szCs w:val="20"/>
          <w:lang w:val="sl-SI"/>
        </w:rPr>
        <w:t xml:space="preserve"> </w:t>
      </w:r>
      <w:r w:rsidRPr="008D7697">
        <w:rPr>
          <w:rFonts w:eastAsia="Arial" w:cs="Arial"/>
          <w:szCs w:val="20"/>
          <w:lang w:val="sl-SI"/>
        </w:rPr>
        <w:t xml:space="preserve">koli naziva. Smiselno enako se v predlogu novega Zakona o sodnikih določa en naziv sodnika na prvi stopnji. </w:t>
      </w:r>
    </w:p>
    <w:p w14:paraId="374178D6" w14:textId="77777777" w:rsidR="00331D90" w:rsidRPr="008D7697" w:rsidRDefault="00331D90" w:rsidP="00195481">
      <w:pPr>
        <w:spacing w:line="260" w:lineRule="exact"/>
        <w:jc w:val="both"/>
        <w:rPr>
          <w:rFonts w:eastAsia="Arial" w:cs="Arial"/>
          <w:szCs w:val="20"/>
          <w:lang w:val="sl-SI"/>
        </w:rPr>
      </w:pPr>
    </w:p>
    <w:p w14:paraId="65C572D5" w14:textId="7670E2AB" w:rsidR="00331D90" w:rsidRPr="008D7697" w:rsidRDefault="00331D90" w:rsidP="00195481">
      <w:pPr>
        <w:spacing w:line="260" w:lineRule="exact"/>
        <w:jc w:val="both"/>
        <w:rPr>
          <w:rFonts w:eastAsia="Arial" w:cs="Arial"/>
          <w:szCs w:val="20"/>
          <w:lang w:val="sl-SI"/>
        </w:rPr>
      </w:pPr>
      <w:r w:rsidRPr="008D7697">
        <w:rPr>
          <w:rFonts w:eastAsia="Arial" w:cs="Arial"/>
          <w:szCs w:val="20"/>
          <w:lang w:val="sl-SI"/>
        </w:rPr>
        <w:t xml:space="preserve">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D30C78">
        <w:rPr>
          <w:rFonts w:eastAsia="Arial" w:cs="Arial"/>
          <w:szCs w:val="20"/>
          <w:lang w:val="sl-SI"/>
        </w:rPr>
        <w:t xml:space="preserve">Poleg tega </w:t>
      </w:r>
      <w:r w:rsidRPr="008D7697">
        <w:rPr>
          <w:rFonts w:eastAsia="Arial" w:cs="Arial"/>
          <w:szCs w:val="20"/>
          <w:lang w:val="sl-SI"/>
        </w:rPr>
        <w:t>okrajni državni tožilci opravljajo dežurno službo, v okviru katere obravnavajo vsa kazniva dejanja, o katerih so obveščeni, torej ne le zadev iz okrajne</w:t>
      </w:r>
      <w:r w:rsidR="00D30C78">
        <w:rPr>
          <w:rFonts w:eastAsia="Arial" w:cs="Arial"/>
          <w:szCs w:val="20"/>
          <w:lang w:val="sl-SI"/>
        </w:rPr>
        <w:t xml:space="preserve"> pristojnosti</w:t>
      </w:r>
      <w:r w:rsidRPr="008D7697">
        <w:rPr>
          <w:rFonts w:eastAsia="Arial" w:cs="Arial"/>
          <w:szCs w:val="20"/>
          <w:lang w:val="sl-SI"/>
        </w:rPr>
        <w:t xml:space="preserve">, temveč tudi </w:t>
      </w:r>
      <w:r w:rsidR="007B14C0">
        <w:rPr>
          <w:rFonts w:eastAsia="Arial" w:cs="Arial"/>
          <w:szCs w:val="20"/>
          <w:lang w:val="sl-SI"/>
        </w:rPr>
        <w:t xml:space="preserve">zadeve iz </w:t>
      </w:r>
      <w:r w:rsidRPr="008D7697">
        <w:rPr>
          <w:rFonts w:eastAsia="Arial" w:cs="Arial"/>
          <w:szCs w:val="20"/>
          <w:lang w:val="sl-SI"/>
        </w:rPr>
        <w:t xml:space="preserve">okrožne pristojnosti.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w:t>
      </w:r>
      <w:r w:rsidR="00143274">
        <w:rPr>
          <w:rFonts w:eastAsia="Arial" w:cs="Arial"/>
          <w:szCs w:val="20"/>
          <w:lang w:val="sl-SI"/>
        </w:rPr>
        <w:t>ter</w:t>
      </w:r>
      <w:r w:rsidRPr="008D7697">
        <w:rPr>
          <w:rFonts w:eastAsia="Arial" w:cs="Arial"/>
          <w:szCs w:val="20"/>
          <w:lang w:val="sl-SI"/>
        </w:rPr>
        <w:t xml:space="preserve"> niso enaki položajem v sodstvu, kjer praviloma na okrajnih sodiščih sodijo okrajni sodniki in na okrožnih sodiščih sodniki, ki imajo najmanj naziv okrožnega sodnika. </w:t>
      </w:r>
    </w:p>
    <w:p w14:paraId="62D349AA" w14:textId="77777777" w:rsidR="00331D90" w:rsidRPr="008D7697" w:rsidRDefault="00331D90" w:rsidP="00195481">
      <w:pPr>
        <w:spacing w:line="260" w:lineRule="exact"/>
        <w:jc w:val="both"/>
        <w:rPr>
          <w:rFonts w:eastAsia="Arial" w:cs="Arial"/>
          <w:szCs w:val="20"/>
          <w:lang w:val="sl-SI"/>
        </w:rPr>
      </w:pPr>
    </w:p>
    <w:p w14:paraId="5EBDFB5D" w14:textId="37D37352" w:rsidR="00331D90" w:rsidRPr="008D7697" w:rsidRDefault="00331D90" w:rsidP="00195481">
      <w:pPr>
        <w:spacing w:line="260" w:lineRule="exact"/>
        <w:jc w:val="both"/>
        <w:rPr>
          <w:rFonts w:cs="Arial"/>
          <w:b/>
          <w:szCs w:val="20"/>
          <w:lang w:val="sl-SI"/>
        </w:rPr>
      </w:pPr>
      <w:r w:rsidRPr="008D7697">
        <w:rPr>
          <w:rFonts w:eastAsia="Arial" w:cs="Arial"/>
          <w:szCs w:val="20"/>
          <w:lang w:val="sl-SI"/>
        </w:rPr>
        <w:lastRenderedPageBreak/>
        <w:t>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razpoložljivih kadrovskih virov. S predlaganimi spremembami nastopanja državnih tožilcev pred sodišči prve stopnje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kadrovsk</w:t>
      </w:r>
      <w:r w:rsidR="00173108">
        <w:rPr>
          <w:rFonts w:eastAsia="Arial" w:cs="Arial"/>
          <w:szCs w:val="20"/>
          <w:lang w:val="sl-SI"/>
        </w:rPr>
        <w:t>ih</w:t>
      </w:r>
      <w:r w:rsidRPr="008D7697">
        <w:rPr>
          <w:rFonts w:eastAsia="Arial" w:cs="Arial"/>
          <w:szCs w:val="20"/>
          <w:lang w:val="sl-SI"/>
        </w:rPr>
        <w:t xml:space="preserve"> vir</w:t>
      </w:r>
      <w:r w:rsidR="00173108">
        <w:rPr>
          <w:rFonts w:eastAsia="Arial" w:cs="Arial"/>
          <w:szCs w:val="20"/>
          <w:lang w:val="sl-SI"/>
        </w:rPr>
        <w:t>ov</w:t>
      </w:r>
      <w:r w:rsidRPr="008D7697">
        <w:rPr>
          <w:rFonts w:eastAsia="Arial" w:cs="Arial"/>
          <w:szCs w:val="20"/>
          <w:lang w:val="sl-SI"/>
        </w:rPr>
        <w:t xml:space="preserve"> in skrajšanju dolgotrajnih razpisnih postopkov. Ni zanemarljivo, da v razpisnih postopkih za prosta mesta okrožnih državnih tožilcev, ki </w:t>
      </w:r>
      <w:r w:rsidR="00034A48">
        <w:rPr>
          <w:rFonts w:eastAsia="Arial" w:cs="Arial"/>
          <w:szCs w:val="20"/>
          <w:lang w:val="sl-SI"/>
        </w:rPr>
        <w:t xml:space="preserve">jih je </w:t>
      </w:r>
      <w:r w:rsidRPr="008D7697">
        <w:rPr>
          <w:rFonts w:eastAsia="Arial" w:cs="Arial"/>
          <w:szCs w:val="20"/>
          <w:lang w:val="sl-SI"/>
        </w:rPr>
        <w:t>skoraj tretjin</w:t>
      </w:r>
      <w:r w:rsidR="00034A48">
        <w:rPr>
          <w:rFonts w:eastAsia="Arial" w:cs="Arial"/>
          <w:szCs w:val="20"/>
          <w:lang w:val="sl-SI"/>
        </w:rPr>
        <w:t>a</w:t>
      </w:r>
      <w:r w:rsidRPr="008D7697">
        <w:rPr>
          <w:rFonts w:eastAsia="Arial" w:cs="Arial"/>
          <w:szCs w:val="20"/>
          <w:lang w:val="sl-SI"/>
        </w:rPr>
        <w:t xml:space="preserve"> vseh odprtih razpisnih postopkov, praviloma kandidirajo okrajni državni tožilci, ki so velikokrat kot najboljši kandidati tudi izbrani. </w:t>
      </w:r>
      <w:r w:rsidR="00187335">
        <w:rPr>
          <w:rFonts w:eastAsia="Arial" w:cs="Arial"/>
          <w:szCs w:val="20"/>
          <w:lang w:val="sl-SI"/>
        </w:rPr>
        <w:t xml:space="preserve">To </w:t>
      </w:r>
      <w:r w:rsidRPr="008D7697">
        <w:rPr>
          <w:rFonts w:eastAsia="Arial"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3960FB3F" w14:textId="77777777" w:rsidR="00331D90" w:rsidRPr="008D7697" w:rsidRDefault="00331D90" w:rsidP="00195481">
      <w:pPr>
        <w:spacing w:line="260" w:lineRule="exact"/>
        <w:rPr>
          <w:rFonts w:cs="Arial"/>
          <w:b/>
          <w:szCs w:val="20"/>
          <w:lang w:val="sl-SI" w:eastAsia="sl-SI"/>
        </w:rPr>
      </w:pPr>
      <w:r w:rsidRPr="008D7697">
        <w:rPr>
          <w:rFonts w:cs="Arial"/>
          <w:b/>
          <w:szCs w:val="20"/>
          <w:lang w:val="sl-SI" w:eastAsia="sl-SI"/>
        </w:rPr>
        <w:t xml:space="preserve"> </w:t>
      </w:r>
    </w:p>
    <w:p w14:paraId="58937F45" w14:textId="2B395591" w:rsidR="00331D90" w:rsidRPr="008D7697" w:rsidRDefault="00331D90" w:rsidP="00195481">
      <w:pPr>
        <w:numPr>
          <w:ilvl w:val="0"/>
          <w:numId w:val="18"/>
        </w:numPr>
        <w:shd w:val="clear" w:color="auto" w:fill="FFFFFF"/>
        <w:spacing w:line="260" w:lineRule="exact"/>
        <w:contextualSpacing/>
        <w:jc w:val="both"/>
        <w:rPr>
          <w:rFonts w:cs="Arial"/>
          <w:i/>
          <w:iCs/>
          <w:szCs w:val="20"/>
          <w:u w:val="single"/>
          <w:lang w:val="sl-SI" w:eastAsia="sl-SI"/>
        </w:rPr>
      </w:pPr>
      <w:r w:rsidRPr="008D7697">
        <w:rPr>
          <w:rFonts w:cs="Arial"/>
          <w:i/>
          <w:iCs/>
          <w:szCs w:val="20"/>
          <w:u w:val="single"/>
          <w:lang w:val="sl-SI" w:eastAsia="sl-SI"/>
        </w:rPr>
        <w:t>Posebni pogoj za imenovanje okrožnega državnega tožilca</w:t>
      </w:r>
    </w:p>
    <w:p w14:paraId="2D865CAC" w14:textId="77777777" w:rsidR="00331D90" w:rsidRPr="008D7697" w:rsidRDefault="00331D90" w:rsidP="00195481">
      <w:pPr>
        <w:spacing w:line="260" w:lineRule="exact"/>
        <w:rPr>
          <w:rFonts w:cs="Arial"/>
          <w:b/>
          <w:szCs w:val="20"/>
          <w:lang w:val="sl-SI" w:eastAsia="sl-SI"/>
        </w:rPr>
      </w:pPr>
    </w:p>
    <w:p w14:paraId="169E0DD3" w14:textId="1C2E7BAA"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Posebni pogoj za imenovanje na državnotožilsko mesto, ki se opravlja v državnotožilskem nazivu okrožni državni tožilec, bo po novem vezan le na izpolnjevanje posebn</w:t>
      </w:r>
      <w:r w:rsidR="0084004D">
        <w:rPr>
          <w:rFonts w:eastAsiaTheme="minorEastAsia" w:cs="Arial"/>
          <w:szCs w:val="20"/>
          <w:lang w:val="sl-SI"/>
        </w:rPr>
        <w:t>ega</w:t>
      </w:r>
      <w:r w:rsidRPr="008D7697">
        <w:rPr>
          <w:rFonts w:eastAsiaTheme="minorEastAsia" w:cs="Arial"/>
          <w:szCs w:val="20"/>
          <w:lang w:val="sl-SI"/>
        </w:rPr>
        <w:t xml:space="preserve"> pogoj</w:t>
      </w:r>
      <w:r w:rsidR="0084004D">
        <w:rPr>
          <w:rFonts w:eastAsiaTheme="minorEastAsia" w:cs="Arial"/>
          <w:szCs w:val="20"/>
          <w:lang w:val="sl-SI"/>
        </w:rPr>
        <w:t>a</w:t>
      </w:r>
      <w:r w:rsidRPr="008D7697">
        <w:rPr>
          <w:rFonts w:eastAsiaTheme="minorEastAsia" w:cs="Arial"/>
          <w:szCs w:val="20"/>
          <w:lang w:val="sl-SI"/>
        </w:rPr>
        <w:t xml:space="preserve">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48851B3D"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3572C6DB" w14:textId="7E23E47F"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 xml:space="preserve">Enak </w:t>
      </w:r>
      <w:bookmarkStart w:id="6" w:name="_Hlk189829477"/>
      <w:r w:rsidRPr="008D7697">
        <w:rPr>
          <w:rFonts w:eastAsiaTheme="minorEastAsia" w:cs="Arial"/>
          <w:szCs w:val="20"/>
          <w:lang w:val="sl-SI"/>
        </w:rPr>
        <w:t xml:space="preserve">pogoj štirih let delovnih izkušenj na pravniških delih po opravljenem pravniškem državnem izpitu </w:t>
      </w:r>
      <w:bookmarkEnd w:id="6"/>
      <w:r w:rsidRPr="008D7697">
        <w:rPr>
          <w:rFonts w:eastAsiaTheme="minorEastAsia" w:cs="Arial"/>
          <w:szCs w:val="20"/>
          <w:lang w:val="sl-SI"/>
        </w:rPr>
        <w:t>bo veljal tudi za imenovanje okrožnih državnih tožilcev. S tem se bo vstopni pogo</w:t>
      </w:r>
      <w:r w:rsidR="003B0DF4">
        <w:rPr>
          <w:rFonts w:eastAsiaTheme="minorEastAsia" w:cs="Arial"/>
          <w:szCs w:val="20"/>
          <w:lang w:val="sl-SI"/>
        </w:rPr>
        <w:t>j</w:t>
      </w:r>
      <w:r w:rsidRPr="008D7697">
        <w:rPr>
          <w:rFonts w:eastAsiaTheme="minorEastAsia" w:cs="Arial"/>
          <w:szCs w:val="20"/>
          <w:lang w:val="sl-SI"/>
        </w:rPr>
        <w:t xml:space="preserve"> za imenovanje v naziv okrožnega državnega tožilca po predlagani ureditvi približal vstopn</w:t>
      </w:r>
      <w:r w:rsidR="00F73CB0">
        <w:rPr>
          <w:rFonts w:eastAsiaTheme="minorEastAsia" w:cs="Arial"/>
          <w:szCs w:val="20"/>
          <w:lang w:val="sl-SI"/>
        </w:rPr>
        <w:t>emu</w:t>
      </w:r>
      <w:r w:rsidRPr="008D7697">
        <w:rPr>
          <w:rFonts w:eastAsiaTheme="minorEastAsia" w:cs="Arial"/>
          <w:szCs w:val="20"/>
          <w:lang w:val="sl-SI"/>
        </w:rPr>
        <w:t xml:space="preserve"> pogoj</w:t>
      </w:r>
      <w:r w:rsidR="00F73CB0">
        <w:rPr>
          <w:rFonts w:eastAsiaTheme="minorEastAsia" w:cs="Arial"/>
          <w:szCs w:val="20"/>
          <w:lang w:val="sl-SI"/>
        </w:rPr>
        <w:t>u</w:t>
      </w:r>
      <w:r w:rsidRPr="008D7697">
        <w:rPr>
          <w:rFonts w:eastAsiaTheme="minorEastAsia" w:cs="Arial"/>
          <w:szCs w:val="20"/>
          <w:lang w:val="sl-SI"/>
        </w:rPr>
        <w:t>, ki po veljavni ureditvi velja za okrajnega državnega tožilca oz</w:t>
      </w:r>
      <w:r w:rsidR="00F57F35">
        <w:rPr>
          <w:rFonts w:eastAsiaTheme="minorEastAsia" w:cs="Arial"/>
          <w:szCs w:val="20"/>
          <w:lang w:val="sl-SI"/>
        </w:rPr>
        <w:t>iroma</w:t>
      </w:r>
      <w:r w:rsidRPr="008D7697">
        <w:rPr>
          <w:rFonts w:eastAsiaTheme="minorEastAsia" w:cs="Arial"/>
          <w:szCs w:val="20"/>
          <w:lang w:val="sl-SI"/>
        </w:rPr>
        <w:t xml:space="preserve">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 </w:t>
      </w:r>
    </w:p>
    <w:p w14:paraId="0F439548"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p>
    <w:p w14:paraId="2EC296D7" w14:textId="77777777" w:rsidR="00331D90" w:rsidRPr="008D7697" w:rsidRDefault="00331D90" w:rsidP="00195481">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Ustreznost pogoja štirih let delovnih izkušenj na pravniških delih po opravljenem pravniškem državnem izpitu za imenovanje okrožnih državnih tožilcev potrjujejo tudi naslednja dejstva:</w:t>
      </w:r>
    </w:p>
    <w:p w14:paraId="7A218BF8" w14:textId="77777777" w:rsidR="00331D90" w:rsidRPr="008D7697" w:rsidRDefault="00331D90" w:rsidP="00195481">
      <w:pPr>
        <w:shd w:val="clear" w:color="auto" w:fill="FFFFFF" w:themeFill="background1"/>
        <w:spacing w:line="260" w:lineRule="exact"/>
        <w:jc w:val="both"/>
        <w:rPr>
          <w:rFonts w:eastAsia="Arial" w:cs="Arial"/>
          <w:szCs w:val="20"/>
          <w:lang w:val="sl-SI"/>
        </w:rPr>
      </w:pPr>
      <w:bookmarkStart w:id="7" w:name="_Hlk186456997"/>
    </w:p>
    <w:p w14:paraId="7403AF70" w14:textId="0224EAA2" w:rsidR="00331D90" w:rsidRPr="008D7697" w:rsidRDefault="00331D90" w:rsidP="00195481">
      <w:pPr>
        <w:shd w:val="clear" w:color="auto" w:fill="FFFFFF" w:themeFill="background1"/>
        <w:spacing w:line="260" w:lineRule="exact"/>
        <w:jc w:val="both"/>
        <w:rPr>
          <w:rFonts w:eastAsia="Arial" w:cs="Arial"/>
          <w:szCs w:val="20"/>
          <w:lang w:val="sl-SI"/>
        </w:rPr>
      </w:pPr>
      <w:r w:rsidRPr="008D7697">
        <w:rPr>
          <w:rFonts w:eastAsia="Arial" w:cs="Arial"/>
          <w:szCs w:val="20"/>
          <w:lang w:val="sl-SI"/>
        </w:rPr>
        <w:t xml:space="preserve">1. </w:t>
      </w:r>
      <w:r w:rsidR="007C03C8" w:rsidRPr="008D7697">
        <w:rPr>
          <w:rFonts w:eastAsia="Arial" w:cs="Arial"/>
          <w:szCs w:val="20"/>
          <w:lang w:val="sl-SI"/>
        </w:rPr>
        <w:t xml:space="preserve">v letu 2023 je bila </w:t>
      </w:r>
      <w:r w:rsidRPr="008D7697">
        <w:rPr>
          <w:rFonts w:eastAsia="Arial" w:cs="Arial"/>
          <w:szCs w:val="20"/>
          <w:lang w:val="sl-SI"/>
        </w:rPr>
        <w:t>povprečna starost diplomantov enovitega magistrskega študija 26,3 let</w:t>
      </w:r>
      <w:r w:rsidR="007C03C8">
        <w:rPr>
          <w:rFonts w:eastAsia="Arial" w:cs="Arial"/>
          <w:szCs w:val="20"/>
          <w:lang w:val="sl-SI"/>
        </w:rPr>
        <w:t>a</w:t>
      </w:r>
      <w:r w:rsidRPr="008D7697">
        <w:rPr>
          <w:rFonts w:eastAsia="Arial" w:cs="Arial"/>
          <w:szCs w:val="20"/>
          <w:lang w:val="sl-SI"/>
        </w:rPr>
        <w:t xml:space="preserve"> oziroma diplomantov magistrskega študija 2. bolonjske stopnje po končani 1. bolonjski stopnji 29,2 let</w:t>
      </w:r>
      <w:r w:rsidR="007C03C8">
        <w:rPr>
          <w:rFonts w:eastAsia="Arial" w:cs="Arial"/>
          <w:szCs w:val="20"/>
          <w:lang w:val="sl-SI"/>
        </w:rPr>
        <w:t>a</w:t>
      </w:r>
      <w:r w:rsidRPr="008D7697">
        <w:rPr>
          <w:rFonts w:eastAsia="Arial" w:cs="Arial"/>
          <w:szCs w:val="20"/>
          <w:lang w:val="sl-SI"/>
        </w:rPr>
        <w:t>.</w:t>
      </w:r>
      <w:r w:rsidRPr="008D7697">
        <w:rPr>
          <w:rFonts w:eastAsia="Arial" w:cs="Arial"/>
          <w:szCs w:val="20"/>
          <w:vertAlign w:val="superscript"/>
          <w:lang w:val="sl-SI"/>
        </w:rPr>
        <w:footnoteReference w:id="10"/>
      </w:r>
      <w:r w:rsidRPr="008D7697">
        <w:rPr>
          <w:rFonts w:eastAsia="Arial" w:cs="Arial"/>
          <w:szCs w:val="20"/>
          <w:vertAlign w:val="superscript"/>
          <w:lang w:val="sl-SI"/>
        </w:rPr>
        <w:t xml:space="preserve">  </w:t>
      </w:r>
      <w:r w:rsidRPr="008D7697">
        <w:rPr>
          <w:rFonts w:eastAsia="Arial" w:cs="Arial"/>
          <w:szCs w:val="20"/>
          <w:lang w:val="sl-SI"/>
        </w:rPr>
        <w:t>Pripravništvo za pristop k pravniškemu državnemu izpitu traja dve leti (2. člen Zakona o pravniškem državnem izpitu;</w:t>
      </w:r>
      <w:r w:rsidRPr="008D7697">
        <w:rPr>
          <w:rFonts w:eastAsia="Arial" w:cs="Arial"/>
          <w:szCs w:val="20"/>
          <w:vertAlign w:val="superscript"/>
          <w:lang w:val="sl-SI"/>
        </w:rPr>
        <w:footnoteReference w:id="11"/>
      </w:r>
      <w:r w:rsidRPr="008D7697">
        <w:rPr>
          <w:rFonts w:eastAsia="Arial" w:cs="Arial"/>
          <w:szCs w:val="20"/>
          <w:lang w:val="sl-SI"/>
        </w:rPr>
        <w:t xml:space="preserve"> v nadaljnjem besedilu: ZPDI). Navedeno pomeni, da lahko kandidat za državnega tožilca formalne pogoje glede izobrazbe in delovnih izkušenj po veljavni zakonodaji za okrajno stopnjo izpolni najprej pri 31 letih, za okrožno pa pri 34 letih</w:t>
      </w:r>
      <w:bookmarkEnd w:id="7"/>
      <w:r w:rsidR="00766582">
        <w:rPr>
          <w:rFonts w:eastAsia="Arial" w:cs="Arial"/>
          <w:szCs w:val="20"/>
          <w:lang w:val="sl-SI"/>
        </w:rPr>
        <w:t>;</w:t>
      </w:r>
      <w:r w:rsidR="007C03C8">
        <w:rPr>
          <w:rFonts w:eastAsia="Arial" w:cs="Arial"/>
          <w:szCs w:val="20"/>
          <w:lang w:val="sl-SI"/>
        </w:rPr>
        <w:t xml:space="preserve"> </w:t>
      </w:r>
    </w:p>
    <w:p w14:paraId="4C6E4FC0" w14:textId="77777777" w:rsidR="00331D90" w:rsidRPr="008D7697" w:rsidRDefault="00331D90" w:rsidP="00195481">
      <w:pPr>
        <w:shd w:val="clear" w:color="auto" w:fill="FFFFFF" w:themeFill="background1"/>
        <w:spacing w:line="260" w:lineRule="exact"/>
        <w:jc w:val="both"/>
        <w:rPr>
          <w:rFonts w:eastAsia="Arial" w:cs="Arial"/>
          <w:szCs w:val="20"/>
          <w:lang w:val="sl-SI"/>
        </w:rPr>
      </w:pPr>
    </w:p>
    <w:p w14:paraId="3EF66087" w14:textId="31690E7F"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lastRenderedPageBreak/>
        <w:t xml:space="preserve">2. državno tožilstvo opozarja, da bo tudi v prihodnje upokojevanje državnih tožilcev zelo vplivalo na zmanjšanje števila zasedenih državnotožilskih mest, ki jih bo treba zapolniti z novim kadrom. Dne 31. decembra 2023 je bilo </w:t>
      </w:r>
      <w:r w:rsidR="00766582">
        <w:rPr>
          <w:rFonts w:eastAsia="Arial" w:cs="Arial"/>
          <w:szCs w:val="20"/>
          <w:lang w:val="sl-SI"/>
        </w:rPr>
        <w:t>deset</w:t>
      </w:r>
      <w:r w:rsidRPr="008D7697">
        <w:rPr>
          <w:rFonts w:eastAsia="Arial" w:cs="Arial"/>
          <w:szCs w:val="20"/>
          <w:lang w:val="sl-SI"/>
        </w:rPr>
        <w:t xml:space="preserve"> državnih tožilcev, ki so bili stari </w:t>
      </w:r>
      <w:r w:rsidR="00143F1B">
        <w:rPr>
          <w:rFonts w:eastAsia="Arial" w:cs="Arial"/>
          <w:szCs w:val="20"/>
          <w:lang w:val="sl-SI"/>
        </w:rPr>
        <w:t>o</w:t>
      </w:r>
      <w:r w:rsidRPr="008D7697">
        <w:rPr>
          <w:rFonts w:eastAsia="Arial" w:cs="Arial"/>
          <w:szCs w:val="20"/>
          <w:lang w:val="sl-SI"/>
        </w:rPr>
        <w:t xml:space="preserve">d 65 </w:t>
      </w:r>
      <w:r w:rsidR="00143F1B">
        <w:rPr>
          <w:rFonts w:eastAsia="Arial" w:cs="Arial"/>
          <w:szCs w:val="20"/>
          <w:lang w:val="sl-SI"/>
        </w:rPr>
        <w:t>do</w:t>
      </w:r>
      <w:r w:rsidRPr="008D7697">
        <w:rPr>
          <w:rFonts w:eastAsia="Arial" w:cs="Arial"/>
          <w:szCs w:val="20"/>
          <w:lang w:val="sl-SI"/>
        </w:rPr>
        <w:t xml:space="preserve"> 70 let, kar pomeni, da verjetno že izpolnjujejo pogoje za upokojitev in bodo zagotovo vsi zapustili tožilsko službo v naslednjih petih letih, ko bodo dopolnili starost, ki jo ZDT-1 predvideva za upokojitev (70 let). Dne 31. decembra 2023 je bilo kar 57 državnih tožilcev starih </w:t>
      </w:r>
      <w:r w:rsidR="00204440">
        <w:rPr>
          <w:rFonts w:eastAsia="Arial" w:cs="Arial"/>
          <w:szCs w:val="20"/>
          <w:lang w:val="sl-SI"/>
        </w:rPr>
        <w:t>o</w:t>
      </w:r>
      <w:r w:rsidRPr="008D7697">
        <w:rPr>
          <w:rFonts w:eastAsia="Arial" w:cs="Arial"/>
          <w:szCs w:val="20"/>
          <w:lang w:val="sl-SI"/>
        </w:rPr>
        <w:t xml:space="preserve">d 55 </w:t>
      </w:r>
      <w:r w:rsidR="00204440">
        <w:rPr>
          <w:rFonts w:eastAsia="Arial" w:cs="Arial"/>
          <w:szCs w:val="20"/>
          <w:lang w:val="sl-SI"/>
        </w:rPr>
        <w:t>do</w:t>
      </w:r>
      <w:r w:rsidRPr="008D7697">
        <w:rPr>
          <w:rFonts w:eastAsia="Arial" w:cs="Arial"/>
          <w:szCs w:val="20"/>
          <w:lang w:val="sl-SI"/>
        </w:rPr>
        <w:t xml:space="preserve"> 65 let. Če upoštevamo trend, da se jih le dobrih pet odstotkov upokoji nad 65. letom starosti, bodo le trije državni tožilci iz te skupine po desetih letih še vedno na tožilstvu, drugih 54 državnih tožilcev iz te skupine pa se bo upokojilo v desetih letih</w:t>
      </w:r>
      <w:r w:rsidR="00B20ABE">
        <w:rPr>
          <w:rFonts w:eastAsia="Arial" w:cs="Arial"/>
          <w:szCs w:val="20"/>
          <w:lang w:val="sl-SI"/>
        </w:rPr>
        <w:t>;</w:t>
      </w:r>
      <w:r w:rsidRPr="008D7697">
        <w:rPr>
          <w:rFonts w:eastAsia="Arial" w:cs="Arial"/>
          <w:szCs w:val="20"/>
          <w:vertAlign w:val="superscript"/>
          <w:lang w:val="sl-SI"/>
        </w:rPr>
        <w:footnoteReference w:id="12"/>
      </w:r>
    </w:p>
    <w:p w14:paraId="0CE1E47A" w14:textId="77777777" w:rsidR="00331D90" w:rsidRPr="008D7697" w:rsidRDefault="00331D90" w:rsidP="00303F8F">
      <w:pPr>
        <w:shd w:val="clear" w:color="auto" w:fill="FFFFFF" w:themeFill="background1"/>
        <w:spacing w:line="260" w:lineRule="exact"/>
        <w:jc w:val="both"/>
        <w:rPr>
          <w:rFonts w:eastAsia="Arial" w:cs="Arial"/>
          <w:szCs w:val="20"/>
          <w:lang w:val="sl-SI"/>
        </w:rPr>
      </w:pPr>
    </w:p>
    <w:p w14:paraId="5106D018" w14:textId="4986A561" w:rsidR="00331D90" w:rsidRPr="008D7697" w:rsidRDefault="00331D90" w:rsidP="00303F8F">
      <w:pPr>
        <w:shd w:val="clear" w:color="auto" w:fill="FFFFFF" w:themeFill="background1"/>
        <w:spacing w:line="260" w:lineRule="exact"/>
        <w:jc w:val="both"/>
        <w:rPr>
          <w:rFonts w:eastAsia="Arial" w:cs="Arial"/>
          <w:szCs w:val="20"/>
          <w:lang w:val="sl-SI"/>
        </w:rPr>
      </w:pPr>
      <w:r w:rsidRPr="008D7697">
        <w:rPr>
          <w:rFonts w:eastAsia="Arial" w:cs="Arial"/>
          <w:szCs w:val="20"/>
          <w:lang w:val="sl-SI"/>
        </w:rPr>
        <w:t>3. povprečna starost na novo imenovanih državnih tožilcev, torej državnih tožilcev, ki pred tem še niso bili imenovani na državnotožilsko mesto, je v letu 2022 znašala 39,5 let</w:t>
      </w:r>
      <w:r w:rsidR="00C71217">
        <w:rPr>
          <w:rFonts w:eastAsia="Arial" w:cs="Arial"/>
          <w:szCs w:val="20"/>
          <w:lang w:val="sl-SI"/>
        </w:rPr>
        <w:t>a</w:t>
      </w:r>
      <w:r w:rsidRPr="008D7697">
        <w:rPr>
          <w:rFonts w:eastAsia="Arial" w:cs="Arial"/>
          <w:szCs w:val="20"/>
          <w:lang w:val="sl-SI"/>
        </w:rPr>
        <w:t>, v letu 2023 43 let in v letu 2024 40,5 let</w:t>
      </w:r>
      <w:r w:rsidR="00C71217">
        <w:rPr>
          <w:rFonts w:eastAsia="Arial" w:cs="Arial"/>
          <w:szCs w:val="20"/>
          <w:lang w:val="sl-SI"/>
        </w:rPr>
        <w:t>a</w:t>
      </w:r>
      <w:r w:rsidRPr="008D7697">
        <w:rPr>
          <w:rFonts w:eastAsia="Arial" w:cs="Arial"/>
          <w:szCs w:val="20"/>
          <w:lang w:val="sl-SI"/>
        </w:rPr>
        <w:t xml:space="preserve">.  </w:t>
      </w:r>
    </w:p>
    <w:p w14:paraId="0D6A1644" w14:textId="77777777" w:rsidR="00331D90" w:rsidRPr="008D7697" w:rsidRDefault="00331D90" w:rsidP="00303F8F">
      <w:pPr>
        <w:spacing w:line="260" w:lineRule="exact"/>
        <w:jc w:val="both"/>
        <w:rPr>
          <w:rFonts w:cs="Arial"/>
          <w:szCs w:val="20"/>
          <w:lang w:val="sl-SI" w:eastAsia="sl-SI"/>
        </w:rPr>
      </w:pPr>
    </w:p>
    <w:p w14:paraId="39E4F79C" w14:textId="77777777" w:rsidR="00331D90" w:rsidRPr="008D7697" w:rsidRDefault="00331D90" w:rsidP="00303F8F">
      <w:pPr>
        <w:numPr>
          <w:ilvl w:val="0"/>
          <w:numId w:val="18"/>
        </w:numPr>
        <w:spacing w:line="260" w:lineRule="exact"/>
        <w:contextualSpacing/>
        <w:jc w:val="both"/>
        <w:rPr>
          <w:rFonts w:eastAsia="Arial Unicode MS" w:cs="Arial"/>
          <w:bCs/>
          <w:i/>
          <w:iCs/>
          <w:szCs w:val="20"/>
          <w:u w:val="single"/>
          <w:lang w:val="sl-SI" w:eastAsia="sl-SI"/>
        </w:rPr>
      </w:pPr>
      <w:r w:rsidRPr="008D7697">
        <w:rPr>
          <w:rFonts w:eastAsia="Arial Unicode MS" w:cs="Arial"/>
          <w:bCs/>
          <w:i/>
          <w:iCs/>
          <w:szCs w:val="20"/>
          <w:u w:val="single"/>
          <w:lang w:val="sl-SI" w:eastAsia="sl-SI"/>
        </w:rPr>
        <w:t>Prevedba državnotožilskega naziva okrajni državni tožilec v državnotožilski naziv okrožni državni tožilec</w:t>
      </w:r>
    </w:p>
    <w:p w14:paraId="1FFBEB66" w14:textId="77777777" w:rsidR="00331D90" w:rsidRPr="008D7697" w:rsidRDefault="00331D90" w:rsidP="00303F8F">
      <w:pPr>
        <w:spacing w:line="260" w:lineRule="exact"/>
        <w:jc w:val="both"/>
        <w:rPr>
          <w:rFonts w:eastAsia="Arial Unicode MS" w:cs="Arial"/>
          <w:bCs/>
          <w:szCs w:val="20"/>
          <w:lang w:val="sl-SI" w:eastAsia="sl-SI"/>
        </w:rPr>
      </w:pPr>
    </w:p>
    <w:p w14:paraId="1E8265B9" w14:textId="77777777" w:rsidR="00331D90" w:rsidRPr="008D7697" w:rsidRDefault="00331D90" w:rsidP="00303F8F">
      <w:pPr>
        <w:spacing w:line="260" w:lineRule="exact"/>
        <w:jc w:val="both"/>
        <w:rPr>
          <w:rFonts w:eastAsia="Arial Unicode MS" w:cs="Arial"/>
          <w:bCs/>
          <w:szCs w:val="20"/>
          <w:lang w:val="sl-SI" w:eastAsia="sl-SI"/>
        </w:rPr>
      </w:pPr>
      <w:r w:rsidRPr="008D7697">
        <w:rPr>
          <w:rFonts w:eastAsia="Arial" w:cs="Arial"/>
          <w:szCs w:val="20"/>
          <w:lang w:val="sl-SI"/>
        </w:rPr>
        <w:t xml:space="preserve">Zaradi uvedbe ene vrste naziva državnega tožilca na prvi stopnji bodo </w:t>
      </w:r>
      <w:r w:rsidRPr="008D7697">
        <w:rPr>
          <w:rFonts w:eastAsia="Arial Unicode MS" w:cs="Arial"/>
          <w:bCs/>
          <w:szCs w:val="20"/>
          <w:lang w:val="sl-SI" w:eastAsia="sl-SI"/>
        </w:rPr>
        <w:t xml:space="preserve">vsi sedanji okrajni državni tožilci z dnem začetka uporabe predloga zakona na podlagi prevedbe pridobili državnotožilski naziv okrožni državni tožilec. Gre za </w:t>
      </w:r>
      <w:r w:rsidRPr="00722086">
        <w:rPr>
          <w:rFonts w:eastAsia="Arial Unicode MS" w:cs="Arial"/>
          <w:bCs/>
          <w:i/>
          <w:iCs/>
          <w:szCs w:val="20"/>
          <w:lang w:val="sl-SI" w:eastAsia="sl-SI"/>
        </w:rPr>
        <w:t>ex lege</w:t>
      </w:r>
      <w:r w:rsidRPr="008D7697">
        <w:rPr>
          <w:rFonts w:eastAsia="Arial Unicode MS" w:cs="Arial"/>
          <w:bCs/>
          <w:szCs w:val="20"/>
          <w:lang w:val="sl-SI" w:eastAsia="sl-SI"/>
        </w:rPr>
        <w:t xml:space="preserve"> napredovanje v višji državnotožilski naziv. Temu ustrezno se mora odraziti tudi plačilo za delo, saj je pravica do plače temeljna pravica državnega tožilca. </w:t>
      </w:r>
    </w:p>
    <w:p w14:paraId="0B85307E" w14:textId="77777777" w:rsidR="00331D90" w:rsidRPr="008D7697" w:rsidRDefault="00331D90" w:rsidP="00303F8F">
      <w:pPr>
        <w:spacing w:line="260" w:lineRule="exact"/>
        <w:jc w:val="both"/>
        <w:rPr>
          <w:rFonts w:eastAsia="Arial Unicode MS" w:cs="Arial"/>
          <w:bCs/>
          <w:szCs w:val="20"/>
          <w:lang w:val="sl-SI" w:eastAsia="sl-SI"/>
        </w:rPr>
      </w:pPr>
    </w:p>
    <w:p w14:paraId="0FA213CA" w14:textId="49ABE0A4"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Plačne razrede, ki so del plačne lestvice, ki ima vrednost izraženo v nominalnem znesku, za vse zaposlene v javnem sektorju določa Zakon o skupnih temeljih sistema plač v javnem sektorju</w:t>
      </w:r>
      <w:r w:rsidRPr="008D7697">
        <w:rPr>
          <w:rStyle w:val="Sprotnaopomba-sklic"/>
          <w:rFonts w:eastAsia="Arial Unicode MS" w:cs="Arial"/>
          <w:bCs/>
          <w:szCs w:val="20"/>
          <w:lang w:val="sl-SI" w:eastAsia="sl-SI"/>
        </w:rPr>
        <w:footnoteReference w:id="13"/>
      </w:r>
      <w:r w:rsidRPr="008D7697">
        <w:rPr>
          <w:rFonts w:eastAsia="Arial Unicode MS" w:cs="Arial"/>
          <w:bCs/>
          <w:szCs w:val="20"/>
          <w:lang w:val="sl-SI" w:eastAsia="sl-SI"/>
        </w:rPr>
        <w:t xml:space="preserve"> (v nadaljnjem besedilu: ZSTSPJS). Plačne razrede funkcij v drugih državnih organih, med katere s</w:t>
      </w:r>
      <w:r w:rsidR="008C4C46">
        <w:rPr>
          <w:rFonts w:eastAsia="Arial Unicode MS" w:cs="Arial"/>
          <w:bCs/>
          <w:szCs w:val="20"/>
          <w:lang w:val="sl-SI" w:eastAsia="sl-SI"/>
        </w:rPr>
        <w:t>padaj</w:t>
      </w:r>
      <w:r w:rsidRPr="008D7697">
        <w:rPr>
          <w:rFonts w:eastAsia="Arial Unicode MS" w:cs="Arial"/>
          <w:bCs/>
          <w:szCs w:val="20"/>
          <w:lang w:val="sl-SI" w:eastAsia="sl-SI"/>
        </w:rPr>
        <w:t>o tudi državna tožilstva, določa Priloga 2</w:t>
      </w:r>
      <w:r w:rsidR="008C4C46">
        <w:rPr>
          <w:rFonts w:eastAsia="Arial Unicode MS" w:cs="Arial"/>
          <w:bCs/>
          <w:szCs w:val="20"/>
          <w:lang w:val="sl-SI" w:eastAsia="sl-SI"/>
        </w:rPr>
        <w:t xml:space="preserve"> tega zakona</w:t>
      </w:r>
      <w:r w:rsidRPr="008D7697">
        <w:rPr>
          <w:rFonts w:eastAsia="Arial Unicode MS" w:cs="Arial"/>
          <w:bCs/>
          <w:szCs w:val="20"/>
          <w:lang w:val="sl-SI" w:eastAsia="sl-SI"/>
        </w:rPr>
        <w:t>. Znotraj razpona plačnih razredov za posamezni državnotožilski naziv so za državnotožilski naziv okrajni državni tožilec določeni plačni razredi od 49</w:t>
      </w:r>
      <w:r w:rsidR="007C2B4C">
        <w:rPr>
          <w:rFonts w:eastAsia="Arial Unicode MS" w:cs="Arial"/>
          <w:bCs/>
          <w:szCs w:val="20"/>
          <w:lang w:val="sl-SI" w:eastAsia="sl-SI"/>
        </w:rPr>
        <w:t>.</w:t>
      </w:r>
      <w:r w:rsidRPr="008D7697">
        <w:rPr>
          <w:rFonts w:eastAsia="Arial Unicode MS" w:cs="Arial"/>
          <w:bCs/>
          <w:szCs w:val="20"/>
          <w:lang w:val="sl-SI" w:eastAsia="sl-SI"/>
        </w:rPr>
        <w:t xml:space="preserve"> do 53</w:t>
      </w:r>
      <w:r w:rsidR="007C2B4C">
        <w:rPr>
          <w:rFonts w:eastAsia="Arial Unicode MS" w:cs="Arial"/>
          <w:bCs/>
          <w:szCs w:val="20"/>
          <w:lang w:val="sl-SI" w:eastAsia="sl-SI"/>
        </w:rPr>
        <w:t>.</w:t>
      </w:r>
      <w:r w:rsidRPr="008D7697">
        <w:rPr>
          <w:rFonts w:eastAsia="Arial Unicode MS" w:cs="Arial"/>
          <w:bCs/>
          <w:szCs w:val="20"/>
          <w:lang w:val="sl-SI" w:eastAsia="sl-SI"/>
        </w:rPr>
        <w:t>, za državnotožilski naziv okrožni državni tožilec plačni razredi od 52</w:t>
      </w:r>
      <w:r w:rsidR="007C2B4C">
        <w:rPr>
          <w:rFonts w:eastAsia="Arial Unicode MS" w:cs="Arial"/>
          <w:bCs/>
          <w:szCs w:val="20"/>
          <w:lang w:val="sl-SI" w:eastAsia="sl-SI"/>
        </w:rPr>
        <w:t>.</w:t>
      </w:r>
      <w:r w:rsidRPr="008D7697">
        <w:rPr>
          <w:rFonts w:eastAsia="Arial Unicode MS" w:cs="Arial"/>
          <w:bCs/>
          <w:szCs w:val="20"/>
          <w:lang w:val="sl-SI" w:eastAsia="sl-SI"/>
        </w:rPr>
        <w:t xml:space="preserve"> do 55</w:t>
      </w:r>
      <w:r w:rsidR="007C2B4C">
        <w:rPr>
          <w:rFonts w:eastAsia="Arial Unicode MS" w:cs="Arial"/>
          <w:bCs/>
          <w:szCs w:val="20"/>
          <w:lang w:val="sl-SI" w:eastAsia="sl-SI"/>
        </w:rPr>
        <w:t>.</w:t>
      </w:r>
      <w:r w:rsidRPr="008D7697">
        <w:rPr>
          <w:rFonts w:eastAsia="Arial Unicode MS" w:cs="Arial"/>
          <w:bCs/>
          <w:szCs w:val="20"/>
          <w:lang w:val="sl-SI" w:eastAsia="sl-SI"/>
        </w:rPr>
        <w:t xml:space="preserve">, za državnotožilski položaj okrožni državni tožilec svetnik pa </w:t>
      </w:r>
      <w:r w:rsidR="007C2B4C">
        <w:rPr>
          <w:rFonts w:eastAsia="Arial Unicode MS" w:cs="Arial"/>
          <w:bCs/>
          <w:szCs w:val="20"/>
          <w:lang w:val="sl-SI" w:eastAsia="sl-SI"/>
        </w:rPr>
        <w:t xml:space="preserve">56. </w:t>
      </w:r>
      <w:r w:rsidRPr="008D7697">
        <w:rPr>
          <w:rFonts w:eastAsia="Arial Unicode MS" w:cs="Arial"/>
          <w:bCs/>
          <w:szCs w:val="20"/>
          <w:lang w:val="sl-SI" w:eastAsia="sl-SI"/>
        </w:rPr>
        <w:t>plačni razred. Ta ureditev je na podlagi prvega odstavka 49. člena ZDT-1, ki plačo državnega tožilca izenačuje s plačo sodnika ustreznega naziva oziroma položaja, enaka kot za sodnike.</w:t>
      </w:r>
      <w:r w:rsidRPr="008D7697">
        <w:rPr>
          <w:rStyle w:val="Sprotnaopomba-sklic"/>
          <w:rFonts w:eastAsia="Arial Unicode MS" w:cs="Arial"/>
          <w:bCs/>
          <w:szCs w:val="20"/>
          <w:lang w:val="sl-SI" w:eastAsia="sl-SI"/>
        </w:rPr>
        <w:footnoteReference w:id="14"/>
      </w:r>
    </w:p>
    <w:p w14:paraId="57DDE0D5" w14:textId="77777777" w:rsidR="00331D90" w:rsidRPr="008D7697" w:rsidRDefault="00331D90" w:rsidP="00303F8F">
      <w:pPr>
        <w:spacing w:line="260" w:lineRule="exact"/>
        <w:jc w:val="both"/>
        <w:rPr>
          <w:rFonts w:eastAsia="Arial Unicode MS" w:cs="Arial"/>
          <w:bCs/>
          <w:szCs w:val="20"/>
          <w:lang w:val="sl-SI" w:eastAsia="sl-SI"/>
        </w:rPr>
      </w:pPr>
    </w:p>
    <w:p w14:paraId="76072AE9" w14:textId="1BCAD6CD" w:rsidR="00331D90" w:rsidRPr="008D7697" w:rsidRDefault="00331D90" w:rsidP="00303F8F">
      <w:pPr>
        <w:spacing w:line="260" w:lineRule="exact"/>
        <w:jc w:val="both"/>
        <w:rPr>
          <w:rFonts w:eastAsia="Arial Unicode MS" w:cs="Arial"/>
          <w:bCs/>
          <w:szCs w:val="20"/>
          <w:lang w:val="sl-SI" w:eastAsia="sl-SI"/>
        </w:rPr>
      </w:pPr>
      <w:r w:rsidRPr="008D7697">
        <w:rPr>
          <w:rFonts w:eastAsia="Arial Unicode MS" w:cs="Arial"/>
          <w:bCs/>
          <w:szCs w:val="20"/>
          <w:lang w:val="sl-SI" w:eastAsia="sl-SI"/>
        </w:rPr>
        <w:t xml:space="preserve">Okrajni državni tožilci, ki bodo na dan pred dnem začetka uporabe predloga zakona državnotožilsko funkcijo opravljali v državnotožilskem nazivu okrajni državni tožilec in bodo uvrščeni v nižji plačni razred kot ga Priloga 2 ZSTSPJS določa za izhodiščni plačni razred državnotožilskega naziva okrožni državni tožilec, bodo po predlagani prehodni določbi dobili državnotožilski naziv okrožni državni tožilec in bodo uvrščeni v 52. plačni razred (izhodiščni plačni razred za okrožnega državnega tožilca). Okrajni državni tožilci, ki bodo na dan pred dnem začetka </w:t>
      </w:r>
      <w:r w:rsidRPr="008D7697">
        <w:rPr>
          <w:rFonts w:eastAsia="Arial Unicode MS" w:cs="Arial"/>
          <w:bCs/>
          <w:szCs w:val="20"/>
          <w:lang w:val="sl-SI" w:eastAsia="sl-SI"/>
        </w:rPr>
        <w:lastRenderedPageBreak/>
        <w:t>uporabe predloga zakona že uvrščeni 52</w:t>
      </w:r>
      <w:r w:rsidR="00070991">
        <w:rPr>
          <w:rFonts w:eastAsia="Arial Unicode MS" w:cs="Arial"/>
          <w:bCs/>
          <w:szCs w:val="20"/>
          <w:lang w:val="sl-SI" w:eastAsia="sl-SI"/>
        </w:rPr>
        <w:t>.</w:t>
      </w:r>
      <w:r w:rsidRPr="008D7697">
        <w:rPr>
          <w:rFonts w:eastAsia="Arial Unicode MS" w:cs="Arial"/>
          <w:bCs/>
          <w:szCs w:val="20"/>
          <w:lang w:val="sl-SI" w:eastAsia="sl-SI"/>
        </w:rPr>
        <w:t>, 53</w:t>
      </w:r>
      <w:r w:rsidR="00070991">
        <w:rPr>
          <w:rFonts w:eastAsia="Arial Unicode MS" w:cs="Arial"/>
          <w:bCs/>
          <w:szCs w:val="20"/>
          <w:lang w:val="sl-SI" w:eastAsia="sl-SI"/>
        </w:rPr>
        <w:t>.</w:t>
      </w:r>
      <w:r w:rsidRPr="008D7697">
        <w:rPr>
          <w:rFonts w:eastAsia="Arial Unicode MS" w:cs="Arial"/>
          <w:bCs/>
          <w:szCs w:val="20"/>
          <w:lang w:val="sl-SI" w:eastAsia="sl-SI"/>
        </w:rPr>
        <w:t xml:space="preserve"> ali 54</w:t>
      </w:r>
      <w:r w:rsidR="00070991">
        <w:rPr>
          <w:rFonts w:eastAsia="Arial Unicode MS" w:cs="Arial"/>
          <w:bCs/>
          <w:szCs w:val="20"/>
          <w:lang w:val="sl-SI" w:eastAsia="sl-SI"/>
        </w:rPr>
        <w:t>. plačni razred</w:t>
      </w:r>
      <w:r w:rsidRPr="008D7697">
        <w:rPr>
          <w:rFonts w:eastAsia="Arial Unicode MS" w:cs="Arial"/>
          <w:bCs/>
          <w:szCs w:val="20"/>
          <w:lang w:val="sl-SI" w:eastAsia="sl-SI"/>
        </w:rPr>
        <w:t xml:space="preserve"> (okrajni državni tožilec svetnik), pa bodo dobili državnotožilski naziv okrožni državni tožilec</w:t>
      </w:r>
      <w:r w:rsidR="00915D0D">
        <w:rPr>
          <w:rFonts w:eastAsia="Arial Unicode MS" w:cs="Arial"/>
          <w:bCs/>
          <w:szCs w:val="20"/>
          <w:lang w:val="sl-SI" w:eastAsia="sl-SI"/>
        </w:rPr>
        <w:t xml:space="preserve"> in</w:t>
      </w:r>
      <w:r w:rsidRPr="008D7697">
        <w:rPr>
          <w:rFonts w:eastAsia="Arial Unicode MS" w:cs="Arial"/>
          <w:bCs/>
          <w:szCs w:val="20"/>
          <w:lang w:val="sl-SI" w:eastAsia="sl-SI"/>
        </w:rPr>
        <w:t xml:space="preserve"> ohranili enak plačni razred</w:t>
      </w:r>
      <w:r w:rsidR="001A1332">
        <w:rPr>
          <w:rFonts w:eastAsia="Arial Unicode MS" w:cs="Arial"/>
          <w:bCs/>
          <w:szCs w:val="20"/>
          <w:lang w:val="sl-SI" w:eastAsia="sl-SI"/>
        </w:rPr>
        <w:t>,</w:t>
      </w:r>
      <w:r w:rsidRPr="008D7697">
        <w:rPr>
          <w:rFonts w:eastAsia="Arial Unicode MS" w:cs="Arial"/>
          <w:bCs/>
          <w:szCs w:val="20"/>
          <w:lang w:val="sl-SI" w:eastAsia="sl-SI"/>
        </w:rPr>
        <w:t xml:space="preserve"> kot so ga imeli pred začetkom uporabe predloga zakona.  </w:t>
      </w:r>
    </w:p>
    <w:p w14:paraId="0C061D31" w14:textId="77777777" w:rsidR="00331D90" w:rsidRPr="008D7697" w:rsidRDefault="00331D90" w:rsidP="00303F8F">
      <w:pPr>
        <w:spacing w:line="260" w:lineRule="exact"/>
        <w:jc w:val="both"/>
        <w:rPr>
          <w:rFonts w:cs="Arial"/>
          <w:szCs w:val="20"/>
          <w:lang w:val="sl-SI" w:eastAsia="sl-SI"/>
        </w:rPr>
      </w:pPr>
    </w:p>
    <w:p w14:paraId="619A8DAE" w14:textId="77777777" w:rsidR="00331D90" w:rsidRPr="008D7697" w:rsidRDefault="00331D90" w:rsidP="00303F8F">
      <w:pPr>
        <w:spacing w:line="260" w:lineRule="exact"/>
        <w:rPr>
          <w:rFonts w:cs="Arial"/>
          <w:b/>
          <w:szCs w:val="20"/>
          <w:lang w:val="sl-SI" w:eastAsia="sl-SI"/>
        </w:rPr>
      </w:pPr>
      <w:r w:rsidRPr="008D7697">
        <w:rPr>
          <w:rFonts w:cs="Arial"/>
          <w:b/>
          <w:szCs w:val="20"/>
          <w:lang w:val="sl-SI" w:eastAsia="sl-SI"/>
        </w:rPr>
        <w:t>2.3.2 Uvedba psihološke pomoči</w:t>
      </w:r>
    </w:p>
    <w:p w14:paraId="013A44DA" w14:textId="77777777" w:rsidR="00331D90" w:rsidRPr="008D7697" w:rsidRDefault="00331D90" w:rsidP="00303F8F">
      <w:pPr>
        <w:spacing w:line="260" w:lineRule="exact"/>
        <w:rPr>
          <w:rFonts w:cs="Arial"/>
          <w:b/>
          <w:szCs w:val="20"/>
          <w:lang w:val="sl-SI" w:eastAsia="sl-SI"/>
        </w:rPr>
      </w:pPr>
    </w:p>
    <w:p w14:paraId="336FFD3E" w14:textId="539FAE6C"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Tudi državni tožilci in državnotožilsko osebje so lahko izpostavljeni stresnim</w:t>
      </w:r>
      <w:r w:rsidR="00B26A0A">
        <w:rPr>
          <w:rFonts w:eastAsia="Arial" w:cs="Arial"/>
          <w:szCs w:val="20"/>
          <w:lang w:val="sl-SI"/>
        </w:rPr>
        <w:t xml:space="preserve"> okoliščinam</w:t>
      </w:r>
      <w:r w:rsidRPr="008D7697">
        <w:rPr>
          <w:rFonts w:eastAsia="Arial" w:cs="Arial"/>
          <w:szCs w:val="20"/>
          <w:lang w:val="sl-SI"/>
        </w:rPr>
        <w:t xml:space="preserve">, zato se predlaga razširitev zakonodajnega okvirja nudenja psihološke pomoči in podpore. Psihološka pomoč in podpora sta že urejeni za zaposlene v </w:t>
      </w:r>
      <w:r w:rsidR="00363C70">
        <w:rPr>
          <w:rFonts w:eastAsia="Arial" w:cs="Arial"/>
          <w:szCs w:val="20"/>
          <w:lang w:val="sl-SI"/>
        </w:rPr>
        <w:t>p</w:t>
      </w:r>
      <w:r w:rsidRPr="008D7697">
        <w:rPr>
          <w:rFonts w:eastAsia="Arial" w:cs="Arial"/>
          <w:szCs w:val="20"/>
          <w:lang w:val="sl-SI"/>
        </w:rPr>
        <w:t>oliciji v 65. členu Zakona o organiziranosti in delu v policiji</w:t>
      </w:r>
      <w:r w:rsidRPr="008D7697">
        <w:rPr>
          <w:rStyle w:val="Sprotnaopomba-sklic"/>
          <w:rFonts w:eastAsia="Arial" w:cs="Arial"/>
          <w:szCs w:val="20"/>
          <w:lang w:val="sl-SI"/>
        </w:rPr>
        <w:footnoteReference w:id="15"/>
      </w:r>
      <w:r w:rsidRPr="008D7697">
        <w:rPr>
          <w:rFonts w:eastAsia="Arial" w:cs="Arial"/>
          <w:szCs w:val="20"/>
          <w:lang w:val="sl-SI"/>
        </w:rPr>
        <w:t xml:space="preserve"> in za vojake v 79. členu Zakona o službi v Slovenski vojski</w:t>
      </w:r>
      <w:r w:rsidR="00C248F6">
        <w:rPr>
          <w:rFonts w:eastAsia="Arial" w:cs="Arial"/>
          <w:szCs w:val="20"/>
          <w:lang w:val="sl-SI"/>
        </w:rPr>
        <w:t>.</w:t>
      </w:r>
      <w:r w:rsidRPr="008D7697">
        <w:rPr>
          <w:rStyle w:val="Sprotnaopomba-sklic"/>
          <w:rFonts w:eastAsia="Arial" w:cs="Arial"/>
          <w:szCs w:val="20"/>
          <w:lang w:val="sl-SI"/>
        </w:rPr>
        <w:footnoteReference w:id="16"/>
      </w:r>
      <w:r w:rsidRPr="008D7697">
        <w:rPr>
          <w:rFonts w:eastAsia="Arial" w:cs="Arial"/>
          <w:szCs w:val="20"/>
          <w:lang w:val="sl-SI"/>
        </w:rPr>
        <w:t xml:space="preserve"> </w:t>
      </w:r>
      <w:r w:rsidR="00C248F6">
        <w:rPr>
          <w:rFonts w:eastAsia="Arial" w:cs="Arial"/>
          <w:szCs w:val="20"/>
          <w:lang w:val="sl-SI"/>
        </w:rPr>
        <w:t>P</w:t>
      </w:r>
      <w:r w:rsidRPr="008D7697">
        <w:rPr>
          <w:rFonts w:eastAsia="Arial" w:cs="Arial"/>
          <w:szCs w:val="20"/>
          <w:lang w:val="sl-SI"/>
        </w:rPr>
        <w:t xml:space="preserve">sihološka oskrba </w:t>
      </w:r>
      <w:r w:rsidR="00C248F6">
        <w:rPr>
          <w:rFonts w:eastAsia="Arial" w:cs="Arial"/>
          <w:szCs w:val="20"/>
          <w:lang w:val="sl-SI"/>
        </w:rPr>
        <w:t xml:space="preserve">je namreč potrebna </w:t>
      </w:r>
      <w:r w:rsidRPr="008D7697">
        <w:rPr>
          <w:rFonts w:eastAsia="Arial" w:cs="Arial"/>
          <w:szCs w:val="20"/>
          <w:lang w:val="sl-SI"/>
        </w:rPr>
        <w:t>tako v policijskem kot v vojaškem poklicu</w:t>
      </w:r>
      <w:r w:rsidR="00C248F6">
        <w:rPr>
          <w:rFonts w:eastAsia="Arial" w:cs="Arial"/>
          <w:szCs w:val="20"/>
          <w:lang w:val="sl-SI"/>
        </w:rPr>
        <w:t xml:space="preserve">, saj </w:t>
      </w:r>
      <w:r w:rsidRPr="008D7697">
        <w:rPr>
          <w:rFonts w:eastAsia="Arial" w:cs="Arial"/>
          <w:szCs w:val="20"/>
          <w:lang w:val="sl-SI"/>
        </w:rPr>
        <w:t>sta oba poklica posebej izpostavljena psihičnim obremenitvam in stresnim</w:t>
      </w:r>
      <w:r w:rsidR="00AB29F5">
        <w:rPr>
          <w:rFonts w:eastAsia="Arial" w:cs="Arial"/>
          <w:szCs w:val="20"/>
          <w:lang w:val="sl-SI"/>
        </w:rPr>
        <w:t xml:space="preserve"> okoliščinam</w:t>
      </w:r>
      <w:r w:rsidRPr="008D7697">
        <w:rPr>
          <w:rFonts w:eastAsia="Arial" w:cs="Arial"/>
          <w:szCs w:val="20"/>
          <w:lang w:val="sl-SI"/>
        </w:rPr>
        <w:t xml:space="preserve">. </w:t>
      </w:r>
    </w:p>
    <w:p w14:paraId="6A530724"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0E45F0B2" w14:textId="481FD5BF"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S predlogom zakona se določa zakonska podlaga za zagotavljanje strokovne psihološke pomoči in psihološke podpore državnim tožilcem in državnotožilskemu osebju, kadar pride do hujših psihičnih obremenitev pri opravljanju državnotožilske službe oziroma dela državnotožilskega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w:t>
      </w:r>
      <w:r w:rsidR="008C5549">
        <w:rPr>
          <w:rFonts w:eastAsia="Arial" w:cs="Arial"/>
          <w:szCs w:val="20"/>
          <w:lang w:val="sl-SI"/>
        </w:rPr>
        <w:t xml:space="preserve"> generalnega državnega tožilca</w:t>
      </w:r>
      <w:r w:rsidRPr="008D7697">
        <w:rPr>
          <w:rFonts w:eastAsia="Arial" w:cs="Arial"/>
          <w:szCs w:val="20"/>
          <w:lang w:val="sl-SI"/>
        </w:rPr>
        <w:t>.</w:t>
      </w:r>
    </w:p>
    <w:p w14:paraId="2C2F9B28"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p>
    <w:p w14:paraId="396013BD" w14:textId="77777777" w:rsidR="00331D90" w:rsidRPr="008D7697" w:rsidRDefault="00331D90" w:rsidP="00303F8F">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35E21B11" w14:textId="77777777" w:rsidR="00331D90" w:rsidRPr="008D7697" w:rsidRDefault="00331D90" w:rsidP="00303F8F">
      <w:pPr>
        <w:spacing w:line="260" w:lineRule="exact"/>
        <w:rPr>
          <w:rFonts w:cs="Arial"/>
          <w:b/>
          <w:szCs w:val="20"/>
          <w:lang w:val="sl-SI" w:eastAsia="sl-SI"/>
        </w:rPr>
      </w:pPr>
    </w:p>
    <w:p w14:paraId="3E353A1C" w14:textId="77777777" w:rsidR="00331D90" w:rsidRPr="008D7697" w:rsidRDefault="00331D90" w:rsidP="00303F8F">
      <w:pPr>
        <w:spacing w:line="260" w:lineRule="exact"/>
        <w:jc w:val="both"/>
        <w:rPr>
          <w:rFonts w:cs="Arial"/>
          <w:b/>
          <w:szCs w:val="20"/>
          <w:lang w:val="sl-SI" w:eastAsia="sl-SI"/>
        </w:rPr>
      </w:pPr>
      <w:r w:rsidRPr="008D7697">
        <w:rPr>
          <w:rFonts w:cs="Arial"/>
          <w:b/>
          <w:szCs w:val="20"/>
          <w:lang w:val="sl-SI" w:eastAsia="sl-SI"/>
        </w:rPr>
        <w:t>2.3.3 Sprememba jezikovnega pogoja za imenovanje evropskega tožilca in evropskega delegiranega tožilca</w:t>
      </w:r>
    </w:p>
    <w:p w14:paraId="1B032355" w14:textId="77777777" w:rsidR="00331D90" w:rsidRPr="008D7697" w:rsidRDefault="00331D90" w:rsidP="00303F8F">
      <w:pPr>
        <w:spacing w:line="260" w:lineRule="exact"/>
        <w:rPr>
          <w:rFonts w:cs="Arial"/>
          <w:b/>
          <w:szCs w:val="20"/>
          <w:lang w:val="sl-SI" w:eastAsia="sl-SI"/>
        </w:rPr>
      </w:pPr>
    </w:p>
    <w:p w14:paraId="626F4194" w14:textId="62EA2619"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 zvezi s pogoji za imenovanje evropskega tožilca in evropskega delegiranega tožilca se predlaga znižanje najnižje zahtevane ravni znanja delovnega jezika Evropskega javnega tožilstva (v nadaljnjem besedilu: EJT) s C1 na B2 Skupnega evropskega jezikovnega okvira. Z navedeno spremembo se jezikovni pogoj usklajuje s primerljivo ureditvijo na ravni Evropske </w:t>
      </w:r>
      <w:r w:rsidR="00FB777D">
        <w:rPr>
          <w:rFonts w:ascii="Arial" w:eastAsia="Arial" w:hAnsi="Arial" w:cs="Arial"/>
          <w:sz w:val="20"/>
          <w:szCs w:val="20"/>
          <w:lang w:val="sl-SI"/>
        </w:rPr>
        <w:t>u</w:t>
      </w:r>
      <w:r w:rsidRPr="008D7697">
        <w:rPr>
          <w:rFonts w:ascii="Arial" w:eastAsia="Arial" w:hAnsi="Arial" w:cs="Arial"/>
          <w:sz w:val="20"/>
          <w:szCs w:val="20"/>
          <w:lang w:val="sl-SI"/>
        </w:rPr>
        <w:t>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17"/>
      </w:r>
      <w:r w:rsidRPr="008D7697">
        <w:rPr>
          <w:rFonts w:ascii="Arial" w:eastAsia="Arial" w:hAnsi="Arial" w:cs="Arial"/>
          <w:sz w:val="20"/>
          <w:szCs w:val="20"/>
          <w:lang w:val="sl-SI"/>
        </w:rPr>
        <w:t xml:space="preserve"> namreč v točki f) </w:t>
      </w:r>
      <w:r w:rsidR="002F1295">
        <w:rPr>
          <w:rFonts w:ascii="Arial" w:eastAsia="Arial" w:hAnsi="Arial" w:cs="Arial"/>
          <w:sz w:val="20"/>
          <w:szCs w:val="20"/>
          <w:lang w:val="sl-SI"/>
        </w:rPr>
        <w:t xml:space="preserve">28.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E279AC">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877A29">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s</w:t>
      </w:r>
      <w:r w:rsidR="00D35B7A">
        <w:rPr>
          <w:rFonts w:ascii="Arial" w:eastAsia="Arial" w:hAnsi="Arial" w:cs="Arial"/>
          <w:sz w:val="20"/>
          <w:szCs w:val="20"/>
          <w:lang w:val="sl-SI"/>
        </w:rPr>
        <w:t>o</w:t>
      </w:r>
      <w:r w:rsidRPr="008D7697">
        <w:rPr>
          <w:rFonts w:ascii="Arial" w:eastAsia="Arial" w:hAnsi="Arial" w:cs="Arial"/>
          <w:sz w:val="20"/>
          <w:szCs w:val="20"/>
          <w:lang w:val="sl-SI"/>
        </w:rPr>
        <w:t xml:space="preserve"> </w:t>
      </w:r>
      <w:r w:rsidR="00D35B7A">
        <w:rPr>
          <w:rFonts w:ascii="Arial" w:eastAsia="Arial" w:hAnsi="Arial" w:cs="Arial"/>
          <w:sz w:val="20"/>
          <w:szCs w:val="20"/>
          <w:lang w:val="sl-SI"/>
        </w:rPr>
        <w:t>v</w:t>
      </w:r>
      <w:r w:rsidRPr="008D7697">
        <w:rPr>
          <w:rFonts w:ascii="Arial" w:eastAsia="Arial" w:hAnsi="Arial" w:cs="Arial"/>
          <w:sz w:val="20"/>
          <w:szCs w:val="20"/>
          <w:lang w:val="sl-SI"/>
        </w:rPr>
        <w:t xml:space="preserve"> Evropske</w:t>
      </w:r>
      <w:r w:rsidR="00D35B7A">
        <w:rPr>
          <w:rFonts w:ascii="Arial" w:eastAsia="Arial" w:hAnsi="Arial" w:cs="Arial"/>
          <w:sz w:val="20"/>
          <w:szCs w:val="20"/>
          <w:lang w:val="sl-SI"/>
        </w:rPr>
        <w:t>m</w:t>
      </w:r>
      <w:r w:rsidRPr="008D7697">
        <w:rPr>
          <w:rFonts w:ascii="Arial" w:eastAsia="Arial" w:hAnsi="Arial" w:cs="Arial"/>
          <w:sz w:val="20"/>
          <w:szCs w:val="20"/>
          <w:lang w:val="sl-SI"/>
        </w:rPr>
        <w:t xml:space="preserve"> urad</w:t>
      </w:r>
      <w:r w:rsidR="00D35B7A">
        <w:rPr>
          <w:rFonts w:ascii="Arial" w:eastAsia="Arial" w:hAnsi="Arial" w:cs="Arial"/>
          <w:sz w:val="20"/>
          <w:szCs w:val="20"/>
          <w:lang w:val="sl-SI"/>
        </w:rPr>
        <w:t>u</w:t>
      </w:r>
      <w:r w:rsidRPr="008D7697">
        <w:rPr>
          <w:rFonts w:ascii="Arial" w:eastAsia="Arial" w:hAnsi="Arial" w:cs="Arial"/>
          <w:sz w:val="20"/>
          <w:szCs w:val="20"/>
          <w:lang w:val="sl-SI"/>
        </w:rPr>
        <w:t xml:space="preserve"> za izbor osebja (EPSO) pojasn</w:t>
      </w:r>
      <w:r w:rsidR="00D35B7A">
        <w:rPr>
          <w:rFonts w:ascii="Arial" w:eastAsia="Arial" w:hAnsi="Arial" w:cs="Arial"/>
          <w:sz w:val="20"/>
          <w:szCs w:val="20"/>
          <w:lang w:val="sl-SI"/>
        </w:rPr>
        <w:t>ili</w:t>
      </w:r>
      <w:r w:rsidRPr="008D7697">
        <w:rPr>
          <w:rFonts w:ascii="Arial" w:eastAsia="Arial" w:hAnsi="Arial" w:cs="Arial"/>
          <w:sz w:val="20"/>
          <w:szCs w:val="20"/>
          <w:lang w:val="sl-SI"/>
        </w:rPr>
        <w:t xml:space="preserve">, da temeljito znanje enega od uradnih jezikov Evropske </w:t>
      </w:r>
      <w:r w:rsidR="004C348B">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18"/>
      </w:r>
      <w:r w:rsidRPr="008D7697">
        <w:rPr>
          <w:rFonts w:ascii="Arial" w:eastAsia="Arial" w:hAnsi="Arial" w:cs="Arial"/>
          <w:sz w:val="20"/>
          <w:szCs w:val="20"/>
          <w:lang w:val="sl-SI"/>
        </w:rPr>
        <w:t xml:space="preserve"> </w:t>
      </w:r>
    </w:p>
    <w:p w14:paraId="6133B277"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752680F" w14:textId="7AF088F5"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 xml:space="preserve">Sklep kolegija Evropskega javnega tožilstva </w:t>
      </w:r>
      <w:r w:rsidR="004F687D">
        <w:rPr>
          <w:rFonts w:ascii="Arial" w:eastAsia="Arial" w:hAnsi="Arial" w:cs="Arial"/>
          <w:sz w:val="20"/>
          <w:szCs w:val="20"/>
          <w:lang w:val="sl-SI"/>
        </w:rPr>
        <w:t xml:space="preserve">št. </w:t>
      </w:r>
      <w:r w:rsidRPr="008D7697">
        <w:rPr>
          <w:rFonts w:ascii="Arial" w:eastAsia="Arial" w:hAnsi="Arial" w:cs="Arial"/>
          <w:sz w:val="20"/>
          <w:szCs w:val="20"/>
          <w:lang w:val="sl-SI"/>
        </w:rPr>
        <w:t>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19"/>
      </w:r>
      <w:r w:rsidRPr="008D7697">
        <w:rPr>
          <w:rFonts w:ascii="Arial" w:eastAsia="Arial" w:hAnsi="Arial" w:cs="Arial"/>
          <w:sz w:val="20"/>
          <w:szCs w:val="20"/>
          <w:lang w:val="sl-SI"/>
        </w:rPr>
        <w:t xml:space="preserve"> v 3. členu še posebej določa, da se evropski delegirani tožilci zaposlijo pod pogojem, da imajo zadovoljivo znanje delovnega jezika za operativne in upravne dejavnosti EJT, določenega v skladu s členom 107(2) uredbe o EJT. Za evropskega delegiranega tožilca se torej izrecno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4F6EBF58"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66AF8023" w14:textId="7A66A351"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 mnenju predlagatelja je smiselno, da je tako za evropskega tožilca kot za evropskega delegiranega tožilca predpisan enak jezikovni pogoj – to izhaja tudi iz zgoraj navedene </w:t>
      </w:r>
      <w:r w:rsidR="004F687D">
        <w:rPr>
          <w:rFonts w:ascii="Arial" w:eastAsia="Arial" w:hAnsi="Arial" w:cs="Arial"/>
          <w:sz w:val="20"/>
          <w:szCs w:val="20"/>
          <w:lang w:val="sl-SI"/>
        </w:rPr>
        <w:t>u</w:t>
      </w:r>
      <w:r w:rsidRPr="008D7697">
        <w:rPr>
          <w:rFonts w:ascii="Arial" w:eastAsia="Arial" w:hAnsi="Arial" w:cs="Arial"/>
          <w:sz w:val="20"/>
          <w:szCs w:val="20"/>
          <w:lang w:val="sl-SI"/>
        </w:rPr>
        <w:t xml:space="preserve">redbe, ki za vse uradnike institucij Evropske </w:t>
      </w:r>
      <w:r w:rsidR="004F687D">
        <w:rPr>
          <w:rFonts w:ascii="Arial" w:eastAsia="Arial" w:hAnsi="Arial" w:cs="Arial"/>
          <w:sz w:val="20"/>
          <w:szCs w:val="20"/>
          <w:lang w:val="sl-SI"/>
        </w:rPr>
        <w:t>u</w:t>
      </w:r>
      <w:r w:rsidRPr="008D7697">
        <w:rPr>
          <w:rFonts w:ascii="Arial" w:eastAsia="Arial" w:hAnsi="Arial" w:cs="Arial"/>
          <w:sz w:val="20"/>
          <w:szCs w:val="20"/>
          <w:lang w:val="sl-SI"/>
        </w:rPr>
        <w:t>nije predpisuje enake jezikovne pogoje.</w:t>
      </w:r>
    </w:p>
    <w:p w14:paraId="75D3B181" w14:textId="77777777" w:rsidR="00331D90" w:rsidRPr="008D7697" w:rsidRDefault="00331D90" w:rsidP="0014688C">
      <w:pPr>
        <w:spacing w:line="260" w:lineRule="exact"/>
        <w:rPr>
          <w:rFonts w:cs="Arial"/>
          <w:b/>
          <w:szCs w:val="20"/>
          <w:lang w:val="sl-SI" w:eastAsia="sl-SI"/>
        </w:rPr>
      </w:pPr>
    </w:p>
    <w:p w14:paraId="554D8631" w14:textId="77777777" w:rsidR="00331D90" w:rsidRPr="008D7697" w:rsidRDefault="00331D90" w:rsidP="0014688C">
      <w:pPr>
        <w:spacing w:line="260" w:lineRule="exact"/>
        <w:jc w:val="both"/>
        <w:rPr>
          <w:rFonts w:cs="Arial"/>
          <w:b/>
          <w:szCs w:val="20"/>
          <w:lang w:val="sl-SI" w:eastAsia="sl-SI"/>
        </w:rPr>
      </w:pPr>
      <w:r w:rsidRPr="008D7697">
        <w:rPr>
          <w:rFonts w:cs="Arial"/>
          <w:b/>
          <w:szCs w:val="20"/>
          <w:lang w:val="sl-SI" w:eastAsia="sl-SI"/>
        </w:rPr>
        <w:t xml:space="preserve">2.3.4 Uskladitev s sodniško zakonodajo na področju napredovanj in dopustov  </w:t>
      </w:r>
    </w:p>
    <w:p w14:paraId="1A21E809" w14:textId="77777777" w:rsidR="00331D90" w:rsidRPr="008D7697" w:rsidRDefault="00331D90" w:rsidP="0014688C">
      <w:pPr>
        <w:spacing w:line="260" w:lineRule="exact"/>
        <w:jc w:val="both"/>
        <w:rPr>
          <w:rFonts w:cs="Arial"/>
          <w:b/>
          <w:szCs w:val="20"/>
          <w:lang w:val="sl-SI" w:eastAsia="sl-SI"/>
        </w:rPr>
      </w:pPr>
    </w:p>
    <w:p w14:paraId="21CF59C5" w14:textId="11AD6B44"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Napredovanje državnih tožilcev se usklajuje s spremembami glede napredovanj</w:t>
      </w:r>
      <w:r w:rsidR="00EC083D">
        <w:rPr>
          <w:rFonts w:ascii="Arial" w:eastAsia="Arial" w:hAnsi="Arial" w:cs="Arial"/>
          <w:sz w:val="20"/>
          <w:szCs w:val="20"/>
          <w:lang w:val="sl-SI"/>
        </w:rPr>
        <w:t>a</w:t>
      </w:r>
      <w:r w:rsidRPr="008D7697">
        <w:rPr>
          <w:rFonts w:ascii="Arial" w:eastAsia="Arial" w:hAnsi="Arial" w:cs="Arial"/>
          <w:sz w:val="20"/>
          <w:szCs w:val="20"/>
          <w:lang w:val="sl-SI"/>
        </w:rPr>
        <w:t xml:space="preserve">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državnotožilskem mestu in napredovanje na višje državnotožilsko mesto, ne bo pa več možnosti napredovanja </w:t>
      </w:r>
      <w:r w:rsidR="00FB59F5">
        <w:rPr>
          <w:rFonts w:ascii="Arial" w:eastAsia="Arial" w:hAnsi="Arial" w:cs="Arial"/>
          <w:sz w:val="20"/>
          <w:szCs w:val="20"/>
          <w:lang w:val="sl-SI"/>
        </w:rPr>
        <w:t xml:space="preserve">na podlagi </w:t>
      </w:r>
      <w:r w:rsidRPr="008D7697">
        <w:rPr>
          <w:rFonts w:ascii="Arial" w:eastAsia="Arial" w:hAnsi="Arial" w:cs="Arial"/>
          <w:sz w:val="20"/>
          <w:szCs w:val="20"/>
          <w:lang w:val="sl-SI"/>
        </w:rPr>
        <w:t>ocene v državnotožilski naziv vrhovnega državnega tožilca.</w:t>
      </w:r>
    </w:p>
    <w:p w14:paraId="2AB38C65"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51DD083" w14:textId="68B625B0"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Glede na to, da je pravica državnega tožilca do dopusta skoraj v celoti urejena </w:t>
      </w:r>
      <w:r w:rsidR="005C63E4" w:rsidRPr="008D7697">
        <w:rPr>
          <w:rFonts w:ascii="Arial" w:eastAsia="Arial" w:hAnsi="Arial" w:cs="Arial"/>
          <w:sz w:val="20"/>
          <w:szCs w:val="20"/>
          <w:lang w:val="sl-SI"/>
        </w:rPr>
        <w:t xml:space="preserve">enako </w:t>
      </w:r>
      <w:r w:rsidRPr="008D7697">
        <w:rPr>
          <w:rFonts w:ascii="Arial" w:eastAsia="Arial" w:hAnsi="Arial" w:cs="Arial"/>
          <w:sz w:val="20"/>
          <w:szCs w:val="20"/>
          <w:lang w:val="sl-SI"/>
        </w:rPr>
        <w:t>kot pravica sodnika do dopusta, ter da se na splošno glede pravic in dolžnosti državnega tožilca v zvezi z državnotožilsko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23D518EB"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4129B55B" w14:textId="77777777" w:rsidR="00331D90" w:rsidRPr="008D7697" w:rsidRDefault="00331D90" w:rsidP="0014688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2.3.5 Ustreznejše zapolnjevanje državnotožilskih mest na Specializiranem državnem tožilstvu</w:t>
      </w:r>
    </w:p>
    <w:p w14:paraId="781F308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5F96C93F"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Veljavna ureditev, po kateri se na Specializirano državno tožilstvo (v nadaljnjem besedilu: SDT) dodeli najmanj po en državni tožilec iz vsakega okrožnega državnega tožilstva, matičnim okrožnim državnim tožilstvom otežuje delo, zato se predlaga njeno črtanje. </w:t>
      </w:r>
    </w:p>
    <w:p w14:paraId="36B353EC"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18A75D01" w14:textId="5A734739" w:rsidR="00331D90" w:rsidRPr="008D7697" w:rsidRDefault="00331D90" w:rsidP="0014688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 drugi strani se omogoča večja </w:t>
      </w:r>
      <w:r w:rsidR="003A6874">
        <w:rPr>
          <w:rFonts w:ascii="Arial" w:eastAsia="Arial" w:hAnsi="Arial" w:cs="Arial"/>
          <w:sz w:val="20"/>
          <w:szCs w:val="20"/>
          <w:lang w:val="sl-SI"/>
        </w:rPr>
        <w:t xml:space="preserve">prožnost </w:t>
      </w:r>
      <w:r w:rsidRPr="008D7697">
        <w:rPr>
          <w:rFonts w:ascii="Arial" w:eastAsia="Arial" w:hAnsi="Arial" w:cs="Arial"/>
          <w:sz w:val="20"/>
          <w:szCs w:val="20"/>
          <w:lang w:val="sl-SI"/>
        </w:rPr>
        <w:t xml:space="preserve">državnih tožilcev, imenovanih na SDT, saj bodo ti delo </w:t>
      </w:r>
      <w:r w:rsidR="00CD1606" w:rsidRPr="008D7697">
        <w:rPr>
          <w:rFonts w:ascii="Arial" w:eastAsia="Arial" w:hAnsi="Arial" w:cs="Arial"/>
          <w:sz w:val="20"/>
          <w:szCs w:val="20"/>
          <w:lang w:val="sl-SI"/>
        </w:rPr>
        <w:t xml:space="preserve">lahko </w:t>
      </w:r>
      <w:r w:rsidRPr="008D7697">
        <w:rPr>
          <w:rFonts w:ascii="Arial" w:eastAsia="Arial" w:hAnsi="Arial" w:cs="Arial"/>
          <w:sz w:val="20"/>
          <w:szCs w:val="20"/>
          <w:lang w:val="sl-SI"/>
        </w:rPr>
        <w:t xml:space="preserve">opravljali tudi na sedežu drugega državnega tožilstva. To bo pripomoglo k večjemu zanimanju najbolj usposobljenih državnih tožilcev iz drugih krajev </w:t>
      </w:r>
      <w:r w:rsidR="00CB45B2">
        <w:rPr>
          <w:rFonts w:ascii="Arial" w:eastAsia="Arial" w:hAnsi="Arial" w:cs="Arial"/>
          <w:sz w:val="20"/>
          <w:szCs w:val="20"/>
          <w:lang w:val="sl-SI"/>
        </w:rPr>
        <w:t xml:space="preserve">zunaj </w:t>
      </w:r>
      <w:r w:rsidRPr="008D7697">
        <w:rPr>
          <w:rFonts w:ascii="Arial" w:eastAsia="Arial" w:hAnsi="Arial" w:cs="Arial"/>
          <w:sz w:val="20"/>
          <w:szCs w:val="20"/>
          <w:lang w:val="sl-SI"/>
        </w:rPr>
        <w:t xml:space="preserve">sedeža SDT, ki se </w:t>
      </w:r>
      <w:r w:rsidR="00E37C9D">
        <w:rPr>
          <w:rFonts w:ascii="Arial" w:eastAsia="Arial" w:hAnsi="Arial" w:cs="Arial"/>
          <w:sz w:val="20"/>
          <w:szCs w:val="20"/>
          <w:lang w:val="sl-SI"/>
        </w:rPr>
        <w:t>z</w:t>
      </w:r>
      <w:r w:rsidRPr="008D7697">
        <w:rPr>
          <w:rFonts w:ascii="Arial" w:eastAsia="Arial" w:hAnsi="Arial" w:cs="Arial"/>
          <w:sz w:val="20"/>
          <w:szCs w:val="20"/>
          <w:lang w:val="sl-SI"/>
        </w:rPr>
        <w:t>daj zaradi oddaljenosti za delo na SDT ne odločajo.</w:t>
      </w:r>
      <w:r w:rsidR="00CB45B2">
        <w:rPr>
          <w:rFonts w:ascii="Arial" w:eastAsia="Arial" w:hAnsi="Arial" w:cs="Arial"/>
          <w:sz w:val="20"/>
          <w:szCs w:val="20"/>
          <w:lang w:val="sl-SI"/>
        </w:rPr>
        <w:t xml:space="preserve"> </w:t>
      </w:r>
    </w:p>
    <w:p w14:paraId="67A7A1CA" w14:textId="77777777" w:rsidR="00331D90" w:rsidRPr="008D7697" w:rsidRDefault="00331D90" w:rsidP="0014688C">
      <w:pPr>
        <w:pStyle w:val="alineazaodstavkom2"/>
        <w:spacing w:line="260" w:lineRule="exact"/>
        <w:ind w:firstLine="0"/>
        <w:rPr>
          <w:rFonts w:ascii="Arial" w:eastAsia="Arial" w:hAnsi="Arial" w:cs="Arial"/>
          <w:sz w:val="20"/>
          <w:szCs w:val="20"/>
          <w:lang w:val="sl-SI"/>
        </w:rPr>
      </w:pPr>
    </w:p>
    <w:p w14:paraId="24F6A597" w14:textId="77777777" w:rsidR="00331D90" w:rsidRPr="008D7697" w:rsidRDefault="00331D90" w:rsidP="0014688C">
      <w:pPr>
        <w:spacing w:line="260" w:lineRule="exact"/>
        <w:jc w:val="both"/>
        <w:rPr>
          <w:rFonts w:cs="Arial"/>
          <w:szCs w:val="20"/>
          <w:lang w:val="sl-SI" w:eastAsia="sl-SI"/>
        </w:rPr>
      </w:pPr>
    </w:p>
    <w:p w14:paraId="253B5837" w14:textId="77777777" w:rsidR="00331D90" w:rsidRPr="008D7697" w:rsidRDefault="00331D90" w:rsidP="0014688C">
      <w:pPr>
        <w:spacing w:line="260" w:lineRule="exact"/>
        <w:jc w:val="both"/>
        <w:rPr>
          <w:rFonts w:cs="Arial"/>
          <w:b/>
          <w:szCs w:val="20"/>
          <w:lang w:val="sl-SI"/>
        </w:rPr>
      </w:pPr>
      <w:r w:rsidRPr="008D7697">
        <w:rPr>
          <w:rFonts w:cs="Arial"/>
          <w:b/>
          <w:szCs w:val="20"/>
          <w:lang w:val="sl-SI"/>
        </w:rPr>
        <w:t>3. OCENA FINANČNIH POSLEDIC PREDLOGA ZAKONA ZA DRŽAVNI PRORAČUN IN DRUGA JAVNOFINANČNA SREDSTVA</w:t>
      </w:r>
    </w:p>
    <w:p w14:paraId="70B3FEF5" w14:textId="77777777" w:rsidR="00331D90" w:rsidRPr="008D7697" w:rsidRDefault="00331D90" w:rsidP="0014688C">
      <w:pPr>
        <w:spacing w:line="260" w:lineRule="exact"/>
        <w:jc w:val="both"/>
        <w:rPr>
          <w:rFonts w:eastAsiaTheme="majorEastAsia" w:cs="Arial"/>
          <w:bCs/>
          <w:caps/>
          <w:szCs w:val="20"/>
          <w:lang w:val="sl-SI"/>
        </w:rPr>
      </w:pPr>
    </w:p>
    <w:p w14:paraId="4448FA0F" w14:textId="08A1998C"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Ocena finančnih posledic predloga zakona je povezana predvsem s prevedbo in uvrstitvijo sedanjih okrajnih državnih tožilcev v plačne razrede, ki jih Priloga 2 </w:t>
      </w:r>
      <w:r w:rsidRPr="008D7697">
        <w:rPr>
          <w:rFonts w:eastAsia="Arial Unicode MS" w:cs="Arial"/>
          <w:bCs/>
          <w:szCs w:val="20"/>
          <w:lang w:val="sl-SI" w:eastAsia="sl-SI"/>
        </w:rPr>
        <w:t>ZSTSPJS</w:t>
      </w:r>
      <w:r w:rsidRPr="008D7697">
        <w:rPr>
          <w:rFonts w:eastAsiaTheme="majorEastAsia" w:cs="Arial"/>
          <w:szCs w:val="20"/>
          <w:lang w:val="sl-SI"/>
        </w:rPr>
        <w:t xml:space="preserve"> določa za funkcije okrožnih državnih tožilcev. Ocena je narejena ob upoštevanju kadrovskih podatkov na dan 1. 1. </w:t>
      </w:r>
      <w:r w:rsidRPr="008D7697">
        <w:rPr>
          <w:rFonts w:eastAsiaTheme="majorEastAsia" w:cs="Arial"/>
          <w:szCs w:val="20"/>
          <w:lang w:val="sl-SI"/>
        </w:rPr>
        <w:lastRenderedPageBreak/>
        <w:t>2025 − na ta dan je bilo 36 okrajnih državnih tožilcev, ki so bili uvrščeni v 49. do vključno 51.</w:t>
      </w:r>
      <w:r w:rsidR="006B4DA1">
        <w:rPr>
          <w:rFonts w:eastAsiaTheme="majorEastAsia" w:cs="Arial"/>
          <w:szCs w:val="20"/>
          <w:lang w:val="sl-SI"/>
        </w:rPr>
        <w:t xml:space="preserve"> </w:t>
      </w:r>
      <w:r w:rsidRPr="008D7697">
        <w:rPr>
          <w:rFonts w:eastAsiaTheme="majorEastAsia" w:cs="Arial"/>
          <w:szCs w:val="20"/>
          <w:lang w:val="sl-SI"/>
        </w:rPr>
        <w:t xml:space="preserve">plačni razred in bi posledično s prevedbo napredovali v plačnem razredu.  </w:t>
      </w:r>
    </w:p>
    <w:p w14:paraId="3EADF16F" w14:textId="77777777" w:rsidR="00331D90" w:rsidRPr="008D7697" w:rsidRDefault="00331D90" w:rsidP="00331D90">
      <w:pPr>
        <w:spacing w:line="288" w:lineRule="auto"/>
        <w:jc w:val="both"/>
        <w:rPr>
          <w:rFonts w:eastAsiaTheme="majorEastAsia" w:cs="Arial"/>
          <w:szCs w:val="20"/>
          <w:lang w:val="sl-SI"/>
        </w:rPr>
      </w:pPr>
    </w:p>
    <w:tbl>
      <w:tblPr>
        <w:tblW w:w="8495" w:type="dxa"/>
        <w:tblCellMar>
          <w:left w:w="0" w:type="dxa"/>
          <w:right w:w="0" w:type="dxa"/>
        </w:tblCellMar>
        <w:tblLook w:val="04A0" w:firstRow="1" w:lastRow="0" w:firstColumn="1" w:lastColumn="0" w:noHBand="0" w:noVBand="1"/>
      </w:tblPr>
      <w:tblGrid>
        <w:gridCol w:w="2282"/>
        <w:gridCol w:w="2282"/>
        <w:gridCol w:w="2283"/>
        <w:gridCol w:w="1648"/>
      </w:tblGrid>
      <w:tr w:rsidR="00331D90" w:rsidRPr="00301A75" w14:paraId="3C12AF23" w14:textId="77777777" w:rsidTr="0014688C">
        <w:trPr>
          <w:trHeight w:val="390"/>
        </w:trPr>
        <w:tc>
          <w:tcPr>
            <w:tcW w:w="22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13FCF3" w14:textId="77777777" w:rsidR="00331D90" w:rsidRPr="008D7697" w:rsidRDefault="00331D90" w:rsidP="006F446D">
            <w:pPr>
              <w:spacing w:before="120" w:after="120" w:line="260" w:lineRule="exact"/>
              <w:jc w:val="center"/>
              <w:rPr>
                <w:rFonts w:cs="Arial"/>
                <w:szCs w:val="20"/>
                <w:lang w:val="sl-SI"/>
              </w:rPr>
            </w:pPr>
          </w:p>
        </w:tc>
        <w:tc>
          <w:tcPr>
            <w:tcW w:w="228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3DBD70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ZSTSPJS</w:t>
            </w:r>
          </w:p>
        </w:tc>
        <w:tc>
          <w:tcPr>
            <w:tcW w:w="228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3D454AC" w14:textId="200EF543"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PREVEDBA po predlogu zakona </w:t>
            </w:r>
            <w:r w:rsidR="00721E03">
              <w:rPr>
                <w:rFonts w:cs="Arial"/>
                <w:szCs w:val="20"/>
                <w:lang w:val="sl-SI"/>
              </w:rPr>
              <w:t xml:space="preserve">s </w:t>
            </w:r>
            <w:r w:rsidRPr="008D7697">
              <w:rPr>
                <w:rFonts w:cs="Arial"/>
                <w:szCs w:val="20"/>
                <w:lang w:val="sl-SI"/>
              </w:rPr>
              <w:t>1. 1. 2027</w:t>
            </w:r>
          </w:p>
          <w:p w14:paraId="63C1285E" w14:textId="77777777" w:rsidR="00331D90" w:rsidRPr="008D7697" w:rsidRDefault="00331D90" w:rsidP="006F446D">
            <w:pPr>
              <w:spacing w:before="120" w:after="120" w:line="260" w:lineRule="exact"/>
              <w:jc w:val="center"/>
              <w:rPr>
                <w:rFonts w:cs="Arial"/>
                <w:szCs w:val="20"/>
                <w:lang w:val="sl-SI"/>
              </w:rPr>
            </w:pPr>
          </w:p>
        </w:tc>
        <w:tc>
          <w:tcPr>
            <w:tcW w:w="16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4368ED8" w14:textId="0935155F"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 xml:space="preserve">Število državnih tožilcev v posameznih </w:t>
            </w:r>
            <w:r w:rsidR="00301A75">
              <w:rPr>
                <w:rFonts w:cs="Arial"/>
                <w:szCs w:val="20"/>
                <w:lang w:val="sl-SI"/>
              </w:rPr>
              <w:t>plačnih razredih</w:t>
            </w:r>
            <w:r w:rsidRPr="008D7697">
              <w:rPr>
                <w:rFonts w:cs="Arial"/>
                <w:szCs w:val="20"/>
                <w:lang w:val="sl-SI"/>
              </w:rPr>
              <w:t xml:space="preserve"> na dan 1. 1. 2025</w:t>
            </w:r>
          </w:p>
        </w:tc>
      </w:tr>
      <w:tr w:rsidR="00331D90" w:rsidRPr="008D7697" w14:paraId="6CCC3F0F"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D5B42C"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6DC96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49</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D3A6CC"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B28CB1"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31</w:t>
            </w:r>
          </w:p>
        </w:tc>
      </w:tr>
      <w:tr w:rsidR="00331D90" w:rsidRPr="008D7697" w14:paraId="1038FDC8"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9C1DB4"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2C7AF3"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50</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75A028"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8DFD3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w:t>
            </w:r>
          </w:p>
        </w:tc>
      </w:tr>
      <w:tr w:rsidR="00331D90" w:rsidRPr="008D7697" w14:paraId="1563AD75" w14:textId="77777777" w:rsidTr="0014688C">
        <w:trPr>
          <w:trHeight w:val="390"/>
        </w:trPr>
        <w:tc>
          <w:tcPr>
            <w:tcW w:w="22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6C955B" w14:textId="77777777" w:rsidR="00331D90" w:rsidRPr="008D7697" w:rsidRDefault="00331D90" w:rsidP="006F446D">
            <w:pPr>
              <w:spacing w:before="120" w:after="120" w:line="260" w:lineRule="exact"/>
              <w:rPr>
                <w:rFonts w:cs="Arial"/>
                <w:szCs w:val="20"/>
                <w:lang w:val="sl-SI"/>
              </w:rPr>
            </w:pPr>
            <w:r w:rsidRPr="008D7697">
              <w:rPr>
                <w:rFonts w:cs="Arial"/>
                <w:szCs w:val="20"/>
                <w:lang w:val="sl-SI"/>
              </w:rPr>
              <w:t>okrajni državni tožilec</w:t>
            </w:r>
          </w:p>
        </w:tc>
        <w:tc>
          <w:tcPr>
            <w:tcW w:w="22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AAAAA2"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51</w:t>
            </w:r>
          </w:p>
        </w:tc>
        <w:tc>
          <w:tcPr>
            <w:tcW w:w="228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60FC50"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52</w:t>
            </w:r>
          </w:p>
        </w:tc>
        <w:tc>
          <w:tcPr>
            <w:tcW w:w="16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BC85BF" w14:textId="77777777" w:rsidR="00331D90" w:rsidRPr="008D7697" w:rsidRDefault="00331D90" w:rsidP="006F446D">
            <w:pPr>
              <w:spacing w:before="120" w:after="120" w:line="260" w:lineRule="exact"/>
              <w:jc w:val="center"/>
              <w:rPr>
                <w:rFonts w:cs="Arial"/>
                <w:szCs w:val="20"/>
                <w:lang w:val="sl-SI"/>
              </w:rPr>
            </w:pPr>
            <w:r w:rsidRPr="008D7697">
              <w:rPr>
                <w:rFonts w:cs="Arial"/>
                <w:szCs w:val="20"/>
                <w:lang w:val="sl-SI"/>
              </w:rPr>
              <w:t>0</w:t>
            </w:r>
          </w:p>
        </w:tc>
      </w:tr>
    </w:tbl>
    <w:p w14:paraId="2C021668" w14:textId="77777777" w:rsidR="00331D90" w:rsidRPr="008D7697" w:rsidRDefault="00331D90" w:rsidP="00331D90">
      <w:pPr>
        <w:spacing w:line="288" w:lineRule="auto"/>
        <w:jc w:val="both"/>
        <w:rPr>
          <w:rFonts w:eastAsiaTheme="majorEastAsia" w:cs="Arial"/>
          <w:szCs w:val="20"/>
          <w:lang w:val="sl-SI"/>
        </w:rPr>
      </w:pPr>
    </w:p>
    <w:p w14:paraId="67226766" w14:textId="75157A42" w:rsidR="00331D90" w:rsidRPr="008D7697" w:rsidRDefault="00331D90" w:rsidP="0014688C">
      <w:pPr>
        <w:spacing w:line="260" w:lineRule="exact"/>
        <w:jc w:val="both"/>
        <w:rPr>
          <w:rFonts w:cs="Arial"/>
          <w:szCs w:val="20"/>
          <w:lang w:val="sl-SI"/>
        </w:rPr>
      </w:pPr>
      <w:r w:rsidRPr="008D7697">
        <w:rPr>
          <w:rFonts w:cs="Arial"/>
          <w:szCs w:val="20"/>
          <w:lang w:val="sl-SI"/>
        </w:rPr>
        <w:t xml:space="preserve">Predlagana prevedba okrajnih državnih tožilcev v okrožne državne tožilce bo imela finančne posledice v višini </w:t>
      </w:r>
      <w:r w:rsidR="00CA520C">
        <w:rPr>
          <w:rFonts w:cs="Arial"/>
          <w:szCs w:val="20"/>
          <w:lang w:val="sl-SI"/>
        </w:rPr>
        <w:t xml:space="preserve">predvidoma </w:t>
      </w:r>
      <w:r w:rsidRPr="008D7697">
        <w:rPr>
          <w:rFonts w:cs="Arial"/>
          <w:szCs w:val="20"/>
          <w:lang w:val="sl-SI"/>
        </w:rPr>
        <w:t xml:space="preserve">223.504,55 </w:t>
      </w:r>
      <w:r w:rsidR="00AA467E">
        <w:rPr>
          <w:rFonts w:cs="Arial"/>
          <w:szCs w:val="20"/>
          <w:lang w:val="sl-SI"/>
        </w:rPr>
        <w:t>evra</w:t>
      </w:r>
      <w:r w:rsidRPr="008D7697">
        <w:rPr>
          <w:rFonts w:cs="Arial"/>
          <w:szCs w:val="20"/>
          <w:lang w:val="sl-SI"/>
        </w:rPr>
        <w:t xml:space="preserve"> (bruto bruto letne finančne posledice).  </w:t>
      </w:r>
    </w:p>
    <w:p w14:paraId="2DE5A92B" w14:textId="77777777" w:rsidR="00331D90" w:rsidRPr="008D7697" w:rsidRDefault="00331D90" w:rsidP="0014688C">
      <w:pPr>
        <w:spacing w:line="260" w:lineRule="exact"/>
        <w:jc w:val="both"/>
        <w:rPr>
          <w:rFonts w:eastAsiaTheme="majorEastAsia" w:cs="Arial"/>
          <w:szCs w:val="20"/>
          <w:lang w:val="sl-SI"/>
        </w:rPr>
      </w:pPr>
    </w:p>
    <w:p w14:paraId="5E97ACC9" w14:textId="39A82220"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 xml:space="preserve">Finančne posledice bodo nastale tudi v povezavi z zagotavljanjem psihološke pomoči in psihološke podpore državnim tožilcem in državnotožilskemu osebju. Predvidoma se bo vsaj na začetku zagotavljala z zunanjim izvajalcem in bo znašala približno 20.000 </w:t>
      </w:r>
      <w:r w:rsidR="00B61AFE">
        <w:rPr>
          <w:rFonts w:eastAsiaTheme="majorEastAsia" w:cs="Arial"/>
          <w:szCs w:val="20"/>
          <w:lang w:val="sl-SI"/>
        </w:rPr>
        <w:t>evrov</w:t>
      </w:r>
      <w:r w:rsidRPr="008D7697">
        <w:rPr>
          <w:rFonts w:eastAsiaTheme="majorEastAsia" w:cs="Arial"/>
          <w:szCs w:val="20"/>
          <w:lang w:val="sl-SI"/>
        </w:rPr>
        <w:t xml:space="preserve"> letno. Navedena ocena je podana sorazmerno z višino zneska, ki je za tovrstno pomoč na področju sodstva predviden v predlogu novega Zakona o sodiščih (v predlogu novega Zakona o sodiščih je v ta namen predvidenih </w:t>
      </w:r>
      <w:r w:rsidRPr="008D7697">
        <w:rPr>
          <w:rFonts w:cs="Arial"/>
          <w:szCs w:val="20"/>
          <w:lang w:val="sl-SI"/>
        </w:rPr>
        <w:t xml:space="preserve">150.472,80 </w:t>
      </w:r>
      <w:r w:rsidR="00B61AFE">
        <w:rPr>
          <w:rFonts w:cs="Arial"/>
          <w:szCs w:val="20"/>
          <w:lang w:val="sl-SI"/>
        </w:rPr>
        <w:t>evra</w:t>
      </w:r>
      <w:r w:rsidRPr="008D7697">
        <w:rPr>
          <w:rFonts w:cs="Arial"/>
          <w:szCs w:val="20"/>
          <w:lang w:val="sl-SI"/>
        </w:rPr>
        <w:t xml:space="preserve"> letno</w:t>
      </w:r>
      <w:r w:rsidRPr="008D7697">
        <w:rPr>
          <w:rFonts w:eastAsiaTheme="majorEastAsia" w:cs="Arial"/>
          <w:szCs w:val="20"/>
          <w:lang w:val="sl-SI"/>
        </w:rPr>
        <w:t>; število sodnikov in sodnega osebja skupaj je približno osemkrat večje od števila državnih tožilcev in državnotožilskega osebja skupaj).</w:t>
      </w:r>
    </w:p>
    <w:p w14:paraId="7BCC96DF" w14:textId="77777777" w:rsidR="00331D90" w:rsidRPr="008D7697" w:rsidRDefault="00331D90" w:rsidP="0014688C">
      <w:pPr>
        <w:spacing w:line="260" w:lineRule="exact"/>
        <w:jc w:val="both"/>
        <w:rPr>
          <w:rFonts w:eastAsiaTheme="majorEastAsia" w:cs="Arial"/>
          <w:szCs w:val="20"/>
          <w:lang w:val="sl-SI"/>
        </w:rPr>
      </w:pPr>
    </w:p>
    <w:p w14:paraId="72C4F2E1" w14:textId="1D0E4C3A" w:rsidR="00331D90" w:rsidRDefault="00331D90" w:rsidP="0014688C">
      <w:pPr>
        <w:spacing w:line="260" w:lineRule="exact"/>
        <w:jc w:val="both"/>
        <w:rPr>
          <w:rFonts w:eastAsiaTheme="majorEastAsia" w:cs="Arial"/>
          <w:bCs/>
          <w:szCs w:val="20"/>
          <w:lang w:val="sl-SI"/>
        </w:rPr>
      </w:pPr>
      <w:r w:rsidRPr="008D7697">
        <w:rPr>
          <w:rFonts w:eastAsiaTheme="majorEastAsia" w:cs="Arial"/>
          <w:bCs/>
          <w:szCs w:val="20"/>
          <w:lang w:val="sl-SI"/>
        </w:rPr>
        <w:t xml:space="preserve">Skupna ocena finančnih posledic predloga zakona znaša </w:t>
      </w:r>
      <w:r w:rsidRPr="008D7697">
        <w:rPr>
          <w:rFonts w:eastAsiaTheme="majorEastAsia" w:cs="Arial"/>
          <w:bCs/>
          <w:szCs w:val="20"/>
          <w:u w:val="single"/>
          <w:lang w:val="sl-SI"/>
        </w:rPr>
        <w:t xml:space="preserve">243.500 </w:t>
      </w:r>
      <w:r w:rsidR="00B61AFE">
        <w:rPr>
          <w:rFonts w:eastAsiaTheme="majorEastAsia" w:cs="Arial"/>
          <w:bCs/>
          <w:szCs w:val="20"/>
          <w:u w:val="single"/>
          <w:lang w:val="sl-SI"/>
        </w:rPr>
        <w:t>evrov</w:t>
      </w:r>
      <w:r w:rsidRPr="008D7697">
        <w:rPr>
          <w:rFonts w:eastAsiaTheme="majorEastAsia" w:cs="Arial"/>
          <w:bCs/>
          <w:szCs w:val="20"/>
          <w:u w:val="single"/>
          <w:lang w:val="sl-SI"/>
        </w:rPr>
        <w:t xml:space="preserve"> letno</w:t>
      </w:r>
      <w:r w:rsidRPr="008D7697">
        <w:rPr>
          <w:rFonts w:eastAsiaTheme="majorEastAsia" w:cs="Arial"/>
          <w:bCs/>
          <w:szCs w:val="20"/>
          <w:lang w:val="sl-SI"/>
        </w:rPr>
        <w:t>.</w:t>
      </w:r>
    </w:p>
    <w:p w14:paraId="747041FC" w14:textId="77777777" w:rsidR="00D255E3" w:rsidRDefault="00D255E3" w:rsidP="0014688C">
      <w:pPr>
        <w:spacing w:line="260" w:lineRule="exact"/>
        <w:jc w:val="both"/>
        <w:rPr>
          <w:rFonts w:eastAsiaTheme="majorEastAsia" w:cs="Arial"/>
          <w:bCs/>
          <w:szCs w:val="20"/>
          <w:lang w:val="sl-SI"/>
        </w:rPr>
      </w:pPr>
    </w:p>
    <w:p w14:paraId="51926D26" w14:textId="5B6592E7" w:rsidR="00D255E3" w:rsidRPr="00D255E3" w:rsidRDefault="00D255E3" w:rsidP="00D255E3">
      <w:pPr>
        <w:spacing w:line="288" w:lineRule="auto"/>
        <w:jc w:val="both"/>
        <w:rPr>
          <w:rFonts w:cs="Arial"/>
          <w:bCs/>
          <w:szCs w:val="20"/>
          <w:lang w:val="sl-SI"/>
        </w:rPr>
      </w:pPr>
      <w:r w:rsidRPr="00EC1673">
        <w:rPr>
          <w:rFonts w:cs="Arial"/>
          <w:szCs w:val="20"/>
          <w:lang w:val="sl-SI"/>
        </w:rPr>
        <w:t xml:space="preserve">Predlog zakona nima </w:t>
      </w:r>
      <w:r w:rsidR="000A23DD">
        <w:rPr>
          <w:rFonts w:cs="Arial"/>
          <w:szCs w:val="20"/>
          <w:lang w:val="sl-SI"/>
        </w:rPr>
        <w:t>finančnih posledic z</w:t>
      </w:r>
      <w:r w:rsidRPr="00EC1673">
        <w:rPr>
          <w:rFonts w:cs="Arial"/>
          <w:szCs w:val="20"/>
          <w:lang w:val="sl-SI"/>
        </w:rPr>
        <w:t xml:space="preserve">a druga </w:t>
      </w:r>
      <w:r w:rsidRPr="00EC1673">
        <w:rPr>
          <w:rFonts w:cs="Arial"/>
          <w:bCs/>
          <w:szCs w:val="20"/>
          <w:lang w:val="sl-SI"/>
        </w:rPr>
        <w:t>javnofinančna sredstva.</w:t>
      </w:r>
    </w:p>
    <w:p w14:paraId="08A683F9" w14:textId="77777777" w:rsidR="00331D90" w:rsidRPr="008D7697" w:rsidRDefault="00331D90" w:rsidP="0014688C">
      <w:pPr>
        <w:spacing w:line="260" w:lineRule="exact"/>
        <w:jc w:val="both"/>
        <w:rPr>
          <w:rFonts w:eastAsiaTheme="majorEastAsia" w:cs="Arial"/>
          <w:bCs/>
          <w:caps/>
          <w:szCs w:val="20"/>
          <w:lang w:val="sl-SI"/>
        </w:rPr>
      </w:pPr>
    </w:p>
    <w:p w14:paraId="7721A006" w14:textId="77777777" w:rsidR="00331D90" w:rsidRPr="008D7697" w:rsidRDefault="00331D90" w:rsidP="0014688C">
      <w:pPr>
        <w:spacing w:line="260" w:lineRule="exact"/>
        <w:jc w:val="both"/>
        <w:rPr>
          <w:rFonts w:eastAsiaTheme="majorEastAsia" w:cs="Arial"/>
          <w:b/>
          <w:bCs/>
          <w:caps/>
          <w:szCs w:val="20"/>
          <w:lang w:val="sl-SI"/>
        </w:rPr>
      </w:pPr>
    </w:p>
    <w:p w14:paraId="60050BB3" w14:textId="77777777" w:rsidR="00331D90" w:rsidRPr="008D7697" w:rsidRDefault="00331D90" w:rsidP="0014688C">
      <w:pPr>
        <w:spacing w:line="260" w:lineRule="exact"/>
        <w:jc w:val="both"/>
        <w:rPr>
          <w:rFonts w:eastAsiaTheme="majorEastAsia" w:cs="Arial"/>
          <w:b/>
          <w:bCs/>
          <w:caps/>
          <w:szCs w:val="20"/>
          <w:lang w:val="sl-SI"/>
        </w:rPr>
      </w:pPr>
      <w:r w:rsidRPr="008D7697">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3C9EC63E" w14:textId="77777777" w:rsidR="00331D90" w:rsidRPr="008D7697" w:rsidRDefault="00331D90" w:rsidP="0014688C">
      <w:pPr>
        <w:spacing w:line="260" w:lineRule="exact"/>
        <w:jc w:val="both"/>
        <w:rPr>
          <w:rFonts w:eastAsiaTheme="majorEastAsia" w:cs="Arial"/>
          <w:b/>
          <w:bCs/>
          <w:caps/>
          <w:szCs w:val="20"/>
          <w:lang w:val="sl-SI"/>
        </w:rPr>
      </w:pPr>
    </w:p>
    <w:p w14:paraId="322807CC" w14:textId="77B16278" w:rsidR="00331D90" w:rsidRPr="008D7697" w:rsidRDefault="00331D90" w:rsidP="0014688C">
      <w:pPr>
        <w:spacing w:line="260" w:lineRule="exact"/>
        <w:jc w:val="both"/>
        <w:rPr>
          <w:rFonts w:eastAsiaTheme="majorEastAsia" w:cs="Arial"/>
          <w:szCs w:val="20"/>
          <w:lang w:val="sl-SI"/>
        </w:rPr>
      </w:pPr>
      <w:r w:rsidRPr="008D7697">
        <w:rPr>
          <w:rFonts w:eastAsiaTheme="majorEastAsia" w:cs="Arial"/>
          <w:szCs w:val="20"/>
          <w:lang w:val="sl-SI"/>
        </w:rPr>
        <w:t>Predlog zakona se začne uporabljati 1. 1. 2027, zato finančnih posledic v sprejetem proračunu oziroma rebalansu sprejetega proračuna še ni mogoče predvideti. Finančne posledice bodo nastopile v letu 2027. Navedeno bo treba upoštevati na proračunski postavki za plače Vrhovnega državnega tožilstva Republike Slovenije.</w:t>
      </w:r>
    </w:p>
    <w:p w14:paraId="44BFFDB1"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14744E50" w14:textId="77777777" w:rsidR="00331D90" w:rsidRPr="008D7697" w:rsidRDefault="00331D90" w:rsidP="0014688C">
      <w:pPr>
        <w:shd w:val="clear" w:color="auto" w:fill="FFFFFF" w:themeFill="background1"/>
        <w:spacing w:line="260" w:lineRule="exact"/>
        <w:jc w:val="both"/>
        <w:rPr>
          <w:rFonts w:cs="Arial"/>
          <w:szCs w:val="20"/>
          <w:lang w:val="sl-SI" w:eastAsia="sl-SI"/>
        </w:rPr>
      </w:pPr>
    </w:p>
    <w:p w14:paraId="4CED12D3" w14:textId="77777777" w:rsidR="00331D90" w:rsidRPr="008D7697" w:rsidRDefault="00331D90" w:rsidP="0014688C">
      <w:pPr>
        <w:spacing w:line="260" w:lineRule="exact"/>
        <w:jc w:val="both"/>
        <w:rPr>
          <w:rFonts w:cs="Arial"/>
          <w:b/>
          <w:bCs/>
          <w:szCs w:val="20"/>
          <w:lang w:val="sl-SI"/>
        </w:rPr>
      </w:pPr>
      <w:r w:rsidRPr="008D7697">
        <w:rPr>
          <w:rFonts w:cs="Arial"/>
          <w:b/>
          <w:bCs/>
          <w:szCs w:val="20"/>
          <w:lang w:val="sl-SI"/>
        </w:rPr>
        <w:t>5.</w:t>
      </w:r>
      <w:r w:rsidRPr="008D7697">
        <w:rPr>
          <w:rFonts w:cs="Arial"/>
          <w:szCs w:val="20"/>
          <w:lang w:val="sl-SI"/>
        </w:rPr>
        <w:t xml:space="preserve"> </w:t>
      </w:r>
      <w:r w:rsidRPr="008D7697">
        <w:rPr>
          <w:rFonts w:cs="Arial"/>
          <w:b/>
          <w:bCs/>
          <w:szCs w:val="20"/>
          <w:lang w:val="sl-SI"/>
        </w:rPr>
        <w:t>PRIKAZ UREDITVE V DRUGIH PRAVNIH SISTEMIH IN PRILAGOJENOSTI PREDLAGANE UREDITVE PRAVU EVROPSKE UNIJE</w:t>
      </w:r>
    </w:p>
    <w:p w14:paraId="3DF81898" w14:textId="77777777" w:rsidR="00331D90" w:rsidRPr="008D7697" w:rsidRDefault="00331D90" w:rsidP="0014688C">
      <w:pPr>
        <w:spacing w:line="260" w:lineRule="exact"/>
        <w:jc w:val="both"/>
        <w:rPr>
          <w:rFonts w:cs="Arial"/>
          <w:b/>
          <w:bCs/>
          <w:szCs w:val="20"/>
          <w:lang w:val="sl-SI"/>
        </w:rPr>
      </w:pPr>
    </w:p>
    <w:p w14:paraId="71D4674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5.1 Evropska unija – jezikovni pogoj za zaposlitev uradnikov in drugih zaposlenih v institucijah Evropske unije</w:t>
      </w:r>
    </w:p>
    <w:p w14:paraId="7C8B8D8C"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10C223E1" w14:textId="654088BC" w:rsidR="00331D90" w:rsidRPr="008D7697" w:rsidRDefault="00331D90" w:rsidP="00623188">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20"/>
      </w:r>
      <w:r w:rsidRPr="008D7697">
        <w:rPr>
          <w:rFonts w:ascii="Arial" w:eastAsia="Arial" w:hAnsi="Arial" w:cs="Arial"/>
          <w:sz w:val="20"/>
          <w:szCs w:val="20"/>
          <w:lang w:val="sl-SI"/>
        </w:rPr>
        <w:t xml:space="preserve"> v točki f) </w:t>
      </w:r>
      <w:r w:rsidR="00042DD6">
        <w:rPr>
          <w:rFonts w:ascii="Arial" w:eastAsia="Arial" w:hAnsi="Arial" w:cs="Arial"/>
          <w:sz w:val="20"/>
          <w:szCs w:val="20"/>
          <w:lang w:val="sl-SI"/>
        </w:rPr>
        <w:t xml:space="preserve">28.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E004F2">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E004F2">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E004F2">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E004F2">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E260EC">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21"/>
      </w:r>
      <w:r w:rsidRPr="008D7697">
        <w:rPr>
          <w:rFonts w:ascii="Arial" w:eastAsia="Arial" w:hAnsi="Arial" w:cs="Arial"/>
          <w:sz w:val="20"/>
          <w:szCs w:val="20"/>
          <w:lang w:val="sl-SI"/>
        </w:rPr>
        <w:t xml:space="preserve"> </w:t>
      </w:r>
    </w:p>
    <w:p w14:paraId="02E7377F" w14:textId="77777777" w:rsidR="00331D90" w:rsidRPr="008D7697" w:rsidRDefault="00331D90" w:rsidP="00623188">
      <w:pPr>
        <w:pStyle w:val="alineazaodstavkom2"/>
        <w:spacing w:line="260" w:lineRule="exact"/>
        <w:ind w:firstLine="0"/>
        <w:rPr>
          <w:rFonts w:ascii="Arial" w:eastAsia="Arial" w:hAnsi="Arial" w:cs="Arial"/>
          <w:sz w:val="20"/>
          <w:szCs w:val="20"/>
          <w:lang w:val="sl-SI"/>
        </w:rPr>
      </w:pPr>
    </w:p>
    <w:p w14:paraId="7B48C4EC" w14:textId="77777777" w:rsidR="00331D90" w:rsidRPr="008D7697" w:rsidRDefault="00331D90" w:rsidP="00623188">
      <w:pPr>
        <w:spacing w:line="260" w:lineRule="exact"/>
        <w:jc w:val="both"/>
        <w:rPr>
          <w:rFonts w:eastAsia="Arial" w:cs="Arial"/>
          <w:szCs w:val="20"/>
          <w:lang w:val="sl-SI"/>
        </w:rPr>
      </w:pPr>
      <w:r w:rsidRPr="008D7697">
        <w:rPr>
          <w:rFonts w:eastAsia="Arial" w:cs="Arial"/>
          <w:szCs w:val="20"/>
          <w:lang w:val="sl-SI"/>
        </w:rPr>
        <w:t>Sklep kolegija Evropskega javnega tožilstva 001/2020 z dne 29. septembra 2020 o določitvi pravil o pogojih za zaposlitev evropskih delegiranih tožilcev</w:t>
      </w:r>
      <w:r w:rsidRPr="008D7697">
        <w:rPr>
          <w:rStyle w:val="Sprotnaopomba-sklic"/>
          <w:rFonts w:eastAsia="Arial" w:cs="Arial"/>
          <w:szCs w:val="20"/>
          <w:lang w:val="sl-SI"/>
        </w:rPr>
        <w:footnoteReference w:id="22"/>
      </w:r>
      <w:r w:rsidRPr="008D7697">
        <w:rPr>
          <w:rFonts w:eastAsia="Arial" w:cs="Arial"/>
          <w:szCs w:val="20"/>
          <w:lang w:val="sl-SI"/>
        </w:rPr>
        <w:t xml:space="preserve"> v 3. členu določa, da se evropski delegirani tožilci zaposlijo pod pogojem, da imajo zadovoljivo znanje delovnega jezika za operativne in upravne dejavnosti EJT, določenega v skladu s členom 107(2) uredbe o EJT. Ob upoštevanju pojasnil Evropskega urada za izbor osebja (EPSO) tudi ta akt zahteva raven znanja tujega jezika najmanj na stopnji B2 Skupnega evropskega jezikovnega okvira.</w:t>
      </w:r>
    </w:p>
    <w:p w14:paraId="31B77E02" w14:textId="77777777" w:rsidR="00331D90" w:rsidRPr="008D7697" w:rsidRDefault="00331D90" w:rsidP="00623188">
      <w:pPr>
        <w:spacing w:line="260" w:lineRule="exact"/>
        <w:jc w:val="both"/>
        <w:rPr>
          <w:rFonts w:eastAsia="Arial" w:cs="Arial"/>
          <w:szCs w:val="20"/>
          <w:lang w:val="sl-SI"/>
        </w:rPr>
      </w:pPr>
    </w:p>
    <w:p w14:paraId="6769EF43" w14:textId="77777777" w:rsidR="00331D90" w:rsidRPr="008D7697" w:rsidRDefault="00331D90" w:rsidP="00623188">
      <w:pPr>
        <w:spacing w:line="260" w:lineRule="exact"/>
        <w:jc w:val="both"/>
        <w:rPr>
          <w:rFonts w:cs="Arial"/>
          <w:color w:val="000000"/>
          <w:szCs w:val="20"/>
          <w:lang w:val="sl-SI" w:eastAsia="sl-SI"/>
        </w:rPr>
      </w:pPr>
      <w:r w:rsidRPr="008D7697">
        <w:rPr>
          <w:rFonts w:cs="Arial"/>
          <w:color w:val="000000"/>
          <w:szCs w:val="20"/>
          <w:lang w:val="sl-SI" w:eastAsia="sl-SI"/>
        </w:rPr>
        <w:t xml:space="preserve">ZDT-1 se s predlogom zakona formalno ne usklajuje s pravom Evropske unije. Kljub temu je v predlogu zakona upoštevana zgoraj navedena ureditev Evropske unije glede jezikovnega pogoja za zaposlitev uradnikov in drugih zaposlenih v institucijah Evropske unije in se v skladu s tem predlaga znižanje zahtevane ravni znanja </w:t>
      </w:r>
      <w:r w:rsidRPr="008D7697">
        <w:rPr>
          <w:rFonts w:eastAsia="Arial" w:cs="Arial"/>
          <w:szCs w:val="20"/>
          <w:lang w:val="sl-SI"/>
        </w:rPr>
        <w:t>delovnega jezika EJT s sedanje stopnje C1 na stopnjo B2.</w:t>
      </w:r>
    </w:p>
    <w:p w14:paraId="660CC3B1" w14:textId="77777777" w:rsidR="00331D90" w:rsidRPr="008D7697" w:rsidRDefault="00331D90" w:rsidP="00623188">
      <w:pPr>
        <w:spacing w:line="260" w:lineRule="exact"/>
        <w:jc w:val="both"/>
        <w:rPr>
          <w:rFonts w:eastAsia="Arial" w:cs="Arial"/>
          <w:szCs w:val="20"/>
          <w:lang w:val="sl-SI"/>
        </w:rPr>
      </w:pPr>
    </w:p>
    <w:p w14:paraId="12BC3BCA" w14:textId="2F797DA6"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5.2 Prikaz ureditve v drugih državah članicah Evropske </w:t>
      </w:r>
      <w:r w:rsidR="00E260EC">
        <w:rPr>
          <w:rFonts w:ascii="Arial" w:eastAsia="Arial" w:hAnsi="Arial" w:cs="Arial"/>
          <w:b/>
          <w:bCs/>
          <w:sz w:val="20"/>
          <w:szCs w:val="20"/>
          <w:lang w:val="sl-SI"/>
        </w:rPr>
        <w:t>u</w:t>
      </w:r>
      <w:r w:rsidRPr="008D7697">
        <w:rPr>
          <w:rFonts w:ascii="Arial" w:eastAsia="Arial" w:hAnsi="Arial" w:cs="Arial"/>
          <w:b/>
          <w:bCs/>
          <w:sz w:val="20"/>
          <w:szCs w:val="20"/>
          <w:lang w:val="sl-SI"/>
        </w:rPr>
        <w:t>nije</w:t>
      </w:r>
    </w:p>
    <w:p w14:paraId="5A4E69B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0D3B115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5.2.1 AVSTRIJA</w:t>
      </w:r>
    </w:p>
    <w:p w14:paraId="2E15DBE0" w14:textId="77777777" w:rsidR="00331D90" w:rsidRPr="008D7697" w:rsidRDefault="00331D90" w:rsidP="00623188">
      <w:pPr>
        <w:spacing w:line="260" w:lineRule="exact"/>
        <w:jc w:val="both"/>
        <w:rPr>
          <w:rFonts w:cs="Arial"/>
          <w:szCs w:val="20"/>
          <w:lang w:val="sl-SI"/>
        </w:rPr>
      </w:pPr>
    </w:p>
    <w:p w14:paraId="17A0F7F8"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so posebni pravosodni organi, ločeni od sodišč. So hierarhično organizirani in jih zavezujejo navodila višjih državnih tožilstev in nazadnje zveznega ministra za pravosodje. Eden od razlogov za takšno ureditev je v tem, da v nasprotju s sodnimi odločbami njihovih odločitev ni mogoče izpodbijati s pritožbo.</w:t>
      </w:r>
    </w:p>
    <w:p w14:paraId="1555A589" w14:textId="77777777" w:rsidR="00331D90" w:rsidRPr="008D7697" w:rsidRDefault="00331D90" w:rsidP="00623188">
      <w:pPr>
        <w:spacing w:line="260" w:lineRule="exact"/>
        <w:jc w:val="both"/>
        <w:rPr>
          <w:rFonts w:cs="Arial"/>
          <w:szCs w:val="20"/>
          <w:lang w:val="sl-SI"/>
        </w:rPr>
      </w:pPr>
    </w:p>
    <w:p w14:paraId="11BC3457" w14:textId="497C72D4" w:rsidR="00331D90" w:rsidRPr="008D7697" w:rsidRDefault="00331D90" w:rsidP="00623188">
      <w:pPr>
        <w:spacing w:line="260" w:lineRule="exact"/>
        <w:jc w:val="both"/>
        <w:rPr>
          <w:rFonts w:cs="Arial"/>
          <w:szCs w:val="20"/>
          <w:lang w:val="sl-SI"/>
        </w:rPr>
      </w:pPr>
      <w:r w:rsidRPr="008D7697">
        <w:rPr>
          <w:rFonts w:cs="Arial"/>
          <w:szCs w:val="20"/>
          <w:lang w:val="sl-SI"/>
        </w:rPr>
        <w:t>Področje državnih tožilstev ureja Zakon o državnem tožilstvu (</w:t>
      </w:r>
      <w:r w:rsidRPr="008D7697">
        <w:rPr>
          <w:rFonts w:cs="Arial"/>
          <w:i/>
          <w:iCs/>
          <w:szCs w:val="20"/>
          <w:lang w:val="sl-SI"/>
        </w:rPr>
        <w:t>Staatsanwaltschaftsgesetz – StAG</w:t>
      </w:r>
      <w:r w:rsidRPr="008D7697">
        <w:rPr>
          <w:rFonts w:cs="Arial"/>
          <w:szCs w:val="20"/>
          <w:lang w:val="sl-SI"/>
        </w:rPr>
        <w:t>).</w:t>
      </w:r>
      <w:r w:rsidRPr="008D7697">
        <w:rPr>
          <w:rStyle w:val="Sprotnaopomba-sklic"/>
          <w:rFonts w:cs="Arial"/>
          <w:szCs w:val="20"/>
          <w:lang w:val="sl-SI"/>
        </w:rPr>
        <w:footnoteReference w:id="23"/>
      </w:r>
      <w:r w:rsidRPr="008D7697">
        <w:rPr>
          <w:rFonts w:cs="Arial"/>
          <w:szCs w:val="20"/>
          <w:lang w:val="sl-SI"/>
        </w:rPr>
        <w:t xml:space="preserve"> Organizacijske ravni državnih tožilstev v bistvenem ustrezajo ravnem organizacije sodišč.</w:t>
      </w:r>
      <w:r w:rsidRPr="008D7697">
        <w:rPr>
          <w:rStyle w:val="Sprotnaopomba-sklic"/>
          <w:rFonts w:cs="Arial"/>
          <w:szCs w:val="20"/>
          <w:lang w:val="sl-SI"/>
        </w:rPr>
        <w:footnoteReference w:id="24"/>
      </w:r>
      <w:r w:rsidRPr="008D7697">
        <w:rPr>
          <w:rFonts w:cs="Arial"/>
          <w:szCs w:val="20"/>
          <w:lang w:val="sl-SI"/>
        </w:rPr>
        <w:t xml:space="preserve"> Tako na sedežu vsakega deželnega sodišča, pristojnega za kazenske zadeve, </w:t>
      </w:r>
      <w:r w:rsidR="006B76B7">
        <w:rPr>
          <w:rFonts w:cs="Arial"/>
          <w:szCs w:val="20"/>
          <w:lang w:val="sl-SI"/>
        </w:rPr>
        <w:t xml:space="preserve">deluje </w:t>
      </w:r>
      <w:r w:rsidRPr="008D7697">
        <w:rPr>
          <w:rFonts w:cs="Arial"/>
          <w:szCs w:val="20"/>
          <w:lang w:val="sl-SI"/>
        </w:rPr>
        <w:t>državno tožilstvo (</w:t>
      </w:r>
      <w:r w:rsidRPr="008D7697">
        <w:rPr>
          <w:rFonts w:cs="Arial"/>
          <w:i/>
          <w:iCs/>
          <w:szCs w:val="20"/>
          <w:lang w:val="sl-SI"/>
        </w:rPr>
        <w:t>Staatsanwaltschaft</w:t>
      </w:r>
      <w:r w:rsidRPr="008D7697">
        <w:rPr>
          <w:rFonts w:cs="Arial"/>
          <w:szCs w:val="20"/>
          <w:lang w:val="sl-SI"/>
        </w:rPr>
        <w:t xml:space="preserve">), na sedežu vsakega višjega deželnega sodišča </w:t>
      </w:r>
      <w:r w:rsidR="00B668BE">
        <w:rPr>
          <w:rFonts w:cs="Arial"/>
          <w:szCs w:val="20"/>
          <w:lang w:val="sl-SI"/>
        </w:rPr>
        <w:t xml:space="preserve">deluje </w:t>
      </w:r>
      <w:r w:rsidRPr="008D7697">
        <w:rPr>
          <w:rFonts w:cs="Arial"/>
          <w:szCs w:val="20"/>
          <w:lang w:val="sl-SI"/>
        </w:rPr>
        <w:t>višje državno tožilstvo (</w:t>
      </w:r>
      <w:r w:rsidRPr="008D7697">
        <w:rPr>
          <w:rFonts w:cs="Arial"/>
          <w:i/>
          <w:iCs/>
          <w:szCs w:val="20"/>
          <w:lang w:val="sl-SI"/>
        </w:rPr>
        <w:t>Oberstaatsanwaltschaft</w:t>
      </w:r>
      <w:r w:rsidRPr="008D7697">
        <w:rPr>
          <w:rFonts w:cs="Arial"/>
          <w:szCs w:val="20"/>
          <w:lang w:val="sl-SI"/>
        </w:rPr>
        <w:t>), pri vrhovnem sodišču pa je generalno državno tožilstvo (</w:t>
      </w:r>
      <w:r w:rsidRPr="008D7697">
        <w:rPr>
          <w:rFonts w:cs="Arial"/>
          <w:i/>
          <w:iCs/>
          <w:szCs w:val="20"/>
          <w:lang w:val="sl-SI"/>
        </w:rPr>
        <w:t>Generalprokuratur</w:t>
      </w:r>
      <w:r w:rsidRPr="008D7697">
        <w:rPr>
          <w:rFonts w:cs="Arial"/>
          <w:szCs w:val="20"/>
          <w:lang w:val="sl-SI"/>
        </w:rPr>
        <w:t xml:space="preserve">) (2. člen StAG). Državna tožilstva na sedežih deželnih sodišč so pristojna tudi za zastopanje obtožnic pred okrožnimi sodišči s področja zadevnega deželnega sodišča (4. člen StAG). V skladu s tem je v Avstriji 16 državnih tožilstev, štiri višja državna tožilstva in generalno državno tožilstvo, poleg tega je vzpostavljeno tudi državno tožilstvo za boj proti </w:t>
      </w:r>
      <w:r w:rsidRPr="008D7697">
        <w:rPr>
          <w:rFonts w:cs="Arial"/>
          <w:szCs w:val="20"/>
          <w:lang w:val="sl-SI"/>
        </w:rPr>
        <w:lastRenderedPageBreak/>
        <w:t>gospodarskemu kriminalu in korupciji (</w:t>
      </w:r>
      <w:r w:rsidRPr="008D7697">
        <w:rPr>
          <w:rFonts w:cs="Arial"/>
          <w:i/>
          <w:iCs/>
          <w:szCs w:val="20"/>
          <w:lang w:val="sl-SI"/>
        </w:rPr>
        <w:t>Wirtschafts- und Korruptionsstaatsanwaltschaft</w:t>
      </w:r>
      <w:r w:rsidRPr="008D7697">
        <w:rPr>
          <w:rFonts w:cs="Arial"/>
          <w:szCs w:val="20"/>
          <w:lang w:val="sl-SI"/>
        </w:rPr>
        <w:t>), pristojno za celotno Avstrijo.</w:t>
      </w:r>
    </w:p>
    <w:p w14:paraId="7C30B097" w14:textId="77777777" w:rsidR="00331D90" w:rsidRPr="008D7697" w:rsidRDefault="00331D90" w:rsidP="00623188">
      <w:pPr>
        <w:spacing w:line="260" w:lineRule="exact"/>
        <w:jc w:val="both"/>
        <w:rPr>
          <w:rFonts w:cs="Arial"/>
          <w:szCs w:val="20"/>
          <w:lang w:val="sl-SI"/>
        </w:rPr>
      </w:pPr>
    </w:p>
    <w:p w14:paraId="72F37987" w14:textId="77777777" w:rsidR="00331D90" w:rsidRPr="008D7697" w:rsidRDefault="00331D90" w:rsidP="00623188">
      <w:pPr>
        <w:spacing w:line="260" w:lineRule="exact"/>
        <w:jc w:val="both"/>
        <w:rPr>
          <w:rFonts w:cs="Arial"/>
          <w:szCs w:val="20"/>
          <w:lang w:val="sl-SI"/>
        </w:rPr>
      </w:pPr>
      <w:r w:rsidRPr="008D7697">
        <w:rPr>
          <w:rFonts w:cs="Arial"/>
          <w:szCs w:val="20"/>
          <w:lang w:val="sl-SI"/>
        </w:rPr>
        <w:t>Izobraževanje državnih tožilcev poteka enako kot izobraževanje poklicnih sodnikov rednih sodišč. Za državnega tožilca so lahko imenovane samo osebe, ki izpolnjujejo tudi pogoje za imenovanje na položaj sodnika − po zaključku študija prava vsaj štiri leta pravnih izkušenj in uspešno opravljen sodniški izpit.</w:t>
      </w:r>
    </w:p>
    <w:p w14:paraId="018A26CF"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2BFF82EE" w14:textId="77777777" w:rsidR="00331D90" w:rsidRPr="008D7697" w:rsidRDefault="00331D90" w:rsidP="00623188">
      <w:pPr>
        <w:spacing w:line="260" w:lineRule="exact"/>
        <w:jc w:val="both"/>
        <w:rPr>
          <w:rFonts w:cs="Arial"/>
          <w:szCs w:val="20"/>
          <w:lang w:val="sl-SI"/>
        </w:rPr>
      </w:pPr>
      <w:r w:rsidRPr="008D7697">
        <w:rPr>
          <w:rFonts w:cs="Arial"/>
          <w:szCs w:val="20"/>
          <w:lang w:val="sl-SI"/>
        </w:rPr>
        <w:t>Pred okrožnimi sodišči lahko zastopajo obtožnice tudi uradniki s posebnim strokovnim znanjem (</w:t>
      </w:r>
      <w:r w:rsidRPr="008D7697">
        <w:rPr>
          <w:rFonts w:cs="Arial"/>
          <w:i/>
          <w:iCs/>
          <w:szCs w:val="20"/>
          <w:lang w:val="sl-SI"/>
        </w:rPr>
        <w:t>Bezirksanwalt</w:t>
      </w:r>
      <w:r w:rsidRPr="008D7697">
        <w:rPr>
          <w:rFonts w:cs="Arial"/>
          <w:szCs w:val="20"/>
          <w:lang w:val="sl-SI"/>
        </w:rPr>
        <w:t>). Ti uradniki ne potrebujejo univerzitetne diplome. Njihovo delo poteka pod nadzorom in vodstvom državnih tožilcev (4. člen StAG).</w:t>
      </w:r>
    </w:p>
    <w:p w14:paraId="044EB2FE" w14:textId="77777777" w:rsidR="00331D90" w:rsidRPr="008D7697" w:rsidRDefault="00331D90" w:rsidP="00623188">
      <w:pPr>
        <w:spacing w:line="260" w:lineRule="exact"/>
        <w:jc w:val="both"/>
        <w:rPr>
          <w:rFonts w:cs="Arial"/>
          <w:szCs w:val="20"/>
          <w:lang w:val="sl-SI"/>
        </w:rPr>
      </w:pPr>
    </w:p>
    <w:p w14:paraId="5A3560AC" w14:textId="77777777" w:rsidR="00331D90" w:rsidRPr="008D7697" w:rsidRDefault="00331D90" w:rsidP="00623188">
      <w:pPr>
        <w:spacing w:line="260" w:lineRule="exact"/>
        <w:jc w:val="both"/>
        <w:rPr>
          <w:rFonts w:cs="Arial"/>
          <w:szCs w:val="20"/>
          <w:lang w:val="sl-SI"/>
        </w:rPr>
      </w:pPr>
      <w:r w:rsidRPr="008D7697">
        <w:rPr>
          <w:rFonts w:cs="Arial"/>
          <w:szCs w:val="20"/>
          <w:lang w:val="sl-SI"/>
        </w:rPr>
        <w:t>Disciplinska, kazenskopravna in civilnopravna odgovornost državnih tožilcev je urejena enako kot pri sodnikih rednih sodišč.</w:t>
      </w:r>
    </w:p>
    <w:p w14:paraId="4CCA96FD"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p>
    <w:p w14:paraId="130F4AAB" w14:textId="77777777" w:rsidR="00331D90" w:rsidRPr="008D7697" w:rsidRDefault="00331D90" w:rsidP="00623188">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5.2.2 NEMČIJA</w:t>
      </w:r>
    </w:p>
    <w:p w14:paraId="4CB04508" w14:textId="77777777" w:rsidR="00331D90" w:rsidRPr="008D7697" w:rsidRDefault="00331D90" w:rsidP="00623188">
      <w:pPr>
        <w:spacing w:line="260" w:lineRule="exact"/>
        <w:jc w:val="both"/>
        <w:rPr>
          <w:rFonts w:cs="Arial"/>
          <w:b/>
          <w:bCs/>
          <w:szCs w:val="20"/>
          <w:lang w:val="sl-SI"/>
        </w:rPr>
      </w:pPr>
    </w:p>
    <w:p w14:paraId="2155259D" w14:textId="0295470A" w:rsidR="00331D90" w:rsidRPr="008D7697" w:rsidRDefault="00331D90" w:rsidP="00623188">
      <w:pPr>
        <w:spacing w:line="260" w:lineRule="exact"/>
        <w:jc w:val="both"/>
        <w:rPr>
          <w:rFonts w:cs="Arial"/>
          <w:szCs w:val="20"/>
          <w:lang w:val="sl-SI"/>
        </w:rPr>
      </w:pPr>
      <w:r w:rsidRPr="008D7697">
        <w:rPr>
          <w:rFonts w:cs="Arial"/>
          <w:szCs w:val="20"/>
          <w:lang w:val="sl-SI"/>
        </w:rPr>
        <w:t xml:space="preserve">Državna tožilstva so organi, ki ne </w:t>
      </w:r>
      <w:r w:rsidR="009F65F8">
        <w:rPr>
          <w:rFonts w:cs="Arial"/>
          <w:szCs w:val="20"/>
          <w:lang w:val="sl-SI"/>
        </w:rPr>
        <w:t xml:space="preserve">spadajo </w:t>
      </w:r>
      <w:r w:rsidRPr="008D7697">
        <w:rPr>
          <w:rFonts w:cs="Arial"/>
          <w:szCs w:val="20"/>
          <w:lang w:val="sl-SI"/>
        </w:rPr>
        <w:t>niti med sodne niti med upravne organe. Kot del pravosodja so samostojen organ pregona, hkrati pa so podrejena pristojnemu pravosodnemu ministrstvu, ki jim lahko daje navodila in opravlja nadzor nad njimi.</w:t>
      </w:r>
    </w:p>
    <w:p w14:paraId="5A90CC7A" w14:textId="77777777" w:rsidR="00331D90" w:rsidRPr="008D7697" w:rsidRDefault="00331D90" w:rsidP="00623188">
      <w:pPr>
        <w:spacing w:line="260" w:lineRule="exact"/>
        <w:jc w:val="both"/>
        <w:rPr>
          <w:rFonts w:cs="Arial"/>
          <w:szCs w:val="20"/>
          <w:lang w:val="sl-SI"/>
        </w:rPr>
      </w:pPr>
    </w:p>
    <w:p w14:paraId="0001595D" w14:textId="77777777" w:rsidR="00331D90" w:rsidRPr="008D7697" w:rsidRDefault="00331D90" w:rsidP="00623188">
      <w:pPr>
        <w:spacing w:line="260" w:lineRule="exact"/>
        <w:jc w:val="both"/>
        <w:rPr>
          <w:rFonts w:cs="Arial"/>
          <w:szCs w:val="20"/>
          <w:lang w:val="sl-SI"/>
        </w:rPr>
      </w:pPr>
      <w:r w:rsidRPr="008D7697">
        <w:rPr>
          <w:rFonts w:cs="Arial"/>
          <w:szCs w:val="20"/>
          <w:lang w:val="sl-SI"/>
        </w:rPr>
        <w:t>V Nemčiji ni posebnega zakona o tožilstvu, temveč je organizacija državnih tožilstev urejena v okviru Zakona o sodiščih (</w:t>
      </w:r>
      <w:r w:rsidRPr="008D7697">
        <w:rPr>
          <w:rFonts w:cs="Arial"/>
          <w:i/>
          <w:iCs/>
          <w:szCs w:val="20"/>
          <w:lang w:val="sl-SI"/>
        </w:rPr>
        <w:t>Gerichtsverfassungsgesetz − GVG</w:t>
      </w:r>
      <w:r w:rsidRPr="008D7697">
        <w:rPr>
          <w:rFonts w:cs="Arial"/>
          <w:szCs w:val="20"/>
          <w:lang w:val="sl-SI"/>
        </w:rPr>
        <w:t>).</w:t>
      </w:r>
      <w:r w:rsidRPr="008D7697">
        <w:rPr>
          <w:rStyle w:val="Sprotnaopomba-sklic"/>
          <w:rFonts w:cs="Arial"/>
          <w:szCs w:val="20"/>
          <w:lang w:val="sl-SI"/>
        </w:rPr>
        <w:footnoteReference w:id="25"/>
      </w:r>
      <w:r w:rsidRPr="008D7697">
        <w:rPr>
          <w:rFonts w:cs="Arial"/>
          <w:szCs w:val="20"/>
          <w:lang w:val="sl-SI"/>
        </w:rPr>
        <w:t xml:space="preserve"> Po določbi 141. člena GVG naj bi bilo državno tožilstvo organizirano pri vsakem sodišču. V praksi ima državno tožilstvo urade na zveznem vrhovnem sodišču (</w:t>
      </w:r>
      <w:r w:rsidRPr="008D7697">
        <w:rPr>
          <w:rFonts w:cs="Arial"/>
          <w:i/>
          <w:iCs/>
          <w:szCs w:val="20"/>
          <w:lang w:val="sl-SI"/>
        </w:rPr>
        <w:t>Bundesgerichtshof</w:t>
      </w:r>
      <w:r w:rsidRPr="008D7697">
        <w:rPr>
          <w:rFonts w:cs="Arial"/>
          <w:szCs w:val="20"/>
          <w:lang w:val="sl-SI"/>
        </w:rPr>
        <w:t>) ter na vsakem višjem deželnem sodišču (</w:t>
      </w:r>
      <w:r w:rsidRPr="008D7697">
        <w:rPr>
          <w:rFonts w:cs="Arial"/>
          <w:i/>
          <w:iCs/>
          <w:szCs w:val="20"/>
          <w:lang w:val="sl-SI"/>
        </w:rPr>
        <w:t>Oberlandesgericht</w:t>
      </w:r>
      <w:r w:rsidRPr="008D7697">
        <w:rPr>
          <w:rFonts w:cs="Arial"/>
          <w:szCs w:val="20"/>
          <w:lang w:val="sl-SI"/>
        </w:rPr>
        <w:t>) in deželnem sodišču (</w:t>
      </w:r>
      <w:r w:rsidRPr="008D7697">
        <w:rPr>
          <w:rFonts w:cs="Arial"/>
          <w:i/>
          <w:iCs/>
          <w:szCs w:val="20"/>
          <w:lang w:val="sl-SI"/>
        </w:rPr>
        <w:t>Landgericht</w:t>
      </w:r>
      <w:r w:rsidRPr="008D7697">
        <w:rPr>
          <w:rFonts w:cs="Arial"/>
          <w:szCs w:val="20"/>
          <w:lang w:val="sl-SI"/>
        </w:rPr>
        <w:t>), s tem da so državna tožilstva pri deželnih sodiščih pristojna tudi za okrajna sodišča (</w:t>
      </w:r>
      <w:r w:rsidRPr="008D7697">
        <w:rPr>
          <w:rFonts w:cs="Arial"/>
          <w:i/>
          <w:iCs/>
          <w:szCs w:val="20"/>
          <w:lang w:val="sl-SI"/>
        </w:rPr>
        <w:t>Amtsgericht</w:t>
      </w:r>
      <w:r w:rsidRPr="008D7697">
        <w:rPr>
          <w:rFonts w:cs="Arial"/>
          <w:szCs w:val="20"/>
          <w:lang w:val="sl-SI"/>
        </w:rPr>
        <w:t>) s področja zadevnega deželnega sodišča.</w:t>
      </w:r>
      <w:r w:rsidRPr="008D7697">
        <w:rPr>
          <w:rStyle w:val="Sprotnaopomba-sklic"/>
          <w:rFonts w:cs="Arial"/>
          <w:szCs w:val="20"/>
          <w:lang w:val="sl-SI"/>
        </w:rPr>
        <w:footnoteReference w:id="26"/>
      </w:r>
      <w:r w:rsidRPr="008D7697">
        <w:rPr>
          <w:rFonts w:cs="Arial"/>
          <w:szCs w:val="20"/>
          <w:lang w:val="sl-SI"/>
        </w:rPr>
        <w:t xml:space="preserve"> </w:t>
      </w:r>
    </w:p>
    <w:p w14:paraId="4ECDED9F" w14:textId="77777777" w:rsidR="00331D90" w:rsidRPr="008D7697" w:rsidRDefault="00331D90" w:rsidP="00623188">
      <w:pPr>
        <w:spacing w:line="260" w:lineRule="exact"/>
        <w:jc w:val="both"/>
        <w:rPr>
          <w:rFonts w:cs="Arial"/>
          <w:szCs w:val="20"/>
          <w:lang w:val="sl-SI"/>
        </w:rPr>
      </w:pPr>
    </w:p>
    <w:p w14:paraId="4D21C660" w14:textId="77777777" w:rsidR="00331D90" w:rsidRPr="008D7697" w:rsidRDefault="00331D90" w:rsidP="00623188">
      <w:pPr>
        <w:spacing w:line="260" w:lineRule="exact"/>
        <w:jc w:val="both"/>
        <w:rPr>
          <w:rFonts w:cs="Arial"/>
          <w:szCs w:val="20"/>
          <w:lang w:val="sl-SI"/>
        </w:rPr>
      </w:pPr>
      <w:r w:rsidRPr="008D7697">
        <w:rPr>
          <w:rFonts w:cs="Arial"/>
          <w:szCs w:val="20"/>
          <w:lang w:val="sl-SI"/>
        </w:rPr>
        <w:t>Nemčija ima zvezni sistem, zato je treba razlikovati med pristojnostmi zvezne vlade in pristojnostmi zveznih dežel.</w:t>
      </w:r>
    </w:p>
    <w:p w14:paraId="23C441DE" w14:textId="77777777" w:rsidR="00331D90" w:rsidRPr="008D7697" w:rsidRDefault="00331D90" w:rsidP="00623188">
      <w:pPr>
        <w:spacing w:line="260" w:lineRule="exact"/>
        <w:jc w:val="both"/>
        <w:rPr>
          <w:rFonts w:cs="Arial"/>
          <w:szCs w:val="20"/>
          <w:lang w:val="sl-SI"/>
        </w:rPr>
      </w:pPr>
    </w:p>
    <w:p w14:paraId="3B1FB831" w14:textId="77777777" w:rsidR="00331D90" w:rsidRPr="008D7697" w:rsidRDefault="00331D90" w:rsidP="00623188">
      <w:pPr>
        <w:spacing w:line="260" w:lineRule="exact"/>
        <w:jc w:val="both"/>
        <w:rPr>
          <w:rFonts w:cs="Arial"/>
          <w:szCs w:val="20"/>
          <w:lang w:val="sl-SI"/>
        </w:rPr>
      </w:pPr>
      <w:r w:rsidRPr="008D7697">
        <w:rPr>
          <w:rFonts w:cs="Arial"/>
          <w:szCs w:val="20"/>
          <w:lang w:val="sl-SI"/>
        </w:rPr>
        <w:t>Državna tožilstva zveznih dežel so pristojna za pregon vseh kaznivih dejanj, razen tistih, ki jih preganja generalni zvezni tožilec pri zveznem vrhovnem sodišču (</w:t>
      </w:r>
      <w:r w:rsidRPr="008D7697">
        <w:rPr>
          <w:rFonts w:cs="Arial"/>
          <w:i/>
          <w:iCs/>
          <w:szCs w:val="20"/>
          <w:lang w:val="sl-SI"/>
        </w:rPr>
        <w:t>Generalbundesanwalt beim Bundesgerichtshof</w:t>
      </w:r>
      <w:r w:rsidRPr="008D7697">
        <w:rPr>
          <w:rFonts w:cs="Arial"/>
          <w:szCs w:val="20"/>
          <w:lang w:val="sl-SI"/>
        </w:rPr>
        <w:t>). Generalni zvezni tožilec pri zveznem vrhovnem sodišču in državna tožilstva zveznih dežel so ločeni in delujejo na različnih ravneh. Med zveznim državnim tožilstvom in deželnimi državnimi tožilstvi ni hierarhične povezave. Kljub temu lahko generalni zvezni tožilec pri zveznem vrhovnem sodišču zadeve iz svoje pristojnosti v izjemnih primerih prenese na deželna državna tožilstva ali prevzame zadeve iz njihove pristojnosti.</w:t>
      </w:r>
    </w:p>
    <w:p w14:paraId="4AEA01C6" w14:textId="77777777" w:rsidR="00331D90" w:rsidRPr="008D7697" w:rsidRDefault="00331D90" w:rsidP="00331D90">
      <w:pPr>
        <w:spacing w:line="260" w:lineRule="exact"/>
        <w:jc w:val="both"/>
        <w:rPr>
          <w:rFonts w:cs="Arial"/>
          <w:szCs w:val="20"/>
          <w:lang w:val="sl-SI"/>
        </w:rPr>
      </w:pPr>
    </w:p>
    <w:p w14:paraId="0E52D7D5" w14:textId="6F97233D" w:rsidR="00331D90" w:rsidRPr="008D7697" w:rsidRDefault="00331D90" w:rsidP="00623188">
      <w:pPr>
        <w:spacing w:line="260" w:lineRule="exact"/>
        <w:jc w:val="both"/>
        <w:rPr>
          <w:rFonts w:cs="Arial"/>
          <w:szCs w:val="20"/>
          <w:lang w:val="sl-SI"/>
        </w:rPr>
      </w:pPr>
      <w:r w:rsidRPr="008D7697">
        <w:rPr>
          <w:rFonts w:cs="Arial"/>
          <w:szCs w:val="20"/>
          <w:lang w:val="sl-SI"/>
        </w:rPr>
        <w:t xml:space="preserve">Vsaka od 16 zveznih dežel ima svoja državna tožilstva. Notranja organizacija državnih tožilstev je v vsaki posamezni zvezni deželi določena z </w:t>
      </w:r>
      <w:r w:rsidR="008010AF">
        <w:rPr>
          <w:rFonts w:cs="Arial"/>
          <w:szCs w:val="20"/>
          <w:lang w:val="sl-SI"/>
        </w:rPr>
        <w:t>u</w:t>
      </w:r>
      <w:r w:rsidRPr="008D7697">
        <w:rPr>
          <w:rFonts w:cs="Arial"/>
          <w:szCs w:val="20"/>
          <w:lang w:val="sl-SI"/>
        </w:rPr>
        <w:t>redbo o organizaciji in delovanju državnih tožilstev (</w:t>
      </w:r>
      <w:r w:rsidRPr="008D7697">
        <w:rPr>
          <w:rFonts w:cs="Arial"/>
          <w:i/>
          <w:iCs/>
          <w:szCs w:val="20"/>
          <w:lang w:val="sl-SI"/>
        </w:rPr>
        <w:t>Anordnung über die Organisation und den Dienstbetrieb der Staatsanwaltschaften – OrgStA</w:t>
      </w:r>
      <w:r w:rsidRPr="008D7697">
        <w:rPr>
          <w:rFonts w:cs="Arial"/>
          <w:szCs w:val="20"/>
          <w:lang w:val="sl-SI"/>
        </w:rPr>
        <w:t xml:space="preserve">), pri čemer uredbe to področje urejajo bolj ali manj enako. </w:t>
      </w:r>
    </w:p>
    <w:p w14:paraId="1B2EC41F" w14:textId="77777777" w:rsidR="00331D90" w:rsidRPr="008D7697" w:rsidRDefault="00331D90" w:rsidP="00623188">
      <w:pPr>
        <w:spacing w:line="260" w:lineRule="exact"/>
        <w:jc w:val="both"/>
        <w:rPr>
          <w:rFonts w:cs="Arial"/>
          <w:szCs w:val="20"/>
          <w:lang w:val="sl-SI"/>
        </w:rPr>
      </w:pPr>
    </w:p>
    <w:p w14:paraId="6C26A683" w14:textId="51CE45D1" w:rsidR="00331D90" w:rsidRPr="008D7697" w:rsidRDefault="00331D90" w:rsidP="00623188">
      <w:pPr>
        <w:spacing w:line="260" w:lineRule="exact"/>
        <w:jc w:val="both"/>
        <w:rPr>
          <w:rFonts w:cs="Arial"/>
          <w:szCs w:val="20"/>
          <w:lang w:val="sl-SI"/>
        </w:rPr>
      </w:pPr>
      <w:r w:rsidRPr="008D7697">
        <w:rPr>
          <w:rFonts w:cs="Arial"/>
          <w:szCs w:val="20"/>
          <w:lang w:val="sl-SI"/>
        </w:rPr>
        <w:lastRenderedPageBreak/>
        <w:t>Državna tožilstva v posamezni zvezni deželi so hierarhično organizirana. Pri višjih deželnih sodiščih so organizirana generalna državna tožilstva (</w:t>
      </w:r>
      <w:r w:rsidRPr="008D7697">
        <w:rPr>
          <w:rFonts w:cs="Arial"/>
          <w:i/>
          <w:iCs/>
          <w:szCs w:val="20"/>
          <w:lang w:val="sl-SI"/>
        </w:rPr>
        <w:t>Generalstaatsanwaltschaft</w:t>
      </w:r>
      <w:r w:rsidRPr="008D7697">
        <w:rPr>
          <w:rFonts w:cs="Arial"/>
          <w:szCs w:val="20"/>
          <w:lang w:val="sl-SI"/>
        </w:rPr>
        <w:t>), ki jih vodijo generalni državni tožilci. Državno tožilstvo pri deželnem sodišču vodi vodja (</w:t>
      </w:r>
      <w:r w:rsidRPr="008D7697">
        <w:rPr>
          <w:rFonts w:cs="Arial"/>
          <w:i/>
          <w:iCs/>
          <w:szCs w:val="20"/>
          <w:lang w:val="sl-SI"/>
        </w:rPr>
        <w:t>Leitender</w:t>
      </w:r>
      <w:r w:rsidRPr="008D7697">
        <w:rPr>
          <w:rFonts w:cs="Arial"/>
          <w:szCs w:val="20"/>
          <w:lang w:val="sl-SI"/>
        </w:rPr>
        <w:t xml:space="preserve"> </w:t>
      </w:r>
      <w:r w:rsidRPr="008D7697">
        <w:rPr>
          <w:rFonts w:cs="Arial"/>
          <w:i/>
          <w:iCs/>
          <w:szCs w:val="20"/>
          <w:lang w:val="sl-SI"/>
        </w:rPr>
        <w:t>Oberstaatsanwalt</w:t>
      </w:r>
      <w:r w:rsidRPr="008D7697">
        <w:rPr>
          <w:rFonts w:cs="Arial"/>
          <w:szCs w:val="20"/>
          <w:lang w:val="sl-SI"/>
        </w:rPr>
        <w:t xml:space="preserve">), ki je podrejen pristojnemu generalnemu državnemu tožilcu pri višjem deželnem sodišču, </w:t>
      </w:r>
      <w:r w:rsidR="00EF59F3">
        <w:rPr>
          <w:rFonts w:cs="Arial"/>
          <w:szCs w:val="20"/>
          <w:lang w:val="sl-SI"/>
        </w:rPr>
        <w:t xml:space="preserve">ta </w:t>
      </w:r>
      <w:r w:rsidRPr="008D7697">
        <w:rPr>
          <w:rFonts w:cs="Arial"/>
          <w:szCs w:val="20"/>
          <w:lang w:val="sl-SI"/>
        </w:rPr>
        <w:t>pa odgovarja deželnemu ministrstvu za pravosodje. Državna tožilstva pri deželnih sodiščih so organizirana v oddelke s 4</w:t>
      </w:r>
      <w:r w:rsidR="00EF59F3">
        <w:rPr>
          <w:rFonts w:cs="Arial"/>
          <w:szCs w:val="20"/>
          <w:lang w:val="sl-SI"/>
        </w:rPr>
        <w:t>−</w:t>
      </w:r>
      <w:r w:rsidRPr="008D7697">
        <w:rPr>
          <w:rFonts w:cs="Arial"/>
          <w:szCs w:val="20"/>
          <w:lang w:val="sl-SI"/>
        </w:rPr>
        <w:t>5 državnimi tožilci in z enim ali več pravniki. Oddelke vodijo t. i. višji državni tožilci (</w:t>
      </w:r>
      <w:r w:rsidRPr="008D7697">
        <w:rPr>
          <w:rFonts w:cs="Arial"/>
          <w:i/>
          <w:iCs/>
          <w:szCs w:val="20"/>
          <w:lang w:val="sl-SI"/>
        </w:rPr>
        <w:t>Oberstaatsanwalt</w:t>
      </w:r>
      <w:r w:rsidRPr="008D7697">
        <w:rPr>
          <w:rFonts w:cs="Arial"/>
          <w:szCs w:val="20"/>
          <w:lang w:val="sl-SI"/>
        </w:rPr>
        <w:t>). Oddelki se lahko združijo v glavne oddelke (</w:t>
      </w:r>
      <w:r w:rsidRPr="008D7697">
        <w:rPr>
          <w:rFonts w:cs="Arial"/>
          <w:i/>
          <w:iCs/>
          <w:szCs w:val="20"/>
          <w:lang w:val="sl-SI"/>
        </w:rPr>
        <w:t>Hauptabteilung</w:t>
      </w:r>
      <w:r w:rsidRPr="008D7697">
        <w:rPr>
          <w:rFonts w:cs="Arial"/>
          <w:szCs w:val="20"/>
          <w:lang w:val="sl-SI"/>
        </w:rPr>
        <w:t xml:space="preserve">). </w:t>
      </w:r>
    </w:p>
    <w:p w14:paraId="21CED3D9" w14:textId="77777777" w:rsidR="00331D90" w:rsidRPr="008D7697" w:rsidRDefault="00331D90" w:rsidP="00623188">
      <w:pPr>
        <w:spacing w:line="260" w:lineRule="exact"/>
        <w:jc w:val="both"/>
        <w:rPr>
          <w:rFonts w:cs="Arial"/>
          <w:szCs w:val="20"/>
          <w:lang w:val="sl-SI"/>
        </w:rPr>
      </w:pPr>
    </w:p>
    <w:p w14:paraId="16A1E0CF" w14:textId="5B037466" w:rsidR="00331D90" w:rsidRPr="008D7697" w:rsidRDefault="00802947" w:rsidP="00623188">
      <w:pPr>
        <w:spacing w:line="260" w:lineRule="exact"/>
        <w:jc w:val="both"/>
        <w:rPr>
          <w:rFonts w:cs="Arial"/>
          <w:szCs w:val="20"/>
          <w:lang w:val="sl-SI"/>
        </w:rPr>
      </w:pPr>
      <w:r>
        <w:rPr>
          <w:rFonts w:cs="Arial"/>
          <w:szCs w:val="20"/>
          <w:lang w:val="sl-SI"/>
        </w:rPr>
        <w:t>V s</w:t>
      </w:r>
      <w:r w:rsidR="00331D90" w:rsidRPr="008D7697">
        <w:rPr>
          <w:rFonts w:cs="Arial"/>
          <w:szCs w:val="20"/>
          <w:lang w:val="sl-SI"/>
        </w:rPr>
        <w:t>kla</w:t>
      </w:r>
      <w:r>
        <w:rPr>
          <w:rFonts w:cs="Arial"/>
          <w:szCs w:val="20"/>
          <w:lang w:val="sl-SI"/>
        </w:rPr>
        <w:t>du</w:t>
      </w:r>
      <w:r w:rsidR="00331D90" w:rsidRPr="008D7697">
        <w:rPr>
          <w:rFonts w:cs="Arial"/>
          <w:szCs w:val="20"/>
          <w:lang w:val="sl-SI"/>
        </w:rPr>
        <w:t xml:space="preserve"> z določbami 142. člena GVG državnotožilsko službo pri zveznem vrhovnem sodišču opravljajo generalni zvezni tožilec in zvezni tožilci. Pri višjih deželnih sodiščih in deželnih sodiščih nastopajo državni tožilci, pri okrajnih sodiščih pa državni tožilci in pravniki, ki niso državni tožilci (</w:t>
      </w:r>
      <w:r w:rsidR="00331D90" w:rsidRPr="008D7697">
        <w:rPr>
          <w:rFonts w:cs="Arial"/>
          <w:i/>
          <w:iCs/>
          <w:szCs w:val="20"/>
          <w:lang w:val="sl-SI"/>
        </w:rPr>
        <w:t>Amtsanwalt</w:t>
      </w:r>
      <w:r w:rsidR="00331D90" w:rsidRPr="008D7697">
        <w:rPr>
          <w:rFonts w:cs="Arial"/>
          <w:szCs w:val="20"/>
          <w:lang w:val="sl-SI"/>
        </w:rPr>
        <w:t>). Ti pravniki prevzemajo del nalog državnih tožilcev in so večinoma pristojni za vodenje preiskave, vložitev obtožnice in nastopanje v postopkih pred sodnikom v zadevah, kjer gre za lažja ali srednje težka kazniva dejanja, kot so tatvine, telesne poškodbe, goljufije, kazniva dejanja zoper varnost javnega prometa ipd.</w:t>
      </w:r>
    </w:p>
    <w:p w14:paraId="5B3A28C9"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 </w:t>
      </w:r>
    </w:p>
    <w:p w14:paraId="613B7AB6" w14:textId="4BE0760A" w:rsidR="00331D90" w:rsidRPr="008D7697" w:rsidRDefault="00331D90" w:rsidP="00623188">
      <w:pPr>
        <w:spacing w:line="260" w:lineRule="exact"/>
        <w:jc w:val="both"/>
        <w:rPr>
          <w:rFonts w:cs="Arial"/>
          <w:szCs w:val="20"/>
          <w:lang w:val="sl-SI"/>
        </w:rPr>
      </w:pPr>
      <w:r w:rsidRPr="008D7697">
        <w:rPr>
          <w:rFonts w:cs="Arial"/>
          <w:szCs w:val="20"/>
          <w:lang w:val="sl-SI"/>
        </w:rPr>
        <w:t>Glede položaja oz</w:t>
      </w:r>
      <w:r w:rsidR="007645C6">
        <w:rPr>
          <w:rFonts w:cs="Arial"/>
          <w:szCs w:val="20"/>
          <w:lang w:val="sl-SI"/>
        </w:rPr>
        <w:t>iroma</w:t>
      </w:r>
      <w:r w:rsidRPr="008D7697">
        <w:rPr>
          <w:rFonts w:cs="Arial"/>
          <w:szCs w:val="20"/>
          <w:lang w:val="sl-SI"/>
        </w:rPr>
        <w:t xml:space="preserve"> statusa državnih tožilcev se uporabljajo </w:t>
      </w:r>
      <w:r w:rsidR="00475366">
        <w:rPr>
          <w:rFonts w:cs="Arial"/>
          <w:szCs w:val="20"/>
          <w:lang w:val="sl-SI"/>
        </w:rPr>
        <w:t xml:space="preserve">tudi </w:t>
      </w:r>
      <w:r w:rsidRPr="008D7697">
        <w:rPr>
          <w:rFonts w:cs="Arial"/>
          <w:szCs w:val="20"/>
          <w:lang w:val="sl-SI"/>
        </w:rPr>
        <w:t>številni drugi predpisi, npr. Zakon o sodnikih in deželni predpisi, ki veljajo za uradnike.</w:t>
      </w:r>
    </w:p>
    <w:p w14:paraId="41DF9433" w14:textId="77777777" w:rsidR="00331D90" w:rsidRPr="008D7697" w:rsidRDefault="00331D90" w:rsidP="00623188">
      <w:pPr>
        <w:spacing w:line="260" w:lineRule="exact"/>
        <w:jc w:val="both"/>
        <w:rPr>
          <w:rFonts w:cs="Arial"/>
          <w:szCs w:val="20"/>
          <w:lang w:val="sl-SI"/>
        </w:rPr>
      </w:pPr>
    </w:p>
    <w:p w14:paraId="39453A93"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5.2.3 HRVAŠKA</w:t>
      </w:r>
    </w:p>
    <w:p w14:paraId="2FE4EF45" w14:textId="77777777" w:rsidR="00331D90" w:rsidRPr="008D7697" w:rsidRDefault="00331D90" w:rsidP="00623188">
      <w:pPr>
        <w:spacing w:line="260" w:lineRule="exact"/>
        <w:jc w:val="both"/>
        <w:rPr>
          <w:rFonts w:cs="Arial"/>
          <w:szCs w:val="20"/>
          <w:lang w:val="sl-SI"/>
        </w:rPr>
      </w:pPr>
    </w:p>
    <w:p w14:paraId="7CBC0A0C" w14:textId="77777777" w:rsidR="00331D90" w:rsidRPr="008D7697" w:rsidRDefault="00331D90" w:rsidP="00623188">
      <w:pPr>
        <w:spacing w:line="260" w:lineRule="exact"/>
        <w:jc w:val="both"/>
        <w:rPr>
          <w:rFonts w:cs="Arial"/>
          <w:szCs w:val="20"/>
          <w:lang w:val="sl-SI"/>
        </w:rPr>
      </w:pPr>
      <w:r w:rsidRPr="008D7697">
        <w:rPr>
          <w:rFonts w:cs="Arial"/>
          <w:szCs w:val="20"/>
          <w:lang w:val="sl-SI"/>
        </w:rPr>
        <w:t>Po določbah 121.a člena Ustave Republike Hrvaške</w:t>
      </w:r>
      <w:r w:rsidRPr="008D7697">
        <w:rPr>
          <w:rStyle w:val="Sprotnaopomba-sklic"/>
          <w:rFonts w:cs="Arial"/>
          <w:szCs w:val="20"/>
          <w:lang w:val="sl-SI"/>
        </w:rPr>
        <w:footnoteReference w:id="27"/>
      </w:r>
      <w:r w:rsidRPr="008D7697">
        <w:rPr>
          <w:rFonts w:cs="Arial"/>
          <w:szCs w:val="20"/>
          <w:lang w:val="sl-SI"/>
        </w:rPr>
        <w:t xml:space="preserve"> je državno tožilstvo samostojen in neodvisen pravosodni organ, ki je pooblaščen in dolžan ukrepati proti storilcem kaznivih dejanj, sprožati sodne postopke za zaščito premoženja Republike Hrvaške in vlagati pravna sredstva za varstvo ustave in pravic. Ustanavljanje, organizacijo, naloge in pristojnosti državnega tožilstva določa zakon.</w:t>
      </w:r>
    </w:p>
    <w:p w14:paraId="54DA6259" w14:textId="77777777" w:rsidR="00331D90" w:rsidRPr="008D7697" w:rsidRDefault="00331D90" w:rsidP="00623188">
      <w:pPr>
        <w:spacing w:line="260" w:lineRule="exact"/>
        <w:jc w:val="both"/>
        <w:rPr>
          <w:rFonts w:cs="Arial"/>
          <w:szCs w:val="20"/>
          <w:lang w:val="sl-SI"/>
        </w:rPr>
      </w:pPr>
    </w:p>
    <w:p w14:paraId="58FBD110" w14:textId="14E24237" w:rsidR="00331D90" w:rsidRPr="008D7697" w:rsidRDefault="00331D90" w:rsidP="00623188">
      <w:pPr>
        <w:spacing w:line="260" w:lineRule="exact"/>
        <w:jc w:val="both"/>
        <w:rPr>
          <w:rFonts w:cs="Arial"/>
          <w:szCs w:val="20"/>
          <w:lang w:val="sl-SI"/>
        </w:rPr>
      </w:pPr>
      <w:r w:rsidRPr="008D7697">
        <w:rPr>
          <w:rFonts w:cs="Arial"/>
          <w:szCs w:val="20"/>
          <w:lang w:val="sl-SI"/>
        </w:rPr>
        <w:t>Po Zakonu o državnem tožilstvu (</w:t>
      </w:r>
      <w:r w:rsidRPr="008D7697">
        <w:rPr>
          <w:rFonts w:cs="Arial"/>
          <w:i/>
          <w:iCs/>
          <w:szCs w:val="20"/>
          <w:lang w:val="sl-SI"/>
        </w:rPr>
        <w:t>Zakon o državnom odvjetništvu</w:t>
      </w:r>
      <w:r w:rsidR="008A4C9E">
        <w:rPr>
          <w:rFonts w:cs="Arial"/>
          <w:szCs w:val="20"/>
          <w:lang w:val="sl-SI"/>
        </w:rPr>
        <w:t>)</w:t>
      </w:r>
      <w:r w:rsidRPr="008D7697">
        <w:rPr>
          <w:rStyle w:val="Sprotnaopomba-sklic"/>
          <w:rFonts w:cs="Arial"/>
          <w:szCs w:val="20"/>
          <w:lang w:val="sl-SI"/>
        </w:rPr>
        <w:footnoteReference w:id="28"/>
      </w:r>
      <w:r w:rsidRPr="008D7697">
        <w:rPr>
          <w:rFonts w:cs="Arial"/>
          <w:szCs w:val="20"/>
          <w:lang w:val="sl-SI"/>
        </w:rPr>
        <w:t xml:space="preserve"> je državno tožilstvo hierarhično organizirano, vodi ga generalni državni tožilec Republike Hrvaške. Generalni državni tožilec je odgovoren za delo celotnega državnega tožilstva, vodi državno tožilstvo in ga zastopa. Poleg tega opravlja tudi naloge iz pristojnosti Državnega tožilstva Republike Hrvaške in vodi Državno tožilstvo Republike Hrvaške. </w:t>
      </w:r>
    </w:p>
    <w:p w14:paraId="4F903FC2" w14:textId="77777777" w:rsidR="00331D90" w:rsidRPr="008D7697" w:rsidRDefault="00331D90" w:rsidP="00623188">
      <w:pPr>
        <w:spacing w:line="260" w:lineRule="exact"/>
        <w:jc w:val="both"/>
        <w:rPr>
          <w:rFonts w:cs="Arial"/>
          <w:szCs w:val="20"/>
          <w:lang w:val="sl-SI"/>
        </w:rPr>
      </w:pPr>
    </w:p>
    <w:p w14:paraId="6BEAD35C" w14:textId="77777777" w:rsidR="00331D90" w:rsidRPr="008D7697" w:rsidRDefault="00331D90" w:rsidP="00623188">
      <w:pPr>
        <w:spacing w:line="260" w:lineRule="exact"/>
        <w:jc w:val="both"/>
        <w:rPr>
          <w:rFonts w:cs="Arial"/>
          <w:szCs w:val="20"/>
          <w:lang w:val="sl-SI"/>
        </w:rPr>
      </w:pPr>
      <w:r w:rsidRPr="008D7697">
        <w:rPr>
          <w:rFonts w:cs="Arial"/>
          <w:szCs w:val="20"/>
          <w:lang w:val="sl-SI"/>
        </w:rPr>
        <w:t>V praksi je državno tožilstvo organizirano na naslednji način:</w:t>
      </w:r>
    </w:p>
    <w:p w14:paraId="2ABB611E"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26 občinskih državnih tožilstev,</w:t>
      </w:r>
    </w:p>
    <w:p w14:paraId="71897691"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15 županijskih državnih tožilstev,</w:t>
      </w:r>
    </w:p>
    <w:p w14:paraId="41967B22" w14:textId="77777777" w:rsidR="00331D90" w:rsidRPr="008D7697" w:rsidRDefault="00331D90" w:rsidP="00623188">
      <w:pPr>
        <w:pStyle w:val="Odstavekseznama"/>
        <w:numPr>
          <w:ilvl w:val="0"/>
          <w:numId w:val="23"/>
        </w:numPr>
        <w:spacing w:line="260" w:lineRule="exact"/>
        <w:ind w:left="284" w:hanging="284"/>
        <w:jc w:val="both"/>
        <w:rPr>
          <w:rFonts w:cs="Arial"/>
          <w:i/>
          <w:iCs/>
          <w:szCs w:val="20"/>
          <w:lang w:val="sl-SI"/>
        </w:rPr>
      </w:pPr>
      <w:r w:rsidRPr="008D7697">
        <w:rPr>
          <w:rFonts w:cs="Arial"/>
          <w:szCs w:val="20"/>
          <w:lang w:val="sl-SI"/>
        </w:rPr>
        <w:t>Urad za preprečevanje korupcije in organiziranega kriminala (</w:t>
      </w:r>
      <w:r w:rsidRPr="008D7697">
        <w:rPr>
          <w:rFonts w:cs="Arial"/>
          <w:i/>
          <w:iCs/>
          <w:szCs w:val="20"/>
          <w:lang w:val="sl-SI"/>
        </w:rPr>
        <w:t>Ured za suzbijanje korupcije i organiziranog kriminaliteta – USKOK),</w:t>
      </w:r>
    </w:p>
    <w:p w14:paraId="44FE94E7" w14:textId="77777777" w:rsidR="00331D90" w:rsidRPr="008D7697" w:rsidRDefault="00331D90" w:rsidP="00623188">
      <w:pPr>
        <w:pStyle w:val="Odstavekseznama"/>
        <w:numPr>
          <w:ilvl w:val="0"/>
          <w:numId w:val="23"/>
        </w:numPr>
        <w:spacing w:line="260" w:lineRule="exact"/>
        <w:ind w:left="284" w:hanging="284"/>
        <w:jc w:val="both"/>
        <w:rPr>
          <w:rFonts w:cs="Arial"/>
          <w:szCs w:val="20"/>
          <w:lang w:val="sl-SI"/>
        </w:rPr>
      </w:pPr>
      <w:r w:rsidRPr="008D7697">
        <w:rPr>
          <w:rFonts w:cs="Arial"/>
          <w:szCs w:val="20"/>
          <w:lang w:val="sl-SI"/>
        </w:rPr>
        <w:t>Državno tožilstvo Republike Hrvaške.</w:t>
      </w:r>
    </w:p>
    <w:p w14:paraId="75A33BAE" w14:textId="77777777" w:rsidR="00331D90" w:rsidRPr="008D7697" w:rsidRDefault="00331D90" w:rsidP="00623188">
      <w:pPr>
        <w:spacing w:line="260" w:lineRule="exact"/>
        <w:jc w:val="both"/>
        <w:rPr>
          <w:rFonts w:cs="Arial"/>
          <w:i/>
          <w:iCs/>
          <w:szCs w:val="20"/>
          <w:lang w:val="sl-SI"/>
        </w:rPr>
      </w:pPr>
    </w:p>
    <w:p w14:paraId="12357348"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Stvarna in krajevna pristojnost posameznega državnega tožilstva se določi v skladu z določbami zakona, ki določa pristojnost sodišč, pred katerimi državno tožilstvo opravlja svoje naloge, razen če je v Zakonu o državnem tožilstvu drugače določeno. Občinska državna tožilstva so podrejena županijskim državnim tožilstvom, županijska državna tožilstva in posebna državna tožilstva pa so podrejena Državnemu tožilstvu Republike Hrvaške. Glede na takšno strukturo državnega tožilstva lahko višji državni tožilec nižjemu državnemu tožilcu daje obvezna navodila za delo, </w:t>
      </w:r>
      <w:r w:rsidRPr="008D7697">
        <w:rPr>
          <w:rFonts w:cs="Arial"/>
          <w:szCs w:val="20"/>
          <w:lang w:val="sl-SI"/>
        </w:rPr>
        <w:lastRenderedPageBreak/>
        <w:t>kadar je to potrebno za zakonito in enotno opravljanje funkcije, po potrebi pa se lahko ta navodila nanašajo tudi na postopek v posamezni zadevi.</w:t>
      </w:r>
    </w:p>
    <w:p w14:paraId="27944861" w14:textId="77777777" w:rsidR="00331D90" w:rsidRPr="008D7697" w:rsidRDefault="00331D90" w:rsidP="00623188">
      <w:pPr>
        <w:spacing w:line="260" w:lineRule="exact"/>
        <w:jc w:val="both"/>
        <w:rPr>
          <w:rFonts w:cs="Arial"/>
          <w:szCs w:val="20"/>
          <w:lang w:val="sl-SI"/>
        </w:rPr>
      </w:pPr>
    </w:p>
    <w:p w14:paraId="7EA9860E" w14:textId="77777777" w:rsidR="00331D90" w:rsidRPr="008D7697" w:rsidRDefault="00331D90" w:rsidP="00623188">
      <w:pPr>
        <w:spacing w:line="260" w:lineRule="exact"/>
        <w:jc w:val="both"/>
        <w:rPr>
          <w:rFonts w:cs="Arial"/>
          <w:szCs w:val="20"/>
          <w:lang w:val="sl-SI"/>
        </w:rPr>
      </w:pPr>
      <w:r w:rsidRPr="008D7697">
        <w:rPr>
          <w:rFonts w:cs="Arial"/>
          <w:szCs w:val="20"/>
          <w:lang w:val="sl-SI"/>
        </w:rPr>
        <w:t xml:space="preserve">Kdor izpolnjuje splošne in posebne pogoje za imenovanje za namestnika generalnega državnega tožilca Republike Hrvaške, je lahko imenovan za generalnega državnega tožilca Republike Hrvaške. </w:t>
      </w:r>
    </w:p>
    <w:p w14:paraId="4888B89A" w14:textId="77777777" w:rsidR="00331D90" w:rsidRPr="008D7697" w:rsidRDefault="00331D90" w:rsidP="00623188">
      <w:pPr>
        <w:spacing w:line="260" w:lineRule="exact"/>
        <w:jc w:val="both"/>
        <w:rPr>
          <w:rFonts w:cs="Arial"/>
          <w:szCs w:val="20"/>
          <w:lang w:val="sl-SI"/>
        </w:rPr>
      </w:pPr>
    </w:p>
    <w:p w14:paraId="401ECCFA" w14:textId="77777777" w:rsidR="00331D90" w:rsidRPr="008D7697" w:rsidRDefault="00331D90" w:rsidP="00623188">
      <w:pPr>
        <w:spacing w:line="260" w:lineRule="exact"/>
        <w:jc w:val="both"/>
        <w:rPr>
          <w:rFonts w:cs="Arial"/>
          <w:szCs w:val="20"/>
          <w:lang w:val="sl-SI"/>
        </w:rPr>
      </w:pPr>
      <w:r w:rsidRPr="008D7697">
        <w:rPr>
          <w:rFonts w:cs="Arial"/>
          <w:szCs w:val="20"/>
          <w:lang w:val="sl-SI"/>
        </w:rPr>
        <w:t>Županijski državni tožilci (</w:t>
      </w:r>
      <w:r w:rsidRPr="008D7697">
        <w:rPr>
          <w:rFonts w:cs="Arial"/>
          <w:i/>
          <w:iCs/>
          <w:szCs w:val="20"/>
          <w:lang w:val="sl-SI"/>
        </w:rPr>
        <w:t>županijski državni odvjetnici</w:t>
      </w:r>
      <w:r w:rsidRPr="008D7697">
        <w:rPr>
          <w:rFonts w:cs="Arial"/>
          <w:szCs w:val="20"/>
          <w:lang w:val="sl-SI"/>
        </w:rPr>
        <w:t>) so imenovani izmed državnih tožilcev, namestnikov generalnega državnega tožilca, namestnikov v specializiranih državnih tožilstvih in namestnikov županijskih državnih tožilcev, ki že vsaj dve leti opravljajo naloge namestnika županijskega državnega tožilca. Županijske državne tožilce za štiriletni mandat imenuje državnotožilski svet (</w:t>
      </w:r>
      <w:r w:rsidRPr="008D7697">
        <w:rPr>
          <w:rFonts w:cs="Arial"/>
          <w:i/>
          <w:iCs/>
          <w:szCs w:val="20"/>
          <w:lang w:val="sl-SI"/>
        </w:rPr>
        <w:t>Državnoodvjetničko vijeće</w:t>
      </w:r>
      <w:r w:rsidRPr="008D7697">
        <w:rPr>
          <w:rFonts w:cs="Arial"/>
          <w:szCs w:val="20"/>
          <w:lang w:val="sl-SI"/>
        </w:rPr>
        <w:t>), in sicer na predlog generalnega državnega tožilca Republike Hrvaške in na podlagi mnenja kolegija generalnega državnega tožilstva Republike Hrvaške (</w:t>
      </w:r>
      <w:r w:rsidRPr="008D7697">
        <w:rPr>
          <w:rFonts w:cs="Arial"/>
          <w:i/>
          <w:iCs/>
          <w:szCs w:val="20"/>
          <w:lang w:val="sl-SI"/>
        </w:rPr>
        <w:t>Kolegij Državnog odvjetništva Republike Hrvatske</w:t>
      </w:r>
      <w:r w:rsidRPr="008D7697">
        <w:rPr>
          <w:rFonts w:cs="Arial"/>
          <w:szCs w:val="20"/>
          <w:lang w:val="sl-SI"/>
        </w:rPr>
        <w:t>).</w:t>
      </w:r>
    </w:p>
    <w:p w14:paraId="78AA7546" w14:textId="77777777" w:rsidR="00331D90" w:rsidRPr="008D7697" w:rsidRDefault="00331D90" w:rsidP="00623188">
      <w:pPr>
        <w:spacing w:line="260" w:lineRule="exact"/>
        <w:jc w:val="both"/>
        <w:rPr>
          <w:rFonts w:cs="Arial"/>
          <w:szCs w:val="20"/>
          <w:lang w:val="sl-SI"/>
        </w:rPr>
      </w:pPr>
    </w:p>
    <w:p w14:paraId="3E61F232" w14:textId="77777777" w:rsidR="00331D90" w:rsidRPr="008D7697" w:rsidRDefault="00331D90" w:rsidP="00623188">
      <w:pPr>
        <w:spacing w:line="260" w:lineRule="exact"/>
        <w:jc w:val="both"/>
        <w:rPr>
          <w:rFonts w:cs="Arial"/>
          <w:szCs w:val="20"/>
          <w:lang w:val="sl-SI"/>
        </w:rPr>
      </w:pPr>
      <w:r w:rsidRPr="008D7697">
        <w:rPr>
          <w:rFonts w:cs="Arial"/>
          <w:szCs w:val="20"/>
          <w:lang w:val="sl-SI"/>
        </w:rPr>
        <w:t>Občinski državni tožilci (</w:t>
      </w:r>
      <w:r w:rsidRPr="008D7697">
        <w:rPr>
          <w:rFonts w:cs="Arial"/>
          <w:i/>
          <w:iCs/>
          <w:szCs w:val="20"/>
          <w:lang w:val="sl-SI"/>
        </w:rPr>
        <w:t>općinski državni odvjetnici</w:t>
      </w:r>
      <w:r w:rsidRPr="008D7697">
        <w:rPr>
          <w:rFonts w:cs="Arial"/>
          <w:szCs w:val="20"/>
          <w:lang w:val="sl-SI"/>
        </w:rPr>
        <w:t>) so imenovani izmed državnih tožilcev in namestnikov državnih tožilcev. Svet jih imenuje za obdobje štirih let, in sicer na predlog generalnega državnega tožilca Republike Hrvaške ter mnenja kolegija županijskega državnega tožilstva in županijskega državnega tožilca.</w:t>
      </w:r>
    </w:p>
    <w:p w14:paraId="4E953411" w14:textId="77777777" w:rsidR="00331D90" w:rsidRPr="008D7697" w:rsidRDefault="00331D90" w:rsidP="00623188">
      <w:pPr>
        <w:spacing w:line="260" w:lineRule="exact"/>
        <w:jc w:val="both"/>
        <w:rPr>
          <w:rFonts w:cs="Arial"/>
          <w:szCs w:val="20"/>
          <w:lang w:val="sl-SI"/>
        </w:rPr>
      </w:pPr>
    </w:p>
    <w:p w14:paraId="4CFB4A17" w14:textId="77777777" w:rsidR="00331D90" w:rsidRPr="008D7697" w:rsidRDefault="00331D90" w:rsidP="00623188">
      <w:pPr>
        <w:spacing w:line="260" w:lineRule="exact"/>
        <w:jc w:val="both"/>
        <w:rPr>
          <w:rFonts w:cs="Arial"/>
          <w:szCs w:val="20"/>
          <w:lang w:val="sl-SI"/>
        </w:rPr>
      </w:pPr>
      <w:r w:rsidRPr="008D7697">
        <w:rPr>
          <w:rFonts w:cs="Arial"/>
          <w:szCs w:val="20"/>
          <w:lang w:val="sl-SI"/>
        </w:rPr>
        <w:t>Pri posameznem tožilstvu se imenuje eden ali več namestnikov državnega tožilca, ki naloge opravljajo za nedoločen čas. Za namestnika državnega tožilca je lahko imenovan hrvaški državljan, ki je opravil državni pravosodni izpit in izpolnjuje posebne pogoje iz Zakona o državnotožilskem svetu (</w:t>
      </w:r>
      <w:r w:rsidRPr="008D7697">
        <w:rPr>
          <w:rFonts w:cs="Arial"/>
          <w:i/>
          <w:iCs/>
          <w:szCs w:val="20"/>
          <w:lang w:val="sl-SI"/>
        </w:rPr>
        <w:t>Zakon o državnoodvjetničkom vijeću</w:t>
      </w:r>
      <w:r w:rsidRPr="008D7697">
        <w:rPr>
          <w:rFonts w:cs="Arial"/>
          <w:szCs w:val="20"/>
          <w:lang w:val="sl-SI"/>
        </w:rPr>
        <w:t>). Kdor je diplomiral na državni šoli za pravosodne uradnike, je lahko imenovan za namestnika občinskega državnega tožilca. Kdor je že vsaj deset let opravljal delo v pravosodju, pa je lahko imenovan za namestnika županijskega državnega tožilca.</w:t>
      </w:r>
    </w:p>
    <w:p w14:paraId="5F562CFE" w14:textId="77777777" w:rsidR="00331D90" w:rsidRPr="008D7697" w:rsidRDefault="00331D90" w:rsidP="00623188">
      <w:pPr>
        <w:spacing w:line="260" w:lineRule="exact"/>
        <w:jc w:val="both"/>
        <w:rPr>
          <w:rFonts w:cs="Arial"/>
          <w:szCs w:val="20"/>
          <w:lang w:val="sl-SI"/>
        </w:rPr>
      </w:pPr>
    </w:p>
    <w:p w14:paraId="080907E9" w14:textId="77777777" w:rsidR="00331D90" w:rsidRPr="008D7697" w:rsidRDefault="00331D90" w:rsidP="00623188">
      <w:pPr>
        <w:spacing w:line="260" w:lineRule="exact"/>
        <w:jc w:val="both"/>
        <w:rPr>
          <w:rFonts w:cs="Arial"/>
          <w:b/>
          <w:bCs/>
          <w:szCs w:val="20"/>
          <w:lang w:val="sl-SI"/>
        </w:rPr>
      </w:pPr>
      <w:r w:rsidRPr="008D7697">
        <w:rPr>
          <w:rFonts w:cs="Arial"/>
          <w:b/>
          <w:bCs/>
          <w:szCs w:val="20"/>
          <w:lang w:val="sl-SI"/>
        </w:rPr>
        <w:t>5.2.4 ITALIJA</w:t>
      </w:r>
    </w:p>
    <w:p w14:paraId="5D811DE1" w14:textId="77777777" w:rsidR="00331D90" w:rsidRPr="008D7697" w:rsidRDefault="00331D90" w:rsidP="00623188">
      <w:pPr>
        <w:spacing w:line="260" w:lineRule="exact"/>
        <w:jc w:val="both"/>
        <w:rPr>
          <w:rFonts w:cs="Arial"/>
          <w:szCs w:val="20"/>
          <w:lang w:val="sl-SI"/>
        </w:rPr>
      </w:pPr>
    </w:p>
    <w:p w14:paraId="3D642F55" w14:textId="3E3DCCF1" w:rsidR="00331D90" w:rsidRPr="008D7697" w:rsidRDefault="00331D90" w:rsidP="00623188">
      <w:pPr>
        <w:spacing w:line="260" w:lineRule="exact"/>
        <w:jc w:val="both"/>
        <w:rPr>
          <w:rFonts w:cs="Arial"/>
          <w:szCs w:val="20"/>
          <w:lang w:val="sl-SI"/>
        </w:rPr>
      </w:pPr>
      <w:r w:rsidRPr="008D7697">
        <w:rPr>
          <w:rFonts w:cs="Arial"/>
          <w:szCs w:val="20"/>
          <w:lang w:val="sl-SI"/>
        </w:rPr>
        <w:t>Tožilstvo kot del pravosodja je v</w:t>
      </w:r>
      <w:r w:rsidR="00D05E3F">
        <w:rPr>
          <w:rFonts w:cs="Arial"/>
          <w:szCs w:val="20"/>
          <w:lang w:val="sl-SI"/>
        </w:rPr>
        <w:t xml:space="preserve"> Italijanski</w:t>
      </w:r>
      <w:r w:rsidRPr="008D7697">
        <w:rPr>
          <w:rFonts w:cs="Arial"/>
          <w:szCs w:val="20"/>
          <w:lang w:val="sl-SI"/>
        </w:rPr>
        <w:t xml:space="preserve"> </w:t>
      </w:r>
      <w:r w:rsidR="00D05E3F">
        <w:rPr>
          <w:rFonts w:cs="Arial"/>
          <w:szCs w:val="20"/>
          <w:lang w:val="sl-SI"/>
        </w:rPr>
        <w:t>r</w:t>
      </w:r>
      <w:r w:rsidRPr="008D7697">
        <w:rPr>
          <w:rFonts w:cs="Arial"/>
          <w:szCs w:val="20"/>
          <w:lang w:val="sl-SI"/>
        </w:rPr>
        <w:t xml:space="preserve">epubliki neodvisno. To izhaja iz Ustave </w:t>
      </w:r>
      <w:r w:rsidR="002D714B">
        <w:rPr>
          <w:rFonts w:cs="Arial"/>
          <w:szCs w:val="20"/>
          <w:lang w:val="sl-SI"/>
        </w:rPr>
        <w:t>Italijanske r</w:t>
      </w:r>
      <w:r w:rsidRPr="008D7697">
        <w:rPr>
          <w:rFonts w:cs="Arial"/>
          <w:szCs w:val="20"/>
          <w:lang w:val="sl-SI"/>
        </w:rPr>
        <w:t>epublike,</w:t>
      </w:r>
      <w:r w:rsidRPr="008D7697">
        <w:rPr>
          <w:rStyle w:val="Sprotnaopomba-sklic"/>
          <w:rFonts w:cs="Arial"/>
          <w:szCs w:val="20"/>
          <w:lang w:val="sl-SI"/>
        </w:rPr>
        <w:footnoteReference w:id="29"/>
      </w:r>
      <w:r w:rsidRPr="008D7697">
        <w:rPr>
          <w:rFonts w:cs="Arial"/>
          <w:szCs w:val="20"/>
          <w:lang w:val="sl-SI"/>
        </w:rPr>
        <w:t xml:space="preserve"> ki v 107. členu določa, da tožilcu pripadajo enaka zakonsko določena jamstva, kot so predvidena za sodstvo, v 108. členu </w:t>
      </w:r>
      <w:r w:rsidR="00A549D8">
        <w:rPr>
          <w:rFonts w:cs="Arial"/>
          <w:szCs w:val="20"/>
          <w:lang w:val="sl-SI"/>
        </w:rPr>
        <w:t>u</w:t>
      </w:r>
      <w:r w:rsidRPr="008D7697">
        <w:rPr>
          <w:rFonts w:cs="Arial"/>
          <w:szCs w:val="20"/>
          <w:lang w:val="sl-SI"/>
        </w:rPr>
        <w:t xml:space="preserve">stave je določena neodvisnost posameznih sodnikov in tožilcev, v 112. členu </w:t>
      </w:r>
      <w:r w:rsidR="00A549D8">
        <w:rPr>
          <w:rFonts w:cs="Arial"/>
          <w:szCs w:val="20"/>
          <w:lang w:val="sl-SI"/>
        </w:rPr>
        <w:t>u</w:t>
      </w:r>
      <w:r w:rsidRPr="008D7697">
        <w:rPr>
          <w:rFonts w:cs="Arial"/>
          <w:szCs w:val="20"/>
          <w:lang w:val="sl-SI"/>
        </w:rPr>
        <w:t>stave pa je določeno načelo obveznega pregona kaznivih dejanj: ko je pristojni državni tožilec obveščen o kaznivem dejanju, mora skupaj s sodno policijo (</w:t>
      </w:r>
      <w:r w:rsidRPr="008D7697">
        <w:rPr>
          <w:rFonts w:cs="Arial"/>
          <w:i/>
          <w:iCs/>
          <w:szCs w:val="20"/>
          <w:lang w:val="sl-SI"/>
        </w:rPr>
        <w:t>Polizia giudiziaria</w:t>
      </w:r>
      <w:r w:rsidRPr="008D7697">
        <w:rPr>
          <w:rFonts w:cs="Arial"/>
          <w:szCs w:val="20"/>
          <w:lang w:val="sl-SI"/>
        </w:rPr>
        <w:t xml:space="preserve">) opraviti predhodne preiskave in predložiti njihove rezultate skupaj z ustreznimi predlogi sodniku v oceno. Obveznost uvedbe kazenskega postopka prispeva k zagotavljanju neodvisnosti tožilstva pri opravljanju njegovega dela in enakosti vseh ljudi pred zakonom. </w:t>
      </w:r>
    </w:p>
    <w:p w14:paraId="4778AD9D" w14:textId="77777777" w:rsidR="00331D90" w:rsidRPr="008D7697" w:rsidRDefault="00331D90" w:rsidP="00623188">
      <w:pPr>
        <w:spacing w:line="260" w:lineRule="exact"/>
        <w:jc w:val="both"/>
        <w:rPr>
          <w:rFonts w:cs="Arial"/>
          <w:szCs w:val="20"/>
          <w:lang w:val="sl-SI"/>
        </w:rPr>
      </w:pPr>
    </w:p>
    <w:p w14:paraId="7BA942CA" w14:textId="18A29946" w:rsidR="00331D90" w:rsidRPr="00623188" w:rsidRDefault="00331D90" w:rsidP="00623188">
      <w:pPr>
        <w:spacing w:line="260" w:lineRule="exact"/>
        <w:jc w:val="both"/>
        <w:rPr>
          <w:rFonts w:cs="Arial"/>
          <w:szCs w:val="20"/>
          <w:lang w:val="sl-SI"/>
        </w:rPr>
      </w:pPr>
      <w:r w:rsidRPr="00623188">
        <w:rPr>
          <w:rFonts w:cs="Arial"/>
          <w:szCs w:val="20"/>
          <w:lang w:val="sl-SI"/>
        </w:rPr>
        <w:t xml:space="preserve">Tako sodniško kot tudi tožilsko funkcijo označuje izraz </w:t>
      </w:r>
      <w:r w:rsidR="0037217E">
        <w:rPr>
          <w:rFonts w:cs="Arial"/>
          <w:szCs w:val="20"/>
          <w:lang w:val="sl-SI"/>
        </w:rPr>
        <w:t>»</w:t>
      </w:r>
      <w:r w:rsidRPr="00623188">
        <w:rPr>
          <w:rFonts w:cs="Arial"/>
          <w:szCs w:val="20"/>
          <w:lang w:val="sl-SI"/>
        </w:rPr>
        <w:t>Magistratura</w:t>
      </w:r>
      <w:r w:rsidR="0037217E">
        <w:rPr>
          <w:rFonts w:cs="Arial"/>
          <w:szCs w:val="20"/>
          <w:lang w:val="sl-SI"/>
        </w:rPr>
        <w:t>«</w:t>
      </w:r>
      <w:r w:rsidRPr="00623188">
        <w:rPr>
          <w:rFonts w:cs="Arial"/>
          <w:szCs w:val="20"/>
          <w:lang w:val="sl-SI"/>
        </w:rPr>
        <w:t xml:space="preserve">, za tožilsko funkcijo pa se uporablja še označba </w:t>
      </w:r>
      <w:r w:rsidR="0037217E">
        <w:rPr>
          <w:rFonts w:cs="Arial"/>
          <w:szCs w:val="20"/>
          <w:lang w:val="sl-SI"/>
        </w:rPr>
        <w:t>»</w:t>
      </w:r>
      <w:r w:rsidRPr="00623188">
        <w:rPr>
          <w:rFonts w:cs="Arial"/>
          <w:szCs w:val="20"/>
          <w:lang w:val="sl-SI"/>
        </w:rPr>
        <w:t>Pubblico ministero</w:t>
      </w:r>
      <w:r w:rsidR="0037217E">
        <w:rPr>
          <w:rFonts w:cs="Arial"/>
          <w:szCs w:val="20"/>
          <w:lang w:val="sl-SI"/>
        </w:rPr>
        <w:t>«</w:t>
      </w:r>
      <w:r w:rsidRPr="00623188">
        <w:rPr>
          <w:rFonts w:cs="Arial"/>
          <w:szCs w:val="20"/>
          <w:lang w:val="sl-SI"/>
        </w:rPr>
        <w:t>. Pravosodje vodi Visoki pravosodni svet (</w:t>
      </w:r>
      <w:r w:rsidRPr="00623188">
        <w:rPr>
          <w:rFonts w:cs="Arial"/>
          <w:i/>
          <w:iCs/>
          <w:szCs w:val="20"/>
          <w:lang w:val="sl-SI"/>
        </w:rPr>
        <w:t xml:space="preserve">Consiglio superiore della magistratura </w:t>
      </w:r>
      <w:r w:rsidR="00761D45">
        <w:rPr>
          <w:rFonts w:cs="Arial"/>
          <w:i/>
          <w:iCs/>
          <w:szCs w:val="20"/>
          <w:lang w:val="sl-SI"/>
        </w:rPr>
        <w:t>−</w:t>
      </w:r>
      <w:r w:rsidRPr="00623188">
        <w:rPr>
          <w:rFonts w:cs="Arial"/>
          <w:i/>
          <w:iCs/>
          <w:szCs w:val="20"/>
          <w:lang w:val="sl-SI"/>
        </w:rPr>
        <w:t xml:space="preserve"> CSM</w:t>
      </w:r>
      <w:r w:rsidRPr="00623188">
        <w:rPr>
          <w:rFonts w:cs="Arial"/>
          <w:szCs w:val="20"/>
          <w:lang w:val="sl-SI"/>
        </w:rPr>
        <w:t xml:space="preserve">), na čelu katerega je predsednik republike. </w:t>
      </w:r>
    </w:p>
    <w:p w14:paraId="277428A9" w14:textId="77777777" w:rsidR="00331D90" w:rsidRPr="00623188" w:rsidRDefault="00331D90" w:rsidP="00623188">
      <w:pPr>
        <w:spacing w:line="260" w:lineRule="exact"/>
        <w:jc w:val="both"/>
        <w:rPr>
          <w:rFonts w:cs="Arial"/>
          <w:szCs w:val="20"/>
          <w:lang w:val="sl-SI"/>
        </w:rPr>
      </w:pPr>
    </w:p>
    <w:p w14:paraId="2E4896D0" w14:textId="55D4E3FA" w:rsidR="00331D90" w:rsidRPr="00623188" w:rsidRDefault="00331D90" w:rsidP="00623188">
      <w:pPr>
        <w:spacing w:line="260" w:lineRule="exact"/>
        <w:jc w:val="both"/>
        <w:rPr>
          <w:rFonts w:cs="Arial"/>
          <w:szCs w:val="20"/>
          <w:lang w:val="sl-SI"/>
        </w:rPr>
      </w:pPr>
      <w:r w:rsidRPr="00623188">
        <w:rPr>
          <w:rFonts w:cs="Arial"/>
          <w:szCs w:val="20"/>
          <w:lang w:val="sl-SI"/>
        </w:rPr>
        <w:t xml:space="preserve">To pomeni, da je tožilstvo neodvisno tudi od izvršilne veje oblasti. Nanj nima nobenega vpliva niti pravosodno ministrstvo niti parlament, vendar pa lahko </w:t>
      </w:r>
      <w:r w:rsidR="009506B1">
        <w:rPr>
          <w:rFonts w:cs="Arial"/>
          <w:szCs w:val="20"/>
          <w:lang w:val="sl-SI"/>
        </w:rPr>
        <w:t xml:space="preserve">ta </w:t>
      </w:r>
      <w:r w:rsidRPr="00623188">
        <w:rPr>
          <w:rFonts w:cs="Arial"/>
          <w:szCs w:val="20"/>
          <w:lang w:val="sl-SI"/>
        </w:rPr>
        <w:t>od tožilstva v obliki pisnih vprašanj zahteva informacije v posameznih primerih.</w:t>
      </w:r>
    </w:p>
    <w:p w14:paraId="31CE84FA" w14:textId="77777777" w:rsidR="00331D90" w:rsidRPr="00623188" w:rsidRDefault="00331D90" w:rsidP="00623188">
      <w:pPr>
        <w:spacing w:line="260" w:lineRule="exact"/>
        <w:jc w:val="both"/>
        <w:rPr>
          <w:rFonts w:cs="Arial"/>
          <w:szCs w:val="20"/>
          <w:lang w:val="sl-SI"/>
        </w:rPr>
      </w:pPr>
    </w:p>
    <w:p w14:paraId="5AD0355F" w14:textId="7EBE977A" w:rsidR="00331D90" w:rsidRPr="00623188" w:rsidRDefault="00331D90" w:rsidP="00623188">
      <w:pPr>
        <w:spacing w:line="260" w:lineRule="exact"/>
        <w:jc w:val="both"/>
        <w:rPr>
          <w:rFonts w:cs="Arial"/>
          <w:szCs w:val="20"/>
          <w:lang w:val="sl-SI"/>
        </w:rPr>
      </w:pPr>
      <w:r w:rsidRPr="00623188">
        <w:rPr>
          <w:rFonts w:cs="Arial"/>
          <w:szCs w:val="20"/>
          <w:lang w:val="sl-SI"/>
        </w:rPr>
        <w:lastRenderedPageBreak/>
        <w:t xml:space="preserve">V sistemu italijanskih tožilstev ni hierarhične organizacije na </w:t>
      </w:r>
      <w:r w:rsidR="007F3B25">
        <w:rPr>
          <w:rFonts w:cs="Arial"/>
          <w:szCs w:val="20"/>
          <w:lang w:val="sl-SI"/>
        </w:rPr>
        <w:t xml:space="preserve">državni </w:t>
      </w:r>
      <w:r w:rsidRPr="00623188">
        <w:rPr>
          <w:rFonts w:cs="Arial"/>
          <w:szCs w:val="20"/>
          <w:lang w:val="sl-SI"/>
        </w:rPr>
        <w:t xml:space="preserve">ravni in tožilska funkcija ni centralizirana, ampak je del rednega sodstva. Tak sistem zagotavlja, da se izvršilna oblast ne vmešava v delo tožilstva in da so vsi državljani enako obravnavani. Tožilci niso odvisni od drugih organizacij ali teles, ampak so, enako kot sodniki, zavezani samo zakonu. V skladu s 105. členom </w:t>
      </w:r>
      <w:r w:rsidR="00F12739">
        <w:rPr>
          <w:rFonts w:cs="Arial"/>
          <w:szCs w:val="20"/>
          <w:lang w:val="sl-SI"/>
        </w:rPr>
        <w:t>u</w:t>
      </w:r>
      <w:r w:rsidRPr="00623188">
        <w:rPr>
          <w:rFonts w:cs="Arial"/>
          <w:szCs w:val="20"/>
          <w:lang w:val="sl-SI"/>
        </w:rPr>
        <w:t>stave jih imenuje CSM, ki je ustavno določen</w:t>
      </w:r>
      <w:r w:rsidR="00F12739">
        <w:rPr>
          <w:rFonts w:cs="Arial"/>
          <w:szCs w:val="20"/>
          <w:lang w:val="sl-SI"/>
        </w:rPr>
        <w:t>i</w:t>
      </w:r>
      <w:r w:rsidRPr="00623188">
        <w:rPr>
          <w:rFonts w:cs="Arial"/>
          <w:szCs w:val="20"/>
          <w:lang w:val="sl-SI"/>
        </w:rPr>
        <w:t xml:space="preserve"> organ pravosodne samouprave. </w:t>
      </w:r>
    </w:p>
    <w:p w14:paraId="009C7374" w14:textId="77777777" w:rsidR="00331D90" w:rsidRPr="00623188" w:rsidRDefault="00331D90" w:rsidP="00623188">
      <w:pPr>
        <w:spacing w:line="260" w:lineRule="exact"/>
        <w:jc w:val="both"/>
        <w:rPr>
          <w:rFonts w:cs="Arial"/>
          <w:szCs w:val="20"/>
          <w:lang w:val="sl-SI"/>
        </w:rPr>
      </w:pPr>
    </w:p>
    <w:p w14:paraId="0D05D8E0" w14:textId="23B66314" w:rsidR="00331D90" w:rsidRPr="00623188" w:rsidRDefault="00331D90" w:rsidP="00623188">
      <w:pPr>
        <w:spacing w:line="260" w:lineRule="exact"/>
        <w:jc w:val="both"/>
        <w:rPr>
          <w:rFonts w:cs="Arial"/>
          <w:szCs w:val="20"/>
          <w:lang w:val="sl-SI"/>
        </w:rPr>
      </w:pPr>
      <w:r w:rsidRPr="00623188">
        <w:rPr>
          <w:rFonts w:cs="Arial"/>
          <w:szCs w:val="20"/>
          <w:lang w:val="sl-SI"/>
        </w:rPr>
        <w:t>Tožilstva so organizirana tako, da so tožilski uradi (</w:t>
      </w:r>
      <w:r w:rsidRPr="00623188">
        <w:rPr>
          <w:rFonts w:cs="Arial"/>
          <w:i/>
          <w:iCs/>
          <w:szCs w:val="20"/>
          <w:lang w:val="sl-SI"/>
        </w:rPr>
        <w:t>Procura della Repubblica</w:t>
      </w:r>
      <w:r w:rsidRPr="00623188">
        <w:rPr>
          <w:rFonts w:cs="Arial"/>
          <w:szCs w:val="20"/>
          <w:lang w:val="sl-SI"/>
        </w:rPr>
        <w:t>) priključeni k vsem prvostopenjskim sodiščem (</w:t>
      </w:r>
      <w:r w:rsidRPr="00623188">
        <w:rPr>
          <w:rFonts w:cs="Arial"/>
          <w:i/>
          <w:iCs/>
          <w:szCs w:val="20"/>
          <w:lang w:val="sl-SI"/>
        </w:rPr>
        <w:t>Tribunali ordinari</w:t>
      </w:r>
      <w:r w:rsidRPr="00623188">
        <w:rPr>
          <w:rFonts w:cs="Arial"/>
          <w:szCs w:val="20"/>
          <w:lang w:val="sl-SI"/>
        </w:rPr>
        <w:t>) in sodiščem za mladoletnike (</w:t>
      </w:r>
      <w:r w:rsidRPr="00623188">
        <w:rPr>
          <w:rFonts w:cs="Arial"/>
          <w:i/>
          <w:iCs/>
          <w:szCs w:val="20"/>
          <w:lang w:val="sl-SI"/>
        </w:rPr>
        <w:t>Tribunali per i minorenni</w:t>
      </w:r>
      <w:r w:rsidRPr="00623188">
        <w:rPr>
          <w:rFonts w:cs="Arial"/>
          <w:szCs w:val="20"/>
          <w:lang w:val="sl-SI"/>
        </w:rPr>
        <w:t>), krajevno pristojni tožilski uradi prvostopenjskih sodišč pa pokrivajo tudi postopke pred mirovnim sodnikom (</w:t>
      </w:r>
      <w:r w:rsidRPr="00623188">
        <w:rPr>
          <w:rFonts w:cs="Arial"/>
          <w:i/>
          <w:iCs/>
          <w:szCs w:val="20"/>
          <w:lang w:val="sl-SI"/>
        </w:rPr>
        <w:t>Giudice di pace</w:t>
      </w:r>
      <w:r w:rsidRPr="00623188">
        <w:rPr>
          <w:rFonts w:cs="Arial"/>
          <w:szCs w:val="20"/>
          <w:lang w:val="sl-SI"/>
        </w:rPr>
        <w:t>). V vsakem tožilskem uradu je tožilec – vodja (</w:t>
      </w:r>
      <w:r w:rsidRPr="00623188">
        <w:rPr>
          <w:rFonts w:cs="Arial"/>
          <w:i/>
          <w:iCs/>
          <w:szCs w:val="20"/>
          <w:lang w:val="sl-SI"/>
        </w:rPr>
        <w:t>Procuratore della Repubblica</w:t>
      </w:r>
      <w:r w:rsidRPr="00623188">
        <w:rPr>
          <w:rFonts w:cs="Arial"/>
          <w:szCs w:val="20"/>
          <w:lang w:val="sl-SI"/>
        </w:rPr>
        <w:t>), ki organizira delo urada in dodeljuje posamezne zadeve tožilcem namestnikom (</w:t>
      </w:r>
      <w:r w:rsidRPr="00623188">
        <w:rPr>
          <w:rFonts w:cs="Arial"/>
          <w:i/>
          <w:iCs/>
          <w:szCs w:val="20"/>
          <w:lang w:val="sl-SI"/>
        </w:rPr>
        <w:t>Sostituti Procuratori della Repubblica</w:t>
      </w:r>
      <w:r w:rsidRPr="00623188">
        <w:rPr>
          <w:rFonts w:cs="Arial"/>
          <w:szCs w:val="20"/>
          <w:lang w:val="sl-SI"/>
        </w:rPr>
        <w:t>), poleg tega lahko tudi sam opravlja tožilsko funkcijo. Pri pritožbenih/apelacijskih sodiščih (</w:t>
      </w:r>
      <w:r w:rsidRPr="00623188">
        <w:rPr>
          <w:rFonts w:cs="Arial"/>
          <w:i/>
          <w:iCs/>
          <w:szCs w:val="20"/>
          <w:lang w:val="sl-SI"/>
        </w:rPr>
        <w:t>Corte d'Appello</w:t>
      </w:r>
      <w:r w:rsidRPr="00623188">
        <w:rPr>
          <w:rFonts w:cs="Arial"/>
          <w:szCs w:val="20"/>
          <w:lang w:val="sl-SI"/>
        </w:rPr>
        <w:t xml:space="preserve">) in pri </w:t>
      </w:r>
      <w:r w:rsidR="00791FAE">
        <w:rPr>
          <w:rFonts w:cs="Arial"/>
          <w:szCs w:val="20"/>
          <w:lang w:val="sl-SI"/>
        </w:rPr>
        <w:t>v</w:t>
      </w:r>
      <w:r w:rsidRPr="00623188">
        <w:rPr>
          <w:rFonts w:cs="Arial"/>
          <w:szCs w:val="20"/>
          <w:lang w:val="sl-SI"/>
        </w:rPr>
        <w:t xml:space="preserve">rhovnem kasacijskem sodišču se tožilski uradi imenujejo </w:t>
      </w:r>
      <w:r w:rsidRPr="00623188">
        <w:rPr>
          <w:rFonts w:cs="Arial"/>
          <w:i/>
          <w:iCs/>
          <w:szCs w:val="20"/>
          <w:lang w:val="sl-SI"/>
        </w:rPr>
        <w:t>Procura generale della Repubblica</w:t>
      </w:r>
      <w:r w:rsidRPr="00623188">
        <w:rPr>
          <w:rFonts w:cs="Arial"/>
          <w:szCs w:val="20"/>
          <w:lang w:val="sl-SI"/>
        </w:rPr>
        <w:t>, vsakega vodi generalni tožilec (</w:t>
      </w:r>
      <w:r w:rsidRPr="00623188">
        <w:rPr>
          <w:rFonts w:cs="Arial"/>
          <w:i/>
          <w:iCs/>
          <w:szCs w:val="20"/>
          <w:lang w:val="sl-SI"/>
        </w:rPr>
        <w:t>Procuratore generale della Repubblica</w:t>
      </w:r>
      <w:r w:rsidRPr="00623188">
        <w:rPr>
          <w:rFonts w:cs="Arial"/>
          <w:szCs w:val="20"/>
          <w:lang w:val="sl-SI"/>
        </w:rPr>
        <w:t xml:space="preserve">), namestniki pa so </w:t>
      </w:r>
      <w:r w:rsidRPr="00623188">
        <w:rPr>
          <w:rFonts w:cs="Arial"/>
          <w:i/>
          <w:iCs/>
          <w:szCs w:val="20"/>
          <w:lang w:val="sl-SI"/>
        </w:rPr>
        <w:t>sostituti procuratori generali della Repubblica</w:t>
      </w:r>
      <w:r w:rsidRPr="00623188">
        <w:rPr>
          <w:rFonts w:cs="Arial"/>
          <w:szCs w:val="20"/>
          <w:lang w:val="sl-SI"/>
        </w:rPr>
        <w:t xml:space="preserve">. V tožilskem uradu pri </w:t>
      </w:r>
      <w:r w:rsidR="00791FAE">
        <w:rPr>
          <w:rFonts w:cs="Arial"/>
          <w:szCs w:val="20"/>
          <w:lang w:val="sl-SI"/>
        </w:rPr>
        <w:t>v</w:t>
      </w:r>
      <w:r w:rsidRPr="00623188">
        <w:rPr>
          <w:rFonts w:cs="Arial"/>
          <w:szCs w:val="20"/>
          <w:lang w:val="sl-SI"/>
        </w:rPr>
        <w:t>rhovnem kasacijskem sodišču je najpomembnejši funkcionar vodja urada (</w:t>
      </w:r>
      <w:r w:rsidRPr="00623188">
        <w:rPr>
          <w:rFonts w:cs="Arial"/>
          <w:i/>
          <w:iCs/>
          <w:szCs w:val="20"/>
          <w:lang w:val="sl-SI"/>
        </w:rPr>
        <w:t>Procuratore generale capo</w:t>
      </w:r>
      <w:r w:rsidRPr="00623188">
        <w:rPr>
          <w:rFonts w:cs="Arial"/>
          <w:szCs w:val="20"/>
          <w:lang w:val="sl-SI"/>
        </w:rPr>
        <w:t>), ki ima namestnika (</w:t>
      </w:r>
      <w:r w:rsidRPr="00623188">
        <w:rPr>
          <w:rFonts w:cs="Arial"/>
          <w:i/>
          <w:iCs/>
          <w:szCs w:val="20"/>
          <w:lang w:val="sl-SI"/>
        </w:rPr>
        <w:t>Procuratore generale aggiunto</w:t>
      </w:r>
      <w:r w:rsidRPr="00623188">
        <w:rPr>
          <w:rFonts w:cs="Arial"/>
          <w:szCs w:val="20"/>
          <w:lang w:val="sl-SI"/>
        </w:rPr>
        <w:t xml:space="preserve">), na katerega vodja prenese nekatere funkcije. </w:t>
      </w:r>
    </w:p>
    <w:p w14:paraId="345DB18A" w14:textId="77777777" w:rsidR="00331D90" w:rsidRPr="00623188" w:rsidRDefault="00331D90" w:rsidP="00623188">
      <w:pPr>
        <w:spacing w:line="260" w:lineRule="exact"/>
        <w:jc w:val="both"/>
        <w:rPr>
          <w:rFonts w:cs="Arial"/>
          <w:szCs w:val="20"/>
          <w:lang w:val="sl-SI"/>
        </w:rPr>
      </w:pPr>
    </w:p>
    <w:p w14:paraId="0970C7E7" w14:textId="4597E72D" w:rsidR="00331D90" w:rsidRPr="00623188" w:rsidRDefault="00331D90" w:rsidP="00623188">
      <w:pPr>
        <w:spacing w:line="260" w:lineRule="exact"/>
        <w:jc w:val="both"/>
        <w:rPr>
          <w:rFonts w:cs="Arial"/>
          <w:szCs w:val="20"/>
          <w:lang w:val="sl-SI"/>
        </w:rPr>
      </w:pPr>
      <w:r w:rsidRPr="00623188">
        <w:rPr>
          <w:rFonts w:cs="Arial"/>
          <w:szCs w:val="20"/>
          <w:lang w:val="sl-SI"/>
        </w:rPr>
        <w:t xml:space="preserve">Tožilci imajo, tako kot sodniki, trajni mandat, kar izhaja iz 107. člena </w:t>
      </w:r>
      <w:r w:rsidR="00072F1E">
        <w:rPr>
          <w:rFonts w:cs="Arial"/>
          <w:szCs w:val="20"/>
          <w:lang w:val="sl-SI"/>
        </w:rPr>
        <w:t>u</w:t>
      </w:r>
      <w:r w:rsidRPr="00623188">
        <w:rPr>
          <w:rFonts w:cs="Arial"/>
          <w:szCs w:val="20"/>
          <w:lang w:val="sl-SI"/>
        </w:rPr>
        <w:t>stave. Vendar pa je nacionalni tožilec za borbo proti mafiji (</w:t>
      </w:r>
      <w:r w:rsidRPr="00623188">
        <w:rPr>
          <w:rFonts w:cs="Arial"/>
          <w:i/>
          <w:iCs/>
          <w:szCs w:val="20"/>
          <w:lang w:val="sl-SI"/>
        </w:rPr>
        <w:t>Procuratore nazionale antimafia</w:t>
      </w:r>
      <w:r w:rsidRPr="00623188">
        <w:rPr>
          <w:rFonts w:cs="Arial"/>
          <w:szCs w:val="20"/>
          <w:lang w:val="sl-SI"/>
        </w:rPr>
        <w:t>) imenovan za določen čas, in sicer za štiri leta z možnostjo enkratnega ponovnega imenovanja.</w:t>
      </w:r>
    </w:p>
    <w:p w14:paraId="46B18CB2" w14:textId="77777777" w:rsidR="00331D90" w:rsidRPr="00623188" w:rsidRDefault="00331D90" w:rsidP="00623188">
      <w:pPr>
        <w:spacing w:line="260" w:lineRule="exact"/>
        <w:jc w:val="both"/>
        <w:rPr>
          <w:rFonts w:cs="Arial"/>
          <w:szCs w:val="20"/>
          <w:lang w:val="sl-SI"/>
        </w:rPr>
      </w:pPr>
    </w:p>
    <w:p w14:paraId="246F6B76" w14:textId="77777777" w:rsidR="00331D90" w:rsidRPr="00623188" w:rsidRDefault="00331D90" w:rsidP="00623188">
      <w:pPr>
        <w:spacing w:line="260" w:lineRule="exact"/>
        <w:jc w:val="both"/>
        <w:rPr>
          <w:rFonts w:cs="Arial"/>
          <w:szCs w:val="20"/>
          <w:lang w:val="sl-SI"/>
        </w:rPr>
      </w:pPr>
      <w:r w:rsidRPr="00623188">
        <w:rPr>
          <w:rFonts w:cs="Arial"/>
          <w:szCs w:val="20"/>
          <w:lang w:val="sl-SI"/>
        </w:rPr>
        <w:t>Plače tožilcev se, enako kot plače sodnikov, določajo po posebnih pravilih in ne po splošnih pravilih, ki veljajo za državne uradnike.</w:t>
      </w:r>
    </w:p>
    <w:p w14:paraId="617A411E" w14:textId="77777777" w:rsidR="00331D90" w:rsidRPr="00623188" w:rsidRDefault="00331D90" w:rsidP="00623188">
      <w:pPr>
        <w:spacing w:line="260" w:lineRule="exact"/>
        <w:jc w:val="both"/>
        <w:rPr>
          <w:rFonts w:cs="Arial"/>
          <w:szCs w:val="20"/>
          <w:lang w:val="sl-SI"/>
        </w:rPr>
      </w:pPr>
    </w:p>
    <w:p w14:paraId="2A20FF0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5.2.5 ESTONIJA</w:t>
      </w:r>
      <w:r w:rsidRPr="00623188">
        <w:rPr>
          <w:rStyle w:val="Sprotnaopomba-sklic"/>
          <w:rFonts w:cs="Arial"/>
          <w:b/>
          <w:bCs/>
          <w:szCs w:val="20"/>
          <w:lang w:val="sl-SI"/>
        </w:rPr>
        <w:footnoteReference w:id="30"/>
      </w:r>
    </w:p>
    <w:p w14:paraId="4EE4954C" w14:textId="77777777" w:rsidR="00331D90" w:rsidRPr="00623188" w:rsidRDefault="00331D90" w:rsidP="00623188">
      <w:pPr>
        <w:spacing w:line="260" w:lineRule="exact"/>
        <w:jc w:val="both"/>
        <w:rPr>
          <w:rFonts w:cs="Arial"/>
          <w:szCs w:val="20"/>
          <w:lang w:val="sl-SI"/>
        </w:rPr>
      </w:pPr>
    </w:p>
    <w:p w14:paraId="324051B6" w14:textId="77777777" w:rsidR="00331D90" w:rsidRPr="00623188" w:rsidRDefault="00331D90" w:rsidP="00623188">
      <w:pPr>
        <w:spacing w:line="260" w:lineRule="exact"/>
        <w:jc w:val="both"/>
        <w:rPr>
          <w:rFonts w:cs="Arial"/>
          <w:szCs w:val="20"/>
          <w:lang w:val="sl-SI"/>
        </w:rPr>
      </w:pPr>
      <w:r w:rsidRPr="00623188">
        <w:rPr>
          <w:rFonts w:cs="Arial"/>
          <w:szCs w:val="20"/>
          <w:lang w:val="sl-SI"/>
        </w:rPr>
        <w:t>Tožilstvo je državni organ, za katerega je pristojno ministrstvo za pravosodje (vladna agencija v okviru ministrstva za pravosodje). Sestavljata ga dve ravni: urad generalnega tožilca (kot nadrejeno tožilstvo) in pet okrožnih tožilstev.</w:t>
      </w:r>
    </w:p>
    <w:p w14:paraId="688B896F" w14:textId="77777777" w:rsidR="00331D90" w:rsidRPr="00623188" w:rsidRDefault="00331D90" w:rsidP="00623188">
      <w:pPr>
        <w:spacing w:line="260" w:lineRule="exact"/>
        <w:jc w:val="both"/>
        <w:rPr>
          <w:rFonts w:cs="Arial"/>
          <w:szCs w:val="20"/>
          <w:lang w:val="sl-SI"/>
        </w:rPr>
      </w:pPr>
    </w:p>
    <w:p w14:paraId="4C244AC1" w14:textId="77777777" w:rsidR="00331D90" w:rsidRPr="00623188" w:rsidRDefault="00331D90" w:rsidP="00623188">
      <w:pPr>
        <w:spacing w:line="260" w:lineRule="exact"/>
        <w:jc w:val="both"/>
        <w:rPr>
          <w:rFonts w:cs="Arial"/>
          <w:szCs w:val="20"/>
          <w:lang w:val="sl-SI"/>
        </w:rPr>
      </w:pPr>
      <w:r w:rsidRPr="00623188">
        <w:rPr>
          <w:rFonts w:cs="Arial"/>
          <w:szCs w:val="20"/>
          <w:lang w:val="sl-SI"/>
        </w:rPr>
        <w:t>Urad generalnega tožilca je pristojen za celotno Estonijo, območja pristojnosti okrožnih tožilstev pa ustrezajo območjem pristojnosti policijskih prefektur. Vodja državnega tožilstva je generalni tožilec, ki ga na to funkcijo za pet let imenuje estonska vlada na predlog ministra za pravosodje ob upoštevanju mnenja odbora za pravne zadeve estonskega parlamenta. Generalni tožilec vsako leto med spomladanskim zasedanjem parlamenta njegovemu ustavnemu odboru predloži pregled izvajanja nalog, ki so tožilstvu naložene z zakonom, v predhodnem koledarskem letu.</w:t>
      </w:r>
    </w:p>
    <w:p w14:paraId="2754A961" w14:textId="77777777" w:rsidR="00331D90" w:rsidRPr="00623188" w:rsidRDefault="00331D90" w:rsidP="00623188">
      <w:pPr>
        <w:spacing w:line="260" w:lineRule="exact"/>
        <w:jc w:val="both"/>
        <w:rPr>
          <w:rFonts w:cs="Arial"/>
          <w:szCs w:val="20"/>
          <w:lang w:val="sl-SI"/>
        </w:rPr>
      </w:pPr>
    </w:p>
    <w:p w14:paraId="75F2AADA" w14:textId="77777777" w:rsidR="00331D90" w:rsidRPr="00623188" w:rsidRDefault="00331D90" w:rsidP="00623188">
      <w:pPr>
        <w:spacing w:line="260" w:lineRule="exact"/>
        <w:jc w:val="both"/>
        <w:rPr>
          <w:rFonts w:cs="Arial"/>
          <w:szCs w:val="20"/>
          <w:lang w:val="sl-SI"/>
        </w:rPr>
      </w:pPr>
      <w:r w:rsidRPr="00623188">
        <w:rPr>
          <w:rFonts w:cs="Arial"/>
          <w:szCs w:val="20"/>
          <w:lang w:val="sl-SI"/>
        </w:rPr>
        <w:t>Vodje okrožnih tožilstev so glavni tožilci, ki jih na to funkcijo za pet let imenuje minister za pravosodje na predlog generalnega tožilca.</w:t>
      </w:r>
    </w:p>
    <w:p w14:paraId="79916B5F" w14:textId="77777777" w:rsidR="00331D90" w:rsidRPr="00623188" w:rsidRDefault="00331D90" w:rsidP="00623188">
      <w:pPr>
        <w:spacing w:line="260" w:lineRule="exact"/>
        <w:jc w:val="both"/>
        <w:rPr>
          <w:rFonts w:cs="Arial"/>
          <w:szCs w:val="20"/>
          <w:lang w:val="sl-SI"/>
        </w:rPr>
      </w:pPr>
    </w:p>
    <w:p w14:paraId="5AD11738" w14:textId="77777777" w:rsidR="00331D90" w:rsidRPr="00623188" w:rsidRDefault="00331D90" w:rsidP="00623188">
      <w:pPr>
        <w:spacing w:line="260" w:lineRule="exact"/>
        <w:jc w:val="both"/>
        <w:rPr>
          <w:rFonts w:cs="Arial"/>
          <w:szCs w:val="20"/>
          <w:lang w:val="sl-SI"/>
        </w:rPr>
      </w:pPr>
      <w:r w:rsidRPr="00623188">
        <w:rPr>
          <w:rFonts w:cs="Arial"/>
          <w:szCs w:val="20"/>
          <w:lang w:val="sl-SI"/>
        </w:rPr>
        <w:t>Skupaj je v Estoniji osem vrst tožilcev: generalni tožilec, glavni tožilci, državni tožilci in tožilci pomočniki v uradu generalnega tožilca ter glavni tožilci, višji tožilci, posebni tožilci, okrožni tožilci in tožilci pomočniki na okrožnih tožilstvih.</w:t>
      </w:r>
    </w:p>
    <w:p w14:paraId="227494FD" w14:textId="77777777" w:rsidR="00331D90" w:rsidRPr="00623188" w:rsidRDefault="00331D90" w:rsidP="00623188">
      <w:pPr>
        <w:spacing w:line="260" w:lineRule="exact"/>
        <w:jc w:val="both"/>
        <w:rPr>
          <w:rFonts w:cs="Arial"/>
          <w:b/>
          <w:bCs/>
          <w:szCs w:val="20"/>
          <w:lang w:val="sl-SI"/>
        </w:rPr>
      </w:pPr>
    </w:p>
    <w:p w14:paraId="6D8478FC" w14:textId="77777777" w:rsidR="00331D90" w:rsidRPr="00623188" w:rsidRDefault="00331D90" w:rsidP="00623188">
      <w:pPr>
        <w:spacing w:line="260" w:lineRule="exact"/>
        <w:contextualSpacing/>
        <w:jc w:val="both"/>
        <w:rPr>
          <w:rFonts w:cs="Arial"/>
          <w:szCs w:val="20"/>
          <w:lang w:val="sl-SI"/>
        </w:rPr>
      </w:pPr>
    </w:p>
    <w:p w14:paraId="0E225BE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 PRESOJA POSLEDIC, KI JIH BO IMEL SPREJEM ZAKONA </w:t>
      </w:r>
    </w:p>
    <w:p w14:paraId="572C663D" w14:textId="77777777" w:rsidR="00331D90" w:rsidRPr="00623188" w:rsidRDefault="00331D90" w:rsidP="00623188">
      <w:pPr>
        <w:autoSpaceDE w:val="0"/>
        <w:autoSpaceDN w:val="0"/>
        <w:adjustRightInd w:val="0"/>
        <w:spacing w:line="260" w:lineRule="exact"/>
        <w:rPr>
          <w:rFonts w:cs="Arial"/>
          <w:b/>
          <w:bCs/>
          <w:szCs w:val="20"/>
          <w:lang w:val="sl-SI"/>
        </w:rPr>
      </w:pPr>
    </w:p>
    <w:p w14:paraId="5D5B0A46"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6.1 Presoja administrativnih posledic</w:t>
      </w:r>
    </w:p>
    <w:p w14:paraId="08A610A6"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 </w:t>
      </w:r>
    </w:p>
    <w:p w14:paraId="65D97563"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a) v postopkih oziroma poslovanju javne uprave ali pravosodnih organov:</w:t>
      </w:r>
    </w:p>
    <w:p w14:paraId="627942EF" w14:textId="47BE45F4" w:rsidR="00331D90" w:rsidRPr="00623188" w:rsidRDefault="00331D90" w:rsidP="00623188">
      <w:pPr>
        <w:spacing w:line="260" w:lineRule="exact"/>
        <w:jc w:val="both"/>
        <w:rPr>
          <w:rFonts w:cs="Arial"/>
          <w:szCs w:val="20"/>
          <w:lang w:val="sl-SI"/>
        </w:rPr>
      </w:pPr>
      <w:r w:rsidRPr="00623188">
        <w:rPr>
          <w:rFonts w:eastAsia="Arial" w:cs="Arial"/>
          <w:szCs w:val="20"/>
          <w:lang w:val="sl-SI"/>
        </w:rPr>
        <w:t>Z omogočanjem učinkovitejšega vodenja in organiziranja poslovanja državnih tožilstev ter učinkovitejše izenačitve obremenitve in boljše izrabe kadrovskih virov se bo povečala učinkovitost dela državnih tožilstev.</w:t>
      </w:r>
    </w:p>
    <w:p w14:paraId="6109C136" w14:textId="77777777" w:rsidR="00331D90" w:rsidRPr="00623188" w:rsidRDefault="00331D90" w:rsidP="00623188">
      <w:pPr>
        <w:spacing w:line="260" w:lineRule="exact"/>
        <w:jc w:val="both"/>
        <w:rPr>
          <w:rFonts w:cs="Arial"/>
          <w:szCs w:val="20"/>
          <w:lang w:val="sl-SI"/>
        </w:rPr>
      </w:pPr>
    </w:p>
    <w:p w14:paraId="4E460E28" w14:textId="77777777" w:rsidR="00331D90" w:rsidRPr="00623188" w:rsidRDefault="00331D90" w:rsidP="00623188">
      <w:pPr>
        <w:spacing w:line="260" w:lineRule="exact"/>
        <w:jc w:val="both"/>
        <w:rPr>
          <w:rFonts w:cs="Arial"/>
          <w:b/>
          <w:bCs/>
          <w:szCs w:val="20"/>
          <w:lang w:val="sl-SI"/>
        </w:rPr>
      </w:pPr>
      <w:r w:rsidRPr="00623188">
        <w:rPr>
          <w:rFonts w:cs="Arial"/>
          <w:b/>
          <w:bCs/>
          <w:szCs w:val="20"/>
          <w:lang w:val="sl-SI"/>
        </w:rPr>
        <w:t>b) pri obveznostih strank do javne uprave ali pravosodnih organov:</w:t>
      </w:r>
    </w:p>
    <w:p w14:paraId="7099F0B1"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tovrstnih posledic.</w:t>
      </w:r>
    </w:p>
    <w:p w14:paraId="5CB3A02C" w14:textId="77777777" w:rsidR="00331D90" w:rsidRPr="00623188" w:rsidRDefault="00331D90" w:rsidP="00623188">
      <w:pPr>
        <w:spacing w:line="260" w:lineRule="exact"/>
        <w:jc w:val="both"/>
        <w:rPr>
          <w:rFonts w:cs="Arial"/>
          <w:b/>
          <w:szCs w:val="20"/>
          <w:lang w:val="sl-SI"/>
        </w:rPr>
      </w:pPr>
    </w:p>
    <w:p w14:paraId="7214AB25"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6.2 Presoja posledic za okolje, vključno s prostorskimi in varstvenimi vidiki: </w:t>
      </w:r>
    </w:p>
    <w:p w14:paraId="1DF6B19D" w14:textId="77777777" w:rsidR="00331D90" w:rsidRPr="00623188" w:rsidRDefault="00331D90" w:rsidP="00623188">
      <w:pPr>
        <w:autoSpaceDE w:val="0"/>
        <w:autoSpaceDN w:val="0"/>
        <w:adjustRightInd w:val="0"/>
        <w:spacing w:line="260" w:lineRule="exact"/>
        <w:rPr>
          <w:rFonts w:cs="Arial"/>
          <w:szCs w:val="20"/>
          <w:lang w:val="sl-SI"/>
        </w:rPr>
      </w:pPr>
    </w:p>
    <w:p w14:paraId="1C08A197"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Predlog zakona ne bo imel posledic za okolje.</w:t>
      </w:r>
    </w:p>
    <w:p w14:paraId="122BD142" w14:textId="77777777" w:rsidR="00331D90" w:rsidRPr="00623188" w:rsidRDefault="00331D90" w:rsidP="00623188">
      <w:pPr>
        <w:autoSpaceDE w:val="0"/>
        <w:autoSpaceDN w:val="0"/>
        <w:adjustRightInd w:val="0"/>
        <w:spacing w:line="260" w:lineRule="exact"/>
        <w:rPr>
          <w:rFonts w:cs="Arial"/>
          <w:szCs w:val="20"/>
          <w:lang w:val="sl-SI"/>
        </w:rPr>
      </w:pPr>
    </w:p>
    <w:p w14:paraId="36079BAE"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6.3 Presoja posledic za gospodarstvo: </w:t>
      </w:r>
    </w:p>
    <w:p w14:paraId="5CEC3FB8" w14:textId="77777777" w:rsidR="00331D90" w:rsidRPr="00623188" w:rsidRDefault="00331D90" w:rsidP="00623188">
      <w:pPr>
        <w:autoSpaceDE w:val="0"/>
        <w:autoSpaceDN w:val="0"/>
        <w:adjustRightInd w:val="0"/>
        <w:spacing w:line="260" w:lineRule="exact"/>
        <w:rPr>
          <w:rFonts w:cs="Arial"/>
          <w:szCs w:val="20"/>
          <w:lang w:val="sl-SI"/>
        </w:rPr>
      </w:pPr>
    </w:p>
    <w:p w14:paraId="6E556A0E" w14:textId="77777777" w:rsidR="00331D90" w:rsidRPr="00623188" w:rsidRDefault="00331D90" w:rsidP="00623188">
      <w:pPr>
        <w:spacing w:line="260" w:lineRule="exact"/>
        <w:jc w:val="both"/>
        <w:rPr>
          <w:rFonts w:cs="Arial"/>
          <w:szCs w:val="20"/>
          <w:lang w:val="sl-SI"/>
        </w:rPr>
      </w:pPr>
      <w:r w:rsidRPr="00623188">
        <w:rPr>
          <w:rFonts w:cs="Arial"/>
          <w:szCs w:val="20"/>
          <w:lang w:val="sl-SI"/>
        </w:rPr>
        <w:t>Predlog zakona ne bo imel posledic za gospodarstvo.</w:t>
      </w:r>
    </w:p>
    <w:p w14:paraId="5DD290B9" w14:textId="77777777" w:rsidR="00331D90" w:rsidRPr="00623188" w:rsidRDefault="00331D90" w:rsidP="00623188">
      <w:pPr>
        <w:spacing w:line="260" w:lineRule="exact"/>
        <w:jc w:val="both"/>
        <w:rPr>
          <w:rFonts w:cs="Arial"/>
          <w:szCs w:val="20"/>
          <w:lang w:val="sl-SI"/>
        </w:rPr>
      </w:pPr>
    </w:p>
    <w:p w14:paraId="7206E9F0"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b/>
          <w:bCs/>
          <w:szCs w:val="20"/>
          <w:lang w:val="sl-SI"/>
        </w:rPr>
        <w:t xml:space="preserve">6.4 Presoja posledic za socialno področje: </w:t>
      </w:r>
    </w:p>
    <w:p w14:paraId="0E498923" w14:textId="77777777" w:rsidR="00331D90" w:rsidRPr="00623188" w:rsidRDefault="00331D90" w:rsidP="00623188">
      <w:pPr>
        <w:autoSpaceDE w:val="0"/>
        <w:autoSpaceDN w:val="0"/>
        <w:adjustRightInd w:val="0"/>
        <w:spacing w:line="260" w:lineRule="exact"/>
        <w:rPr>
          <w:rFonts w:cs="Arial"/>
          <w:szCs w:val="20"/>
          <w:lang w:val="sl-SI"/>
        </w:rPr>
      </w:pPr>
    </w:p>
    <w:p w14:paraId="361EBB63" w14:textId="77777777" w:rsidR="00331D90" w:rsidRPr="00623188" w:rsidRDefault="00331D90" w:rsidP="00623188">
      <w:pPr>
        <w:autoSpaceDE w:val="0"/>
        <w:autoSpaceDN w:val="0"/>
        <w:adjustRightInd w:val="0"/>
        <w:spacing w:line="260" w:lineRule="exact"/>
        <w:rPr>
          <w:rFonts w:cs="Arial"/>
          <w:bCs/>
          <w:szCs w:val="20"/>
          <w:lang w:val="sl-SI"/>
        </w:rPr>
      </w:pPr>
      <w:r w:rsidRPr="00623188">
        <w:rPr>
          <w:rFonts w:cs="Arial"/>
          <w:bCs/>
          <w:szCs w:val="20"/>
          <w:lang w:val="sl-SI"/>
        </w:rPr>
        <w:t>Predlog zakona ne bo imel posledic za socialno področje.</w:t>
      </w:r>
    </w:p>
    <w:p w14:paraId="54079D3B" w14:textId="77777777" w:rsidR="00331D90" w:rsidRPr="00623188" w:rsidRDefault="00331D90" w:rsidP="00623188">
      <w:pPr>
        <w:autoSpaceDE w:val="0"/>
        <w:autoSpaceDN w:val="0"/>
        <w:adjustRightInd w:val="0"/>
        <w:spacing w:line="260" w:lineRule="exact"/>
        <w:rPr>
          <w:rFonts w:cs="Arial"/>
          <w:b/>
          <w:bCs/>
          <w:szCs w:val="20"/>
          <w:lang w:val="sl-SI"/>
        </w:rPr>
      </w:pPr>
    </w:p>
    <w:p w14:paraId="4327B939"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6.5 Presoja posledic za dokumente razvojnega načrtovanja: </w:t>
      </w:r>
    </w:p>
    <w:p w14:paraId="65F9A2E9" w14:textId="77777777" w:rsidR="00331D90" w:rsidRPr="00623188" w:rsidRDefault="00331D90" w:rsidP="00623188">
      <w:pPr>
        <w:autoSpaceDE w:val="0"/>
        <w:autoSpaceDN w:val="0"/>
        <w:adjustRightInd w:val="0"/>
        <w:spacing w:line="260" w:lineRule="exact"/>
        <w:rPr>
          <w:rFonts w:cs="Arial"/>
          <w:szCs w:val="20"/>
          <w:lang w:val="sl-SI"/>
        </w:rPr>
      </w:pPr>
    </w:p>
    <w:p w14:paraId="34EBB15E"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dokumente razvojnega načrtovanja. </w:t>
      </w:r>
    </w:p>
    <w:p w14:paraId="51002C21" w14:textId="77777777" w:rsidR="00331D90" w:rsidRPr="00623188" w:rsidRDefault="00331D90" w:rsidP="00623188">
      <w:pPr>
        <w:autoSpaceDE w:val="0"/>
        <w:autoSpaceDN w:val="0"/>
        <w:adjustRightInd w:val="0"/>
        <w:spacing w:line="260" w:lineRule="exact"/>
        <w:rPr>
          <w:rFonts w:cs="Arial"/>
          <w:b/>
          <w:bCs/>
          <w:szCs w:val="20"/>
          <w:lang w:val="sl-SI"/>
        </w:rPr>
      </w:pPr>
    </w:p>
    <w:p w14:paraId="0EA9C4AF"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6.6 Presoja posledic za druga področja:</w:t>
      </w:r>
    </w:p>
    <w:p w14:paraId="21EB271F" w14:textId="77777777" w:rsidR="00331D90" w:rsidRPr="00623188" w:rsidRDefault="00331D90" w:rsidP="00623188">
      <w:pPr>
        <w:autoSpaceDE w:val="0"/>
        <w:autoSpaceDN w:val="0"/>
        <w:adjustRightInd w:val="0"/>
        <w:spacing w:line="260" w:lineRule="exact"/>
        <w:rPr>
          <w:rFonts w:cs="Arial"/>
          <w:szCs w:val="20"/>
          <w:lang w:val="sl-SI"/>
        </w:rPr>
      </w:pPr>
    </w:p>
    <w:p w14:paraId="554896EB" w14:textId="77777777" w:rsidR="00331D90" w:rsidRPr="00623188" w:rsidRDefault="00331D90" w:rsidP="00623188">
      <w:pPr>
        <w:autoSpaceDE w:val="0"/>
        <w:autoSpaceDN w:val="0"/>
        <w:adjustRightInd w:val="0"/>
        <w:spacing w:line="260" w:lineRule="exact"/>
        <w:rPr>
          <w:rFonts w:cs="Arial"/>
          <w:szCs w:val="20"/>
          <w:lang w:val="sl-SI"/>
        </w:rPr>
      </w:pPr>
      <w:r w:rsidRPr="00623188">
        <w:rPr>
          <w:rFonts w:cs="Arial"/>
          <w:szCs w:val="20"/>
          <w:lang w:val="sl-SI"/>
        </w:rPr>
        <w:t xml:space="preserve">Predlog zakona ne bo imel posledic za druga področja. </w:t>
      </w:r>
    </w:p>
    <w:p w14:paraId="5CD29A39" w14:textId="77777777" w:rsidR="00331D90" w:rsidRPr="00623188" w:rsidRDefault="00331D90" w:rsidP="00623188">
      <w:pPr>
        <w:autoSpaceDE w:val="0"/>
        <w:autoSpaceDN w:val="0"/>
        <w:adjustRightInd w:val="0"/>
        <w:spacing w:line="260" w:lineRule="exact"/>
        <w:rPr>
          <w:rFonts w:cs="Arial"/>
          <w:b/>
          <w:bCs/>
          <w:szCs w:val="20"/>
          <w:lang w:val="sl-SI"/>
        </w:rPr>
      </w:pPr>
    </w:p>
    <w:p w14:paraId="16736948" w14:textId="77777777" w:rsidR="00331D90" w:rsidRPr="00623188" w:rsidRDefault="00331D90" w:rsidP="00623188">
      <w:pPr>
        <w:autoSpaceDE w:val="0"/>
        <w:autoSpaceDN w:val="0"/>
        <w:adjustRightInd w:val="0"/>
        <w:spacing w:line="260" w:lineRule="exact"/>
        <w:rPr>
          <w:rFonts w:cs="Arial"/>
          <w:b/>
          <w:bCs/>
          <w:szCs w:val="20"/>
          <w:lang w:val="sl-SI"/>
        </w:rPr>
      </w:pPr>
      <w:r w:rsidRPr="00623188">
        <w:rPr>
          <w:rFonts w:cs="Arial"/>
          <w:b/>
          <w:bCs/>
          <w:szCs w:val="20"/>
          <w:lang w:val="sl-SI"/>
        </w:rPr>
        <w:t xml:space="preserve">6.7 Izvajanje sprejetega predpisa: </w:t>
      </w:r>
    </w:p>
    <w:p w14:paraId="649AAA33" w14:textId="77777777" w:rsidR="00331D90" w:rsidRPr="00623188" w:rsidRDefault="00331D90" w:rsidP="00623188">
      <w:pPr>
        <w:autoSpaceDE w:val="0"/>
        <w:autoSpaceDN w:val="0"/>
        <w:adjustRightInd w:val="0"/>
        <w:spacing w:line="260" w:lineRule="exact"/>
        <w:rPr>
          <w:rFonts w:cs="Arial"/>
          <w:szCs w:val="20"/>
          <w:lang w:val="sl-SI"/>
        </w:rPr>
      </w:pPr>
    </w:p>
    <w:p w14:paraId="1C804577" w14:textId="77777777" w:rsidR="00331D90" w:rsidRPr="00623188" w:rsidRDefault="00331D90" w:rsidP="00623188">
      <w:pPr>
        <w:autoSpaceDE w:val="0"/>
        <w:autoSpaceDN w:val="0"/>
        <w:adjustRightInd w:val="0"/>
        <w:spacing w:line="260" w:lineRule="exact"/>
        <w:jc w:val="both"/>
        <w:rPr>
          <w:rFonts w:cs="Arial"/>
          <w:b/>
          <w:bCs/>
          <w:szCs w:val="20"/>
          <w:lang w:val="sl-SI"/>
        </w:rPr>
      </w:pPr>
      <w:r w:rsidRPr="00623188">
        <w:rPr>
          <w:rFonts w:cs="Arial"/>
          <w:b/>
          <w:bCs/>
          <w:szCs w:val="20"/>
          <w:lang w:val="sl-SI"/>
        </w:rPr>
        <w:t>a) Predstavitev sprejetega zakona:</w:t>
      </w:r>
    </w:p>
    <w:p w14:paraId="7FF59F06" w14:textId="77777777" w:rsidR="00331D90" w:rsidRPr="00623188" w:rsidRDefault="00331D90" w:rsidP="00623188">
      <w:pPr>
        <w:autoSpaceDE w:val="0"/>
        <w:autoSpaceDN w:val="0"/>
        <w:adjustRightInd w:val="0"/>
        <w:spacing w:line="260" w:lineRule="exact"/>
        <w:jc w:val="both"/>
        <w:rPr>
          <w:rFonts w:cs="Arial"/>
          <w:szCs w:val="20"/>
          <w:lang w:val="sl-SI"/>
        </w:rPr>
      </w:pPr>
      <w:r w:rsidRPr="00623188">
        <w:rPr>
          <w:rFonts w:cs="Arial"/>
          <w:szCs w:val="20"/>
          <w:lang w:val="sl-SI"/>
        </w:rPr>
        <w:t>Vlada oziroma resorno ministrstvo bo predstavilo zakon širši javnosti z objavo na svetovnem spletu, posebna predstavitev sprejetega zakona ni predvidena.</w:t>
      </w:r>
    </w:p>
    <w:p w14:paraId="0CE29D3F" w14:textId="77777777" w:rsidR="00331D90" w:rsidRPr="008D7697" w:rsidRDefault="00331D90" w:rsidP="00331D90">
      <w:pPr>
        <w:autoSpaceDE w:val="0"/>
        <w:autoSpaceDN w:val="0"/>
        <w:adjustRightInd w:val="0"/>
        <w:spacing w:line="260" w:lineRule="exact"/>
        <w:jc w:val="both"/>
        <w:rPr>
          <w:rFonts w:cs="Arial"/>
          <w:szCs w:val="20"/>
          <w:lang w:val="sl-SI"/>
        </w:rPr>
      </w:pPr>
    </w:p>
    <w:p w14:paraId="6CB73B4C"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t>b) Spremljanje izvajanja sprejetega zakona:</w:t>
      </w:r>
    </w:p>
    <w:p w14:paraId="4C6AC267" w14:textId="7BB5FAC3" w:rsidR="00331D90" w:rsidRPr="008D7697" w:rsidRDefault="00331D90" w:rsidP="008F0FD8">
      <w:pPr>
        <w:autoSpaceDE w:val="0"/>
        <w:autoSpaceDN w:val="0"/>
        <w:adjustRightInd w:val="0"/>
        <w:spacing w:line="260" w:lineRule="exact"/>
        <w:jc w:val="both"/>
        <w:rPr>
          <w:rFonts w:cs="Arial"/>
          <w:szCs w:val="20"/>
          <w:lang w:val="sl-SI"/>
        </w:rPr>
      </w:pPr>
      <w:r w:rsidRPr="008D7697">
        <w:rPr>
          <w:rFonts w:cs="Arial"/>
          <w:szCs w:val="20"/>
          <w:lang w:val="sl-SI"/>
        </w:rPr>
        <w:t>Izvajanje sprejetega zakona bo</w:t>
      </w:r>
      <w:r w:rsidR="00AE3865">
        <w:rPr>
          <w:rFonts w:cs="Arial"/>
          <w:szCs w:val="20"/>
          <w:lang w:val="sl-SI"/>
        </w:rPr>
        <w:t>do</w:t>
      </w:r>
      <w:r w:rsidRPr="008D7697">
        <w:rPr>
          <w:rFonts w:cs="Arial"/>
          <w:szCs w:val="20"/>
          <w:lang w:val="sl-SI"/>
        </w:rPr>
        <w:t xml:space="preserve"> spremljal</w:t>
      </w:r>
      <w:r w:rsidR="00AE3865">
        <w:rPr>
          <w:rFonts w:cs="Arial"/>
          <w:szCs w:val="20"/>
          <w:lang w:val="sl-SI"/>
        </w:rPr>
        <w:t>i</w:t>
      </w:r>
      <w:r w:rsidRPr="008D7697">
        <w:rPr>
          <w:rFonts w:cs="Arial"/>
          <w:szCs w:val="20"/>
          <w:lang w:val="sl-SI"/>
        </w:rPr>
        <w:t xml:space="preserve"> Ministrstvo za pravosodje v okviru svojih pristojnosti, Vrhovno državno tožilstvo </w:t>
      </w:r>
      <w:r w:rsidR="00EB6F19">
        <w:rPr>
          <w:rFonts w:cs="Arial"/>
          <w:szCs w:val="20"/>
          <w:lang w:val="sl-SI"/>
        </w:rPr>
        <w:t>R</w:t>
      </w:r>
      <w:r w:rsidR="007F7C6C">
        <w:rPr>
          <w:rFonts w:cs="Arial"/>
          <w:szCs w:val="20"/>
          <w:lang w:val="sl-SI"/>
        </w:rPr>
        <w:t xml:space="preserve">epublike </w:t>
      </w:r>
      <w:r w:rsidR="00EB6F19">
        <w:rPr>
          <w:rFonts w:cs="Arial"/>
          <w:szCs w:val="20"/>
          <w:lang w:val="sl-SI"/>
        </w:rPr>
        <w:t>S</w:t>
      </w:r>
      <w:r w:rsidR="007F7C6C">
        <w:rPr>
          <w:rFonts w:cs="Arial"/>
          <w:szCs w:val="20"/>
          <w:lang w:val="sl-SI"/>
        </w:rPr>
        <w:t>lovenije</w:t>
      </w:r>
      <w:r w:rsidR="00EB6F19">
        <w:rPr>
          <w:rFonts w:cs="Arial"/>
          <w:szCs w:val="20"/>
          <w:lang w:val="sl-SI"/>
        </w:rPr>
        <w:t xml:space="preserve"> </w:t>
      </w:r>
      <w:r w:rsidRPr="008D7697">
        <w:rPr>
          <w:rFonts w:cs="Arial"/>
          <w:szCs w:val="20"/>
          <w:lang w:val="sl-SI"/>
        </w:rPr>
        <w:t>v okviru pristojnosti državnotožilske uprave ter Državnotožilski svet v okviru pristojnosti državnotožilske samouprave. Poleg tega bodo vsi organi izvajanje sprejetega zakona spremljali z zbiranjem oziroma pregledom statističnih podatkov.</w:t>
      </w:r>
    </w:p>
    <w:p w14:paraId="36B0C38F" w14:textId="77777777" w:rsidR="00331D90" w:rsidRPr="008D7697" w:rsidRDefault="00331D90" w:rsidP="008F0FD8">
      <w:pPr>
        <w:spacing w:line="260" w:lineRule="exact"/>
        <w:jc w:val="both"/>
        <w:rPr>
          <w:rFonts w:cs="Arial"/>
          <w:szCs w:val="20"/>
          <w:lang w:val="sl-SI"/>
        </w:rPr>
      </w:pPr>
    </w:p>
    <w:p w14:paraId="364B0C22" w14:textId="77777777" w:rsidR="00331D90" w:rsidRPr="008D7697" w:rsidRDefault="00331D90" w:rsidP="008F0FD8">
      <w:pPr>
        <w:autoSpaceDE w:val="0"/>
        <w:autoSpaceDN w:val="0"/>
        <w:adjustRightInd w:val="0"/>
        <w:spacing w:line="260" w:lineRule="exact"/>
        <w:rPr>
          <w:rFonts w:cs="Arial"/>
          <w:b/>
          <w:bCs/>
          <w:szCs w:val="20"/>
          <w:lang w:val="sl-SI"/>
        </w:rPr>
      </w:pPr>
      <w:r w:rsidRPr="008D7697">
        <w:rPr>
          <w:rFonts w:cs="Arial"/>
          <w:b/>
          <w:bCs/>
          <w:szCs w:val="20"/>
          <w:lang w:val="sl-SI"/>
        </w:rPr>
        <w:t>6.8 Druge pomembne okoliščine v zvezi z vprašanji, ki jih ureja predlog zakona:</w:t>
      </w:r>
    </w:p>
    <w:p w14:paraId="781D3D41" w14:textId="77777777" w:rsidR="00331D90" w:rsidRPr="008D7697" w:rsidRDefault="00331D90" w:rsidP="008F0FD8">
      <w:pPr>
        <w:spacing w:line="260" w:lineRule="exact"/>
        <w:jc w:val="both"/>
        <w:rPr>
          <w:rFonts w:cs="Arial"/>
          <w:bCs/>
          <w:szCs w:val="20"/>
          <w:lang w:val="sl-SI"/>
        </w:rPr>
      </w:pPr>
      <w:r w:rsidRPr="008D7697">
        <w:rPr>
          <w:rFonts w:cs="Arial"/>
          <w:bCs/>
          <w:szCs w:val="20"/>
          <w:lang w:val="sl-SI"/>
        </w:rPr>
        <w:t>/</w:t>
      </w:r>
    </w:p>
    <w:p w14:paraId="14C3DCB4" w14:textId="77777777" w:rsidR="00331D90" w:rsidRPr="008D7697" w:rsidRDefault="00331D90" w:rsidP="008F0FD8">
      <w:pPr>
        <w:spacing w:line="260" w:lineRule="exact"/>
        <w:jc w:val="both"/>
        <w:rPr>
          <w:rFonts w:cs="Arial"/>
          <w:bCs/>
          <w:szCs w:val="20"/>
          <w:lang w:val="sl-SI"/>
        </w:rPr>
      </w:pPr>
    </w:p>
    <w:p w14:paraId="38F6A30F" w14:textId="77777777" w:rsidR="00331D90" w:rsidRDefault="00331D90" w:rsidP="008F0FD8">
      <w:pPr>
        <w:spacing w:line="260" w:lineRule="exact"/>
        <w:jc w:val="both"/>
        <w:rPr>
          <w:rFonts w:cs="Arial"/>
          <w:b/>
          <w:bCs/>
          <w:szCs w:val="20"/>
          <w:lang w:val="sl-SI"/>
        </w:rPr>
      </w:pPr>
      <w:r w:rsidRPr="008D7697">
        <w:rPr>
          <w:rFonts w:cs="Arial"/>
          <w:b/>
          <w:bCs/>
          <w:szCs w:val="20"/>
          <w:lang w:val="sl-SI"/>
        </w:rPr>
        <w:t>7. PRIKAZ SODELOVANJA JAVNOSTI PRI PRIPRAVI PREDLOGA ZAKONA:</w:t>
      </w:r>
    </w:p>
    <w:p w14:paraId="5F055BB8" w14:textId="77777777" w:rsidR="008D1823" w:rsidRDefault="008D1823" w:rsidP="0025743E">
      <w:pPr>
        <w:pStyle w:val="Neotevilenodstavek"/>
        <w:widowControl w:val="0"/>
        <w:spacing w:before="0" w:after="0" w:line="260" w:lineRule="exact"/>
        <w:rPr>
          <w:iCs/>
          <w:sz w:val="20"/>
          <w:szCs w:val="20"/>
        </w:rPr>
      </w:pPr>
    </w:p>
    <w:p w14:paraId="43DB0D96" w14:textId="58140FCF" w:rsidR="00733C64" w:rsidRDefault="00733C64" w:rsidP="0025743E">
      <w:pPr>
        <w:pStyle w:val="Neotevilenodstavek"/>
        <w:widowControl w:val="0"/>
        <w:spacing w:before="0" w:after="0" w:line="260" w:lineRule="exact"/>
        <w:rPr>
          <w:iCs/>
          <w:sz w:val="20"/>
          <w:szCs w:val="20"/>
        </w:rPr>
      </w:pPr>
      <w:r>
        <w:rPr>
          <w:iCs/>
          <w:sz w:val="20"/>
          <w:szCs w:val="20"/>
        </w:rPr>
        <w:lastRenderedPageBreak/>
        <w:t xml:space="preserve">Na sestanku </w:t>
      </w:r>
      <w:r w:rsidRPr="008534F9">
        <w:rPr>
          <w:iCs/>
          <w:sz w:val="20"/>
          <w:szCs w:val="20"/>
        </w:rPr>
        <w:t>24. 1. 2025</w:t>
      </w:r>
      <w:r>
        <w:rPr>
          <w:iCs/>
          <w:sz w:val="20"/>
          <w:szCs w:val="20"/>
        </w:rPr>
        <w:t xml:space="preserve"> so Ministrstvo za pravosodje, Vrhovno državno tožilstvo R</w:t>
      </w:r>
      <w:r w:rsidR="00BF05E0">
        <w:rPr>
          <w:iCs/>
          <w:sz w:val="20"/>
          <w:szCs w:val="20"/>
        </w:rPr>
        <w:t>epublike Slovenije</w:t>
      </w:r>
      <w:r>
        <w:rPr>
          <w:iCs/>
          <w:sz w:val="20"/>
          <w:szCs w:val="20"/>
        </w:rPr>
        <w:t xml:space="preserve"> in Državnotožilski svet obravnavali</w:t>
      </w:r>
      <w:r w:rsidRPr="007E5CC3">
        <w:rPr>
          <w:iCs/>
          <w:sz w:val="20"/>
          <w:szCs w:val="20"/>
        </w:rPr>
        <w:t xml:space="preserve"> delovn</w:t>
      </w:r>
      <w:r>
        <w:rPr>
          <w:iCs/>
          <w:sz w:val="20"/>
          <w:szCs w:val="20"/>
        </w:rPr>
        <w:t>i</w:t>
      </w:r>
      <w:r w:rsidRPr="007E5CC3">
        <w:rPr>
          <w:iCs/>
          <w:sz w:val="20"/>
          <w:szCs w:val="20"/>
        </w:rPr>
        <w:t xml:space="preserve"> osnut</w:t>
      </w:r>
      <w:r>
        <w:rPr>
          <w:iCs/>
          <w:sz w:val="20"/>
          <w:szCs w:val="20"/>
        </w:rPr>
        <w:t>ek</w:t>
      </w:r>
      <w:r w:rsidRPr="007E5CC3">
        <w:rPr>
          <w:iCs/>
          <w:sz w:val="20"/>
          <w:szCs w:val="20"/>
        </w:rPr>
        <w:t xml:space="preserve"> Zakona o spremembah in dopolnitvah Zakona o državnem tožilstvu</w:t>
      </w:r>
      <w:r>
        <w:rPr>
          <w:iCs/>
          <w:sz w:val="20"/>
          <w:szCs w:val="20"/>
        </w:rPr>
        <w:t xml:space="preserve">, ki ga je pripravilo Ministrstvo za pravosodje. </w:t>
      </w:r>
      <w:r w:rsidR="000271C1">
        <w:rPr>
          <w:iCs/>
          <w:sz w:val="20"/>
          <w:szCs w:val="20"/>
        </w:rPr>
        <w:t>P</w:t>
      </w:r>
      <w:r>
        <w:rPr>
          <w:iCs/>
          <w:sz w:val="20"/>
          <w:szCs w:val="20"/>
        </w:rPr>
        <w:t xml:space="preserve">redstavljeni </w:t>
      </w:r>
      <w:r w:rsidR="000271C1">
        <w:rPr>
          <w:iCs/>
          <w:sz w:val="20"/>
          <w:szCs w:val="20"/>
        </w:rPr>
        <w:t xml:space="preserve">so bili </w:t>
      </w:r>
      <w:r>
        <w:rPr>
          <w:iCs/>
          <w:sz w:val="20"/>
          <w:szCs w:val="20"/>
        </w:rPr>
        <w:t>razlogi za pripravo navedene novele in obravnavane posamezne vsebine.</w:t>
      </w:r>
    </w:p>
    <w:p w14:paraId="45A511D4" w14:textId="77777777" w:rsidR="00733C64" w:rsidRDefault="00733C64" w:rsidP="0025743E">
      <w:pPr>
        <w:pStyle w:val="Neotevilenodstavek"/>
        <w:widowControl w:val="0"/>
        <w:spacing w:before="0" w:after="0" w:line="260" w:lineRule="exact"/>
        <w:rPr>
          <w:iCs/>
          <w:sz w:val="20"/>
          <w:szCs w:val="20"/>
        </w:rPr>
      </w:pPr>
    </w:p>
    <w:p w14:paraId="6148A837" w14:textId="2DE8A0EC" w:rsidR="00C70F9C" w:rsidRDefault="00C70F9C" w:rsidP="0025743E">
      <w:pPr>
        <w:pStyle w:val="Neotevilenodstavek"/>
        <w:widowControl w:val="0"/>
        <w:spacing w:before="0" w:after="0" w:line="260" w:lineRule="exact"/>
        <w:rPr>
          <w:iCs/>
          <w:sz w:val="20"/>
          <w:szCs w:val="20"/>
        </w:rPr>
      </w:pPr>
      <w:r>
        <w:rPr>
          <w:iCs/>
          <w:sz w:val="20"/>
          <w:szCs w:val="20"/>
        </w:rPr>
        <w:t xml:space="preserve">Na podlagi dogovorov z navedenega sestanka je Ministrstvo za pravosodje pripravilo delovno gradivo zakonskega predloga in ga 21. 2. 2025 </w:t>
      </w:r>
      <w:r w:rsidR="000C603B">
        <w:rPr>
          <w:iCs/>
          <w:sz w:val="20"/>
          <w:szCs w:val="20"/>
        </w:rPr>
        <w:t xml:space="preserve">poslalo </w:t>
      </w:r>
      <w:r>
        <w:rPr>
          <w:iCs/>
          <w:sz w:val="20"/>
          <w:szCs w:val="20"/>
        </w:rPr>
        <w:t>v strokovno usklajevanje Vrhovnemu državnemu tožilstvu Republike Slovenije, Državnotožilskemu svetu, D</w:t>
      </w:r>
      <w:r w:rsidRPr="00AC0809">
        <w:rPr>
          <w:iCs/>
          <w:sz w:val="20"/>
          <w:szCs w:val="20"/>
        </w:rPr>
        <w:t>ruštv</w:t>
      </w:r>
      <w:r>
        <w:rPr>
          <w:iCs/>
          <w:sz w:val="20"/>
          <w:szCs w:val="20"/>
        </w:rPr>
        <w:t>u</w:t>
      </w:r>
      <w:r w:rsidRPr="00AC0809">
        <w:rPr>
          <w:iCs/>
          <w:sz w:val="20"/>
          <w:szCs w:val="20"/>
        </w:rPr>
        <w:t xml:space="preserve"> državnih tožilcev </w:t>
      </w:r>
      <w:r>
        <w:rPr>
          <w:iCs/>
          <w:sz w:val="20"/>
          <w:szCs w:val="20"/>
        </w:rPr>
        <w:t>S</w:t>
      </w:r>
      <w:r w:rsidRPr="00AC0809">
        <w:rPr>
          <w:iCs/>
          <w:sz w:val="20"/>
          <w:szCs w:val="20"/>
        </w:rPr>
        <w:t>lovenije</w:t>
      </w:r>
      <w:r>
        <w:rPr>
          <w:iCs/>
          <w:sz w:val="20"/>
          <w:szCs w:val="20"/>
        </w:rPr>
        <w:t xml:space="preserve">, </w:t>
      </w:r>
      <w:r w:rsidRPr="00AC0809">
        <w:rPr>
          <w:iCs/>
          <w:sz w:val="20"/>
          <w:szCs w:val="20"/>
        </w:rPr>
        <w:t>Vrhovnemu sodišču R</w:t>
      </w:r>
      <w:r>
        <w:rPr>
          <w:iCs/>
          <w:sz w:val="20"/>
          <w:szCs w:val="20"/>
        </w:rPr>
        <w:t>epublike Slovenije</w:t>
      </w:r>
      <w:r w:rsidRPr="00AC0809">
        <w:rPr>
          <w:iCs/>
          <w:sz w:val="20"/>
          <w:szCs w:val="20"/>
        </w:rPr>
        <w:t>, Sodnemu svetu, Državnemu odvetništvu R</w:t>
      </w:r>
      <w:r>
        <w:rPr>
          <w:iCs/>
          <w:sz w:val="20"/>
          <w:szCs w:val="20"/>
        </w:rPr>
        <w:t>epublike Slovenije</w:t>
      </w:r>
      <w:r w:rsidRPr="00AC0809">
        <w:rPr>
          <w:iCs/>
          <w:sz w:val="20"/>
          <w:szCs w:val="20"/>
        </w:rPr>
        <w:t>, Odvetniški zbornici Slovenije in Notarski zbornici Slovenije.</w:t>
      </w:r>
      <w:r>
        <w:rPr>
          <w:iCs/>
          <w:sz w:val="20"/>
          <w:szCs w:val="20"/>
        </w:rPr>
        <w:t xml:space="preserve"> Pripombe so podali Vrhovno državno tožilstvo Republike Slovenije, Državnotožilski svet in Vrhovno sodišče Republike Slovenije. Državno odvetništvo Republike Slovenije je v odgovoru podprlo predlagane rešitve, Sodni svet </w:t>
      </w:r>
      <w:r w:rsidR="00187E4F">
        <w:rPr>
          <w:iCs/>
          <w:sz w:val="20"/>
          <w:szCs w:val="20"/>
        </w:rPr>
        <w:t xml:space="preserve">pa </w:t>
      </w:r>
      <w:r>
        <w:rPr>
          <w:iCs/>
          <w:sz w:val="20"/>
          <w:szCs w:val="20"/>
        </w:rPr>
        <w:t>se je s predlogom zakona seznanil in nanj ni podal posebnih pripomb. Ostali naslovniki odzivov niso podali.</w:t>
      </w:r>
    </w:p>
    <w:p w14:paraId="365676EC" w14:textId="096512C3" w:rsidR="006A168B" w:rsidRDefault="006A168B" w:rsidP="0025743E">
      <w:pPr>
        <w:pStyle w:val="Neotevilenodstavek"/>
        <w:widowControl w:val="0"/>
        <w:spacing w:before="0" w:after="0" w:line="260" w:lineRule="exact"/>
        <w:rPr>
          <w:iCs/>
          <w:sz w:val="20"/>
          <w:szCs w:val="20"/>
        </w:rPr>
      </w:pPr>
    </w:p>
    <w:p w14:paraId="7719E4D7" w14:textId="77777777" w:rsidR="006A168B" w:rsidRDefault="006A168B" w:rsidP="0025743E">
      <w:pPr>
        <w:widowControl w:val="0"/>
        <w:overflowPunct w:val="0"/>
        <w:autoSpaceDE w:val="0"/>
        <w:autoSpaceDN w:val="0"/>
        <w:adjustRightInd w:val="0"/>
        <w:spacing w:line="260" w:lineRule="exact"/>
        <w:jc w:val="both"/>
        <w:textAlignment w:val="baseline"/>
        <w:rPr>
          <w:rFonts w:cs="Arial"/>
          <w:iCs/>
          <w:szCs w:val="20"/>
          <w:lang w:val="sl-SI" w:eastAsia="sl-SI"/>
        </w:rPr>
      </w:pPr>
      <w:r w:rsidRPr="00EC1673">
        <w:rPr>
          <w:rFonts w:cs="Arial"/>
          <w:iCs/>
          <w:szCs w:val="20"/>
          <w:lang w:val="sl-SI" w:eastAsia="sl-SI"/>
        </w:rPr>
        <w:t>V nadaljevanju so prikazane pripombe strokovne javnosti in opredelitev predlagatelja po posameznih členih predloga zakona.</w:t>
      </w:r>
    </w:p>
    <w:p w14:paraId="7F8AAA72" w14:textId="77777777" w:rsidR="002B4F44" w:rsidRDefault="002B4F44"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4B6253AB" w14:textId="25C13410" w:rsidR="00795AC0" w:rsidRPr="00795AC0" w:rsidRDefault="00795AC0"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795AC0">
        <w:rPr>
          <w:rFonts w:cs="Arial"/>
          <w:b/>
          <w:bCs/>
          <w:iCs/>
          <w:szCs w:val="20"/>
          <w:u w:val="single"/>
          <w:lang w:val="sl-SI" w:eastAsia="sl-SI"/>
        </w:rPr>
        <w:t>K 20. členu (189. člen ZDT-1)</w:t>
      </w:r>
    </w:p>
    <w:p w14:paraId="792E1494" w14:textId="77777777" w:rsidR="008C6605" w:rsidRDefault="008C6605"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4508E765" w14:textId="519BDD53" w:rsidR="00795AC0" w:rsidRPr="00795AC0" w:rsidRDefault="00795AC0" w:rsidP="006A168B">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795AC0">
        <w:rPr>
          <w:rFonts w:cs="Arial"/>
          <w:iCs/>
          <w:szCs w:val="20"/>
          <w:u w:val="single"/>
          <w:lang w:val="sl-SI" w:eastAsia="sl-SI"/>
        </w:rPr>
        <w:t>Vrhovno državno tožilstvo</w:t>
      </w:r>
      <w:r w:rsidR="00DE35C9">
        <w:rPr>
          <w:rFonts w:cs="Arial"/>
          <w:iCs/>
          <w:szCs w:val="20"/>
          <w:u w:val="single"/>
          <w:lang w:val="sl-SI" w:eastAsia="sl-SI"/>
        </w:rPr>
        <w:t xml:space="preserve"> Republike Slovenije</w:t>
      </w:r>
    </w:p>
    <w:p w14:paraId="2CB5B1E7" w14:textId="421BE1CB" w:rsidR="008C6605" w:rsidRPr="008C6605" w:rsidRDefault="008C6605" w:rsidP="008C6605">
      <w:pPr>
        <w:widowControl w:val="0"/>
        <w:overflowPunct w:val="0"/>
        <w:autoSpaceDE w:val="0"/>
        <w:autoSpaceDN w:val="0"/>
        <w:adjustRightInd w:val="0"/>
        <w:spacing w:line="288" w:lineRule="auto"/>
        <w:jc w:val="both"/>
        <w:textAlignment w:val="baseline"/>
        <w:rPr>
          <w:rFonts w:cs="Arial"/>
          <w:i/>
          <w:szCs w:val="20"/>
          <w:lang w:val="sl-SI" w:eastAsia="sl-SI"/>
        </w:rPr>
      </w:pPr>
      <w:r w:rsidRPr="008C6605">
        <w:rPr>
          <w:rFonts w:cs="Arial"/>
          <w:i/>
          <w:szCs w:val="20"/>
          <w:lang w:val="sl-SI" w:eastAsia="sl-SI"/>
        </w:rPr>
        <w:t xml:space="preserve">Predlaga, da se </w:t>
      </w:r>
      <w:r w:rsidR="00795AC0" w:rsidRPr="00795AC0">
        <w:rPr>
          <w:rFonts w:cs="Arial"/>
          <w:i/>
          <w:szCs w:val="20"/>
          <w:lang w:val="sl-SI" w:eastAsia="sl-SI"/>
        </w:rPr>
        <w:t xml:space="preserve">prvi odstavek </w:t>
      </w:r>
      <w:r w:rsidRPr="008C6605">
        <w:rPr>
          <w:rFonts w:cs="Arial"/>
          <w:i/>
          <w:szCs w:val="20"/>
          <w:lang w:val="sl-SI" w:eastAsia="sl-SI"/>
        </w:rPr>
        <w:t>189. člen</w:t>
      </w:r>
      <w:r w:rsidR="00795AC0" w:rsidRPr="00795AC0">
        <w:rPr>
          <w:rFonts w:cs="Arial"/>
          <w:i/>
          <w:szCs w:val="20"/>
          <w:lang w:val="sl-SI" w:eastAsia="sl-SI"/>
        </w:rPr>
        <w:t>a</w:t>
      </w:r>
      <w:r w:rsidRPr="008C6605">
        <w:rPr>
          <w:rFonts w:cs="Arial"/>
          <w:i/>
          <w:szCs w:val="20"/>
          <w:lang w:val="sl-SI" w:eastAsia="sl-SI"/>
        </w:rPr>
        <w:t xml:space="preserve"> ZDT-1, ki ureja pristojnost zunanjega oddelka okrožnega</w:t>
      </w:r>
      <w:r w:rsidR="00795AC0" w:rsidRPr="00795AC0">
        <w:rPr>
          <w:rFonts w:cs="Arial"/>
          <w:i/>
          <w:szCs w:val="20"/>
          <w:lang w:val="sl-SI" w:eastAsia="sl-SI"/>
        </w:rPr>
        <w:t xml:space="preserve"> </w:t>
      </w:r>
      <w:r w:rsidRPr="008C6605">
        <w:rPr>
          <w:rFonts w:cs="Arial"/>
          <w:i/>
          <w:szCs w:val="20"/>
          <w:lang w:val="sl-SI" w:eastAsia="sl-SI"/>
        </w:rPr>
        <w:t>državnega tožilstva, spremeni tako, da se glasi: »(1) Zunanji oddelek okrožnega državnega</w:t>
      </w:r>
      <w:r w:rsidR="00795AC0" w:rsidRPr="00795AC0">
        <w:rPr>
          <w:rFonts w:cs="Arial"/>
          <w:i/>
          <w:szCs w:val="20"/>
          <w:lang w:val="sl-SI" w:eastAsia="sl-SI"/>
        </w:rPr>
        <w:t xml:space="preserve"> </w:t>
      </w:r>
      <w:r w:rsidRPr="008C6605">
        <w:rPr>
          <w:rFonts w:cs="Arial"/>
          <w:i/>
          <w:szCs w:val="20"/>
          <w:lang w:val="sl-SI" w:eastAsia="sl-SI"/>
        </w:rPr>
        <w:t>tožilstva je notranja organizacijska enota okrožnega državnega tožilstva, ki praviloma</w:t>
      </w:r>
    </w:p>
    <w:p w14:paraId="460EE377" w14:textId="02F5B2DB" w:rsidR="008C6605" w:rsidRDefault="008C6605" w:rsidP="008C6605">
      <w:pPr>
        <w:widowControl w:val="0"/>
        <w:overflowPunct w:val="0"/>
        <w:autoSpaceDE w:val="0"/>
        <w:autoSpaceDN w:val="0"/>
        <w:adjustRightInd w:val="0"/>
        <w:spacing w:line="288" w:lineRule="auto"/>
        <w:jc w:val="both"/>
        <w:textAlignment w:val="baseline"/>
        <w:rPr>
          <w:rFonts w:cs="Arial"/>
          <w:i/>
          <w:szCs w:val="20"/>
          <w:lang w:val="sl-SI" w:eastAsia="sl-SI"/>
        </w:rPr>
      </w:pPr>
      <w:r w:rsidRPr="008C6605">
        <w:rPr>
          <w:rFonts w:cs="Arial"/>
          <w:i/>
          <w:szCs w:val="20"/>
          <w:lang w:val="sl-SI" w:eastAsia="sl-SI"/>
        </w:rPr>
        <w:t>opravlja funkcije okrožnega državnega tožilstva izven kraja sedeža okrožnega</w:t>
      </w:r>
      <w:r w:rsidR="00795AC0" w:rsidRPr="00795AC0">
        <w:rPr>
          <w:rFonts w:cs="Arial"/>
          <w:i/>
          <w:szCs w:val="20"/>
          <w:lang w:val="sl-SI" w:eastAsia="sl-SI"/>
        </w:rPr>
        <w:t xml:space="preserve"> </w:t>
      </w:r>
      <w:r w:rsidRPr="00795AC0">
        <w:rPr>
          <w:rFonts w:cs="Arial"/>
          <w:i/>
          <w:szCs w:val="20"/>
          <w:lang w:val="sl-SI" w:eastAsia="sl-SI"/>
        </w:rPr>
        <w:t>državnega tožilstva.«</w:t>
      </w:r>
      <w:r w:rsidR="00795AC0" w:rsidRPr="00795AC0">
        <w:rPr>
          <w:rFonts w:cs="Arial"/>
          <w:i/>
          <w:szCs w:val="20"/>
          <w:lang w:val="sl-SI" w:eastAsia="sl-SI"/>
        </w:rPr>
        <w:t>.</w:t>
      </w:r>
    </w:p>
    <w:p w14:paraId="42D3307E" w14:textId="77777777" w:rsidR="00795AC0" w:rsidRDefault="00795AC0" w:rsidP="008C6605">
      <w:pPr>
        <w:widowControl w:val="0"/>
        <w:overflowPunct w:val="0"/>
        <w:autoSpaceDE w:val="0"/>
        <w:autoSpaceDN w:val="0"/>
        <w:adjustRightInd w:val="0"/>
        <w:spacing w:line="288" w:lineRule="auto"/>
        <w:jc w:val="both"/>
        <w:textAlignment w:val="baseline"/>
        <w:rPr>
          <w:rFonts w:cs="Arial"/>
          <w:i/>
          <w:szCs w:val="20"/>
          <w:lang w:val="sl-SI" w:eastAsia="sl-SI"/>
        </w:rPr>
      </w:pPr>
    </w:p>
    <w:p w14:paraId="60123C29" w14:textId="691D9914" w:rsidR="00795AC0" w:rsidRDefault="00795AC0" w:rsidP="008C6605">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t xml:space="preserve">Po mnenju predlagatelja je ustrezneje, da se </w:t>
      </w:r>
      <w:r w:rsidR="00D339B1">
        <w:rPr>
          <w:rFonts w:cs="Arial"/>
          <w:iCs/>
          <w:szCs w:val="20"/>
          <w:lang w:val="sl-SI" w:eastAsia="sl-SI"/>
        </w:rPr>
        <w:t xml:space="preserve">funkcije </w:t>
      </w:r>
      <w:r>
        <w:rPr>
          <w:rFonts w:cs="Arial"/>
          <w:iCs/>
          <w:szCs w:val="20"/>
          <w:lang w:val="sl-SI" w:eastAsia="sl-SI"/>
        </w:rPr>
        <w:t>zunanj</w:t>
      </w:r>
      <w:r w:rsidR="00D339B1">
        <w:rPr>
          <w:rFonts w:cs="Arial"/>
          <w:iCs/>
          <w:szCs w:val="20"/>
          <w:lang w:val="sl-SI" w:eastAsia="sl-SI"/>
        </w:rPr>
        <w:t>ega</w:t>
      </w:r>
      <w:r>
        <w:rPr>
          <w:rFonts w:cs="Arial"/>
          <w:iCs/>
          <w:szCs w:val="20"/>
          <w:lang w:val="sl-SI" w:eastAsia="sl-SI"/>
        </w:rPr>
        <w:t xml:space="preserve"> </w:t>
      </w:r>
      <w:r w:rsidRPr="00795AC0">
        <w:rPr>
          <w:rFonts w:cs="Arial"/>
          <w:iCs/>
          <w:szCs w:val="20"/>
          <w:lang w:val="sl-SI" w:eastAsia="sl-SI"/>
        </w:rPr>
        <w:t>oddel</w:t>
      </w:r>
      <w:r w:rsidR="00D339B1">
        <w:rPr>
          <w:rFonts w:cs="Arial"/>
          <w:iCs/>
          <w:szCs w:val="20"/>
          <w:lang w:val="sl-SI" w:eastAsia="sl-SI"/>
        </w:rPr>
        <w:t>ka</w:t>
      </w:r>
      <w:r w:rsidRPr="00795AC0">
        <w:rPr>
          <w:rFonts w:cs="Arial"/>
          <w:iCs/>
          <w:szCs w:val="20"/>
          <w:lang w:val="sl-SI" w:eastAsia="sl-SI"/>
        </w:rPr>
        <w:t xml:space="preserve"> okrožnega državnega tožilstva</w:t>
      </w:r>
      <w:r w:rsidR="00D339B1">
        <w:rPr>
          <w:rFonts w:cs="Arial"/>
          <w:iCs/>
          <w:szCs w:val="20"/>
          <w:lang w:val="sl-SI" w:eastAsia="sl-SI"/>
        </w:rPr>
        <w:t xml:space="preserve"> omejijo na </w:t>
      </w:r>
      <w:r w:rsidR="00B952EC">
        <w:rPr>
          <w:rFonts w:cs="Arial"/>
          <w:iCs/>
          <w:szCs w:val="20"/>
          <w:lang w:val="sl-SI" w:eastAsia="sl-SI"/>
        </w:rPr>
        <w:t xml:space="preserve">določeno </w:t>
      </w:r>
      <w:r w:rsidR="00D339B1" w:rsidRPr="00D339B1">
        <w:rPr>
          <w:rFonts w:cs="Arial"/>
          <w:iCs/>
          <w:szCs w:val="20"/>
          <w:lang w:val="sl-SI" w:eastAsia="sl-SI"/>
        </w:rPr>
        <w:t>območj</w:t>
      </w:r>
      <w:r w:rsidR="00D339B1">
        <w:rPr>
          <w:rFonts w:cs="Arial"/>
          <w:iCs/>
          <w:szCs w:val="20"/>
          <w:lang w:val="sl-SI" w:eastAsia="sl-SI"/>
        </w:rPr>
        <w:t>e</w:t>
      </w:r>
      <w:r w:rsidR="00D339B1" w:rsidRPr="00D339B1">
        <w:rPr>
          <w:rFonts w:cs="Arial"/>
          <w:iCs/>
          <w:szCs w:val="20"/>
          <w:lang w:val="sl-SI" w:eastAsia="sl-SI"/>
        </w:rPr>
        <w:t xml:space="preserve"> delovanja okrožnega državnega tožilstva zunaj kraja sedeža</w:t>
      </w:r>
      <w:r w:rsidR="00D339B1">
        <w:rPr>
          <w:rFonts w:cs="Arial"/>
          <w:iCs/>
          <w:szCs w:val="20"/>
          <w:lang w:val="sl-SI" w:eastAsia="sl-SI"/>
        </w:rPr>
        <w:t xml:space="preserve"> okrožnega državnega tožilstva. Tako iz poimenovanja tega oddelka kot zunanjega oddelka (okrožnega državnega tožilstva)</w:t>
      </w:r>
      <w:r w:rsidR="00FD32D8">
        <w:rPr>
          <w:rFonts w:cs="Arial"/>
          <w:iCs/>
          <w:szCs w:val="20"/>
          <w:lang w:val="sl-SI" w:eastAsia="sl-SI"/>
        </w:rPr>
        <w:t xml:space="preserve"> in</w:t>
      </w:r>
      <w:r w:rsidR="00D339B1">
        <w:rPr>
          <w:rFonts w:cs="Arial"/>
          <w:iCs/>
          <w:szCs w:val="20"/>
          <w:lang w:val="sl-SI" w:eastAsia="sl-SI"/>
        </w:rPr>
        <w:t xml:space="preserve"> tudi iz veljavne ureditve po </w:t>
      </w:r>
      <w:r w:rsidR="00D339B1" w:rsidRPr="00D339B1">
        <w:rPr>
          <w:rFonts w:cs="Arial"/>
          <w:iCs/>
          <w:szCs w:val="20"/>
          <w:lang w:val="sl-SI" w:eastAsia="sl-SI"/>
        </w:rPr>
        <w:t>Odredb</w:t>
      </w:r>
      <w:r w:rsidR="00D339B1">
        <w:rPr>
          <w:rFonts w:cs="Arial"/>
          <w:iCs/>
          <w:szCs w:val="20"/>
          <w:lang w:val="sl-SI" w:eastAsia="sl-SI"/>
        </w:rPr>
        <w:t>i</w:t>
      </w:r>
      <w:r w:rsidR="00D339B1" w:rsidRPr="00D339B1">
        <w:rPr>
          <w:rFonts w:cs="Arial"/>
          <w:iCs/>
          <w:szCs w:val="20"/>
          <w:lang w:val="sl-SI" w:eastAsia="sl-SI"/>
        </w:rPr>
        <w:t xml:space="preserve"> o ustanovitvi zunanjih oddelkov okrožnih državnih tožilstev</w:t>
      </w:r>
      <w:r w:rsidR="00D339B1">
        <w:rPr>
          <w:rStyle w:val="Sprotnaopomba-sklic"/>
          <w:rFonts w:cs="Arial"/>
          <w:iCs/>
          <w:szCs w:val="20"/>
          <w:lang w:val="sl-SI" w:eastAsia="sl-SI"/>
        </w:rPr>
        <w:footnoteReference w:id="31"/>
      </w:r>
      <w:r w:rsidR="00D339B1">
        <w:rPr>
          <w:rFonts w:cs="Arial"/>
          <w:iCs/>
          <w:szCs w:val="20"/>
          <w:lang w:val="sl-SI" w:eastAsia="sl-SI"/>
        </w:rPr>
        <w:t xml:space="preserve"> izhaja, da gre za oddelke, ki delujejo zunaj sedežev zadevnih okrožnih državnih tožilstev, zato se takšna ureditev predlaga tudi v prihodnje.</w:t>
      </w:r>
      <w:r w:rsidR="00B952EC">
        <w:rPr>
          <w:rFonts w:cs="Arial"/>
          <w:iCs/>
          <w:szCs w:val="20"/>
          <w:lang w:val="sl-SI" w:eastAsia="sl-SI"/>
        </w:rPr>
        <w:t xml:space="preserve"> Hkrati bo moralo biti območje delovanja zunanjega oddelka izrecno določeno. </w:t>
      </w:r>
      <w:r w:rsidR="00552E34">
        <w:rPr>
          <w:rFonts w:cs="Arial"/>
          <w:iCs/>
          <w:szCs w:val="20"/>
          <w:lang w:val="sl-SI" w:eastAsia="sl-SI"/>
        </w:rPr>
        <w:t xml:space="preserve">V ta namen bo ustrezno </w:t>
      </w:r>
      <w:r w:rsidR="00B952EC">
        <w:rPr>
          <w:rFonts w:cs="Arial"/>
          <w:iCs/>
          <w:szCs w:val="20"/>
          <w:lang w:val="sl-SI" w:eastAsia="sl-SI"/>
        </w:rPr>
        <w:t>spreme</w:t>
      </w:r>
      <w:r w:rsidR="00552E34">
        <w:rPr>
          <w:rFonts w:cs="Arial"/>
          <w:iCs/>
          <w:szCs w:val="20"/>
          <w:lang w:val="sl-SI" w:eastAsia="sl-SI"/>
        </w:rPr>
        <w:t>njena</w:t>
      </w:r>
      <w:r w:rsidR="00B952EC">
        <w:rPr>
          <w:rFonts w:cs="Arial"/>
          <w:iCs/>
          <w:szCs w:val="20"/>
          <w:lang w:val="sl-SI" w:eastAsia="sl-SI"/>
        </w:rPr>
        <w:t xml:space="preserve"> </w:t>
      </w:r>
      <w:r w:rsidR="00B952EC" w:rsidRPr="00B952EC">
        <w:rPr>
          <w:rFonts w:cs="Arial"/>
          <w:iCs/>
          <w:szCs w:val="20"/>
          <w:lang w:val="sl-SI" w:eastAsia="sl-SI"/>
        </w:rPr>
        <w:t>Odredb</w:t>
      </w:r>
      <w:r w:rsidR="00552E34">
        <w:rPr>
          <w:rFonts w:cs="Arial"/>
          <w:iCs/>
          <w:szCs w:val="20"/>
          <w:lang w:val="sl-SI" w:eastAsia="sl-SI"/>
        </w:rPr>
        <w:t>a</w:t>
      </w:r>
      <w:r w:rsidR="00B952EC" w:rsidRPr="00B952EC">
        <w:rPr>
          <w:rFonts w:cs="Arial"/>
          <w:iCs/>
          <w:szCs w:val="20"/>
          <w:lang w:val="sl-SI" w:eastAsia="sl-SI"/>
        </w:rPr>
        <w:t xml:space="preserve"> o ustanovitvi zunanjih oddelkov okrožnih državnih tožilstev</w:t>
      </w:r>
      <w:r w:rsidR="00B952EC">
        <w:rPr>
          <w:rFonts w:cs="Arial"/>
          <w:iCs/>
          <w:szCs w:val="20"/>
          <w:lang w:val="sl-SI" w:eastAsia="sl-SI"/>
        </w:rPr>
        <w:t>.</w:t>
      </w:r>
    </w:p>
    <w:p w14:paraId="0068AEB5" w14:textId="77777777" w:rsidR="00795AC0" w:rsidRDefault="00795AC0" w:rsidP="008C6605">
      <w:pPr>
        <w:widowControl w:val="0"/>
        <w:overflowPunct w:val="0"/>
        <w:autoSpaceDE w:val="0"/>
        <w:autoSpaceDN w:val="0"/>
        <w:adjustRightInd w:val="0"/>
        <w:spacing w:line="288" w:lineRule="auto"/>
        <w:jc w:val="both"/>
        <w:textAlignment w:val="baseline"/>
        <w:rPr>
          <w:rFonts w:cs="Arial"/>
          <w:iCs/>
          <w:szCs w:val="20"/>
          <w:lang w:val="sl-SI" w:eastAsia="sl-SI"/>
        </w:rPr>
      </w:pPr>
    </w:p>
    <w:p w14:paraId="5D14EDA0" w14:textId="43B9669F" w:rsidR="008C6605" w:rsidRDefault="00A15374"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A15374">
        <w:rPr>
          <w:rFonts w:cs="Arial"/>
          <w:b/>
          <w:bCs/>
          <w:iCs/>
          <w:szCs w:val="20"/>
          <w:u w:val="single"/>
          <w:lang w:val="sl-SI" w:eastAsia="sl-SI"/>
        </w:rPr>
        <w:t>K 21. členu (193. člen ZDT-1)</w:t>
      </w:r>
    </w:p>
    <w:p w14:paraId="0E7166BA" w14:textId="77777777" w:rsidR="00A15374" w:rsidRDefault="00A15374"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281D5939" w14:textId="711A83D2" w:rsidR="00A15374" w:rsidRDefault="00A15374" w:rsidP="006A168B">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A15374">
        <w:rPr>
          <w:rFonts w:cs="Arial"/>
          <w:iCs/>
          <w:szCs w:val="20"/>
          <w:u w:val="single"/>
          <w:lang w:val="sl-SI" w:eastAsia="sl-SI"/>
        </w:rPr>
        <w:t>Vrhovno državno tožilstvo</w:t>
      </w:r>
      <w:r w:rsidR="00DE35C9">
        <w:rPr>
          <w:rFonts w:cs="Arial"/>
          <w:iCs/>
          <w:szCs w:val="20"/>
          <w:u w:val="single"/>
          <w:lang w:val="sl-SI" w:eastAsia="sl-SI"/>
        </w:rPr>
        <w:t xml:space="preserve"> Republike Slovenije</w:t>
      </w:r>
    </w:p>
    <w:p w14:paraId="4B866D20" w14:textId="34FD8277" w:rsidR="00A15374" w:rsidRPr="00A15374" w:rsidRDefault="00A15374" w:rsidP="00A15374">
      <w:pPr>
        <w:widowControl w:val="0"/>
        <w:overflowPunct w:val="0"/>
        <w:autoSpaceDE w:val="0"/>
        <w:autoSpaceDN w:val="0"/>
        <w:adjustRightInd w:val="0"/>
        <w:spacing w:line="288" w:lineRule="auto"/>
        <w:jc w:val="both"/>
        <w:textAlignment w:val="baseline"/>
        <w:rPr>
          <w:rFonts w:cs="Arial"/>
          <w:i/>
          <w:szCs w:val="20"/>
          <w:lang w:val="sl-SI" w:eastAsia="sl-SI"/>
        </w:rPr>
      </w:pPr>
      <w:r w:rsidRPr="00A15374">
        <w:rPr>
          <w:rFonts w:cs="Arial"/>
          <w:i/>
          <w:szCs w:val="20"/>
          <w:lang w:val="sl-SI" w:eastAsia="sl-SI"/>
        </w:rPr>
        <w:t xml:space="preserve">Predlaga, da se omogoči večja </w:t>
      </w:r>
      <w:r w:rsidR="005F7CFA">
        <w:rPr>
          <w:rFonts w:cs="Arial"/>
          <w:i/>
          <w:szCs w:val="20"/>
          <w:lang w:val="sl-SI" w:eastAsia="sl-SI"/>
        </w:rPr>
        <w:t xml:space="preserve">prožnost </w:t>
      </w:r>
      <w:r w:rsidRPr="00A15374">
        <w:rPr>
          <w:rFonts w:cs="Arial"/>
          <w:i/>
          <w:szCs w:val="20"/>
          <w:lang w:val="sl-SI" w:eastAsia="sl-SI"/>
        </w:rPr>
        <w:t xml:space="preserve">imenovanih tožilcev na Specializiranem državnem tožilstvu (v nadaljnjem besedilu: SDT), in sicer tako, da bodo lahko delo opravljali tudi na sedežu drugega državnega tožilstva, kar bi lahko pripomoglo k večjemu zanimanju najbolj usposobljenih državnih tožilcev iz drugih krajev </w:t>
      </w:r>
      <w:r w:rsidR="0078219C">
        <w:rPr>
          <w:rFonts w:cs="Arial"/>
          <w:i/>
          <w:szCs w:val="20"/>
          <w:lang w:val="sl-SI" w:eastAsia="sl-SI"/>
        </w:rPr>
        <w:t xml:space="preserve">zunaj </w:t>
      </w:r>
      <w:r w:rsidRPr="00A15374">
        <w:rPr>
          <w:rFonts w:cs="Arial"/>
          <w:i/>
          <w:szCs w:val="20"/>
          <w:lang w:val="sl-SI" w:eastAsia="sl-SI"/>
        </w:rPr>
        <w:t xml:space="preserve">sedeža SDT, ki se </w:t>
      </w:r>
      <w:r w:rsidR="0078219C">
        <w:rPr>
          <w:rFonts w:cs="Arial"/>
          <w:i/>
          <w:szCs w:val="20"/>
          <w:lang w:val="sl-SI" w:eastAsia="sl-SI"/>
        </w:rPr>
        <w:t>z</w:t>
      </w:r>
      <w:r w:rsidRPr="00A15374">
        <w:rPr>
          <w:rFonts w:cs="Arial"/>
          <w:i/>
          <w:szCs w:val="20"/>
          <w:lang w:val="sl-SI" w:eastAsia="sl-SI"/>
        </w:rPr>
        <w:t>daj zaradi oddaljenosti za delo na SDT ne odločajo. Predlaga tudi, da se v prehodnih določbah določi, da se ta sprememba začne uporabljati z dnem začetka veljavnosti zakona.</w:t>
      </w:r>
    </w:p>
    <w:p w14:paraId="7003EAA1" w14:textId="77777777" w:rsidR="00A15374" w:rsidRDefault="00A15374" w:rsidP="006A168B">
      <w:pPr>
        <w:widowControl w:val="0"/>
        <w:overflowPunct w:val="0"/>
        <w:autoSpaceDE w:val="0"/>
        <w:autoSpaceDN w:val="0"/>
        <w:adjustRightInd w:val="0"/>
        <w:spacing w:line="288" w:lineRule="auto"/>
        <w:jc w:val="both"/>
        <w:textAlignment w:val="baseline"/>
        <w:rPr>
          <w:rFonts w:cs="Arial"/>
          <w:i/>
          <w:szCs w:val="20"/>
          <w:lang w:val="sl-SI" w:eastAsia="sl-SI"/>
        </w:rPr>
      </w:pPr>
    </w:p>
    <w:p w14:paraId="019152B2" w14:textId="49E94D47" w:rsidR="00A15374" w:rsidRPr="00A15374" w:rsidRDefault="00A15374" w:rsidP="006A168B">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lastRenderedPageBreak/>
        <w:t xml:space="preserve">Predlog je </w:t>
      </w:r>
      <w:r w:rsidR="00CE6BD7">
        <w:rPr>
          <w:rFonts w:cs="Arial"/>
          <w:iCs/>
          <w:szCs w:val="20"/>
          <w:lang w:val="sl-SI" w:eastAsia="sl-SI"/>
        </w:rPr>
        <w:t xml:space="preserve">v celoti </w:t>
      </w:r>
      <w:r>
        <w:rPr>
          <w:rFonts w:cs="Arial"/>
          <w:iCs/>
          <w:szCs w:val="20"/>
          <w:lang w:val="sl-SI" w:eastAsia="sl-SI"/>
        </w:rPr>
        <w:t>upoštevan</w:t>
      </w:r>
      <w:r w:rsidR="00D56CF9">
        <w:rPr>
          <w:rFonts w:cs="Arial"/>
          <w:iCs/>
          <w:szCs w:val="20"/>
          <w:lang w:val="sl-SI" w:eastAsia="sl-SI"/>
        </w:rPr>
        <w:t>.</w:t>
      </w:r>
    </w:p>
    <w:p w14:paraId="4EAC9EF7" w14:textId="77777777" w:rsidR="008C6605" w:rsidRDefault="008C6605"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2B354E26" w14:textId="0A6AE81E" w:rsidR="00453CD8" w:rsidRDefault="00453CD8"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453CD8">
        <w:rPr>
          <w:rFonts w:cs="Arial"/>
          <w:b/>
          <w:bCs/>
          <w:iCs/>
          <w:szCs w:val="20"/>
          <w:u w:val="single"/>
          <w:lang w:val="sl-SI" w:eastAsia="sl-SI"/>
        </w:rPr>
        <w:t>K 22. členu</w:t>
      </w:r>
      <w:r w:rsidR="00734F91">
        <w:rPr>
          <w:rFonts w:cs="Arial"/>
          <w:b/>
          <w:bCs/>
          <w:iCs/>
          <w:szCs w:val="20"/>
          <w:u w:val="single"/>
          <w:lang w:val="sl-SI" w:eastAsia="sl-SI"/>
        </w:rPr>
        <w:t xml:space="preserve"> (196. člen ZDT-1)</w:t>
      </w:r>
    </w:p>
    <w:p w14:paraId="0EAA47A6" w14:textId="77777777" w:rsidR="00453CD8" w:rsidRDefault="00453CD8" w:rsidP="006A168B">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12EA2692" w14:textId="2921D025" w:rsidR="00453CD8" w:rsidRDefault="00453CD8" w:rsidP="00453CD8">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A15374">
        <w:rPr>
          <w:rFonts w:cs="Arial"/>
          <w:iCs/>
          <w:szCs w:val="20"/>
          <w:u w:val="single"/>
          <w:lang w:val="sl-SI" w:eastAsia="sl-SI"/>
        </w:rPr>
        <w:t>Vrhovno državno tožilstvo</w:t>
      </w:r>
      <w:r w:rsidR="003E55CC">
        <w:rPr>
          <w:rFonts w:cs="Arial"/>
          <w:iCs/>
          <w:szCs w:val="20"/>
          <w:u w:val="single"/>
          <w:lang w:val="sl-SI" w:eastAsia="sl-SI"/>
        </w:rPr>
        <w:t xml:space="preserve"> Republike Slovenije</w:t>
      </w:r>
    </w:p>
    <w:p w14:paraId="3E6F73F3" w14:textId="37D27318" w:rsidR="00453CD8" w:rsidRDefault="00453CD8" w:rsidP="00453CD8">
      <w:pPr>
        <w:widowControl w:val="0"/>
        <w:overflowPunct w:val="0"/>
        <w:autoSpaceDE w:val="0"/>
        <w:autoSpaceDN w:val="0"/>
        <w:adjustRightInd w:val="0"/>
        <w:spacing w:line="288" w:lineRule="auto"/>
        <w:jc w:val="both"/>
        <w:textAlignment w:val="baseline"/>
        <w:rPr>
          <w:rFonts w:cs="Arial"/>
          <w:i/>
          <w:szCs w:val="20"/>
          <w:lang w:val="sl-SI" w:eastAsia="sl-SI"/>
        </w:rPr>
      </w:pPr>
      <w:r w:rsidRPr="00453CD8">
        <w:rPr>
          <w:rFonts w:cs="Arial"/>
          <w:i/>
          <w:szCs w:val="20"/>
          <w:lang w:val="sl-SI" w:eastAsia="sl-SI"/>
        </w:rPr>
        <w:t xml:space="preserve">Opozarja, da je treba z vidika konsistentnosti zakona črtati 1. in 2. točko prvega odstavka </w:t>
      </w:r>
      <w:r>
        <w:rPr>
          <w:rFonts w:cs="Arial"/>
          <w:i/>
          <w:szCs w:val="20"/>
          <w:lang w:val="sl-SI" w:eastAsia="sl-SI"/>
        </w:rPr>
        <w:t>ter</w:t>
      </w:r>
      <w:r w:rsidRPr="00453CD8">
        <w:rPr>
          <w:rFonts w:cs="Arial"/>
          <w:i/>
          <w:szCs w:val="20"/>
          <w:lang w:val="sl-SI" w:eastAsia="sl-SI"/>
        </w:rPr>
        <w:t xml:space="preserve"> 1. in 2. točko drugega odstavka 196. člena ZDT-1, ki opredeljujejo plače okrajnih državnih tožilcev in okrajnih državnih tožilcev svetnikov, ki jih novela ukinja.</w:t>
      </w:r>
    </w:p>
    <w:p w14:paraId="623088DA" w14:textId="77777777" w:rsidR="00453CD8" w:rsidRDefault="00453CD8" w:rsidP="00453CD8">
      <w:pPr>
        <w:widowControl w:val="0"/>
        <w:overflowPunct w:val="0"/>
        <w:autoSpaceDE w:val="0"/>
        <w:autoSpaceDN w:val="0"/>
        <w:adjustRightInd w:val="0"/>
        <w:spacing w:line="288" w:lineRule="auto"/>
        <w:jc w:val="both"/>
        <w:textAlignment w:val="baseline"/>
        <w:rPr>
          <w:rFonts w:cs="Arial"/>
          <w:i/>
          <w:szCs w:val="20"/>
          <w:lang w:val="sl-SI" w:eastAsia="sl-SI"/>
        </w:rPr>
      </w:pPr>
    </w:p>
    <w:p w14:paraId="221195D9" w14:textId="0CBD2BC2" w:rsidR="00453CD8" w:rsidRPr="00734F91" w:rsidRDefault="00734F91" w:rsidP="00453CD8">
      <w:pPr>
        <w:widowControl w:val="0"/>
        <w:overflowPunct w:val="0"/>
        <w:autoSpaceDE w:val="0"/>
        <w:autoSpaceDN w:val="0"/>
        <w:adjustRightInd w:val="0"/>
        <w:spacing w:line="288" w:lineRule="auto"/>
        <w:jc w:val="both"/>
        <w:textAlignment w:val="baseline"/>
        <w:rPr>
          <w:rFonts w:cs="Arial"/>
          <w:iCs/>
          <w:szCs w:val="20"/>
          <w:lang w:val="sl-SI" w:eastAsia="sl-SI"/>
        </w:rPr>
      </w:pPr>
      <w:r>
        <w:rPr>
          <w:rFonts w:cs="Arial"/>
          <w:iCs/>
          <w:szCs w:val="20"/>
          <w:lang w:val="sl-SI" w:eastAsia="sl-SI"/>
        </w:rPr>
        <w:t>Pripomba je upoštevana.</w:t>
      </w:r>
    </w:p>
    <w:p w14:paraId="299B5822" w14:textId="77777777" w:rsidR="00453CD8" w:rsidRDefault="00453CD8" w:rsidP="006A168B">
      <w:pPr>
        <w:widowControl w:val="0"/>
        <w:overflowPunct w:val="0"/>
        <w:autoSpaceDE w:val="0"/>
        <w:autoSpaceDN w:val="0"/>
        <w:adjustRightInd w:val="0"/>
        <w:spacing w:line="288" w:lineRule="auto"/>
        <w:jc w:val="both"/>
        <w:textAlignment w:val="baseline"/>
        <w:rPr>
          <w:rFonts w:cs="Arial"/>
          <w:iCs/>
          <w:szCs w:val="20"/>
          <w:lang w:val="sl-SI" w:eastAsia="sl-SI"/>
        </w:rPr>
      </w:pPr>
    </w:p>
    <w:p w14:paraId="1118B752" w14:textId="3F6AFD75" w:rsidR="002B4F44" w:rsidRDefault="002B4F44"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2B4F44">
        <w:rPr>
          <w:rFonts w:cs="Arial"/>
          <w:b/>
          <w:bCs/>
          <w:iCs/>
          <w:szCs w:val="20"/>
          <w:u w:val="single"/>
          <w:lang w:val="sl-SI" w:eastAsia="sl-SI"/>
        </w:rPr>
        <w:t xml:space="preserve">K </w:t>
      </w:r>
      <w:r w:rsidR="002061E0" w:rsidRPr="00C44B37">
        <w:rPr>
          <w:rFonts w:cs="Arial"/>
          <w:b/>
          <w:bCs/>
          <w:iCs/>
          <w:szCs w:val="20"/>
          <w:u w:val="single"/>
          <w:lang w:val="sl-SI" w:eastAsia="sl-SI"/>
        </w:rPr>
        <w:t>24</w:t>
      </w:r>
      <w:r w:rsidRPr="002B4F44">
        <w:rPr>
          <w:rFonts w:cs="Arial"/>
          <w:b/>
          <w:bCs/>
          <w:iCs/>
          <w:szCs w:val="20"/>
          <w:u w:val="single"/>
          <w:lang w:val="sl-SI" w:eastAsia="sl-SI"/>
        </w:rPr>
        <w:t>. členu</w:t>
      </w:r>
    </w:p>
    <w:p w14:paraId="0222BC7D" w14:textId="77777777" w:rsidR="000E6FAA" w:rsidRDefault="000E6FAA"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6F63C748" w14:textId="0BADC95C" w:rsidR="000E6FAA" w:rsidRPr="000E6FAA" w:rsidRDefault="000E6FAA"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0E6FAA">
        <w:rPr>
          <w:rFonts w:cs="Arial"/>
          <w:iCs/>
          <w:szCs w:val="20"/>
          <w:u w:val="single"/>
          <w:lang w:val="sl-SI" w:eastAsia="sl-SI"/>
        </w:rPr>
        <w:t>Vrhovno državno tožilstvo</w:t>
      </w:r>
      <w:r w:rsidR="003E55CC">
        <w:rPr>
          <w:rFonts w:cs="Arial"/>
          <w:iCs/>
          <w:szCs w:val="20"/>
          <w:u w:val="single"/>
          <w:lang w:val="sl-SI" w:eastAsia="sl-SI"/>
        </w:rPr>
        <w:t xml:space="preserve"> Republike Slovenije</w:t>
      </w:r>
    </w:p>
    <w:p w14:paraId="6AAECDD6" w14:textId="727347A2" w:rsidR="0048372D" w:rsidRPr="00E36B47" w:rsidRDefault="000E6FAA" w:rsidP="0048372D">
      <w:pPr>
        <w:widowControl w:val="0"/>
        <w:overflowPunct w:val="0"/>
        <w:autoSpaceDE w:val="0"/>
        <w:autoSpaceDN w:val="0"/>
        <w:adjustRightInd w:val="0"/>
        <w:spacing w:line="288" w:lineRule="auto"/>
        <w:jc w:val="both"/>
        <w:textAlignment w:val="baseline"/>
        <w:rPr>
          <w:rFonts w:cs="Arial"/>
          <w:i/>
          <w:szCs w:val="20"/>
          <w:lang w:val="sl-SI" w:eastAsia="sl-SI"/>
        </w:rPr>
      </w:pPr>
      <w:r w:rsidRPr="000E6FAA">
        <w:rPr>
          <w:rFonts w:cs="Arial"/>
          <w:i/>
          <w:szCs w:val="20"/>
          <w:lang w:val="sl-SI" w:eastAsia="sl-SI"/>
        </w:rPr>
        <w:t>Meni</w:t>
      </w:r>
      <w:r w:rsidRPr="00E36B47">
        <w:rPr>
          <w:rFonts w:cs="Arial"/>
          <w:i/>
          <w:szCs w:val="20"/>
          <w:lang w:val="sl-SI" w:eastAsia="sl-SI"/>
        </w:rPr>
        <w:t>,</w:t>
      </w:r>
      <w:r w:rsidRPr="000E6FAA">
        <w:rPr>
          <w:rFonts w:cs="Arial"/>
          <w:i/>
          <w:szCs w:val="20"/>
          <w:lang w:val="sl-SI" w:eastAsia="sl-SI"/>
        </w:rPr>
        <w:t xml:space="preserve"> da bi veljalo</w:t>
      </w:r>
      <w:r w:rsidRPr="00E36B47">
        <w:rPr>
          <w:rFonts w:cs="Arial"/>
          <w:i/>
          <w:szCs w:val="20"/>
          <w:lang w:val="sl-SI" w:eastAsia="sl-SI"/>
        </w:rPr>
        <w:t xml:space="preserve"> </w:t>
      </w:r>
      <w:r w:rsidRPr="000E6FAA">
        <w:rPr>
          <w:rFonts w:cs="Arial"/>
          <w:i/>
          <w:szCs w:val="20"/>
          <w:lang w:val="sl-SI" w:eastAsia="sl-SI"/>
        </w:rPr>
        <w:t xml:space="preserve">ponovno </w:t>
      </w:r>
      <w:r w:rsidRPr="00E36B47">
        <w:rPr>
          <w:rFonts w:cs="Arial"/>
          <w:i/>
          <w:szCs w:val="20"/>
          <w:lang w:val="sl-SI" w:eastAsia="sl-SI"/>
        </w:rPr>
        <w:t xml:space="preserve">preučiti </w:t>
      </w:r>
      <w:r w:rsidRPr="000E6FAA">
        <w:rPr>
          <w:rFonts w:cs="Arial"/>
          <w:i/>
          <w:szCs w:val="20"/>
          <w:lang w:val="sl-SI" w:eastAsia="sl-SI"/>
        </w:rPr>
        <w:t xml:space="preserve">možnost, da se </w:t>
      </w:r>
      <w:r w:rsidRPr="00E36B47">
        <w:rPr>
          <w:rFonts w:cs="Arial"/>
          <w:i/>
          <w:szCs w:val="20"/>
          <w:lang w:val="sl-SI" w:eastAsia="sl-SI"/>
        </w:rPr>
        <w:t xml:space="preserve">nedokončani </w:t>
      </w:r>
      <w:r w:rsidRPr="000E6FAA">
        <w:rPr>
          <w:rFonts w:cs="Arial"/>
          <w:i/>
          <w:szCs w:val="20"/>
          <w:lang w:val="sl-SI" w:eastAsia="sl-SI"/>
        </w:rPr>
        <w:t>postopki razpisov za okrajne državne tožilce</w:t>
      </w:r>
      <w:r w:rsidRPr="00E36B47">
        <w:rPr>
          <w:rFonts w:cs="Arial"/>
          <w:i/>
          <w:szCs w:val="20"/>
          <w:lang w:val="sl-SI" w:eastAsia="sl-SI"/>
        </w:rPr>
        <w:t xml:space="preserve"> zaključijo </w:t>
      </w:r>
      <w:r w:rsidRPr="000E6FAA">
        <w:rPr>
          <w:rFonts w:cs="Arial"/>
          <w:i/>
          <w:szCs w:val="20"/>
          <w:lang w:val="sl-SI" w:eastAsia="sl-SI"/>
        </w:rPr>
        <w:t xml:space="preserve">po predpisih, ki so veljali v </w:t>
      </w:r>
      <w:r w:rsidRPr="00E36B47">
        <w:rPr>
          <w:rFonts w:cs="Arial"/>
          <w:i/>
          <w:szCs w:val="20"/>
          <w:lang w:val="sl-SI" w:eastAsia="sl-SI"/>
        </w:rPr>
        <w:t xml:space="preserve">času </w:t>
      </w:r>
      <w:r w:rsidRPr="000E6FAA">
        <w:rPr>
          <w:rFonts w:cs="Arial"/>
          <w:i/>
          <w:szCs w:val="20"/>
          <w:lang w:val="sl-SI" w:eastAsia="sl-SI"/>
        </w:rPr>
        <w:t>objave razpisa, izbrani državni tožilci pa se prevedejo</w:t>
      </w:r>
      <w:r w:rsidR="00040D6E" w:rsidRPr="00E36B47">
        <w:rPr>
          <w:rFonts w:cs="Arial"/>
          <w:i/>
          <w:szCs w:val="20"/>
          <w:lang w:val="sl-SI" w:eastAsia="sl-SI"/>
        </w:rPr>
        <w:t xml:space="preserve"> </w:t>
      </w:r>
      <w:r w:rsidRPr="00E36B47">
        <w:rPr>
          <w:rFonts w:cs="Arial"/>
          <w:i/>
          <w:szCs w:val="20"/>
          <w:lang w:val="sl-SI" w:eastAsia="sl-SI"/>
        </w:rPr>
        <w:t>v nov naziv v skladu s prehodnimi in končnimi določbami te novele.</w:t>
      </w:r>
      <w:r w:rsidR="0048372D" w:rsidRPr="00E36B47">
        <w:rPr>
          <w:rFonts w:cs="Arial"/>
          <w:i/>
          <w:szCs w:val="20"/>
          <w:lang w:val="sl-SI" w:eastAsia="sl-SI"/>
        </w:rPr>
        <w:t xml:space="preserve"> Hkrati </w:t>
      </w:r>
      <w:r w:rsidR="0048372D" w:rsidRPr="0048372D">
        <w:rPr>
          <w:rFonts w:cs="Arial"/>
          <w:i/>
          <w:szCs w:val="20"/>
          <w:lang w:val="sl-SI" w:eastAsia="sl-SI"/>
        </w:rPr>
        <w:t>pa poudarja, da je za državno tožilstvo</w:t>
      </w:r>
      <w:r w:rsidR="000471B3">
        <w:rPr>
          <w:rFonts w:cs="Arial"/>
          <w:i/>
          <w:szCs w:val="20"/>
          <w:lang w:val="sl-SI" w:eastAsia="sl-SI"/>
        </w:rPr>
        <w:t xml:space="preserve"> najpomembneje</w:t>
      </w:r>
      <w:r w:rsidR="0048372D" w:rsidRPr="0048372D">
        <w:rPr>
          <w:rFonts w:cs="Arial"/>
          <w:i/>
          <w:szCs w:val="20"/>
          <w:lang w:val="sl-SI" w:eastAsia="sl-SI"/>
        </w:rPr>
        <w:t xml:space="preserve">, da se že </w:t>
      </w:r>
      <w:r w:rsidR="0048372D" w:rsidRPr="00E36B47">
        <w:rPr>
          <w:rFonts w:cs="Arial"/>
          <w:i/>
          <w:szCs w:val="20"/>
          <w:lang w:val="sl-SI" w:eastAsia="sl-SI"/>
        </w:rPr>
        <w:t xml:space="preserve">začeti </w:t>
      </w:r>
      <w:r w:rsidR="0048372D" w:rsidRPr="0048372D">
        <w:rPr>
          <w:rFonts w:cs="Arial"/>
          <w:i/>
          <w:szCs w:val="20"/>
          <w:lang w:val="sl-SI" w:eastAsia="sl-SI"/>
        </w:rPr>
        <w:t xml:space="preserve">razpisni postopki ne bi prekinili, saj bi </w:t>
      </w:r>
      <w:r w:rsidR="0013092E">
        <w:rPr>
          <w:rFonts w:cs="Arial"/>
          <w:i/>
          <w:szCs w:val="20"/>
          <w:lang w:val="sl-SI" w:eastAsia="sl-SI"/>
        </w:rPr>
        <w:t xml:space="preserve">to </w:t>
      </w:r>
      <w:r w:rsidR="0048372D" w:rsidRPr="0048372D">
        <w:rPr>
          <w:rFonts w:cs="Arial"/>
          <w:i/>
          <w:szCs w:val="20"/>
          <w:lang w:val="sl-SI" w:eastAsia="sl-SI"/>
        </w:rPr>
        <w:t>vodilo v poslabšanje</w:t>
      </w:r>
      <w:r w:rsidR="0048372D" w:rsidRPr="00E36B47">
        <w:rPr>
          <w:rFonts w:cs="Arial"/>
          <w:i/>
          <w:szCs w:val="20"/>
          <w:lang w:val="sl-SI" w:eastAsia="sl-SI"/>
        </w:rPr>
        <w:t xml:space="preserve"> že tako pereče kadrovske problematike.</w:t>
      </w:r>
    </w:p>
    <w:p w14:paraId="2FEBE84E" w14:textId="77777777" w:rsidR="00C44B37" w:rsidRPr="00E36B47" w:rsidRDefault="00C44B37" w:rsidP="002B4F44">
      <w:pPr>
        <w:widowControl w:val="0"/>
        <w:overflowPunct w:val="0"/>
        <w:autoSpaceDE w:val="0"/>
        <w:autoSpaceDN w:val="0"/>
        <w:adjustRightInd w:val="0"/>
        <w:spacing w:line="288" w:lineRule="auto"/>
        <w:jc w:val="both"/>
        <w:textAlignment w:val="baseline"/>
        <w:rPr>
          <w:rFonts w:cs="Arial"/>
          <w:b/>
          <w:bCs/>
          <w:i/>
          <w:szCs w:val="20"/>
          <w:lang w:val="sl-SI" w:eastAsia="sl-SI"/>
        </w:rPr>
      </w:pPr>
    </w:p>
    <w:p w14:paraId="79EF5A89" w14:textId="625271C9" w:rsidR="00C44B37" w:rsidRPr="002B4F44" w:rsidRDefault="00C44B37"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C44B37">
        <w:rPr>
          <w:rFonts w:cs="Arial"/>
          <w:iCs/>
          <w:szCs w:val="20"/>
          <w:u w:val="single"/>
          <w:lang w:val="sl-SI" w:eastAsia="sl-SI"/>
        </w:rPr>
        <w:t xml:space="preserve">Državnotožilski svet </w:t>
      </w:r>
    </w:p>
    <w:p w14:paraId="45A5B951" w14:textId="237B8D12" w:rsidR="002B4F44" w:rsidRDefault="002B4F44" w:rsidP="002B4F44">
      <w:pPr>
        <w:widowControl w:val="0"/>
        <w:overflowPunct w:val="0"/>
        <w:autoSpaceDE w:val="0"/>
        <w:autoSpaceDN w:val="0"/>
        <w:adjustRightInd w:val="0"/>
        <w:spacing w:line="288" w:lineRule="auto"/>
        <w:jc w:val="both"/>
        <w:textAlignment w:val="baseline"/>
        <w:rPr>
          <w:rFonts w:cs="Arial"/>
          <w:iCs/>
          <w:szCs w:val="20"/>
          <w:lang w:val="sl-SI" w:eastAsia="sl-SI"/>
        </w:rPr>
      </w:pPr>
      <w:r w:rsidRPr="002B4F44">
        <w:rPr>
          <w:rFonts w:cs="Arial"/>
          <w:i/>
          <w:szCs w:val="20"/>
          <w:lang w:val="sl-SI" w:eastAsia="sl-SI"/>
        </w:rPr>
        <w:t>Glede na možnost, da nekateri okrajni državni tožilci ob začetku uporabe ZDT-1F še ne bodo</w:t>
      </w:r>
      <w:r w:rsidRPr="00C44B37">
        <w:rPr>
          <w:rFonts w:cs="Arial"/>
          <w:i/>
          <w:szCs w:val="20"/>
          <w:lang w:val="sl-SI" w:eastAsia="sl-SI"/>
        </w:rPr>
        <w:t xml:space="preserve"> </w:t>
      </w:r>
      <w:r w:rsidRPr="002B4F44">
        <w:rPr>
          <w:rFonts w:cs="Arial"/>
          <w:i/>
          <w:szCs w:val="20"/>
          <w:lang w:val="sl-SI" w:eastAsia="sl-SI"/>
        </w:rPr>
        <w:t>izpolnjevali pogoja štirih let delovnih izkušenj na pravniških delih po opravljenem pravniškem</w:t>
      </w:r>
      <w:r w:rsidRPr="00C44B37">
        <w:rPr>
          <w:rFonts w:cs="Arial"/>
          <w:i/>
          <w:szCs w:val="20"/>
          <w:lang w:val="sl-SI" w:eastAsia="sl-SI"/>
        </w:rPr>
        <w:t xml:space="preserve"> </w:t>
      </w:r>
      <w:r w:rsidRPr="002B4F44">
        <w:rPr>
          <w:rFonts w:cs="Arial"/>
          <w:i/>
          <w:szCs w:val="20"/>
          <w:lang w:val="sl-SI" w:eastAsia="sl-SI"/>
        </w:rPr>
        <w:t>državnem izpitu, pa bodo kljub temu »ex lege« pridobili naziv okrožnega državnega tožilca, se</w:t>
      </w:r>
      <w:r w:rsidRPr="00C44B37">
        <w:rPr>
          <w:rFonts w:cs="Arial"/>
          <w:i/>
          <w:szCs w:val="20"/>
          <w:lang w:val="sl-SI" w:eastAsia="sl-SI"/>
        </w:rPr>
        <w:t xml:space="preserve"> </w:t>
      </w:r>
      <w:r w:rsidRPr="002B4F44">
        <w:rPr>
          <w:rFonts w:cs="Arial"/>
          <w:i/>
          <w:szCs w:val="20"/>
          <w:lang w:val="sl-SI" w:eastAsia="sl-SI"/>
        </w:rPr>
        <w:t>zastavlja vprašanje, ali je potrebno, da se za kandidate, ki so ob prijavi izpolnjevali pogoje za</w:t>
      </w:r>
      <w:r w:rsidRPr="00C44B37">
        <w:rPr>
          <w:rFonts w:cs="Arial"/>
          <w:i/>
          <w:szCs w:val="20"/>
          <w:lang w:val="sl-SI" w:eastAsia="sl-SI"/>
        </w:rPr>
        <w:t xml:space="preserve"> </w:t>
      </w:r>
      <w:r w:rsidRPr="002B4F44">
        <w:rPr>
          <w:rFonts w:cs="Arial"/>
          <w:i/>
          <w:szCs w:val="20"/>
          <w:lang w:val="sl-SI" w:eastAsia="sl-SI"/>
        </w:rPr>
        <w:t>okrajnega državnega tožilca, naknadno preverja še izpolnjevanje novega posebnega pogoja</w:t>
      </w:r>
      <w:r w:rsidRPr="00C44B37">
        <w:rPr>
          <w:rFonts w:cs="Arial"/>
          <w:i/>
          <w:szCs w:val="20"/>
          <w:lang w:val="sl-SI" w:eastAsia="sl-SI"/>
        </w:rPr>
        <w:t xml:space="preserve"> </w:t>
      </w:r>
      <w:r w:rsidRPr="002B4F44">
        <w:rPr>
          <w:rFonts w:cs="Arial"/>
          <w:i/>
          <w:szCs w:val="20"/>
          <w:lang w:val="sl-SI" w:eastAsia="sl-SI"/>
        </w:rPr>
        <w:t>za imenovanje za okrožnega državnega tožilca.</w:t>
      </w:r>
      <w:r w:rsidRPr="00C44B37">
        <w:rPr>
          <w:rFonts w:cs="Arial"/>
          <w:i/>
          <w:szCs w:val="20"/>
          <w:lang w:val="sl-SI" w:eastAsia="sl-SI"/>
        </w:rPr>
        <w:t xml:space="preserve"> </w:t>
      </w:r>
      <w:r w:rsidRPr="002B4F44">
        <w:rPr>
          <w:rFonts w:cs="Arial"/>
          <w:i/>
          <w:szCs w:val="20"/>
          <w:lang w:val="sl-SI" w:eastAsia="sl-SI"/>
        </w:rPr>
        <w:t>V primeru, da bi morali kandidati pred imenovanjem izpolnjevati pogoj za okrožnega</w:t>
      </w:r>
      <w:r w:rsidRPr="00C44B37">
        <w:rPr>
          <w:rFonts w:cs="Arial"/>
          <w:i/>
          <w:szCs w:val="20"/>
          <w:lang w:val="sl-SI" w:eastAsia="sl-SI"/>
        </w:rPr>
        <w:t xml:space="preserve"> </w:t>
      </w:r>
      <w:r w:rsidRPr="002B4F44">
        <w:rPr>
          <w:rFonts w:cs="Arial"/>
          <w:i/>
          <w:szCs w:val="20"/>
          <w:lang w:val="sl-SI" w:eastAsia="sl-SI"/>
        </w:rPr>
        <w:t>državnega tožilca, pa Državnotožilski svet meni, da morajo ta pogoj izpolnjevati ob odločanju</w:t>
      </w:r>
      <w:r w:rsidRPr="00C44B37">
        <w:rPr>
          <w:rFonts w:cs="Arial"/>
          <w:i/>
          <w:szCs w:val="20"/>
          <w:lang w:val="sl-SI" w:eastAsia="sl-SI"/>
        </w:rPr>
        <w:t xml:space="preserve"> Vlade RS, torej ob imenovanju</w:t>
      </w:r>
      <w:r w:rsidRPr="002B4F44">
        <w:rPr>
          <w:rFonts w:cs="Arial"/>
          <w:iCs/>
          <w:szCs w:val="20"/>
          <w:lang w:val="sl-SI" w:eastAsia="sl-SI"/>
        </w:rPr>
        <w:t>.</w:t>
      </w:r>
    </w:p>
    <w:p w14:paraId="3F7A250E" w14:textId="77777777" w:rsidR="00DD309E" w:rsidRDefault="00DD309E" w:rsidP="002B4F44">
      <w:pPr>
        <w:widowControl w:val="0"/>
        <w:overflowPunct w:val="0"/>
        <w:autoSpaceDE w:val="0"/>
        <w:autoSpaceDN w:val="0"/>
        <w:adjustRightInd w:val="0"/>
        <w:spacing w:line="288" w:lineRule="auto"/>
        <w:jc w:val="both"/>
        <w:textAlignment w:val="baseline"/>
        <w:rPr>
          <w:rFonts w:cs="Arial"/>
          <w:iCs/>
          <w:szCs w:val="20"/>
          <w:lang w:val="sl-SI" w:eastAsia="sl-SI"/>
        </w:rPr>
      </w:pPr>
    </w:p>
    <w:p w14:paraId="61E0B557" w14:textId="4F47B12D" w:rsidR="003C1AE0" w:rsidRPr="003C1AE0" w:rsidRDefault="004B4F7F" w:rsidP="002B4F44">
      <w:pPr>
        <w:widowControl w:val="0"/>
        <w:overflowPunct w:val="0"/>
        <w:autoSpaceDE w:val="0"/>
        <w:autoSpaceDN w:val="0"/>
        <w:adjustRightInd w:val="0"/>
        <w:spacing w:line="288" w:lineRule="auto"/>
        <w:jc w:val="both"/>
        <w:textAlignment w:val="baseline"/>
        <w:rPr>
          <w:rFonts w:eastAsiaTheme="minorEastAsia" w:cs="Arial"/>
          <w:szCs w:val="20"/>
          <w:lang w:val="sl-SI"/>
        </w:rPr>
      </w:pPr>
      <w:r>
        <w:rPr>
          <w:rFonts w:cs="Arial"/>
          <w:iCs/>
          <w:szCs w:val="20"/>
          <w:lang w:val="sl-SI" w:eastAsia="sl-SI"/>
        </w:rPr>
        <w:t xml:space="preserve">Predlagatelj meni, da ne bi bilo ustrezno, da bi se </w:t>
      </w:r>
      <w:r>
        <w:rPr>
          <w:rFonts w:eastAsiaTheme="minorEastAsia" w:cs="Arial"/>
          <w:szCs w:val="20"/>
          <w:lang w:val="sl-SI"/>
        </w:rPr>
        <w:t>p</w:t>
      </w:r>
      <w:r w:rsidRPr="00420687">
        <w:rPr>
          <w:rFonts w:eastAsiaTheme="minorEastAsia" w:cs="Arial"/>
          <w:szCs w:val="20"/>
          <w:lang w:val="sl-SI"/>
        </w:rPr>
        <w:t>ostopki za imenovanje na</w:t>
      </w:r>
      <w:r>
        <w:rPr>
          <w:rFonts w:eastAsiaTheme="minorEastAsia" w:cs="Arial"/>
          <w:szCs w:val="20"/>
          <w:lang w:val="sl-SI"/>
        </w:rPr>
        <w:t xml:space="preserve"> prosto</w:t>
      </w:r>
      <w:r w:rsidRPr="00420687">
        <w:rPr>
          <w:rFonts w:eastAsiaTheme="minorEastAsia" w:cs="Arial"/>
          <w:szCs w:val="20"/>
          <w:lang w:val="sl-SI"/>
        </w:rPr>
        <w:t xml:space="preserve"> mesto okrajnega državnega tožilca, ki so se začeli </w:t>
      </w:r>
      <w:r>
        <w:rPr>
          <w:rFonts w:eastAsiaTheme="minorEastAsia" w:cs="Arial"/>
          <w:szCs w:val="20"/>
          <w:lang w:val="sl-SI"/>
        </w:rPr>
        <w:t>pred 1. 1. 2027 in se do 1. 1. 2027 še ne bodo zaključili,</w:t>
      </w:r>
      <w:r w:rsidRPr="00420687">
        <w:rPr>
          <w:rFonts w:eastAsiaTheme="minorEastAsia" w:cs="Arial"/>
          <w:szCs w:val="20"/>
          <w:lang w:val="sl-SI"/>
        </w:rPr>
        <w:t xml:space="preserve"> </w:t>
      </w:r>
      <w:r>
        <w:rPr>
          <w:rFonts w:eastAsiaTheme="minorEastAsia" w:cs="Arial"/>
          <w:szCs w:val="20"/>
          <w:lang w:val="sl-SI"/>
        </w:rPr>
        <w:t xml:space="preserve">tudi po 1. 1. 2027 </w:t>
      </w:r>
      <w:r w:rsidRPr="00420687">
        <w:rPr>
          <w:rFonts w:eastAsiaTheme="minorEastAsia" w:cs="Arial"/>
          <w:szCs w:val="20"/>
          <w:lang w:val="sl-SI"/>
        </w:rPr>
        <w:t>nadal</w:t>
      </w:r>
      <w:r>
        <w:rPr>
          <w:rFonts w:eastAsiaTheme="minorEastAsia" w:cs="Arial"/>
          <w:szCs w:val="20"/>
          <w:lang w:val="sl-SI"/>
        </w:rPr>
        <w:t>jevali in zaključili po sedanji ureditvi, saj bo s 1. 1. 2027 odpravljen naziv okrajnega državnega tožilca. Zato je edina možnost za ohranitev zadevnih postopkov v teku ta, da se ti postopki po 1. 1. 2027 nadaljujejo i</w:t>
      </w:r>
      <w:r w:rsidRPr="004B4F7F">
        <w:rPr>
          <w:rFonts w:eastAsiaTheme="minorEastAsia" w:cs="Arial"/>
          <w:szCs w:val="20"/>
          <w:lang w:val="sl-SI"/>
        </w:rPr>
        <w:t>n zaključijo kot postopki za imenovanje na mesto okrožnega državnega tožilca</w:t>
      </w:r>
      <w:r>
        <w:rPr>
          <w:rFonts w:eastAsiaTheme="minorEastAsia" w:cs="Arial"/>
          <w:szCs w:val="20"/>
          <w:lang w:val="sl-SI"/>
        </w:rPr>
        <w:t>.</w:t>
      </w:r>
      <w:r w:rsidR="003C1AE0">
        <w:rPr>
          <w:rFonts w:eastAsiaTheme="minorEastAsia" w:cs="Arial"/>
          <w:szCs w:val="20"/>
          <w:lang w:val="sl-SI"/>
        </w:rPr>
        <w:t xml:space="preserve"> Glede vprašanja, kdaj morajo kandidati v teh postopkih izpolnjevati posebni pogoj za imenovanje </w:t>
      </w:r>
      <w:r w:rsidR="003C1AE0" w:rsidRPr="003C1AE0">
        <w:rPr>
          <w:rFonts w:eastAsiaTheme="minorEastAsia" w:cs="Arial"/>
          <w:szCs w:val="20"/>
          <w:lang w:val="sl-SI"/>
        </w:rPr>
        <w:t>na državnotožilsko mesto, ki se opravlja v nazivu okrožni državni tožilec</w:t>
      </w:r>
      <w:r w:rsidR="003C1AE0">
        <w:rPr>
          <w:rFonts w:eastAsiaTheme="minorEastAsia" w:cs="Arial"/>
          <w:szCs w:val="20"/>
          <w:lang w:val="sl-SI"/>
        </w:rPr>
        <w:t xml:space="preserve">, torej ali 1. 1. 2027 ali kdaj pozneje, pa je po mnenju predlagatelja bistveno, da se ta časovni trenutek določi </w:t>
      </w:r>
      <w:r w:rsidR="001F6220">
        <w:rPr>
          <w:rFonts w:eastAsiaTheme="minorEastAsia" w:cs="Arial"/>
          <w:szCs w:val="20"/>
          <w:lang w:val="sl-SI"/>
        </w:rPr>
        <w:t xml:space="preserve">za vse enako in </w:t>
      </w:r>
      <w:r w:rsidR="003C1AE0">
        <w:rPr>
          <w:rFonts w:eastAsiaTheme="minorEastAsia" w:cs="Arial"/>
          <w:szCs w:val="20"/>
          <w:lang w:val="sl-SI"/>
        </w:rPr>
        <w:t xml:space="preserve">jasno oziroma tako, da ni odvisen od </w:t>
      </w:r>
      <w:r w:rsidR="002F121C">
        <w:rPr>
          <w:rFonts w:eastAsiaTheme="minorEastAsia" w:cs="Arial"/>
          <w:szCs w:val="20"/>
          <w:lang w:val="sl-SI"/>
        </w:rPr>
        <w:t xml:space="preserve">prihodnjih </w:t>
      </w:r>
      <w:r w:rsidR="003C1AE0">
        <w:rPr>
          <w:rFonts w:eastAsiaTheme="minorEastAsia" w:cs="Arial"/>
          <w:szCs w:val="20"/>
          <w:lang w:val="sl-SI"/>
        </w:rPr>
        <w:t xml:space="preserve">časovno negotovih okoliščin (kot je npr. odločanje Vlade Republike Slovenije). </w:t>
      </w:r>
      <w:r w:rsidR="001F6220">
        <w:rPr>
          <w:rFonts w:eastAsiaTheme="minorEastAsia" w:cs="Arial"/>
          <w:szCs w:val="20"/>
          <w:lang w:val="sl-SI"/>
        </w:rPr>
        <w:t xml:space="preserve">Glede na to, da bo predlagani zakon začel veljati </w:t>
      </w:r>
      <w:r w:rsidR="001F6220">
        <w:rPr>
          <w:rFonts w:eastAsia="Arial" w:cs="Arial"/>
          <w:szCs w:val="20"/>
          <w:lang w:val="sl-SI"/>
        </w:rPr>
        <w:t>petnajsti dan po objavi v Uradnem listu Republike Slovenije, uporabljati pa se bo začel šele 1. 1. 2027, predlagatelj meni, da bo časovno obdobje med začetkom veljavnosti in začetkom uporabe zakona, ki bo predvidoma daljše od enega leta, za kolikor se bo zaostril pogoj za imenovanje v najnižji možni državnotožilski naziv, omogočalo vsem kandidatom, da se bodo pravočasno seznanili z zadevnim pogojem</w:t>
      </w:r>
      <w:r w:rsidR="0062760A">
        <w:rPr>
          <w:rFonts w:eastAsia="Arial" w:cs="Arial"/>
          <w:szCs w:val="20"/>
          <w:lang w:val="sl-SI"/>
        </w:rPr>
        <w:t>,</w:t>
      </w:r>
      <w:r w:rsidR="001F6220">
        <w:rPr>
          <w:rFonts w:eastAsia="Arial" w:cs="Arial"/>
          <w:szCs w:val="20"/>
          <w:lang w:val="sl-SI"/>
        </w:rPr>
        <w:t xml:space="preserve"> in zato prehod na novo ureditev ne bo </w:t>
      </w:r>
      <w:r w:rsidR="0062760A">
        <w:rPr>
          <w:rFonts w:eastAsia="Arial" w:cs="Arial"/>
          <w:szCs w:val="20"/>
          <w:lang w:val="sl-SI"/>
        </w:rPr>
        <w:t xml:space="preserve">pomenil </w:t>
      </w:r>
      <w:r w:rsidR="001F6220">
        <w:rPr>
          <w:rFonts w:eastAsia="Arial" w:cs="Arial"/>
          <w:szCs w:val="20"/>
          <w:lang w:val="sl-SI"/>
        </w:rPr>
        <w:t>kakršnega</w:t>
      </w:r>
      <w:r w:rsidR="0062760A">
        <w:rPr>
          <w:rFonts w:eastAsia="Arial" w:cs="Arial"/>
          <w:szCs w:val="20"/>
          <w:lang w:val="sl-SI"/>
        </w:rPr>
        <w:t xml:space="preserve"> </w:t>
      </w:r>
      <w:r w:rsidR="001F6220">
        <w:rPr>
          <w:rFonts w:eastAsia="Arial" w:cs="Arial"/>
          <w:szCs w:val="20"/>
          <w:lang w:val="sl-SI"/>
        </w:rPr>
        <w:t>koli posega v njihove pričakovane pravice.</w:t>
      </w:r>
      <w:r w:rsidR="00A9573E">
        <w:rPr>
          <w:rFonts w:eastAsia="Arial" w:cs="Arial"/>
          <w:szCs w:val="20"/>
          <w:lang w:val="sl-SI"/>
        </w:rPr>
        <w:t xml:space="preserve"> </w:t>
      </w:r>
      <w:r w:rsidR="00A9573E" w:rsidRPr="00A9573E">
        <w:rPr>
          <w:rFonts w:eastAsia="Arial" w:cs="Arial"/>
          <w:szCs w:val="20"/>
          <w:lang w:val="sl-SI"/>
        </w:rPr>
        <w:t xml:space="preserve">Ministrstvo za pravosodje bo </w:t>
      </w:r>
      <w:r w:rsidR="00A9573E">
        <w:rPr>
          <w:rFonts w:eastAsia="Arial" w:cs="Arial"/>
          <w:szCs w:val="20"/>
          <w:lang w:val="sl-SI"/>
        </w:rPr>
        <w:t xml:space="preserve">namreč </w:t>
      </w:r>
      <w:r w:rsidR="00A9573E" w:rsidRPr="00A9573E">
        <w:rPr>
          <w:rFonts w:eastAsia="Arial" w:cs="Arial"/>
          <w:szCs w:val="20"/>
          <w:lang w:val="sl-SI"/>
        </w:rPr>
        <w:t xml:space="preserve">kandidate obvestilo o tem, da se bodo zadevni postopki z dnem začetka </w:t>
      </w:r>
      <w:r w:rsidR="00A9573E" w:rsidRPr="00A9573E">
        <w:rPr>
          <w:rFonts w:eastAsia="Arial" w:cs="Arial"/>
          <w:szCs w:val="20"/>
          <w:lang w:val="sl-SI"/>
        </w:rPr>
        <w:lastRenderedPageBreak/>
        <w:t>uporabe tega zakona nadaljevali kot postopki za imenovanje na mesto okrožnega državnega tožilca</w:t>
      </w:r>
      <w:r w:rsidR="00A9573E">
        <w:rPr>
          <w:rFonts w:eastAsia="Arial" w:cs="Arial"/>
          <w:szCs w:val="20"/>
          <w:lang w:val="sl-SI"/>
        </w:rPr>
        <w:t xml:space="preserve">. </w:t>
      </w:r>
      <w:r w:rsidR="00A9573E" w:rsidRPr="00A9573E">
        <w:rPr>
          <w:rFonts w:eastAsia="Arial" w:cs="Arial"/>
          <w:szCs w:val="20"/>
          <w:lang w:val="sl-SI"/>
        </w:rPr>
        <w:t>Poleg tega bo Ministrstvo za pravosodje v razpisih za prosta mesta okrajnih državnih tožilcev, ki bodo (na novo) objavljeni v Uradnem listu Republike Slovenije v obdobju med uveljavitvijo in začetkom uporabe predlaganega zakona, izrecno navedlo vsebino določb 24. člena tega zakona.</w:t>
      </w:r>
    </w:p>
    <w:p w14:paraId="3E8743A1" w14:textId="77777777" w:rsidR="00C44B37" w:rsidRPr="003C1AE0" w:rsidRDefault="00C44B37" w:rsidP="002B4F44">
      <w:pPr>
        <w:widowControl w:val="0"/>
        <w:overflowPunct w:val="0"/>
        <w:autoSpaceDE w:val="0"/>
        <w:autoSpaceDN w:val="0"/>
        <w:adjustRightInd w:val="0"/>
        <w:spacing w:line="288" w:lineRule="auto"/>
        <w:jc w:val="both"/>
        <w:textAlignment w:val="baseline"/>
        <w:rPr>
          <w:rFonts w:eastAsiaTheme="minorEastAsia" w:cs="Arial"/>
          <w:szCs w:val="20"/>
          <w:lang w:val="sl-SI"/>
        </w:rPr>
      </w:pPr>
    </w:p>
    <w:p w14:paraId="683A5F12" w14:textId="3ABD5537" w:rsidR="00C44B37" w:rsidRDefault="00C43B21"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r w:rsidRPr="00C43B21">
        <w:rPr>
          <w:rFonts w:cs="Arial"/>
          <w:b/>
          <w:bCs/>
          <w:iCs/>
          <w:szCs w:val="20"/>
          <w:u w:val="single"/>
          <w:lang w:val="sl-SI" w:eastAsia="sl-SI"/>
        </w:rPr>
        <w:t>K 2</w:t>
      </w:r>
      <w:r w:rsidR="003A5E19">
        <w:rPr>
          <w:rFonts w:cs="Arial"/>
          <w:b/>
          <w:bCs/>
          <w:iCs/>
          <w:szCs w:val="20"/>
          <w:u w:val="single"/>
          <w:lang w:val="sl-SI" w:eastAsia="sl-SI"/>
        </w:rPr>
        <w:t>8</w:t>
      </w:r>
      <w:r w:rsidRPr="00C43B21">
        <w:rPr>
          <w:rFonts w:cs="Arial"/>
          <w:b/>
          <w:bCs/>
          <w:iCs/>
          <w:szCs w:val="20"/>
          <w:u w:val="single"/>
          <w:lang w:val="sl-SI" w:eastAsia="sl-SI"/>
        </w:rPr>
        <w:t>. členu</w:t>
      </w:r>
    </w:p>
    <w:p w14:paraId="67261AB7" w14:textId="77777777" w:rsidR="00203986" w:rsidRDefault="00203986"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79F853E7" w14:textId="3BD69E88" w:rsidR="00203986" w:rsidRDefault="00203986"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203986">
        <w:rPr>
          <w:rFonts w:cs="Arial"/>
          <w:iCs/>
          <w:szCs w:val="20"/>
          <w:u w:val="single"/>
          <w:lang w:val="sl-SI" w:eastAsia="sl-SI"/>
        </w:rPr>
        <w:t xml:space="preserve">Vrhovno državno tožilstvo </w:t>
      </w:r>
      <w:r w:rsidR="00232216">
        <w:rPr>
          <w:rFonts w:cs="Arial"/>
          <w:iCs/>
          <w:szCs w:val="20"/>
          <w:u w:val="single"/>
          <w:lang w:val="sl-SI" w:eastAsia="sl-SI"/>
        </w:rPr>
        <w:t>Republike Slovenije</w:t>
      </w:r>
    </w:p>
    <w:p w14:paraId="7970F921" w14:textId="665876B3" w:rsidR="00203986" w:rsidRPr="00203986" w:rsidRDefault="00203986" w:rsidP="00203986">
      <w:pPr>
        <w:widowControl w:val="0"/>
        <w:overflowPunct w:val="0"/>
        <w:autoSpaceDE w:val="0"/>
        <w:autoSpaceDN w:val="0"/>
        <w:adjustRightInd w:val="0"/>
        <w:spacing w:line="288" w:lineRule="auto"/>
        <w:jc w:val="both"/>
        <w:textAlignment w:val="baseline"/>
        <w:rPr>
          <w:rFonts w:cs="Arial"/>
          <w:i/>
          <w:szCs w:val="20"/>
          <w:lang w:val="sl-SI" w:eastAsia="sl-SI"/>
        </w:rPr>
      </w:pPr>
      <w:r w:rsidRPr="00203986">
        <w:rPr>
          <w:rFonts w:cs="Arial"/>
          <w:i/>
          <w:szCs w:val="20"/>
          <w:lang w:val="sl-SI" w:eastAsia="sl-SI"/>
        </w:rPr>
        <w:t>Meni, da rešitev, v skladu s katero se državnim tožilcem prekineta tako napredovalno kot ocenjevalno obdobje, ni ustrezna, saj se državni tožilci ne ocenjujejo zgolj zaradi napredovanja. Poleg določanja plačnega razreda je namreč ocenjevanje ključnega pomena tudi za spremljanje strokovnega razvoja državnih tožilcev. Poleg tega bi prekinitev ocenjevanja lahko povzročila pravno praznino ali nejasnosti glede nadaljnjega napredovanja. Meni, da bi bilo treba prehodne določbe urediti na način, da bo ocenjevalno obdobje normalno teklo naprej za vse državne tožilce, napredovalno pa se bo prekinilo zgolj za tiste državne tožilce, ki bodo zaradi prevedbe napredovali v plačnih razredih.</w:t>
      </w:r>
    </w:p>
    <w:p w14:paraId="56A702A6" w14:textId="77777777" w:rsidR="00C43B21" w:rsidRDefault="00C43B21" w:rsidP="002B4F44">
      <w:pPr>
        <w:widowControl w:val="0"/>
        <w:overflowPunct w:val="0"/>
        <w:autoSpaceDE w:val="0"/>
        <w:autoSpaceDN w:val="0"/>
        <w:adjustRightInd w:val="0"/>
        <w:spacing w:line="288" w:lineRule="auto"/>
        <w:jc w:val="both"/>
        <w:textAlignment w:val="baseline"/>
        <w:rPr>
          <w:rFonts w:cs="Arial"/>
          <w:b/>
          <w:bCs/>
          <w:iCs/>
          <w:szCs w:val="20"/>
          <w:u w:val="single"/>
          <w:lang w:val="sl-SI" w:eastAsia="sl-SI"/>
        </w:rPr>
      </w:pPr>
    </w:p>
    <w:p w14:paraId="655C5CD8" w14:textId="6F3BE5F3" w:rsidR="00C43B21" w:rsidRPr="00C43B21" w:rsidRDefault="00C43B21" w:rsidP="002B4F44">
      <w:pPr>
        <w:widowControl w:val="0"/>
        <w:overflowPunct w:val="0"/>
        <w:autoSpaceDE w:val="0"/>
        <w:autoSpaceDN w:val="0"/>
        <w:adjustRightInd w:val="0"/>
        <w:spacing w:line="288" w:lineRule="auto"/>
        <w:jc w:val="both"/>
        <w:textAlignment w:val="baseline"/>
        <w:rPr>
          <w:rFonts w:cs="Arial"/>
          <w:iCs/>
          <w:szCs w:val="20"/>
          <w:u w:val="single"/>
          <w:lang w:val="sl-SI" w:eastAsia="sl-SI"/>
        </w:rPr>
      </w:pPr>
      <w:r w:rsidRPr="00C43B21">
        <w:rPr>
          <w:rFonts w:cs="Arial"/>
          <w:iCs/>
          <w:szCs w:val="20"/>
          <w:u w:val="single"/>
          <w:lang w:val="sl-SI" w:eastAsia="sl-SI"/>
        </w:rPr>
        <w:t>Državnotožilski svet</w:t>
      </w:r>
    </w:p>
    <w:p w14:paraId="0995510C" w14:textId="3C99DAFF" w:rsidR="008D1823" w:rsidRDefault="00BE2941" w:rsidP="005C4509">
      <w:pPr>
        <w:widowControl w:val="0"/>
        <w:overflowPunct w:val="0"/>
        <w:autoSpaceDE w:val="0"/>
        <w:autoSpaceDN w:val="0"/>
        <w:adjustRightInd w:val="0"/>
        <w:spacing w:line="260" w:lineRule="exact"/>
        <w:jc w:val="both"/>
        <w:textAlignment w:val="baseline"/>
        <w:rPr>
          <w:rFonts w:cs="Arial"/>
          <w:i/>
          <w:szCs w:val="20"/>
          <w:lang w:val="sl-SI" w:eastAsia="sl-SI"/>
        </w:rPr>
      </w:pPr>
      <w:r w:rsidRPr="00BE2941">
        <w:rPr>
          <w:rFonts w:cs="Arial"/>
          <w:i/>
          <w:szCs w:val="20"/>
          <w:lang w:val="sl-SI" w:eastAsia="sl-SI"/>
        </w:rPr>
        <w:t>Državnotožilski svet meni, da bi bilo primerneje, da bi se okrajnim državnim</w:t>
      </w:r>
      <w:r w:rsidRPr="00DF6E00">
        <w:rPr>
          <w:rFonts w:cs="Arial"/>
          <w:i/>
          <w:szCs w:val="20"/>
          <w:lang w:val="sl-SI" w:eastAsia="sl-SI"/>
        </w:rPr>
        <w:t xml:space="preserve"> </w:t>
      </w:r>
      <w:r w:rsidRPr="00BE2941">
        <w:rPr>
          <w:rFonts w:cs="Arial"/>
          <w:i/>
          <w:szCs w:val="20"/>
          <w:lang w:val="sl-SI" w:eastAsia="sl-SI"/>
        </w:rPr>
        <w:t>tožilcem, ki bi s pridobitvijo naziva okrožnega državnega tožilca pridobili tudi plačne razrede, prekinilo le napredovalno, ne</w:t>
      </w:r>
      <w:r w:rsidRPr="00DF6E00">
        <w:rPr>
          <w:rFonts w:cs="Arial"/>
          <w:i/>
          <w:szCs w:val="20"/>
          <w:lang w:val="sl-SI" w:eastAsia="sl-SI"/>
        </w:rPr>
        <w:t xml:space="preserve"> pa tudi ocenjevalno obdobje, i</w:t>
      </w:r>
      <w:r w:rsidRPr="00BE2941">
        <w:rPr>
          <w:rFonts w:cs="Arial"/>
          <w:i/>
          <w:szCs w:val="20"/>
          <w:lang w:val="sl-SI" w:eastAsia="sl-SI"/>
        </w:rPr>
        <w:t>n sicer ne glede na to, ali bodo ob začetku uporabe sistemskih sprememb državnotožilsko službo opravljali več</w:t>
      </w:r>
      <w:r w:rsidRPr="00DF6E00">
        <w:rPr>
          <w:rFonts w:cs="Arial"/>
          <w:i/>
          <w:szCs w:val="20"/>
          <w:lang w:val="sl-SI" w:eastAsia="sl-SI"/>
        </w:rPr>
        <w:t xml:space="preserve"> </w:t>
      </w:r>
      <w:r w:rsidRPr="00DF6E00">
        <w:rPr>
          <w:i/>
          <w:szCs w:val="20"/>
          <w:lang w:val="sl-SI"/>
        </w:rPr>
        <w:t>ali manj kot tri leta.</w:t>
      </w:r>
      <w:r w:rsidR="005C4509" w:rsidRPr="00DF6E00">
        <w:rPr>
          <w:rFonts w:cs="Arial"/>
          <w:i/>
          <w:szCs w:val="20"/>
          <w:lang w:val="sl-SI" w:eastAsia="sl-SI"/>
        </w:rPr>
        <w:t xml:space="preserve"> To pomeni, da bi bilo treba </w:t>
      </w:r>
      <w:r w:rsidR="005C4509" w:rsidRPr="005C4509">
        <w:rPr>
          <w:rFonts w:cs="Arial"/>
          <w:i/>
          <w:szCs w:val="20"/>
          <w:lang w:val="sl-SI" w:eastAsia="sl-SI"/>
        </w:rPr>
        <w:t>pridobitev plačnih razredov šteti kot napredovanje, ki pa na sam tek ocenjevalnega obdobja ne bi smelo imeti vpliva.</w:t>
      </w:r>
      <w:r w:rsidR="005C4509" w:rsidRPr="00DF6E00">
        <w:rPr>
          <w:rFonts w:cs="Arial"/>
          <w:i/>
          <w:szCs w:val="20"/>
          <w:lang w:val="sl-SI" w:eastAsia="sl-SI"/>
        </w:rPr>
        <w:t xml:space="preserve"> </w:t>
      </w:r>
      <w:r w:rsidR="005C4509" w:rsidRPr="005C4509">
        <w:rPr>
          <w:rFonts w:cs="Arial"/>
          <w:i/>
          <w:szCs w:val="20"/>
          <w:lang w:val="sl-SI" w:eastAsia="sl-SI"/>
        </w:rPr>
        <w:t>Okrajnim državnim tožilcem iz drugega, tretjega in četrtega odstavka 2</w:t>
      </w:r>
      <w:r w:rsidR="00F64FAF">
        <w:rPr>
          <w:rFonts w:cs="Arial"/>
          <w:i/>
          <w:szCs w:val="20"/>
          <w:lang w:val="sl-SI" w:eastAsia="sl-SI"/>
        </w:rPr>
        <w:t>6</w:t>
      </w:r>
      <w:r w:rsidR="005C4509" w:rsidRPr="005C4509">
        <w:rPr>
          <w:rFonts w:cs="Arial"/>
          <w:i/>
          <w:szCs w:val="20"/>
          <w:lang w:val="sl-SI" w:eastAsia="sl-SI"/>
        </w:rPr>
        <w:t xml:space="preserve">. člena predloga </w:t>
      </w:r>
      <w:r w:rsidR="00374ED1">
        <w:rPr>
          <w:rFonts w:cs="Arial"/>
          <w:i/>
          <w:szCs w:val="20"/>
          <w:lang w:val="sl-SI" w:eastAsia="sl-SI"/>
        </w:rPr>
        <w:t xml:space="preserve">zakona </w:t>
      </w:r>
      <w:r w:rsidR="005C4509" w:rsidRPr="005C4509">
        <w:rPr>
          <w:rFonts w:cs="Arial"/>
          <w:i/>
          <w:szCs w:val="20"/>
          <w:lang w:val="sl-SI" w:eastAsia="sl-SI"/>
        </w:rPr>
        <w:t>pa</w:t>
      </w:r>
      <w:r w:rsidR="005C4509" w:rsidRPr="00DF6E00">
        <w:rPr>
          <w:rFonts w:cs="Arial"/>
          <w:i/>
          <w:szCs w:val="20"/>
          <w:lang w:val="sl-SI" w:eastAsia="sl-SI"/>
        </w:rPr>
        <w:t xml:space="preserve"> </w:t>
      </w:r>
      <w:r w:rsidR="005C4509" w:rsidRPr="005C4509">
        <w:rPr>
          <w:rFonts w:cs="Arial"/>
          <w:i/>
          <w:szCs w:val="20"/>
          <w:lang w:val="sl-SI" w:eastAsia="sl-SI"/>
        </w:rPr>
        <w:t>se ne bi prekinilo niti ocenjevalno niti napredovalno obdobje, saj se na podlagi sistemske</w:t>
      </w:r>
      <w:r w:rsidR="005C4509" w:rsidRPr="00DF6E00">
        <w:rPr>
          <w:rFonts w:cs="Arial"/>
          <w:i/>
          <w:szCs w:val="20"/>
          <w:lang w:val="sl-SI" w:eastAsia="sl-SI"/>
        </w:rPr>
        <w:t xml:space="preserve"> spremembe njihov položaj (v smislu uvrstitve v plačni razred) ne bo v ničemer spremenil.</w:t>
      </w:r>
    </w:p>
    <w:p w14:paraId="7DB39BA4" w14:textId="77777777" w:rsidR="00071E6D" w:rsidRDefault="00071E6D" w:rsidP="005C4509">
      <w:pPr>
        <w:widowControl w:val="0"/>
        <w:overflowPunct w:val="0"/>
        <w:autoSpaceDE w:val="0"/>
        <w:autoSpaceDN w:val="0"/>
        <w:adjustRightInd w:val="0"/>
        <w:spacing w:line="260" w:lineRule="exact"/>
        <w:jc w:val="both"/>
        <w:textAlignment w:val="baseline"/>
        <w:rPr>
          <w:rFonts w:cs="Arial"/>
          <w:i/>
          <w:szCs w:val="20"/>
          <w:lang w:val="sl-SI" w:eastAsia="sl-SI"/>
        </w:rPr>
      </w:pPr>
    </w:p>
    <w:p w14:paraId="758926FC" w14:textId="5822A18F" w:rsidR="001919EB" w:rsidRDefault="001919EB" w:rsidP="001919EB">
      <w:pPr>
        <w:spacing w:line="260" w:lineRule="exact"/>
        <w:jc w:val="both"/>
        <w:rPr>
          <w:rFonts w:eastAsiaTheme="minorEastAsia"/>
          <w:lang w:val="sl-SI"/>
        </w:rPr>
      </w:pPr>
      <w:r>
        <w:rPr>
          <w:rFonts w:eastAsiaTheme="minorEastAsia" w:cs="Arial"/>
          <w:szCs w:val="20"/>
          <w:lang w:val="sl-SI"/>
        </w:rPr>
        <w:t xml:space="preserve">Po mnenju predlagatelja je </w:t>
      </w:r>
      <w:r w:rsidR="00804E6A">
        <w:rPr>
          <w:rFonts w:eastAsiaTheme="minorEastAsia" w:cs="Arial"/>
          <w:szCs w:val="20"/>
          <w:lang w:val="sl-SI"/>
        </w:rPr>
        <w:t xml:space="preserve">treba </w:t>
      </w:r>
      <w:r>
        <w:rPr>
          <w:rFonts w:eastAsiaTheme="minorEastAsia" w:cs="Arial"/>
          <w:szCs w:val="20"/>
          <w:lang w:val="sl-SI"/>
        </w:rPr>
        <w:t xml:space="preserve">pri </w:t>
      </w:r>
      <w:r w:rsidR="00A80ED1">
        <w:rPr>
          <w:rFonts w:eastAsiaTheme="minorEastAsia" w:cs="Arial"/>
          <w:szCs w:val="20"/>
          <w:lang w:val="sl-SI"/>
        </w:rPr>
        <w:t xml:space="preserve">urejanju </w:t>
      </w:r>
      <w:r w:rsidR="00374ED1">
        <w:rPr>
          <w:rFonts w:eastAsiaTheme="minorEastAsia" w:cs="Arial"/>
          <w:szCs w:val="20"/>
          <w:lang w:val="sl-SI"/>
        </w:rPr>
        <w:t xml:space="preserve">ocenjevanja in napredovanja </w:t>
      </w:r>
      <w:r w:rsidR="00616177">
        <w:rPr>
          <w:rFonts w:eastAsiaTheme="minorEastAsia" w:cs="Arial"/>
          <w:szCs w:val="20"/>
          <w:lang w:val="sl-SI"/>
        </w:rPr>
        <w:t xml:space="preserve">za prehodno obdobje </w:t>
      </w:r>
      <w:r w:rsidR="00374ED1">
        <w:rPr>
          <w:rFonts w:eastAsiaTheme="minorEastAsia" w:cs="Arial"/>
          <w:szCs w:val="20"/>
          <w:lang w:val="sl-SI"/>
        </w:rPr>
        <w:t>upoštevati specifične situacije posameznih skupin državnih tožilcev</w:t>
      </w:r>
      <w:r w:rsidR="00E50739">
        <w:rPr>
          <w:rFonts w:eastAsiaTheme="minorEastAsia"/>
          <w:lang w:val="sl-SI"/>
        </w:rPr>
        <w:t>.</w:t>
      </w:r>
    </w:p>
    <w:p w14:paraId="12497996" w14:textId="77777777" w:rsidR="00374ED1" w:rsidRDefault="00374ED1" w:rsidP="001919EB">
      <w:pPr>
        <w:spacing w:line="260" w:lineRule="exact"/>
        <w:jc w:val="both"/>
        <w:rPr>
          <w:rFonts w:eastAsiaTheme="minorEastAsia"/>
          <w:lang w:val="sl-SI"/>
        </w:rPr>
      </w:pPr>
    </w:p>
    <w:p w14:paraId="51C5598D" w14:textId="550EBA08"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Za okrajne državne tožilce, ki bodo na dan 31. decembra 2026 uvrščeni v 49., 50. ali 51. plačni razred in bodo 1. januarja 2027 pridobili državnotožilski naziv okrožni državni tožilec ter bili uvrščeni v 52. izhodiščni plačni razred funkcije okrožnega državnega tožilca, vendar do 1. januarja 2027 državnotožilske službe še ne bodo opravljali tri leta, bo še naprej veljalo, da se ocena njihovega dela do poteka obdobja prvih treh let po njihovem imenovanju izdela vsako leto. Državni tožilci se namreč ne ocenjujejo le zaradi napredovanja, ampak je ocenjevanje ključnega pomena za spremljanje njihovega strokovnega razvoja, kar je še zlasti pomembno v prvih treh letih opravljanja njihove službe. Navedeni državni tožilci pa bodo prvič napredovali na podlagi prve redne ocene državnotožilske službe, izdane po določbah o rednem ocenjevanju zakona, ki ureja sodnike, konkretno po določbi prvega odstavka 30. člena predlaganega novega Zakona o sodnikih.</w:t>
      </w:r>
    </w:p>
    <w:p w14:paraId="1B095BE7" w14:textId="77777777" w:rsidR="00374ED1" w:rsidRPr="00305FDE" w:rsidRDefault="00374ED1" w:rsidP="00374ED1">
      <w:pPr>
        <w:spacing w:line="260" w:lineRule="exact"/>
        <w:jc w:val="both"/>
        <w:rPr>
          <w:rFonts w:eastAsiaTheme="minorEastAsia" w:cs="Arial"/>
          <w:szCs w:val="20"/>
          <w:lang w:val="sl-SI"/>
        </w:rPr>
      </w:pPr>
    </w:p>
    <w:p w14:paraId="5117730D" w14:textId="086AFBD7"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 xml:space="preserve">Za okrajne državne tožilce, ki bodo na dan 31. decembra 2026 uvrščeni v 49., 50. ali 51. plačni razred in bodo 1. januarja 2027 pridobili državnotožilski naziv okrožni državni tožilec ter bili uvrščeni v 52. izhodiščni plačni razred funkcije okrožnega državnega tožilca, državnotožilsko službo pa bodo do 1. januarja 2027 že opravljali več kot tri leta, bo obdobje za izdelavo ocene njihove službe prekinjeno in bo začelo znova </w:t>
      </w:r>
      <w:r w:rsidR="008E062D" w:rsidRPr="00305FDE">
        <w:rPr>
          <w:rFonts w:eastAsiaTheme="minorEastAsia" w:cs="Arial"/>
          <w:szCs w:val="20"/>
          <w:lang w:val="sl-SI"/>
        </w:rPr>
        <w:t xml:space="preserve">teči </w:t>
      </w:r>
      <w:r w:rsidRPr="00305FDE">
        <w:rPr>
          <w:rFonts w:eastAsiaTheme="minorEastAsia" w:cs="Arial"/>
          <w:szCs w:val="20"/>
          <w:lang w:val="sl-SI"/>
        </w:rPr>
        <w:t xml:space="preserve">z začetkom uporabe tega zakona. Pri določitvi </w:t>
      </w:r>
      <w:r w:rsidRPr="00305FDE">
        <w:rPr>
          <w:rFonts w:eastAsiaTheme="minorEastAsia" w:cs="Arial"/>
          <w:szCs w:val="20"/>
          <w:lang w:val="sl-SI"/>
        </w:rPr>
        <w:lastRenderedPageBreak/>
        <w:t>pravila za ocenjevanje njihove službe je ključno dejstvo, da bodo na podlagi prevedbe pridobili višji državnotožilski naziv in dodatne plačne razrede ne glede na doseženo napredovalno obdobje, zato je smiselno, da se ocenjevanje njihovega dela začne znova. Ti državni tožilci bodo napredovali na podlagi prve redne ocene državnotožilske službe, izdane po določbah o rednem ocenjevanju zakona, ki ureja sodnike,</w:t>
      </w:r>
      <w:r w:rsidRPr="00305FDE">
        <w:rPr>
          <w:lang w:val="sl-SI"/>
        </w:rPr>
        <w:t xml:space="preserve"> </w:t>
      </w:r>
      <w:r w:rsidRPr="00305FDE">
        <w:rPr>
          <w:rFonts w:eastAsiaTheme="minorEastAsia" w:cs="Arial"/>
          <w:szCs w:val="20"/>
          <w:lang w:val="sl-SI"/>
        </w:rPr>
        <w:t>konkretno po določbi prvega odstavka 30. člena predlaganega novega Zakona o sodnikih.</w:t>
      </w:r>
    </w:p>
    <w:p w14:paraId="0BA5942A" w14:textId="77777777" w:rsidR="00374ED1" w:rsidRPr="00305FDE" w:rsidRDefault="00374ED1" w:rsidP="00374ED1">
      <w:pPr>
        <w:spacing w:line="260" w:lineRule="exact"/>
        <w:jc w:val="both"/>
        <w:rPr>
          <w:rFonts w:eastAsiaTheme="minorEastAsia" w:cs="Arial"/>
          <w:szCs w:val="20"/>
          <w:lang w:val="sl-SI"/>
        </w:rPr>
      </w:pPr>
    </w:p>
    <w:p w14:paraId="6A31CBF3" w14:textId="33967EAB" w:rsidR="00374ED1" w:rsidRPr="00305FDE" w:rsidRDefault="00374ED1" w:rsidP="00374ED1">
      <w:pPr>
        <w:spacing w:line="260" w:lineRule="exact"/>
        <w:jc w:val="both"/>
        <w:rPr>
          <w:rFonts w:eastAsiaTheme="minorEastAsia" w:cs="Arial"/>
          <w:szCs w:val="20"/>
          <w:lang w:val="sl-SI"/>
        </w:rPr>
      </w:pPr>
      <w:r w:rsidRPr="00305FDE">
        <w:rPr>
          <w:rFonts w:eastAsiaTheme="minorEastAsia" w:cs="Arial"/>
          <w:szCs w:val="20"/>
          <w:lang w:val="sl-SI"/>
        </w:rPr>
        <w:t xml:space="preserve">Za vse druge državne tožilce, ki bodo na dan 31. decembra 2026 opravljali državnotožilsko službo v različnih državnotožilskih nazivih, se obdobje za izdelavo ocene njihove službe ne bo prekinjalo. Za te državne tožilce se bo obdobje ocenjevanja, določeno v prvem in drugem odstavku 31. člena </w:t>
      </w:r>
      <w:r w:rsidR="00AB205E">
        <w:rPr>
          <w:rFonts w:eastAsiaTheme="minorEastAsia" w:cs="Arial"/>
          <w:szCs w:val="20"/>
          <w:lang w:val="sl-SI"/>
        </w:rPr>
        <w:t>Zakona o sodniški službi</w:t>
      </w:r>
      <w:r w:rsidR="009441F0">
        <w:rPr>
          <w:rStyle w:val="Sprotnaopomba-sklic"/>
          <w:rFonts w:eastAsiaTheme="minorEastAsia" w:cs="Arial"/>
          <w:szCs w:val="20"/>
          <w:lang w:val="sl-SI"/>
        </w:rPr>
        <w:footnoteReference w:id="32"/>
      </w:r>
      <w:r w:rsidR="00AB205E">
        <w:rPr>
          <w:rFonts w:eastAsiaTheme="minorEastAsia" w:cs="Arial"/>
          <w:szCs w:val="20"/>
          <w:lang w:val="sl-SI"/>
        </w:rPr>
        <w:t xml:space="preserve"> (v nadaljnjem besedilu: </w:t>
      </w:r>
      <w:r w:rsidRPr="00305FDE">
        <w:rPr>
          <w:rFonts w:eastAsiaTheme="minorEastAsia" w:cs="Arial"/>
          <w:szCs w:val="20"/>
          <w:lang w:val="sl-SI"/>
        </w:rPr>
        <w:t>ZSS</w:t>
      </w:r>
      <w:r w:rsidR="00AB205E">
        <w:rPr>
          <w:rFonts w:eastAsiaTheme="minorEastAsia" w:cs="Arial"/>
          <w:szCs w:val="20"/>
          <w:lang w:val="sl-SI"/>
        </w:rPr>
        <w:t>)</w:t>
      </w:r>
      <w:r w:rsidRPr="00305FDE">
        <w:rPr>
          <w:rFonts w:eastAsiaTheme="minorEastAsia" w:cs="Arial"/>
          <w:szCs w:val="20"/>
          <w:lang w:val="sl-SI"/>
        </w:rPr>
        <w:t xml:space="preserve"> v povezavi z osmim odstavkom 37. člena ZDT-1, ki je preteklo od poteka obdobja za izdelavo zadnje ocene državnotožilske službe do 1. januarja 2027, vštelo v časovno obdobje za izdelavo ocene državnotožilske službe po določbah o rednem ocenjevanju zakona, ki ureja sodnike, konkretno po določbi prvega odstavka 30. člena predlaganega novega Zakona o sodnikih. Pri ocenjevanju njihovega dela se bo torej upoštevalo dosedanje delo, opravljeno v okviru njihovega položaja in pristojnosti. Ti državni tožilci bodo tako napredovali </w:t>
      </w:r>
      <w:r w:rsidR="00624DDD">
        <w:rPr>
          <w:rFonts w:eastAsiaTheme="minorEastAsia" w:cs="Arial"/>
          <w:szCs w:val="20"/>
          <w:lang w:val="sl-SI"/>
        </w:rPr>
        <w:t>v skladu</w:t>
      </w:r>
      <w:r w:rsidRPr="00305FDE">
        <w:rPr>
          <w:rFonts w:eastAsiaTheme="minorEastAsia" w:cs="Arial"/>
          <w:szCs w:val="20"/>
          <w:lang w:val="sl-SI"/>
        </w:rPr>
        <w:t xml:space="preserve"> s predpisi, brez prekinitev obdobja za ocenjevanje, kar zagotavlja pregledno in pravično napredovanje v prenovljenem državnotožilskem sistemu.</w:t>
      </w:r>
    </w:p>
    <w:p w14:paraId="5A93FFE6" w14:textId="77777777" w:rsidR="001E17CC" w:rsidRDefault="001E17CC" w:rsidP="001919EB">
      <w:pPr>
        <w:spacing w:line="260" w:lineRule="exact"/>
        <w:jc w:val="both"/>
        <w:rPr>
          <w:rFonts w:eastAsiaTheme="minorEastAsia"/>
          <w:lang w:val="sl-SI"/>
        </w:rPr>
      </w:pPr>
    </w:p>
    <w:p w14:paraId="25D0E0F5" w14:textId="7E05E980" w:rsidR="001E17CC" w:rsidRPr="001E17CC" w:rsidRDefault="001E17CC" w:rsidP="001919EB">
      <w:pPr>
        <w:spacing w:line="260" w:lineRule="exact"/>
        <w:jc w:val="both"/>
        <w:rPr>
          <w:rFonts w:eastAsiaTheme="minorEastAsia" w:cs="Arial"/>
          <w:b/>
          <w:bCs/>
          <w:szCs w:val="20"/>
          <w:u w:val="single"/>
          <w:lang w:val="sl-SI"/>
        </w:rPr>
      </w:pPr>
      <w:r w:rsidRPr="001E17CC">
        <w:rPr>
          <w:rFonts w:eastAsiaTheme="minorEastAsia"/>
          <w:b/>
          <w:bCs/>
          <w:u w:val="single"/>
          <w:lang w:val="sl-SI"/>
        </w:rPr>
        <w:t>Dodatno</w:t>
      </w:r>
    </w:p>
    <w:p w14:paraId="7CBF1856" w14:textId="77777777" w:rsidR="00071E6D" w:rsidRDefault="00071E6D" w:rsidP="005C4509">
      <w:pPr>
        <w:widowControl w:val="0"/>
        <w:overflowPunct w:val="0"/>
        <w:autoSpaceDE w:val="0"/>
        <w:autoSpaceDN w:val="0"/>
        <w:adjustRightInd w:val="0"/>
        <w:spacing w:line="260" w:lineRule="exact"/>
        <w:jc w:val="both"/>
        <w:textAlignment w:val="baseline"/>
        <w:rPr>
          <w:rFonts w:cs="Arial"/>
          <w:iCs/>
          <w:szCs w:val="20"/>
          <w:lang w:val="sl-SI" w:eastAsia="sl-SI"/>
        </w:rPr>
      </w:pPr>
    </w:p>
    <w:p w14:paraId="3EAE78F7" w14:textId="295A8FB1" w:rsidR="001E17CC" w:rsidRPr="001E17CC" w:rsidRDefault="001E17CC" w:rsidP="001E17CC">
      <w:pPr>
        <w:spacing w:line="288" w:lineRule="auto"/>
        <w:jc w:val="both"/>
        <w:rPr>
          <w:rFonts w:cs="Arial"/>
          <w:szCs w:val="20"/>
          <w:lang w:val="sl-SI" w:eastAsia="sl-SI"/>
        </w:rPr>
      </w:pPr>
      <w:r w:rsidRPr="001E17CC">
        <w:rPr>
          <w:rFonts w:cs="Arial"/>
          <w:szCs w:val="20"/>
          <w:lang w:val="sl-SI" w:eastAsia="sl-SI"/>
        </w:rPr>
        <w:t>Vrhovn</w:t>
      </w:r>
      <w:r>
        <w:rPr>
          <w:rFonts w:cs="Arial"/>
          <w:szCs w:val="20"/>
          <w:lang w:val="sl-SI" w:eastAsia="sl-SI"/>
        </w:rPr>
        <w:t>o</w:t>
      </w:r>
      <w:r w:rsidRPr="001E17CC">
        <w:rPr>
          <w:rFonts w:cs="Arial"/>
          <w:szCs w:val="20"/>
          <w:lang w:val="sl-SI" w:eastAsia="sl-SI"/>
        </w:rPr>
        <w:t xml:space="preserve"> sodišč</w:t>
      </w:r>
      <w:r>
        <w:rPr>
          <w:rFonts w:cs="Arial"/>
          <w:szCs w:val="20"/>
          <w:lang w:val="sl-SI" w:eastAsia="sl-SI"/>
        </w:rPr>
        <w:t>e</w:t>
      </w:r>
      <w:r w:rsidRPr="001E17CC">
        <w:rPr>
          <w:rFonts w:cs="Arial"/>
          <w:szCs w:val="20"/>
          <w:lang w:val="sl-SI" w:eastAsia="sl-SI"/>
        </w:rPr>
        <w:t xml:space="preserve"> R</w:t>
      </w:r>
      <w:r w:rsidR="00845FBC">
        <w:rPr>
          <w:rFonts w:cs="Arial"/>
          <w:szCs w:val="20"/>
          <w:lang w:val="sl-SI" w:eastAsia="sl-SI"/>
        </w:rPr>
        <w:t>epublike Slovenije</w:t>
      </w:r>
      <w:r>
        <w:rPr>
          <w:rFonts w:cs="Arial"/>
          <w:szCs w:val="20"/>
          <w:lang w:val="sl-SI" w:eastAsia="sl-SI"/>
        </w:rPr>
        <w:t xml:space="preserve"> je izpostavilo </w:t>
      </w:r>
      <w:r w:rsidRPr="001E17CC">
        <w:rPr>
          <w:rFonts w:cs="Arial"/>
          <w:szCs w:val="20"/>
          <w:lang w:val="sl-SI" w:eastAsia="sl-SI"/>
        </w:rPr>
        <w:t>potrebo po dodatnem razmisleku o primerljivosti funkcij državnih tožilcev in sodnikov</w:t>
      </w:r>
      <w:r>
        <w:rPr>
          <w:rFonts w:cs="Arial"/>
          <w:szCs w:val="20"/>
          <w:lang w:val="sl-SI" w:eastAsia="sl-SI"/>
        </w:rPr>
        <w:t xml:space="preserve">, in sicer </w:t>
      </w:r>
      <w:r w:rsidRPr="001E17CC">
        <w:rPr>
          <w:rFonts w:cs="Arial"/>
          <w:szCs w:val="20"/>
          <w:lang w:val="sl-SI" w:eastAsia="sl-SI"/>
        </w:rPr>
        <w:t>ne glede na veljavno zakonsko ureditev</w:t>
      </w:r>
      <w:r w:rsidR="009E670D">
        <w:rPr>
          <w:rFonts w:cs="Arial"/>
          <w:szCs w:val="20"/>
          <w:lang w:val="sl-SI" w:eastAsia="sl-SI"/>
        </w:rPr>
        <w:t>, saj so</w:t>
      </w:r>
      <w:r>
        <w:rPr>
          <w:rFonts w:cs="Arial"/>
          <w:szCs w:val="20"/>
          <w:lang w:val="sl-SI" w:eastAsia="sl-SI"/>
        </w:rPr>
        <w:t xml:space="preserve"> </w:t>
      </w:r>
      <w:r w:rsidR="009E670D" w:rsidRPr="009E670D">
        <w:rPr>
          <w:rFonts w:cs="Arial"/>
          <w:szCs w:val="20"/>
          <w:lang w:val="sl-SI" w:eastAsia="sl-SI"/>
        </w:rPr>
        <w:t>pristojnosti sodnikov in tožilcev v sodnih postopkih v</w:t>
      </w:r>
      <w:r w:rsidR="009E670D">
        <w:rPr>
          <w:rFonts w:cs="Arial"/>
          <w:szCs w:val="20"/>
          <w:lang w:val="sl-SI" w:eastAsia="sl-SI"/>
        </w:rPr>
        <w:t xml:space="preserve"> </w:t>
      </w:r>
      <w:r w:rsidR="009E670D" w:rsidRPr="009E670D">
        <w:rPr>
          <w:rFonts w:cs="Arial"/>
          <w:szCs w:val="20"/>
          <w:lang w:val="sl-SI" w:eastAsia="sl-SI"/>
        </w:rPr>
        <w:t>bistvenem različne.</w:t>
      </w:r>
    </w:p>
    <w:p w14:paraId="65523B2B" w14:textId="1BFC7202" w:rsidR="001E17CC" w:rsidRPr="00071E6D" w:rsidRDefault="001E17CC" w:rsidP="005C4509">
      <w:pPr>
        <w:widowControl w:val="0"/>
        <w:overflowPunct w:val="0"/>
        <w:autoSpaceDE w:val="0"/>
        <w:autoSpaceDN w:val="0"/>
        <w:adjustRightInd w:val="0"/>
        <w:spacing w:line="260" w:lineRule="exact"/>
        <w:jc w:val="both"/>
        <w:textAlignment w:val="baseline"/>
        <w:rPr>
          <w:rFonts w:cs="Arial"/>
          <w:iCs/>
          <w:szCs w:val="20"/>
          <w:lang w:val="sl-SI" w:eastAsia="sl-SI"/>
        </w:rPr>
      </w:pPr>
    </w:p>
    <w:p w14:paraId="1758BA50" w14:textId="77777777" w:rsidR="00331D90" w:rsidRPr="005C4509" w:rsidRDefault="00331D90" w:rsidP="005C4509">
      <w:pPr>
        <w:spacing w:line="260" w:lineRule="exact"/>
        <w:jc w:val="both"/>
        <w:rPr>
          <w:rFonts w:cs="Arial"/>
          <w:iCs/>
          <w:szCs w:val="20"/>
          <w:lang w:val="sl-SI" w:eastAsia="sl-SI"/>
        </w:rPr>
      </w:pPr>
    </w:p>
    <w:p w14:paraId="41F04383" w14:textId="77777777" w:rsidR="00331D90" w:rsidRPr="008D7697" w:rsidRDefault="00331D90" w:rsidP="006F7C93">
      <w:pPr>
        <w:autoSpaceDE w:val="0"/>
        <w:autoSpaceDN w:val="0"/>
        <w:adjustRightInd w:val="0"/>
        <w:spacing w:line="260" w:lineRule="exact"/>
        <w:jc w:val="both"/>
        <w:rPr>
          <w:rFonts w:cs="Arial"/>
          <w:szCs w:val="20"/>
          <w:lang w:val="sl-SI"/>
        </w:rPr>
      </w:pPr>
      <w:r w:rsidRPr="008D7697">
        <w:rPr>
          <w:rFonts w:cs="Arial"/>
          <w:b/>
          <w:bCs/>
          <w:szCs w:val="20"/>
          <w:lang w:val="sl-SI"/>
        </w:rPr>
        <w:t xml:space="preserve">8. PODATEK O ZUNANJEM STROKOVNJAKU OZIROMA PRAVNI OSEBI, KI JE SODELOVALA PRI PRIPRAVI PREDLOGA ZAKONA, IN ZNESKU PLAČILA ZA TA NAMEN: </w:t>
      </w:r>
    </w:p>
    <w:p w14:paraId="395AD820" w14:textId="77777777" w:rsidR="00331D90" w:rsidRPr="008D7697" w:rsidRDefault="00331D90" w:rsidP="006F7C93">
      <w:pPr>
        <w:autoSpaceDE w:val="0"/>
        <w:autoSpaceDN w:val="0"/>
        <w:adjustRightInd w:val="0"/>
        <w:spacing w:line="260" w:lineRule="exact"/>
        <w:rPr>
          <w:rFonts w:cs="Arial"/>
          <w:szCs w:val="20"/>
          <w:lang w:val="sl-SI"/>
        </w:rPr>
      </w:pPr>
    </w:p>
    <w:p w14:paraId="6D220DCD" w14:textId="77777777" w:rsidR="00331D90" w:rsidRPr="008D7697" w:rsidRDefault="00331D90" w:rsidP="006F7C93">
      <w:pPr>
        <w:autoSpaceDE w:val="0"/>
        <w:autoSpaceDN w:val="0"/>
        <w:adjustRightInd w:val="0"/>
        <w:spacing w:line="260" w:lineRule="exact"/>
        <w:rPr>
          <w:rFonts w:cs="Arial"/>
          <w:szCs w:val="20"/>
          <w:lang w:val="sl-SI"/>
        </w:rPr>
      </w:pPr>
      <w:r w:rsidRPr="008D7697">
        <w:rPr>
          <w:rFonts w:cs="Arial"/>
          <w:szCs w:val="20"/>
          <w:lang w:val="sl-SI"/>
        </w:rPr>
        <w:t xml:space="preserve">Zunanji strokovnjaki oziroma pravne osebe niso sodelovali pri pripravi predloga zakona. </w:t>
      </w:r>
    </w:p>
    <w:p w14:paraId="4E786AEE" w14:textId="77777777" w:rsidR="00331D90" w:rsidRPr="008D7697" w:rsidRDefault="00331D90" w:rsidP="006F7C93">
      <w:pPr>
        <w:autoSpaceDE w:val="0"/>
        <w:autoSpaceDN w:val="0"/>
        <w:adjustRightInd w:val="0"/>
        <w:spacing w:line="260" w:lineRule="exact"/>
        <w:rPr>
          <w:rFonts w:cs="Arial"/>
          <w:b/>
          <w:bCs/>
          <w:szCs w:val="20"/>
          <w:lang w:val="sl-SI"/>
        </w:rPr>
      </w:pPr>
    </w:p>
    <w:p w14:paraId="7CAB173B" w14:textId="77777777" w:rsidR="00331D90" w:rsidRPr="008D7697" w:rsidRDefault="00331D90" w:rsidP="006F7C93">
      <w:pPr>
        <w:autoSpaceDE w:val="0"/>
        <w:autoSpaceDN w:val="0"/>
        <w:adjustRightInd w:val="0"/>
        <w:spacing w:line="260" w:lineRule="exact"/>
        <w:rPr>
          <w:rFonts w:cs="Arial"/>
          <w:b/>
          <w:bCs/>
          <w:szCs w:val="20"/>
          <w:lang w:val="sl-SI"/>
        </w:rPr>
      </w:pPr>
    </w:p>
    <w:p w14:paraId="4AA72C6B" w14:textId="77777777" w:rsidR="00331D90" w:rsidRPr="008D7697" w:rsidRDefault="00331D90" w:rsidP="006F7C93">
      <w:pPr>
        <w:autoSpaceDE w:val="0"/>
        <w:autoSpaceDN w:val="0"/>
        <w:adjustRightInd w:val="0"/>
        <w:spacing w:line="260" w:lineRule="exact"/>
        <w:jc w:val="both"/>
        <w:rPr>
          <w:rFonts w:cs="Arial"/>
          <w:b/>
          <w:bCs/>
          <w:szCs w:val="20"/>
          <w:lang w:val="sl-SI"/>
        </w:rPr>
      </w:pPr>
      <w:r w:rsidRPr="008D7697">
        <w:rPr>
          <w:rFonts w:cs="Arial"/>
          <w:b/>
          <w:bCs/>
          <w:szCs w:val="20"/>
          <w:lang w:val="sl-SI"/>
        </w:rPr>
        <w:t>9. NAVEDBA, KATERI PREDSTAVNIKI PREDLAGATELJA BODO SODELOVALI PRI DELU DRŽAVNEGA ZBORA IN DELOVNIH TELES:</w:t>
      </w:r>
    </w:p>
    <w:p w14:paraId="0A5FD3A0" w14:textId="77777777" w:rsidR="00331D90" w:rsidRPr="008D7697" w:rsidRDefault="00331D90" w:rsidP="006F7C93">
      <w:pPr>
        <w:autoSpaceDE w:val="0"/>
        <w:autoSpaceDN w:val="0"/>
        <w:adjustRightInd w:val="0"/>
        <w:spacing w:line="260" w:lineRule="exact"/>
        <w:jc w:val="both"/>
        <w:rPr>
          <w:rFonts w:cs="Arial"/>
          <w:b/>
          <w:bCs/>
          <w:szCs w:val="20"/>
          <w:lang w:val="sl-SI"/>
        </w:rPr>
      </w:pPr>
    </w:p>
    <w:p w14:paraId="194650EF" w14:textId="20D0360E"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Andreja Katič, ministrica za pravosodje,</w:t>
      </w:r>
    </w:p>
    <w:p w14:paraId="399B8FF4" w14:textId="3EA8126A"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Andreja Kokalj, državna sekretarka,</w:t>
      </w:r>
    </w:p>
    <w:p w14:paraId="1FEE6726" w14:textId="183D1D86" w:rsidR="00331D90" w:rsidRPr="008D7697" w:rsidRDefault="00331D90" w:rsidP="006F7C93">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dr. Milan Brglez, državni sekretar,</w:t>
      </w:r>
    </w:p>
    <w:p w14:paraId="55BDBD29" w14:textId="7BA26456" w:rsidR="00A953BE" w:rsidRPr="0062673C" w:rsidRDefault="00331D90" w:rsidP="0062673C">
      <w:pPr>
        <w:suppressAutoHyphens/>
        <w:overflowPunct w:val="0"/>
        <w:autoSpaceDE w:val="0"/>
        <w:autoSpaceDN w:val="0"/>
        <w:adjustRightInd w:val="0"/>
        <w:spacing w:line="260" w:lineRule="exact"/>
        <w:ind w:left="142"/>
        <w:jc w:val="both"/>
        <w:textAlignment w:val="baseline"/>
        <w:rPr>
          <w:rFonts w:cs="Arial"/>
          <w:szCs w:val="20"/>
          <w:lang w:val="sl-SI"/>
        </w:rPr>
      </w:pPr>
      <w:r w:rsidRPr="008D7697">
        <w:rPr>
          <w:rFonts w:cs="Arial"/>
          <w:szCs w:val="20"/>
          <w:lang w:val="sl-SI"/>
        </w:rPr>
        <w:t>– mag. Valentina Vehovar, generalna direktorica.</w:t>
      </w:r>
    </w:p>
    <w:p w14:paraId="1F720044" w14:textId="77777777" w:rsidR="0084541D" w:rsidRDefault="0084541D" w:rsidP="001C113A">
      <w:pPr>
        <w:spacing w:line="260" w:lineRule="exact"/>
        <w:contextualSpacing/>
        <w:jc w:val="both"/>
        <w:rPr>
          <w:rFonts w:cs="Arial"/>
          <w:b/>
          <w:szCs w:val="20"/>
          <w:lang w:val="sl-SI"/>
        </w:rPr>
      </w:pPr>
    </w:p>
    <w:p w14:paraId="376494D8" w14:textId="77777777" w:rsidR="0084541D" w:rsidRDefault="0084541D" w:rsidP="001C113A">
      <w:pPr>
        <w:spacing w:line="260" w:lineRule="exact"/>
        <w:contextualSpacing/>
        <w:jc w:val="both"/>
        <w:rPr>
          <w:rFonts w:cs="Arial"/>
          <w:b/>
          <w:szCs w:val="20"/>
          <w:lang w:val="sl-SI"/>
        </w:rPr>
      </w:pPr>
    </w:p>
    <w:p w14:paraId="59495471" w14:textId="77777777" w:rsidR="0084541D" w:rsidRDefault="0084541D" w:rsidP="001C113A">
      <w:pPr>
        <w:spacing w:line="260" w:lineRule="exact"/>
        <w:contextualSpacing/>
        <w:jc w:val="both"/>
        <w:rPr>
          <w:rFonts w:cs="Arial"/>
          <w:b/>
          <w:szCs w:val="20"/>
          <w:lang w:val="sl-SI"/>
        </w:rPr>
      </w:pPr>
    </w:p>
    <w:p w14:paraId="4DE52EDB" w14:textId="77777777" w:rsidR="0084541D" w:rsidRDefault="0084541D" w:rsidP="001C113A">
      <w:pPr>
        <w:spacing w:line="260" w:lineRule="exact"/>
        <w:contextualSpacing/>
        <w:jc w:val="both"/>
        <w:rPr>
          <w:rFonts w:cs="Arial"/>
          <w:b/>
          <w:szCs w:val="20"/>
          <w:lang w:val="sl-SI"/>
        </w:rPr>
      </w:pPr>
    </w:p>
    <w:p w14:paraId="7246BD57" w14:textId="77777777" w:rsidR="0084541D" w:rsidRDefault="0084541D" w:rsidP="001C113A">
      <w:pPr>
        <w:spacing w:line="260" w:lineRule="exact"/>
        <w:contextualSpacing/>
        <w:jc w:val="both"/>
        <w:rPr>
          <w:rFonts w:cs="Arial"/>
          <w:b/>
          <w:szCs w:val="20"/>
          <w:lang w:val="sl-SI"/>
        </w:rPr>
      </w:pPr>
    </w:p>
    <w:p w14:paraId="477D7BC6" w14:textId="77777777" w:rsidR="0084541D" w:rsidRDefault="0084541D" w:rsidP="001C113A">
      <w:pPr>
        <w:spacing w:line="260" w:lineRule="exact"/>
        <w:contextualSpacing/>
        <w:jc w:val="both"/>
        <w:rPr>
          <w:rFonts w:cs="Arial"/>
          <w:b/>
          <w:szCs w:val="20"/>
          <w:lang w:val="sl-SI"/>
        </w:rPr>
      </w:pPr>
    </w:p>
    <w:p w14:paraId="2A275903" w14:textId="77777777" w:rsidR="00680341" w:rsidRDefault="00680341" w:rsidP="001C113A">
      <w:pPr>
        <w:spacing w:line="260" w:lineRule="exact"/>
        <w:contextualSpacing/>
        <w:jc w:val="both"/>
        <w:rPr>
          <w:rFonts w:cs="Arial"/>
          <w:b/>
          <w:szCs w:val="20"/>
          <w:lang w:val="sl-SI"/>
        </w:rPr>
      </w:pPr>
    </w:p>
    <w:p w14:paraId="19F8D87E" w14:textId="77777777" w:rsidR="0084541D" w:rsidRDefault="0084541D" w:rsidP="001C113A">
      <w:pPr>
        <w:spacing w:line="260" w:lineRule="exact"/>
        <w:contextualSpacing/>
        <w:jc w:val="both"/>
        <w:rPr>
          <w:rFonts w:cs="Arial"/>
          <w:b/>
          <w:szCs w:val="20"/>
          <w:lang w:val="sl-SI"/>
        </w:rPr>
      </w:pPr>
    </w:p>
    <w:p w14:paraId="0BE5FB4B" w14:textId="354E5AA9" w:rsidR="00331D90" w:rsidRPr="008D7697" w:rsidRDefault="00331D90" w:rsidP="001C113A">
      <w:pPr>
        <w:spacing w:line="260" w:lineRule="exact"/>
        <w:contextualSpacing/>
        <w:jc w:val="both"/>
        <w:rPr>
          <w:rFonts w:cs="Arial"/>
          <w:b/>
          <w:szCs w:val="20"/>
          <w:lang w:val="sl-SI" w:eastAsia="sl-SI"/>
        </w:rPr>
      </w:pPr>
      <w:r w:rsidRPr="008D7697">
        <w:rPr>
          <w:rFonts w:cs="Arial"/>
          <w:b/>
          <w:szCs w:val="20"/>
          <w:lang w:val="sl-SI"/>
        </w:rPr>
        <w:lastRenderedPageBreak/>
        <w:t>II. BESEDILO ČLENOV</w:t>
      </w:r>
    </w:p>
    <w:p w14:paraId="10E6280B" w14:textId="77777777" w:rsidR="00331D90" w:rsidRPr="008D7697" w:rsidRDefault="00331D90" w:rsidP="001C113A">
      <w:pPr>
        <w:spacing w:line="260" w:lineRule="exact"/>
        <w:jc w:val="both"/>
        <w:rPr>
          <w:rFonts w:cs="Arial"/>
          <w:szCs w:val="20"/>
          <w:lang w:val="sl-SI"/>
        </w:rPr>
      </w:pPr>
    </w:p>
    <w:p w14:paraId="689ADF8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1. člen</w:t>
      </w:r>
    </w:p>
    <w:p w14:paraId="187DF3FE" w14:textId="77777777" w:rsidR="00331D90" w:rsidRPr="008D7697" w:rsidRDefault="00331D90" w:rsidP="001C113A">
      <w:pPr>
        <w:spacing w:line="260" w:lineRule="exact"/>
        <w:rPr>
          <w:rFonts w:cs="Arial"/>
          <w:szCs w:val="20"/>
          <w:lang w:val="sl-SI"/>
        </w:rPr>
      </w:pPr>
    </w:p>
    <w:p w14:paraId="330628B9" w14:textId="77777777" w:rsidR="00331D90" w:rsidRPr="008D7697" w:rsidRDefault="00331D90" w:rsidP="001C113A">
      <w:pPr>
        <w:spacing w:line="260" w:lineRule="exact"/>
        <w:jc w:val="both"/>
        <w:rPr>
          <w:rFonts w:cs="Arial"/>
          <w:bCs/>
          <w:szCs w:val="20"/>
          <w:lang w:val="sl-SI"/>
        </w:rPr>
      </w:pPr>
      <w:r w:rsidRPr="008D7697">
        <w:rPr>
          <w:rFonts w:cs="Arial"/>
          <w:szCs w:val="20"/>
          <w:lang w:val="sl-SI"/>
        </w:rPr>
        <w:t>V Zakonu o državnem tožilstvu (Uradni list RS, št. 58/11, 21/12 – ZDU-1F, 47/12, 15/13 – ZODPol, 47/13 – ZDU-1G, 48/13 – ZSKZDČEU-1, 19/15, 23/17 – ZSSve, 36/19, 139/20, 54/21 in 105/22 – ZZNŠPP</w:t>
      </w:r>
      <w:r w:rsidRPr="008D7697">
        <w:rPr>
          <w:rFonts w:cs="Arial"/>
          <w:bCs/>
          <w:szCs w:val="20"/>
          <w:lang w:val="sl-SI"/>
        </w:rPr>
        <w:t>) se 21. člen spremeni tako, da se glasi:</w:t>
      </w:r>
    </w:p>
    <w:p w14:paraId="0E5505B2" w14:textId="77777777" w:rsidR="00331D90" w:rsidRPr="008D7697" w:rsidRDefault="00331D90" w:rsidP="001C113A">
      <w:pPr>
        <w:spacing w:line="260" w:lineRule="exact"/>
        <w:jc w:val="both"/>
        <w:rPr>
          <w:rFonts w:cs="Arial"/>
          <w:bCs/>
          <w:szCs w:val="20"/>
          <w:lang w:val="sl-SI"/>
        </w:rPr>
      </w:pPr>
    </w:p>
    <w:p w14:paraId="6EC831E3" w14:textId="77777777" w:rsidR="00331D90" w:rsidRPr="008D7697" w:rsidRDefault="00331D90" w:rsidP="001C113A">
      <w:pPr>
        <w:spacing w:line="260" w:lineRule="exact"/>
        <w:jc w:val="center"/>
        <w:rPr>
          <w:rFonts w:cs="Arial"/>
          <w:b/>
          <w:szCs w:val="20"/>
          <w:lang w:val="sl-SI"/>
        </w:rPr>
      </w:pPr>
      <w:r w:rsidRPr="00C45360">
        <w:rPr>
          <w:rFonts w:cs="Arial"/>
          <w:bCs/>
          <w:szCs w:val="20"/>
          <w:lang w:val="sl-SI"/>
        </w:rPr>
        <w:t>»</w:t>
      </w:r>
      <w:r w:rsidRPr="008D7697">
        <w:rPr>
          <w:rFonts w:cs="Arial"/>
          <w:b/>
          <w:szCs w:val="20"/>
          <w:lang w:val="sl-SI"/>
        </w:rPr>
        <w:t>21. člen</w:t>
      </w:r>
    </w:p>
    <w:p w14:paraId="112EC276" w14:textId="77777777" w:rsidR="00331D90" w:rsidRPr="008D7697" w:rsidRDefault="00331D90" w:rsidP="001C113A">
      <w:pPr>
        <w:spacing w:line="260" w:lineRule="exact"/>
        <w:jc w:val="center"/>
        <w:rPr>
          <w:rFonts w:cs="Arial"/>
          <w:b/>
          <w:szCs w:val="20"/>
          <w:lang w:val="sl-SI"/>
        </w:rPr>
      </w:pPr>
      <w:r w:rsidRPr="008D7697">
        <w:rPr>
          <w:rFonts w:cs="Arial"/>
          <w:b/>
          <w:szCs w:val="20"/>
          <w:lang w:val="sl-SI"/>
        </w:rPr>
        <w:t>(nastopanje pred sodišči)</w:t>
      </w:r>
    </w:p>
    <w:p w14:paraId="49E6D90C" w14:textId="791B2129"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Pred okrožnimi sodišči lahko nastopajo državni tožilci</w:t>
      </w:r>
      <w:r w:rsidR="00AE27F1">
        <w:rPr>
          <w:rFonts w:ascii="Arial" w:eastAsia="Arial" w:hAnsi="Arial" w:cs="Arial"/>
          <w:sz w:val="20"/>
          <w:szCs w:val="20"/>
          <w:lang w:val="sl-SI"/>
        </w:rPr>
        <w:t>, ki imajo</w:t>
      </w:r>
      <w:r w:rsidR="00686797">
        <w:rPr>
          <w:rFonts w:ascii="Arial" w:eastAsia="Arial" w:hAnsi="Arial" w:cs="Arial"/>
          <w:sz w:val="20"/>
          <w:szCs w:val="20"/>
          <w:lang w:val="sl-SI"/>
        </w:rPr>
        <w:t xml:space="preserve"> kater</w:t>
      </w:r>
      <w:r w:rsidR="00AE27F1">
        <w:rPr>
          <w:rFonts w:ascii="Arial" w:eastAsia="Arial" w:hAnsi="Arial" w:cs="Arial"/>
          <w:sz w:val="20"/>
          <w:szCs w:val="20"/>
          <w:lang w:val="sl-SI"/>
        </w:rPr>
        <w:t>i</w:t>
      </w:r>
      <w:r w:rsidR="008E438C">
        <w:rPr>
          <w:rFonts w:ascii="Arial" w:eastAsia="Arial" w:hAnsi="Arial" w:cs="Arial"/>
          <w:sz w:val="20"/>
          <w:szCs w:val="20"/>
          <w:lang w:val="sl-SI"/>
        </w:rPr>
        <w:t xml:space="preserve"> </w:t>
      </w:r>
      <w:r w:rsidR="00AE27F1">
        <w:rPr>
          <w:rFonts w:ascii="Arial" w:eastAsia="Arial" w:hAnsi="Arial" w:cs="Arial"/>
          <w:sz w:val="20"/>
          <w:szCs w:val="20"/>
          <w:lang w:val="sl-SI"/>
        </w:rPr>
        <w:t>koli</w:t>
      </w:r>
      <w:r w:rsidR="00686797">
        <w:rPr>
          <w:rFonts w:ascii="Arial" w:eastAsia="Arial" w:hAnsi="Arial" w:cs="Arial"/>
          <w:sz w:val="20"/>
          <w:szCs w:val="20"/>
          <w:lang w:val="sl-SI"/>
        </w:rPr>
        <w:t xml:space="preserve"> državnotožilsk</w:t>
      </w:r>
      <w:r w:rsidR="00AE27F1">
        <w:rPr>
          <w:rFonts w:ascii="Arial" w:eastAsia="Arial" w:hAnsi="Arial" w:cs="Arial"/>
          <w:sz w:val="20"/>
          <w:szCs w:val="20"/>
          <w:lang w:val="sl-SI"/>
        </w:rPr>
        <w:t>i</w:t>
      </w:r>
      <w:r w:rsidR="00686797">
        <w:rPr>
          <w:rFonts w:ascii="Arial" w:eastAsia="Arial" w:hAnsi="Arial" w:cs="Arial"/>
          <w:sz w:val="20"/>
          <w:szCs w:val="20"/>
          <w:lang w:val="sl-SI"/>
        </w:rPr>
        <w:t xml:space="preserve"> naziv (v nadaljnjem besedilu: naziv)</w:t>
      </w:r>
      <w:r w:rsidRPr="008D7697">
        <w:rPr>
          <w:rFonts w:ascii="Arial" w:eastAsia="Arial" w:hAnsi="Arial" w:cs="Arial"/>
          <w:sz w:val="20"/>
          <w:szCs w:val="20"/>
          <w:lang w:val="sl-SI"/>
        </w:rPr>
        <w:t>.</w:t>
      </w:r>
    </w:p>
    <w:p w14:paraId="382173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65252C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(2) Pred višjimi sodišči lahko nastopajo državni tožilci, ki imajo najmanj naziv višjega državnega tožilca.</w:t>
      </w:r>
    </w:p>
    <w:p w14:paraId="4F3E806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2BD0964F" w14:textId="50A046E3"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 xml:space="preserve">(3) Pred Vrhovnim sodiščem Republike Slovenije (v nadaljnjem besedilu: </w:t>
      </w:r>
      <w:r w:rsidR="00381FEA">
        <w:rPr>
          <w:rFonts w:ascii="Arial" w:eastAsia="Arial" w:hAnsi="Arial" w:cs="Arial"/>
          <w:sz w:val="20"/>
          <w:szCs w:val="20"/>
          <w:lang w:val="sl-SI"/>
        </w:rPr>
        <w:t>v</w:t>
      </w:r>
      <w:r w:rsidRPr="008D7697">
        <w:rPr>
          <w:rFonts w:ascii="Arial" w:eastAsia="Arial" w:hAnsi="Arial" w:cs="Arial"/>
          <w:sz w:val="20"/>
          <w:szCs w:val="20"/>
          <w:lang w:val="sl-SI"/>
        </w:rPr>
        <w:t>rhovno sodišče) lahko nastopajo samo državni tožilci</w:t>
      </w:r>
      <w:r w:rsidR="00AE51DE">
        <w:rPr>
          <w:rFonts w:ascii="Arial" w:eastAsia="Arial" w:hAnsi="Arial" w:cs="Arial"/>
          <w:sz w:val="20"/>
          <w:szCs w:val="20"/>
          <w:lang w:val="sl-SI"/>
        </w:rPr>
        <w:t xml:space="preserve">, </w:t>
      </w:r>
      <w:r w:rsidR="00AE51DE" w:rsidRPr="00AE51DE">
        <w:rPr>
          <w:rFonts w:ascii="Arial" w:eastAsia="Arial" w:hAnsi="Arial" w:cs="Arial"/>
          <w:sz w:val="20"/>
          <w:szCs w:val="20"/>
          <w:lang w:val="sl-SI"/>
        </w:rPr>
        <w:t>ki imajo naziv vrhovnega državnega tožilca</w:t>
      </w:r>
      <w:r w:rsidRPr="008D7697">
        <w:rPr>
          <w:rFonts w:ascii="Arial" w:eastAsia="Arial" w:hAnsi="Arial" w:cs="Arial"/>
          <w:sz w:val="20"/>
          <w:szCs w:val="20"/>
          <w:lang w:val="sl-SI"/>
        </w:rPr>
        <w:t>.</w:t>
      </w:r>
    </w:p>
    <w:p w14:paraId="7C23129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688D060B"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(4) Ne glede na drugi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14:paraId="052DB016"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4C2DE820" w14:textId="6D3F87C4" w:rsidR="00686797"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 xml:space="preserve">(5) Ne glede na prvi do tretji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w:t>
      </w:r>
      <w:r w:rsidR="00F84109">
        <w:rPr>
          <w:rFonts w:ascii="Arial" w:eastAsia="Arial" w:hAnsi="Arial" w:cs="Arial"/>
          <w:sz w:val="20"/>
          <w:szCs w:val="20"/>
          <w:lang w:val="sl-SI"/>
        </w:rPr>
        <w:t>v</w:t>
      </w:r>
      <w:r w:rsidRPr="008D7697">
        <w:rPr>
          <w:rFonts w:ascii="Arial" w:eastAsia="Arial" w:hAnsi="Arial" w:cs="Arial"/>
          <w:sz w:val="20"/>
          <w:szCs w:val="20"/>
          <w:lang w:val="sl-SI"/>
        </w:rPr>
        <w:t>rhovnim sodiščem pa le, če ne gre za postopek z izrednimi pravnimi sredstvi. V postopku z izrednimi pravnimi sredstvi lahko po pooblastilu, ki ga za posamezno zadevo določi generalni državni tožilec, nastopata skupaj z vrhovnim državnim tožilcem.«.</w:t>
      </w:r>
    </w:p>
    <w:p w14:paraId="6CF3709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523436DD"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82991A1"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2. člen</w:t>
      </w:r>
    </w:p>
    <w:p w14:paraId="2DC4A30F" w14:textId="77777777" w:rsidR="00331D90" w:rsidRPr="008D7697" w:rsidRDefault="00331D90" w:rsidP="001C113A">
      <w:pPr>
        <w:pStyle w:val="zamik"/>
        <w:pBdr>
          <w:top w:val="none" w:sz="0" w:space="12" w:color="auto"/>
        </w:pBdr>
        <w:spacing w:line="260" w:lineRule="exact"/>
        <w:ind w:firstLine="0"/>
        <w:jc w:val="center"/>
        <w:rPr>
          <w:rFonts w:ascii="Arial" w:eastAsia="Arial" w:hAnsi="Arial" w:cs="Arial"/>
          <w:b/>
          <w:bCs/>
          <w:sz w:val="20"/>
          <w:szCs w:val="20"/>
          <w:lang w:val="sl-SI"/>
        </w:rPr>
      </w:pPr>
    </w:p>
    <w:p w14:paraId="6BB03A8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V 22. členu se prvi odstavek spremeni tako, da se glasi:</w:t>
      </w:r>
    </w:p>
    <w:p w14:paraId="62C35E0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7BFC44AE" w14:textId="162EFEA2"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»(1) Državnotožilska služba se na državnotožilskih mestih opravlja v nazivih okrožni državni tožilec, višji državni tožilec, vrhovni državni tožilec oziroma na položajih okrožni državni tožilec svetnik, višji državni tožilec svetnik in vrhovni državni tožilec svetnik.«.</w:t>
      </w:r>
    </w:p>
    <w:p w14:paraId="17E3C23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179FA841"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Drugi odstavek se črta.</w:t>
      </w:r>
    </w:p>
    <w:p w14:paraId="63069662"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EC42677"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r w:rsidRPr="008D7697">
        <w:rPr>
          <w:rFonts w:ascii="Arial" w:eastAsia="Arial" w:hAnsi="Arial" w:cs="Arial"/>
          <w:sz w:val="20"/>
          <w:szCs w:val="20"/>
          <w:lang w:val="sl-SI"/>
        </w:rPr>
        <w:t>Dosedanji tretji, četrti in peti odstavek postanejo drugi, tretji in četrti odstavek.</w:t>
      </w:r>
    </w:p>
    <w:p w14:paraId="1604562F"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3F6B1055" w14:textId="77777777" w:rsidR="00331D90" w:rsidRPr="008D7697" w:rsidRDefault="00331D90" w:rsidP="001C113A">
      <w:pPr>
        <w:pStyle w:val="zamik"/>
        <w:pBdr>
          <w:top w:val="none" w:sz="0" w:space="12" w:color="auto"/>
        </w:pBdr>
        <w:spacing w:line="260" w:lineRule="exact"/>
        <w:ind w:firstLine="0"/>
        <w:jc w:val="both"/>
        <w:rPr>
          <w:rFonts w:ascii="Arial" w:eastAsia="Arial" w:hAnsi="Arial" w:cs="Arial"/>
          <w:sz w:val="20"/>
          <w:szCs w:val="20"/>
          <w:lang w:val="sl-SI"/>
        </w:rPr>
      </w:pPr>
    </w:p>
    <w:p w14:paraId="095E5CC2"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b/>
          <w:bCs/>
          <w:sz w:val="20"/>
          <w:szCs w:val="20"/>
          <w:lang w:val="sl-SI"/>
        </w:rPr>
      </w:pPr>
      <w:r w:rsidRPr="008D7697">
        <w:rPr>
          <w:rFonts w:ascii="Arial" w:eastAsia="Arial" w:hAnsi="Arial" w:cs="Arial"/>
          <w:b/>
          <w:bCs/>
          <w:sz w:val="20"/>
          <w:szCs w:val="20"/>
          <w:lang w:val="sl-SI"/>
        </w:rPr>
        <w:t>3. člen</w:t>
      </w:r>
    </w:p>
    <w:p w14:paraId="041923B8" w14:textId="77777777" w:rsidR="00331D90" w:rsidRPr="008D7697" w:rsidRDefault="00331D90" w:rsidP="00331D90">
      <w:pPr>
        <w:pStyle w:val="zamik"/>
        <w:pBdr>
          <w:top w:val="none" w:sz="0" w:space="12" w:color="auto"/>
        </w:pBdr>
        <w:spacing w:line="260" w:lineRule="exact"/>
        <w:ind w:firstLine="0"/>
        <w:jc w:val="center"/>
        <w:rPr>
          <w:rFonts w:ascii="Arial" w:eastAsia="Arial" w:hAnsi="Arial" w:cs="Arial"/>
          <w:sz w:val="20"/>
          <w:szCs w:val="20"/>
          <w:lang w:val="sl-SI"/>
        </w:rPr>
      </w:pPr>
    </w:p>
    <w:p w14:paraId="537C07E2" w14:textId="38FA94B4"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V prvem odstavku 23. člena in drugem odstavku 55. člena se besedi</w:t>
      </w:r>
      <w:r w:rsidR="00566F4A">
        <w:rPr>
          <w:rFonts w:ascii="Arial" w:eastAsia="Arial" w:hAnsi="Arial" w:cs="Arial"/>
          <w:sz w:val="20"/>
          <w:szCs w:val="20"/>
          <w:lang w:val="sl-SI"/>
        </w:rPr>
        <w:t>lo</w:t>
      </w:r>
      <w:r w:rsidRPr="00F2246C">
        <w:rPr>
          <w:rFonts w:ascii="Arial" w:eastAsia="Arial" w:hAnsi="Arial" w:cs="Arial"/>
          <w:sz w:val="20"/>
          <w:szCs w:val="20"/>
          <w:lang w:val="sl-SI"/>
        </w:rPr>
        <w:t xml:space="preserve"> »sodniško službo« nadomesti z besedo »sodnike«.</w:t>
      </w:r>
    </w:p>
    <w:p w14:paraId="5847523A"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32A4ED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91F6AC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4. člen</w:t>
      </w:r>
    </w:p>
    <w:p w14:paraId="5550BBAC"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153C8B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24. člen se črta.</w:t>
      </w:r>
    </w:p>
    <w:p w14:paraId="4EC93B0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8EA814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776ED67C"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5. člen</w:t>
      </w:r>
    </w:p>
    <w:p w14:paraId="722754BF"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69EB0D6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25. člen se spremeni tako, da se glasi:</w:t>
      </w:r>
    </w:p>
    <w:p w14:paraId="796E4FE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FB69A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2B6898">
        <w:rPr>
          <w:rFonts w:ascii="Arial" w:eastAsia="Arial" w:hAnsi="Arial" w:cs="Arial"/>
          <w:sz w:val="20"/>
          <w:szCs w:val="20"/>
          <w:lang w:val="sl-SI"/>
        </w:rPr>
        <w:t>»</w:t>
      </w:r>
      <w:r w:rsidRPr="00F2246C">
        <w:rPr>
          <w:rFonts w:ascii="Arial" w:eastAsia="Arial" w:hAnsi="Arial" w:cs="Arial"/>
          <w:b/>
          <w:bCs/>
          <w:sz w:val="20"/>
          <w:szCs w:val="20"/>
          <w:lang w:val="sl-SI"/>
        </w:rPr>
        <w:t>25. člen</w:t>
      </w:r>
    </w:p>
    <w:p w14:paraId="23119393"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(okrožni državni tožilec)</w:t>
      </w:r>
    </w:p>
    <w:p w14:paraId="745728B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b/>
          <w:bCs/>
          <w:sz w:val="20"/>
          <w:szCs w:val="20"/>
          <w:lang w:val="sl-SI"/>
        </w:rPr>
      </w:pPr>
    </w:p>
    <w:p w14:paraId="4EC11AA4" w14:textId="3A24898D" w:rsidR="00331D90"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Oseba, ki izpolnjuje splošne pogoje, je lahko imenovana na državnotožilsko mesto, ki se opravlja v nazivu okrožni državni tožilec, če izpolnjuje posebn</w:t>
      </w:r>
      <w:r w:rsidR="00EE0764">
        <w:rPr>
          <w:rFonts w:ascii="Arial" w:eastAsia="Arial" w:hAnsi="Arial" w:cs="Arial"/>
          <w:sz w:val="20"/>
          <w:szCs w:val="20"/>
          <w:lang w:val="sl-SI"/>
        </w:rPr>
        <w:t>i</w:t>
      </w:r>
      <w:r w:rsidRPr="00F2246C">
        <w:rPr>
          <w:rFonts w:ascii="Arial" w:eastAsia="Arial" w:hAnsi="Arial" w:cs="Arial"/>
          <w:sz w:val="20"/>
          <w:szCs w:val="20"/>
          <w:lang w:val="sl-SI"/>
        </w:rPr>
        <w:t xml:space="preserve"> pogoj za izvolitev na sodniško mesto na okrožnem sodišču (okrožni sodnik) po zakonu, ki ureja sodnike.«.</w:t>
      </w:r>
    </w:p>
    <w:p w14:paraId="68E17D9B" w14:textId="77777777" w:rsidR="00BD4204" w:rsidRDefault="00BD4204" w:rsidP="00A82F2D">
      <w:pPr>
        <w:pStyle w:val="zamik"/>
        <w:pBdr>
          <w:top w:val="none" w:sz="0" w:space="12" w:color="auto"/>
        </w:pBdr>
        <w:spacing w:line="260" w:lineRule="exact"/>
        <w:ind w:firstLine="0"/>
        <w:jc w:val="both"/>
        <w:rPr>
          <w:rFonts w:ascii="Arial" w:eastAsia="Arial" w:hAnsi="Arial" w:cs="Arial"/>
          <w:sz w:val="20"/>
          <w:szCs w:val="20"/>
          <w:lang w:val="sl-SI"/>
        </w:rPr>
      </w:pPr>
    </w:p>
    <w:p w14:paraId="67DE87F3" w14:textId="77777777" w:rsidR="00BD4204" w:rsidRDefault="00BD4204" w:rsidP="00A82F2D">
      <w:pPr>
        <w:pStyle w:val="zamik"/>
        <w:pBdr>
          <w:top w:val="none" w:sz="0" w:space="12" w:color="auto"/>
        </w:pBdr>
        <w:spacing w:line="260" w:lineRule="exact"/>
        <w:ind w:firstLine="0"/>
        <w:jc w:val="both"/>
        <w:rPr>
          <w:rFonts w:ascii="Arial" w:eastAsia="Arial" w:hAnsi="Arial" w:cs="Arial"/>
          <w:sz w:val="20"/>
          <w:szCs w:val="20"/>
          <w:lang w:val="sl-SI"/>
        </w:rPr>
      </w:pPr>
    </w:p>
    <w:p w14:paraId="5DC25470" w14:textId="3A29803B" w:rsidR="00BD4204" w:rsidRPr="00BD4204" w:rsidRDefault="00BD4204"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2F7389">
        <w:rPr>
          <w:rFonts w:ascii="Arial" w:eastAsia="Arial" w:hAnsi="Arial" w:cs="Arial"/>
          <w:b/>
          <w:bCs/>
          <w:sz w:val="20"/>
          <w:szCs w:val="20"/>
          <w:lang w:val="sl-SI"/>
        </w:rPr>
        <w:t>6. člen</w:t>
      </w:r>
      <w:r w:rsidRPr="00BD4204">
        <w:rPr>
          <w:rFonts w:ascii="Arial" w:eastAsia="Arial" w:hAnsi="Arial" w:cs="Arial"/>
          <w:b/>
          <w:bCs/>
          <w:sz w:val="20"/>
          <w:szCs w:val="20"/>
          <w:lang w:val="sl-SI"/>
        </w:rPr>
        <w:t xml:space="preserve"> </w:t>
      </w:r>
    </w:p>
    <w:p w14:paraId="760F7639" w14:textId="48F49915" w:rsidR="00BD4204" w:rsidRDefault="00BD4204" w:rsidP="00A82F2D">
      <w:pPr>
        <w:pStyle w:val="zamik"/>
        <w:pBdr>
          <w:top w:val="none" w:sz="0" w:space="12" w:color="auto"/>
        </w:pBdr>
        <w:spacing w:line="260" w:lineRule="exact"/>
        <w:ind w:firstLine="0"/>
        <w:jc w:val="center"/>
        <w:rPr>
          <w:rFonts w:ascii="Arial" w:eastAsia="Arial" w:hAnsi="Arial" w:cs="Arial"/>
          <w:sz w:val="20"/>
          <w:szCs w:val="20"/>
          <w:lang w:val="sl-SI"/>
        </w:rPr>
      </w:pPr>
    </w:p>
    <w:p w14:paraId="6127E7A8" w14:textId="6C6C4641" w:rsidR="00331D90" w:rsidRDefault="00C878F3" w:rsidP="00A82F2D">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26. členu se beseda »državnotožilskem</w:t>
      </w:r>
      <w:r w:rsidR="00751CDB">
        <w:rPr>
          <w:rFonts w:ascii="Arial" w:eastAsia="Arial" w:hAnsi="Arial" w:cs="Arial"/>
          <w:sz w:val="20"/>
          <w:szCs w:val="20"/>
          <w:lang w:val="sl-SI"/>
        </w:rPr>
        <w:t>«</w:t>
      </w:r>
      <w:r w:rsidR="00751CDB" w:rsidRPr="00751CDB">
        <w:rPr>
          <w:rFonts w:ascii="Arial" w:eastAsia="Arial" w:hAnsi="Arial" w:cs="Arial"/>
          <w:sz w:val="20"/>
          <w:szCs w:val="20"/>
          <w:lang w:val="sl-SI"/>
        </w:rPr>
        <w:t xml:space="preserve"> </w:t>
      </w:r>
      <w:r w:rsidR="00751CDB">
        <w:rPr>
          <w:rFonts w:ascii="Arial" w:eastAsia="Arial" w:hAnsi="Arial" w:cs="Arial"/>
          <w:sz w:val="20"/>
          <w:szCs w:val="20"/>
          <w:lang w:val="sl-SI"/>
        </w:rPr>
        <w:t>črta</w:t>
      </w:r>
      <w:r>
        <w:rPr>
          <w:rFonts w:ascii="Arial" w:eastAsia="Arial" w:hAnsi="Arial" w:cs="Arial"/>
          <w:sz w:val="20"/>
          <w:szCs w:val="20"/>
          <w:lang w:val="sl-SI"/>
        </w:rPr>
        <w:t xml:space="preserve">, </w:t>
      </w:r>
      <w:r w:rsidRPr="00C878F3">
        <w:rPr>
          <w:rFonts w:ascii="Arial" w:eastAsia="Arial" w:hAnsi="Arial" w:cs="Arial"/>
          <w:sz w:val="20"/>
          <w:szCs w:val="20"/>
          <w:lang w:val="sl-SI"/>
        </w:rPr>
        <w:t>besedi</w:t>
      </w:r>
      <w:r w:rsidR="00667EBE">
        <w:rPr>
          <w:rFonts w:ascii="Arial" w:eastAsia="Arial" w:hAnsi="Arial" w:cs="Arial"/>
          <w:sz w:val="20"/>
          <w:szCs w:val="20"/>
          <w:lang w:val="sl-SI"/>
        </w:rPr>
        <w:t>lo</w:t>
      </w:r>
      <w:r w:rsidRPr="00C878F3">
        <w:rPr>
          <w:rFonts w:ascii="Arial" w:eastAsia="Arial" w:hAnsi="Arial" w:cs="Arial"/>
          <w:sz w:val="20"/>
          <w:szCs w:val="20"/>
          <w:lang w:val="sl-SI"/>
        </w:rPr>
        <w:t xml:space="preserve"> »sodniško službo«</w:t>
      </w:r>
      <w:r>
        <w:rPr>
          <w:rFonts w:ascii="Arial" w:eastAsia="Arial" w:hAnsi="Arial" w:cs="Arial"/>
          <w:sz w:val="20"/>
          <w:szCs w:val="20"/>
          <w:lang w:val="sl-SI"/>
        </w:rPr>
        <w:t xml:space="preserve"> pa </w:t>
      </w:r>
      <w:r w:rsidR="00B00FDF">
        <w:rPr>
          <w:rFonts w:ascii="Arial" w:eastAsia="Arial" w:hAnsi="Arial" w:cs="Arial"/>
          <w:sz w:val="20"/>
          <w:szCs w:val="20"/>
          <w:lang w:val="sl-SI"/>
        </w:rPr>
        <w:t xml:space="preserve">se </w:t>
      </w:r>
      <w:r w:rsidRPr="00C878F3">
        <w:rPr>
          <w:rFonts w:ascii="Arial" w:eastAsia="Arial" w:hAnsi="Arial" w:cs="Arial"/>
          <w:sz w:val="20"/>
          <w:szCs w:val="20"/>
          <w:lang w:val="sl-SI"/>
        </w:rPr>
        <w:t>nadomesti z besedo »sodnike«.</w:t>
      </w:r>
      <w:r w:rsidR="00751CDB" w:rsidRPr="00751CDB">
        <w:rPr>
          <w:rFonts w:ascii="Arial" w:eastAsia="Arial" w:hAnsi="Arial" w:cs="Arial"/>
          <w:sz w:val="20"/>
          <w:szCs w:val="20"/>
          <w:lang w:val="sl-SI"/>
        </w:rPr>
        <w:t xml:space="preserve"> </w:t>
      </w:r>
    </w:p>
    <w:p w14:paraId="11B2AB4D" w14:textId="7777777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p>
    <w:p w14:paraId="6ED1F5D3" w14:textId="7777777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p>
    <w:p w14:paraId="6974A799" w14:textId="190E304E" w:rsidR="00B560FF" w:rsidRDefault="00B560FF"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7. člen</w:t>
      </w:r>
    </w:p>
    <w:p w14:paraId="56249152" w14:textId="77777777" w:rsidR="00B560FF" w:rsidRDefault="00B560FF" w:rsidP="00A82F2D">
      <w:pPr>
        <w:pStyle w:val="zamik"/>
        <w:pBdr>
          <w:top w:val="none" w:sz="0" w:space="12" w:color="auto"/>
        </w:pBdr>
        <w:spacing w:line="260" w:lineRule="exact"/>
        <w:ind w:firstLine="0"/>
        <w:rPr>
          <w:rFonts w:ascii="Arial" w:eastAsia="Arial" w:hAnsi="Arial" w:cs="Arial"/>
          <w:sz w:val="20"/>
          <w:szCs w:val="20"/>
          <w:lang w:val="sl-SI"/>
        </w:rPr>
      </w:pPr>
    </w:p>
    <w:p w14:paraId="53E7C83C" w14:textId="6A2EE487" w:rsidR="00B560FF" w:rsidRDefault="00B560FF" w:rsidP="00A82F2D">
      <w:pPr>
        <w:pStyle w:val="zamik"/>
        <w:pBdr>
          <w:top w:val="none" w:sz="0" w:space="12" w:color="auto"/>
        </w:pBdr>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27. členu se beseda »državnotožilskem«</w:t>
      </w:r>
      <w:r w:rsidRPr="00751CDB">
        <w:rPr>
          <w:rFonts w:ascii="Arial" w:eastAsia="Arial" w:hAnsi="Arial" w:cs="Arial"/>
          <w:sz w:val="20"/>
          <w:szCs w:val="20"/>
          <w:lang w:val="sl-SI"/>
        </w:rPr>
        <w:t xml:space="preserve"> </w:t>
      </w:r>
      <w:r>
        <w:rPr>
          <w:rFonts w:ascii="Arial" w:eastAsia="Arial" w:hAnsi="Arial" w:cs="Arial"/>
          <w:sz w:val="20"/>
          <w:szCs w:val="20"/>
          <w:lang w:val="sl-SI"/>
        </w:rPr>
        <w:t xml:space="preserve">črta, </w:t>
      </w:r>
      <w:r w:rsidRPr="00C878F3">
        <w:rPr>
          <w:rFonts w:ascii="Arial" w:eastAsia="Arial" w:hAnsi="Arial" w:cs="Arial"/>
          <w:sz w:val="20"/>
          <w:szCs w:val="20"/>
          <w:lang w:val="sl-SI"/>
        </w:rPr>
        <w:t>besedi</w:t>
      </w:r>
      <w:r>
        <w:rPr>
          <w:rFonts w:ascii="Arial" w:eastAsia="Arial" w:hAnsi="Arial" w:cs="Arial"/>
          <w:sz w:val="20"/>
          <w:szCs w:val="20"/>
          <w:lang w:val="sl-SI"/>
        </w:rPr>
        <w:t>lo</w:t>
      </w:r>
      <w:r w:rsidRPr="00C878F3">
        <w:rPr>
          <w:rFonts w:ascii="Arial" w:eastAsia="Arial" w:hAnsi="Arial" w:cs="Arial"/>
          <w:sz w:val="20"/>
          <w:szCs w:val="20"/>
          <w:lang w:val="sl-SI"/>
        </w:rPr>
        <w:t xml:space="preserve"> »sodniško službo«</w:t>
      </w:r>
      <w:r>
        <w:rPr>
          <w:rFonts w:ascii="Arial" w:eastAsia="Arial" w:hAnsi="Arial" w:cs="Arial"/>
          <w:sz w:val="20"/>
          <w:szCs w:val="20"/>
          <w:lang w:val="sl-SI"/>
        </w:rPr>
        <w:t xml:space="preserve"> pa se </w:t>
      </w:r>
      <w:r w:rsidRPr="00C878F3">
        <w:rPr>
          <w:rFonts w:ascii="Arial" w:eastAsia="Arial" w:hAnsi="Arial" w:cs="Arial"/>
          <w:sz w:val="20"/>
          <w:szCs w:val="20"/>
          <w:lang w:val="sl-SI"/>
        </w:rPr>
        <w:t>nadomesti z besedo »sodnike«.</w:t>
      </w:r>
      <w:r w:rsidRPr="00751CDB">
        <w:rPr>
          <w:rFonts w:ascii="Arial" w:eastAsia="Arial" w:hAnsi="Arial" w:cs="Arial"/>
          <w:sz w:val="20"/>
          <w:szCs w:val="20"/>
          <w:lang w:val="sl-SI"/>
        </w:rPr>
        <w:t xml:space="preserve"> </w:t>
      </w:r>
    </w:p>
    <w:p w14:paraId="52EF0F5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9A23E70" w14:textId="77777777" w:rsidR="00C53F55" w:rsidRDefault="00C53F55"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382B76DC" w14:textId="61116666"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8</w:t>
      </w:r>
      <w:r w:rsidR="00331D90" w:rsidRPr="00F2246C">
        <w:rPr>
          <w:rFonts w:ascii="Arial" w:eastAsia="Arial" w:hAnsi="Arial" w:cs="Arial"/>
          <w:b/>
          <w:bCs/>
          <w:sz w:val="20"/>
          <w:szCs w:val="20"/>
          <w:lang w:val="sl-SI"/>
        </w:rPr>
        <w:t>. člen</w:t>
      </w:r>
    </w:p>
    <w:p w14:paraId="767BA6FE"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00C24CA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37. členu se drugi in tretji odstavek spremenita tako, da se glasita:</w:t>
      </w:r>
    </w:p>
    <w:p w14:paraId="39031ED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7C33A8F" w14:textId="77777777" w:rsidR="00331D90" w:rsidRPr="00F2246C" w:rsidRDefault="00331D90" w:rsidP="00A82F2D">
      <w:pPr>
        <w:pStyle w:val="alineazaodstavkom2"/>
        <w:spacing w:line="260" w:lineRule="exact"/>
        <w:ind w:left="425"/>
        <w:rPr>
          <w:rFonts w:ascii="Arial" w:eastAsia="Arial" w:hAnsi="Arial" w:cs="Arial"/>
          <w:sz w:val="20"/>
          <w:szCs w:val="20"/>
          <w:lang w:val="sl-SI"/>
        </w:rPr>
      </w:pPr>
      <w:r w:rsidRPr="00F2246C">
        <w:rPr>
          <w:rFonts w:ascii="Arial" w:eastAsia="Arial" w:hAnsi="Arial" w:cs="Arial"/>
          <w:sz w:val="20"/>
          <w:szCs w:val="20"/>
          <w:lang w:val="sl-SI"/>
        </w:rPr>
        <w:t>»(2) Napredovanje zajema:</w:t>
      </w:r>
    </w:p>
    <w:p w14:paraId="27AA4915"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okrožnih in višjih državnih tožilcev v plačnih razredih;</w:t>
      </w:r>
    </w:p>
    <w:p w14:paraId="4AC268E5"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na položaj svetnika;</w:t>
      </w:r>
    </w:p>
    <w:p w14:paraId="1F3EF0DC"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okrožnega državnega tožilca v naziv višjega državnega tožilca na istem državnotožilskem mestu;</w:t>
      </w:r>
    </w:p>
    <w:p w14:paraId="4CAAEF54" w14:textId="77777777" w:rsidR="00331D90" w:rsidRPr="00F2246C" w:rsidRDefault="00331D90" w:rsidP="00A82F2D">
      <w:pPr>
        <w:pStyle w:val="alineazaodstavkom2"/>
        <w:numPr>
          <w:ilvl w:val="0"/>
          <w:numId w:val="21"/>
        </w:numPr>
        <w:spacing w:line="260" w:lineRule="exact"/>
        <w:rPr>
          <w:rFonts w:ascii="Arial" w:eastAsia="Arial" w:hAnsi="Arial" w:cs="Arial"/>
          <w:sz w:val="20"/>
          <w:szCs w:val="20"/>
          <w:lang w:val="sl-SI"/>
        </w:rPr>
      </w:pPr>
      <w:r w:rsidRPr="00F2246C">
        <w:rPr>
          <w:rFonts w:ascii="Arial" w:eastAsia="Arial" w:hAnsi="Arial" w:cs="Arial"/>
          <w:sz w:val="20"/>
          <w:szCs w:val="20"/>
          <w:lang w:val="sl-SI"/>
        </w:rPr>
        <w:t>napredovanje na višje državnotožilsko mesto.</w:t>
      </w:r>
    </w:p>
    <w:p w14:paraId="54AC475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O napredovanju v plačnih razredih, na položaj svetnika in v naziv višjega državnega tožilca odloča Državnotožilski svet.«.</w:t>
      </w:r>
    </w:p>
    <w:p w14:paraId="703924E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488A8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08F73F4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433F4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lastRenderedPageBreak/>
        <w:t>Dosedanji peti do sedmi odstavek postanejo četrti do šesti odstavek.</w:t>
      </w:r>
    </w:p>
    <w:p w14:paraId="7EDFD21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B8AF4B9" w14:textId="360F005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dosedanjem osmem odstavku, ki postane sedmi odstavek, se besedi</w:t>
      </w:r>
      <w:r w:rsidR="003D0523">
        <w:rPr>
          <w:rFonts w:ascii="Arial" w:eastAsia="Arial" w:hAnsi="Arial" w:cs="Arial"/>
          <w:sz w:val="20"/>
          <w:szCs w:val="20"/>
          <w:lang w:val="sl-SI"/>
        </w:rPr>
        <w:t>lo</w:t>
      </w:r>
      <w:r w:rsidRPr="00F2246C">
        <w:rPr>
          <w:rFonts w:ascii="Arial" w:eastAsia="Arial" w:hAnsi="Arial" w:cs="Arial"/>
          <w:sz w:val="20"/>
          <w:szCs w:val="20"/>
          <w:lang w:val="sl-SI"/>
        </w:rPr>
        <w:t xml:space="preserve"> »sodniško službo« nadomesti z besedo »sodnike«.</w:t>
      </w:r>
    </w:p>
    <w:p w14:paraId="4CDB448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2E101D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color w:val="FF0000"/>
          <w:sz w:val="20"/>
          <w:szCs w:val="20"/>
          <w:lang w:val="sl-SI"/>
        </w:rPr>
      </w:pPr>
    </w:p>
    <w:p w14:paraId="5D0FF57C" w14:textId="4D3372CA"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9</w:t>
      </w:r>
      <w:r w:rsidR="00331D90" w:rsidRPr="00F2246C">
        <w:rPr>
          <w:rFonts w:ascii="Arial" w:eastAsia="Arial" w:hAnsi="Arial" w:cs="Arial"/>
          <w:b/>
          <w:bCs/>
          <w:sz w:val="20"/>
          <w:szCs w:val="20"/>
          <w:lang w:val="sl-SI"/>
        </w:rPr>
        <w:t>. člen</w:t>
      </w:r>
    </w:p>
    <w:p w14:paraId="48497D39"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655D21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57. člen se spremeni tako, da se glasi:</w:t>
      </w:r>
    </w:p>
    <w:p w14:paraId="656A9DA4"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b/>
          <w:bCs/>
          <w:sz w:val="20"/>
          <w:szCs w:val="20"/>
          <w:lang w:val="sl-SI"/>
        </w:rPr>
      </w:pPr>
    </w:p>
    <w:p w14:paraId="462E872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3C258F">
        <w:rPr>
          <w:rFonts w:ascii="Arial" w:eastAsia="Arial" w:hAnsi="Arial" w:cs="Arial"/>
          <w:sz w:val="20"/>
          <w:szCs w:val="20"/>
          <w:lang w:val="sl-SI"/>
        </w:rPr>
        <w:t>»</w:t>
      </w:r>
      <w:r w:rsidRPr="00F2246C">
        <w:rPr>
          <w:rFonts w:ascii="Arial" w:eastAsia="Arial" w:hAnsi="Arial" w:cs="Arial"/>
          <w:b/>
          <w:bCs/>
          <w:sz w:val="20"/>
          <w:szCs w:val="20"/>
          <w:lang w:val="sl-SI"/>
        </w:rPr>
        <w:t>57. člen</w:t>
      </w:r>
    </w:p>
    <w:p w14:paraId="0202BBB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sz w:val="20"/>
          <w:szCs w:val="20"/>
          <w:lang w:val="sl-SI"/>
        </w:rPr>
      </w:pPr>
      <w:r w:rsidRPr="00F2246C">
        <w:rPr>
          <w:rFonts w:ascii="Arial" w:eastAsia="Arial" w:hAnsi="Arial" w:cs="Arial"/>
          <w:b/>
          <w:bCs/>
          <w:sz w:val="20"/>
          <w:szCs w:val="20"/>
          <w:lang w:val="sl-SI"/>
        </w:rPr>
        <w:t>(pravica do letnega dopusta in drugih odsotnosti z dela)</w:t>
      </w:r>
    </w:p>
    <w:p w14:paraId="3DE7C38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7F4400E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Glede pravice državnega tožilca do letnega dopusta in drugih odsotnosti z dela se uporabljajo določbe zakona, ki ureja sodnike.</w:t>
      </w:r>
    </w:p>
    <w:p w14:paraId="6EE3BB5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196EA93" w14:textId="77777777" w:rsidR="00331D90"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 Merila za trajanje letnega dopusta in drugih odsotnosti z dela določi minister v soglasju z Državnotožilskim svetom.«.</w:t>
      </w:r>
    </w:p>
    <w:p w14:paraId="4AFF91E7" w14:textId="77777777" w:rsid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135DAE29"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7111F5A0" w14:textId="78E2429A" w:rsidR="004E3624" w:rsidRPr="004E3624" w:rsidRDefault="004E3624"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4E3624">
        <w:rPr>
          <w:rFonts w:ascii="Arial" w:eastAsia="Arial" w:hAnsi="Arial" w:cs="Arial"/>
          <w:b/>
          <w:bCs/>
          <w:sz w:val="20"/>
          <w:szCs w:val="20"/>
          <w:lang w:val="sl-SI"/>
        </w:rPr>
        <w:t>10. člen</w:t>
      </w:r>
    </w:p>
    <w:p w14:paraId="49F293AE"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p>
    <w:p w14:paraId="6CC69D49" w14:textId="77777777" w:rsidR="004E3624" w:rsidRPr="004E3624" w:rsidRDefault="004E3624" w:rsidP="00A82F2D">
      <w:pPr>
        <w:pStyle w:val="zamik"/>
        <w:pBdr>
          <w:top w:val="none" w:sz="0" w:space="12" w:color="auto"/>
        </w:pBdr>
        <w:spacing w:line="260" w:lineRule="exact"/>
        <w:ind w:firstLine="0"/>
        <w:jc w:val="both"/>
        <w:rPr>
          <w:rFonts w:ascii="Arial" w:eastAsia="Arial" w:hAnsi="Arial" w:cs="Arial"/>
          <w:sz w:val="20"/>
          <w:szCs w:val="20"/>
          <w:lang w:val="sl-SI"/>
        </w:rPr>
      </w:pPr>
      <w:r w:rsidRPr="004E3624">
        <w:rPr>
          <w:rFonts w:ascii="Arial" w:eastAsia="Arial" w:hAnsi="Arial" w:cs="Arial"/>
          <w:sz w:val="20"/>
          <w:szCs w:val="20"/>
          <w:lang w:val="sl-SI"/>
        </w:rPr>
        <w:t>V drugem odstavku 58. člena, tretjem odstavku 60. člena in prvem odstavku 65. člena se besedilo »državnotožilski naziv« v vseh sklonih in številih nadomesti z besedo »naziv« v ustreznem sklonu in številu.</w:t>
      </w:r>
    </w:p>
    <w:p w14:paraId="05B1C786" w14:textId="77777777" w:rsidR="00331D90" w:rsidRPr="004E3624"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40030D" w14:textId="77777777" w:rsidR="00331D90" w:rsidRPr="004E3624"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2C1B303" w14:textId="3723D3D4" w:rsidR="00331D90" w:rsidRPr="004E3624"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4E3624">
        <w:rPr>
          <w:rFonts w:ascii="Arial" w:eastAsia="Arial" w:hAnsi="Arial" w:cs="Arial"/>
          <w:b/>
          <w:bCs/>
          <w:sz w:val="20"/>
          <w:szCs w:val="20"/>
          <w:lang w:val="sl-SI"/>
        </w:rPr>
        <w:t>1</w:t>
      </w:r>
      <w:r w:rsidR="00C844E1">
        <w:rPr>
          <w:rFonts w:ascii="Arial" w:eastAsia="Arial" w:hAnsi="Arial" w:cs="Arial"/>
          <w:b/>
          <w:bCs/>
          <w:sz w:val="20"/>
          <w:szCs w:val="20"/>
          <w:lang w:val="sl-SI"/>
        </w:rPr>
        <w:t>1</w:t>
      </w:r>
      <w:r w:rsidR="00331D90" w:rsidRPr="004E3624">
        <w:rPr>
          <w:rFonts w:ascii="Arial" w:eastAsia="Arial" w:hAnsi="Arial" w:cs="Arial"/>
          <w:b/>
          <w:bCs/>
          <w:sz w:val="20"/>
          <w:szCs w:val="20"/>
          <w:lang w:val="sl-SI"/>
        </w:rPr>
        <w:t>. člen</w:t>
      </w:r>
    </w:p>
    <w:p w14:paraId="5BFD30C9"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1B457FC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68. členu se drugi odstavek spremeni tako, da se glasi:</w:t>
      </w:r>
    </w:p>
    <w:p w14:paraId="5444410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97F587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»(2) Za pomočnika nacionalnega predstavnika je lahko imenovan državni tožilec, ki izkaže z javno priznanim preizkusom potrjeno višjo raven znanja najmanj enega uradnega jezika Evropske unije, ki je delovni jezik v Eurojustu.«.</w:t>
      </w:r>
    </w:p>
    <w:p w14:paraId="0571026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750B7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445D855" w14:textId="4465983D" w:rsidR="00331D90" w:rsidRPr="00F2246C" w:rsidRDefault="002F7389"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1</w:t>
      </w:r>
      <w:r w:rsidR="00C844E1">
        <w:rPr>
          <w:rFonts w:ascii="Arial" w:eastAsia="Arial" w:hAnsi="Arial" w:cs="Arial"/>
          <w:b/>
          <w:bCs/>
          <w:sz w:val="20"/>
          <w:szCs w:val="20"/>
          <w:lang w:val="sl-SI"/>
        </w:rPr>
        <w:t>2</w:t>
      </w:r>
      <w:r w:rsidR="00331D90" w:rsidRPr="00F2246C">
        <w:rPr>
          <w:rFonts w:ascii="Arial" w:eastAsia="Arial" w:hAnsi="Arial" w:cs="Arial"/>
          <w:b/>
          <w:bCs/>
          <w:sz w:val="20"/>
          <w:szCs w:val="20"/>
          <w:lang w:val="sl-SI"/>
        </w:rPr>
        <w:t>. člen</w:t>
      </w:r>
    </w:p>
    <w:p w14:paraId="7688F14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E9CCD56" w14:textId="451BA6FB"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70. členu se v prvem odstavku besed</w:t>
      </w:r>
      <w:r w:rsidR="009B5158">
        <w:rPr>
          <w:rFonts w:ascii="Arial" w:eastAsia="Arial" w:hAnsi="Arial" w:cs="Arial"/>
          <w:sz w:val="20"/>
          <w:szCs w:val="20"/>
          <w:lang w:val="sl-SI"/>
        </w:rPr>
        <w:t>ilo</w:t>
      </w:r>
      <w:r w:rsidRPr="00F2246C">
        <w:rPr>
          <w:rFonts w:ascii="Arial" w:eastAsia="Arial" w:hAnsi="Arial" w:cs="Arial"/>
          <w:sz w:val="20"/>
          <w:szCs w:val="20"/>
          <w:lang w:val="sl-SI"/>
        </w:rPr>
        <w:t xml:space="preserve"> »okrajnimi</w:t>
      </w:r>
      <w:r w:rsidR="009B5158">
        <w:rPr>
          <w:rFonts w:ascii="Arial" w:eastAsia="Arial" w:hAnsi="Arial" w:cs="Arial"/>
          <w:sz w:val="20"/>
          <w:szCs w:val="20"/>
          <w:lang w:val="sl-SI"/>
        </w:rPr>
        <w:t>,</w:t>
      </w:r>
      <w:r w:rsidRPr="00F2246C">
        <w:rPr>
          <w:rFonts w:ascii="Arial" w:eastAsia="Arial" w:hAnsi="Arial" w:cs="Arial"/>
          <w:sz w:val="20"/>
          <w:szCs w:val="20"/>
          <w:lang w:val="sl-SI"/>
        </w:rPr>
        <w:t>« črta.</w:t>
      </w:r>
    </w:p>
    <w:p w14:paraId="607E646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BDE057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F8404AA" w14:textId="5491DA76"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3</w:t>
      </w:r>
      <w:r w:rsidRPr="00F2246C">
        <w:rPr>
          <w:rFonts w:ascii="Arial" w:eastAsia="Arial" w:hAnsi="Arial" w:cs="Arial"/>
          <w:b/>
          <w:bCs/>
          <w:sz w:val="20"/>
          <w:szCs w:val="20"/>
          <w:lang w:val="sl-SI"/>
        </w:rPr>
        <w:t>. člen</w:t>
      </w:r>
    </w:p>
    <w:p w14:paraId="46B3B936"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7D52315" w14:textId="0975885B"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71.c členu se besed</w:t>
      </w:r>
      <w:r w:rsidR="00940DFA">
        <w:rPr>
          <w:rFonts w:ascii="Arial" w:eastAsia="Arial" w:hAnsi="Arial" w:cs="Arial"/>
          <w:sz w:val="20"/>
          <w:szCs w:val="20"/>
          <w:lang w:val="sl-SI"/>
        </w:rPr>
        <w:t>ilo</w:t>
      </w:r>
      <w:r w:rsidRPr="00F2246C">
        <w:rPr>
          <w:rFonts w:ascii="Arial" w:eastAsia="Arial" w:hAnsi="Arial" w:cs="Arial"/>
          <w:sz w:val="20"/>
          <w:szCs w:val="20"/>
          <w:lang w:val="sl-SI"/>
        </w:rPr>
        <w:t xml:space="preserve"> »C1« nadomesti z besed</w:t>
      </w:r>
      <w:r w:rsidR="00940DFA">
        <w:rPr>
          <w:rFonts w:ascii="Arial" w:eastAsia="Arial" w:hAnsi="Arial" w:cs="Arial"/>
          <w:sz w:val="20"/>
          <w:szCs w:val="20"/>
          <w:lang w:val="sl-SI"/>
        </w:rPr>
        <w:t>ilom</w:t>
      </w:r>
      <w:r w:rsidRPr="00F2246C">
        <w:rPr>
          <w:rFonts w:ascii="Arial" w:eastAsia="Arial" w:hAnsi="Arial" w:cs="Arial"/>
          <w:sz w:val="20"/>
          <w:szCs w:val="20"/>
          <w:lang w:val="sl-SI"/>
        </w:rPr>
        <w:t xml:space="preserve"> »B2«.</w:t>
      </w:r>
    </w:p>
    <w:p w14:paraId="46AFCDF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617E82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D6A2AA2" w14:textId="3A07AADB"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4</w:t>
      </w:r>
      <w:r w:rsidRPr="00F2246C">
        <w:rPr>
          <w:rFonts w:ascii="Arial" w:eastAsia="Arial" w:hAnsi="Arial" w:cs="Arial"/>
          <w:b/>
          <w:bCs/>
          <w:sz w:val="20"/>
          <w:szCs w:val="20"/>
          <w:lang w:val="sl-SI"/>
        </w:rPr>
        <w:t>. člen</w:t>
      </w:r>
    </w:p>
    <w:p w14:paraId="7CF2558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77C708B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71.d členu se prvi odstavek spremeni tako, da se glasi:</w:t>
      </w:r>
    </w:p>
    <w:p w14:paraId="29A6EA3E" w14:textId="77777777" w:rsidR="00331D90" w:rsidRPr="00F2246C" w:rsidRDefault="00331D90" w:rsidP="00F2246C">
      <w:pPr>
        <w:pStyle w:val="zamik"/>
        <w:pBdr>
          <w:top w:val="none" w:sz="0" w:space="12" w:color="auto"/>
        </w:pBdr>
        <w:spacing w:line="260" w:lineRule="exact"/>
        <w:ind w:firstLine="0"/>
        <w:jc w:val="both"/>
        <w:rPr>
          <w:rFonts w:ascii="Arial" w:eastAsia="Arial" w:hAnsi="Arial" w:cs="Arial"/>
          <w:sz w:val="20"/>
          <w:szCs w:val="20"/>
          <w:lang w:val="sl-SI"/>
        </w:rPr>
      </w:pPr>
    </w:p>
    <w:p w14:paraId="03750D31" w14:textId="5ADFF06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»(1) Za evropskega delegiranega tožilca lahko kandidira državni tožilec, ki ima znanje delovnega jezika EJT najmanj na ravni B2 Skupnega evropskega jezikovnega okvira in izpolnjuje posebne pogoje, ki jih določajo pravila EJT ter pravila, ki urejajo pogoje za zaposlitev uradnikov in drugih zaposlenih v institucijah Evropske unije</w:t>
      </w:r>
      <w:r w:rsidR="00A86B58">
        <w:rPr>
          <w:rFonts w:ascii="Arial" w:eastAsia="Arial" w:hAnsi="Arial" w:cs="Arial"/>
          <w:sz w:val="20"/>
          <w:szCs w:val="20"/>
          <w:lang w:val="sl-SI"/>
        </w:rPr>
        <w:t xml:space="preserve"> </w:t>
      </w:r>
      <w:bookmarkStart w:id="8" w:name="_Hlk196302208"/>
      <w:r w:rsidR="00A86B58">
        <w:rPr>
          <w:rFonts w:ascii="Arial" w:eastAsia="Arial" w:hAnsi="Arial" w:cs="Arial"/>
          <w:sz w:val="20"/>
          <w:szCs w:val="20"/>
          <w:lang w:val="sl-SI"/>
        </w:rPr>
        <w:t xml:space="preserve">ter </w:t>
      </w:r>
      <w:r w:rsidRPr="00F2246C">
        <w:rPr>
          <w:rFonts w:ascii="Arial" w:eastAsia="Arial" w:hAnsi="Arial" w:cs="Arial"/>
          <w:sz w:val="20"/>
          <w:szCs w:val="20"/>
          <w:lang w:val="sl-SI"/>
        </w:rPr>
        <w:t>obvezuje</w:t>
      </w:r>
      <w:r w:rsidR="00A86B58">
        <w:rPr>
          <w:rFonts w:ascii="Arial" w:eastAsia="Arial" w:hAnsi="Arial" w:cs="Arial"/>
          <w:sz w:val="20"/>
          <w:szCs w:val="20"/>
          <w:lang w:val="sl-SI"/>
        </w:rPr>
        <w:t>jo</w:t>
      </w:r>
      <w:r w:rsidRPr="00F2246C">
        <w:rPr>
          <w:rFonts w:ascii="Arial" w:eastAsia="Arial" w:hAnsi="Arial" w:cs="Arial"/>
          <w:sz w:val="20"/>
          <w:szCs w:val="20"/>
          <w:lang w:val="sl-SI"/>
        </w:rPr>
        <w:t xml:space="preserve"> Republiko Slovenijo</w:t>
      </w:r>
      <w:bookmarkEnd w:id="8"/>
      <w:r w:rsidRPr="00F2246C">
        <w:rPr>
          <w:rFonts w:ascii="Arial" w:eastAsia="Arial" w:hAnsi="Arial" w:cs="Arial"/>
          <w:sz w:val="20"/>
          <w:szCs w:val="20"/>
          <w:lang w:val="sl-SI"/>
        </w:rPr>
        <w:t>.«.</w:t>
      </w:r>
    </w:p>
    <w:p w14:paraId="3C87BAE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E1A59A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3ED5F4A" w14:textId="4E2ECFA9"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5</w:t>
      </w:r>
      <w:r w:rsidRPr="00F2246C">
        <w:rPr>
          <w:rFonts w:ascii="Arial" w:eastAsia="Arial" w:hAnsi="Arial" w:cs="Arial"/>
          <w:b/>
          <w:bCs/>
          <w:sz w:val="20"/>
          <w:szCs w:val="20"/>
          <w:lang w:val="sl-SI"/>
        </w:rPr>
        <w:t>. člen</w:t>
      </w:r>
    </w:p>
    <w:p w14:paraId="146D5FA5"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2FAF48A"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73. člena se besedilo »urejajo sodniško službo« nadomesti z besedilom »ureja sodnike«.</w:t>
      </w:r>
    </w:p>
    <w:p w14:paraId="3084236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8500FD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27DC0D8" w14:textId="064F62CC"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6</w:t>
      </w:r>
      <w:r w:rsidRPr="00F2246C">
        <w:rPr>
          <w:rFonts w:ascii="Arial" w:eastAsia="Arial" w:hAnsi="Arial" w:cs="Arial"/>
          <w:b/>
          <w:bCs/>
          <w:sz w:val="20"/>
          <w:szCs w:val="20"/>
          <w:lang w:val="sl-SI"/>
        </w:rPr>
        <w:t>. člen</w:t>
      </w:r>
    </w:p>
    <w:p w14:paraId="7D5BE858"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9ED7BE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97. členu se v drugem odstavku prva alineja spremeni tako, da se glasi:</w:t>
      </w:r>
    </w:p>
    <w:p w14:paraId="36B7BB44" w14:textId="77777777" w:rsidR="00331D90" w:rsidRPr="008D7697"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197F1D3" w14:textId="40D7D783"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bookmarkStart w:id="9" w:name="_Hlk194063476"/>
      <w:r w:rsidRPr="00F2246C">
        <w:rPr>
          <w:rFonts w:ascii="Arial" w:eastAsia="Arial" w:hAnsi="Arial" w:cs="Arial"/>
          <w:sz w:val="20"/>
          <w:szCs w:val="20"/>
          <w:lang w:val="sl-SI"/>
        </w:rPr>
        <w:t>»− štirje člani, ki jih izvolijo državni tožilci izmed državnih tožilcev, ki ni</w:t>
      </w:r>
      <w:r w:rsidR="00940DFA">
        <w:rPr>
          <w:rFonts w:ascii="Arial" w:eastAsia="Arial" w:hAnsi="Arial" w:cs="Arial"/>
          <w:sz w:val="20"/>
          <w:szCs w:val="20"/>
          <w:lang w:val="sl-SI"/>
        </w:rPr>
        <w:t>so na</w:t>
      </w:r>
      <w:r w:rsidRPr="00F2246C">
        <w:rPr>
          <w:rFonts w:ascii="Arial" w:eastAsia="Arial" w:hAnsi="Arial" w:cs="Arial"/>
          <w:sz w:val="20"/>
          <w:szCs w:val="20"/>
          <w:lang w:val="sl-SI"/>
        </w:rPr>
        <w:t xml:space="preserve"> vodstvenih položaj</w:t>
      </w:r>
      <w:r w:rsidR="00940DFA">
        <w:rPr>
          <w:rFonts w:ascii="Arial" w:eastAsia="Arial" w:hAnsi="Arial" w:cs="Arial"/>
          <w:sz w:val="20"/>
          <w:szCs w:val="20"/>
          <w:lang w:val="sl-SI"/>
        </w:rPr>
        <w:t>ih</w:t>
      </w:r>
      <w:r w:rsidRPr="00F2246C">
        <w:rPr>
          <w:rFonts w:ascii="Arial" w:eastAsia="Arial" w:hAnsi="Arial" w:cs="Arial"/>
          <w:sz w:val="20"/>
          <w:szCs w:val="20"/>
          <w:lang w:val="sl-SI"/>
        </w:rPr>
        <w:t xml:space="preserve">, in sicer po enega izmed tistih, ki imajo naziv vrhovnega državnega tožilca </w:t>
      </w:r>
      <w:r w:rsidR="00940DFA">
        <w:rPr>
          <w:rFonts w:ascii="Arial" w:eastAsia="Arial" w:hAnsi="Arial" w:cs="Arial"/>
          <w:sz w:val="20"/>
          <w:szCs w:val="20"/>
          <w:lang w:val="sl-SI"/>
        </w:rPr>
        <w:t>ali</w:t>
      </w:r>
      <w:r w:rsidRPr="00F2246C">
        <w:rPr>
          <w:rFonts w:ascii="Arial" w:eastAsia="Arial" w:hAnsi="Arial" w:cs="Arial"/>
          <w:sz w:val="20"/>
          <w:szCs w:val="20"/>
          <w:lang w:val="sl-SI"/>
        </w:rPr>
        <w:t xml:space="preserve"> višjega državnega tožilca, </w:t>
      </w:r>
      <w:r w:rsidR="00940DFA">
        <w:rPr>
          <w:rFonts w:ascii="Arial" w:eastAsia="Arial" w:hAnsi="Arial" w:cs="Arial"/>
          <w:sz w:val="20"/>
          <w:szCs w:val="20"/>
          <w:lang w:val="sl-SI"/>
        </w:rPr>
        <w:t>in</w:t>
      </w:r>
      <w:r w:rsidRPr="00F2246C">
        <w:rPr>
          <w:rFonts w:ascii="Arial" w:eastAsia="Arial" w:hAnsi="Arial" w:cs="Arial"/>
          <w:sz w:val="20"/>
          <w:szCs w:val="20"/>
          <w:lang w:val="sl-SI"/>
        </w:rPr>
        <w:t xml:space="preserve"> dva izmed tistih, ki imajo naziv okrožnega državnega tožilca;«.</w:t>
      </w:r>
    </w:p>
    <w:bookmarkEnd w:id="9"/>
    <w:p w14:paraId="7D25087C"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C37F47"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6F66E95" w14:textId="166DB0A5"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7</w:t>
      </w:r>
      <w:r w:rsidRPr="00F2246C">
        <w:rPr>
          <w:rFonts w:ascii="Arial" w:eastAsia="Arial" w:hAnsi="Arial" w:cs="Arial"/>
          <w:b/>
          <w:bCs/>
          <w:sz w:val="20"/>
          <w:szCs w:val="20"/>
          <w:lang w:val="sl-SI"/>
        </w:rPr>
        <w:t>. člen</w:t>
      </w:r>
    </w:p>
    <w:p w14:paraId="26FD0EE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5531F71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125. členu se tretji odstavek spremeni tako, da se glasi:</w:t>
      </w:r>
    </w:p>
    <w:p w14:paraId="78E1A75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3DCA67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Za začasno vodenje Vrhovnega državnega tožilstva se lahko določi le vrhovni državni tožilec.«.</w:t>
      </w:r>
    </w:p>
    <w:p w14:paraId="42EB0D8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E73D0C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C1C89F4" w14:textId="709BB961"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w:t>
      </w:r>
      <w:r w:rsidR="00C844E1">
        <w:rPr>
          <w:rFonts w:ascii="Arial" w:eastAsia="Arial" w:hAnsi="Arial" w:cs="Arial"/>
          <w:b/>
          <w:bCs/>
          <w:sz w:val="20"/>
          <w:szCs w:val="20"/>
          <w:lang w:val="sl-SI"/>
        </w:rPr>
        <w:t>8</w:t>
      </w:r>
      <w:r w:rsidRPr="00F2246C">
        <w:rPr>
          <w:rFonts w:ascii="Arial" w:eastAsia="Arial" w:hAnsi="Arial" w:cs="Arial"/>
          <w:b/>
          <w:bCs/>
          <w:sz w:val="20"/>
          <w:szCs w:val="20"/>
          <w:lang w:val="sl-SI"/>
        </w:rPr>
        <w:t>. člen</w:t>
      </w:r>
    </w:p>
    <w:p w14:paraId="7DE5298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783D9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Za 152. členom se doda nov 152.a člen, ki se glasi:</w:t>
      </w:r>
    </w:p>
    <w:p w14:paraId="2EDEF629"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A9660D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»152.a člen</w:t>
      </w:r>
      <w:bookmarkStart w:id="10" w:name="_Toc163050236"/>
    </w:p>
    <w:p w14:paraId="360E82DB"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r w:rsidRPr="00F2246C">
        <w:rPr>
          <w:rFonts w:ascii="Arial" w:eastAsia="Arial" w:hAnsi="Arial" w:cs="Arial"/>
          <w:b/>
          <w:bCs/>
          <w:sz w:val="20"/>
          <w:szCs w:val="20"/>
          <w:lang w:val="sl-SI"/>
        </w:rPr>
        <w:t>(</w:t>
      </w:r>
      <w:bookmarkStart w:id="11" w:name="_Hlk168051514"/>
      <w:r w:rsidRPr="00F2246C">
        <w:rPr>
          <w:rFonts w:ascii="Arial" w:eastAsia="Arial" w:hAnsi="Arial" w:cs="Arial"/>
          <w:b/>
          <w:bCs/>
          <w:sz w:val="20"/>
          <w:szCs w:val="20"/>
          <w:lang w:val="sl-SI"/>
        </w:rPr>
        <w:t>psihološka pomoč in psihološka podpora</w:t>
      </w:r>
      <w:bookmarkEnd w:id="11"/>
      <w:r w:rsidRPr="00F2246C">
        <w:rPr>
          <w:rFonts w:ascii="Arial" w:eastAsia="Arial" w:hAnsi="Arial" w:cs="Arial"/>
          <w:b/>
          <w:bCs/>
          <w:sz w:val="20"/>
          <w:szCs w:val="20"/>
          <w:lang w:val="sl-SI"/>
        </w:rPr>
        <w:t>)</w:t>
      </w:r>
      <w:bookmarkEnd w:id="10"/>
      <w:r w:rsidRPr="00F2246C">
        <w:rPr>
          <w:rFonts w:ascii="Arial" w:eastAsia="Arial" w:hAnsi="Arial" w:cs="Arial"/>
          <w:b/>
          <w:bCs/>
          <w:sz w:val="20"/>
          <w:szCs w:val="20"/>
          <w:lang w:val="sl-SI"/>
        </w:rPr>
        <w:t xml:space="preserve"> </w:t>
      </w:r>
    </w:p>
    <w:p w14:paraId="65BEE878"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sz w:val="20"/>
          <w:szCs w:val="20"/>
          <w:lang w:val="sl-SI"/>
        </w:rPr>
      </w:pPr>
    </w:p>
    <w:p w14:paraId="67E9266C" w14:textId="05DF293E" w:rsidR="00331D90" w:rsidRPr="00F2246C" w:rsidRDefault="00331D90" w:rsidP="00A82F2D">
      <w:pPr>
        <w:widowControl w:val="0"/>
        <w:overflowPunct w:val="0"/>
        <w:autoSpaceDE w:val="0"/>
        <w:autoSpaceDN w:val="0"/>
        <w:adjustRightInd w:val="0"/>
        <w:spacing w:line="260" w:lineRule="exact"/>
        <w:jc w:val="both"/>
        <w:textAlignment w:val="baseline"/>
        <w:rPr>
          <w:rFonts w:eastAsia="Arial" w:cs="Arial"/>
          <w:szCs w:val="20"/>
          <w:lang w:val="sl-SI"/>
        </w:rPr>
      </w:pPr>
      <w:r w:rsidRPr="00F2246C">
        <w:rPr>
          <w:rFonts w:cs="Arial"/>
          <w:kern w:val="2"/>
          <w:szCs w:val="20"/>
          <w:lang w:val="sl-SI" w:eastAsia="x-none"/>
          <w14:ligatures w14:val="standardContextual"/>
        </w:rPr>
        <w:t>(</w:t>
      </w:r>
      <w:r w:rsidRPr="00F2246C">
        <w:rPr>
          <w:rFonts w:eastAsia="Arial" w:cs="Arial"/>
          <w:szCs w:val="20"/>
          <w:lang w:val="sl-SI"/>
        </w:rPr>
        <w:t xml:space="preserve">1) V okviru izvajanja predpisov o varnosti in zdravju pri delu </w:t>
      </w:r>
      <w:r w:rsidR="00EF0037">
        <w:rPr>
          <w:rFonts w:eastAsia="Arial" w:cs="Arial"/>
          <w:szCs w:val="20"/>
          <w:lang w:val="sl-SI"/>
        </w:rPr>
        <w:t>V</w:t>
      </w:r>
      <w:r w:rsidRPr="00F2246C">
        <w:rPr>
          <w:rFonts w:eastAsia="Arial" w:cs="Arial"/>
          <w:szCs w:val="20"/>
          <w:lang w:val="sl-SI"/>
        </w:rPr>
        <w:t xml:space="preserve">rhovno državno tožilstvo </w:t>
      </w:r>
      <w:r w:rsidR="00647BB7" w:rsidRPr="00F2246C">
        <w:rPr>
          <w:rFonts w:eastAsia="Arial" w:cs="Arial"/>
          <w:szCs w:val="20"/>
          <w:lang w:val="sl-SI"/>
        </w:rPr>
        <w:t xml:space="preserve">zagotavlja </w:t>
      </w:r>
      <w:r w:rsidRPr="00F2246C">
        <w:rPr>
          <w:rFonts w:eastAsia="Arial" w:cs="Arial"/>
          <w:szCs w:val="20"/>
          <w:lang w:val="sl-SI"/>
        </w:rPr>
        <w:t xml:space="preserve">strokovno psihološko pomoč in psihološko podporo državnim tožilcem in državnotožilskemu osebju v primeru hujših psihičnih obremenitev pri opravljanju državnotožilske službe oziroma dela </w:t>
      </w:r>
      <w:r w:rsidR="002B6C86">
        <w:rPr>
          <w:rFonts w:eastAsia="Arial" w:cs="Arial"/>
          <w:szCs w:val="20"/>
          <w:lang w:val="sl-SI"/>
        </w:rPr>
        <w:t>ter</w:t>
      </w:r>
      <w:r w:rsidRPr="00F2246C">
        <w:rPr>
          <w:rFonts w:eastAsia="Arial" w:cs="Arial"/>
          <w:szCs w:val="20"/>
          <w:lang w:val="sl-SI"/>
        </w:rPr>
        <w:t xml:space="preserve"> udeležbo v programih</w:t>
      </w:r>
      <w:r w:rsidR="002B6C86">
        <w:rPr>
          <w:rFonts w:eastAsia="Arial" w:cs="Arial"/>
          <w:szCs w:val="20"/>
          <w:lang w:val="sl-SI"/>
        </w:rPr>
        <w:t xml:space="preserve"> za </w:t>
      </w:r>
      <w:r w:rsidRPr="00F2246C">
        <w:rPr>
          <w:rFonts w:eastAsia="Arial" w:cs="Arial"/>
          <w:szCs w:val="20"/>
          <w:lang w:val="sl-SI"/>
        </w:rPr>
        <w:t>obvladovanj</w:t>
      </w:r>
      <w:r w:rsidR="002B6C86">
        <w:rPr>
          <w:rFonts w:eastAsia="Arial" w:cs="Arial"/>
          <w:szCs w:val="20"/>
          <w:lang w:val="sl-SI"/>
        </w:rPr>
        <w:t>e</w:t>
      </w:r>
      <w:r w:rsidRPr="00F2246C">
        <w:rPr>
          <w:rFonts w:eastAsia="Arial" w:cs="Arial"/>
          <w:szCs w:val="20"/>
          <w:lang w:val="sl-SI"/>
        </w:rPr>
        <w:t xml:space="preserve"> psihičnih obremenitev.</w:t>
      </w:r>
      <w:r w:rsidR="00647BB7">
        <w:rPr>
          <w:rFonts w:eastAsia="Arial" w:cs="Arial"/>
          <w:szCs w:val="20"/>
          <w:lang w:val="sl-SI"/>
        </w:rPr>
        <w:t xml:space="preserve"> </w:t>
      </w:r>
      <w:r w:rsidR="000D7A16">
        <w:rPr>
          <w:rFonts w:eastAsia="Arial" w:cs="Arial"/>
          <w:szCs w:val="20"/>
          <w:lang w:val="sl-SI"/>
        </w:rPr>
        <w:t xml:space="preserve"> </w:t>
      </w:r>
    </w:p>
    <w:p w14:paraId="7673ED79"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86A3EE8"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(2) Generalni državni tožilec določi vrste in način izvajanja strokovne psihološke pomoči in psihološke podpore.«.</w:t>
      </w:r>
    </w:p>
    <w:p w14:paraId="7EFC1F2C"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2944D379"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p>
    <w:p w14:paraId="50717F6E" w14:textId="731FC8DD"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r w:rsidRPr="00F2246C">
        <w:rPr>
          <w:rFonts w:eastAsia="Arial" w:cs="Arial"/>
          <w:b/>
          <w:bCs/>
          <w:szCs w:val="20"/>
          <w:lang w:val="sl-SI"/>
        </w:rPr>
        <w:t>1</w:t>
      </w:r>
      <w:r w:rsidR="00C844E1">
        <w:rPr>
          <w:rFonts w:eastAsia="Arial" w:cs="Arial"/>
          <w:b/>
          <w:bCs/>
          <w:szCs w:val="20"/>
          <w:lang w:val="sl-SI"/>
        </w:rPr>
        <w:t>9</w:t>
      </w:r>
      <w:r w:rsidRPr="00F2246C">
        <w:rPr>
          <w:rFonts w:eastAsia="Arial" w:cs="Arial"/>
          <w:b/>
          <w:bCs/>
          <w:szCs w:val="20"/>
          <w:lang w:val="sl-SI"/>
        </w:rPr>
        <w:t>. člen</w:t>
      </w:r>
    </w:p>
    <w:p w14:paraId="2D327AD3" w14:textId="77777777"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center"/>
        <w:textAlignment w:val="baseline"/>
        <w:rPr>
          <w:rFonts w:eastAsia="Arial" w:cs="Arial"/>
          <w:b/>
          <w:bCs/>
          <w:szCs w:val="20"/>
          <w:lang w:val="sl-SI"/>
        </w:rPr>
      </w:pPr>
    </w:p>
    <w:p w14:paraId="049EBEA8" w14:textId="05D12F85" w:rsidR="00331D90" w:rsidRPr="00F2246C" w:rsidRDefault="00331D90" w:rsidP="00A82F2D">
      <w:pPr>
        <w:widowControl w:val="0"/>
        <w:tabs>
          <w:tab w:val="left" w:pos="851"/>
          <w:tab w:val="left" w:pos="1134"/>
          <w:tab w:val="left" w:pos="1276"/>
        </w:tabs>
        <w:overflowPunct w:val="0"/>
        <w:autoSpaceDE w:val="0"/>
        <w:autoSpaceDN w:val="0"/>
        <w:adjustRightInd w:val="0"/>
        <w:spacing w:line="260" w:lineRule="exact"/>
        <w:jc w:val="both"/>
        <w:textAlignment w:val="baseline"/>
        <w:rPr>
          <w:rFonts w:eastAsia="Arial" w:cs="Arial"/>
          <w:szCs w:val="20"/>
          <w:lang w:val="sl-SI"/>
        </w:rPr>
      </w:pPr>
      <w:r w:rsidRPr="00F2246C">
        <w:rPr>
          <w:rFonts w:eastAsia="Arial" w:cs="Arial"/>
          <w:szCs w:val="20"/>
          <w:lang w:val="sl-SI"/>
        </w:rPr>
        <w:t>V 187. členu se v tretjem odstavku besedilo »</w:t>
      </w:r>
      <w:r w:rsidR="00C43596">
        <w:rPr>
          <w:rFonts w:eastAsia="Arial" w:cs="Arial"/>
          <w:szCs w:val="20"/>
          <w:lang w:val="sl-SI"/>
        </w:rPr>
        <w:t xml:space="preserve">s splošno pristojnostjo </w:t>
      </w:r>
      <w:r w:rsidRPr="00F2246C">
        <w:rPr>
          <w:rFonts w:eastAsia="Arial" w:cs="Arial"/>
          <w:szCs w:val="20"/>
          <w:lang w:val="sl-SI"/>
        </w:rPr>
        <w:t xml:space="preserve">in okrajnih sodišč z območja </w:t>
      </w:r>
      <w:r w:rsidRPr="00F2246C">
        <w:rPr>
          <w:rFonts w:eastAsia="Arial" w:cs="Arial"/>
          <w:szCs w:val="20"/>
          <w:lang w:val="sl-SI"/>
        </w:rPr>
        <w:lastRenderedPageBreak/>
        <w:t>tega okrožnega sodišča« črta.</w:t>
      </w:r>
    </w:p>
    <w:p w14:paraId="5904E9E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2C8D351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03A200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EB6544" w14:textId="49E5BC44" w:rsidR="00331D90" w:rsidRPr="00F2246C" w:rsidRDefault="00C844E1"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20</w:t>
      </w:r>
      <w:r w:rsidR="00331D90" w:rsidRPr="00F2246C">
        <w:rPr>
          <w:rFonts w:ascii="Arial" w:eastAsia="Arial" w:hAnsi="Arial" w:cs="Arial"/>
          <w:b/>
          <w:bCs/>
          <w:sz w:val="20"/>
          <w:szCs w:val="20"/>
          <w:lang w:val="sl-SI"/>
        </w:rPr>
        <w:t>. člen</w:t>
      </w:r>
    </w:p>
    <w:p w14:paraId="3198A870"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4882962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189. členu se prvi odstavek spremeni tako, da se glasi:</w:t>
      </w:r>
    </w:p>
    <w:p w14:paraId="54C6F1E4"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E061F6" w14:textId="3FA7ABA0" w:rsidR="0085569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 xml:space="preserve">»(1) Zunanji oddelek okrožnega državnega tožilstva je notranja organizacijska enota okrožnega državnega tožilstva, ki opravlja </w:t>
      </w:r>
      <w:r w:rsidR="00627439">
        <w:rPr>
          <w:rFonts w:ascii="Arial" w:eastAsia="Arial" w:hAnsi="Arial" w:cs="Arial"/>
          <w:sz w:val="20"/>
          <w:szCs w:val="20"/>
          <w:lang w:val="sl-SI"/>
        </w:rPr>
        <w:t xml:space="preserve">naloge </w:t>
      </w:r>
      <w:r w:rsidRPr="00F2246C">
        <w:rPr>
          <w:rFonts w:ascii="Arial" w:eastAsia="Arial" w:hAnsi="Arial" w:cs="Arial"/>
          <w:sz w:val="20"/>
          <w:szCs w:val="20"/>
          <w:lang w:val="sl-SI"/>
        </w:rPr>
        <w:t xml:space="preserve">okrožnega državnega tožilstva </w:t>
      </w:r>
      <w:r w:rsidR="0085569C" w:rsidRPr="0085569C">
        <w:rPr>
          <w:rFonts w:ascii="Arial" w:eastAsia="Arial" w:hAnsi="Arial" w:cs="Arial"/>
          <w:sz w:val="20"/>
          <w:szCs w:val="20"/>
          <w:lang w:val="sl-SI"/>
        </w:rPr>
        <w:t xml:space="preserve">na </w:t>
      </w:r>
      <w:r w:rsidR="00D40C4F">
        <w:rPr>
          <w:rFonts w:ascii="Arial" w:eastAsia="Arial" w:hAnsi="Arial" w:cs="Arial"/>
          <w:sz w:val="20"/>
          <w:szCs w:val="20"/>
          <w:lang w:val="sl-SI"/>
        </w:rPr>
        <w:t xml:space="preserve">določenem </w:t>
      </w:r>
      <w:r w:rsidR="0085569C" w:rsidRPr="0085569C">
        <w:rPr>
          <w:rFonts w:ascii="Arial" w:eastAsia="Arial" w:hAnsi="Arial" w:cs="Arial"/>
          <w:sz w:val="20"/>
          <w:szCs w:val="20"/>
          <w:lang w:val="sl-SI"/>
        </w:rPr>
        <w:t>območju delovanja okrožnega državnega tožilstva zunaj kraja sedeža</w:t>
      </w:r>
      <w:r w:rsidR="00D40C4F">
        <w:rPr>
          <w:rFonts w:ascii="Arial" w:eastAsia="Arial" w:hAnsi="Arial" w:cs="Arial"/>
          <w:sz w:val="20"/>
          <w:szCs w:val="20"/>
          <w:lang w:val="sl-SI"/>
        </w:rPr>
        <w:t xml:space="preserve"> okrožnega državnega tožilstva</w:t>
      </w:r>
      <w:r w:rsidR="0085569C" w:rsidRPr="0085569C">
        <w:rPr>
          <w:rFonts w:ascii="Arial" w:eastAsia="Arial" w:hAnsi="Arial" w:cs="Arial"/>
          <w:sz w:val="20"/>
          <w:szCs w:val="20"/>
          <w:lang w:val="sl-SI"/>
        </w:rPr>
        <w:t>.</w:t>
      </w:r>
      <w:r w:rsidR="002803AC">
        <w:rPr>
          <w:rFonts w:ascii="Arial" w:eastAsia="Arial" w:hAnsi="Arial" w:cs="Arial"/>
          <w:sz w:val="20"/>
          <w:szCs w:val="20"/>
          <w:lang w:val="sl-SI"/>
        </w:rPr>
        <w:t>«.</w:t>
      </w:r>
    </w:p>
    <w:p w14:paraId="1466BFC0" w14:textId="77777777" w:rsidR="00D40C4F" w:rsidRDefault="00D40C4F" w:rsidP="00A82F2D">
      <w:pPr>
        <w:pStyle w:val="zamik"/>
        <w:pBdr>
          <w:top w:val="none" w:sz="0" w:space="12" w:color="auto"/>
        </w:pBdr>
        <w:spacing w:line="260" w:lineRule="exact"/>
        <w:ind w:firstLine="0"/>
        <w:jc w:val="both"/>
        <w:rPr>
          <w:rFonts w:ascii="Arial" w:eastAsia="Arial" w:hAnsi="Arial" w:cs="Arial"/>
          <w:sz w:val="20"/>
          <w:szCs w:val="20"/>
          <w:lang w:val="sl-SI"/>
        </w:rPr>
      </w:pPr>
    </w:p>
    <w:p w14:paraId="1719038C" w14:textId="0F02F315"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za besed</w:t>
      </w:r>
      <w:r w:rsidR="00676C94">
        <w:rPr>
          <w:rFonts w:ascii="Arial" w:eastAsia="Arial" w:hAnsi="Arial" w:cs="Arial"/>
          <w:sz w:val="20"/>
          <w:szCs w:val="20"/>
          <w:lang w:val="sl-SI"/>
        </w:rPr>
        <w:t>ilom</w:t>
      </w:r>
      <w:r w:rsidRPr="00F2246C">
        <w:rPr>
          <w:rFonts w:ascii="Arial" w:eastAsia="Arial" w:hAnsi="Arial" w:cs="Arial"/>
          <w:sz w:val="20"/>
          <w:szCs w:val="20"/>
          <w:lang w:val="sl-SI"/>
        </w:rPr>
        <w:t xml:space="preserve"> »Državnotožilskega sveta« vejica in besedilo »praviloma za območje več okrajnih sodišč« črtata.</w:t>
      </w:r>
    </w:p>
    <w:p w14:paraId="35A9E16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13A356B"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tretjem odstavku se besedilo »V zunanje oddelke okrožnega državnega tožilstva se praviloma razporedijo okrožni državni tožilci.« črta.</w:t>
      </w:r>
    </w:p>
    <w:p w14:paraId="4120186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754C25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9AF7F48" w14:textId="427F4BCC" w:rsidR="00331D90" w:rsidRPr="00F2246C" w:rsidRDefault="00D60E9D"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w:t>
      </w:r>
      <w:r w:rsidR="00C844E1">
        <w:rPr>
          <w:rFonts w:ascii="Arial" w:eastAsia="Arial" w:hAnsi="Arial" w:cs="Arial"/>
          <w:b/>
          <w:bCs/>
          <w:sz w:val="20"/>
          <w:szCs w:val="20"/>
          <w:lang w:val="sl-SI"/>
        </w:rPr>
        <w:t>1</w:t>
      </w:r>
      <w:r w:rsidR="00331D90" w:rsidRPr="00F2246C">
        <w:rPr>
          <w:rFonts w:ascii="Arial" w:eastAsia="Arial" w:hAnsi="Arial" w:cs="Arial"/>
          <w:b/>
          <w:bCs/>
          <w:sz w:val="20"/>
          <w:szCs w:val="20"/>
          <w:lang w:val="sl-SI"/>
        </w:rPr>
        <w:t>. člen</w:t>
      </w:r>
    </w:p>
    <w:p w14:paraId="3CB2CF8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32D0A79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193. členu se v drugem odstavku za besedilom »deset državnih tožilcev« vejica in besedilo »od tega vsaj sedem, ki imajo najmanj naziv okrožnega državnega tožilca« črtata.</w:t>
      </w:r>
    </w:p>
    <w:p w14:paraId="09B935A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214B0DB3"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Tretji odstavek se spremeni tako, da se glasi:</w:t>
      </w:r>
    </w:p>
    <w:p w14:paraId="575945F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6DD3E6A" w14:textId="15ACA108"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»(3) Imenovani in dodeljeni državni tožilci opravljajo delo na sedežu SDT ali na sedežu drugega okrožnega državnega tožilstva po predhodnem soglasju vodje SDT in vodje tega državnega tožilstva.«.</w:t>
      </w:r>
    </w:p>
    <w:p w14:paraId="40B038C2"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437E328F"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5B6667BF" w14:textId="130A085B" w:rsidR="00331D90" w:rsidRPr="00F2246C" w:rsidRDefault="002F7389" w:rsidP="00A82F2D">
      <w:pPr>
        <w:pStyle w:val="zamik"/>
        <w:pBdr>
          <w:top w:val="none" w:sz="0" w:space="12" w:color="auto"/>
        </w:pBdr>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2</w:t>
      </w:r>
      <w:r w:rsidR="00C844E1">
        <w:rPr>
          <w:rFonts w:ascii="Arial" w:eastAsia="Arial" w:hAnsi="Arial" w:cs="Arial"/>
          <w:b/>
          <w:bCs/>
          <w:sz w:val="20"/>
          <w:szCs w:val="20"/>
          <w:lang w:val="sl-SI"/>
        </w:rPr>
        <w:t>2</w:t>
      </w:r>
      <w:r w:rsidR="00331D90" w:rsidRPr="00F2246C">
        <w:rPr>
          <w:rFonts w:ascii="Arial" w:eastAsia="Arial" w:hAnsi="Arial" w:cs="Arial"/>
          <w:b/>
          <w:bCs/>
          <w:sz w:val="20"/>
          <w:szCs w:val="20"/>
          <w:lang w:val="sl-SI"/>
        </w:rPr>
        <w:t>. člen</w:t>
      </w:r>
    </w:p>
    <w:p w14:paraId="02A6F563"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5A209920"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196. členu se v prvem odstavku prva in druga alineja črtata. Dosedanji tretja in četrta alineja postaneta prva in druga alineja.</w:t>
      </w:r>
    </w:p>
    <w:p w14:paraId="2F9F4961"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0CCED62C"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V drugem odstavku se prva in druga alineja črtata.</w:t>
      </w:r>
      <w:r w:rsidRPr="00F2246C">
        <w:rPr>
          <w:rFonts w:ascii="Arial" w:hAnsi="Arial" w:cs="Arial"/>
          <w:sz w:val="20"/>
          <w:szCs w:val="20"/>
          <w:lang w:val="sl-SI"/>
        </w:rPr>
        <w:t xml:space="preserve"> </w:t>
      </w:r>
      <w:r w:rsidRPr="00F2246C">
        <w:rPr>
          <w:rFonts w:ascii="Arial" w:eastAsia="Arial" w:hAnsi="Arial" w:cs="Arial"/>
          <w:sz w:val="20"/>
          <w:szCs w:val="20"/>
          <w:lang w:val="sl-SI"/>
        </w:rPr>
        <w:t>Dosedanji tretja in četrta alineja postaneta prva in druga alineja.</w:t>
      </w:r>
    </w:p>
    <w:p w14:paraId="75FB17D8"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3CCEACB6"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Četrti odstavek se črta.</w:t>
      </w:r>
    </w:p>
    <w:p w14:paraId="5FC483AE"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p>
    <w:p w14:paraId="10FC8195" w14:textId="77777777" w:rsidR="00331D90" w:rsidRPr="00F2246C" w:rsidRDefault="00331D90" w:rsidP="00A82F2D">
      <w:pPr>
        <w:pStyle w:val="zamik"/>
        <w:pBdr>
          <w:top w:val="none" w:sz="0" w:space="12" w:color="auto"/>
        </w:pBdr>
        <w:spacing w:line="260" w:lineRule="exact"/>
        <w:ind w:firstLine="0"/>
        <w:jc w:val="both"/>
        <w:rPr>
          <w:rFonts w:ascii="Arial" w:eastAsia="Arial" w:hAnsi="Arial" w:cs="Arial"/>
          <w:sz w:val="20"/>
          <w:szCs w:val="20"/>
          <w:lang w:val="sl-SI"/>
        </w:rPr>
      </w:pPr>
      <w:r w:rsidRPr="00F2246C">
        <w:rPr>
          <w:rFonts w:ascii="Arial" w:eastAsia="Arial" w:hAnsi="Arial" w:cs="Arial"/>
          <w:sz w:val="20"/>
          <w:szCs w:val="20"/>
          <w:lang w:val="sl-SI"/>
        </w:rPr>
        <w:t>Dosedanji peti do osmi odstavek postanejo četrti do sedmi odstavek.</w:t>
      </w:r>
    </w:p>
    <w:p w14:paraId="4203DCAA" w14:textId="77777777" w:rsidR="00331D90" w:rsidRPr="00F2246C" w:rsidRDefault="00331D90" w:rsidP="00A82F2D">
      <w:pPr>
        <w:pStyle w:val="zamik"/>
        <w:pBdr>
          <w:top w:val="none" w:sz="0" w:space="12" w:color="auto"/>
        </w:pBdr>
        <w:spacing w:line="260" w:lineRule="exact"/>
        <w:ind w:firstLine="0"/>
        <w:jc w:val="center"/>
        <w:rPr>
          <w:rFonts w:ascii="Arial" w:eastAsia="Arial" w:hAnsi="Arial" w:cs="Arial"/>
          <w:b/>
          <w:bCs/>
          <w:sz w:val="20"/>
          <w:szCs w:val="20"/>
          <w:lang w:val="sl-SI"/>
        </w:rPr>
      </w:pPr>
    </w:p>
    <w:p w14:paraId="29352DB1" w14:textId="77777777" w:rsidR="00331D90" w:rsidRPr="00F2246C" w:rsidRDefault="00331D90" w:rsidP="00A82F2D">
      <w:pPr>
        <w:pStyle w:val="alineazaodstavkom2"/>
        <w:spacing w:line="260" w:lineRule="exact"/>
        <w:ind w:firstLine="0"/>
        <w:rPr>
          <w:rFonts w:ascii="Arial" w:eastAsia="Arial" w:hAnsi="Arial" w:cs="Arial"/>
          <w:sz w:val="20"/>
          <w:szCs w:val="20"/>
          <w:lang w:val="sl-SI"/>
        </w:rPr>
      </w:pPr>
      <w:bookmarkStart w:id="12" w:name="_Hlk185864116"/>
    </w:p>
    <w:p w14:paraId="7826A129" w14:textId="2F86BC36" w:rsidR="00331D90" w:rsidRPr="00F2246C" w:rsidRDefault="00331D90" w:rsidP="00A82F2D">
      <w:pPr>
        <w:pStyle w:val="alineazaodstavkom2"/>
        <w:spacing w:line="260" w:lineRule="exact"/>
        <w:ind w:left="425"/>
        <w:jc w:val="center"/>
        <w:rPr>
          <w:rFonts w:ascii="Arial" w:eastAsia="Arial" w:hAnsi="Arial" w:cs="Arial"/>
          <w:b/>
          <w:bCs/>
          <w:sz w:val="20"/>
          <w:szCs w:val="20"/>
          <w:lang w:val="sl-SI"/>
        </w:rPr>
      </w:pPr>
      <w:r w:rsidRPr="00F2246C">
        <w:rPr>
          <w:rFonts w:ascii="Arial" w:eastAsia="Arial" w:hAnsi="Arial" w:cs="Arial"/>
          <w:b/>
          <w:bCs/>
          <w:sz w:val="20"/>
          <w:szCs w:val="20"/>
          <w:lang w:val="sl-SI"/>
        </w:rPr>
        <w:t>2</w:t>
      </w:r>
      <w:r w:rsidR="00C844E1">
        <w:rPr>
          <w:rFonts w:ascii="Arial" w:eastAsia="Arial" w:hAnsi="Arial" w:cs="Arial"/>
          <w:b/>
          <w:bCs/>
          <w:sz w:val="20"/>
          <w:szCs w:val="20"/>
          <w:lang w:val="sl-SI"/>
        </w:rPr>
        <w:t>3</w:t>
      </w:r>
      <w:r w:rsidRPr="00F2246C">
        <w:rPr>
          <w:rFonts w:ascii="Arial" w:eastAsia="Arial" w:hAnsi="Arial" w:cs="Arial"/>
          <w:b/>
          <w:bCs/>
          <w:sz w:val="20"/>
          <w:szCs w:val="20"/>
          <w:lang w:val="sl-SI"/>
        </w:rPr>
        <w:t>. člen</w:t>
      </w:r>
    </w:p>
    <w:p w14:paraId="7D019521" w14:textId="77777777" w:rsidR="00331D90" w:rsidRPr="00F2246C" w:rsidRDefault="00331D90" w:rsidP="00A82F2D">
      <w:pPr>
        <w:pStyle w:val="alineazaodstavkom2"/>
        <w:spacing w:line="260" w:lineRule="exact"/>
        <w:ind w:left="425"/>
        <w:jc w:val="center"/>
        <w:rPr>
          <w:rFonts w:ascii="Arial" w:eastAsia="Arial" w:hAnsi="Arial" w:cs="Arial"/>
          <w:b/>
          <w:bCs/>
          <w:sz w:val="20"/>
          <w:szCs w:val="20"/>
          <w:lang w:val="sl-SI"/>
        </w:rPr>
      </w:pPr>
    </w:p>
    <w:p w14:paraId="40C32147" w14:textId="5BD2B4F9" w:rsidR="00331D90" w:rsidRPr="00F2246C" w:rsidRDefault="00331D90" w:rsidP="00A82F2D">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212. členu se v drugem odstavku v prvi alineji besedilo »ki ima najmanj naziv okrožnega državnega tožilca</w:t>
      </w:r>
      <w:r w:rsidR="00676C94">
        <w:rPr>
          <w:rFonts w:ascii="Arial" w:eastAsia="Arial" w:hAnsi="Arial" w:cs="Arial"/>
          <w:sz w:val="20"/>
          <w:szCs w:val="20"/>
          <w:lang w:val="sl-SI"/>
        </w:rPr>
        <w:t>,</w:t>
      </w:r>
      <w:r w:rsidRPr="00F2246C">
        <w:rPr>
          <w:rFonts w:ascii="Arial" w:eastAsia="Arial" w:hAnsi="Arial" w:cs="Arial"/>
          <w:sz w:val="20"/>
          <w:szCs w:val="20"/>
          <w:lang w:val="sl-SI"/>
        </w:rPr>
        <w:t xml:space="preserve">« </w:t>
      </w:r>
      <w:bookmarkEnd w:id="12"/>
      <w:r w:rsidRPr="00F2246C">
        <w:rPr>
          <w:rFonts w:ascii="Arial" w:eastAsia="Arial" w:hAnsi="Arial" w:cs="Arial"/>
          <w:sz w:val="20"/>
          <w:szCs w:val="20"/>
          <w:lang w:val="sl-SI"/>
        </w:rPr>
        <w:t>črta.</w:t>
      </w:r>
    </w:p>
    <w:p w14:paraId="18E0783D"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6716EA9"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78AF3391" w14:textId="77777777" w:rsidR="00331D90" w:rsidRPr="00F2246C" w:rsidRDefault="00331D90" w:rsidP="00A82F2D">
      <w:pPr>
        <w:spacing w:line="260" w:lineRule="exact"/>
        <w:jc w:val="center"/>
        <w:rPr>
          <w:rFonts w:eastAsiaTheme="minorEastAsia" w:cs="Arial"/>
          <w:szCs w:val="20"/>
          <w:lang w:val="sl-SI"/>
        </w:rPr>
      </w:pPr>
      <w:r w:rsidRPr="00F2246C">
        <w:rPr>
          <w:rFonts w:eastAsiaTheme="minorEastAsia" w:cs="Arial"/>
          <w:szCs w:val="20"/>
          <w:lang w:val="sl-SI"/>
        </w:rPr>
        <w:t xml:space="preserve">PREHODNE IN KONČNE DOLOČBE </w:t>
      </w:r>
    </w:p>
    <w:p w14:paraId="6AE2A4BE" w14:textId="77777777" w:rsidR="00C0659B" w:rsidRPr="00B9520C" w:rsidRDefault="00C0659B" w:rsidP="00A82F2D">
      <w:pPr>
        <w:spacing w:line="260" w:lineRule="exact"/>
        <w:jc w:val="both"/>
        <w:rPr>
          <w:rFonts w:eastAsiaTheme="minorEastAsia" w:cs="Arial"/>
          <w:szCs w:val="20"/>
          <w:lang w:val="sl-SI"/>
        </w:rPr>
      </w:pPr>
    </w:p>
    <w:p w14:paraId="19AAC550" w14:textId="1713685A" w:rsidR="00F37AA6" w:rsidRPr="00F37AA6" w:rsidRDefault="00F37AA6" w:rsidP="00A82F2D">
      <w:pPr>
        <w:spacing w:line="260" w:lineRule="exact"/>
        <w:jc w:val="center"/>
        <w:rPr>
          <w:rFonts w:eastAsiaTheme="minorEastAsia" w:cs="Arial"/>
          <w:b/>
          <w:szCs w:val="20"/>
          <w:lang w:val="sl-SI"/>
        </w:rPr>
      </w:pPr>
      <w:bookmarkStart w:id="13" w:name="_Hlk170393250"/>
      <w:r w:rsidRPr="00F37AA6">
        <w:rPr>
          <w:rFonts w:eastAsiaTheme="minorEastAsia" w:cs="Arial"/>
          <w:b/>
          <w:szCs w:val="20"/>
          <w:lang w:val="sl-SI"/>
        </w:rPr>
        <w:t>2</w:t>
      </w:r>
      <w:r w:rsidR="00C844E1">
        <w:rPr>
          <w:rFonts w:eastAsiaTheme="minorEastAsia" w:cs="Arial"/>
          <w:b/>
          <w:szCs w:val="20"/>
          <w:lang w:val="sl-SI"/>
        </w:rPr>
        <w:t>4</w:t>
      </w:r>
      <w:r w:rsidRPr="00F37AA6">
        <w:rPr>
          <w:rFonts w:eastAsiaTheme="minorEastAsia" w:cs="Arial"/>
          <w:b/>
          <w:szCs w:val="20"/>
          <w:lang w:val="sl-SI"/>
        </w:rPr>
        <w:t>. člen</w:t>
      </w:r>
    </w:p>
    <w:p w14:paraId="476054A5" w14:textId="77777777" w:rsidR="00F37AA6" w:rsidRPr="00F37AA6" w:rsidRDefault="00F37AA6" w:rsidP="00A82F2D">
      <w:pPr>
        <w:spacing w:line="260" w:lineRule="exact"/>
        <w:jc w:val="center"/>
        <w:rPr>
          <w:rFonts w:eastAsiaTheme="minorEastAsia" w:cs="Arial"/>
          <w:b/>
          <w:szCs w:val="20"/>
          <w:lang w:val="sl-SI"/>
        </w:rPr>
      </w:pPr>
      <w:r w:rsidRPr="00F37AA6">
        <w:rPr>
          <w:rFonts w:eastAsiaTheme="minorEastAsia" w:cs="Arial"/>
          <w:b/>
          <w:szCs w:val="20"/>
          <w:lang w:val="sl-SI"/>
        </w:rPr>
        <w:t>(postopki za imenovanje na prosto mesto okrajnega državnega tožilca)</w:t>
      </w:r>
    </w:p>
    <w:p w14:paraId="155C2A7A" w14:textId="77777777" w:rsidR="008B319A" w:rsidRDefault="008B319A" w:rsidP="00A82F2D">
      <w:pPr>
        <w:spacing w:line="260" w:lineRule="exact"/>
        <w:jc w:val="both"/>
        <w:rPr>
          <w:rFonts w:eastAsiaTheme="minorEastAsia" w:cs="Arial"/>
          <w:szCs w:val="20"/>
          <w:lang w:val="sl-SI"/>
        </w:rPr>
      </w:pPr>
    </w:p>
    <w:p w14:paraId="3E6580A8" w14:textId="4ED8EEB8" w:rsidR="008B319A" w:rsidRPr="00420687" w:rsidRDefault="008B319A" w:rsidP="00A82F2D">
      <w:pPr>
        <w:spacing w:line="260" w:lineRule="exact"/>
        <w:jc w:val="both"/>
        <w:rPr>
          <w:rFonts w:eastAsiaTheme="minorEastAsia" w:cs="Arial"/>
          <w:szCs w:val="20"/>
          <w:lang w:val="sl-SI"/>
        </w:rPr>
      </w:pPr>
      <w:r w:rsidRPr="00420687">
        <w:rPr>
          <w:rFonts w:eastAsiaTheme="minorEastAsia" w:cs="Arial"/>
          <w:szCs w:val="20"/>
          <w:lang w:val="sl-SI"/>
        </w:rPr>
        <w:t>(1) Postopki za imenovanje na</w:t>
      </w:r>
      <w:r>
        <w:rPr>
          <w:rFonts w:eastAsiaTheme="minorEastAsia" w:cs="Arial"/>
          <w:szCs w:val="20"/>
          <w:lang w:val="sl-SI"/>
        </w:rPr>
        <w:t xml:space="preserve"> prosto</w:t>
      </w:r>
      <w:r w:rsidRPr="00420687">
        <w:rPr>
          <w:rFonts w:eastAsiaTheme="minorEastAsia" w:cs="Arial"/>
          <w:szCs w:val="20"/>
          <w:lang w:val="sl-SI"/>
        </w:rPr>
        <w:t xml:space="preserve"> mesto okrajnega državnega tožilca, ki so se začeli pred začetkom uporabe tega zakona</w:t>
      </w:r>
      <w:r>
        <w:rPr>
          <w:rFonts w:eastAsiaTheme="minorEastAsia" w:cs="Arial"/>
          <w:szCs w:val="20"/>
          <w:lang w:val="sl-SI"/>
        </w:rPr>
        <w:t xml:space="preserve"> in se bodo končali po 1. januarju 2027</w:t>
      </w:r>
      <w:r w:rsidRPr="00420687">
        <w:rPr>
          <w:rFonts w:eastAsiaTheme="minorEastAsia" w:cs="Arial"/>
          <w:szCs w:val="20"/>
          <w:lang w:val="sl-SI"/>
        </w:rPr>
        <w:t xml:space="preserve">, se nadaljujejo </w:t>
      </w:r>
      <w:r>
        <w:rPr>
          <w:rFonts w:eastAsiaTheme="minorEastAsia" w:cs="Arial"/>
          <w:szCs w:val="20"/>
          <w:lang w:val="sl-SI"/>
        </w:rPr>
        <w:t xml:space="preserve">in </w:t>
      </w:r>
      <w:r w:rsidR="004C6963">
        <w:rPr>
          <w:rFonts w:eastAsiaTheme="minorEastAsia" w:cs="Arial"/>
          <w:szCs w:val="20"/>
          <w:lang w:val="sl-SI"/>
        </w:rPr>
        <w:t xml:space="preserve">dokončajo </w:t>
      </w:r>
      <w:r w:rsidRPr="00420687">
        <w:rPr>
          <w:rFonts w:eastAsiaTheme="minorEastAsia" w:cs="Arial"/>
          <w:szCs w:val="20"/>
          <w:lang w:val="sl-SI"/>
        </w:rPr>
        <w:t>kot postopki za imenovanje na mesto okrožnega državnega tožilca</w:t>
      </w:r>
      <w:r>
        <w:rPr>
          <w:rFonts w:eastAsiaTheme="minorEastAsia" w:cs="Arial"/>
          <w:szCs w:val="20"/>
          <w:lang w:val="sl-SI"/>
        </w:rPr>
        <w:t xml:space="preserve">, </w:t>
      </w:r>
      <w:r w:rsidRPr="000956C9">
        <w:rPr>
          <w:rFonts w:eastAsiaTheme="minorEastAsia" w:cs="Arial"/>
          <w:szCs w:val="20"/>
          <w:lang w:val="sl-SI"/>
        </w:rPr>
        <w:t>o čemer ministrstvo, pristojno za pravosodje, obvesti kandidate</w:t>
      </w:r>
      <w:r w:rsidRPr="00420687">
        <w:rPr>
          <w:rFonts w:eastAsiaTheme="minorEastAsia" w:cs="Arial"/>
          <w:szCs w:val="20"/>
          <w:lang w:val="sl-SI"/>
        </w:rPr>
        <w:t>.</w:t>
      </w:r>
      <w:r>
        <w:rPr>
          <w:rFonts w:eastAsiaTheme="minorEastAsia" w:cs="Arial"/>
          <w:szCs w:val="20"/>
          <w:lang w:val="sl-SI"/>
        </w:rPr>
        <w:t xml:space="preserve"> </w:t>
      </w:r>
    </w:p>
    <w:p w14:paraId="570586DF" w14:textId="77777777" w:rsidR="008B319A" w:rsidRPr="00420687" w:rsidRDefault="008B319A" w:rsidP="00A82F2D">
      <w:pPr>
        <w:spacing w:line="260" w:lineRule="exact"/>
        <w:jc w:val="both"/>
        <w:rPr>
          <w:rFonts w:eastAsiaTheme="minorEastAsia" w:cs="Arial"/>
          <w:szCs w:val="20"/>
          <w:lang w:val="sl-SI"/>
        </w:rPr>
      </w:pPr>
    </w:p>
    <w:p w14:paraId="0A13EAB0" w14:textId="17186C5E" w:rsidR="008B319A" w:rsidRDefault="008B319A" w:rsidP="00A82F2D">
      <w:pPr>
        <w:spacing w:line="260" w:lineRule="exact"/>
        <w:jc w:val="both"/>
        <w:rPr>
          <w:rFonts w:eastAsiaTheme="minorEastAsia" w:cs="Arial"/>
          <w:szCs w:val="20"/>
          <w:lang w:val="sl-SI"/>
        </w:rPr>
      </w:pPr>
      <w:r w:rsidRPr="00420687">
        <w:rPr>
          <w:rFonts w:eastAsiaTheme="minorEastAsia" w:cs="Arial"/>
          <w:szCs w:val="20"/>
          <w:lang w:val="sl-SI"/>
        </w:rPr>
        <w:t xml:space="preserve">(2) </w:t>
      </w:r>
      <w:r w:rsidR="007F2D1B" w:rsidRPr="007F2D1B">
        <w:rPr>
          <w:rFonts w:eastAsiaTheme="minorEastAsia" w:cs="Arial"/>
          <w:szCs w:val="20"/>
          <w:lang w:val="sl-SI"/>
        </w:rPr>
        <w:t>V postopkih iz prejšnjega odstavka se šteje</w:t>
      </w:r>
      <w:r w:rsidR="007F2D1B">
        <w:rPr>
          <w:rFonts w:eastAsiaTheme="minorEastAsia" w:cs="Arial"/>
          <w:szCs w:val="20"/>
          <w:lang w:val="sl-SI"/>
        </w:rPr>
        <w:t>, da kandidat izpolnjuje posebni pogoj iz</w:t>
      </w:r>
      <w:r w:rsidR="00164839">
        <w:rPr>
          <w:rFonts w:eastAsiaTheme="minorEastAsia" w:cs="Arial"/>
          <w:szCs w:val="20"/>
          <w:lang w:val="sl-SI"/>
        </w:rPr>
        <w:t xml:space="preserve"> </w:t>
      </w:r>
      <w:r w:rsidR="007F2D1B" w:rsidRPr="007F2D1B">
        <w:rPr>
          <w:rFonts w:eastAsiaTheme="minorEastAsia" w:cs="Arial"/>
          <w:szCs w:val="20"/>
          <w:lang w:val="sl-SI"/>
        </w:rPr>
        <w:t>spremenjen</w:t>
      </w:r>
      <w:r w:rsidR="007F2D1B">
        <w:rPr>
          <w:rFonts w:eastAsiaTheme="minorEastAsia" w:cs="Arial"/>
          <w:szCs w:val="20"/>
          <w:lang w:val="sl-SI"/>
        </w:rPr>
        <w:t>ega</w:t>
      </w:r>
      <w:r w:rsidR="007F2D1B" w:rsidRPr="007F2D1B">
        <w:rPr>
          <w:rFonts w:eastAsiaTheme="minorEastAsia" w:cs="Arial"/>
          <w:szCs w:val="20"/>
          <w:lang w:val="sl-SI"/>
        </w:rPr>
        <w:t xml:space="preserve"> 25. člen</w:t>
      </w:r>
      <w:r w:rsidR="007F2D1B">
        <w:rPr>
          <w:rFonts w:eastAsiaTheme="minorEastAsia" w:cs="Arial"/>
          <w:szCs w:val="20"/>
          <w:lang w:val="sl-SI"/>
        </w:rPr>
        <w:t>a</w:t>
      </w:r>
      <w:r w:rsidR="007F2D1B" w:rsidRPr="007F2D1B">
        <w:rPr>
          <w:rFonts w:eastAsiaTheme="minorEastAsia" w:cs="Arial"/>
          <w:szCs w:val="20"/>
          <w:lang w:val="sl-SI"/>
        </w:rPr>
        <w:t xml:space="preserve"> zakona</w:t>
      </w:r>
      <w:r w:rsidRPr="00420687">
        <w:rPr>
          <w:rFonts w:eastAsiaTheme="minorEastAsia" w:cs="Arial"/>
          <w:szCs w:val="20"/>
          <w:lang w:val="sl-SI"/>
        </w:rPr>
        <w:t xml:space="preserve">, če ga izpolni </w:t>
      </w:r>
      <w:r>
        <w:rPr>
          <w:rFonts w:eastAsiaTheme="minorEastAsia" w:cs="Arial"/>
          <w:szCs w:val="20"/>
          <w:lang w:val="sl-SI"/>
        </w:rPr>
        <w:t xml:space="preserve">najpozneje </w:t>
      </w:r>
      <w:r w:rsidRPr="00420687">
        <w:rPr>
          <w:rFonts w:eastAsiaTheme="minorEastAsia" w:cs="Arial"/>
          <w:szCs w:val="20"/>
          <w:lang w:val="sl-SI"/>
        </w:rPr>
        <w:t>na dan 1. januarja 2027.</w:t>
      </w:r>
    </w:p>
    <w:p w14:paraId="391F14F7" w14:textId="77777777" w:rsidR="008B319A" w:rsidRDefault="008B319A" w:rsidP="00A82F2D">
      <w:pPr>
        <w:spacing w:line="260" w:lineRule="exact"/>
        <w:jc w:val="both"/>
        <w:rPr>
          <w:rFonts w:eastAsiaTheme="minorEastAsia" w:cs="Arial"/>
          <w:szCs w:val="20"/>
          <w:lang w:val="sl-SI"/>
        </w:rPr>
      </w:pPr>
    </w:p>
    <w:p w14:paraId="787415F4" w14:textId="77777777" w:rsidR="008B319A" w:rsidRDefault="008B319A" w:rsidP="00A82F2D">
      <w:pPr>
        <w:spacing w:line="260" w:lineRule="exact"/>
        <w:jc w:val="both"/>
        <w:rPr>
          <w:rFonts w:eastAsiaTheme="minorEastAsia" w:cs="Arial"/>
          <w:szCs w:val="20"/>
          <w:lang w:val="sl-SI"/>
        </w:rPr>
      </w:pPr>
      <w:r>
        <w:rPr>
          <w:rFonts w:eastAsiaTheme="minorEastAsia" w:cs="Arial"/>
          <w:szCs w:val="20"/>
          <w:lang w:val="sl-SI"/>
        </w:rPr>
        <w:t>(3) Prijave kandidatov, ki pogoja iz prejšnjega odstavka ne izpolnjujejo na dan 1. januarja 2027, se zavrnejo.</w:t>
      </w:r>
    </w:p>
    <w:p w14:paraId="61AAF9AB" w14:textId="77777777" w:rsidR="007F2D1B" w:rsidRDefault="007F2D1B" w:rsidP="00A82F2D">
      <w:pPr>
        <w:spacing w:line="260" w:lineRule="exact"/>
        <w:jc w:val="both"/>
        <w:rPr>
          <w:rFonts w:eastAsiaTheme="minorEastAsia" w:cs="Arial"/>
          <w:szCs w:val="20"/>
          <w:lang w:val="sl-SI"/>
        </w:rPr>
      </w:pPr>
    </w:p>
    <w:p w14:paraId="204EADA3" w14:textId="77777777" w:rsidR="002B0AD5" w:rsidRDefault="002B0AD5" w:rsidP="00FB49CC">
      <w:pPr>
        <w:spacing w:line="260" w:lineRule="exact"/>
        <w:jc w:val="both"/>
        <w:rPr>
          <w:rFonts w:eastAsiaTheme="minorEastAsia" w:cs="Arial"/>
          <w:szCs w:val="20"/>
          <w:lang w:val="sl-SI"/>
        </w:rPr>
      </w:pPr>
    </w:p>
    <w:p w14:paraId="021EFEC0" w14:textId="7BB2D8C3" w:rsidR="002B0AD5" w:rsidRPr="002B0AD5" w:rsidRDefault="002B0AD5" w:rsidP="00FB49CC">
      <w:pPr>
        <w:spacing w:line="260" w:lineRule="exact"/>
        <w:jc w:val="center"/>
        <w:rPr>
          <w:rFonts w:eastAsiaTheme="minorEastAsia" w:cs="Arial"/>
          <w:b/>
          <w:bCs/>
          <w:szCs w:val="20"/>
          <w:lang w:val="sl-SI"/>
        </w:rPr>
      </w:pPr>
      <w:r w:rsidRPr="002B0AD5">
        <w:rPr>
          <w:rFonts w:eastAsiaTheme="minorEastAsia" w:cs="Arial"/>
          <w:b/>
          <w:bCs/>
          <w:szCs w:val="20"/>
          <w:lang w:val="sl-SI"/>
        </w:rPr>
        <w:t>25. člen</w:t>
      </w:r>
    </w:p>
    <w:p w14:paraId="0B85C9CA" w14:textId="4BB48970" w:rsidR="002B0AD5" w:rsidRPr="002B0AD5" w:rsidRDefault="002B0AD5" w:rsidP="00FB49CC">
      <w:pPr>
        <w:spacing w:line="260" w:lineRule="exact"/>
        <w:jc w:val="center"/>
        <w:rPr>
          <w:rFonts w:eastAsiaTheme="minorEastAsia" w:cs="Arial"/>
          <w:b/>
          <w:bCs/>
          <w:szCs w:val="20"/>
          <w:lang w:val="sl-SI"/>
        </w:rPr>
      </w:pPr>
      <w:r w:rsidRPr="002B0AD5">
        <w:rPr>
          <w:rFonts w:eastAsiaTheme="minorEastAsia" w:cs="Arial"/>
          <w:b/>
          <w:bCs/>
          <w:szCs w:val="20"/>
          <w:lang w:val="sl-SI"/>
        </w:rPr>
        <w:t>(prehodna ureditev plačnega razreda funkcije okrajnega državnega tožilca svetnika)</w:t>
      </w:r>
    </w:p>
    <w:p w14:paraId="0F95EDD7" w14:textId="77777777" w:rsidR="002B0AD5" w:rsidRDefault="002B0AD5" w:rsidP="00FB49CC">
      <w:pPr>
        <w:spacing w:line="260" w:lineRule="exact"/>
        <w:jc w:val="both"/>
        <w:rPr>
          <w:rFonts w:eastAsiaTheme="minorEastAsia" w:cs="Arial"/>
          <w:szCs w:val="20"/>
          <w:lang w:val="sl-SI"/>
        </w:rPr>
      </w:pPr>
    </w:p>
    <w:p w14:paraId="344332DD" w14:textId="4A389981" w:rsidR="00FB49CC" w:rsidRDefault="00FB49CC" w:rsidP="00FB49CC">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 xml:space="preserve">(1) Osnovna plača funkcije okrajnega državnega tožilca svetnika (šifra </w:t>
      </w:r>
      <w:r w:rsidR="004F3AC0" w:rsidRPr="00A853AA">
        <w:rPr>
          <w:rFonts w:eastAsia="Calibri" w:cs="Arial"/>
          <w:szCs w:val="20"/>
          <w:lang w:val="sl-SI"/>
        </w:rPr>
        <w:t>A047471</w:t>
      </w:r>
      <w:r w:rsidR="004F3AC0">
        <w:rPr>
          <w:rFonts w:eastAsia="Calibri" w:cs="Arial"/>
          <w:szCs w:val="20"/>
          <w:lang w:val="sl-SI"/>
        </w:rPr>
        <w:t xml:space="preserve">) </w:t>
      </w:r>
      <w:r>
        <w:rPr>
          <w:rFonts w:eastAsiaTheme="minorHAnsi" w:cs="Arial"/>
          <w:szCs w:val="20"/>
          <w:lang w:val="sl-SI"/>
        </w:rPr>
        <w:t xml:space="preserve">se </w:t>
      </w:r>
      <w:r w:rsidR="005925E1">
        <w:rPr>
          <w:rFonts w:eastAsiaTheme="minorHAnsi" w:cs="Arial"/>
          <w:szCs w:val="20"/>
          <w:lang w:val="sl-SI"/>
        </w:rPr>
        <w:t xml:space="preserve">določi z uvrstitvijo funkcije </w:t>
      </w:r>
      <w:r>
        <w:rPr>
          <w:rFonts w:eastAsiaTheme="minorHAnsi" w:cs="Arial"/>
          <w:szCs w:val="20"/>
          <w:lang w:val="sl-SI"/>
        </w:rPr>
        <w:t>v 54. plačni razred iz Zakona o skupnih temeljih sistema plač v javnem sektorju (Uradni list RS, št. 95/24).</w:t>
      </w:r>
    </w:p>
    <w:p w14:paraId="07FBB756" w14:textId="77777777" w:rsidR="00FB49CC" w:rsidRDefault="00FB49CC" w:rsidP="00FB49CC">
      <w:pPr>
        <w:autoSpaceDE w:val="0"/>
        <w:autoSpaceDN w:val="0"/>
        <w:adjustRightInd w:val="0"/>
        <w:spacing w:line="260" w:lineRule="exact"/>
        <w:jc w:val="both"/>
        <w:rPr>
          <w:rFonts w:eastAsiaTheme="minorHAnsi" w:cs="Arial"/>
          <w:szCs w:val="20"/>
          <w:lang w:val="sl-SI"/>
        </w:rPr>
      </w:pPr>
    </w:p>
    <w:p w14:paraId="3F1960C6" w14:textId="2E9A4D6B" w:rsidR="00FB49CC" w:rsidRDefault="00FB49CC" w:rsidP="00FB49CC">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(2) Za postopno pridobitev pravice do višje plače okrajnega državnega tožilca svetnika se uporabljata 101. in 102. člen Zakona o skupnih temeljih sistema plač v javnem sektorju (Uradni list RS, št. 95/24).</w:t>
      </w:r>
    </w:p>
    <w:p w14:paraId="71D7DA10" w14:textId="77777777" w:rsidR="00FB49CC" w:rsidRDefault="00FB49CC" w:rsidP="00FB49CC">
      <w:pPr>
        <w:autoSpaceDE w:val="0"/>
        <w:autoSpaceDN w:val="0"/>
        <w:adjustRightInd w:val="0"/>
        <w:spacing w:line="260" w:lineRule="exact"/>
        <w:jc w:val="both"/>
        <w:rPr>
          <w:rFonts w:eastAsiaTheme="minorHAnsi" w:cs="Arial"/>
          <w:szCs w:val="20"/>
          <w:lang w:val="sl-SI"/>
        </w:rPr>
      </w:pPr>
    </w:p>
    <w:p w14:paraId="1B304E35" w14:textId="073FEB18" w:rsidR="00C95524" w:rsidRPr="005925E1" w:rsidRDefault="00FB49CC" w:rsidP="00C95524">
      <w:pPr>
        <w:autoSpaceDE w:val="0"/>
        <w:autoSpaceDN w:val="0"/>
        <w:adjustRightInd w:val="0"/>
        <w:spacing w:line="260" w:lineRule="exact"/>
        <w:jc w:val="both"/>
        <w:rPr>
          <w:rFonts w:eastAsiaTheme="minorHAnsi" w:cs="Arial"/>
          <w:szCs w:val="20"/>
          <w:lang w:val="sl-SI"/>
        </w:rPr>
      </w:pPr>
      <w:r>
        <w:rPr>
          <w:rFonts w:eastAsiaTheme="minorHAnsi" w:cs="Arial"/>
          <w:szCs w:val="20"/>
          <w:lang w:val="sl-SI"/>
        </w:rPr>
        <w:t xml:space="preserve">(3) Za okrajnega državnega tožilca svetnika se od imenovanja do vključno 31. decembra 2026 ugotovi razlika med vrednostjo plačnega razreda funkcije okrajnega državnega tožilca svetnika  iz prvega odstavka </w:t>
      </w:r>
      <w:r w:rsidR="00E543E9">
        <w:rPr>
          <w:rFonts w:eastAsiaTheme="minorHAnsi" w:cs="Arial"/>
          <w:szCs w:val="20"/>
          <w:lang w:val="sl-SI"/>
        </w:rPr>
        <w:t xml:space="preserve">tega člena </w:t>
      </w:r>
      <w:r>
        <w:rPr>
          <w:rFonts w:eastAsiaTheme="minorHAnsi" w:cs="Arial"/>
          <w:szCs w:val="20"/>
          <w:lang w:val="sl-SI"/>
        </w:rPr>
        <w:t>na dan 1. januar</w:t>
      </w:r>
      <w:r w:rsidR="00F71F98">
        <w:rPr>
          <w:rFonts w:eastAsiaTheme="minorHAnsi" w:cs="Arial"/>
          <w:szCs w:val="20"/>
          <w:lang w:val="sl-SI"/>
        </w:rPr>
        <w:t>ja</w:t>
      </w:r>
      <w:r>
        <w:rPr>
          <w:rFonts w:eastAsiaTheme="minorHAnsi" w:cs="Arial"/>
          <w:szCs w:val="20"/>
          <w:lang w:val="sl-SI"/>
        </w:rPr>
        <w:t xml:space="preserve"> 2025 in vrednostjo </w:t>
      </w:r>
      <w:r w:rsidR="00C95524" w:rsidRPr="005925E1">
        <w:rPr>
          <w:rFonts w:eastAsiaTheme="minorHAnsi" w:cs="Arial"/>
          <w:szCs w:val="20"/>
          <w:lang w:val="sl-SI"/>
        </w:rPr>
        <w:t>osnovne plače funkcije okrajnega sodnika svetnika na dan 31. decemb</w:t>
      </w:r>
      <w:r w:rsidR="00C95524">
        <w:rPr>
          <w:rFonts w:eastAsiaTheme="minorHAnsi" w:cs="Arial"/>
          <w:szCs w:val="20"/>
          <w:lang w:val="sl-SI"/>
        </w:rPr>
        <w:t>ra</w:t>
      </w:r>
      <w:r w:rsidR="00C95524" w:rsidRPr="005925E1">
        <w:rPr>
          <w:rFonts w:eastAsiaTheme="minorHAnsi" w:cs="Arial"/>
          <w:szCs w:val="20"/>
          <w:lang w:val="sl-SI"/>
        </w:rPr>
        <w:t xml:space="preserve"> 2024.</w:t>
      </w:r>
    </w:p>
    <w:p w14:paraId="3566A8C6" w14:textId="77777777" w:rsidR="008B319A" w:rsidRPr="00AD1AD0" w:rsidRDefault="008B319A" w:rsidP="00FB49CC">
      <w:pPr>
        <w:spacing w:line="260" w:lineRule="exact"/>
        <w:jc w:val="both"/>
        <w:rPr>
          <w:rFonts w:eastAsiaTheme="minorEastAsia" w:cs="Arial"/>
          <w:szCs w:val="20"/>
          <w:lang w:val="sl-SI"/>
        </w:rPr>
      </w:pPr>
    </w:p>
    <w:p w14:paraId="519BB6E5" w14:textId="77777777" w:rsidR="00C0659B" w:rsidRPr="00F2246C" w:rsidRDefault="00C0659B" w:rsidP="00A82F2D">
      <w:pPr>
        <w:spacing w:line="260" w:lineRule="exact"/>
        <w:rPr>
          <w:rFonts w:eastAsiaTheme="minorEastAsia" w:cs="Arial"/>
          <w:b/>
          <w:color w:val="FF0000"/>
          <w:szCs w:val="20"/>
          <w:lang w:val="sl-SI"/>
        </w:rPr>
      </w:pPr>
    </w:p>
    <w:p w14:paraId="6B6CED12" w14:textId="55D7633E" w:rsidR="00331D90" w:rsidRPr="00F2246C" w:rsidRDefault="00331D90" w:rsidP="00A82F2D">
      <w:pPr>
        <w:spacing w:line="260" w:lineRule="exact"/>
        <w:jc w:val="center"/>
        <w:rPr>
          <w:rFonts w:eastAsiaTheme="minorEastAsia" w:cs="Arial"/>
          <w:b/>
          <w:szCs w:val="20"/>
          <w:lang w:val="sl-SI"/>
        </w:rPr>
      </w:pPr>
      <w:r w:rsidRPr="00F2246C">
        <w:rPr>
          <w:rFonts w:eastAsiaTheme="minorEastAsia" w:cs="Arial"/>
          <w:b/>
          <w:szCs w:val="20"/>
          <w:lang w:val="sl-SI"/>
        </w:rPr>
        <w:t>2</w:t>
      </w:r>
      <w:r w:rsidR="0048782B">
        <w:rPr>
          <w:rFonts w:eastAsiaTheme="minorEastAsia" w:cs="Arial"/>
          <w:b/>
          <w:szCs w:val="20"/>
          <w:lang w:val="sl-SI"/>
        </w:rPr>
        <w:t>6</w:t>
      </w:r>
      <w:r w:rsidRPr="00F2246C">
        <w:rPr>
          <w:rFonts w:eastAsiaTheme="minorEastAsia" w:cs="Arial"/>
          <w:b/>
          <w:szCs w:val="20"/>
          <w:lang w:val="sl-SI"/>
        </w:rPr>
        <w:t>. člen</w:t>
      </w:r>
    </w:p>
    <w:p w14:paraId="4CCFB27D" w14:textId="6291EBC9" w:rsidR="00331D90" w:rsidRPr="00F2246C" w:rsidRDefault="00331D90" w:rsidP="00A82F2D">
      <w:pPr>
        <w:spacing w:line="260" w:lineRule="exact"/>
        <w:jc w:val="center"/>
        <w:rPr>
          <w:rFonts w:eastAsiaTheme="minorEastAsia" w:cs="Arial"/>
          <w:b/>
          <w:szCs w:val="20"/>
          <w:lang w:val="sl-SI"/>
        </w:rPr>
      </w:pPr>
      <w:r w:rsidRPr="00F2246C">
        <w:rPr>
          <w:rFonts w:eastAsiaTheme="minorEastAsia" w:cs="Arial"/>
          <w:b/>
          <w:szCs w:val="20"/>
          <w:lang w:val="sl-SI"/>
        </w:rPr>
        <w:t>(uskladitev nazivov in uvrstitev okrajnih državnih tožilcev v plačne razrede)</w:t>
      </w:r>
    </w:p>
    <w:p w14:paraId="56FF556D" w14:textId="77777777" w:rsidR="00331D90" w:rsidRPr="008D7697" w:rsidRDefault="00331D90" w:rsidP="00A82F2D">
      <w:pPr>
        <w:spacing w:line="260" w:lineRule="exact"/>
        <w:jc w:val="both"/>
        <w:rPr>
          <w:rFonts w:cs="Arial"/>
          <w:b/>
          <w:szCs w:val="20"/>
          <w:lang w:val="sl-SI" w:eastAsia="sl-SI"/>
        </w:rPr>
      </w:pPr>
    </w:p>
    <w:p w14:paraId="1C7D25A5" w14:textId="33E82181" w:rsidR="00331D90" w:rsidRPr="008D7697" w:rsidRDefault="00331D90" w:rsidP="00A82F2D">
      <w:pPr>
        <w:spacing w:line="260" w:lineRule="exact"/>
        <w:jc w:val="both"/>
        <w:rPr>
          <w:rFonts w:cs="Arial"/>
          <w:szCs w:val="20"/>
          <w:lang w:val="sl-SI" w:eastAsia="sl-SI"/>
        </w:rPr>
      </w:pPr>
      <w:bookmarkStart w:id="14" w:name="_Hlk186796210"/>
      <w:r w:rsidRPr="008D7697">
        <w:rPr>
          <w:rFonts w:cs="Arial"/>
          <w:szCs w:val="20"/>
          <w:lang w:val="sl-SI" w:eastAsia="sl-SI"/>
        </w:rPr>
        <w:t xml:space="preserve">(1) Okrajni državni tožilci, ki so na dan 31. </w:t>
      </w:r>
      <w:r w:rsidR="008E6552">
        <w:rPr>
          <w:rFonts w:cs="Arial"/>
          <w:szCs w:val="20"/>
          <w:lang w:val="sl-SI" w:eastAsia="sl-SI"/>
        </w:rPr>
        <w:t>decembra</w:t>
      </w:r>
      <w:r w:rsidRPr="008D7697">
        <w:rPr>
          <w:rFonts w:cs="Arial"/>
          <w:szCs w:val="20"/>
          <w:lang w:val="sl-SI" w:eastAsia="sl-SI"/>
        </w:rPr>
        <w:t xml:space="preserve"> 2026 državnotožilsko službo opravljali </w:t>
      </w:r>
      <w:bookmarkStart w:id="15" w:name="_Hlk186796350"/>
      <w:r w:rsidRPr="008D7697">
        <w:rPr>
          <w:rFonts w:cs="Arial"/>
          <w:szCs w:val="20"/>
          <w:lang w:val="sl-SI" w:eastAsia="sl-SI"/>
        </w:rPr>
        <w:t xml:space="preserve">v nazivu okrajni državni tožilec in so bili v skladu s Prilogo 2 Zakona o skupnih temeljih sistema plač v javnem sektorju (Uradni list RS, št. 95/24) uvrščeni v 49., 50. ali 51.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52. plačni razred.</w:t>
      </w:r>
    </w:p>
    <w:bookmarkEnd w:id="14"/>
    <w:bookmarkEnd w:id="15"/>
    <w:p w14:paraId="0819E5C4" w14:textId="77777777" w:rsidR="00331D90" w:rsidRPr="008D7697" w:rsidRDefault="00331D90" w:rsidP="00A82F2D">
      <w:pPr>
        <w:spacing w:line="260" w:lineRule="exact"/>
        <w:jc w:val="both"/>
        <w:rPr>
          <w:rFonts w:cs="Arial"/>
          <w:szCs w:val="20"/>
          <w:lang w:val="sl-SI" w:eastAsia="sl-SI"/>
        </w:rPr>
      </w:pPr>
    </w:p>
    <w:p w14:paraId="649033DE" w14:textId="7D2C65C1" w:rsidR="00331D90" w:rsidRPr="008D7697" w:rsidRDefault="00331D90" w:rsidP="00A82F2D">
      <w:pPr>
        <w:spacing w:line="260" w:lineRule="exact"/>
        <w:jc w:val="both"/>
        <w:rPr>
          <w:rFonts w:cs="Arial"/>
          <w:szCs w:val="20"/>
          <w:lang w:val="sl-SI" w:eastAsia="sl-SI"/>
        </w:rPr>
      </w:pPr>
      <w:r w:rsidRPr="008D7697">
        <w:rPr>
          <w:rFonts w:cs="Arial"/>
          <w:szCs w:val="20"/>
          <w:lang w:val="sl-SI" w:eastAsia="sl-SI"/>
        </w:rPr>
        <w:t xml:space="preserve">(2) Okrajni državni tožilci, ki so na dan 31. </w:t>
      </w:r>
      <w:r w:rsidR="008E6552">
        <w:rPr>
          <w:rFonts w:cs="Arial"/>
          <w:szCs w:val="20"/>
          <w:lang w:val="sl-SI" w:eastAsia="sl-SI"/>
        </w:rPr>
        <w:t>de</w:t>
      </w:r>
      <w:r w:rsidR="003304F5">
        <w:rPr>
          <w:rFonts w:cs="Arial"/>
          <w:szCs w:val="20"/>
          <w:lang w:val="sl-SI" w:eastAsia="sl-SI"/>
        </w:rPr>
        <w:t>c</w:t>
      </w:r>
      <w:r w:rsidR="008E6552">
        <w:rPr>
          <w:rFonts w:cs="Arial"/>
          <w:szCs w:val="20"/>
          <w:lang w:val="sl-SI" w:eastAsia="sl-SI"/>
        </w:rPr>
        <w:t>embra</w:t>
      </w:r>
      <w:r w:rsidRPr="008D7697">
        <w:rPr>
          <w:rFonts w:cs="Arial"/>
          <w:szCs w:val="20"/>
          <w:lang w:val="sl-SI" w:eastAsia="sl-SI"/>
        </w:rPr>
        <w:t xml:space="preserve"> 2026 državnotožilsko službo opravljali v nazivu okrajni državni tožilec in so bili v skladu s Prilogo 2 Zakona o skupnih temeljih sistema plač v javnem sektorju (Uradni list RS, št. 95/24) uvrščeni v 52.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52. plačni razred.</w:t>
      </w:r>
    </w:p>
    <w:p w14:paraId="0B22B72D" w14:textId="77777777" w:rsidR="00331D90" w:rsidRPr="008D7697" w:rsidRDefault="00331D90" w:rsidP="00A82F2D">
      <w:pPr>
        <w:spacing w:line="260" w:lineRule="exact"/>
        <w:jc w:val="both"/>
        <w:rPr>
          <w:rFonts w:cs="Arial"/>
          <w:szCs w:val="20"/>
          <w:lang w:val="sl-SI" w:eastAsia="sl-SI"/>
        </w:rPr>
      </w:pPr>
    </w:p>
    <w:p w14:paraId="4DD9DF90" w14:textId="21EDD9CA" w:rsidR="00331D90" w:rsidRPr="008D7697" w:rsidRDefault="00331D90" w:rsidP="00A82F2D">
      <w:pPr>
        <w:spacing w:line="260" w:lineRule="exact"/>
        <w:jc w:val="both"/>
        <w:rPr>
          <w:rFonts w:cs="Arial"/>
          <w:szCs w:val="20"/>
          <w:lang w:val="sl-SI" w:eastAsia="sl-SI"/>
        </w:rPr>
      </w:pPr>
      <w:r w:rsidRPr="008D7697">
        <w:rPr>
          <w:rFonts w:cs="Arial"/>
          <w:szCs w:val="20"/>
          <w:lang w:val="sl-SI" w:eastAsia="sl-SI"/>
        </w:rPr>
        <w:lastRenderedPageBreak/>
        <w:t xml:space="preserve">(3) Okrajni državni tožilci, ki so na dan 31. </w:t>
      </w:r>
      <w:r w:rsidR="008E6552">
        <w:rPr>
          <w:rFonts w:cs="Arial"/>
          <w:szCs w:val="20"/>
          <w:lang w:val="sl-SI" w:eastAsia="sl-SI"/>
        </w:rPr>
        <w:t>decembra</w:t>
      </w:r>
      <w:r w:rsidRPr="008D7697">
        <w:rPr>
          <w:rFonts w:cs="Arial"/>
          <w:szCs w:val="20"/>
          <w:lang w:val="sl-SI" w:eastAsia="sl-SI"/>
        </w:rPr>
        <w:t xml:space="preserve"> 2026 državnotožilsko službo opravljali v nazivu okrajni državni tožilec in so bili v skladu s Prilogo 2 Zakona o skupnih temeljih sistema plač v javnem sektorju (Uradni list RS, št. 95/24) uvrščeni v 53. plačni razred, z dnem začetka uporabe tega zakona pridobijo naziv okrožni državni tožilec in njihova funkcija </w:t>
      </w:r>
      <w:r w:rsidR="007C13EA" w:rsidRPr="008D7697">
        <w:rPr>
          <w:rFonts w:cs="Arial"/>
          <w:szCs w:val="20"/>
          <w:lang w:val="sl-SI" w:eastAsia="sl-SI"/>
        </w:rPr>
        <w:t xml:space="preserve">se </w:t>
      </w:r>
      <w:r w:rsidRPr="008D7697">
        <w:rPr>
          <w:rFonts w:cs="Arial"/>
          <w:szCs w:val="20"/>
          <w:lang w:val="sl-SI" w:eastAsia="sl-SI"/>
        </w:rPr>
        <w:t>uvrsti v 53. plačni razred.</w:t>
      </w:r>
    </w:p>
    <w:p w14:paraId="3A626337" w14:textId="77777777" w:rsidR="00331D90" w:rsidRPr="008D7697" w:rsidRDefault="00331D90" w:rsidP="00A82F2D">
      <w:pPr>
        <w:spacing w:line="260" w:lineRule="exact"/>
        <w:jc w:val="both"/>
        <w:rPr>
          <w:rFonts w:cs="Arial"/>
          <w:szCs w:val="20"/>
          <w:lang w:val="sl-SI" w:eastAsia="sl-SI"/>
        </w:rPr>
      </w:pPr>
    </w:p>
    <w:p w14:paraId="0913C178" w14:textId="5694E8C1" w:rsidR="00B32765" w:rsidRPr="00B9520C" w:rsidRDefault="00B32765" w:rsidP="00B32765">
      <w:pPr>
        <w:spacing w:line="288" w:lineRule="auto"/>
        <w:jc w:val="both"/>
        <w:rPr>
          <w:rFonts w:cs="Arial"/>
          <w:szCs w:val="20"/>
          <w:lang w:val="sl-SI" w:eastAsia="sl-SI"/>
        </w:rPr>
      </w:pPr>
      <w:r w:rsidRPr="00B9520C">
        <w:rPr>
          <w:rFonts w:cs="Arial"/>
          <w:szCs w:val="20"/>
          <w:lang w:val="sl-SI" w:eastAsia="sl-SI"/>
        </w:rPr>
        <w:t>(</w:t>
      </w:r>
      <w:r>
        <w:rPr>
          <w:rFonts w:cs="Arial"/>
          <w:szCs w:val="20"/>
          <w:lang w:val="sl-SI" w:eastAsia="sl-SI"/>
        </w:rPr>
        <w:t>4</w:t>
      </w:r>
      <w:r w:rsidRPr="00B9520C">
        <w:rPr>
          <w:rFonts w:cs="Arial"/>
          <w:szCs w:val="20"/>
          <w:lang w:val="sl-SI" w:eastAsia="sl-SI"/>
        </w:rPr>
        <w:t>) Okrajni</w:t>
      </w:r>
      <w:r>
        <w:rPr>
          <w:rFonts w:cs="Arial"/>
          <w:szCs w:val="20"/>
          <w:lang w:val="sl-SI" w:eastAsia="sl-SI"/>
        </w:rPr>
        <w:t xml:space="preserve"> državni tožilci svetniki</w:t>
      </w:r>
      <w:r w:rsidRPr="00B9520C">
        <w:rPr>
          <w:rFonts w:cs="Arial"/>
          <w:szCs w:val="20"/>
          <w:lang w:val="sl-SI" w:eastAsia="sl-SI"/>
        </w:rPr>
        <w:t>, ki so</w:t>
      </w:r>
      <w:r>
        <w:rPr>
          <w:rFonts w:cs="Arial"/>
          <w:szCs w:val="20"/>
          <w:lang w:val="sl-SI" w:eastAsia="sl-SI"/>
        </w:rPr>
        <w:t xml:space="preserve"> </w:t>
      </w:r>
      <w:r w:rsidRPr="000F2055">
        <w:rPr>
          <w:rFonts w:cs="Arial"/>
          <w:szCs w:val="20"/>
          <w:lang w:val="sl-SI" w:eastAsia="sl-SI"/>
        </w:rPr>
        <w:t xml:space="preserve">na dan 31. </w:t>
      </w:r>
      <w:r>
        <w:rPr>
          <w:rFonts w:cs="Arial"/>
          <w:szCs w:val="20"/>
          <w:lang w:val="sl-SI" w:eastAsia="sl-SI"/>
        </w:rPr>
        <w:t>decembra</w:t>
      </w:r>
      <w:r w:rsidRPr="000F2055">
        <w:rPr>
          <w:rFonts w:cs="Arial"/>
          <w:szCs w:val="20"/>
          <w:lang w:val="sl-SI" w:eastAsia="sl-SI"/>
        </w:rPr>
        <w:t xml:space="preserve"> 2026 državnotožilsko službo opravljali v nazivu okrajni državni tožilec </w:t>
      </w:r>
      <w:r>
        <w:rPr>
          <w:rFonts w:cs="Arial"/>
          <w:szCs w:val="20"/>
          <w:lang w:val="sl-SI" w:eastAsia="sl-SI"/>
        </w:rPr>
        <w:t>svetnik in so bili</w:t>
      </w:r>
      <w:r w:rsidRPr="00B9520C">
        <w:rPr>
          <w:rFonts w:cs="Arial"/>
          <w:szCs w:val="20"/>
          <w:lang w:val="sl-SI" w:eastAsia="sl-SI"/>
        </w:rPr>
        <w:t xml:space="preserve"> v skladu </w:t>
      </w:r>
      <w:r>
        <w:rPr>
          <w:rFonts w:cs="Arial"/>
          <w:szCs w:val="20"/>
          <w:lang w:val="sl-SI" w:eastAsia="sl-SI"/>
        </w:rPr>
        <w:t xml:space="preserve">s prejšnjim členom </w:t>
      </w:r>
      <w:r w:rsidRPr="00B9520C">
        <w:rPr>
          <w:rFonts w:cs="Arial"/>
          <w:szCs w:val="20"/>
          <w:lang w:val="sl-SI" w:eastAsia="sl-SI"/>
        </w:rPr>
        <w:t>uvrščeni v 5</w:t>
      </w:r>
      <w:r>
        <w:rPr>
          <w:rFonts w:cs="Arial"/>
          <w:szCs w:val="20"/>
          <w:lang w:val="sl-SI" w:eastAsia="sl-SI"/>
        </w:rPr>
        <w:t>4.</w:t>
      </w:r>
      <w:r w:rsidRPr="00B9520C">
        <w:rPr>
          <w:rFonts w:cs="Arial"/>
          <w:szCs w:val="20"/>
          <w:lang w:val="sl-SI" w:eastAsia="sl-SI"/>
        </w:rPr>
        <w:t xml:space="preserve"> plačni razred, </w:t>
      </w:r>
      <w:r>
        <w:rPr>
          <w:rFonts w:cs="Arial"/>
          <w:szCs w:val="20"/>
          <w:lang w:val="sl-SI" w:eastAsia="sl-SI"/>
        </w:rPr>
        <w:t xml:space="preserve">z dnem začetka uporabe tega zakona </w:t>
      </w:r>
      <w:r w:rsidRPr="00B9520C">
        <w:rPr>
          <w:rFonts w:cs="Arial"/>
          <w:szCs w:val="20"/>
          <w:lang w:val="sl-SI" w:eastAsia="sl-SI"/>
        </w:rPr>
        <w:t xml:space="preserve">pridobijo naziv okrožni </w:t>
      </w:r>
      <w:r>
        <w:rPr>
          <w:rFonts w:cs="Arial"/>
          <w:szCs w:val="20"/>
          <w:lang w:val="sl-SI" w:eastAsia="sl-SI"/>
        </w:rPr>
        <w:t xml:space="preserve">državni tožilec </w:t>
      </w:r>
      <w:r w:rsidRPr="00B9520C">
        <w:rPr>
          <w:rFonts w:cs="Arial"/>
          <w:szCs w:val="20"/>
          <w:lang w:val="sl-SI" w:eastAsia="sl-SI"/>
        </w:rPr>
        <w:t xml:space="preserve">in </w:t>
      </w:r>
      <w:r>
        <w:rPr>
          <w:rFonts w:cs="Arial"/>
          <w:szCs w:val="20"/>
          <w:lang w:val="sl-SI" w:eastAsia="sl-SI"/>
        </w:rPr>
        <w:t xml:space="preserve">njihova funkcija </w:t>
      </w:r>
      <w:r w:rsidR="007C13EA">
        <w:rPr>
          <w:rFonts w:cs="Arial"/>
          <w:szCs w:val="20"/>
          <w:lang w:val="sl-SI" w:eastAsia="sl-SI"/>
        </w:rPr>
        <w:t>se</w:t>
      </w:r>
      <w:r w:rsidR="007C13EA" w:rsidRPr="00B9520C">
        <w:rPr>
          <w:rFonts w:cs="Arial"/>
          <w:szCs w:val="20"/>
          <w:lang w:val="sl-SI" w:eastAsia="sl-SI"/>
        </w:rPr>
        <w:t xml:space="preserve"> </w:t>
      </w:r>
      <w:r w:rsidRPr="00B9520C">
        <w:rPr>
          <w:rFonts w:cs="Arial"/>
          <w:szCs w:val="20"/>
          <w:lang w:val="sl-SI" w:eastAsia="sl-SI"/>
        </w:rPr>
        <w:t>uvrsti v 5</w:t>
      </w:r>
      <w:r>
        <w:rPr>
          <w:rFonts w:cs="Arial"/>
          <w:szCs w:val="20"/>
          <w:lang w:val="sl-SI" w:eastAsia="sl-SI"/>
        </w:rPr>
        <w:t>4.</w:t>
      </w:r>
      <w:r w:rsidRPr="00B9520C">
        <w:rPr>
          <w:rFonts w:cs="Arial"/>
          <w:szCs w:val="20"/>
          <w:lang w:val="sl-SI" w:eastAsia="sl-SI"/>
        </w:rPr>
        <w:t xml:space="preserve"> plačni razred.</w:t>
      </w:r>
      <w:r w:rsidR="00767409">
        <w:rPr>
          <w:rFonts w:cs="Arial"/>
          <w:szCs w:val="20"/>
          <w:lang w:val="sl-SI" w:eastAsia="sl-SI"/>
        </w:rPr>
        <w:t xml:space="preserve"> </w:t>
      </w:r>
    </w:p>
    <w:p w14:paraId="6A993FD4" w14:textId="77777777" w:rsidR="00331D90" w:rsidRPr="008D7697" w:rsidRDefault="00331D90" w:rsidP="00A82F2D">
      <w:pPr>
        <w:spacing w:line="260" w:lineRule="exact"/>
        <w:jc w:val="both"/>
        <w:rPr>
          <w:rFonts w:cs="Arial"/>
          <w:szCs w:val="20"/>
          <w:lang w:val="sl-SI" w:eastAsia="sl-SI"/>
        </w:rPr>
      </w:pPr>
    </w:p>
    <w:p w14:paraId="1432A3BA" w14:textId="3E90B751" w:rsidR="00331D90" w:rsidRDefault="00331D90" w:rsidP="00A82F2D">
      <w:pPr>
        <w:spacing w:line="260" w:lineRule="exact"/>
        <w:jc w:val="both"/>
        <w:rPr>
          <w:rFonts w:cs="Arial"/>
          <w:szCs w:val="20"/>
          <w:lang w:val="sl-SI" w:eastAsia="sl-SI"/>
        </w:rPr>
      </w:pPr>
      <w:r w:rsidRPr="008D7697">
        <w:rPr>
          <w:rFonts w:cs="Arial"/>
          <w:szCs w:val="20"/>
          <w:lang w:val="sl-SI" w:eastAsia="sl-SI"/>
        </w:rPr>
        <w:t>(5) Spremembo naziva in uvrstitev v plačni razred z odločbo ugotovi Državnotožilski svet.</w:t>
      </w:r>
    </w:p>
    <w:p w14:paraId="526114D5" w14:textId="77777777" w:rsidR="005331FD" w:rsidRDefault="005331FD" w:rsidP="00A82F2D">
      <w:pPr>
        <w:shd w:val="clear" w:color="auto" w:fill="FFFFFF" w:themeFill="background1"/>
        <w:spacing w:line="260" w:lineRule="exact"/>
        <w:jc w:val="both"/>
        <w:rPr>
          <w:rFonts w:eastAsiaTheme="minorEastAsia" w:cs="Arial"/>
          <w:szCs w:val="20"/>
          <w:lang w:val="sl-SI"/>
        </w:rPr>
      </w:pPr>
    </w:p>
    <w:p w14:paraId="68569B33" w14:textId="77777777" w:rsidR="005331FD" w:rsidRDefault="005331FD" w:rsidP="00A82F2D">
      <w:pPr>
        <w:shd w:val="clear" w:color="auto" w:fill="FFFFFF" w:themeFill="background1"/>
        <w:spacing w:line="260" w:lineRule="exact"/>
        <w:jc w:val="both"/>
        <w:rPr>
          <w:rFonts w:eastAsiaTheme="minorEastAsia" w:cs="Arial"/>
          <w:szCs w:val="20"/>
          <w:lang w:val="sl-SI"/>
        </w:rPr>
      </w:pPr>
    </w:p>
    <w:p w14:paraId="5B595230" w14:textId="77777777" w:rsidR="005331FD" w:rsidRPr="005331FD" w:rsidRDefault="005331FD" w:rsidP="005331FD">
      <w:pPr>
        <w:shd w:val="clear" w:color="auto" w:fill="FFFFFF" w:themeFill="background1"/>
        <w:spacing w:line="288" w:lineRule="auto"/>
        <w:jc w:val="center"/>
        <w:rPr>
          <w:rFonts w:eastAsiaTheme="minorEastAsia" w:cs="Arial"/>
          <w:b/>
          <w:bCs/>
          <w:szCs w:val="20"/>
          <w:lang w:val="sl-SI"/>
        </w:rPr>
      </w:pPr>
      <w:r w:rsidRPr="005331FD">
        <w:rPr>
          <w:rFonts w:eastAsiaTheme="minorEastAsia" w:cs="Arial"/>
          <w:b/>
          <w:bCs/>
          <w:szCs w:val="20"/>
          <w:lang w:val="sl-SI"/>
        </w:rPr>
        <w:t>27. člen</w:t>
      </w:r>
    </w:p>
    <w:p w14:paraId="0CB2E8D6" w14:textId="77777777" w:rsidR="005331FD" w:rsidRPr="005331FD" w:rsidRDefault="005331FD" w:rsidP="005331FD">
      <w:pPr>
        <w:shd w:val="clear" w:color="auto" w:fill="FFFFFF" w:themeFill="background1"/>
        <w:spacing w:line="260" w:lineRule="exact"/>
        <w:jc w:val="center"/>
        <w:rPr>
          <w:rFonts w:eastAsiaTheme="minorEastAsia" w:cs="Arial"/>
          <w:b/>
          <w:bCs/>
          <w:szCs w:val="20"/>
          <w:lang w:val="sl-SI"/>
        </w:rPr>
      </w:pPr>
      <w:r w:rsidRPr="005331FD">
        <w:rPr>
          <w:rFonts w:eastAsiaTheme="minorEastAsia" w:cs="Arial"/>
          <w:b/>
          <w:bCs/>
          <w:szCs w:val="20"/>
          <w:lang w:val="sl-SI"/>
        </w:rPr>
        <w:t>(državnotožilski položaji)</w:t>
      </w:r>
    </w:p>
    <w:p w14:paraId="469B202D" w14:textId="77777777" w:rsidR="005331FD" w:rsidRPr="00A64318" w:rsidRDefault="005331FD" w:rsidP="005331FD">
      <w:pPr>
        <w:shd w:val="clear" w:color="auto" w:fill="FFFFFF" w:themeFill="background1"/>
        <w:spacing w:line="260" w:lineRule="exact"/>
        <w:jc w:val="center"/>
        <w:rPr>
          <w:rFonts w:eastAsiaTheme="minorEastAsia" w:cs="Arial"/>
          <w:szCs w:val="20"/>
          <w:lang w:val="sl-SI"/>
        </w:rPr>
      </w:pPr>
    </w:p>
    <w:p w14:paraId="482E2E4C"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(1) Okrožnim</w:t>
      </w:r>
      <w:r>
        <w:rPr>
          <w:rFonts w:eastAsiaTheme="minorEastAsia" w:cs="Arial"/>
          <w:szCs w:val="20"/>
          <w:lang w:val="sl-SI"/>
        </w:rPr>
        <w:t xml:space="preserve"> državnim tožilcem</w:t>
      </w:r>
      <w:r w:rsidRPr="00A64318">
        <w:rPr>
          <w:rFonts w:eastAsiaTheme="minorEastAsia" w:cs="Arial"/>
          <w:szCs w:val="20"/>
          <w:lang w:val="sl-SI"/>
        </w:rPr>
        <w:t xml:space="preserve">, </w:t>
      </w:r>
      <w:bookmarkStart w:id="16" w:name="_Hlk196392098"/>
      <w:r w:rsidRPr="00A64318">
        <w:rPr>
          <w:rFonts w:eastAsiaTheme="minorEastAsia" w:cs="Arial"/>
          <w:szCs w:val="20"/>
          <w:lang w:val="sl-SI"/>
        </w:rPr>
        <w:t xml:space="preserve">ki so na dan začetka uporabe tega zakona </w:t>
      </w:r>
      <w:r>
        <w:rPr>
          <w:rFonts w:eastAsiaTheme="minorEastAsia" w:cs="Arial"/>
          <w:szCs w:val="20"/>
          <w:lang w:val="sl-SI"/>
        </w:rPr>
        <w:t xml:space="preserve">državnotožilsko </w:t>
      </w:r>
      <w:r w:rsidRPr="00A64318">
        <w:rPr>
          <w:rFonts w:eastAsiaTheme="minorEastAsia" w:cs="Arial"/>
          <w:szCs w:val="20"/>
          <w:lang w:val="sl-SI"/>
        </w:rPr>
        <w:t>službo opravljali v nazivu okrožni</w:t>
      </w:r>
      <w:r>
        <w:rPr>
          <w:rFonts w:eastAsiaTheme="minorEastAsia" w:cs="Arial"/>
          <w:szCs w:val="20"/>
          <w:lang w:val="sl-SI"/>
        </w:rPr>
        <w:t xml:space="preserve"> državni tožilec</w:t>
      </w:r>
      <w:r w:rsidRPr="00A64318">
        <w:rPr>
          <w:rFonts w:eastAsiaTheme="minorEastAsia" w:cs="Arial"/>
          <w:szCs w:val="20"/>
          <w:lang w:val="sl-SI"/>
        </w:rPr>
        <w:t xml:space="preserve">, se za pridobitev </w:t>
      </w:r>
      <w:r>
        <w:rPr>
          <w:rFonts w:eastAsiaTheme="minorEastAsia" w:cs="Arial"/>
          <w:szCs w:val="20"/>
          <w:lang w:val="sl-SI"/>
        </w:rPr>
        <w:t xml:space="preserve">državnotožilskega </w:t>
      </w:r>
      <w:r w:rsidRPr="00A64318">
        <w:rPr>
          <w:rFonts w:eastAsiaTheme="minorEastAsia" w:cs="Arial"/>
          <w:szCs w:val="20"/>
          <w:lang w:val="sl-SI"/>
        </w:rPr>
        <w:t xml:space="preserve">položaja svetnik upoštevajo ocene </w:t>
      </w:r>
      <w:r>
        <w:rPr>
          <w:rFonts w:eastAsiaTheme="minorEastAsia" w:cs="Arial"/>
          <w:szCs w:val="20"/>
          <w:lang w:val="sl-SI"/>
        </w:rPr>
        <w:t xml:space="preserve">državnotožilske </w:t>
      </w:r>
      <w:r w:rsidRPr="00A64318">
        <w:rPr>
          <w:rFonts w:eastAsiaTheme="minorEastAsia" w:cs="Arial"/>
          <w:szCs w:val="20"/>
          <w:lang w:val="sl-SI"/>
        </w:rPr>
        <w:t>službe, izdelane v skladu z Zakonom o sodniški službi (Uradni list RS, št. 94/07 – uradno prečiščeno besedilo, 91/09, 33/11, 46/13, 63/13, 69/13 – popr., 95/14 – ZUPPJS15, 17/15, 23/17, 36/19 – ZDT-1C, 34/23 – odl. US in 76/23)</w:t>
      </w:r>
      <w:r>
        <w:rPr>
          <w:rFonts w:eastAsiaTheme="minorEastAsia" w:cs="Arial"/>
          <w:szCs w:val="20"/>
          <w:lang w:val="sl-SI"/>
        </w:rPr>
        <w:t xml:space="preserve"> </w:t>
      </w:r>
      <w:r w:rsidRPr="006100B7">
        <w:rPr>
          <w:rFonts w:cs="Arial"/>
          <w:szCs w:val="20"/>
          <w:lang w:val="sl-SI" w:eastAsia="sl-SI"/>
        </w:rPr>
        <w:t>v zvezi z osmim odstavkom 37. člena Zakona o državnem tožilstvu (Uradni list RS, št. 58/11, 21/12 – ZDU-1F, 47/12, 15/13 – ZODPol, 47/13 – ZDU-1G, 48/13 – ZSKZDČEU-1, 19/15, 23/17 – ZSSve, 36/19, 139/20, 54/21 in 105/22 – ZZNŠPP)</w:t>
      </w:r>
      <w:r w:rsidRPr="006100B7">
        <w:rPr>
          <w:rFonts w:eastAsiaTheme="minorEastAsia" w:cs="Arial"/>
          <w:szCs w:val="20"/>
          <w:lang w:val="sl-SI"/>
        </w:rPr>
        <w:t>,</w:t>
      </w:r>
      <w:r w:rsidRPr="00A64318">
        <w:rPr>
          <w:rFonts w:eastAsiaTheme="minorEastAsia" w:cs="Arial"/>
          <w:szCs w:val="20"/>
          <w:lang w:val="sl-SI"/>
        </w:rPr>
        <w:t xml:space="preserve"> in napredujejo na </w:t>
      </w:r>
      <w:r>
        <w:rPr>
          <w:rFonts w:eastAsiaTheme="minorEastAsia" w:cs="Arial"/>
          <w:szCs w:val="20"/>
          <w:lang w:val="sl-SI"/>
        </w:rPr>
        <w:t xml:space="preserve">državnotožilski </w:t>
      </w:r>
      <w:r w:rsidRPr="00A64318">
        <w:rPr>
          <w:rFonts w:eastAsiaTheme="minorEastAsia" w:cs="Arial"/>
          <w:szCs w:val="20"/>
          <w:lang w:val="sl-SI"/>
        </w:rPr>
        <w:t xml:space="preserve">položaj okrožni </w:t>
      </w:r>
      <w:r>
        <w:rPr>
          <w:rFonts w:eastAsiaTheme="minorEastAsia" w:cs="Arial"/>
          <w:szCs w:val="20"/>
          <w:lang w:val="sl-SI"/>
        </w:rPr>
        <w:t xml:space="preserve">državni tožilec </w:t>
      </w:r>
      <w:r w:rsidRPr="00A64318">
        <w:rPr>
          <w:rFonts w:eastAsiaTheme="minorEastAsia" w:cs="Arial"/>
          <w:szCs w:val="20"/>
          <w:lang w:val="sl-SI"/>
        </w:rPr>
        <w:t xml:space="preserve">svetnik, ko izpolnijo pogoje v skladu </w:t>
      </w:r>
      <w:r>
        <w:rPr>
          <w:rFonts w:eastAsiaTheme="minorEastAsia" w:cs="Arial"/>
          <w:szCs w:val="20"/>
          <w:lang w:val="sl-SI"/>
        </w:rPr>
        <w:t xml:space="preserve">z </w:t>
      </w:r>
      <w:r w:rsidRPr="00A64318">
        <w:rPr>
          <w:rFonts w:eastAsiaTheme="minorEastAsia" w:cs="Arial"/>
          <w:szCs w:val="20"/>
          <w:lang w:val="sl-SI"/>
        </w:rPr>
        <w:t>zakonom</w:t>
      </w:r>
      <w:r>
        <w:rPr>
          <w:rFonts w:eastAsiaTheme="minorEastAsia" w:cs="Arial"/>
          <w:szCs w:val="20"/>
          <w:lang w:val="sl-SI"/>
        </w:rPr>
        <w:t>, ki ureja sodnike</w:t>
      </w:r>
      <w:r w:rsidRPr="00A64318">
        <w:rPr>
          <w:rFonts w:eastAsiaTheme="minorEastAsia" w:cs="Arial"/>
          <w:szCs w:val="20"/>
          <w:lang w:val="sl-SI"/>
        </w:rPr>
        <w:t>.</w:t>
      </w:r>
    </w:p>
    <w:bookmarkEnd w:id="16"/>
    <w:p w14:paraId="2EB2EC2F"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p>
    <w:p w14:paraId="211B80FF"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(2) Višjim</w:t>
      </w:r>
      <w:r>
        <w:rPr>
          <w:rFonts w:eastAsiaTheme="minorEastAsia" w:cs="Arial"/>
          <w:szCs w:val="20"/>
          <w:lang w:val="sl-SI"/>
        </w:rPr>
        <w:t xml:space="preserve"> državnim tožilcem</w:t>
      </w:r>
      <w:r w:rsidRPr="00A64318">
        <w:rPr>
          <w:rFonts w:eastAsiaTheme="minorEastAsia" w:cs="Arial"/>
          <w:szCs w:val="20"/>
          <w:lang w:val="sl-SI"/>
        </w:rPr>
        <w:t xml:space="preserve">, ki so na dan začetka uporabe tega zakona </w:t>
      </w:r>
      <w:r>
        <w:rPr>
          <w:rFonts w:eastAsiaTheme="minorEastAsia" w:cs="Arial"/>
          <w:szCs w:val="20"/>
          <w:lang w:val="sl-SI"/>
        </w:rPr>
        <w:t xml:space="preserve">državnotožilsko </w:t>
      </w:r>
      <w:r w:rsidRPr="00A64318">
        <w:rPr>
          <w:rFonts w:eastAsiaTheme="minorEastAsia" w:cs="Arial"/>
          <w:szCs w:val="20"/>
          <w:lang w:val="sl-SI"/>
        </w:rPr>
        <w:t>službo opravljali v nazivu višji</w:t>
      </w:r>
      <w:r>
        <w:rPr>
          <w:rFonts w:eastAsiaTheme="minorEastAsia" w:cs="Arial"/>
          <w:szCs w:val="20"/>
          <w:lang w:val="sl-SI"/>
        </w:rPr>
        <w:t xml:space="preserve"> državni tožilec</w:t>
      </w:r>
      <w:r w:rsidRPr="00A64318">
        <w:rPr>
          <w:rFonts w:eastAsiaTheme="minorEastAsia" w:cs="Arial"/>
          <w:szCs w:val="20"/>
          <w:lang w:val="sl-SI"/>
        </w:rPr>
        <w:t xml:space="preserve">, se za pridobitev </w:t>
      </w:r>
      <w:r>
        <w:rPr>
          <w:rFonts w:eastAsiaTheme="minorEastAsia" w:cs="Arial"/>
          <w:szCs w:val="20"/>
          <w:lang w:val="sl-SI"/>
        </w:rPr>
        <w:t xml:space="preserve">državnotožilskega </w:t>
      </w:r>
      <w:r w:rsidRPr="00A64318">
        <w:rPr>
          <w:rFonts w:eastAsiaTheme="minorEastAsia" w:cs="Arial"/>
          <w:szCs w:val="20"/>
          <w:lang w:val="sl-SI"/>
        </w:rPr>
        <w:t xml:space="preserve">položaja svetnik upoštevajo ocene </w:t>
      </w:r>
      <w:r>
        <w:rPr>
          <w:rFonts w:eastAsiaTheme="minorEastAsia" w:cs="Arial"/>
          <w:szCs w:val="20"/>
          <w:lang w:val="sl-SI"/>
        </w:rPr>
        <w:t xml:space="preserve">državnotožilske </w:t>
      </w:r>
      <w:r w:rsidRPr="00A64318">
        <w:rPr>
          <w:rFonts w:eastAsiaTheme="minorEastAsia" w:cs="Arial"/>
          <w:szCs w:val="20"/>
          <w:lang w:val="sl-SI"/>
        </w:rPr>
        <w:t>službe, izdelane v skladu z Zakonom o sodniški službi (Uradni list RS, št. 94/07 – uradno prečiščeno besedilo, 91/09, 33/11, 46/13, 63/13, 69/13 – popr., 95/14 – ZUPPJS15, 17/15, 23/17, 36/19 – ZDT-1C, 34/23 – odl. US in 76/23)</w:t>
      </w:r>
      <w:r>
        <w:rPr>
          <w:rFonts w:eastAsiaTheme="minorEastAsia" w:cs="Arial"/>
          <w:szCs w:val="20"/>
          <w:lang w:val="sl-SI"/>
        </w:rPr>
        <w:t xml:space="preserve"> </w:t>
      </w:r>
      <w:r w:rsidRPr="006100B7">
        <w:rPr>
          <w:rFonts w:cs="Arial"/>
          <w:szCs w:val="20"/>
          <w:lang w:val="sl-SI" w:eastAsia="sl-SI"/>
        </w:rPr>
        <w:t>v zvezi z osmim odstavkom 37. člena Zakona o državnem tožilstvu (Uradni list RS, št. 58/11, 21/12 – ZDU-1F, 47/12, 15/13 – ZODPol, 47/13 – ZDU-1G, 48/13 – ZSKZDČEU-1, 19/15, 23/17 – ZSSve, 36/19, 139/20, 54/21 in 105/22 – ZZNŠPP)</w:t>
      </w:r>
      <w:r w:rsidRPr="00A64318">
        <w:rPr>
          <w:rFonts w:eastAsiaTheme="minorEastAsia" w:cs="Arial"/>
          <w:szCs w:val="20"/>
          <w:lang w:val="sl-SI"/>
        </w:rPr>
        <w:t xml:space="preserve">, in napredujejo na </w:t>
      </w:r>
      <w:r>
        <w:rPr>
          <w:rFonts w:eastAsiaTheme="minorEastAsia" w:cs="Arial"/>
          <w:szCs w:val="20"/>
          <w:lang w:val="sl-SI"/>
        </w:rPr>
        <w:t xml:space="preserve">državnotožilski </w:t>
      </w:r>
      <w:r w:rsidRPr="00A64318">
        <w:rPr>
          <w:rFonts w:eastAsiaTheme="minorEastAsia" w:cs="Arial"/>
          <w:szCs w:val="20"/>
          <w:lang w:val="sl-SI"/>
        </w:rPr>
        <w:t xml:space="preserve">položaj višji </w:t>
      </w:r>
      <w:r>
        <w:rPr>
          <w:rFonts w:eastAsiaTheme="minorEastAsia" w:cs="Arial"/>
          <w:szCs w:val="20"/>
          <w:lang w:val="sl-SI"/>
        </w:rPr>
        <w:t xml:space="preserve">državni tožilec </w:t>
      </w:r>
      <w:r w:rsidRPr="00A64318">
        <w:rPr>
          <w:rFonts w:eastAsiaTheme="minorEastAsia" w:cs="Arial"/>
          <w:szCs w:val="20"/>
          <w:lang w:val="sl-SI"/>
        </w:rPr>
        <w:t xml:space="preserve">svetnik, ko izpolnijo pogoje v skladu </w:t>
      </w:r>
      <w:r>
        <w:rPr>
          <w:rFonts w:eastAsiaTheme="minorEastAsia" w:cs="Arial"/>
          <w:szCs w:val="20"/>
          <w:lang w:val="sl-SI"/>
        </w:rPr>
        <w:t xml:space="preserve">z </w:t>
      </w:r>
      <w:r w:rsidRPr="00A64318">
        <w:rPr>
          <w:rFonts w:eastAsiaTheme="minorEastAsia" w:cs="Arial"/>
          <w:szCs w:val="20"/>
          <w:lang w:val="sl-SI"/>
        </w:rPr>
        <w:t>zakonom</w:t>
      </w:r>
      <w:r>
        <w:rPr>
          <w:rFonts w:eastAsiaTheme="minorEastAsia" w:cs="Arial"/>
          <w:szCs w:val="20"/>
          <w:lang w:val="sl-SI"/>
        </w:rPr>
        <w:t>, ki ureja sodnike</w:t>
      </w:r>
      <w:r w:rsidRPr="00A64318">
        <w:rPr>
          <w:rFonts w:eastAsiaTheme="minorEastAsia" w:cs="Arial"/>
          <w:szCs w:val="20"/>
          <w:lang w:val="sl-SI"/>
        </w:rPr>
        <w:t xml:space="preserve">. </w:t>
      </w:r>
    </w:p>
    <w:p w14:paraId="373079C6"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p>
    <w:p w14:paraId="59BC712D" w14:textId="77777777" w:rsidR="005331FD" w:rsidRPr="00A64318" w:rsidRDefault="005331FD" w:rsidP="005331FD">
      <w:pPr>
        <w:shd w:val="clear" w:color="auto" w:fill="FFFFFF" w:themeFill="background1"/>
        <w:spacing w:line="260" w:lineRule="exact"/>
        <w:jc w:val="both"/>
        <w:rPr>
          <w:rFonts w:eastAsiaTheme="minorEastAsia" w:cs="Arial"/>
          <w:szCs w:val="20"/>
          <w:lang w:val="sl-SI"/>
        </w:rPr>
      </w:pPr>
      <w:r w:rsidRPr="00A64318">
        <w:rPr>
          <w:rFonts w:eastAsiaTheme="minorEastAsia" w:cs="Arial"/>
          <w:szCs w:val="20"/>
          <w:lang w:val="sl-SI"/>
        </w:rPr>
        <w:t>(3) Vrhovni</w:t>
      </w:r>
      <w:r>
        <w:rPr>
          <w:rFonts w:eastAsiaTheme="minorEastAsia" w:cs="Arial"/>
          <w:szCs w:val="20"/>
          <w:lang w:val="sl-SI"/>
        </w:rPr>
        <w:t xml:space="preserve"> državni tožilci</w:t>
      </w:r>
      <w:r w:rsidRPr="00A64318">
        <w:rPr>
          <w:rFonts w:eastAsiaTheme="minorEastAsia" w:cs="Arial"/>
          <w:szCs w:val="20"/>
          <w:lang w:val="sl-SI"/>
        </w:rPr>
        <w:t xml:space="preserve">, ki so na dan začetka uporabe tega zakona </w:t>
      </w:r>
      <w:r>
        <w:rPr>
          <w:rFonts w:eastAsiaTheme="minorEastAsia" w:cs="Arial"/>
          <w:szCs w:val="20"/>
          <w:lang w:val="sl-SI"/>
        </w:rPr>
        <w:t xml:space="preserve">državnotožilsko </w:t>
      </w:r>
      <w:r w:rsidRPr="00A64318">
        <w:rPr>
          <w:rFonts w:eastAsiaTheme="minorEastAsia" w:cs="Arial"/>
          <w:szCs w:val="20"/>
          <w:lang w:val="sl-SI"/>
        </w:rPr>
        <w:t xml:space="preserve">službo opravljali v nazivu vrhovni </w:t>
      </w:r>
      <w:r>
        <w:rPr>
          <w:rFonts w:eastAsiaTheme="minorEastAsia" w:cs="Arial"/>
          <w:szCs w:val="20"/>
          <w:lang w:val="sl-SI"/>
        </w:rPr>
        <w:t xml:space="preserve">državni tožilec </w:t>
      </w:r>
      <w:r w:rsidRPr="00A64318">
        <w:rPr>
          <w:rFonts w:eastAsiaTheme="minorEastAsia" w:cs="Arial"/>
          <w:szCs w:val="20"/>
          <w:lang w:val="sl-SI"/>
        </w:rPr>
        <w:t xml:space="preserve">že šest let ali več in še niso pridobili </w:t>
      </w:r>
      <w:r>
        <w:rPr>
          <w:rFonts w:eastAsiaTheme="minorEastAsia" w:cs="Arial"/>
          <w:szCs w:val="20"/>
          <w:lang w:val="sl-SI"/>
        </w:rPr>
        <w:t xml:space="preserve">državnotožilskega </w:t>
      </w:r>
      <w:r w:rsidRPr="00A64318">
        <w:rPr>
          <w:rFonts w:eastAsiaTheme="minorEastAsia" w:cs="Arial"/>
          <w:szCs w:val="20"/>
          <w:lang w:val="sl-SI"/>
        </w:rPr>
        <w:t xml:space="preserve">položaja svetnik, se z dnem začetka uporabe tega zakona imenujejo na </w:t>
      </w:r>
      <w:r>
        <w:rPr>
          <w:rFonts w:eastAsiaTheme="minorEastAsia" w:cs="Arial"/>
          <w:szCs w:val="20"/>
          <w:lang w:val="sl-SI"/>
        </w:rPr>
        <w:t xml:space="preserve">državnotožilski </w:t>
      </w:r>
      <w:r w:rsidRPr="00A64318">
        <w:rPr>
          <w:rFonts w:eastAsiaTheme="minorEastAsia" w:cs="Arial"/>
          <w:szCs w:val="20"/>
          <w:lang w:val="sl-SI"/>
        </w:rPr>
        <w:t xml:space="preserve">položaj vrhovni </w:t>
      </w:r>
      <w:r>
        <w:rPr>
          <w:rFonts w:eastAsiaTheme="minorEastAsia" w:cs="Arial"/>
          <w:szCs w:val="20"/>
          <w:lang w:val="sl-SI"/>
        </w:rPr>
        <w:t xml:space="preserve">državni tožilec </w:t>
      </w:r>
      <w:r w:rsidRPr="00A64318">
        <w:rPr>
          <w:rFonts w:eastAsiaTheme="minorEastAsia" w:cs="Arial"/>
          <w:szCs w:val="20"/>
          <w:lang w:val="sl-SI"/>
        </w:rPr>
        <w:t>svetnik</w:t>
      </w:r>
      <w:r w:rsidRPr="00A64318">
        <w:rPr>
          <w:rFonts w:cs="Arial"/>
          <w:szCs w:val="20"/>
          <w:lang w:val="sl-SI"/>
        </w:rPr>
        <w:t xml:space="preserve"> </w:t>
      </w:r>
      <w:r w:rsidRPr="00A64318">
        <w:rPr>
          <w:rFonts w:eastAsiaTheme="minorEastAsia" w:cs="Arial"/>
          <w:szCs w:val="20"/>
          <w:lang w:val="sl-SI"/>
        </w:rPr>
        <w:t xml:space="preserve">in uvrstijo v plačni razred, določen s Prilogo 2 Zakona o skupnih temeljih sistema plač v javnem sektorju (Uradni list RS, št. 95/24) za funkcijo vrhovni </w:t>
      </w:r>
      <w:r>
        <w:rPr>
          <w:rFonts w:eastAsiaTheme="minorEastAsia" w:cs="Arial"/>
          <w:szCs w:val="20"/>
          <w:lang w:val="sl-SI"/>
        </w:rPr>
        <w:t xml:space="preserve">državni tožilec </w:t>
      </w:r>
      <w:r w:rsidRPr="00A64318">
        <w:rPr>
          <w:rFonts w:eastAsiaTheme="minorEastAsia" w:cs="Arial"/>
          <w:szCs w:val="20"/>
          <w:lang w:val="sl-SI"/>
        </w:rPr>
        <w:t>svetnik.</w:t>
      </w:r>
    </w:p>
    <w:p w14:paraId="00EB3B94" w14:textId="77777777" w:rsidR="005331FD" w:rsidRPr="001E2F2B" w:rsidRDefault="005331FD" w:rsidP="00A82F2D">
      <w:pPr>
        <w:shd w:val="clear" w:color="auto" w:fill="FFFFFF" w:themeFill="background1"/>
        <w:spacing w:line="260" w:lineRule="exact"/>
        <w:jc w:val="both"/>
        <w:rPr>
          <w:rFonts w:eastAsiaTheme="minorEastAsia" w:cs="Arial"/>
          <w:szCs w:val="20"/>
          <w:lang w:val="sl-SI"/>
        </w:rPr>
      </w:pPr>
    </w:p>
    <w:p w14:paraId="4FEE29E4" w14:textId="42BB0773" w:rsidR="00E50E82" w:rsidRDefault="00B041EF" w:rsidP="00A82F2D">
      <w:pPr>
        <w:spacing w:line="260" w:lineRule="exact"/>
        <w:jc w:val="both"/>
        <w:rPr>
          <w:rFonts w:cs="Arial"/>
          <w:szCs w:val="20"/>
          <w:lang w:val="sl-SI" w:eastAsia="sl-SI"/>
        </w:rPr>
      </w:pPr>
      <w:r>
        <w:rPr>
          <w:rFonts w:cs="Arial"/>
          <w:szCs w:val="20"/>
          <w:lang w:val="sl-SI" w:eastAsia="sl-SI"/>
        </w:rPr>
        <w:t xml:space="preserve"> </w:t>
      </w:r>
    </w:p>
    <w:p w14:paraId="56D4FC14" w14:textId="77777777" w:rsidR="0025591D" w:rsidRDefault="0025591D" w:rsidP="00A82F2D">
      <w:pPr>
        <w:spacing w:line="260" w:lineRule="exact"/>
        <w:jc w:val="both"/>
        <w:rPr>
          <w:rFonts w:cs="Arial"/>
          <w:szCs w:val="20"/>
          <w:lang w:val="sl-SI" w:eastAsia="sl-SI"/>
        </w:rPr>
      </w:pPr>
    </w:p>
    <w:p w14:paraId="43D77AE9" w14:textId="77777777" w:rsidR="0025591D" w:rsidRDefault="0025591D" w:rsidP="00A82F2D">
      <w:pPr>
        <w:spacing w:line="260" w:lineRule="exact"/>
        <w:jc w:val="both"/>
        <w:rPr>
          <w:rFonts w:cs="Arial"/>
          <w:szCs w:val="20"/>
          <w:lang w:val="sl-SI" w:eastAsia="sl-SI"/>
        </w:rPr>
      </w:pPr>
    </w:p>
    <w:p w14:paraId="3C9308D9" w14:textId="77777777" w:rsidR="0025591D" w:rsidRDefault="0025591D" w:rsidP="00A82F2D">
      <w:pPr>
        <w:spacing w:line="260" w:lineRule="exact"/>
        <w:jc w:val="both"/>
        <w:rPr>
          <w:rFonts w:cs="Arial"/>
          <w:szCs w:val="20"/>
          <w:lang w:val="sl-SI" w:eastAsia="sl-SI"/>
        </w:rPr>
      </w:pPr>
    </w:p>
    <w:p w14:paraId="6FC73C41" w14:textId="77777777" w:rsidR="0025591D" w:rsidRDefault="0025591D" w:rsidP="00A82F2D">
      <w:pPr>
        <w:spacing w:line="260" w:lineRule="exact"/>
        <w:jc w:val="both"/>
        <w:rPr>
          <w:rFonts w:cs="Arial"/>
          <w:szCs w:val="20"/>
          <w:lang w:val="sl-SI" w:eastAsia="sl-SI"/>
        </w:rPr>
      </w:pPr>
    </w:p>
    <w:p w14:paraId="495F7822" w14:textId="77777777" w:rsidR="0025591D" w:rsidRDefault="0025591D" w:rsidP="00A82F2D">
      <w:pPr>
        <w:spacing w:line="260" w:lineRule="exact"/>
        <w:jc w:val="both"/>
        <w:rPr>
          <w:rFonts w:cs="Arial"/>
          <w:szCs w:val="20"/>
          <w:lang w:val="sl-SI" w:eastAsia="sl-SI"/>
        </w:rPr>
      </w:pPr>
    </w:p>
    <w:p w14:paraId="66559A7A" w14:textId="77777777" w:rsidR="00E50E82" w:rsidRPr="00E50E82" w:rsidRDefault="00E50E82" w:rsidP="00E50E82">
      <w:pPr>
        <w:spacing w:line="260" w:lineRule="exact"/>
        <w:jc w:val="center"/>
        <w:rPr>
          <w:rFonts w:cs="Arial"/>
          <w:b/>
          <w:bCs/>
          <w:szCs w:val="20"/>
          <w:lang w:val="sl-SI" w:eastAsia="sl-SI"/>
        </w:rPr>
      </w:pPr>
      <w:r w:rsidRPr="00E50E82">
        <w:rPr>
          <w:rFonts w:cs="Arial"/>
          <w:b/>
          <w:bCs/>
          <w:szCs w:val="20"/>
          <w:lang w:val="sl-SI" w:eastAsia="sl-SI"/>
        </w:rPr>
        <w:t>28. člen</w:t>
      </w:r>
    </w:p>
    <w:p w14:paraId="7D1418E0" w14:textId="740B8599" w:rsidR="00E50E82" w:rsidRPr="00E50E82" w:rsidRDefault="00E50E82" w:rsidP="00E50E82">
      <w:pPr>
        <w:spacing w:line="260" w:lineRule="exact"/>
        <w:jc w:val="center"/>
        <w:rPr>
          <w:rFonts w:cs="Arial"/>
          <w:b/>
          <w:bCs/>
          <w:szCs w:val="20"/>
          <w:lang w:val="sl-SI" w:eastAsia="sl-SI"/>
        </w:rPr>
      </w:pPr>
      <w:r w:rsidRPr="00E50E82">
        <w:rPr>
          <w:rFonts w:cs="Arial"/>
          <w:b/>
          <w:bCs/>
          <w:szCs w:val="20"/>
          <w:lang w:val="sl-SI" w:eastAsia="sl-SI"/>
        </w:rPr>
        <w:t>(</w:t>
      </w:r>
      <w:r w:rsidR="004E6AD7">
        <w:rPr>
          <w:rFonts w:cs="Arial"/>
          <w:b/>
          <w:bCs/>
          <w:szCs w:val="20"/>
          <w:lang w:val="sl-SI" w:eastAsia="sl-SI"/>
        </w:rPr>
        <w:t xml:space="preserve">prehodna ureditev </w:t>
      </w:r>
      <w:r w:rsidRPr="00E50E82">
        <w:rPr>
          <w:rFonts w:cs="Arial"/>
          <w:b/>
          <w:bCs/>
          <w:szCs w:val="20"/>
          <w:lang w:val="sl-SI" w:eastAsia="sl-SI"/>
        </w:rPr>
        <w:t>ocenjevanj</w:t>
      </w:r>
      <w:r w:rsidR="004E6AD7">
        <w:rPr>
          <w:rFonts w:cs="Arial"/>
          <w:b/>
          <w:bCs/>
          <w:szCs w:val="20"/>
          <w:lang w:val="sl-SI" w:eastAsia="sl-SI"/>
        </w:rPr>
        <w:t>a</w:t>
      </w:r>
      <w:r w:rsidRPr="00E50E82">
        <w:rPr>
          <w:rFonts w:cs="Arial"/>
          <w:b/>
          <w:bCs/>
          <w:szCs w:val="20"/>
          <w:lang w:val="sl-SI" w:eastAsia="sl-SI"/>
        </w:rPr>
        <w:t xml:space="preserve"> in napredovanj</w:t>
      </w:r>
      <w:r w:rsidR="004E6AD7">
        <w:rPr>
          <w:rFonts w:cs="Arial"/>
          <w:b/>
          <w:bCs/>
          <w:szCs w:val="20"/>
          <w:lang w:val="sl-SI" w:eastAsia="sl-SI"/>
        </w:rPr>
        <w:t>a</w:t>
      </w:r>
      <w:r w:rsidRPr="00E50E82">
        <w:rPr>
          <w:rFonts w:cs="Arial"/>
          <w:b/>
          <w:bCs/>
          <w:szCs w:val="20"/>
          <w:lang w:val="sl-SI" w:eastAsia="sl-SI"/>
        </w:rPr>
        <w:t>)</w:t>
      </w:r>
    </w:p>
    <w:p w14:paraId="070B526C" w14:textId="77777777" w:rsidR="00E50E82" w:rsidRDefault="00E50E82" w:rsidP="00E50E82">
      <w:pPr>
        <w:spacing w:line="260" w:lineRule="exact"/>
        <w:jc w:val="center"/>
        <w:rPr>
          <w:rFonts w:cs="Arial"/>
          <w:szCs w:val="20"/>
          <w:lang w:val="sl-SI" w:eastAsia="sl-SI"/>
        </w:rPr>
      </w:pPr>
    </w:p>
    <w:p w14:paraId="5865B540" w14:textId="39C56114" w:rsidR="00E50E82" w:rsidRDefault="00E50E82" w:rsidP="00E50E82">
      <w:pPr>
        <w:spacing w:line="260" w:lineRule="exact"/>
        <w:jc w:val="both"/>
        <w:rPr>
          <w:rFonts w:cs="Arial"/>
          <w:szCs w:val="20"/>
          <w:lang w:val="sl-SI" w:eastAsia="sl-SI"/>
        </w:rPr>
      </w:pPr>
      <w:r w:rsidRPr="00CC12E6">
        <w:rPr>
          <w:rFonts w:cs="Arial"/>
          <w:szCs w:val="20"/>
          <w:lang w:val="sl-SI" w:eastAsia="sl-SI"/>
        </w:rPr>
        <w:t>(</w:t>
      </w:r>
      <w:r>
        <w:rPr>
          <w:rFonts w:cs="Arial"/>
          <w:szCs w:val="20"/>
          <w:lang w:val="sl-SI" w:eastAsia="sl-SI"/>
        </w:rPr>
        <w:t>1</w:t>
      </w:r>
      <w:r w:rsidRPr="00CC12E6">
        <w:rPr>
          <w:rFonts w:cs="Arial"/>
          <w:szCs w:val="20"/>
          <w:lang w:val="sl-SI" w:eastAsia="sl-SI"/>
        </w:rPr>
        <w:t xml:space="preserve">) Za okrajne </w:t>
      </w:r>
      <w:r>
        <w:rPr>
          <w:rFonts w:cs="Arial"/>
          <w:szCs w:val="20"/>
          <w:lang w:val="sl-SI" w:eastAsia="sl-SI"/>
        </w:rPr>
        <w:t xml:space="preserve">državne tožilce </w:t>
      </w:r>
      <w:r w:rsidRPr="00CC12E6">
        <w:rPr>
          <w:rFonts w:cs="Arial"/>
          <w:szCs w:val="20"/>
          <w:lang w:val="sl-SI" w:eastAsia="sl-SI"/>
        </w:rPr>
        <w:t xml:space="preserve">iz prvega odstavka </w:t>
      </w:r>
      <w:r>
        <w:rPr>
          <w:rFonts w:cs="Arial"/>
          <w:szCs w:val="20"/>
          <w:lang w:val="sl-SI" w:eastAsia="sl-SI"/>
        </w:rPr>
        <w:t>2</w:t>
      </w:r>
      <w:r w:rsidRPr="00CC12E6">
        <w:rPr>
          <w:rFonts w:cs="Arial"/>
          <w:szCs w:val="20"/>
          <w:lang w:val="sl-SI" w:eastAsia="sl-SI"/>
        </w:rPr>
        <w:t xml:space="preserve">6. člena tega zakona, ki do 1. januarja 2027 </w:t>
      </w:r>
      <w:r>
        <w:rPr>
          <w:rFonts w:cs="Arial"/>
          <w:szCs w:val="20"/>
          <w:lang w:val="sl-SI" w:eastAsia="sl-SI"/>
        </w:rPr>
        <w:t xml:space="preserve">državnotožilske </w:t>
      </w:r>
      <w:r w:rsidRPr="00CC12E6">
        <w:rPr>
          <w:rFonts w:cs="Arial"/>
          <w:szCs w:val="20"/>
          <w:lang w:val="sl-SI" w:eastAsia="sl-SI"/>
        </w:rPr>
        <w:t>službe še ne opravljajo tri leta, se ocena njihovega dela do poteka</w:t>
      </w:r>
      <w:r>
        <w:rPr>
          <w:rFonts w:cs="Arial"/>
          <w:szCs w:val="20"/>
          <w:lang w:val="sl-SI" w:eastAsia="sl-SI"/>
        </w:rPr>
        <w:t xml:space="preserve"> obdobja prvih treh let po njihovem imenovanju </w:t>
      </w:r>
      <w:r w:rsidRPr="00CC12E6">
        <w:rPr>
          <w:rFonts w:cs="Arial"/>
          <w:szCs w:val="20"/>
          <w:lang w:val="sl-SI" w:eastAsia="sl-SI"/>
        </w:rPr>
        <w:t xml:space="preserve">izdela vsako leto. Ti </w:t>
      </w:r>
      <w:r>
        <w:rPr>
          <w:rFonts w:cs="Arial"/>
          <w:szCs w:val="20"/>
          <w:lang w:val="sl-SI" w:eastAsia="sl-SI"/>
        </w:rPr>
        <w:t xml:space="preserve">državni tožilci </w:t>
      </w:r>
      <w:r w:rsidR="00EB5E6D" w:rsidRPr="008076C2">
        <w:rPr>
          <w:rFonts w:cs="Arial"/>
          <w:szCs w:val="20"/>
          <w:lang w:val="sl-SI" w:eastAsia="sl-SI"/>
        </w:rPr>
        <w:t xml:space="preserve">lahko </w:t>
      </w:r>
      <w:r w:rsidRPr="00CC12E6">
        <w:rPr>
          <w:rFonts w:cs="Arial"/>
          <w:szCs w:val="20"/>
          <w:lang w:val="sl-SI" w:eastAsia="sl-SI"/>
        </w:rPr>
        <w:t xml:space="preserve">prvič napredujejo na podlagi prve redne ocene </w:t>
      </w:r>
      <w:r w:rsidRPr="003020BE">
        <w:rPr>
          <w:rFonts w:cs="Arial"/>
          <w:szCs w:val="20"/>
          <w:lang w:val="sl-SI" w:eastAsia="sl-SI"/>
        </w:rPr>
        <w:t>državnotožilske službe</w:t>
      </w:r>
      <w:r>
        <w:rPr>
          <w:rFonts w:cs="Arial"/>
          <w:szCs w:val="20"/>
          <w:lang w:val="sl-SI" w:eastAsia="sl-SI"/>
        </w:rPr>
        <w:t xml:space="preserve">, </w:t>
      </w:r>
      <w:r w:rsidR="00EB5E6D" w:rsidRPr="009C3C45">
        <w:rPr>
          <w:rFonts w:cs="Arial"/>
          <w:szCs w:val="20"/>
          <w:lang w:val="sl-SI" w:eastAsia="sl-SI"/>
        </w:rPr>
        <w:t xml:space="preserve">ki bo </w:t>
      </w:r>
      <w:r w:rsidR="00211660" w:rsidRPr="009C3C45">
        <w:rPr>
          <w:rFonts w:cs="Arial"/>
          <w:szCs w:val="20"/>
          <w:lang w:val="sl-SI" w:eastAsia="sl-SI"/>
        </w:rPr>
        <w:t xml:space="preserve">izdelana </w:t>
      </w:r>
      <w:r w:rsidR="00587955" w:rsidRPr="009C3C45">
        <w:rPr>
          <w:rFonts w:cs="Arial"/>
          <w:szCs w:val="20"/>
          <w:lang w:val="sl-SI" w:eastAsia="sl-SI"/>
        </w:rPr>
        <w:t xml:space="preserve">v skladu z </w:t>
      </w:r>
      <w:r w:rsidRPr="009C3C45">
        <w:rPr>
          <w:rFonts w:cs="Arial"/>
          <w:szCs w:val="20"/>
          <w:lang w:val="sl-SI" w:eastAsia="sl-SI"/>
        </w:rPr>
        <w:t>določba</w:t>
      </w:r>
      <w:r w:rsidR="00587955" w:rsidRPr="009C3C45">
        <w:rPr>
          <w:rFonts w:cs="Arial"/>
          <w:szCs w:val="20"/>
          <w:lang w:val="sl-SI" w:eastAsia="sl-SI"/>
        </w:rPr>
        <w:t>mi</w:t>
      </w:r>
      <w:r w:rsidRPr="009C3C45">
        <w:rPr>
          <w:rFonts w:cs="Arial"/>
          <w:szCs w:val="20"/>
          <w:lang w:val="sl-SI" w:eastAsia="sl-SI"/>
        </w:rPr>
        <w:t xml:space="preserve"> o rednem ocenjevanju </w:t>
      </w:r>
      <w:r w:rsidR="00EB5E6D" w:rsidRPr="009C3C45">
        <w:rPr>
          <w:rFonts w:cs="Arial"/>
          <w:szCs w:val="20"/>
          <w:lang w:val="sl-SI" w:eastAsia="sl-SI"/>
        </w:rPr>
        <w:t>sodnikov</w:t>
      </w:r>
      <w:r w:rsidR="00587955" w:rsidRPr="009C3C45">
        <w:rPr>
          <w:rFonts w:cs="Arial"/>
          <w:szCs w:val="20"/>
          <w:lang w:val="sl-SI" w:eastAsia="sl-SI"/>
        </w:rPr>
        <w:t xml:space="preserve"> po </w:t>
      </w:r>
      <w:r w:rsidRPr="009C3C45">
        <w:rPr>
          <w:rFonts w:cs="Arial"/>
          <w:szCs w:val="20"/>
          <w:lang w:val="sl-SI" w:eastAsia="sl-SI"/>
        </w:rPr>
        <w:t>zakon</w:t>
      </w:r>
      <w:r w:rsidR="00587955" w:rsidRPr="009C3C45">
        <w:rPr>
          <w:rFonts w:cs="Arial"/>
          <w:szCs w:val="20"/>
          <w:lang w:val="sl-SI" w:eastAsia="sl-SI"/>
        </w:rPr>
        <w:t>u</w:t>
      </w:r>
      <w:r w:rsidRPr="009C3C45">
        <w:rPr>
          <w:rFonts w:cs="Arial"/>
          <w:szCs w:val="20"/>
          <w:lang w:val="sl-SI" w:eastAsia="sl-SI"/>
        </w:rPr>
        <w:t>, ki ureja sodnike</w:t>
      </w:r>
      <w:r w:rsidRPr="00171821">
        <w:rPr>
          <w:rFonts w:cs="Arial"/>
          <w:szCs w:val="20"/>
          <w:lang w:val="sl-SI" w:eastAsia="sl-SI"/>
        </w:rPr>
        <w:t>.</w:t>
      </w:r>
    </w:p>
    <w:p w14:paraId="50E7450C" w14:textId="4C598F29" w:rsidR="00E50E82" w:rsidRDefault="00E50E82" w:rsidP="00E50E82">
      <w:pPr>
        <w:spacing w:line="260" w:lineRule="exact"/>
        <w:jc w:val="both"/>
        <w:rPr>
          <w:rFonts w:cs="Arial"/>
          <w:szCs w:val="20"/>
          <w:lang w:val="sl-SI" w:eastAsia="sl-SI"/>
        </w:rPr>
      </w:pPr>
      <w:r w:rsidRPr="00CC12E6">
        <w:rPr>
          <w:rFonts w:cs="Arial"/>
          <w:szCs w:val="20"/>
          <w:lang w:val="sl-SI" w:eastAsia="sl-SI"/>
        </w:rPr>
        <w:t xml:space="preserve"> </w:t>
      </w:r>
      <w:r w:rsidRPr="00CC12E6">
        <w:rPr>
          <w:rFonts w:cs="Arial"/>
          <w:szCs w:val="20"/>
          <w:lang w:val="sl-SI" w:eastAsia="sl-SI"/>
        </w:rPr>
        <w:br/>
        <w:t xml:space="preserve">(2) Okrajnim </w:t>
      </w:r>
      <w:r>
        <w:rPr>
          <w:rFonts w:cs="Arial"/>
          <w:szCs w:val="20"/>
          <w:lang w:val="sl-SI" w:eastAsia="sl-SI"/>
        </w:rPr>
        <w:t xml:space="preserve">državnim tožilcem </w:t>
      </w:r>
      <w:r w:rsidRPr="00CC12E6">
        <w:rPr>
          <w:rFonts w:cs="Arial"/>
          <w:szCs w:val="20"/>
          <w:lang w:val="sl-SI" w:eastAsia="sl-SI"/>
        </w:rPr>
        <w:t xml:space="preserve">iz prvega odstavka </w:t>
      </w:r>
      <w:r>
        <w:rPr>
          <w:rFonts w:cs="Arial"/>
          <w:szCs w:val="20"/>
          <w:lang w:val="sl-SI" w:eastAsia="sl-SI"/>
        </w:rPr>
        <w:t>2</w:t>
      </w:r>
      <w:r w:rsidRPr="00CC12E6">
        <w:rPr>
          <w:rFonts w:cs="Arial"/>
          <w:szCs w:val="20"/>
          <w:lang w:val="sl-SI" w:eastAsia="sl-SI"/>
        </w:rPr>
        <w:t xml:space="preserve">6. člena tega zakona, ki </w:t>
      </w:r>
      <w:r>
        <w:rPr>
          <w:rFonts w:cs="Arial"/>
          <w:szCs w:val="20"/>
          <w:lang w:val="sl-SI" w:eastAsia="sl-SI"/>
        </w:rPr>
        <w:t xml:space="preserve">državnotožilsko </w:t>
      </w:r>
      <w:r w:rsidRPr="00CC12E6">
        <w:rPr>
          <w:rFonts w:cs="Arial"/>
          <w:szCs w:val="20"/>
          <w:lang w:val="sl-SI" w:eastAsia="sl-SI"/>
        </w:rPr>
        <w:t xml:space="preserve">službo </w:t>
      </w:r>
      <w:r w:rsidR="00511A23">
        <w:rPr>
          <w:rFonts w:cs="Arial"/>
          <w:szCs w:val="20"/>
          <w:lang w:val="sl-SI" w:eastAsia="sl-SI"/>
        </w:rPr>
        <w:t>do</w:t>
      </w:r>
      <w:r w:rsidRPr="00CC12E6">
        <w:rPr>
          <w:rFonts w:cs="Arial"/>
          <w:szCs w:val="20"/>
          <w:lang w:val="sl-SI" w:eastAsia="sl-SI"/>
        </w:rPr>
        <w:t xml:space="preserve"> 1. januarj</w:t>
      </w:r>
      <w:r w:rsidR="00511A23">
        <w:rPr>
          <w:rFonts w:cs="Arial"/>
          <w:szCs w:val="20"/>
          <w:lang w:val="sl-SI" w:eastAsia="sl-SI"/>
        </w:rPr>
        <w:t>a</w:t>
      </w:r>
      <w:r w:rsidRPr="00CC12E6">
        <w:rPr>
          <w:rFonts w:cs="Arial"/>
          <w:szCs w:val="20"/>
          <w:lang w:val="sl-SI" w:eastAsia="sl-SI"/>
        </w:rPr>
        <w:t xml:space="preserve"> 2027 opravljajo več kot tri leta, se časovno obdobje za izdelavo ocene </w:t>
      </w:r>
      <w:r>
        <w:rPr>
          <w:rFonts w:cs="Arial"/>
          <w:szCs w:val="20"/>
          <w:lang w:val="sl-SI" w:eastAsia="sl-SI"/>
        </w:rPr>
        <w:t xml:space="preserve">državnotožilske </w:t>
      </w:r>
      <w:r w:rsidRPr="00CC12E6">
        <w:rPr>
          <w:rFonts w:cs="Arial"/>
          <w:szCs w:val="20"/>
          <w:lang w:val="sl-SI" w:eastAsia="sl-SI"/>
        </w:rPr>
        <w:t xml:space="preserve">službe prekine in začne teči znova z začetkom uporabe tega zakona. Ti </w:t>
      </w:r>
      <w:r>
        <w:rPr>
          <w:rFonts w:cs="Arial"/>
          <w:szCs w:val="20"/>
          <w:lang w:val="sl-SI" w:eastAsia="sl-SI"/>
        </w:rPr>
        <w:t xml:space="preserve">državni </w:t>
      </w:r>
      <w:r w:rsidRPr="009C3C45">
        <w:rPr>
          <w:rFonts w:cs="Arial"/>
          <w:szCs w:val="20"/>
          <w:lang w:val="sl-SI" w:eastAsia="sl-SI"/>
        </w:rPr>
        <w:t xml:space="preserve">tožilci </w:t>
      </w:r>
      <w:r w:rsidR="00DA41AF" w:rsidRPr="009C3C45">
        <w:rPr>
          <w:rFonts w:cs="Arial"/>
          <w:szCs w:val="20"/>
          <w:lang w:val="sl-SI" w:eastAsia="sl-SI"/>
        </w:rPr>
        <w:t xml:space="preserve">lahko </w:t>
      </w:r>
      <w:r w:rsidRPr="00CC12E6">
        <w:rPr>
          <w:rFonts w:cs="Arial"/>
          <w:szCs w:val="20"/>
          <w:lang w:val="sl-SI" w:eastAsia="sl-SI"/>
        </w:rPr>
        <w:t xml:space="preserve">napredujejo na podlagi prve redne ocene </w:t>
      </w:r>
      <w:r>
        <w:rPr>
          <w:rFonts w:cs="Arial"/>
          <w:szCs w:val="20"/>
          <w:lang w:val="sl-SI" w:eastAsia="sl-SI"/>
        </w:rPr>
        <w:t xml:space="preserve">državnotožilske službe, </w:t>
      </w:r>
      <w:bookmarkStart w:id="17" w:name="_Hlk195259211"/>
      <w:r w:rsidR="009C3C45" w:rsidRPr="009C3C45">
        <w:rPr>
          <w:rFonts w:cs="Arial"/>
          <w:szCs w:val="20"/>
          <w:lang w:val="sl-SI" w:eastAsia="sl-SI"/>
        </w:rPr>
        <w:t>ki bo izdelana v skladu z določbami o rednem ocenjevanju sodnikov po zakonu, ki ureja sodnike.</w:t>
      </w:r>
    </w:p>
    <w:bookmarkEnd w:id="17"/>
    <w:p w14:paraId="5350AD4F" w14:textId="48935E46" w:rsidR="00E50E82" w:rsidRPr="00A4445D" w:rsidRDefault="00E50E82" w:rsidP="00E50E82">
      <w:pPr>
        <w:spacing w:line="260" w:lineRule="exact"/>
        <w:jc w:val="both"/>
        <w:rPr>
          <w:rFonts w:cs="Arial"/>
          <w:szCs w:val="20"/>
          <w:lang w:val="sl-SI" w:eastAsia="sl-SI"/>
        </w:rPr>
      </w:pPr>
      <w:r w:rsidRPr="00CC12E6">
        <w:rPr>
          <w:rFonts w:cs="Arial"/>
          <w:szCs w:val="20"/>
          <w:lang w:val="sl-SI" w:eastAsia="sl-SI"/>
        </w:rPr>
        <w:br/>
        <w:t xml:space="preserve">(3) Okrajnim </w:t>
      </w:r>
      <w:r>
        <w:rPr>
          <w:rFonts w:cs="Arial"/>
          <w:szCs w:val="20"/>
          <w:lang w:val="sl-SI" w:eastAsia="sl-SI"/>
        </w:rPr>
        <w:t xml:space="preserve">državnim tožilcem </w:t>
      </w:r>
      <w:r w:rsidRPr="00CC12E6">
        <w:rPr>
          <w:rFonts w:cs="Arial"/>
          <w:szCs w:val="20"/>
          <w:lang w:val="sl-SI" w:eastAsia="sl-SI"/>
        </w:rPr>
        <w:t xml:space="preserve">iz drugega do četrtega odstavka </w:t>
      </w:r>
      <w:r>
        <w:rPr>
          <w:rFonts w:cs="Arial"/>
          <w:szCs w:val="20"/>
          <w:lang w:val="sl-SI" w:eastAsia="sl-SI"/>
        </w:rPr>
        <w:t>2</w:t>
      </w:r>
      <w:r w:rsidRPr="00CC12E6">
        <w:rPr>
          <w:rFonts w:cs="Arial"/>
          <w:szCs w:val="20"/>
          <w:lang w:val="sl-SI" w:eastAsia="sl-SI"/>
        </w:rPr>
        <w:t>6. člena tega zakona, okrožnim in višjim</w:t>
      </w:r>
      <w:r>
        <w:rPr>
          <w:rFonts w:cs="Arial"/>
          <w:szCs w:val="20"/>
          <w:lang w:val="sl-SI" w:eastAsia="sl-SI"/>
        </w:rPr>
        <w:t xml:space="preserve"> državnim tožilcem</w:t>
      </w:r>
      <w:r w:rsidRPr="00CC12E6">
        <w:rPr>
          <w:rFonts w:cs="Arial"/>
          <w:szCs w:val="20"/>
          <w:lang w:val="sl-SI" w:eastAsia="sl-SI"/>
        </w:rPr>
        <w:t xml:space="preserve">, ki so na dan začetka uporabe tega zakona </w:t>
      </w:r>
      <w:r>
        <w:rPr>
          <w:rFonts w:cs="Arial"/>
          <w:szCs w:val="20"/>
          <w:lang w:val="sl-SI" w:eastAsia="sl-SI"/>
        </w:rPr>
        <w:t xml:space="preserve">državnotožilsko </w:t>
      </w:r>
      <w:r w:rsidRPr="00CC12E6">
        <w:rPr>
          <w:rFonts w:cs="Arial"/>
          <w:szCs w:val="20"/>
          <w:lang w:val="sl-SI" w:eastAsia="sl-SI"/>
        </w:rPr>
        <w:t>službo opravljali v nazivu okrožni ali višji</w:t>
      </w:r>
      <w:r>
        <w:rPr>
          <w:rFonts w:cs="Arial"/>
          <w:szCs w:val="20"/>
          <w:lang w:val="sl-SI" w:eastAsia="sl-SI"/>
        </w:rPr>
        <w:t xml:space="preserve"> državni tožilec</w:t>
      </w:r>
      <w:r w:rsidRPr="00CC12E6">
        <w:rPr>
          <w:rFonts w:cs="Arial"/>
          <w:szCs w:val="20"/>
          <w:lang w:val="sl-SI" w:eastAsia="sl-SI"/>
        </w:rPr>
        <w:t xml:space="preserve">, se časovno obdobje za izdelavo ocene </w:t>
      </w:r>
      <w:r>
        <w:rPr>
          <w:rFonts w:cs="Arial"/>
          <w:szCs w:val="20"/>
          <w:lang w:val="sl-SI" w:eastAsia="sl-SI"/>
        </w:rPr>
        <w:t xml:space="preserve">državnotožilske </w:t>
      </w:r>
      <w:r w:rsidRPr="00CC12E6">
        <w:rPr>
          <w:rFonts w:cs="Arial"/>
          <w:szCs w:val="20"/>
          <w:lang w:val="sl-SI" w:eastAsia="sl-SI"/>
        </w:rPr>
        <w:t>službe iz prvega in drugega odstavka 31. člena Zakona o sodniški službi (Uradni list RS, št. 94/07 – uradno prečiščeno besedilo, 91/09, 33/11, 46/13, 63/13, 69/13 – popr., 95/14 – ZUPPJS15, 17/15, 23/17, 36/19 – ZDT-1C, 34/23 – odl. US in 76/23)</w:t>
      </w:r>
      <w:r>
        <w:rPr>
          <w:rFonts w:cs="Arial"/>
          <w:szCs w:val="20"/>
          <w:lang w:val="sl-SI" w:eastAsia="sl-SI"/>
        </w:rPr>
        <w:t xml:space="preserve"> </w:t>
      </w:r>
      <w:r w:rsidRPr="00A4445D">
        <w:rPr>
          <w:rFonts w:cs="Arial"/>
          <w:szCs w:val="20"/>
          <w:lang w:val="sl-SI" w:eastAsia="sl-SI"/>
        </w:rPr>
        <w:t xml:space="preserve">v </w:t>
      </w:r>
      <w:r w:rsidR="005A4037" w:rsidRPr="00A4445D">
        <w:rPr>
          <w:rFonts w:cs="Arial"/>
          <w:szCs w:val="20"/>
          <w:lang w:val="sl-SI" w:eastAsia="sl-SI"/>
        </w:rPr>
        <w:t xml:space="preserve">zvezi </w:t>
      </w:r>
      <w:r w:rsidRPr="006A565A">
        <w:rPr>
          <w:rFonts w:cs="Arial"/>
          <w:szCs w:val="20"/>
          <w:lang w:val="sl-SI" w:eastAsia="sl-SI"/>
        </w:rPr>
        <w:t>z osmim odstavkom 37. člena Zakona o državnem tožilstvu (Uradni list RS, št. 58/11, 21/12 – ZDU-1F, 47/12, 15/13 – ZODPol, 47/13 – ZDU-1G, 48/13 – ZSKZDČEU-1, 19/15, 23/17 – ZSSve, 36/19, 139/20, 54/21 in 105/22 – ZZNŠPP)</w:t>
      </w:r>
      <w:r w:rsidRPr="00CC12E6">
        <w:rPr>
          <w:rFonts w:cs="Arial"/>
          <w:szCs w:val="20"/>
          <w:lang w:val="sl-SI" w:eastAsia="sl-SI"/>
        </w:rPr>
        <w:t xml:space="preserve">, ki je preteklo od poteka obdobja za izdelavo zadnje ocene </w:t>
      </w:r>
      <w:r>
        <w:rPr>
          <w:rFonts w:cs="Arial"/>
          <w:szCs w:val="20"/>
          <w:lang w:val="sl-SI" w:eastAsia="sl-SI"/>
        </w:rPr>
        <w:t xml:space="preserve">državnotožilske </w:t>
      </w:r>
      <w:r w:rsidRPr="00CC12E6">
        <w:rPr>
          <w:rFonts w:cs="Arial"/>
          <w:szCs w:val="20"/>
          <w:lang w:val="sl-SI" w:eastAsia="sl-SI"/>
        </w:rPr>
        <w:t xml:space="preserve">službe do 1. januarja 2027, všteje v časovno </w:t>
      </w:r>
      <w:r w:rsidRPr="00A4445D">
        <w:rPr>
          <w:rFonts w:cs="Arial"/>
          <w:szCs w:val="20"/>
          <w:lang w:val="sl-SI" w:eastAsia="sl-SI"/>
        </w:rPr>
        <w:t>obdobje za izdelavo ocene državnotožilske službe</w:t>
      </w:r>
      <w:r w:rsidR="00A4445D" w:rsidRPr="00A4445D">
        <w:rPr>
          <w:rFonts w:cs="Arial"/>
          <w:szCs w:val="20"/>
          <w:lang w:val="sl-SI" w:eastAsia="sl-SI"/>
        </w:rPr>
        <w:t>, ki bo izdelana v skladu z določbami o rednem ocenjevanju sodnikov po zakonu, ki ureja sodnike.</w:t>
      </w:r>
    </w:p>
    <w:bookmarkEnd w:id="13"/>
    <w:p w14:paraId="2DA4AC41" w14:textId="77777777" w:rsidR="00331D90" w:rsidRDefault="00331D90" w:rsidP="00A82F2D">
      <w:pPr>
        <w:spacing w:line="260" w:lineRule="exact"/>
        <w:jc w:val="both"/>
        <w:rPr>
          <w:rFonts w:eastAsiaTheme="minorEastAsia" w:cs="Arial"/>
          <w:bCs/>
          <w:szCs w:val="20"/>
          <w:lang w:val="sl-SI"/>
        </w:rPr>
      </w:pPr>
    </w:p>
    <w:p w14:paraId="24D3C6C0" w14:textId="77777777" w:rsidR="009F71DE" w:rsidRPr="008D7697" w:rsidRDefault="009F71DE" w:rsidP="00A82F2D">
      <w:pPr>
        <w:spacing w:line="260" w:lineRule="exact"/>
        <w:jc w:val="both"/>
        <w:rPr>
          <w:rFonts w:eastAsiaTheme="minorEastAsia" w:cs="Arial"/>
          <w:bCs/>
          <w:szCs w:val="20"/>
          <w:lang w:val="sl-SI"/>
        </w:rPr>
      </w:pPr>
    </w:p>
    <w:p w14:paraId="2170F269" w14:textId="6AA96E40" w:rsidR="00331D90" w:rsidRPr="008D7697" w:rsidRDefault="00331D90" w:rsidP="00A82F2D">
      <w:pPr>
        <w:spacing w:line="260" w:lineRule="exact"/>
        <w:jc w:val="center"/>
        <w:rPr>
          <w:rFonts w:eastAsiaTheme="minorEastAsia" w:cs="Arial"/>
          <w:b/>
          <w:szCs w:val="20"/>
          <w:lang w:val="sl-SI"/>
        </w:rPr>
      </w:pPr>
      <w:r w:rsidRPr="008D7697">
        <w:rPr>
          <w:rFonts w:eastAsiaTheme="minorEastAsia" w:cs="Arial"/>
          <w:b/>
          <w:szCs w:val="20"/>
          <w:lang w:val="sl-SI"/>
        </w:rPr>
        <w:t>2</w:t>
      </w:r>
      <w:r w:rsidR="0048782B">
        <w:rPr>
          <w:rFonts w:eastAsiaTheme="minorEastAsia" w:cs="Arial"/>
          <w:b/>
          <w:szCs w:val="20"/>
          <w:lang w:val="sl-SI"/>
        </w:rPr>
        <w:t>9</w:t>
      </w:r>
      <w:r w:rsidRPr="008D7697">
        <w:rPr>
          <w:rFonts w:eastAsiaTheme="minorEastAsia" w:cs="Arial"/>
          <w:b/>
          <w:szCs w:val="20"/>
          <w:lang w:val="sl-SI"/>
        </w:rPr>
        <w:t>. člen</w:t>
      </w:r>
    </w:p>
    <w:p w14:paraId="051073D9" w14:textId="5EEEF3B6" w:rsidR="00331D90" w:rsidRPr="008D7697" w:rsidRDefault="00331D90" w:rsidP="00A82F2D">
      <w:pPr>
        <w:spacing w:line="260" w:lineRule="exact"/>
        <w:jc w:val="center"/>
        <w:rPr>
          <w:rFonts w:eastAsiaTheme="minorEastAsia" w:cs="Arial"/>
          <w:b/>
          <w:szCs w:val="20"/>
          <w:lang w:val="sl-SI"/>
        </w:rPr>
      </w:pPr>
      <w:r w:rsidRPr="008D7697">
        <w:rPr>
          <w:rFonts w:eastAsiaTheme="minorEastAsia" w:cs="Arial"/>
          <w:b/>
          <w:szCs w:val="20"/>
          <w:lang w:val="sl-SI"/>
        </w:rPr>
        <w:t>(</w:t>
      </w:r>
      <w:r w:rsidR="00085E13">
        <w:rPr>
          <w:rFonts w:eastAsiaTheme="minorEastAsia" w:cs="Arial"/>
          <w:b/>
          <w:szCs w:val="20"/>
          <w:lang w:val="sl-SI"/>
        </w:rPr>
        <w:t xml:space="preserve">uskladitev </w:t>
      </w:r>
      <w:r w:rsidRPr="008D7697">
        <w:rPr>
          <w:rFonts w:eastAsiaTheme="minorEastAsia" w:cs="Arial"/>
          <w:b/>
          <w:szCs w:val="20"/>
          <w:lang w:val="sl-SI"/>
        </w:rPr>
        <w:t>Zakona o skupnih temeljih sistema plač v javnem sektorju)</w:t>
      </w:r>
    </w:p>
    <w:p w14:paraId="0327434D" w14:textId="77777777" w:rsidR="00085E13" w:rsidRPr="00B9520C" w:rsidRDefault="00085E13" w:rsidP="00A82F2D">
      <w:pPr>
        <w:spacing w:line="260" w:lineRule="exact"/>
        <w:jc w:val="both"/>
        <w:rPr>
          <w:rFonts w:eastAsiaTheme="minorEastAsia" w:cs="Arial"/>
          <w:bCs/>
          <w:szCs w:val="20"/>
          <w:lang w:val="sl-SI"/>
        </w:rPr>
      </w:pPr>
      <w:bookmarkStart w:id="18" w:name="_Hlk182992907"/>
    </w:p>
    <w:p w14:paraId="144DA336" w14:textId="77777777" w:rsidR="00085E13" w:rsidRDefault="00085E13" w:rsidP="00A82F2D">
      <w:pPr>
        <w:spacing w:line="260" w:lineRule="exact"/>
        <w:jc w:val="both"/>
        <w:rPr>
          <w:rFonts w:eastAsiaTheme="minorEastAsia" w:cs="Arial"/>
          <w:bCs/>
          <w:szCs w:val="20"/>
          <w:lang w:val="sl-SI"/>
        </w:rPr>
      </w:pPr>
      <w:r>
        <w:rPr>
          <w:rFonts w:eastAsiaTheme="minorEastAsia" w:cs="Arial"/>
          <w:bCs/>
          <w:szCs w:val="20"/>
          <w:lang w:val="sl-SI"/>
        </w:rPr>
        <w:t xml:space="preserve">Do uskladitve </w:t>
      </w:r>
      <w:r w:rsidRPr="00B9520C">
        <w:rPr>
          <w:rFonts w:eastAsiaTheme="minorEastAsia" w:cs="Arial"/>
          <w:bCs/>
          <w:szCs w:val="20"/>
          <w:lang w:val="sl-SI"/>
        </w:rPr>
        <w:t>Zakon</w:t>
      </w:r>
      <w:r>
        <w:rPr>
          <w:rFonts w:eastAsiaTheme="minorEastAsia" w:cs="Arial"/>
          <w:bCs/>
          <w:szCs w:val="20"/>
          <w:lang w:val="sl-SI"/>
        </w:rPr>
        <w:t>a</w:t>
      </w:r>
      <w:r w:rsidRPr="00B9520C">
        <w:rPr>
          <w:rFonts w:eastAsiaTheme="minorEastAsia" w:cs="Arial"/>
          <w:bCs/>
          <w:szCs w:val="20"/>
          <w:lang w:val="sl-SI"/>
        </w:rPr>
        <w:t xml:space="preserve"> o skupnih temeljih sistema plač v javnem sektorju (Uradni list RS, št. 95/24) </w:t>
      </w:r>
      <w:r w:rsidRPr="00854603">
        <w:rPr>
          <w:rFonts w:eastAsiaTheme="minorEastAsia" w:cs="Arial"/>
          <w:bCs/>
          <w:szCs w:val="20"/>
          <w:lang w:val="sl-SI"/>
        </w:rPr>
        <w:t xml:space="preserve">v Prilogi 2 pod </w:t>
      </w:r>
      <w:r>
        <w:rPr>
          <w:rFonts w:eastAsiaTheme="minorEastAsia" w:cs="Arial"/>
          <w:bCs/>
          <w:szCs w:val="20"/>
          <w:lang w:val="sl-SI"/>
        </w:rPr>
        <w:t>d) P</w:t>
      </w:r>
      <w:r w:rsidRPr="00B9520C">
        <w:rPr>
          <w:rFonts w:eastAsiaTheme="minorEastAsia" w:cs="Arial"/>
          <w:bCs/>
          <w:szCs w:val="20"/>
          <w:lang w:val="sl-SI"/>
        </w:rPr>
        <w:t xml:space="preserve">lačni razredi funkcij </w:t>
      </w:r>
      <w:r w:rsidRPr="008553B6">
        <w:rPr>
          <w:rFonts w:eastAsiaTheme="minorEastAsia" w:cs="Arial"/>
          <w:bCs/>
          <w:szCs w:val="20"/>
          <w:lang w:val="sl-SI"/>
        </w:rPr>
        <w:t>v drugih državnih organih</w:t>
      </w:r>
      <w:r>
        <w:rPr>
          <w:rFonts w:eastAsiaTheme="minorEastAsia" w:cs="Arial"/>
          <w:bCs/>
          <w:szCs w:val="20"/>
          <w:lang w:val="sl-SI"/>
        </w:rPr>
        <w:t xml:space="preserve"> </w:t>
      </w:r>
      <w:r w:rsidRPr="00854603">
        <w:rPr>
          <w:rFonts w:eastAsiaTheme="minorEastAsia" w:cs="Arial"/>
          <w:bCs/>
          <w:szCs w:val="20"/>
          <w:lang w:val="sl-SI"/>
        </w:rPr>
        <w:t>s tem zakonom se šifr</w:t>
      </w:r>
      <w:r>
        <w:rPr>
          <w:rFonts w:eastAsiaTheme="minorEastAsia" w:cs="Arial"/>
          <w:bCs/>
          <w:szCs w:val="20"/>
          <w:lang w:val="sl-SI"/>
        </w:rPr>
        <w:t>a</w:t>
      </w:r>
      <w:r w:rsidRPr="00854603">
        <w:rPr>
          <w:rFonts w:eastAsiaTheme="minorEastAsia" w:cs="Arial"/>
          <w:bCs/>
          <w:szCs w:val="20"/>
          <w:lang w:val="sl-SI"/>
        </w:rPr>
        <w:t xml:space="preserve"> funkcij</w:t>
      </w:r>
      <w:r>
        <w:rPr>
          <w:rFonts w:eastAsiaTheme="minorEastAsia" w:cs="Arial"/>
          <w:bCs/>
          <w:szCs w:val="20"/>
          <w:lang w:val="sl-SI"/>
        </w:rPr>
        <w:t xml:space="preserve">e </w:t>
      </w:r>
      <w:r w:rsidRPr="007B2612">
        <w:rPr>
          <w:rFonts w:eastAsiaTheme="minorEastAsia" w:cs="Arial"/>
          <w:bCs/>
          <w:szCs w:val="20"/>
          <w:lang w:val="sl-SI"/>
        </w:rPr>
        <w:t>A047470</w:t>
      </w:r>
      <w:r>
        <w:rPr>
          <w:rFonts w:eastAsiaTheme="minorEastAsia" w:cs="Arial"/>
          <w:bCs/>
          <w:szCs w:val="20"/>
          <w:lang w:val="sl-SI"/>
        </w:rPr>
        <w:t xml:space="preserve"> ne uporablja.</w:t>
      </w:r>
    </w:p>
    <w:p w14:paraId="09E5DAAD" w14:textId="77777777" w:rsidR="00331D90" w:rsidRPr="008D7697" w:rsidRDefault="00331D90" w:rsidP="00A82F2D">
      <w:pPr>
        <w:spacing w:line="260" w:lineRule="exact"/>
        <w:rPr>
          <w:rFonts w:eastAsiaTheme="minorEastAsia" w:cs="Arial"/>
          <w:bCs/>
          <w:color w:val="FF0000"/>
          <w:szCs w:val="20"/>
          <w:lang w:val="sl-SI"/>
        </w:rPr>
      </w:pPr>
    </w:p>
    <w:p w14:paraId="5202E5A7" w14:textId="77777777" w:rsidR="00331D90" w:rsidRPr="008D7697" w:rsidRDefault="00331D90" w:rsidP="00A82F2D">
      <w:pPr>
        <w:spacing w:line="260" w:lineRule="exact"/>
        <w:jc w:val="center"/>
        <w:rPr>
          <w:rFonts w:eastAsiaTheme="minorEastAsia" w:cs="Arial"/>
          <w:bCs/>
          <w:szCs w:val="20"/>
          <w:lang w:val="sl-SI"/>
        </w:rPr>
      </w:pPr>
    </w:p>
    <w:p w14:paraId="54312A75" w14:textId="0F701F04" w:rsidR="00331D90" w:rsidRPr="008D7697" w:rsidRDefault="0048782B" w:rsidP="00A82F2D">
      <w:pPr>
        <w:spacing w:line="260" w:lineRule="exact"/>
        <w:jc w:val="center"/>
        <w:rPr>
          <w:rFonts w:eastAsiaTheme="minorEastAsia" w:cs="Arial"/>
          <w:b/>
          <w:szCs w:val="20"/>
          <w:lang w:val="sl-SI"/>
        </w:rPr>
      </w:pPr>
      <w:r>
        <w:rPr>
          <w:rFonts w:eastAsiaTheme="minorEastAsia" w:cs="Arial"/>
          <w:b/>
          <w:szCs w:val="20"/>
          <w:lang w:val="sl-SI"/>
        </w:rPr>
        <w:t>30</w:t>
      </w:r>
      <w:r w:rsidR="00331D90" w:rsidRPr="008D7697">
        <w:rPr>
          <w:rFonts w:eastAsiaTheme="minorEastAsia" w:cs="Arial"/>
          <w:b/>
          <w:szCs w:val="20"/>
          <w:lang w:val="sl-SI"/>
        </w:rPr>
        <w:t>. člen</w:t>
      </w:r>
    </w:p>
    <w:p w14:paraId="46558D14" w14:textId="77777777" w:rsidR="0032458D" w:rsidRPr="0032458D" w:rsidRDefault="0032458D" w:rsidP="00A82F2D">
      <w:pPr>
        <w:spacing w:line="260" w:lineRule="exact"/>
        <w:jc w:val="center"/>
        <w:rPr>
          <w:rFonts w:eastAsiaTheme="minorEastAsia" w:cs="Arial"/>
          <w:b/>
          <w:szCs w:val="20"/>
          <w:lang w:val="sl-SI"/>
        </w:rPr>
      </w:pPr>
      <w:r w:rsidRPr="0032458D">
        <w:rPr>
          <w:rFonts w:eastAsiaTheme="minorEastAsia" w:cs="Arial"/>
          <w:b/>
          <w:szCs w:val="20"/>
          <w:lang w:val="sl-SI"/>
        </w:rPr>
        <w:t>(uskladitev podzakonskih predpisov in izdaja podzakonskega akta)</w:t>
      </w:r>
    </w:p>
    <w:p w14:paraId="5B1200DF" w14:textId="77777777" w:rsidR="0032458D" w:rsidRPr="00635C97" w:rsidRDefault="0032458D" w:rsidP="00A82F2D">
      <w:pPr>
        <w:spacing w:line="260" w:lineRule="exact"/>
        <w:jc w:val="both"/>
        <w:rPr>
          <w:rFonts w:eastAsiaTheme="minorEastAsia" w:cs="Arial"/>
          <w:bCs/>
          <w:szCs w:val="20"/>
          <w:lang w:val="sl-SI"/>
        </w:rPr>
      </w:pPr>
    </w:p>
    <w:p w14:paraId="5CB84539" w14:textId="77777777" w:rsidR="0032458D" w:rsidRPr="00635C97" w:rsidRDefault="0032458D" w:rsidP="00A82F2D">
      <w:pPr>
        <w:spacing w:line="260" w:lineRule="exact"/>
        <w:jc w:val="both"/>
        <w:rPr>
          <w:rFonts w:eastAsiaTheme="minorEastAsia" w:cs="Arial"/>
          <w:bCs/>
          <w:szCs w:val="20"/>
          <w:lang w:val="sl-SI"/>
        </w:rPr>
      </w:pPr>
      <w:r w:rsidRPr="00635C97">
        <w:rPr>
          <w:rFonts w:eastAsiaTheme="minorEastAsia" w:cs="Arial"/>
          <w:bCs/>
          <w:szCs w:val="20"/>
          <w:lang w:val="sl-SI"/>
        </w:rPr>
        <w:t xml:space="preserve">(1) Odredba o številu mest državnih tožilcev (Uradni list RS, št. 76/11, 69/12, 52/13, 52/14, 71/15, 14/19, 102/20, 135/22, 14/23 in 30/24) </w:t>
      </w:r>
      <w:r>
        <w:rPr>
          <w:rFonts w:eastAsiaTheme="minorEastAsia" w:cs="Arial"/>
          <w:bCs/>
          <w:szCs w:val="20"/>
          <w:lang w:val="sl-SI"/>
        </w:rPr>
        <w:t xml:space="preserve">in </w:t>
      </w:r>
      <w:r w:rsidRPr="009E444C">
        <w:rPr>
          <w:rFonts w:eastAsiaTheme="minorEastAsia" w:cs="Arial"/>
          <w:bCs/>
          <w:szCs w:val="20"/>
          <w:lang w:val="sl-SI"/>
        </w:rPr>
        <w:t>Odredba o ustanovitvi zunanjih oddelkov okrožnih državnih tožilstev</w:t>
      </w:r>
      <w:r>
        <w:rPr>
          <w:rFonts w:eastAsiaTheme="minorEastAsia" w:cs="Arial"/>
          <w:bCs/>
          <w:szCs w:val="20"/>
          <w:lang w:val="sl-SI"/>
        </w:rPr>
        <w:t xml:space="preserve"> (</w:t>
      </w:r>
      <w:r w:rsidRPr="009E444C">
        <w:rPr>
          <w:rFonts w:eastAsiaTheme="minorEastAsia" w:cs="Arial"/>
          <w:bCs/>
          <w:szCs w:val="20"/>
          <w:lang w:val="sl-SI"/>
        </w:rPr>
        <w:t>Uradni list RS, št. 43/12, 45/12 – popr., 52/13, 54/18 in 69/18</w:t>
      </w:r>
      <w:r>
        <w:rPr>
          <w:rFonts w:eastAsiaTheme="minorEastAsia" w:cs="Arial"/>
          <w:bCs/>
          <w:szCs w:val="20"/>
          <w:lang w:val="sl-SI"/>
        </w:rPr>
        <w:t xml:space="preserve">) </w:t>
      </w:r>
      <w:r w:rsidRPr="00635C97">
        <w:rPr>
          <w:rFonts w:eastAsiaTheme="minorEastAsia" w:cs="Arial"/>
          <w:bCs/>
          <w:szCs w:val="20"/>
          <w:lang w:val="sl-SI"/>
        </w:rPr>
        <w:t>se uskladi</w:t>
      </w:r>
      <w:r>
        <w:rPr>
          <w:rFonts w:eastAsiaTheme="minorEastAsia" w:cs="Arial"/>
          <w:bCs/>
          <w:szCs w:val="20"/>
          <w:lang w:val="sl-SI"/>
        </w:rPr>
        <w:t>ta</w:t>
      </w:r>
      <w:r w:rsidRPr="00635C97">
        <w:rPr>
          <w:rFonts w:eastAsiaTheme="minorEastAsia" w:cs="Arial"/>
          <w:bCs/>
          <w:szCs w:val="20"/>
          <w:lang w:val="sl-SI"/>
        </w:rPr>
        <w:t xml:space="preserve"> s tem zakonom</w:t>
      </w:r>
      <w:r>
        <w:rPr>
          <w:rFonts w:eastAsiaTheme="minorEastAsia" w:cs="Arial"/>
          <w:bCs/>
          <w:szCs w:val="20"/>
          <w:lang w:val="sl-SI"/>
        </w:rPr>
        <w:t xml:space="preserve"> do 1. januarja 2027</w:t>
      </w:r>
      <w:r w:rsidRPr="00635C97">
        <w:rPr>
          <w:rFonts w:eastAsiaTheme="minorEastAsia" w:cs="Arial"/>
          <w:bCs/>
          <w:szCs w:val="20"/>
          <w:lang w:val="sl-SI"/>
        </w:rPr>
        <w:t>.</w:t>
      </w:r>
    </w:p>
    <w:p w14:paraId="24449039" w14:textId="77777777" w:rsidR="0032458D" w:rsidRPr="00635C97" w:rsidRDefault="0032458D" w:rsidP="0032458D">
      <w:pPr>
        <w:spacing w:line="260" w:lineRule="exact"/>
        <w:jc w:val="both"/>
        <w:rPr>
          <w:rFonts w:eastAsiaTheme="minorEastAsia" w:cs="Arial"/>
          <w:bCs/>
          <w:szCs w:val="20"/>
          <w:lang w:val="sl-SI"/>
        </w:rPr>
      </w:pPr>
    </w:p>
    <w:p w14:paraId="755D9F7D" w14:textId="77777777" w:rsidR="0032458D" w:rsidRDefault="0032458D" w:rsidP="0032458D">
      <w:pPr>
        <w:spacing w:line="260" w:lineRule="exact"/>
        <w:jc w:val="both"/>
        <w:rPr>
          <w:rFonts w:eastAsiaTheme="minorEastAsia" w:cs="Arial"/>
          <w:bCs/>
          <w:szCs w:val="20"/>
          <w:lang w:val="sl-SI"/>
        </w:rPr>
      </w:pPr>
      <w:r w:rsidRPr="00635C97">
        <w:rPr>
          <w:rFonts w:eastAsiaTheme="minorEastAsia" w:cs="Arial"/>
          <w:bCs/>
          <w:szCs w:val="20"/>
          <w:lang w:val="sl-SI"/>
        </w:rPr>
        <w:t xml:space="preserve">(2) Generalni državni tožilec izda </w:t>
      </w:r>
      <w:r>
        <w:rPr>
          <w:rFonts w:eastAsiaTheme="minorEastAsia" w:cs="Arial"/>
          <w:bCs/>
          <w:szCs w:val="20"/>
          <w:lang w:val="sl-SI"/>
        </w:rPr>
        <w:t xml:space="preserve">akt </w:t>
      </w:r>
      <w:r w:rsidRPr="00635C97">
        <w:rPr>
          <w:rFonts w:eastAsiaTheme="minorEastAsia" w:cs="Arial"/>
          <w:bCs/>
          <w:szCs w:val="20"/>
          <w:lang w:val="sl-SI"/>
        </w:rPr>
        <w:t xml:space="preserve">iz drugega odstavka 152.a člena zakona </w:t>
      </w:r>
      <w:r w:rsidRPr="00635C97">
        <w:rPr>
          <w:rFonts w:cs="Arial"/>
          <w:kern w:val="2"/>
          <w:szCs w:val="20"/>
          <w:lang w:val="sl-SI" w:eastAsia="sl-SI"/>
          <w14:ligatures w14:val="standardContextual"/>
        </w:rPr>
        <w:t>do 15. decembra 2026</w:t>
      </w:r>
      <w:r w:rsidRPr="00635C97">
        <w:rPr>
          <w:rFonts w:eastAsiaTheme="minorEastAsia" w:cs="Arial"/>
          <w:bCs/>
          <w:szCs w:val="20"/>
          <w:lang w:val="sl-SI"/>
        </w:rPr>
        <w:t>.</w:t>
      </w:r>
    </w:p>
    <w:p w14:paraId="6019516C" w14:textId="77777777" w:rsidR="0032458D" w:rsidRPr="008D7697" w:rsidRDefault="0032458D" w:rsidP="00F2246C">
      <w:pPr>
        <w:spacing w:line="260" w:lineRule="exact"/>
        <w:jc w:val="both"/>
        <w:rPr>
          <w:rFonts w:eastAsiaTheme="minorEastAsia" w:cs="Arial"/>
          <w:bCs/>
          <w:szCs w:val="20"/>
          <w:lang w:val="sl-SI"/>
        </w:rPr>
      </w:pPr>
    </w:p>
    <w:bookmarkEnd w:id="18"/>
    <w:p w14:paraId="2A035934" w14:textId="77777777" w:rsidR="00331D90" w:rsidRPr="008D7697" w:rsidRDefault="00331D90" w:rsidP="00F11D0D">
      <w:pPr>
        <w:spacing w:line="260" w:lineRule="exact"/>
        <w:rPr>
          <w:rFonts w:eastAsiaTheme="minorEastAsia" w:cs="Arial"/>
          <w:b/>
          <w:szCs w:val="20"/>
          <w:lang w:val="sl-SI"/>
        </w:rPr>
      </w:pPr>
    </w:p>
    <w:p w14:paraId="5D81E7AC" w14:textId="701CF4D9" w:rsidR="00331D90" w:rsidRPr="008D7697" w:rsidRDefault="00C844E1" w:rsidP="00F2246C">
      <w:pPr>
        <w:spacing w:line="260" w:lineRule="exact"/>
        <w:jc w:val="center"/>
        <w:rPr>
          <w:rFonts w:eastAsiaTheme="minorEastAsia" w:cs="Arial"/>
          <w:b/>
          <w:szCs w:val="20"/>
          <w:lang w:val="sl-SI"/>
        </w:rPr>
      </w:pPr>
      <w:r>
        <w:rPr>
          <w:rFonts w:eastAsiaTheme="minorEastAsia" w:cs="Arial"/>
          <w:b/>
          <w:szCs w:val="20"/>
          <w:lang w:val="sl-SI"/>
        </w:rPr>
        <w:lastRenderedPageBreak/>
        <w:t>3</w:t>
      </w:r>
      <w:r w:rsidR="0048782B">
        <w:rPr>
          <w:rFonts w:eastAsiaTheme="minorEastAsia" w:cs="Arial"/>
          <w:b/>
          <w:szCs w:val="20"/>
          <w:lang w:val="sl-SI"/>
        </w:rPr>
        <w:t>1</w:t>
      </w:r>
      <w:r w:rsidR="00331D90" w:rsidRPr="008D7697">
        <w:rPr>
          <w:rFonts w:eastAsiaTheme="minorEastAsia" w:cs="Arial"/>
          <w:b/>
          <w:szCs w:val="20"/>
          <w:lang w:val="sl-SI"/>
        </w:rPr>
        <w:t>. člen</w:t>
      </w:r>
    </w:p>
    <w:p w14:paraId="5BA18BC6" w14:textId="77EEF4B0" w:rsidR="00331D90" w:rsidRPr="008D7697" w:rsidRDefault="00331D90" w:rsidP="00F2246C">
      <w:pPr>
        <w:spacing w:line="260" w:lineRule="exact"/>
        <w:jc w:val="center"/>
        <w:rPr>
          <w:rFonts w:eastAsiaTheme="minorEastAsia" w:cs="Arial"/>
          <w:b/>
          <w:szCs w:val="20"/>
          <w:lang w:val="sl-SI"/>
        </w:rPr>
      </w:pPr>
      <w:r w:rsidRPr="008D7697">
        <w:rPr>
          <w:rFonts w:eastAsiaTheme="minorEastAsia" w:cs="Arial"/>
          <w:b/>
          <w:szCs w:val="20"/>
          <w:lang w:val="sl-SI"/>
        </w:rPr>
        <w:t>(začetek uporabe)</w:t>
      </w:r>
    </w:p>
    <w:p w14:paraId="788B8F1A" w14:textId="77777777" w:rsidR="00C269DD" w:rsidRDefault="00C269DD" w:rsidP="00F2246C">
      <w:pPr>
        <w:spacing w:line="260" w:lineRule="exact"/>
        <w:jc w:val="both"/>
        <w:rPr>
          <w:rFonts w:eastAsia="Arial" w:cs="Arial"/>
          <w:szCs w:val="20"/>
          <w:lang w:val="sl-SI"/>
        </w:rPr>
      </w:pPr>
    </w:p>
    <w:p w14:paraId="15712C64" w14:textId="77777777" w:rsidR="00C269DD" w:rsidRDefault="00C269DD" w:rsidP="00C269DD">
      <w:pPr>
        <w:spacing w:line="260" w:lineRule="exact"/>
        <w:jc w:val="both"/>
        <w:rPr>
          <w:rFonts w:eastAsia="Arial" w:cs="Arial"/>
          <w:szCs w:val="20"/>
          <w:lang w:val="sl-SI"/>
        </w:rPr>
      </w:pPr>
      <w:r w:rsidRPr="00EC7206">
        <w:rPr>
          <w:rFonts w:eastAsia="Arial" w:cs="Arial"/>
          <w:szCs w:val="20"/>
          <w:lang w:val="sl-SI"/>
        </w:rPr>
        <w:t>Ta zakon se začne uporabljati 1. januarja 2027, razen spremenjenega 71.c člena zakona, spremenjenega prvega odstavka 71.d člena zakona v delu, ki določa raven znanja delovnega jezika EJT, spremenjenega tretjega odstavka 193. člena zakona</w:t>
      </w:r>
      <w:r>
        <w:rPr>
          <w:rFonts w:eastAsia="Arial" w:cs="Arial"/>
          <w:szCs w:val="20"/>
          <w:lang w:val="sl-SI"/>
        </w:rPr>
        <w:t xml:space="preserve"> in 25. člena tega zakona</w:t>
      </w:r>
      <w:r w:rsidRPr="00EC7206">
        <w:rPr>
          <w:rFonts w:eastAsia="Arial" w:cs="Arial"/>
          <w:szCs w:val="20"/>
          <w:lang w:val="sl-SI"/>
        </w:rPr>
        <w:t>, ki se začnejo uporabljati z dnem uveljavitve tega zakona.</w:t>
      </w:r>
    </w:p>
    <w:p w14:paraId="4FDABC28" w14:textId="77777777" w:rsidR="00C269DD" w:rsidRPr="008D7697" w:rsidRDefault="00C269DD" w:rsidP="00F2246C">
      <w:pPr>
        <w:spacing w:line="260" w:lineRule="exact"/>
        <w:jc w:val="both"/>
        <w:rPr>
          <w:rFonts w:eastAsia="Arial" w:cs="Arial"/>
          <w:szCs w:val="20"/>
          <w:lang w:val="sl-SI"/>
        </w:rPr>
      </w:pPr>
    </w:p>
    <w:p w14:paraId="055E8DC4" w14:textId="77777777" w:rsidR="00E364A3" w:rsidRDefault="00E364A3" w:rsidP="00C269DD">
      <w:pPr>
        <w:spacing w:line="260" w:lineRule="exact"/>
        <w:rPr>
          <w:rFonts w:eastAsia="Arial" w:cs="Arial"/>
          <w:szCs w:val="20"/>
          <w:lang w:val="sl-SI"/>
        </w:rPr>
      </w:pPr>
    </w:p>
    <w:p w14:paraId="3A37F736" w14:textId="2EE7736F" w:rsidR="00E364A3" w:rsidRPr="00E364A3" w:rsidRDefault="00E364A3" w:rsidP="00E364A3">
      <w:pPr>
        <w:spacing w:line="260" w:lineRule="exact"/>
        <w:jc w:val="center"/>
        <w:rPr>
          <w:rFonts w:eastAsia="Arial" w:cs="Arial"/>
          <w:b/>
          <w:bCs/>
          <w:szCs w:val="20"/>
          <w:lang w:val="sl-SI"/>
        </w:rPr>
      </w:pPr>
      <w:r w:rsidRPr="00E364A3">
        <w:rPr>
          <w:rFonts w:eastAsia="Arial" w:cs="Arial"/>
          <w:b/>
          <w:bCs/>
          <w:szCs w:val="20"/>
          <w:lang w:val="sl-SI"/>
        </w:rPr>
        <w:t>3</w:t>
      </w:r>
      <w:r w:rsidR="0048782B">
        <w:rPr>
          <w:rFonts w:eastAsia="Arial" w:cs="Arial"/>
          <w:b/>
          <w:bCs/>
          <w:szCs w:val="20"/>
          <w:lang w:val="sl-SI"/>
        </w:rPr>
        <w:t>2</w:t>
      </w:r>
      <w:r w:rsidRPr="00E364A3">
        <w:rPr>
          <w:rFonts w:eastAsia="Arial" w:cs="Arial"/>
          <w:b/>
          <w:bCs/>
          <w:szCs w:val="20"/>
          <w:lang w:val="sl-SI"/>
        </w:rPr>
        <w:t>. člen</w:t>
      </w:r>
    </w:p>
    <w:p w14:paraId="1013A6C4" w14:textId="77777777" w:rsidR="00E364A3" w:rsidRPr="00E364A3" w:rsidRDefault="00E364A3" w:rsidP="00E364A3">
      <w:pPr>
        <w:spacing w:line="260" w:lineRule="exact"/>
        <w:jc w:val="center"/>
        <w:rPr>
          <w:rFonts w:eastAsia="Arial" w:cs="Arial"/>
          <w:b/>
          <w:bCs/>
          <w:szCs w:val="20"/>
          <w:lang w:val="sl-SI"/>
        </w:rPr>
      </w:pPr>
      <w:r w:rsidRPr="00E364A3">
        <w:rPr>
          <w:rFonts w:eastAsia="Arial" w:cs="Arial"/>
          <w:b/>
          <w:bCs/>
          <w:szCs w:val="20"/>
          <w:lang w:val="sl-SI"/>
        </w:rPr>
        <w:t>(začetek veljavnosti)</w:t>
      </w:r>
    </w:p>
    <w:p w14:paraId="5CF16001" w14:textId="77777777" w:rsidR="00E364A3" w:rsidRDefault="00E364A3" w:rsidP="00E364A3">
      <w:pPr>
        <w:spacing w:line="260" w:lineRule="exact"/>
        <w:jc w:val="center"/>
        <w:rPr>
          <w:rFonts w:eastAsia="Arial" w:cs="Arial"/>
          <w:szCs w:val="20"/>
          <w:lang w:val="sl-SI"/>
        </w:rPr>
      </w:pPr>
    </w:p>
    <w:p w14:paraId="32FCE60C" w14:textId="77777777" w:rsidR="00E364A3" w:rsidRPr="00EC7206" w:rsidRDefault="00E364A3" w:rsidP="00E364A3">
      <w:pPr>
        <w:spacing w:line="260" w:lineRule="exact"/>
        <w:jc w:val="both"/>
        <w:rPr>
          <w:rFonts w:eastAsia="Arial" w:cs="Arial"/>
          <w:szCs w:val="20"/>
          <w:lang w:val="sl-SI"/>
        </w:rPr>
      </w:pPr>
      <w:r>
        <w:rPr>
          <w:rFonts w:eastAsia="Arial" w:cs="Arial"/>
          <w:szCs w:val="20"/>
          <w:lang w:val="sl-SI"/>
        </w:rPr>
        <w:t>Ta zakon začne veljati petnajsti dan po objavi v Uradnem listu Republike Slovenije.</w:t>
      </w:r>
    </w:p>
    <w:p w14:paraId="32852DBA" w14:textId="77777777" w:rsidR="00E364A3" w:rsidRPr="008D7697" w:rsidRDefault="00E364A3" w:rsidP="00F2246C">
      <w:pPr>
        <w:spacing w:line="260" w:lineRule="exact"/>
        <w:jc w:val="both"/>
        <w:rPr>
          <w:rFonts w:eastAsia="Arial" w:cs="Arial"/>
          <w:szCs w:val="20"/>
          <w:lang w:val="sl-SI"/>
        </w:rPr>
      </w:pPr>
    </w:p>
    <w:p w14:paraId="3FACCEBE" w14:textId="77777777" w:rsidR="00331D90" w:rsidRDefault="00331D90" w:rsidP="00331D90">
      <w:pPr>
        <w:spacing w:line="260" w:lineRule="exact"/>
        <w:jc w:val="both"/>
        <w:rPr>
          <w:rFonts w:cs="Arial"/>
          <w:b/>
          <w:szCs w:val="20"/>
          <w:lang w:val="sl-SI"/>
        </w:rPr>
      </w:pPr>
    </w:p>
    <w:p w14:paraId="24A6C01D" w14:textId="77777777" w:rsidR="00E364A3" w:rsidRDefault="00E364A3" w:rsidP="00331D90">
      <w:pPr>
        <w:spacing w:line="260" w:lineRule="exact"/>
        <w:jc w:val="both"/>
        <w:rPr>
          <w:rFonts w:cs="Arial"/>
          <w:b/>
          <w:szCs w:val="20"/>
          <w:lang w:val="sl-SI"/>
        </w:rPr>
      </w:pPr>
    </w:p>
    <w:p w14:paraId="5523BC12" w14:textId="77777777" w:rsidR="00EA788D" w:rsidRDefault="00EA788D" w:rsidP="00331D90">
      <w:pPr>
        <w:spacing w:line="260" w:lineRule="exact"/>
        <w:jc w:val="both"/>
        <w:rPr>
          <w:rFonts w:cs="Arial"/>
          <w:b/>
          <w:szCs w:val="20"/>
          <w:lang w:val="sl-SI"/>
        </w:rPr>
      </w:pPr>
    </w:p>
    <w:p w14:paraId="3F57FC68" w14:textId="77777777" w:rsidR="00EA788D" w:rsidRDefault="00EA788D" w:rsidP="00331D90">
      <w:pPr>
        <w:spacing w:line="260" w:lineRule="exact"/>
        <w:jc w:val="both"/>
        <w:rPr>
          <w:rFonts w:cs="Arial"/>
          <w:b/>
          <w:szCs w:val="20"/>
          <w:lang w:val="sl-SI"/>
        </w:rPr>
      </w:pPr>
    </w:p>
    <w:p w14:paraId="63C8C0C6" w14:textId="77777777" w:rsidR="00EA788D" w:rsidRDefault="00EA788D" w:rsidP="00331D90">
      <w:pPr>
        <w:spacing w:line="260" w:lineRule="exact"/>
        <w:jc w:val="both"/>
        <w:rPr>
          <w:rFonts w:cs="Arial"/>
          <w:b/>
          <w:szCs w:val="20"/>
          <w:lang w:val="sl-SI"/>
        </w:rPr>
      </w:pPr>
    </w:p>
    <w:p w14:paraId="1B84FC87" w14:textId="77777777" w:rsidR="00EA788D" w:rsidRDefault="00EA788D" w:rsidP="00331D90">
      <w:pPr>
        <w:spacing w:line="260" w:lineRule="exact"/>
        <w:jc w:val="both"/>
        <w:rPr>
          <w:rFonts w:cs="Arial"/>
          <w:b/>
          <w:szCs w:val="20"/>
          <w:lang w:val="sl-SI"/>
        </w:rPr>
      </w:pPr>
    </w:p>
    <w:p w14:paraId="2AC964FC" w14:textId="77777777" w:rsidR="00EA788D" w:rsidRDefault="00EA788D" w:rsidP="00331D90">
      <w:pPr>
        <w:spacing w:line="260" w:lineRule="exact"/>
        <w:jc w:val="both"/>
        <w:rPr>
          <w:rFonts w:cs="Arial"/>
          <w:b/>
          <w:szCs w:val="20"/>
          <w:lang w:val="sl-SI"/>
        </w:rPr>
      </w:pPr>
    </w:p>
    <w:p w14:paraId="607B8EC2" w14:textId="77777777" w:rsidR="00EA788D" w:rsidRDefault="00EA788D" w:rsidP="00331D90">
      <w:pPr>
        <w:spacing w:line="260" w:lineRule="exact"/>
        <w:jc w:val="both"/>
        <w:rPr>
          <w:rFonts w:cs="Arial"/>
          <w:b/>
          <w:szCs w:val="20"/>
          <w:lang w:val="sl-SI"/>
        </w:rPr>
      </w:pPr>
    </w:p>
    <w:p w14:paraId="21280194" w14:textId="77777777" w:rsidR="00EA788D" w:rsidRDefault="00EA788D" w:rsidP="00331D90">
      <w:pPr>
        <w:spacing w:line="260" w:lineRule="exact"/>
        <w:jc w:val="both"/>
        <w:rPr>
          <w:rFonts w:cs="Arial"/>
          <w:b/>
          <w:szCs w:val="20"/>
          <w:lang w:val="sl-SI"/>
        </w:rPr>
      </w:pPr>
    </w:p>
    <w:p w14:paraId="7556164B" w14:textId="77777777" w:rsidR="00EA788D" w:rsidRDefault="00EA788D" w:rsidP="00331D90">
      <w:pPr>
        <w:spacing w:line="260" w:lineRule="exact"/>
        <w:jc w:val="both"/>
        <w:rPr>
          <w:rFonts w:cs="Arial"/>
          <w:b/>
          <w:szCs w:val="20"/>
          <w:lang w:val="sl-SI"/>
        </w:rPr>
      </w:pPr>
    </w:p>
    <w:p w14:paraId="256AB58B" w14:textId="77777777" w:rsidR="00EA788D" w:rsidRDefault="00EA788D" w:rsidP="00331D90">
      <w:pPr>
        <w:spacing w:line="260" w:lineRule="exact"/>
        <w:jc w:val="both"/>
        <w:rPr>
          <w:rFonts w:cs="Arial"/>
          <w:b/>
          <w:szCs w:val="20"/>
          <w:lang w:val="sl-SI"/>
        </w:rPr>
      </w:pPr>
    </w:p>
    <w:p w14:paraId="25F2A8B1" w14:textId="77777777" w:rsidR="00EA788D" w:rsidRDefault="00EA788D" w:rsidP="00331D90">
      <w:pPr>
        <w:spacing w:line="260" w:lineRule="exact"/>
        <w:jc w:val="both"/>
        <w:rPr>
          <w:rFonts w:cs="Arial"/>
          <w:b/>
          <w:szCs w:val="20"/>
          <w:lang w:val="sl-SI"/>
        </w:rPr>
      </w:pPr>
    </w:p>
    <w:p w14:paraId="17036339" w14:textId="77777777" w:rsidR="00EA788D" w:rsidRDefault="00EA788D" w:rsidP="00331D90">
      <w:pPr>
        <w:spacing w:line="260" w:lineRule="exact"/>
        <w:jc w:val="both"/>
        <w:rPr>
          <w:rFonts w:cs="Arial"/>
          <w:b/>
          <w:szCs w:val="20"/>
          <w:lang w:val="sl-SI"/>
        </w:rPr>
      </w:pPr>
    </w:p>
    <w:p w14:paraId="095D0B20" w14:textId="77777777" w:rsidR="00EA788D" w:rsidRDefault="00EA788D" w:rsidP="00331D90">
      <w:pPr>
        <w:spacing w:line="260" w:lineRule="exact"/>
        <w:jc w:val="both"/>
        <w:rPr>
          <w:rFonts w:cs="Arial"/>
          <w:b/>
          <w:szCs w:val="20"/>
          <w:lang w:val="sl-SI"/>
        </w:rPr>
      </w:pPr>
    </w:p>
    <w:p w14:paraId="4C74DA75" w14:textId="77777777" w:rsidR="00EA788D" w:rsidRDefault="00EA788D" w:rsidP="00331D90">
      <w:pPr>
        <w:spacing w:line="260" w:lineRule="exact"/>
        <w:jc w:val="both"/>
        <w:rPr>
          <w:rFonts w:cs="Arial"/>
          <w:b/>
          <w:szCs w:val="20"/>
          <w:lang w:val="sl-SI"/>
        </w:rPr>
      </w:pPr>
    </w:p>
    <w:p w14:paraId="6B85F872" w14:textId="77777777" w:rsidR="00EA788D" w:rsidRDefault="00EA788D" w:rsidP="00331D90">
      <w:pPr>
        <w:spacing w:line="260" w:lineRule="exact"/>
        <w:jc w:val="both"/>
        <w:rPr>
          <w:rFonts w:cs="Arial"/>
          <w:b/>
          <w:szCs w:val="20"/>
          <w:lang w:val="sl-SI"/>
        </w:rPr>
      </w:pPr>
    </w:p>
    <w:p w14:paraId="48A5D613" w14:textId="77777777" w:rsidR="00EA788D" w:rsidRDefault="00EA788D" w:rsidP="00331D90">
      <w:pPr>
        <w:spacing w:line="260" w:lineRule="exact"/>
        <w:jc w:val="both"/>
        <w:rPr>
          <w:rFonts w:cs="Arial"/>
          <w:b/>
          <w:szCs w:val="20"/>
          <w:lang w:val="sl-SI"/>
        </w:rPr>
      </w:pPr>
    </w:p>
    <w:p w14:paraId="6A13FCD2" w14:textId="77777777" w:rsidR="00EA788D" w:rsidRDefault="00EA788D" w:rsidP="00331D90">
      <w:pPr>
        <w:spacing w:line="260" w:lineRule="exact"/>
        <w:jc w:val="both"/>
        <w:rPr>
          <w:rFonts w:cs="Arial"/>
          <w:b/>
          <w:szCs w:val="20"/>
          <w:lang w:val="sl-SI"/>
        </w:rPr>
      </w:pPr>
    </w:p>
    <w:p w14:paraId="1E143E27" w14:textId="77777777" w:rsidR="00EA788D" w:rsidRDefault="00EA788D" w:rsidP="00331D90">
      <w:pPr>
        <w:spacing w:line="260" w:lineRule="exact"/>
        <w:jc w:val="both"/>
        <w:rPr>
          <w:rFonts w:cs="Arial"/>
          <w:b/>
          <w:szCs w:val="20"/>
          <w:lang w:val="sl-SI"/>
        </w:rPr>
      </w:pPr>
    </w:p>
    <w:p w14:paraId="05A43C4B" w14:textId="77777777" w:rsidR="00EA788D" w:rsidRDefault="00EA788D" w:rsidP="00331D90">
      <w:pPr>
        <w:spacing w:line="260" w:lineRule="exact"/>
        <w:jc w:val="both"/>
        <w:rPr>
          <w:rFonts w:cs="Arial"/>
          <w:b/>
          <w:szCs w:val="20"/>
          <w:lang w:val="sl-SI"/>
        </w:rPr>
      </w:pPr>
    </w:p>
    <w:p w14:paraId="7563183A" w14:textId="77777777" w:rsidR="00EA788D" w:rsidRDefault="00EA788D" w:rsidP="00331D90">
      <w:pPr>
        <w:spacing w:line="260" w:lineRule="exact"/>
        <w:jc w:val="both"/>
        <w:rPr>
          <w:rFonts w:cs="Arial"/>
          <w:b/>
          <w:szCs w:val="20"/>
          <w:lang w:val="sl-SI"/>
        </w:rPr>
      </w:pPr>
    </w:p>
    <w:p w14:paraId="630FB36B" w14:textId="77777777" w:rsidR="00EA788D" w:rsidRDefault="00EA788D" w:rsidP="00331D90">
      <w:pPr>
        <w:spacing w:line="260" w:lineRule="exact"/>
        <w:jc w:val="both"/>
        <w:rPr>
          <w:rFonts w:cs="Arial"/>
          <w:b/>
          <w:szCs w:val="20"/>
          <w:lang w:val="sl-SI"/>
        </w:rPr>
      </w:pPr>
    </w:p>
    <w:p w14:paraId="2B112CC1" w14:textId="77777777" w:rsidR="00EA788D" w:rsidRDefault="00EA788D" w:rsidP="00331D90">
      <w:pPr>
        <w:spacing w:line="260" w:lineRule="exact"/>
        <w:jc w:val="both"/>
        <w:rPr>
          <w:rFonts w:cs="Arial"/>
          <w:b/>
          <w:szCs w:val="20"/>
          <w:lang w:val="sl-SI"/>
        </w:rPr>
      </w:pPr>
    </w:p>
    <w:p w14:paraId="7CB09509" w14:textId="77777777" w:rsidR="00EA788D" w:rsidRDefault="00EA788D" w:rsidP="00331D90">
      <w:pPr>
        <w:spacing w:line="260" w:lineRule="exact"/>
        <w:jc w:val="both"/>
        <w:rPr>
          <w:rFonts w:cs="Arial"/>
          <w:b/>
          <w:szCs w:val="20"/>
          <w:lang w:val="sl-SI"/>
        </w:rPr>
      </w:pPr>
    </w:p>
    <w:p w14:paraId="00650361" w14:textId="77777777" w:rsidR="00EA788D" w:rsidRDefault="00EA788D" w:rsidP="00331D90">
      <w:pPr>
        <w:spacing w:line="260" w:lineRule="exact"/>
        <w:jc w:val="both"/>
        <w:rPr>
          <w:rFonts w:cs="Arial"/>
          <w:b/>
          <w:szCs w:val="20"/>
          <w:lang w:val="sl-SI"/>
        </w:rPr>
      </w:pPr>
    </w:p>
    <w:p w14:paraId="1FD73582" w14:textId="77777777" w:rsidR="00EA788D" w:rsidRDefault="00EA788D" w:rsidP="00331D90">
      <w:pPr>
        <w:spacing w:line="260" w:lineRule="exact"/>
        <w:jc w:val="both"/>
        <w:rPr>
          <w:rFonts w:cs="Arial"/>
          <w:b/>
          <w:szCs w:val="20"/>
          <w:lang w:val="sl-SI"/>
        </w:rPr>
      </w:pPr>
    </w:p>
    <w:p w14:paraId="2BDFA5E1" w14:textId="77777777" w:rsidR="00EA788D" w:rsidRDefault="00EA788D" w:rsidP="00331D90">
      <w:pPr>
        <w:spacing w:line="260" w:lineRule="exact"/>
        <w:jc w:val="both"/>
        <w:rPr>
          <w:rFonts w:cs="Arial"/>
          <w:b/>
          <w:szCs w:val="20"/>
          <w:lang w:val="sl-SI"/>
        </w:rPr>
      </w:pPr>
    </w:p>
    <w:p w14:paraId="0E6AA009" w14:textId="77777777" w:rsidR="00EA788D" w:rsidRDefault="00EA788D" w:rsidP="00331D90">
      <w:pPr>
        <w:spacing w:line="260" w:lineRule="exact"/>
        <w:jc w:val="both"/>
        <w:rPr>
          <w:rFonts w:cs="Arial"/>
          <w:b/>
          <w:szCs w:val="20"/>
          <w:lang w:val="sl-SI"/>
        </w:rPr>
      </w:pPr>
    </w:p>
    <w:p w14:paraId="16EEC7B7" w14:textId="77777777" w:rsidR="004A1DD0" w:rsidRDefault="004A1DD0" w:rsidP="00331D90">
      <w:pPr>
        <w:spacing w:line="260" w:lineRule="exact"/>
        <w:jc w:val="both"/>
        <w:rPr>
          <w:rFonts w:cs="Arial"/>
          <w:b/>
          <w:szCs w:val="20"/>
          <w:lang w:val="sl-SI"/>
        </w:rPr>
      </w:pPr>
    </w:p>
    <w:p w14:paraId="3098EC9E" w14:textId="77777777" w:rsidR="004A1DD0" w:rsidRDefault="004A1DD0" w:rsidP="00331D90">
      <w:pPr>
        <w:spacing w:line="260" w:lineRule="exact"/>
        <w:jc w:val="both"/>
        <w:rPr>
          <w:rFonts w:cs="Arial"/>
          <w:b/>
          <w:szCs w:val="20"/>
          <w:lang w:val="sl-SI"/>
        </w:rPr>
      </w:pPr>
    </w:p>
    <w:p w14:paraId="03650759" w14:textId="77777777" w:rsidR="004A1DD0" w:rsidRDefault="004A1DD0" w:rsidP="00331D90">
      <w:pPr>
        <w:spacing w:line="260" w:lineRule="exact"/>
        <w:jc w:val="both"/>
        <w:rPr>
          <w:rFonts w:cs="Arial"/>
          <w:b/>
          <w:szCs w:val="20"/>
          <w:lang w:val="sl-SI"/>
        </w:rPr>
      </w:pPr>
    </w:p>
    <w:p w14:paraId="4AB2835E" w14:textId="77777777" w:rsidR="00010A37" w:rsidRDefault="00010A37" w:rsidP="00331D90">
      <w:pPr>
        <w:spacing w:line="260" w:lineRule="exact"/>
        <w:jc w:val="both"/>
        <w:rPr>
          <w:rFonts w:cs="Arial"/>
          <w:b/>
          <w:szCs w:val="20"/>
          <w:lang w:val="sl-SI"/>
        </w:rPr>
      </w:pPr>
    </w:p>
    <w:p w14:paraId="232714A2" w14:textId="77777777" w:rsidR="00010A37" w:rsidRDefault="00010A37" w:rsidP="00331D90">
      <w:pPr>
        <w:spacing w:line="260" w:lineRule="exact"/>
        <w:jc w:val="both"/>
        <w:rPr>
          <w:rFonts w:cs="Arial"/>
          <w:b/>
          <w:szCs w:val="20"/>
          <w:lang w:val="sl-SI"/>
        </w:rPr>
      </w:pPr>
    </w:p>
    <w:p w14:paraId="57754763" w14:textId="77777777" w:rsidR="00010A37" w:rsidRDefault="00010A37" w:rsidP="00331D90">
      <w:pPr>
        <w:spacing w:line="260" w:lineRule="exact"/>
        <w:jc w:val="both"/>
        <w:rPr>
          <w:rFonts w:cs="Arial"/>
          <w:b/>
          <w:szCs w:val="20"/>
          <w:lang w:val="sl-SI"/>
        </w:rPr>
      </w:pPr>
    </w:p>
    <w:p w14:paraId="71926E26" w14:textId="77777777" w:rsidR="00EA788D" w:rsidRDefault="00EA788D" w:rsidP="00331D90">
      <w:pPr>
        <w:spacing w:line="260" w:lineRule="exact"/>
        <w:jc w:val="both"/>
        <w:rPr>
          <w:rFonts w:cs="Arial"/>
          <w:b/>
          <w:szCs w:val="20"/>
          <w:lang w:val="sl-SI"/>
        </w:rPr>
      </w:pPr>
    </w:p>
    <w:p w14:paraId="6CA475F3" w14:textId="77777777" w:rsidR="00B7320E" w:rsidRDefault="00B7320E" w:rsidP="00331D90">
      <w:pPr>
        <w:spacing w:line="260" w:lineRule="exact"/>
        <w:jc w:val="both"/>
        <w:rPr>
          <w:rFonts w:cs="Arial"/>
          <w:b/>
          <w:szCs w:val="20"/>
          <w:lang w:val="sl-SI"/>
        </w:rPr>
      </w:pPr>
    </w:p>
    <w:p w14:paraId="63841D52" w14:textId="77777777" w:rsidR="00331D90" w:rsidRPr="00F2246C" w:rsidRDefault="00331D90" w:rsidP="00F2246C">
      <w:pPr>
        <w:spacing w:line="260" w:lineRule="exact"/>
        <w:jc w:val="both"/>
        <w:rPr>
          <w:rFonts w:cs="Arial"/>
          <w:szCs w:val="20"/>
          <w:lang w:val="sl-SI"/>
        </w:rPr>
      </w:pPr>
      <w:r w:rsidRPr="00F2246C">
        <w:rPr>
          <w:rFonts w:cs="Arial"/>
          <w:b/>
          <w:szCs w:val="20"/>
          <w:lang w:val="sl-SI"/>
        </w:rPr>
        <w:lastRenderedPageBreak/>
        <w:t>III. OBRAZLOŽITEV</w:t>
      </w:r>
    </w:p>
    <w:p w14:paraId="5E65CBDF" w14:textId="77777777" w:rsidR="00331D90" w:rsidRPr="00F2246C" w:rsidRDefault="00331D90" w:rsidP="00F2246C">
      <w:pPr>
        <w:spacing w:line="260" w:lineRule="exact"/>
        <w:rPr>
          <w:rFonts w:cs="Arial"/>
          <w:b/>
          <w:szCs w:val="20"/>
          <w:lang w:val="sl-SI"/>
        </w:rPr>
      </w:pPr>
    </w:p>
    <w:p w14:paraId="024B183C" w14:textId="77777777" w:rsidR="00331D90" w:rsidRPr="00F2246C" w:rsidRDefault="00331D90" w:rsidP="00F2246C">
      <w:pPr>
        <w:spacing w:line="260" w:lineRule="exact"/>
        <w:rPr>
          <w:rFonts w:cs="Arial"/>
          <w:b/>
          <w:szCs w:val="20"/>
          <w:lang w:val="sl-SI"/>
        </w:rPr>
      </w:pPr>
      <w:r w:rsidRPr="00F2246C">
        <w:rPr>
          <w:rFonts w:cs="Arial"/>
          <w:b/>
          <w:szCs w:val="20"/>
          <w:lang w:val="sl-SI"/>
        </w:rPr>
        <w:t>K 1. členu:</w:t>
      </w:r>
    </w:p>
    <w:p w14:paraId="15ED70B2" w14:textId="77777777" w:rsidR="00331D90" w:rsidRPr="00F2246C" w:rsidRDefault="00331D90" w:rsidP="00F2246C">
      <w:pPr>
        <w:spacing w:line="260" w:lineRule="exact"/>
        <w:rPr>
          <w:rFonts w:cs="Arial"/>
          <w:b/>
          <w:szCs w:val="20"/>
          <w:lang w:val="sl-SI"/>
        </w:rPr>
      </w:pPr>
    </w:p>
    <w:p w14:paraId="5109074D" w14:textId="0FA4743A"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V 21. členu ZDT-1 se predlaga črtanje veljavnega prvega odstavka, ki določa pristojnost za nastopanje državnih tožilcev pred okrajnimi sodišči. S tem bo odpravljeno razlikovanje med ureditvijo nastopanja državnih tožilcev pred okrajnimi sodišči in ureditvijo nastopanja državnih tožilcev pred okrožnimi sodišči. Navedena sprememba je vsebinsko neločljivo povezana z uvedbo ene vrste naziva državnega tožilca na prvi stopnji, to je okrožnega državnega tožilca, predlagan</w:t>
      </w:r>
      <w:r w:rsidR="00C65164">
        <w:rPr>
          <w:rFonts w:eastAsia="Arial" w:cs="Arial"/>
          <w:szCs w:val="20"/>
          <w:lang w:val="sl-SI"/>
        </w:rPr>
        <w:t>o</w:t>
      </w:r>
      <w:r w:rsidRPr="00F2246C">
        <w:rPr>
          <w:rFonts w:eastAsia="Arial" w:cs="Arial"/>
          <w:szCs w:val="20"/>
          <w:lang w:val="sl-SI"/>
        </w:rPr>
        <w:t xml:space="preserve"> v spremenjenem 22. členu ZDT-1. Predlagana sprememba je hkrati usklajena s predvideno spremembo organizacije sodišč v predlogu novega Zakona o sodiščih, s katero bo vzpostavljeno sodno okrožje kot osnovna organizacijska raven sodišč na prvi stopnji.</w:t>
      </w:r>
    </w:p>
    <w:p w14:paraId="6269ED03" w14:textId="77777777" w:rsidR="00331D90" w:rsidRPr="00F2246C" w:rsidRDefault="00331D90" w:rsidP="00F2246C">
      <w:pPr>
        <w:spacing w:line="260" w:lineRule="exact"/>
        <w:jc w:val="both"/>
        <w:rPr>
          <w:rFonts w:eastAsia="Arial" w:cs="Arial"/>
          <w:szCs w:val="20"/>
          <w:lang w:val="sl-SI"/>
        </w:rPr>
      </w:pPr>
    </w:p>
    <w:p w14:paraId="14B67657" w14:textId="5961A503" w:rsidR="00331D90" w:rsidRPr="00F2246C" w:rsidRDefault="00331D90" w:rsidP="00F2246C">
      <w:pPr>
        <w:spacing w:line="260" w:lineRule="exact"/>
        <w:jc w:val="both"/>
        <w:rPr>
          <w:rFonts w:eastAsia="Arial" w:cs="Arial"/>
          <w:szCs w:val="20"/>
          <w:lang w:val="sl-SI"/>
        </w:rPr>
      </w:pPr>
      <w:r w:rsidRPr="00F2246C">
        <w:rPr>
          <w:rFonts w:eastAsia="Arial" w:cs="Arial"/>
          <w:szCs w:val="20"/>
          <w:lang w:val="sl-SI"/>
        </w:rPr>
        <w:t xml:space="preserve">Veljavne določbe 21. člena ZDT-1 določajo izvorno pristojnost okrajnih državnih tožilcev za nastopanje pred okrajnimi sodišči (prvi odstavek), po pooblastilu pa lahko nastopajo tudi pred okrožnimi sodišči (peti odstavek) oziroma v primerih iz šestega odstavka tega člena tudi pred višjimi sodišči. V praksi so na nekaterih oddelkih okrožnih državnih tožilstev (npr. gospodarski oddelki), kjer se večinoma obravnavajo zadeve iz okrožne pristojnosti, razporejeni okrajni državni tožilci, ki se na podlagi pooblastila vodje državnega tožilstva udeležujejo narokov za glavne obravnave na okrožnih sodiščih, medtem ko pred okrajnimi sodišči nastopajo tudi okrožni državni tožilci. </w:t>
      </w:r>
      <w:r w:rsidR="007F426C">
        <w:rPr>
          <w:rFonts w:eastAsia="Arial" w:cs="Arial"/>
          <w:szCs w:val="20"/>
          <w:lang w:val="sl-SI"/>
        </w:rPr>
        <w:t xml:space="preserve">Poleg tega </w:t>
      </w:r>
      <w:r w:rsidRPr="00F2246C">
        <w:rPr>
          <w:rFonts w:eastAsia="Arial" w:cs="Arial"/>
          <w:szCs w:val="20"/>
          <w:lang w:val="sl-SI"/>
        </w:rPr>
        <w:t>okrajni državni tožilci opravljajo dežurno službo, v okviru katere obravnavajo vsa kazniva dejanja, o katerih so obveščeni, torej ne le zadev iz okrajne</w:t>
      </w:r>
      <w:r w:rsidR="00E4389E">
        <w:rPr>
          <w:rFonts w:eastAsia="Arial" w:cs="Arial"/>
          <w:szCs w:val="20"/>
          <w:lang w:val="sl-SI"/>
        </w:rPr>
        <w:t xml:space="preserve"> pristojnosti</w:t>
      </w:r>
      <w:r w:rsidRPr="00F2246C">
        <w:rPr>
          <w:rFonts w:eastAsia="Arial" w:cs="Arial"/>
          <w:szCs w:val="20"/>
          <w:lang w:val="sl-SI"/>
        </w:rPr>
        <w:t>, temveč tudi</w:t>
      </w:r>
      <w:r w:rsidR="00E4389E">
        <w:rPr>
          <w:rFonts w:eastAsia="Arial" w:cs="Arial"/>
          <w:szCs w:val="20"/>
          <w:lang w:val="sl-SI"/>
        </w:rPr>
        <w:t xml:space="preserve"> zadeve iz</w:t>
      </w:r>
      <w:r w:rsidRPr="00F2246C">
        <w:rPr>
          <w:rFonts w:eastAsia="Arial" w:cs="Arial"/>
          <w:szCs w:val="20"/>
          <w:lang w:val="sl-SI"/>
        </w:rPr>
        <w:t xml:space="preserve"> okrožne pristojnosti. ZKP namreč državnim tožilcem nalaga opravo vseh zakonskih nalog, pri čemer ne razlikuje med okrajnimi in okrožnimi nazivi. Navedeno odstopa od institucionalne ureditve na sodiščih, saj so organizacija dela državnih tožilstev, delo državnih tožilcev na državnih tožilstvih in položaj državnih tožilcev v primerjavi s sodniki drugačni in niso enaki položajem v sodstvu, kjer praviloma na okrajnih sodiščih sodijo okrajni sodniki in na okrožnih sodiščih sodniki, ki imajo najmanj naziv okrožnega sodnika. </w:t>
      </w:r>
    </w:p>
    <w:p w14:paraId="36E6B0D0" w14:textId="77777777" w:rsidR="00331D90" w:rsidRPr="00F2246C" w:rsidRDefault="00331D90" w:rsidP="00F2246C">
      <w:pPr>
        <w:spacing w:line="260" w:lineRule="exact"/>
        <w:jc w:val="both"/>
        <w:rPr>
          <w:rFonts w:eastAsia="Arial" w:cs="Arial"/>
          <w:szCs w:val="20"/>
          <w:lang w:val="sl-SI"/>
        </w:rPr>
      </w:pPr>
    </w:p>
    <w:p w14:paraId="4B19E0CC" w14:textId="44603A96" w:rsidR="00331D90" w:rsidRPr="00F2246C" w:rsidRDefault="00331D90" w:rsidP="00F2246C">
      <w:pPr>
        <w:spacing w:line="260" w:lineRule="exact"/>
        <w:jc w:val="both"/>
        <w:rPr>
          <w:rFonts w:cs="Arial"/>
          <w:b/>
          <w:bCs/>
          <w:szCs w:val="20"/>
          <w:lang w:val="sl-SI"/>
        </w:rPr>
      </w:pPr>
      <w:r w:rsidRPr="00F2246C">
        <w:rPr>
          <w:rFonts w:eastAsia="Arial" w:cs="Arial"/>
          <w:szCs w:val="20"/>
          <w:lang w:val="sl-SI"/>
        </w:rPr>
        <w:t>Stroga razmejitev pristojnosti med okrajnimi in okrožnimi državnimi tožilci je tako zrelativizirana že na zakonski ravni, še bolj izrazito pa v praksi zaradi potrebe po odzivanju vodij državnih tožilstev na dinamiko pripada zadev iz okrajne in okrožne pristojnosti ob upoštevanju razpoložljivih kadrovskih virov. S predlaganimi spremembami 21. člena ZDT-1 se bo po mnenju predlagatelja povečala učinkovitost organizacije dela državnih tožilstev na prvi stopnji z omogočanjem učinkovitejšega vodenja in organiziranja poslovanja državnih tožilstev ter učinkovitejše izenačitve obremenitve in boljše izrabe kadrovskih virov, ustrezneje pa se bo uredil tudi položaj okrajnih državnih tožilcev v razmerju do okrožnih državnih tožilcev iz naslova dejansko opravljenega dela. Predlagana sprememba bo prispevala tudi k prožnejšemu upravljanju kadrovski</w:t>
      </w:r>
      <w:r w:rsidR="00B80462">
        <w:rPr>
          <w:rFonts w:eastAsia="Arial" w:cs="Arial"/>
          <w:szCs w:val="20"/>
          <w:lang w:val="sl-SI"/>
        </w:rPr>
        <w:t>h</w:t>
      </w:r>
      <w:r w:rsidRPr="00F2246C">
        <w:rPr>
          <w:rFonts w:eastAsia="Arial" w:cs="Arial"/>
          <w:szCs w:val="20"/>
          <w:lang w:val="sl-SI"/>
        </w:rPr>
        <w:t xml:space="preserve"> vir</w:t>
      </w:r>
      <w:r w:rsidR="00B80462">
        <w:rPr>
          <w:rFonts w:eastAsia="Arial" w:cs="Arial"/>
          <w:szCs w:val="20"/>
          <w:lang w:val="sl-SI"/>
        </w:rPr>
        <w:t>ov</w:t>
      </w:r>
      <w:r w:rsidRPr="00F2246C">
        <w:rPr>
          <w:rFonts w:eastAsia="Arial" w:cs="Arial"/>
          <w:szCs w:val="20"/>
          <w:lang w:val="sl-SI"/>
        </w:rPr>
        <w:t xml:space="preserve"> in skrajšanju dolgotrajnih razpisnih postopkov. Ni zanemarljivo, da v razpisnih postopkih za prosta mesta okrožnih državnih tožilcev, ki </w:t>
      </w:r>
      <w:r w:rsidR="005E7A55">
        <w:rPr>
          <w:rFonts w:eastAsia="Arial" w:cs="Arial"/>
          <w:szCs w:val="20"/>
          <w:lang w:val="sl-SI"/>
        </w:rPr>
        <w:t xml:space="preserve">jih je </w:t>
      </w:r>
      <w:r w:rsidRPr="00F2246C">
        <w:rPr>
          <w:rFonts w:eastAsia="Arial" w:cs="Arial"/>
          <w:szCs w:val="20"/>
          <w:lang w:val="sl-SI"/>
        </w:rPr>
        <w:t>skoraj tretjin</w:t>
      </w:r>
      <w:r w:rsidR="005E7A55">
        <w:rPr>
          <w:rFonts w:eastAsia="Arial" w:cs="Arial"/>
          <w:szCs w:val="20"/>
          <w:lang w:val="sl-SI"/>
        </w:rPr>
        <w:t>a</w:t>
      </w:r>
      <w:r w:rsidRPr="00F2246C">
        <w:rPr>
          <w:rFonts w:eastAsia="Arial" w:cs="Arial"/>
          <w:szCs w:val="20"/>
          <w:lang w:val="sl-SI"/>
        </w:rPr>
        <w:t xml:space="preserve"> vseh odprtih razpisnih postopkov, praviloma kandidirajo okrajni državni tožilci, ki so velikokrat kot najboljši kandidati tudi izbrani. </w:t>
      </w:r>
      <w:r w:rsidR="00530E99">
        <w:rPr>
          <w:rFonts w:eastAsia="Arial" w:cs="Arial"/>
          <w:szCs w:val="20"/>
          <w:lang w:val="sl-SI"/>
        </w:rPr>
        <w:t xml:space="preserve">To </w:t>
      </w:r>
      <w:r w:rsidRPr="00F2246C">
        <w:rPr>
          <w:rFonts w:eastAsia="Arial" w:cs="Arial"/>
          <w:szCs w:val="20"/>
          <w:lang w:val="sl-SI"/>
        </w:rPr>
        <w:t xml:space="preserve">pomeni, da državno tožilstvo (gledano v absolutnem številu) ne pridobi dodatnega kadra, saj je zaradi napredovanja okrajnega državnega tožilca v naziv okrožnega državnega tožilca v nadaljevanju treba razpisati še prosto mesto okrajnega državnega tožilca, kar vpliva na nenehno nižjo dejansko kadrovsko zasedenost državnih tožilstev od dovoljene. </w:t>
      </w:r>
    </w:p>
    <w:p w14:paraId="3B986271" w14:textId="77777777" w:rsidR="00C671A3" w:rsidRDefault="00C671A3" w:rsidP="00F2246C">
      <w:pPr>
        <w:spacing w:line="260" w:lineRule="exact"/>
        <w:jc w:val="both"/>
        <w:rPr>
          <w:rFonts w:cs="Arial"/>
          <w:b/>
          <w:bCs/>
          <w:szCs w:val="20"/>
          <w:lang w:val="sl-SI"/>
        </w:rPr>
      </w:pPr>
    </w:p>
    <w:p w14:paraId="6E908731" w14:textId="77777777" w:rsidR="0025591D" w:rsidRDefault="0025591D" w:rsidP="00F2246C">
      <w:pPr>
        <w:spacing w:line="260" w:lineRule="exact"/>
        <w:jc w:val="both"/>
        <w:rPr>
          <w:rFonts w:cs="Arial"/>
          <w:b/>
          <w:bCs/>
          <w:szCs w:val="20"/>
          <w:lang w:val="sl-SI"/>
        </w:rPr>
      </w:pPr>
    </w:p>
    <w:p w14:paraId="399F50A5" w14:textId="77777777" w:rsidR="0025591D" w:rsidRDefault="0025591D" w:rsidP="00F2246C">
      <w:pPr>
        <w:spacing w:line="260" w:lineRule="exact"/>
        <w:jc w:val="both"/>
        <w:rPr>
          <w:rFonts w:cs="Arial"/>
          <w:b/>
          <w:bCs/>
          <w:szCs w:val="20"/>
          <w:lang w:val="sl-SI"/>
        </w:rPr>
      </w:pPr>
    </w:p>
    <w:p w14:paraId="2FE5AEDF" w14:textId="77777777" w:rsidR="0025591D" w:rsidRDefault="0025591D" w:rsidP="00F2246C">
      <w:pPr>
        <w:spacing w:line="260" w:lineRule="exact"/>
        <w:jc w:val="both"/>
        <w:rPr>
          <w:rFonts w:cs="Arial"/>
          <w:b/>
          <w:bCs/>
          <w:szCs w:val="20"/>
          <w:lang w:val="sl-SI"/>
        </w:rPr>
      </w:pPr>
    </w:p>
    <w:p w14:paraId="19726E31" w14:textId="77777777" w:rsidR="0025591D" w:rsidRPr="00F2246C" w:rsidRDefault="0025591D" w:rsidP="00F2246C">
      <w:pPr>
        <w:spacing w:line="260" w:lineRule="exact"/>
        <w:jc w:val="both"/>
        <w:rPr>
          <w:rFonts w:cs="Arial"/>
          <w:b/>
          <w:bCs/>
          <w:szCs w:val="20"/>
          <w:lang w:val="sl-SI"/>
        </w:rPr>
      </w:pPr>
    </w:p>
    <w:p w14:paraId="225256DA"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lastRenderedPageBreak/>
        <w:t>K 2. členu:</w:t>
      </w:r>
    </w:p>
    <w:p w14:paraId="4BDABE50" w14:textId="77777777" w:rsidR="00331D90" w:rsidRPr="00F2246C" w:rsidRDefault="00331D90" w:rsidP="00F2246C">
      <w:pPr>
        <w:spacing w:line="260" w:lineRule="exact"/>
        <w:jc w:val="both"/>
        <w:rPr>
          <w:rFonts w:cs="Arial"/>
          <w:szCs w:val="20"/>
          <w:lang w:val="sl-SI"/>
        </w:rPr>
      </w:pPr>
    </w:p>
    <w:p w14:paraId="21C3EA17" w14:textId="77777777" w:rsidR="00331D90" w:rsidRPr="00F2246C" w:rsidRDefault="00331D90" w:rsidP="00F2246C">
      <w:pPr>
        <w:spacing w:line="260" w:lineRule="exact"/>
        <w:jc w:val="both"/>
        <w:rPr>
          <w:rFonts w:cs="Arial"/>
          <w:szCs w:val="20"/>
          <w:lang w:val="sl-SI"/>
        </w:rPr>
      </w:pPr>
      <w:r w:rsidRPr="00F2246C">
        <w:rPr>
          <w:rFonts w:cs="Arial"/>
          <w:szCs w:val="20"/>
          <w:lang w:val="sl-SI"/>
        </w:rPr>
        <w:t xml:space="preserve">S predlaganimi spremembami 22. člena ZDT-1 se uvaja ena vrsta naziva državnega tožilca na prvi stopnji, to je okrožnega državnega tožilca. Razlogi za uvedbo ene vrste naziva državnega tožilca na prvi stopnji so pojasnjeni v obrazložitvi k prejšnjemu členu.  </w:t>
      </w:r>
    </w:p>
    <w:p w14:paraId="73F844D3" w14:textId="77777777" w:rsidR="00331D90" w:rsidRPr="00F2246C" w:rsidRDefault="00331D90" w:rsidP="00F2246C">
      <w:pPr>
        <w:spacing w:line="260" w:lineRule="exact"/>
        <w:jc w:val="both"/>
        <w:rPr>
          <w:rFonts w:cs="Arial"/>
          <w:szCs w:val="20"/>
          <w:lang w:val="sl-SI"/>
        </w:rPr>
      </w:pPr>
    </w:p>
    <w:p w14:paraId="16755601" w14:textId="77777777" w:rsidR="00331D90" w:rsidRPr="00F2246C" w:rsidRDefault="00331D90" w:rsidP="00F2246C">
      <w:pPr>
        <w:spacing w:line="260" w:lineRule="exact"/>
        <w:jc w:val="both"/>
        <w:rPr>
          <w:rFonts w:cs="Arial"/>
          <w:szCs w:val="20"/>
          <w:lang w:val="sl-SI"/>
        </w:rPr>
      </w:pPr>
    </w:p>
    <w:p w14:paraId="2E7127E0" w14:textId="77777777" w:rsidR="00331D90" w:rsidRPr="00F2246C" w:rsidRDefault="00331D90" w:rsidP="00F2246C">
      <w:pPr>
        <w:spacing w:line="260" w:lineRule="exact"/>
        <w:jc w:val="both"/>
        <w:rPr>
          <w:rFonts w:cs="Arial"/>
          <w:b/>
          <w:bCs/>
          <w:szCs w:val="20"/>
          <w:lang w:val="sl-SI"/>
        </w:rPr>
      </w:pPr>
      <w:r w:rsidRPr="00F2246C">
        <w:rPr>
          <w:rFonts w:cs="Arial"/>
          <w:b/>
          <w:bCs/>
          <w:szCs w:val="20"/>
          <w:lang w:val="sl-SI"/>
        </w:rPr>
        <w:t>K 3. členu:</w:t>
      </w:r>
    </w:p>
    <w:p w14:paraId="4613891A" w14:textId="77777777" w:rsidR="00331D90" w:rsidRPr="00F2246C" w:rsidRDefault="00331D90" w:rsidP="00F2246C">
      <w:pPr>
        <w:spacing w:line="260" w:lineRule="exact"/>
        <w:jc w:val="both"/>
        <w:rPr>
          <w:rFonts w:cs="Arial"/>
          <w:b/>
          <w:bCs/>
          <w:szCs w:val="20"/>
          <w:lang w:val="sl-SI"/>
        </w:rPr>
      </w:pPr>
    </w:p>
    <w:p w14:paraId="767F8448" w14:textId="0A8B7C9C" w:rsidR="00331D90" w:rsidRDefault="00331D90" w:rsidP="00F2246C">
      <w:pPr>
        <w:spacing w:line="260" w:lineRule="exact"/>
        <w:jc w:val="both"/>
        <w:rPr>
          <w:rFonts w:cs="Arial"/>
          <w:szCs w:val="20"/>
          <w:lang w:val="sl-SI"/>
        </w:rPr>
      </w:pPr>
      <w:r w:rsidRPr="00F2246C">
        <w:rPr>
          <w:rFonts w:cs="Arial"/>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V Zakonu o državnem tožilstvu se torej sklicevanje na zakon, ki ureja sodniško službo, nadomešča s sklicevanjem na zakon, ki ureja sodnike. </w:t>
      </w:r>
      <w:r w:rsidR="00233674">
        <w:rPr>
          <w:rFonts w:cs="Arial"/>
          <w:szCs w:val="20"/>
          <w:lang w:val="sl-SI"/>
        </w:rPr>
        <w:t>Deloma se n</w:t>
      </w:r>
      <w:r w:rsidRPr="00F2246C">
        <w:rPr>
          <w:rFonts w:cs="Arial"/>
          <w:szCs w:val="20"/>
          <w:lang w:val="sl-SI"/>
        </w:rPr>
        <w:t>avedena sprememba predlaga v zbirnem členu.</w:t>
      </w:r>
    </w:p>
    <w:p w14:paraId="1502B632" w14:textId="77777777" w:rsidR="00331D90" w:rsidRPr="00F2246C" w:rsidRDefault="00331D90" w:rsidP="00F2246C">
      <w:pPr>
        <w:spacing w:line="260" w:lineRule="exact"/>
        <w:jc w:val="both"/>
        <w:rPr>
          <w:rFonts w:eastAsiaTheme="minorEastAsia" w:cs="Arial"/>
          <w:szCs w:val="20"/>
          <w:lang w:val="sl-SI"/>
        </w:rPr>
      </w:pPr>
    </w:p>
    <w:p w14:paraId="24144F58" w14:textId="77777777" w:rsidR="00331D90" w:rsidRPr="00F2246C" w:rsidRDefault="00331D90" w:rsidP="00F2246C">
      <w:pPr>
        <w:spacing w:line="260" w:lineRule="exact"/>
        <w:jc w:val="both"/>
        <w:rPr>
          <w:rFonts w:eastAsiaTheme="minorEastAsia" w:cs="Arial"/>
          <w:szCs w:val="20"/>
          <w:lang w:val="sl-SI"/>
        </w:rPr>
      </w:pPr>
    </w:p>
    <w:p w14:paraId="3A3498C5"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4. členu:</w:t>
      </w:r>
    </w:p>
    <w:p w14:paraId="0ED5811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FC5A8FE" w14:textId="77777777" w:rsidR="00331D90" w:rsidRPr="00F2246C" w:rsidRDefault="00331D90" w:rsidP="00F2246C">
      <w:pPr>
        <w:spacing w:line="260" w:lineRule="exact"/>
        <w:jc w:val="both"/>
        <w:rPr>
          <w:rFonts w:eastAsiaTheme="minorEastAsia" w:cs="Arial"/>
          <w:szCs w:val="20"/>
          <w:lang w:val="sl-SI"/>
        </w:rPr>
      </w:pPr>
      <w:r w:rsidRPr="00F2246C">
        <w:rPr>
          <w:rFonts w:eastAsiaTheme="minorEastAsia" w:cs="Arial"/>
          <w:szCs w:val="20"/>
          <w:lang w:val="sl-SI"/>
        </w:rPr>
        <w:t xml:space="preserve">Predlagano črtanje 24. člena ZDT-1, ki določa posebne pogoje za imenovanje na mesto okrajnega državnega tožilca, je redakcijske narave in je povezano s predlaganimi spremembami 22. člena ZDT-1, s katerimi se uvaja ena vrsta naziva državnega tožilca na prvi stopnji, to je namesto okrajnega in okrožnega državnega tožilca le naziv okrožnega državnega tožilca. </w:t>
      </w:r>
    </w:p>
    <w:p w14:paraId="4CF0F21D" w14:textId="77777777" w:rsidR="00331D90" w:rsidRPr="00F2246C" w:rsidRDefault="00331D90" w:rsidP="00F2246C">
      <w:pPr>
        <w:spacing w:line="260" w:lineRule="exact"/>
        <w:jc w:val="both"/>
        <w:rPr>
          <w:rFonts w:eastAsiaTheme="minorEastAsia" w:cs="Arial"/>
          <w:szCs w:val="20"/>
          <w:lang w:val="sl-SI"/>
        </w:rPr>
      </w:pPr>
    </w:p>
    <w:p w14:paraId="52851435" w14:textId="77777777" w:rsidR="00331D90" w:rsidRPr="00F2246C" w:rsidRDefault="00331D90" w:rsidP="00F2246C">
      <w:pPr>
        <w:spacing w:line="260" w:lineRule="exact"/>
        <w:jc w:val="both"/>
        <w:rPr>
          <w:rFonts w:eastAsiaTheme="minorEastAsia" w:cs="Arial"/>
          <w:szCs w:val="20"/>
          <w:lang w:val="sl-SI"/>
        </w:rPr>
      </w:pPr>
    </w:p>
    <w:p w14:paraId="56650EA4"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K 5. členu:</w:t>
      </w:r>
    </w:p>
    <w:p w14:paraId="7DEF9E2A"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6C93A35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 xml:space="preserve">Predlagana sprememba 25. člena ZDT-1 je povezana s predlagano uvedbo ene vrste naziva državnega tožilca na prvi stopnji, to je naziv okrožnega državnega tožilca namesto dosedanjih okrajnega in okrožnega državnega tožilca. </w:t>
      </w:r>
    </w:p>
    <w:p w14:paraId="76EF65E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59261D06" w14:textId="1407B96F"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Posebni pogoj za imenovanje na državnotožilsko mesto, ki se opravlja v nazivu okrožni državni tožilec, bo po novem vezan le na izpolnjevanje poseb</w:t>
      </w:r>
      <w:r w:rsidR="00615236">
        <w:rPr>
          <w:rFonts w:eastAsiaTheme="minorEastAsia" w:cs="Arial"/>
          <w:szCs w:val="20"/>
          <w:lang w:val="sl-SI"/>
        </w:rPr>
        <w:t>nega</w:t>
      </w:r>
      <w:r w:rsidRPr="00F2246C">
        <w:rPr>
          <w:rFonts w:eastAsiaTheme="minorEastAsia" w:cs="Arial"/>
          <w:szCs w:val="20"/>
          <w:lang w:val="sl-SI"/>
        </w:rPr>
        <w:t xml:space="preserve"> pogoj</w:t>
      </w:r>
      <w:r w:rsidR="00615236">
        <w:rPr>
          <w:rFonts w:eastAsiaTheme="minorEastAsia" w:cs="Arial"/>
          <w:szCs w:val="20"/>
          <w:lang w:val="sl-SI"/>
        </w:rPr>
        <w:t>a</w:t>
      </w:r>
      <w:r w:rsidRPr="00F2246C">
        <w:rPr>
          <w:rFonts w:eastAsiaTheme="minorEastAsia" w:cs="Arial"/>
          <w:szCs w:val="20"/>
          <w:lang w:val="sl-SI"/>
        </w:rPr>
        <w:t xml:space="preserve"> za izvolitev na sodniško mesto na okrožnem sodišču. Po predlogu novega Zakona o sodnikih, s katerim se predlaga uvedba enega naziva prvostopenjskega sodnika, to je okrožnega sodnika, bodo kot posebni pogoj za izvolitev v sodniški naziv okrožnega sodnika predpisana štiri leta delovnih izkušenj na pravniških delih po opravljenem pravniškem državnem izpitu. </w:t>
      </w:r>
    </w:p>
    <w:p w14:paraId="2634469F"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3E861AA1" w14:textId="4FC28EC6"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Enak pogoj štirih let delovnih izkušenj na pravniških delih po opravljenem pravniškem državnem izpitu bo veljal tudi za imenovanje okrožnih državnih tožilcev. S tem se bo vstopni pogoj za imenovanje v naziv okrožnega državnega tožilca po predlagani ureditvi približal vstopn</w:t>
      </w:r>
      <w:r w:rsidR="00615236">
        <w:rPr>
          <w:rFonts w:eastAsiaTheme="minorEastAsia" w:cs="Arial"/>
          <w:szCs w:val="20"/>
          <w:lang w:val="sl-SI"/>
        </w:rPr>
        <w:t>emu</w:t>
      </w:r>
      <w:r w:rsidRPr="00F2246C">
        <w:rPr>
          <w:rFonts w:eastAsiaTheme="minorEastAsia" w:cs="Arial"/>
          <w:szCs w:val="20"/>
          <w:lang w:val="sl-SI"/>
        </w:rPr>
        <w:t xml:space="preserve"> pogoj</w:t>
      </w:r>
      <w:r w:rsidR="00615236">
        <w:rPr>
          <w:rFonts w:eastAsiaTheme="minorEastAsia" w:cs="Arial"/>
          <w:szCs w:val="20"/>
          <w:lang w:val="sl-SI"/>
        </w:rPr>
        <w:t>u</w:t>
      </w:r>
      <w:r w:rsidRPr="00F2246C">
        <w:rPr>
          <w:rFonts w:eastAsiaTheme="minorEastAsia" w:cs="Arial"/>
          <w:szCs w:val="20"/>
          <w:lang w:val="sl-SI"/>
        </w:rPr>
        <w:t>, ki po veljavni ureditvi velja za okrajnega državnega tožilca oz</w:t>
      </w:r>
      <w:r w:rsidR="00701157">
        <w:rPr>
          <w:rFonts w:eastAsiaTheme="minorEastAsia" w:cs="Arial"/>
          <w:szCs w:val="20"/>
          <w:lang w:val="sl-SI"/>
        </w:rPr>
        <w:t>iroma</w:t>
      </w:r>
      <w:r w:rsidRPr="00F2246C">
        <w:rPr>
          <w:rFonts w:eastAsiaTheme="minorEastAsia" w:cs="Arial"/>
          <w:szCs w:val="20"/>
          <w:lang w:val="sl-SI"/>
        </w:rPr>
        <w:t xml:space="preserve"> sodnika z nazivom okrajni sodnik. Po mnenju predlagatelja je predlagana sprememba na področju državnega tožilstva še posebej ustrezna, saj se okrajni državni tožilci glede obremenitev, pripada in teže reševanja zadev dejansko vedno bolj približujejo delu okrožnih državnih tožilcev.</w:t>
      </w:r>
    </w:p>
    <w:p w14:paraId="39B8564D"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6FD38A35"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r w:rsidRPr="00F2246C">
        <w:rPr>
          <w:rFonts w:eastAsiaTheme="minorEastAsia" w:cs="Arial"/>
          <w:szCs w:val="20"/>
          <w:lang w:val="sl-SI"/>
        </w:rPr>
        <w:t>Predlagana ureditev bo predstavljala dodatno motivacijo ne le za prijave na razpisana prosta mesta, temveč tudi za nadaljevanje karierne poti mlajših državnih tožilcev na državnih tožilstvih.</w:t>
      </w:r>
    </w:p>
    <w:p w14:paraId="216A02F9" w14:textId="77777777" w:rsidR="00331D90" w:rsidRDefault="00331D90" w:rsidP="00F2246C">
      <w:pPr>
        <w:shd w:val="clear" w:color="auto" w:fill="FFFFFF" w:themeFill="background1"/>
        <w:spacing w:line="260" w:lineRule="exact"/>
        <w:jc w:val="both"/>
        <w:rPr>
          <w:rFonts w:eastAsiaTheme="minorEastAsia" w:cs="Arial"/>
          <w:szCs w:val="20"/>
          <w:lang w:val="sl-SI"/>
        </w:rPr>
      </w:pPr>
    </w:p>
    <w:p w14:paraId="56E15ADF" w14:textId="77777777" w:rsidR="00B52A04" w:rsidRDefault="00B52A04" w:rsidP="00F2246C">
      <w:pPr>
        <w:shd w:val="clear" w:color="auto" w:fill="FFFFFF" w:themeFill="background1"/>
        <w:spacing w:line="260" w:lineRule="exact"/>
        <w:jc w:val="both"/>
        <w:rPr>
          <w:rFonts w:eastAsiaTheme="minorEastAsia" w:cs="Arial"/>
          <w:szCs w:val="20"/>
          <w:lang w:val="sl-SI"/>
        </w:rPr>
      </w:pPr>
    </w:p>
    <w:p w14:paraId="55FA04B9" w14:textId="77777777" w:rsidR="0025591D" w:rsidRDefault="0025591D" w:rsidP="00F2246C">
      <w:pPr>
        <w:shd w:val="clear" w:color="auto" w:fill="FFFFFF" w:themeFill="background1"/>
        <w:spacing w:line="260" w:lineRule="exact"/>
        <w:jc w:val="both"/>
        <w:rPr>
          <w:rFonts w:eastAsiaTheme="minorEastAsia" w:cs="Arial"/>
          <w:szCs w:val="20"/>
          <w:lang w:val="sl-SI"/>
        </w:rPr>
      </w:pPr>
    </w:p>
    <w:p w14:paraId="75B87FE2" w14:textId="1FDF8D90" w:rsidR="00B52A04" w:rsidRPr="006B55A7" w:rsidRDefault="00B52A04" w:rsidP="006B55A7">
      <w:pPr>
        <w:shd w:val="clear" w:color="auto" w:fill="FFFFFF" w:themeFill="background1"/>
        <w:spacing w:line="260" w:lineRule="exact"/>
        <w:jc w:val="both"/>
        <w:rPr>
          <w:rFonts w:eastAsiaTheme="minorEastAsia" w:cs="Arial"/>
          <w:b/>
          <w:bCs/>
          <w:szCs w:val="20"/>
          <w:lang w:val="sl-SI"/>
        </w:rPr>
      </w:pPr>
      <w:r w:rsidRPr="006B55A7">
        <w:rPr>
          <w:rFonts w:eastAsiaTheme="minorEastAsia" w:cs="Arial"/>
          <w:b/>
          <w:bCs/>
          <w:szCs w:val="20"/>
          <w:lang w:val="sl-SI"/>
        </w:rPr>
        <w:lastRenderedPageBreak/>
        <w:t xml:space="preserve">K 6. </w:t>
      </w:r>
      <w:r w:rsidR="00F90B19" w:rsidRPr="006B55A7">
        <w:rPr>
          <w:rFonts w:eastAsiaTheme="minorEastAsia" w:cs="Arial"/>
          <w:b/>
          <w:bCs/>
          <w:szCs w:val="20"/>
          <w:lang w:val="sl-SI"/>
        </w:rPr>
        <w:t xml:space="preserve">in 7. </w:t>
      </w:r>
      <w:r w:rsidRPr="006B55A7">
        <w:rPr>
          <w:rFonts w:eastAsiaTheme="minorEastAsia" w:cs="Arial"/>
          <w:b/>
          <w:bCs/>
          <w:szCs w:val="20"/>
          <w:lang w:val="sl-SI"/>
        </w:rPr>
        <w:t>členu:</w:t>
      </w:r>
    </w:p>
    <w:p w14:paraId="522ECBC8"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Spremembi v 26. in 27. členu ZDT-1 sta terminološke narave.</w:t>
      </w:r>
    </w:p>
    <w:p w14:paraId="684C94DE"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p>
    <w:p w14:paraId="5CF7EF60" w14:textId="71BA2FDB"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Zaradi poenotenja izrazov v ZDT-1 se v celotnem zakonu besedilo »državnotožilski naziv« nadomešča z besedo »naziv« oz</w:t>
      </w:r>
      <w:r w:rsidR="002C79F8">
        <w:rPr>
          <w:rFonts w:ascii="Arial" w:eastAsia="Arial" w:hAnsi="Arial" w:cs="Arial"/>
          <w:sz w:val="20"/>
          <w:szCs w:val="20"/>
          <w:lang w:val="sl-SI"/>
        </w:rPr>
        <w:t>iroma</w:t>
      </w:r>
      <w:r w:rsidRPr="006B55A7">
        <w:rPr>
          <w:rFonts w:ascii="Arial" w:eastAsia="Arial" w:hAnsi="Arial" w:cs="Arial"/>
          <w:sz w:val="20"/>
          <w:szCs w:val="20"/>
          <w:lang w:val="sl-SI"/>
        </w:rPr>
        <w:t xml:space="preserve"> se v 26. in 27. členu ZDT-1 beseda »državnotožilskem« v navedeni besedni zvezi črta.</w:t>
      </w:r>
    </w:p>
    <w:p w14:paraId="2EA710D7"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p>
    <w:p w14:paraId="5A3DCF36" w14:textId="77777777" w:rsidR="006B55A7" w:rsidRPr="006B55A7" w:rsidRDefault="006B55A7"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V Zakonu o državnem tožilstvu se torej sklicevanje na zakon, ki ureja sodniško službo, nadomešča s sklicevanjem na zakon, ki ureja sodnike. </w:t>
      </w:r>
    </w:p>
    <w:p w14:paraId="6A87BECC" w14:textId="3F110CA9" w:rsidR="00B52A04" w:rsidRPr="006B55A7" w:rsidRDefault="00B52A04" w:rsidP="006B55A7">
      <w:pPr>
        <w:pStyle w:val="zamik"/>
        <w:pBdr>
          <w:top w:val="none" w:sz="0" w:space="12" w:color="auto"/>
        </w:pBdr>
        <w:spacing w:line="260" w:lineRule="exact"/>
        <w:ind w:firstLine="0"/>
        <w:jc w:val="both"/>
        <w:rPr>
          <w:rFonts w:ascii="Arial" w:eastAsia="Arial" w:hAnsi="Arial" w:cs="Arial"/>
          <w:sz w:val="20"/>
          <w:szCs w:val="20"/>
          <w:lang w:val="sl-SI"/>
        </w:rPr>
      </w:pPr>
      <w:r w:rsidRPr="006B55A7">
        <w:rPr>
          <w:rFonts w:ascii="Arial" w:eastAsia="Arial" w:hAnsi="Arial" w:cs="Arial"/>
          <w:sz w:val="20"/>
          <w:szCs w:val="20"/>
          <w:lang w:val="sl-SI"/>
        </w:rPr>
        <w:t xml:space="preserve"> </w:t>
      </w:r>
    </w:p>
    <w:p w14:paraId="7B00DDB3" w14:textId="77777777" w:rsidR="00331D90" w:rsidRPr="006B55A7" w:rsidRDefault="00331D90" w:rsidP="006B55A7">
      <w:pPr>
        <w:shd w:val="clear" w:color="auto" w:fill="FFFFFF" w:themeFill="background1"/>
        <w:spacing w:line="260" w:lineRule="exact"/>
        <w:jc w:val="both"/>
        <w:rPr>
          <w:rFonts w:eastAsiaTheme="minorEastAsia" w:cs="Arial"/>
          <w:szCs w:val="20"/>
          <w:lang w:val="sl-SI"/>
        </w:rPr>
      </w:pPr>
    </w:p>
    <w:p w14:paraId="6B4614A9" w14:textId="137C4B70"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8</w:t>
      </w:r>
      <w:r w:rsidRPr="00F2246C">
        <w:rPr>
          <w:rFonts w:eastAsiaTheme="minorEastAsia" w:cs="Arial"/>
          <w:b/>
          <w:bCs/>
          <w:szCs w:val="20"/>
          <w:lang w:val="sl-SI"/>
        </w:rPr>
        <w:t>. členu:</w:t>
      </w:r>
    </w:p>
    <w:p w14:paraId="7A93825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7FB3F10" w14:textId="7B0C29DC"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 xml:space="preserve">Predlagane spremembe drugega odstavka 37. člena ZDT-1 glede napredovanja državnih tožilcev </w:t>
      </w:r>
      <w:r w:rsidR="00836095">
        <w:rPr>
          <w:rFonts w:ascii="Arial" w:eastAsia="Arial" w:hAnsi="Arial" w:cs="Arial"/>
          <w:sz w:val="20"/>
          <w:szCs w:val="20"/>
          <w:lang w:val="sl-SI"/>
        </w:rPr>
        <w:t xml:space="preserve">so namenjene </w:t>
      </w:r>
      <w:r w:rsidRPr="00F2246C">
        <w:rPr>
          <w:rFonts w:ascii="Arial" w:eastAsia="Arial" w:hAnsi="Arial" w:cs="Arial"/>
          <w:sz w:val="20"/>
          <w:szCs w:val="20"/>
          <w:lang w:val="sl-SI"/>
        </w:rPr>
        <w:t>uskladit</w:t>
      </w:r>
      <w:r w:rsidR="00836095">
        <w:rPr>
          <w:rFonts w:ascii="Arial" w:eastAsia="Arial" w:hAnsi="Arial" w:cs="Arial"/>
          <w:sz w:val="20"/>
          <w:szCs w:val="20"/>
          <w:lang w:val="sl-SI"/>
        </w:rPr>
        <w:t>vi</w:t>
      </w:r>
      <w:r w:rsidRPr="00F2246C">
        <w:rPr>
          <w:rFonts w:ascii="Arial" w:eastAsia="Arial" w:hAnsi="Arial" w:cs="Arial"/>
          <w:sz w:val="20"/>
          <w:szCs w:val="20"/>
          <w:lang w:val="sl-SI"/>
        </w:rPr>
        <w:t xml:space="preserve"> s spremembami glede napredovanj sodnikov po predlogu novega Zakona o sodnikih. Tako bo po predlagani ureditvi napredovanje zajemalo napredovanje okrožnih in višjih državnih tožilcev v plačnih razredih, napredovanje na položaj svetnika, napredovanje okrožnega državnega tožilca v naziv višjega državnega tožilca na istem državnotožilskem mestu in napredovanje na višje državnotožilsko mesto. Ker po novem ne bo več možnosti napredovanja </w:t>
      </w:r>
      <w:r w:rsidR="00A4453A">
        <w:rPr>
          <w:rFonts w:ascii="Arial" w:eastAsia="Arial" w:hAnsi="Arial" w:cs="Arial"/>
          <w:sz w:val="20"/>
          <w:szCs w:val="20"/>
          <w:lang w:val="sl-SI"/>
        </w:rPr>
        <w:t xml:space="preserve">na podlagi </w:t>
      </w:r>
      <w:r w:rsidRPr="00F2246C">
        <w:rPr>
          <w:rFonts w:ascii="Arial" w:eastAsia="Arial" w:hAnsi="Arial" w:cs="Arial"/>
          <w:sz w:val="20"/>
          <w:szCs w:val="20"/>
          <w:lang w:val="sl-SI"/>
        </w:rPr>
        <w:t>ocene v državnotožilski naziv vrhovnega državnega tožilca, se predlaga črtanje četrtega odstavka, ki določa, da o napredovanju v naziv vrhovni državni tožilec odloča Vlada Republike Slovenije na predlog Državnotožilskega sveta.</w:t>
      </w:r>
    </w:p>
    <w:p w14:paraId="4CAEF000"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6E3A09C3"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Predlagano črtanje napredovanja v naziv okrožnega državnega tožilca v tretjem odstavku 37. člena ZDT-1 pa je povezano s predlagano uvedbo ene vrste naziva državnega tožilca na prvi stopnji, to je naziv okrožnega državnega tožilca namesto dosedanjih okrajnega in okrožnega državnega tožilca.</w:t>
      </w:r>
    </w:p>
    <w:p w14:paraId="43956EE8"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p>
    <w:p w14:paraId="56CC97DE" w14:textId="77777777" w:rsidR="00331D90" w:rsidRPr="00F2246C" w:rsidRDefault="00331D90" w:rsidP="00F2246C">
      <w:pPr>
        <w:pStyle w:val="alineazaodstavkom2"/>
        <w:spacing w:line="260" w:lineRule="exact"/>
        <w:ind w:firstLine="0"/>
        <w:rPr>
          <w:rFonts w:ascii="Arial" w:eastAsia="Arial" w:hAnsi="Arial" w:cs="Arial"/>
          <w:sz w:val="20"/>
          <w:szCs w:val="20"/>
          <w:lang w:val="sl-SI"/>
        </w:rPr>
      </w:pPr>
      <w:r w:rsidRPr="00F2246C">
        <w:rPr>
          <w:rFonts w:ascii="Arial" w:eastAsia="Arial" w:hAnsi="Arial" w:cs="Arial"/>
          <w:sz w:val="20"/>
          <w:szCs w:val="20"/>
          <w:lang w:val="sl-SI"/>
        </w:rPr>
        <w:t>V dosedanjem osmem, po novem sedmem odstavku se sklicevanje na zakon, ki ureja sodniško službo, nadomešča s sklicevanjem na zakon, ki ureja sodnike. Hkrati s predlogom Zakona o spremembah in dopolnitvah Zakona o državnem tožilstvu je namreč predlagan novi Zakon o sodnikih, ki bo nadomestil veljavni Zakon o sodniški službi.</w:t>
      </w:r>
    </w:p>
    <w:p w14:paraId="01EAF479"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2DB16AC0" w14:textId="77777777" w:rsidR="00331D90" w:rsidRPr="00F2246C" w:rsidRDefault="00331D90" w:rsidP="00F2246C">
      <w:pPr>
        <w:shd w:val="clear" w:color="auto" w:fill="FFFFFF" w:themeFill="background1"/>
        <w:spacing w:line="260" w:lineRule="exact"/>
        <w:jc w:val="both"/>
        <w:rPr>
          <w:rFonts w:eastAsiaTheme="minorEastAsia" w:cs="Arial"/>
          <w:szCs w:val="20"/>
          <w:lang w:val="sl-SI"/>
        </w:rPr>
      </w:pPr>
    </w:p>
    <w:p w14:paraId="0A59025A" w14:textId="5891BE2A"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9</w:t>
      </w:r>
      <w:r w:rsidRPr="00F2246C">
        <w:rPr>
          <w:rFonts w:eastAsiaTheme="minorEastAsia" w:cs="Arial"/>
          <w:b/>
          <w:bCs/>
          <w:szCs w:val="20"/>
          <w:lang w:val="sl-SI"/>
        </w:rPr>
        <w:t>. členu:</w:t>
      </w:r>
    </w:p>
    <w:p w14:paraId="13BBDC76" w14:textId="77777777" w:rsidR="00331D90" w:rsidRPr="00F2246C" w:rsidRDefault="00331D90" w:rsidP="00F2246C">
      <w:pPr>
        <w:shd w:val="clear" w:color="auto" w:fill="FFFFFF" w:themeFill="background1"/>
        <w:spacing w:line="260" w:lineRule="exact"/>
        <w:jc w:val="both"/>
        <w:rPr>
          <w:rFonts w:eastAsiaTheme="minorEastAsia" w:cs="Arial"/>
          <w:b/>
          <w:bCs/>
          <w:szCs w:val="20"/>
          <w:lang w:val="sl-SI"/>
        </w:rPr>
      </w:pPr>
    </w:p>
    <w:p w14:paraId="29056353" w14:textId="1739D79C"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 xml:space="preserve">Glede na to, da je pravica državnega tožilca do dopusta skoraj v celoti urejena </w:t>
      </w:r>
      <w:r w:rsidR="00F421F1" w:rsidRPr="00F2246C">
        <w:rPr>
          <w:rFonts w:ascii="Arial" w:eastAsia="Arial" w:hAnsi="Arial" w:cs="Arial"/>
          <w:color w:val="000000" w:themeColor="text1"/>
          <w:sz w:val="20"/>
          <w:szCs w:val="20"/>
          <w:lang w:val="sl-SI"/>
        </w:rPr>
        <w:t xml:space="preserve">enako </w:t>
      </w:r>
      <w:r w:rsidRPr="00F2246C">
        <w:rPr>
          <w:rFonts w:ascii="Arial" w:eastAsia="Arial" w:hAnsi="Arial" w:cs="Arial"/>
          <w:color w:val="000000" w:themeColor="text1"/>
          <w:sz w:val="20"/>
          <w:szCs w:val="20"/>
          <w:lang w:val="sl-SI"/>
        </w:rPr>
        <w:t>kot pravica sodnika do dopusta ter da se na splošno glede pravic in dolžnosti državnega tožilca v zvezi z državnotožilsko službo, ki niso urejene z ZDT-1, smiselno uporabljajo določbe zakona, ki velja za sodnike (drugi odstavek 4. člena ZDT-1), se predlaga navezava ureditve pravice državnega tožilca do dopusta na ureditev sodnikove istovrstne pravice. Na ta način bo v primeru sprememb ureditve sodnikove pravice do dopusta odpadla potreba po hkratni spremembi 57. člena ZDT-1, ki trenutno natančno ureja pravico državnega tožilca do dopusta.</w:t>
      </w:r>
    </w:p>
    <w:p w14:paraId="4EC0336E"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E81D95B"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Minister za pravosodje pa bo (v soglasju z Državnotožilskim svetom) še naprej pristojen za določitev meril za trajanje letnega dopusta in drugih odsotnosti z dela.</w:t>
      </w:r>
    </w:p>
    <w:p w14:paraId="167C3C19" w14:textId="77777777"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71A3BDC" w14:textId="3166B8FB" w:rsidR="00331D90" w:rsidRPr="00F2246C" w:rsidRDefault="00331D90" w:rsidP="00F2246C">
      <w:pPr>
        <w:pStyle w:val="alineazaodstavkom2"/>
        <w:spacing w:line="260" w:lineRule="exact"/>
        <w:ind w:firstLine="0"/>
        <w:rPr>
          <w:rFonts w:ascii="Arial" w:eastAsia="Arial" w:hAnsi="Arial" w:cs="Arial"/>
          <w:color w:val="000000" w:themeColor="text1"/>
          <w:sz w:val="20"/>
          <w:szCs w:val="20"/>
          <w:lang w:val="sl-SI"/>
        </w:rPr>
      </w:pPr>
      <w:r w:rsidRPr="00F2246C">
        <w:rPr>
          <w:rFonts w:ascii="Arial" w:eastAsia="Arial" w:hAnsi="Arial" w:cs="Arial"/>
          <w:color w:val="000000" w:themeColor="text1"/>
          <w:sz w:val="20"/>
          <w:szCs w:val="20"/>
          <w:lang w:val="sl-SI"/>
        </w:rPr>
        <w:t>Predlaga se tudi uskladitev 57. člena ZDT-1 s terminologijo, ki je uporabljena v delovnopravni zakonodaji (159. do 168.a člen Zakona o delovnih razmerjih</w:t>
      </w:r>
      <w:r w:rsidR="00F421F1">
        <w:rPr>
          <w:rFonts w:ascii="Arial" w:eastAsia="Arial" w:hAnsi="Arial" w:cs="Arial"/>
          <w:color w:val="000000" w:themeColor="text1"/>
          <w:sz w:val="20"/>
          <w:szCs w:val="20"/>
          <w:lang w:val="sl-SI"/>
        </w:rPr>
        <w:t>).</w:t>
      </w:r>
      <w:r w:rsidRPr="00F2246C">
        <w:rPr>
          <w:rStyle w:val="Sprotnaopomba-sklic"/>
          <w:rFonts w:ascii="Arial" w:eastAsia="Arial" w:hAnsi="Arial" w:cs="Arial"/>
          <w:color w:val="000000" w:themeColor="text1"/>
          <w:sz w:val="20"/>
          <w:szCs w:val="20"/>
          <w:lang w:val="sl-SI"/>
        </w:rPr>
        <w:footnoteReference w:id="33"/>
      </w:r>
      <w:r w:rsidRPr="00F2246C">
        <w:rPr>
          <w:rFonts w:ascii="Arial" w:eastAsia="Arial" w:hAnsi="Arial" w:cs="Arial"/>
          <w:color w:val="000000" w:themeColor="text1"/>
          <w:sz w:val="20"/>
          <w:szCs w:val="20"/>
          <w:lang w:val="sl-SI"/>
        </w:rPr>
        <w:t xml:space="preserve"> </w:t>
      </w:r>
      <w:r w:rsidR="00F421F1">
        <w:rPr>
          <w:rFonts w:ascii="Arial" w:eastAsia="Arial" w:hAnsi="Arial" w:cs="Arial"/>
          <w:color w:val="000000" w:themeColor="text1"/>
          <w:sz w:val="20"/>
          <w:szCs w:val="20"/>
          <w:lang w:val="sl-SI"/>
        </w:rPr>
        <w:t>T</w:t>
      </w:r>
      <w:r w:rsidRPr="00F2246C">
        <w:rPr>
          <w:rFonts w:ascii="Arial" w:eastAsia="Arial" w:hAnsi="Arial" w:cs="Arial"/>
          <w:color w:val="000000" w:themeColor="text1"/>
          <w:sz w:val="20"/>
          <w:szCs w:val="20"/>
          <w:lang w:val="sl-SI"/>
        </w:rPr>
        <w:t>a namreč ločuje med odsotnostjo, ki ima naravo letnega dopusta, in drugimi vrstami odsotnosti z dela.</w:t>
      </w:r>
    </w:p>
    <w:p w14:paraId="04774A48" w14:textId="77777777" w:rsidR="00331D90" w:rsidRDefault="00331D90" w:rsidP="00F2246C">
      <w:pPr>
        <w:pStyle w:val="alineazaodstavkom2"/>
        <w:spacing w:line="260" w:lineRule="exact"/>
        <w:ind w:firstLine="0"/>
        <w:rPr>
          <w:rFonts w:ascii="Arial" w:eastAsia="Arial" w:hAnsi="Arial" w:cs="Arial"/>
          <w:color w:val="000000" w:themeColor="text1"/>
          <w:sz w:val="20"/>
          <w:szCs w:val="20"/>
          <w:lang w:val="sl-SI"/>
        </w:rPr>
      </w:pPr>
    </w:p>
    <w:p w14:paraId="39EDC278" w14:textId="77777777" w:rsidR="001A2BA6" w:rsidRDefault="001A2BA6" w:rsidP="00F2246C">
      <w:pPr>
        <w:pStyle w:val="alineazaodstavkom2"/>
        <w:spacing w:line="260" w:lineRule="exact"/>
        <w:ind w:firstLine="0"/>
        <w:rPr>
          <w:rFonts w:ascii="Arial" w:eastAsia="Arial" w:hAnsi="Arial" w:cs="Arial"/>
          <w:color w:val="000000" w:themeColor="text1"/>
          <w:sz w:val="20"/>
          <w:szCs w:val="20"/>
          <w:lang w:val="sl-SI"/>
        </w:rPr>
      </w:pPr>
    </w:p>
    <w:p w14:paraId="4763AEB3" w14:textId="28E01894" w:rsidR="001A2BA6" w:rsidRPr="001A2BA6" w:rsidRDefault="001A2BA6" w:rsidP="001A2BA6">
      <w:pPr>
        <w:pStyle w:val="alineazaodstavkom2"/>
        <w:spacing w:line="260" w:lineRule="exact"/>
        <w:ind w:firstLine="0"/>
        <w:rPr>
          <w:rFonts w:ascii="Arial" w:eastAsia="Arial" w:hAnsi="Arial" w:cs="Arial"/>
          <w:b/>
          <w:bCs/>
          <w:color w:val="000000" w:themeColor="text1"/>
          <w:sz w:val="20"/>
          <w:szCs w:val="20"/>
          <w:lang w:val="sl-SI"/>
        </w:rPr>
      </w:pPr>
      <w:r w:rsidRPr="001A2BA6">
        <w:rPr>
          <w:rFonts w:ascii="Arial" w:eastAsia="Arial" w:hAnsi="Arial" w:cs="Arial"/>
          <w:b/>
          <w:bCs/>
          <w:color w:val="000000" w:themeColor="text1"/>
          <w:sz w:val="20"/>
          <w:szCs w:val="20"/>
          <w:lang w:val="sl-SI"/>
        </w:rPr>
        <w:t>K 10. členu:</w:t>
      </w:r>
    </w:p>
    <w:p w14:paraId="71D2E28A" w14:textId="77777777" w:rsidR="001A2BA6" w:rsidRDefault="001A2BA6" w:rsidP="001A2BA6">
      <w:pPr>
        <w:pStyle w:val="alineazaodstavkom2"/>
        <w:spacing w:line="260" w:lineRule="exact"/>
        <w:ind w:firstLine="0"/>
        <w:rPr>
          <w:rFonts w:ascii="Arial" w:eastAsia="Arial" w:hAnsi="Arial" w:cs="Arial"/>
          <w:color w:val="000000" w:themeColor="text1"/>
          <w:sz w:val="20"/>
          <w:szCs w:val="20"/>
          <w:lang w:val="sl-SI"/>
        </w:rPr>
      </w:pPr>
    </w:p>
    <w:p w14:paraId="63A00B23" w14:textId="253B5FB1" w:rsidR="001A2BA6" w:rsidRDefault="001A2BA6" w:rsidP="001A2BA6">
      <w:pPr>
        <w:pStyle w:val="alineazaodstavkom2"/>
        <w:spacing w:line="260" w:lineRule="exact"/>
        <w:ind w:firstLine="0"/>
        <w:rPr>
          <w:rFonts w:ascii="Arial" w:eastAsia="Arial" w:hAnsi="Arial" w:cs="Arial"/>
          <w:color w:val="000000" w:themeColor="text1"/>
          <w:sz w:val="20"/>
          <w:szCs w:val="20"/>
          <w:lang w:val="sl-SI"/>
        </w:rPr>
      </w:pPr>
      <w:r w:rsidRPr="001A2BA6">
        <w:rPr>
          <w:rFonts w:ascii="Arial" w:eastAsia="Arial" w:hAnsi="Arial" w:cs="Arial"/>
          <w:color w:val="000000" w:themeColor="text1"/>
          <w:sz w:val="20"/>
          <w:szCs w:val="20"/>
          <w:lang w:val="sl-SI"/>
        </w:rPr>
        <w:t>V zbirnem členu se s ciljem poenotenja izrazov v ZDT-1 predlaga nadomestitev besedne zveze »državnotožilski naziv« (v vseh sklonih in številih) z besedo »naziv« (v ustreznem sklonu in številu). S sem se odpravlja nedoslednost uporabljenih izrazov v ZDT-1, saj se na nekaterih mestih uporablja besedna zveza »državnotožilski naziv«, na nekaterih mestih pa beseda »naziv«. Na podlagi določbe spremenjenega prvega odstavka 21. člena ZDT-1 se bo v vseh nadaljnjih določbah zakona namesto besedne zveze »državnotožilski naziv« uporabljala beseda »naziv«.</w:t>
      </w:r>
    </w:p>
    <w:p w14:paraId="6F695A16" w14:textId="77777777" w:rsidR="00331D90" w:rsidRDefault="00331D90" w:rsidP="001A2BA6">
      <w:pPr>
        <w:shd w:val="clear" w:color="auto" w:fill="FFFFFF" w:themeFill="background1"/>
        <w:spacing w:line="260" w:lineRule="exact"/>
        <w:jc w:val="both"/>
        <w:rPr>
          <w:rFonts w:eastAsiaTheme="minorEastAsia" w:cs="Arial"/>
          <w:szCs w:val="20"/>
          <w:lang w:val="sl-SI"/>
        </w:rPr>
      </w:pPr>
    </w:p>
    <w:p w14:paraId="0DA934F2" w14:textId="77777777" w:rsidR="001A2BA6" w:rsidRPr="00F2246C" w:rsidRDefault="001A2BA6" w:rsidP="001A2BA6">
      <w:pPr>
        <w:shd w:val="clear" w:color="auto" w:fill="FFFFFF" w:themeFill="background1"/>
        <w:spacing w:line="260" w:lineRule="exact"/>
        <w:jc w:val="both"/>
        <w:rPr>
          <w:rFonts w:eastAsiaTheme="minorEastAsia" w:cs="Arial"/>
          <w:szCs w:val="20"/>
          <w:lang w:val="sl-SI"/>
        </w:rPr>
      </w:pPr>
    </w:p>
    <w:p w14:paraId="37B1E518" w14:textId="00CFB8E4" w:rsidR="00331D90" w:rsidRPr="00F2246C" w:rsidRDefault="00331D90" w:rsidP="00F2246C">
      <w:pPr>
        <w:shd w:val="clear" w:color="auto" w:fill="FFFFFF" w:themeFill="background1"/>
        <w:spacing w:line="260" w:lineRule="exact"/>
        <w:jc w:val="both"/>
        <w:rPr>
          <w:rFonts w:eastAsiaTheme="minorEastAsia" w:cs="Arial"/>
          <w:b/>
          <w:bCs/>
          <w:szCs w:val="20"/>
          <w:lang w:val="sl-SI"/>
        </w:rPr>
      </w:pPr>
      <w:r w:rsidRPr="00F2246C">
        <w:rPr>
          <w:rFonts w:eastAsiaTheme="minorEastAsia" w:cs="Arial"/>
          <w:b/>
          <w:bCs/>
          <w:szCs w:val="20"/>
          <w:lang w:val="sl-SI"/>
        </w:rPr>
        <w:t xml:space="preserve">K </w:t>
      </w:r>
      <w:r w:rsidR="00837DC1">
        <w:rPr>
          <w:rFonts w:eastAsiaTheme="minorEastAsia" w:cs="Arial"/>
          <w:b/>
          <w:bCs/>
          <w:szCs w:val="20"/>
          <w:lang w:val="sl-SI"/>
        </w:rPr>
        <w:t>1</w:t>
      </w:r>
      <w:r w:rsidR="00494A34">
        <w:rPr>
          <w:rFonts w:eastAsiaTheme="minorEastAsia" w:cs="Arial"/>
          <w:b/>
          <w:bCs/>
          <w:szCs w:val="20"/>
          <w:lang w:val="sl-SI"/>
        </w:rPr>
        <w:t>1</w:t>
      </w:r>
      <w:r w:rsidRPr="00F2246C">
        <w:rPr>
          <w:rFonts w:eastAsiaTheme="minorEastAsia" w:cs="Arial"/>
          <w:b/>
          <w:bCs/>
          <w:szCs w:val="20"/>
          <w:lang w:val="sl-SI"/>
        </w:rPr>
        <w:t>. členu:</w:t>
      </w:r>
    </w:p>
    <w:p w14:paraId="3EAEA129" w14:textId="77777777" w:rsidR="00331D90" w:rsidRPr="008D7697" w:rsidRDefault="00331D90" w:rsidP="00F2246C">
      <w:pPr>
        <w:shd w:val="clear" w:color="auto" w:fill="FFFFFF" w:themeFill="background1"/>
        <w:spacing w:line="260" w:lineRule="exact"/>
        <w:jc w:val="both"/>
        <w:rPr>
          <w:rFonts w:eastAsiaTheme="minorEastAsia" w:cs="Arial"/>
          <w:b/>
          <w:bCs/>
          <w:szCs w:val="20"/>
          <w:lang w:val="sl-SI"/>
        </w:rPr>
      </w:pPr>
    </w:p>
    <w:p w14:paraId="4C697AC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r w:rsidRPr="008D7697">
        <w:rPr>
          <w:rFonts w:eastAsiaTheme="minorEastAsia" w:cs="Arial"/>
          <w:szCs w:val="20"/>
          <w:lang w:val="sl-SI"/>
        </w:rPr>
        <w:t>V drugem odstavku 68. člena ZDT-1, ki določa pogoje za imenovanje za pomočnika nacionalnega predstavnika v Eurojustu, se črta navedba okrajnega državnega tožilca, ki izpolnjuje pogoje za imenovanje v naziv okrožnega državnega tožilca. Črtanje je povezano s predlagano uvedbo ene vrste naziva državnega tožilca na prvi stopnji.</w:t>
      </w:r>
    </w:p>
    <w:p w14:paraId="05974EA7"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8B11EE8"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Poleg tega se črta beseda »okrožni«, saj imata višji in vrhovni državni tožilec vse pristojnosti okrožnega državnega tožilca. Na ta način bo določba drugega odstavka 68. člena ZDT-1 usklajena s spremenjeno določbo prvega odstavka 71.d člena ZDT-1, ki ureja postopek in pogoje za imenovanje evropskega delegiranega tožilca.</w:t>
      </w:r>
    </w:p>
    <w:p w14:paraId="5DFB73A2" w14:textId="77777777" w:rsidR="00331D90" w:rsidRPr="008D7697" w:rsidRDefault="00331D90" w:rsidP="00F2246C">
      <w:pPr>
        <w:shd w:val="clear" w:color="auto" w:fill="FFFFFF" w:themeFill="background1"/>
        <w:spacing w:line="260" w:lineRule="exact"/>
        <w:jc w:val="both"/>
        <w:rPr>
          <w:rFonts w:eastAsiaTheme="minorEastAsia" w:cs="Arial"/>
          <w:szCs w:val="20"/>
          <w:lang w:val="sl-SI"/>
        </w:rPr>
      </w:pPr>
    </w:p>
    <w:p w14:paraId="12900763" w14:textId="77777777" w:rsidR="00331D90" w:rsidRPr="008D7697" w:rsidRDefault="00331D90" w:rsidP="00F2246C">
      <w:pPr>
        <w:spacing w:line="260" w:lineRule="exact"/>
        <w:jc w:val="both"/>
        <w:rPr>
          <w:rFonts w:eastAsiaTheme="minorEastAsia" w:cs="Arial"/>
          <w:szCs w:val="20"/>
          <w:lang w:val="sl-SI"/>
        </w:rPr>
      </w:pPr>
    </w:p>
    <w:p w14:paraId="3A782C45" w14:textId="35E02190"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BF6607">
        <w:rPr>
          <w:rFonts w:eastAsiaTheme="minorEastAsia" w:cs="Arial"/>
          <w:b/>
          <w:bCs/>
          <w:szCs w:val="20"/>
          <w:lang w:val="sl-SI"/>
        </w:rPr>
        <w:t>1</w:t>
      </w:r>
      <w:r w:rsidR="00494A34">
        <w:rPr>
          <w:rFonts w:eastAsiaTheme="minorEastAsia" w:cs="Arial"/>
          <w:b/>
          <w:bCs/>
          <w:szCs w:val="20"/>
          <w:lang w:val="sl-SI"/>
        </w:rPr>
        <w:t>2</w:t>
      </w:r>
      <w:r w:rsidRPr="008D7697">
        <w:rPr>
          <w:rFonts w:eastAsiaTheme="minorEastAsia" w:cs="Arial"/>
          <w:b/>
          <w:bCs/>
          <w:szCs w:val="20"/>
          <w:lang w:val="sl-SI"/>
        </w:rPr>
        <w:t>. členu:</w:t>
      </w:r>
    </w:p>
    <w:p w14:paraId="2F471B99" w14:textId="77777777" w:rsidR="00331D90" w:rsidRPr="008D7697" w:rsidRDefault="00331D90" w:rsidP="00F2246C">
      <w:pPr>
        <w:spacing w:line="260" w:lineRule="exact"/>
        <w:jc w:val="both"/>
        <w:rPr>
          <w:rFonts w:eastAsiaTheme="minorEastAsia" w:cs="Arial"/>
          <w:szCs w:val="20"/>
          <w:lang w:val="sl-SI"/>
        </w:rPr>
      </w:pPr>
    </w:p>
    <w:p w14:paraId="55FA8FD4"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Črtanje navedbe okrajnih sodišč v prvem odstavku 70. člena ZDT-1 je povezano s predlagano spremembo organizacije sodišč v predlogu novega Zakona o sodiščih, s katero bo vzpostavljeno sodno okrožje kot osnovna organizacijska raven sodišč na prvi stopnji.</w:t>
      </w:r>
    </w:p>
    <w:p w14:paraId="086C8A4A" w14:textId="77777777" w:rsidR="00331D90" w:rsidRPr="008D7697" w:rsidRDefault="00331D90" w:rsidP="00F2246C">
      <w:pPr>
        <w:spacing w:line="260" w:lineRule="exact"/>
        <w:jc w:val="both"/>
        <w:rPr>
          <w:rFonts w:eastAsiaTheme="minorEastAsia" w:cs="Arial"/>
          <w:szCs w:val="20"/>
          <w:lang w:val="sl-SI"/>
        </w:rPr>
      </w:pPr>
    </w:p>
    <w:p w14:paraId="4701FD4B" w14:textId="77777777" w:rsidR="00331D90" w:rsidRPr="008D7697" w:rsidRDefault="00331D90" w:rsidP="00F2246C">
      <w:pPr>
        <w:spacing w:line="260" w:lineRule="exact"/>
        <w:jc w:val="both"/>
        <w:rPr>
          <w:rFonts w:eastAsiaTheme="minorEastAsia" w:cs="Arial"/>
          <w:szCs w:val="20"/>
          <w:lang w:val="sl-SI"/>
        </w:rPr>
      </w:pPr>
    </w:p>
    <w:p w14:paraId="325EF9DE" w14:textId="74CFC4E7"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3</w:t>
      </w:r>
      <w:r w:rsidRPr="008D7697">
        <w:rPr>
          <w:rFonts w:eastAsiaTheme="minorEastAsia" w:cs="Arial"/>
          <w:b/>
          <w:bCs/>
          <w:szCs w:val="20"/>
          <w:lang w:val="sl-SI"/>
        </w:rPr>
        <w:t>. členu:</w:t>
      </w:r>
    </w:p>
    <w:p w14:paraId="00A48867" w14:textId="77777777" w:rsidR="00331D90" w:rsidRPr="008D7697" w:rsidRDefault="00331D90" w:rsidP="00F2246C">
      <w:pPr>
        <w:spacing w:line="260" w:lineRule="exact"/>
        <w:jc w:val="both"/>
        <w:rPr>
          <w:rFonts w:eastAsiaTheme="minorEastAsia" w:cs="Arial"/>
          <w:b/>
          <w:bCs/>
          <w:szCs w:val="20"/>
          <w:lang w:val="sl-SI"/>
        </w:rPr>
      </w:pPr>
    </w:p>
    <w:p w14:paraId="43118739" w14:textId="7ABDA800"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V 71.c členu ZDT-1 se predlaga znižanje najnižje zahtevane ravni znanja delovnega jezika Evropskega javnega tožilstva (v nadaljnjem besedilu: EJT) s C1 na B2 Skupnega evropskega jezikovnega okvira, s čimer se ta pogoj usklajuje s primerljivo ureditvijo na ravni Evropske </w:t>
      </w:r>
      <w:r w:rsidR="002D2FB8">
        <w:rPr>
          <w:rFonts w:ascii="Arial" w:eastAsia="Arial" w:hAnsi="Arial" w:cs="Arial"/>
          <w:sz w:val="20"/>
          <w:szCs w:val="20"/>
          <w:lang w:val="sl-SI"/>
        </w:rPr>
        <w:t>u</w:t>
      </w:r>
      <w:r w:rsidRPr="008D7697">
        <w:rPr>
          <w:rFonts w:ascii="Arial" w:eastAsia="Arial" w:hAnsi="Arial" w:cs="Arial"/>
          <w:sz w:val="20"/>
          <w:szCs w:val="20"/>
          <w:lang w:val="sl-SI"/>
        </w:rPr>
        <w:t>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34"/>
      </w:r>
      <w:r w:rsidRPr="008D7697">
        <w:rPr>
          <w:rFonts w:ascii="Arial" w:eastAsia="Arial" w:hAnsi="Arial" w:cs="Arial"/>
          <w:sz w:val="20"/>
          <w:szCs w:val="20"/>
          <w:lang w:val="sl-SI"/>
        </w:rPr>
        <w:t xml:space="preserve"> namreč v točki f) </w:t>
      </w:r>
      <w:r w:rsidR="002D2FB8" w:rsidRPr="008D7697">
        <w:rPr>
          <w:rFonts w:ascii="Arial" w:eastAsia="Arial" w:hAnsi="Arial" w:cs="Arial"/>
          <w:sz w:val="20"/>
          <w:szCs w:val="20"/>
          <w:lang w:val="sl-SI"/>
        </w:rPr>
        <w:t>28</w:t>
      </w:r>
      <w:r w:rsidR="002D2FB8">
        <w:rPr>
          <w:rFonts w:ascii="Arial" w:eastAsia="Arial" w:hAnsi="Arial" w:cs="Arial"/>
          <w:sz w:val="20"/>
          <w:szCs w:val="20"/>
          <w:lang w:val="sl-SI"/>
        </w:rPr>
        <w:t>.</w:t>
      </w:r>
      <w:r w:rsidR="002D2FB8" w:rsidRPr="008D7697">
        <w:rPr>
          <w:rFonts w:ascii="Arial" w:eastAsia="Arial" w:hAnsi="Arial" w:cs="Arial"/>
          <w:sz w:val="20"/>
          <w:szCs w:val="20"/>
          <w:lang w:val="sl-SI"/>
        </w:rPr>
        <w:t xml:space="preserve">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CE25BC">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w:t>
      </w:r>
      <w:r w:rsidRPr="008D7697">
        <w:rPr>
          <w:rFonts w:ascii="Arial" w:eastAsia="Arial" w:hAnsi="Arial" w:cs="Arial"/>
          <w:sz w:val="20"/>
          <w:szCs w:val="20"/>
          <w:lang w:val="sl-SI"/>
        </w:rPr>
        <w:lastRenderedPageBreak/>
        <w:t xml:space="preserve">znanju drugega jezika Evropske </w:t>
      </w:r>
      <w:r w:rsidR="00CE25BC">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3E7366">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3E7366">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9110DA">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5"/>
      </w:r>
      <w:r w:rsidRPr="008D7697">
        <w:rPr>
          <w:rFonts w:ascii="Arial" w:eastAsia="Arial" w:hAnsi="Arial" w:cs="Arial"/>
          <w:sz w:val="20"/>
          <w:szCs w:val="20"/>
          <w:lang w:val="sl-SI"/>
        </w:rPr>
        <w:t xml:space="preserve"> Poleg tega Sklep kolegija Evropskega javnega tožilstva</w:t>
      </w:r>
      <w:r w:rsidR="009110DA">
        <w:rPr>
          <w:rFonts w:ascii="Arial" w:eastAsia="Arial" w:hAnsi="Arial" w:cs="Arial"/>
          <w:sz w:val="20"/>
          <w:szCs w:val="20"/>
          <w:lang w:val="sl-SI"/>
        </w:rPr>
        <w:t xml:space="preserve"> št.</w:t>
      </w:r>
      <w:r w:rsidRPr="008D7697">
        <w:rPr>
          <w:rFonts w:ascii="Arial" w:eastAsia="Arial" w:hAnsi="Arial" w:cs="Arial"/>
          <w:sz w:val="20"/>
          <w:szCs w:val="20"/>
          <w:lang w:val="sl-SI"/>
        </w:rPr>
        <w:t xml:space="preserve"> 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6"/>
      </w:r>
      <w:r w:rsidRPr="008D7697">
        <w:rPr>
          <w:rFonts w:ascii="Arial" w:eastAsia="Arial" w:hAnsi="Arial" w:cs="Arial"/>
          <w:sz w:val="20"/>
          <w:szCs w:val="20"/>
          <w:lang w:val="sl-SI"/>
        </w:rPr>
        <w:t xml:space="preserve"> v 3.</w:t>
      </w:r>
      <w:r w:rsidR="007B358F">
        <w:rPr>
          <w:rFonts w:ascii="Arial" w:eastAsia="Arial" w:hAnsi="Arial" w:cs="Arial"/>
          <w:sz w:val="20"/>
          <w:szCs w:val="20"/>
          <w:lang w:val="sl-SI"/>
        </w:rPr>
        <w:t xml:space="preserve"> </w:t>
      </w:r>
      <w:r w:rsidRPr="008D7697">
        <w:rPr>
          <w:rFonts w:ascii="Arial" w:eastAsia="Arial" w:hAnsi="Arial" w:cs="Arial"/>
          <w:sz w:val="20"/>
          <w:szCs w:val="20"/>
          <w:lang w:val="sl-SI"/>
        </w:rPr>
        <w:t>členu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Po mnenju predlagatelja je smiselno, da je tako za evropskega tožilca kot za evropskega delegiranega tožilca predpisan enak jezikovni pogoj – to izhaja tudi iz zgoraj navedene </w:t>
      </w:r>
      <w:r w:rsidR="00146AFC">
        <w:rPr>
          <w:rFonts w:ascii="Arial" w:eastAsia="Arial" w:hAnsi="Arial" w:cs="Arial"/>
          <w:sz w:val="20"/>
          <w:szCs w:val="20"/>
          <w:lang w:val="sl-SI"/>
        </w:rPr>
        <w:t>u</w:t>
      </w:r>
      <w:r w:rsidRPr="008D7697">
        <w:rPr>
          <w:rFonts w:ascii="Arial" w:eastAsia="Arial" w:hAnsi="Arial" w:cs="Arial"/>
          <w:sz w:val="20"/>
          <w:szCs w:val="20"/>
          <w:lang w:val="sl-SI"/>
        </w:rPr>
        <w:t xml:space="preserve">redbe, ki za vse uradnike institucij Evropske </w:t>
      </w:r>
      <w:r w:rsidR="00146AFC">
        <w:rPr>
          <w:rFonts w:ascii="Arial" w:eastAsia="Arial" w:hAnsi="Arial" w:cs="Arial"/>
          <w:sz w:val="20"/>
          <w:szCs w:val="20"/>
          <w:lang w:val="sl-SI"/>
        </w:rPr>
        <w:t>u</w:t>
      </w:r>
      <w:r w:rsidRPr="008D7697">
        <w:rPr>
          <w:rFonts w:ascii="Arial" w:eastAsia="Arial" w:hAnsi="Arial" w:cs="Arial"/>
          <w:sz w:val="20"/>
          <w:szCs w:val="20"/>
          <w:lang w:val="sl-SI"/>
        </w:rPr>
        <w:t>nije predpisuje enake jezikovne pogoje.</w:t>
      </w:r>
    </w:p>
    <w:p w14:paraId="127D6B34" w14:textId="77777777" w:rsidR="00331D90" w:rsidRPr="008D7697" w:rsidRDefault="00331D90" w:rsidP="00F2246C">
      <w:pPr>
        <w:spacing w:line="260" w:lineRule="exact"/>
        <w:jc w:val="both"/>
        <w:rPr>
          <w:rFonts w:eastAsiaTheme="minorEastAsia" w:cs="Arial"/>
          <w:b/>
          <w:bCs/>
          <w:szCs w:val="20"/>
          <w:lang w:val="sl-SI"/>
        </w:rPr>
      </w:pPr>
    </w:p>
    <w:p w14:paraId="7086727E" w14:textId="77777777" w:rsidR="00331D90" w:rsidRPr="008D7697" w:rsidRDefault="00331D90" w:rsidP="00F2246C">
      <w:pPr>
        <w:spacing w:line="260" w:lineRule="exact"/>
        <w:jc w:val="both"/>
        <w:rPr>
          <w:rFonts w:eastAsiaTheme="minorEastAsia" w:cs="Arial"/>
          <w:szCs w:val="20"/>
          <w:lang w:val="sl-SI"/>
        </w:rPr>
      </w:pPr>
    </w:p>
    <w:p w14:paraId="70E34C59" w14:textId="5FA1AF4E"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4</w:t>
      </w:r>
      <w:r w:rsidRPr="008D7697">
        <w:rPr>
          <w:rFonts w:eastAsiaTheme="minorEastAsia" w:cs="Arial"/>
          <w:b/>
          <w:bCs/>
          <w:szCs w:val="20"/>
          <w:lang w:val="sl-SI"/>
        </w:rPr>
        <w:t>. členu:</w:t>
      </w:r>
    </w:p>
    <w:p w14:paraId="5AF4E6D8" w14:textId="77777777" w:rsidR="00331D90" w:rsidRPr="008D7697" w:rsidRDefault="00331D90" w:rsidP="00F2246C">
      <w:pPr>
        <w:spacing w:line="260" w:lineRule="exact"/>
        <w:jc w:val="both"/>
        <w:rPr>
          <w:rFonts w:eastAsiaTheme="minorEastAsia" w:cs="Arial"/>
          <w:szCs w:val="20"/>
          <w:lang w:val="sl-SI"/>
        </w:rPr>
      </w:pPr>
    </w:p>
    <w:p w14:paraId="0048D7B2" w14:textId="77777777" w:rsidR="00331D90" w:rsidRPr="008D7697" w:rsidRDefault="00331D90" w:rsidP="00F2246C">
      <w:pPr>
        <w:spacing w:line="260" w:lineRule="exact"/>
        <w:jc w:val="both"/>
        <w:rPr>
          <w:rFonts w:eastAsiaTheme="minorEastAsia" w:cs="Arial"/>
          <w:szCs w:val="20"/>
          <w:lang w:val="sl-SI"/>
        </w:rPr>
      </w:pPr>
      <w:bookmarkStart w:id="19" w:name="_Hlk185861224"/>
      <w:r w:rsidRPr="008D7697">
        <w:rPr>
          <w:rFonts w:eastAsiaTheme="minorEastAsia" w:cs="Arial"/>
          <w:szCs w:val="20"/>
          <w:lang w:val="sl-SI"/>
        </w:rPr>
        <w:t xml:space="preserve">Predlagano črtanje pogoja iz prvega odstavka 71.d člena ZDT-1, da mora imeti kandidat za evropskega delegiranega tožilca naziv ali izpolnjevati pogoje za imenovanje najmanj v naziv okrožnega državnega tožilca, je povezano s predlagano uvedbo ene vrste naziva državnega tožilca na prvi stopnji, to je naziv okrožnega državnega tožilca namesto dosedanjih okrajnega in okrožnega državnega tožilca. </w:t>
      </w:r>
    </w:p>
    <w:p w14:paraId="0587785F" w14:textId="77777777" w:rsidR="00331D90" w:rsidRPr="008D7697" w:rsidRDefault="00331D90" w:rsidP="00F2246C">
      <w:pPr>
        <w:spacing w:line="260" w:lineRule="exact"/>
        <w:jc w:val="both"/>
        <w:rPr>
          <w:rFonts w:eastAsiaTheme="minorEastAsia" w:cs="Arial"/>
          <w:szCs w:val="20"/>
          <w:lang w:val="sl-SI"/>
        </w:rPr>
      </w:pPr>
    </w:p>
    <w:p w14:paraId="39218A8A" w14:textId="158A7644"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 xml:space="preserve">Poleg tega se predlaga znižanje najnižje zahtevane ravni znanja delovnega jezika EJT s C1 na B2 Skupnega evropskega jezikovnega okvira, s čimer se ta pogoj usklajuje s primerljivo ureditvijo na ravni Evropske </w:t>
      </w:r>
      <w:r w:rsidR="00757FBA">
        <w:rPr>
          <w:rFonts w:ascii="Arial" w:eastAsia="Arial" w:hAnsi="Arial" w:cs="Arial"/>
          <w:sz w:val="20"/>
          <w:szCs w:val="20"/>
          <w:lang w:val="sl-SI"/>
        </w:rPr>
        <w:t>u</w:t>
      </w:r>
      <w:r w:rsidRPr="008D7697">
        <w:rPr>
          <w:rFonts w:ascii="Arial" w:eastAsia="Arial" w:hAnsi="Arial" w:cs="Arial"/>
          <w:sz w:val="20"/>
          <w:szCs w:val="20"/>
          <w:lang w:val="sl-SI"/>
        </w:rPr>
        <w:t>nije. Uredba Sveta št. 31 (EGS), 11 (ESAE) o določitvi kadrovskih predpisov za uradnike in pogojev za zaposlitev drugih uslužbencev Evropske gospodarske skupnosti in Evropske skupnosti za atomsko energijo</w:t>
      </w:r>
      <w:r w:rsidRPr="008D7697">
        <w:rPr>
          <w:rStyle w:val="Sprotnaopomba-sklic"/>
          <w:rFonts w:ascii="Arial" w:eastAsia="Arial" w:hAnsi="Arial" w:cs="Arial"/>
          <w:sz w:val="20"/>
          <w:szCs w:val="20"/>
          <w:lang w:val="sl-SI"/>
        </w:rPr>
        <w:footnoteReference w:id="37"/>
      </w:r>
      <w:r w:rsidRPr="008D7697">
        <w:rPr>
          <w:rFonts w:ascii="Arial" w:eastAsia="Arial" w:hAnsi="Arial" w:cs="Arial"/>
          <w:sz w:val="20"/>
          <w:szCs w:val="20"/>
          <w:lang w:val="sl-SI"/>
        </w:rPr>
        <w:t xml:space="preserve"> namreč v točki f) </w:t>
      </w:r>
      <w:r w:rsidR="00421008" w:rsidRPr="008D7697">
        <w:rPr>
          <w:rFonts w:ascii="Arial" w:eastAsia="Arial" w:hAnsi="Arial" w:cs="Arial"/>
          <w:sz w:val="20"/>
          <w:szCs w:val="20"/>
          <w:lang w:val="sl-SI"/>
        </w:rPr>
        <w:t>28</w:t>
      </w:r>
      <w:r w:rsidR="00421008">
        <w:rPr>
          <w:rFonts w:ascii="Arial" w:eastAsia="Arial" w:hAnsi="Arial" w:cs="Arial"/>
          <w:sz w:val="20"/>
          <w:szCs w:val="20"/>
          <w:lang w:val="sl-SI"/>
        </w:rPr>
        <w:t>.</w:t>
      </w:r>
      <w:r w:rsidR="00421008" w:rsidRPr="008D7697">
        <w:rPr>
          <w:rFonts w:ascii="Arial" w:eastAsia="Arial" w:hAnsi="Arial" w:cs="Arial"/>
          <w:sz w:val="20"/>
          <w:szCs w:val="20"/>
          <w:lang w:val="sl-SI"/>
        </w:rPr>
        <w:t xml:space="preserve"> </w:t>
      </w:r>
      <w:r w:rsidRPr="008D7697">
        <w:rPr>
          <w:rFonts w:ascii="Arial" w:eastAsia="Arial" w:hAnsi="Arial" w:cs="Arial"/>
          <w:sz w:val="20"/>
          <w:szCs w:val="20"/>
          <w:lang w:val="sl-SI"/>
        </w:rPr>
        <w:t xml:space="preserve">člena kot enega izmed pogojev za imenovanje uradnika določa predložitev dokazil o temeljitem znanju enega od jezikov Evropske </w:t>
      </w:r>
      <w:r w:rsidR="00385E6E">
        <w:rPr>
          <w:rFonts w:ascii="Arial" w:eastAsia="Arial" w:hAnsi="Arial" w:cs="Arial"/>
          <w:sz w:val="20"/>
          <w:szCs w:val="20"/>
          <w:lang w:val="sl-SI"/>
        </w:rPr>
        <w:t>u</w:t>
      </w:r>
      <w:r w:rsidRPr="008D7697">
        <w:rPr>
          <w:rFonts w:ascii="Arial" w:eastAsia="Arial" w:hAnsi="Arial" w:cs="Arial"/>
          <w:sz w:val="20"/>
          <w:szCs w:val="20"/>
          <w:lang w:val="sl-SI"/>
        </w:rPr>
        <w:t xml:space="preserve">nije in o zadovoljivem znanju drugega jezika Evropske </w:t>
      </w:r>
      <w:r w:rsidR="00385E6E">
        <w:rPr>
          <w:rFonts w:ascii="Arial" w:eastAsia="Arial" w:hAnsi="Arial" w:cs="Arial"/>
          <w:sz w:val="20"/>
          <w:szCs w:val="20"/>
          <w:lang w:val="sl-SI"/>
        </w:rPr>
        <w:t>u</w:t>
      </w:r>
      <w:r w:rsidRPr="008D7697">
        <w:rPr>
          <w:rFonts w:ascii="Arial" w:eastAsia="Arial" w:hAnsi="Arial" w:cs="Arial"/>
          <w:sz w:val="20"/>
          <w:szCs w:val="20"/>
          <w:lang w:val="sl-SI"/>
        </w:rPr>
        <w:t>nije v obsegu, ki omogoča opravljanje dela. V zvezi s tem je Evropsk</w:t>
      </w:r>
      <w:r w:rsidR="00385E6E">
        <w:rPr>
          <w:rFonts w:ascii="Arial" w:eastAsia="Arial" w:hAnsi="Arial" w:cs="Arial"/>
          <w:sz w:val="20"/>
          <w:szCs w:val="20"/>
          <w:lang w:val="sl-SI"/>
        </w:rPr>
        <w:t>i</w:t>
      </w:r>
      <w:r w:rsidRPr="008D7697">
        <w:rPr>
          <w:rFonts w:ascii="Arial" w:eastAsia="Arial" w:hAnsi="Arial" w:cs="Arial"/>
          <w:sz w:val="20"/>
          <w:szCs w:val="20"/>
          <w:lang w:val="sl-SI"/>
        </w:rPr>
        <w:t xml:space="preserve"> urad za izbor osebja (EPSO) pojasn</w:t>
      </w:r>
      <w:r w:rsidR="00385E6E">
        <w:rPr>
          <w:rFonts w:ascii="Arial" w:eastAsia="Arial" w:hAnsi="Arial" w:cs="Arial"/>
          <w:sz w:val="20"/>
          <w:szCs w:val="20"/>
          <w:lang w:val="sl-SI"/>
        </w:rPr>
        <w:t>il</w:t>
      </w:r>
      <w:r w:rsidRPr="008D7697">
        <w:rPr>
          <w:rFonts w:ascii="Arial" w:eastAsia="Arial" w:hAnsi="Arial" w:cs="Arial"/>
          <w:sz w:val="20"/>
          <w:szCs w:val="20"/>
          <w:lang w:val="sl-SI"/>
        </w:rPr>
        <w:t xml:space="preserve">, da temeljito znanje enega od uradnih jezikov Evropske </w:t>
      </w:r>
      <w:r w:rsidR="00070650">
        <w:rPr>
          <w:rFonts w:ascii="Arial" w:eastAsia="Arial" w:hAnsi="Arial" w:cs="Arial"/>
          <w:sz w:val="20"/>
          <w:szCs w:val="20"/>
          <w:lang w:val="sl-SI"/>
        </w:rPr>
        <w:t>u</w:t>
      </w:r>
      <w:r w:rsidRPr="008D7697">
        <w:rPr>
          <w:rFonts w:ascii="Arial" w:eastAsia="Arial" w:hAnsi="Arial" w:cs="Arial"/>
          <w:sz w:val="20"/>
          <w:szCs w:val="20"/>
          <w:lang w:val="sl-SI"/>
        </w:rPr>
        <w:t>nije, ki je lahko materni jezik, pomeni stopnjo C1, zadovoljivo znanje drugega uradnega jezika Evropske unije pa pomeni stopnjo B2 Skupnega evropskega jezikovnega okvira.</w:t>
      </w:r>
      <w:r w:rsidRPr="008D7697">
        <w:rPr>
          <w:rStyle w:val="Sprotnaopomba-sklic"/>
          <w:rFonts w:ascii="Arial" w:eastAsia="Arial" w:hAnsi="Arial" w:cs="Arial"/>
          <w:sz w:val="20"/>
          <w:szCs w:val="20"/>
          <w:lang w:val="sl-SI"/>
        </w:rPr>
        <w:footnoteReference w:id="38"/>
      </w:r>
      <w:r w:rsidRPr="008D7697">
        <w:rPr>
          <w:rFonts w:ascii="Arial" w:eastAsia="Arial" w:hAnsi="Arial" w:cs="Arial"/>
          <w:sz w:val="20"/>
          <w:szCs w:val="20"/>
          <w:lang w:val="sl-SI"/>
        </w:rPr>
        <w:t xml:space="preserve"> Poleg tega Sklep kolegija Evropskega javnega tožilstva </w:t>
      </w:r>
      <w:r w:rsidR="00CF55DE">
        <w:rPr>
          <w:rFonts w:ascii="Arial" w:eastAsia="Arial" w:hAnsi="Arial" w:cs="Arial"/>
          <w:sz w:val="20"/>
          <w:szCs w:val="20"/>
          <w:lang w:val="sl-SI"/>
        </w:rPr>
        <w:t xml:space="preserve">št. </w:t>
      </w:r>
      <w:r w:rsidRPr="008D7697">
        <w:rPr>
          <w:rFonts w:ascii="Arial" w:eastAsia="Arial" w:hAnsi="Arial" w:cs="Arial"/>
          <w:sz w:val="20"/>
          <w:szCs w:val="20"/>
          <w:lang w:val="sl-SI"/>
        </w:rPr>
        <w:t>001/2020 z dne 29. septembra 2020 o določitvi pravil o pogojih za zaposlitev evropskih delegiranih tožilcev</w:t>
      </w:r>
      <w:r w:rsidRPr="008D7697">
        <w:rPr>
          <w:rStyle w:val="Sprotnaopomba-sklic"/>
          <w:rFonts w:ascii="Arial" w:eastAsia="Arial" w:hAnsi="Arial" w:cs="Arial"/>
          <w:sz w:val="20"/>
          <w:szCs w:val="20"/>
          <w:lang w:val="sl-SI"/>
        </w:rPr>
        <w:footnoteReference w:id="39"/>
      </w:r>
      <w:r w:rsidRPr="008D7697">
        <w:rPr>
          <w:rFonts w:ascii="Arial" w:eastAsia="Arial" w:hAnsi="Arial" w:cs="Arial"/>
          <w:sz w:val="20"/>
          <w:szCs w:val="20"/>
          <w:lang w:val="sl-SI"/>
        </w:rPr>
        <w:t xml:space="preserve"> v 3. členu posebej določa, da se evropski delegirani tožilci zaposlijo pod pogojem, da imajo zadovoljivo znanje delovnega jezika za operativne in upravne dejavnosti EJT, določenega v skladu s členom 107(2) uredbe o EJT. Tudi v navedenem predpisu se torej zahteva raven znanja tujega jezika najmanj na stopnji B2</w:t>
      </w:r>
      <w:r w:rsidRPr="008D7697">
        <w:rPr>
          <w:lang w:val="sl-SI"/>
        </w:rPr>
        <w:t xml:space="preserve"> </w:t>
      </w:r>
      <w:r w:rsidRPr="008D7697">
        <w:rPr>
          <w:rFonts w:ascii="Arial" w:eastAsia="Arial" w:hAnsi="Arial" w:cs="Arial"/>
          <w:sz w:val="20"/>
          <w:szCs w:val="20"/>
          <w:lang w:val="sl-SI"/>
        </w:rPr>
        <w:t xml:space="preserve">Skupnega evropskega jezikovnega okvira. </w:t>
      </w:r>
    </w:p>
    <w:p w14:paraId="56CC908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00D28908" w14:textId="77777777" w:rsidR="00331D90" w:rsidRDefault="00331D90" w:rsidP="00F2246C">
      <w:pPr>
        <w:pStyle w:val="alineazaodstavkom2"/>
        <w:spacing w:line="260" w:lineRule="exact"/>
        <w:ind w:firstLine="0"/>
        <w:rPr>
          <w:rFonts w:ascii="Arial" w:eastAsia="Arial" w:hAnsi="Arial" w:cs="Arial"/>
          <w:sz w:val="20"/>
          <w:szCs w:val="20"/>
          <w:lang w:val="sl-SI"/>
        </w:rPr>
      </w:pPr>
    </w:p>
    <w:p w14:paraId="73940C83" w14:textId="77777777" w:rsidR="0025591D" w:rsidRDefault="0025591D" w:rsidP="00F2246C">
      <w:pPr>
        <w:pStyle w:val="alineazaodstavkom2"/>
        <w:spacing w:line="260" w:lineRule="exact"/>
        <w:ind w:firstLine="0"/>
        <w:rPr>
          <w:rFonts w:ascii="Arial" w:eastAsia="Arial" w:hAnsi="Arial" w:cs="Arial"/>
          <w:sz w:val="20"/>
          <w:szCs w:val="20"/>
          <w:lang w:val="sl-SI"/>
        </w:rPr>
      </w:pPr>
    </w:p>
    <w:p w14:paraId="11B0FF98" w14:textId="77777777" w:rsidR="0025591D" w:rsidRDefault="0025591D" w:rsidP="00F2246C">
      <w:pPr>
        <w:pStyle w:val="alineazaodstavkom2"/>
        <w:spacing w:line="260" w:lineRule="exact"/>
        <w:ind w:firstLine="0"/>
        <w:rPr>
          <w:rFonts w:ascii="Arial" w:eastAsia="Arial" w:hAnsi="Arial" w:cs="Arial"/>
          <w:sz w:val="20"/>
          <w:szCs w:val="20"/>
          <w:lang w:val="sl-SI"/>
        </w:rPr>
      </w:pPr>
    </w:p>
    <w:p w14:paraId="4E4A2363" w14:textId="77777777" w:rsidR="0025591D" w:rsidRPr="008D7697" w:rsidRDefault="0025591D" w:rsidP="00F2246C">
      <w:pPr>
        <w:pStyle w:val="alineazaodstavkom2"/>
        <w:spacing w:line="260" w:lineRule="exact"/>
        <w:ind w:firstLine="0"/>
        <w:rPr>
          <w:rFonts w:ascii="Arial" w:eastAsia="Arial" w:hAnsi="Arial" w:cs="Arial"/>
          <w:sz w:val="20"/>
          <w:szCs w:val="20"/>
          <w:lang w:val="sl-SI"/>
        </w:rPr>
      </w:pPr>
    </w:p>
    <w:p w14:paraId="27DFAB89" w14:textId="2039CF82"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lastRenderedPageBreak/>
        <w:t>K 1</w:t>
      </w:r>
      <w:r w:rsidR="00494A34">
        <w:rPr>
          <w:rFonts w:ascii="Arial" w:eastAsia="Arial" w:hAnsi="Arial" w:cs="Arial"/>
          <w:b/>
          <w:bCs/>
          <w:sz w:val="20"/>
          <w:szCs w:val="20"/>
          <w:lang w:val="sl-SI"/>
        </w:rPr>
        <w:t>5</w:t>
      </w:r>
      <w:r w:rsidRPr="008D7697">
        <w:rPr>
          <w:rFonts w:ascii="Arial" w:eastAsia="Arial" w:hAnsi="Arial" w:cs="Arial"/>
          <w:b/>
          <w:bCs/>
          <w:sz w:val="20"/>
          <w:szCs w:val="20"/>
          <w:lang w:val="sl-SI"/>
        </w:rPr>
        <w:t>. členu:</w:t>
      </w:r>
    </w:p>
    <w:p w14:paraId="4AC46004"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6AA4561A" w14:textId="530DBCF9" w:rsidR="00331D90" w:rsidRPr="008D7697" w:rsidRDefault="00331D90" w:rsidP="00F2246C">
      <w:pPr>
        <w:pStyle w:val="alineazaodstavkom2"/>
        <w:spacing w:line="260" w:lineRule="exact"/>
        <w:ind w:firstLine="0"/>
        <w:rPr>
          <w:rFonts w:ascii="Arial" w:eastAsia="Arial" w:hAnsi="Arial" w:cs="Arial"/>
          <w:sz w:val="20"/>
          <w:szCs w:val="20"/>
          <w:lang w:val="sl-SI"/>
        </w:rPr>
      </w:pPr>
      <w:bookmarkStart w:id="20" w:name="_Hlk190940767"/>
      <w:r w:rsidRPr="008D7697">
        <w:rPr>
          <w:rFonts w:ascii="Arial" w:eastAsia="Arial" w:hAnsi="Arial" w:cs="Arial"/>
          <w:sz w:val="20"/>
          <w:szCs w:val="20"/>
          <w:lang w:val="sl-SI"/>
        </w:rPr>
        <w:t xml:space="preserve">Ker se predlog Zakona o spremembah in dopolnitvah Zakona o državnem tožilstvu predlaga hkrati s predlogom novega Zakona o sodnikih, ki bo nadomestil veljavni Zakon o sodniški službi, je treba v skladu s tem spremeniti sklicevanje na zadevni zakon. Zato se v drugem odstavku 73. člena ZDT-1 sklicevanje na določbe zakona, ki urejajo sodniško službo, nadomešča s sklicevanjem na določbe zakona, ki ureja sodnike. Zaradi manjše razlike v besedilu zadevne določbe v primerjavi z </w:t>
      </w:r>
      <w:r w:rsidR="002B6A15">
        <w:rPr>
          <w:rFonts w:ascii="Arial" w:eastAsia="Arial" w:hAnsi="Arial" w:cs="Arial"/>
          <w:sz w:val="20"/>
          <w:szCs w:val="20"/>
          <w:lang w:val="sl-SI"/>
        </w:rPr>
        <w:t xml:space="preserve">drugimi </w:t>
      </w:r>
      <w:r w:rsidRPr="008D7697">
        <w:rPr>
          <w:rFonts w:ascii="Arial" w:eastAsia="Arial" w:hAnsi="Arial" w:cs="Arial"/>
          <w:sz w:val="20"/>
          <w:szCs w:val="20"/>
          <w:lang w:val="sl-SI"/>
        </w:rPr>
        <w:t xml:space="preserve">določbami ZDT-1, ki vsebujejo tovrstno sklicevanje, je treba to določbo spremeniti posebej in ne v zbirnem členu. </w:t>
      </w:r>
    </w:p>
    <w:p w14:paraId="3D88011B" w14:textId="77777777" w:rsidR="00331D90" w:rsidRPr="008D7697" w:rsidRDefault="00331D90" w:rsidP="00F2246C">
      <w:pPr>
        <w:spacing w:line="260" w:lineRule="exact"/>
        <w:jc w:val="both"/>
        <w:rPr>
          <w:rFonts w:eastAsiaTheme="minorEastAsia" w:cs="Arial"/>
          <w:szCs w:val="20"/>
          <w:lang w:val="sl-SI"/>
        </w:rPr>
      </w:pPr>
    </w:p>
    <w:bookmarkEnd w:id="20"/>
    <w:p w14:paraId="259F4499" w14:textId="77777777" w:rsidR="00331D90" w:rsidRPr="008D7697" w:rsidRDefault="00331D90" w:rsidP="00F2246C">
      <w:pPr>
        <w:spacing w:line="260" w:lineRule="exact"/>
        <w:jc w:val="both"/>
        <w:rPr>
          <w:rFonts w:eastAsiaTheme="minorEastAsia" w:cs="Arial"/>
          <w:szCs w:val="20"/>
          <w:lang w:val="sl-SI"/>
        </w:rPr>
      </w:pPr>
    </w:p>
    <w:p w14:paraId="6A17689D" w14:textId="2BCB8692"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6</w:t>
      </w:r>
      <w:r w:rsidRPr="008D7697">
        <w:rPr>
          <w:rFonts w:eastAsiaTheme="minorEastAsia" w:cs="Arial"/>
          <w:b/>
          <w:bCs/>
          <w:szCs w:val="20"/>
          <w:lang w:val="sl-SI"/>
        </w:rPr>
        <w:t>. členu:</w:t>
      </w:r>
    </w:p>
    <w:p w14:paraId="1F15305F" w14:textId="77777777" w:rsidR="00331D90" w:rsidRPr="008D7697" w:rsidRDefault="00331D90" w:rsidP="00F2246C">
      <w:pPr>
        <w:spacing w:line="260" w:lineRule="exact"/>
        <w:jc w:val="both"/>
        <w:rPr>
          <w:rFonts w:eastAsiaTheme="minorEastAsia" w:cs="Arial"/>
          <w:b/>
          <w:bCs/>
          <w:szCs w:val="20"/>
          <w:lang w:val="sl-SI"/>
        </w:rPr>
      </w:pPr>
    </w:p>
    <w:p w14:paraId="0AED5E1E" w14:textId="06380B4C"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prvi alineji drugega odstavka 97. člena ZDT-1 bodo državni tožilci, ki imajo naziv okrožnega državnega tožilca, </w:t>
      </w:r>
      <w:r w:rsidR="00180B11">
        <w:rPr>
          <w:rFonts w:eastAsiaTheme="minorEastAsia" w:cs="Arial"/>
          <w:szCs w:val="20"/>
          <w:lang w:val="sl-SI"/>
        </w:rPr>
        <w:t xml:space="preserve">med sabo </w:t>
      </w:r>
      <w:r w:rsidRPr="008D7697">
        <w:rPr>
          <w:rFonts w:eastAsiaTheme="minorEastAsia" w:cs="Arial"/>
          <w:szCs w:val="20"/>
          <w:lang w:val="sl-SI"/>
        </w:rPr>
        <w:t xml:space="preserve">izvolili dva člana Državnotožilskega sveta. To pomeni, da bo tisti član Državnotožilskega sveta, ki ga po veljavni ureditvi izvolijo </w:t>
      </w:r>
      <w:r w:rsidR="00D42348">
        <w:rPr>
          <w:rFonts w:eastAsiaTheme="minorEastAsia" w:cs="Arial"/>
          <w:szCs w:val="20"/>
          <w:lang w:val="sl-SI"/>
        </w:rPr>
        <w:t xml:space="preserve">med sabo </w:t>
      </w:r>
      <w:r w:rsidRPr="008D7697">
        <w:rPr>
          <w:rFonts w:eastAsiaTheme="minorEastAsia" w:cs="Arial"/>
          <w:szCs w:val="20"/>
          <w:lang w:val="sl-SI"/>
        </w:rPr>
        <w:t xml:space="preserve">okrajni državni tožilci, izvoljen izmed okrožnih državnih tožilcev. </w:t>
      </w:r>
    </w:p>
    <w:bookmarkEnd w:id="19"/>
    <w:p w14:paraId="4F4061D1" w14:textId="77777777" w:rsidR="00331D90" w:rsidRPr="008D7697" w:rsidRDefault="00331D90" w:rsidP="00F2246C">
      <w:pPr>
        <w:spacing w:line="260" w:lineRule="exact"/>
        <w:jc w:val="both"/>
        <w:rPr>
          <w:rFonts w:eastAsiaTheme="minorEastAsia" w:cs="Arial"/>
          <w:szCs w:val="20"/>
          <w:lang w:val="sl-SI"/>
        </w:rPr>
      </w:pPr>
    </w:p>
    <w:p w14:paraId="73F55C40"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Predlagana sprememba je povezana z uvedbo ene vrste naziva državnega tožilca na prvi stopnji, to je naziv okrožnega državnega tožilca namesto dosedanjih okrajnega in okrožnega državnega tožilca.</w:t>
      </w:r>
    </w:p>
    <w:p w14:paraId="26E0EE79" w14:textId="77777777" w:rsidR="00331D90" w:rsidRPr="008D7697" w:rsidRDefault="00331D90" w:rsidP="00F2246C">
      <w:pPr>
        <w:spacing w:line="260" w:lineRule="exact"/>
        <w:jc w:val="both"/>
        <w:rPr>
          <w:rFonts w:eastAsiaTheme="minorEastAsia" w:cs="Arial"/>
          <w:szCs w:val="20"/>
          <w:lang w:val="sl-SI"/>
        </w:rPr>
      </w:pPr>
    </w:p>
    <w:p w14:paraId="1E296F1A" w14:textId="77777777" w:rsidR="00331D90" w:rsidRPr="008D7697" w:rsidRDefault="00331D90" w:rsidP="00F2246C">
      <w:pPr>
        <w:spacing w:line="260" w:lineRule="exact"/>
        <w:jc w:val="both"/>
        <w:rPr>
          <w:rFonts w:eastAsiaTheme="minorEastAsia" w:cs="Arial"/>
          <w:szCs w:val="20"/>
          <w:lang w:val="sl-SI"/>
        </w:rPr>
      </w:pPr>
    </w:p>
    <w:p w14:paraId="3697F570" w14:textId="3856E8A2"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7</w:t>
      </w:r>
      <w:r w:rsidRPr="008D7697">
        <w:rPr>
          <w:rFonts w:eastAsiaTheme="minorEastAsia" w:cs="Arial"/>
          <w:b/>
          <w:bCs/>
          <w:szCs w:val="20"/>
          <w:lang w:val="sl-SI"/>
        </w:rPr>
        <w:t>. členu:</w:t>
      </w:r>
    </w:p>
    <w:p w14:paraId="7EAF9DFA" w14:textId="77777777" w:rsidR="00331D90" w:rsidRPr="008D7697" w:rsidRDefault="00331D90" w:rsidP="00F2246C">
      <w:pPr>
        <w:spacing w:line="260" w:lineRule="exact"/>
        <w:jc w:val="both"/>
        <w:rPr>
          <w:rFonts w:eastAsiaTheme="minorEastAsia" w:cs="Arial"/>
          <w:b/>
          <w:bCs/>
          <w:szCs w:val="20"/>
          <w:lang w:val="sl-SI"/>
        </w:rPr>
      </w:pPr>
    </w:p>
    <w:p w14:paraId="324C8D49"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Po predlagani spremembi v tretjem odstavku 125. člena ZDT-1 ne bo več opredeljen pogoj za začasno vodenje okrožnega državnega tožilstva. Po veljavni ureditvi se lahko za začasno vodenje okrožnega državnega tožilstva določi državni tožilec, ki ima najmanj naziv okrožnega državnega tožilca. Ker se s predlogom zakona uvaja ena vrsta naziva državnega tožilca na prvi stopnji, to je naziv okrožnega državnega tožilca namesto dosedanjih okrajnega in okrožnega državnega tožilca, je navedeni pogoj za začasno vodenje okrožnega državnega tožilstva brezpredmeten. </w:t>
      </w:r>
    </w:p>
    <w:p w14:paraId="3DD500F6" w14:textId="77777777" w:rsidR="00331D90" w:rsidRPr="008D7697" w:rsidRDefault="00331D90" w:rsidP="00F2246C">
      <w:pPr>
        <w:spacing w:line="260" w:lineRule="exact"/>
        <w:jc w:val="both"/>
        <w:rPr>
          <w:rFonts w:eastAsiaTheme="minorEastAsia" w:cs="Arial"/>
          <w:szCs w:val="20"/>
          <w:lang w:val="sl-SI"/>
        </w:rPr>
      </w:pPr>
    </w:p>
    <w:p w14:paraId="2F92B63C" w14:textId="5160CD17" w:rsidR="00331D90" w:rsidRPr="008D7697" w:rsidRDefault="00331D90" w:rsidP="00F2246C">
      <w:pPr>
        <w:spacing w:line="260" w:lineRule="exact"/>
        <w:jc w:val="both"/>
        <w:rPr>
          <w:rFonts w:eastAsiaTheme="minorEastAsia" w:cs="Arial"/>
          <w:szCs w:val="20"/>
          <w:lang w:val="sl-SI"/>
        </w:rPr>
      </w:pPr>
      <w:bookmarkStart w:id="21" w:name="_Hlk196312272"/>
      <w:r w:rsidRPr="008D7697">
        <w:rPr>
          <w:rFonts w:eastAsiaTheme="minorEastAsia" w:cs="Arial"/>
          <w:szCs w:val="20"/>
          <w:lang w:val="sl-SI"/>
        </w:rPr>
        <w:t>V tretjem odstavku 125. člena ZDT-1 pa bo še naprej določeno, da se lahko kot začasn</w:t>
      </w:r>
      <w:r w:rsidR="00136AA0">
        <w:rPr>
          <w:rFonts w:eastAsiaTheme="minorEastAsia" w:cs="Arial"/>
          <w:szCs w:val="20"/>
          <w:lang w:val="sl-SI"/>
        </w:rPr>
        <w:t>i</w:t>
      </w:r>
      <w:r w:rsidRPr="008D7697">
        <w:rPr>
          <w:rFonts w:eastAsiaTheme="minorEastAsia" w:cs="Arial"/>
          <w:szCs w:val="20"/>
          <w:lang w:val="sl-SI"/>
        </w:rPr>
        <w:t xml:space="preserve"> vodj</w:t>
      </w:r>
      <w:r w:rsidR="00136AA0">
        <w:rPr>
          <w:rFonts w:eastAsiaTheme="minorEastAsia" w:cs="Arial"/>
          <w:szCs w:val="20"/>
          <w:lang w:val="sl-SI"/>
        </w:rPr>
        <w:t>a</w:t>
      </w:r>
      <w:r w:rsidRPr="008D7697">
        <w:rPr>
          <w:rFonts w:eastAsiaTheme="minorEastAsia" w:cs="Arial"/>
          <w:szCs w:val="20"/>
          <w:lang w:val="sl-SI"/>
        </w:rPr>
        <w:t xml:space="preserve"> Vrhovnega državnega tožilstva R</w:t>
      </w:r>
      <w:r w:rsidR="00AF6EEE">
        <w:rPr>
          <w:rFonts w:eastAsiaTheme="minorEastAsia" w:cs="Arial"/>
          <w:szCs w:val="20"/>
          <w:lang w:val="sl-SI"/>
        </w:rPr>
        <w:t>epublike Slovenije</w:t>
      </w:r>
      <w:r w:rsidRPr="008D7697">
        <w:rPr>
          <w:rFonts w:eastAsiaTheme="minorEastAsia" w:cs="Arial"/>
          <w:szCs w:val="20"/>
          <w:lang w:val="sl-SI"/>
        </w:rPr>
        <w:t xml:space="preserve"> določi le vrhovn</w:t>
      </w:r>
      <w:r w:rsidR="00136AA0">
        <w:rPr>
          <w:rFonts w:eastAsiaTheme="minorEastAsia" w:cs="Arial"/>
          <w:szCs w:val="20"/>
          <w:lang w:val="sl-SI"/>
        </w:rPr>
        <w:t>i</w:t>
      </w:r>
      <w:r w:rsidRPr="008D7697">
        <w:rPr>
          <w:rFonts w:eastAsiaTheme="minorEastAsia" w:cs="Arial"/>
          <w:szCs w:val="20"/>
          <w:lang w:val="sl-SI"/>
        </w:rPr>
        <w:t xml:space="preserve"> državn</w:t>
      </w:r>
      <w:r w:rsidR="00136AA0">
        <w:rPr>
          <w:rFonts w:eastAsiaTheme="minorEastAsia" w:cs="Arial"/>
          <w:szCs w:val="20"/>
          <w:lang w:val="sl-SI"/>
        </w:rPr>
        <w:t>i</w:t>
      </w:r>
      <w:r w:rsidRPr="008D7697">
        <w:rPr>
          <w:rFonts w:eastAsiaTheme="minorEastAsia" w:cs="Arial"/>
          <w:szCs w:val="20"/>
          <w:lang w:val="sl-SI"/>
        </w:rPr>
        <w:t xml:space="preserve"> tožil</w:t>
      </w:r>
      <w:r w:rsidR="00136AA0">
        <w:rPr>
          <w:rFonts w:eastAsiaTheme="minorEastAsia" w:cs="Arial"/>
          <w:szCs w:val="20"/>
          <w:lang w:val="sl-SI"/>
        </w:rPr>
        <w:t>ec</w:t>
      </w:r>
      <w:r w:rsidRPr="008D7697">
        <w:rPr>
          <w:rFonts w:eastAsiaTheme="minorEastAsia" w:cs="Arial"/>
          <w:szCs w:val="20"/>
          <w:lang w:val="sl-SI"/>
        </w:rPr>
        <w:t>. Državnotožilsko službo namreč na Vrhovnem državnem tožilstvu R</w:t>
      </w:r>
      <w:r w:rsidR="00AF6EEE">
        <w:rPr>
          <w:rFonts w:eastAsiaTheme="minorEastAsia" w:cs="Arial"/>
          <w:szCs w:val="20"/>
          <w:lang w:val="sl-SI"/>
        </w:rPr>
        <w:t xml:space="preserve">epublike </w:t>
      </w:r>
      <w:r w:rsidRPr="008D7697">
        <w:rPr>
          <w:rFonts w:eastAsiaTheme="minorEastAsia" w:cs="Arial"/>
          <w:szCs w:val="20"/>
          <w:lang w:val="sl-SI"/>
        </w:rPr>
        <w:t>S</w:t>
      </w:r>
      <w:r w:rsidR="00AF6EEE">
        <w:rPr>
          <w:rFonts w:eastAsiaTheme="minorEastAsia" w:cs="Arial"/>
          <w:szCs w:val="20"/>
          <w:lang w:val="sl-SI"/>
        </w:rPr>
        <w:t>lovenije</w:t>
      </w:r>
      <w:r w:rsidRPr="008D7697">
        <w:rPr>
          <w:rFonts w:eastAsiaTheme="minorEastAsia" w:cs="Arial"/>
          <w:szCs w:val="20"/>
          <w:lang w:val="sl-SI"/>
        </w:rPr>
        <w:t xml:space="preserve"> poleg vrhovnih državnih tožilcev </w:t>
      </w:r>
      <w:r w:rsidR="00F9733C" w:rsidRPr="008D7697">
        <w:rPr>
          <w:rFonts w:eastAsiaTheme="minorEastAsia" w:cs="Arial"/>
          <w:szCs w:val="20"/>
          <w:lang w:val="sl-SI"/>
        </w:rPr>
        <w:t xml:space="preserve">lahko </w:t>
      </w:r>
      <w:r w:rsidRPr="008D7697">
        <w:rPr>
          <w:rFonts w:eastAsiaTheme="minorEastAsia" w:cs="Arial"/>
          <w:szCs w:val="20"/>
          <w:lang w:val="sl-SI"/>
        </w:rPr>
        <w:t>opravljajo tudi dodeljeni okrožni in višji državni tožilci.</w:t>
      </w:r>
    </w:p>
    <w:bookmarkEnd w:id="21"/>
    <w:p w14:paraId="2A65DF9C" w14:textId="77777777" w:rsidR="00331D90" w:rsidRPr="008D7697" w:rsidRDefault="00331D90" w:rsidP="00F2246C">
      <w:pPr>
        <w:spacing w:line="260" w:lineRule="exact"/>
        <w:jc w:val="both"/>
        <w:rPr>
          <w:rFonts w:eastAsiaTheme="minorEastAsia" w:cs="Arial"/>
          <w:szCs w:val="20"/>
          <w:lang w:val="sl-SI"/>
        </w:rPr>
      </w:pPr>
    </w:p>
    <w:p w14:paraId="214025E9" w14:textId="77777777" w:rsidR="00331D90" w:rsidRPr="008D7697" w:rsidRDefault="00331D90" w:rsidP="00F2246C">
      <w:pPr>
        <w:spacing w:line="260" w:lineRule="exact"/>
        <w:jc w:val="both"/>
        <w:rPr>
          <w:rFonts w:eastAsiaTheme="minorEastAsia" w:cs="Arial"/>
          <w:szCs w:val="20"/>
          <w:lang w:val="sl-SI"/>
        </w:rPr>
      </w:pPr>
    </w:p>
    <w:p w14:paraId="34FB2500" w14:textId="77164969"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8</w:t>
      </w:r>
      <w:r w:rsidRPr="008D7697">
        <w:rPr>
          <w:rFonts w:eastAsiaTheme="minorEastAsia" w:cs="Arial"/>
          <w:b/>
          <w:bCs/>
          <w:szCs w:val="20"/>
          <w:lang w:val="sl-SI"/>
        </w:rPr>
        <w:t>. členu:</w:t>
      </w:r>
    </w:p>
    <w:p w14:paraId="21C7442C" w14:textId="77777777" w:rsidR="00331D90" w:rsidRPr="008D7697" w:rsidRDefault="00331D90" w:rsidP="00F2246C">
      <w:pPr>
        <w:spacing w:line="260" w:lineRule="exact"/>
        <w:jc w:val="both"/>
        <w:rPr>
          <w:rFonts w:eastAsiaTheme="minorEastAsia" w:cs="Arial"/>
          <w:b/>
          <w:bCs/>
          <w:szCs w:val="20"/>
          <w:lang w:val="sl-SI"/>
        </w:rPr>
      </w:pPr>
    </w:p>
    <w:p w14:paraId="748F1749" w14:textId="3F201F14"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Tudi državni tožilci in državnotožilsko osebje so lahko izpostavljeni stresnim</w:t>
      </w:r>
      <w:r w:rsidR="00150C4A">
        <w:rPr>
          <w:rFonts w:eastAsia="Arial" w:cs="Arial"/>
          <w:szCs w:val="20"/>
          <w:lang w:val="sl-SI"/>
        </w:rPr>
        <w:t xml:space="preserve"> okoliščinam</w:t>
      </w:r>
      <w:r w:rsidRPr="008D7697">
        <w:rPr>
          <w:rFonts w:eastAsia="Arial" w:cs="Arial"/>
          <w:szCs w:val="20"/>
          <w:lang w:val="sl-SI"/>
        </w:rPr>
        <w:t xml:space="preserve">, zato se razširja zakonodajni okvir nudenja psihološke pomoči in podpore. Psihološka pomoč in podpora sta že urejeni za zaposlene v </w:t>
      </w:r>
      <w:r w:rsidR="00150C4A">
        <w:rPr>
          <w:rFonts w:eastAsia="Arial" w:cs="Arial"/>
          <w:szCs w:val="20"/>
          <w:lang w:val="sl-SI"/>
        </w:rPr>
        <w:t>p</w:t>
      </w:r>
      <w:r w:rsidRPr="008D7697">
        <w:rPr>
          <w:rFonts w:eastAsia="Arial" w:cs="Arial"/>
          <w:szCs w:val="20"/>
          <w:lang w:val="sl-SI"/>
        </w:rPr>
        <w:t>oliciji v 65. členu Zakona o organiziranosti in delu v policiji</w:t>
      </w:r>
      <w:r w:rsidRPr="008D7697">
        <w:rPr>
          <w:rStyle w:val="Sprotnaopomba-sklic"/>
          <w:rFonts w:eastAsia="Arial" w:cs="Arial"/>
          <w:szCs w:val="20"/>
          <w:lang w:val="sl-SI"/>
        </w:rPr>
        <w:footnoteReference w:id="40"/>
      </w:r>
      <w:r w:rsidRPr="008D7697">
        <w:rPr>
          <w:rFonts w:eastAsia="Arial" w:cs="Arial"/>
          <w:szCs w:val="20"/>
          <w:lang w:val="sl-SI"/>
        </w:rPr>
        <w:t xml:space="preserve"> in za vojake v 79. členu Zakona o službi v Slovenski vojski</w:t>
      </w:r>
      <w:r w:rsidR="00150C4A">
        <w:rPr>
          <w:rFonts w:eastAsia="Arial" w:cs="Arial"/>
          <w:szCs w:val="20"/>
          <w:lang w:val="sl-SI"/>
        </w:rPr>
        <w:t>.</w:t>
      </w:r>
      <w:r w:rsidRPr="008D7697">
        <w:rPr>
          <w:rStyle w:val="Sprotnaopomba-sklic"/>
          <w:rFonts w:eastAsia="Arial" w:cs="Arial"/>
          <w:szCs w:val="20"/>
          <w:lang w:val="sl-SI"/>
        </w:rPr>
        <w:footnoteReference w:id="41"/>
      </w:r>
      <w:r w:rsidRPr="008D7697">
        <w:rPr>
          <w:rFonts w:eastAsia="Arial" w:cs="Arial"/>
          <w:szCs w:val="20"/>
          <w:lang w:val="sl-SI"/>
        </w:rPr>
        <w:t xml:space="preserve"> </w:t>
      </w:r>
      <w:r w:rsidR="00D5655B">
        <w:rPr>
          <w:rFonts w:eastAsia="Arial" w:cs="Arial"/>
          <w:szCs w:val="20"/>
          <w:lang w:val="sl-SI"/>
        </w:rPr>
        <w:t>P</w:t>
      </w:r>
      <w:r w:rsidRPr="008D7697">
        <w:rPr>
          <w:rFonts w:eastAsia="Arial" w:cs="Arial"/>
          <w:szCs w:val="20"/>
          <w:lang w:val="sl-SI"/>
        </w:rPr>
        <w:t xml:space="preserve">sihološka oskrba </w:t>
      </w:r>
      <w:r w:rsidR="00D5655B">
        <w:rPr>
          <w:rFonts w:eastAsia="Arial" w:cs="Arial"/>
          <w:szCs w:val="20"/>
          <w:lang w:val="sl-SI"/>
        </w:rPr>
        <w:t xml:space="preserve">je namreč potrebna </w:t>
      </w:r>
      <w:r w:rsidRPr="008D7697">
        <w:rPr>
          <w:rFonts w:eastAsia="Arial" w:cs="Arial"/>
          <w:szCs w:val="20"/>
          <w:lang w:val="sl-SI"/>
        </w:rPr>
        <w:t>tako v policijskem kot tudi v vojaškem poklicu</w:t>
      </w:r>
      <w:r w:rsidR="00D5655B">
        <w:rPr>
          <w:rFonts w:eastAsia="Arial" w:cs="Arial"/>
          <w:szCs w:val="20"/>
          <w:lang w:val="sl-SI"/>
        </w:rPr>
        <w:t xml:space="preserve">, saj </w:t>
      </w:r>
      <w:r w:rsidRPr="008D7697">
        <w:rPr>
          <w:rFonts w:eastAsia="Arial" w:cs="Arial"/>
          <w:szCs w:val="20"/>
          <w:lang w:val="sl-SI"/>
        </w:rPr>
        <w:t>sta oba poklica posebej izpostavljena psihičnim obremenitvam in stresnim</w:t>
      </w:r>
      <w:r w:rsidR="004D285A">
        <w:rPr>
          <w:rFonts w:eastAsia="Arial" w:cs="Arial"/>
          <w:szCs w:val="20"/>
          <w:lang w:val="sl-SI"/>
        </w:rPr>
        <w:t xml:space="preserve"> okoliščinam</w:t>
      </w:r>
      <w:r w:rsidRPr="008D7697">
        <w:rPr>
          <w:rFonts w:eastAsia="Arial" w:cs="Arial"/>
          <w:szCs w:val="20"/>
          <w:lang w:val="sl-SI"/>
        </w:rPr>
        <w:t xml:space="preserve">. </w:t>
      </w:r>
    </w:p>
    <w:p w14:paraId="307D3A6A"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F36C7C1" w14:textId="3AA0A87E"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Predlagani novi 152.a člen ZDT-1 določa zakonsko podlago za zagotavljanje strokovne psihološke pomoči in psihološke podpore državnim tožilcem in državnotožilskemu osebju, kadar pride do hujših psihičnih obremenitev pri opravljanju državnotožilske službe oziroma dela državnotožilskega osebja ali s tem povezanih dogodkov (npr. grožnje, delo z rizičnimi skupinami, čezmerne obremenitve pri delu, trpinčenje na delovnem mestu, naravne in druge nesreče, osebne stiske zaradi hude telesne poškodbe in bolezni). Izvajali jo bodo ustrezno usposobljeni psihologi ali specialisti klinične psihologije. Vrste in način izvajanja strokovne psihološke pomoči in psihološke podpore bo določil interni akt</w:t>
      </w:r>
      <w:r w:rsidR="0095483A">
        <w:rPr>
          <w:rFonts w:eastAsia="Arial" w:cs="Arial"/>
          <w:szCs w:val="20"/>
          <w:lang w:val="sl-SI"/>
        </w:rPr>
        <w:t xml:space="preserve"> generalnega državnega tožilca</w:t>
      </w:r>
      <w:r w:rsidRPr="008D7697">
        <w:rPr>
          <w:rFonts w:eastAsia="Arial" w:cs="Arial"/>
          <w:szCs w:val="20"/>
          <w:lang w:val="sl-SI"/>
        </w:rPr>
        <w:t>.</w:t>
      </w:r>
    </w:p>
    <w:p w14:paraId="039A0963"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p>
    <w:p w14:paraId="4766DF60" w14:textId="77777777" w:rsidR="00331D90" w:rsidRPr="008D7697" w:rsidRDefault="00331D90" w:rsidP="00F2246C">
      <w:pPr>
        <w:widowControl w:val="0"/>
        <w:overflowPunct w:val="0"/>
        <w:autoSpaceDE w:val="0"/>
        <w:autoSpaceDN w:val="0"/>
        <w:adjustRightInd w:val="0"/>
        <w:spacing w:line="260" w:lineRule="exact"/>
        <w:jc w:val="both"/>
        <w:textAlignment w:val="baseline"/>
        <w:rPr>
          <w:rFonts w:eastAsia="Arial" w:cs="Arial"/>
          <w:szCs w:val="20"/>
          <w:lang w:val="sl-SI"/>
        </w:rPr>
      </w:pPr>
      <w:r w:rsidRPr="008D7697">
        <w:rPr>
          <w:rFonts w:eastAsia="Arial" w:cs="Arial"/>
          <w:szCs w:val="20"/>
          <w:lang w:val="sl-SI"/>
        </w:rPr>
        <w:t>Na enak način je predvideno zagotavljanje psihološke pomoči in psihološke podpore sodnikom in sodnemu osebju v predlogu novega Zakona o sodiščih.</w:t>
      </w:r>
    </w:p>
    <w:p w14:paraId="5094397F" w14:textId="77777777" w:rsidR="00331D90" w:rsidRPr="008D7697" w:rsidRDefault="00331D90" w:rsidP="00F2246C">
      <w:pPr>
        <w:spacing w:line="260" w:lineRule="exact"/>
        <w:jc w:val="both"/>
        <w:rPr>
          <w:rFonts w:eastAsiaTheme="minorEastAsia" w:cs="Arial"/>
          <w:b/>
          <w:bCs/>
          <w:szCs w:val="20"/>
          <w:lang w:val="sl-SI"/>
        </w:rPr>
      </w:pPr>
    </w:p>
    <w:p w14:paraId="616E8BE2" w14:textId="77777777" w:rsidR="00331D90" w:rsidRPr="008D7697" w:rsidRDefault="00331D90" w:rsidP="00F2246C">
      <w:pPr>
        <w:spacing w:line="260" w:lineRule="exact"/>
        <w:jc w:val="both"/>
        <w:rPr>
          <w:rFonts w:eastAsiaTheme="minorEastAsia" w:cs="Arial"/>
          <w:szCs w:val="20"/>
          <w:lang w:val="sl-SI"/>
        </w:rPr>
      </w:pPr>
    </w:p>
    <w:p w14:paraId="68F959A1" w14:textId="22DF9034"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K 1</w:t>
      </w:r>
      <w:r w:rsidR="00494A34">
        <w:rPr>
          <w:rFonts w:eastAsiaTheme="minorEastAsia" w:cs="Arial"/>
          <w:b/>
          <w:bCs/>
          <w:szCs w:val="20"/>
          <w:lang w:val="sl-SI"/>
        </w:rPr>
        <w:t>9</w:t>
      </w:r>
      <w:r w:rsidRPr="008D7697">
        <w:rPr>
          <w:rFonts w:eastAsiaTheme="minorEastAsia" w:cs="Arial"/>
          <w:b/>
          <w:bCs/>
          <w:szCs w:val="20"/>
          <w:lang w:val="sl-SI"/>
        </w:rPr>
        <w:t>. členu:</w:t>
      </w:r>
    </w:p>
    <w:p w14:paraId="40F07158" w14:textId="77777777" w:rsidR="00331D90" w:rsidRPr="008D7697" w:rsidRDefault="00331D90" w:rsidP="00331D90">
      <w:pPr>
        <w:spacing w:line="260" w:lineRule="exact"/>
        <w:jc w:val="both"/>
        <w:rPr>
          <w:rFonts w:eastAsiaTheme="minorEastAsia" w:cs="Arial"/>
          <w:szCs w:val="20"/>
          <w:lang w:val="sl-SI"/>
        </w:rPr>
      </w:pPr>
    </w:p>
    <w:p w14:paraId="63392079" w14:textId="72C91DD9" w:rsidR="00331D90" w:rsidRPr="008D7697" w:rsidRDefault="00331D90" w:rsidP="00F2246C">
      <w:pPr>
        <w:spacing w:line="260" w:lineRule="exact"/>
        <w:jc w:val="both"/>
        <w:rPr>
          <w:rFonts w:eastAsiaTheme="minorEastAsia" w:cs="Arial"/>
          <w:szCs w:val="20"/>
          <w:lang w:val="sl-SI"/>
        </w:rPr>
      </w:pPr>
      <w:bookmarkStart w:id="22" w:name="_Hlk194063487"/>
      <w:r w:rsidRPr="008D7697">
        <w:rPr>
          <w:rFonts w:eastAsiaTheme="minorEastAsia" w:cs="Arial"/>
          <w:szCs w:val="20"/>
          <w:lang w:val="sl-SI"/>
        </w:rPr>
        <w:t xml:space="preserve">Črtanje navedbe okrajnih sodišč v tretjem odstavku 187. člena ZDT-1 in </w:t>
      </w:r>
      <w:r w:rsidR="009F0931">
        <w:rPr>
          <w:rFonts w:eastAsiaTheme="minorEastAsia" w:cs="Arial"/>
          <w:szCs w:val="20"/>
          <w:lang w:val="sl-SI"/>
        </w:rPr>
        <w:t xml:space="preserve">črtanje </w:t>
      </w:r>
      <w:r w:rsidRPr="008D7697">
        <w:rPr>
          <w:rFonts w:eastAsiaTheme="minorEastAsia" w:cs="Arial"/>
          <w:szCs w:val="20"/>
          <w:lang w:val="sl-SI"/>
        </w:rPr>
        <w:t xml:space="preserve">četrtega odstavka istega člena je povezano s predlagano spremembo organizacije sodišč v predlogu novega Zakona o sodiščih, s katero bo vzpostavljeno sodno okrožje kot osnovna organizacijska raven sodišč na prvi stopnji. Zunanji oddelki so namreč </w:t>
      </w:r>
      <w:r w:rsidR="00BB05C5">
        <w:rPr>
          <w:rFonts w:eastAsiaTheme="minorEastAsia" w:cs="Arial"/>
          <w:szCs w:val="20"/>
          <w:lang w:val="sl-SI"/>
        </w:rPr>
        <w:t xml:space="preserve">notranje organizacijske </w:t>
      </w:r>
      <w:r w:rsidRPr="008D7697">
        <w:rPr>
          <w:rFonts w:eastAsiaTheme="minorEastAsia" w:cs="Arial"/>
          <w:szCs w:val="20"/>
          <w:lang w:val="sl-SI"/>
        </w:rPr>
        <w:t xml:space="preserve">enote okrožnega državnega tožilstva in delujejo na območju okrožnega sodišča, </w:t>
      </w:r>
      <w:r w:rsidR="00623C73">
        <w:rPr>
          <w:rFonts w:eastAsiaTheme="minorEastAsia" w:cs="Arial"/>
          <w:szCs w:val="20"/>
          <w:lang w:val="sl-SI"/>
        </w:rPr>
        <w:t xml:space="preserve">poleg tega </w:t>
      </w:r>
      <w:r w:rsidRPr="008D7697">
        <w:rPr>
          <w:rFonts w:eastAsiaTheme="minorEastAsia" w:cs="Arial"/>
          <w:szCs w:val="20"/>
          <w:lang w:val="sl-SI"/>
        </w:rPr>
        <w:t>z uveljavitvijo novega Zakona o sodiščih ne bo več okrajnih sodišč.</w:t>
      </w:r>
    </w:p>
    <w:bookmarkEnd w:id="22"/>
    <w:p w14:paraId="219FA431" w14:textId="77777777" w:rsidR="00331D90" w:rsidRPr="008D7697" w:rsidRDefault="00331D90" w:rsidP="00F2246C">
      <w:pPr>
        <w:spacing w:line="260" w:lineRule="exact"/>
        <w:jc w:val="both"/>
        <w:rPr>
          <w:rFonts w:eastAsiaTheme="minorEastAsia" w:cs="Arial"/>
          <w:szCs w:val="20"/>
          <w:lang w:val="sl-SI"/>
        </w:rPr>
      </w:pPr>
    </w:p>
    <w:p w14:paraId="046AA44D" w14:textId="77777777" w:rsidR="00331D90" w:rsidRPr="008D7697" w:rsidRDefault="00331D90" w:rsidP="00F2246C">
      <w:pPr>
        <w:spacing w:line="260" w:lineRule="exact"/>
        <w:jc w:val="both"/>
        <w:rPr>
          <w:rFonts w:eastAsiaTheme="minorEastAsia" w:cs="Arial"/>
          <w:szCs w:val="20"/>
          <w:lang w:val="sl-SI"/>
        </w:rPr>
      </w:pPr>
      <w:r w:rsidRPr="008D7697">
        <w:rPr>
          <w:rFonts w:eastAsiaTheme="minorEastAsia" w:cs="Arial"/>
          <w:szCs w:val="20"/>
          <w:lang w:val="sl-SI"/>
        </w:rPr>
        <w:t xml:space="preserve"> </w:t>
      </w:r>
    </w:p>
    <w:p w14:paraId="0A2DCFCE" w14:textId="0C8C0DB0" w:rsidR="00331D90" w:rsidRPr="008D7697" w:rsidRDefault="00331D90" w:rsidP="00F2246C">
      <w:pPr>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494A34">
        <w:rPr>
          <w:rFonts w:eastAsiaTheme="minorEastAsia" w:cs="Arial"/>
          <w:b/>
          <w:bCs/>
          <w:szCs w:val="20"/>
          <w:lang w:val="sl-SI"/>
        </w:rPr>
        <w:t>20</w:t>
      </w:r>
      <w:r w:rsidRPr="008D7697">
        <w:rPr>
          <w:rFonts w:eastAsiaTheme="minorEastAsia" w:cs="Arial"/>
          <w:b/>
          <w:bCs/>
          <w:szCs w:val="20"/>
          <w:lang w:val="sl-SI"/>
        </w:rPr>
        <w:t>. členu:</w:t>
      </w:r>
    </w:p>
    <w:p w14:paraId="494A6E92" w14:textId="77777777" w:rsidR="00381558" w:rsidRDefault="00381558" w:rsidP="00381558">
      <w:pPr>
        <w:pStyle w:val="alineazaodstavkom2"/>
        <w:spacing w:line="260" w:lineRule="exact"/>
        <w:ind w:firstLine="0"/>
        <w:rPr>
          <w:rFonts w:ascii="Arial" w:eastAsia="Arial" w:hAnsi="Arial" w:cs="Arial"/>
          <w:sz w:val="20"/>
          <w:szCs w:val="20"/>
          <w:lang w:val="sl-SI"/>
        </w:rPr>
      </w:pPr>
    </w:p>
    <w:p w14:paraId="47B0EE5D" w14:textId="513732BA" w:rsidR="00752F2B" w:rsidRPr="00752F2B" w:rsidRDefault="00752F2B" w:rsidP="00752F2B">
      <w:pPr>
        <w:pStyle w:val="alineazaodstavkom2"/>
        <w:spacing w:line="260" w:lineRule="exact"/>
        <w:ind w:firstLine="0"/>
        <w:rPr>
          <w:rFonts w:ascii="Arial" w:eastAsia="Arial" w:hAnsi="Arial" w:cs="Arial"/>
          <w:sz w:val="20"/>
          <w:szCs w:val="20"/>
          <w:lang w:val="sl-SI"/>
        </w:rPr>
      </w:pPr>
      <w:r w:rsidRPr="00752F2B">
        <w:rPr>
          <w:rFonts w:ascii="Arial" w:eastAsia="Arial" w:hAnsi="Arial" w:cs="Arial"/>
          <w:sz w:val="20"/>
          <w:szCs w:val="20"/>
          <w:lang w:val="sl-SI"/>
        </w:rPr>
        <w:t xml:space="preserve">Ker predlog novega Zakona o sodiščih odpravlja okrajna sodišča, se zunanji oddelek okrožnega državnega tožilstva v prvem odstavku 189. člena ZDT-1 ne veže več na organizacijo sodišč, temveč se opredeljuje kot notranja organizacijska enota okrožnega državnega tožilstva, ki opravlja </w:t>
      </w:r>
      <w:r w:rsidR="002442AE">
        <w:rPr>
          <w:rFonts w:ascii="Arial" w:eastAsia="Arial" w:hAnsi="Arial" w:cs="Arial"/>
          <w:sz w:val="20"/>
          <w:szCs w:val="20"/>
          <w:lang w:val="sl-SI"/>
        </w:rPr>
        <w:t xml:space="preserve">naloge </w:t>
      </w:r>
      <w:r w:rsidRPr="00752F2B">
        <w:rPr>
          <w:rFonts w:ascii="Arial" w:eastAsia="Arial" w:hAnsi="Arial" w:cs="Arial"/>
          <w:sz w:val="20"/>
          <w:szCs w:val="20"/>
          <w:lang w:val="sl-SI"/>
        </w:rPr>
        <w:t xml:space="preserve">okrožnega državnega tožilstva na določenem območju delovanja okrožnega državnega tožilstva, vendar zunaj kraja sedeža tega okrožnega državnega tožilstva. Na ta način se bo nadaljevala praksa, po kateri so zunanji oddelki okrožnih državnih tožilstev ustanovljeni za določena območja </w:t>
      </w:r>
      <w:r w:rsidR="000E04F1">
        <w:rPr>
          <w:rFonts w:ascii="Arial" w:eastAsia="Arial" w:hAnsi="Arial" w:cs="Arial"/>
          <w:sz w:val="20"/>
          <w:szCs w:val="20"/>
          <w:lang w:val="sl-SI"/>
        </w:rPr>
        <w:t xml:space="preserve">zunaj </w:t>
      </w:r>
      <w:r w:rsidRPr="00752F2B">
        <w:rPr>
          <w:rFonts w:ascii="Arial" w:eastAsia="Arial" w:hAnsi="Arial" w:cs="Arial"/>
          <w:sz w:val="20"/>
          <w:szCs w:val="20"/>
          <w:lang w:val="sl-SI"/>
        </w:rPr>
        <w:t>krajev sedeža okrožnih državnih tožilstev (gl. Odredbo o ustanovitvi zunanjih oddelkov okrožnih državnih tožilstev</w:t>
      </w:r>
      <w:r w:rsidR="000E04F1">
        <w:rPr>
          <w:rFonts w:ascii="Arial" w:eastAsia="Arial" w:hAnsi="Arial" w:cs="Arial"/>
          <w:sz w:val="20"/>
          <w:szCs w:val="20"/>
          <w:lang w:val="sl-SI"/>
        </w:rPr>
        <w:t>).</w:t>
      </w:r>
      <w:r w:rsidRPr="00752F2B">
        <w:rPr>
          <w:rStyle w:val="Sprotnaopomba-sklic"/>
          <w:rFonts w:ascii="Arial" w:eastAsia="Arial" w:hAnsi="Arial" w:cs="Arial"/>
          <w:sz w:val="20"/>
          <w:szCs w:val="20"/>
          <w:lang w:val="sl-SI"/>
        </w:rPr>
        <w:footnoteReference w:id="42"/>
      </w:r>
      <w:r w:rsidRPr="00752F2B">
        <w:rPr>
          <w:rFonts w:ascii="Arial" w:eastAsia="Arial" w:hAnsi="Arial" w:cs="Arial"/>
          <w:sz w:val="20"/>
          <w:szCs w:val="20"/>
          <w:lang w:val="sl-SI"/>
        </w:rPr>
        <w:t xml:space="preserve"> Območje delovanja državnih tožilstev, torej tudi okrožnih državnih tožilstev, je opredeljeno v 187. členu ZDT-1. </w:t>
      </w:r>
    </w:p>
    <w:p w14:paraId="69B52E77" w14:textId="77777777" w:rsidR="00752F2B" w:rsidRPr="00752F2B" w:rsidRDefault="00752F2B" w:rsidP="00752F2B">
      <w:pPr>
        <w:pStyle w:val="alineazaodstavkom2"/>
        <w:spacing w:line="260" w:lineRule="exact"/>
        <w:ind w:firstLine="0"/>
        <w:rPr>
          <w:rFonts w:ascii="Arial" w:eastAsia="Arial" w:hAnsi="Arial" w:cs="Arial"/>
          <w:sz w:val="20"/>
          <w:szCs w:val="20"/>
          <w:lang w:val="sl-SI"/>
        </w:rPr>
      </w:pPr>
    </w:p>
    <w:p w14:paraId="66C46C69" w14:textId="77777777" w:rsidR="00752F2B" w:rsidRPr="00752F2B" w:rsidRDefault="00752F2B" w:rsidP="00752F2B">
      <w:pPr>
        <w:pStyle w:val="alineazaodstavkom2"/>
        <w:spacing w:line="260" w:lineRule="exact"/>
        <w:ind w:firstLine="0"/>
        <w:rPr>
          <w:rFonts w:ascii="Arial" w:eastAsia="Arial" w:hAnsi="Arial" w:cs="Arial"/>
          <w:sz w:val="20"/>
          <w:szCs w:val="20"/>
          <w:lang w:val="sl-SI"/>
        </w:rPr>
      </w:pPr>
      <w:r w:rsidRPr="00752F2B">
        <w:rPr>
          <w:rFonts w:ascii="Arial" w:eastAsia="Arial" w:hAnsi="Arial" w:cs="Arial"/>
          <w:sz w:val="20"/>
          <w:szCs w:val="20"/>
          <w:lang w:val="sl-SI"/>
        </w:rPr>
        <w:t>V tretjem odstavku se črta določba, da se v zunanje oddelke okrožnega državnega tožilstva praviloma razporedijo okrožni državni tožilci. Ker po novi ureditvi okrajnih državnih tožilcev ne bo več, navedena določba ni potrebna.</w:t>
      </w:r>
    </w:p>
    <w:p w14:paraId="5B7C754B" w14:textId="77777777" w:rsidR="00C11808" w:rsidRPr="00381558" w:rsidRDefault="00C11808" w:rsidP="00381558">
      <w:pPr>
        <w:spacing w:line="260" w:lineRule="exact"/>
        <w:jc w:val="both"/>
        <w:rPr>
          <w:rFonts w:eastAsiaTheme="minorEastAsia" w:cs="Arial"/>
          <w:szCs w:val="20"/>
          <w:lang w:val="sl-SI"/>
        </w:rPr>
      </w:pPr>
    </w:p>
    <w:p w14:paraId="45706914" w14:textId="77777777" w:rsidR="00331D90" w:rsidRPr="00381558" w:rsidRDefault="00331D90" w:rsidP="00381558">
      <w:pPr>
        <w:spacing w:line="260" w:lineRule="exact"/>
        <w:jc w:val="both"/>
        <w:rPr>
          <w:rFonts w:eastAsiaTheme="minorEastAsia" w:cs="Arial"/>
          <w:szCs w:val="20"/>
          <w:lang w:val="sl-SI"/>
        </w:rPr>
      </w:pPr>
    </w:p>
    <w:p w14:paraId="047BFC89" w14:textId="39A3F9AD" w:rsidR="00331D90" w:rsidRPr="00381558" w:rsidRDefault="00331D90" w:rsidP="00381558">
      <w:pPr>
        <w:spacing w:line="260" w:lineRule="exact"/>
        <w:jc w:val="both"/>
        <w:rPr>
          <w:rFonts w:eastAsiaTheme="minorEastAsia" w:cs="Arial"/>
          <w:b/>
          <w:bCs/>
          <w:szCs w:val="20"/>
          <w:lang w:val="sl-SI"/>
        </w:rPr>
      </w:pPr>
      <w:r w:rsidRPr="00381558">
        <w:rPr>
          <w:rFonts w:eastAsiaTheme="minorEastAsia" w:cs="Arial"/>
          <w:b/>
          <w:bCs/>
          <w:szCs w:val="20"/>
          <w:lang w:val="sl-SI"/>
        </w:rPr>
        <w:t xml:space="preserve">K </w:t>
      </w:r>
      <w:r w:rsidR="00837DC1">
        <w:rPr>
          <w:rFonts w:eastAsiaTheme="minorEastAsia" w:cs="Arial"/>
          <w:b/>
          <w:bCs/>
          <w:szCs w:val="20"/>
          <w:lang w:val="sl-SI"/>
        </w:rPr>
        <w:t>2</w:t>
      </w:r>
      <w:r w:rsidR="00494A34">
        <w:rPr>
          <w:rFonts w:eastAsiaTheme="minorEastAsia" w:cs="Arial"/>
          <w:b/>
          <w:bCs/>
          <w:szCs w:val="20"/>
          <w:lang w:val="sl-SI"/>
        </w:rPr>
        <w:t>1</w:t>
      </w:r>
      <w:r w:rsidRPr="00381558">
        <w:rPr>
          <w:rFonts w:eastAsiaTheme="minorEastAsia" w:cs="Arial"/>
          <w:b/>
          <w:bCs/>
          <w:szCs w:val="20"/>
          <w:lang w:val="sl-SI"/>
        </w:rPr>
        <w:t>. členu:</w:t>
      </w:r>
    </w:p>
    <w:p w14:paraId="2393C633" w14:textId="77777777" w:rsidR="00331D90" w:rsidRPr="00381558" w:rsidRDefault="00331D90" w:rsidP="00381558">
      <w:pPr>
        <w:spacing w:line="260" w:lineRule="exact"/>
        <w:jc w:val="both"/>
        <w:rPr>
          <w:rFonts w:eastAsiaTheme="minorEastAsia" w:cs="Arial"/>
          <w:szCs w:val="20"/>
          <w:lang w:val="sl-SI"/>
        </w:rPr>
      </w:pPr>
    </w:p>
    <w:p w14:paraId="77274F5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Črtanje navedbe državnih tožilcev, ki imajo najmanj naziv okrožnega državnega tožilca, v drugem odstavku 193. člena ZDT-1 je povezano z uvedbo ene vrste naziva državnega tožilca na prvi stopnji, to je naziv okrožnega državnega tožilca namesto dosedanjih okrajnega in okrožnega državnega tožilca.</w:t>
      </w:r>
    </w:p>
    <w:p w14:paraId="3A1CB5DF" w14:textId="77777777" w:rsidR="00331D90" w:rsidRPr="008D7697" w:rsidRDefault="00331D90" w:rsidP="00F2246C">
      <w:pPr>
        <w:pStyle w:val="alineazaodstavkom2"/>
        <w:spacing w:line="260" w:lineRule="exact"/>
        <w:rPr>
          <w:rFonts w:ascii="Arial" w:eastAsia="Arial" w:hAnsi="Arial" w:cs="Arial"/>
          <w:sz w:val="20"/>
          <w:szCs w:val="20"/>
          <w:lang w:val="sl-SI"/>
        </w:rPr>
      </w:pPr>
    </w:p>
    <w:p w14:paraId="7A79F510" w14:textId="0CFE42F3"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lastRenderedPageBreak/>
        <w:t xml:space="preserve">Veljavna določba tretjega odstavka, po kateri se na SDT dodeli najmanj po en državni tožilec iz vsakega okrožnega državnega tožilstva, matičnim okrožnim državnim tožilstvom otežuje delo, zato se predlaga njeno črtanje. S spremembo </w:t>
      </w:r>
      <w:r w:rsidR="00ED70CA">
        <w:rPr>
          <w:rFonts w:ascii="Arial" w:eastAsia="Arial" w:hAnsi="Arial" w:cs="Arial"/>
          <w:sz w:val="20"/>
          <w:szCs w:val="20"/>
          <w:lang w:val="sl-SI"/>
        </w:rPr>
        <w:t>pre</w:t>
      </w:r>
      <w:r w:rsidRPr="008D7697">
        <w:rPr>
          <w:rFonts w:ascii="Arial" w:eastAsia="Arial" w:hAnsi="Arial" w:cs="Arial"/>
          <w:sz w:val="20"/>
          <w:szCs w:val="20"/>
          <w:lang w:val="sl-SI"/>
        </w:rPr>
        <w:t xml:space="preserve">ostalega besedila tretjega odstavka pa se bo omogočila večja </w:t>
      </w:r>
      <w:r w:rsidR="006F1EDA">
        <w:rPr>
          <w:rFonts w:ascii="Arial" w:eastAsia="Arial" w:hAnsi="Arial" w:cs="Arial"/>
          <w:sz w:val="20"/>
          <w:szCs w:val="20"/>
          <w:lang w:val="sl-SI"/>
        </w:rPr>
        <w:t xml:space="preserve">prožnost </w:t>
      </w:r>
      <w:r w:rsidRPr="008D7697">
        <w:rPr>
          <w:rFonts w:ascii="Arial" w:eastAsia="Arial" w:hAnsi="Arial" w:cs="Arial"/>
          <w:sz w:val="20"/>
          <w:szCs w:val="20"/>
          <w:lang w:val="sl-SI"/>
        </w:rPr>
        <w:t xml:space="preserve">državnih tožilcev, imenovanih na SDT, ki bodo delo </w:t>
      </w:r>
      <w:r w:rsidR="00A5478C" w:rsidRPr="008D7697">
        <w:rPr>
          <w:rFonts w:ascii="Arial" w:eastAsia="Arial" w:hAnsi="Arial" w:cs="Arial"/>
          <w:sz w:val="20"/>
          <w:szCs w:val="20"/>
          <w:lang w:val="sl-SI"/>
        </w:rPr>
        <w:t xml:space="preserve">lahko </w:t>
      </w:r>
      <w:r w:rsidRPr="008D7697">
        <w:rPr>
          <w:rFonts w:ascii="Arial" w:eastAsia="Arial" w:hAnsi="Arial" w:cs="Arial"/>
          <w:sz w:val="20"/>
          <w:szCs w:val="20"/>
          <w:lang w:val="sl-SI"/>
        </w:rPr>
        <w:t xml:space="preserve">opravljali tudi na sedežu drugega državnega tožilstva. To bo lahko pripomoglo k večjemu zanimanju najbolj usposobljenih državnih tožilcev iz drugih krajev </w:t>
      </w:r>
      <w:r w:rsidR="00A5478C">
        <w:rPr>
          <w:rFonts w:ascii="Arial" w:eastAsia="Arial" w:hAnsi="Arial" w:cs="Arial"/>
          <w:sz w:val="20"/>
          <w:szCs w:val="20"/>
          <w:lang w:val="sl-SI"/>
        </w:rPr>
        <w:t xml:space="preserve">zunaj </w:t>
      </w:r>
      <w:r w:rsidRPr="008D7697">
        <w:rPr>
          <w:rFonts w:ascii="Arial" w:eastAsia="Arial" w:hAnsi="Arial" w:cs="Arial"/>
          <w:sz w:val="20"/>
          <w:szCs w:val="20"/>
          <w:lang w:val="sl-SI"/>
        </w:rPr>
        <w:t xml:space="preserve">sedeža SDT, ki se </w:t>
      </w:r>
      <w:r w:rsidR="00A5478C">
        <w:rPr>
          <w:rFonts w:ascii="Arial" w:eastAsia="Arial" w:hAnsi="Arial" w:cs="Arial"/>
          <w:sz w:val="20"/>
          <w:szCs w:val="20"/>
          <w:lang w:val="sl-SI"/>
        </w:rPr>
        <w:t>z</w:t>
      </w:r>
      <w:r w:rsidRPr="008D7697">
        <w:rPr>
          <w:rFonts w:ascii="Arial" w:eastAsia="Arial" w:hAnsi="Arial" w:cs="Arial"/>
          <w:sz w:val="20"/>
          <w:szCs w:val="20"/>
          <w:lang w:val="sl-SI"/>
        </w:rPr>
        <w:t>daj zaradi oddaljenosti za delo na SDT ne odločajo.</w:t>
      </w:r>
    </w:p>
    <w:p w14:paraId="33BB6AD6"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FE6FAE"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70F3B2E" w14:textId="52E98CF3"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 xml:space="preserve">K </w:t>
      </w:r>
      <w:r w:rsidR="00BF6607">
        <w:rPr>
          <w:rFonts w:ascii="Arial" w:eastAsia="Arial" w:hAnsi="Arial" w:cs="Arial"/>
          <w:b/>
          <w:bCs/>
          <w:sz w:val="20"/>
          <w:szCs w:val="20"/>
          <w:lang w:val="sl-SI"/>
        </w:rPr>
        <w:t>2</w:t>
      </w:r>
      <w:r w:rsidR="00494A34">
        <w:rPr>
          <w:rFonts w:ascii="Arial" w:eastAsia="Arial" w:hAnsi="Arial" w:cs="Arial"/>
          <w:b/>
          <w:bCs/>
          <w:sz w:val="20"/>
          <w:szCs w:val="20"/>
          <w:lang w:val="sl-SI"/>
        </w:rPr>
        <w:t>2</w:t>
      </w:r>
      <w:r w:rsidRPr="008D7697">
        <w:rPr>
          <w:rFonts w:ascii="Arial" w:eastAsia="Arial" w:hAnsi="Arial" w:cs="Arial"/>
          <w:b/>
          <w:bCs/>
          <w:sz w:val="20"/>
          <w:szCs w:val="20"/>
          <w:lang w:val="sl-SI"/>
        </w:rPr>
        <w:t>. členu:</w:t>
      </w:r>
    </w:p>
    <w:p w14:paraId="5E5E2CCD"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5DE98D30"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Črtanje prve in druge alineje prvega odstavka, prve in druge alineje drugega odstavka ter četrtega odstavka 196. člena ZDT-1 je povezano z uvedbo ene vrste naziva državnega tožilca na prvi stopnji, to je naziv okrožnega državnega tožilca namesto dosedanjih okrajnega in okrožnega državnega tožilca.</w:t>
      </w:r>
    </w:p>
    <w:p w14:paraId="63DA46AC"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47D62554"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7D62D01E" w14:textId="499584DC" w:rsidR="00331D90" w:rsidRPr="008D7697" w:rsidRDefault="00331D90" w:rsidP="00F2246C">
      <w:pPr>
        <w:pStyle w:val="alineazaodstavkom2"/>
        <w:spacing w:line="260" w:lineRule="exact"/>
        <w:ind w:firstLine="0"/>
        <w:rPr>
          <w:rFonts w:ascii="Arial" w:eastAsia="Arial" w:hAnsi="Arial" w:cs="Arial"/>
          <w:b/>
          <w:bCs/>
          <w:sz w:val="20"/>
          <w:szCs w:val="20"/>
          <w:lang w:val="sl-SI"/>
        </w:rPr>
      </w:pPr>
      <w:r w:rsidRPr="008D7697">
        <w:rPr>
          <w:rFonts w:ascii="Arial" w:eastAsia="Arial" w:hAnsi="Arial" w:cs="Arial"/>
          <w:b/>
          <w:bCs/>
          <w:sz w:val="20"/>
          <w:szCs w:val="20"/>
          <w:lang w:val="sl-SI"/>
        </w:rPr>
        <w:t>K 2</w:t>
      </w:r>
      <w:r w:rsidR="00494A34">
        <w:rPr>
          <w:rFonts w:ascii="Arial" w:eastAsia="Arial" w:hAnsi="Arial" w:cs="Arial"/>
          <w:b/>
          <w:bCs/>
          <w:sz w:val="20"/>
          <w:szCs w:val="20"/>
          <w:lang w:val="sl-SI"/>
        </w:rPr>
        <w:t>3</w:t>
      </w:r>
      <w:r w:rsidRPr="008D7697">
        <w:rPr>
          <w:rFonts w:ascii="Arial" w:eastAsia="Arial" w:hAnsi="Arial" w:cs="Arial"/>
          <w:b/>
          <w:bCs/>
          <w:sz w:val="20"/>
          <w:szCs w:val="20"/>
          <w:lang w:val="sl-SI"/>
        </w:rPr>
        <w:t>. členu:</w:t>
      </w:r>
    </w:p>
    <w:p w14:paraId="52D70F79" w14:textId="77777777" w:rsidR="00331D90" w:rsidRPr="008D7697" w:rsidRDefault="00331D90" w:rsidP="00F2246C">
      <w:pPr>
        <w:pStyle w:val="alineazaodstavkom2"/>
        <w:spacing w:line="260" w:lineRule="exact"/>
        <w:ind w:firstLine="0"/>
        <w:rPr>
          <w:rFonts w:ascii="Arial" w:eastAsia="Arial" w:hAnsi="Arial" w:cs="Arial"/>
          <w:b/>
          <w:bCs/>
          <w:sz w:val="20"/>
          <w:szCs w:val="20"/>
          <w:lang w:val="sl-SI"/>
        </w:rPr>
      </w:pPr>
    </w:p>
    <w:p w14:paraId="1F798979"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r w:rsidRPr="008D7697">
        <w:rPr>
          <w:rFonts w:ascii="Arial" w:eastAsia="Arial" w:hAnsi="Arial" w:cs="Arial"/>
          <w:sz w:val="20"/>
          <w:szCs w:val="20"/>
          <w:lang w:val="sl-SI"/>
        </w:rPr>
        <w:t>Predlagano črtanje pogoja iz prve alineje drugega odstavka 212. člena ZDT-1, da mora imeti državni tožilec kot član nadzornega odbora nad delom poravnalcev najmanj naziv okrožnega državnega tožilca, je posledica uvedbe ene vrste naziva državnega tožilca na prvi stopnji.</w:t>
      </w:r>
    </w:p>
    <w:p w14:paraId="149BABB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3318681F" w14:textId="77777777" w:rsidR="00331D90" w:rsidRPr="008D7697" w:rsidRDefault="00331D90" w:rsidP="00F2246C">
      <w:pPr>
        <w:pStyle w:val="alineazaodstavkom2"/>
        <w:spacing w:line="260" w:lineRule="exact"/>
        <w:ind w:firstLine="0"/>
        <w:rPr>
          <w:rFonts w:ascii="Arial" w:eastAsia="Arial" w:hAnsi="Arial" w:cs="Arial"/>
          <w:sz w:val="20"/>
          <w:szCs w:val="20"/>
          <w:lang w:val="sl-SI"/>
        </w:rPr>
      </w:pPr>
    </w:p>
    <w:p w14:paraId="0B85C21F" w14:textId="6AD630B8" w:rsidR="00915887" w:rsidRPr="009C7D3B" w:rsidRDefault="00331D90" w:rsidP="009C7D3B">
      <w:pPr>
        <w:pStyle w:val="alineazaodstavkom2"/>
        <w:spacing w:line="260" w:lineRule="exact"/>
        <w:ind w:firstLine="0"/>
        <w:rPr>
          <w:rFonts w:ascii="Arial" w:eastAsia="Arial" w:hAnsi="Arial" w:cs="Arial"/>
          <w:b/>
          <w:bCs/>
          <w:sz w:val="20"/>
          <w:szCs w:val="20"/>
          <w:lang w:val="sl-SI"/>
        </w:rPr>
      </w:pPr>
      <w:r w:rsidRPr="00DD0F58">
        <w:rPr>
          <w:rFonts w:ascii="Arial" w:eastAsia="Arial" w:hAnsi="Arial" w:cs="Arial"/>
          <w:b/>
          <w:bCs/>
          <w:sz w:val="20"/>
          <w:szCs w:val="20"/>
          <w:lang w:val="sl-SI"/>
        </w:rPr>
        <w:t>K 2</w:t>
      </w:r>
      <w:r w:rsidR="00494A34">
        <w:rPr>
          <w:rFonts w:ascii="Arial" w:eastAsia="Arial" w:hAnsi="Arial" w:cs="Arial"/>
          <w:b/>
          <w:bCs/>
          <w:sz w:val="20"/>
          <w:szCs w:val="20"/>
          <w:lang w:val="sl-SI"/>
        </w:rPr>
        <w:t>4</w:t>
      </w:r>
      <w:r w:rsidRPr="00DD0F58">
        <w:rPr>
          <w:rFonts w:ascii="Arial" w:eastAsia="Arial" w:hAnsi="Arial" w:cs="Arial"/>
          <w:b/>
          <w:bCs/>
          <w:sz w:val="20"/>
          <w:szCs w:val="20"/>
          <w:lang w:val="sl-SI"/>
        </w:rPr>
        <w:t>. členu:</w:t>
      </w:r>
    </w:p>
    <w:p w14:paraId="0D4D999A" w14:textId="77777777" w:rsidR="009C7D3B" w:rsidRPr="00D07092" w:rsidRDefault="009C7D3B" w:rsidP="009C7D3B">
      <w:pPr>
        <w:spacing w:line="260" w:lineRule="exact"/>
        <w:jc w:val="both"/>
        <w:rPr>
          <w:rFonts w:eastAsiaTheme="minorEastAsia" w:cs="Arial"/>
          <w:szCs w:val="20"/>
          <w:lang w:val="sl-SI"/>
        </w:rPr>
      </w:pPr>
    </w:p>
    <w:p w14:paraId="7B9021F0" w14:textId="53DA8977" w:rsidR="00D07092" w:rsidRPr="00D07092" w:rsidRDefault="00D07092" w:rsidP="00D07092">
      <w:pPr>
        <w:spacing w:line="260" w:lineRule="exact"/>
        <w:jc w:val="both"/>
        <w:rPr>
          <w:rFonts w:eastAsiaTheme="minorEastAsia" w:cs="Arial"/>
          <w:szCs w:val="20"/>
          <w:lang w:val="sl-SI"/>
        </w:rPr>
      </w:pPr>
      <w:r w:rsidRPr="00D07092">
        <w:rPr>
          <w:rFonts w:eastAsiaTheme="minorEastAsia" w:cs="Arial"/>
          <w:szCs w:val="20"/>
          <w:lang w:val="sl-SI"/>
        </w:rPr>
        <w:t xml:space="preserve">Ker se s predlaganim zakonom uvaja ena vrsta naziva državnega tožilca na prvi stopnji, to je okrožnega državnega tožilca, se bodo postopki za imenovanje na prosto mesto okrajnega državnega tožilca, ki so se začeli pred začetkom uporabe tega zakona in ob začetku uporabe tega zakona še ne bodo </w:t>
      </w:r>
      <w:r w:rsidR="007A5990">
        <w:rPr>
          <w:rFonts w:eastAsiaTheme="minorEastAsia" w:cs="Arial"/>
          <w:szCs w:val="20"/>
          <w:lang w:val="sl-SI"/>
        </w:rPr>
        <w:t>do</w:t>
      </w:r>
      <w:r w:rsidRPr="00D07092">
        <w:rPr>
          <w:rFonts w:eastAsiaTheme="minorEastAsia" w:cs="Arial"/>
          <w:szCs w:val="20"/>
          <w:lang w:val="sl-SI"/>
        </w:rPr>
        <w:t xml:space="preserve">končani, nadaljevali in </w:t>
      </w:r>
      <w:r w:rsidR="007A5990">
        <w:rPr>
          <w:rFonts w:eastAsiaTheme="minorEastAsia" w:cs="Arial"/>
          <w:szCs w:val="20"/>
          <w:lang w:val="sl-SI"/>
        </w:rPr>
        <w:t xml:space="preserve">dokončali </w:t>
      </w:r>
      <w:r w:rsidRPr="00D07092">
        <w:rPr>
          <w:rFonts w:eastAsiaTheme="minorEastAsia" w:cs="Arial"/>
          <w:szCs w:val="20"/>
          <w:lang w:val="sl-SI"/>
        </w:rPr>
        <w:t xml:space="preserve">kot postopki za imenovanje na mesto okrožnega državnega tožilca. Zaradi kadrovskih potreb državnih tožilstev po novih državnih tožilcih in dolgotrajnosti postopkov imenovanj bi morebitna ustavitev postopkov za imenovanje na prosto mesto okrajnega državnega tožilca, ki do začetka uporabe tega zakona še ne bi bili </w:t>
      </w:r>
      <w:r w:rsidR="00413352">
        <w:rPr>
          <w:rFonts w:eastAsiaTheme="minorEastAsia" w:cs="Arial"/>
          <w:szCs w:val="20"/>
          <w:lang w:val="sl-SI"/>
        </w:rPr>
        <w:t>do</w:t>
      </w:r>
      <w:r w:rsidRPr="00D07092">
        <w:rPr>
          <w:rFonts w:eastAsiaTheme="minorEastAsia" w:cs="Arial"/>
          <w:szCs w:val="20"/>
          <w:lang w:val="sl-SI"/>
        </w:rPr>
        <w:t>končani, povzročila prevelik kadrovski primanjkljaj. Ministrstvo za pravosodje bo kandidate obvestilo o tem, da se bodo zadevni postopki z dnem začetka uporabe tega zakona nadaljevali kot postopki za imenovanje na mesto okrožnega državnega tožilca, s čimer bo kandidatom, ki ne bi želeli kandidirati za okrožnega državnega tožilca, omogočeno, da lahko umaknejo</w:t>
      </w:r>
      <w:r w:rsidR="00AB6E31" w:rsidRPr="00AB6E31">
        <w:rPr>
          <w:rFonts w:eastAsiaTheme="minorEastAsia" w:cs="Arial"/>
          <w:szCs w:val="20"/>
          <w:lang w:val="sl-SI"/>
        </w:rPr>
        <w:t xml:space="preserve"> </w:t>
      </w:r>
      <w:r w:rsidR="00AB6E31" w:rsidRPr="00D07092">
        <w:rPr>
          <w:rFonts w:eastAsiaTheme="minorEastAsia" w:cs="Arial"/>
          <w:szCs w:val="20"/>
          <w:lang w:val="sl-SI"/>
        </w:rPr>
        <w:t>prijavo</w:t>
      </w:r>
      <w:r w:rsidRPr="00D07092">
        <w:rPr>
          <w:rFonts w:eastAsiaTheme="minorEastAsia" w:cs="Arial"/>
          <w:szCs w:val="20"/>
          <w:lang w:val="sl-SI"/>
        </w:rPr>
        <w:t xml:space="preserve">. Poleg tega bo Ministrstvo za pravosodje v razpisih za prosta mesta okrajnih državnih tožilcev, ki bodo (na novo) objavljeni v Uradnem listu Republike Slovenije v obdobju med uveljavitvijo in začetkom uporabe predlaganega zakona, izrecno navedlo vsebino določb 24. člena tega zakona. </w:t>
      </w:r>
    </w:p>
    <w:p w14:paraId="6372F48A" w14:textId="77777777" w:rsidR="00D07092" w:rsidRPr="00D07092" w:rsidRDefault="00D07092" w:rsidP="00D07092">
      <w:pPr>
        <w:spacing w:line="260" w:lineRule="exact"/>
        <w:jc w:val="both"/>
        <w:rPr>
          <w:rFonts w:eastAsiaTheme="minorEastAsia" w:cs="Arial"/>
          <w:szCs w:val="20"/>
          <w:lang w:val="sl-SI"/>
        </w:rPr>
      </w:pPr>
    </w:p>
    <w:p w14:paraId="4C1C31D1" w14:textId="48235786" w:rsidR="00D07092" w:rsidRPr="00B62B74" w:rsidRDefault="00D07092" w:rsidP="00B62B74">
      <w:pPr>
        <w:spacing w:line="260" w:lineRule="exact"/>
        <w:jc w:val="both"/>
        <w:rPr>
          <w:rFonts w:eastAsiaTheme="minorEastAsia" w:cs="Arial"/>
          <w:szCs w:val="20"/>
          <w:lang w:val="sl-SI"/>
        </w:rPr>
      </w:pPr>
      <w:r w:rsidRPr="00D07092">
        <w:rPr>
          <w:rFonts w:eastAsiaTheme="minorEastAsia" w:cs="Arial"/>
          <w:szCs w:val="20"/>
          <w:lang w:val="sl-SI"/>
        </w:rPr>
        <w:t>Ker bo posebni pogoj za imenovanje na mesto okrožnega državnega tožilca, ki bo še naprej vezan na izpolnjevanje posebn</w:t>
      </w:r>
      <w:r w:rsidR="00F728A8">
        <w:rPr>
          <w:rFonts w:eastAsiaTheme="minorEastAsia" w:cs="Arial"/>
          <w:szCs w:val="20"/>
          <w:lang w:val="sl-SI"/>
        </w:rPr>
        <w:t>ega</w:t>
      </w:r>
      <w:r w:rsidRPr="00D07092">
        <w:rPr>
          <w:rFonts w:eastAsiaTheme="minorEastAsia" w:cs="Arial"/>
          <w:szCs w:val="20"/>
          <w:lang w:val="sl-SI"/>
        </w:rPr>
        <w:t xml:space="preserve"> pogoj</w:t>
      </w:r>
      <w:r w:rsidR="00F728A8">
        <w:rPr>
          <w:rFonts w:eastAsiaTheme="minorEastAsia" w:cs="Arial"/>
          <w:szCs w:val="20"/>
          <w:lang w:val="sl-SI"/>
        </w:rPr>
        <w:t>a</w:t>
      </w:r>
      <w:r w:rsidRPr="00D07092">
        <w:rPr>
          <w:rFonts w:eastAsiaTheme="minorEastAsia" w:cs="Arial"/>
          <w:szCs w:val="20"/>
          <w:lang w:val="sl-SI"/>
        </w:rPr>
        <w:t xml:space="preserve"> za izvolitev na sodniško mesto na okrožnem sodišču (okrožni sodnik) po zakonu, ki ureja sodniško službo oziroma sodnike, strožji kot zdaj veljavni posebni pogoji za imenovanje na mesto okrajnega državnega tožilca, se predlaga rešitev, po kateri se bo v zadevnih postopkih </w:t>
      </w:r>
      <w:r w:rsidR="00F728A8">
        <w:rPr>
          <w:rFonts w:eastAsiaTheme="minorEastAsia" w:cs="Arial"/>
          <w:szCs w:val="20"/>
          <w:lang w:val="sl-SI"/>
        </w:rPr>
        <w:t xml:space="preserve">štelo, da kandidat izpolnjuje posebni pogoj </w:t>
      </w:r>
      <w:r w:rsidR="00E81C5C" w:rsidRPr="00D07092">
        <w:rPr>
          <w:rFonts w:eastAsiaTheme="minorEastAsia" w:cs="Arial"/>
          <w:szCs w:val="20"/>
          <w:lang w:val="sl-SI"/>
        </w:rPr>
        <w:t>za imenovanje na mesto okrožnega državnega tožilca</w:t>
      </w:r>
      <w:r w:rsidR="00E81C5C">
        <w:rPr>
          <w:rFonts w:eastAsiaTheme="minorEastAsia" w:cs="Arial"/>
          <w:szCs w:val="20"/>
          <w:lang w:val="sl-SI"/>
        </w:rPr>
        <w:t xml:space="preserve"> </w:t>
      </w:r>
      <w:r w:rsidR="00F728A8">
        <w:rPr>
          <w:rFonts w:eastAsiaTheme="minorEastAsia" w:cs="Arial"/>
          <w:szCs w:val="20"/>
          <w:lang w:val="sl-SI"/>
        </w:rPr>
        <w:t xml:space="preserve">iz </w:t>
      </w:r>
      <w:r w:rsidR="00F728A8" w:rsidRPr="007F2D1B">
        <w:rPr>
          <w:rFonts w:eastAsiaTheme="minorEastAsia" w:cs="Arial"/>
          <w:szCs w:val="20"/>
          <w:lang w:val="sl-SI"/>
        </w:rPr>
        <w:t>spremenjen</w:t>
      </w:r>
      <w:r w:rsidR="00F728A8">
        <w:rPr>
          <w:rFonts w:eastAsiaTheme="minorEastAsia" w:cs="Arial"/>
          <w:szCs w:val="20"/>
          <w:lang w:val="sl-SI"/>
        </w:rPr>
        <w:t>ega</w:t>
      </w:r>
      <w:r w:rsidR="00F728A8" w:rsidRPr="007F2D1B">
        <w:rPr>
          <w:rFonts w:eastAsiaTheme="minorEastAsia" w:cs="Arial"/>
          <w:szCs w:val="20"/>
          <w:lang w:val="sl-SI"/>
        </w:rPr>
        <w:t xml:space="preserve"> 25. člen</w:t>
      </w:r>
      <w:r w:rsidR="00F728A8">
        <w:rPr>
          <w:rFonts w:eastAsiaTheme="minorEastAsia" w:cs="Arial"/>
          <w:szCs w:val="20"/>
          <w:lang w:val="sl-SI"/>
        </w:rPr>
        <w:t>a</w:t>
      </w:r>
      <w:r w:rsidR="00F728A8" w:rsidRPr="007F2D1B">
        <w:rPr>
          <w:rFonts w:eastAsiaTheme="minorEastAsia" w:cs="Arial"/>
          <w:szCs w:val="20"/>
          <w:lang w:val="sl-SI"/>
        </w:rPr>
        <w:t xml:space="preserve"> zakona</w:t>
      </w:r>
      <w:r w:rsidR="00F728A8">
        <w:rPr>
          <w:rFonts w:eastAsiaTheme="minorEastAsia" w:cs="Arial"/>
          <w:szCs w:val="20"/>
          <w:lang w:val="sl-SI"/>
        </w:rPr>
        <w:t>,</w:t>
      </w:r>
      <w:r w:rsidR="00F728A8" w:rsidRPr="00D07092">
        <w:rPr>
          <w:rFonts w:eastAsiaTheme="minorEastAsia" w:cs="Arial"/>
          <w:szCs w:val="20"/>
          <w:lang w:val="sl-SI"/>
        </w:rPr>
        <w:t xml:space="preserve"> </w:t>
      </w:r>
      <w:r w:rsidRPr="00D07092">
        <w:rPr>
          <w:rFonts w:eastAsiaTheme="minorEastAsia" w:cs="Arial"/>
          <w:szCs w:val="20"/>
          <w:lang w:val="sl-SI"/>
        </w:rPr>
        <w:t xml:space="preserve">če ga izpolni najpozneje na dan začetka uporabe tega zakona, to je 1. januarja 2027. Prijave kandidatov, ki tega pogoja (vsebinsko gre za pogoj najmanj štirih let delovnih izkušenj na pravniških delih po opravljenem pravniškem državnem izpitu) ne bodo izpolnjevale na dan 1. </w:t>
      </w:r>
      <w:r w:rsidRPr="00B62B74">
        <w:rPr>
          <w:rFonts w:eastAsiaTheme="minorEastAsia" w:cs="Arial"/>
          <w:szCs w:val="20"/>
          <w:lang w:val="sl-SI"/>
        </w:rPr>
        <w:t>januarja 2027, bodo zavrnjene.</w:t>
      </w:r>
    </w:p>
    <w:p w14:paraId="44DDB507" w14:textId="77777777" w:rsidR="00F728A8" w:rsidRPr="00B62B74" w:rsidRDefault="00F728A8" w:rsidP="00B62B74">
      <w:pPr>
        <w:spacing w:line="260" w:lineRule="exact"/>
        <w:jc w:val="both"/>
        <w:rPr>
          <w:rFonts w:eastAsiaTheme="minorEastAsia" w:cs="Arial"/>
          <w:szCs w:val="20"/>
          <w:lang w:val="sl-SI"/>
        </w:rPr>
      </w:pPr>
    </w:p>
    <w:p w14:paraId="5BE3B0D7" w14:textId="77777777" w:rsidR="00331D90" w:rsidRPr="00B62B74" w:rsidRDefault="00331D90" w:rsidP="00B62B74">
      <w:pPr>
        <w:spacing w:line="260" w:lineRule="exact"/>
        <w:jc w:val="both"/>
        <w:rPr>
          <w:rFonts w:eastAsiaTheme="minorEastAsia" w:cs="Arial"/>
          <w:szCs w:val="20"/>
          <w:lang w:val="sl-SI"/>
        </w:rPr>
      </w:pPr>
    </w:p>
    <w:p w14:paraId="4BD08750" w14:textId="77777777" w:rsidR="009B41AC" w:rsidRPr="00B62B74" w:rsidRDefault="009B41AC" w:rsidP="00B62B74">
      <w:pPr>
        <w:spacing w:line="260" w:lineRule="exact"/>
        <w:jc w:val="both"/>
        <w:rPr>
          <w:rFonts w:eastAsiaTheme="minorEastAsia" w:cs="Arial"/>
          <w:b/>
          <w:bCs/>
          <w:szCs w:val="20"/>
          <w:lang w:val="sl-SI"/>
        </w:rPr>
      </w:pPr>
      <w:r w:rsidRPr="00B62B74">
        <w:rPr>
          <w:rFonts w:eastAsiaTheme="minorEastAsia" w:cs="Arial"/>
          <w:b/>
          <w:bCs/>
          <w:szCs w:val="20"/>
          <w:lang w:val="sl-SI"/>
        </w:rPr>
        <w:t>K 25. členu:</w:t>
      </w:r>
    </w:p>
    <w:p w14:paraId="01417567" w14:textId="77777777" w:rsidR="009B41AC" w:rsidRPr="00B62B74" w:rsidRDefault="009B41AC" w:rsidP="00B62B74">
      <w:pPr>
        <w:spacing w:line="260" w:lineRule="exact"/>
        <w:jc w:val="both"/>
        <w:rPr>
          <w:rFonts w:eastAsiaTheme="minorEastAsia" w:cs="Arial"/>
          <w:szCs w:val="20"/>
          <w:lang w:val="sl-SI"/>
        </w:rPr>
      </w:pPr>
    </w:p>
    <w:p w14:paraId="02D8F2A3" w14:textId="5E3ABF90" w:rsidR="00B62B74" w:rsidRDefault="00FD3FC5" w:rsidP="00B62B74">
      <w:pPr>
        <w:shd w:val="clear" w:color="auto" w:fill="FFFFFF" w:themeFill="background1"/>
        <w:spacing w:line="260" w:lineRule="exact"/>
        <w:jc w:val="both"/>
        <w:rPr>
          <w:rFonts w:eastAsiaTheme="minorEastAsia" w:cs="Arial"/>
          <w:szCs w:val="20"/>
          <w:lang w:val="sl-SI"/>
        </w:rPr>
      </w:pPr>
      <w:r>
        <w:rPr>
          <w:rFonts w:eastAsiaTheme="minorEastAsia" w:cs="Arial"/>
          <w:szCs w:val="20"/>
          <w:lang w:val="sl-SI"/>
        </w:rPr>
        <w:t>V skladu</w:t>
      </w:r>
      <w:r w:rsidR="00B62B74" w:rsidRPr="00B62B74">
        <w:rPr>
          <w:rFonts w:eastAsiaTheme="minorEastAsia" w:cs="Arial"/>
          <w:szCs w:val="20"/>
          <w:lang w:val="sl-SI"/>
        </w:rPr>
        <w:t xml:space="preserve"> z ZDT-1 se državnotožilska služba lahko med drugim opravlja na položaju okrajni državni tožilec svetnik (prvi odstavek 22. člena ZDT-1). Vendar pa Priloga 2 ZSTSPJS za okrajne državne tožilce svetnike</w:t>
      </w:r>
      <w:r w:rsidR="00B62B74" w:rsidRPr="00B62B74">
        <w:rPr>
          <w:lang w:val="sl-SI"/>
        </w:rPr>
        <w:t xml:space="preserve"> </w:t>
      </w:r>
      <w:r w:rsidR="00B62B74" w:rsidRPr="00B62B74">
        <w:rPr>
          <w:rFonts w:eastAsiaTheme="minorEastAsia" w:cs="Arial"/>
          <w:szCs w:val="20"/>
          <w:lang w:val="sl-SI"/>
        </w:rPr>
        <w:t xml:space="preserve">plačnega razreda ne določa. Kljub splošnemu pravilu, da se plača državnega tožilca določi po enakih osnovah, z enakimi dodatki in na enak način kakor plača sodnika ustreznega naziva oziroma položaja (prvi odstavek 49. člena ZDT-1), in temu, da se okrajni sodnik svetnik po Prilogi 2 ZSTSPJS uvršča v 54. plačni razred, je treba po mnenju predlagatelja </w:t>
      </w:r>
      <w:r w:rsidR="00D36A54">
        <w:rPr>
          <w:rFonts w:eastAsiaTheme="minorEastAsia" w:cs="Arial"/>
          <w:szCs w:val="20"/>
          <w:lang w:val="sl-SI"/>
        </w:rPr>
        <w:t xml:space="preserve">za </w:t>
      </w:r>
      <w:r w:rsidR="00B62B74" w:rsidRPr="00B62B74">
        <w:rPr>
          <w:rFonts w:eastAsiaTheme="minorEastAsia" w:cs="Arial"/>
          <w:szCs w:val="20"/>
          <w:lang w:val="sl-SI"/>
        </w:rPr>
        <w:t xml:space="preserve">funkcijo okrajnega državnega tožilca svetnika izrecno </w:t>
      </w:r>
      <w:r w:rsidR="00D36A54">
        <w:rPr>
          <w:rFonts w:eastAsiaTheme="minorEastAsia" w:cs="Arial"/>
          <w:szCs w:val="20"/>
          <w:lang w:val="sl-SI"/>
        </w:rPr>
        <w:t xml:space="preserve">določiti </w:t>
      </w:r>
      <w:r w:rsidR="00B62B74" w:rsidRPr="00B62B74">
        <w:rPr>
          <w:rFonts w:eastAsiaTheme="minorEastAsia" w:cs="Arial"/>
          <w:szCs w:val="20"/>
          <w:lang w:val="sl-SI"/>
        </w:rPr>
        <w:t xml:space="preserve">plačni razred </w:t>
      </w:r>
      <w:r w:rsidR="00D36A54">
        <w:rPr>
          <w:rFonts w:eastAsiaTheme="minorEastAsia" w:cs="Arial"/>
          <w:szCs w:val="20"/>
          <w:lang w:val="sl-SI"/>
        </w:rPr>
        <w:t xml:space="preserve">iz </w:t>
      </w:r>
      <w:r w:rsidR="00B62B74" w:rsidRPr="00B62B74">
        <w:rPr>
          <w:rFonts w:eastAsiaTheme="minorEastAsia" w:cs="Arial"/>
          <w:szCs w:val="20"/>
          <w:lang w:val="sl-SI"/>
        </w:rPr>
        <w:t xml:space="preserve">ZSTSPJS, in sicer zaradi določitve in obračuna plače v skladu z določbami ZSTSPJS. </w:t>
      </w:r>
      <w:r w:rsidR="00B62B74">
        <w:rPr>
          <w:rFonts w:eastAsiaTheme="minorEastAsia" w:cs="Arial"/>
          <w:szCs w:val="20"/>
          <w:lang w:val="sl-SI"/>
        </w:rPr>
        <w:t xml:space="preserve">Enaka ureditev velja glede </w:t>
      </w:r>
      <w:r w:rsidR="00B62B74" w:rsidRPr="00B62B74">
        <w:rPr>
          <w:rFonts w:eastAsiaTheme="minorEastAsia" w:cs="Arial"/>
          <w:szCs w:val="20"/>
          <w:lang w:val="sl-SI"/>
        </w:rPr>
        <w:t>plačn</w:t>
      </w:r>
      <w:r w:rsidR="00B62B74">
        <w:rPr>
          <w:rFonts w:eastAsiaTheme="minorEastAsia" w:cs="Arial"/>
          <w:szCs w:val="20"/>
          <w:lang w:val="sl-SI"/>
        </w:rPr>
        <w:t>ih</w:t>
      </w:r>
      <w:r w:rsidR="00B62B74" w:rsidRPr="00B62B74">
        <w:rPr>
          <w:rFonts w:eastAsiaTheme="minorEastAsia" w:cs="Arial"/>
          <w:szCs w:val="20"/>
          <w:lang w:val="sl-SI"/>
        </w:rPr>
        <w:t xml:space="preserve"> razred</w:t>
      </w:r>
      <w:r w:rsidR="00B62B74">
        <w:rPr>
          <w:rFonts w:eastAsiaTheme="minorEastAsia" w:cs="Arial"/>
          <w:szCs w:val="20"/>
          <w:lang w:val="sl-SI"/>
        </w:rPr>
        <w:t>ov</w:t>
      </w:r>
      <w:r w:rsidR="00B62B74" w:rsidRPr="00B62B74">
        <w:rPr>
          <w:rFonts w:eastAsiaTheme="minorEastAsia" w:cs="Arial"/>
          <w:szCs w:val="20"/>
          <w:lang w:val="sl-SI"/>
        </w:rPr>
        <w:t xml:space="preserve"> za vse ostale funkcije državnih tožilcev; tudi pri ostalih funkcijah državnih tožilcev ne zadošča zgolj sklicevanje na splošno pravilo o enakih osnovah za določitev plač sodnikov in državnih tožilcev, temveč so plačni razredi funkcij državnih tožilcev izrecno določeni. </w:t>
      </w:r>
    </w:p>
    <w:p w14:paraId="4A89E72D" w14:textId="77777777" w:rsidR="00BF3C45" w:rsidRPr="00B62B74" w:rsidRDefault="00BF3C45" w:rsidP="00B62B74">
      <w:pPr>
        <w:shd w:val="clear" w:color="auto" w:fill="FFFFFF" w:themeFill="background1"/>
        <w:spacing w:line="260" w:lineRule="exact"/>
        <w:jc w:val="both"/>
        <w:rPr>
          <w:rFonts w:eastAsiaTheme="minorEastAsia" w:cs="Arial"/>
          <w:szCs w:val="20"/>
          <w:lang w:val="sl-SI"/>
        </w:rPr>
      </w:pPr>
    </w:p>
    <w:p w14:paraId="6D5031E6" w14:textId="5CF07FF6" w:rsidR="00B62B74" w:rsidRPr="004171F7" w:rsidRDefault="00BF3C45" w:rsidP="00B62B74">
      <w:pPr>
        <w:shd w:val="clear" w:color="auto" w:fill="FFFFFF" w:themeFill="background1"/>
        <w:spacing w:line="260" w:lineRule="exact"/>
        <w:jc w:val="both"/>
        <w:rPr>
          <w:rFonts w:eastAsiaTheme="minorEastAsia" w:cs="Arial"/>
          <w:szCs w:val="20"/>
          <w:lang w:val="sl-SI"/>
        </w:rPr>
      </w:pPr>
      <w:r w:rsidRPr="00BF3C45">
        <w:rPr>
          <w:rFonts w:eastAsiaTheme="minorEastAsia" w:cs="Arial"/>
          <w:szCs w:val="20"/>
          <w:lang w:val="sl-SI"/>
        </w:rPr>
        <w:t xml:space="preserve">Dalje je treba zaradi postopne pridobitve pravice do višje plače, ki velja za vse javne uslužbence in funkcionarje v prehodnem obdobju do 1. 1. 2028, za namen izračuna razlike iz 101. člena ZSTSPJS določiti tudi vrednost osnovne plače funkcije okrajnega državnega tožilca svetnika na dan 31. 12. 2024, upoštevaje dopolnilno odločbo </w:t>
      </w:r>
      <w:r w:rsidRPr="004171F7">
        <w:rPr>
          <w:rFonts w:eastAsiaTheme="minorEastAsia" w:cs="Arial"/>
          <w:szCs w:val="20"/>
          <w:lang w:val="sl-SI"/>
        </w:rPr>
        <w:t>U</w:t>
      </w:r>
      <w:r w:rsidRPr="00BF3C45">
        <w:rPr>
          <w:rFonts w:eastAsiaTheme="minorEastAsia" w:cs="Arial"/>
          <w:szCs w:val="20"/>
          <w:lang w:val="sl-SI"/>
        </w:rPr>
        <w:t xml:space="preserve">stavnega sodišča </w:t>
      </w:r>
      <w:r w:rsidR="004171F7" w:rsidRPr="004171F7">
        <w:rPr>
          <w:rFonts w:eastAsiaTheme="minorEastAsia" w:cs="Arial"/>
          <w:szCs w:val="20"/>
          <w:lang w:val="sl-SI"/>
        </w:rPr>
        <w:t xml:space="preserve">Republike Slovenije št. </w:t>
      </w:r>
      <w:r w:rsidRPr="00BF3C45">
        <w:rPr>
          <w:rFonts w:eastAsiaTheme="minorEastAsia" w:cs="Arial"/>
          <w:szCs w:val="20"/>
          <w:lang w:val="sl-SI"/>
        </w:rPr>
        <w:t xml:space="preserve">U-I-8/24 z dne 30. 5. 2024. Glede na to, da te funkcije v Prilogi 3 </w:t>
      </w:r>
      <w:r w:rsidR="00B62B74" w:rsidRPr="004171F7">
        <w:rPr>
          <w:rFonts w:eastAsiaTheme="minorEastAsia" w:cs="Arial"/>
          <w:szCs w:val="20"/>
          <w:lang w:val="sl-SI"/>
        </w:rPr>
        <w:t>Zakona o sistemu plač v javnem sektorju</w:t>
      </w:r>
      <w:r w:rsidR="00B62B74" w:rsidRPr="004171F7">
        <w:rPr>
          <w:rStyle w:val="Sprotnaopomba-sklic"/>
          <w:rFonts w:eastAsiaTheme="minorEastAsia"/>
          <w:szCs w:val="20"/>
          <w:lang w:val="sl-SI"/>
        </w:rPr>
        <w:footnoteReference w:id="43"/>
      </w:r>
      <w:r w:rsidR="004171F7" w:rsidRPr="004171F7">
        <w:rPr>
          <w:rFonts w:eastAsiaTheme="minorEastAsia" w:cs="Arial"/>
          <w:szCs w:val="20"/>
          <w:lang w:val="sl-SI"/>
        </w:rPr>
        <w:t xml:space="preserve"> </w:t>
      </w:r>
      <w:r w:rsidR="004171F7" w:rsidRPr="00BF3C45">
        <w:rPr>
          <w:rFonts w:eastAsiaTheme="minorEastAsia" w:cs="Arial"/>
          <w:szCs w:val="20"/>
          <w:lang w:val="sl-SI"/>
        </w:rPr>
        <w:t>na dan 31. 12. 2024 ni bilo, se uporabi vrednost osnovne plače okrajnega sodnika svetnika, kar sledi določbi prvega odstavka 49. člena ZDT-1.</w:t>
      </w:r>
    </w:p>
    <w:p w14:paraId="1F01736A" w14:textId="77777777" w:rsidR="004667B3" w:rsidRPr="004667B3" w:rsidRDefault="004667B3" w:rsidP="00B62B74">
      <w:pPr>
        <w:shd w:val="clear" w:color="auto" w:fill="FFFFFF" w:themeFill="background1"/>
        <w:spacing w:line="260" w:lineRule="exact"/>
        <w:jc w:val="both"/>
        <w:rPr>
          <w:rFonts w:eastAsiaTheme="minorEastAsia" w:cs="Arial"/>
          <w:szCs w:val="20"/>
          <w:lang w:val="sl-SI"/>
        </w:rPr>
      </w:pPr>
    </w:p>
    <w:p w14:paraId="1B1C3BEB" w14:textId="626BB77A" w:rsidR="00B62B74" w:rsidRDefault="00B62B74" w:rsidP="00B62B74">
      <w:pPr>
        <w:shd w:val="clear" w:color="auto" w:fill="FFFFFF" w:themeFill="background1"/>
        <w:spacing w:line="260" w:lineRule="exact"/>
        <w:jc w:val="both"/>
        <w:rPr>
          <w:rFonts w:eastAsiaTheme="minorEastAsia" w:cs="Arial"/>
          <w:szCs w:val="20"/>
          <w:lang w:val="sl-SI"/>
        </w:rPr>
      </w:pPr>
      <w:r w:rsidRPr="00B62B74">
        <w:rPr>
          <w:rFonts w:eastAsiaTheme="minorEastAsia" w:cs="Arial"/>
          <w:szCs w:val="20"/>
          <w:lang w:val="sl-SI"/>
        </w:rPr>
        <w:t>Določba</w:t>
      </w:r>
      <w:r w:rsidR="00B86898">
        <w:rPr>
          <w:rFonts w:eastAsiaTheme="minorEastAsia" w:cs="Arial"/>
          <w:szCs w:val="20"/>
          <w:lang w:val="sl-SI"/>
        </w:rPr>
        <w:t xml:space="preserve"> glede prehodne ureditve plačnega razreda </w:t>
      </w:r>
      <w:r w:rsidRPr="00B62B74">
        <w:rPr>
          <w:rFonts w:eastAsiaTheme="minorEastAsia" w:cs="Arial"/>
          <w:szCs w:val="20"/>
          <w:lang w:val="sl-SI"/>
        </w:rPr>
        <w:t>funkcije okrajnega državnega tožilca svetnika, ki se bo začela uporabljati hkrati z uveljavitvijo predloga zakona, predstavlja osnovo za prevedbo okrajnega državnega tožilca svetnika v naslednjem členu predloga zakona. V</w:t>
      </w:r>
      <w:r w:rsidRPr="00A16F4E">
        <w:rPr>
          <w:rFonts w:eastAsiaTheme="minorEastAsia" w:cs="Arial"/>
          <w:szCs w:val="20"/>
          <w:lang w:val="sl-SI"/>
        </w:rPr>
        <w:t xml:space="preserve">eljala </w:t>
      </w:r>
      <w:r w:rsidRPr="00B62B74">
        <w:rPr>
          <w:rFonts w:eastAsiaTheme="minorEastAsia" w:cs="Arial"/>
          <w:szCs w:val="20"/>
          <w:lang w:val="sl-SI"/>
        </w:rPr>
        <w:t xml:space="preserve">bo </w:t>
      </w:r>
      <w:r w:rsidRPr="00A16F4E">
        <w:rPr>
          <w:rFonts w:eastAsiaTheme="minorEastAsia" w:cs="Arial"/>
          <w:szCs w:val="20"/>
          <w:lang w:val="sl-SI"/>
        </w:rPr>
        <w:t>le do 1. 1. 2027, ko se funkcije okrajnih državnih tožilcev</w:t>
      </w:r>
      <w:r w:rsidRPr="00B62B74">
        <w:rPr>
          <w:rFonts w:eastAsiaTheme="minorEastAsia" w:cs="Arial"/>
          <w:szCs w:val="20"/>
          <w:lang w:val="sl-SI"/>
        </w:rPr>
        <w:t xml:space="preserve"> po predlogu zakona ukinejo.</w:t>
      </w:r>
    </w:p>
    <w:p w14:paraId="54EF4CDC" w14:textId="77777777" w:rsidR="00BF3C45" w:rsidRDefault="00BF3C45" w:rsidP="00B62B74">
      <w:pPr>
        <w:shd w:val="clear" w:color="auto" w:fill="FFFFFF" w:themeFill="background1"/>
        <w:spacing w:line="260" w:lineRule="exact"/>
        <w:jc w:val="both"/>
        <w:rPr>
          <w:rFonts w:eastAsiaTheme="minorEastAsia" w:cs="Arial"/>
          <w:szCs w:val="20"/>
          <w:lang w:val="sl-SI"/>
        </w:rPr>
      </w:pPr>
    </w:p>
    <w:p w14:paraId="6D5AB4A1" w14:textId="77777777" w:rsidR="009B41AC" w:rsidRPr="00B62B74" w:rsidRDefault="009B41AC" w:rsidP="00B62B74">
      <w:pPr>
        <w:spacing w:line="260" w:lineRule="exact"/>
        <w:jc w:val="both"/>
        <w:rPr>
          <w:rFonts w:eastAsiaTheme="minorEastAsia" w:cs="Arial"/>
          <w:szCs w:val="20"/>
          <w:lang w:val="sl-SI"/>
        </w:rPr>
      </w:pPr>
    </w:p>
    <w:p w14:paraId="4904029E" w14:textId="5738A2C3" w:rsidR="00331D90" w:rsidRPr="00B62B74" w:rsidRDefault="00331D90" w:rsidP="00B62B74">
      <w:pPr>
        <w:spacing w:line="260" w:lineRule="exact"/>
        <w:jc w:val="both"/>
        <w:rPr>
          <w:rFonts w:eastAsiaTheme="minorEastAsia" w:cs="Arial"/>
          <w:b/>
          <w:bCs/>
          <w:szCs w:val="20"/>
          <w:lang w:val="sl-SI"/>
        </w:rPr>
      </w:pPr>
      <w:r w:rsidRPr="00B62B74">
        <w:rPr>
          <w:rFonts w:eastAsiaTheme="minorEastAsia" w:cs="Arial"/>
          <w:b/>
          <w:bCs/>
          <w:szCs w:val="20"/>
          <w:lang w:val="sl-SI"/>
        </w:rPr>
        <w:t>K 2</w:t>
      </w:r>
      <w:r w:rsidR="009B41AC" w:rsidRPr="00B62B74">
        <w:rPr>
          <w:rFonts w:eastAsiaTheme="minorEastAsia" w:cs="Arial"/>
          <w:b/>
          <w:bCs/>
          <w:szCs w:val="20"/>
          <w:lang w:val="sl-SI"/>
        </w:rPr>
        <w:t>6</w:t>
      </w:r>
      <w:r w:rsidRPr="00B62B74">
        <w:rPr>
          <w:rFonts w:eastAsiaTheme="minorEastAsia" w:cs="Arial"/>
          <w:b/>
          <w:bCs/>
          <w:szCs w:val="20"/>
          <w:lang w:val="sl-SI"/>
        </w:rPr>
        <w:t>. členu:</w:t>
      </w:r>
    </w:p>
    <w:p w14:paraId="7F096605" w14:textId="77777777" w:rsidR="00E15BDA" w:rsidRPr="00E77861" w:rsidRDefault="00E15BDA" w:rsidP="00E77861">
      <w:pPr>
        <w:spacing w:line="260" w:lineRule="exact"/>
        <w:jc w:val="both"/>
        <w:rPr>
          <w:rFonts w:cs="Arial"/>
          <w:szCs w:val="20"/>
          <w:lang w:val="sl-SI" w:eastAsia="sl-SI"/>
        </w:rPr>
      </w:pPr>
    </w:p>
    <w:p w14:paraId="02524C83" w14:textId="1304CA43"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Predlagana določba ima najpomembnejši vpliv na status sedanjih okrajnih državnih tožilcev. Zaradi uveljavitve ene vrste naziva državnega tožilca na prvi stopnji in novih pogojev za imenovanje na državnotožilsko mesto, ki se opravlja v državnotožilskem nazivu okrožni državni tožilec, se določa prevedba sedanjih okrajnih državnih tožilcev, in sicer uskladitev nazivov in uvrstitev državnih tožilcev v plačne razrede. </w:t>
      </w:r>
    </w:p>
    <w:p w14:paraId="2A4DE38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091DA243"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Državni tožilec z imenovanjem za državnega tožilca kot osnovni pravici pridobi pravico do plače in pravico do napredovanja. Osnovna plača je v skladu s 60. členom Zakona o skupnih temeljih sistema plač v javnem sektorju</w:t>
      </w:r>
      <w:r w:rsidRPr="00E77861">
        <w:rPr>
          <w:rStyle w:val="Sprotnaopomba-sklic"/>
          <w:rFonts w:eastAsiaTheme="minorEastAsia"/>
          <w:szCs w:val="20"/>
          <w:lang w:val="sl-SI"/>
        </w:rPr>
        <w:footnoteReference w:id="44"/>
      </w:r>
      <w:r w:rsidRPr="00E77861">
        <w:rPr>
          <w:rFonts w:eastAsiaTheme="minorEastAsia" w:cs="Arial"/>
          <w:szCs w:val="20"/>
          <w:lang w:val="sl-SI"/>
        </w:rPr>
        <w:t xml:space="preserve"> (v nadaljnjem besedilu:</w:t>
      </w:r>
      <w:r w:rsidRPr="00E77861">
        <w:rPr>
          <w:lang w:val="sl-SI"/>
        </w:rPr>
        <w:t xml:space="preserve"> </w:t>
      </w:r>
      <w:r w:rsidRPr="00E77861">
        <w:rPr>
          <w:rFonts w:eastAsiaTheme="minorEastAsia" w:cs="Arial"/>
          <w:szCs w:val="20"/>
          <w:lang w:val="sl-SI"/>
        </w:rPr>
        <w:t>ZSTSPJS) določena s plačnim razredom, v katerega je uvrščena posamezna funkcija, oziroma s plačnim razredom, ki ga je državni tožilec pridobil z napredovanjem. Uvrstitev posameznih funkcij v plačne razrede določa Priloga 2 ZSTSPJS.</w:t>
      </w:r>
    </w:p>
    <w:p w14:paraId="50E69904"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988FC87"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Predlagana prevedba temelji na izhodišču, da bodo vsi okrajni državni tožilci, ki bodo državnotožilsko službo na dan pred začetkom uporabe predlaganega zakona opravljali v državnotožilskem nazivu okrajni državni tožilec, po samem zakonu (z dnem začetka uporabe zakona) dobili državnotožilski naziv okrožni državni tožilec. Uvrstitev v posamezni plačni razred državnotožilske funkcije okrožnega državnega tožilca pa bo odvisna od plačnega razreda, ki ga bodo imeli okrajni državni tožilci na dan pred začetkom uporabe predlaganega zakona. V vsakem primeru predlagatelj sledi načelu ohranitve pridobljenih pravic (višina plače se zaradi uvedbe ene vrste naziva državnega tožilca na prvi stopnji ne bo znižala).</w:t>
      </w:r>
    </w:p>
    <w:p w14:paraId="574CAB39"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3517DED" w14:textId="16B5FEED"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Vsi okrajni državni tožilci, ki še ne bodo dosegli izhodiščnega plačnega razreda okrožnega državnega tožilca, se bodo uvrstili v izhodiščni 52. plačni razred, kot ga Priloga 2 ZSTSPJS določa za okrožnega državnega tožilca. Okrajni državni tožilci, ki so z napredovanjem že dosegli 52., 53. ali 54. plačni razred, pa bodo svoje plačne razrede ohranili.</w:t>
      </w:r>
    </w:p>
    <w:p w14:paraId="5858CD3B"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61C62BFF"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Za okrajne državne tožilce svetnike Priloga 2 ZSTSPJS ne določa plačnega razreda, zato se s 25. členom predloga zakona določa prehodna ureditev plačnega razreda funkcije okrajnega državnega tožilca svetnika, ki predstavlja osnovo za prevedbo te funkcije.</w:t>
      </w:r>
    </w:p>
    <w:p w14:paraId="0A92AE2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382EEF52"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Na enak način je v predlogu novega Zakona o sodnikih predlagana prevedba sedanjih okrajnih sodnikov.</w:t>
      </w:r>
    </w:p>
    <w:p w14:paraId="7B9FF3A1"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p>
    <w:p w14:paraId="42525555" w14:textId="77777777" w:rsidR="00E77861" w:rsidRPr="00E77861" w:rsidRDefault="00E77861" w:rsidP="00E77861">
      <w:pPr>
        <w:shd w:val="clear" w:color="auto" w:fill="FFFFFF" w:themeFill="background1"/>
        <w:spacing w:line="260" w:lineRule="exact"/>
        <w:jc w:val="both"/>
        <w:rPr>
          <w:rFonts w:eastAsiaTheme="minorEastAsia" w:cs="Arial"/>
          <w:szCs w:val="20"/>
          <w:lang w:val="sl-SI"/>
        </w:rPr>
      </w:pPr>
      <w:r w:rsidRPr="00E77861">
        <w:rPr>
          <w:rFonts w:eastAsiaTheme="minorEastAsia" w:cs="Arial"/>
          <w:szCs w:val="20"/>
          <w:lang w:val="sl-SI"/>
        </w:rPr>
        <w:t xml:space="preserve">Ugotovitveno odločbo o spremembi državnotožilskega naziva in uvrstitvi v plačni razred bo izdal Državnotožilski svet, ki je tudi sicer po veljavni ureditvi pristojen za odločanje o napredovanju v plačnih razredih, na položaj svetnika ter v naziv okrožnega in višjega državnega tožilca (tretji odstavek 37. člena ZDT-1). Pri prevedbi sedanjih okrajnih državnih tožilcev gre namreč prav tako za napredovanje v plačnih razredih in v naziv okrožnega državnega tožilca (na istem državnotožilskem mestu), le da je to napredovanje </w:t>
      </w:r>
      <w:r w:rsidRPr="009F6536">
        <w:rPr>
          <w:rFonts w:eastAsiaTheme="minorEastAsia" w:cs="Arial"/>
          <w:i/>
          <w:iCs/>
          <w:szCs w:val="20"/>
          <w:lang w:val="sl-SI"/>
        </w:rPr>
        <w:t>ex lege</w:t>
      </w:r>
      <w:r w:rsidRPr="00E77861">
        <w:rPr>
          <w:rFonts w:eastAsiaTheme="minorEastAsia" w:cs="Arial"/>
          <w:szCs w:val="20"/>
          <w:lang w:val="sl-SI"/>
        </w:rPr>
        <w:t>.</w:t>
      </w:r>
    </w:p>
    <w:p w14:paraId="570B0FF8" w14:textId="77777777" w:rsidR="00E77861" w:rsidRPr="00E77861" w:rsidRDefault="00E77861" w:rsidP="00E77861">
      <w:pPr>
        <w:spacing w:line="260" w:lineRule="exact"/>
        <w:jc w:val="both"/>
        <w:rPr>
          <w:rFonts w:cs="Arial"/>
          <w:szCs w:val="20"/>
          <w:lang w:val="sl-SI" w:eastAsia="sl-SI"/>
        </w:rPr>
      </w:pPr>
    </w:p>
    <w:p w14:paraId="1EF39971" w14:textId="77777777" w:rsidR="00E77861" w:rsidRPr="00D1781F" w:rsidRDefault="00E77861" w:rsidP="00385BE2">
      <w:pPr>
        <w:spacing w:line="260" w:lineRule="exact"/>
        <w:jc w:val="both"/>
        <w:rPr>
          <w:rFonts w:cs="Arial"/>
          <w:szCs w:val="20"/>
          <w:lang w:val="sl-SI" w:eastAsia="sl-SI"/>
        </w:rPr>
      </w:pPr>
    </w:p>
    <w:p w14:paraId="7EAAD0BB" w14:textId="6029EC85" w:rsidR="00D1781F" w:rsidRPr="00D1781F" w:rsidRDefault="00D1781F" w:rsidP="00385BE2">
      <w:pPr>
        <w:spacing w:line="260" w:lineRule="exact"/>
        <w:jc w:val="both"/>
        <w:rPr>
          <w:rFonts w:cs="Arial"/>
          <w:b/>
          <w:bCs/>
          <w:szCs w:val="20"/>
          <w:lang w:val="sl-SI" w:eastAsia="sl-SI"/>
        </w:rPr>
      </w:pPr>
      <w:r w:rsidRPr="00D1781F">
        <w:rPr>
          <w:rFonts w:cs="Arial"/>
          <w:b/>
          <w:bCs/>
          <w:szCs w:val="20"/>
          <w:lang w:val="sl-SI" w:eastAsia="sl-SI"/>
        </w:rPr>
        <w:t>K 2</w:t>
      </w:r>
      <w:r w:rsidR="009B41AC">
        <w:rPr>
          <w:rFonts w:cs="Arial"/>
          <w:b/>
          <w:bCs/>
          <w:szCs w:val="20"/>
          <w:lang w:val="sl-SI" w:eastAsia="sl-SI"/>
        </w:rPr>
        <w:t>7</w:t>
      </w:r>
      <w:r w:rsidRPr="00D1781F">
        <w:rPr>
          <w:rFonts w:cs="Arial"/>
          <w:b/>
          <w:bCs/>
          <w:szCs w:val="20"/>
          <w:lang w:val="sl-SI" w:eastAsia="sl-SI"/>
        </w:rPr>
        <w:t>. členu:</w:t>
      </w:r>
    </w:p>
    <w:p w14:paraId="2F4A9AB1" w14:textId="77777777" w:rsidR="00D1781F" w:rsidRPr="00D1781F" w:rsidRDefault="00D1781F" w:rsidP="00385BE2">
      <w:pPr>
        <w:spacing w:line="260" w:lineRule="exact"/>
        <w:jc w:val="both"/>
        <w:rPr>
          <w:rFonts w:cs="Arial"/>
          <w:szCs w:val="20"/>
          <w:lang w:val="sl-SI" w:eastAsia="sl-SI"/>
        </w:rPr>
      </w:pPr>
    </w:p>
    <w:p w14:paraId="31C62CED" w14:textId="77777777" w:rsidR="00385BE2" w:rsidRPr="00385BE2" w:rsidRDefault="00385BE2" w:rsidP="00385BE2">
      <w:pPr>
        <w:spacing w:line="260" w:lineRule="exact"/>
        <w:jc w:val="both"/>
        <w:rPr>
          <w:rFonts w:eastAsiaTheme="minorEastAsia" w:cs="Arial"/>
          <w:szCs w:val="20"/>
          <w:lang w:val="sl-SI"/>
        </w:rPr>
      </w:pPr>
      <w:r w:rsidRPr="00385BE2">
        <w:rPr>
          <w:rFonts w:eastAsiaTheme="minorEastAsia" w:cs="Arial"/>
          <w:szCs w:val="20"/>
          <w:lang w:val="sl-SI"/>
        </w:rPr>
        <w:t>Določa se prehodna ureditev glede napredovanja okrožnih in višjih državnih tožilcev na državnotožilski položaj svetnik in uskladitev državnotožilskega položaja vrhovnih državnih tožilcev.</w:t>
      </w:r>
    </w:p>
    <w:p w14:paraId="1AB656CB" w14:textId="77777777" w:rsidR="00385BE2" w:rsidRPr="00385BE2" w:rsidRDefault="00385BE2" w:rsidP="00385BE2">
      <w:pPr>
        <w:spacing w:line="260" w:lineRule="exact"/>
        <w:jc w:val="both"/>
        <w:rPr>
          <w:rFonts w:eastAsiaTheme="minorEastAsia" w:cs="Arial"/>
          <w:szCs w:val="20"/>
          <w:lang w:val="sl-SI"/>
        </w:rPr>
      </w:pPr>
    </w:p>
    <w:p w14:paraId="602C634A" w14:textId="77777777" w:rsidR="00385BE2" w:rsidRPr="00385BE2" w:rsidRDefault="00385BE2" w:rsidP="00385BE2">
      <w:pPr>
        <w:shd w:val="clear" w:color="auto" w:fill="FFFFFF" w:themeFill="background1"/>
        <w:spacing w:line="260" w:lineRule="exact"/>
        <w:jc w:val="both"/>
        <w:rPr>
          <w:rFonts w:eastAsiaTheme="minorEastAsia" w:cs="Arial"/>
          <w:szCs w:val="20"/>
          <w:lang w:val="sl-SI"/>
        </w:rPr>
      </w:pPr>
      <w:r w:rsidRPr="00385BE2">
        <w:rPr>
          <w:rFonts w:eastAsiaTheme="minorEastAsia" w:cs="Arial"/>
          <w:szCs w:val="20"/>
          <w:lang w:val="sl-SI"/>
        </w:rPr>
        <w:t>Na podlagi osmega odstavka 37. člena ZDT-1 se glede napredovanja državnih tožilcev, kriterijev za izbiro in napredovanje ter za ocenjevanje dela državnih tožilcev smiselno uporabljajo določbe zakona, ki ureja sodniško službo, če ZDT-1 ne določa drugače. Glede napredovanja državnih tožilcev na položaj svetnika ZDT-1 določa le, da o tem odloča Državnotožilski svet, zato se glede drugih vprašanj v zvezi s tem uporabljajo določbe Zakona o sodniški službi</w:t>
      </w:r>
      <w:r w:rsidRPr="00385BE2">
        <w:rPr>
          <w:rStyle w:val="Sprotnaopomba-sklic"/>
          <w:rFonts w:eastAsiaTheme="minorEastAsia"/>
          <w:szCs w:val="20"/>
          <w:lang w:val="sl-SI"/>
        </w:rPr>
        <w:footnoteReference w:id="45"/>
      </w:r>
      <w:r w:rsidRPr="00385BE2">
        <w:rPr>
          <w:rFonts w:eastAsiaTheme="minorEastAsia" w:cs="Arial"/>
          <w:szCs w:val="20"/>
          <w:lang w:val="sl-SI"/>
        </w:rPr>
        <w:t xml:space="preserve"> (v nadaljnjem besedilu: ZSS). V skladu s tem se določa, da se bodo okrožnim oziroma višjim državnim tožilcem, ki bodo 1. 1. 2027 državnotožilsko službo opravljali v nazivu okrožni oziroma višji državni tožilec, za pridobitev državnotožilskega položaja svetnik upoštevale ocene državnotožilske službe, izdelane v skladu z ZSS v zvezi z osmim odstavkom 37. člena ZDT-1, in bodo napredovali na državnotožilski položaj okrožni državni tožilec svetnik oziroma višji državni tožilec svetnik, ko bodo izpolnili pogoje v skladu z zakonom, ki ureja sodnike. Na enak način je v predlogu novega </w:t>
      </w:r>
      <w:r w:rsidRPr="00385BE2">
        <w:rPr>
          <w:rFonts w:eastAsiaTheme="minorEastAsia" w:cs="Arial"/>
          <w:szCs w:val="20"/>
          <w:lang w:val="sl-SI"/>
        </w:rPr>
        <w:lastRenderedPageBreak/>
        <w:t xml:space="preserve">Zakona o sodnikih predlagana ureditev napredovanja okrožnih in višjih sodnikov na sodniški položaj svetnik. </w:t>
      </w:r>
    </w:p>
    <w:p w14:paraId="54FF97FB" w14:textId="77777777" w:rsidR="00385BE2" w:rsidRPr="00385BE2" w:rsidRDefault="00385BE2" w:rsidP="00385BE2">
      <w:pPr>
        <w:shd w:val="clear" w:color="auto" w:fill="FFFFFF" w:themeFill="background1"/>
        <w:spacing w:line="260" w:lineRule="exact"/>
        <w:jc w:val="both"/>
        <w:rPr>
          <w:rFonts w:eastAsiaTheme="minorEastAsia" w:cs="Arial"/>
          <w:szCs w:val="20"/>
          <w:lang w:val="sl-SI"/>
        </w:rPr>
      </w:pPr>
    </w:p>
    <w:p w14:paraId="15F45ED6" w14:textId="284B54C6" w:rsidR="00D1781F" w:rsidRPr="00385BE2" w:rsidRDefault="00385BE2" w:rsidP="00385BE2">
      <w:pPr>
        <w:spacing w:line="260" w:lineRule="exact"/>
        <w:jc w:val="both"/>
        <w:rPr>
          <w:rFonts w:cs="Arial"/>
          <w:szCs w:val="20"/>
          <w:lang w:val="sl-SI" w:eastAsia="sl-SI"/>
        </w:rPr>
      </w:pPr>
      <w:r w:rsidRPr="00385BE2">
        <w:rPr>
          <w:rFonts w:eastAsiaTheme="minorEastAsia" w:cs="Arial"/>
          <w:szCs w:val="20"/>
          <w:lang w:val="sl-SI"/>
        </w:rPr>
        <w:t xml:space="preserve">Vrhovni državni tožilec po veljavni ureditvi položaj svetnika pridobi po devetih letih opravljanja državnotožilske službe vrhovnega državnega tožilca, če je z oceno državnotožilske službe ugotovljeno, da izpolnjuje pogoje za napredovanje (tretji odstavek 27. člena ZSS v povezavi z osmim odstavkom 37. člena ZDT-1). Lahko pa vrhovni državni tožilec napreduje na položaj svetnika že po šestih letih opravljanja državnotožilske službe vrhovnega državnega tožilca, če je z oceno državnotožilske službe ugotovljeno, da izpolnjuje pogoje za hitrejše napredovanje (šesti odstavek 34. člena ZSS v povezavi z osmim odstavkom 37. člena ZDT-1). Ker predlog novega Zakona o sodnikih ukinja redno ocenjevanje vrhovnih sodnikov in pridobitev sodniškega položaja vrhovni sodnik svetnik ureja drugače (veže ga le na določeno dobo opravljanja sodniške funkcije na vrhovnem sodišču), kar bo veljalo tudi za vrhovne državne tožilce, je treba to spremembo ustrezno upoštevati pri vrhovnih državnih tožilcih, ki bodo na dan začetka uporabe tega zakona državnotožilsko službo opravljali v nazivu vrhovni državni tožilec že šest let ali več in še niso pridobili državnotožilskega položaja svetnik. Navedeni vrhovni državni tožilci bodo z dnem začetka uporabe predlaganega zakona </w:t>
      </w:r>
      <w:r w:rsidRPr="00385BE2">
        <w:rPr>
          <w:rFonts w:eastAsiaTheme="minorEastAsia" w:cs="Arial"/>
          <w:i/>
          <w:iCs/>
          <w:szCs w:val="20"/>
          <w:lang w:val="sl-SI"/>
        </w:rPr>
        <w:t>ex lege</w:t>
      </w:r>
      <w:r w:rsidRPr="00385BE2">
        <w:rPr>
          <w:rFonts w:eastAsiaTheme="minorEastAsia" w:cs="Arial"/>
          <w:szCs w:val="20"/>
          <w:lang w:val="sl-SI"/>
        </w:rPr>
        <w:t xml:space="preserve"> imenovani na državnotožilski položaj vrhovni državni tožilec svetnik in uvrščeni v plačni razred, določen s Prilogo 2 ZSTSPJS za funkcijo vrhovni državni tožilec svetnik.</w:t>
      </w:r>
    </w:p>
    <w:p w14:paraId="32C55369" w14:textId="77777777" w:rsidR="00D1781F" w:rsidRDefault="00D1781F" w:rsidP="00385BE2">
      <w:pPr>
        <w:spacing w:line="260" w:lineRule="exact"/>
        <w:jc w:val="both"/>
        <w:rPr>
          <w:rFonts w:cs="Arial"/>
          <w:szCs w:val="20"/>
          <w:lang w:val="sl-SI" w:eastAsia="sl-SI"/>
        </w:rPr>
      </w:pPr>
    </w:p>
    <w:p w14:paraId="11BCD2C0" w14:textId="77777777" w:rsidR="00385BE2" w:rsidRPr="00385BE2" w:rsidRDefault="00385BE2" w:rsidP="00385BE2">
      <w:pPr>
        <w:spacing w:line="260" w:lineRule="exact"/>
        <w:jc w:val="both"/>
        <w:rPr>
          <w:rFonts w:cs="Arial"/>
          <w:szCs w:val="20"/>
          <w:lang w:val="sl-SI" w:eastAsia="sl-SI"/>
        </w:rPr>
      </w:pPr>
    </w:p>
    <w:p w14:paraId="74888036" w14:textId="5F9798BF" w:rsidR="00331D90" w:rsidRPr="00695B94" w:rsidRDefault="00331D90" w:rsidP="00695B94">
      <w:pPr>
        <w:spacing w:line="260" w:lineRule="exact"/>
        <w:jc w:val="both"/>
        <w:rPr>
          <w:rFonts w:cs="Arial"/>
          <w:b/>
          <w:bCs/>
          <w:szCs w:val="20"/>
          <w:lang w:val="sl-SI" w:eastAsia="sl-SI"/>
        </w:rPr>
      </w:pPr>
      <w:r w:rsidRPr="00695B94">
        <w:rPr>
          <w:rFonts w:cs="Arial"/>
          <w:b/>
          <w:bCs/>
          <w:szCs w:val="20"/>
          <w:lang w:val="sl-SI" w:eastAsia="sl-SI"/>
        </w:rPr>
        <w:t>K 2</w:t>
      </w:r>
      <w:r w:rsidR="009B41AC" w:rsidRPr="00695B94">
        <w:rPr>
          <w:rFonts w:cs="Arial"/>
          <w:b/>
          <w:bCs/>
          <w:szCs w:val="20"/>
          <w:lang w:val="sl-SI" w:eastAsia="sl-SI"/>
        </w:rPr>
        <w:t>8</w:t>
      </w:r>
      <w:r w:rsidRPr="00695B94">
        <w:rPr>
          <w:rFonts w:cs="Arial"/>
          <w:b/>
          <w:bCs/>
          <w:szCs w:val="20"/>
          <w:lang w:val="sl-SI" w:eastAsia="sl-SI"/>
        </w:rPr>
        <w:t>. členu:</w:t>
      </w:r>
    </w:p>
    <w:p w14:paraId="33AB9D97" w14:textId="77777777" w:rsidR="00331D90" w:rsidRPr="00695B94" w:rsidRDefault="00331D90" w:rsidP="00695B94">
      <w:pPr>
        <w:spacing w:line="260" w:lineRule="exact"/>
        <w:jc w:val="both"/>
        <w:rPr>
          <w:rFonts w:cs="Arial"/>
          <w:b/>
          <w:bCs/>
          <w:szCs w:val="20"/>
          <w:lang w:val="sl-SI" w:eastAsia="sl-SI"/>
        </w:rPr>
      </w:pPr>
    </w:p>
    <w:p w14:paraId="1B5DDC2F" w14:textId="77777777"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Določa se prehodna ureditev glede ocenjevanja in napredovanja državnih tožilcev. </w:t>
      </w:r>
    </w:p>
    <w:p w14:paraId="7AD4A574" w14:textId="77777777" w:rsidR="00695B94" w:rsidRPr="00695B94" w:rsidRDefault="00695B94" w:rsidP="00695B94">
      <w:pPr>
        <w:spacing w:line="260" w:lineRule="exact"/>
        <w:jc w:val="both"/>
        <w:rPr>
          <w:rFonts w:eastAsiaTheme="minorEastAsia" w:cs="Arial"/>
          <w:szCs w:val="20"/>
          <w:lang w:val="sl-SI"/>
        </w:rPr>
      </w:pPr>
    </w:p>
    <w:p w14:paraId="4ADC3DB0" w14:textId="77777777"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Za okrajne državne tožilce, ki bodo na dan 31. decembra 2026 uvrščeni v 49., 50. ali 51. plačni razred in bodo 1. januarja 2027 pridobili državnotožilski naziv okrožni državni tožilec ter bili uvrščeni v 52. izhodiščni plačni razred funkcije okrožnega državnega tožilca, vendar do 1. januarja 2027 državnotožilske službe še ne bodo opravljali tri leta, bo še naprej veljalo, da se ocena njihovega dela do poteka obdobja prvih treh let po njihovem imenovanju izdela vsako leto. Tako ZSS v drugem odstavku 31. člena kot predlagani novi Zakon o sodnikih v drugem odstavku 30. člena določata, da se v prvih treh letih opravljanja sodniške službe oziroma po izvolitvi sodnika izdela ocena sodniške službe vsako leto posebej, kar glede na določbo osmega odstavka 37. člena ZDT-1 velja tudi za ocenjevanje dela državnih tožilcev. Tako kot sodniki se tudi državni tožilci ne ocenjujejo le zaradi napredovanja, ampak je ocenjevanje ključnega pomena za spremljanje njihovega strokovnega razvoja, kar je še zlasti pomembno v prvih treh letih opravljanja njihove službe. Navedeni državni tožilci pa bodo lahko prvič napredovali na podlagi prve redne ocene državnotožilske službe, izdelane v skladu z določbami o rednem ocenjevanju sodnikov po zakonu, ki ureja sodnike, konkretno po določbi prvega odstavka 30. člena predlaganega novega Zakona o sodnikih.</w:t>
      </w:r>
    </w:p>
    <w:p w14:paraId="7E376E2A" w14:textId="77777777" w:rsidR="00695B94" w:rsidRPr="00695B94" w:rsidRDefault="00695B94" w:rsidP="00695B94">
      <w:pPr>
        <w:spacing w:line="260" w:lineRule="exact"/>
        <w:jc w:val="both"/>
        <w:rPr>
          <w:rFonts w:eastAsiaTheme="minorEastAsia" w:cs="Arial"/>
          <w:szCs w:val="20"/>
          <w:lang w:val="sl-SI"/>
        </w:rPr>
      </w:pPr>
    </w:p>
    <w:p w14:paraId="2F8A2A4F" w14:textId="2557E868"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Za okrajne državne tožilce, ki bodo na dan 31. decembra 2026 uvrščeni v 49., 50. ali 51. plačni razred in bodo 1. januarja 2027 pridobili državnotožilski naziv okrožni državni tožilec ter bili uvrščeni v 52. izhodiščni plačni razred funkcije okrožnega državnega tožilca, državnotožilsko službo pa bodo do 1. januarja 2027 že opravljali več kot tri leta, bo obdobje za izdelavo ocene njihove službe prekinjeno in bo začelo znova </w:t>
      </w:r>
      <w:r w:rsidR="00562F94" w:rsidRPr="00695B94">
        <w:rPr>
          <w:rFonts w:eastAsiaTheme="minorEastAsia" w:cs="Arial"/>
          <w:szCs w:val="20"/>
          <w:lang w:val="sl-SI"/>
        </w:rPr>
        <w:t xml:space="preserve">teči </w:t>
      </w:r>
      <w:r w:rsidRPr="00695B94">
        <w:rPr>
          <w:rFonts w:eastAsiaTheme="minorEastAsia" w:cs="Arial"/>
          <w:szCs w:val="20"/>
          <w:lang w:val="sl-SI"/>
        </w:rPr>
        <w:t xml:space="preserve">z začetkom uporabe tega zakona. Pri določitvi pravila za ocenjevanje njihove službe je ključno dejstvo, da bodo na podlagi prevedbe pridobili višji državnotožilski naziv in dodatne plačne razrede ne glede na doseženo napredovalno obdobje, zato je smiselno, da se ocenjevanje njihovega dela začne znova. Ti državni tožilci bodo lahko napredovali na podlagi prve redne ocene državnotožilske službe, izdelane v skladu z </w:t>
      </w:r>
      <w:r w:rsidRPr="00695B94">
        <w:rPr>
          <w:rFonts w:eastAsiaTheme="minorEastAsia" w:cs="Arial"/>
          <w:szCs w:val="20"/>
          <w:lang w:val="sl-SI"/>
        </w:rPr>
        <w:lastRenderedPageBreak/>
        <w:t>določbami o rednem ocenjevanju sodnikov po zakonu, ki ureja sodnike,</w:t>
      </w:r>
      <w:r w:rsidRPr="00695B94">
        <w:rPr>
          <w:lang w:val="sl-SI"/>
        </w:rPr>
        <w:t xml:space="preserve"> </w:t>
      </w:r>
      <w:r w:rsidRPr="00695B94">
        <w:rPr>
          <w:rFonts w:eastAsiaTheme="minorEastAsia" w:cs="Arial"/>
          <w:szCs w:val="20"/>
          <w:lang w:val="sl-SI"/>
        </w:rPr>
        <w:t>konkretno po določbi prvega odstavka 30. člena predlaganega novega Zakona o sodnikih.</w:t>
      </w:r>
    </w:p>
    <w:p w14:paraId="6285E5A6" w14:textId="77777777" w:rsidR="00695B94" w:rsidRPr="00695B94" w:rsidRDefault="00695B94" w:rsidP="00695B94">
      <w:pPr>
        <w:spacing w:line="260" w:lineRule="exact"/>
        <w:jc w:val="both"/>
        <w:rPr>
          <w:rFonts w:eastAsiaTheme="minorEastAsia" w:cs="Arial"/>
          <w:szCs w:val="20"/>
          <w:lang w:val="sl-SI"/>
        </w:rPr>
      </w:pPr>
    </w:p>
    <w:p w14:paraId="45C8000C" w14:textId="144CA342" w:rsidR="00695B94" w:rsidRPr="00695B94" w:rsidRDefault="00695B94" w:rsidP="00695B94">
      <w:pPr>
        <w:spacing w:line="260" w:lineRule="exact"/>
        <w:jc w:val="both"/>
        <w:rPr>
          <w:rFonts w:eastAsiaTheme="minorEastAsia" w:cs="Arial"/>
          <w:szCs w:val="20"/>
          <w:lang w:val="sl-SI"/>
        </w:rPr>
      </w:pPr>
      <w:r w:rsidRPr="00695B94">
        <w:rPr>
          <w:rFonts w:eastAsiaTheme="minorEastAsia" w:cs="Arial"/>
          <w:szCs w:val="20"/>
          <w:lang w:val="sl-SI"/>
        </w:rPr>
        <w:t xml:space="preserve">Za vse druge državne tožilce, ki bodo na dan 31. decembra 2026 opravljali državnotožilsko službo v različnih državnotožilskih nazivih (okrajni državni tožilci v 52., 53. in 54. plačnem razredu, okrožni državni tožilci in višji državni tožilci), se obdobje za izdelavo ocene njihove službe ne bo prekinjalo. Za te državne tožilce se bo obdobje ocenjevanja, določeno v prvem in drugem odstavku 31. člena ZSS v povezavi z osmim odstavkom 37. člena ZDT-1, ki je preteklo od poteka obdobja za izdelavo zadnje ocene državnotožilske službe do 1. januarja 2027, vštelo v časovno obdobje za izdelavo ocene državnotožilske službe, ki bo izdelana v skladu z določbami o rednem ocenjevanju sodnikov po zakonu, ki ureja sodnike, konkretno po določbi prvega odstavka 30. člena predlaganega novega Zakona o sodnikih. Pri ocenjevanju njihovega dela se bo torej upoštevalo dosedanje delo, opravljeno v okviru njihovega položaja in pristojnosti. Ti državni tožilci bodo tako napredovali </w:t>
      </w:r>
      <w:r w:rsidR="00624DDD">
        <w:rPr>
          <w:rFonts w:eastAsiaTheme="minorEastAsia" w:cs="Arial"/>
          <w:szCs w:val="20"/>
          <w:lang w:val="sl-SI"/>
        </w:rPr>
        <w:t>v skladu</w:t>
      </w:r>
      <w:r w:rsidRPr="00695B94">
        <w:rPr>
          <w:rFonts w:eastAsiaTheme="minorEastAsia" w:cs="Arial"/>
          <w:szCs w:val="20"/>
          <w:lang w:val="sl-SI"/>
        </w:rPr>
        <w:t xml:space="preserve"> s predpisi, brez prekinitev obdobja za ocenjevanje, kar zagotavlja pregledno in pravično napredovanje v prenovljenem državnotožilskem sistemu.</w:t>
      </w:r>
    </w:p>
    <w:p w14:paraId="48497816" w14:textId="77777777" w:rsidR="00344DB0" w:rsidRPr="00695B94" w:rsidRDefault="00344DB0" w:rsidP="00695B94">
      <w:pPr>
        <w:spacing w:line="260" w:lineRule="exact"/>
        <w:jc w:val="both"/>
        <w:rPr>
          <w:rFonts w:cs="Arial"/>
          <w:b/>
          <w:bCs/>
          <w:szCs w:val="20"/>
          <w:lang w:val="sl-SI" w:eastAsia="sl-SI"/>
        </w:rPr>
      </w:pPr>
    </w:p>
    <w:p w14:paraId="29975296" w14:textId="77777777" w:rsidR="00331D90" w:rsidRPr="00695B94" w:rsidRDefault="00331D90" w:rsidP="00695B94">
      <w:pPr>
        <w:spacing w:line="260" w:lineRule="exact"/>
        <w:jc w:val="both"/>
        <w:rPr>
          <w:rFonts w:eastAsiaTheme="minorEastAsia" w:cs="Arial"/>
          <w:szCs w:val="20"/>
          <w:shd w:val="clear" w:color="auto" w:fill="FFFFFF"/>
          <w:lang w:val="sl-SI"/>
        </w:rPr>
      </w:pPr>
    </w:p>
    <w:p w14:paraId="2D480635" w14:textId="077F5484" w:rsidR="00331D90" w:rsidRPr="00695B94" w:rsidRDefault="00331D90" w:rsidP="00695B94">
      <w:pPr>
        <w:spacing w:line="260" w:lineRule="exact"/>
        <w:jc w:val="both"/>
        <w:rPr>
          <w:rFonts w:eastAsiaTheme="minorEastAsia" w:cs="Arial"/>
          <w:b/>
          <w:bCs/>
          <w:szCs w:val="20"/>
          <w:shd w:val="clear" w:color="auto" w:fill="FFFFFF"/>
          <w:lang w:val="sl-SI"/>
        </w:rPr>
      </w:pPr>
      <w:r w:rsidRPr="00695B94">
        <w:rPr>
          <w:rFonts w:eastAsiaTheme="minorEastAsia" w:cs="Arial"/>
          <w:b/>
          <w:bCs/>
          <w:szCs w:val="20"/>
          <w:shd w:val="clear" w:color="auto" w:fill="FFFFFF"/>
          <w:lang w:val="sl-SI"/>
        </w:rPr>
        <w:t>K 2</w:t>
      </w:r>
      <w:r w:rsidR="009B41AC" w:rsidRPr="00695B94">
        <w:rPr>
          <w:rFonts w:eastAsiaTheme="minorEastAsia" w:cs="Arial"/>
          <w:b/>
          <w:bCs/>
          <w:szCs w:val="20"/>
          <w:shd w:val="clear" w:color="auto" w:fill="FFFFFF"/>
          <w:lang w:val="sl-SI"/>
        </w:rPr>
        <w:t>9</w:t>
      </w:r>
      <w:r w:rsidRPr="00695B94">
        <w:rPr>
          <w:rFonts w:eastAsiaTheme="minorEastAsia" w:cs="Arial"/>
          <w:b/>
          <w:bCs/>
          <w:szCs w:val="20"/>
          <w:shd w:val="clear" w:color="auto" w:fill="FFFFFF"/>
          <w:lang w:val="sl-SI"/>
        </w:rPr>
        <w:t>. členu:</w:t>
      </w:r>
    </w:p>
    <w:p w14:paraId="3F22DE32" w14:textId="77777777" w:rsidR="00331D90" w:rsidRPr="00695B94" w:rsidRDefault="00331D90" w:rsidP="00695B94">
      <w:pPr>
        <w:spacing w:line="260" w:lineRule="exact"/>
        <w:jc w:val="both"/>
        <w:rPr>
          <w:rFonts w:eastAsiaTheme="minorEastAsia" w:cs="Arial"/>
          <w:b/>
          <w:bCs/>
          <w:szCs w:val="20"/>
          <w:shd w:val="clear" w:color="auto" w:fill="FFFFFF"/>
          <w:lang w:val="sl-SI"/>
        </w:rPr>
      </w:pPr>
    </w:p>
    <w:p w14:paraId="7D6085A1" w14:textId="706BB96F" w:rsidR="00280F71" w:rsidRPr="00280F71" w:rsidRDefault="00280F71" w:rsidP="00695B94">
      <w:pPr>
        <w:shd w:val="clear" w:color="auto" w:fill="FFFFFF" w:themeFill="background1"/>
        <w:spacing w:line="260" w:lineRule="exact"/>
        <w:jc w:val="both"/>
        <w:rPr>
          <w:rFonts w:eastAsiaTheme="minorEastAsia" w:cs="Arial"/>
          <w:szCs w:val="20"/>
          <w:lang w:val="sl-SI"/>
        </w:rPr>
      </w:pPr>
      <w:r w:rsidRPr="00695B94">
        <w:rPr>
          <w:rFonts w:eastAsiaTheme="minorEastAsia" w:cs="Arial"/>
          <w:szCs w:val="20"/>
          <w:lang w:val="sl-SI"/>
        </w:rPr>
        <w:t xml:space="preserve">Ker se s predlagano ureditvijo uvaja ena vrsta naziva državnega tožilca na prvi stopnji, to je namesto okrajnega in okrožnega državnega tožilca le naziv okrožnega državnega tožilca, se </w:t>
      </w:r>
      <w:r w:rsidRPr="00280F71">
        <w:rPr>
          <w:rFonts w:eastAsiaTheme="minorEastAsia" w:cs="Arial"/>
          <w:szCs w:val="20"/>
          <w:lang w:val="sl-SI"/>
        </w:rPr>
        <w:t>predlaga uskladitev ZSTSPJS, in sicer tako, da se do uskladitve ZSTSPJS v Prilogi 2 pod d) Plačni razredi funkcij v drugih državnih organih s tem zakonom šifra funkcije A047470, ki določa uvrstitev funkcije okrajnega državnega tožilca v plačne razrede, ne uporablja.</w:t>
      </w:r>
    </w:p>
    <w:p w14:paraId="797E4D18" w14:textId="77777777" w:rsidR="00280F71" w:rsidRPr="00280F71" w:rsidRDefault="00280F71" w:rsidP="00232346">
      <w:pPr>
        <w:shd w:val="clear" w:color="auto" w:fill="FFFFFF" w:themeFill="background1"/>
        <w:spacing w:line="260" w:lineRule="exact"/>
        <w:jc w:val="both"/>
        <w:rPr>
          <w:rFonts w:eastAsiaTheme="minorEastAsia" w:cs="Arial"/>
          <w:szCs w:val="20"/>
          <w:lang w:val="sl-SI"/>
        </w:rPr>
      </w:pPr>
    </w:p>
    <w:p w14:paraId="333A6047" w14:textId="77777777" w:rsidR="00331D90" w:rsidRPr="008D7697" w:rsidRDefault="00331D90" w:rsidP="00232346">
      <w:pPr>
        <w:shd w:val="clear" w:color="auto" w:fill="FFFFFF" w:themeFill="background1"/>
        <w:spacing w:line="260" w:lineRule="exact"/>
        <w:jc w:val="both"/>
        <w:rPr>
          <w:rFonts w:eastAsiaTheme="minorEastAsia" w:cs="Arial"/>
          <w:szCs w:val="20"/>
          <w:lang w:val="sl-SI"/>
        </w:rPr>
      </w:pPr>
    </w:p>
    <w:p w14:paraId="618C4DD2" w14:textId="177552DA" w:rsidR="00331D90" w:rsidRPr="008D7697" w:rsidRDefault="00331D90" w:rsidP="00232346">
      <w:pPr>
        <w:shd w:val="clear" w:color="auto" w:fill="FFFFFF" w:themeFill="background1"/>
        <w:spacing w:line="260" w:lineRule="exact"/>
        <w:jc w:val="both"/>
        <w:rPr>
          <w:rFonts w:eastAsiaTheme="minorEastAsia" w:cs="Arial"/>
          <w:b/>
          <w:bCs/>
          <w:szCs w:val="20"/>
          <w:lang w:val="sl-SI"/>
        </w:rPr>
      </w:pPr>
      <w:r w:rsidRPr="008D7697">
        <w:rPr>
          <w:rFonts w:eastAsiaTheme="minorEastAsia" w:cs="Arial"/>
          <w:b/>
          <w:bCs/>
          <w:szCs w:val="20"/>
          <w:lang w:val="sl-SI"/>
        </w:rPr>
        <w:t xml:space="preserve">K </w:t>
      </w:r>
      <w:r w:rsidR="009B41AC">
        <w:rPr>
          <w:rFonts w:eastAsiaTheme="minorEastAsia" w:cs="Arial"/>
          <w:b/>
          <w:bCs/>
          <w:szCs w:val="20"/>
          <w:lang w:val="sl-SI"/>
        </w:rPr>
        <w:t>30</w:t>
      </w:r>
      <w:r w:rsidRPr="008D7697">
        <w:rPr>
          <w:rFonts w:eastAsiaTheme="minorEastAsia" w:cs="Arial"/>
          <w:b/>
          <w:bCs/>
          <w:szCs w:val="20"/>
          <w:lang w:val="sl-SI"/>
        </w:rPr>
        <w:t>. členu:</w:t>
      </w:r>
    </w:p>
    <w:p w14:paraId="3E360A7C" w14:textId="77777777" w:rsidR="0089316F" w:rsidRPr="0089316F" w:rsidRDefault="0089316F" w:rsidP="00232346">
      <w:pPr>
        <w:shd w:val="clear" w:color="auto" w:fill="FFFFFF" w:themeFill="background1"/>
        <w:spacing w:line="260" w:lineRule="exact"/>
        <w:jc w:val="both"/>
        <w:rPr>
          <w:rFonts w:eastAsiaTheme="minorEastAsia" w:cs="Arial"/>
          <w:szCs w:val="20"/>
          <w:lang w:val="sl-SI"/>
        </w:rPr>
      </w:pPr>
    </w:p>
    <w:p w14:paraId="594BD978" w14:textId="063A2E05" w:rsidR="0089316F" w:rsidRPr="0089316F" w:rsidRDefault="0089316F" w:rsidP="00232346">
      <w:pPr>
        <w:spacing w:line="260" w:lineRule="exact"/>
        <w:jc w:val="both"/>
        <w:rPr>
          <w:rFonts w:eastAsiaTheme="minorEastAsia" w:cs="Arial"/>
          <w:szCs w:val="20"/>
          <w:lang w:val="sl-SI"/>
        </w:rPr>
      </w:pPr>
      <w:r w:rsidRPr="0089316F">
        <w:rPr>
          <w:rFonts w:eastAsiaTheme="minorEastAsia" w:cs="Arial"/>
          <w:szCs w:val="20"/>
          <w:lang w:val="sl-SI"/>
        </w:rPr>
        <w:t>Določata se roka za uskladitev dveh podzakonskih predpisov in izdajo enega podzakonskega akta. Odredba o številu mest državnih tožilcev (Uradni list RS, št. 76/11, 69/12, 52/13, 52/14, 71/15, 14/19, 102/20, 135/22, 14/23 in 30/24) in Odredba o ustanovitvi zunanjih oddelkov okrožnih državnih tožilstev (Uradni list RS, št. 43/12, 45/12 – popr., 52/13, 54/18 in 69/18) se bosta uskladili z ZDT-1 do 1. 1. 2027, tj. do začetka uporabe predlaganega zakona. Rok za izdajo akta, s katerim bo generalni državni tožilec določil vrste in način izvajanja strokovne psihološke pomoči in psihološke podpore (drugi odstavek 152.a člena zakona), pa je določen do 15.</w:t>
      </w:r>
      <w:r w:rsidR="002211B5">
        <w:rPr>
          <w:rFonts w:eastAsiaTheme="minorEastAsia" w:cs="Arial"/>
          <w:szCs w:val="20"/>
          <w:lang w:val="sl-SI"/>
        </w:rPr>
        <w:t xml:space="preserve"> </w:t>
      </w:r>
      <w:r w:rsidRPr="0089316F">
        <w:rPr>
          <w:rFonts w:eastAsiaTheme="minorEastAsia" w:cs="Arial"/>
          <w:szCs w:val="20"/>
          <w:lang w:val="sl-SI"/>
        </w:rPr>
        <w:t>decembra 2026 z namenom, da se uporabniki pravočasno seznanijo z njegovo vsebino.</w:t>
      </w:r>
    </w:p>
    <w:p w14:paraId="54B4DB04" w14:textId="77777777" w:rsidR="0089316F" w:rsidRPr="0089316F" w:rsidRDefault="0089316F" w:rsidP="004E40B8">
      <w:pPr>
        <w:shd w:val="clear" w:color="auto" w:fill="FFFFFF" w:themeFill="background1"/>
        <w:spacing w:line="260" w:lineRule="exact"/>
        <w:jc w:val="both"/>
        <w:rPr>
          <w:rFonts w:eastAsiaTheme="minorEastAsia" w:cs="Arial"/>
          <w:szCs w:val="20"/>
          <w:lang w:val="sl-SI"/>
        </w:rPr>
      </w:pPr>
    </w:p>
    <w:p w14:paraId="7C476B18" w14:textId="77777777" w:rsidR="00331D90" w:rsidRPr="0089316F" w:rsidRDefault="00331D90" w:rsidP="004E40B8">
      <w:pPr>
        <w:shd w:val="clear" w:color="auto" w:fill="FFFFFF" w:themeFill="background1"/>
        <w:spacing w:line="260" w:lineRule="exact"/>
        <w:jc w:val="both"/>
        <w:rPr>
          <w:rFonts w:eastAsiaTheme="minorEastAsia" w:cs="Arial"/>
          <w:szCs w:val="20"/>
          <w:lang w:val="sl-SI"/>
        </w:rPr>
      </w:pPr>
    </w:p>
    <w:p w14:paraId="5AE476B9" w14:textId="1E081FD0" w:rsidR="00331D90" w:rsidRPr="0089316F" w:rsidRDefault="00331D90" w:rsidP="004E40B8">
      <w:pPr>
        <w:shd w:val="clear" w:color="auto" w:fill="FFFFFF" w:themeFill="background1"/>
        <w:spacing w:line="260" w:lineRule="exact"/>
        <w:jc w:val="both"/>
        <w:rPr>
          <w:rFonts w:eastAsiaTheme="minorEastAsia" w:cs="Arial"/>
          <w:b/>
          <w:bCs/>
          <w:szCs w:val="20"/>
          <w:lang w:val="sl-SI"/>
        </w:rPr>
      </w:pPr>
      <w:r w:rsidRPr="0089316F">
        <w:rPr>
          <w:rFonts w:eastAsiaTheme="minorEastAsia" w:cs="Arial"/>
          <w:b/>
          <w:bCs/>
          <w:szCs w:val="20"/>
          <w:lang w:val="sl-SI"/>
        </w:rPr>
        <w:t xml:space="preserve">K </w:t>
      </w:r>
      <w:r w:rsidR="00494A34">
        <w:rPr>
          <w:rFonts w:eastAsiaTheme="minorEastAsia" w:cs="Arial"/>
          <w:b/>
          <w:bCs/>
          <w:szCs w:val="20"/>
          <w:lang w:val="sl-SI"/>
        </w:rPr>
        <w:t>3</w:t>
      </w:r>
      <w:r w:rsidR="009B41AC">
        <w:rPr>
          <w:rFonts w:eastAsiaTheme="minorEastAsia" w:cs="Arial"/>
          <w:b/>
          <w:bCs/>
          <w:szCs w:val="20"/>
          <w:lang w:val="sl-SI"/>
        </w:rPr>
        <w:t>1</w:t>
      </w:r>
      <w:r w:rsidRPr="0089316F">
        <w:rPr>
          <w:rFonts w:eastAsiaTheme="minorEastAsia" w:cs="Arial"/>
          <w:b/>
          <w:bCs/>
          <w:szCs w:val="20"/>
          <w:lang w:val="sl-SI"/>
        </w:rPr>
        <w:t xml:space="preserve">. </w:t>
      </w:r>
      <w:r w:rsidR="00E011BD">
        <w:rPr>
          <w:rFonts w:eastAsiaTheme="minorEastAsia" w:cs="Arial"/>
          <w:b/>
          <w:bCs/>
          <w:szCs w:val="20"/>
          <w:lang w:val="sl-SI"/>
        </w:rPr>
        <w:t>in 3</w:t>
      </w:r>
      <w:r w:rsidR="009B41AC">
        <w:rPr>
          <w:rFonts w:eastAsiaTheme="minorEastAsia" w:cs="Arial"/>
          <w:b/>
          <w:bCs/>
          <w:szCs w:val="20"/>
          <w:lang w:val="sl-SI"/>
        </w:rPr>
        <w:t>2</w:t>
      </w:r>
      <w:r w:rsidR="00E011BD">
        <w:rPr>
          <w:rFonts w:eastAsiaTheme="minorEastAsia" w:cs="Arial"/>
          <w:b/>
          <w:bCs/>
          <w:szCs w:val="20"/>
          <w:lang w:val="sl-SI"/>
        </w:rPr>
        <w:t xml:space="preserve">. </w:t>
      </w:r>
      <w:r w:rsidRPr="0089316F">
        <w:rPr>
          <w:rFonts w:eastAsiaTheme="minorEastAsia" w:cs="Arial"/>
          <w:b/>
          <w:bCs/>
          <w:szCs w:val="20"/>
          <w:lang w:val="sl-SI"/>
        </w:rPr>
        <w:t>členu:</w:t>
      </w:r>
    </w:p>
    <w:p w14:paraId="2514292F" w14:textId="77777777" w:rsidR="00E011BD" w:rsidRPr="004E40B8" w:rsidRDefault="00E011BD" w:rsidP="004E40B8">
      <w:pPr>
        <w:shd w:val="clear" w:color="auto" w:fill="FFFFFF" w:themeFill="background1"/>
        <w:spacing w:line="260" w:lineRule="exact"/>
        <w:jc w:val="both"/>
        <w:rPr>
          <w:rFonts w:eastAsiaTheme="minorEastAsia" w:cs="Arial"/>
          <w:szCs w:val="20"/>
          <w:lang w:val="sl-SI"/>
        </w:rPr>
      </w:pPr>
    </w:p>
    <w:p w14:paraId="5B1315A7" w14:textId="77777777" w:rsidR="002E2542" w:rsidRPr="004E40B8" w:rsidRDefault="002E2542" w:rsidP="004E40B8">
      <w:pPr>
        <w:spacing w:line="260" w:lineRule="exact"/>
        <w:jc w:val="both"/>
        <w:rPr>
          <w:rFonts w:eastAsiaTheme="minorEastAsia" w:cs="Arial"/>
          <w:szCs w:val="20"/>
          <w:lang w:val="sl-SI"/>
        </w:rPr>
      </w:pPr>
      <w:r w:rsidRPr="004E40B8">
        <w:rPr>
          <w:rFonts w:eastAsiaTheme="minorEastAsia" w:cs="Arial"/>
          <w:szCs w:val="20"/>
          <w:lang w:val="sl-SI"/>
        </w:rPr>
        <w:t xml:space="preserve">Določa se splošni vacatio legis za uveljavitev predloga zakona, glede začetka uporabe zakona pa se predlaga 1. januar 2027. Predlog zakona v tem delu sledi predlaganemu začetku veljavnosti in uporabe novega Zakona o sodiščih in novega Zakona o sodnikih, saj gre za povezane vsebine (ukinitev okrajnih sodišč, uvedba enega naziva prvostopenjskega sodnika). </w:t>
      </w:r>
    </w:p>
    <w:p w14:paraId="0632828F" w14:textId="77777777" w:rsidR="002E2542" w:rsidRPr="004E40B8" w:rsidRDefault="002E2542" w:rsidP="004E40B8">
      <w:pPr>
        <w:spacing w:line="260" w:lineRule="exact"/>
        <w:jc w:val="both"/>
        <w:rPr>
          <w:rFonts w:eastAsiaTheme="minorEastAsia" w:cs="Arial"/>
          <w:szCs w:val="20"/>
          <w:lang w:val="sl-SI"/>
        </w:rPr>
      </w:pPr>
    </w:p>
    <w:p w14:paraId="5AC76816" w14:textId="51B4E630" w:rsidR="002E2542" w:rsidRPr="004E40B8" w:rsidRDefault="002E2542" w:rsidP="004E40B8">
      <w:pPr>
        <w:spacing w:line="260" w:lineRule="exact"/>
        <w:jc w:val="both"/>
        <w:rPr>
          <w:rFonts w:eastAsiaTheme="minorEastAsia" w:cs="Arial"/>
          <w:szCs w:val="20"/>
          <w:lang w:val="sl-SI"/>
        </w:rPr>
      </w:pPr>
      <w:r w:rsidRPr="004E40B8">
        <w:rPr>
          <w:rFonts w:eastAsiaTheme="minorEastAsia" w:cs="Arial"/>
          <w:szCs w:val="20"/>
          <w:lang w:val="sl-SI"/>
        </w:rPr>
        <w:t>Izjem</w:t>
      </w:r>
      <w:r w:rsidR="00093DA3">
        <w:rPr>
          <w:rFonts w:eastAsiaTheme="minorEastAsia" w:cs="Arial"/>
          <w:szCs w:val="20"/>
          <w:lang w:val="sl-SI"/>
        </w:rPr>
        <w:t>a</w:t>
      </w:r>
      <w:r w:rsidRPr="004E40B8">
        <w:rPr>
          <w:rFonts w:eastAsiaTheme="minorEastAsia" w:cs="Arial"/>
          <w:szCs w:val="20"/>
          <w:lang w:val="sl-SI"/>
        </w:rPr>
        <w:t xml:space="preserve"> glede začetka uporabe predloga zakona </w:t>
      </w:r>
      <w:r w:rsidR="00093DA3">
        <w:rPr>
          <w:rFonts w:eastAsiaTheme="minorEastAsia" w:cs="Arial"/>
          <w:szCs w:val="20"/>
          <w:lang w:val="sl-SI"/>
        </w:rPr>
        <w:t xml:space="preserve">sta </w:t>
      </w:r>
      <w:r w:rsidRPr="004E40B8">
        <w:rPr>
          <w:rFonts w:eastAsiaTheme="minorEastAsia" w:cs="Arial"/>
          <w:szCs w:val="20"/>
          <w:lang w:val="sl-SI"/>
        </w:rPr>
        <w:t xml:space="preserve">določba spremenjenega 71.c člena zakona in določba spremenjenega prvega odstavka 71.d člena zakona v delu, ki določa raven znanja delovnega jezika EJT. Z navedenima določbama se najnižja zahtevana raven znanja delovnega jezika EJT znižuje s C1 na B2 Skupnega evropskega jezikovnega okvira. Navedeni določbi se bosta začeli uporabljati že z dnem uveljavitve predloga zakona, saj prinašata rešitev, ki vsebinsko </w:t>
      </w:r>
      <w:r w:rsidRPr="004E40B8">
        <w:rPr>
          <w:rFonts w:eastAsiaTheme="minorEastAsia" w:cs="Arial"/>
          <w:szCs w:val="20"/>
          <w:lang w:val="sl-SI"/>
        </w:rPr>
        <w:lastRenderedPageBreak/>
        <w:t xml:space="preserve">ni povezana oziroma odvisna od </w:t>
      </w:r>
      <w:r w:rsidR="005F495E">
        <w:rPr>
          <w:rFonts w:eastAsiaTheme="minorEastAsia" w:cs="Arial"/>
          <w:szCs w:val="20"/>
          <w:lang w:val="sl-SI"/>
        </w:rPr>
        <w:t xml:space="preserve">drugih </w:t>
      </w:r>
      <w:r w:rsidRPr="004E40B8">
        <w:rPr>
          <w:rFonts w:eastAsiaTheme="minorEastAsia" w:cs="Arial"/>
          <w:szCs w:val="20"/>
          <w:lang w:val="sl-SI"/>
        </w:rPr>
        <w:t xml:space="preserve">določb zakonskega predloga, je pa smiselno, da se začne v postopkih imenovanj </w:t>
      </w:r>
      <w:r w:rsidR="005F495E" w:rsidRPr="004E40B8">
        <w:rPr>
          <w:rFonts w:eastAsiaTheme="minorEastAsia" w:cs="Arial"/>
          <w:szCs w:val="20"/>
          <w:lang w:val="sl-SI"/>
        </w:rPr>
        <w:t xml:space="preserve">uporabljati </w:t>
      </w:r>
      <w:r w:rsidRPr="004E40B8">
        <w:rPr>
          <w:rFonts w:eastAsiaTheme="minorEastAsia" w:cs="Arial"/>
          <w:szCs w:val="20"/>
          <w:lang w:val="sl-SI"/>
        </w:rPr>
        <w:t xml:space="preserve">čim prej. Dalje se bo z dnem </w:t>
      </w:r>
      <w:bookmarkStart w:id="23" w:name="_Hlk195104417"/>
      <w:r w:rsidRPr="004E40B8">
        <w:rPr>
          <w:rFonts w:eastAsiaTheme="minorEastAsia" w:cs="Arial"/>
          <w:szCs w:val="20"/>
          <w:lang w:val="sl-SI"/>
        </w:rPr>
        <w:t xml:space="preserve">uveljavitve predloga zakona začela uporabljati </w:t>
      </w:r>
      <w:bookmarkEnd w:id="23"/>
      <w:r w:rsidRPr="004E40B8">
        <w:rPr>
          <w:rFonts w:eastAsiaTheme="minorEastAsia" w:cs="Arial"/>
          <w:szCs w:val="20"/>
          <w:lang w:val="sl-SI"/>
        </w:rPr>
        <w:t xml:space="preserve">spremenjena določba tretjega odstavka 193. člena zakona, ki bo omogočala večjo </w:t>
      </w:r>
      <w:r w:rsidR="00D17050">
        <w:rPr>
          <w:rFonts w:eastAsiaTheme="minorEastAsia" w:cs="Arial"/>
          <w:szCs w:val="20"/>
          <w:lang w:val="sl-SI"/>
        </w:rPr>
        <w:t xml:space="preserve">prožnost </w:t>
      </w:r>
      <w:r w:rsidRPr="004E40B8">
        <w:rPr>
          <w:rFonts w:eastAsiaTheme="minorEastAsia" w:cs="Arial"/>
          <w:szCs w:val="20"/>
          <w:lang w:val="sl-SI"/>
        </w:rPr>
        <w:t xml:space="preserve">državnih tožilcev, imenovanih na SDT. Tudi ta določba vsebinsko ni povezana oziroma odvisna od </w:t>
      </w:r>
      <w:r w:rsidR="006A0479">
        <w:rPr>
          <w:rFonts w:eastAsiaTheme="minorEastAsia" w:cs="Arial"/>
          <w:szCs w:val="20"/>
          <w:lang w:val="sl-SI"/>
        </w:rPr>
        <w:t xml:space="preserve">drugih </w:t>
      </w:r>
      <w:r w:rsidRPr="004E40B8">
        <w:rPr>
          <w:rFonts w:eastAsiaTheme="minorEastAsia" w:cs="Arial"/>
          <w:szCs w:val="20"/>
          <w:lang w:val="sl-SI"/>
        </w:rPr>
        <w:t xml:space="preserve">določb zakonskega predloga, je pa potrebna zaradi lažjega kadrovskega zapolnjevanja SDT. </w:t>
      </w:r>
      <w:r w:rsidR="00D81FA7">
        <w:rPr>
          <w:rFonts w:eastAsiaTheme="minorEastAsia" w:cs="Arial"/>
          <w:szCs w:val="20"/>
          <w:lang w:val="sl-SI"/>
        </w:rPr>
        <w:t xml:space="preserve">Poleg tega </w:t>
      </w:r>
      <w:r w:rsidRPr="004E40B8">
        <w:rPr>
          <w:rFonts w:eastAsiaTheme="minorEastAsia" w:cs="Arial"/>
          <w:szCs w:val="20"/>
          <w:lang w:val="sl-SI"/>
        </w:rPr>
        <w:t>se bo z dnem uveljavitve predloga zakona začel uporabljati tudi 25. člen predloga zakona, ki določa prehodno ureditev plačnega razreda funkcije okrajnega državnega tožilca svetnika. Določbe navedenega člena omogočajo določitev in obračun plače okrajnega državnega tožilca svetnika v skladu z določbami ZSTSPJS in hkrati predstavljajo osnovo za prevedbo okrajnega državnega tožilca svetnika, zato se morajo začeti uporabljati že ob uveljavitvi zakona, saj bodo 1. 1. 2027 funkcije okrajnih državnih tožilcev ukinjene.</w:t>
      </w:r>
    </w:p>
    <w:p w14:paraId="3994F35B" w14:textId="77777777" w:rsidR="00331D90" w:rsidRPr="004E40B8" w:rsidRDefault="00331D90" w:rsidP="004E40B8">
      <w:pPr>
        <w:shd w:val="clear" w:color="auto" w:fill="FFFFFF" w:themeFill="background1"/>
        <w:spacing w:line="260" w:lineRule="exact"/>
        <w:jc w:val="both"/>
        <w:rPr>
          <w:rFonts w:eastAsiaTheme="minorEastAsia" w:cs="Arial"/>
          <w:szCs w:val="20"/>
          <w:lang w:val="sl-SI"/>
        </w:rPr>
      </w:pPr>
    </w:p>
    <w:p w14:paraId="2248BECE" w14:textId="77777777" w:rsidR="00331D90" w:rsidRPr="004E40B8" w:rsidRDefault="00331D90" w:rsidP="004E40B8">
      <w:pPr>
        <w:spacing w:line="260" w:lineRule="exact"/>
        <w:jc w:val="center"/>
        <w:rPr>
          <w:rFonts w:eastAsiaTheme="minorEastAsia" w:cs="Arial"/>
          <w:szCs w:val="20"/>
          <w:lang w:val="sl-SI"/>
        </w:rPr>
      </w:pPr>
    </w:p>
    <w:p w14:paraId="5BCCA905" w14:textId="77777777" w:rsidR="00331D90" w:rsidRPr="008D7697" w:rsidRDefault="00331D90" w:rsidP="004E40B8">
      <w:pPr>
        <w:pStyle w:val="alineazaodstavkom2"/>
        <w:spacing w:line="260" w:lineRule="exact"/>
        <w:ind w:firstLine="0"/>
        <w:rPr>
          <w:rFonts w:ascii="Arial" w:eastAsia="Arial" w:hAnsi="Arial" w:cs="Arial"/>
          <w:sz w:val="20"/>
          <w:szCs w:val="20"/>
          <w:lang w:val="sl-SI"/>
        </w:rPr>
      </w:pPr>
    </w:p>
    <w:p w14:paraId="557D09E5" w14:textId="77777777" w:rsidR="00331D90" w:rsidRDefault="00331D90" w:rsidP="004E40B8">
      <w:pPr>
        <w:pStyle w:val="alineazaodstavkom2"/>
        <w:spacing w:line="260" w:lineRule="exact"/>
        <w:ind w:firstLine="0"/>
        <w:rPr>
          <w:rFonts w:ascii="Arial" w:eastAsia="Arial" w:hAnsi="Arial" w:cs="Arial"/>
          <w:sz w:val="20"/>
          <w:szCs w:val="20"/>
          <w:lang w:val="sl-SI"/>
        </w:rPr>
      </w:pPr>
    </w:p>
    <w:p w14:paraId="3087F91D"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2D3BA3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D6B38A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ACA703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0F697D0A"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7F07AF7"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703D36B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059A50CB"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34D727B"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0682AD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46F4306"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20B06DEE"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989101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4ADB1F9"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857D0BA"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49E214D"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5F615BAE"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C056218"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4BA9788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610AD36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7557874F"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BF5B153"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15443FB5"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0D3C7D83"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64A7B752"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1130AF7D"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13C91B11"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252007AF"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58D39A5E"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48D5E12A"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502BDA01"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3D5738B9"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5627DB4F" w14:textId="77777777" w:rsidR="0025591D" w:rsidRDefault="0025591D" w:rsidP="004E40B8">
      <w:pPr>
        <w:pStyle w:val="alineazaodstavkom2"/>
        <w:spacing w:line="260" w:lineRule="exact"/>
        <w:ind w:firstLine="0"/>
        <w:rPr>
          <w:rFonts w:ascii="Arial" w:eastAsia="Arial" w:hAnsi="Arial" w:cs="Arial"/>
          <w:sz w:val="20"/>
          <w:szCs w:val="20"/>
          <w:lang w:val="sl-SI"/>
        </w:rPr>
      </w:pPr>
    </w:p>
    <w:p w14:paraId="77AA2A98" w14:textId="77777777" w:rsidR="00EA788D" w:rsidRDefault="00EA788D" w:rsidP="004E40B8">
      <w:pPr>
        <w:pStyle w:val="alineazaodstavkom2"/>
        <w:spacing w:line="260" w:lineRule="exact"/>
        <w:ind w:firstLine="0"/>
        <w:rPr>
          <w:rFonts w:ascii="Arial" w:eastAsia="Arial" w:hAnsi="Arial" w:cs="Arial"/>
          <w:sz w:val="20"/>
          <w:szCs w:val="20"/>
          <w:lang w:val="sl-SI"/>
        </w:rPr>
      </w:pPr>
    </w:p>
    <w:p w14:paraId="2C82B531" w14:textId="77777777" w:rsidR="005330D0" w:rsidRPr="008D7697" w:rsidRDefault="005330D0" w:rsidP="00A82F2D">
      <w:pPr>
        <w:pStyle w:val="alineazaodstavkom2"/>
        <w:spacing w:line="260" w:lineRule="exact"/>
        <w:ind w:firstLine="0"/>
        <w:rPr>
          <w:rFonts w:ascii="Arial" w:eastAsia="Arial" w:hAnsi="Arial" w:cs="Arial"/>
          <w:sz w:val="20"/>
          <w:szCs w:val="20"/>
          <w:lang w:val="sl-SI"/>
        </w:rPr>
      </w:pPr>
    </w:p>
    <w:p w14:paraId="61CDA3A7" w14:textId="77777777" w:rsidR="00331D90" w:rsidRPr="00CD5AB3" w:rsidRDefault="00331D90" w:rsidP="00A82F2D">
      <w:pPr>
        <w:pStyle w:val="alineazaodstavkom2"/>
        <w:spacing w:line="260" w:lineRule="exact"/>
        <w:ind w:firstLine="0"/>
        <w:rPr>
          <w:rFonts w:ascii="Arial" w:eastAsia="Arial" w:hAnsi="Arial" w:cs="Arial"/>
          <w:sz w:val="20"/>
          <w:szCs w:val="20"/>
          <w:lang w:val="sl-SI"/>
        </w:rPr>
      </w:pPr>
      <w:r w:rsidRPr="00CD5AB3">
        <w:rPr>
          <w:rFonts w:ascii="Arial" w:hAnsi="Arial" w:cs="Arial"/>
          <w:b/>
          <w:bCs/>
          <w:sz w:val="20"/>
          <w:szCs w:val="20"/>
          <w:lang w:val="sl-SI"/>
        </w:rPr>
        <w:t>IV. BESEDILO ČLENOV, KI SE SPREMINJAJO</w:t>
      </w:r>
    </w:p>
    <w:p w14:paraId="290C3794" w14:textId="77777777" w:rsidR="00331D90" w:rsidRPr="00CD5AB3" w:rsidRDefault="00331D90" w:rsidP="00A82F2D">
      <w:pPr>
        <w:pStyle w:val="alineazaodstavkom2"/>
        <w:spacing w:line="260" w:lineRule="exact"/>
        <w:ind w:firstLine="0"/>
        <w:rPr>
          <w:rFonts w:ascii="Arial" w:eastAsia="Arial" w:hAnsi="Arial" w:cs="Arial"/>
          <w:b/>
          <w:bCs/>
          <w:sz w:val="20"/>
          <w:szCs w:val="20"/>
          <w:lang w:val="sl-SI"/>
        </w:rPr>
      </w:pPr>
    </w:p>
    <w:p w14:paraId="54BCF08C"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21. člen</w:t>
      </w:r>
    </w:p>
    <w:p w14:paraId="6F65052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(nastopanje pred sodišči)</w:t>
      </w:r>
    </w:p>
    <w:p w14:paraId="118357ED" w14:textId="77777777" w:rsidR="00331D90" w:rsidRPr="00CD5AB3" w:rsidRDefault="00331D90" w:rsidP="00A82F2D">
      <w:pPr>
        <w:shd w:val="clear" w:color="auto" w:fill="FFFFFF"/>
        <w:spacing w:line="260" w:lineRule="exact"/>
        <w:jc w:val="center"/>
        <w:rPr>
          <w:rFonts w:cs="Arial"/>
          <w:b/>
          <w:bCs/>
          <w:szCs w:val="20"/>
          <w:lang w:val="sl-SI" w:eastAsia="sl-SI"/>
        </w:rPr>
      </w:pPr>
    </w:p>
    <w:p w14:paraId="76D0DFC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Pred okrajnimi sodišči lahko nastopajo državni tožilci, ki imajo najmanj naziv okrajnega državnega tožilca.</w:t>
      </w:r>
    </w:p>
    <w:p w14:paraId="46250C5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656363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Pred okrožnimi sodišči lahko nastopajo državni tožilci, ki imajo najmanj naziv okrožnega državnega tožilca.</w:t>
      </w:r>
    </w:p>
    <w:p w14:paraId="046A13E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48A426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Pred višjimi sodišči lahko nastopajo državni tožilci, ki imajo najmanj naziv višjega državnega tožilca.</w:t>
      </w:r>
    </w:p>
    <w:p w14:paraId="77237B0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733D28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Pred Vrhovnim sodiščem Republike Slovenije (v nadaljnjem besedilu: Vrhovno sodišče) lahko nastopajo samo vrhovni državni tožilci.</w:t>
      </w:r>
    </w:p>
    <w:p w14:paraId="0A2038D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130977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Ne glede na drugi odstavek tega člena lahko pred okrožnimi sodišči nastopajo tudi okrajni državni tožilci, a le v okviru pooblastil, ki jih za določene vrste zadev, za posamezno zadevo, za določene vrste procesnih dejanj ali za posamezno procesno dejanje posebej določi vodja državnega tožilstva. Za posamezno procesno dejanje posebej lahko pooblasti okrajnega državnega tožilca za nastopanje pred okrožnim sodiščem tudi pristojni državni tožilec.</w:t>
      </w:r>
    </w:p>
    <w:p w14:paraId="102FC5D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3C67F0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(6) Ne glede na tretji odstavek tega člena lahko v postopku pred pritožbenim sodiščem druge stopnje po pooblastilu, ki ga za posamezno zadevo določi vodja pristojnega pritožbenega oddelka s soglasjem vodje pristojnega državnega tožilstva, nastopajo skupaj z višjim državnim tožilcem tudi okrajni oziroma okrožni državni tožilci, ki so vložili oziroma zastopali kazensko obtožbo v postopku na prvi stopnji.</w:t>
      </w:r>
    </w:p>
    <w:p w14:paraId="410353C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7B0FFC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(7) Ne glede na prvi do četrti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Vrhovnim sodiščem pa le, če ne gre za postopek z izrednimi pravnimi sredstvi. V postopku z izrednimi pravnimi sredstvi lahko po pooblastilu, ki ga za posamezno zadevo določi generalni državni tožilec, nastopa skupaj z vrhovnim državnim tožilcem.</w:t>
      </w:r>
    </w:p>
    <w:p w14:paraId="1C509DDB" w14:textId="77777777" w:rsidR="00331D90" w:rsidRPr="00CD5AB3" w:rsidRDefault="00331D90" w:rsidP="00A82F2D">
      <w:pPr>
        <w:spacing w:line="260" w:lineRule="exact"/>
        <w:jc w:val="both"/>
        <w:rPr>
          <w:rFonts w:eastAsiaTheme="minorEastAsia" w:cs="Arial"/>
          <w:b/>
          <w:bCs/>
          <w:szCs w:val="20"/>
          <w:lang w:val="sl-SI"/>
        </w:rPr>
      </w:pPr>
    </w:p>
    <w:p w14:paraId="5BC48F02" w14:textId="77777777" w:rsidR="00331D90" w:rsidRPr="00CD5AB3" w:rsidRDefault="00331D90" w:rsidP="00A82F2D">
      <w:pPr>
        <w:spacing w:line="260" w:lineRule="exact"/>
        <w:jc w:val="both"/>
        <w:rPr>
          <w:rFonts w:eastAsiaTheme="minorEastAsia" w:cs="Arial"/>
          <w:b/>
          <w:bCs/>
          <w:szCs w:val="20"/>
          <w:lang w:val="sl-SI"/>
        </w:rPr>
      </w:pPr>
    </w:p>
    <w:p w14:paraId="1EAF1F4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22. člen</w:t>
      </w:r>
    </w:p>
    <w:p w14:paraId="3F4F178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(državnotožilska mesta, nazivi in položaji)</w:t>
      </w:r>
    </w:p>
    <w:p w14:paraId="58461C69" w14:textId="77777777" w:rsidR="00331D90" w:rsidRPr="00CD5AB3" w:rsidRDefault="00331D90" w:rsidP="00A82F2D">
      <w:pPr>
        <w:shd w:val="clear" w:color="auto" w:fill="FFFFFF"/>
        <w:spacing w:line="260" w:lineRule="exact"/>
        <w:jc w:val="center"/>
        <w:rPr>
          <w:rFonts w:cs="Arial"/>
          <w:b/>
          <w:bCs/>
          <w:szCs w:val="20"/>
          <w:lang w:val="sl-SI" w:eastAsia="sl-SI"/>
        </w:rPr>
      </w:pPr>
    </w:p>
    <w:p w14:paraId="14BCD2D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Državnotožilska služba se na državnotožilskih mestih opravlja v državnotožilskih nazivih okrajni državni tožilec, okrožni državni tožilec, višji državni tožilec, vrhovni državni tožilec oziroma na položajih okrajni državni tožilec svetnik, okrožni državni tožilec svetnik, višji državni tožilec svetnik in vrhovni državni tožilec svetnik.</w:t>
      </w:r>
    </w:p>
    <w:p w14:paraId="2AF1751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C26F92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Z imenovanjem na državnotožilsko mesto na okrožnem državnem tožilstvu, ki se opravlja v nazivu okrajnega državnega tožilca, pridobi državni tožilec naziv okrajnega državnega tožilca.</w:t>
      </w:r>
    </w:p>
    <w:p w14:paraId="4E30632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1585B7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Z imenovanjem na državnotožilsko mesto na okrožnem državnem tožilstvu, ki se opravlja v nazivu okrožnega državnega tožilca, pridobi državni tožilec naziv okrožnega državnega tožilca.</w:t>
      </w:r>
    </w:p>
    <w:p w14:paraId="25B9694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5079C9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Z imenovanjem na državnotožilsko mesto na okrožnem ali Vrhovnem državnem tožilstvu, ki se opravlja v nazivu višjega državnega tožilca, pridobi državni tožilec naziv višjega državnega tožilca.</w:t>
      </w:r>
    </w:p>
    <w:p w14:paraId="200FD6C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AF5C6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Z imenovanjem na državnotožilsko mesto na Vrhovnem državnem tožilstvu, ki se opravlja v nazivu vrhovnega državnega tožilca, pridobi državni tožilec naziv vrhovnega državnega tožilca.</w:t>
      </w:r>
    </w:p>
    <w:p w14:paraId="547963B0" w14:textId="77777777" w:rsidR="00331D90" w:rsidRPr="00CD5AB3" w:rsidRDefault="00331D90" w:rsidP="00A82F2D">
      <w:pPr>
        <w:shd w:val="clear" w:color="auto" w:fill="FFFFFF"/>
        <w:spacing w:line="260" w:lineRule="exact"/>
        <w:jc w:val="both"/>
        <w:rPr>
          <w:rFonts w:cs="Arial"/>
          <w:szCs w:val="20"/>
          <w:lang w:val="sl-SI" w:eastAsia="sl-SI"/>
        </w:rPr>
      </w:pPr>
    </w:p>
    <w:p w14:paraId="4FF24994" w14:textId="77777777" w:rsidR="00331D90" w:rsidRPr="00CD5AB3" w:rsidRDefault="00331D90" w:rsidP="00A82F2D">
      <w:pPr>
        <w:shd w:val="clear" w:color="auto" w:fill="FFFFFF"/>
        <w:spacing w:line="260" w:lineRule="exact"/>
        <w:jc w:val="center"/>
        <w:rPr>
          <w:rFonts w:cs="Arial"/>
          <w:b/>
          <w:bCs/>
          <w:szCs w:val="20"/>
          <w:lang w:val="sl-SI" w:eastAsia="sl-SI"/>
        </w:rPr>
      </w:pPr>
    </w:p>
    <w:p w14:paraId="1CFD8929"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23. člen</w:t>
      </w:r>
    </w:p>
    <w:p w14:paraId="4583ADE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(splošni in posebni pogoji)</w:t>
      </w:r>
    </w:p>
    <w:p w14:paraId="67B45A9A" w14:textId="77777777" w:rsidR="00331D90" w:rsidRPr="00CD5AB3" w:rsidRDefault="00331D90" w:rsidP="00A82F2D">
      <w:pPr>
        <w:shd w:val="clear" w:color="auto" w:fill="FFFFFF"/>
        <w:spacing w:line="260" w:lineRule="exact"/>
        <w:ind w:firstLine="1021"/>
        <w:jc w:val="center"/>
        <w:rPr>
          <w:rFonts w:cs="Arial"/>
          <w:b/>
          <w:bCs/>
          <w:szCs w:val="20"/>
          <w:lang w:val="sl-SI" w:eastAsia="sl-SI"/>
        </w:rPr>
      </w:pPr>
    </w:p>
    <w:p w14:paraId="0D04A94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Za državnega tožilca je lahko imenovan, kdor izpolnjuje splošne pogoje za izvolitev v sodniško funkcijo po zakonu, ki ureja sodniško službo (v nadaljnjem besedilu: splošni pogoji), ter posebne pogoje za imenovanje na državnotožilsko mesto, ki jih določa ta zakon.</w:t>
      </w:r>
    </w:p>
    <w:p w14:paraId="06DFC34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152EEC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Za imenovanje državnega tožilca, ki bo opravljal državnotožilsko službo na mestu, za katero je skladno z odredbo o številu mest državnih tožilcev v razpisu določeno znanje italijanskega oziroma madžarskega jezika, se poleg pogojev iz prejšnjega odstavka določi tudi pogoj višje ravni znanja tega jezika.</w:t>
      </w:r>
    </w:p>
    <w:p w14:paraId="75A02C46" w14:textId="77777777" w:rsidR="00331D90" w:rsidRPr="00CD5AB3" w:rsidRDefault="00331D90" w:rsidP="00A82F2D">
      <w:pPr>
        <w:spacing w:line="260" w:lineRule="exact"/>
        <w:jc w:val="both"/>
        <w:rPr>
          <w:rFonts w:eastAsiaTheme="minorEastAsia" w:cs="Arial"/>
          <w:b/>
          <w:bCs/>
          <w:szCs w:val="20"/>
          <w:lang w:val="sl-SI"/>
        </w:rPr>
      </w:pPr>
    </w:p>
    <w:p w14:paraId="1CCF78A9" w14:textId="77777777" w:rsidR="00331D90" w:rsidRPr="00CD5AB3" w:rsidRDefault="00331D90" w:rsidP="00A82F2D">
      <w:pPr>
        <w:spacing w:line="260" w:lineRule="exact"/>
        <w:jc w:val="both"/>
        <w:rPr>
          <w:rFonts w:eastAsiaTheme="minorEastAsia" w:cs="Arial"/>
          <w:b/>
          <w:bCs/>
          <w:szCs w:val="20"/>
          <w:lang w:val="sl-SI"/>
        </w:rPr>
      </w:pPr>
    </w:p>
    <w:p w14:paraId="5E54AF5A"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24. člen</w:t>
      </w:r>
    </w:p>
    <w:p w14:paraId="71D8063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(okrajni državni tožilec)</w:t>
      </w:r>
    </w:p>
    <w:p w14:paraId="0773ECEA" w14:textId="77777777" w:rsidR="00331D90" w:rsidRPr="00CD5AB3" w:rsidRDefault="00331D90" w:rsidP="00A82F2D">
      <w:pPr>
        <w:shd w:val="clear" w:color="auto" w:fill="FFFFFF"/>
        <w:spacing w:line="260" w:lineRule="exact"/>
        <w:jc w:val="center"/>
        <w:rPr>
          <w:rFonts w:cs="Arial"/>
          <w:b/>
          <w:bCs/>
          <w:szCs w:val="20"/>
          <w:lang w:val="sl-SI" w:eastAsia="sl-SI"/>
        </w:rPr>
      </w:pPr>
    </w:p>
    <w:p w14:paraId="05547AA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Oseba, ki izpolnjuje splošne pogoje, je lahko imenovana na mesto okrajnega državnega tožilca, če izpolnjuje posebne pogoje za izvolitev na sodniško mesto na okrajnem sodišču (okrajni sodnik) po zakonu, ki ureja sodniško službo.</w:t>
      </w:r>
    </w:p>
    <w:p w14:paraId="14F1B0C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718B6C4" w14:textId="77777777" w:rsidR="00331D90" w:rsidRPr="00CD5AB3" w:rsidRDefault="00331D90" w:rsidP="00A82F2D">
      <w:pPr>
        <w:shd w:val="clear" w:color="auto" w:fill="FFFFFF"/>
        <w:spacing w:line="260" w:lineRule="exact"/>
        <w:jc w:val="both"/>
        <w:rPr>
          <w:rFonts w:cs="Arial"/>
          <w:szCs w:val="20"/>
          <w:lang w:val="sl-SI" w:eastAsia="sl-SI"/>
        </w:rPr>
      </w:pPr>
    </w:p>
    <w:p w14:paraId="2A282E3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25. člen</w:t>
      </w:r>
    </w:p>
    <w:p w14:paraId="62817926"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(okrožni državni tožilec)</w:t>
      </w:r>
    </w:p>
    <w:p w14:paraId="1C11951A" w14:textId="77777777" w:rsidR="00331D90" w:rsidRPr="00CD5AB3" w:rsidRDefault="00331D90" w:rsidP="00A82F2D">
      <w:pPr>
        <w:shd w:val="clear" w:color="auto" w:fill="FFFFFF"/>
        <w:spacing w:line="260" w:lineRule="exact"/>
        <w:jc w:val="center"/>
        <w:rPr>
          <w:rFonts w:cs="Arial"/>
          <w:b/>
          <w:bCs/>
          <w:szCs w:val="20"/>
          <w:lang w:val="sl-SI" w:eastAsia="sl-SI"/>
        </w:rPr>
      </w:pPr>
    </w:p>
    <w:p w14:paraId="6991C84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Oseba, ki izpolnjuje splošne pogoje, je lahko imenovana na državnotožilsko mesto, ki se opravlja v državnotožilskem nazivu okrožni državni tožilec, če:</w:t>
      </w:r>
    </w:p>
    <w:p w14:paraId="18BE4B94"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okrožnem sodišču (okrožni sodnik) po zakonu, ki ureja sodniško službo, ali</w:t>
      </w:r>
    </w:p>
    <w:p w14:paraId="57662E2D"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je najmanj tri leta opravljala državnotožilsko službo v nazivu okrajni državni tožilec.</w:t>
      </w:r>
    </w:p>
    <w:p w14:paraId="06066425"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3E3C9338"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34E8928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26. člen</w:t>
      </w:r>
    </w:p>
    <w:p w14:paraId="594A0DF2"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(višji državni tožilec)</w:t>
      </w:r>
    </w:p>
    <w:p w14:paraId="0905F301" w14:textId="77777777" w:rsidR="00331D90" w:rsidRPr="00CD5AB3" w:rsidRDefault="00331D90" w:rsidP="00A82F2D">
      <w:pPr>
        <w:shd w:val="clear" w:color="auto" w:fill="FFFFFF"/>
        <w:spacing w:line="260" w:lineRule="exact"/>
        <w:ind w:hanging="425"/>
        <w:jc w:val="center"/>
        <w:rPr>
          <w:rFonts w:cs="Arial"/>
          <w:b/>
          <w:bCs/>
          <w:szCs w:val="20"/>
          <w:lang w:val="sl-SI" w:eastAsia="sl-SI"/>
        </w:rPr>
      </w:pPr>
    </w:p>
    <w:p w14:paraId="44482B08"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Oseba, ki izpolnjuje splošne pogoje, je lahko imenovana na državnotožilsko mesto, ki se opravlja v državnotožilskem nazivu višji državni tožilec, če</w:t>
      </w:r>
    </w:p>
    <w:p w14:paraId="1FA79831"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lastRenderedPageBreak/>
        <w:t>-       izpolnjuje posebne pogoje za izvolitev na sodniško mesto na višjem sodišču (višji sodnik) po zakonu, ki ureja sodniško službo, ali</w:t>
      </w:r>
    </w:p>
    <w:p w14:paraId="7B8651CF"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je najmanj pet let uspešno opravljala državnotožilsko službo v nazivu okrožnega državnega tožilca.</w:t>
      </w:r>
    </w:p>
    <w:p w14:paraId="6AFD7360" w14:textId="77777777" w:rsidR="00331D90" w:rsidRPr="00CD5AB3" w:rsidRDefault="00331D90" w:rsidP="00A82F2D">
      <w:pPr>
        <w:shd w:val="clear" w:color="auto" w:fill="FFFFFF"/>
        <w:spacing w:line="260" w:lineRule="exact"/>
        <w:ind w:hanging="425"/>
        <w:jc w:val="both"/>
        <w:rPr>
          <w:rFonts w:cs="Arial"/>
          <w:b/>
          <w:bCs/>
          <w:szCs w:val="20"/>
          <w:lang w:val="sl-SI" w:eastAsia="sl-SI"/>
        </w:rPr>
      </w:pPr>
    </w:p>
    <w:p w14:paraId="18400969" w14:textId="77777777" w:rsidR="00331D90" w:rsidRPr="00CD5AB3" w:rsidRDefault="00331D90" w:rsidP="00A82F2D">
      <w:pPr>
        <w:shd w:val="clear" w:color="auto" w:fill="FFFFFF"/>
        <w:spacing w:line="260" w:lineRule="exact"/>
        <w:ind w:hanging="425"/>
        <w:jc w:val="both"/>
        <w:rPr>
          <w:rFonts w:cs="Arial"/>
          <w:b/>
          <w:bCs/>
          <w:szCs w:val="20"/>
          <w:lang w:val="sl-SI" w:eastAsia="sl-SI"/>
        </w:rPr>
      </w:pPr>
    </w:p>
    <w:p w14:paraId="6BB5CB6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27. člen</w:t>
      </w:r>
    </w:p>
    <w:p w14:paraId="3848E21F"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(vrhovni državni tožilec)</w:t>
      </w:r>
    </w:p>
    <w:p w14:paraId="5F177FA0"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2387F81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Oseba, ki izpolnjuje splošne pogoje, je lahko imenovana na državnotožilsko mesto, ki se opravlja v državnotožilskem nazivu vrhovni državni tožilec, če</w:t>
      </w:r>
    </w:p>
    <w:p w14:paraId="3245517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izpolnjuje posebne pogoje za izvolitev na sodniško mesto na vrhovnem sodišču (vrhovni sodnik) po zakonu, ki ureja sodniško službo, ali</w:t>
      </w:r>
    </w:p>
    <w:p w14:paraId="2853042B"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je najmanj pet let uspešno opravljala državnotožilsko službo v nazivu višjega državnega tožilca, ali</w:t>
      </w:r>
    </w:p>
    <w:p w14:paraId="13D3B978"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je najmanj deset let uspešno opravljala državnotožilsko službo v nazivu okrožnega državnega tožilca.</w:t>
      </w:r>
    </w:p>
    <w:p w14:paraId="3C7EEDE3"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6C78E744" w14:textId="77777777" w:rsidR="00331D90" w:rsidRPr="00CD5AB3" w:rsidRDefault="00331D90" w:rsidP="00A82F2D">
      <w:pPr>
        <w:shd w:val="clear" w:color="auto" w:fill="FFFFFF"/>
        <w:spacing w:line="260" w:lineRule="exact"/>
        <w:jc w:val="both"/>
        <w:rPr>
          <w:rFonts w:cs="Arial"/>
          <w:szCs w:val="20"/>
          <w:lang w:val="sl-SI" w:eastAsia="sl-SI"/>
        </w:rPr>
      </w:pPr>
    </w:p>
    <w:p w14:paraId="754D18A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37. člen</w:t>
      </w:r>
    </w:p>
    <w:p w14:paraId="29B8CA8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(napredovanje)</w:t>
      </w:r>
    </w:p>
    <w:p w14:paraId="313DF4CF" w14:textId="77777777" w:rsidR="00331D90" w:rsidRPr="00CD5AB3" w:rsidRDefault="00331D90" w:rsidP="00A82F2D">
      <w:pPr>
        <w:shd w:val="clear" w:color="auto" w:fill="FFFFFF"/>
        <w:spacing w:line="260" w:lineRule="exact"/>
        <w:jc w:val="center"/>
        <w:rPr>
          <w:rFonts w:cs="Arial"/>
          <w:b/>
          <w:bCs/>
          <w:szCs w:val="20"/>
          <w:lang w:val="sl-SI" w:eastAsia="sl-SI"/>
        </w:rPr>
      </w:pPr>
    </w:p>
    <w:p w14:paraId="30E56E4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 nastopom državnotožilske službe pridobi državni tožilec pravico do napredovanja v skladu s pogoji, ki jih določa ta zakon.</w:t>
      </w:r>
    </w:p>
    <w:p w14:paraId="6CC4AC2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00C3E0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Napredovanje je lahko:</w:t>
      </w:r>
    </w:p>
    <w:p w14:paraId="00B3D2A2"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v plačnih razredih znotraj razpona plačnih razredov za posamezen državnotožilski naziv;</w:t>
      </w:r>
    </w:p>
    <w:p w14:paraId="0DA446A7"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v višji državnotožilski naziv;</w:t>
      </w:r>
    </w:p>
    <w:p w14:paraId="7237382D"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na višje državnotožilsko mesto;</w:t>
      </w:r>
    </w:p>
    <w:p w14:paraId="4B7314F0"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na položaj svetnika.</w:t>
      </w:r>
    </w:p>
    <w:p w14:paraId="18F723B7"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5C21E5D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O napredovanju v plačnih razredih, na položaj svetnika, v naziv okrožnega in višjega državnega tožilca odloča Državnotožilski svet.</w:t>
      </w:r>
    </w:p>
    <w:p w14:paraId="1B7C4CF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AA0847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O napredovanju v naziv vrhovni državni tožilec odloča Vlada Republike Slovenije na predlog Državnotožilskega sveta.</w:t>
      </w:r>
    </w:p>
    <w:p w14:paraId="4B072EB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D98CA2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O napredovanju se odloča po izvedenem postopku ugotavljanja uspešnosti, kakovosti in strokovnosti dela državnega tožilca na predlog državnega tožilca ali pristojnega vodje državnega tožilstva.</w:t>
      </w:r>
    </w:p>
    <w:p w14:paraId="198FE43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03274F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(6) Napredovanje na višje državnotožilsko mesto se izvede smiselno po določbah prejšnjega oddelka tega zakona.</w:t>
      </w:r>
    </w:p>
    <w:p w14:paraId="6ABEB61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15BB82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(7) Za izdelavo ocene državnotožilske službe je pristojen Državnotožilski svet.</w:t>
      </w:r>
    </w:p>
    <w:p w14:paraId="26B5051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9920BE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(8) Če ta zakon ne določa drugače, se glede napredovanja državnih tožilcev, kriterijev za izbiro in napredovanje ter za ocenjevanje dela državnih tožilcev smiselno uporabljajo določbe zakona, ki ureja sodniško službo.</w:t>
      </w:r>
    </w:p>
    <w:p w14:paraId="42DFFCC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5F23AC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8C6039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55. člen</w:t>
      </w:r>
    </w:p>
    <w:p w14:paraId="3F84982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(druge pravice državnega tožilca)</w:t>
      </w:r>
    </w:p>
    <w:p w14:paraId="5CCD6036"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DF0EE3A"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 s tem zakonom določeno drugače, ima državni tožilec poleg pravice do plače tudi pravico do prejemkov, dodatkov, plačil, nadomestil in povračil v enakih primerih ter v enaki višini, kakor sodnik ustreznega naziva oziroma položaja.</w:t>
      </w:r>
    </w:p>
    <w:p w14:paraId="2EF0158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B7638C0"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Če ni s tem zakonom določeno drugače, se za odločanje o pravicah iz prejšnjega odstavka smiselno uporabljajo določbe zakona, ki ureja sodniško službo.</w:t>
      </w:r>
    </w:p>
    <w:p w14:paraId="116C08C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8986FE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B0A2666"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57. člen</w:t>
      </w:r>
    </w:p>
    <w:p w14:paraId="1F6FC82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(pravica do dopusta)</w:t>
      </w:r>
    </w:p>
    <w:p w14:paraId="1E5D9938" w14:textId="77777777" w:rsidR="00331D90" w:rsidRPr="00CD5AB3" w:rsidRDefault="00331D90" w:rsidP="00A82F2D">
      <w:pPr>
        <w:shd w:val="clear" w:color="auto" w:fill="FFFFFF"/>
        <w:spacing w:line="260" w:lineRule="exact"/>
        <w:jc w:val="center"/>
        <w:rPr>
          <w:rFonts w:cs="Arial"/>
          <w:b/>
          <w:bCs/>
          <w:szCs w:val="20"/>
          <w:lang w:val="sl-SI" w:eastAsia="sl-SI"/>
        </w:rPr>
      </w:pPr>
    </w:p>
    <w:p w14:paraId="07CBBD2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Državni tožilec ima pravico do letnega dopusta najmanj 30, vendar ne več kakor 40 delovnih dni.</w:t>
      </w:r>
    </w:p>
    <w:p w14:paraId="2E2469C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5FA73E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Državni tožilec ima pravico do izrednega plačanega dopusta do sedem delovnih dni v posameznem koledarskem letu iz osebnih razlogov.</w:t>
      </w:r>
    </w:p>
    <w:p w14:paraId="343DF7E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85C4A9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Če državni tožilec kandidira za poslanca ali predsednika republike, ima od dneva potrditve kandidature pravico do izrednega plačanega dopusta 30 delovnih dni za pripravo na volitve.</w:t>
      </w:r>
    </w:p>
    <w:p w14:paraId="17A6250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BE72A6C"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 drugih izjemnih primerih se lahko državnemu tožilcu odobri izredni neplačani dopust do 30 dni v koledarskem letu.</w:t>
      </w:r>
    </w:p>
    <w:p w14:paraId="4E5369D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111546B" w14:textId="77777777" w:rsidR="00331D90"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Merila za trajanje dopusta ter primere in pogoje iz prejšnjih odstavkov določi minister v soglasju z Državnotožilskim svetom.</w:t>
      </w:r>
    </w:p>
    <w:p w14:paraId="1F2FC8B3" w14:textId="77777777" w:rsidR="00B96497" w:rsidRDefault="00B96497" w:rsidP="00A82F2D">
      <w:pPr>
        <w:shd w:val="clear" w:color="auto" w:fill="FFFFFF"/>
        <w:spacing w:line="260" w:lineRule="exact"/>
        <w:ind w:firstLine="1021"/>
        <w:jc w:val="both"/>
        <w:rPr>
          <w:rFonts w:cs="Arial"/>
          <w:szCs w:val="20"/>
          <w:lang w:val="sl-SI" w:eastAsia="sl-SI"/>
        </w:rPr>
      </w:pPr>
    </w:p>
    <w:p w14:paraId="2A52F4A8" w14:textId="77777777" w:rsidR="00B96497" w:rsidRDefault="00B96497" w:rsidP="00A82F2D">
      <w:pPr>
        <w:shd w:val="clear" w:color="auto" w:fill="FFFFFF"/>
        <w:spacing w:line="260" w:lineRule="exact"/>
        <w:ind w:firstLine="1021"/>
        <w:jc w:val="both"/>
        <w:rPr>
          <w:rFonts w:cs="Arial"/>
          <w:szCs w:val="20"/>
          <w:lang w:val="sl-SI" w:eastAsia="sl-SI"/>
        </w:rPr>
      </w:pPr>
    </w:p>
    <w:p w14:paraId="760B731A" w14:textId="77777777" w:rsidR="00B96497" w:rsidRPr="00B96497" w:rsidRDefault="00B96497" w:rsidP="00A82F2D">
      <w:pPr>
        <w:shd w:val="clear" w:color="auto" w:fill="FFFFFF"/>
        <w:spacing w:line="260" w:lineRule="exact"/>
        <w:jc w:val="center"/>
        <w:rPr>
          <w:rFonts w:cs="Arial"/>
          <w:b/>
          <w:bCs/>
          <w:szCs w:val="20"/>
          <w:lang w:val="sl-SI" w:eastAsia="sl-SI"/>
        </w:rPr>
      </w:pPr>
      <w:r w:rsidRPr="00B96497">
        <w:rPr>
          <w:rFonts w:cs="Arial"/>
          <w:b/>
          <w:bCs/>
          <w:szCs w:val="20"/>
          <w:lang w:val="sl-SI" w:eastAsia="sl-SI"/>
        </w:rPr>
        <w:t>58. člen</w:t>
      </w:r>
    </w:p>
    <w:p w14:paraId="304BA2C2" w14:textId="77777777" w:rsidR="00B96497" w:rsidRDefault="00B96497" w:rsidP="00A82F2D">
      <w:pPr>
        <w:shd w:val="clear" w:color="auto" w:fill="FFFFFF"/>
        <w:spacing w:line="260" w:lineRule="exact"/>
        <w:jc w:val="center"/>
        <w:rPr>
          <w:rFonts w:cs="Arial"/>
          <w:b/>
          <w:bCs/>
          <w:szCs w:val="20"/>
          <w:lang w:val="sl-SI" w:eastAsia="sl-SI"/>
        </w:rPr>
      </w:pPr>
      <w:r w:rsidRPr="00B96497">
        <w:rPr>
          <w:rFonts w:cs="Arial"/>
          <w:b/>
          <w:bCs/>
          <w:szCs w:val="20"/>
          <w:lang w:val="sl-SI" w:eastAsia="sl-SI"/>
        </w:rPr>
        <w:t>(službeno oblačilo)</w:t>
      </w:r>
    </w:p>
    <w:p w14:paraId="1B622E8C" w14:textId="77777777" w:rsidR="00B96497" w:rsidRPr="00B96497" w:rsidRDefault="00B96497" w:rsidP="00A82F2D">
      <w:pPr>
        <w:shd w:val="clear" w:color="auto" w:fill="FFFFFF"/>
        <w:spacing w:line="260" w:lineRule="exact"/>
        <w:jc w:val="center"/>
        <w:rPr>
          <w:rFonts w:cs="Arial"/>
          <w:b/>
          <w:bCs/>
          <w:szCs w:val="20"/>
          <w:lang w:val="sl-SI" w:eastAsia="sl-SI"/>
        </w:rPr>
      </w:pPr>
    </w:p>
    <w:p w14:paraId="60AFBF1F" w14:textId="733E0C6D" w:rsidR="00B96497" w:rsidRPr="00B96497" w:rsidRDefault="00B96497" w:rsidP="00A82F2D">
      <w:pPr>
        <w:shd w:val="clear" w:color="auto" w:fill="FFFFFF"/>
        <w:spacing w:line="260" w:lineRule="exact"/>
        <w:ind w:firstLine="1021"/>
        <w:jc w:val="both"/>
        <w:rPr>
          <w:rFonts w:cs="Arial"/>
          <w:szCs w:val="20"/>
          <w:lang w:val="sl-SI" w:eastAsia="sl-SI"/>
        </w:rPr>
      </w:pPr>
      <w:r w:rsidRPr="00B96497">
        <w:rPr>
          <w:rFonts w:cs="Arial"/>
          <w:szCs w:val="20"/>
          <w:lang w:val="sl-SI" w:eastAsia="sl-SI"/>
        </w:rPr>
        <w:t>(1</w:t>
      </w:r>
      <w:r>
        <w:rPr>
          <w:rFonts w:cs="Arial"/>
          <w:szCs w:val="20"/>
          <w:lang w:val="sl-SI" w:eastAsia="sl-SI"/>
        </w:rPr>
        <w:t xml:space="preserve">) </w:t>
      </w:r>
      <w:r w:rsidRPr="00B96497">
        <w:rPr>
          <w:rFonts w:cs="Arial"/>
          <w:szCs w:val="20"/>
          <w:lang w:val="sl-SI" w:eastAsia="sl-SI"/>
        </w:rPr>
        <w:t>Državnemu tožilcu pripada službeno oblačilo, to je državnotožilska toga.</w:t>
      </w:r>
    </w:p>
    <w:p w14:paraId="46F3695C" w14:textId="77777777" w:rsidR="00B96497" w:rsidRPr="00B96497" w:rsidRDefault="00B96497" w:rsidP="00A82F2D">
      <w:pPr>
        <w:spacing w:line="260" w:lineRule="exact"/>
        <w:ind w:firstLine="1021"/>
        <w:rPr>
          <w:lang w:val="sl-SI" w:eastAsia="sl-SI"/>
        </w:rPr>
      </w:pPr>
    </w:p>
    <w:p w14:paraId="5143EF83" w14:textId="77777777" w:rsidR="00B96497" w:rsidRDefault="00B96497" w:rsidP="00A82F2D">
      <w:pPr>
        <w:shd w:val="clear" w:color="auto" w:fill="FFFFFF"/>
        <w:spacing w:line="260" w:lineRule="exact"/>
        <w:ind w:firstLine="1021"/>
        <w:jc w:val="both"/>
        <w:rPr>
          <w:rFonts w:cs="Arial"/>
          <w:szCs w:val="20"/>
          <w:lang w:val="sl-SI" w:eastAsia="sl-SI"/>
        </w:rPr>
      </w:pPr>
      <w:r w:rsidRPr="00B96497">
        <w:rPr>
          <w:rFonts w:cs="Arial"/>
          <w:szCs w:val="20"/>
          <w:lang w:val="sl-SI" w:eastAsia="sl-SI"/>
        </w:rPr>
        <w:t>(2) Vrste službenih oblačil za državne tožilce v posameznih državnotožilskih nazivih in za vodje državnih tožilstev ter nošenje predpiše minister.</w:t>
      </w:r>
    </w:p>
    <w:p w14:paraId="68AF20B0" w14:textId="77777777" w:rsidR="00EE5749" w:rsidRDefault="00EE5749" w:rsidP="00A82F2D">
      <w:pPr>
        <w:shd w:val="clear" w:color="auto" w:fill="FFFFFF"/>
        <w:spacing w:line="260" w:lineRule="exact"/>
        <w:ind w:firstLine="1021"/>
        <w:jc w:val="both"/>
        <w:rPr>
          <w:rFonts w:cs="Arial"/>
          <w:szCs w:val="20"/>
          <w:lang w:val="sl-SI" w:eastAsia="sl-SI"/>
        </w:rPr>
      </w:pPr>
    </w:p>
    <w:p w14:paraId="27C1104D" w14:textId="77777777" w:rsidR="00EE5749" w:rsidRDefault="00EE5749" w:rsidP="00A82F2D">
      <w:pPr>
        <w:shd w:val="clear" w:color="auto" w:fill="FFFFFF"/>
        <w:spacing w:line="260" w:lineRule="exact"/>
        <w:ind w:firstLine="1021"/>
        <w:jc w:val="both"/>
        <w:rPr>
          <w:rFonts w:cs="Arial"/>
          <w:szCs w:val="20"/>
          <w:lang w:val="sl-SI" w:eastAsia="sl-SI"/>
        </w:rPr>
      </w:pPr>
    </w:p>
    <w:p w14:paraId="787C2E19" w14:textId="77777777" w:rsidR="00EE5749" w:rsidRPr="00EE5749" w:rsidRDefault="00EE5749" w:rsidP="00A82F2D">
      <w:pPr>
        <w:shd w:val="clear" w:color="auto" w:fill="FFFFFF"/>
        <w:spacing w:line="260" w:lineRule="exact"/>
        <w:jc w:val="center"/>
        <w:rPr>
          <w:rFonts w:cs="Arial"/>
          <w:b/>
          <w:bCs/>
          <w:szCs w:val="20"/>
          <w:lang w:val="sl-SI" w:eastAsia="sl-SI"/>
        </w:rPr>
      </w:pPr>
      <w:r w:rsidRPr="00EE5749">
        <w:rPr>
          <w:rFonts w:cs="Arial"/>
          <w:b/>
          <w:bCs/>
          <w:szCs w:val="20"/>
          <w:lang w:val="sl-SI" w:eastAsia="sl-SI"/>
        </w:rPr>
        <w:t>60. člen</w:t>
      </w:r>
    </w:p>
    <w:p w14:paraId="4F01749C" w14:textId="77777777" w:rsidR="00EE5749" w:rsidRDefault="00EE5749" w:rsidP="00A82F2D">
      <w:pPr>
        <w:shd w:val="clear" w:color="auto" w:fill="FFFFFF"/>
        <w:spacing w:line="260" w:lineRule="exact"/>
        <w:jc w:val="center"/>
        <w:rPr>
          <w:rFonts w:cs="Arial"/>
          <w:b/>
          <w:bCs/>
          <w:szCs w:val="20"/>
          <w:lang w:val="sl-SI" w:eastAsia="sl-SI"/>
        </w:rPr>
      </w:pPr>
      <w:r w:rsidRPr="00EE5749">
        <w:rPr>
          <w:rFonts w:cs="Arial"/>
          <w:b/>
          <w:bCs/>
          <w:szCs w:val="20"/>
          <w:lang w:val="sl-SI" w:eastAsia="sl-SI"/>
        </w:rPr>
        <w:t>(premestitev)</w:t>
      </w:r>
    </w:p>
    <w:p w14:paraId="7AE61035" w14:textId="77777777" w:rsidR="00EE5749" w:rsidRPr="00EE5749" w:rsidRDefault="00EE5749" w:rsidP="00A82F2D">
      <w:pPr>
        <w:shd w:val="clear" w:color="auto" w:fill="FFFFFF"/>
        <w:spacing w:line="260" w:lineRule="exact"/>
        <w:jc w:val="center"/>
        <w:rPr>
          <w:rFonts w:cs="Arial"/>
          <w:b/>
          <w:bCs/>
          <w:szCs w:val="20"/>
          <w:lang w:val="sl-SI" w:eastAsia="sl-SI"/>
        </w:rPr>
      </w:pPr>
    </w:p>
    <w:p w14:paraId="05E36482" w14:textId="52F69984"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(1</w:t>
      </w:r>
      <w:r>
        <w:rPr>
          <w:rFonts w:cs="Arial"/>
          <w:szCs w:val="20"/>
          <w:lang w:val="sl-SI" w:eastAsia="sl-SI"/>
        </w:rPr>
        <w:t xml:space="preserve">) </w:t>
      </w:r>
      <w:r w:rsidRPr="00EE5749">
        <w:rPr>
          <w:rFonts w:cs="Arial"/>
          <w:szCs w:val="20"/>
          <w:lang w:val="sl-SI" w:eastAsia="sl-SI"/>
        </w:rPr>
        <w:t>Državni tožilec je lahko po svojem vnaprejšnjem pisnem soglasju premeščen na drugo državno tožilstvo na predlog generalnega državnega tožilca in s soglasjem vodij obeh državnih tožilstev.</w:t>
      </w:r>
    </w:p>
    <w:p w14:paraId="53BC30CD" w14:textId="77777777" w:rsidR="00EE5749" w:rsidRPr="00EE5749" w:rsidRDefault="00EE5749" w:rsidP="00A82F2D">
      <w:pPr>
        <w:spacing w:line="260" w:lineRule="exact"/>
        <w:ind w:firstLine="1021"/>
        <w:rPr>
          <w:lang w:val="sl-SI" w:eastAsia="sl-SI"/>
        </w:rPr>
      </w:pPr>
    </w:p>
    <w:p w14:paraId="7F938EE9"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(2) Izjemoma je lahko državni tožilec premeščen na drugo državno tožilstvo brez svojega soglasja:</w:t>
      </w:r>
    </w:p>
    <w:p w14:paraId="5ADE8FFB"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lastRenderedPageBreak/>
        <w:t>1.     če se odpravi državno tožilstvo, v katerem opravlja državnotožilsko službo;</w:t>
      </w:r>
    </w:p>
    <w:p w14:paraId="27467C75"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2.     če se bistveno in za daljši čas zmanjša obseg dela državnega tožilstva ali se zaradi zmanjšanega obsega dela skrči število državnotožilskih mest pri državnem tožilstvu, pri katerem opravlja državnotožilsko službo;</w:t>
      </w:r>
    </w:p>
    <w:p w14:paraId="56215A09"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3.     če se spremeni organizacija državnih tožilstev;</w:t>
      </w:r>
    </w:p>
    <w:p w14:paraId="5887FAB0" w14:textId="77777777"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4.     v drugih primerih, ko zakon tako določa.</w:t>
      </w:r>
    </w:p>
    <w:p w14:paraId="2676D1A9" w14:textId="77777777" w:rsidR="00EE5749" w:rsidRDefault="00EE5749" w:rsidP="00A82F2D">
      <w:pPr>
        <w:shd w:val="clear" w:color="auto" w:fill="FFFFFF"/>
        <w:spacing w:line="260" w:lineRule="exact"/>
        <w:ind w:firstLine="1021"/>
        <w:jc w:val="both"/>
        <w:rPr>
          <w:rFonts w:cs="Arial"/>
          <w:szCs w:val="20"/>
          <w:lang w:val="sl-SI" w:eastAsia="sl-SI"/>
        </w:rPr>
      </w:pPr>
    </w:p>
    <w:p w14:paraId="73A90F98" w14:textId="1B299CF3"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(3) V primerih iz prejšnjega odstavka je treba državnemu tožilcu zagotoviti enako državnotožilsko mesto in enak plačni razred, kakršna je imel pred premestitvijo. Če to ni mogoče, se državnega tožilca premesti na drugo državno tožilstvo, ima pa pravico zadržati svoj prejšnji državnotožilski naziv in položaj ter svoj prejšnji plačni razred, če so bili višji, in pravico do napredovanja, kakršno je imel pred premestitvijo.</w:t>
      </w:r>
    </w:p>
    <w:p w14:paraId="7A1015DF" w14:textId="77777777" w:rsidR="00EE5749" w:rsidRDefault="00EE5749" w:rsidP="00A82F2D">
      <w:pPr>
        <w:shd w:val="clear" w:color="auto" w:fill="FFFFFF"/>
        <w:spacing w:line="260" w:lineRule="exact"/>
        <w:ind w:firstLine="1021"/>
        <w:jc w:val="both"/>
        <w:rPr>
          <w:rFonts w:cs="Arial"/>
          <w:szCs w:val="20"/>
          <w:lang w:val="sl-SI" w:eastAsia="sl-SI"/>
        </w:rPr>
      </w:pPr>
    </w:p>
    <w:p w14:paraId="37C83C5F" w14:textId="37560524"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(4) O premestitvi državnega tožilca po določbah prejšnjih odstavkov tega člena odloča oziroma jo, v primeru izrečene disciplinske sankcije, izvede Državnotožilski svet brez razpisa.</w:t>
      </w:r>
    </w:p>
    <w:p w14:paraId="3E65DDA1" w14:textId="77777777" w:rsidR="00EE5749" w:rsidRDefault="00EE5749" w:rsidP="00A82F2D">
      <w:pPr>
        <w:shd w:val="clear" w:color="auto" w:fill="FFFFFF"/>
        <w:spacing w:line="260" w:lineRule="exact"/>
        <w:ind w:firstLine="1021"/>
        <w:jc w:val="both"/>
        <w:rPr>
          <w:rFonts w:cs="Arial"/>
          <w:szCs w:val="20"/>
          <w:lang w:val="sl-SI" w:eastAsia="sl-SI"/>
        </w:rPr>
      </w:pPr>
    </w:p>
    <w:p w14:paraId="17C0CF9F" w14:textId="562401CC" w:rsidR="00EE5749" w:rsidRPr="00EE5749" w:rsidRDefault="00EE5749" w:rsidP="00A82F2D">
      <w:pPr>
        <w:shd w:val="clear" w:color="auto" w:fill="FFFFFF"/>
        <w:spacing w:line="260" w:lineRule="exact"/>
        <w:ind w:firstLine="1021"/>
        <w:jc w:val="both"/>
        <w:rPr>
          <w:rFonts w:cs="Arial"/>
          <w:szCs w:val="20"/>
          <w:lang w:val="sl-SI" w:eastAsia="sl-SI"/>
        </w:rPr>
      </w:pPr>
      <w:r w:rsidRPr="00EE5749">
        <w:rPr>
          <w:rFonts w:cs="Arial"/>
          <w:szCs w:val="20"/>
          <w:lang w:val="sl-SI" w:eastAsia="sl-SI"/>
        </w:rPr>
        <w:t>(5) Šteje se, da je s premestitvijo državni tožilec imenovan na državnotožilsko mesto pri državnem tožilstvu, na katero je premeščen.</w:t>
      </w:r>
    </w:p>
    <w:p w14:paraId="3FEBF213" w14:textId="77777777" w:rsidR="00EE5749" w:rsidRDefault="00EE5749" w:rsidP="00A82F2D">
      <w:pPr>
        <w:shd w:val="clear" w:color="auto" w:fill="FFFFFF"/>
        <w:spacing w:line="260" w:lineRule="exact"/>
        <w:ind w:firstLine="1021"/>
        <w:jc w:val="both"/>
        <w:rPr>
          <w:rFonts w:cs="Arial"/>
          <w:szCs w:val="20"/>
          <w:lang w:val="sl-SI" w:eastAsia="sl-SI"/>
        </w:rPr>
      </w:pPr>
    </w:p>
    <w:p w14:paraId="5C7E447B" w14:textId="77777777" w:rsidR="00CA5AC4" w:rsidRDefault="00CA5AC4" w:rsidP="00A82F2D">
      <w:pPr>
        <w:shd w:val="clear" w:color="auto" w:fill="FFFFFF"/>
        <w:spacing w:line="260" w:lineRule="exact"/>
        <w:jc w:val="both"/>
        <w:rPr>
          <w:rFonts w:cs="Arial"/>
          <w:szCs w:val="20"/>
          <w:lang w:val="sl-SI" w:eastAsia="sl-SI"/>
        </w:rPr>
      </w:pPr>
    </w:p>
    <w:p w14:paraId="01C700BE" w14:textId="77777777" w:rsidR="00CA5AC4" w:rsidRPr="00CA5AC4" w:rsidRDefault="00CA5AC4" w:rsidP="00A82F2D">
      <w:pPr>
        <w:shd w:val="clear" w:color="auto" w:fill="FFFFFF"/>
        <w:spacing w:line="260" w:lineRule="exact"/>
        <w:jc w:val="center"/>
        <w:rPr>
          <w:rFonts w:cs="Arial"/>
          <w:b/>
          <w:bCs/>
          <w:szCs w:val="20"/>
          <w:lang w:val="sl-SI" w:eastAsia="sl-SI"/>
        </w:rPr>
      </w:pPr>
      <w:r w:rsidRPr="00CA5AC4">
        <w:rPr>
          <w:rFonts w:cs="Arial"/>
          <w:b/>
          <w:bCs/>
          <w:szCs w:val="20"/>
          <w:lang w:val="sl-SI" w:eastAsia="sl-SI"/>
        </w:rPr>
        <w:t>65. člen</w:t>
      </w:r>
    </w:p>
    <w:p w14:paraId="4A741C17" w14:textId="77777777" w:rsidR="00CA5AC4" w:rsidRPr="00CA5AC4" w:rsidRDefault="00CA5AC4" w:rsidP="00A82F2D">
      <w:pPr>
        <w:shd w:val="clear" w:color="auto" w:fill="FFFFFF"/>
        <w:spacing w:line="260" w:lineRule="exact"/>
        <w:jc w:val="center"/>
        <w:rPr>
          <w:rFonts w:cs="Arial"/>
          <w:b/>
          <w:bCs/>
          <w:szCs w:val="20"/>
          <w:lang w:val="sl-SI" w:eastAsia="sl-SI"/>
        </w:rPr>
      </w:pPr>
      <w:r w:rsidRPr="00CA5AC4">
        <w:rPr>
          <w:rFonts w:cs="Arial"/>
          <w:b/>
          <w:bCs/>
          <w:szCs w:val="20"/>
          <w:lang w:val="sl-SI" w:eastAsia="sl-SI"/>
        </w:rPr>
        <w:t>(pravice pri dodelitvi v organ)</w:t>
      </w:r>
    </w:p>
    <w:p w14:paraId="07946CFC" w14:textId="77777777" w:rsidR="00CA5AC4" w:rsidRDefault="00CA5AC4" w:rsidP="00A82F2D">
      <w:pPr>
        <w:shd w:val="clear" w:color="auto" w:fill="FFFFFF"/>
        <w:spacing w:line="260" w:lineRule="exact"/>
        <w:ind w:firstLine="1021"/>
        <w:jc w:val="both"/>
        <w:rPr>
          <w:rFonts w:cs="Arial"/>
          <w:szCs w:val="20"/>
          <w:lang w:val="sl-SI" w:eastAsia="sl-SI"/>
        </w:rPr>
      </w:pPr>
    </w:p>
    <w:p w14:paraId="6366787F" w14:textId="56DD6C66"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(1) Državni tožilec, ki je dodeljen v organ, obdrži pravico uporabljati državnotožilski naziv in položaj, vendar ne more hkrati opravljati državnotožilske službe in mu obveznosti iz nje mirujejo. Med dodelitvijo lahko kandidira in je imenovan za vodjo državnega tožilstva, namestnika vodje državnega tožilstva ali na druga vodstvena mesta na državnem tožilstvu pod pogoji in po postopku, ki jih določa ta zakon.</w:t>
      </w:r>
    </w:p>
    <w:p w14:paraId="14F2E31F" w14:textId="77777777" w:rsidR="00CA5AC4" w:rsidRDefault="00CA5AC4" w:rsidP="00A82F2D">
      <w:pPr>
        <w:shd w:val="clear" w:color="auto" w:fill="FFFFFF"/>
        <w:spacing w:line="260" w:lineRule="exact"/>
        <w:ind w:firstLine="1021"/>
        <w:jc w:val="both"/>
        <w:rPr>
          <w:rFonts w:cs="Arial"/>
          <w:szCs w:val="20"/>
          <w:lang w:val="sl-SI" w:eastAsia="sl-SI"/>
        </w:rPr>
      </w:pPr>
    </w:p>
    <w:p w14:paraId="6D297E52" w14:textId="6425B08C"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(2) Državnemu tožilcu iz prejšnjega odstavka tega člena pripada najmanj takšna plača, kakršno bi prejemal, če bi opravljal državnotožilsko službo, varovane pa so tudi vse njegove pravice do napredovanja v skladu s tem zakonom.</w:t>
      </w:r>
    </w:p>
    <w:p w14:paraId="27E21407" w14:textId="77777777" w:rsidR="00CA5AC4" w:rsidRDefault="00CA5AC4" w:rsidP="00A82F2D">
      <w:pPr>
        <w:shd w:val="clear" w:color="auto" w:fill="FFFFFF"/>
        <w:spacing w:line="260" w:lineRule="exact"/>
        <w:ind w:firstLine="1021"/>
        <w:jc w:val="both"/>
        <w:rPr>
          <w:rFonts w:cs="Arial"/>
          <w:szCs w:val="20"/>
          <w:lang w:val="sl-SI" w:eastAsia="sl-SI"/>
        </w:rPr>
      </w:pPr>
    </w:p>
    <w:p w14:paraId="6BDFF5FD" w14:textId="44FFE431"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(3) Državni tožilec iz prvega odstavka tega člena ima na podlagi dodelitve pravico do dodatkov, določenih z zakonom, ki ureja sistem plač v javnem sektorju. Pri oceni državnotožilske službe za čas dodelitve se upoštevata poročilo o delu, ki ga izdela državni tožilec in mnenje o delu državnega tožilca, ki ga za namene ocene državnotožilske službe izdela predstojnik organa, pri katerem je oziroma je bil državni tožilec dodeljen.</w:t>
      </w:r>
    </w:p>
    <w:p w14:paraId="22A079A6" w14:textId="77777777" w:rsidR="00CA5AC4" w:rsidRDefault="00CA5AC4" w:rsidP="00A82F2D">
      <w:pPr>
        <w:shd w:val="clear" w:color="auto" w:fill="FFFFFF"/>
        <w:spacing w:line="260" w:lineRule="exact"/>
        <w:ind w:firstLine="1021"/>
        <w:jc w:val="both"/>
        <w:rPr>
          <w:rFonts w:cs="Arial"/>
          <w:szCs w:val="20"/>
          <w:lang w:val="sl-SI" w:eastAsia="sl-SI"/>
        </w:rPr>
      </w:pPr>
    </w:p>
    <w:p w14:paraId="09ECE1D3" w14:textId="27271D6C" w:rsidR="00CA5AC4" w:rsidRPr="00CA5AC4" w:rsidRDefault="00CA5AC4" w:rsidP="00A82F2D">
      <w:pPr>
        <w:shd w:val="clear" w:color="auto" w:fill="FFFFFF"/>
        <w:spacing w:line="260" w:lineRule="exact"/>
        <w:ind w:firstLine="1021"/>
        <w:jc w:val="both"/>
        <w:rPr>
          <w:rFonts w:cs="Arial"/>
          <w:szCs w:val="20"/>
          <w:lang w:val="sl-SI" w:eastAsia="sl-SI"/>
        </w:rPr>
      </w:pPr>
      <w:r w:rsidRPr="00CA5AC4">
        <w:rPr>
          <w:rFonts w:cs="Arial"/>
          <w:szCs w:val="20"/>
          <w:lang w:val="sl-SI" w:eastAsia="sl-SI"/>
        </w:rPr>
        <w:t>(4) Vodja državnega tožilstva, predstojnik organa in dodeljeni državni tožilec sklenejo pisni sporazum o načinu povračila plače, nadomestila plače in drugih osebnih prejemkov ter povračil dodeljenega državnega tožilca iz prejšnjega odstavka, pa tudi o uresničevanju drugih pravic in izpolnjevanju obveznosti v zvezi z dodelitvijo.</w:t>
      </w:r>
    </w:p>
    <w:p w14:paraId="40E086DB" w14:textId="430849D8" w:rsidR="00331D90" w:rsidRPr="00CD5AB3" w:rsidRDefault="00331D90" w:rsidP="00A82F2D">
      <w:pPr>
        <w:shd w:val="clear" w:color="auto" w:fill="FFFFFF"/>
        <w:spacing w:line="260" w:lineRule="exact"/>
        <w:jc w:val="both"/>
        <w:rPr>
          <w:rFonts w:cs="Arial"/>
          <w:szCs w:val="20"/>
          <w:lang w:val="sl-SI" w:eastAsia="sl-SI"/>
        </w:rPr>
      </w:pPr>
    </w:p>
    <w:p w14:paraId="00A24E50" w14:textId="77777777" w:rsidR="00331D90" w:rsidRPr="00CD5AB3" w:rsidRDefault="00331D90" w:rsidP="00A82F2D">
      <w:pPr>
        <w:shd w:val="clear" w:color="auto" w:fill="FFFFFF"/>
        <w:spacing w:line="260" w:lineRule="exact"/>
        <w:jc w:val="both"/>
        <w:rPr>
          <w:rFonts w:cs="Arial"/>
          <w:szCs w:val="20"/>
          <w:lang w:val="sl-SI" w:eastAsia="sl-SI"/>
        </w:rPr>
      </w:pPr>
    </w:p>
    <w:p w14:paraId="6DA302DD"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68. člen</w:t>
      </w:r>
    </w:p>
    <w:p w14:paraId="21B1D42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in imenovanje)</w:t>
      </w:r>
    </w:p>
    <w:p w14:paraId="3E245832" w14:textId="77777777" w:rsidR="00331D90" w:rsidRPr="00CD5AB3" w:rsidRDefault="00331D90" w:rsidP="00A82F2D">
      <w:pPr>
        <w:shd w:val="clear" w:color="auto" w:fill="FFFFFF"/>
        <w:spacing w:line="260" w:lineRule="exact"/>
        <w:jc w:val="center"/>
        <w:rPr>
          <w:rFonts w:cs="Arial"/>
          <w:b/>
          <w:bCs/>
          <w:szCs w:val="20"/>
          <w:lang w:val="sl-SI" w:eastAsia="sl-SI"/>
        </w:rPr>
      </w:pPr>
    </w:p>
    <w:p w14:paraId="13585E5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 xml:space="preserve">(1) Za nacionalnega predstavnika v Eurojustu in njegovega namestnika se lahko imenuje vrhovni ali višji državni tožilec ali okrožni državni tožilec, ki izpolnjuje pogoje za </w:t>
      </w:r>
      <w:r w:rsidRPr="00CD5AB3">
        <w:rPr>
          <w:rFonts w:cs="Arial"/>
          <w:szCs w:val="20"/>
          <w:lang w:val="sl-SI" w:eastAsia="sl-SI"/>
        </w:rPr>
        <w:lastRenderedPageBreak/>
        <w:t>imenovanje v naziv višjega državnega tožilca in izkaže z javno priznanim preizkusom potrjeno višjo raven znanja najmanj enega uradnega jezika Evropske unije, ki je delovni jezik v Eurojustu.</w:t>
      </w:r>
    </w:p>
    <w:p w14:paraId="40270F56"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5841BC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Za pomočnika nacionalnega predstavnika je lahko imenovan okrožni državni tožilec ali okrajni državni tožilec, ki izpolnjuje pogoje za imenovanje v naziv okrožnega državnega tožilca in izkaže z javno priznanim preizkusom potrjeno višjo raven znanja najmanj enega uradnega jezika Evropske unije, ki je delovni jezik v Eurojustu.</w:t>
      </w:r>
    </w:p>
    <w:p w14:paraId="282A6A5A" w14:textId="77777777" w:rsidR="00331D90" w:rsidRPr="008D7697" w:rsidRDefault="00331D90" w:rsidP="00A82F2D">
      <w:pPr>
        <w:shd w:val="clear" w:color="auto" w:fill="FFFFFF"/>
        <w:spacing w:line="260" w:lineRule="exact"/>
        <w:ind w:firstLine="1021"/>
        <w:jc w:val="both"/>
        <w:rPr>
          <w:rFonts w:cs="Arial"/>
          <w:szCs w:val="20"/>
          <w:lang w:val="sl-SI" w:eastAsia="sl-SI"/>
        </w:rPr>
      </w:pPr>
    </w:p>
    <w:p w14:paraId="7E3EB5FD" w14:textId="77777777" w:rsidR="00331D90" w:rsidRPr="008D7697" w:rsidRDefault="00331D90" w:rsidP="00A82F2D">
      <w:pPr>
        <w:shd w:val="clear" w:color="auto" w:fill="FFFFFF"/>
        <w:spacing w:line="260" w:lineRule="exact"/>
        <w:ind w:firstLine="1021"/>
        <w:jc w:val="both"/>
        <w:rPr>
          <w:rFonts w:cs="Arial"/>
          <w:szCs w:val="20"/>
          <w:lang w:val="sl-SI" w:eastAsia="sl-SI"/>
        </w:rPr>
      </w:pPr>
    </w:p>
    <w:p w14:paraId="46D8AD0F"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70. člen</w:t>
      </w:r>
    </w:p>
    <w:p w14:paraId="017405EC"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(pooblastila in pravice)</w:t>
      </w:r>
    </w:p>
    <w:p w14:paraId="5B13F0AC" w14:textId="77777777" w:rsidR="00331D90" w:rsidRPr="00CD5AB3" w:rsidRDefault="00331D90" w:rsidP="00A82F2D">
      <w:pPr>
        <w:shd w:val="clear" w:color="auto" w:fill="FFFFFF"/>
        <w:spacing w:line="260" w:lineRule="exact"/>
        <w:jc w:val="center"/>
        <w:rPr>
          <w:rFonts w:cs="Arial"/>
          <w:b/>
          <w:bCs/>
          <w:szCs w:val="20"/>
          <w:lang w:val="sl-SI" w:eastAsia="sl-SI"/>
        </w:rPr>
      </w:pPr>
    </w:p>
    <w:p w14:paraId="2704CA5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Nacionalni predstavnik je v obsegu, ki je potreben za opravljanje njegove funkcije, pristojen usmerjati odkrivanje storilcev kaznivih dejanj ter opravljati druga procesna dajanja upravičenega tožilca v predkazenskem in kazenskem postopku pred okrajnimi, okrožnimi in višjimi sodišči na celotnem ozemlju Republike Slovenije. Če je to potrebno zaradi učinkovitega postopanja, lahko generalnemu državnemu tožilcu predlaga izdajo odredbe o prevzemu zadeve, ki je že dodeljena v obravnavo drugemu državnemu tožilcu.</w:t>
      </w:r>
    </w:p>
    <w:p w14:paraId="7DD2E7A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F0D1A0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Namestnik in pomočnik nacionalnega predstavnika v Eurojustu imata pooblastila, ki jih v skladu s predpisi, ki urejajo delo v Eurojustu, nanju prenese nacionalni predstavnik.</w:t>
      </w:r>
    </w:p>
    <w:p w14:paraId="54AB5E6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D5228B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Državnemu tožilcu z imenovanjem za nacionalnega predstavnika v Eurojustu mirujejo pravice in dolžnosti iz državnotožilske službe, razen državnotožilska funkcija, varovane so vse njegove pravice do napredovanja v skladu s tem zakonom. Pri oceni državnotožilske službe za čas imenovanja se upoštevata poročilo o delu, ki ga izdela državni tožilec in mnenje o delu državnega tožilca, ki ga za namene ocene državnotožilske službe izdela predstojnik Eurojusta. Državni tožilec obdrži pravico uporabljati doseženi naziv in položaj. Nacionalni predstavnik opravlja funkcijo državnega tožilca s pooblastili, ki jih ima kot član Eurojusta iz Republike Slovenije, v skladu s tem zakonom in pravnimi akti Evropske unije, ki urejajo delovanje Eurojusta.</w:t>
      </w:r>
    </w:p>
    <w:p w14:paraId="63F06891"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18E8611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Namestnik in pomočnik nacionalnega predstavnika v Eurojustu imata pravice iz prejšnjega odstavka, lahko pa med imenovanjem na podlagi odredbe generalnega državnega tožilca ter v skladu s pravili Eurojusta opravljata naloge na državnem tožilstvu v Republiki Sloveniji ali na sedežu Eurojusta.</w:t>
      </w:r>
    </w:p>
    <w:p w14:paraId="25E15DBD"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1D5DFD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Plačo nacionalnega predstavnika v Eurojustu, namestnika in pomočnika nacionalnega predstavnika uredi vlada z uredbo na način, kot jo ureja zakon, ki ureja plače v javnem sektorju za funkcionarje, ki so napoteni na delo v tujino ter jim v skladu z zakonom v času napotitve funkcija miruje.</w:t>
      </w:r>
    </w:p>
    <w:p w14:paraId="14F9468D"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A1443F9"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(6) Pomočniku nacionalnega predstavnika pripada plača v skladu s prejšnjim odstavkom, kadar opravlja naloge na sedežu Eurojusta.</w:t>
      </w:r>
    </w:p>
    <w:p w14:paraId="36807C8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A351A8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(7) Ne glede na peti in šesti odstavek tega člena nacionalnemu predstavniku v Eurojustu, namestniku in pomočniku nacionalnega predstavnika pripada najmanj takšna plača, kakršno bi prejemal, če bi opravljal državnotožilsko službo v Republiki Sloveniji.</w:t>
      </w:r>
    </w:p>
    <w:p w14:paraId="6248B48B"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43152F"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907A01"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lastRenderedPageBreak/>
        <w:t>71.c člen</w:t>
      </w:r>
    </w:p>
    <w:p w14:paraId="33A5283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(pogoji za uvrstitev na listo kandidatov za imenovanje evropskega tožilca)</w:t>
      </w:r>
    </w:p>
    <w:p w14:paraId="6205AEFC" w14:textId="77777777" w:rsidR="00331D90" w:rsidRPr="00CD5AB3" w:rsidRDefault="00331D90" w:rsidP="00A82F2D">
      <w:pPr>
        <w:shd w:val="clear" w:color="auto" w:fill="FFFFFF"/>
        <w:spacing w:line="260" w:lineRule="exact"/>
        <w:jc w:val="center"/>
        <w:rPr>
          <w:rFonts w:cs="Arial"/>
          <w:b/>
          <w:bCs/>
          <w:szCs w:val="20"/>
          <w:lang w:val="sl-SI" w:eastAsia="sl-SI"/>
        </w:rPr>
      </w:pPr>
    </w:p>
    <w:p w14:paraId="0F16D8E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Za uvrstitev na listo kandidatov za imenovanje evropskega tožilca lahko kandidira vrhovni ali višji državni tožilec ali okrožni državni tožilec, ki izpolnjuje pogoje za imenovanje v naziv višjega državnega tožilca, ima znanje delovnega jezika EJT najmanj na ravni C1 Skupnega evropskega jezikovnega okvira in izpolnjuje posebne pogoje, ki jih določajo pravila EJT in pravila, ki urejajo pogoje za zaposlitev uradnikov in drugih zaposlenih v institucijah Evropske unije, ki obvezujejo Republiko Slovenijo.</w:t>
      </w:r>
    </w:p>
    <w:p w14:paraId="7A8D0510"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F083884" w14:textId="77777777" w:rsidR="00331D90" w:rsidRPr="00CD5AB3" w:rsidRDefault="00331D90" w:rsidP="00A82F2D">
      <w:pPr>
        <w:shd w:val="clear" w:color="auto" w:fill="FFFFFF"/>
        <w:spacing w:line="260" w:lineRule="exact"/>
        <w:jc w:val="both"/>
        <w:rPr>
          <w:rFonts w:cs="Arial"/>
          <w:szCs w:val="20"/>
          <w:lang w:val="sl-SI" w:eastAsia="sl-SI"/>
        </w:rPr>
      </w:pPr>
    </w:p>
    <w:p w14:paraId="496CE39D"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71.d člen</w:t>
      </w:r>
    </w:p>
    <w:p w14:paraId="7164D8B2"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(postopek in pogoji za imenovanje evropskega delegiranega tožilca)</w:t>
      </w:r>
    </w:p>
    <w:p w14:paraId="44DA1CA0" w14:textId="77777777" w:rsidR="00331D90" w:rsidRPr="00CD5AB3" w:rsidRDefault="00331D90" w:rsidP="00A82F2D">
      <w:pPr>
        <w:shd w:val="clear" w:color="auto" w:fill="FFFFFF"/>
        <w:spacing w:line="260" w:lineRule="exact"/>
        <w:jc w:val="center"/>
        <w:rPr>
          <w:rFonts w:cs="Arial"/>
          <w:b/>
          <w:bCs/>
          <w:szCs w:val="20"/>
          <w:lang w:val="sl-SI" w:eastAsia="sl-SI"/>
        </w:rPr>
      </w:pPr>
    </w:p>
    <w:p w14:paraId="7E88F89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Za evropskega delegiranega tožilca lahko kandidira državni tožilec, ki ima naziv ali izpolnjuje pogoje za imenovanje najmanj v naziv okrožnega državnega tožilca, ima znanje delovnega jezika EJT najmanj na ravni C1 Skupnega evropskega jezikovnega okvira in izpolnjuje posebne pogoje, ki jih določajo pravila EJT ter pravila, ki urejajo pogoje za zaposlitev uradnikov in drugih zaposlenih v institucijah Evropske unije, ki obvezuje Republiko Slovenijo.</w:t>
      </w:r>
    </w:p>
    <w:p w14:paraId="67B6C513"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9B3578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Državnotožilski svet se po pridobitvi mnenja generalnega državnega tožilca in mnenja vodje Specializiranega državnega tožilstva Republike Slovenije do prijavljenih kandidatur opredeli in oblikuje predlog ter o tem obvesti prijavljene kandidate in ministrstvo. Ministrstvo predlog za imenovanje evropskega delegiranega tožilca posreduje Vladi Republike Slovenije v seznanitev. Vlada Republike Slovenije predloži predlog za imenovanje evropskega delegiranega tožilca EJT.</w:t>
      </w:r>
    </w:p>
    <w:p w14:paraId="20317F8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25F73631"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postopek s pozivom in za oblikovanje predloga za imenovanje evropskega delegiranega tožilca se smiselno uporablja prejšnji člen.</w:t>
      </w:r>
    </w:p>
    <w:p w14:paraId="17E6B3D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88E283C" w14:textId="77777777" w:rsidR="00331D90" w:rsidRPr="00CD5AB3" w:rsidRDefault="00331D90" w:rsidP="00A82F2D">
      <w:pPr>
        <w:shd w:val="clear" w:color="auto" w:fill="FFFFFF"/>
        <w:spacing w:line="260" w:lineRule="exact"/>
        <w:jc w:val="both"/>
        <w:rPr>
          <w:rFonts w:cs="Arial"/>
          <w:szCs w:val="20"/>
          <w:lang w:val="sl-SI" w:eastAsia="sl-SI"/>
        </w:rPr>
      </w:pPr>
    </w:p>
    <w:p w14:paraId="50AA333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73. člen</w:t>
      </w:r>
    </w:p>
    <w:p w14:paraId="2C7B2E9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(predčasna upokojitev in posebne pravice)</w:t>
      </w:r>
    </w:p>
    <w:p w14:paraId="0CB6B1B2"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7CBA98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S prenehanjem državnotožilske funkcije iz razloga po 3. ali 5. točki prvega odstavka prejšnjega člena pridobi državni tožilec pravico do predčasne upokojitve, če izpolnjuje pogoje, ki jih za takšno upokojitev določajo predpisi o pokojninskem in invalidskem zavarovanju.</w:t>
      </w:r>
    </w:p>
    <w:p w14:paraId="3B3415F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583B3763"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Glede pravic upokojenega državnega tožilca, če sodeluje pri odpravi državnotožilskih zaostankov ali povečanih delovnih obremenitev, se za opravljanje službe smiselno uporabljajo določbe zakona, ki urejajo sodniško službo.</w:t>
      </w:r>
    </w:p>
    <w:p w14:paraId="72C8B39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89DC36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75D23E5"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97. člen</w:t>
      </w:r>
    </w:p>
    <w:p w14:paraId="4B370938"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mandat)</w:t>
      </w:r>
    </w:p>
    <w:p w14:paraId="19697B18" w14:textId="77777777" w:rsidR="00331D90" w:rsidRPr="00CD5AB3" w:rsidRDefault="00331D90" w:rsidP="00A82F2D">
      <w:pPr>
        <w:shd w:val="clear" w:color="auto" w:fill="FFFFFF"/>
        <w:spacing w:line="260" w:lineRule="exact"/>
        <w:jc w:val="center"/>
        <w:rPr>
          <w:rFonts w:cs="Arial"/>
          <w:b/>
          <w:bCs/>
          <w:szCs w:val="20"/>
          <w:lang w:val="sl-SI" w:eastAsia="sl-SI"/>
        </w:rPr>
      </w:pPr>
    </w:p>
    <w:p w14:paraId="7EA401B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Državnotožilski svet ima devet članov, ki so imenovani oziroma izvoljeni za šest let in po poteku mandata ne morejo biti takoj ponovno izvoljeni oziroma imenovani.</w:t>
      </w:r>
    </w:p>
    <w:p w14:paraId="74E2939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344ADB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Državnotožilski svet sestavljajo:</w:t>
      </w:r>
    </w:p>
    <w:p w14:paraId="6CC85529"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lastRenderedPageBreak/>
        <w:t>-       štirje člani, ki jih izvolijo državni tožilci izmed državnih tožilcev, ki nimajo vodstvenih položajev, in sicer po enega izmed tistih, ki imajo naziv vrhovnega državnega tožilca, višjega državnega tožilca, okrožnega državnega tožilca in okrajnega državnega tožilca;</w:t>
      </w:r>
    </w:p>
    <w:p w14:paraId="5C77FB61"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štirje člani, ki jih izvoli Državni zbor Republike Slovenije na predlog predsednika republike izmed pravnih strokovnjakov;</w:t>
      </w:r>
    </w:p>
    <w:p w14:paraId="01F3B140" w14:textId="77777777" w:rsidR="00331D90" w:rsidRPr="00CD5AB3" w:rsidRDefault="00331D90" w:rsidP="00A82F2D">
      <w:pPr>
        <w:shd w:val="clear" w:color="auto" w:fill="FFFFFF"/>
        <w:spacing w:line="260" w:lineRule="exact"/>
        <w:ind w:hanging="425"/>
        <w:jc w:val="both"/>
        <w:rPr>
          <w:rFonts w:cs="Arial"/>
          <w:szCs w:val="20"/>
          <w:lang w:val="sl-SI" w:eastAsia="sl-SI"/>
        </w:rPr>
      </w:pPr>
      <w:r w:rsidRPr="00CD5AB3">
        <w:rPr>
          <w:rFonts w:cs="Arial"/>
          <w:szCs w:val="20"/>
          <w:lang w:val="sl-SI" w:eastAsia="sl-SI"/>
        </w:rPr>
        <w:t>-       en član, ki ga imenuje minister izmed vodij okrožnih državnih tožilstev.</w:t>
      </w:r>
    </w:p>
    <w:p w14:paraId="7CE3A522"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44431518" w14:textId="77777777" w:rsidR="00331D90" w:rsidRPr="00CD5AB3" w:rsidRDefault="00331D90" w:rsidP="00A82F2D">
      <w:pPr>
        <w:shd w:val="clear" w:color="auto" w:fill="FFFFFF"/>
        <w:spacing w:line="260" w:lineRule="exact"/>
        <w:ind w:hanging="425"/>
        <w:jc w:val="both"/>
        <w:rPr>
          <w:rFonts w:cs="Arial"/>
          <w:szCs w:val="20"/>
          <w:lang w:val="sl-SI" w:eastAsia="sl-SI"/>
        </w:rPr>
      </w:pPr>
    </w:p>
    <w:p w14:paraId="5C8D2158"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125. člen</w:t>
      </w:r>
    </w:p>
    <w:p w14:paraId="2D450ED4"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(začasno vodenje)</w:t>
      </w:r>
    </w:p>
    <w:p w14:paraId="4D569708" w14:textId="77777777" w:rsidR="00331D90" w:rsidRPr="00CD5AB3" w:rsidRDefault="00331D90" w:rsidP="00A82F2D">
      <w:pPr>
        <w:shd w:val="clear" w:color="auto" w:fill="FFFFFF"/>
        <w:spacing w:line="260" w:lineRule="exact"/>
        <w:jc w:val="center"/>
        <w:rPr>
          <w:rFonts w:cs="Arial"/>
          <w:b/>
          <w:bCs/>
          <w:szCs w:val="20"/>
          <w:lang w:val="sl-SI" w:eastAsia="sl-SI"/>
        </w:rPr>
      </w:pPr>
    </w:p>
    <w:p w14:paraId="0DECFAB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Če nihče ni imenovan na mesto vodje državnega tožilstva, če je vodji funkcija prenehala ali je bil razrešen funkcije vodje ali je suspendiran, opravlja funkcije in naloge iz pristojnosti vodje državnega tožilstva kot začasni vodja namestnik vodje državnega tožilstva.</w:t>
      </w:r>
    </w:p>
    <w:p w14:paraId="575A9B57"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A062B2D"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Če v primeru iz prejšnjega odstavka ni namestnika vodje državnega tožilstva ali ne more opravljati svojih funkcij in nalog, Državnotožilski svet na predlog ministra določi državnega tožilca tega ali drugega državnega tožilstva, ki bo začasno vodil državno tožilstvo za dobo šestih mesecev (začasno vodenje). Za določitev začasnega vodje okrožnega državnega tožilstva minister pridobi predhodno mnenje generalnega državnega tožilca. Začasno vodenje se lahko podaljša največ za šest mesecev.</w:t>
      </w:r>
    </w:p>
    <w:p w14:paraId="69B33DA1"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C5032FD"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Za začasno vodenje okrožnega državnega tožilstva se lahko določi državni tožilec, ki ima najmanj naziv okrožnega državnega tožilca, za začasno vodenje Vrhovnega državnega tožilstva pa le vrhovni državni tožilec.</w:t>
      </w:r>
    </w:p>
    <w:p w14:paraId="4BC0E428"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1FDC0FA"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Začasno vodenje ne vpliva na položaj, plačo in druge pravice, ki jih je imel državni tožilec, preden je bil imenovan za začasnega vodjo.</w:t>
      </w:r>
    </w:p>
    <w:p w14:paraId="3EE1069F" w14:textId="77777777" w:rsidR="00331D90" w:rsidRPr="00CD5AB3" w:rsidRDefault="00331D90" w:rsidP="00CD5AB3">
      <w:pPr>
        <w:shd w:val="clear" w:color="auto" w:fill="FFFFFF"/>
        <w:spacing w:line="260" w:lineRule="exact"/>
        <w:ind w:firstLine="1021"/>
        <w:jc w:val="both"/>
        <w:rPr>
          <w:rFonts w:cs="Arial"/>
          <w:szCs w:val="20"/>
          <w:lang w:val="sl-SI" w:eastAsia="sl-SI"/>
        </w:rPr>
      </w:pPr>
    </w:p>
    <w:p w14:paraId="59C7C66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012F937"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187. člen</w:t>
      </w:r>
    </w:p>
    <w:p w14:paraId="52EF9BB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(območje delovanja državnih tožilstev)</w:t>
      </w:r>
    </w:p>
    <w:p w14:paraId="4D362C39" w14:textId="77777777" w:rsidR="00331D90" w:rsidRPr="00CD5AB3" w:rsidRDefault="00331D90" w:rsidP="00A82F2D">
      <w:pPr>
        <w:shd w:val="clear" w:color="auto" w:fill="FFFFFF"/>
        <w:spacing w:line="260" w:lineRule="exact"/>
        <w:jc w:val="center"/>
        <w:rPr>
          <w:rFonts w:cs="Arial"/>
          <w:b/>
          <w:bCs/>
          <w:szCs w:val="20"/>
          <w:lang w:val="sl-SI" w:eastAsia="sl-SI"/>
        </w:rPr>
      </w:pPr>
    </w:p>
    <w:p w14:paraId="324B7800"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Specializirano državno tožilstvo Republike Slovenije deluje za celotno območje Republike Slovenije.</w:t>
      </w:r>
    </w:p>
    <w:p w14:paraId="1447640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1D62E9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Državnotožilske funkcije pred višjimi sodišči splošne pristojnosti opravljajo okrožna državna tožilstva.</w:t>
      </w:r>
    </w:p>
    <w:p w14:paraId="60C58DC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5DDC77E"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Okrožno državno tožilstvo deluje za območje okrožnega sodišča s splošno pristojnostjo in okrajnih sodišč z območja tega okrožnega sodišča.</w:t>
      </w:r>
    </w:p>
    <w:p w14:paraId="783AF45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8BC264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Svoje funkcije pred okrajnimi sodišči izvaja okrožno državno tožilstvo s sedeža okrožnega državnega tožilstva ali z zunanjega oddelka.</w:t>
      </w:r>
    </w:p>
    <w:p w14:paraId="3514B9F9" w14:textId="77777777" w:rsidR="00331D90" w:rsidRDefault="00331D90" w:rsidP="00A82F2D">
      <w:pPr>
        <w:shd w:val="clear" w:color="auto" w:fill="FFFFFF"/>
        <w:spacing w:line="260" w:lineRule="exact"/>
        <w:ind w:firstLine="1021"/>
        <w:jc w:val="both"/>
        <w:rPr>
          <w:rFonts w:cs="Arial"/>
          <w:color w:val="292B2C"/>
          <w:szCs w:val="20"/>
          <w:lang w:val="sl-SI" w:eastAsia="sl-SI"/>
        </w:rPr>
      </w:pPr>
    </w:p>
    <w:p w14:paraId="52155830" w14:textId="77777777" w:rsidR="0025591D" w:rsidRDefault="0025591D" w:rsidP="00A82F2D">
      <w:pPr>
        <w:shd w:val="clear" w:color="auto" w:fill="FFFFFF"/>
        <w:spacing w:line="260" w:lineRule="exact"/>
        <w:ind w:firstLine="1021"/>
        <w:jc w:val="both"/>
        <w:rPr>
          <w:rFonts w:cs="Arial"/>
          <w:color w:val="292B2C"/>
          <w:szCs w:val="20"/>
          <w:lang w:val="sl-SI" w:eastAsia="sl-SI"/>
        </w:rPr>
      </w:pPr>
    </w:p>
    <w:p w14:paraId="17E51842" w14:textId="77777777" w:rsidR="0025591D" w:rsidRDefault="0025591D" w:rsidP="00A82F2D">
      <w:pPr>
        <w:shd w:val="clear" w:color="auto" w:fill="FFFFFF"/>
        <w:spacing w:line="260" w:lineRule="exact"/>
        <w:ind w:firstLine="1021"/>
        <w:jc w:val="both"/>
        <w:rPr>
          <w:rFonts w:cs="Arial"/>
          <w:color w:val="292B2C"/>
          <w:szCs w:val="20"/>
          <w:lang w:val="sl-SI" w:eastAsia="sl-SI"/>
        </w:rPr>
      </w:pPr>
    </w:p>
    <w:p w14:paraId="4AE06841" w14:textId="77777777" w:rsidR="0025591D" w:rsidRDefault="0025591D" w:rsidP="00A82F2D">
      <w:pPr>
        <w:shd w:val="clear" w:color="auto" w:fill="FFFFFF"/>
        <w:spacing w:line="260" w:lineRule="exact"/>
        <w:ind w:firstLine="1021"/>
        <w:jc w:val="both"/>
        <w:rPr>
          <w:rFonts w:cs="Arial"/>
          <w:color w:val="292B2C"/>
          <w:szCs w:val="20"/>
          <w:lang w:val="sl-SI" w:eastAsia="sl-SI"/>
        </w:rPr>
      </w:pPr>
    </w:p>
    <w:p w14:paraId="1E0C5C02" w14:textId="77777777" w:rsidR="0025591D" w:rsidRPr="00CD5AB3" w:rsidRDefault="0025591D" w:rsidP="00A82F2D">
      <w:pPr>
        <w:shd w:val="clear" w:color="auto" w:fill="FFFFFF"/>
        <w:spacing w:line="260" w:lineRule="exact"/>
        <w:ind w:firstLine="1021"/>
        <w:jc w:val="both"/>
        <w:rPr>
          <w:rFonts w:cs="Arial"/>
          <w:color w:val="292B2C"/>
          <w:szCs w:val="20"/>
          <w:lang w:val="sl-SI" w:eastAsia="sl-SI"/>
        </w:rPr>
      </w:pPr>
    </w:p>
    <w:p w14:paraId="772F52EE"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D8D6D9E"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lastRenderedPageBreak/>
        <w:t>189. člen</w:t>
      </w:r>
    </w:p>
    <w:p w14:paraId="65B33BA9"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(zunanji oddelek)</w:t>
      </w:r>
    </w:p>
    <w:p w14:paraId="2804A693" w14:textId="77777777" w:rsidR="00331D90" w:rsidRPr="00CD5AB3" w:rsidRDefault="00331D90" w:rsidP="00A82F2D">
      <w:pPr>
        <w:shd w:val="clear" w:color="auto" w:fill="FFFFFF"/>
        <w:spacing w:line="260" w:lineRule="exact"/>
        <w:ind w:firstLine="1021"/>
        <w:jc w:val="center"/>
        <w:rPr>
          <w:rFonts w:cs="Arial"/>
          <w:b/>
          <w:bCs/>
          <w:szCs w:val="20"/>
          <w:lang w:val="sl-SI" w:eastAsia="sl-SI"/>
        </w:rPr>
      </w:pPr>
    </w:p>
    <w:p w14:paraId="5577299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Zunanji oddelek okrožnega državnega tožilstva je organizacijska enota okrožnega državnega tožilstva, ki opravlja funkcije okrožnega državnega tožilstva pred enim ali več okrajnimi sodišči.</w:t>
      </w:r>
    </w:p>
    <w:p w14:paraId="578498E5"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4EA64C2"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Zunanji oddelek okrožnega državnega tožilstva ustanovi ali ukine minister na predlog generalnega državnega tožilca po predhodnem mnenju Državnotožilskega sveta, praviloma za območje več okrajnih sodišč.</w:t>
      </w:r>
    </w:p>
    <w:p w14:paraId="7F28189A"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4044B9A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Vodjo zunanjega oddelka imenuje vodja posameznega okrožnega državnega tožilstva z letnim razporedom za dobo enega leta s soglasjem Državnotožilskega sveta, po predhodno pridobljenem mnenju generalnega državnega tožilca. V zunanje oddelke okrožnega državnega tožilstva se praviloma razporedijo okrožni državni tožilci.</w:t>
      </w:r>
    </w:p>
    <w:p w14:paraId="27929F6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3EFAB9B7"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 upravnem in nadzornem pogledu je zunanji oddelek državnega tožilstva neposredno podrejen vodji državnega tožilstva.</w:t>
      </w:r>
    </w:p>
    <w:p w14:paraId="33B38643"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9327795"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Določbe tega člena se ne uporabljajo za posebne pristojnosti iz prejšnjega člena.</w:t>
      </w:r>
    </w:p>
    <w:p w14:paraId="70224E4A"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6F2271CE" w14:textId="77777777" w:rsidR="00331D90" w:rsidRPr="00CD5AB3" w:rsidRDefault="00331D90" w:rsidP="00A82F2D">
      <w:pPr>
        <w:shd w:val="clear" w:color="auto" w:fill="FFFFFF"/>
        <w:spacing w:line="260" w:lineRule="exact"/>
        <w:jc w:val="both"/>
        <w:rPr>
          <w:rFonts w:cs="Arial"/>
          <w:color w:val="292B2C"/>
          <w:szCs w:val="20"/>
          <w:lang w:val="sl-SI" w:eastAsia="sl-SI"/>
        </w:rPr>
      </w:pPr>
    </w:p>
    <w:p w14:paraId="1774CEAB"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193. člen</w:t>
      </w:r>
    </w:p>
    <w:p w14:paraId="77294013" w14:textId="77777777" w:rsidR="00331D90" w:rsidRPr="00CD5AB3" w:rsidRDefault="00331D90" w:rsidP="00A82F2D">
      <w:pPr>
        <w:shd w:val="clear" w:color="auto" w:fill="FFFFFF"/>
        <w:spacing w:line="260" w:lineRule="exact"/>
        <w:jc w:val="center"/>
        <w:rPr>
          <w:rFonts w:cs="Arial"/>
          <w:b/>
          <w:bCs/>
          <w:szCs w:val="20"/>
          <w:lang w:val="sl-SI" w:eastAsia="sl-SI"/>
        </w:rPr>
      </w:pPr>
      <w:r w:rsidRPr="00CD5AB3">
        <w:rPr>
          <w:rFonts w:cs="Arial"/>
          <w:b/>
          <w:bCs/>
          <w:szCs w:val="20"/>
          <w:lang w:val="sl-SI" w:eastAsia="sl-SI"/>
        </w:rPr>
        <w:t>(sestava in delovanje SDT)</w:t>
      </w:r>
    </w:p>
    <w:p w14:paraId="048BFD76" w14:textId="77777777" w:rsidR="00331D90" w:rsidRPr="00CD5AB3" w:rsidRDefault="00331D90" w:rsidP="00A82F2D">
      <w:pPr>
        <w:shd w:val="clear" w:color="auto" w:fill="FFFFFF"/>
        <w:spacing w:line="260" w:lineRule="exact"/>
        <w:jc w:val="center"/>
        <w:rPr>
          <w:rFonts w:cs="Arial"/>
          <w:b/>
          <w:bCs/>
          <w:szCs w:val="20"/>
          <w:lang w:val="sl-SI" w:eastAsia="sl-SI"/>
        </w:rPr>
      </w:pPr>
    </w:p>
    <w:p w14:paraId="0987425B"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(1) Na SDT opravljajo državnotožilsko službo državni tožilci, ki so imenovani na državnotožilska mesta na SDT ter državni tožilci, ki so dodeljeni na SDT.</w:t>
      </w:r>
    </w:p>
    <w:p w14:paraId="2509502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71550A16"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(2) Na državnotožilskih mestih državnih tožilcev, ki so imenovani na SDT, opravlja državnotožilsko službo najmanj deset državnih tožilcev, od tega vsaj sedem, ki imajo najmanj naziv okrožnega državnega tožilca.</w:t>
      </w:r>
    </w:p>
    <w:p w14:paraId="6670DBFC"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2B44544"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(3) Na SDT se po določbah tega zakona o dodelitvi dodeli najmanj po en državni tožilec iz vsakega okrožnega državnega tožilstva. Dodeljeni državni tožilci opravljajo delo v zadevah iz pristojnosti SDT po odredbi vodje SDT na sedežu SDT ali na sedežu okrožnega državnega tožilstva, pri katerem so imenovani.</w:t>
      </w:r>
    </w:p>
    <w:p w14:paraId="28D1F8B4"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1A3ED14F"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(4) Vodja SDT lahko predlaga, da se po določbah tega zakona, ki urejajo dodelitev na drugo državno tožilstvo, za sodelovanje pri obravnavanju posamezne zadeve dodatno dodeli na SDT državni tožilec iz okrožnega državnega tožilstva, ki bi bilo sicer krajevno pristojno za obravnavanje zadeve, ali da se posamezne naloge izvajajo na območju tega okrožnega državnega tožilstva.</w:t>
      </w:r>
    </w:p>
    <w:p w14:paraId="76F074D9" w14:textId="77777777" w:rsidR="00331D90" w:rsidRPr="00CD5AB3" w:rsidRDefault="00331D90" w:rsidP="00A82F2D">
      <w:pPr>
        <w:shd w:val="clear" w:color="auto" w:fill="FFFFFF"/>
        <w:spacing w:line="260" w:lineRule="exact"/>
        <w:ind w:firstLine="1021"/>
        <w:jc w:val="both"/>
        <w:rPr>
          <w:rFonts w:cs="Arial"/>
          <w:szCs w:val="20"/>
          <w:lang w:val="sl-SI" w:eastAsia="sl-SI"/>
        </w:rPr>
      </w:pPr>
    </w:p>
    <w:p w14:paraId="01BFAF08" w14:textId="77777777" w:rsidR="00331D90" w:rsidRPr="00CD5AB3" w:rsidRDefault="00331D90" w:rsidP="00A82F2D">
      <w:pPr>
        <w:shd w:val="clear" w:color="auto" w:fill="FFFFFF"/>
        <w:spacing w:line="260" w:lineRule="exact"/>
        <w:ind w:firstLine="1021"/>
        <w:jc w:val="both"/>
        <w:rPr>
          <w:rFonts w:cs="Arial"/>
          <w:szCs w:val="20"/>
          <w:lang w:val="sl-SI" w:eastAsia="sl-SI"/>
        </w:rPr>
      </w:pPr>
      <w:r w:rsidRPr="00CD5AB3">
        <w:rPr>
          <w:rFonts w:cs="Arial"/>
          <w:szCs w:val="20"/>
          <w:lang w:val="sl-SI" w:eastAsia="sl-SI"/>
        </w:rPr>
        <w:t>(5) SDT deluje po načelu timskega dela praviloma tako, da pri obravnavanju posameznih zadev združuje znanje, usposobljenost in izkušnje posameznih članov za določena pravna področja v obsegu, ki je potreben za učinkovito usmerjanje in preiskovanje kaznivih dejanj ter pripravo obtožnega akta.</w:t>
      </w:r>
    </w:p>
    <w:p w14:paraId="31AA85AC" w14:textId="77777777" w:rsidR="00331D90" w:rsidRPr="00CD5AB3" w:rsidRDefault="00331D90" w:rsidP="00A82F2D">
      <w:pPr>
        <w:shd w:val="clear" w:color="auto" w:fill="FFFFFF"/>
        <w:spacing w:line="260" w:lineRule="exact"/>
        <w:jc w:val="both"/>
        <w:rPr>
          <w:rFonts w:cs="Arial"/>
          <w:szCs w:val="20"/>
          <w:lang w:val="sl-SI" w:eastAsia="sl-SI"/>
        </w:rPr>
      </w:pPr>
    </w:p>
    <w:p w14:paraId="75D6E110" w14:textId="77777777" w:rsidR="00331D90" w:rsidRDefault="00331D90" w:rsidP="00A82F2D">
      <w:pPr>
        <w:shd w:val="clear" w:color="auto" w:fill="FFFFFF"/>
        <w:spacing w:line="260" w:lineRule="exact"/>
        <w:jc w:val="center"/>
        <w:rPr>
          <w:rFonts w:cs="Arial"/>
          <w:color w:val="000000" w:themeColor="text1"/>
          <w:szCs w:val="20"/>
          <w:lang w:val="sl-SI" w:eastAsia="sl-SI"/>
        </w:rPr>
      </w:pPr>
    </w:p>
    <w:p w14:paraId="5B327CC3" w14:textId="77777777" w:rsidR="0025591D" w:rsidRDefault="0025591D" w:rsidP="00A82F2D">
      <w:pPr>
        <w:shd w:val="clear" w:color="auto" w:fill="FFFFFF"/>
        <w:spacing w:line="260" w:lineRule="exact"/>
        <w:jc w:val="center"/>
        <w:rPr>
          <w:rFonts w:cs="Arial"/>
          <w:color w:val="000000" w:themeColor="text1"/>
          <w:szCs w:val="20"/>
          <w:lang w:val="sl-SI" w:eastAsia="sl-SI"/>
        </w:rPr>
      </w:pPr>
    </w:p>
    <w:p w14:paraId="3AE91BFB" w14:textId="77777777" w:rsidR="0025591D" w:rsidRPr="00CD5AB3" w:rsidRDefault="0025591D" w:rsidP="00A82F2D">
      <w:pPr>
        <w:shd w:val="clear" w:color="auto" w:fill="FFFFFF"/>
        <w:spacing w:line="260" w:lineRule="exact"/>
        <w:jc w:val="center"/>
        <w:rPr>
          <w:rFonts w:cs="Arial"/>
          <w:color w:val="000000" w:themeColor="text1"/>
          <w:szCs w:val="20"/>
          <w:lang w:val="sl-SI" w:eastAsia="sl-SI"/>
        </w:rPr>
      </w:pPr>
      <w:bookmarkStart w:id="24" w:name="_GoBack"/>
      <w:bookmarkEnd w:id="24"/>
    </w:p>
    <w:p w14:paraId="4F8521E4" w14:textId="77777777" w:rsidR="00331D90" w:rsidRPr="00CD5AB3" w:rsidRDefault="00331D90" w:rsidP="00A82F2D">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196. člen</w:t>
      </w:r>
    </w:p>
    <w:p w14:paraId="41720411" w14:textId="77777777" w:rsidR="00331D90" w:rsidRPr="00CD5AB3" w:rsidRDefault="00331D90" w:rsidP="00A82F2D">
      <w:pPr>
        <w:shd w:val="clear" w:color="auto" w:fill="FFFFFF"/>
        <w:spacing w:line="260" w:lineRule="exact"/>
        <w:jc w:val="center"/>
        <w:rPr>
          <w:rFonts w:cs="Arial"/>
          <w:b/>
          <w:bCs/>
          <w:color w:val="000000" w:themeColor="text1"/>
          <w:szCs w:val="20"/>
          <w:lang w:val="sl-SI" w:eastAsia="sl-SI"/>
        </w:rPr>
      </w:pPr>
      <w:r w:rsidRPr="00CD5AB3">
        <w:rPr>
          <w:rFonts w:cs="Arial"/>
          <w:b/>
          <w:bCs/>
          <w:color w:val="000000" w:themeColor="text1"/>
          <w:szCs w:val="20"/>
          <w:lang w:val="sl-SI" w:eastAsia="sl-SI"/>
        </w:rPr>
        <w:t>(pravice državnega tožilca na SDT)</w:t>
      </w:r>
    </w:p>
    <w:p w14:paraId="4E12CAA7"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p>
    <w:p w14:paraId="41F557A3"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(1) Državnemu tožilcu, ki je imenovan na SDT, pripada:</w:t>
      </w:r>
    </w:p>
    <w:p w14:paraId="7C2FE26D"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plača višjega državnega tožilca;</w:t>
      </w:r>
    </w:p>
    <w:p w14:paraId="540E641C"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okrajnemu državnemu tožilcu svetniku plača višjega državnega tožilca svetnika;</w:t>
      </w:r>
    </w:p>
    <w:p w14:paraId="47237165" w14:textId="77777777" w:rsidR="00331D90" w:rsidRPr="00CD5AB3" w:rsidRDefault="00331D90" w:rsidP="00A82F2D">
      <w:pPr>
        <w:shd w:val="clear" w:color="auto" w:fill="FFFFFF"/>
        <w:spacing w:line="260" w:lineRule="exact"/>
        <w:jc w:val="both"/>
        <w:rPr>
          <w:rFonts w:cs="Arial"/>
          <w:color w:val="000000" w:themeColor="text1"/>
          <w:szCs w:val="20"/>
          <w:lang w:val="sl-SI" w:eastAsia="sl-SI"/>
        </w:rPr>
      </w:pPr>
      <w:r w:rsidRPr="00CD5AB3">
        <w:rPr>
          <w:rFonts w:cs="Arial"/>
          <w:color w:val="000000" w:themeColor="text1"/>
          <w:szCs w:val="20"/>
          <w:lang w:val="sl-SI" w:eastAsia="sl-SI"/>
        </w:rPr>
        <w:t>-       okrožnemu državnemu tožilcu plača vrhovnega državnega tožilca in</w:t>
      </w:r>
    </w:p>
    <w:p w14:paraId="35C206C2"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6F8A1CDC"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08222B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(2) Dodeljenemu državnemu tožilcu pripada za čas, v katerem rešuje zadeve iz pristojnosti SDT:</w:t>
      </w:r>
    </w:p>
    <w:p w14:paraId="3B7A13C1"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plača višjega državnega tožilca;</w:t>
      </w:r>
    </w:p>
    <w:p w14:paraId="5554AE13"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okrajnemu državnemu tožilcu svetniku plača višjega državnega tožilca svetnika;</w:t>
      </w:r>
    </w:p>
    <w:p w14:paraId="2CA6FC6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plača vrhovnega državnega tožilca in</w:t>
      </w:r>
    </w:p>
    <w:p w14:paraId="1D2CB0D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       okrožnemu državnemu tožilcu svetniku, višjemu državnemu tožilcu ter vrhovnemu državnemu tožilcu plača vrhovnega državnega tožilca svetnika.</w:t>
      </w:r>
    </w:p>
    <w:p w14:paraId="5687EF68"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37F84C7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(3) Način evidentiranja in obračunavanje časa iz prejšnjega odstavka se določi z Državnotožilskim redom.</w:t>
      </w:r>
    </w:p>
    <w:p w14:paraId="4B992E7E"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4E996E6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w:t>
      </w:r>
    </w:p>
    <w:p w14:paraId="6F2CCB44"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47EE0D9"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(5) Če državni tožilec, ki je imenovan ali dodeljen na SDT, po prenehanju takšnega imenovanja ali dodelitve, nadaljuje z delom v posameznih zadevah iz pristojnosti SDT, se višina njegove plače določi po drugem odstavku tega člena.</w:t>
      </w:r>
    </w:p>
    <w:p w14:paraId="3284A319"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p>
    <w:p w14:paraId="2571CDC0" w14:textId="77777777" w:rsidR="00331D90" w:rsidRPr="008D7697" w:rsidRDefault="00331D90" w:rsidP="00A82F2D">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(6) Premestitev in dodelitev državnega tožilca na SDT ne posegata v njegov naziv in položaj.</w:t>
      </w:r>
    </w:p>
    <w:p w14:paraId="19EF0629"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01CC0A58"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(7) Glede položaja in napredovanja državnega tožilca se za čas trajanja dodelitve na SDT smiselno uporabljajo določbe tega zakona, ki urejajo dodelitev državnega tožilca na drugo državno tožilstvo.</w:t>
      </w:r>
    </w:p>
    <w:p w14:paraId="0BB59555"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502E9CAC"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r w:rsidRPr="008D7697">
        <w:rPr>
          <w:rFonts w:cs="Arial"/>
          <w:color w:val="000000" w:themeColor="text1"/>
          <w:szCs w:val="20"/>
          <w:lang w:val="sl-SI" w:eastAsia="sl-SI"/>
        </w:rPr>
        <w:t>(8) Državnemu tožilcu, ki je dodeljen na SDT, se lahko izjemoma dodelijo v delo zadeve iz pristojnosti državnega tožilstva, pri katerem je imenovan, ob upoštevanju obsega dela, ki ga državni tožilec opravlja pri SDT.</w:t>
      </w:r>
    </w:p>
    <w:p w14:paraId="273D4533" w14:textId="77777777" w:rsidR="00331D90" w:rsidRPr="008D7697" w:rsidRDefault="00331D90" w:rsidP="00CD5AB3">
      <w:pPr>
        <w:shd w:val="clear" w:color="auto" w:fill="FFFFFF"/>
        <w:spacing w:line="260" w:lineRule="exact"/>
        <w:jc w:val="both"/>
        <w:rPr>
          <w:rFonts w:cs="Arial"/>
          <w:color w:val="000000" w:themeColor="text1"/>
          <w:szCs w:val="20"/>
          <w:lang w:val="sl-SI" w:eastAsia="sl-SI"/>
        </w:rPr>
      </w:pPr>
    </w:p>
    <w:p w14:paraId="74946E18" w14:textId="77777777" w:rsidR="00331D90" w:rsidRPr="008D7697" w:rsidRDefault="00331D90" w:rsidP="00CD5AB3">
      <w:pPr>
        <w:shd w:val="clear" w:color="auto" w:fill="FFFFFF"/>
        <w:spacing w:line="260" w:lineRule="exact"/>
        <w:jc w:val="both"/>
        <w:rPr>
          <w:rFonts w:cs="Arial"/>
          <w:szCs w:val="20"/>
          <w:lang w:val="sl-SI" w:eastAsia="sl-SI"/>
        </w:rPr>
      </w:pPr>
    </w:p>
    <w:p w14:paraId="7D50943D"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212. člen</w:t>
      </w:r>
    </w:p>
    <w:p w14:paraId="1753DC60" w14:textId="77777777" w:rsidR="00331D90" w:rsidRPr="008D7697" w:rsidRDefault="00331D90" w:rsidP="00CD5AB3">
      <w:pPr>
        <w:shd w:val="clear" w:color="auto" w:fill="FFFFFF"/>
        <w:spacing w:line="260" w:lineRule="exact"/>
        <w:jc w:val="center"/>
        <w:rPr>
          <w:rFonts w:cs="Arial"/>
          <w:b/>
          <w:bCs/>
          <w:szCs w:val="20"/>
          <w:lang w:val="sl-SI" w:eastAsia="sl-SI"/>
        </w:rPr>
      </w:pPr>
      <w:r w:rsidRPr="008D7697">
        <w:rPr>
          <w:rFonts w:cs="Arial"/>
          <w:b/>
          <w:bCs/>
          <w:szCs w:val="20"/>
          <w:lang w:val="sl-SI" w:eastAsia="sl-SI"/>
        </w:rPr>
        <w:t>(nadzor nad delom poravnalcev)</w:t>
      </w:r>
    </w:p>
    <w:p w14:paraId="073A1E3A" w14:textId="77777777" w:rsidR="00331D90" w:rsidRPr="008D7697" w:rsidRDefault="00331D90" w:rsidP="00CD5AB3">
      <w:pPr>
        <w:shd w:val="clear" w:color="auto" w:fill="FFFFFF"/>
        <w:spacing w:line="260" w:lineRule="exact"/>
        <w:jc w:val="center"/>
        <w:rPr>
          <w:rFonts w:cs="Arial"/>
          <w:b/>
          <w:bCs/>
          <w:szCs w:val="20"/>
          <w:lang w:val="sl-SI" w:eastAsia="sl-SI"/>
        </w:rPr>
      </w:pPr>
    </w:p>
    <w:p w14:paraId="5BA6584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(1) Nadzor nad delom poravnalcev se izvaja z rednimi ali izrednimi pregledi opravljenih postopkov poravnavanja.</w:t>
      </w:r>
    </w:p>
    <w:p w14:paraId="1794B6DE"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3F3822CA"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(2) Nadzor opravlja nadzorni odbor, ki ga ustanovi Vrhovno državno tožilstvo Republike Slovenije in ima tri člane:</w:t>
      </w:r>
    </w:p>
    <w:p w14:paraId="679B6570"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državnega tožilca, ki ima najmanj naziv okrožnega državnega tožilca,</w:t>
      </w:r>
    </w:p>
    <w:p w14:paraId="4F8F7385"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lastRenderedPageBreak/>
        <w:t>-       predstavnika poravnalcev, in</w:t>
      </w:r>
    </w:p>
    <w:p w14:paraId="4D4F9C7E" w14:textId="77777777" w:rsidR="00331D90" w:rsidRPr="008D7697" w:rsidRDefault="00331D90" w:rsidP="00CD5AB3">
      <w:pPr>
        <w:shd w:val="clear" w:color="auto" w:fill="FFFFFF"/>
        <w:spacing w:line="260" w:lineRule="exact"/>
        <w:ind w:hanging="425"/>
        <w:jc w:val="both"/>
        <w:rPr>
          <w:rFonts w:cs="Arial"/>
          <w:szCs w:val="20"/>
          <w:lang w:val="sl-SI" w:eastAsia="sl-SI"/>
        </w:rPr>
      </w:pPr>
      <w:r w:rsidRPr="008D7697">
        <w:rPr>
          <w:rFonts w:cs="Arial"/>
          <w:szCs w:val="20"/>
          <w:lang w:val="sl-SI" w:eastAsia="sl-SI"/>
        </w:rPr>
        <w:t>-       predstavnika ministrstva, ki ga predlaga minister na zahtevo Vrhovnega državnega tožilstva.</w:t>
      </w:r>
    </w:p>
    <w:p w14:paraId="02336C30" w14:textId="77777777" w:rsidR="00331D90" w:rsidRPr="008D7697" w:rsidRDefault="00331D90" w:rsidP="00CD5AB3">
      <w:pPr>
        <w:shd w:val="clear" w:color="auto" w:fill="FFFFFF"/>
        <w:spacing w:line="260" w:lineRule="exact"/>
        <w:ind w:hanging="425"/>
        <w:jc w:val="both"/>
        <w:rPr>
          <w:rFonts w:cs="Arial"/>
          <w:szCs w:val="20"/>
          <w:lang w:val="sl-SI" w:eastAsia="sl-SI"/>
        </w:rPr>
      </w:pPr>
    </w:p>
    <w:p w14:paraId="09CA1BD2"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(3) Če nadzorni odbor pri opravljanju nadzora ugotovi, da poravnalec svojih dolžnosti ni opravljal redno ali vestno, lahko predlaga ministru, da poravnalca razreši.</w:t>
      </w:r>
    </w:p>
    <w:p w14:paraId="299A0B7A"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15B71D08" w14:textId="77777777" w:rsidR="00331D90" w:rsidRPr="008D7697" w:rsidRDefault="00331D90" w:rsidP="00CD5AB3">
      <w:pPr>
        <w:shd w:val="clear" w:color="auto" w:fill="FFFFFF"/>
        <w:spacing w:line="260" w:lineRule="exact"/>
        <w:ind w:firstLine="1021"/>
        <w:jc w:val="both"/>
        <w:rPr>
          <w:rFonts w:cs="Arial"/>
          <w:szCs w:val="20"/>
          <w:lang w:val="sl-SI" w:eastAsia="sl-SI"/>
        </w:rPr>
      </w:pPr>
      <w:r w:rsidRPr="008D7697">
        <w:rPr>
          <w:rFonts w:cs="Arial"/>
          <w:szCs w:val="20"/>
          <w:lang w:val="sl-SI" w:eastAsia="sl-SI"/>
        </w:rPr>
        <w:t>(4) Administrativne naloge za nadzorni odbor opravlja Vrhovno državno tožilstvo Republike Slovenije.</w:t>
      </w:r>
    </w:p>
    <w:p w14:paraId="2CE17EB5" w14:textId="77777777" w:rsidR="00331D90" w:rsidRPr="008D7697" w:rsidRDefault="00331D90" w:rsidP="00CD5AB3">
      <w:pPr>
        <w:shd w:val="clear" w:color="auto" w:fill="FFFFFF"/>
        <w:spacing w:line="260" w:lineRule="exact"/>
        <w:ind w:firstLine="1021"/>
        <w:jc w:val="both"/>
        <w:rPr>
          <w:rFonts w:cs="Arial"/>
          <w:szCs w:val="20"/>
          <w:lang w:val="sl-SI" w:eastAsia="sl-SI"/>
        </w:rPr>
      </w:pPr>
    </w:p>
    <w:p w14:paraId="61C6A9D3"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6DF176"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DD509F2" w14:textId="77777777" w:rsidR="00331D90" w:rsidRPr="008D7697" w:rsidRDefault="00331D90" w:rsidP="00CD5AB3">
      <w:pPr>
        <w:shd w:val="clear" w:color="auto" w:fill="FFFFFF"/>
        <w:spacing w:line="260" w:lineRule="exact"/>
        <w:ind w:firstLine="1021"/>
        <w:jc w:val="both"/>
        <w:rPr>
          <w:rFonts w:cs="Arial"/>
          <w:color w:val="292B2C"/>
          <w:szCs w:val="20"/>
          <w:lang w:val="sl-SI" w:eastAsia="sl-SI"/>
        </w:rPr>
      </w:pPr>
    </w:p>
    <w:p w14:paraId="10EB46BC" w14:textId="77777777" w:rsidR="00331D90" w:rsidRPr="008D7697" w:rsidRDefault="00331D90" w:rsidP="00331D90">
      <w:pPr>
        <w:spacing w:line="260" w:lineRule="exact"/>
        <w:rPr>
          <w:rFonts w:cs="Arial"/>
          <w:szCs w:val="20"/>
          <w:lang w:val="sl-SI"/>
        </w:rPr>
      </w:pPr>
    </w:p>
    <w:p w14:paraId="40664ED1" w14:textId="77777777" w:rsidR="00007CD3" w:rsidRPr="008D7697" w:rsidRDefault="00007CD3" w:rsidP="00007CD3">
      <w:pPr>
        <w:spacing w:line="288" w:lineRule="auto"/>
        <w:jc w:val="right"/>
        <w:rPr>
          <w:rFonts w:cs="Arial"/>
          <w:b/>
          <w:szCs w:val="20"/>
          <w:lang w:val="sl-SI"/>
        </w:rPr>
      </w:pPr>
    </w:p>
    <w:sectPr w:rsidR="00007CD3" w:rsidRPr="008D7697" w:rsidSect="00A25D30">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5D7C4" w14:textId="77777777" w:rsidR="00384E2B" w:rsidRDefault="00384E2B" w:rsidP="00E36C79">
      <w:pPr>
        <w:spacing w:line="240" w:lineRule="auto"/>
      </w:pPr>
      <w:r>
        <w:separator/>
      </w:r>
    </w:p>
  </w:endnote>
  <w:endnote w:type="continuationSeparator" w:id="0">
    <w:p w14:paraId="64D719BA" w14:textId="77777777" w:rsidR="00384E2B" w:rsidRDefault="00384E2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96A4D" w14:textId="77777777" w:rsidR="00384E2B" w:rsidRDefault="00384E2B" w:rsidP="009F75A9">
    <w:pPr>
      <w:pStyle w:val="Noga"/>
      <w:jc w:val="center"/>
    </w:pPr>
    <w:r>
      <w:fldChar w:fldCharType="begin"/>
    </w:r>
    <w:r>
      <w:instrText xml:space="preserve"> PAGE   \* MERGEFORMAT </w:instrText>
    </w:r>
    <w:r>
      <w:fldChar w:fldCharType="separate"/>
    </w:r>
    <w:r w:rsidR="0025591D">
      <w:rPr>
        <w:noProof/>
      </w:rPr>
      <w:t>51</w:t>
    </w:r>
    <w:r>
      <w:rPr>
        <w:noProof/>
      </w:rPr>
      <w:fldChar w:fldCharType="end"/>
    </w:r>
  </w:p>
  <w:p w14:paraId="427FE450" w14:textId="77777777" w:rsidR="00384E2B" w:rsidRDefault="00384E2B">
    <w:pPr>
      <w:pStyle w:val="Noga"/>
    </w:pPr>
  </w:p>
  <w:p w14:paraId="3F66B0D2" w14:textId="77777777" w:rsidR="00384E2B" w:rsidRDefault="00384E2B"/>
  <w:p w14:paraId="619A475F" w14:textId="77777777" w:rsidR="00384E2B" w:rsidRDefault="00384E2B"/>
  <w:p w14:paraId="76B0F49B" w14:textId="77777777" w:rsidR="00384E2B" w:rsidRDefault="00384E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CAD2A" w14:textId="77777777" w:rsidR="00384E2B" w:rsidRDefault="00384E2B" w:rsidP="00E36C79">
      <w:pPr>
        <w:spacing w:line="240" w:lineRule="auto"/>
      </w:pPr>
      <w:r>
        <w:separator/>
      </w:r>
    </w:p>
  </w:footnote>
  <w:footnote w:type="continuationSeparator" w:id="0">
    <w:p w14:paraId="79F09558" w14:textId="77777777" w:rsidR="00384E2B" w:rsidRDefault="00384E2B" w:rsidP="00E36C79">
      <w:pPr>
        <w:spacing w:line="240" w:lineRule="auto"/>
      </w:pPr>
      <w:r>
        <w:continuationSeparator/>
      </w:r>
    </w:p>
  </w:footnote>
  <w:footnote w:id="1">
    <w:p w14:paraId="2D054828" w14:textId="77777777" w:rsidR="00331D90" w:rsidRPr="0043622C"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33/91-I, 42/97 – UZS68, 66/00 – UZ80, 24/03 – UZ3a, 47, 68, 69/04 – UZ14, 69/04 – UZ43, 69/04 – UZ50, 68/06 – UZ121,140,143, 47/13 – UZ148, 47/13 – UZ90,97,99, 75/16 – UZ70a in 92/21 – UZ62a</w:t>
      </w:r>
      <w:r>
        <w:rPr>
          <w:rFonts w:cs="Arial"/>
          <w:sz w:val="18"/>
          <w:szCs w:val="18"/>
        </w:rPr>
        <w:t>.</w:t>
      </w:r>
    </w:p>
  </w:footnote>
  <w:footnote w:id="2">
    <w:p w14:paraId="3EADE04D" w14:textId="77777777" w:rsidR="00331D90" w:rsidRPr="008E6552"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8E6552">
        <w:rPr>
          <w:rFonts w:cs="Arial"/>
          <w:sz w:val="18"/>
          <w:szCs w:val="18"/>
        </w:rPr>
        <w:t xml:space="preserve"> Uradni list RS, št. 58/11, 21/12 – ZDU-1F, 47/12, 15/13 – ZODPol, 47/13 – ZDU-1G, 48/13 – ZSKZDČEU-1, 19/15, 23/17 – ZSSve, 36/19, 139/20, 54/21 in 105/22 – ZZNŠPP.</w:t>
      </w:r>
    </w:p>
  </w:footnote>
  <w:footnote w:id="3">
    <w:p w14:paraId="2F82C589"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47/12.</w:t>
      </w:r>
    </w:p>
  </w:footnote>
  <w:footnote w:id="4">
    <w:p w14:paraId="46E0F142"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19/15.</w:t>
      </w:r>
    </w:p>
  </w:footnote>
  <w:footnote w:id="5">
    <w:p w14:paraId="3E945EAC" w14:textId="77777777" w:rsidR="00331D90" w:rsidRPr="007C617B" w:rsidRDefault="00331D90" w:rsidP="006E6FE5">
      <w:pPr>
        <w:pStyle w:val="Sprotnaopomba-besedilo"/>
        <w:spacing w:line="260" w:lineRule="exact"/>
        <w:jc w:val="both"/>
        <w:rPr>
          <w:rFonts w:cs="Arial"/>
          <w:sz w:val="18"/>
          <w:szCs w:val="18"/>
        </w:rPr>
      </w:pPr>
      <w:r w:rsidRPr="007C617B">
        <w:rPr>
          <w:rStyle w:val="Sprotnaopomba-sklic"/>
          <w:rFonts w:cs="Arial"/>
          <w:sz w:val="18"/>
          <w:szCs w:val="18"/>
        </w:rPr>
        <w:footnoteRef/>
      </w:r>
      <w:r w:rsidRPr="007C617B">
        <w:rPr>
          <w:rFonts w:cs="Arial"/>
          <w:sz w:val="18"/>
          <w:szCs w:val="18"/>
        </w:rPr>
        <w:t xml:space="preserve"> Uradni list RS, št. 36/19.</w:t>
      </w:r>
    </w:p>
  </w:footnote>
  <w:footnote w:id="6">
    <w:p w14:paraId="5D00C353" w14:textId="77777777" w:rsidR="00331D90" w:rsidRPr="006E6FE5" w:rsidRDefault="00331D90" w:rsidP="006E6FE5">
      <w:pPr>
        <w:pStyle w:val="Sprotnaopomba-besedilo"/>
        <w:spacing w:line="260" w:lineRule="exact"/>
        <w:jc w:val="both"/>
        <w:rPr>
          <w:rFonts w:cs="Arial"/>
          <w:sz w:val="18"/>
          <w:szCs w:val="18"/>
        </w:rPr>
      </w:pPr>
      <w:bookmarkStart w:id="2" w:name="_Hlk185946302"/>
      <w:r w:rsidRPr="006E6FE5">
        <w:rPr>
          <w:rStyle w:val="Sprotnaopomba-sklic"/>
          <w:rFonts w:cs="Arial"/>
          <w:sz w:val="18"/>
          <w:szCs w:val="18"/>
        </w:rPr>
        <w:footnoteRef/>
      </w:r>
      <w:r w:rsidRPr="006E6FE5">
        <w:rPr>
          <w:rFonts w:cs="Arial"/>
          <w:sz w:val="18"/>
          <w:szCs w:val="18"/>
        </w:rPr>
        <w:t xml:space="preserve"> Uradni list RS, št. </w:t>
      </w:r>
      <w:bookmarkEnd w:id="2"/>
      <w:r w:rsidRPr="006E6FE5">
        <w:rPr>
          <w:rFonts w:cs="Arial"/>
          <w:sz w:val="18"/>
          <w:szCs w:val="18"/>
        </w:rPr>
        <w:t>139/20.</w:t>
      </w:r>
    </w:p>
  </w:footnote>
  <w:footnote w:id="7">
    <w:p w14:paraId="01523500" w14:textId="77777777" w:rsidR="00331D90" w:rsidRPr="006E6FE5" w:rsidRDefault="00331D90" w:rsidP="006E6FE5">
      <w:pPr>
        <w:pStyle w:val="Sprotnaopomba-besedilo"/>
        <w:spacing w:line="260" w:lineRule="exact"/>
        <w:jc w:val="both"/>
        <w:rPr>
          <w:sz w:val="18"/>
          <w:szCs w:val="18"/>
        </w:rPr>
      </w:pPr>
      <w:r w:rsidRPr="006E6FE5">
        <w:rPr>
          <w:rStyle w:val="Sprotnaopomba-sklic"/>
          <w:sz w:val="18"/>
          <w:szCs w:val="18"/>
        </w:rPr>
        <w:footnoteRef/>
      </w:r>
      <w:r w:rsidRPr="006E6FE5">
        <w:rPr>
          <w:sz w:val="18"/>
          <w:szCs w:val="18"/>
        </w:rPr>
        <w:t xml:space="preserve"> </w:t>
      </w:r>
      <w:r w:rsidRPr="006E6FE5">
        <w:rPr>
          <w:rFonts w:cs="Arial"/>
          <w:sz w:val="18"/>
          <w:szCs w:val="18"/>
        </w:rPr>
        <w:t>Uradni list RS, št. 54/21.</w:t>
      </w:r>
    </w:p>
  </w:footnote>
  <w:footnote w:id="8">
    <w:p w14:paraId="49C7FF6A" w14:textId="77777777" w:rsidR="00331D90" w:rsidRPr="0000295B" w:rsidRDefault="00331D90" w:rsidP="00331D90">
      <w:pPr>
        <w:pStyle w:val="Sprotnaopomba-besedilo"/>
        <w:spacing w:line="260" w:lineRule="exact"/>
        <w:jc w:val="both"/>
        <w:rPr>
          <w:rFonts w:cs="Arial"/>
          <w:sz w:val="18"/>
          <w:szCs w:val="18"/>
        </w:rPr>
      </w:pPr>
      <w:r w:rsidRPr="0000295B">
        <w:rPr>
          <w:rStyle w:val="Sprotnaopomba-sklic"/>
          <w:rFonts w:cs="Arial"/>
          <w:sz w:val="18"/>
          <w:szCs w:val="18"/>
        </w:rPr>
        <w:footnoteRef/>
      </w:r>
      <w:r w:rsidRPr="0000295B">
        <w:rPr>
          <w:rFonts w:cs="Arial"/>
          <w:sz w:val="18"/>
          <w:szCs w:val="18"/>
        </w:rPr>
        <w:t xml:space="preserve"> Uradni list RS, št. 176/21 – uradno prečiščeno besedilo, 96/22 – odl. US, 2/23 – odl. US, 89/23 – odl. US in 53/24</w:t>
      </w:r>
      <w:r>
        <w:rPr>
          <w:rFonts w:cs="Arial"/>
          <w:sz w:val="18"/>
          <w:szCs w:val="18"/>
        </w:rPr>
        <w:t>.</w:t>
      </w:r>
    </w:p>
  </w:footnote>
  <w:footnote w:id="9">
    <w:p w14:paraId="189E6B1D" w14:textId="77777777" w:rsidR="00331D90" w:rsidRPr="00C53430" w:rsidRDefault="00331D90" w:rsidP="00331D90">
      <w:pPr>
        <w:pStyle w:val="Sprotnaopomba-besedilo"/>
        <w:spacing w:line="260" w:lineRule="exact"/>
        <w:jc w:val="both"/>
        <w:rPr>
          <w:rFonts w:cs="Arial"/>
          <w:sz w:val="18"/>
          <w:szCs w:val="18"/>
        </w:rPr>
      </w:pPr>
      <w:r w:rsidRPr="00C53430">
        <w:rPr>
          <w:rStyle w:val="Sprotnaopomba-sklic"/>
          <w:rFonts w:cs="Arial"/>
          <w:sz w:val="18"/>
          <w:szCs w:val="18"/>
        </w:rPr>
        <w:footnoteRef/>
      </w:r>
      <w:r w:rsidRPr="00C53430">
        <w:rPr>
          <w:rFonts w:cs="Arial"/>
          <w:sz w:val="18"/>
          <w:szCs w:val="18"/>
        </w:rPr>
        <w:t xml:space="preserve"> Uradni list RS, št. 76/11, 69/12, 52/13, 52/14, 71/15, 14/19, 102/20, 135/22, 14/23 in 30/24</w:t>
      </w:r>
      <w:r>
        <w:rPr>
          <w:rFonts w:cs="Arial"/>
          <w:sz w:val="18"/>
          <w:szCs w:val="18"/>
        </w:rPr>
        <w:t>.</w:t>
      </w:r>
    </w:p>
  </w:footnote>
  <w:footnote w:id="10">
    <w:p w14:paraId="1080022B" w14:textId="77777777" w:rsidR="00331D90" w:rsidRPr="00817B09" w:rsidRDefault="00331D90" w:rsidP="00331D90">
      <w:pPr>
        <w:pStyle w:val="Sprotnaopomba-besedilo"/>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Statistični urad RS, 2023: </w:t>
      </w:r>
    </w:p>
    <w:p w14:paraId="19DFDBCD" w14:textId="77777777" w:rsidR="00331D90" w:rsidRPr="00817B09" w:rsidRDefault="00331D90" w:rsidP="00331D90">
      <w:pPr>
        <w:pStyle w:val="Sprotnaopomba-besedilo"/>
        <w:spacing w:line="260" w:lineRule="exact"/>
        <w:jc w:val="both"/>
        <w:rPr>
          <w:rFonts w:cs="Arial"/>
          <w:sz w:val="18"/>
          <w:szCs w:val="18"/>
          <w:lang w:val="it-IT"/>
        </w:rPr>
      </w:pPr>
      <w:r w:rsidRPr="00817B09">
        <w:rPr>
          <w:rFonts w:cs="Arial"/>
          <w:sz w:val="18"/>
          <w:szCs w:val="18"/>
          <w:lang w:val="it-IT"/>
        </w:rPr>
        <w:t>https://www.stat.si/StatWeb/news/Index/12873.</w:t>
      </w:r>
    </w:p>
  </w:footnote>
  <w:footnote w:id="11">
    <w:p w14:paraId="3C001972" w14:textId="77777777" w:rsidR="00331D90" w:rsidRPr="00817B09" w:rsidRDefault="00331D90" w:rsidP="00331D90">
      <w:pPr>
        <w:spacing w:line="260" w:lineRule="exact"/>
        <w:jc w:val="both"/>
        <w:rPr>
          <w:rFonts w:cs="Arial"/>
          <w:sz w:val="18"/>
          <w:szCs w:val="18"/>
          <w:lang w:val="it-IT"/>
        </w:rPr>
      </w:pPr>
      <w:r w:rsidRPr="00817B09">
        <w:rPr>
          <w:rStyle w:val="Sprotnaopomba-sklic"/>
          <w:rFonts w:cs="Arial"/>
          <w:sz w:val="18"/>
          <w:szCs w:val="18"/>
        </w:rPr>
        <w:footnoteRef/>
      </w:r>
      <w:r w:rsidRPr="00817B09">
        <w:rPr>
          <w:rFonts w:cs="Arial"/>
          <w:sz w:val="18"/>
          <w:szCs w:val="18"/>
          <w:lang w:val="it-IT"/>
        </w:rPr>
        <w:t xml:space="preserve"> Uradni list RS, št. 83/03 – uradno prečiščeno besedilo, 111/07, 40/12 – ZUJF in 36/19 – ZOdv-F.</w:t>
      </w:r>
    </w:p>
  </w:footnote>
  <w:footnote w:id="12">
    <w:p w14:paraId="6ADCF950" w14:textId="77777777" w:rsidR="00331D90" w:rsidRPr="00303F8F" w:rsidRDefault="00331D90" w:rsidP="00331D90">
      <w:pPr>
        <w:pStyle w:val="Sprotnaopomba-besedilo"/>
        <w:spacing w:line="260" w:lineRule="exact"/>
        <w:jc w:val="both"/>
        <w:rPr>
          <w:rFonts w:cs="Arial"/>
          <w:sz w:val="18"/>
          <w:szCs w:val="18"/>
        </w:rPr>
      </w:pPr>
      <w:r w:rsidRPr="00303F8F">
        <w:rPr>
          <w:rStyle w:val="Sprotnaopomba-sklic"/>
          <w:rFonts w:cs="Arial"/>
          <w:sz w:val="18"/>
          <w:szCs w:val="18"/>
        </w:rPr>
        <w:footnoteRef/>
      </w:r>
      <w:r w:rsidRPr="00303F8F">
        <w:rPr>
          <w:rFonts w:cs="Arial"/>
          <w:sz w:val="18"/>
          <w:szCs w:val="18"/>
        </w:rPr>
        <w:t xml:space="preserve"> Skupno poročilo o delu državnih tožilstev za leto 2023: </w:t>
      </w:r>
    </w:p>
    <w:p w14:paraId="3A55562B" w14:textId="77777777" w:rsidR="00331D90" w:rsidRPr="00303F8F" w:rsidRDefault="0025591D" w:rsidP="00331D90">
      <w:pPr>
        <w:pStyle w:val="Sprotnaopomba-besedilo"/>
        <w:spacing w:line="260" w:lineRule="exact"/>
        <w:jc w:val="both"/>
        <w:rPr>
          <w:rFonts w:cs="Arial"/>
          <w:sz w:val="18"/>
          <w:szCs w:val="18"/>
        </w:rPr>
      </w:pPr>
      <w:hyperlink r:id="rId1" w:history="1">
        <w:r w:rsidR="00331D90" w:rsidRPr="00303F8F">
          <w:rPr>
            <w:rStyle w:val="Hiperpovezava"/>
            <w:rFonts w:cs="Arial"/>
            <w:color w:val="auto"/>
            <w:sz w:val="18"/>
            <w:szCs w:val="18"/>
          </w:rPr>
          <w:t>https://www.dt-rs.si/files/documents/Skupno%20letno%20poroc%CC%8Cilo%20za%202023.pdf</w:t>
        </w:r>
      </w:hyperlink>
      <w:r w:rsidR="00331D90" w:rsidRPr="00303F8F">
        <w:rPr>
          <w:rFonts w:cs="Arial"/>
          <w:sz w:val="18"/>
          <w:szCs w:val="18"/>
        </w:rPr>
        <w:t>, str. 209.</w:t>
      </w:r>
    </w:p>
  </w:footnote>
  <w:footnote w:id="13">
    <w:p w14:paraId="76D77CDF" w14:textId="77777777" w:rsidR="00331D90" w:rsidRPr="00303F8F" w:rsidRDefault="00331D90" w:rsidP="00331D90">
      <w:pPr>
        <w:pStyle w:val="Sprotnaopomba-besedilo"/>
        <w:spacing w:line="260" w:lineRule="exact"/>
        <w:rPr>
          <w:rFonts w:cs="Arial"/>
          <w:sz w:val="18"/>
          <w:szCs w:val="18"/>
        </w:rPr>
      </w:pPr>
      <w:r w:rsidRPr="00303F8F">
        <w:rPr>
          <w:rStyle w:val="Sprotnaopomba-sklic"/>
          <w:rFonts w:cs="Arial"/>
          <w:sz w:val="18"/>
          <w:szCs w:val="18"/>
        </w:rPr>
        <w:footnoteRef/>
      </w:r>
      <w:r w:rsidRPr="00303F8F">
        <w:rPr>
          <w:rFonts w:cs="Arial"/>
          <w:sz w:val="18"/>
          <w:szCs w:val="18"/>
        </w:rPr>
        <w:t xml:space="preserve"> Uradni list RS, št. 95/24.</w:t>
      </w:r>
    </w:p>
  </w:footnote>
  <w:footnote w:id="14">
    <w:p w14:paraId="43DE5B44" w14:textId="31FDFD7F" w:rsidR="00331D90" w:rsidRPr="00303F8F" w:rsidRDefault="00331D90" w:rsidP="00331D90">
      <w:pPr>
        <w:spacing w:line="260" w:lineRule="exact"/>
        <w:jc w:val="both"/>
        <w:rPr>
          <w:rFonts w:eastAsia="Arial Unicode MS" w:cs="Arial"/>
          <w:bCs/>
          <w:sz w:val="18"/>
          <w:szCs w:val="18"/>
          <w:lang w:val="sl-SI" w:eastAsia="sl-SI"/>
        </w:rPr>
      </w:pPr>
      <w:r w:rsidRPr="00303F8F">
        <w:rPr>
          <w:rStyle w:val="Sprotnaopomba-sklic"/>
          <w:rFonts w:cs="Arial"/>
          <w:sz w:val="18"/>
          <w:szCs w:val="18"/>
          <w:lang w:val="sl-SI"/>
        </w:rPr>
        <w:footnoteRef/>
      </w:r>
      <w:r w:rsidRPr="00303F8F">
        <w:rPr>
          <w:rFonts w:cs="Arial"/>
          <w:sz w:val="18"/>
          <w:szCs w:val="18"/>
          <w:lang w:val="sl-SI"/>
        </w:rPr>
        <w:t xml:space="preserve"> </w:t>
      </w:r>
      <w:r w:rsidRPr="00303F8F">
        <w:rPr>
          <w:rFonts w:eastAsia="Arial Unicode MS" w:cs="Arial"/>
          <w:bCs/>
          <w:sz w:val="18"/>
          <w:szCs w:val="18"/>
          <w:lang w:val="sl-SI" w:eastAsia="sl-SI"/>
        </w:rPr>
        <w:t xml:space="preserve">Ta ureditev sledi prvemu odstavku 46. člena Zakona o sodniški službi (Uradni list RS, št. 94/07 – uradno prečiščeno besedilo, 91/09, 33/11, 46/13, 63/13, 69/13 – popr., 95/14 – ZUPPJS15, 17/15, 23/17, 36/19 – ZDT-1C, 34/23 – odl. US in 76/23; v nadaljnjem besedilu: ZSS), ki določa število plačnih razredov za posamezni sodniški naziv. V okviru razponov, ki jih </w:t>
      </w:r>
      <w:r w:rsidR="00D66933">
        <w:rPr>
          <w:rFonts w:eastAsia="Arial Unicode MS" w:cs="Arial"/>
          <w:bCs/>
          <w:sz w:val="18"/>
          <w:szCs w:val="18"/>
          <w:lang w:val="sl-SI" w:eastAsia="sl-SI"/>
        </w:rPr>
        <w:t>z</w:t>
      </w:r>
      <w:r w:rsidRPr="00303F8F">
        <w:rPr>
          <w:rFonts w:eastAsia="Arial Unicode MS" w:cs="Arial"/>
          <w:bCs/>
          <w:sz w:val="18"/>
          <w:szCs w:val="18"/>
          <w:lang w:val="sl-SI" w:eastAsia="sl-SI"/>
        </w:rPr>
        <w:t>daj ureja ZSTSPJS, lahko okrajni sodniki napredujejo za največ štiri in okrožni sodniki za največ tri plačne razrede.</w:t>
      </w:r>
      <w:r w:rsidRPr="00303F8F">
        <w:rPr>
          <w:rFonts w:cs="Arial"/>
          <w:sz w:val="18"/>
          <w:szCs w:val="18"/>
          <w:lang w:val="sl-SI"/>
        </w:rPr>
        <w:t xml:space="preserve"> S</w:t>
      </w:r>
      <w:r w:rsidRPr="00303F8F">
        <w:rPr>
          <w:rFonts w:eastAsia="Arial Unicode MS" w:cs="Arial"/>
          <w:bCs/>
          <w:sz w:val="18"/>
          <w:szCs w:val="18"/>
          <w:lang w:val="sl-SI" w:eastAsia="sl-SI"/>
        </w:rPr>
        <w:t xml:space="preserve"> pridobitvijo položaja svetnik pa se sodnik uvrsti za en plačni razred višje od najvišjega plačnega razreda posameznega sodniškega naziva (prvi in tretji odstavek 46. člena ZSS).</w:t>
      </w:r>
    </w:p>
  </w:footnote>
  <w:footnote w:id="15">
    <w:p w14:paraId="35FA3895"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15/13, 11/14, 86/15, 77/16, 77/17, 36/19, 66/19 – ZDZ, 200/20, 172/21, 105/22 – ZZNŠPP in 141/22.</w:t>
      </w:r>
    </w:p>
  </w:footnote>
  <w:footnote w:id="16">
    <w:p w14:paraId="5B597FD3" w14:textId="77777777" w:rsidR="00331D90" w:rsidRPr="008C4D0A" w:rsidRDefault="00331D90" w:rsidP="00331D90">
      <w:pPr>
        <w:pStyle w:val="Sprotnaopomba-besedilo"/>
        <w:spacing w:line="260" w:lineRule="exact"/>
        <w:jc w:val="both"/>
        <w:rPr>
          <w:rFonts w:cs="Arial"/>
          <w:sz w:val="18"/>
          <w:szCs w:val="18"/>
        </w:rPr>
      </w:pPr>
      <w:r w:rsidRPr="008C4D0A">
        <w:rPr>
          <w:rStyle w:val="Sprotnaopomba-sklic"/>
          <w:rFonts w:cs="Arial"/>
          <w:sz w:val="18"/>
          <w:szCs w:val="18"/>
        </w:rPr>
        <w:footnoteRef/>
      </w:r>
      <w:r w:rsidRPr="008C4D0A">
        <w:rPr>
          <w:rFonts w:cs="Arial"/>
          <w:sz w:val="18"/>
          <w:szCs w:val="18"/>
        </w:rPr>
        <w:t xml:space="preserve"> Uradni list RS, št. 68/07, 58/08 – ZSPJS-I, 121/21 in 40/23.</w:t>
      </w:r>
    </w:p>
  </w:footnote>
  <w:footnote w:id="17">
    <w:p w14:paraId="13899760"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18">
    <w:p w14:paraId="2080E98F"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2" w:history="1">
        <w:r w:rsidRPr="00623188">
          <w:rPr>
            <w:rStyle w:val="Hiperpovezava"/>
            <w:rFonts w:cs="Arial"/>
            <w:color w:val="auto"/>
            <w:sz w:val="18"/>
            <w:szCs w:val="18"/>
          </w:rPr>
          <w:t>Upravičenost | EU Careers</w:t>
        </w:r>
      </w:hyperlink>
    </w:p>
  </w:footnote>
  <w:footnote w:id="19">
    <w:p w14:paraId="0C8CE8D2"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w:t>
      </w:r>
      <w:hyperlink r:id="rId3" w:history="1">
        <w:r w:rsidRPr="00623188">
          <w:rPr>
            <w:rStyle w:val="Hiperpovezava"/>
            <w:rFonts w:cs="Arial"/>
            <w:color w:val="auto"/>
            <w:sz w:val="18"/>
            <w:szCs w:val="18"/>
          </w:rPr>
          <w:t>EPPO_Generic</w:t>
        </w:r>
      </w:hyperlink>
    </w:p>
  </w:footnote>
  <w:footnote w:id="20">
    <w:p w14:paraId="14CC79E9" w14:textId="77777777" w:rsidR="00331D90" w:rsidRPr="00361FF9" w:rsidRDefault="00331D90" w:rsidP="00331D90">
      <w:pPr>
        <w:pStyle w:val="Sprotnaopomba-besedilo"/>
        <w:spacing w:line="260" w:lineRule="exact"/>
        <w:jc w:val="both"/>
        <w:rPr>
          <w:rFonts w:cs="Arial"/>
          <w:sz w:val="18"/>
          <w:szCs w:val="18"/>
        </w:rPr>
      </w:pPr>
      <w:r w:rsidRPr="00361FF9">
        <w:rPr>
          <w:rStyle w:val="Sprotnaopomba-sklic"/>
          <w:rFonts w:cs="Arial"/>
          <w:sz w:val="18"/>
          <w:szCs w:val="18"/>
        </w:rPr>
        <w:footnoteRef/>
      </w:r>
      <w:r w:rsidRPr="00361FF9">
        <w:rPr>
          <w:rFonts w:cs="Arial"/>
          <w:sz w:val="18"/>
          <w:szCs w:val="18"/>
        </w:rPr>
        <w:t xml:space="preserve"> UL 45, 14.6.1962, str. 1385/62.</w:t>
      </w:r>
    </w:p>
  </w:footnote>
  <w:footnote w:id="21">
    <w:p w14:paraId="036DAD46"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4" w:history="1">
        <w:r w:rsidRPr="001605E4">
          <w:rPr>
            <w:rStyle w:val="Hiperpovezava"/>
            <w:rFonts w:cs="Arial"/>
            <w:color w:val="auto"/>
            <w:sz w:val="18"/>
            <w:szCs w:val="18"/>
          </w:rPr>
          <w:t>Upravičenost | EU Careers</w:t>
        </w:r>
      </w:hyperlink>
    </w:p>
  </w:footnote>
  <w:footnote w:id="22">
    <w:p w14:paraId="219D10CD"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w:t>
      </w:r>
      <w:hyperlink r:id="rId5" w:history="1">
        <w:r w:rsidRPr="001605E4">
          <w:rPr>
            <w:rStyle w:val="Hiperpovezava"/>
            <w:rFonts w:cs="Arial"/>
            <w:color w:val="auto"/>
            <w:sz w:val="18"/>
            <w:szCs w:val="18"/>
          </w:rPr>
          <w:t>EPPO_Generic</w:t>
        </w:r>
      </w:hyperlink>
    </w:p>
  </w:footnote>
  <w:footnote w:id="23">
    <w:p w14:paraId="219A4F0F" w14:textId="77777777" w:rsidR="00331D90" w:rsidRPr="001605E4" w:rsidRDefault="00331D90" w:rsidP="00331D90">
      <w:pPr>
        <w:pStyle w:val="Sprotnaopomba-besedilo"/>
        <w:spacing w:line="260" w:lineRule="exact"/>
        <w:jc w:val="both"/>
        <w:rPr>
          <w:rFonts w:cs="Arial"/>
          <w:sz w:val="18"/>
          <w:szCs w:val="18"/>
        </w:rPr>
      </w:pPr>
      <w:r w:rsidRPr="001605E4">
        <w:rPr>
          <w:rStyle w:val="Sprotnaopomba-sklic"/>
          <w:rFonts w:cs="Arial"/>
          <w:sz w:val="18"/>
          <w:szCs w:val="18"/>
        </w:rPr>
        <w:footnoteRef/>
      </w:r>
      <w:r w:rsidRPr="001605E4">
        <w:rPr>
          <w:rFonts w:cs="Arial"/>
          <w:sz w:val="18"/>
          <w:szCs w:val="18"/>
        </w:rPr>
        <w:t xml:space="preserve"> Avstrijski Zakon o državnem tožilstvu je dostopen na spletni strani:</w:t>
      </w:r>
    </w:p>
    <w:p w14:paraId="37D7A9F9" w14:textId="77777777" w:rsidR="00331D90" w:rsidRPr="008E0055" w:rsidRDefault="0025591D" w:rsidP="00331D90">
      <w:pPr>
        <w:pStyle w:val="Sprotnaopomba-besedilo"/>
        <w:spacing w:line="260" w:lineRule="exact"/>
        <w:jc w:val="both"/>
        <w:rPr>
          <w:rFonts w:cs="Arial"/>
          <w:sz w:val="18"/>
          <w:szCs w:val="18"/>
        </w:rPr>
      </w:pPr>
      <w:hyperlink r:id="rId6" w:history="1">
        <w:r w:rsidR="00331D90" w:rsidRPr="001605E4">
          <w:rPr>
            <w:rStyle w:val="Hiperpovezava"/>
            <w:rFonts w:cs="Arial"/>
            <w:color w:val="auto"/>
            <w:sz w:val="18"/>
            <w:szCs w:val="18"/>
          </w:rPr>
          <w:t>RIS - Staatsanwaltschaftsgesetz - Bundesrecht konsolidiert, Fassung vom 14.02.2025</w:t>
        </w:r>
      </w:hyperlink>
    </w:p>
  </w:footnote>
  <w:footnote w:id="24">
    <w:p w14:paraId="67A07FC9" w14:textId="77777777" w:rsidR="00331D90" w:rsidRPr="008E0055" w:rsidRDefault="00331D90" w:rsidP="00331D90">
      <w:pPr>
        <w:pStyle w:val="Sprotnaopomba-besedilo"/>
        <w:spacing w:line="260" w:lineRule="exact"/>
        <w:jc w:val="both"/>
        <w:rPr>
          <w:rFonts w:cs="Arial"/>
          <w:sz w:val="18"/>
          <w:szCs w:val="18"/>
        </w:rPr>
      </w:pPr>
      <w:r w:rsidRPr="008E0055">
        <w:rPr>
          <w:rStyle w:val="Sprotnaopomba-sklic"/>
          <w:rFonts w:cs="Arial"/>
          <w:sz w:val="18"/>
          <w:szCs w:val="18"/>
        </w:rPr>
        <w:footnoteRef/>
      </w:r>
      <w:r w:rsidRPr="008E0055">
        <w:rPr>
          <w:rFonts w:cs="Arial"/>
          <w:sz w:val="18"/>
          <w:szCs w:val="18"/>
        </w:rPr>
        <w:t xml:space="preserve"> Redno sodstvo je organizirano štiristopenjsko: 116 okrožnih sodišč (</w:t>
      </w:r>
      <w:r w:rsidRPr="008E0055">
        <w:rPr>
          <w:rFonts w:cs="Arial"/>
          <w:i/>
          <w:iCs/>
          <w:sz w:val="18"/>
          <w:szCs w:val="18"/>
        </w:rPr>
        <w:t>Bezirksgericht</w:t>
      </w:r>
      <w:r w:rsidRPr="008E0055">
        <w:rPr>
          <w:rFonts w:cs="Arial"/>
          <w:sz w:val="18"/>
          <w:szCs w:val="18"/>
        </w:rPr>
        <w:t>), 20 deželnih sodišč (</w:t>
      </w:r>
      <w:r w:rsidRPr="008E0055">
        <w:rPr>
          <w:rFonts w:cs="Arial"/>
          <w:i/>
          <w:iCs/>
          <w:sz w:val="18"/>
          <w:szCs w:val="18"/>
        </w:rPr>
        <w:t>Landesgericht</w:t>
      </w:r>
      <w:r w:rsidRPr="008E0055">
        <w:rPr>
          <w:rFonts w:cs="Arial"/>
          <w:sz w:val="18"/>
          <w:szCs w:val="18"/>
        </w:rPr>
        <w:t>), štiri višja deželna sodišča (</w:t>
      </w:r>
      <w:r w:rsidRPr="008E0055">
        <w:rPr>
          <w:rFonts w:cs="Arial"/>
          <w:i/>
          <w:iCs/>
          <w:sz w:val="18"/>
          <w:szCs w:val="18"/>
        </w:rPr>
        <w:t>Oberlandesgericht</w:t>
      </w:r>
      <w:r w:rsidRPr="008E0055">
        <w:rPr>
          <w:rFonts w:cs="Arial"/>
          <w:sz w:val="18"/>
          <w:szCs w:val="18"/>
        </w:rPr>
        <w:t>) in vrhovno sodišče (</w:t>
      </w:r>
      <w:r w:rsidRPr="008E0055">
        <w:rPr>
          <w:rFonts w:cs="Arial"/>
          <w:i/>
          <w:iCs/>
          <w:sz w:val="18"/>
          <w:szCs w:val="18"/>
        </w:rPr>
        <w:t>der Oberste Gerichtshof</w:t>
      </w:r>
      <w:r w:rsidRPr="008E0055">
        <w:rPr>
          <w:rFonts w:cs="Arial"/>
          <w:sz w:val="18"/>
          <w:szCs w:val="18"/>
        </w:rPr>
        <w:t>).</w:t>
      </w:r>
    </w:p>
    <w:p w14:paraId="1353230E" w14:textId="77777777" w:rsidR="00331D90" w:rsidRPr="008E0055" w:rsidRDefault="00331D90" w:rsidP="00331D90">
      <w:pPr>
        <w:pStyle w:val="Sprotnaopomba-besedilo"/>
        <w:spacing w:line="260" w:lineRule="exact"/>
        <w:jc w:val="both"/>
        <w:rPr>
          <w:rFonts w:cs="Arial"/>
          <w:sz w:val="18"/>
          <w:szCs w:val="18"/>
        </w:rPr>
      </w:pPr>
    </w:p>
  </w:footnote>
  <w:footnote w:id="25">
    <w:p w14:paraId="77748C2D"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Nemški Zakon o sodiščih je dostopen na spletni strani:</w:t>
      </w:r>
    </w:p>
    <w:p w14:paraId="4D328E1D" w14:textId="10F632EC" w:rsidR="00331D90" w:rsidRPr="00623188" w:rsidRDefault="0025591D" w:rsidP="00331D90">
      <w:pPr>
        <w:pStyle w:val="Sprotnaopomba-besedilo"/>
        <w:spacing w:line="260" w:lineRule="exact"/>
        <w:jc w:val="both"/>
        <w:rPr>
          <w:rFonts w:cs="Arial"/>
          <w:sz w:val="18"/>
          <w:szCs w:val="18"/>
        </w:rPr>
      </w:pPr>
      <w:hyperlink r:id="rId7" w:history="1">
        <w:r w:rsidR="00331D90" w:rsidRPr="00623188">
          <w:rPr>
            <w:rStyle w:val="Hiperpovezava"/>
            <w:rFonts w:cs="Arial"/>
            <w:color w:val="auto"/>
            <w:sz w:val="18"/>
            <w:szCs w:val="18"/>
          </w:rPr>
          <w:t>GVG - Gerichtsverfassungsgesetz</w:t>
        </w:r>
      </w:hyperlink>
      <w:r w:rsidR="005B0399">
        <w:rPr>
          <w:rStyle w:val="Hiperpovezava"/>
          <w:rFonts w:cs="Arial"/>
          <w:color w:val="auto"/>
          <w:sz w:val="18"/>
          <w:szCs w:val="18"/>
        </w:rPr>
        <w:t>.</w:t>
      </w:r>
    </w:p>
  </w:footnote>
  <w:footnote w:id="26">
    <w:p w14:paraId="2782BA70" w14:textId="77777777" w:rsidR="00331D90" w:rsidRPr="00623188" w:rsidRDefault="00331D90" w:rsidP="00331D90">
      <w:pPr>
        <w:pStyle w:val="Sprotnaopomba-besedilo"/>
        <w:spacing w:line="260" w:lineRule="exact"/>
        <w:rPr>
          <w:rFonts w:cs="Arial"/>
          <w:sz w:val="18"/>
          <w:szCs w:val="18"/>
        </w:rPr>
      </w:pPr>
      <w:r w:rsidRPr="00623188">
        <w:rPr>
          <w:rStyle w:val="Sprotnaopomba-sklic"/>
          <w:rFonts w:cs="Arial"/>
          <w:sz w:val="18"/>
          <w:szCs w:val="18"/>
        </w:rPr>
        <w:footnoteRef/>
      </w:r>
      <w:r w:rsidRPr="00623188">
        <w:rPr>
          <w:rFonts w:cs="Arial"/>
          <w:sz w:val="18"/>
          <w:szCs w:val="18"/>
        </w:rPr>
        <w:t xml:space="preserve"> V Nemčiji je poleg zveznega vrhovnega sodišča 24 višjih deželnih sodišč, 115 deželnih sodišč in 638 okrajnih sodišč. </w:t>
      </w:r>
    </w:p>
  </w:footnote>
  <w:footnote w:id="27">
    <w:p w14:paraId="5D37349A"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broj 56/90, 135/97, 8/98, 113/00, 124/00, 28/01, 41/01, 55/01, 76/10, 85/10, 5/14.</w:t>
      </w:r>
    </w:p>
  </w:footnote>
  <w:footnote w:id="28">
    <w:p w14:paraId="29E9D096" w14:textId="77777777" w:rsidR="00331D90" w:rsidRPr="00267199" w:rsidRDefault="00331D90" w:rsidP="00331D90">
      <w:pPr>
        <w:pStyle w:val="Sprotnaopomba-besedilo"/>
        <w:spacing w:line="260" w:lineRule="exact"/>
        <w:jc w:val="both"/>
        <w:rPr>
          <w:rFonts w:cs="Arial"/>
          <w:sz w:val="18"/>
          <w:szCs w:val="18"/>
        </w:rPr>
      </w:pPr>
      <w:r w:rsidRPr="00267199">
        <w:rPr>
          <w:rStyle w:val="Sprotnaopomba-sklic"/>
          <w:rFonts w:cs="Arial"/>
          <w:sz w:val="18"/>
          <w:szCs w:val="18"/>
        </w:rPr>
        <w:footnoteRef/>
      </w:r>
      <w:r w:rsidRPr="00267199">
        <w:rPr>
          <w:rFonts w:cs="Arial"/>
          <w:sz w:val="18"/>
          <w:szCs w:val="18"/>
        </w:rPr>
        <w:t xml:space="preserve"> Narodne novine br</w:t>
      </w:r>
      <w:r>
        <w:rPr>
          <w:rFonts w:cs="Arial"/>
          <w:sz w:val="18"/>
          <w:szCs w:val="18"/>
        </w:rPr>
        <w:t>oj</w:t>
      </w:r>
      <w:r w:rsidRPr="00267199">
        <w:rPr>
          <w:rFonts w:cs="Arial"/>
          <w:sz w:val="18"/>
          <w:szCs w:val="18"/>
        </w:rPr>
        <w:t xml:space="preserve"> 67/18, 21/22</w:t>
      </w:r>
      <w:r>
        <w:rPr>
          <w:rFonts w:cs="Arial"/>
          <w:sz w:val="18"/>
          <w:szCs w:val="18"/>
        </w:rPr>
        <w:t>.</w:t>
      </w:r>
    </w:p>
  </w:footnote>
  <w:footnote w:id="29">
    <w:p w14:paraId="09F3DFC4" w14:textId="29094D93"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Ustava </w:t>
      </w:r>
      <w:r w:rsidR="0026455F">
        <w:rPr>
          <w:rFonts w:cs="Arial"/>
          <w:sz w:val="18"/>
          <w:szCs w:val="18"/>
        </w:rPr>
        <w:t>Italijanske r</w:t>
      </w:r>
      <w:r w:rsidRPr="00623188">
        <w:rPr>
          <w:rFonts w:cs="Arial"/>
          <w:sz w:val="18"/>
          <w:szCs w:val="18"/>
        </w:rPr>
        <w:t xml:space="preserve">epublike je dostopna na spletni strani: </w:t>
      </w:r>
    </w:p>
    <w:p w14:paraId="6BDC0A70" w14:textId="788CDDBD" w:rsidR="00331D90" w:rsidRPr="00623188" w:rsidRDefault="0025591D" w:rsidP="00331D90">
      <w:pPr>
        <w:pStyle w:val="Sprotnaopomba-besedilo"/>
        <w:spacing w:line="260" w:lineRule="exact"/>
        <w:jc w:val="both"/>
        <w:rPr>
          <w:rFonts w:cs="Arial"/>
          <w:sz w:val="18"/>
          <w:szCs w:val="18"/>
        </w:rPr>
      </w:pPr>
      <w:hyperlink r:id="rId8" w:history="1">
        <w:r w:rsidR="00331D90" w:rsidRPr="00623188">
          <w:rPr>
            <w:rStyle w:val="Hiperpovezava"/>
            <w:rFonts w:cs="Arial"/>
            <w:color w:val="auto"/>
            <w:sz w:val="18"/>
            <w:szCs w:val="18"/>
          </w:rPr>
          <w:t>COSTITUZIONE - Normattiva</w:t>
        </w:r>
      </w:hyperlink>
      <w:r w:rsidR="005C4B6E">
        <w:rPr>
          <w:rStyle w:val="Hiperpovezava"/>
          <w:rFonts w:cs="Arial"/>
          <w:color w:val="auto"/>
          <w:sz w:val="18"/>
          <w:szCs w:val="18"/>
        </w:rPr>
        <w:t>.</w:t>
      </w:r>
    </w:p>
  </w:footnote>
  <w:footnote w:id="30">
    <w:p w14:paraId="73895947" w14:textId="77777777" w:rsidR="00331D90" w:rsidRPr="00623188" w:rsidRDefault="00331D90" w:rsidP="00331D90">
      <w:pPr>
        <w:pStyle w:val="Sprotnaopomba-besedilo"/>
        <w:spacing w:line="260" w:lineRule="exact"/>
        <w:jc w:val="both"/>
        <w:rPr>
          <w:rFonts w:cs="Arial"/>
          <w:sz w:val="18"/>
          <w:szCs w:val="18"/>
        </w:rPr>
      </w:pPr>
      <w:r w:rsidRPr="00623188">
        <w:rPr>
          <w:rStyle w:val="Sprotnaopomba-sklic"/>
          <w:rFonts w:cs="Arial"/>
          <w:sz w:val="18"/>
          <w:szCs w:val="18"/>
        </w:rPr>
        <w:footnoteRef/>
      </w:r>
      <w:r w:rsidRPr="00623188">
        <w:rPr>
          <w:rFonts w:cs="Arial"/>
          <w:sz w:val="18"/>
          <w:szCs w:val="18"/>
        </w:rPr>
        <w:t xml:space="preserve"> Povzeto po spletnih straneh:</w:t>
      </w:r>
    </w:p>
    <w:p w14:paraId="7732FCE3" w14:textId="77777777" w:rsidR="00331D90" w:rsidRPr="00623188" w:rsidRDefault="0025591D" w:rsidP="00331D90">
      <w:pPr>
        <w:pStyle w:val="Sprotnaopomba-besedilo"/>
        <w:spacing w:line="260" w:lineRule="exact"/>
        <w:jc w:val="both"/>
        <w:rPr>
          <w:rFonts w:cs="Arial"/>
          <w:sz w:val="18"/>
          <w:szCs w:val="18"/>
        </w:rPr>
      </w:pPr>
      <w:hyperlink r:id="rId9" w:history="1">
        <w:r w:rsidR="00331D90" w:rsidRPr="00623188">
          <w:rPr>
            <w:rStyle w:val="Hiperpovezava"/>
            <w:rFonts w:cs="Arial"/>
            <w:color w:val="auto"/>
            <w:sz w:val="18"/>
            <w:szCs w:val="18"/>
          </w:rPr>
          <w:t>Evropski portal e-pravosodje - Vrste pravniških poklicev</w:t>
        </w:r>
      </w:hyperlink>
    </w:p>
    <w:p w14:paraId="7A1C99A8" w14:textId="77777777" w:rsidR="00331D90" w:rsidRPr="00222083" w:rsidRDefault="0025591D" w:rsidP="00331D90">
      <w:pPr>
        <w:pStyle w:val="Sprotnaopomba-besedilo"/>
        <w:spacing w:line="260" w:lineRule="exact"/>
        <w:jc w:val="both"/>
        <w:rPr>
          <w:rFonts w:cs="Arial"/>
          <w:sz w:val="18"/>
          <w:szCs w:val="18"/>
        </w:rPr>
      </w:pPr>
      <w:hyperlink r:id="rId10" w:history="1">
        <w:r w:rsidR="00331D90" w:rsidRPr="00623188">
          <w:rPr>
            <w:rStyle w:val="Hiperpovezava"/>
            <w:rFonts w:cs="Arial"/>
            <w:color w:val="auto"/>
            <w:sz w:val="18"/>
            <w:szCs w:val="18"/>
          </w:rPr>
          <w:t>Avaleht | Prokuratuur</w:t>
        </w:r>
      </w:hyperlink>
    </w:p>
  </w:footnote>
  <w:footnote w:id="31">
    <w:p w14:paraId="65183895" w14:textId="579FAA52" w:rsidR="00D339B1" w:rsidRPr="00D339B1" w:rsidRDefault="00D339B1" w:rsidP="00D339B1">
      <w:pPr>
        <w:pStyle w:val="Sprotnaopomba-besedilo"/>
        <w:spacing w:line="260" w:lineRule="exact"/>
        <w:jc w:val="both"/>
        <w:rPr>
          <w:sz w:val="18"/>
          <w:szCs w:val="18"/>
        </w:rPr>
      </w:pPr>
      <w:r w:rsidRPr="00D339B1">
        <w:rPr>
          <w:rStyle w:val="Sprotnaopomba-sklic"/>
          <w:sz w:val="18"/>
          <w:szCs w:val="18"/>
        </w:rPr>
        <w:footnoteRef/>
      </w:r>
      <w:r w:rsidRPr="00D339B1">
        <w:rPr>
          <w:sz w:val="18"/>
          <w:szCs w:val="18"/>
        </w:rPr>
        <w:t xml:space="preserve"> Uradni list RS, št. 43/12, 45/12 – popr., 52/13, 54/18 in 69/18</w:t>
      </w:r>
      <w:r>
        <w:rPr>
          <w:sz w:val="18"/>
          <w:szCs w:val="18"/>
        </w:rPr>
        <w:t>.</w:t>
      </w:r>
    </w:p>
  </w:footnote>
  <w:footnote w:id="32">
    <w:p w14:paraId="2F862A9B" w14:textId="680FEE14" w:rsidR="009441F0" w:rsidRPr="009441F0" w:rsidRDefault="009441F0" w:rsidP="009441F0">
      <w:pPr>
        <w:pStyle w:val="Sprotnaopomba-besedilo"/>
        <w:spacing w:line="260" w:lineRule="exact"/>
        <w:jc w:val="both"/>
        <w:rPr>
          <w:sz w:val="18"/>
          <w:szCs w:val="18"/>
        </w:rPr>
      </w:pPr>
      <w:r w:rsidRPr="009441F0">
        <w:rPr>
          <w:rStyle w:val="Sprotnaopomba-sklic"/>
          <w:sz w:val="18"/>
          <w:szCs w:val="18"/>
        </w:rPr>
        <w:footnoteRef/>
      </w:r>
      <w:r w:rsidRPr="009441F0">
        <w:rPr>
          <w:sz w:val="18"/>
          <w:szCs w:val="18"/>
        </w:rPr>
        <w:t xml:space="preserve"> Uradni list RS, št. 94/07 – uradno prečiščeno besedilo, 91/09, 33/11, 46/13, 63/13, 69/13 – popr., 95/14 – ZUPPJS15, 17/15, 23/17 – ZSSve, 36/19 – ZDT-1C, 34/23 – odl. US in 76/23</w:t>
      </w:r>
      <w:r>
        <w:rPr>
          <w:sz w:val="18"/>
          <w:szCs w:val="18"/>
        </w:rPr>
        <w:t>.</w:t>
      </w:r>
    </w:p>
  </w:footnote>
  <w:footnote w:id="33">
    <w:p w14:paraId="44A9E4F6" w14:textId="77777777" w:rsidR="00331D90" w:rsidRPr="002501AB" w:rsidRDefault="00331D90" w:rsidP="00331D90">
      <w:pPr>
        <w:pStyle w:val="Sprotnaopomba-besedilo"/>
        <w:spacing w:line="260" w:lineRule="exact"/>
        <w:jc w:val="both"/>
        <w:rPr>
          <w:rFonts w:cs="Arial"/>
          <w:color w:val="000000" w:themeColor="text1"/>
          <w:sz w:val="18"/>
          <w:szCs w:val="18"/>
          <w:lang w:val="en-US"/>
        </w:rPr>
      </w:pPr>
      <w:r w:rsidRPr="002501AB">
        <w:rPr>
          <w:rStyle w:val="Sprotnaopomba-sklic"/>
          <w:rFonts w:cs="Arial"/>
          <w:color w:val="000000" w:themeColor="text1"/>
          <w:sz w:val="18"/>
          <w:szCs w:val="18"/>
        </w:rPr>
        <w:footnoteRef/>
      </w:r>
      <w:r w:rsidRPr="002501AB">
        <w:rPr>
          <w:rFonts w:cs="Arial"/>
          <w:color w:val="000000" w:themeColor="text1"/>
          <w:sz w:val="18"/>
          <w:szCs w:val="18"/>
        </w:rPr>
        <w:t xml:space="preserve"> Uradni list RS, št. 21/13, 78/13 – popr., 47/15 – ZZSDT, 33/16 – PZ-F, 52/16, 15/17 – odl. </w:t>
      </w:r>
      <w:r w:rsidRPr="002501AB">
        <w:rPr>
          <w:rFonts w:cs="Arial"/>
          <w:color w:val="000000" w:themeColor="text1"/>
          <w:sz w:val="18"/>
          <w:szCs w:val="18"/>
          <w:lang w:val="en-US"/>
        </w:rPr>
        <w:t>US, 22/19 – ZPosS, 81/19, 203/20 – ZIUPOPDVE, 119/21 – ZČmIS-A, 202/21 – odl. US, 15/22, 54/22 – ZUPŠ-1, 114/23 in 136/23 – ZIUZDS.</w:t>
      </w:r>
    </w:p>
  </w:footnote>
  <w:footnote w:id="34">
    <w:p w14:paraId="44C1890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5">
    <w:p w14:paraId="4FB2E5AD"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1" w:history="1">
        <w:r w:rsidRPr="00BA4CE7">
          <w:rPr>
            <w:rStyle w:val="Hiperpovezava"/>
            <w:rFonts w:cs="Arial"/>
            <w:color w:val="auto"/>
            <w:sz w:val="18"/>
            <w:szCs w:val="18"/>
          </w:rPr>
          <w:t>Upravičenost | EU Careers</w:t>
        </w:r>
      </w:hyperlink>
    </w:p>
  </w:footnote>
  <w:footnote w:id="36">
    <w:p w14:paraId="1D21FBA9"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2" w:history="1">
        <w:r w:rsidRPr="00BA4CE7">
          <w:rPr>
            <w:rStyle w:val="Hiperpovezava"/>
            <w:rFonts w:cs="Arial"/>
            <w:color w:val="auto"/>
            <w:sz w:val="18"/>
            <w:szCs w:val="18"/>
          </w:rPr>
          <w:t>EPPO_Generic</w:t>
        </w:r>
      </w:hyperlink>
    </w:p>
  </w:footnote>
  <w:footnote w:id="37">
    <w:p w14:paraId="3BC045C1"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UL 45, 14.6.1962, str. 1385/62.</w:t>
      </w:r>
    </w:p>
  </w:footnote>
  <w:footnote w:id="38">
    <w:p w14:paraId="5A40E244"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3" w:history="1">
        <w:r w:rsidRPr="00BA4CE7">
          <w:rPr>
            <w:rStyle w:val="Hiperpovezava"/>
            <w:rFonts w:cs="Arial"/>
            <w:color w:val="auto"/>
            <w:sz w:val="18"/>
            <w:szCs w:val="18"/>
          </w:rPr>
          <w:t>Upravičenost | EU Careers</w:t>
        </w:r>
      </w:hyperlink>
    </w:p>
  </w:footnote>
  <w:footnote w:id="39">
    <w:p w14:paraId="06352CCA" w14:textId="77777777" w:rsidR="00331D90" w:rsidRPr="00BA4CE7" w:rsidRDefault="00331D90" w:rsidP="00331D90">
      <w:pPr>
        <w:pStyle w:val="Sprotnaopomba-besedilo"/>
        <w:spacing w:line="260" w:lineRule="exact"/>
        <w:jc w:val="both"/>
        <w:rPr>
          <w:rFonts w:cs="Arial"/>
          <w:sz w:val="18"/>
          <w:szCs w:val="18"/>
        </w:rPr>
      </w:pPr>
      <w:r w:rsidRPr="00BA4CE7">
        <w:rPr>
          <w:rStyle w:val="Sprotnaopomba-sklic"/>
          <w:rFonts w:cs="Arial"/>
          <w:sz w:val="18"/>
          <w:szCs w:val="18"/>
        </w:rPr>
        <w:footnoteRef/>
      </w:r>
      <w:r w:rsidRPr="00BA4CE7">
        <w:rPr>
          <w:rFonts w:cs="Arial"/>
          <w:sz w:val="18"/>
          <w:szCs w:val="18"/>
        </w:rPr>
        <w:t xml:space="preserve"> </w:t>
      </w:r>
      <w:hyperlink r:id="rId14" w:history="1">
        <w:r w:rsidRPr="00BA4CE7">
          <w:rPr>
            <w:rStyle w:val="Hiperpovezava"/>
            <w:rFonts w:cs="Arial"/>
            <w:color w:val="auto"/>
            <w:sz w:val="18"/>
            <w:szCs w:val="18"/>
          </w:rPr>
          <w:t>EPPO_Generic</w:t>
        </w:r>
      </w:hyperlink>
    </w:p>
  </w:footnote>
  <w:footnote w:id="40">
    <w:p w14:paraId="4103EBF1"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15/13, 11/14, 86/15, 77/16, 77/17, 36/19, 66/19 – ZDZ, 200/20, 172/21, 105/22 – ZZNŠPP in 141/22.</w:t>
      </w:r>
    </w:p>
  </w:footnote>
  <w:footnote w:id="41">
    <w:p w14:paraId="4E7F5CFC" w14:textId="77777777" w:rsidR="00331D90" w:rsidRPr="00AC3B4D" w:rsidRDefault="00331D90" w:rsidP="00331D90">
      <w:pPr>
        <w:pStyle w:val="Sprotnaopomba-besedilo"/>
        <w:spacing w:line="260" w:lineRule="exact"/>
        <w:jc w:val="both"/>
        <w:rPr>
          <w:rFonts w:cs="Arial"/>
          <w:sz w:val="18"/>
          <w:szCs w:val="18"/>
        </w:rPr>
      </w:pPr>
      <w:r w:rsidRPr="00AC3B4D">
        <w:rPr>
          <w:rStyle w:val="Sprotnaopomba-sklic"/>
          <w:rFonts w:cs="Arial"/>
          <w:sz w:val="18"/>
          <w:szCs w:val="18"/>
        </w:rPr>
        <w:footnoteRef/>
      </w:r>
      <w:r w:rsidRPr="00AC3B4D">
        <w:rPr>
          <w:rFonts w:cs="Arial"/>
          <w:sz w:val="18"/>
          <w:szCs w:val="18"/>
        </w:rPr>
        <w:t xml:space="preserve"> Uradni list RS, št. 68/07, 58/08 – ZSPJS-I, 121/21 in 40/23.</w:t>
      </w:r>
    </w:p>
  </w:footnote>
  <w:footnote w:id="42">
    <w:p w14:paraId="187FE88A" w14:textId="77777777" w:rsidR="00752F2B" w:rsidRPr="00752F2B" w:rsidRDefault="00752F2B" w:rsidP="00752F2B">
      <w:pPr>
        <w:pStyle w:val="Sprotnaopomba-besedilo"/>
        <w:spacing w:line="260" w:lineRule="exact"/>
        <w:jc w:val="both"/>
        <w:rPr>
          <w:rFonts w:cs="Arial"/>
          <w:sz w:val="18"/>
          <w:szCs w:val="18"/>
        </w:rPr>
      </w:pPr>
      <w:r w:rsidRPr="00752F2B">
        <w:rPr>
          <w:rStyle w:val="Sprotnaopomba-sklic"/>
          <w:sz w:val="18"/>
          <w:szCs w:val="18"/>
        </w:rPr>
        <w:footnoteRef/>
      </w:r>
      <w:r w:rsidRPr="00752F2B">
        <w:rPr>
          <w:rFonts w:cs="Arial"/>
          <w:sz w:val="18"/>
          <w:szCs w:val="18"/>
        </w:rPr>
        <w:t xml:space="preserve"> Uradni list RS, št. 43/12, 45/12 – popr., 52/13, 54/18 in 69/18.</w:t>
      </w:r>
    </w:p>
  </w:footnote>
  <w:footnote w:id="43">
    <w:p w14:paraId="2533793E" w14:textId="77777777" w:rsidR="00B62B74" w:rsidRPr="002708E6" w:rsidRDefault="00B62B74" w:rsidP="00B62B74">
      <w:pPr>
        <w:pStyle w:val="Sprotnaopomba-besedilo"/>
        <w:spacing w:line="260" w:lineRule="exact"/>
        <w:jc w:val="both"/>
        <w:rPr>
          <w:rFonts w:cs="Arial"/>
          <w:sz w:val="18"/>
          <w:szCs w:val="18"/>
        </w:rPr>
      </w:pPr>
      <w:r w:rsidRPr="002708E6">
        <w:rPr>
          <w:rStyle w:val="Sprotnaopomba-sklic"/>
          <w:rFonts w:cs="Arial"/>
          <w:sz w:val="18"/>
          <w:szCs w:val="18"/>
        </w:rPr>
        <w:footnoteRef/>
      </w:r>
      <w:r w:rsidRPr="002708E6">
        <w:rPr>
          <w:rFonts w:cs="Arial"/>
          <w:sz w:val="18"/>
          <w:szCs w:val="18"/>
        </w:rPr>
        <w:t xml:space="preserve"> Uradni list RS, št. 108/09 – uradno prečiščeno besedilo, 13/10, 59/10, 85/10, 107/10, 35/11 – ORZSPJS49a, 27/12 – odl. US, 40/12 – ZUJF, 46/13, 25/14 – ZFU, 50/14, 95/14 – ZUPPJS15, 82/15, 23/17 – ZDOdv, 67/17, 84/18, 204/21, 139/22, 38/24, 48/24 – odl. US in 95/24 – ZSTSPJS.</w:t>
      </w:r>
    </w:p>
  </w:footnote>
  <w:footnote w:id="44">
    <w:p w14:paraId="6BA082CE" w14:textId="77777777" w:rsidR="00E77861" w:rsidRPr="00E77861" w:rsidRDefault="00E77861" w:rsidP="00E77861">
      <w:pPr>
        <w:pStyle w:val="Sprotnaopomba-besedilo"/>
        <w:spacing w:line="260" w:lineRule="exact"/>
        <w:jc w:val="both"/>
        <w:rPr>
          <w:rFonts w:cs="Arial"/>
          <w:sz w:val="18"/>
          <w:szCs w:val="18"/>
        </w:rPr>
      </w:pPr>
      <w:r w:rsidRPr="00E77861">
        <w:rPr>
          <w:rStyle w:val="Sprotnaopomba-sklic"/>
          <w:sz w:val="18"/>
          <w:szCs w:val="18"/>
        </w:rPr>
        <w:footnoteRef/>
      </w:r>
      <w:r w:rsidRPr="00E77861">
        <w:rPr>
          <w:rFonts w:cs="Arial"/>
          <w:sz w:val="18"/>
          <w:szCs w:val="18"/>
        </w:rPr>
        <w:t xml:space="preserve"> Uradni list RS, št. 95/24.</w:t>
      </w:r>
    </w:p>
  </w:footnote>
  <w:footnote w:id="45">
    <w:p w14:paraId="6CFFF623" w14:textId="77777777" w:rsidR="00385BE2" w:rsidRPr="00346C80" w:rsidRDefault="00385BE2" w:rsidP="00385BE2">
      <w:pPr>
        <w:pStyle w:val="Sprotnaopomba-besedilo"/>
        <w:spacing w:line="260" w:lineRule="exact"/>
        <w:jc w:val="both"/>
        <w:rPr>
          <w:rFonts w:cs="Arial"/>
          <w:sz w:val="18"/>
          <w:szCs w:val="18"/>
        </w:rPr>
      </w:pPr>
      <w:r w:rsidRPr="00346C80">
        <w:rPr>
          <w:rStyle w:val="Sprotnaopomba-sklic"/>
          <w:sz w:val="18"/>
          <w:szCs w:val="18"/>
        </w:rPr>
        <w:footnoteRef/>
      </w:r>
      <w:r w:rsidRPr="00346C80">
        <w:rPr>
          <w:rFonts w:cs="Arial"/>
          <w:sz w:val="18"/>
          <w:szCs w:val="18"/>
        </w:rPr>
        <w:t xml:space="preserve"> Uradni list RS, št. 94/07 – uradno prečiščeno besedilo, 91/09, 33/11, 46/13, 63/13, 69/13 – popr., 95/14 – ZUPPJS15, 17/15, 23/17, 36/19 – ZDT-1C, 34/23 – odl. US in 76/23.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84E2B" w:rsidRPr="008F3500" w14:paraId="1C7D566B" w14:textId="77777777">
      <w:trPr>
        <w:cantSplit/>
        <w:trHeight w:hRule="exact" w:val="847"/>
      </w:trPr>
      <w:tc>
        <w:tcPr>
          <w:tcW w:w="567" w:type="dxa"/>
        </w:tcPr>
        <w:p w14:paraId="35EB3C84" w14:textId="77777777" w:rsidR="00384E2B" w:rsidRPr="008F3500" w:rsidRDefault="00384E2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57C3EF08" w14:textId="77777777" w:rsidR="0025591D" w:rsidRPr="00A9231D" w:rsidRDefault="0025591D" w:rsidP="0025591D">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4124D44" wp14:editId="6D2AF96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2B5EDAF" w14:textId="451E79D0" w:rsidR="0025591D" w:rsidRPr="0025591D" w:rsidRDefault="0025591D" w:rsidP="0025591D">
    <w:pPr>
      <w:pStyle w:val="Glava"/>
      <w:tabs>
        <w:tab w:val="clear" w:pos="8640"/>
        <w:tab w:val="left" w:pos="5114"/>
        <w:tab w:val="left" w:pos="8641"/>
      </w:tabs>
      <w:spacing w:before="120" w:line="240" w:lineRule="exact"/>
      <w:rPr>
        <w:rFonts w:cs="Arial"/>
        <w:sz w:val="16"/>
        <w:lang w:val="sl-SI"/>
      </w:rPr>
    </w:pPr>
    <w:r w:rsidRPr="0025591D">
      <w:rPr>
        <w:rFonts w:cs="Arial"/>
        <w:sz w:val="16"/>
        <w:lang w:val="sl-SI"/>
      </w:rPr>
      <w:t>Gregorčičeva ulica 20–25, 1000 Ljubljana</w:t>
    </w:r>
    <w:r w:rsidRPr="0025591D">
      <w:rPr>
        <w:rFonts w:cs="Arial"/>
        <w:sz w:val="16"/>
        <w:lang w:val="sl-SI"/>
      </w:rPr>
      <w:tab/>
    </w:r>
    <w:r w:rsidRPr="0025591D">
      <w:rPr>
        <w:rFonts w:cs="Arial"/>
        <w:sz w:val="16"/>
        <w:lang w:val="sl-SI"/>
      </w:rPr>
      <w:tab/>
    </w:r>
    <w:r w:rsidRPr="0025591D">
      <w:rPr>
        <w:rFonts w:cs="Arial"/>
        <w:sz w:val="16"/>
        <w:lang w:val="sl-SI"/>
      </w:rPr>
      <w:t>T: +386 1 478 1000</w:t>
    </w:r>
  </w:p>
  <w:p w14:paraId="686C1C00" w14:textId="3D33F742" w:rsidR="0025591D" w:rsidRPr="0025591D" w:rsidRDefault="0025591D" w:rsidP="0025591D">
    <w:pPr>
      <w:pStyle w:val="Glava"/>
      <w:tabs>
        <w:tab w:val="clear" w:pos="8640"/>
        <w:tab w:val="left" w:pos="5114"/>
        <w:tab w:val="left" w:pos="8641"/>
      </w:tabs>
      <w:spacing w:line="240" w:lineRule="exact"/>
      <w:rPr>
        <w:rFonts w:cs="Arial"/>
        <w:sz w:val="16"/>
        <w:lang w:val="it-IT"/>
      </w:rPr>
    </w:pPr>
    <w:r w:rsidRPr="0025591D">
      <w:rPr>
        <w:rFonts w:cs="Arial"/>
        <w:sz w:val="16"/>
        <w:lang w:val="it-IT"/>
      </w:rPr>
      <w:tab/>
    </w:r>
    <w:r>
      <w:rPr>
        <w:rFonts w:cs="Arial"/>
        <w:sz w:val="16"/>
        <w:lang w:val="it-IT"/>
      </w:rPr>
      <w:tab/>
    </w:r>
    <w:r w:rsidRPr="0025591D">
      <w:rPr>
        <w:rFonts w:cs="Arial"/>
        <w:sz w:val="16"/>
        <w:lang w:val="it-IT"/>
      </w:rPr>
      <w:t>F: +386 1 478 1607</w:t>
    </w:r>
  </w:p>
  <w:p w14:paraId="167B2C81" w14:textId="0DA16F87" w:rsidR="0025591D" w:rsidRPr="0025591D" w:rsidRDefault="0025591D" w:rsidP="0025591D">
    <w:pPr>
      <w:pStyle w:val="Glava"/>
      <w:tabs>
        <w:tab w:val="clear" w:pos="8640"/>
        <w:tab w:val="left" w:pos="5114"/>
        <w:tab w:val="left" w:pos="8641"/>
      </w:tabs>
      <w:spacing w:line="240" w:lineRule="exact"/>
      <w:rPr>
        <w:rFonts w:cs="Arial"/>
        <w:sz w:val="16"/>
        <w:lang w:val="it-IT"/>
      </w:rPr>
    </w:pPr>
    <w:r w:rsidRPr="0025591D">
      <w:rPr>
        <w:rFonts w:cs="Arial"/>
        <w:sz w:val="16"/>
        <w:lang w:val="it-IT"/>
      </w:rPr>
      <w:tab/>
    </w:r>
    <w:r>
      <w:rPr>
        <w:rFonts w:cs="Arial"/>
        <w:sz w:val="16"/>
        <w:lang w:val="it-IT"/>
      </w:rPr>
      <w:tab/>
    </w:r>
    <w:r w:rsidRPr="0025591D">
      <w:rPr>
        <w:rFonts w:cs="Arial"/>
        <w:sz w:val="16"/>
        <w:lang w:val="it-IT"/>
      </w:rPr>
      <w:t>E: gp.gs@gov.si</w:t>
    </w:r>
  </w:p>
  <w:p w14:paraId="0E67180C" w14:textId="05404BA3" w:rsidR="0025591D" w:rsidRPr="0025591D" w:rsidRDefault="0025591D" w:rsidP="0025591D">
    <w:pPr>
      <w:pStyle w:val="Glava"/>
      <w:tabs>
        <w:tab w:val="clear" w:pos="8640"/>
        <w:tab w:val="left" w:pos="5114"/>
        <w:tab w:val="left" w:pos="8641"/>
      </w:tabs>
      <w:spacing w:line="240" w:lineRule="exact"/>
      <w:rPr>
        <w:rFonts w:cs="Arial"/>
        <w:sz w:val="16"/>
        <w:lang w:val="it-IT"/>
      </w:rPr>
    </w:pPr>
    <w:r w:rsidRPr="0025591D">
      <w:rPr>
        <w:rFonts w:cs="Arial"/>
        <w:sz w:val="16"/>
        <w:lang w:val="it-IT"/>
      </w:rPr>
      <w:tab/>
    </w:r>
    <w:r>
      <w:rPr>
        <w:rFonts w:cs="Arial"/>
        <w:sz w:val="16"/>
        <w:lang w:val="it-IT"/>
      </w:rPr>
      <w:tab/>
    </w:r>
    <w:r w:rsidRPr="0025591D">
      <w:rPr>
        <w:rFonts w:cs="Arial"/>
        <w:sz w:val="16"/>
        <w:lang w:val="it-IT"/>
      </w:rPr>
      <w:t>http://www.vlada.si/</w:t>
    </w:r>
  </w:p>
  <w:p w14:paraId="1977DBF4" w14:textId="77777777" w:rsidR="00384E2B" w:rsidRPr="0025591D" w:rsidRDefault="00384E2B" w:rsidP="00A25D30">
    <w:pPr>
      <w:pStyle w:val="Glava"/>
      <w:tabs>
        <w:tab w:val="clear" w:pos="4320"/>
        <w:tab w:val="clear" w:pos="8640"/>
        <w:tab w:val="left" w:pos="546"/>
        <w:tab w:val="left" w:pos="5112"/>
      </w:tabs>
      <w:spacing w:line="240" w:lineRule="exact"/>
      <w:rPr>
        <w:rFonts w:cs="Arial"/>
        <w:b/>
        <w:i/>
        <w:szCs w:val="20"/>
        <w:lang w:val="it-IT"/>
      </w:rPr>
    </w:pPr>
  </w:p>
  <w:p w14:paraId="263DE4E0" w14:textId="77777777" w:rsidR="00384E2B" w:rsidRPr="00E94036" w:rsidRDefault="00384E2B"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B25DE9"/>
    <w:multiLevelType w:val="hybridMultilevel"/>
    <w:tmpl w:val="CA3036B4"/>
    <w:lvl w:ilvl="0" w:tplc="1E9E014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82AA4"/>
    <w:multiLevelType w:val="hybridMultilevel"/>
    <w:tmpl w:val="258CC0D4"/>
    <w:lvl w:ilvl="0" w:tplc="1E9E014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AA5E5F"/>
    <w:multiLevelType w:val="hybridMultilevel"/>
    <w:tmpl w:val="EFFADA80"/>
    <w:lvl w:ilvl="0" w:tplc="E7E4D138">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1A5601E3"/>
    <w:multiLevelType w:val="hybridMultilevel"/>
    <w:tmpl w:val="AA109B92"/>
    <w:lvl w:ilvl="0" w:tplc="2D162E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8E3463"/>
    <w:multiLevelType w:val="hybridMultilevel"/>
    <w:tmpl w:val="07B88642"/>
    <w:lvl w:ilvl="0" w:tplc="B4081CF4">
      <w:start w:val="3"/>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617591"/>
    <w:multiLevelType w:val="hybridMultilevel"/>
    <w:tmpl w:val="97A87CFC"/>
    <w:lvl w:ilvl="0" w:tplc="243425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A0315D"/>
    <w:multiLevelType w:val="hybridMultilevel"/>
    <w:tmpl w:val="D110DE78"/>
    <w:lvl w:ilvl="0" w:tplc="CBDC53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957197"/>
    <w:multiLevelType w:val="hybridMultilevel"/>
    <w:tmpl w:val="A126D26C"/>
    <w:lvl w:ilvl="0" w:tplc="1E9E014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A06318"/>
    <w:multiLevelType w:val="hybridMultilevel"/>
    <w:tmpl w:val="405A2D72"/>
    <w:lvl w:ilvl="0" w:tplc="21005A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3C7FE6"/>
    <w:multiLevelType w:val="hybridMultilevel"/>
    <w:tmpl w:val="CE72685C"/>
    <w:lvl w:ilvl="0" w:tplc="1E9E01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C65262"/>
    <w:multiLevelType w:val="hybridMultilevel"/>
    <w:tmpl w:val="A7BAF97C"/>
    <w:lvl w:ilvl="0" w:tplc="E1C8797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75162B1"/>
    <w:multiLevelType w:val="hybridMultilevel"/>
    <w:tmpl w:val="1754336C"/>
    <w:lvl w:ilvl="0" w:tplc="D986860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BA5312C"/>
    <w:multiLevelType w:val="hybridMultilevel"/>
    <w:tmpl w:val="E0B28796"/>
    <w:lvl w:ilvl="0" w:tplc="18585D6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0"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5"/>
  </w:num>
  <w:num w:numId="4">
    <w:abstractNumId w:val="20"/>
  </w:num>
  <w:num w:numId="5">
    <w:abstractNumId w:val="26"/>
  </w:num>
  <w:num w:numId="6">
    <w:abstractNumId w:val="31"/>
  </w:num>
  <w:num w:numId="7">
    <w:abstractNumId w:val="15"/>
  </w:num>
  <w:num w:numId="8">
    <w:abstractNumId w:val="14"/>
    <w:lvlOverride w:ilvl="0">
      <w:startOverride w:val="1"/>
    </w:lvlOverride>
  </w:num>
  <w:num w:numId="9">
    <w:abstractNumId w:val="28"/>
  </w:num>
  <w:num w:numId="10">
    <w:abstractNumId w:val="10"/>
  </w:num>
  <w:num w:numId="11">
    <w:abstractNumId w:val="11"/>
  </w:num>
  <w:num w:numId="12">
    <w:abstractNumId w:val="27"/>
  </w:num>
  <w:num w:numId="13">
    <w:abstractNumId w:val="9"/>
  </w:num>
  <w:num w:numId="14">
    <w:abstractNumId w:val="19"/>
  </w:num>
  <w:num w:numId="15">
    <w:abstractNumId w:val="8"/>
  </w:num>
  <w:num w:numId="16">
    <w:abstractNumId w:val="30"/>
  </w:num>
  <w:num w:numId="17">
    <w:abstractNumId w:val="4"/>
  </w:num>
  <w:num w:numId="18">
    <w:abstractNumId w:val="23"/>
  </w:num>
  <w:num w:numId="19">
    <w:abstractNumId w:val="0"/>
  </w:num>
  <w:num w:numId="20">
    <w:abstractNumId w:val="25"/>
  </w:num>
  <w:num w:numId="21">
    <w:abstractNumId w:val="18"/>
  </w:num>
  <w:num w:numId="22">
    <w:abstractNumId w:val="2"/>
  </w:num>
  <w:num w:numId="23">
    <w:abstractNumId w:val="22"/>
  </w:num>
  <w:num w:numId="24">
    <w:abstractNumId w:val="16"/>
  </w:num>
  <w:num w:numId="25">
    <w:abstractNumId w:val="1"/>
  </w:num>
  <w:num w:numId="26">
    <w:abstractNumId w:val="29"/>
  </w:num>
  <w:num w:numId="27">
    <w:abstractNumId w:val="6"/>
  </w:num>
  <w:num w:numId="28">
    <w:abstractNumId w:val="24"/>
  </w:num>
  <w:num w:numId="29">
    <w:abstractNumId w:val="21"/>
  </w:num>
  <w:num w:numId="30">
    <w:abstractNumId w:val="17"/>
  </w:num>
  <w:num w:numId="31">
    <w:abstractNumId w:val="12"/>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C79"/>
    <w:rsid w:val="0000239E"/>
    <w:rsid w:val="0000350E"/>
    <w:rsid w:val="000037FB"/>
    <w:rsid w:val="000045E2"/>
    <w:rsid w:val="000057E3"/>
    <w:rsid w:val="000063C1"/>
    <w:rsid w:val="00007208"/>
    <w:rsid w:val="00007CD3"/>
    <w:rsid w:val="00010A37"/>
    <w:rsid w:val="00011582"/>
    <w:rsid w:val="00012840"/>
    <w:rsid w:val="00012934"/>
    <w:rsid w:val="000149E3"/>
    <w:rsid w:val="00014F1A"/>
    <w:rsid w:val="00021983"/>
    <w:rsid w:val="00023431"/>
    <w:rsid w:val="00023E24"/>
    <w:rsid w:val="00025FD1"/>
    <w:rsid w:val="000268FC"/>
    <w:rsid w:val="000271C1"/>
    <w:rsid w:val="000305E6"/>
    <w:rsid w:val="000306D1"/>
    <w:rsid w:val="00030A52"/>
    <w:rsid w:val="00032218"/>
    <w:rsid w:val="0003295E"/>
    <w:rsid w:val="00033309"/>
    <w:rsid w:val="0003360E"/>
    <w:rsid w:val="00033A93"/>
    <w:rsid w:val="00034A48"/>
    <w:rsid w:val="00035002"/>
    <w:rsid w:val="000368E4"/>
    <w:rsid w:val="00036D5E"/>
    <w:rsid w:val="00036E65"/>
    <w:rsid w:val="0004085C"/>
    <w:rsid w:val="00040A1B"/>
    <w:rsid w:val="00040D6E"/>
    <w:rsid w:val="00041C26"/>
    <w:rsid w:val="00041D8A"/>
    <w:rsid w:val="00042DD6"/>
    <w:rsid w:val="00042F56"/>
    <w:rsid w:val="00043EAA"/>
    <w:rsid w:val="000455B0"/>
    <w:rsid w:val="000459D8"/>
    <w:rsid w:val="000471B3"/>
    <w:rsid w:val="00047552"/>
    <w:rsid w:val="00052EC8"/>
    <w:rsid w:val="00054B04"/>
    <w:rsid w:val="00054CAB"/>
    <w:rsid w:val="00055077"/>
    <w:rsid w:val="000557D3"/>
    <w:rsid w:val="00055D9E"/>
    <w:rsid w:val="00055DE6"/>
    <w:rsid w:val="00056800"/>
    <w:rsid w:val="00056ACD"/>
    <w:rsid w:val="00056BD5"/>
    <w:rsid w:val="00064C74"/>
    <w:rsid w:val="00065640"/>
    <w:rsid w:val="000701E9"/>
    <w:rsid w:val="0007026D"/>
    <w:rsid w:val="000704DD"/>
    <w:rsid w:val="00070650"/>
    <w:rsid w:val="00070991"/>
    <w:rsid w:val="0007124F"/>
    <w:rsid w:val="00071E6D"/>
    <w:rsid w:val="00072548"/>
    <w:rsid w:val="00072598"/>
    <w:rsid w:val="00072F1E"/>
    <w:rsid w:val="00072F32"/>
    <w:rsid w:val="00074FA8"/>
    <w:rsid w:val="00075553"/>
    <w:rsid w:val="0007639A"/>
    <w:rsid w:val="00076F1B"/>
    <w:rsid w:val="00081C3B"/>
    <w:rsid w:val="00082268"/>
    <w:rsid w:val="00084160"/>
    <w:rsid w:val="00084A07"/>
    <w:rsid w:val="00085E13"/>
    <w:rsid w:val="00087830"/>
    <w:rsid w:val="00090C13"/>
    <w:rsid w:val="0009192D"/>
    <w:rsid w:val="00091EFA"/>
    <w:rsid w:val="00093DA3"/>
    <w:rsid w:val="00096FD7"/>
    <w:rsid w:val="00097607"/>
    <w:rsid w:val="00097A39"/>
    <w:rsid w:val="00097E7F"/>
    <w:rsid w:val="000A21A6"/>
    <w:rsid w:val="000A23DD"/>
    <w:rsid w:val="000A3F32"/>
    <w:rsid w:val="000A3F50"/>
    <w:rsid w:val="000A5C52"/>
    <w:rsid w:val="000A6087"/>
    <w:rsid w:val="000A704A"/>
    <w:rsid w:val="000B0EBB"/>
    <w:rsid w:val="000B1051"/>
    <w:rsid w:val="000B509C"/>
    <w:rsid w:val="000B534F"/>
    <w:rsid w:val="000B5794"/>
    <w:rsid w:val="000B65CB"/>
    <w:rsid w:val="000B758A"/>
    <w:rsid w:val="000C0303"/>
    <w:rsid w:val="000C0611"/>
    <w:rsid w:val="000C1276"/>
    <w:rsid w:val="000C1A36"/>
    <w:rsid w:val="000C440F"/>
    <w:rsid w:val="000C4C03"/>
    <w:rsid w:val="000C5C71"/>
    <w:rsid w:val="000C603B"/>
    <w:rsid w:val="000C655E"/>
    <w:rsid w:val="000C71E3"/>
    <w:rsid w:val="000D1D0E"/>
    <w:rsid w:val="000D255B"/>
    <w:rsid w:val="000D2651"/>
    <w:rsid w:val="000D37F8"/>
    <w:rsid w:val="000D39DC"/>
    <w:rsid w:val="000D40D4"/>
    <w:rsid w:val="000D459F"/>
    <w:rsid w:val="000D576B"/>
    <w:rsid w:val="000D7A16"/>
    <w:rsid w:val="000D7B76"/>
    <w:rsid w:val="000E04F1"/>
    <w:rsid w:val="000E6FAA"/>
    <w:rsid w:val="000E7821"/>
    <w:rsid w:val="000F628A"/>
    <w:rsid w:val="000F7C4F"/>
    <w:rsid w:val="00101EF1"/>
    <w:rsid w:val="00102322"/>
    <w:rsid w:val="00102603"/>
    <w:rsid w:val="001026C6"/>
    <w:rsid w:val="00102712"/>
    <w:rsid w:val="001061BD"/>
    <w:rsid w:val="001072E6"/>
    <w:rsid w:val="00110551"/>
    <w:rsid w:val="001139BC"/>
    <w:rsid w:val="001147B1"/>
    <w:rsid w:val="00116851"/>
    <w:rsid w:val="00116AC9"/>
    <w:rsid w:val="00116BD5"/>
    <w:rsid w:val="00116D70"/>
    <w:rsid w:val="001178DE"/>
    <w:rsid w:val="00117D09"/>
    <w:rsid w:val="00120AEA"/>
    <w:rsid w:val="00122FD1"/>
    <w:rsid w:val="001266B7"/>
    <w:rsid w:val="00127629"/>
    <w:rsid w:val="0013092E"/>
    <w:rsid w:val="00130C4C"/>
    <w:rsid w:val="00131EB7"/>
    <w:rsid w:val="00135347"/>
    <w:rsid w:val="00136AA0"/>
    <w:rsid w:val="00143274"/>
    <w:rsid w:val="00143F1B"/>
    <w:rsid w:val="0014688C"/>
    <w:rsid w:val="00146AFC"/>
    <w:rsid w:val="00150C4A"/>
    <w:rsid w:val="00152B52"/>
    <w:rsid w:val="00154F4B"/>
    <w:rsid w:val="00157E38"/>
    <w:rsid w:val="001605E4"/>
    <w:rsid w:val="001629CE"/>
    <w:rsid w:val="00163BA0"/>
    <w:rsid w:val="00164839"/>
    <w:rsid w:val="00165150"/>
    <w:rsid w:val="0017019C"/>
    <w:rsid w:val="001709A1"/>
    <w:rsid w:val="00173108"/>
    <w:rsid w:val="00173903"/>
    <w:rsid w:val="00174356"/>
    <w:rsid w:val="001743E1"/>
    <w:rsid w:val="00174E05"/>
    <w:rsid w:val="001755E8"/>
    <w:rsid w:val="00176156"/>
    <w:rsid w:val="00176AC1"/>
    <w:rsid w:val="00177A0A"/>
    <w:rsid w:val="00177CB6"/>
    <w:rsid w:val="00180B11"/>
    <w:rsid w:val="00185CB2"/>
    <w:rsid w:val="00187335"/>
    <w:rsid w:val="00187425"/>
    <w:rsid w:val="00187CB7"/>
    <w:rsid w:val="00187E4F"/>
    <w:rsid w:val="001919EB"/>
    <w:rsid w:val="00191BEE"/>
    <w:rsid w:val="001923AF"/>
    <w:rsid w:val="00194AF1"/>
    <w:rsid w:val="00195375"/>
    <w:rsid w:val="0019541C"/>
    <w:rsid w:val="00195481"/>
    <w:rsid w:val="0019597F"/>
    <w:rsid w:val="001979A4"/>
    <w:rsid w:val="001A0D58"/>
    <w:rsid w:val="001A1332"/>
    <w:rsid w:val="001A19D5"/>
    <w:rsid w:val="001A2BA6"/>
    <w:rsid w:val="001A3C76"/>
    <w:rsid w:val="001A4796"/>
    <w:rsid w:val="001A558F"/>
    <w:rsid w:val="001A69B3"/>
    <w:rsid w:val="001A6E24"/>
    <w:rsid w:val="001A7736"/>
    <w:rsid w:val="001B0A7B"/>
    <w:rsid w:val="001B3E60"/>
    <w:rsid w:val="001B7504"/>
    <w:rsid w:val="001C0844"/>
    <w:rsid w:val="001C102F"/>
    <w:rsid w:val="001C113A"/>
    <w:rsid w:val="001C1AA1"/>
    <w:rsid w:val="001C384E"/>
    <w:rsid w:val="001C600A"/>
    <w:rsid w:val="001C624C"/>
    <w:rsid w:val="001C63C0"/>
    <w:rsid w:val="001C7950"/>
    <w:rsid w:val="001D02F9"/>
    <w:rsid w:val="001D08D4"/>
    <w:rsid w:val="001D0AC5"/>
    <w:rsid w:val="001D3077"/>
    <w:rsid w:val="001D429F"/>
    <w:rsid w:val="001D4309"/>
    <w:rsid w:val="001D4C8D"/>
    <w:rsid w:val="001D6984"/>
    <w:rsid w:val="001D7CDA"/>
    <w:rsid w:val="001E17CC"/>
    <w:rsid w:val="001E1FCD"/>
    <w:rsid w:val="001E3D56"/>
    <w:rsid w:val="001E5911"/>
    <w:rsid w:val="001E62AB"/>
    <w:rsid w:val="001E7F63"/>
    <w:rsid w:val="001F0378"/>
    <w:rsid w:val="001F14D2"/>
    <w:rsid w:val="001F1A7D"/>
    <w:rsid w:val="001F47FC"/>
    <w:rsid w:val="001F57E4"/>
    <w:rsid w:val="001F6220"/>
    <w:rsid w:val="001F6953"/>
    <w:rsid w:val="00200312"/>
    <w:rsid w:val="0020034B"/>
    <w:rsid w:val="0020050A"/>
    <w:rsid w:val="002019F0"/>
    <w:rsid w:val="00202A97"/>
    <w:rsid w:val="002033DB"/>
    <w:rsid w:val="00203986"/>
    <w:rsid w:val="00204267"/>
    <w:rsid w:val="00204440"/>
    <w:rsid w:val="00205FED"/>
    <w:rsid w:val="002061E0"/>
    <w:rsid w:val="00206C5F"/>
    <w:rsid w:val="00206E6F"/>
    <w:rsid w:val="00207267"/>
    <w:rsid w:val="00207E15"/>
    <w:rsid w:val="00210440"/>
    <w:rsid w:val="0021081F"/>
    <w:rsid w:val="00211660"/>
    <w:rsid w:val="00213D4E"/>
    <w:rsid w:val="00213E05"/>
    <w:rsid w:val="00213EC3"/>
    <w:rsid w:val="002143EC"/>
    <w:rsid w:val="002145B2"/>
    <w:rsid w:val="00215A5E"/>
    <w:rsid w:val="00215ADE"/>
    <w:rsid w:val="00215DA6"/>
    <w:rsid w:val="00216092"/>
    <w:rsid w:val="00217547"/>
    <w:rsid w:val="002178EF"/>
    <w:rsid w:val="00217E8B"/>
    <w:rsid w:val="002211B5"/>
    <w:rsid w:val="00222E23"/>
    <w:rsid w:val="00223129"/>
    <w:rsid w:val="00224F57"/>
    <w:rsid w:val="0022633B"/>
    <w:rsid w:val="00226501"/>
    <w:rsid w:val="00226BEA"/>
    <w:rsid w:val="00230008"/>
    <w:rsid w:val="00230609"/>
    <w:rsid w:val="002307E4"/>
    <w:rsid w:val="00232216"/>
    <w:rsid w:val="00232346"/>
    <w:rsid w:val="00233674"/>
    <w:rsid w:val="002365AA"/>
    <w:rsid w:val="00240816"/>
    <w:rsid w:val="00240B83"/>
    <w:rsid w:val="00242450"/>
    <w:rsid w:val="002442AE"/>
    <w:rsid w:val="002455BD"/>
    <w:rsid w:val="0025041A"/>
    <w:rsid w:val="00250496"/>
    <w:rsid w:val="0025218E"/>
    <w:rsid w:val="00254BAE"/>
    <w:rsid w:val="00254FC2"/>
    <w:rsid w:val="002557AD"/>
    <w:rsid w:val="0025591D"/>
    <w:rsid w:val="0025743E"/>
    <w:rsid w:val="00260E39"/>
    <w:rsid w:val="0026353A"/>
    <w:rsid w:val="0026363A"/>
    <w:rsid w:val="002636C1"/>
    <w:rsid w:val="00263D41"/>
    <w:rsid w:val="00264128"/>
    <w:rsid w:val="002643B7"/>
    <w:rsid w:val="0026455F"/>
    <w:rsid w:val="0026472B"/>
    <w:rsid w:val="002679E0"/>
    <w:rsid w:val="0027069B"/>
    <w:rsid w:val="002708E6"/>
    <w:rsid w:val="00271492"/>
    <w:rsid w:val="00271C6B"/>
    <w:rsid w:val="002724C4"/>
    <w:rsid w:val="002730B1"/>
    <w:rsid w:val="002738C1"/>
    <w:rsid w:val="002739D6"/>
    <w:rsid w:val="00275221"/>
    <w:rsid w:val="002803AC"/>
    <w:rsid w:val="00280F71"/>
    <w:rsid w:val="002929A5"/>
    <w:rsid w:val="00296619"/>
    <w:rsid w:val="00297365"/>
    <w:rsid w:val="002A0CA5"/>
    <w:rsid w:val="002A1C3F"/>
    <w:rsid w:val="002A1FA3"/>
    <w:rsid w:val="002A7252"/>
    <w:rsid w:val="002B08D1"/>
    <w:rsid w:val="002B0AD5"/>
    <w:rsid w:val="002B49FA"/>
    <w:rsid w:val="002B4F44"/>
    <w:rsid w:val="002B4F8D"/>
    <w:rsid w:val="002B55C9"/>
    <w:rsid w:val="002B565D"/>
    <w:rsid w:val="002B62BC"/>
    <w:rsid w:val="002B6898"/>
    <w:rsid w:val="002B6A15"/>
    <w:rsid w:val="002B6C86"/>
    <w:rsid w:val="002C0BAB"/>
    <w:rsid w:val="002C1CEF"/>
    <w:rsid w:val="002C3885"/>
    <w:rsid w:val="002C39D5"/>
    <w:rsid w:val="002C5993"/>
    <w:rsid w:val="002C59D5"/>
    <w:rsid w:val="002C7261"/>
    <w:rsid w:val="002C79F8"/>
    <w:rsid w:val="002D0ED8"/>
    <w:rsid w:val="002D2291"/>
    <w:rsid w:val="002D2FB8"/>
    <w:rsid w:val="002D31B5"/>
    <w:rsid w:val="002D5553"/>
    <w:rsid w:val="002D714B"/>
    <w:rsid w:val="002E185C"/>
    <w:rsid w:val="002E2542"/>
    <w:rsid w:val="002E26E1"/>
    <w:rsid w:val="002F121C"/>
    <w:rsid w:val="002F1295"/>
    <w:rsid w:val="002F16C7"/>
    <w:rsid w:val="002F1885"/>
    <w:rsid w:val="002F1F3B"/>
    <w:rsid w:val="002F2738"/>
    <w:rsid w:val="002F29E0"/>
    <w:rsid w:val="002F3541"/>
    <w:rsid w:val="002F36FE"/>
    <w:rsid w:val="002F436E"/>
    <w:rsid w:val="002F450C"/>
    <w:rsid w:val="002F5023"/>
    <w:rsid w:val="002F5381"/>
    <w:rsid w:val="002F6264"/>
    <w:rsid w:val="002F6356"/>
    <w:rsid w:val="002F72FA"/>
    <w:rsid w:val="002F7389"/>
    <w:rsid w:val="002F7680"/>
    <w:rsid w:val="00300F3C"/>
    <w:rsid w:val="0030169A"/>
    <w:rsid w:val="00301A75"/>
    <w:rsid w:val="00303F8F"/>
    <w:rsid w:val="0030448F"/>
    <w:rsid w:val="0030451C"/>
    <w:rsid w:val="00304A27"/>
    <w:rsid w:val="00304BF4"/>
    <w:rsid w:val="00305594"/>
    <w:rsid w:val="00305A9B"/>
    <w:rsid w:val="00305FDE"/>
    <w:rsid w:val="00306E99"/>
    <w:rsid w:val="003101BD"/>
    <w:rsid w:val="00310EE1"/>
    <w:rsid w:val="003121DF"/>
    <w:rsid w:val="00312DBF"/>
    <w:rsid w:val="003153AA"/>
    <w:rsid w:val="00315B1A"/>
    <w:rsid w:val="003168E4"/>
    <w:rsid w:val="00317A48"/>
    <w:rsid w:val="00321C5C"/>
    <w:rsid w:val="0032255C"/>
    <w:rsid w:val="00324242"/>
    <w:rsid w:val="0032458D"/>
    <w:rsid w:val="0032705D"/>
    <w:rsid w:val="003304F5"/>
    <w:rsid w:val="0033084C"/>
    <w:rsid w:val="00331D90"/>
    <w:rsid w:val="00332E2E"/>
    <w:rsid w:val="0033396A"/>
    <w:rsid w:val="003343CB"/>
    <w:rsid w:val="00335FBB"/>
    <w:rsid w:val="0033753D"/>
    <w:rsid w:val="00340DBA"/>
    <w:rsid w:val="00342F25"/>
    <w:rsid w:val="0034352F"/>
    <w:rsid w:val="00344DB0"/>
    <w:rsid w:val="00346C80"/>
    <w:rsid w:val="00347A3D"/>
    <w:rsid w:val="00347B7D"/>
    <w:rsid w:val="00350290"/>
    <w:rsid w:val="00350EBC"/>
    <w:rsid w:val="003512EA"/>
    <w:rsid w:val="003526AB"/>
    <w:rsid w:val="003550A6"/>
    <w:rsid w:val="0035611A"/>
    <w:rsid w:val="003621EB"/>
    <w:rsid w:val="00362F6E"/>
    <w:rsid w:val="00363C70"/>
    <w:rsid w:val="00366521"/>
    <w:rsid w:val="0037178B"/>
    <w:rsid w:val="00371B85"/>
    <w:rsid w:val="0037217E"/>
    <w:rsid w:val="00372D5F"/>
    <w:rsid w:val="00374ED1"/>
    <w:rsid w:val="00376D29"/>
    <w:rsid w:val="00377839"/>
    <w:rsid w:val="00380A92"/>
    <w:rsid w:val="00380C1B"/>
    <w:rsid w:val="00381558"/>
    <w:rsid w:val="00381FEA"/>
    <w:rsid w:val="003832F6"/>
    <w:rsid w:val="00384E2B"/>
    <w:rsid w:val="003856D7"/>
    <w:rsid w:val="00385BE2"/>
    <w:rsid w:val="00385E6E"/>
    <w:rsid w:val="00386265"/>
    <w:rsid w:val="003872CE"/>
    <w:rsid w:val="003902BF"/>
    <w:rsid w:val="0039116F"/>
    <w:rsid w:val="0039134E"/>
    <w:rsid w:val="003932D3"/>
    <w:rsid w:val="00393B46"/>
    <w:rsid w:val="003957A2"/>
    <w:rsid w:val="00395FE0"/>
    <w:rsid w:val="0039641D"/>
    <w:rsid w:val="003A39A0"/>
    <w:rsid w:val="003A5E19"/>
    <w:rsid w:val="003A6874"/>
    <w:rsid w:val="003A7A1E"/>
    <w:rsid w:val="003A7DFF"/>
    <w:rsid w:val="003B0DF4"/>
    <w:rsid w:val="003B3549"/>
    <w:rsid w:val="003B3FD7"/>
    <w:rsid w:val="003B4229"/>
    <w:rsid w:val="003B508C"/>
    <w:rsid w:val="003B6E53"/>
    <w:rsid w:val="003C1AE0"/>
    <w:rsid w:val="003C258F"/>
    <w:rsid w:val="003C4925"/>
    <w:rsid w:val="003C653E"/>
    <w:rsid w:val="003C665D"/>
    <w:rsid w:val="003D0523"/>
    <w:rsid w:val="003D34E7"/>
    <w:rsid w:val="003D3730"/>
    <w:rsid w:val="003D623D"/>
    <w:rsid w:val="003D7610"/>
    <w:rsid w:val="003E42B4"/>
    <w:rsid w:val="003E460B"/>
    <w:rsid w:val="003E4A9F"/>
    <w:rsid w:val="003E503A"/>
    <w:rsid w:val="003E55CC"/>
    <w:rsid w:val="003E5627"/>
    <w:rsid w:val="003E6A5A"/>
    <w:rsid w:val="003E7366"/>
    <w:rsid w:val="003E7CA4"/>
    <w:rsid w:val="003F11EA"/>
    <w:rsid w:val="003F5724"/>
    <w:rsid w:val="003F5B51"/>
    <w:rsid w:val="003F703E"/>
    <w:rsid w:val="003F7CFD"/>
    <w:rsid w:val="004005CE"/>
    <w:rsid w:val="00403A11"/>
    <w:rsid w:val="00405B33"/>
    <w:rsid w:val="00413352"/>
    <w:rsid w:val="004137F2"/>
    <w:rsid w:val="00414D44"/>
    <w:rsid w:val="00414FAC"/>
    <w:rsid w:val="00415E22"/>
    <w:rsid w:val="0041694D"/>
    <w:rsid w:val="004171F7"/>
    <w:rsid w:val="00421008"/>
    <w:rsid w:val="00421779"/>
    <w:rsid w:val="00422D79"/>
    <w:rsid w:val="00423F89"/>
    <w:rsid w:val="004244F4"/>
    <w:rsid w:val="00425E66"/>
    <w:rsid w:val="00426E9B"/>
    <w:rsid w:val="00427205"/>
    <w:rsid w:val="00432737"/>
    <w:rsid w:val="0043622C"/>
    <w:rsid w:val="004366E0"/>
    <w:rsid w:val="00441216"/>
    <w:rsid w:val="00442E37"/>
    <w:rsid w:val="004433CA"/>
    <w:rsid w:val="0044375F"/>
    <w:rsid w:val="00443FA2"/>
    <w:rsid w:val="00444A5C"/>
    <w:rsid w:val="00445AAD"/>
    <w:rsid w:val="00447B24"/>
    <w:rsid w:val="00451A75"/>
    <w:rsid w:val="00452476"/>
    <w:rsid w:val="00452F36"/>
    <w:rsid w:val="00453045"/>
    <w:rsid w:val="004535B9"/>
    <w:rsid w:val="00453CD8"/>
    <w:rsid w:val="00454758"/>
    <w:rsid w:val="00455ADD"/>
    <w:rsid w:val="00460B50"/>
    <w:rsid w:val="0046242E"/>
    <w:rsid w:val="004629E3"/>
    <w:rsid w:val="0046349B"/>
    <w:rsid w:val="00465B04"/>
    <w:rsid w:val="004667B3"/>
    <w:rsid w:val="00466DB8"/>
    <w:rsid w:val="00472CA6"/>
    <w:rsid w:val="004738C4"/>
    <w:rsid w:val="00474813"/>
    <w:rsid w:val="004751B4"/>
    <w:rsid w:val="00475366"/>
    <w:rsid w:val="00475BEA"/>
    <w:rsid w:val="004763CA"/>
    <w:rsid w:val="00476AE2"/>
    <w:rsid w:val="0048372D"/>
    <w:rsid w:val="004841AA"/>
    <w:rsid w:val="0048534A"/>
    <w:rsid w:val="0048585E"/>
    <w:rsid w:val="00485DA1"/>
    <w:rsid w:val="00486DA6"/>
    <w:rsid w:val="0048782B"/>
    <w:rsid w:val="004900C7"/>
    <w:rsid w:val="004918E7"/>
    <w:rsid w:val="004949D1"/>
    <w:rsid w:val="00494A34"/>
    <w:rsid w:val="00494D80"/>
    <w:rsid w:val="00496C89"/>
    <w:rsid w:val="004972AC"/>
    <w:rsid w:val="004A0E38"/>
    <w:rsid w:val="004A1D96"/>
    <w:rsid w:val="004A1DD0"/>
    <w:rsid w:val="004A3FB7"/>
    <w:rsid w:val="004A4777"/>
    <w:rsid w:val="004A520C"/>
    <w:rsid w:val="004A67B7"/>
    <w:rsid w:val="004A7346"/>
    <w:rsid w:val="004A7F76"/>
    <w:rsid w:val="004B003C"/>
    <w:rsid w:val="004B1DD8"/>
    <w:rsid w:val="004B4F7F"/>
    <w:rsid w:val="004B599C"/>
    <w:rsid w:val="004B6D40"/>
    <w:rsid w:val="004B6F05"/>
    <w:rsid w:val="004B7B23"/>
    <w:rsid w:val="004C0556"/>
    <w:rsid w:val="004C0FDA"/>
    <w:rsid w:val="004C2362"/>
    <w:rsid w:val="004C2CCE"/>
    <w:rsid w:val="004C348B"/>
    <w:rsid w:val="004C40B8"/>
    <w:rsid w:val="004C5530"/>
    <w:rsid w:val="004C695B"/>
    <w:rsid w:val="004C6963"/>
    <w:rsid w:val="004C7A2E"/>
    <w:rsid w:val="004C7A97"/>
    <w:rsid w:val="004D0C6D"/>
    <w:rsid w:val="004D2354"/>
    <w:rsid w:val="004D285A"/>
    <w:rsid w:val="004D3423"/>
    <w:rsid w:val="004D4F09"/>
    <w:rsid w:val="004D517B"/>
    <w:rsid w:val="004D7026"/>
    <w:rsid w:val="004D76E7"/>
    <w:rsid w:val="004E00D1"/>
    <w:rsid w:val="004E0E9E"/>
    <w:rsid w:val="004E20E2"/>
    <w:rsid w:val="004E3624"/>
    <w:rsid w:val="004E40B8"/>
    <w:rsid w:val="004E43C3"/>
    <w:rsid w:val="004E6546"/>
    <w:rsid w:val="004E67F7"/>
    <w:rsid w:val="004E6AD7"/>
    <w:rsid w:val="004E6B38"/>
    <w:rsid w:val="004E7FF8"/>
    <w:rsid w:val="004F0A32"/>
    <w:rsid w:val="004F0D81"/>
    <w:rsid w:val="004F3AC0"/>
    <w:rsid w:val="004F532F"/>
    <w:rsid w:val="004F687D"/>
    <w:rsid w:val="004F7080"/>
    <w:rsid w:val="00502105"/>
    <w:rsid w:val="00503DB6"/>
    <w:rsid w:val="005044BC"/>
    <w:rsid w:val="00505E30"/>
    <w:rsid w:val="00506C06"/>
    <w:rsid w:val="00511A23"/>
    <w:rsid w:val="005141C2"/>
    <w:rsid w:val="00517AF8"/>
    <w:rsid w:val="00524390"/>
    <w:rsid w:val="00526370"/>
    <w:rsid w:val="00530E99"/>
    <w:rsid w:val="005330D0"/>
    <w:rsid w:val="005331FD"/>
    <w:rsid w:val="0053515E"/>
    <w:rsid w:val="00535BE6"/>
    <w:rsid w:val="005367F0"/>
    <w:rsid w:val="00536F0B"/>
    <w:rsid w:val="00537D36"/>
    <w:rsid w:val="00541219"/>
    <w:rsid w:val="00542A18"/>
    <w:rsid w:val="00543AB0"/>
    <w:rsid w:val="0054624A"/>
    <w:rsid w:val="0054768F"/>
    <w:rsid w:val="00550A64"/>
    <w:rsid w:val="00551FB3"/>
    <w:rsid w:val="005528B7"/>
    <w:rsid w:val="00552E34"/>
    <w:rsid w:val="00553FA5"/>
    <w:rsid w:val="00556B03"/>
    <w:rsid w:val="00561350"/>
    <w:rsid w:val="0056173F"/>
    <w:rsid w:val="00561EC2"/>
    <w:rsid w:val="00562F94"/>
    <w:rsid w:val="0056506E"/>
    <w:rsid w:val="005653B7"/>
    <w:rsid w:val="00566F4A"/>
    <w:rsid w:val="00572E86"/>
    <w:rsid w:val="0057469D"/>
    <w:rsid w:val="00575651"/>
    <w:rsid w:val="005761F3"/>
    <w:rsid w:val="005824DB"/>
    <w:rsid w:val="00582C26"/>
    <w:rsid w:val="00587302"/>
    <w:rsid w:val="00587811"/>
    <w:rsid w:val="00587955"/>
    <w:rsid w:val="00590042"/>
    <w:rsid w:val="00590636"/>
    <w:rsid w:val="005920DD"/>
    <w:rsid w:val="0059211E"/>
    <w:rsid w:val="005925D9"/>
    <w:rsid w:val="005925E1"/>
    <w:rsid w:val="0059364C"/>
    <w:rsid w:val="0059400A"/>
    <w:rsid w:val="00594AFD"/>
    <w:rsid w:val="00595E09"/>
    <w:rsid w:val="00596DCA"/>
    <w:rsid w:val="00597B63"/>
    <w:rsid w:val="005A1657"/>
    <w:rsid w:val="005A1C43"/>
    <w:rsid w:val="005A242F"/>
    <w:rsid w:val="005A2B83"/>
    <w:rsid w:val="005A306B"/>
    <w:rsid w:val="005A347B"/>
    <w:rsid w:val="005A4037"/>
    <w:rsid w:val="005A4D7A"/>
    <w:rsid w:val="005A5BD2"/>
    <w:rsid w:val="005A64C3"/>
    <w:rsid w:val="005B00A2"/>
    <w:rsid w:val="005B0399"/>
    <w:rsid w:val="005B1C48"/>
    <w:rsid w:val="005B4A1E"/>
    <w:rsid w:val="005B5B53"/>
    <w:rsid w:val="005B665D"/>
    <w:rsid w:val="005B71D1"/>
    <w:rsid w:val="005C1FDE"/>
    <w:rsid w:val="005C22E5"/>
    <w:rsid w:val="005C3267"/>
    <w:rsid w:val="005C4509"/>
    <w:rsid w:val="005C4B1D"/>
    <w:rsid w:val="005C4B6E"/>
    <w:rsid w:val="005C4D94"/>
    <w:rsid w:val="005C59E7"/>
    <w:rsid w:val="005C5F9D"/>
    <w:rsid w:val="005C600B"/>
    <w:rsid w:val="005C63E4"/>
    <w:rsid w:val="005D2586"/>
    <w:rsid w:val="005D2625"/>
    <w:rsid w:val="005D35DB"/>
    <w:rsid w:val="005D3B4B"/>
    <w:rsid w:val="005D444D"/>
    <w:rsid w:val="005D53E8"/>
    <w:rsid w:val="005D6A2A"/>
    <w:rsid w:val="005D6C36"/>
    <w:rsid w:val="005E3330"/>
    <w:rsid w:val="005E7A55"/>
    <w:rsid w:val="005E7D62"/>
    <w:rsid w:val="005F0601"/>
    <w:rsid w:val="005F1541"/>
    <w:rsid w:val="005F2A19"/>
    <w:rsid w:val="005F3DD6"/>
    <w:rsid w:val="005F4161"/>
    <w:rsid w:val="005F43DD"/>
    <w:rsid w:val="005F495E"/>
    <w:rsid w:val="005F7714"/>
    <w:rsid w:val="005F7CFA"/>
    <w:rsid w:val="00600F1D"/>
    <w:rsid w:val="006061B5"/>
    <w:rsid w:val="0060644A"/>
    <w:rsid w:val="006102F4"/>
    <w:rsid w:val="00610390"/>
    <w:rsid w:val="00611366"/>
    <w:rsid w:val="00613DC3"/>
    <w:rsid w:val="00614331"/>
    <w:rsid w:val="00615236"/>
    <w:rsid w:val="00616105"/>
    <w:rsid w:val="00616177"/>
    <w:rsid w:val="006176F1"/>
    <w:rsid w:val="00617C87"/>
    <w:rsid w:val="00620596"/>
    <w:rsid w:val="00623188"/>
    <w:rsid w:val="00623C73"/>
    <w:rsid w:val="00624DDD"/>
    <w:rsid w:val="006264D3"/>
    <w:rsid w:val="0062673C"/>
    <w:rsid w:val="00627439"/>
    <w:rsid w:val="0062760A"/>
    <w:rsid w:val="006278D8"/>
    <w:rsid w:val="00627FDE"/>
    <w:rsid w:val="006323B2"/>
    <w:rsid w:val="006327D1"/>
    <w:rsid w:val="006341C3"/>
    <w:rsid w:val="006346E7"/>
    <w:rsid w:val="006348DB"/>
    <w:rsid w:val="00642CA3"/>
    <w:rsid w:val="00644AA7"/>
    <w:rsid w:val="00645088"/>
    <w:rsid w:val="006454AA"/>
    <w:rsid w:val="00647BB7"/>
    <w:rsid w:val="006503E4"/>
    <w:rsid w:val="00650CA0"/>
    <w:rsid w:val="006517EB"/>
    <w:rsid w:val="006517F3"/>
    <w:rsid w:val="00651CCE"/>
    <w:rsid w:val="00652D2D"/>
    <w:rsid w:val="006566B4"/>
    <w:rsid w:val="00656B70"/>
    <w:rsid w:val="00657123"/>
    <w:rsid w:val="0066198D"/>
    <w:rsid w:val="00662CBA"/>
    <w:rsid w:val="006630BB"/>
    <w:rsid w:val="006643D2"/>
    <w:rsid w:val="00665607"/>
    <w:rsid w:val="00667EBE"/>
    <w:rsid w:val="00671173"/>
    <w:rsid w:val="006711F4"/>
    <w:rsid w:val="00673398"/>
    <w:rsid w:val="00673883"/>
    <w:rsid w:val="00673999"/>
    <w:rsid w:val="00673A60"/>
    <w:rsid w:val="00673D78"/>
    <w:rsid w:val="00673D96"/>
    <w:rsid w:val="00674046"/>
    <w:rsid w:val="0067517F"/>
    <w:rsid w:val="00675FDD"/>
    <w:rsid w:val="0067616A"/>
    <w:rsid w:val="00676C94"/>
    <w:rsid w:val="0067715E"/>
    <w:rsid w:val="00680341"/>
    <w:rsid w:val="00681931"/>
    <w:rsid w:val="00684090"/>
    <w:rsid w:val="00684C59"/>
    <w:rsid w:val="00684D77"/>
    <w:rsid w:val="006861FB"/>
    <w:rsid w:val="00686797"/>
    <w:rsid w:val="0068734F"/>
    <w:rsid w:val="0068786F"/>
    <w:rsid w:val="006878D3"/>
    <w:rsid w:val="00687AC0"/>
    <w:rsid w:val="00692917"/>
    <w:rsid w:val="00695B94"/>
    <w:rsid w:val="00697863"/>
    <w:rsid w:val="00697977"/>
    <w:rsid w:val="006A0479"/>
    <w:rsid w:val="006A168B"/>
    <w:rsid w:val="006A4937"/>
    <w:rsid w:val="006A499F"/>
    <w:rsid w:val="006A51C2"/>
    <w:rsid w:val="006A772D"/>
    <w:rsid w:val="006B16D7"/>
    <w:rsid w:val="006B1B99"/>
    <w:rsid w:val="006B3F75"/>
    <w:rsid w:val="006B4DA1"/>
    <w:rsid w:val="006B55A7"/>
    <w:rsid w:val="006B6E77"/>
    <w:rsid w:val="006B76B7"/>
    <w:rsid w:val="006C0498"/>
    <w:rsid w:val="006C14B9"/>
    <w:rsid w:val="006C1569"/>
    <w:rsid w:val="006C1E27"/>
    <w:rsid w:val="006C28E1"/>
    <w:rsid w:val="006C35B2"/>
    <w:rsid w:val="006C584C"/>
    <w:rsid w:val="006C5AC2"/>
    <w:rsid w:val="006C5E79"/>
    <w:rsid w:val="006C77FD"/>
    <w:rsid w:val="006C78B2"/>
    <w:rsid w:val="006D182C"/>
    <w:rsid w:val="006D1DBE"/>
    <w:rsid w:val="006D33ED"/>
    <w:rsid w:val="006D402A"/>
    <w:rsid w:val="006D4D99"/>
    <w:rsid w:val="006D5A60"/>
    <w:rsid w:val="006D69F1"/>
    <w:rsid w:val="006E0E64"/>
    <w:rsid w:val="006E3E56"/>
    <w:rsid w:val="006E400B"/>
    <w:rsid w:val="006E40EB"/>
    <w:rsid w:val="006E598F"/>
    <w:rsid w:val="006E6FE5"/>
    <w:rsid w:val="006E71C1"/>
    <w:rsid w:val="006E7F60"/>
    <w:rsid w:val="006F0AEC"/>
    <w:rsid w:val="006F1EDA"/>
    <w:rsid w:val="006F363E"/>
    <w:rsid w:val="006F51E5"/>
    <w:rsid w:val="006F6F51"/>
    <w:rsid w:val="006F7583"/>
    <w:rsid w:val="006F7969"/>
    <w:rsid w:val="006F7C93"/>
    <w:rsid w:val="00701157"/>
    <w:rsid w:val="0070618F"/>
    <w:rsid w:val="00710D96"/>
    <w:rsid w:val="007120C2"/>
    <w:rsid w:val="00712CF1"/>
    <w:rsid w:val="00716AD9"/>
    <w:rsid w:val="0071731D"/>
    <w:rsid w:val="00717C3E"/>
    <w:rsid w:val="00721E03"/>
    <w:rsid w:val="00722000"/>
    <w:rsid w:val="00722086"/>
    <w:rsid w:val="00722102"/>
    <w:rsid w:val="007241E6"/>
    <w:rsid w:val="0072463E"/>
    <w:rsid w:val="00730438"/>
    <w:rsid w:val="00731C1B"/>
    <w:rsid w:val="00732883"/>
    <w:rsid w:val="00733C64"/>
    <w:rsid w:val="00734C7B"/>
    <w:rsid w:val="00734F91"/>
    <w:rsid w:val="00735AA6"/>
    <w:rsid w:val="00737C1A"/>
    <w:rsid w:val="007402DD"/>
    <w:rsid w:val="007418A5"/>
    <w:rsid w:val="0074198F"/>
    <w:rsid w:val="00742394"/>
    <w:rsid w:val="00744B5A"/>
    <w:rsid w:val="0075155F"/>
    <w:rsid w:val="007516C9"/>
    <w:rsid w:val="00751CDB"/>
    <w:rsid w:val="0075200C"/>
    <w:rsid w:val="00752B65"/>
    <w:rsid w:val="00752F2B"/>
    <w:rsid w:val="00753B23"/>
    <w:rsid w:val="00754471"/>
    <w:rsid w:val="00754987"/>
    <w:rsid w:val="00756CE2"/>
    <w:rsid w:val="00757B27"/>
    <w:rsid w:val="00757FBA"/>
    <w:rsid w:val="00760AE0"/>
    <w:rsid w:val="00761D45"/>
    <w:rsid w:val="00762994"/>
    <w:rsid w:val="00762B85"/>
    <w:rsid w:val="007645C6"/>
    <w:rsid w:val="00764F29"/>
    <w:rsid w:val="00765062"/>
    <w:rsid w:val="007650D2"/>
    <w:rsid w:val="00766582"/>
    <w:rsid w:val="00767409"/>
    <w:rsid w:val="007712D8"/>
    <w:rsid w:val="00771731"/>
    <w:rsid w:val="00772E79"/>
    <w:rsid w:val="00775881"/>
    <w:rsid w:val="007775E8"/>
    <w:rsid w:val="00780C47"/>
    <w:rsid w:val="0078219C"/>
    <w:rsid w:val="007839C9"/>
    <w:rsid w:val="00786351"/>
    <w:rsid w:val="00791FAE"/>
    <w:rsid w:val="00795048"/>
    <w:rsid w:val="00795963"/>
    <w:rsid w:val="00795AC0"/>
    <w:rsid w:val="00797CCA"/>
    <w:rsid w:val="007A146C"/>
    <w:rsid w:val="007A16C6"/>
    <w:rsid w:val="007A2DCB"/>
    <w:rsid w:val="007A5990"/>
    <w:rsid w:val="007B0378"/>
    <w:rsid w:val="007B124E"/>
    <w:rsid w:val="007B14C0"/>
    <w:rsid w:val="007B1825"/>
    <w:rsid w:val="007B301D"/>
    <w:rsid w:val="007B358F"/>
    <w:rsid w:val="007B6094"/>
    <w:rsid w:val="007B748D"/>
    <w:rsid w:val="007C03C8"/>
    <w:rsid w:val="007C13EA"/>
    <w:rsid w:val="007C1F86"/>
    <w:rsid w:val="007C241C"/>
    <w:rsid w:val="007C2B4C"/>
    <w:rsid w:val="007C32FC"/>
    <w:rsid w:val="007C515E"/>
    <w:rsid w:val="007C6516"/>
    <w:rsid w:val="007C6D24"/>
    <w:rsid w:val="007C7DBB"/>
    <w:rsid w:val="007D0C8B"/>
    <w:rsid w:val="007D0F04"/>
    <w:rsid w:val="007D238A"/>
    <w:rsid w:val="007D360F"/>
    <w:rsid w:val="007D4F4E"/>
    <w:rsid w:val="007D5F0B"/>
    <w:rsid w:val="007D63F3"/>
    <w:rsid w:val="007D6AE5"/>
    <w:rsid w:val="007D7241"/>
    <w:rsid w:val="007D72E2"/>
    <w:rsid w:val="007D7D5F"/>
    <w:rsid w:val="007E1802"/>
    <w:rsid w:val="007E1861"/>
    <w:rsid w:val="007E379A"/>
    <w:rsid w:val="007E5CC3"/>
    <w:rsid w:val="007E677C"/>
    <w:rsid w:val="007F07AA"/>
    <w:rsid w:val="007F1B01"/>
    <w:rsid w:val="007F2D1B"/>
    <w:rsid w:val="007F3B25"/>
    <w:rsid w:val="007F426C"/>
    <w:rsid w:val="007F496B"/>
    <w:rsid w:val="007F5608"/>
    <w:rsid w:val="007F623C"/>
    <w:rsid w:val="007F647F"/>
    <w:rsid w:val="007F7025"/>
    <w:rsid w:val="007F7C6C"/>
    <w:rsid w:val="00800896"/>
    <w:rsid w:val="008010AF"/>
    <w:rsid w:val="00802578"/>
    <w:rsid w:val="0080281F"/>
    <w:rsid w:val="00802947"/>
    <w:rsid w:val="00802DEE"/>
    <w:rsid w:val="008036D6"/>
    <w:rsid w:val="00804E6A"/>
    <w:rsid w:val="008076C2"/>
    <w:rsid w:val="00810099"/>
    <w:rsid w:val="00812DA8"/>
    <w:rsid w:val="00813CEA"/>
    <w:rsid w:val="008166F5"/>
    <w:rsid w:val="008208E7"/>
    <w:rsid w:val="00820C59"/>
    <w:rsid w:val="00820F64"/>
    <w:rsid w:val="008219DB"/>
    <w:rsid w:val="00825F10"/>
    <w:rsid w:val="008341BD"/>
    <w:rsid w:val="008358E6"/>
    <w:rsid w:val="00835A5F"/>
    <w:rsid w:val="00836095"/>
    <w:rsid w:val="00836E68"/>
    <w:rsid w:val="0083784C"/>
    <w:rsid w:val="00837DC1"/>
    <w:rsid w:val="0084004D"/>
    <w:rsid w:val="00840254"/>
    <w:rsid w:val="00841277"/>
    <w:rsid w:val="00841DDD"/>
    <w:rsid w:val="00842711"/>
    <w:rsid w:val="008436CF"/>
    <w:rsid w:val="0084541D"/>
    <w:rsid w:val="00845FBC"/>
    <w:rsid w:val="00847454"/>
    <w:rsid w:val="008502ED"/>
    <w:rsid w:val="008534F9"/>
    <w:rsid w:val="0085569C"/>
    <w:rsid w:val="008566D4"/>
    <w:rsid w:val="00856DF5"/>
    <w:rsid w:val="00861DB4"/>
    <w:rsid w:val="00862429"/>
    <w:rsid w:val="00863628"/>
    <w:rsid w:val="00863DE0"/>
    <w:rsid w:val="00865C59"/>
    <w:rsid w:val="00870CA9"/>
    <w:rsid w:val="00870F49"/>
    <w:rsid w:val="008711CF"/>
    <w:rsid w:val="00871914"/>
    <w:rsid w:val="00872BB5"/>
    <w:rsid w:val="00873332"/>
    <w:rsid w:val="008747AD"/>
    <w:rsid w:val="00876EF3"/>
    <w:rsid w:val="00877544"/>
    <w:rsid w:val="00877A29"/>
    <w:rsid w:val="00880378"/>
    <w:rsid w:val="00881240"/>
    <w:rsid w:val="00881EBA"/>
    <w:rsid w:val="00883FA8"/>
    <w:rsid w:val="0088442F"/>
    <w:rsid w:val="008844B6"/>
    <w:rsid w:val="008874BA"/>
    <w:rsid w:val="00887FEB"/>
    <w:rsid w:val="008907DD"/>
    <w:rsid w:val="00891A44"/>
    <w:rsid w:val="0089316F"/>
    <w:rsid w:val="00895213"/>
    <w:rsid w:val="008954F8"/>
    <w:rsid w:val="008A1005"/>
    <w:rsid w:val="008A3E14"/>
    <w:rsid w:val="008A4349"/>
    <w:rsid w:val="008A4696"/>
    <w:rsid w:val="008A4C9E"/>
    <w:rsid w:val="008A4D46"/>
    <w:rsid w:val="008A5131"/>
    <w:rsid w:val="008A621F"/>
    <w:rsid w:val="008A7955"/>
    <w:rsid w:val="008A7E5F"/>
    <w:rsid w:val="008A7F67"/>
    <w:rsid w:val="008B0796"/>
    <w:rsid w:val="008B290E"/>
    <w:rsid w:val="008B2EBE"/>
    <w:rsid w:val="008B319A"/>
    <w:rsid w:val="008B36C4"/>
    <w:rsid w:val="008B4A68"/>
    <w:rsid w:val="008B4C52"/>
    <w:rsid w:val="008B5678"/>
    <w:rsid w:val="008B5FAF"/>
    <w:rsid w:val="008C082B"/>
    <w:rsid w:val="008C1D08"/>
    <w:rsid w:val="008C4C46"/>
    <w:rsid w:val="008C5040"/>
    <w:rsid w:val="008C5549"/>
    <w:rsid w:val="008C55D8"/>
    <w:rsid w:val="008C564F"/>
    <w:rsid w:val="008C575C"/>
    <w:rsid w:val="008C6605"/>
    <w:rsid w:val="008C67AB"/>
    <w:rsid w:val="008D0CDF"/>
    <w:rsid w:val="008D11A3"/>
    <w:rsid w:val="008D1823"/>
    <w:rsid w:val="008D2292"/>
    <w:rsid w:val="008D2A12"/>
    <w:rsid w:val="008D3394"/>
    <w:rsid w:val="008D7697"/>
    <w:rsid w:val="008E062D"/>
    <w:rsid w:val="008E438C"/>
    <w:rsid w:val="008E49DE"/>
    <w:rsid w:val="008E4EE5"/>
    <w:rsid w:val="008E512D"/>
    <w:rsid w:val="008E6552"/>
    <w:rsid w:val="008E7708"/>
    <w:rsid w:val="008E77CA"/>
    <w:rsid w:val="008F00CC"/>
    <w:rsid w:val="008F0FD8"/>
    <w:rsid w:val="008F2EDB"/>
    <w:rsid w:val="008F3793"/>
    <w:rsid w:val="008F42B4"/>
    <w:rsid w:val="008F6F3A"/>
    <w:rsid w:val="008F764A"/>
    <w:rsid w:val="00900457"/>
    <w:rsid w:val="009009B0"/>
    <w:rsid w:val="009014A4"/>
    <w:rsid w:val="0090329D"/>
    <w:rsid w:val="009032A9"/>
    <w:rsid w:val="0090396A"/>
    <w:rsid w:val="009059E9"/>
    <w:rsid w:val="00910B4D"/>
    <w:rsid w:val="009110DA"/>
    <w:rsid w:val="00911163"/>
    <w:rsid w:val="00911A24"/>
    <w:rsid w:val="009126A4"/>
    <w:rsid w:val="00914223"/>
    <w:rsid w:val="00915887"/>
    <w:rsid w:val="00915AF1"/>
    <w:rsid w:val="00915D0D"/>
    <w:rsid w:val="0091719E"/>
    <w:rsid w:val="00921DB0"/>
    <w:rsid w:val="00922D2E"/>
    <w:rsid w:val="00923822"/>
    <w:rsid w:val="009257A0"/>
    <w:rsid w:val="0092622C"/>
    <w:rsid w:val="00927E67"/>
    <w:rsid w:val="00931C28"/>
    <w:rsid w:val="009332FD"/>
    <w:rsid w:val="009334D0"/>
    <w:rsid w:val="0093602A"/>
    <w:rsid w:val="00936103"/>
    <w:rsid w:val="00940DFA"/>
    <w:rsid w:val="009413FD"/>
    <w:rsid w:val="00943B5F"/>
    <w:rsid w:val="009441F0"/>
    <w:rsid w:val="00944AD5"/>
    <w:rsid w:val="00945E94"/>
    <w:rsid w:val="00950437"/>
    <w:rsid w:val="009506B1"/>
    <w:rsid w:val="00950B34"/>
    <w:rsid w:val="00952D73"/>
    <w:rsid w:val="00953E72"/>
    <w:rsid w:val="0095483A"/>
    <w:rsid w:val="00957772"/>
    <w:rsid w:val="0096074E"/>
    <w:rsid w:val="00963085"/>
    <w:rsid w:val="009634E5"/>
    <w:rsid w:val="00965F8B"/>
    <w:rsid w:val="009741B7"/>
    <w:rsid w:val="00976106"/>
    <w:rsid w:val="00977E8E"/>
    <w:rsid w:val="009821E0"/>
    <w:rsid w:val="009822C2"/>
    <w:rsid w:val="00982F0F"/>
    <w:rsid w:val="0098360C"/>
    <w:rsid w:val="00983938"/>
    <w:rsid w:val="00983BC0"/>
    <w:rsid w:val="009848BC"/>
    <w:rsid w:val="0098624C"/>
    <w:rsid w:val="009870B6"/>
    <w:rsid w:val="00987B16"/>
    <w:rsid w:val="00987E92"/>
    <w:rsid w:val="009903BC"/>
    <w:rsid w:val="00991D54"/>
    <w:rsid w:val="00992785"/>
    <w:rsid w:val="00993B28"/>
    <w:rsid w:val="00995C46"/>
    <w:rsid w:val="00996A87"/>
    <w:rsid w:val="00996B88"/>
    <w:rsid w:val="0099739D"/>
    <w:rsid w:val="009A0E85"/>
    <w:rsid w:val="009A15E9"/>
    <w:rsid w:val="009A26A2"/>
    <w:rsid w:val="009A2BA2"/>
    <w:rsid w:val="009A4826"/>
    <w:rsid w:val="009B104C"/>
    <w:rsid w:val="009B199B"/>
    <w:rsid w:val="009B2BCF"/>
    <w:rsid w:val="009B33D5"/>
    <w:rsid w:val="009B41AC"/>
    <w:rsid w:val="009B5158"/>
    <w:rsid w:val="009B7C29"/>
    <w:rsid w:val="009C2431"/>
    <w:rsid w:val="009C2ABD"/>
    <w:rsid w:val="009C3C45"/>
    <w:rsid w:val="009C43B3"/>
    <w:rsid w:val="009C734A"/>
    <w:rsid w:val="009C7D3B"/>
    <w:rsid w:val="009D0A80"/>
    <w:rsid w:val="009D0E9F"/>
    <w:rsid w:val="009D15E4"/>
    <w:rsid w:val="009D1C6D"/>
    <w:rsid w:val="009D2336"/>
    <w:rsid w:val="009D25BF"/>
    <w:rsid w:val="009D38B1"/>
    <w:rsid w:val="009D5256"/>
    <w:rsid w:val="009D64D3"/>
    <w:rsid w:val="009E21BB"/>
    <w:rsid w:val="009E3DF9"/>
    <w:rsid w:val="009E4D85"/>
    <w:rsid w:val="009E5A94"/>
    <w:rsid w:val="009E6317"/>
    <w:rsid w:val="009E670D"/>
    <w:rsid w:val="009E7DB7"/>
    <w:rsid w:val="009F0146"/>
    <w:rsid w:val="009F03B8"/>
    <w:rsid w:val="009F0931"/>
    <w:rsid w:val="009F0CEB"/>
    <w:rsid w:val="009F1186"/>
    <w:rsid w:val="009F2BB9"/>
    <w:rsid w:val="009F2BE5"/>
    <w:rsid w:val="009F54F2"/>
    <w:rsid w:val="009F5E2D"/>
    <w:rsid w:val="009F6536"/>
    <w:rsid w:val="009F65F8"/>
    <w:rsid w:val="009F71DE"/>
    <w:rsid w:val="009F7584"/>
    <w:rsid w:val="009F75A9"/>
    <w:rsid w:val="009F7DFC"/>
    <w:rsid w:val="00A00F53"/>
    <w:rsid w:val="00A01105"/>
    <w:rsid w:val="00A03ED8"/>
    <w:rsid w:val="00A04AB3"/>
    <w:rsid w:val="00A04F05"/>
    <w:rsid w:val="00A05C0C"/>
    <w:rsid w:val="00A06D27"/>
    <w:rsid w:val="00A07B5E"/>
    <w:rsid w:val="00A10A32"/>
    <w:rsid w:val="00A15374"/>
    <w:rsid w:val="00A204C2"/>
    <w:rsid w:val="00A20AD1"/>
    <w:rsid w:val="00A20AF6"/>
    <w:rsid w:val="00A215EB"/>
    <w:rsid w:val="00A22BFC"/>
    <w:rsid w:val="00A23765"/>
    <w:rsid w:val="00A23942"/>
    <w:rsid w:val="00A253D9"/>
    <w:rsid w:val="00A25D30"/>
    <w:rsid w:val="00A27859"/>
    <w:rsid w:val="00A30469"/>
    <w:rsid w:val="00A3139C"/>
    <w:rsid w:val="00A31511"/>
    <w:rsid w:val="00A32862"/>
    <w:rsid w:val="00A32AB6"/>
    <w:rsid w:val="00A33385"/>
    <w:rsid w:val="00A357EF"/>
    <w:rsid w:val="00A3595A"/>
    <w:rsid w:val="00A36A19"/>
    <w:rsid w:val="00A37CF8"/>
    <w:rsid w:val="00A37EDD"/>
    <w:rsid w:val="00A40742"/>
    <w:rsid w:val="00A43CAB"/>
    <w:rsid w:val="00A4445D"/>
    <w:rsid w:val="00A4453A"/>
    <w:rsid w:val="00A47069"/>
    <w:rsid w:val="00A476B1"/>
    <w:rsid w:val="00A47A91"/>
    <w:rsid w:val="00A5256F"/>
    <w:rsid w:val="00A5478C"/>
    <w:rsid w:val="00A549D8"/>
    <w:rsid w:val="00A551F0"/>
    <w:rsid w:val="00A56BEF"/>
    <w:rsid w:val="00A56EEC"/>
    <w:rsid w:val="00A63015"/>
    <w:rsid w:val="00A63E28"/>
    <w:rsid w:val="00A63E31"/>
    <w:rsid w:val="00A647B3"/>
    <w:rsid w:val="00A64B33"/>
    <w:rsid w:val="00A651DF"/>
    <w:rsid w:val="00A66988"/>
    <w:rsid w:val="00A6720F"/>
    <w:rsid w:val="00A6737A"/>
    <w:rsid w:val="00A67451"/>
    <w:rsid w:val="00A67FC0"/>
    <w:rsid w:val="00A700C4"/>
    <w:rsid w:val="00A70237"/>
    <w:rsid w:val="00A72A7A"/>
    <w:rsid w:val="00A7480E"/>
    <w:rsid w:val="00A75FB7"/>
    <w:rsid w:val="00A76631"/>
    <w:rsid w:val="00A76969"/>
    <w:rsid w:val="00A76EFE"/>
    <w:rsid w:val="00A77886"/>
    <w:rsid w:val="00A77F56"/>
    <w:rsid w:val="00A80ED1"/>
    <w:rsid w:val="00A82857"/>
    <w:rsid w:val="00A82BC6"/>
    <w:rsid w:val="00A82C95"/>
    <w:rsid w:val="00A82F2D"/>
    <w:rsid w:val="00A84C78"/>
    <w:rsid w:val="00A86B58"/>
    <w:rsid w:val="00A925C1"/>
    <w:rsid w:val="00A935EE"/>
    <w:rsid w:val="00A953BE"/>
    <w:rsid w:val="00A9573E"/>
    <w:rsid w:val="00A95B20"/>
    <w:rsid w:val="00AA467E"/>
    <w:rsid w:val="00AA59F3"/>
    <w:rsid w:val="00AB0193"/>
    <w:rsid w:val="00AB067D"/>
    <w:rsid w:val="00AB1025"/>
    <w:rsid w:val="00AB205E"/>
    <w:rsid w:val="00AB29F5"/>
    <w:rsid w:val="00AB6E31"/>
    <w:rsid w:val="00AC0809"/>
    <w:rsid w:val="00AC1F4A"/>
    <w:rsid w:val="00AC34A7"/>
    <w:rsid w:val="00AC3639"/>
    <w:rsid w:val="00AC36F1"/>
    <w:rsid w:val="00AC527C"/>
    <w:rsid w:val="00AD0B03"/>
    <w:rsid w:val="00AD0FB7"/>
    <w:rsid w:val="00AD21D9"/>
    <w:rsid w:val="00AD3F0D"/>
    <w:rsid w:val="00AD6BC9"/>
    <w:rsid w:val="00AE0791"/>
    <w:rsid w:val="00AE1102"/>
    <w:rsid w:val="00AE27F1"/>
    <w:rsid w:val="00AE2F7C"/>
    <w:rsid w:val="00AE3865"/>
    <w:rsid w:val="00AE38C1"/>
    <w:rsid w:val="00AE51DE"/>
    <w:rsid w:val="00AE66CC"/>
    <w:rsid w:val="00AE6ADF"/>
    <w:rsid w:val="00AE7E39"/>
    <w:rsid w:val="00AE7EBD"/>
    <w:rsid w:val="00AF00F8"/>
    <w:rsid w:val="00AF0DD7"/>
    <w:rsid w:val="00AF211A"/>
    <w:rsid w:val="00AF492A"/>
    <w:rsid w:val="00AF6EEE"/>
    <w:rsid w:val="00AF7285"/>
    <w:rsid w:val="00AF75B0"/>
    <w:rsid w:val="00AF7C00"/>
    <w:rsid w:val="00AF7E5E"/>
    <w:rsid w:val="00B003B8"/>
    <w:rsid w:val="00B00FDF"/>
    <w:rsid w:val="00B041EF"/>
    <w:rsid w:val="00B07764"/>
    <w:rsid w:val="00B11FF0"/>
    <w:rsid w:val="00B1546A"/>
    <w:rsid w:val="00B159B1"/>
    <w:rsid w:val="00B15AAF"/>
    <w:rsid w:val="00B15E9F"/>
    <w:rsid w:val="00B20ABE"/>
    <w:rsid w:val="00B2112E"/>
    <w:rsid w:val="00B2617A"/>
    <w:rsid w:val="00B26A0A"/>
    <w:rsid w:val="00B31BC9"/>
    <w:rsid w:val="00B32765"/>
    <w:rsid w:val="00B347B5"/>
    <w:rsid w:val="00B35022"/>
    <w:rsid w:val="00B352A1"/>
    <w:rsid w:val="00B35B46"/>
    <w:rsid w:val="00B35F57"/>
    <w:rsid w:val="00B3609F"/>
    <w:rsid w:val="00B36937"/>
    <w:rsid w:val="00B37AEA"/>
    <w:rsid w:val="00B37D59"/>
    <w:rsid w:val="00B37DED"/>
    <w:rsid w:val="00B40089"/>
    <w:rsid w:val="00B40C2B"/>
    <w:rsid w:val="00B430CD"/>
    <w:rsid w:val="00B445B8"/>
    <w:rsid w:val="00B51A34"/>
    <w:rsid w:val="00B52A04"/>
    <w:rsid w:val="00B53141"/>
    <w:rsid w:val="00B5528E"/>
    <w:rsid w:val="00B560FF"/>
    <w:rsid w:val="00B569B4"/>
    <w:rsid w:val="00B61AFE"/>
    <w:rsid w:val="00B61DEB"/>
    <w:rsid w:val="00B6227A"/>
    <w:rsid w:val="00B62B74"/>
    <w:rsid w:val="00B633F9"/>
    <w:rsid w:val="00B65278"/>
    <w:rsid w:val="00B66271"/>
    <w:rsid w:val="00B668BE"/>
    <w:rsid w:val="00B674A8"/>
    <w:rsid w:val="00B7224B"/>
    <w:rsid w:val="00B7320E"/>
    <w:rsid w:val="00B74D43"/>
    <w:rsid w:val="00B76F6A"/>
    <w:rsid w:val="00B77396"/>
    <w:rsid w:val="00B77EDC"/>
    <w:rsid w:val="00B77F58"/>
    <w:rsid w:val="00B80462"/>
    <w:rsid w:val="00B823E7"/>
    <w:rsid w:val="00B830A5"/>
    <w:rsid w:val="00B84975"/>
    <w:rsid w:val="00B850D1"/>
    <w:rsid w:val="00B86898"/>
    <w:rsid w:val="00B952EC"/>
    <w:rsid w:val="00B9530A"/>
    <w:rsid w:val="00B95CCC"/>
    <w:rsid w:val="00B95FAC"/>
    <w:rsid w:val="00B96497"/>
    <w:rsid w:val="00B9746C"/>
    <w:rsid w:val="00B9749A"/>
    <w:rsid w:val="00BA0339"/>
    <w:rsid w:val="00BA07AD"/>
    <w:rsid w:val="00BA1809"/>
    <w:rsid w:val="00BA1B12"/>
    <w:rsid w:val="00BA3522"/>
    <w:rsid w:val="00BA46DF"/>
    <w:rsid w:val="00BA4CE7"/>
    <w:rsid w:val="00BA4E08"/>
    <w:rsid w:val="00BA5BB2"/>
    <w:rsid w:val="00BA658E"/>
    <w:rsid w:val="00BB05C5"/>
    <w:rsid w:val="00BB0630"/>
    <w:rsid w:val="00BB0E3C"/>
    <w:rsid w:val="00BB2E0F"/>
    <w:rsid w:val="00BB7404"/>
    <w:rsid w:val="00BB7642"/>
    <w:rsid w:val="00BC038B"/>
    <w:rsid w:val="00BC1C7F"/>
    <w:rsid w:val="00BC2C0C"/>
    <w:rsid w:val="00BC2C41"/>
    <w:rsid w:val="00BC3475"/>
    <w:rsid w:val="00BC51D5"/>
    <w:rsid w:val="00BC57D1"/>
    <w:rsid w:val="00BC7D07"/>
    <w:rsid w:val="00BD0FE4"/>
    <w:rsid w:val="00BD15FE"/>
    <w:rsid w:val="00BD4204"/>
    <w:rsid w:val="00BD547C"/>
    <w:rsid w:val="00BD6312"/>
    <w:rsid w:val="00BE02C9"/>
    <w:rsid w:val="00BE28DE"/>
    <w:rsid w:val="00BE2941"/>
    <w:rsid w:val="00BE3327"/>
    <w:rsid w:val="00BE5501"/>
    <w:rsid w:val="00BE629C"/>
    <w:rsid w:val="00BE72D5"/>
    <w:rsid w:val="00BF05E0"/>
    <w:rsid w:val="00BF0A99"/>
    <w:rsid w:val="00BF211E"/>
    <w:rsid w:val="00BF212C"/>
    <w:rsid w:val="00BF3838"/>
    <w:rsid w:val="00BF3C45"/>
    <w:rsid w:val="00BF6607"/>
    <w:rsid w:val="00BF7D42"/>
    <w:rsid w:val="00C00060"/>
    <w:rsid w:val="00C0010F"/>
    <w:rsid w:val="00C027A1"/>
    <w:rsid w:val="00C02ADE"/>
    <w:rsid w:val="00C02B5B"/>
    <w:rsid w:val="00C03769"/>
    <w:rsid w:val="00C03899"/>
    <w:rsid w:val="00C0659B"/>
    <w:rsid w:val="00C06882"/>
    <w:rsid w:val="00C06A85"/>
    <w:rsid w:val="00C116A9"/>
    <w:rsid w:val="00C11808"/>
    <w:rsid w:val="00C11D73"/>
    <w:rsid w:val="00C129F0"/>
    <w:rsid w:val="00C1394C"/>
    <w:rsid w:val="00C13BAD"/>
    <w:rsid w:val="00C15671"/>
    <w:rsid w:val="00C15DCB"/>
    <w:rsid w:val="00C172D2"/>
    <w:rsid w:val="00C248F6"/>
    <w:rsid w:val="00C26290"/>
    <w:rsid w:val="00C269DD"/>
    <w:rsid w:val="00C26E6F"/>
    <w:rsid w:val="00C27266"/>
    <w:rsid w:val="00C3179A"/>
    <w:rsid w:val="00C35AA1"/>
    <w:rsid w:val="00C3738B"/>
    <w:rsid w:val="00C37DD7"/>
    <w:rsid w:val="00C419CE"/>
    <w:rsid w:val="00C41C5E"/>
    <w:rsid w:val="00C43596"/>
    <w:rsid w:val="00C43832"/>
    <w:rsid w:val="00C43B21"/>
    <w:rsid w:val="00C44131"/>
    <w:rsid w:val="00C44586"/>
    <w:rsid w:val="00C44B16"/>
    <w:rsid w:val="00C44B37"/>
    <w:rsid w:val="00C45360"/>
    <w:rsid w:val="00C470C5"/>
    <w:rsid w:val="00C50A89"/>
    <w:rsid w:val="00C522A1"/>
    <w:rsid w:val="00C52E62"/>
    <w:rsid w:val="00C53B95"/>
    <w:rsid w:val="00C53F55"/>
    <w:rsid w:val="00C54598"/>
    <w:rsid w:val="00C54ED2"/>
    <w:rsid w:val="00C563AF"/>
    <w:rsid w:val="00C56C37"/>
    <w:rsid w:val="00C56FDB"/>
    <w:rsid w:val="00C57613"/>
    <w:rsid w:val="00C57953"/>
    <w:rsid w:val="00C57D93"/>
    <w:rsid w:val="00C60924"/>
    <w:rsid w:val="00C617A0"/>
    <w:rsid w:val="00C6242F"/>
    <w:rsid w:val="00C62CD3"/>
    <w:rsid w:val="00C6447F"/>
    <w:rsid w:val="00C65164"/>
    <w:rsid w:val="00C653D1"/>
    <w:rsid w:val="00C67167"/>
    <w:rsid w:val="00C671A3"/>
    <w:rsid w:val="00C70F9C"/>
    <w:rsid w:val="00C71217"/>
    <w:rsid w:val="00C71763"/>
    <w:rsid w:val="00C7364B"/>
    <w:rsid w:val="00C7493F"/>
    <w:rsid w:val="00C751F1"/>
    <w:rsid w:val="00C75386"/>
    <w:rsid w:val="00C81649"/>
    <w:rsid w:val="00C81A15"/>
    <w:rsid w:val="00C826DF"/>
    <w:rsid w:val="00C83E1A"/>
    <w:rsid w:val="00C844E1"/>
    <w:rsid w:val="00C8464F"/>
    <w:rsid w:val="00C8502F"/>
    <w:rsid w:val="00C860E2"/>
    <w:rsid w:val="00C8684C"/>
    <w:rsid w:val="00C878F3"/>
    <w:rsid w:val="00C9066B"/>
    <w:rsid w:val="00C912AC"/>
    <w:rsid w:val="00C9133C"/>
    <w:rsid w:val="00C92AAA"/>
    <w:rsid w:val="00C95524"/>
    <w:rsid w:val="00C957F5"/>
    <w:rsid w:val="00C95A7E"/>
    <w:rsid w:val="00C95F3B"/>
    <w:rsid w:val="00C97358"/>
    <w:rsid w:val="00C97BDA"/>
    <w:rsid w:val="00CA37D8"/>
    <w:rsid w:val="00CA520C"/>
    <w:rsid w:val="00CA5AC4"/>
    <w:rsid w:val="00CB1E40"/>
    <w:rsid w:val="00CB45B2"/>
    <w:rsid w:val="00CB4E7D"/>
    <w:rsid w:val="00CC0218"/>
    <w:rsid w:val="00CC1015"/>
    <w:rsid w:val="00CC56B8"/>
    <w:rsid w:val="00CC5F5C"/>
    <w:rsid w:val="00CC656F"/>
    <w:rsid w:val="00CC7C84"/>
    <w:rsid w:val="00CD1606"/>
    <w:rsid w:val="00CD2050"/>
    <w:rsid w:val="00CD2341"/>
    <w:rsid w:val="00CD35BF"/>
    <w:rsid w:val="00CD4F5E"/>
    <w:rsid w:val="00CD5AB3"/>
    <w:rsid w:val="00CD6088"/>
    <w:rsid w:val="00CD66D8"/>
    <w:rsid w:val="00CD733E"/>
    <w:rsid w:val="00CE194B"/>
    <w:rsid w:val="00CE25BC"/>
    <w:rsid w:val="00CE4826"/>
    <w:rsid w:val="00CE517C"/>
    <w:rsid w:val="00CE51F7"/>
    <w:rsid w:val="00CE59A6"/>
    <w:rsid w:val="00CE5BA7"/>
    <w:rsid w:val="00CE643E"/>
    <w:rsid w:val="00CE6BD7"/>
    <w:rsid w:val="00CE6E1C"/>
    <w:rsid w:val="00CF0C92"/>
    <w:rsid w:val="00CF2248"/>
    <w:rsid w:val="00CF29EE"/>
    <w:rsid w:val="00CF55DE"/>
    <w:rsid w:val="00CF5BD0"/>
    <w:rsid w:val="00CF6092"/>
    <w:rsid w:val="00CF6BAB"/>
    <w:rsid w:val="00D0043C"/>
    <w:rsid w:val="00D00EA0"/>
    <w:rsid w:val="00D01E30"/>
    <w:rsid w:val="00D02E68"/>
    <w:rsid w:val="00D0323F"/>
    <w:rsid w:val="00D05E3F"/>
    <w:rsid w:val="00D06CAB"/>
    <w:rsid w:val="00D07092"/>
    <w:rsid w:val="00D10DAC"/>
    <w:rsid w:val="00D10F38"/>
    <w:rsid w:val="00D1135D"/>
    <w:rsid w:val="00D116A4"/>
    <w:rsid w:val="00D122E5"/>
    <w:rsid w:val="00D1337E"/>
    <w:rsid w:val="00D145D2"/>
    <w:rsid w:val="00D14BC1"/>
    <w:rsid w:val="00D15274"/>
    <w:rsid w:val="00D17050"/>
    <w:rsid w:val="00D1781F"/>
    <w:rsid w:val="00D17E21"/>
    <w:rsid w:val="00D2268F"/>
    <w:rsid w:val="00D255E3"/>
    <w:rsid w:val="00D2624E"/>
    <w:rsid w:val="00D30C78"/>
    <w:rsid w:val="00D3157B"/>
    <w:rsid w:val="00D316AA"/>
    <w:rsid w:val="00D339B1"/>
    <w:rsid w:val="00D33B3D"/>
    <w:rsid w:val="00D342E2"/>
    <w:rsid w:val="00D35B7A"/>
    <w:rsid w:val="00D35C2F"/>
    <w:rsid w:val="00D365FB"/>
    <w:rsid w:val="00D36A54"/>
    <w:rsid w:val="00D407C5"/>
    <w:rsid w:val="00D40C4F"/>
    <w:rsid w:val="00D41683"/>
    <w:rsid w:val="00D42348"/>
    <w:rsid w:val="00D43985"/>
    <w:rsid w:val="00D44D21"/>
    <w:rsid w:val="00D45773"/>
    <w:rsid w:val="00D45B6E"/>
    <w:rsid w:val="00D47EAA"/>
    <w:rsid w:val="00D505C2"/>
    <w:rsid w:val="00D5196F"/>
    <w:rsid w:val="00D52821"/>
    <w:rsid w:val="00D53798"/>
    <w:rsid w:val="00D54F2C"/>
    <w:rsid w:val="00D5655B"/>
    <w:rsid w:val="00D56CF9"/>
    <w:rsid w:val="00D574BE"/>
    <w:rsid w:val="00D6083D"/>
    <w:rsid w:val="00D60D21"/>
    <w:rsid w:val="00D60E9D"/>
    <w:rsid w:val="00D61426"/>
    <w:rsid w:val="00D63184"/>
    <w:rsid w:val="00D63FD1"/>
    <w:rsid w:val="00D64A1A"/>
    <w:rsid w:val="00D64E22"/>
    <w:rsid w:val="00D6605D"/>
    <w:rsid w:val="00D66098"/>
    <w:rsid w:val="00D661C0"/>
    <w:rsid w:val="00D66933"/>
    <w:rsid w:val="00D711D3"/>
    <w:rsid w:val="00D7212A"/>
    <w:rsid w:val="00D74494"/>
    <w:rsid w:val="00D74D21"/>
    <w:rsid w:val="00D81FA7"/>
    <w:rsid w:val="00D82220"/>
    <w:rsid w:val="00D825C4"/>
    <w:rsid w:val="00D82EC7"/>
    <w:rsid w:val="00D82ECA"/>
    <w:rsid w:val="00D848E5"/>
    <w:rsid w:val="00D874F4"/>
    <w:rsid w:val="00D900F5"/>
    <w:rsid w:val="00D913FD"/>
    <w:rsid w:val="00D92A03"/>
    <w:rsid w:val="00D9397E"/>
    <w:rsid w:val="00D93D54"/>
    <w:rsid w:val="00DA1809"/>
    <w:rsid w:val="00DA18AA"/>
    <w:rsid w:val="00DA22BE"/>
    <w:rsid w:val="00DA4080"/>
    <w:rsid w:val="00DA40C0"/>
    <w:rsid w:val="00DA41AF"/>
    <w:rsid w:val="00DB0368"/>
    <w:rsid w:val="00DB0B76"/>
    <w:rsid w:val="00DB1169"/>
    <w:rsid w:val="00DB1248"/>
    <w:rsid w:val="00DB1653"/>
    <w:rsid w:val="00DB1E12"/>
    <w:rsid w:val="00DB3733"/>
    <w:rsid w:val="00DB4312"/>
    <w:rsid w:val="00DB48C2"/>
    <w:rsid w:val="00DB48DD"/>
    <w:rsid w:val="00DB5F42"/>
    <w:rsid w:val="00DB6957"/>
    <w:rsid w:val="00DB6F1A"/>
    <w:rsid w:val="00DC00F0"/>
    <w:rsid w:val="00DC2058"/>
    <w:rsid w:val="00DC2586"/>
    <w:rsid w:val="00DC35F5"/>
    <w:rsid w:val="00DC4265"/>
    <w:rsid w:val="00DC657A"/>
    <w:rsid w:val="00DC737F"/>
    <w:rsid w:val="00DD0AAA"/>
    <w:rsid w:val="00DD0F58"/>
    <w:rsid w:val="00DD1412"/>
    <w:rsid w:val="00DD253E"/>
    <w:rsid w:val="00DD309E"/>
    <w:rsid w:val="00DD4E75"/>
    <w:rsid w:val="00DD6F5A"/>
    <w:rsid w:val="00DD7CD8"/>
    <w:rsid w:val="00DE0B02"/>
    <w:rsid w:val="00DE2660"/>
    <w:rsid w:val="00DE2A5C"/>
    <w:rsid w:val="00DE35C9"/>
    <w:rsid w:val="00DE3615"/>
    <w:rsid w:val="00DE6677"/>
    <w:rsid w:val="00DE749F"/>
    <w:rsid w:val="00DF176C"/>
    <w:rsid w:val="00DF1C0F"/>
    <w:rsid w:val="00DF36B7"/>
    <w:rsid w:val="00DF4386"/>
    <w:rsid w:val="00DF4453"/>
    <w:rsid w:val="00DF544C"/>
    <w:rsid w:val="00DF60AA"/>
    <w:rsid w:val="00DF6CD9"/>
    <w:rsid w:val="00DF6E00"/>
    <w:rsid w:val="00DF7C4D"/>
    <w:rsid w:val="00E0005A"/>
    <w:rsid w:val="00E004F2"/>
    <w:rsid w:val="00E011BD"/>
    <w:rsid w:val="00E0167E"/>
    <w:rsid w:val="00E01B5A"/>
    <w:rsid w:val="00E045CF"/>
    <w:rsid w:val="00E04BD0"/>
    <w:rsid w:val="00E05457"/>
    <w:rsid w:val="00E05941"/>
    <w:rsid w:val="00E0667C"/>
    <w:rsid w:val="00E070C7"/>
    <w:rsid w:val="00E15675"/>
    <w:rsid w:val="00E15A7C"/>
    <w:rsid w:val="00E15BDA"/>
    <w:rsid w:val="00E16FC2"/>
    <w:rsid w:val="00E1785E"/>
    <w:rsid w:val="00E17F96"/>
    <w:rsid w:val="00E201EE"/>
    <w:rsid w:val="00E225E9"/>
    <w:rsid w:val="00E2467B"/>
    <w:rsid w:val="00E25214"/>
    <w:rsid w:val="00E25D4C"/>
    <w:rsid w:val="00E260EC"/>
    <w:rsid w:val="00E279AC"/>
    <w:rsid w:val="00E31680"/>
    <w:rsid w:val="00E32FB2"/>
    <w:rsid w:val="00E330DD"/>
    <w:rsid w:val="00E33FB4"/>
    <w:rsid w:val="00E364A3"/>
    <w:rsid w:val="00E36B47"/>
    <w:rsid w:val="00E36C79"/>
    <w:rsid w:val="00E37C9D"/>
    <w:rsid w:val="00E4389E"/>
    <w:rsid w:val="00E455F8"/>
    <w:rsid w:val="00E466A6"/>
    <w:rsid w:val="00E47D0B"/>
    <w:rsid w:val="00E50739"/>
    <w:rsid w:val="00E507A0"/>
    <w:rsid w:val="00E50E82"/>
    <w:rsid w:val="00E510DC"/>
    <w:rsid w:val="00E543E9"/>
    <w:rsid w:val="00E54853"/>
    <w:rsid w:val="00E549B1"/>
    <w:rsid w:val="00E556D4"/>
    <w:rsid w:val="00E572E5"/>
    <w:rsid w:val="00E67C18"/>
    <w:rsid w:val="00E70547"/>
    <w:rsid w:val="00E73A7C"/>
    <w:rsid w:val="00E754C0"/>
    <w:rsid w:val="00E758E1"/>
    <w:rsid w:val="00E77861"/>
    <w:rsid w:val="00E77C13"/>
    <w:rsid w:val="00E77F61"/>
    <w:rsid w:val="00E80183"/>
    <w:rsid w:val="00E8074C"/>
    <w:rsid w:val="00E819F4"/>
    <w:rsid w:val="00E81C5C"/>
    <w:rsid w:val="00E834E7"/>
    <w:rsid w:val="00E84603"/>
    <w:rsid w:val="00E87C54"/>
    <w:rsid w:val="00E90BF4"/>
    <w:rsid w:val="00E90D57"/>
    <w:rsid w:val="00E91777"/>
    <w:rsid w:val="00E91813"/>
    <w:rsid w:val="00E95366"/>
    <w:rsid w:val="00E954C5"/>
    <w:rsid w:val="00E96853"/>
    <w:rsid w:val="00EA22DB"/>
    <w:rsid w:val="00EA59BF"/>
    <w:rsid w:val="00EA6E2B"/>
    <w:rsid w:val="00EA7249"/>
    <w:rsid w:val="00EA788D"/>
    <w:rsid w:val="00EA7948"/>
    <w:rsid w:val="00EB0E7F"/>
    <w:rsid w:val="00EB1024"/>
    <w:rsid w:val="00EB53B5"/>
    <w:rsid w:val="00EB5E6D"/>
    <w:rsid w:val="00EB6F19"/>
    <w:rsid w:val="00EB7951"/>
    <w:rsid w:val="00EC083D"/>
    <w:rsid w:val="00EC0E95"/>
    <w:rsid w:val="00EC1EC1"/>
    <w:rsid w:val="00EC6E4F"/>
    <w:rsid w:val="00EC6F1A"/>
    <w:rsid w:val="00EC79A0"/>
    <w:rsid w:val="00EC7EDC"/>
    <w:rsid w:val="00ED04B7"/>
    <w:rsid w:val="00ED0C68"/>
    <w:rsid w:val="00ED3FE4"/>
    <w:rsid w:val="00ED4348"/>
    <w:rsid w:val="00ED44FD"/>
    <w:rsid w:val="00ED4A82"/>
    <w:rsid w:val="00ED4A8B"/>
    <w:rsid w:val="00ED70CA"/>
    <w:rsid w:val="00EE050A"/>
    <w:rsid w:val="00EE0764"/>
    <w:rsid w:val="00EE0ADE"/>
    <w:rsid w:val="00EE1575"/>
    <w:rsid w:val="00EE3023"/>
    <w:rsid w:val="00EE45A9"/>
    <w:rsid w:val="00EE487D"/>
    <w:rsid w:val="00EE51DE"/>
    <w:rsid w:val="00EE5749"/>
    <w:rsid w:val="00EE7D8C"/>
    <w:rsid w:val="00EF0037"/>
    <w:rsid w:val="00EF42B2"/>
    <w:rsid w:val="00EF4D50"/>
    <w:rsid w:val="00EF4FD1"/>
    <w:rsid w:val="00EF52A6"/>
    <w:rsid w:val="00EF59F3"/>
    <w:rsid w:val="00F02CAC"/>
    <w:rsid w:val="00F02E6C"/>
    <w:rsid w:val="00F03D54"/>
    <w:rsid w:val="00F04759"/>
    <w:rsid w:val="00F0629F"/>
    <w:rsid w:val="00F10B80"/>
    <w:rsid w:val="00F10E99"/>
    <w:rsid w:val="00F11D0D"/>
    <w:rsid w:val="00F12739"/>
    <w:rsid w:val="00F12945"/>
    <w:rsid w:val="00F13239"/>
    <w:rsid w:val="00F158BB"/>
    <w:rsid w:val="00F15C50"/>
    <w:rsid w:val="00F206B1"/>
    <w:rsid w:val="00F2246C"/>
    <w:rsid w:val="00F23325"/>
    <w:rsid w:val="00F24781"/>
    <w:rsid w:val="00F261AA"/>
    <w:rsid w:val="00F27347"/>
    <w:rsid w:val="00F2796F"/>
    <w:rsid w:val="00F30986"/>
    <w:rsid w:val="00F311B2"/>
    <w:rsid w:val="00F31318"/>
    <w:rsid w:val="00F335C4"/>
    <w:rsid w:val="00F34C7C"/>
    <w:rsid w:val="00F37AA6"/>
    <w:rsid w:val="00F421F1"/>
    <w:rsid w:val="00F42830"/>
    <w:rsid w:val="00F4286D"/>
    <w:rsid w:val="00F429FA"/>
    <w:rsid w:val="00F43DEA"/>
    <w:rsid w:val="00F4451B"/>
    <w:rsid w:val="00F456E3"/>
    <w:rsid w:val="00F462B6"/>
    <w:rsid w:val="00F46824"/>
    <w:rsid w:val="00F51346"/>
    <w:rsid w:val="00F521EE"/>
    <w:rsid w:val="00F54033"/>
    <w:rsid w:val="00F549F4"/>
    <w:rsid w:val="00F56329"/>
    <w:rsid w:val="00F569B4"/>
    <w:rsid w:val="00F57F35"/>
    <w:rsid w:val="00F601D0"/>
    <w:rsid w:val="00F601F5"/>
    <w:rsid w:val="00F60C79"/>
    <w:rsid w:val="00F61D76"/>
    <w:rsid w:val="00F62A66"/>
    <w:rsid w:val="00F6438A"/>
    <w:rsid w:val="00F64FAF"/>
    <w:rsid w:val="00F65938"/>
    <w:rsid w:val="00F65953"/>
    <w:rsid w:val="00F71F98"/>
    <w:rsid w:val="00F7253F"/>
    <w:rsid w:val="00F7276C"/>
    <w:rsid w:val="00F728A8"/>
    <w:rsid w:val="00F72E3D"/>
    <w:rsid w:val="00F73CB0"/>
    <w:rsid w:val="00F7472A"/>
    <w:rsid w:val="00F74E91"/>
    <w:rsid w:val="00F74EEA"/>
    <w:rsid w:val="00F757CA"/>
    <w:rsid w:val="00F76CDB"/>
    <w:rsid w:val="00F8084A"/>
    <w:rsid w:val="00F8100D"/>
    <w:rsid w:val="00F82FC5"/>
    <w:rsid w:val="00F83281"/>
    <w:rsid w:val="00F834F5"/>
    <w:rsid w:val="00F83F6E"/>
    <w:rsid w:val="00F84109"/>
    <w:rsid w:val="00F86003"/>
    <w:rsid w:val="00F86F14"/>
    <w:rsid w:val="00F87618"/>
    <w:rsid w:val="00F8761E"/>
    <w:rsid w:val="00F90505"/>
    <w:rsid w:val="00F90B19"/>
    <w:rsid w:val="00F93384"/>
    <w:rsid w:val="00F95FD7"/>
    <w:rsid w:val="00F9733C"/>
    <w:rsid w:val="00FA2E1C"/>
    <w:rsid w:val="00FA3B19"/>
    <w:rsid w:val="00FA3F0A"/>
    <w:rsid w:val="00FA5D5D"/>
    <w:rsid w:val="00FA730E"/>
    <w:rsid w:val="00FA74BE"/>
    <w:rsid w:val="00FA79D7"/>
    <w:rsid w:val="00FB0BAD"/>
    <w:rsid w:val="00FB2095"/>
    <w:rsid w:val="00FB49CC"/>
    <w:rsid w:val="00FB59F5"/>
    <w:rsid w:val="00FB777D"/>
    <w:rsid w:val="00FC088A"/>
    <w:rsid w:val="00FC21DA"/>
    <w:rsid w:val="00FC25D4"/>
    <w:rsid w:val="00FC7200"/>
    <w:rsid w:val="00FD2930"/>
    <w:rsid w:val="00FD32D8"/>
    <w:rsid w:val="00FD3927"/>
    <w:rsid w:val="00FD3FC5"/>
    <w:rsid w:val="00FD46B7"/>
    <w:rsid w:val="00FD60AE"/>
    <w:rsid w:val="00FE0A5F"/>
    <w:rsid w:val="00FE1197"/>
    <w:rsid w:val="00FE29FC"/>
    <w:rsid w:val="00FE349C"/>
    <w:rsid w:val="00FE38A1"/>
    <w:rsid w:val="00FE6BFB"/>
    <w:rsid w:val="00FF0E5E"/>
    <w:rsid w:val="00FF16FF"/>
    <w:rsid w:val="00FF4292"/>
    <w:rsid w:val="00FF54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6C79"/>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331D90"/>
    <w:pPr>
      <w:keepNext/>
      <w:keepLines/>
      <w:spacing w:before="40" w:line="240" w:lineRule="auto"/>
      <w:outlineLvl w:val="2"/>
    </w:pPr>
    <w:rPr>
      <w:rFonts w:asciiTheme="majorHAnsi" w:eastAsiaTheme="majorEastAsia" w:hAnsiTheme="majorHAnsi" w:cstheme="majorBidi"/>
      <w:color w:val="2F5496" w:themeColor="accent1" w:themeShade="BF"/>
      <w:sz w:val="28"/>
      <w:szCs w:val="28"/>
      <w:lang w:val="sl-SI"/>
    </w:rPr>
  </w:style>
  <w:style w:type="paragraph" w:styleId="Naslov4">
    <w:name w:val="heading 4"/>
    <w:basedOn w:val="Navaden"/>
    <w:link w:val="Naslov4Znak"/>
    <w:uiPriority w:val="9"/>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uiPriority w:val="9"/>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6">
    <w:name w:val="heading 6"/>
    <w:basedOn w:val="Navaden"/>
    <w:next w:val="Navaden"/>
    <w:link w:val="Naslov6Znak"/>
    <w:uiPriority w:val="9"/>
    <w:semiHidden/>
    <w:unhideWhenUsed/>
    <w:qFormat/>
    <w:rsid w:val="00331D90"/>
    <w:pPr>
      <w:keepNext/>
      <w:keepLines/>
      <w:spacing w:before="40" w:line="259" w:lineRule="auto"/>
      <w:outlineLvl w:val="5"/>
    </w:pPr>
    <w:rPr>
      <w:rFonts w:asciiTheme="majorHAnsi" w:eastAsiaTheme="majorEastAsia" w:hAnsiTheme="majorHAnsi" w:cstheme="majorBidi"/>
      <w:i/>
      <w:iCs/>
      <w:caps/>
      <w:color w:val="1F3864" w:themeColor="accent1" w:themeShade="80"/>
      <w:sz w:val="22"/>
      <w:szCs w:val="22"/>
      <w:lang w:val="sl-SI"/>
    </w:rPr>
  </w:style>
  <w:style w:type="paragraph" w:styleId="Naslov7">
    <w:name w:val="heading 7"/>
    <w:basedOn w:val="Navaden"/>
    <w:next w:val="Navaden"/>
    <w:link w:val="Naslov7Znak"/>
    <w:uiPriority w:val="9"/>
    <w:semiHidden/>
    <w:unhideWhenUsed/>
    <w:qFormat/>
    <w:rsid w:val="00331D90"/>
    <w:pPr>
      <w:keepNext/>
      <w:keepLines/>
      <w:spacing w:before="40" w:line="259" w:lineRule="auto"/>
      <w:outlineLvl w:val="6"/>
    </w:pPr>
    <w:rPr>
      <w:rFonts w:asciiTheme="majorHAnsi" w:eastAsiaTheme="majorEastAsia" w:hAnsiTheme="majorHAnsi" w:cstheme="majorBidi"/>
      <w:b/>
      <w:bCs/>
      <w:color w:val="1F3864" w:themeColor="accent1" w:themeShade="80"/>
      <w:sz w:val="22"/>
      <w:szCs w:val="22"/>
      <w:lang w:val="sl-SI"/>
    </w:rPr>
  </w:style>
  <w:style w:type="paragraph" w:styleId="Naslov8">
    <w:name w:val="heading 8"/>
    <w:basedOn w:val="Navaden"/>
    <w:next w:val="Navaden"/>
    <w:link w:val="Naslov8Znak"/>
    <w:uiPriority w:val="9"/>
    <w:semiHidden/>
    <w:unhideWhenUsed/>
    <w:qFormat/>
    <w:rsid w:val="00331D90"/>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lang w:val="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E36C79"/>
    <w:pPr>
      <w:tabs>
        <w:tab w:val="center" w:pos="4320"/>
        <w:tab w:val="right" w:pos="8640"/>
      </w:tabs>
    </w:pPr>
  </w:style>
  <w:style w:type="character" w:customStyle="1" w:styleId="GlavaZnak">
    <w:name w:val="Glava Znak"/>
    <w:basedOn w:val="Privzetapisavaodstavka"/>
    <w:link w:val="Glava"/>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uiPriority w:val="1"/>
    <w:qFormat/>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uiPriority w:val="1"/>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customStyle="1" w:styleId="Mention">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uiPriority w:val="39"/>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UnresolvedMention">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uiPriority w:val="9"/>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uiPriority w:val="9"/>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uiPriority w:val="10"/>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uiPriority w:val="10"/>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character" w:customStyle="1" w:styleId="Naslov3Znak">
    <w:name w:val="Naslov 3 Znak"/>
    <w:basedOn w:val="Privzetapisavaodstavka"/>
    <w:link w:val="Naslov3"/>
    <w:uiPriority w:val="9"/>
    <w:rsid w:val="00331D90"/>
    <w:rPr>
      <w:rFonts w:asciiTheme="majorHAnsi" w:eastAsiaTheme="majorEastAsia" w:hAnsiTheme="majorHAnsi" w:cstheme="majorBidi"/>
      <w:color w:val="2F5496" w:themeColor="accent1" w:themeShade="BF"/>
      <w:sz w:val="28"/>
      <w:szCs w:val="28"/>
    </w:rPr>
  </w:style>
  <w:style w:type="character" w:customStyle="1" w:styleId="Naslov6Znak">
    <w:name w:val="Naslov 6 Znak"/>
    <w:basedOn w:val="Privzetapisavaodstavka"/>
    <w:link w:val="Naslov6"/>
    <w:uiPriority w:val="9"/>
    <w:semiHidden/>
    <w:rsid w:val="00331D90"/>
    <w:rPr>
      <w:rFonts w:asciiTheme="majorHAnsi" w:eastAsiaTheme="majorEastAsia" w:hAnsiTheme="majorHAnsi" w:cstheme="majorBidi"/>
      <w:i/>
      <w:iCs/>
      <w:caps/>
      <w:color w:val="1F3864" w:themeColor="accent1" w:themeShade="80"/>
    </w:rPr>
  </w:style>
  <w:style w:type="character" w:customStyle="1" w:styleId="Naslov7Znak">
    <w:name w:val="Naslov 7 Znak"/>
    <w:basedOn w:val="Privzetapisavaodstavka"/>
    <w:link w:val="Naslov7"/>
    <w:uiPriority w:val="9"/>
    <w:semiHidden/>
    <w:rsid w:val="00331D90"/>
    <w:rPr>
      <w:rFonts w:asciiTheme="majorHAnsi" w:eastAsiaTheme="majorEastAsia" w:hAnsiTheme="majorHAnsi" w:cstheme="majorBidi"/>
      <w:b/>
      <w:bCs/>
      <w:color w:val="1F3864" w:themeColor="accent1" w:themeShade="80"/>
    </w:rPr>
  </w:style>
  <w:style w:type="character" w:customStyle="1" w:styleId="Naslov8Znak">
    <w:name w:val="Naslov 8 Znak"/>
    <w:basedOn w:val="Privzetapisavaodstavka"/>
    <w:link w:val="Naslov8"/>
    <w:uiPriority w:val="9"/>
    <w:semiHidden/>
    <w:rsid w:val="00331D90"/>
    <w:rPr>
      <w:rFonts w:asciiTheme="majorHAnsi" w:eastAsiaTheme="majorEastAsia" w:hAnsiTheme="majorHAnsi" w:cstheme="majorBidi"/>
      <w:b/>
      <w:bCs/>
      <w:i/>
      <w:iCs/>
      <w:color w:val="1F3864" w:themeColor="accent1" w:themeShade="80"/>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331D90"/>
    <w:pPr>
      <w:spacing w:after="160" w:line="240" w:lineRule="exact"/>
      <w:jc w:val="both"/>
    </w:pPr>
    <w:rPr>
      <w:rFonts w:asciiTheme="minorHAnsi" w:eastAsiaTheme="minorHAnsi" w:hAnsiTheme="minorHAnsi" w:cstheme="minorBidi"/>
      <w:sz w:val="22"/>
      <w:szCs w:val="22"/>
      <w:vertAlign w:val="superscript"/>
      <w:lang w:val="sl-SI"/>
    </w:rPr>
  </w:style>
  <w:style w:type="paragraph" w:styleId="Brezrazmikov">
    <w:name w:val="No Spacing"/>
    <w:uiPriority w:val="1"/>
    <w:qFormat/>
    <w:rsid w:val="00331D90"/>
    <w:pPr>
      <w:spacing w:after="0" w:line="240" w:lineRule="auto"/>
    </w:pPr>
    <w:rPr>
      <w:rFonts w:eastAsiaTheme="minorEastAsia"/>
    </w:rPr>
  </w:style>
  <w:style w:type="character" w:customStyle="1" w:styleId="BesedilooblakaZnak1">
    <w:name w:val="Besedilo oblačka Znak1"/>
    <w:basedOn w:val="Privzetapisavaodstavka"/>
    <w:uiPriority w:val="99"/>
    <w:semiHidden/>
    <w:rsid w:val="00331D90"/>
    <w:rPr>
      <w:rFonts w:ascii="Segoe UI" w:hAnsi="Segoe UI" w:cs="Segoe UI"/>
      <w:kern w:val="0"/>
      <w:sz w:val="18"/>
      <w:szCs w:val="18"/>
      <w14:ligatures w14:val="none"/>
    </w:rPr>
  </w:style>
  <w:style w:type="paragraph" w:customStyle="1" w:styleId="article-paragraph">
    <w:name w:val="article-paragraph"/>
    <w:basedOn w:val="Navaden"/>
    <w:rsid w:val="00331D90"/>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NaslovTOC">
    <w:name w:val="TOC Heading"/>
    <w:basedOn w:val="Naslov1"/>
    <w:next w:val="Navaden"/>
    <w:uiPriority w:val="39"/>
    <w:unhideWhenUsed/>
    <w:qFormat/>
    <w:rsid w:val="00331D90"/>
    <w:pPr>
      <w:keepNext/>
      <w:keepLines/>
      <w:widowControl/>
      <w:tabs>
        <w:tab w:val="clear" w:pos="360"/>
        <w:tab w:val="clear" w:pos="2340"/>
      </w:tabs>
      <w:suppressAutoHyphens w:val="0"/>
      <w:spacing w:before="400" w:after="40" w:line="240" w:lineRule="auto"/>
      <w:ind w:left="0" w:firstLine="0"/>
      <w:jc w:val="left"/>
      <w:outlineLvl w:val="9"/>
    </w:pPr>
    <w:rPr>
      <w:rFonts w:asciiTheme="majorHAnsi" w:eastAsiaTheme="majorEastAsia" w:hAnsiTheme="majorHAnsi" w:cstheme="majorBidi"/>
      <w:b w:val="0"/>
      <w:color w:val="1F3864" w:themeColor="accent1" w:themeShade="80"/>
      <w:kern w:val="0"/>
      <w:sz w:val="36"/>
      <w:szCs w:val="36"/>
      <w:lang w:eastAsia="en-US"/>
    </w:rPr>
  </w:style>
  <w:style w:type="paragraph" w:styleId="Kazalovsebine2">
    <w:name w:val="toc 2"/>
    <w:basedOn w:val="Navaden"/>
    <w:next w:val="Navaden"/>
    <w:autoRedefine/>
    <w:uiPriority w:val="39"/>
    <w:unhideWhenUsed/>
    <w:rsid w:val="00331D90"/>
    <w:pPr>
      <w:tabs>
        <w:tab w:val="left" w:pos="720"/>
        <w:tab w:val="right" w:leader="dot" w:pos="9062"/>
      </w:tabs>
      <w:spacing w:after="100" w:line="259" w:lineRule="auto"/>
      <w:ind w:left="220"/>
    </w:pPr>
    <w:rPr>
      <w:rFonts w:asciiTheme="minorHAnsi" w:eastAsiaTheme="minorEastAsia" w:hAnsiTheme="minorHAnsi" w:cstheme="minorBidi"/>
      <w:bCs/>
      <w:noProof/>
      <w:sz w:val="22"/>
      <w:szCs w:val="22"/>
      <w:lang w:val="sl-SI"/>
    </w:rPr>
  </w:style>
  <w:style w:type="paragraph" w:styleId="Kazalovsebine1">
    <w:name w:val="toc 1"/>
    <w:basedOn w:val="Navaden"/>
    <w:next w:val="Navaden"/>
    <w:autoRedefine/>
    <w:uiPriority w:val="39"/>
    <w:unhideWhenUsed/>
    <w:rsid w:val="00331D90"/>
    <w:pPr>
      <w:tabs>
        <w:tab w:val="left" w:pos="440"/>
        <w:tab w:val="right" w:leader="dot" w:pos="9062"/>
      </w:tabs>
      <w:spacing w:after="100" w:line="259" w:lineRule="auto"/>
    </w:pPr>
    <w:rPr>
      <w:rFonts w:asciiTheme="minorHAnsi" w:eastAsiaTheme="minorEastAsia" w:hAnsiTheme="minorHAnsi" w:cstheme="minorBidi"/>
      <w:noProof/>
      <w:sz w:val="22"/>
      <w:szCs w:val="22"/>
      <w:lang w:val="sl-SI"/>
    </w:rPr>
  </w:style>
  <w:style w:type="paragraph" w:styleId="Kazalovsebine3">
    <w:name w:val="toc 3"/>
    <w:basedOn w:val="Navaden"/>
    <w:next w:val="Navaden"/>
    <w:autoRedefine/>
    <w:uiPriority w:val="39"/>
    <w:unhideWhenUsed/>
    <w:rsid w:val="00331D90"/>
    <w:pPr>
      <w:tabs>
        <w:tab w:val="right" w:leader="dot" w:pos="9062"/>
      </w:tabs>
      <w:spacing w:after="100" w:line="259" w:lineRule="auto"/>
      <w:ind w:left="440"/>
    </w:pPr>
    <w:rPr>
      <w:rFonts w:asciiTheme="minorHAnsi" w:eastAsiaTheme="minorEastAsia" w:hAnsiTheme="minorHAnsi" w:cstheme="minorBidi"/>
      <w:bCs/>
      <w:iCs/>
      <w:noProof/>
      <w:sz w:val="22"/>
      <w:szCs w:val="22"/>
      <w:lang w:val="sl-SI"/>
    </w:rPr>
  </w:style>
  <w:style w:type="character" w:customStyle="1" w:styleId="jlqj4b">
    <w:name w:val="jlqj4b"/>
    <w:basedOn w:val="Privzetapisavaodstavka"/>
    <w:rsid w:val="00331D90"/>
  </w:style>
  <w:style w:type="paragraph" w:styleId="Stvarnokazalo1">
    <w:name w:val="index 1"/>
    <w:basedOn w:val="Navaden"/>
    <w:next w:val="Navaden"/>
    <w:autoRedefine/>
    <w:uiPriority w:val="99"/>
    <w:semiHidden/>
    <w:unhideWhenUsed/>
    <w:rsid w:val="00331D90"/>
    <w:pPr>
      <w:spacing w:after="160" w:line="259" w:lineRule="auto"/>
      <w:ind w:left="240" w:hanging="240"/>
    </w:pPr>
    <w:rPr>
      <w:rFonts w:asciiTheme="minorHAnsi" w:eastAsiaTheme="minorEastAsia" w:hAnsiTheme="minorHAnsi" w:cstheme="minorBidi"/>
      <w:sz w:val="22"/>
      <w:szCs w:val="22"/>
      <w:lang w:val="sl-SI"/>
    </w:rPr>
  </w:style>
  <w:style w:type="paragraph" w:styleId="Kazalovsebine4">
    <w:name w:val="toc 4"/>
    <w:basedOn w:val="Navaden"/>
    <w:next w:val="Navaden"/>
    <w:autoRedefine/>
    <w:uiPriority w:val="39"/>
    <w:unhideWhenUsed/>
    <w:rsid w:val="00331D90"/>
    <w:pPr>
      <w:spacing w:after="100" w:line="259" w:lineRule="auto"/>
      <w:ind w:left="720"/>
    </w:pPr>
    <w:rPr>
      <w:rFonts w:asciiTheme="minorHAnsi" w:eastAsiaTheme="minorEastAsia" w:hAnsiTheme="minorHAnsi" w:cstheme="minorBidi"/>
      <w:sz w:val="22"/>
      <w:szCs w:val="22"/>
      <w:lang w:val="sl-SI"/>
    </w:rPr>
  </w:style>
  <w:style w:type="character" w:customStyle="1" w:styleId="markedcontent">
    <w:name w:val="markedcontent"/>
    <w:basedOn w:val="Privzetapisavaodstavka"/>
    <w:rsid w:val="00331D90"/>
  </w:style>
  <w:style w:type="character" w:customStyle="1" w:styleId="highlight">
    <w:name w:val="highlight"/>
    <w:basedOn w:val="Privzetapisavaodstavka"/>
    <w:rsid w:val="00331D90"/>
  </w:style>
  <w:style w:type="paragraph" w:styleId="Napis">
    <w:name w:val="caption"/>
    <w:basedOn w:val="Navaden"/>
    <w:next w:val="Navaden"/>
    <w:uiPriority w:val="35"/>
    <w:semiHidden/>
    <w:unhideWhenUsed/>
    <w:qFormat/>
    <w:rsid w:val="00331D90"/>
    <w:pPr>
      <w:spacing w:after="160" w:line="240" w:lineRule="auto"/>
    </w:pPr>
    <w:rPr>
      <w:rFonts w:asciiTheme="minorHAnsi" w:eastAsiaTheme="minorEastAsia" w:hAnsiTheme="minorHAnsi" w:cstheme="minorBidi"/>
      <w:b/>
      <w:bCs/>
      <w:smallCaps/>
      <w:color w:val="44546A" w:themeColor="text2"/>
      <w:sz w:val="22"/>
      <w:szCs w:val="22"/>
      <w:lang w:val="sl-SI"/>
    </w:rPr>
  </w:style>
  <w:style w:type="table" w:customStyle="1" w:styleId="TableGrid">
    <w:name w:val="TableGrid"/>
    <w:rsid w:val="00331D90"/>
    <w:pPr>
      <w:spacing w:after="0" w:line="240" w:lineRule="auto"/>
    </w:pPr>
    <w:rPr>
      <w:rFonts w:eastAsiaTheme="minorEastAsia"/>
    </w:rPr>
    <w:tblPr>
      <w:tblCellMar>
        <w:top w:w="0" w:type="dxa"/>
        <w:left w:w="0" w:type="dxa"/>
        <w:bottom w:w="0" w:type="dxa"/>
        <w:right w:w="0" w:type="dxa"/>
      </w:tblCellMar>
    </w:tblPr>
  </w:style>
  <w:style w:type="paragraph" w:styleId="Podnaslov">
    <w:name w:val="Subtitle"/>
    <w:basedOn w:val="Navaden"/>
    <w:next w:val="Navaden"/>
    <w:link w:val="PodnaslovZnak"/>
    <w:uiPriority w:val="11"/>
    <w:qFormat/>
    <w:rsid w:val="00331D90"/>
    <w:pPr>
      <w:numPr>
        <w:ilvl w:val="1"/>
      </w:numPr>
      <w:spacing w:after="240" w:line="240" w:lineRule="auto"/>
    </w:pPr>
    <w:rPr>
      <w:rFonts w:asciiTheme="majorHAnsi" w:eastAsiaTheme="majorEastAsia" w:hAnsiTheme="majorHAnsi" w:cstheme="majorBidi"/>
      <w:color w:val="4472C4" w:themeColor="accent1"/>
      <w:sz w:val="28"/>
      <w:szCs w:val="28"/>
      <w:lang w:val="sl-SI"/>
    </w:rPr>
  </w:style>
  <w:style w:type="character" w:customStyle="1" w:styleId="PodnaslovZnak">
    <w:name w:val="Podnaslov Znak"/>
    <w:basedOn w:val="Privzetapisavaodstavka"/>
    <w:link w:val="Podnaslov"/>
    <w:uiPriority w:val="11"/>
    <w:rsid w:val="00331D90"/>
    <w:rPr>
      <w:rFonts w:asciiTheme="majorHAnsi" w:eastAsiaTheme="majorEastAsia" w:hAnsiTheme="majorHAnsi" w:cstheme="majorBidi"/>
      <w:color w:val="4472C4" w:themeColor="accent1"/>
      <w:sz w:val="28"/>
      <w:szCs w:val="28"/>
    </w:rPr>
  </w:style>
  <w:style w:type="paragraph" w:styleId="Citat">
    <w:name w:val="Quote"/>
    <w:basedOn w:val="Navaden"/>
    <w:next w:val="Navaden"/>
    <w:link w:val="CitatZnak"/>
    <w:uiPriority w:val="29"/>
    <w:qFormat/>
    <w:rsid w:val="00331D90"/>
    <w:pPr>
      <w:spacing w:before="120" w:after="120" w:line="259" w:lineRule="auto"/>
      <w:ind w:left="720"/>
    </w:pPr>
    <w:rPr>
      <w:rFonts w:asciiTheme="minorHAnsi" w:eastAsiaTheme="minorEastAsia" w:hAnsiTheme="minorHAnsi" w:cstheme="minorBidi"/>
      <w:color w:val="44546A" w:themeColor="text2"/>
      <w:sz w:val="24"/>
      <w:lang w:val="sl-SI"/>
    </w:rPr>
  </w:style>
  <w:style w:type="character" w:customStyle="1" w:styleId="CitatZnak">
    <w:name w:val="Citat Znak"/>
    <w:basedOn w:val="Privzetapisavaodstavka"/>
    <w:link w:val="Citat"/>
    <w:uiPriority w:val="29"/>
    <w:rsid w:val="00331D90"/>
    <w:rPr>
      <w:rFonts w:eastAsiaTheme="minorEastAsia"/>
      <w:color w:val="44546A" w:themeColor="text2"/>
      <w:sz w:val="24"/>
      <w:szCs w:val="24"/>
    </w:rPr>
  </w:style>
  <w:style w:type="paragraph" w:styleId="Intenzivencitat">
    <w:name w:val="Intense Quote"/>
    <w:basedOn w:val="Navaden"/>
    <w:next w:val="Navaden"/>
    <w:link w:val="IntenzivencitatZnak"/>
    <w:uiPriority w:val="30"/>
    <w:qFormat/>
    <w:rsid w:val="00331D9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sl-SI"/>
    </w:rPr>
  </w:style>
  <w:style w:type="character" w:customStyle="1" w:styleId="IntenzivencitatZnak">
    <w:name w:val="Intenziven citat Znak"/>
    <w:basedOn w:val="Privzetapisavaodstavka"/>
    <w:link w:val="Intenzivencitat"/>
    <w:uiPriority w:val="30"/>
    <w:rsid w:val="00331D90"/>
    <w:rPr>
      <w:rFonts w:asciiTheme="majorHAnsi" w:eastAsiaTheme="majorEastAsia" w:hAnsiTheme="majorHAnsi" w:cstheme="majorBidi"/>
      <w:color w:val="44546A" w:themeColor="text2"/>
      <w:spacing w:val="-6"/>
      <w:sz w:val="32"/>
      <w:szCs w:val="32"/>
    </w:rPr>
  </w:style>
  <w:style w:type="character" w:styleId="Neenpoudarek">
    <w:name w:val="Subtle Emphasis"/>
    <w:basedOn w:val="Privzetapisavaodstavka"/>
    <w:uiPriority w:val="19"/>
    <w:qFormat/>
    <w:rsid w:val="00331D90"/>
    <w:rPr>
      <w:i/>
      <w:iCs/>
      <w:color w:val="595959" w:themeColor="text1" w:themeTint="A6"/>
    </w:rPr>
  </w:style>
  <w:style w:type="character" w:styleId="Intenzivenpoudarek">
    <w:name w:val="Intense Emphasis"/>
    <w:basedOn w:val="Privzetapisavaodstavka"/>
    <w:uiPriority w:val="21"/>
    <w:qFormat/>
    <w:rsid w:val="00331D90"/>
    <w:rPr>
      <w:b/>
      <w:bCs/>
      <w:i/>
      <w:iCs/>
    </w:rPr>
  </w:style>
  <w:style w:type="character" w:styleId="Neensklic">
    <w:name w:val="Subtle Reference"/>
    <w:basedOn w:val="Privzetapisavaodstavka"/>
    <w:uiPriority w:val="31"/>
    <w:qFormat/>
    <w:rsid w:val="00331D90"/>
    <w:rPr>
      <w:smallCaps/>
      <w:color w:val="595959" w:themeColor="text1" w:themeTint="A6"/>
      <w:u w:val="none" w:color="7F7F7F" w:themeColor="text1" w:themeTint="80"/>
      <w:bdr w:val="none" w:sz="0" w:space="0" w:color="auto"/>
    </w:rPr>
  </w:style>
  <w:style w:type="character" w:styleId="Intenzivensklic">
    <w:name w:val="Intense Reference"/>
    <w:basedOn w:val="Privzetapisavaodstavka"/>
    <w:uiPriority w:val="32"/>
    <w:qFormat/>
    <w:rsid w:val="00331D90"/>
    <w:rPr>
      <w:b/>
      <w:bCs/>
      <w:smallCaps/>
      <w:color w:val="44546A" w:themeColor="text2"/>
      <w:u w:val="single"/>
    </w:rPr>
  </w:style>
  <w:style w:type="character" w:styleId="Naslovknjige">
    <w:name w:val="Book Title"/>
    <w:basedOn w:val="Privzetapisavaodstavka"/>
    <w:uiPriority w:val="33"/>
    <w:qFormat/>
    <w:rsid w:val="00331D90"/>
    <w:rPr>
      <w:b/>
      <w:bCs/>
      <w:smallCaps/>
      <w:spacing w:val="10"/>
    </w:rPr>
  </w:style>
  <w:style w:type="character" w:customStyle="1" w:styleId="q4iawc">
    <w:name w:val="q4iawc"/>
    <w:basedOn w:val="Privzetapisavaodstavka"/>
    <w:rsid w:val="00331D90"/>
  </w:style>
  <w:style w:type="character" w:customStyle="1" w:styleId="OdstavekseznamaZnak">
    <w:name w:val="Odstavek seznama Znak"/>
    <w:basedOn w:val="Privzetapisavaodstavka"/>
    <w:link w:val="Odstavekseznama"/>
    <w:uiPriority w:val="34"/>
    <w:rsid w:val="00331D90"/>
    <w:rPr>
      <w:rFonts w:ascii="Arial" w:eastAsia="Times New Roman" w:hAnsi="Arial" w:cs="Times New Roman"/>
      <w:sz w:val="20"/>
      <w:szCs w:val="24"/>
      <w:lang w:val="en-US"/>
    </w:rPr>
  </w:style>
  <w:style w:type="character" w:customStyle="1" w:styleId="row-header-quote-text">
    <w:name w:val="row-header-quote-text"/>
    <w:basedOn w:val="Privzetapisavaodstavka"/>
    <w:rsid w:val="00331D90"/>
  </w:style>
  <w:style w:type="paragraph" w:customStyle="1" w:styleId="Navaden1">
    <w:name w:val="Navaden1"/>
    <w:basedOn w:val="Navaden"/>
    <w:qFormat/>
    <w:rsid w:val="00331D90"/>
    <w:pPr>
      <w:spacing w:before="100" w:beforeAutospacing="1" w:after="100" w:afterAutospacing="1" w:line="240" w:lineRule="auto"/>
    </w:pPr>
    <w:rPr>
      <w:rFonts w:ascii="Times New Roman" w:hAnsi="Times New Roman"/>
      <w:sz w:val="24"/>
      <w:lang w:val="sl-SI" w:eastAsia="sl-SI"/>
    </w:rPr>
  </w:style>
  <w:style w:type="numbering" w:customStyle="1" w:styleId="Brezseznama3">
    <w:name w:val="Brez seznama3"/>
    <w:next w:val="Brezseznama"/>
    <w:uiPriority w:val="99"/>
    <w:semiHidden/>
    <w:unhideWhenUsed/>
    <w:rsid w:val="00331D90"/>
  </w:style>
  <w:style w:type="table" w:styleId="Navadnatabela1">
    <w:name w:val="Plain Table 1"/>
    <w:basedOn w:val="Navadnatabela"/>
    <w:uiPriority w:val="41"/>
    <w:rsid w:val="00331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qFormat/>
    <w:rsid w:val="00331D9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table" w:customStyle="1" w:styleId="Tabelamrea3">
    <w:name w:val="Tabela – mreža3"/>
    <w:basedOn w:val="Navadnatabela"/>
    <w:next w:val="Tabelamrea"/>
    <w:uiPriority w:val="39"/>
    <w:rsid w:val="00331D9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rezseznama"/>
    <w:rsid w:val="00331D90"/>
    <w:pPr>
      <w:numPr>
        <w:numId w:val="19"/>
      </w:numPr>
    </w:pPr>
  </w:style>
  <w:style w:type="numbering" w:customStyle="1" w:styleId="WWNum2">
    <w:name w:val="WWNum2"/>
    <w:basedOn w:val="Brezseznama"/>
    <w:rsid w:val="00331D90"/>
    <w:pPr>
      <w:numPr>
        <w:numId w:val="20"/>
      </w:numPr>
    </w:pPr>
  </w:style>
  <w:style w:type="table" w:customStyle="1" w:styleId="Tabelamrea4">
    <w:name w:val="Tabela – mreža4"/>
    <w:basedOn w:val="Navadnatabela"/>
    <w:next w:val="Tabelamrea"/>
    <w:uiPriority w:val="39"/>
    <w:rsid w:val="00331D9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ik">
    <w:name w:val="zamik"/>
    <w:basedOn w:val="Navaden"/>
    <w:rsid w:val="00331D90"/>
    <w:pPr>
      <w:spacing w:line="240" w:lineRule="auto"/>
      <w:ind w:firstLine="1021"/>
    </w:pPr>
    <w:rPr>
      <w:rFonts w:ascii="Times New Roman" w:hAnsi="Times New Roman"/>
      <w:sz w:val="24"/>
    </w:rPr>
  </w:style>
  <w:style w:type="paragraph" w:customStyle="1" w:styleId="center">
    <w:name w:val="center"/>
    <w:basedOn w:val="Navaden"/>
    <w:rsid w:val="00331D90"/>
    <w:pPr>
      <w:spacing w:line="240" w:lineRule="auto"/>
      <w:jc w:val="center"/>
    </w:pPr>
    <w:rPr>
      <w:rFonts w:ascii="Times New Roman" w:hAnsi="Times New Roman"/>
      <w:sz w:val="24"/>
    </w:rPr>
  </w:style>
  <w:style w:type="paragraph" w:customStyle="1" w:styleId="alineazaodstavkom2">
    <w:name w:val="alinea_za_odstavkom"/>
    <w:basedOn w:val="Navaden"/>
    <w:rsid w:val="00331D90"/>
    <w:pPr>
      <w:spacing w:line="240" w:lineRule="auto"/>
      <w:ind w:hanging="425"/>
      <w:jc w:val="both"/>
    </w:pPr>
    <w:rPr>
      <w:rFonts w:ascii="Times New Roman" w:hAnsi="Times New Roman"/>
      <w:sz w:val="24"/>
    </w:rPr>
  </w:style>
  <w:style w:type="paragraph" w:styleId="Revizija">
    <w:name w:val="Revision"/>
    <w:hidden/>
    <w:uiPriority w:val="99"/>
    <w:semiHidden/>
    <w:rsid w:val="0033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60273">
      <w:bodyDiv w:val="1"/>
      <w:marLeft w:val="0"/>
      <w:marRight w:val="0"/>
      <w:marTop w:val="0"/>
      <w:marBottom w:val="0"/>
      <w:divBdr>
        <w:top w:val="none" w:sz="0" w:space="0" w:color="auto"/>
        <w:left w:val="none" w:sz="0" w:space="0" w:color="auto"/>
        <w:bottom w:val="none" w:sz="0" w:space="0" w:color="auto"/>
        <w:right w:val="none" w:sz="0" w:space="0" w:color="auto"/>
      </w:divBdr>
    </w:div>
    <w:div w:id="193540219">
      <w:bodyDiv w:val="1"/>
      <w:marLeft w:val="0"/>
      <w:marRight w:val="0"/>
      <w:marTop w:val="0"/>
      <w:marBottom w:val="0"/>
      <w:divBdr>
        <w:top w:val="none" w:sz="0" w:space="0" w:color="auto"/>
        <w:left w:val="none" w:sz="0" w:space="0" w:color="auto"/>
        <w:bottom w:val="none" w:sz="0" w:space="0" w:color="auto"/>
        <w:right w:val="none" w:sz="0" w:space="0" w:color="auto"/>
      </w:divBdr>
      <w:divsChild>
        <w:div w:id="289870512">
          <w:marLeft w:val="0"/>
          <w:marRight w:val="0"/>
          <w:marTop w:val="480"/>
          <w:marBottom w:val="0"/>
          <w:divBdr>
            <w:top w:val="none" w:sz="0" w:space="0" w:color="auto"/>
            <w:left w:val="none" w:sz="0" w:space="0" w:color="auto"/>
            <w:bottom w:val="none" w:sz="0" w:space="0" w:color="auto"/>
            <w:right w:val="none" w:sz="0" w:space="0" w:color="auto"/>
          </w:divBdr>
        </w:div>
        <w:div w:id="98720129">
          <w:marLeft w:val="0"/>
          <w:marRight w:val="0"/>
          <w:marTop w:val="480"/>
          <w:marBottom w:val="0"/>
          <w:divBdr>
            <w:top w:val="none" w:sz="0" w:space="0" w:color="auto"/>
            <w:left w:val="none" w:sz="0" w:space="0" w:color="auto"/>
            <w:bottom w:val="none" w:sz="0" w:space="0" w:color="auto"/>
            <w:right w:val="none" w:sz="0" w:space="0" w:color="auto"/>
          </w:divBdr>
        </w:div>
        <w:div w:id="1104157655">
          <w:marLeft w:val="0"/>
          <w:marRight w:val="0"/>
          <w:marTop w:val="240"/>
          <w:marBottom w:val="0"/>
          <w:divBdr>
            <w:top w:val="none" w:sz="0" w:space="0" w:color="auto"/>
            <w:left w:val="none" w:sz="0" w:space="0" w:color="auto"/>
            <w:bottom w:val="none" w:sz="0" w:space="0" w:color="auto"/>
            <w:right w:val="none" w:sz="0" w:space="0" w:color="auto"/>
          </w:divBdr>
        </w:div>
        <w:div w:id="266356991">
          <w:marLeft w:val="0"/>
          <w:marRight w:val="0"/>
          <w:marTop w:val="240"/>
          <w:marBottom w:val="0"/>
          <w:divBdr>
            <w:top w:val="none" w:sz="0" w:space="0" w:color="auto"/>
            <w:left w:val="none" w:sz="0" w:space="0" w:color="auto"/>
            <w:bottom w:val="none" w:sz="0" w:space="0" w:color="auto"/>
            <w:right w:val="none" w:sz="0" w:space="0" w:color="auto"/>
          </w:divBdr>
        </w:div>
        <w:div w:id="2138451350">
          <w:marLeft w:val="425"/>
          <w:marRight w:val="0"/>
          <w:marTop w:val="0"/>
          <w:marBottom w:val="0"/>
          <w:divBdr>
            <w:top w:val="none" w:sz="0" w:space="0" w:color="auto"/>
            <w:left w:val="none" w:sz="0" w:space="0" w:color="auto"/>
            <w:bottom w:val="none" w:sz="0" w:space="0" w:color="auto"/>
            <w:right w:val="none" w:sz="0" w:space="0" w:color="auto"/>
          </w:divBdr>
        </w:div>
        <w:div w:id="1971861949">
          <w:marLeft w:val="425"/>
          <w:marRight w:val="0"/>
          <w:marTop w:val="0"/>
          <w:marBottom w:val="0"/>
          <w:divBdr>
            <w:top w:val="none" w:sz="0" w:space="0" w:color="auto"/>
            <w:left w:val="none" w:sz="0" w:space="0" w:color="auto"/>
            <w:bottom w:val="none" w:sz="0" w:space="0" w:color="auto"/>
            <w:right w:val="none" w:sz="0" w:space="0" w:color="auto"/>
          </w:divBdr>
        </w:div>
        <w:div w:id="643581494">
          <w:marLeft w:val="425"/>
          <w:marRight w:val="0"/>
          <w:marTop w:val="0"/>
          <w:marBottom w:val="0"/>
          <w:divBdr>
            <w:top w:val="none" w:sz="0" w:space="0" w:color="auto"/>
            <w:left w:val="none" w:sz="0" w:space="0" w:color="auto"/>
            <w:bottom w:val="none" w:sz="0" w:space="0" w:color="auto"/>
            <w:right w:val="none" w:sz="0" w:space="0" w:color="auto"/>
          </w:divBdr>
        </w:div>
        <w:div w:id="641470074">
          <w:marLeft w:val="425"/>
          <w:marRight w:val="0"/>
          <w:marTop w:val="0"/>
          <w:marBottom w:val="0"/>
          <w:divBdr>
            <w:top w:val="none" w:sz="0" w:space="0" w:color="auto"/>
            <w:left w:val="none" w:sz="0" w:space="0" w:color="auto"/>
            <w:bottom w:val="none" w:sz="0" w:space="0" w:color="auto"/>
            <w:right w:val="none" w:sz="0" w:space="0" w:color="auto"/>
          </w:divBdr>
        </w:div>
        <w:div w:id="1738044960">
          <w:marLeft w:val="0"/>
          <w:marRight w:val="0"/>
          <w:marTop w:val="240"/>
          <w:marBottom w:val="0"/>
          <w:divBdr>
            <w:top w:val="none" w:sz="0" w:space="0" w:color="auto"/>
            <w:left w:val="none" w:sz="0" w:space="0" w:color="auto"/>
            <w:bottom w:val="none" w:sz="0" w:space="0" w:color="auto"/>
            <w:right w:val="none" w:sz="0" w:space="0" w:color="auto"/>
          </w:divBdr>
        </w:div>
        <w:div w:id="1653682494">
          <w:marLeft w:val="0"/>
          <w:marRight w:val="0"/>
          <w:marTop w:val="240"/>
          <w:marBottom w:val="0"/>
          <w:divBdr>
            <w:top w:val="none" w:sz="0" w:space="0" w:color="auto"/>
            <w:left w:val="none" w:sz="0" w:space="0" w:color="auto"/>
            <w:bottom w:val="none" w:sz="0" w:space="0" w:color="auto"/>
            <w:right w:val="none" w:sz="0" w:space="0" w:color="auto"/>
          </w:divBdr>
        </w:div>
        <w:div w:id="912398962">
          <w:marLeft w:val="0"/>
          <w:marRight w:val="0"/>
          <w:marTop w:val="240"/>
          <w:marBottom w:val="0"/>
          <w:divBdr>
            <w:top w:val="none" w:sz="0" w:space="0" w:color="auto"/>
            <w:left w:val="none" w:sz="0" w:space="0" w:color="auto"/>
            <w:bottom w:val="none" w:sz="0" w:space="0" w:color="auto"/>
            <w:right w:val="none" w:sz="0" w:space="0" w:color="auto"/>
          </w:divBdr>
        </w:div>
      </w:divsChild>
    </w:div>
    <w:div w:id="218128676">
      <w:bodyDiv w:val="1"/>
      <w:marLeft w:val="0"/>
      <w:marRight w:val="0"/>
      <w:marTop w:val="0"/>
      <w:marBottom w:val="0"/>
      <w:divBdr>
        <w:top w:val="none" w:sz="0" w:space="0" w:color="auto"/>
        <w:left w:val="none" w:sz="0" w:space="0" w:color="auto"/>
        <w:bottom w:val="none" w:sz="0" w:space="0" w:color="auto"/>
        <w:right w:val="none" w:sz="0" w:space="0" w:color="auto"/>
      </w:divBdr>
      <w:divsChild>
        <w:div w:id="1526671037">
          <w:marLeft w:val="0"/>
          <w:marRight w:val="0"/>
          <w:marTop w:val="480"/>
          <w:marBottom w:val="0"/>
          <w:divBdr>
            <w:top w:val="none" w:sz="0" w:space="0" w:color="auto"/>
            <w:left w:val="none" w:sz="0" w:space="0" w:color="auto"/>
            <w:bottom w:val="none" w:sz="0" w:space="0" w:color="auto"/>
            <w:right w:val="none" w:sz="0" w:space="0" w:color="auto"/>
          </w:divBdr>
        </w:div>
        <w:div w:id="628706063">
          <w:marLeft w:val="0"/>
          <w:marRight w:val="0"/>
          <w:marTop w:val="480"/>
          <w:marBottom w:val="0"/>
          <w:divBdr>
            <w:top w:val="none" w:sz="0" w:space="0" w:color="auto"/>
            <w:left w:val="none" w:sz="0" w:space="0" w:color="auto"/>
            <w:bottom w:val="none" w:sz="0" w:space="0" w:color="auto"/>
            <w:right w:val="none" w:sz="0" w:space="0" w:color="auto"/>
          </w:divBdr>
        </w:div>
        <w:div w:id="763841350">
          <w:marLeft w:val="0"/>
          <w:marRight w:val="0"/>
          <w:marTop w:val="240"/>
          <w:marBottom w:val="0"/>
          <w:divBdr>
            <w:top w:val="none" w:sz="0" w:space="0" w:color="auto"/>
            <w:left w:val="none" w:sz="0" w:space="0" w:color="auto"/>
            <w:bottom w:val="none" w:sz="0" w:space="0" w:color="auto"/>
            <w:right w:val="none" w:sz="0" w:space="0" w:color="auto"/>
          </w:divBdr>
        </w:div>
        <w:div w:id="1494683860">
          <w:marLeft w:val="0"/>
          <w:marRight w:val="0"/>
          <w:marTop w:val="240"/>
          <w:marBottom w:val="0"/>
          <w:divBdr>
            <w:top w:val="none" w:sz="0" w:space="0" w:color="auto"/>
            <w:left w:val="none" w:sz="0" w:space="0" w:color="auto"/>
            <w:bottom w:val="none" w:sz="0" w:space="0" w:color="auto"/>
            <w:right w:val="none" w:sz="0" w:space="0" w:color="auto"/>
          </w:divBdr>
        </w:div>
        <w:div w:id="831676117">
          <w:marLeft w:val="0"/>
          <w:marRight w:val="0"/>
          <w:marTop w:val="240"/>
          <w:marBottom w:val="0"/>
          <w:divBdr>
            <w:top w:val="none" w:sz="0" w:space="0" w:color="auto"/>
            <w:left w:val="none" w:sz="0" w:space="0" w:color="auto"/>
            <w:bottom w:val="none" w:sz="0" w:space="0" w:color="auto"/>
            <w:right w:val="none" w:sz="0" w:space="0" w:color="auto"/>
          </w:divBdr>
        </w:div>
        <w:div w:id="1068041607">
          <w:marLeft w:val="0"/>
          <w:marRight w:val="0"/>
          <w:marTop w:val="240"/>
          <w:marBottom w:val="0"/>
          <w:divBdr>
            <w:top w:val="none" w:sz="0" w:space="0" w:color="auto"/>
            <w:left w:val="none" w:sz="0" w:space="0" w:color="auto"/>
            <w:bottom w:val="none" w:sz="0" w:space="0" w:color="auto"/>
            <w:right w:val="none" w:sz="0" w:space="0" w:color="auto"/>
          </w:divBdr>
        </w:div>
      </w:divsChild>
    </w:div>
    <w:div w:id="265891458">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492841373">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663356350">
      <w:bodyDiv w:val="1"/>
      <w:marLeft w:val="0"/>
      <w:marRight w:val="0"/>
      <w:marTop w:val="0"/>
      <w:marBottom w:val="0"/>
      <w:divBdr>
        <w:top w:val="none" w:sz="0" w:space="0" w:color="auto"/>
        <w:left w:val="none" w:sz="0" w:space="0" w:color="auto"/>
        <w:bottom w:val="none" w:sz="0" w:space="0" w:color="auto"/>
        <w:right w:val="none" w:sz="0" w:space="0" w:color="auto"/>
      </w:divBdr>
      <w:divsChild>
        <w:div w:id="854153442">
          <w:marLeft w:val="0"/>
          <w:marRight w:val="0"/>
          <w:marTop w:val="480"/>
          <w:marBottom w:val="0"/>
          <w:divBdr>
            <w:top w:val="none" w:sz="0" w:space="0" w:color="auto"/>
            <w:left w:val="none" w:sz="0" w:space="0" w:color="auto"/>
            <w:bottom w:val="none" w:sz="0" w:space="0" w:color="auto"/>
            <w:right w:val="none" w:sz="0" w:space="0" w:color="auto"/>
          </w:divBdr>
        </w:div>
        <w:div w:id="22445178">
          <w:marLeft w:val="0"/>
          <w:marRight w:val="0"/>
          <w:marTop w:val="480"/>
          <w:marBottom w:val="0"/>
          <w:divBdr>
            <w:top w:val="none" w:sz="0" w:space="0" w:color="auto"/>
            <w:left w:val="none" w:sz="0" w:space="0" w:color="auto"/>
            <w:bottom w:val="none" w:sz="0" w:space="0" w:color="auto"/>
            <w:right w:val="none" w:sz="0" w:space="0" w:color="auto"/>
          </w:divBdr>
        </w:div>
        <w:div w:id="2075198532">
          <w:marLeft w:val="0"/>
          <w:marRight w:val="0"/>
          <w:marTop w:val="240"/>
          <w:marBottom w:val="0"/>
          <w:divBdr>
            <w:top w:val="none" w:sz="0" w:space="0" w:color="auto"/>
            <w:left w:val="none" w:sz="0" w:space="0" w:color="auto"/>
            <w:bottom w:val="none" w:sz="0" w:space="0" w:color="auto"/>
            <w:right w:val="none" w:sz="0" w:space="0" w:color="auto"/>
          </w:divBdr>
        </w:div>
        <w:div w:id="608464391">
          <w:marLeft w:val="0"/>
          <w:marRight w:val="0"/>
          <w:marTop w:val="240"/>
          <w:marBottom w:val="0"/>
          <w:divBdr>
            <w:top w:val="none" w:sz="0" w:space="0" w:color="auto"/>
            <w:left w:val="none" w:sz="0" w:space="0" w:color="auto"/>
            <w:bottom w:val="none" w:sz="0" w:space="0" w:color="auto"/>
            <w:right w:val="none" w:sz="0" w:space="0" w:color="auto"/>
          </w:divBdr>
        </w:div>
        <w:div w:id="689373964">
          <w:marLeft w:val="0"/>
          <w:marRight w:val="0"/>
          <w:marTop w:val="240"/>
          <w:marBottom w:val="0"/>
          <w:divBdr>
            <w:top w:val="none" w:sz="0" w:space="0" w:color="auto"/>
            <w:left w:val="none" w:sz="0" w:space="0" w:color="auto"/>
            <w:bottom w:val="none" w:sz="0" w:space="0" w:color="auto"/>
            <w:right w:val="none" w:sz="0" w:space="0" w:color="auto"/>
          </w:divBdr>
        </w:div>
        <w:div w:id="1805583905">
          <w:marLeft w:val="0"/>
          <w:marRight w:val="0"/>
          <w:marTop w:val="240"/>
          <w:marBottom w:val="0"/>
          <w:divBdr>
            <w:top w:val="none" w:sz="0" w:space="0" w:color="auto"/>
            <w:left w:val="none" w:sz="0" w:space="0" w:color="auto"/>
            <w:bottom w:val="none" w:sz="0" w:space="0" w:color="auto"/>
            <w:right w:val="none" w:sz="0" w:space="0" w:color="auto"/>
          </w:divBdr>
        </w:div>
      </w:divsChild>
    </w:div>
    <w:div w:id="685794012">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6705644">
      <w:bodyDiv w:val="1"/>
      <w:marLeft w:val="0"/>
      <w:marRight w:val="0"/>
      <w:marTop w:val="0"/>
      <w:marBottom w:val="0"/>
      <w:divBdr>
        <w:top w:val="none" w:sz="0" w:space="0" w:color="auto"/>
        <w:left w:val="none" w:sz="0" w:space="0" w:color="auto"/>
        <w:bottom w:val="none" w:sz="0" w:space="0" w:color="auto"/>
        <w:right w:val="none" w:sz="0" w:space="0" w:color="auto"/>
      </w:divBdr>
      <w:divsChild>
        <w:div w:id="564678586">
          <w:marLeft w:val="0"/>
          <w:marRight w:val="0"/>
          <w:marTop w:val="480"/>
          <w:marBottom w:val="0"/>
          <w:divBdr>
            <w:top w:val="none" w:sz="0" w:space="0" w:color="auto"/>
            <w:left w:val="none" w:sz="0" w:space="0" w:color="auto"/>
            <w:bottom w:val="none" w:sz="0" w:space="0" w:color="auto"/>
            <w:right w:val="none" w:sz="0" w:space="0" w:color="auto"/>
          </w:divBdr>
        </w:div>
        <w:div w:id="578250779">
          <w:marLeft w:val="0"/>
          <w:marRight w:val="0"/>
          <w:marTop w:val="480"/>
          <w:marBottom w:val="0"/>
          <w:divBdr>
            <w:top w:val="none" w:sz="0" w:space="0" w:color="auto"/>
            <w:left w:val="none" w:sz="0" w:space="0" w:color="auto"/>
            <w:bottom w:val="none" w:sz="0" w:space="0" w:color="auto"/>
            <w:right w:val="none" w:sz="0" w:space="0" w:color="auto"/>
          </w:divBdr>
        </w:div>
        <w:div w:id="2077781435">
          <w:marLeft w:val="0"/>
          <w:marRight w:val="0"/>
          <w:marTop w:val="240"/>
          <w:marBottom w:val="0"/>
          <w:divBdr>
            <w:top w:val="none" w:sz="0" w:space="0" w:color="auto"/>
            <w:left w:val="none" w:sz="0" w:space="0" w:color="auto"/>
            <w:bottom w:val="none" w:sz="0" w:space="0" w:color="auto"/>
            <w:right w:val="none" w:sz="0" w:space="0" w:color="auto"/>
          </w:divBdr>
        </w:div>
        <w:div w:id="1401094540">
          <w:marLeft w:val="0"/>
          <w:marRight w:val="0"/>
          <w:marTop w:val="240"/>
          <w:marBottom w:val="0"/>
          <w:divBdr>
            <w:top w:val="none" w:sz="0" w:space="0" w:color="auto"/>
            <w:left w:val="none" w:sz="0" w:space="0" w:color="auto"/>
            <w:bottom w:val="none" w:sz="0" w:space="0" w:color="auto"/>
            <w:right w:val="none" w:sz="0" w:space="0" w:color="auto"/>
          </w:divBdr>
        </w:div>
        <w:div w:id="1855917685">
          <w:marLeft w:val="425"/>
          <w:marRight w:val="0"/>
          <w:marTop w:val="0"/>
          <w:marBottom w:val="0"/>
          <w:divBdr>
            <w:top w:val="none" w:sz="0" w:space="0" w:color="auto"/>
            <w:left w:val="none" w:sz="0" w:space="0" w:color="auto"/>
            <w:bottom w:val="none" w:sz="0" w:space="0" w:color="auto"/>
            <w:right w:val="none" w:sz="0" w:space="0" w:color="auto"/>
          </w:divBdr>
        </w:div>
        <w:div w:id="970135390">
          <w:marLeft w:val="425"/>
          <w:marRight w:val="0"/>
          <w:marTop w:val="0"/>
          <w:marBottom w:val="0"/>
          <w:divBdr>
            <w:top w:val="none" w:sz="0" w:space="0" w:color="auto"/>
            <w:left w:val="none" w:sz="0" w:space="0" w:color="auto"/>
            <w:bottom w:val="none" w:sz="0" w:space="0" w:color="auto"/>
            <w:right w:val="none" w:sz="0" w:space="0" w:color="auto"/>
          </w:divBdr>
        </w:div>
        <w:div w:id="1830635287">
          <w:marLeft w:val="425"/>
          <w:marRight w:val="0"/>
          <w:marTop w:val="0"/>
          <w:marBottom w:val="0"/>
          <w:divBdr>
            <w:top w:val="none" w:sz="0" w:space="0" w:color="auto"/>
            <w:left w:val="none" w:sz="0" w:space="0" w:color="auto"/>
            <w:bottom w:val="none" w:sz="0" w:space="0" w:color="auto"/>
            <w:right w:val="none" w:sz="0" w:space="0" w:color="auto"/>
          </w:divBdr>
        </w:div>
        <w:div w:id="1291085127">
          <w:marLeft w:val="425"/>
          <w:marRight w:val="0"/>
          <w:marTop w:val="0"/>
          <w:marBottom w:val="0"/>
          <w:divBdr>
            <w:top w:val="none" w:sz="0" w:space="0" w:color="auto"/>
            <w:left w:val="none" w:sz="0" w:space="0" w:color="auto"/>
            <w:bottom w:val="none" w:sz="0" w:space="0" w:color="auto"/>
            <w:right w:val="none" w:sz="0" w:space="0" w:color="auto"/>
          </w:divBdr>
        </w:div>
        <w:div w:id="1812021112">
          <w:marLeft w:val="0"/>
          <w:marRight w:val="0"/>
          <w:marTop w:val="240"/>
          <w:marBottom w:val="0"/>
          <w:divBdr>
            <w:top w:val="none" w:sz="0" w:space="0" w:color="auto"/>
            <w:left w:val="none" w:sz="0" w:space="0" w:color="auto"/>
            <w:bottom w:val="none" w:sz="0" w:space="0" w:color="auto"/>
            <w:right w:val="none" w:sz="0" w:space="0" w:color="auto"/>
          </w:divBdr>
        </w:div>
        <w:div w:id="2069376271">
          <w:marLeft w:val="0"/>
          <w:marRight w:val="0"/>
          <w:marTop w:val="240"/>
          <w:marBottom w:val="0"/>
          <w:divBdr>
            <w:top w:val="none" w:sz="0" w:space="0" w:color="auto"/>
            <w:left w:val="none" w:sz="0" w:space="0" w:color="auto"/>
            <w:bottom w:val="none" w:sz="0" w:space="0" w:color="auto"/>
            <w:right w:val="none" w:sz="0" w:space="0" w:color="auto"/>
          </w:divBdr>
        </w:div>
        <w:div w:id="869533798">
          <w:marLeft w:val="0"/>
          <w:marRight w:val="0"/>
          <w:marTop w:val="240"/>
          <w:marBottom w:val="0"/>
          <w:divBdr>
            <w:top w:val="none" w:sz="0" w:space="0" w:color="auto"/>
            <w:left w:val="none" w:sz="0" w:space="0" w:color="auto"/>
            <w:bottom w:val="none" w:sz="0" w:space="0" w:color="auto"/>
            <w:right w:val="none" w:sz="0" w:space="0" w:color="auto"/>
          </w:divBdr>
        </w:div>
      </w:divsChild>
    </w:div>
    <w:div w:id="795489898">
      <w:bodyDiv w:val="1"/>
      <w:marLeft w:val="0"/>
      <w:marRight w:val="0"/>
      <w:marTop w:val="0"/>
      <w:marBottom w:val="0"/>
      <w:divBdr>
        <w:top w:val="none" w:sz="0" w:space="0" w:color="auto"/>
        <w:left w:val="none" w:sz="0" w:space="0" w:color="auto"/>
        <w:bottom w:val="none" w:sz="0" w:space="0" w:color="auto"/>
        <w:right w:val="none" w:sz="0" w:space="0" w:color="auto"/>
      </w:divBdr>
      <w:divsChild>
        <w:div w:id="2050834826">
          <w:marLeft w:val="0"/>
          <w:marRight w:val="0"/>
          <w:marTop w:val="480"/>
          <w:marBottom w:val="0"/>
          <w:divBdr>
            <w:top w:val="none" w:sz="0" w:space="0" w:color="auto"/>
            <w:left w:val="none" w:sz="0" w:space="0" w:color="auto"/>
            <w:bottom w:val="none" w:sz="0" w:space="0" w:color="auto"/>
            <w:right w:val="none" w:sz="0" w:space="0" w:color="auto"/>
          </w:divBdr>
        </w:div>
        <w:div w:id="1891189398">
          <w:marLeft w:val="0"/>
          <w:marRight w:val="0"/>
          <w:marTop w:val="480"/>
          <w:marBottom w:val="0"/>
          <w:divBdr>
            <w:top w:val="none" w:sz="0" w:space="0" w:color="auto"/>
            <w:left w:val="none" w:sz="0" w:space="0" w:color="auto"/>
            <w:bottom w:val="none" w:sz="0" w:space="0" w:color="auto"/>
            <w:right w:val="none" w:sz="0" w:space="0" w:color="auto"/>
          </w:divBdr>
        </w:div>
        <w:div w:id="307907871">
          <w:marLeft w:val="0"/>
          <w:marRight w:val="0"/>
          <w:marTop w:val="240"/>
          <w:marBottom w:val="0"/>
          <w:divBdr>
            <w:top w:val="none" w:sz="0" w:space="0" w:color="auto"/>
            <w:left w:val="none" w:sz="0" w:space="0" w:color="auto"/>
            <w:bottom w:val="none" w:sz="0" w:space="0" w:color="auto"/>
            <w:right w:val="none" w:sz="0" w:space="0" w:color="auto"/>
          </w:divBdr>
        </w:div>
        <w:div w:id="1071389696">
          <w:marLeft w:val="0"/>
          <w:marRight w:val="0"/>
          <w:marTop w:val="240"/>
          <w:marBottom w:val="0"/>
          <w:divBdr>
            <w:top w:val="none" w:sz="0" w:space="0" w:color="auto"/>
            <w:left w:val="none" w:sz="0" w:space="0" w:color="auto"/>
            <w:bottom w:val="none" w:sz="0" w:space="0" w:color="auto"/>
            <w:right w:val="none" w:sz="0" w:space="0" w:color="auto"/>
          </w:divBdr>
        </w:div>
      </w:divsChild>
    </w:div>
    <w:div w:id="943809051">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79116887">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1106182">
      <w:bodyDiv w:val="1"/>
      <w:marLeft w:val="0"/>
      <w:marRight w:val="0"/>
      <w:marTop w:val="0"/>
      <w:marBottom w:val="0"/>
      <w:divBdr>
        <w:top w:val="none" w:sz="0" w:space="0" w:color="auto"/>
        <w:left w:val="none" w:sz="0" w:space="0" w:color="auto"/>
        <w:bottom w:val="none" w:sz="0" w:space="0" w:color="auto"/>
        <w:right w:val="none" w:sz="0" w:space="0" w:color="auto"/>
      </w:divBdr>
    </w:div>
    <w:div w:id="1432316981">
      <w:bodyDiv w:val="1"/>
      <w:marLeft w:val="0"/>
      <w:marRight w:val="0"/>
      <w:marTop w:val="0"/>
      <w:marBottom w:val="0"/>
      <w:divBdr>
        <w:top w:val="none" w:sz="0" w:space="0" w:color="auto"/>
        <w:left w:val="none" w:sz="0" w:space="0" w:color="auto"/>
        <w:bottom w:val="none" w:sz="0" w:space="0" w:color="auto"/>
        <w:right w:val="none" w:sz="0" w:space="0" w:color="auto"/>
      </w:divBdr>
    </w:div>
    <w:div w:id="1498108324">
      <w:bodyDiv w:val="1"/>
      <w:marLeft w:val="0"/>
      <w:marRight w:val="0"/>
      <w:marTop w:val="0"/>
      <w:marBottom w:val="0"/>
      <w:divBdr>
        <w:top w:val="none" w:sz="0" w:space="0" w:color="auto"/>
        <w:left w:val="none" w:sz="0" w:space="0" w:color="auto"/>
        <w:bottom w:val="none" w:sz="0" w:space="0" w:color="auto"/>
        <w:right w:val="none" w:sz="0" w:space="0" w:color="auto"/>
      </w:divBdr>
      <w:divsChild>
        <w:div w:id="146439763">
          <w:marLeft w:val="0"/>
          <w:marRight w:val="0"/>
          <w:marTop w:val="480"/>
          <w:marBottom w:val="0"/>
          <w:divBdr>
            <w:top w:val="none" w:sz="0" w:space="0" w:color="auto"/>
            <w:left w:val="none" w:sz="0" w:space="0" w:color="auto"/>
            <w:bottom w:val="none" w:sz="0" w:space="0" w:color="auto"/>
            <w:right w:val="none" w:sz="0" w:space="0" w:color="auto"/>
          </w:divBdr>
        </w:div>
        <w:div w:id="1544445470">
          <w:marLeft w:val="0"/>
          <w:marRight w:val="0"/>
          <w:marTop w:val="480"/>
          <w:marBottom w:val="0"/>
          <w:divBdr>
            <w:top w:val="none" w:sz="0" w:space="0" w:color="auto"/>
            <w:left w:val="none" w:sz="0" w:space="0" w:color="auto"/>
            <w:bottom w:val="none" w:sz="0" w:space="0" w:color="auto"/>
            <w:right w:val="none" w:sz="0" w:space="0" w:color="auto"/>
          </w:divBdr>
        </w:div>
        <w:div w:id="998390964">
          <w:marLeft w:val="0"/>
          <w:marRight w:val="0"/>
          <w:marTop w:val="240"/>
          <w:marBottom w:val="0"/>
          <w:divBdr>
            <w:top w:val="none" w:sz="0" w:space="0" w:color="auto"/>
            <w:left w:val="none" w:sz="0" w:space="0" w:color="auto"/>
            <w:bottom w:val="none" w:sz="0" w:space="0" w:color="auto"/>
            <w:right w:val="none" w:sz="0" w:space="0" w:color="auto"/>
          </w:divBdr>
        </w:div>
        <w:div w:id="1747259345">
          <w:marLeft w:val="0"/>
          <w:marRight w:val="0"/>
          <w:marTop w:val="240"/>
          <w:marBottom w:val="0"/>
          <w:divBdr>
            <w:top w:val="none" w:sz="0" w:space="0" w:color="auto"/>
            <w:left w:val="none" w:sz="0" w:space="0" w:color="auto"/>
            <w:bottom w:val="none" w:sz="0" w:space="0" w:color="auto"/>
            <w:right w:val="none" w:sz="0" w:space="0" w:color="auto"/>
          </w:divBdr>
        </w:div>
      </w:divsChild>
    </w:div>
    <w:div w:id="1533378364">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41654344">
      <w:bodyDiv w:val="1"/>
      <w:marLeft w:val="0"/>
      <w:marRight w:val="0"/>
      <w:marTop w:val="0"/>
      <w:marBottom w:val="0"/>
      <w:divBdr>
        <w:top w:val="none" w:sz="0" w:space="0" w:color="auto"/>
        <w:left w:val="none" w:sz="0" w:space="0" w:color="auto"/>
        <w:bottom w:val="none" w:sz="0" w:space="0" w:color="auto"/>
        <w:right w:val="none" w:sz="0" w:space="0" w:color="auto"/>
      </w:divBdr>
    </w:div>
    <w:div w:id="1932813130">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726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ormattiva.it/uri-res/N2Ls?urn:nir:stato:costituzione" TargetMode="External"/><Relationship Id="rId13" Type="http://schemas.openxmlformats.org/officeDocument/2006/relationships/hyperlink" Target="https://eu-careers.europa.eu/sl/eligibility" TargetMode="External"/><Relationship Id="rId3" Type="http://schemas.openxmlformats.org/officeDocument/2006/relationships/hyperlink" Target="https://www.eppo.europa.eu/sites/default/files/2021-07/2020.001_Conditions_of_employment_EDPs-translation-SL.pdf" TargetMode="External"/><Relationship Id="rId7" Type="http://schemas.openxmlformats.org/officeDocument/2006/relationships/hyperlink" Target="https://www.gesetze-im-internet.de/gvg/BJNR005130950.html" TargetMode="External"/><Relationship Id="rId12" Type="http://schemas.openxmlformats.org/officeDocument/2006/relationships/hyperlink" Target="https://www.eppo.europa.eu/sites/default/files/2021-07/2020.001_Conditions_of_employment_EDPs-translation-SL.pdf" TargetMode="External"/><Relationship Id="rId2" Type="http://schemas.openxmlformats.org/officeDocument/2006/relationships/hyperlink" Target="https://eu-careers.europa.eu/sl/eligibility" TargetMode="External"/><Relationship Id="rId1" Type="http://schemas.openxmlformats.org/officeDocument/2006/relationships/hyperlink" Target="https://www.dt-rs.si/files/documents/Skupno%20letno%20poroc%CC%8Cilo%20za%202023.pdf" TargetMode="External"/><Relationship Id="rId6" Type="http://schemas.openxmlformats.org/officeDocument/2006/relationships/hyperlink" Target="https://www.ris.bka.gv.at/GeltendeFassung.wxe?Abfrage=Bundesnormen&amp;Gesetzesnummer=10000842" TargetMode="External"/><Relationship Id="rId11" Type="http://schemas.openxmlformats.org/officeDocument/2006/relationships/hyperlink" Target="https://eu-careers.europa.eu/sl/eligibility" TargetMode="External"/><Relationship Id="rId5" Type="http://schemas.openxmlformats.org/officeDocument/2006/relationships/hyperlink" Target="https://www.eppo.europa.eu/sites/default/files/2021-07/2020.001_Conditions_of_employment_EDPs-translation-SL.pdf" TargetMode="External"/><Relationship Id="rId10" Type="http://schemas.openxmlformats.org/officeDocument/2006/relationships/hyperlink" Target="https://www.prokuratuur.ee/en" TargetMode="External"/><Relationship Id="rId4" Type="http://schemas.openxmlformats.org/officeDocument/2006/relationships/hyperlink" Target="https://eu-careers.europa.eu/sl/eligibility" TargetMode="External"/><Relationship Id="rId9" Type="http://schemas.openxmlformats.org/officeDocument/2006/relationships/hyperlink" Target="https://e-justice.europa.eu/29/SL/types_of_legal_professions?ESTONIA&amp;member=1" TargetMode="External"/><Relationship Id="rId14" Type="http://schemas.openxmlformats.org/officeDocument/2006/relationships/hyperlink" Target="https://www.eppo.europa.eu/sites/default/files/2021-07/2020.001_Conditions_of_employment_EDPs-translation-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E27BCC-EE1D-4FFD-80EB-C321FA471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19738</Words>
  <Characters>112512</Characters>
  <Application>Microsoft Office Word</Application>
  <DocSecurity>0</DocSecurity>
  <Lines>937</Lines>
  <Paragraphs>263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Katja Pucihar</cp:lastModifiedBy>
  <cp:revision>2</cp:revision>
  <cp:lastPrinted>2025-03-11T13:24:00Z</cp:lastPrinted>
  <dcterms:created xsi:type="dcterms:W3CDTF">2025-05-15T07:28:00Z</dcterms:created>
  <dcterms:modified xsi:type="dcterms:W3CDTF">2025-05-15T07:28:00Z</dcterms:modified>
</cp:coreProperties>
</file>