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C657E" w:rsidRPr="002760DC" w:rsidRDefault="009C657E" w:rsidP="00EE2BD6">
      <w:pPr>
        <w:pStyle w:val="datumtevilka"/>
      </w:pPr>
      <w:bookmarkStart w:id="0" w:name="_Hlk61014710"/>
      <w:bookmarkEnd w:id="0"/>
      <w:r w:rsidRPr="002760DC">
        <w:rPr>
          <w:rFonts w:cs="Arial"/>
          <w:color w:val="000000"/>
        </w:rPr>
        <w:t>EVA:</w:t>
      </w:r>
      <w:r w:rsidRPr="002760DC">
        <w:rPr>
          <w:rFonts w:cs="Arial"/>
          <w:color w:val="000000"/>
        </w:rPr>
        <w:tab/>
      </w:r>
      <w:r w:rsidR="00EF6110">
        <w:rPr>
          <w:rFonts w:cs="Arial"/>
          <w:color w:val="000000"/>
        </w:rPr>
        <w:t>2024-2030-0027</w:t>
      </w:r>
    </w:p>
    <w:p w:rsidR="009C657E" w:rsidRPr="002760DC" w:rsidRDefault="009C657E" w:rsidP="00EE2BD6">
      <w:pPr>
        <w:pStyle w:val="datumtevilka"/>
      </w:pPr>
      <w:r w:rsidRPr="002760DC">
        <w:t xml:space="preserve">Številka: </w:t>
      </w:r>
      <w:r w:rsidRPr="002760DC">
        <w:tab/>
      </w:r>
      <w:r w:rsidR="00EF6110">
        <w:rPr>
          <w:rFonts w:cs="Arial"/>
          <w:color w:val="000000"/>
        </w:rPr>
        <w:t>00704-279/2024/15</w:t>
      </w:r>
    </w:p>
    <w:p w:rsidR="009C657E" w:rsidRPr="002760DC" w:rsidRDefault="009C657E" w:rsidP="00EE2BD6">
      <w:pPr>
        <w:pStyle w:val="datumtevilka"/>
      </w:pPr>
      <w:r>
        <w:t>Datum:</w:t>
      </w:r>
      <w:r w:rsidRPr="002760DC">
        <w:tab/>
      </w:r>
      <w:r w:rsidR="00EF6110">
        <w:rPr>
          <w:rFonts w:cs="Arial"/>
          <w:color w:val="000000"/>
        </w:rPr>
        <w:t>13. 5. 2025</w:t>
      </w:r>
      <w:r w:rsidRPr="002760DC">
        <w:t xml:space="preserve"> </w:t>
      </w:r>
    </w:p>
    <w:p w:rsidR="009C657E" w:rsidRPr="002760DC" w:rsidRDefault="009C657E" w:rsidP="00EE2BD6"/>
    <w:p w:rsidR="009C657E" w:rsidRDefault="009C657E" w:rsidP="00EE2BD6">
      <w:pPr>
        <w:autoSpaceDE w:val="0"/>
        <w:autoSpaceDN w:val="0"/>
        <w:adjustRightInd w:val="0"/>
        <w:rPr>
          <w:rFonts w:cs="Arial"/>
          <w:color w:val="000000"/>
          <w:szCs w:val="20"/>
        </w:rPr>
      </w:pPr>
    </w:p>
    <w:p w:rsidR="009C657E" w:rsidRPr="00F4345F" w:rsidRDefault="0004597B" w:rsidP="00F4345F">
      <w:pPr>
        <w:tabs>
          <w:tab w:val="left" w:pos="7920"/>
        </w:tabs>
        <w:autoSpaceDE w:val="0"/>
        <w:autoSpaceDN w:val="0"/>
        <w:adjustRightInd w:val="0"/>
        <w:ind w:left="709" w:hanging="709"/>
        <w:jc w:val="center"/>
        <w:rPr>
          <w:rFonts w:cs="Arial"/>
          <w:b/>
          <w:color w:val="000000"/>
          <w:szCs w:val="20"/>
        </w:rPr>
      </w:pPr>
      <w:r w:rsidRPr="00F4345F">
        <w:rPr>
          <w:rFonts w:cs="Arial"/>
          <w:b/>
          <w:color w:val="000000"/>
          <w:szCs w:val="20"/>
        </w:rPr>
        <w:t>Predlog amandmaja k Dopolnjenemu predlogu zakona o spremembah in dopolnitvah Zakona o finančnem poslovanju, postopkih zaradi insolventnosti in prisilnem prenehanju</w:t>
      </w:r>
    </w:p>
    <w:p w:rsidR="009C657E" w:rsidRPr="002760DC" w:rsidRDefault="009C657E" w:rsidP="0004597B">
      <w:pPr>
        <w:tabs>
          <w:tab w:val="left" w:pos="7920"/>
        </w:tabs>
        <w:autoSpaceDE w:val="0"/>
        <w:autoSpaceDN w:val="0"/>
        <w:adjustRightInd w:val="0"/>
        <w:jc w:val="both"/>
        <w:rPr>
          <w:rFonts w:cs="Arial"/>
          <w:color w:val="000000"/>
          <w:szCs w:val="20"/>
        </w:rPr>
      </w:pPr>
    </w:p>
    <w:p w:rsidR="009C657E" w:rsidRPr="002760DC" w:rsidRDefault="009C657E" w:rsidP="00EE2BD6">
      <w:pPr>
        <w:tabs>
          <w:tab w:val="left" w:pos="5570"/>
        </w:tabs>
        <w:autoSpaceDE w:val="0"/>
        <w:autoSpaceDN w:val="0"/>
        <w:adjustRightInd w:val="0"/>
        <w:rPr>
          <w:rFonts w:cs="Arial"/>
          <w:color w:val="000000"/>
          <w:szCs w:val="20"/>
        </w:rPr>
      </w:pPr>
    </w:p>
    <w:p w:rsidR="00F4345F" w:rsidRDefault="00F4345F" w:rsidP="00F4345F">
      <w:pPr>
        <w:jc w:val="both"/>
        <w:rPr>
          <w:rFonts w:cs="Arial"/>
          <w:b/>
          <w:bCs/>
          <w:szCs w:val="20"/>
        </w:rPr>
      </w:pPr>
      <w:bookmarkStart w:id="1" w:name="_GoBack"/>
      <w:r>
        <w:rPr>
          <w:rFonts w:cs="Arial"/>
          <w:b/>
          <w:bCs/>
          <w:szCs w:val="20"/>
        </w:rPr>
        <w:t>K 4. členu:</w:t>
      </w:r>
    </w:p>
    <w:p w:rsidR="00F4345F" w:rsidRDefault="00F4345F" w:rsidP="00F4345F">
      <w:pPr>
        <w:pStyle w:val="Odstavekseznama"/>
        <w:spacing w:line="260" w:lineRule="exact"/>
        <w:ind w:left="720"/>
        <w:rPr>
          <w:sz w:val="20"/>
          <w:szCs w:val="20"/>
        </w:rPr>
      </w:pPr>
    </w:p>
    <w:p w:rsidR="00F4345F" w:rsidRDefault="00F4345F" w:rsidP="00F4345F">
      <w:pPr>
        <w:pStyle w:val="Odstavekseznama"/>
        <w:spacing w:line="260" w:lineRule="exact"/>
        <w:ind w:left="720"/>
        <w:rPr>
          <w:sz w:val="20"/>
          <w:szCs w:val="20"/>
        </w:rPr>
      </w:pPr>
    </w:p>
    <w:p w:rsidR="00F4345F" w:rsidRDefault="00F4345F" w:rsidP="00F4345F">
      <w:pPr>
        <w:jc w:val="both"/>
        <w:rPr>
          <w:rFonts w:cs="Arial"/>
          <w:szCs w:val="20"/>
        </w:rPr>
      </w:pPr>
      <w:r>
        <w:rPr>
          <w:rFonts w:cs="Arial"/>
          <w:szCs w:val="20"/>
        </w:rPr>
        <w:t>V spremenjeni 2. točki drugega odstavka 112. člena se za besedo »gospodarstvo« doda vejica in besedilo »za katerega je predpisana kazen zapora pet ali več let«.</w:t>
      </w:r>
    </w:p>
    <w:p w:rsidR="00F4345F" w:rsidRDefault="00F4345F" w:rsidP="00F4345F">
      <w:pPr>
        <w:pStyle w:val="Odstavekseznama"/>
        <w:spacing w:line="260" w:lineRule="exact"/>
        <w:ind w:left="720"/>
        <w:rPr>
          <w:sz w:val="20"/>
          <w:szCs w:val="20"/>
        </w:rPr>
      </w:pPr>
    </w:p>
    <w:p w:rsidR="00F4345F" w:rsidRDefault="00F4345F" w:rsidP="00F4345F">
      <w:pPr>
        <w:jc w:val="both"/>
        <w:rPr>
          <w:rFonts w:cs="Arial"/>
          <w:szCs w:val="20"/>
        </w:rPr>
      </w:pPr>
    </w:p>
    <w:p w:rsidR="00F4345F" w:rsidRDefault="00F4345F" w:rsidP="00F4345F">
      <w:pPr>
        <w:jc w:val="both"/>
        <w:rPr>
          <w:rFonts w:cs="Arial"/>
          <w:szCs w:val="20"/>
          <w:u w:val="single"/>
        </w:rPr>
      </w:pPr>
      <w:r>
        <w:rPr>
          <w:rFonts w:cs="Arial"/>
          <w:szCs w:val="20"/>
          <w:u w:val="single"/>
        </w:rPr>
        <w:t>Obrazložitev:</w:t>
      </w:r>
    </w:p>
    <w:p w:rsidR="00F4345F" w:rsidRDefault="00F4345F" w:rsidP="00F4345F">
      <w:pPr>
        <w:pStyle w:val="Odstavekseznama"/>
        <w:spacing w:line="260" w:lineRule="exact"/>
        <w:ind w:left="720"/>
        <w:rPr>
          <w:sz w:val="20"/>
          <w:szCs w:val="20"/>
        </w:rPr>
      </w:pPr>
    </w:p>
    <w:p w:rsidR="00F4345F" w:rsidRDefault="00F4345F" w:rsidP="00F4345F">
      <w:pPr>
        <w:jc w:val="both"/>
        <w:rPr>
          <w:rFonts w:cs="Arial"/>
          <w:szCs w:val="20"/>
        </w:rPr>
      </w:pPr>
      <w:r>
        <w:rPr>
          <w:rFonts w:cs="Arial"/>
          <w:szCs w:val="20"/>
        </w:rPr>
        <w:t>S predlaganim amandmajem se naslavlja argumente in mnenje Sodnega sveta Republike Slovenije, št. Su 121/2025-3 z dne 6. 5.2025, ki ga je podal Državnemu zboru v okviru zakonodajnega postopka obravnave predloga ZFPPIPP-I. Sodni svet Republike Slovenije, ki je podal pripombo h ključni rešitvi predloga zakona, ki ureja pogoje za suspenz upravitelja</w:t>
      </w:r>
      <w:r>
        <w:rPr>
          <w:rStyle w:val="Sprotnaopomba-sklic"/>
          <w:szCs w:val="20"/>
        </w:rPr>
        <w:footnoteReference w:id="1"/>
      </w:r>
      <w:r>
        <w:rPr>
          <w:rFonts w:cs="Arial"/>
          <w:szCs w:val="20"/>
        </w:rPr>
        <w:t xml:space="preserve">, je v svojem mnenju izpostavil, da so tudi v okviru kaznivih dejanj, ki so storjena z naklepom zoper premoženje ali zoper gospodarstvo številna kazniva dejanja taka, ki nujno ne vplivajo na okrnitev zaupanja v opravljanje funkcije upravitelja in bi posledično tudi za tovrstna kazniva dejanja bilo treba predvideti individualno presojo vpliva kazenskega postopka na okrnitev zaupanja v opravljanje funkcije upravitelja, torej presojo ministra, pristojnega za pravosodje, glede teže, narave in okoliščin dejanja, kot to velja za kazniva dejanja iz 1. točke drugega odstavka 112. člena. </w:t>
      </w:r>
    </w:p>
    <w:p w:rsidR="00F4345F" w:rsidRDefault="00F4345F" w:rsidP="00F4345F">
      <w:pPr>
        <w:jc w:val="both"/>
        <w:rPr>
          <w:rFonts w:cs="Arial"/>
          <w:szCs w:val="20"/>
        </w:rPr>
      </w:pPr>
    </w:p>
    <w:p w:rsidR="00F4345F" w:rsidRDefault="00F4345F" w:rsidP="00F4345F">
      <w:pPr>
        <w:jc w:val="both"/>
        <w:rPr>
          <w:rFonts w:cs="Arial"/>
          <w:szCs w:val="20"/>
        </w:rPr>
      </w:pPr>
      <w:r>
        <w:rPr>
          <w:rFonts w:cs="Arial"/>
          <w:szCs w:val="20"/>
        </w:rPr>
        <w:t xml:space="preserve">Kot izhaja iz predloga zakona, Ustavno sodišče Republike Slovenije ob presoji ustavnosti 1. točke drugega odstavka 112. člena ni razširilo ugotavljanja skladnosti z Ustavo RS tudi glede 2. točke drugega odstavka 112. člena ZFPPIPP in posledično tudi ni ugotovilo njene neustavnosti. Ustavno sodišče Republike Slovenije je v predmetni odločbi (št. U-I-414/20-13 z dne 3. 5. 2023) med drugim navedlo, da bi bila ustavno skladna tudi taka ureditev, ki za t. i. suspenz upravitelja ne bi vsebovala presoje vpliva kazenskega postopka na okrnitev zaupanja v opravljanje funkcije upravitelj, v tistih primerih, ko bi bilo že na prvi pogled nadaljevanje upraviteljevega dela, z vidika zasledovanega cilja, popolnoma očitno nevzdržno. Kot tak primer Ustavno sodišče Republike Slovenije navede kazniva dejanja v povezavi z zlorabo funkcije upravitelja. Upravitelj je organ postopka zaradi insolventnosti in hkrati tudi zakoniti zastopnik dolžnika ter mora tekom celotnega postopka zaradi insolventnosti delovati zakonito in v skladu z zagotavljanjem najboljšega poplačila upnikov. Varstvo interesov upnikov in skrb za zakonito in skrbno upravljanje in prodajo premoženja stečajnega dolžnika je ena izmed njegovih temeljnih nalog, zato uvedba kazenskega postopka in obstoj utemeljenega suma (zoper upravitelja je vložena pravnomočna obtožnica, </w:t>
      </w:r>
      <w:r>
        <w:rPr>
          <w:rFonts w:cs="Arial"/>
          <w:szCs w:val="20"/>
        </w:rPr>
        <w:lastRenderedPageBreak/>
        <w:t xml:space="preserve">vložena brez preiskave, ali pa je pravnomočno uvedena preiskava), da je upravitelj storil naklepno kaznivo dejanje zoper premoženje ali zoper gospodarstvo že po naravi stvari, glede na njegovo funkcijo, vplivajo na zaupanje vanj in jamstvo vsem (potencialnim) deležnikom v postopkih insolventnosti in v poslovnem okolju, da bo oseba, ki bo imenovana za upravitelja v konkretnem postopku insolventnosti, svoje delo opravljala ustrezno odgovornosti in nalogam, ki jih ta funkcija zahteva. </w:t>
      </w:r>
    </w:p>
    <w:p w:rsidR="00F4345F" w:rsidRDefault="00F4345F" w:rsidP="00F4345F">
      <w:pPr>
        <w:jc w:val="both"/>
        <w:rPr>
          <w:rFonts w:cs="Arial"/>
          <w:szCs w:val="20"/>
        </w:rPr>
      </w:pPr>
    </w:p>
    <w:p w:rsidR="00F4345F" w:rsidRDefault="00F4345F" w:rsidP="00F4345F">
      <w:pPr>
        <w:jc w:val="both"/>
        <w:rPr>
          <w:rFonts w:cs="Arial"/>
          <w:szCs w:val="20"/>
        </w:rPr>
      </w:pPr>
      <w:r>
        <w:rPr>
          <w:rFonts w:cs="Arial"/>
          <w:szCs w:val="20"/>
        </w:rPr>
        <w:t>Po proučitvi argumentov Sodnega sveta Republike Slovenije se, ob večjem upoštevanju sorazmernosti posega, s predlaganim amandmajem 2. točka drugega odstavka 112. člena zakona dopolnjuje na način, da minister začasno ustavi imenovanje osebe za upravitelja v novih zadevah, brez presoje vpliva kazenskega postopka na zaupanje v delo upravitelja, le v primerih naklepnih kaznivih dejanj zoper premoženje in gospodarstvo, za katera je predpisana in se lahko izreče zaporna kazen 5 ali več let. Predlagatelj ocenjuje, da uvedba kazenskega postopka za naklepna kazniva dejanja zoper premoženje in gospodarstvo, za katera se upravitelju lahko izreče 5 ali več let zapora, predstavljajo takšna kazniva dejanja, katerih teža je že sama po sebi takšna (upoštevaje, da predlog zakona že vsebuje v okviru te točke zamejen katalog kaznivih dejanj, in sicer naklepna kazniva dejanja zoper premoženje in gospodarstvo, kar jasno kaže tudi na obstoj narave in okoliščin kaznivega dejanja, ki so tudi glede na upraviteljevo funkcijo taka, da vplivajo na zaupanje v opravljanje njegove funkcije), da je očitno nevzdržno nadaljevanje upraviteljevega dela v primeru uvedbe takšnega postopka in ugotovitve utemeljenega suma, da je upravitelj storil takšno kaznivo dejanje. Vsa ostala kazniva dejanja zoper premoženje ali gospodarstvo (torej tista za katera se lahko izreče kazen nižja od 5 let zapora) pa bodo presojana v okviru 1. točke drugega odstavka 112. člena ZFPPIPP, v okviru katere se bo po predlagani ureditvi pred izrekom t. i. suspenza upravitelju presojalo tudi težo, naravo in okoliščine njegovih dejanj.</w:t>
      </w:r>
    </w:p>
    <w:p w:rsidR="00F4345F" w:rsidRDefault="00F4345F" w:rsidP="00F4345F">
      <w:pPr>
        <w:jc w:val="both"/>
        <w:rPr>
          <w:rFonts w:cs="Arial"/>
          <w:szCs w:val="20"/>
        </w:rPr>
      </w:pPr>
    </w:p>
    <w:p w:rsidR="00F4345F" w:rsidRDefault="00F4345F" w:rsidP="00F4345F">
      <w:pPr>
        <w:jc w:val="both"/>
        <w:rPr>
          <w:rFonts w:cs="Arial"/>
          <w:szCs w:val="20"/>
        </w:rPr>
      </w:pPr>
      <w:r>
        <w:rPr>
          <w:rFonts w:cs="Arial"/>
          <w:szCs w:val="20"/>
        </w:rPr>
        <w:t xml:space="preserve">S predlaganim amandmajem se tako še vedno sledi osrednjemu namenu predlagane rešitve, hkrati pa se v okviru predlagane spremembe sledi tudi mnenju Sodnega sveta Republike Slovenije k predlogu tega zakona z dne 6. 5. 2025. </w:t>
      </w:r>
    </w:p>
    <w:bookmarkEnd w:id="1"/>
    <w:p w:rsidR="007E1230" w:rsidRDefault="007E1230" w:rsidP="00F4345F">
      <w:pPr>
        <w:autoSpaceDE w:val="0"/>
        <w:autoSpaceDN w:val="0"/>
        <w:adjustRightInd w:val="0"/>
        <w:rPr>
          <w:rFonts w:cs="Arial"/>
          <w:color w:val="000000"/>
          <w:szCs w:val="20"/>
        </w:rPr>
      </w:pPr>
    </w:p>
    <w:sectPr w:rsidR="007E1230" w:rsidSect="00A16E6F">
      <w:headerReference w:type="even" r:id="rId7"/>
      <w:headerReference w:type="default" r:id="rId8"/>
      <w:footerReference w:type="even" r:id="rId9"/>
      <w:footerReference w:type="default" r:id="rId10"/>
      <w:headerReference w:type="first" r:id="rId11"/>
      <w:footerReference w:type="first" r:id="rId12"/>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20C1E" w:rsidRDefault="00F20C1E" w:rsidP="00767987">
      <w:pPr>
        <w:spacing w:line="240" w:lineRule="auto"/>
      </w:pPr>
      <w:r>
        <w:separator/>
      </w:r>
    </w:p>
  </w:endnote>
  <w:endnote w:type="continuationSeparator" w:id="0">
    <w:p w:rsidR="00F20C1E" w:rsidRDefault="00F20C1E"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D7807" w:rsidRDefault="004D7807">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D7807" w:rsidRDefault="004D7807">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D7807" w:rsidRDefault="004D7807">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20C1E" w:rsidRDefault="00F20C1E" w:rsidP="00767987">
      <w:pPr>
        <w:spacing w:line="240" w:lineRule="auto"/>
      </w:pPr>
      <w:r>
        <w:separator/>
      </w:r>
    </w:p>
  </w:footnote>
  <w:footnote w:type="continuationSeparator" w:id="0">
    <w:p w:rsidR="00F20C1E" w:rsidRDefault="00F20C1E" w:rsidP="00767987">
      <w:pPr>
        <w:spacing w:line="240" w:lineRule="auto"/>
      </w:pPr>
      <w:r>
        <w:continuationSeparator/>
      </w:r>
    </w:p>
  </w:footnote>
  <w:footnote w:id="1">
    <w:p w:rsidR="00F4345F" w:rsidRDefault="00F4345F" w:rsidP="00F4345F">
      <w:pPr>
        <w:pStyle w:val="Sprotnaopomba-besedilo"/>
      </w:pPr>
      <w:r>
        <w:rPr>
          <w:rStyle w:val="Sprotnaopomba-sklic"/>
        </w:rPr>
        <w:footnoteRef/>
      </w:r>
      <w:r>
        <w:t xml:space="preserve"> </w:t>
      </w:r>
      <w:r>
        <w:rPr>
          <w:sz w:val="18"/>
          <w:szCs w:val="18"/>
        </w:rPr>
        <w:t>Izraz suspenz upravitelja se v praksi uporablja za začasen ukrep, pri katerem gre sočasno za začasno ustavitev imenovanja upravitelja v novih zadevah po 1. točki drugega odstavka 112. člena ZFPPIPP in za njegovo razrešitev v vseh tekočih zadevah po devetem odstavku 112. člena ZFPPIPP.</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D7807" w:rsidRDefault="004D7807">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D7807" w:rsidRDefault="004D7807">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6E6F" w:rsidRPr="00A9231D" w:rsidRDefault="00A16E6F" w:rsidP="00A16E6F">
    <w:pPr>
      <w:pStyle w:val="Glava"/>
      <w:tabs>
        <w:tab w:val="clear" w:pos="4536"/>
        <w:tab w:val="clear" w:pos="9072"/>
        <w:tab w:val="left" w:pos="5112"/>
        <w:tab w:val="left" w:pos="8641"/>
      </w:tabs>
      <w:spacing w:before="340" w:line="240" w:lineRule="exact"/>
      <w:ind w:left="-765"/>
      <w:rPr>
        <w:rFonts w:ascii="Arial" w:hAnsi="Arial" w:cs="Arial"/>
        <w:sz w:val="16"/>
      </w:rPr>
    </w:pPr>
    <w:r w:rsidRPr="00CE234E">
      <w:rPr>
        <w:noProof/>
        <w:lang w:eastAsia="sl-SI"/>
      </w:rPr>
      <w:drawing>
        <wp:inline distT="0" distB="0" distL="0" distR="0" wp14:anchorId="13E6758A" wp14:editId="0B37FD23">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A16E6F" w:rsidRPr="00A9231D" w:rsidRDefault="00A16E6F" w:rsidP="00A16E6F">
    <w:pPr>
      <w:pStyle w:val="Glava"/>
      <w:tabs>
        <w:tab w:val="clear" w:pos="4536"/>
        <w:tab w:val="clear" w:pos="9072"/>
        <w:tab w:val="left" w:pos="5114"/>
        <w:tab w:val="left" w:pos="8641"/>
      </w:tabs>
      <w:spacing w:before="120" w:line="240" w:lineRule="exact"/>
      <w:rPr>
        <w:rFonts w:ascii="Arial" w:hAnsi="Arial" w:cs="Arial"/>
        <w:sz w:val="16"/>
      </w:rPr>
    </w:pPr>
    <w:r w:rsidRPr="00A9231D">
      <w:rPr>
        <w:rFonts w:ascii="Arial" w:hAnsi="Arial" w:cs="Arial"/>
        <w:sz w:val="16"/>
      </w:rPr>
      <w:t xml:space="preserve">Gregorčičeva </w:t>
    </w:r>
    <w:r>
      <w:rPr>
        <w:rFonts w:ascii="Arial" w:hAnsi="Arial" w:cs="Arial"/>
        <w:sz w:val="16"/>
      </w:rPr>
      <w:t xml:space="preserve">ulica </w:t>
    </w:r>
    <w:r w:rsidRPr="00A9231D">
      <w:rPr>
        <w:rFonts w:ascii="Arial" w:hAnsi="Arial" w:cs="Arial"/>
        <w:sz w:val="16"/>
      </w:rPr>
      <w:t>20–25, 100</w:t>
    </w:r>
    <w:r>
      <w:rPr>
        <w:rFonts w:ascii="Arial" w:hAnsi="Arial" w:cs="Arial"/>
        <w:sz w:val="16"/>
      </w:rPr>
      <w:t>0</w:t>
    </w:r>
    <w:r w:rsidRPr="00A9231D">
      <w:rPr>
        <w:rFonts w:ascii="Arial" w:hAnsi="Arial" w:cs="Arial"/>
        <w:sz w:val="16"/>
      </w:rPr>
      <w:t xml:space="preserve"> Ljubljana</w:t>
    </w:r>
    <w:r w:rsidRPr="00A9231D">
      <w:rPr>
        <w:rFonts w:ascii="Arial" w:hAnsi="Arial" w:cs="Arial"/>
        <w:sz w:val="16"/>
      </w:rPr>
      <w:tab/>
      <w:t>T: +386 1 478 1000</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F: +386 1 478 1607</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E: gp.gs@gov.si</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4597B"/>
    <w:rsid w:val="00062F2F"/>
    <w:rsid w:val="00084FCB"/>
    <w:rsid w:val="000B37A4"/>
    <w:rsid w:val="000B3FE6"/>
    <w:rsid w:val="00305880"/>
    <w:rsid w:val="00366636"/>
    <w:rsid w:val="00367DE6"/>
    <w:rsid w:val="003B3E19"/>
    <w:rsid w:val="004076C6"/>
    <w:rsid w:val="00457A58"/>
    <w:rsid w:val="004B7F76"/>
    <w:rsid w:val="004D7807"/>
    <w:rsid w:val="004E1BCE"/>
    <w:rsid w:val="00592079"/>
    <w:rsid w:val="00594080"/>
    <w:rsid w:val="00682FFE"/>
    <w:rsid w:val="00684751"/>
    <w:rsid w:val="006C69EC"/>
    <w:rsid w:val="007039D0"/>
    <w:rsid w:val="00767987"/>
    <w:rsid w:val="00782FD4"/>
    <w:rsid w:val="007E1230"/>
    <w:rsid w:val="00811140"/>
    <w:rsid w:val="00904A48"/>
    <w:rsid w:val="00980294"/>
    <w:rsid w:val="009C5392"/>
    <w:rsid w:val="009C657E"/>
    <w:rsid w:val="00A16E6F"/>
    <w:rsid w:val="00A50E4B"/>
    <w:rsid w:val="00A56EFB"/>
    <w:rsid w:val="00A9231D"/>
    <w:rsid w:val="00AD3BB3"/>
    <w:rsid w:val="00C0216A"/>
    <w:rsid w:val="00CD6077"/>
    <w:rsid w:val="00CE234E"/>
    <w:rsid w:val="00D02973"/>
    <w:rsid w:val="00DA09BE"/>
    <w:rsid w:val="00E83A83"/>
    <w:rsid w:val="00EE2BD6"/>
    <w:rsid w:val="00EF6110"/>
    <w:rsid w:val="00F20C1E"/>
    <w:rsid w:val="00F4345F"/>
    <w:rsid w:val="00F502C5"/>
    <w:rsid w:val="00FB00D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7E1230"/>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NogaZnak">
    <w:name w:val="Noga Znak"/>
    <w:basedOn w:val="Privzetapisavaodstavka"/>
    <w:link w:val="Noga"/>
    <w:uiPriority w:val="99"/>
    <w:rsid w:val="00767987"/>
  </w:style>
  <w:style w:type="paragraph" w:customStyle="1" w:styleId="podpisi">
    <w:name w:val="podpisi"/>
    <w:basedOn w:val="Navaden"/>
    <w:qFormat/>
    <w:rsid w:val="009C657E"/>
    <w:pPr>
      <w:tabs>
        <w:tab w:val="left" w:pos="3402"/>
      </w:tabs>
    </w:pPr>
    <w:rPr>
      <w:lang w:val="it-IT"/>
    </w:rPr>
  </w:style>
  <w:style w:type="paragraph" w:styleId="Sprotnaopomba-besedilo">
    <w:name w:val="footnote text"/>
    <w:basedOn w:val="Navaden"/>
    <w:link w:val="Sprotnaopomba-besediloZnak"/>
    <w:uiPriority w:val="99"/>
    <w:semiHidden/>
    <w:unhideWhenUsed/>
    <w:rsid w:val="00F4345F"/>
    <w:pPr>
      <w:overflowPunct w:val="0"/>
      <w:autoSpaceDE w:val="0"/>
      <w:autoSpaceDN w:val="0"/>
      <w:adjustRightInd w:val="0"/>
      <w:spacing w:line="240" w:lineRule="auto"/>
      <w:jc w:val="both"/>
    </w:pPr>
    <w:rPr>
      <w:szCs w:val="20"/>
      <w:lang w:eastAsia="sl-SI"/>
    </w:rPr>
  </w:style>
  <w:style w:type="character" w:customStyle="1" w:styleId="Sprotnaopomba-besediloZnak">
    <w:name w:val="Sprotna opomba - besedilo Znak"/>
    <w:basedOn w:val="Privzetapisavaodstavka"/>
    <w:link w:val="Sprotnaopomba-besedilo"/>
    <w:uiPriority w:val="99"/>
    <w:semiHidden/>
    <w:rsid w:val="00F4345F"/>
    <w:rPr>
      <w:rFonts w:ascii="Arial" w:eastAsia="Times New Roman" w:hAnsi="Arial" w:cs="Times New Roman"/>
      <w:sz w:val="20"/>
      <w:szCs w:val="20"/>
      <w:lang w:eastAsia="sl-SI"/>
    </w:rPr>
  </w:style>
  <w:style w:type="character" w:customStyle="1" w:styleId="OdstavekseznamaZnak">
    <w:name w:val="Odstavek seznama Znak"/>
    <w:aliases w:val="numbered list Znak"/>
    <w:link w:val="Odstavekseznama"/>
    <w:uiPriority w:val="34"/>
    <w:locked/>
    <w:rsid w:val="00F4345F"/>
    <w:rPr>
      <w:rFonts w:ascii="Arial" w:hAnsi="Arial" w:cs="Arial"/>
      <w:szCs w:val="16"/>
    </w:rPr>
  </w:style>
  <w:style w:type="paragraph" w:styleId="Odstavekseznama">
    <w:name w:val="List Paragraph"/>
    <w:aliases w:val="numbered list"/>
    <w:basedOn w:val="Navaden"/>
    <w:link w:val="OdstavekseznamaZnak"/>
    <w:uiPriority w:val="34"/>
    <w:qFormat/>
    <w:rsid w:val="00F4345F"/>
    <w:pPr>
      <w:overflowPunct w:val="0"/>
      <w:autoSpaceDE w:val="0"/>
      <w:autoSpaceDN w:val="0"/>
      <w:adjustRightInd w:val="0"/>
      <w:spacing w:line="240" w:lineRule="auto"/>
      <w:ind w:left="708"/>
      <w:jc w:val="both"/>
    </w:pPr>
    <w:rPr>
      <w:rFonts w:eastAsiaTheme="minorHAnsi" w:cs="Arial"/>
      <w:sz w:val="22"/>
      <w:szCs w:val="16"/>
    </w:rPr>
  </w:style>
  <w:style w:type="character" w:styleId="Sprotnaopomba-sklic">
    <w:name w:val="footnote reference"/>
    <w:basedOn w:val="Privzetapisavaodstavka"/>
    <w:uiPriority w:val="99"/>
    <w:semiHidden/>
    <w:unhideWhenUsed/>
    <w:rsid w:val="00F4345F"/>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927666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747</Words>
  <Characters>4262</Characters>
  <Application>Microsoft Office Word</Application>
  <DocSecurity>0</DocSecurity>
  <Lines>35</Lines>
  <Paragraphs>9</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5000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VRS</dc:creator>
  <cp:keywords/>
  <dc:description/>
  <cp:lastModifiedBy>Katja Pucihar</cp:lastModifiedBy>
  <cp:revision>2</cp:revision>
  <dcterms:created xsi:type="dcterms:W3CDTF">2025-05-13T09:09:00Z</dcterms:created>
  <dcterms:modified xsi:type="dcterms:W3CDTF">2025-05-13T09:09:00Z</dcterms:modified>
</cp:coreProperties>
</file>