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6556FD">
        <w:rPr>
          <w:rFonts w:cs="Arial"/>
          <w:color w:val="000000"/>
        </w:rPr>
        <w:t>2023-3130-0018</w:t>
      </w:r>
    </w:p>
    <w:p w:rsidR="009C657E" w:rsidRPr="002760DC" w:rsidRDefault="009C657E" w:rsidP="009C657E">
      <w:pPr>
        <w:pStyle w:val="datumtevilka"/>
      </w:pPr>
      <w:r w:rsidRPr="002760DC">
        <w:t xml:space="preserve">Številka: </w:t>
      </w:r>
      <w:r w:rsidRPr="002760DC">
        <w:tab/>
      </w:r>
      <w:r w:rsidR="006556FD">
        <w:rPr>
          <w:rFonts w:cs="Arial"/>
          <w:color w:val="000000"/>
        </w:rPr>
        <w:t>00704-307/2023/44</w:t>
      </w:r>
    </w:p>
    <w:p w:rsidR="009C657E" w:rsidRPr="002760DC" w:rsidRDefault="009C657E" w:rsidP="009C657E">
      <w:pPr>
        <w:pStyle w:val="datumtevilka"/>
      </w:pPr>
      <w:r>
        <w:t>Datum:</w:t>
      </w:r>
      <w:r w:rsidRPr="002760DC">
        <w:tab/>
      </w:r>
      <w:r w:rsidR="006556FD">
        <w:rPr>
          <w:rFonts w:cs="Arial"/>
          <w:color w:val="000000"/>
        </w:rPr>
        <w:t>25. 4. 2025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B23FCA" w:rsidRPr="007F4BD7" w:rsidRDefault="00B23FCA" w:rsidP="007F4BD7">
      <w:pPr>
        <w:autoSpaceDE w:val="0"/>
        <w:autoSpaceDN w:val="0"/>
        <w:adjustRightInd w:val="0"/>
        <w:ind w:left="709" w:hanging="709"/>
        <w:jc w:val="center"/>
        <w:rPr>
          <w:rFonts w:cs="Arial"/>
          <w:b/>
          <w:color w:val="000000"/>
          <w:szCs w:val="20"/>
        </w:rPr>
      </w:pPr>
      <w:r w:rsidRPr="007F4BD7">
        <w:rPr>
          <w:rFonts w:cs="Arial"/>
          <w:b/>
          <w:color w:val="000000"/>
          <w:szCs w:val="20"/>
        </w:rPr>
        <w:t>Predlog amandmajev k Predlogu zakona o javnih uslužbencih</w:t>
      </w:r>
    </w:p>
    <w:p w:rsidR="00B23FCA" w:rsidRDefault="00B23FCA" w:rsidP="006A1C16">
      <w:pPr>
        <w:tabs>
          <w:tab w:val="left" w:pos="7920"/>
        </w:tabs>
        <w:autoSpaceDE w:val="0"/>
        <w:autoSpaceDN w:val="0"/>
        <w:adjustRightInd w:val="0"/>
        <w:jc w:val="both"/>
        <w:rPr>
          <w:rFonts w:cs="Arial"/>
          <w:color w:val="000000"/>
          <w:szCs w:val="20"/>
        </w:rPr>
      </w:pPr>
    </w:p>
    <w:p w:rsidR="00B23FCA" w:rsidRPr="002760DC" w:rsidRDefault="00B23FCA" w:rsidP="006A1C16">
      <w:pPr>
        <w:tabs>
          <w:tab w:val="left" w:pos="7920"/>
        </w:tabs>
        <w:autoSpaceDE w:val="0"/>
        <w:autoSpaceDN w:val="0"/>
        <w:adjustRightInd w:val="0"/>
        <w:jc w:val="both"/>
        <w:rPr>
          <w:rFonts w:cs="Arial"/>
          <w:color w:val="000000"/>
          <w:szCs w:val="20"/>
        </w:rPr>
      </w:pPr>
    </w:p>
    <w:p w:rsidR="007F4BD7" w:rsidRDefault="007F4BD7" w:rsidP="007F4BD7">
      <w:pPr>
        <w:rPr>
          <w:rFonts w:cs="Arial"/>
          <w:szCs w:val="20"/>
        </w:rPr>
      </w:pPr>
    </w:p>
    <w:p w:rsidR="007F4BD7" w:rsidRDefault="007F4BD7" w:rsidP="007F4BD7">
      <w:pPr>
        <w:jc w:val="both"/>
        <w:rPr>
          <w:rFonts w:cs="Arial"/>
          <w:b/>
          <w:bCs/>
          <w:szCs w:val="20"/>
          <w:u w:val="single"/>
        </w:rPr>
      </w:pPr>
      <w:r>
        <w:rPr>
          <w:rFonts w:cs="Arial"/>
          <w:b/>
          <w:bCs/>
          <w:szCs w:val="20"/>
          <w:u w:val="single"/>
        </w:rPr>
        <w:t xml:space="preserve">K 67. členu: </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V 67. členu se tretji odstavek spremeni tako, da se glasi: </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»(3) Za kandidate, ki so na pisnem preizkusu iz prejšnjega odstavka dosegli najmanj 70 odstotkov točk, se opravi presoja temeljnih osebnih sposobnosti in veščin za opravljanje dela.«.</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Peti odstavek se spremeni tako, da se glasi: </w:t>
      </w:r>
    </w:p>
    <w:p w:rsidR="007F4BD7" w:rsidRDefault="007F4BD7" w:rsidP="007F4BD7">
      <w:pPr>
        <w:jc w:val="both"/>
        <w:rPr>
          <w:rFonts w:cs="Arial"/>
          <w:szCs w:val="20"/>
        </w:rPr>
      </w:pPr>
    </w:p>
    <w:p w:rsidR="007F4BD7" w:rsidRDefault="007F4BD7" w:rsidP="007F4BD7">
      <w:pPr>
        <w:pStyle w:val="Odstavek"/>
        <w:spacing w:before="0" w:line="260" w:lineRule="exact"/>
        <w:ind w:firstLine="0"/>
        <w:rPr>
          <w:rFonts w:cs="Arial"/>
          <w:sz w:val="20"/>
          <w:szCs w:val="20"/>
        </w:rPr>
      </w:pPr>
      <w:r>
        <w:rPr>
          <w:rFonts w:cs="Arial"/>
          <w:szCs w:val="20"/>
        </w:rPr>
        <w:t>»</w:t>
      </w:r>
      <w:r>
        <w:rPr>
          <w:rFonts w:cs="Arial"/>
          <w:sz w:val="20"/>
          <w:szCs w:val="20"/>
        </w:rPr>
        <w:t>(5) Izbirni postopek pri centru za kadre se zaključi s seznamom kandidatov, ki so dosegli najmanj 70 odstotkov točk na pisnem preizkusu iz drugega odstavka tega člena in ki opravijo presojo temeljnih osebnih sposobnosti in veščin za opravljanje dela. Seznam kandidatov se skupaj s prijavami teh kandidatov in poročilom o presoji temeljnih osebnih sposobnosti in veščin za opravljanje dela posreduje organu, za katerega center za kadre izvaja prvi del izbirnega postopka. Organ v drugem delu izbirnega postopka izraženost temeljnih osebnih sposobnosti in veščin za opravljanje dela določi kot merilo za izbiro.«.</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u w:val="single"/>
        </w:rPr>
      </w:pPr>
      <w:r>
        <w:rPr>
          <w:rFonts w:cs="Arial"/>
          <w:sz w:val="20"/>
          <w:szCs w:val="20"/>
          <w:u w:val="single"/>
        </w:rPr>
        <w:t xml:space="preserve">Obrazložitev amandmaja k 67. členu: </w:t>
      </w:r>
    </w:p>
    <w:p w:rsidR="007F4BD7" w:rsidRDefault="007F4BD7" w:rsidP="007F4BD7">
      <w:pPr>
        <w:jc w:val="both"/>
        <w:rPr>
          <w:rFonts w:cs="Arial"/>
          <w:szCs w:val="20"/>
        </w:rPr>
      </w:pPr>
      <w:r>
        <w:rPr>
          <w:rFonts w:cs="Arial"/>
          <w:szCs w:val="20"/>
        </w:rPr>
        <w:t>Sprememba tretjega odstavka pomeni terminološko poenotenje.</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V petem odstavku se predlaga sprememba, in sicer da organ v drugem delu izbirnega postopka določi kot merilo za izbiro izraženost temeljnih osebnih sposobnosti in veščin za opravljanje dela, torej vseh in ne samo »vsaj eno od.« Temeljne kompetence so temeljni način želenega delovanja zaposlenih v državni upravi ne glede na to, na katerem delovnem mestu kdo dela. Kot temeljne so opredeljene naslednje štiri kompetence: zavezanost strokovnosti, krepitev sodelovanja, proaktivno delovanje in osredotočenost na uporabnika. Temeljne kompetence veljajo za vse zaposlene v državni upravi in so osnova za selekcijo, presojanje in razvoj vseh zaposlenih. Za nekatere zaposlene so to tudi edine kompetence, ki se pri njih spremljajo in razvijajo. Ker bo center za kadre testiral vse temeljne kompetence, ki so med seboj tudi prepletene, menimo, da je treba tudi v drugem delu izbirnega postopka upoštevati vse štiri, pri čemer se bo lahko v merilih določilo, katere kompetence so na določenem delovnem mestu pomembnejše in posledično višje točkovane.  </w:t>
      </w:r>
    </w:p>
    <w:p w:rsidR="007F4BD7" w:rsidRDefault="007F4BD7" w:rsidP="007F4BD7">
      <w:pPr>
        <w:jc w:val="both"/>
        <w:rPr>
          <w:rFonts w:cs="Arial"/>
          <w:szCs w:val="20"/>
        </w:rPr>
      </w:pPr>
    </w:p>
    <w:p w:rsidR="007F4BD7" w:rsidRDefault="007F4BD7" w:rsidP="007F4BD7">
      <w:pPr>
        <w:jc w:val="both"/>
        <w:rPr>
          <w:rFonts w:cs="Arial"/>
          <w:b/>
          <w:bCs/>
          <w:szCs w:val="20"/>
          <w:u w:val="single"/>
        </w:rPr>
      </w:pPr>
      <w:r>
        <w:rPr>
          <w:rFonts w:cs="Arial"/>
          <w:b/>
          <w:bCs/>
          <w:szCs w:val="20"/>
          <w:u w:val="single"/>
        </w:rPr>
        <w:t xml:space="preserve">K 96. členu: </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V 96. členu se črta šesti odstavek.</w:t>
      </w:r>
    </w:p>
    <w:p w:rsidR="007F4BD7" w:rsidRDefault="007F4BD7" w:rsidP="007F4BD7">
      <w:pPr>
        <w:jc w:val="both"/>
        <w:rPr>
          <w:rFonts w:cs="Arial"/>
          <w:b/>
          <w:bCs/>
          <w:szCs w:val="20"/>
          <w:u w:val="single"/>
        </w:rPr>
      </w:pPr>
    </w:p>
    <w:p w:rsidR="007F4BD7" w:rsidRDefault="007F4BD7" w:rsidP="007F4BD7">
      <w:pPr>
        <w:jc w:val="both"/>
        <w:rPr>
          <w:rFonts w:cs="Arial"/>
          <w:b/>
          <w:bCs/>
          <w:szCs w:val="20"/>
          <w:u w:val="single"/>
        </w:rPr>
      </w:pPr>
      <w:r>
        <w:rPr>
          <w:rFonts w:cs="Arial"/>
          <w:szCs w:val="20"/>
          <w:u w:val="single"/>
        </w:rPr>
        <w:t>Obrazložitev amandmaja k 96. členu:</w:t>
      </w:r>
    </w:p>
    <w:p w:rsidR="007F4BD7" w:rsidRDefault="007F4BD7" w:rsidP="007F4BD7">
      <w:pPr>
        <w:jc w:val="both"/>
        <w:rPr>
          <w:rFonts w:cs="Arial"/>
          <w:b/>
          <w:bCs/>
          <w:szCs w:val="20"/>
          <w:u w:val="single"/>
        </w:rPr>
      </w:pPr>
      <w:r>
        <w:rPr>
          <w:rFonts w:cs="Arial"/>
          <w:szCs w:val="20"/>
        </w:rPr>
        <w:t xml:space="preserve">Amandma sledi pripombi Zakonodajno pravne službe, ki izpostavlja ustavno načelo enakosti v razmerju do javnih uslužbencev v primerljivem nazivu oziroma delovnem mestu. </w:t>
      </w:r>
    </w:p>
    <w:p w:rsidR="007F4BD7" w:rsidRDefault="007F4BD7" w:rsidP="007F4BD7">
      <w:pPr>
        <w:spacing w:after="160" w:line="256" w:lineRule="auto"/>
        <w:rPr>
          <w:rFonts w:cs="Arial"/>
          <w:szCs w:val="20"/>
        </w:rPr>
      </w:pPr>
    </w:p>
    <w:p w:rsidR="007F4BD7" w:rsidRDefault="007F4BD7" w:rsidP="007F4BD7">
      <w:pPr>
        <w:jc w:val="both"/>
        <w:rPr>
          <w:rFonts w:cs="Arial"/>
          <w:b/>
          <w:bCs/>
          <w:szCs w:val="20"/>
          <w:u w:val="single"/>
        </w:rPr>
      </w:pPr>
      <w:bookmarkStart w:id="1" w:name="_Hlk196333788"/>
      <w:r>
        <w:rPr>
          <w:rFonts w:cs="Arial"/>
          <w:b/>
          <w:bCs/>
          <w:szCs w:val="20"/>
          <w:u w:val="single"/>
        </w:rPr>
        <w:t>K 111. členu:</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Besedilo 111. člena se spremeni tako, da se glasi:</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lang w:eastAsia="sl-SI"/>
        </w:rPr>
      </w:pPr>
      <w:bookmarkStart w:id="2" w:name="_Hlk196224439"/>
      <w:r>
        <w:rPr>
          <w:rFonts w:cs="Arial"/>
          <w:sz w:val="20"/>
          <w:szCs w:val="20"/>
          <w:lang w:eastAsia="sl-SI"/>
        </w:rPr>
        <w:t xml:space="preserve">»(1) Najpozneje osem delovnih dni preden javni uslužbenec začne opravljati drugo dejavnost, namenjeno pridobivanju dohodka ali premoženjske koristi (v nadaljnjem besedilu: druga dejavnost), mora o tem obvestiti predstojnika. </w:t>
      </w:r>
    </w:p>
    <w:p w:rsidR="007F4BD7" w:rsidRDefault="007F4BD7" w:rsidP="007F4BD7">
      <w:pPr>
        <w:pStyle w:val="Odstavek"/>
        <w:spacing w:before="0" w:line="260" w:lineRule="exact"/>
        <w:ind w:firstLine="0"/>
        <w:rPr>
          <w:rFonts w:cs="Arial"/>
          <w:sz w:val="20"/>
          <w:szCs w:val="20"/>
          <w:lang w:eastAsia="sl-SI"/>
        </w:rPr>
      </w:pPr>
    </w:p>
    <w:p w:rsidR="007F4BD7" w:rsidRDefault="007F4BD7" w:rsidP="007F4BD7">
      <w:pPr>
        <w:pStyle w:val="Odstavek"/>
        <w:spacing w:before="0" w:line="260" w:lineRule="exact"/>
        <w:ind w:firstLine="0"/>
        <w:rPr>
          <w:rFonts w:cs="Arial"/>
          <w:sz w:val="20"/>
          <w:szCs w:val="20"/>
          <w:lang w:eastAsia="sl-SI"/>
        </w:rPr>
      </w:pPr>
      <w:r>
        <w:rPr>
          <w:rFonts w:cs="Arial"/>
          <w:sz w:val="20"/>
          <w:szCs w:val="20"/>
          <w:lang w:eastAsia="sl-SI"/>
        </w:rPr>
        <w:t>(2) Predstojnik po prejemu obvestila iz prejšnjega odstavka javnemu uslužbencu s sklepom prepove opravljanje druge dejavnosti, če oceni, da:</w:t>
      </w:r>
    </w:p>
    <w:p w:rsidR="007F4BD7" w:rsidRDefault="007F4BD7" w:rsidP="007F4BD7">
      <w:pPr>
        <w:pStyle w:val="tevilnatoka"/>
        <w:numPr>
          <w:ilvl w:val="0"/>
          <w:numId w:val="3"/>
        </w:numPr>
        <w:tabs>
          <w:tab w:val="left" w:pos="708"/>
        </w:tabs>
        <w:spacing w:line="260" w:lineRule="exact"/>
        <w:rPr>
          <w:sz w:val="20"/>
          <w:szCs w:val="20"/>
        </w:rPr>
      </w:pPr>
      <w:r>
        <w:rPr>
          <w:sz w:val="20"/>
          <w:szCs w:val="20"/>
        </w:rPr>
        <w:t xml:space="preserve">je dejavnost v nasprotju s konkurenčno prepovedjo ali konkurenčno klavzulo po zakonu, ki ureja delovna razmerja; </w:t>
      </w:r>
    </w:p>
    <w:p w:rsidR="007F4BD7" w:rsidRDefault="007F4BD7" w:rsidP="007F4BD7">
      <w:pPr>
        <w:pStyle w:val="tevilnatoka"/>
        <w:numPr>
          <w:ilvl w:val="0"/>
          <w:numId w:val="3"/>
        </w:numPr>
        <w:tabs>
          <w:tab w:val="left" w:pos="708"/>
        </w:tabs>
        <w:spacing w:line="260" w:lineRule="exact"/>
        <w:rPr>
          <w:sz w:val="20"/>
          <w:szCs w:val="20"/>
        </w:rPr>
      </w:pPr>
      <w:r>
        <w:rPr>
          <w:sz w:val="20"/>
          <w:szCs w:val="20"/>
        </w:rPr>
        <w:t xml:space="preserve">bi opravljanje dejavnosti lahko vplivalo na nepristransko opravljanje dela; </w:t>
      </w:r>
    </w:p>
    <w:p w:rsidR="007F4BD7" w:rsidRDefault="007F4BD7" w:rsidP="007F4BD7">
      <w:pPr>
        <w:pStyle w:val="tevilnatoka"/>
        <w:numPr>
          <w:ilvl w:val="0"/>
          <w:numId w:val="3"/>
        </w:numPr>
        <w:tabs>
          <w:tab w:val="left" w:pos="708"/>
        </w:tabs>
        <w:spacing w:line="260" w:lineRule="exact"/>
        <w:rPr>
          <w:sz w:val="20"/>
          <w:szCs w:val="20"/>
        </w:rPr>
      </w:pPr>
      <w:r>
        <w:rPr>
          <w:sz w:val="20"/>
          <w:szCs w:val="20"/>
        </w:rPr>
        <w:t xml:space="preserve">bi pri opravljanju dejavnosti lahko zlorabil informacije, do katerih ima dostop pri opravljanju nalog v službi in ki niso javno dostopne; </w:t>
      </w:r>
    </w:p>
    <w:p w:rsidR="007F4BD7" w:rsidRDefault="007F4BD7" w:rsidP="007F4BD7">
      <w:pPr>
        <w:pStyle w:val="tevilnatoka"/>
        <w:numPr>
          <w:ilvl w:val="0"/>
          <w:numId w:val="3"/>
        </w:numPr>
        <w:tabs>
          <w:tab w:val="left" w:pos="708"/>
        </w:tabs>
        <w:spacing w:line="260" w:lineRule="exact"/>
        <w:rPr>
          <w:sz w:val="20"/>
          <w:szCs w:val="20"/>
        </w:rPr>
      </w:pPr>
      <w:r>
        <w:rPr>
          <w:sz w:val="20"/>
          <w:szCs w:val="20"/>
        </w:rPr>
        <w:t xml:space="preserve">je opravljanje dejavnosti v škodo ugledu organa. </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(3) Dolžnost obveščanja iz prvega odstavka tega člena ne velja za:</w:t>
      </w:r>
    </w:p>
    <w:p w:rsidR="007F4BD7" w:rsidRDefault="007F4BD7" w:rsidP="007F4BD7">
      <w:pPr>
        <w:pStyle w:val="Odstavek"/>
        <w:numPr>
          <w:ilvl w:val="0"/>
          <w:numId w:val="4"/>
        </w:numPr>
        <w:spacing w:before="0" w:line="260" w:lineRule="exact"/>
        <w:rPr>
          <w:rFonts w:cs="Arial"/>
          <w:strike/>
          <w:sz w:val="20"/>
          <w:szCs w:val="20"/>
        </w:rPr>
      </w:pPr>
      <w:r>
        <w:rPr>
          <w:rFonts w:cs="Arial"/>
          <w:sz w:val="20"/>
          <w:szCs w:val="20"/>
        </w:rPr>
        <w:t>delo v kulturnih, umetniških, športnih, humanitarnih in drugih podobnih društvih ter organizacijah, ki opravljajo dejavnosti, katerih cilj ni pridobivanje dobička;</w:t>
      </w:r>
    </w:p>
    <w:p w:rsidR="007F4BD7" w:rsidRDefault="007F4BD7" w:rsidP="007F4BD7">
      <w:pPr>
        <w:pStyle w:val="Odstavek"/>
        <w:numPr>
          <w:ilvl w:val="0"/>
          <w:numId w:val="4"/>
        </w:numPr>
        <w:spacing w:before="0" w:line="260" w:lineRule="exact"/>
        <w:rPr>
          <w:rFonts w:cs="Arial"/>
          <w:strike/>
          <w:sz w:val="20"/>
          <w:szCs w:val="20"/>
        </w:rPr>
      </w:pPr>
      <w:r>
        <w:rPr>
          <w:rFonts w:cs="Arial"/>
          <w:sz w:val="20"/>
          <w:szCs w:val="20"/>
        </w:rPr>
        <w:t>vodenje kmetije;</w:t>
      </w:r>
    </w:p>
    <w:p w:rsidR="007F4BD7" w:rsidRDefault="007F4BD7" w:rsidP="007F4BD7">
      <w:pPr>
        <w:pStyle w:val="Odstavek"/>
        <w:numPr>
          <w:ilvl w:val="0"/>
          <w:numId w:val="4"/>
        </w:numPr>
        <w:spacing w:before="0" w:line="260" w:lineRule="exact"/>
        <w:rPr>
          <w:rFonts w:cs="Arial"/>
          <w:strike/>
          <w:sz w:val="20"/>
          <w:szCs w:val="20"/>
        </w:rPr>
      </w:pPr>
      <w:r>
        <w:rPr>
          <w:rFonts w:cs="Arial"/>
          <w:sz w:val="20"/>
          <w:szCs w:val="20"/>
        </w:rPr>
        <w:t>upravljanje z lastnim premoženjem;</w:t>
      </w:r>
    </w:p>
    <w:p w:rsidR="007F4BD7" w:rsidRDefault="007F4BD7" w:rsidP="007F4BD7">
      <w:pPr>
        <w:pStyle w:val="Odstavek"/>
        <w:numPr>
          <w:ilvl w:val="0"/>
          <w:numId w:val="4"/>
        </w:numPr>
        <w:spacing w:before="0" w:line="260" w:lineRule="exact"/>
        <w:rPr>
          <w:rFonts w:cs="Arial"/>
          <w:strike/>
          <w:sz w:val="20"/>
          <w:szCs w:val="20"/>
        </w:rPr>
      </w:pPr>
      <w:r>
        <w:rPr>
          <w:rFonts w:cs="Arial"/>
          <w:sz w:val="20"/>
          <w:szCs w:val="20"/>
        </w:rPr>
        <w:t xml:space="preserve">delovanje v političnih strankah. </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(4) Uradnik iz drugega odstavka 91. člena tega zakona ne sme opravljati drugih dejavnosti, razen:</w:t>
      </w:r>
    </w:p>
    <w:p w:rsidR="007F4BD7" w:rsidRDefault="007F4BD7" w:rsidP="007F4BD7">
      <w:pPr>
        <w:pStyle w:val="Odstavek"/>
        <w:numPr>
          <w:ilvl w:val="0"/>
          <w:numId w:val="5"/>
        </w:numPr>
        <w:spacing w:before="0" w:line="260" w:lineRule="exact"/>
        <w:rPr>
          <w:rFonts w:cs="Arial"/>
          <w:sz w:val="20"/>
          <w:szCs w:val="20"/>
        </w:rPr>
      </w:pPr>
      <w:r>
        <w:rPr>
          <w:rFonts w:cs="Arial"/>
          <w:sz w:val="20"/>
          <w:szCs w:val="20"/>
        </w:rPr>
        <w:t>znanstvene, raziskovalne, pedagoške, publicistične, kulturne, umetniške športne, humanitarne in druge podobne dejavnosti;</w:t>
      </w:r>
    </w:p>
    <w:p w:rsidR="007F4BD7" w:rsidRDefault="007F4BD7" w:rsidP="007F4BD7">
      <w:pPr>
        <w:pStyle w:val="Odstavek"/>
        <w:numPr>
          <w:ilvl w:val="0"/>
          <w:numId w:val="5"/>
        </w:numPr>
        <w:spacing w:before="0" w:line="260" w:lineRule="exact"/>
        <w:rPr>
          <w:rFonts w:cs="Arial"/>
          <w:sz w:val="20"/>
          <w:szCs w:val="20"/>
        </w:rPr>
      </w:pPr>
      <w:r>
        <w:rPr>
          <w:rFonts w:cs="Arial"/>
          <w:sz w:val="20"/>
          <w:szCs w:val="20"/>
        </w:rPr>
        <w:t>dela v kulturnih, umetniških, športnih, humanitarnih in drugih podobnih društvih ter organizacijah, ki opravljajo dejavnosti, katerih cilj ni pridobivanje dobička;</w:t>
      </w:r>
    </w:p>
    <w:p w:rsidR="007F4BD7" w:rsidRDefault="007F4BD7" w:rsidP="007F4BD7">
      <w:pPr>
        <w:pStyle w:val="Odstavek"/>
        <w:numPr>
          <w:ilvl w:val="0"/>
          <w:numId w:val="5"/>
        </w:numPr>
        <w:spacing w:before="0" w:line="260" w:lineRule="exact"/>
        <w:rPr>
          <w:rFonts w:cs="Arial"/>
          <w:sz w:val="20"/>
          <w:szCs w:val="20"/>
        </w:rPr>
      </w:pPr>
      <w:r>
        <w:rPr>
          <w:rFonts w:cs="Arial"/>
          <w:sz w:val="20"/>
          <w:szCs w:val="20"/>
        </w:rPr>
        <w:t>dela sodnega izvedenca, sodnega cenilca, sodnega tolmača oziroma mediatorja;</w:t>
      </w:r>
    </w:p>
    <w:p w:rsidR="007F4BD7" w:rsidRDefault="007F4BD7" w:rsidP="007F4BD7">
      <w:pPr>
        <w:pStyle w:val="Odstavek"/>
        <w:numPr>
          <w:ilvl w:val="0"/>
          <w:numId w:val="5"/>
        </w:numPr>
        <w:spacing w:before="0" w:line="260" w:lineRule="exact"/>
        <w:rPr>
          <w:rFonts w:cs="Arial"/>
          <w:sz w:val="20"/>
          <w:szCs w:val="20"/>
        </w:rPr>
      </w:pPr>
      <w:r>
        <w:rPr>
          <w:rFonts w:cs="Arial"/>
          <w:sz w:val="20"/>
          <w:szCs w:val="20"/>
        </w:rPr>
        <w:t>vodenja kmetije;</w:t>
      </w:r>
    </w:p>
    <w:p w:rsidR="007F4BD7" w:rsidRDefault="007F4BD7" w:rsidP="007F4BD7">
      <w:pPr>
        <w:pStyle w:val="Odstavek"/>
        <w:numPr>
          <w:ilvl w:val="0"/>
          <w:numId w:val="5"/>
        </w:numPr>
        <w:spacing w:before="0" w:line="260" w:lineRule="exact"/>
        <w:rPr>
          <w:rFonts w:cs="Arial"/>
          <w:sz w:val="20"/>
          <w:szCs w:val="20"/>
        </w:rPr>
      </w:pPr>
      <w:r>
        <w:rPr>
          <w:rFonts w:cs="Arial"/>
          <w:sz w:val="20"/>
          <w:szCs w:val="20"/>
        </w:rPr>
        <w:t>upravljanja z lastnim premoženjem;</w:t>
      </w:r>
    </w:p>
    <w:p w:rsidR="007F4BD7" w:rsidRDefault="007F4BD7" w:rsidP="007F4BD7">
      <w:pPr>
        <w:pStyle w:val="Odstavek"/>
        <w:numPr>
          <w:ilvl w:val="0"/>
          <w:numId w:val="5"/>
        </w:numPr>
        <w:spacing w:before="0" w:line="260" w:lineRule="exact"/>
        <w:rPr>
          <w:rFonts w:cs="Arial"/>
          <w:sz w:val="20"/>
          <w:szCs w:val="20"/>
        </w:rPr>
      </w:pPr>
      <w:r>
        <w:rPr>
          <w:rFonts w:cs="Arial"/>
          <w:sz w:val="20"/>
          <w:szCs w:val="20"/>
        </w:rPr>
        <w:t>delovanja v političnih strankah.</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(5) V primeru iz 1. in 3. točke prejšnjega odstavka mora uradnik iz drugega odstavka 91. člena tega zakona, n</w:t>
      </w:r>
      <w:r>
        <w:rPr>
          <w:rFonts w:cs="Arial"/>
          <w:sz w:val="20"/>
          <w:szCs w:val="20"/>
          <w:lang w:eastAsia="sl-SI"/>
        </w:rPr>
        <w:t>ajpozneje osem delovnih dni preden začne opravljati drugo dejavnost, o tem obvestiti predstojnika</w:t>
      </w:r>
      <w:r>
        <w:rPr>
          <w:rFonts w:cs="Arial"/>
          <w:sz w:val="20"/>
          <w:szCs w:val="20"/>
        </w:rPr>
        <w:t>. Predstojnik s sklepom prepove opravljanje druge dejavnosti, če oceni, da obstajajo razlogi iz drugega odstavka tega člena.</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 xml:space="preserve">(6) Če želi javni uslužbenec oziroma uradnik iz drugega odstavka 91. člena tega zakona opravljati znanstveno, raziskovalno, pedagoško in publicistično dejavnost na področju, na katerem opravlja delo in naloge v skladu s pogodbo o zaposlitvi, mora pred začetkom opravljanja dejavnosti pridobiti soglasje predstojnika. Predstojnik zavrne izdajo soglasja, če oceni, da obstajajo razlogi iz drugega odstavka tega člena. </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(7) Pravne osebe, v katerih ima uradnik na položaju iz prejšnjega odstavka ali njegov zakonec, otroci, posvojenci, starši, posvojitelji, bratje, sestre in osebe, ki s posameznikom živijo v skupnem gospodinjstvu ali v zunajzakonski skupnosti več kot 5% delež, ne smejo poslovati z organom, v katerem uradnik dela. Pogodba, sklenjena v nasprotju s prejšnjim stavkom, je nična.«.</w:t>
      </w:r>
    </w:p>
    <w:bookmarkEnd w:id="2"/>
    <w:p w:rsidR="007F4BD7" w:rsidRDefault="007F4BD7" w:rsidP="007F4BD7">
      <w:pPr>
        <w:pStyle w:val="Odstavek"/>
        <w:spacing w:before="0" w:line="260" w:lineRule="exact"/>
        <w:ind w:firstLine="0"/>
        <w:rPr>
          <w:rFonts w:cs="Arial"/>
          <w:color w:val="0070C0"/>
          <w:sz w:val="20"/>
          <w:szCs w:val="20"/>
        </w:rPr>
      </w:pPr>
    </w:p>
    <w:p w:rsidR="007F4BD7" w:rsidRDefault="007F4BD7" w:rsidP="007F4BD7">
      <w:pPr>
        <w:jc w:val="both"/>
        <w:rPr>
          <w:b/>
          <w:bCs/>
          <w:u w:val="single"/>
        </w:rPr>
      </w:pPr>
      <w:r>
        <w:rPr>
          <w:b/>
          <w:bCs/>
          <w:u w:val="single"/>
        </w:rPr>
        <w:t xml:space="preserve">Obrazložitev amandmaja k 111. členu: </w:t>
      </w:r>
    </w:p>
    <w:p w:rsidR="007F4BD7" w:rsidRDefault="007F4BD7" w:rsidP="007F4BD7">
      <w:pPr>
        <w:jc w:val="both"/>
      </w:pPr>
    </w:p>
    <w:p w:rsidR="007F4BD7" w:rsidRDefault="007F4BD7" w:rsidP="007F4BD7">
      <w:pPr>
        <w:jc w:val="both"/>
      </w:pPr>
      <w:r>
        <w:lastRenderedPageBreak/>
        <w:t>Amandma sledi pripombi Zakonodajno pravne službe. Predlog člena na bolj jasen način opredeli različne možnosti glede opravljanja drugih dejavnosti, ki so opredeljene kot dejavnosti, namenjene pridobivanju dohodka ali premoženjske koristi.</w:t>
      </w:r>
    </w:p>
    <w:p w:rsidR="007F4BD7" w:rsidRDefault="007F4BD7" w:rsidP="007F4BD7">
      <w:pPr>
        <w:jc w:val="both"/>
      </w:pPr>
    </w:p>
    <w:p w:rsidR="007F4BD7" w:rsidRDefault="007F4BD7" w:rsidP="007F4BD7">
      <w:pPr>
        <w:jc w:val="both"/>
      </w:pPr>
      <w:r>
        <w:t xml:space="preserve">V prvem odstavku se natančno definira pojem druge dejavnosti po zgledu prvega odstavka 26. člena Zakona o integriteti in preprečevanju korupcije (Uradni list RS, št. 69/11 – uradno prečiščeno besedilo, 158/20, 3/22 – </w:t>
      </w:r>
      <w:proofErr w:type="spellStart"/>
      <w:r>
        <w:t>ZDeb</w:t>
      </w:r>
      <w:proofErr w:type="spellEnd"/>
      <w:r>
        <w:t xml:space="preserve"> in 16/23 – </w:t>
      </w:r>
      <w:proofErr w:type="spellStart"/>
      <w:r>
        <w:t>ZZPri</w:t>
      </w:r>
      <w:proofErr w:type="spellEnd"/>
      <w:r>
        <w:t>) in določa obveznost obveščanja za vsakršno opravljanje druge dejavnosti, ki nima posebne ureditve v nadaljnjih odstavkih tega člena.</w:t>
      </w:r>
    </w:p>
    <w:p w:rsidR="007F4BD7" w:rsidRDefault="007F4BD7" w:rsidP="007F4BD7">
      <w:pPr>
        <w:jc w:val="both"/>
      </w:pPr>
    </w:p>
    <w:p w:rsidR="007F4BD7" w:rsidRDefault="007F4BD7" w:rsidP="007F4BD7">
      <w:pPr>
        <w:jc w:val="both"/>
      </w:pPr>
      <w:r>
        <w:t>Drugi odstavek ostaja nespremenjen glede na besedilo predloga zakona, sprejeto na Odboru za notranje zadeve, javno upravo in lokalno samoupravo.</w:t>
      </w:r>
    </w:p>
    <w:p w:rsidR="007F4BD7" w:rsidRDefault="007F4BD7" w:rsidP="007F4BD7">
      <w:pPr>
        <w:jc w:val="both"/>
      </w:pPr>
    </w:p>
    <w:p w:rsidR="007F4BD7" w:rsidRDefault="007F4BD7" w:rsidP="007F4BD7">
      <w:pPr>
        <w:jc w:val="both"/>
        <w:rPr>
          <w:rFonts w:cs="Arial"/>
          <w:szCs w:val="20"/>
        </w:rPr>
      </w:pPr>
      <w:r>
        <w:t xml:space="preserve">V tretjem odstavku so taksativno naštete izjeme od splošne dolžnosti obveščanja iz prvega odstavka tega člena. </w:t>
      </w:r>
      <w:r>
        <w:rPr>
          <w:rFonts w:cs="Arial"/>
          <w:szCs w:val="20"/>
        </w:rPr>
        <w:t>Skupno tem dejavnostim je, da predstavlja njihovo opravljanje širši javni interes oziroma gre pri upravljanju z lastnim premoženjem in vodenju kmetije za izrazito osebni dejavnosti, ki ju tudi zaradi zmanjšanja administrativnih bremen, ni smiselno umestiti med dejavnosti za katere velja splošna dolžnost obveščanja.</w:t>
      </w:r>
      <w:r>
        <w:t xml:space="preserve"> Določa se, da dolžnost obveščanja ne velja za </w:t>
      </w:r>
      <w:r>
        <w:rPr>
          <w:rFonts w:cs="Arial"/>
          <w:szCs w:val="20"/>
        </w:rPr>
        <w:t>delo v kulturnih, umetniških, športnih, humanitarnih in drugih podobnih društvih in nepridobitnih organizacijah, vodenje kmetije ali upravljanje z lastnim premoženjem ter za delovanje v političnih strankah. Kot organizacije so razumljene vse nepridobitne pravnoorganizacijske oblike, ki pomenijo formalno organizirano združevanje, ki je urejeno z zakonom in ima pravno sposobnost biti subjekt pravic in obveznosti.</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V četrtem odstavku je urejena posebna ureditev za uradnike na položajih generalnega sekretarja in generalnega direktorja v ministrstvu, direktorja organa v sestavi in vladne službe, načelnika upravne enote, in direktorja uprave lokalne skupnosti oziroma tajnika občine. Zanje velja absolutna prepoved opravljanja drugih dejavnosti razen taksativno naštetih izjem. </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Zaradi pomenske jasnosti je v izogib morebitnim neželenim prepovedim opravljanja druge dejavnosti, ločeno zapisano znanstvena, raziskovalna, pedagoška, publicistična, kulturna, umetniška, športna in humanitarna dejavnost kot vrsta druge dejavnosti in posebej še vsakršno delo, ki se ga opravlja za kulturna, umetniška, športna, humanitarna in druga podobna društva in nepridobitne organizacije, saj gre lahko za različne vrste druge dejavnosti (npr. opravljanje administrativnih nalog v kulturnem društvu bi lahko ne predstavljalo kulturnega dela, a hkrati ne obstaja utemeljen razlog za razlikovanje med tem delom in kulturnim delom).</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V petem odstavku se smiselno ponovi ureditev iz drugega in tretjega odstavka, ki velja za javne uslužbence, tako da velja tudi za uradnike iz drugega odstavka 91. člena tega zakona in sicer, da morajo </w:t>
      </w:r>
      <w:r>
        <w:rPr>
          <w:rFonts w:cs="Arial"/>
          <w:szCs w:val="20"/>
          <w:lang w:eastAsia="sl-SI"/>
        </w:rPr>
        <w:t>najpozneje osem delovnih dni preden začnejo opravljati drugo dejavnost v skladu s prejšnjim odstavkom, o tem obvestiti predstojnika</w:t>
      </w:r>
      <w:r>
        <w:rPr>
          <w:rFonts w:cs="Arial"/>
          <w:szCs w:val="20"/>
        </w:rPr>
        <w:t>. Predstojnik s sklepom prepove opravljanje druge dejavnosti, če oceni, da obstajajo razlogi iz drugega odstavka tega člena.</w:t>
      </w:r>
      <w:r>
        <w:rPr>
          <w:rFonts w:cs="Arial"/>
          <w:szCs w:val="20"/>
          <w:lang w:eastAsia="sl-SI"/>
        </w:rPr>
        <w:t xml:space="preserve"> </w:t>
      </w:r>
      <w:r>
        <w:rPr>
          <w:rFonts w:cs="Arial"/>
          <w:szCs w:val="20"/>
        </w:rPr>
        <w:t>Dolžnost obveščanja ne velja za dejavnosti iz 2., 4., 5. in 6. točke četrtega odstavka tega člena, kot to velja tudi za javne uslužbence.</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V šestem odstavku je urejena dolžnost pridobitve soglasja za javne uslužbence oziroma uradnike iz drugega odstavka 91. člena tega zakona pred pričetkom opravljanja znanstvene, raziskovalne, pedagoške in publicistične dejavnosti na področju, na katerem opravlja delo in naloge v skladu s pogodbo o zaposlitvi. Predstojnik zavrne izdajo soglasja, če oceni, da obstajajo razlogi iz drugega odstavka tega člena. Sklep mora biti obrazložen.</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Sedmi odstavek je preštevilčen deveti odstavek na odboru sprejetega člena.</w:t>
      </w:r>
    </w:p>
    <w:bookmarkEnd w:id="1"/>
    <w:p w:rsidR="007F4BD7" w:rsidRDefault="007F4BD7" w:rsidP="007F4BD7">
      <w:pPr>
        <w:jc w:val="both"/>
      </w:pPr>
    </w:p>
    <w:p w:rsidR="007F4BD7" w:rsidRDefault="007F4BD7" w:rsidP="007F4BD7">
      <w:pPr>
        <w:jc w:val="both"/>
        <w:rPr>
          <w:rFonts w:cs="Arial"/>
          <w:b/>
          <w:bCs/>
          <w:szCs w:val="20"/>
          <w:u w:val="single"/>
        </w:rPr>
      </w:pPr>
      <w:r>
        <w:rPr>
          <w:rFonts w:cs="Arial"/>
          <w:b/>
          <w:bCs/>
          <w:szCs w:val="20"/>
          <w:u w:val="single"/>
        </w:rPr>
        <w:lastRenderedPageBreak/>
        <w:t>K 149. členu:</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V 149. členu se drugi odstavek spremeni tako, da se glasi: </w:t>
      </w:r>
    </w:p>
    <w:p w:rsidR="007F4BD7" w:rsidRDefault="007F4BD7" w:rsidP="007F4BD7">
      <w:pPr>
        <w:jc w:val="both"/>
        <w:rPr>
          <w:rFonts w:cs="Arial"/>
          <w:szCs w:val="20"/>
        </w:rPr>
      </w:pPr>
    </w:p>
    <w:p w:rsidR="007F4BD7" w:rsidRDefault="007F4BD7" w:rsidP="007F4BD7">
      <w:pPr>
        <w:pStyle w:val="Odstavek"/>
        <w:spacing w:before="0" w:line="260" w:lineRule="exact"/>
        <w:ind w:firstLine="0"/>
        <w:rPr>
          <w:rFonts w:cs="Arial"/>
          <w:sz w:val="20"/>
          <w:szCs w:val="20"/>
        </w:rPr>
      </w:pPr>
      <w:r>
        <w:rPr>
          <w:rFonts w:cs="Arial"/>
          <w:szCs w:val="20"/>
        </w:rPr>
        <w:t>»</w:t>
      </w:r>
      <w:r>
        <w:rPr>
          <w:rFonts w:cs="Arial"/>
          <w:sz w:val="20"/>
          <w:szCs w:val="20"/>
        </w:rPr>
        <w:t>(2) Javni uslužbenec je na podlagi dogovora oziroma dogovorov iz prejšnjega odstavka lahko odsoten največ 6 let brez možnosti podaljšanja, razen v primeru, ko je dogovor sklenjen zaradi  izvolitve oziroma imenovanja na funkcijo ali pridobitve položaja iz drugega odstavka 91. člena tega zakona, ko se odsotnost lahko podaljša.«.</w:t>
      </w:r>
    </w:p>
    <w:p w:rsidR="007F4BD7" w:rsidRDefault="007F4BD7" w:rsidP="007F4BD7">
      <w:pPr>
        <w:jc w:val="both"/>
        <w:rPr>
          <w:rFonts w:cs="Arial"/>
          <w:szCs w:val="20"/>
        </w:rPr>
      </w:pPr>
    </w:p>
    <w:p w:rsidR="007F4BD7" w:rsidRDefault="007F4BD7" w:rsidP="007F4BD7">
      <w:pPr>
        <w:pStyle w:val="Odstavek"/>
        <w:spacing w:before="0" w:line="260" w:lineRule="exact"/>
        <w:ind w:firstLine="0"/>
        <w:rPr>
          <w:rFonts w:cs="Arial"/>
          <w:sz w:val="20"/>
          <w:szCs w:val="20"/>
          <w:u w:val="single"/>
        </w:rPr>
      </w:pPr>
      <w:r>
        <w:rPr>
          <w:rFonts w:cs="Arial"/>
          <w:sz w:val="20"/>
          <w:szCs w:val="20"/>
          <w:u w:val="single"/>
        </w:rPr>
        <w:t xml:space="preserve">Obrazložitev amandmaja k 149. členu: </w:t>
      </w:r>
    </w:p>
    <w:p w:rsidR="007F4BD7" w:rsidRDefault="007F4BD7" w:rsidP="007F4BD7">
      <w:pPr>
        <w:jc w:val="both"/>
        <w:rPr>
          <w:rFonts w:cs="Arial"/>
          <w:szCs w:val="20"/>
        </w:rPr>
      </w:pPr>
      <w:r>
        <w:rPr>
          <w:rFonts w:cs="Arial"/>
          <w:szCs w:val="20"/>
        </w:rPr>
        <w:t>Z amandmajem se jasneje določa možnost, da se lahko dogovori tudi verižijo, pri čemer ostaja splošna omejitev začasne odsotnosti največ 6 let. Dodani pa sta izjemi, ko je dogovor sklenjen zaradi  izvolitve oziroma imenovanja na funkcijo ali pridobitve položaja iz drugega odstavka 91. člena tega zakona. V primeru, da mandat na funkciji oziroma na položaju iz drugega odstavka 91. člena tega zakona preseže splošno omejitev 6 let, se dogovor o začasni odsotnosti javnega uslužbenca in njegovi pravici do vrnitve podaljša čez splošno omejitev 6 let.</w:t>
      </w:r>
    </w:p>
    <w:p w:rsidR="007F4BD7" w:rsidRDefault="007F4BD7" w:rsidP="007F4BD7">
      <w:pPr>
        <w:jc w:val="both"/>
        <w:rPr>
          <w:rFonts w:cs="Arial"/>
          <w:szCs w:val="20"/>
        </w:rPr>
      </w:pPr>
    </w:p>
    <w:p w:rsidR="007F4BD7" w:rsidRDefault="007F4BD7" w:rsidP="007F4BD7">
      <w:pPr>
        <w:jc w:val="both"/>
        <w:rPr>
          <w:rFonts w:cs="Arial"/>
          <w:b/>
          <w:bCs/>
          <w:szCs w:val="20"/>
          <w:u w:val="single"/>
        </w:rPr>
      </w:pPr>
      <w:r>
        <w:rPr>
          <w:rFonts w:cs="Arial"/>
          <w:b/>
          <w:bCs/>
          <w:szCs w:val="20"/>
          <w:u w:val="single"/>
        </w:rPr>
        <w:t xml:space="preserve">K 160. členu: </w:t>
      </w:r>
    </w:p>
    <w:p w:rsidR="007F4BD7" w:rsidRDefault="007F4BD7" w:rsidP="007F4BD7">
      <w:pPr>
        <w:jc w:val="both"/>
        <w:rPr>
          <w:rFonts w:cs="Arial"/>
          <w:b/>
          <w:bCs/>
          <w:szCs w:val="20"/>
          <w:u w:val="single"/>
        </w:rPr>
      </w:pPr>
    </w:p>
    <w:p w:rsidR="007F4BD7" w:rsidRDefault="007F4BD7" w:rsidP="007F4BD7">
      <w:pPr>
        <w:pStyle w:val="Odstavek"/>
        <w:spacing w:before="0" w:line="260" w:lineRule="exact"/>
        <w:ind w:firstLine="0"/>
        <w:rPr>
          <w:rFonts w:cs="Arial"/>
          <w:sz w:val="20"/>
          <w:szCs w:val="20"/>
        </w:rPr>
      </w:pPr>
      <w:r>
        <w:rPr>
          <w:rFonts w:cs="Arial"/>
          <w:sz w:val="20"/>
          <w:szCs w:val="20"/>
        </w:rPr>
        <w:t>Besedilo 160. člena se spremeni tako, da se glasi:</w:t>
      </w:r>
    </w:p>
    <w:p w:rsidR="007F4BD7" w:rsidRDefault="007F4BD7" w:rsidP="007F4BD7">
      <w:pPr>
        <w:pStyle w:val="Odstavek"/>
        <w:spacing w:before="0" w:line="260" w:lineRule="exact"/>
        <w:ind w:firstLine="0"/>
        <w:rPr>
          <w:rFonts w:cs="Arial"/>
          <w:sz w:val="20"/>
          <w:szCs w:val="20"/>
        </w:rPr>
      </w:pPr>
    </w:p>
    <w:p w:rsidR="007F4BD7" w:rsidRDefault="007F4BD7" w:rsidP="007F4BD7">
      <w:pPr>
        <w:pStyle w:val="Odstavek"/>
        <w:spacing w:before="0" w:line="260" w:lineRule="exact"/>
        <w:ind w:firstLine="0"/>
        <w:rPr>
          <w:rFonts w:cs="Arial"/>
          <w:sz w:val="20"/>
          <w:szCs w:val="20"/>
        </w:rPr>
      </w:pPr>
      <w:r>
        <w:rPr>
          <w:rFonts w:cs="Arial"/>
          <w:sz w:val="20"/>
          <w:szCs w:val="20"/>
        </w:rPr>
        <w:t>»(1) Z globo od 500 eurov do 2.000 eurov se kaznuje za prekršek predstojnik ali pooblaščena oseba v državnem organu ali upravi lokalne skupnosti, če:</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sklene pogodbo o zaposlitvi oziroma sprejme odločitev, ki zagotavlja javnemu uslužbencu manj ali več pravic, kot je to določeno z zakonom ali s kolektivno pogodbo (tretji odstavek 16.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ne sprejme sistemizacije oziroma če pri vsakem delovnem mestu v sistemizaciji ne določi najmanj opisa nalog in pogojev za zasedbo delovnega mesta (prvi odstavek 20.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javnemu uslužbencu ne izda in vroči obrazložen pisni sklep (prvi odstavek 23.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krši pravila socialnega partnerstva iz tretjega, četrtega ali petega odstavka 27. člena tega zakona;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krši pristojnost za določitev sistemizacije v državnih organih in v upravah lokalnih skupnosti (41. člen) ali k sistemizaciji organa državne uprave  ne pridobi soglasje vlade (drugi odstavek 42.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z javnim uslužbencem ne sklene pogodbe o zaposlitvi oziroma ne ravna s kadri v skladu s kadrovskim načrtom (prvi odstavek 43.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ne sprejme kadrovskega načrta (prvi odstavek 45.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javnemu uslužbencu ne omogoči pridobitve podatkov, ki se nanašajo nanj, iz centralne kadrovske evidence, oziroma mu ne omogoči pridobitve podatkov o kadrovskih potrebah iz evidence internega trga dela (tretji odstavek 52.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sklene pogodbo o zaposlitvi za delovno mesto, ki ni sistemizirano v sistemizaciji (prvi odstavek 58.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sklene pogodbo o zaposlitvi za uradniško delovno mesto brez predhodno izvedenega javnega natečaja (deveti odstavek 61.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v javnem natečaju objavi pogoje za opravljanje dela, ki niso v skladu z zakonom, podzakonskim predpisom, kolektivno pogodbo in sistemizacijo (3. točka prvega odstavka 64. člen);</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uvrsti v izbirni postopek kandidata, ki pošlje prepozno ali nepopolno prijavo ali na podlagi predloženih dokazil ne izpolnjuje natečajnih pogojev (prvi odstavek 65.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natečajnega postopka ne vodi za to pooblaščeni javni uslužbenec ali imenovana natečajna komisija (tretji odstavek 66.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izbere kandidata, ki se v izbirnem postopku ni izkazal kot najbolj strokovno usposobljen za uradniško delovno mesto (prvi odstavek 70.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lastRenderedPageBreak/>
        <w:t xml:space="preserve">sklene pogodbo o zaposlitvi za določen čas v nasprotju s prvim odstavkom 76. člena tega zakona ali če ostane javni uslužbenec na delovnem mestu tudi po poteku časa iz 77. člena tega zakona ali če z javnim uslužbencem, ki sklene pogodbo o zaposlitvi za določen čas, sklene pogodbo o zaposlitvi za nedoločen čas na uradniškem delovnem mestu brez javnega natečaja (drugi odstavek 79. člena); </w:t>
      </w:r>
    </w:p>
    <w:p w:rsidR="007F4BD7" w:rsidRDefault="007F4BD7" w:rsidP="007F4BD7">
      <w:pPr>
        <w:pStyle w:val="tevilnatoka"/>
        <w:numPr>
          <w:ilvl w:val="0"/>
          <w:numId w:val="6"/>
        </w:numPr>
        <w:tabs>
          <w:tab w:val="left" w:pos="708"/>
        </w:tabs>
        <w:spacing w:line="260" w:lineRule="exact"/>
        <w:rPr>
          <w:sz w:val="20"/>
          <w:szCs w:val="20"/>
        </w:rPr>
      </w:pPr>
      <w:r>
        <w:rPr>
          <w:sz w:val="20"/>
          <w:szCs w:val="20"/>
        </w:rPr>
        <w:t>javnega uslužbenca, ki ima sklenjeno pogodbo o zaposlitvi za določen čas, premesti na drugo delovno mesto (prvi odstavek 79.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imenuje vršilca dolžnosti v nasprotju z devetim in desetim odstavkom 92. člena tega zakona;</w:t>
      </w:r>
    </w:p>
    <w:p w:rsidR="007F4BD7" w:rsidRDefault="007F4BD7" w:rsidP="007F4BD7">
      <w:pPr>
        <w:pStyle w:val="tevilnatoka"/>
        <w:numPr>
          <w:ilvl w:val="0"/>
          <w:numId w:val="6"/>
        </w:numPr>
        <w:tabs>
          <w:tab w:val="left" w:pos="708"/>
        </w:tabs>
        <w:spacing w:line="260" w:lineRule="exact"/>
        <w:rPr>
          <w:sz w:val="20"/>
          <w:szCs w:val="20"/>
        </w:rPr>
      </w:pPr>
      <w:r>
        <w:rPr>
          <w:sz w:val="20"/>
          <w:szCs w:val="20"/>
        </w:rPr>
        <w:t>odredi delo izven opisa delovnega mesta v nasprotju s 106. členom tega zakona;</w:t>
      </w:r>
    </w:p>
    <w:p w:rsidR="007F4BD7" w:rsidRDefault="007F4BD7" w:rsidP="007F4BD7">
      <w:pPr>
        <w:pStyle w:val="tevilnatoka"/>
        <w:numPr>
          <w:ilvl w:val="0"/>
          <w:numId w:val="6"/>
        </w:numPr>
        <w:tabs>
          <w:tab w:val="left" w:pos="708"/>
        </w:tabs>
        <w:spacing w:line="260" w:lineRule="exact"/>
        <w:rPr>
          <w:sz w:val="20"/>
          <w:szCs w:val="20"/>
        </w:rPr>
      </w:pPr>
      <w:r>
        <w:rPr>
          <w:sz w:val="20"/>
          <w:szCs w:val="20"/>
        </w:rPr>
        <w:t>odredi dodatno delo v interesu delodajalca oziroma odredi opravljanje dela v projektni ali delovni skupini v nasprotju s 108. in 109. členom tega zakona;</w:t>
      </w:r>
    </w:p>
    <w:p w:rsidR="007F4BD7" w:rsidRDefault="007F4BD7" w:rsidP="007F4BD7">
      <w:pPr>
        <w:pStyle w:val="tevilnatoka"/>
        <w:numPr>
          <w:ilvl w:val="0"/>
          <w:numId w:val="6"/>
        </w:numPr>
        <w:tabs>
          <w:tab w:val="left" w:pos="708"/>
        </w:tabs>
        <w:spacing w:line="260" w:lineRule="exact"/>
        <w:rPr>
          <w:sz w:val="20"/>
          <w:szCs w:val="20"/>
        </w:rPr>
      </w:pPr>
      <w:r>
        <w:rPr>
          <w:sz w:val="20"/>
          <w:szCs w:val="20"/>
        </w:rPr>
        <w:t>javnega uslužbenca premesti na delovno mesto, za katero ne izpolnjuje predpisanih pogojev in ga ni sposoben opravljati (prvi odstavek 132. člena);</w:t>
      </w:r>
    </w:p>
    <w:p w:rsidR="007F4BD7" w:rsidRDefault="007F4BD7" w:rsidP="007F4BD7">
      <w:pPr>
        <w:pStyle w:val="tevilnatoka"/>
        <w:numPr>
          <w:ilvl w:val="0"/>
          <w:numId w:val="6"/>
        </w:numPr>
        <w:tabs>
          <w:tab w:val="left" w:pos="708"/>
        </w:tabs>
        <w:spacing w:line="260" w:lineRule="exact"/>
        <w:rPr>
          <w:sz w:val="20"/>
          <w:szCs w:val="20"/>
        </w:rPr>
      </w:pPr>
      <w:r>
        <w:rPr>
          <w:sz w:val="20"/>
          <w:szCs w:val="20"/>
        </w:rPr>
        <w:t>javnega uslužbenca premesti na drugo delovno mesto v nasprotju s 133. členom tega zakona;</w:t>
      </w:r>
    </w:p>
    <w:p w:rsidR="007F4BD7" w:rsidRDefault="007F4BD7" w:rsidP="007F4BD7">
      <w:pPr>
        <w:pStyle w:val="tevilnatoka"/>
        <w:numPr>
          <w:ilvl w:val="0"/>
          <w:numId w:val="6"/>
        </w:numPr>
        <w:tabs>
          <w:tab w:val="left" w:pos="708"/>
        </w:tabs>
        <w:spacing w:line="260" w:lineRule="exact"/>
        <w:rPr>
          <w:sz w:val="20"/>
          <w:szCs w:val="20"/>
        </w:rPr>
      </w:pPr>
      <w:r>
        <w:rPr>
          <w:sz w:val="20"/>
          <w:szCs w:val="20"/>
        </w:rPr>
        <w:t xml:space="preserve">ne seznani reprezentativnega sindikata v organu s spremembo akta oziroma aktov o notranji organizaciji in sistemizaciji delovnih mest in z obrazložitvijo iz četrtega odstavka 141. člena tega zakona (prvi stavek šestega odstavka 141. člena). </w:t>
      </w:r>
    </w:p>
    <w:p w:rsidR="007F4BD7" w:rsidRDefault="007F4BD7" w:rsidP="007F4BD7">
      <w:pPr>
        <w:pStyle w:val="tevilnatoka"/>
        <w:numPr>
          <w:ilvl w:val="0"/>
          <w:numId w:val="0"/>
        </w:numPr>
        <w:tabs>
          <w:tab w:val="left" w:pos="708"/>
        </w:tabs>
        <w:spacing w:line="260" w:lineRule="exact"/>
        <w:rPr>
          <w:sz w:val="20"/>
          <w:szCs w:val="20"/>
        </w:rPr>
      </w:pPr>
    </w:p>
    <w:p w:rsidR="007F4BD7" w:rsidRDefault="007F4BD7" w:rsidP="007F4BD7">
      <w:pPr>
        <w:pStyle w:val="tevilnatoka"/>
        <w:numPr>
          <w:ilvl w:val="0"/>
          <w:numId w:val="0"/>
        </w:numPr>
        <w:tabs>
          <w:tab w:val="left" w:pos="708"/>
        </w:tabs>
        <w:spacing w:line="260" w:lineRule="exact"/>
        <w:rPr>
          <w:sz w:val="20"/>
          <w:szCs w:val="20"/>
        </w:rPr>
      </w:pPr>
      <w:r>
        <w:rPr>
          <w:sz w:val="20"/>
          <w:szCs w:val="20"/>
        </w:rPr>
        <w:t>(2) Z globo od 500 eurov do 2.000 eurov se kaznuje za prekršek odgovorna oseba poslovodnega organa javne agencije, javnega sklada, javnega zavoda ali javnega gospodarskega zavoda, če:</w:t>
      </w:r>
    </w:p>
    <w:p w:rsidR="007F4BD7" w:rsidRDefault="007F4BD7" w:rsidP="007F4BD7">
      <w:pPr>
        <w:pStyle w:val="tevilnatoka"/>
        <w:numPr>
          <w:ilvl w:val="0"/>
          <w:numId w:val="7"/>
        </w:numPr>
        <w:tabs>
          <w:tab w:val="left" w:pos="708"/>
        </w:tabs>
        <w:spacing w:line="260" w:lineRule="exact"/>
        <w:rPr>
          <w:sz w:val="20"/>
          <w:szCs w:val="20"/>
        </w:rPr>
      </w:pPr>
      <w:r>
        <w:rPr>
          <w:sz w:val="20"/>
          <w:szCs w:val="20"/>
        </w:rPr>
        <w:t>sklene pogodbo o zaposlitvi oziroma sprejme odločitev, ki zagotavlja javnemu uslužbencu manj ali več pravic, kot je to določeno z zakonom ali s kolektivno pogodbo (tretji odstavek 16. člena);</w:t>
      </w:r>
    </w:p>
    <w:p w:rsidR="007F4BD7" w:rsidRDefault="007F4BD7" w:rsidP="007F4BD7">
      <w:pPr>
        <w:pStyle w:val="tevilnatoka"/>
        <w:numPr>
          <w:ilvl w:val="0"/>
          <w:numId w:val="7"/>
        </w:numPr>
        <w:tabs>
          <w:tab w:val="left" w:pos="708"/>
        </w:tabs>
        <w:spacing w:line="260" w:lineRule="exact"/>
        <w:rPr>
          <w:sz w:val="20"/>
          <w:szCs w:val="20"/>
        </w:rPr>
      </w:pPr>
      <w:r>
        <w:rPr>
          <w:sz w:val="20"/>
          <w:szCs w:val="20"/>
        </w:rPr>
        <w:t xml:space="preserve">ne sprejme sistemizacije oziroma če pri vsakem delovnem mestu v sistemizaciji ne določi najmanj opisa nalog in pogojev za zasedbo delovnega mesta (prvi odstavek 20. člena); </w:t>
      </w:r>
    </w:p>
    <w:p w:rsidR="007F4BD7" w:rsidRDefault="007F4BD7" w:rsidP="007F4BD7">
      <w:pPr>
        <w:pStyle w:val="tevilnatoka"/>
        <w:numPr>
          <w:ilvl w:val="0"/>
          <w:numId w:val="7"/>
        </w:numPr>
        <w:tabs>
          <w:tab w:val="left" w:pos="708"/>
        </w:tabs>
        <w:spacing w:line="260" w:lineRule="exact"/>
        <w:rPr>
          <w:sz w:val="20"/>
          <w:szCs w:val="20"/>
        </w:rPr>
      </w:pPr>
      <w:r>
        <w:rPr>
          <w:sz w:val="20"/>
          <w:szCs w:val="20"/>
        </w:rPr>
        <w:t>ne sprejme kadrovskega načrta (drugi odstavek 21. člena).</w:t>
      </w:r>
    </w:p>
    <w:p w:rsidR="007F4BD7" w:rsidRDefault="007F4BD7" w:rsidP="007F4BD7">
      <w:pPr>
        <w:pStyle w:val="tevilnatoka"/>
        <w:numPr>
          <w:ilvl w:val="0"/>
          <w:numId w:val="0"/>
        </w:numPr>
        <w:tabs>
          <w:tab w:val="left" w:pos="708"/>
        </w:tabs>
        <w:spacing w:line="260" w:lineRule="exact"/>
        <w:ind w:right="560"/>
        <w:rPr>
          <w:sz w:val="20"/>
          <w:szCs w:val="20"/>
        </w:rPr>
      </w:pPr>
    </w:p>
    <w:p w:rsidR="007F4BD7" w:rsidRDefault="007F4BD7" w:rsidP="007F4BD7">
      <w:pPr>
        <w:pStyle w:val="tevilnatoka"/>
        <w:numPr>
          <w:ilvl w:val="0"/>
          <w:numId w:val="0"/>
        </w:numPr>
        <w:tabs>
          <w:tab w:val="left" w:pos="708"/>
        </w:tabs>
        <w:spacing w:line="260" w:lineRule="exact"/>
        <w:rPr>
          <w:sz w:val="20"/>
          <w:szCs w:val="20"/>
        </w:rPr>
      </w:pPr>
      <w:r>
        <w:rPr>
          <w:sz w:val="20"/>
          <w:szCs w:val="20"/>
        </w:rPr>
        <w:t xml:space="preserve">(3) Z globo 500 eurov se za prekršek kaznuje predstojnik ali pooblaščena oseba v državnem organu ali upravi lokalne skupnosti ali odgovorna oseba poslovodnega organa javne agencije, javnega sklada, javnega zavoda ali javnega gospodarskega zavoda, če:  </w:t>
      </w:r>
    </w:p>
    <w:p w:rsidR="007F4BD7" w:rsidRDefault="007F4BD7" w:rsidP="007F4BD7">
      <w:pPr>
        <w:pStyle w:val="tevilnatoka"/>
        <w:numPr>
          <w:ilvl w:val="0"/>
          <w:numId w:val="0"/>
        </w:numPr>
        <w:tabs>
          <w:tab w:val="left" w:pos="708"/>
        </w:tabs>
        <w:spacing w:line="260" w:lineRule="exact"/>
        <w:rPr>
          <w:sz w:val="20"/>
          <w:szCs w:val="20"/>
        </w:rPr>
      </w:pPr>
      <w:r>
        <w:rPr>
          <w:sz w:val="20"/>
          <w:szCs w:val="20"/>
        </w:rPr>
        <w:t>1.  ovira ali onemogoči vstop inšpektorja v prostore, ne omogoči inšpektorju ustreznih pogojev za delo ali ne zagotovi dostopa do dokumentacije, potrebne za izvedbo inšpekcijskega nadzora (prvi in drugi odstavek 157. člena tega zakona);</w:t>
      </w:r>
    </w:p>
    <w:p w:rsidR="007F4BD7" w:rsidRDefault="007F4BD7" w:rsidP="007F4BD7">
      <w:pPr>
        <w:pStyle w:val="tevilnatoka"/>
        <w:numPr>
          <w:ilvl w:val="0"/>
          <w:numId w:val="0"/>
        </w:numPr>
        <w:tabs>
          <w:tab w:val="left" w:pos="708"/>
        </w:tabs>
        <w:spacing w:line="260" w:lineRule="exact"/>
        <w:rPr>
          <w:sz w:val="20"/>
          <w:szCs w:val="20"/>
        </w:rPr>
      </w:pPr>
      <w:r>
        <w:rPr>
          <w:sz w:val="20"/>
          <w:szCs w:val="20"/>
        </w:rPr>
        <w:t>2.  ne spoštuje odrejenih ukrepov inšpektorja (prvi odstavek 159. člena tega zakona).«.</w:t>
      </w:r>
    </w:p>
    <w:p w:rsidR="007F4BD7" w:rsidRDefault="007F4BD7" w:rsidP="007F4BD7">
      <w:pPr>
        <w:jc w:val="both"/>
        <w:rPr>
          <w:rFonts w:cs="Arial"/>
          <w:szCs w:val="20"/>
          <w:u w:val="single"/>
        </w:rPr>
      </w:pPr>
    </w:p>
    <w:p w:rsidR="007F4BD7" w:rsidRDefault="007F4BD7" w:rsidP="007F4BD7">
      <w:pPr>
        <w:jc w:val="both"/>
        <w:rPr>
          <w:rFonts w:cs="Arial"/>
          <w:szCs w:val="20"/>
          <w:u w:val="single"/>
        </w:rPr>
      </w:pPr>
      <w:r>
        <w:rPr>
          <w:rFonts w:cs="Arial"/>
          <w:szCs w:val="20"/>
          <w:u w:val="single"/>
        </w:rPr>
        <w:t>Obrazložitev amandmaja k 160. členu:</w:t>
      </w:r>
    </w:p>
    <w:p w:rsidR="007F4BD7" w:rsidRDefault="007F4BD7" w:rsidP="007F4BD7">
      <w:pPr>
        <w:jc w:val="both"/>
        <w:rPr>
          <w:rFonts w:cs="Arial"/>
          <w:szCs w:val="20"/>
        </w:rPr>
      </w:pPr>
      <w:r>
        <w:rPr>
          <w:rFonts w:cs="Arial"/>
          <w:szCs w:val="20"/>
        </w:rPr>
        <w:t>Amandma je redakcijske narave.</w:t>
      </w:r>
    </w:p>
    <w:p w:rsidR="007F4BD7" w:rsidRDefault="007F4BD7" w:rsidP="007F4BD7">
      <w:pPr>
        <w:jc w:val="both"/>
        <w:rPr>
          <w:rFonts w:cs="Arial"/>
          <w:szCs w:val="20"/>
        </w:rPr>
      </w:pPr>
    </w:p>
    <w:p w:rsidR="007F4BD7" w:rsidRDefault="007F4BD7" w:rsidP="007F4BD7">
      <w:pPr>
        <w:jc w:val="both"/>
        <w:rPr>
          <w:rFonts w:cs="Arial"/>
          <w:szCs w:val="20"/>
        </w:rPr>
      </w:pPr>
    </w:p>
    <w:p w:rsidR="007F4BD7" w:rsidRDefault="007F4BD7" w:rsidP="007F4BD7">
      <w:pPr>
        <w:jc w:val="both"/>
        <w:rPr>
          <w:rFonts w:cs="Arial"/>
          <w:b/>
          <w:bCs/>
          <w:szCs w:val="20"/>
          <w:u w:val="single"/>
        </w:rPr>
      </w:pPr>
      <w:r>
        <w:rPr>
          <w:rFonts w:cs="Arial"/>
          <w:b/>
          <w:bCs/>
          <w:szCs w:val="20"/>
          <w:u w:val="single"/>
        </w:rPr>
        <w:t>K novem 183.a členu / v povezavi s 111. členom :</w:t>
      </w:r>
    </w:p>
    <w:p w:rsidR="007F4BD7" w:rsidRDefault="007F4BD7" w:rsidP="007F4BD7">
      <w:pPr>
        <w:jc w:val="both"/>
        <w:rPr>
          <w:rFonts w:cs="Arial"/>
          <w:szCs w:val="20"/>
        </w:rPr>
      </w:pPr>
    </w:p>
    <w:p w:rsidR="007F4BD7" w:rsidRDefault="007F4BD7" w:rsidP="007F4BD7">
      <w:pPr>
        <w:jc w:val="center"/>
        <w:rPr>
          <w:rFonts w:cs="Arial"/>
          <w:szCs w:val="20"/>
        </w:rPr>
      </w:pPr>
      <w:r>
        <w:rPr>
          <w:rFonts w:cs="Arial"/>
          <w:szCs w:val="20"/>
        </w:rPr>
        <w:t>»183.a člen</w:t>
      </w:r>
    </w:p>
    <w:p w:rsidR="007F4BD7" w:rsidRDefault="007F4BD7" w:rsidP="007F4BD7">
      <w:pPr>
        <w:jc w:val="center"/>
        <w:rPr>
          <w:rFonts w:cs="Arial"/>
          <w:szCs w:val="20"/>
        </w:rPr>
      </w:pPr>
      <w:r>
        <w:rPr>
          <w:rFonts w:cs="Arial"/>
          <w:szCs w:val="20"/>
        </w:rPr>
        <w:t>(opravljanje drugih dejavnosti)</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(1) Javni uslužbenci, ki na dan začetka uporabe tega zakona opravljajo dejavnosti na podlagi 100. člena ZJU, morajo v treh mesecih od začetka uporabe tega zakona v skladu s prvim odstavkom 111. člena tega zakona obvestiti predstojnika, da opravljajo drugo dejavnost.</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 xml:space="preserve">(2) Uradniki iz drugega odstavka 91. člena tega zakona, ki na dan začetka uporabe tega zakona opravljajo dejavnosti na podlagi 100. člena ZJU, morajo v treh mesecih od začetka uporabe tega </w:t>
      </w:r>
      <w:r>
        <w:rPr>
          <w:rFonts w:cs="Arial"/>
          <w:szCs w:val="20"/>
        </w:rPr>
        <w:lastRenderedPageBreak/>
        <w:t>zakona v skladu s petim odstavkom 111. člena tega zakona obvestiti predstojnika, da opravljajo drugo dejavnost.</w:t>
      </w:r>
    </w:p>
    <w:p w:rsidR="007F4BD7" w:rsidRDefault="007F4BD7" w:rsidP="007F4BD7">
      <w:pPr>
        <w:jc w:val="both"/>
        <w:rPr>
          <w:rFonts w:cs="Arial"/>
          <w:szCs w:val="20"/>
        </w:rPr>
      </w:pPr>
    </w:p>
    <w:p w:rsidR="007F4BD7" w:rsidRDefault="007F4BD7" w:rsidP="007F4BD7">
      <w:pPr>
        <w:jc w:val="both"/>
        <w:rPr>
          <w:rFonts w:cs="Arial"/>
          <w:szCs w:val="20"/>
        </w:rPr>
      </w:pPr>
      <w:r>
        <w:rPr>
          <w:rFonts w:cs="Arial"/>
          <w:szCs w:val="20"/>
        </w:rPr>
        <w:t>(3) Javni uslužbenci oziroma uradniki iz drugega odstavka 91. člena tega zakona, ki na dan začetka uporabe tega zakona opravljajo znanstveno, raziskovalno, pedagoško in publicistično delo na področju, na katerem opravljajo delo in naloge v skladu s pogodbo o zaposlitvi, morajo v treh mesecih od začetka uporabe tega zakona v skladu s šestim odstavkom 111. člena tega zakona pridobiti soglasje predstojnika.«.</w:t>
      </w:r>
    </w:p>
    <w:p w:rsidR="007F4BD7" w:rsidRDefault="007F4BD7" w:rsidP="007F4BD7">
      <w:pPr>
        <w:rPr>
          <w:rFonts w:cs="Arial"/>
          <w:szCs w:val="20"/>
        </w:rPr>
      </w:pPr>
    </w:p>
    <w:p w:rsidR="007F4BD7" w:rsidRDefault="007F4BD7" w:rsidP="007F4BD7">
      <w:pPr>
        <w:jc w:val="both"/>
        <w:rPr>
          <w:rFonts w:cs="Arial"/>
          <w:szCs w:val="20"/>
          <w:u w:val="single"/>
        </w:rPr>
      </w:pPr>
      <w:bookmarkStart w:id="3" w:name="_Hlk196228270"/>
      <w:r>
        <w:rPr>
          <w:rFonts w:cs="Arial"/>
          <w:szCs w:val="20"/>
          <w:u w:val="single"/>
        </w:rPr>
        <w:t>Obrazložitev amandmaja k 183.a členu:</w:t>
      </w:r>
    </w:p>
    <w:p w:rsidR="007F4BD7" w:rsidRDefault="007F4BD7" w:rsidP="007F4BD7">
      <w:r>
        <w:t>Amandma se predlaga zaradi spremembe določbe 111. člena s katero se usklajuje 183.a člen.</w:t>
      </w:r>
      <w:bookmarkEnd w:id="3"/>
    </w:p>
    <w:p w:rsidR="007F4BD7" w:rsidRDefault="007F4BD7" w:rsidP="007F4BD7">
      <w:pPr>
        <w:rPr>
          <w:rFonts w:cs="Arial"/>
          <w:szCs w:val="20"/>
        </w:rPr>
      </w:pPr>
    </w:p>
    <w:p w:rsidR="007E1230" w:rsidRDefault="007E1230" w:rsidP="007F4BD7">
      <w:pPr>
        <w:tabs>
          <w:tab w:val="left" w:pos="5570"/>
        </w:tabs>
        <w:autoSpaceDE w:val="0"/>
        <w:autoSpaceDN w:val="0"/>
        <w:adjustRightInd w:val="0"/>
        <w:jc w:val="both"/>
        <w:rPr>
          <w:rFonts w:cs="Arial"/>
          <w:color w:val="000000"/>
          <w:szCs w:val="20"/>
        </w:rPr>
      </w:pPr>
      <w:bookmarkStart w:id="4" w:name="_GoBack"/>
      <w:bookmarkEnd w:id="4"/>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630A" w:rsidRDefault="00A9630A" w:rsidP="00767987">
      <w:pPr>
        <w:spacing w:line="240" w:lineRule="auto"/>
      </w:pPr>
      <w:r>
        <w:separator/>
      </w:r>
    </w:p>
  </w:endnote>
  <w:endnote w:type="continuationSeparator" w:id="0">
    <w:p w:rsidR="00A9630A" w:rsidRDefault="00A9630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DF2" w:rsidRDefault="00AB7DF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DF2" w:rsidRDefault="00AB7DF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DF2" w:rsidRDefault="00AB7DF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630A" w:rsidRDefault="00A9630A" w:rsidP="00767987">
      <w:pPr>
        <w:spacing w:line="240" w:lineRule="auto"/>
      </w:pPr>
      <w:r>
        <w:separator/>
      </w:r>
    </w:p>
  </w:footnote>
  <w:footnote w:type="continuationSeparator" w:id="0">
    <w:p w:rsidR="00A9630A" w:rsidRDefault="00A9630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DF2" w:rsidRDefault="00AB7DF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DF2" w:rsidRDefault="00AB7DF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85A2F"/>
    <w:multiLevelType w:val="hybridMultilevel"/>
    <w:tmpl w:val="31F0509C"/>
    <w:lvl w:ilvl="0" w:tplc="F2BE164C">
      <w:start w:val="1"/>
      <w:numFmt w:val="decimal"/>
      <w:lvlText w:val="%1."/>
      <w:lvlJc w:val="left"/>
      <w:pPr>
        <w:ind w:left="720" w:hanging="360"/>
      </w:pPr>
      <w:rPr>
        <w:strike w:val="0"/>
        <w:dstrike w:val="0"/>
        <w:u w:val="none"/>
        <w:effect w:val="no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4A8E732F"/>
    <w:multiLevelType w:val="hybridMultilevel"/>
    <w:tmpl w:val="2750AE4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 w15:restartNumberingAfterBreak="0">
    <w:nsid w:val="56BD6405"/>
    <w:multiLevelType w:val="hybridMultilevel"/>
    <w:tmpl w:val="E02C776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5B690446"/>
    <w:multiLevelType w:val="hybridMultilevel"/>
    <w:tmpl w:val="9EEA114A"/>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 w15:restartNumberingAfterBreak="0">
    <w:nsid w:val="6C624185"/>
    <w:multiLevelType w:val="hybridMultilevel"/>
    <w:tmpl w:val="8D4285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6"/>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lvlOverride w:ilvl="2"/>
    <w:lvlOverride w:ilvl="3"/>
    <w:lvlOverride w:ilvl="4"/>
    <w:lvlOverride w:ilvl="5"/>
    <w:lvlOverride w:ilvl="6"/>
    <w:lvlOverride w:ilvl="7"/>
    <w:lvlOverride w:ilvl="8"/>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66636"/>
    <w:rsid w:val="00367DE6"/>
    <w:rsid w:val="003B3E19"/>
    <w:rsid w:val="004076C6"/>
    <w:rsid w:val="00457A58"/>
    <w:rsid w:val="004B7F76"/>
    <w:rsid w:val="004E1BCE"/>
    <w:rsid w:val="00592079"/>
    <w:rsid w:val="00594080"/>
    <w:rsid w:val="006556FD"/>
    <w:rsid w:val="00682FFE"/>
    <w:rsid w:val="00684751"/>
    <w:rsid w:val="006A1C16"/>
    <w:rsid w:val="006C69EC"/>
    <w:rsid w:val="007039D0"/>
    <w:rsid w:val="00767987"/>
    <w:rsid w:val="00782FD4"/>
    <w:rsid w:val="007E1230"/>
    <w:rsid w:val="007F4BD7"/>
    <w:rsid w:val="00811140"/>
    <w:rsid w:val="00904A48"/>
    <w:rsid w:val="00980294"/>
    <w:rsid w:val="009C5392"/>
    <w:rsid w:val="009C657E"/>
    <w:rsid w:val="00A16E6F"/>
    <w:rsid w:val="00A50E4B"/>
    <w:rsid w:val="00A56EFB"/>
    <w:rsid w:val="00A9231D"/>
    <w:rsid w:val="00A9630A"/>
    <w:rsid w:val="00AB7DF2"/>
    <w:rsid w:val="00AD3BB3"/>
    <w:rsid w:val="00B23FCA"/>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OdstavekZnak">
    <w:name w:val="Odstavek Znak"/>
    <w:link w:val="Odstavek"/>
    <w:locked/>
    <w:rsid w:val="007F4BD7"/>
    <w:rPr>
      <w:rFonts w:ascii="Arial" w:eastAsia="Times New Roman" w:hAnsi="Arial" w:cs="Times New Roman"/>
    </w:rPr>
  </w:style>
  <w:style w:type="paragraph" w:customStyle="1" w:styleId="Odstavek">
    <w:name w:val="Odstavek"/>
    <w:basedOn w:val="Navaden"/>
    <w:link w:val="OdstavekZnak"/>
    <w:qFormat/>
    <w:rsid w:val="007F4BD7"/>
    <w:pPr>
      <w:overflowPunct w:val="0"/>
      <w:autoSpaceDE w:val="0"/>
      <w:autoSpaceDN w:val="0"/>
      <w:adjustRightInd w:val="0"/>
      <w:spacing w:before="240" w:line="240" w:lineRule="auto"/>
      <w:ind w:firstLine="1021"/>
      <w:jc w:val="both"/>
    </w:pPr>
    <w:rPr>
      <w:sz w:val="22"/>
      <w:szCs w:val="22"/>
    </w:rPr>
  </w:style>
  <w:style w:type="paragraph" w:customStyle="1" w:styleId="tevilnatoka111">
    <w:name w:val="Številčna točka 1.1.1"/>
    <w:basedOn w:val="Navaden"/>
    <w:qFormat/>
    <w:rsid w:val="007F4BD7"/>
    <w:pPr>
      <w:widowControl w:val="0"/>
      <w:numPr>
        <w:ilvl w:val="2"/>
        <w:numId w:val="2"/>
      </w:numPr>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basedOn w:val="OdstavekZnak"/>
    <w:link w:val="tevilnatoka"/>
    <w:locked/>
    <w:rsid w:val="007F4BD7"/>
    <w:rPr>
      <w:rFonts w:ascii="Arial" w:eastAsia="Times New Roman" w:hAnsi="Arial" w:cs="Arial"/>
      <w:lang w:eastAsia="sl-SI"/>
    </w:rPr>
  </w:style>
  <w:style w:type="paragraph" w:customStyle="1" w:styleId="tevilnatoka">
    <w:name w:val="Številčna točka"/>
    <w:basedOn w:val="Navaden"/>
    <w:link w:val="tevilnatokaZnak"/>
    <w:qFormat/>
    <w:rsid w:val="007F4BD7"/>
    <w:pPr>
      <w:numPr>
        <w:numId w:val="2"/>
      </w:numPr>
      <w:spacing w:line="240" w:lineRule="auto"/>
      <w:jc w:val="both"/>
    </w:pPr>
    <w:rPr>
      <w:rFonts w:cs="Arial"/>
      <w:sz w:val="22"/>
      <w:szCs w:val="22"/>
      <w:lang w:eastAsia="sl-SI"/>
    </w:rPr>
  </w:style>
  <w:style w:type="paragraph" w:customStyle="1" w:styleId="tevilnatoka11Nova">
    <w:name w:val="Številčna točka 1.1 Nova"/>
    <w:basedOn w:val="tevilnatoka"/>
    <w:qFormat/>
    <w:rsid w:val="007F4BD7"/>
    <w:pPr>
      <w:numPr>
        <w:ilvl w:val="1"/>
      </w:numPr>
      <w:tabs>
        <w:tab w:val="clear" w:pos="425"/>
        <w:tab w:val="num" w:pos="360"/>
      </w:tabs>
      <w:ind w:left="1417"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21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2404</Words>
  <Characters>13708</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2025-04-25T06:53:00Z</dcterms:created>
  <dcterms:modified xsi:type="dcterms:W3CDTF">2025-04-25T06:53:00Z</dcterms:modified>
</cp:coreProperties>
</file>