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BF0724">
        <w:rPr>
          <w:rFonts w:cs="Arial"/>
          <w:color w:val="000000"/>
        </w:rPr>
        <w:t>2024-2030-0027</w:t>
      </w:r>
    </w:p>
    <w:p w:rsidR="009C657E" w:rsidRPr="002760DC" w:rsidRDefault="009C657E" w:rsidP="009C657E">
      <w:pPr>
        <w:pStyle w:val="datumtevilka"/>
      </w:pPr>
      <w:r w:rsidRPr="002760DC">
        <w:t xml:space="preserve">Številka: </w:t>
      </w:r>
      <w:r w:rsidRPr="002760DC">
        <w:tab/>
      </w:r>
      <w:r w:rsidR="00BF0724">
        <w:rPr>
          <w:rFonts w:cs="Arial"/>
          <w:color w:val="000000"/>
        </w:rPr>
        <w:t>00704-279/2024/12</w:t>
      </w:r>
    </w:p>
    <w:p w:rsidR="009C657E" w:rsidRPr="002760DC" w:rsidRDefault="009C657E" w:rsidP="009C657E">
      <w:pPr>
        <w:pStyle w:val="datumtevilka"/>
      </w:pPr>
      <w:r>
        <w:t>Datum:</w:t>
      </w:r>
      <w:r w:rsidRPr="002760DC">
        <w:tab/>
      </w:r>
      <w:r w:rsidR="00BF0724">
        <w:rPr>
          <w:rFonts w:cs="Arial"/>
          <w:color w:val="000000"/>
        </w:rPr>
        <w:t>24. 4. 2025</w:t>
      </w:r>
      <w:r w:rsidRPr="002760DC">
        <w:t xml:space="preserve"> </w:t>
      </w:r>
    </w:p>
    <w:p w:rsidR="009C657E" w:rsidRPr="002760DC" w:rsidRDefault="009C657E" w:rsidP="009C657E"/>
    <w:p w:rsidR="009C657E" w:rsidRPr="00355DA4" w:rsidRDefault="009C657E" w:rsidP="00355DA4">
      <w:pPr>
        <w:autoSpaceDE w:val="0"/>
        <w:autoSpaceDN w:val="0"/>
        <w:adjustRightInd w:val="0"/>
        <w:jc w:val="center"/>
        <w:rPr>
          <w:rFonts w:cs="Arial"/>
          <w:b/>
          <w:color w:val="000000"/>
          <w:szCs w:val="20"/>
        </w:rPr>
      </w:pPr>
    </w:p>
    <w:p w:rsidR="00F2223F" w:rsidRPr="00355DA4" w:rsidRDefault="00F2223F" w:rsidP="00355DA4">
      <w:pPr>
        <w:spacing w:line="288" w:lineRule="auto"/>
        <w:ind w:left="709" w:hanging="709"/>
        <w:jc w:val="center"/>
        <w:rPr>
          <w:rFonts w:cs="Arial"/>
          <w:b/>
          <w:iCs/>
          <w:szCs w:val="20"/>
        </w:rPr>
      </w:pPr>
      <w:r w:rsidRPr="00355DA4">
        <w:rPr>
          <w:rFonts w:cs="Arial"/>
          <w:b/>
          <w:color w:val="000000"/>
          <w:szCs w:val="20"/>
        </w:rPr>
        <w:t>Predlog</w:t>
      </w:r>
      <w:bookmarkStart w:id="1" w:name="_GoBack"/>
      <w:bookmarkEnd w:id="1"/>
      <w:r w:rsidRPr="00355DA4">
        <w:rPr>
          <w:rFonts w:cs="Arial"/>
          <w:b/>
          <w:color w:val="000000"/>
          <w:szCs w:val="20"/>
        </w:rPr>
        <w:t xml:space="preserve"> amandmajev k Predlogu zakona o spremembah in dopolnitvah Zakona o finančnem poslovanju, postopkih zaradi insolventnosti in prisilnem prenehanju, skrajšani postopek</w:t>
      </w:r>
    </w:p>
    <w:p w:rsidR="009C657E" w:rsidRDefault="009C657E" w:rsidP="00F2223F">
      <w:pPr>
        <w:tabs>
          <w:tab w:val="left" w:pos="7920"/>
        </w:tabs>
        <w:autoSpaceDE w:val="0"/>
        <w:autoSpaceDN w:val="0"/>
        <w:adjustRightInd w:val="0"/>
        <w:jc w:val="both"/>
        <w:rPr>
          <w:rFonts w:cs="Arial"/>
          <w:color w:val="000000"/>
          <w:szCs w:val="20"/>
        </w:rPr>
      </w:pPr>
    </w:p>
    <w:p w:rsidR="00355DA4" w:rsidRDefault="00355DA4" w:rsidP="00F2223F">
      <w:pPr>
        <w:tabs>
          <w:tab w:val="left" w:pos="7920"/>
        </w:tabs>
        <w:autoSpaceDE w:val="0"/>
        <w:autoSpaceDN w:val="0"/>
        <w:adjustRightInd w:val="0"/>
        <w:jc w:val="both"/>
        <w:rPr>
          <w:rFonts w:cs="Arial"/>
          <w:color w:val="000000"/>
          <w:szCs w:val="20"/>
        </w:rPr>
      </w:pPr>
    </w:p>
    <w:p w:rsidR="00355DA4" w:rsidRPr="002760DC" w:rsidRDefault="00355DA4" w:rsidP="00F2223F">
      <w:pPr>
        <w:tabs>
          <w:tab w:val="left" w:pos="7920"/>
        </w:tabs>
        <w:autoSpaceDE w:val="0"/>
        <w:autoSpaceDN w:val="0"/>
        <w:adjustRightInd w:val="0"/>
        <w:jc w:val="both"/>
        <w:rPr>
          <w:rFonts w:cs="Arial"/>
          <w:color w:val="000000"/>
          <w:szCs w:val="20"/>
        </w:rPr>
      </w:pPr>
    </w:p>
    <w:p w:rsidR="00355DA4" w:rsidRDefault="00355DA4" w:rsidP="00355DA4">
      <w:pPr>
        <w:rPr>
          <w:rFonts w:cs="Arial"/>
          <w:szCs w:val="20"/>
        </w:rPr>
      </w:pPr>
    </w:p>
    <w:p w:rsidR="00355DA4" w:rsidRDefault="00355DA4" w:rsidP="00355DA4">
      <w:pPr>
        <w:pStyle w:val="Odstavekseznama"/>
        <w:numPr>
          <w:ilvl w:val="0"/>
          <w:numId w:val="2"/>
        </w:numPr>
        <w:spacing w:line="260" w:lineRule="exact"/>
        <w:rPr>
          <w:b/>
          <w:bCs/>
          <w:sz w:val="20"/>
          <w:szCs w:val="20"/>
        </w:rPr>
      </w:pPr>
      <w:r>
        <w:rPr>
          <w:b/>
          <w:bCs/>
          <w:sz w:val="20"/>
          <w:szCs w:val="20"/>
        </w:rPr>
        <w:t>K 4. členu:</w:t>
      </w:r>
    </w:p>
    <w:p w:rsidR="00355DA4" w:rsidRDefault="00355DA4" w:rsidP="00355DA4">
      <w:pPr>
        <w:pStyle w:val="Odstavekseznama"/>
        <w:spacing w:line="260" w:lineRule="exact"/>
        <w:ind w:left="720"/>
        <w:rPr>
          <w:b/>
          <w:bCs/>
          <w:sz w:val="20"/>
          <w:szCs w:val="20"/>
        </w:rPr>
      </w:pPr>
    </w:p>
    <w:p w:rsidR="00355DA4" w:rsidRDefault="00355DA4" w:rsidP="00355DA4">
      <w:pPr>
        <w:jc w:val="both"/>
        <w:rPr>
          <w:rFonts w:cs="Arial"/>
          <w:szCs w:val="20"/>
        </w:rPr>
      </w:pPr>
      <w:r>
        <w:rPr>
          <w:rFonts w:cs="Arial"/>
          <w:szCs w:val="20"/>
        </w:rPr>
        <w:t>V spremenjenih 1. in 2. točki drugega odstavka 112. člena se besedilo »zoper upravitelja« nadomesti z besedilom »zoper njo«.</w:t>
      </w:r>
    </w:p>
    <w:p w:rsidR="00355DA4" w:rsidRDefault="00355DA4" w:rsidP="00355DA4">
      <w:pPr>
        <w:jc w:val="both"/>
        <w:rPr>
          <w:rFonts w:cs="Arial"/>
          <w:b/>
          <w:bCs/>
          <w:szCs w:val="20"/>
        </w:rPr>
      </w:pPr>
    </w:p>
    <w:p w:rsidR="00355DA4" w:rsidRDefault="00355DA4" w:rsidP="00355DA4">
      <w:pPr>
        <w:jc w:val="both"/>
        <w:rPr>
          <w:rFonts w:cs="Arial"/>
          <w:b/>
          <w:bCs/>
          <w:szCs w:val="20"/>
        </w:rPr>
      </w:pPr>
      <w:r>
        <w:rPr>
          <w:rFonts w:cs="Arial"/>
          <w:b/>
          <w:bCs/>
          <w:szCs w:val="20"/>
        </w:rPr>
        <w:t>Obrazložitev:</w:t>
      </w:r>
    </w:p>
    <w:p w:rsidR="00355DA4" w:rsidRDefault="00355DA4" w:rsidP="00355DA4">
      <w:pPr>
        <w:jc w:val="both"/>
        <w:rPr>
          <w:rFonts w:cs="Arial"/>
          <w:b/>
          <w:bCs/>
          <w:szCs w:val="20"/>
        </w:rPr>
      </w:pPr>
    </w:p>
    <w:p w:rsidR="00355DA4" w:rsidRDefault="00355DA4" w:rsidP="00355DA4">
      <w:pPr>
        <w:jc w:val="both"/>
        <w:rPr>
          <w:rFonts w:cs="Arial"/>
          <w:szCs w:val="20"/>
        </w:rPr>
      </w:pPr>
      <w:bookmarkStart w:id="2" w:name="_Hlk195690392"/>
      <w:r>
        <w:rPr>
          <w:rFonts w:cs="Arial"/>
          <w:szCs w:val="20"/>
        </w:rPr>
        <w:t>Z amandmajem se sledi mnenju Zakonodajno-pravne službe Državnega zbora Republike Slovenije (v nadaljevanju ZPS</w:t>
      </w:r>
      <w:bookmarkEnd w:id="2"/>
      <w:r>
        <w:rPr>
          <w:rFonts w:cs="Arial"/>
          <w:szCs w:val="20"/>
        </w:rPr>
        <w:t>), ki ocenjuje, da je zaradi skladnosti določb navedenega člena treba ohraniti izraz »oseba«, če za spremembo ne obstajajo utemeljeni razlogi. Zato se glede na zapis v napovednem stavku veljavnega drugega odstavka 112. člena ZFPPIPP, da mora minister pristojen za pravosodje začasno ustaviti imenovanje posamezne osebe za upravitelja v novih zadevah, v 1. in 2. točki prvega odstavka uporabi osebni zaimek, tako da se v obeh točkah besedi »zoper upravitelja« nadomestita z besedama »zoper njo«.</w:t>
      </w:r>
    </w:p>
    <w:p w:rsidR="00355DA4" w:rsidRDefault="00355DA4" w:rsidP="00355DA4">
      <w:pPr>
        <w:rPr>
          <w:rFonts w:cs="Arial"/>
          <w:szCs w:val="20"/>
        </w:rPr>
      </w:pPr>
    </w:p>
    <w:p w:rsidR="00355DA4" w:rsidRDefault="00355DA4" w:rsidP="00355DA4">
      <w:pPr>
        <w:pStyle w:val="Odstavekseznama"/>
        <w:numPr>
          <w:ilvl w:val="0"/>
          <w:numId w:val="2"/>
        </w:numPr>
        <w:spacing w:line="260" w:lineRule="exact"/>
        <w:rPr>
          <w:b/>
          <w:bCs/>
          <w:sz w:val="20"/>
          <w:szCs w:val="20"/>
        </w:rPr>
      </w:pPr>
      <w:r>
        <w:rPr>
          <w:b/>
          <w:bCs/>
          <w:sz w:val="20"/>
          <w:szCs w:val="20"/>
        </w:rPr>
        <w:t>K 8. členu:</w:t>
      </w:r>
    </w:p>
    <w:p w:rsidR="00355DA4" w:rsidRDefault="00355DA4" w:rsidP="00355DA4">
      <w:pPr>
        <w:rPr>
          <w:rFonts w:cs="Arial"/>
          <w:b/>
          <w:bCs/>
          <w:szCs w:val="20"/>
        </w:rPr>
      </w:pPr>
    </w:p>
    <w:p w:rsidR="00355DA4" w:rsidRDefault="00355DA4" w:rsidP="00355DA4">
      <w:pPr>
        <w:jc w:val="both"/>
        <w:rPr>
          <w:rFonts w:cs="Arial"/>
          <w:szCs w:val="20"/>
        </w:rPr>
      </w:pPr>
      <w:r>
        <w:rPr>
          <w:rFonts w:cs="Arial"/>
          <w:szCs w:val="20"/>
        </w:rPr>
        <w:t>Besedilo člena se spremeni tako, da se glasi:</w:t>
      </w:r>
    </w:p>
    <w:p w:rsidR="00355DA4" w:rsidRDefault="00355DA4" w:rsidP="00355DA4">
      <w:pPr>
        <w:jc w:val="both"/>
        <w:rPr>
          <w:rFonts w:cs="Arial"/>
          <w:szCs w:val="20"/>
        </w:rPr>
      </w:pPr>
    </w:p>
    <w:p w:rsidR="00355DA4" w:rsidRDefault="00355DA4" w:rsidP="00355DA4">
      <w:pPr>
        <w:jc w:val="both"/>
        <w:rPr>
          <w:rFonts w:cs="Arial"/>
          <w:szCs w:val="20"/>
        </w:rPr>
      </w:pPr>
      <w:r>
        <w:rPr>
          <w:rFonts w:cs="Arial"/>
          <w:szCs w:val="20"/>
        </w:rPr>
        <w:t>»V 390. členu se drugi odstavek spremeni tako, da se glasi:</w:t>
      </w:r>
    </w:p>
    <w:p w:rsidR="00355DA4" w:rsidRDefault="00355DA4" w:rsidP="00355DA4">
      <w:pPr>
        <w:jc w:val="both"/>
        <w:rPr>
          <w:rFonts w:cs="Arial"/>
          <w:szCs w:val="20"/>
        </w:rPr>
      </w:pPr>
    </w:p>
    <w:p w:rsidR="00355DA4" w:rsidRDefault="00355DA4" w:rsidP="00355DA4">
      <w:pPr>
        <w:jc w:val="both"/>
        <w:rPr>
          <w:rFonts w:cs="Arial"/>
          <w:szCs w:val="20"/>
        </w:rPr>
      </w:pPr>
      <w:r>
        <w:rPr>
          <w:rFonts w:cs="Arial"/>
          <w:szCs w:val="20"/>
        </w:rPr>
        <w:t>(2) Za izterjavo ali zavarovanje terjatve iz prvega odstavka tega člena, razen glede terjatev iz 6. točke prvega odstavka in drugega odstavka 21. člena tega zakona, se ne uporabljajo 131., 132., 280. in 281. člen tega zakona.«.</w:t>
      </w:r>
    </w:p>
    <w:p w:rsidR="00355DA4" w:rsidRDefault="00355DA4" w:rsidP="00355DA4">
      <w:pPr>
        <w:jc w:val="both"/>
        <w:rPr>
          <w:rFonts w:cs="Arial"/>
          <w:b/>
          <w:bCs/>
          <w:szCs w:val="20"/>
        </w:rPr>
      </w:pPr>
    </w:p>
    <w:p w:rsidR="00355DA4" w:rsidRDefault="00355DA4" w:rsidP="00355DA4">
      <w:pPr>
        <w:jc w:val="both"/>
        <w:rPr>
          <w:rFonts w:cs="Arial"/>
          <w:b/>
          <w:bCs/>
          <w:szCs w:val="20"/>
        </w:rPr>
      </w:pPr>
      <w:r>
        <w:rPr>
          <w:rFonts w:cs="Arial"/>
          <w:b/>
          <w:bCs/>
          <w:szCs w:val="20"/>
        </w:rPr>
        <w:t>Obrazložitev:</w:t>
      </w:r>
    </w:p>
    <w:p w:rsidR="00355DA4" w:rsidRDefault="00355DA4" w:rsidP="00355DA4">
      <w:pPr>
        <w:jc w:val="both"/>
        <w:rPr>
          <w:rFonts w:cs="Arial"/>
          <w:b/>
          <w:bCs/>
          <w:szCs w:val="20"/>
        </w:rPr>
      </w:pPr>
    </w:p>
    <w:p w:rsidR="00355DA4" w:rsidRDefault="00355DA4" w:rsidP="00355DA4">
      <w:pPr>
        <w:jc w:val="both"/>
        <w:rPr>
          <w:rFonts w:cs="Arial"/>
          <w:szCs w:val="20"/>
        </w:rPr>
      </w:pPr>
      <w:r>
        <w:rPr>
          <w:rFonts w:cs="Arial"/>
          <w:szCs w:val="20"/>
        </w:rPr>
        <w:t xml:space="preserve">S predlaganim amandmajem se po eni strani še vedno sledi osrednjemu namenu predlagane spremembe 390. člena ZFPPIPP (8. člen predloga zakona) glede terjatev, katerih imetnik je Finančna uprava Republike Slovenije (FURS). Za terjatve iz  6. točke prvega odstavka in drugega odstavka 21. člena ZFPPIPP tako ne bo več veljalo pravilo, da se zanje ne uporabljajo 131., 132., 280. in 281. člen ZFPPIPP; drugače povedano za te terjatve bodo po začetku postopka osebnega stečaja veljala pravila o prekinitvi in ustavitvi postopkov davčne izvršbe po 132., 280. in 281. členu ZFPPIPP in pravila o nedovoljenosti začetka postopka davčne izvršbe iz 131. člen ZFPPIPP. Namreč, kot izhaja iz obrazložitve k 8. členu predloga zakona, FURS ocenjuje, da je glede na njihove izkušnje določbo veljavnega drugega odstavka 390. člena ZFPPIPP z vidika izvršbe navedenih terjatev v praksi nemogoče izvajati. Za prednostne terjatve že tako ali tako velja, da </w:t>
      </w:r>
      <w:r>
        <w:rPr>
          <w:rFonts w:cs="Arial"/>
          <w:szCs w:val="20"/>
        </w:rPr>
        <w:lastRenderedPageBreak/>
        <w:t>se iz stečajne mase poplačajo pred vsemi drugimi upniki, odpust obveznosti pa nanje ne učinkuje. Določbe glede zastaranja terjatev pa so v resnici tiste, ki upnika (FURS) silijo, da z uradnimi dejanji izvršbe doseže pretrganje zastaranja terjatev, četudi je ta nesmotrna oziroma neučinkovita. Posledično to predstavlja nepotrebno bremenitev FURS z vodenjem teh postopkov.</w:t>
      </w:r>
    </w:p>
    <w:p w:rsidR="00355DA4" w:rsidRDefault="00355DA4" w:rsidP="00355DA4">
      <w:pPr>
        <w:jc w:val="both"/>
        <w:rPr>
          <w:rFonts w:cs="Arial"/>
          <w:szCs w:val="20"/>
        </w:rPr>
      </w:pPr>
    </w:p>
    <w:p w:rsidR="00355DA4" w:rsidRDefault="00355DA4" w:rsidP="00355DA4">
      <w:pPr>
        <w:jc w:val="both"/>
        <w:rPr>
          <w:rFonts w:cs="Arial"/>
          <w:szCs w:val="20"/>
        </w:rPr>
      </w:pPr>
      <w:r>
        <w:rPr>
          <w:rFonts w:cs="Arial"/>
          <w:szCs w:val="20"/>
        </w:rPr>
        <w:t>Po drugi strani pa se s predlaganim amandmajem za druge upnike (ostalih nedavčnih) prednostnih terjatev iz prvega odstavka 390. člena ZFPPIPP ohranja veljavna ureditev. Ker iz obrazložitve 8. člena predloga zakona in uvodne obrazložitve ne izhaja, da bi predlog oziroma razloge za tovrstno obravnavo, uresničevanje in poplačilo prednostnih terjatev, kot jih je podal FURS, podala tekom strokovnega usklajevanja tudi (druga) strokovna javnost glede ostalih (nedavčnih) prednostnih terjatev iz 390. člena ZFPPIPP, se za te prednostne terjatve veljavna ureditev ne spreminja. Za upnike teh prednostnih terjatev se še vedno dopušča, da lahko kljub začetku postopka osebnega stečaja vložijo predlog za izvršbo ali zavarovanje oziroma da se izvršilni postopki ali postopki zavarovanja ne prekinejo, tako da v izvršbi dosežejo poplačilo. To je zlasti lahko pomembno za upnike terjatev iz naslova zakonite preživnine, za katere Zakon o izvršbi in zavarovanju (ZIZ) določa, da imajo absolutno prednost pri poplačilu v razmerju do ostalih terjatev – tretji odstavek 110. člena ZIZ (in tudi morebitnih drugih terjatev, ki imajo naravo prednostnih terjatev po določbah ZIZ). S predlaganim amandmajem se zanje omogoča, da bodo tudi po začetku stečajnega postopka lahko sproti dosegli izterjavo mesečnih preživnin, in sicer tudi tistih, ki nastanejo po začetku postopka osebnega stečaja. Prav tako ZIZ za te t. i. preživninske terjatve določa, da se lahko za njihovo izterjavo in poplačilo poseže na večji delež dolžnikovih prejemkov, kot se lahko poseže za poplačilo ostalih (prednostnih) terjatev, na katere je dopustno poseči z izvršbo ali v postopku osebnega stečaja.</w:t>
      </w:r>
    </w:p>
    <w:p w:rsidR="00355DA4" w:rsidRDefault="00355DA4" w:rsidP="00355DA4">
      <w:pPr>
        <w:rPr>
          <w:rFonts w:cs="Arial"/>
          <w:szCs w:val="20"/>
        </w:rPr>
      </w:pPr>
    </w:p>
    <w:p w:rsidR="00355DA4" w:rsidRDefault="00355DA4" w:rsidP="00355DA4">
      <w:pPr>
        <w:pStyle w:val="Odstavekseznama"/>
        <w:numPr>
          <w:ilvl w:val="0"/>
          <w:numId w:val="2"/>
        </w:numPr>
        <w:rPr>
          <w:b/>
          <w:bCs/>
          <w:sz w:val="20"/>
          <w:szCs w:val="20"/>
        </w:rPr>
      </w:pPr>
      <w:r>
        <w:rPr>
          <w:b/>
          <w:bCs/>
          <w:sz w:val="20"/>
          <w:szCs w:val="20"/>
        </w:rPr>
        <w:t>Sprememba naslova poglavja in nova prehodna določba:</w:t>
      </w:r>
    </w:p>
    <w:p w:rsidR="00355DA4" w:rsidRDefault="00355DA4" w:rsidP="00355DA4">
      <w:pPr>
        <w:rPr>
          <w:rFonts w:cs="Arial"/>
          <w:b/>
          <w:bCs/>
          <w:szCs w:val="20"/>
        </w:rPr>
      </w:pPr>
    </w:p>
    <w:p w:rsidR="00355DA4" w:rsidRDefault="00355DA4" w:rsidP="00355DA4">
      <w:pPr>
        <w:jc w:val="both"/>
        <w:rPr>
          <w:rFonts w:cs="Arial"/>
          <w:szCs w:val="20"/>
        </w:rPr>
      </w:pPr>
      <w:r>
        <w:rPr>
          <w:rFonts w:cs="Arial"/>
          <w:szCs w:val="20"/>
        </w:rPr>
        <w:t>Naslov poglavja »Končna določba« se spremeni, tako da se glasi: »Prehodna in končna določba«, ter doda nov 9.a člen, ki se glasi:</w:t>
      </w:r>
    </w:p>
    <w:p w:rsidR="00355DA4" w:rsidRDefault="00355DA4" w:rsidP="00355DA4">
      <w:pPr>
        <w:rPr>
          <w:rFonts w:cs="Arial"/>
          <w:szCs w:val="20"/>
        </w:rPr>
      </w:pPr>
    </w:p>
    <w:p w:rsidR="00355DA4" w:rsidRDefault="00355DA4" w:rsidP="00355DA4">
      <w:pPr>
        <w:jc w:val="center"/>
        <w:rPr>
          <w:rFonts w:cs="Arial"/>
          <w:szCs w:val="20"/>
        </w:rPr>
      </w:pPr>
      <w:r>
        <w:rPr>
          <w:rFonts w:cs="Arial"/>
          <w:szCs w:val="20"/>
        </w:rPr>
        <w:t>»9.a člen</w:t>
      </w:r>
    </w:p>
    <w:p w:rsidR="00355DA4" w:rsidRDefault="00355DA4" w:rsidP="00355DA4">
      <w:pPr>
        <w:jc w:val="center"/>
        <w:rPr>
          <w:rFonts w:cs="Arial"/>
          <w:szCs w:val="20"/>
        </w:rPr>
      </w:pPr>
      <w:r>
        <w:rPr>
          <w:rFonts w:cs="Arial"/>
          <w:szCs w:val="20"/>
        </w:rPr>
        <w:t>(ustavitev postopkov davčne izvršbe)</w:t>
      </w:r>
    </w:p>
    <w:p w:rsidR="00355DA4" w:rsidRDefault="00355DA4" w:rsidP="00355DA4">
      <w:pPr>
        <w:rPr>
          <w:rFonts w:cs="Arial"/>
          <w:szCs w:val="20"/>
        </w:rPr>
      </w:pPr>
    </w:p>
    <w:p w:rsidR="00355DA4" w:rsidRDefault="00355DA4" w:rsidP="00355DA4">
      <w:pPr>
        <w:jc w:val="both"/>
        <w:rPr>
          <w:rFonts w:cs="Arial"/>
          <w:szCs w:val="20"/>
        </w:rPr>
      </w:pPr>
      <w:r>
        <w:rPr>
          <w:rFonts w:cs="Arial"/>
          <w:szCs w:val="20"/>
        </w:rPr>
        <w:t>»Če ob uveljavitvi tega zakona teče postopek davčne izvršbe za izterjavo terjatev iz 6. točke prvega odstavka in spremenjenega drugega odstavka 21. člena zakona proti dolžniku, nad katerim je bil pred uveljavitvijo tega zakona začet postopek osebnega stečaja, mora davčni organ v enem mesecu po uveljavitvi tega zakona izdati sklep, s katerim se postopek davčne izvršbe za izterjavo te terjatve ustavi.«.</w:t>
      </w:r>
    </w:p>
    <w:p w:rsidR="00355DA4" w:rsidRDefault="00355DA4" w:rsidP="00355DA4">
      <w:pPr>
        <w:jc w:val="both"/>
        <w:rPr>
          <w:rFonts w:cs="Arial"/>
          <w:szCs w:val="20"/>
        </w:rPr>
      </w:pPr>
    </w:p>
    <w:p w:rsidR="00355DA4" w:rsidRDefault="00355DA4" w:rsidP="00355DA4">
      <w:pPr>
        <w:jc w:val="both"/>
        <w:rPr>
          <w:rFonts w:cs="Arial"/>
          <w:b/>
          <w:bCs/>
          <w:szCs w:val="20"/>
        </w:rPr>
      </w:pPr>
      <w:r>
        <w:rPr>
          <w:rFonts w:cs="Arial"/>
          <w:b/>
          <w:bCs/>
          <w:szCs w:val="20"/>
        </w:rPr>
        <w:t>Obrazložitev:</w:t>
      </w:r>
    </w:p>
    <w:p w:rsidR="00355DA4" w:rsidRDefault="00355DA4" w:rsidP="00355DA4">
      <w:pPr>
        <w:jc w:val="both"/>
        <w:rPr>
          <w:rFonts w:cs="Arial"/>
          <w:b/>
          <w:bCs/>
          <w:szCs w:val="20"/>
        </w:rPr>
      </w:pPr>
    </w:p>
    <w:p w:rsidR="00355DA4" w:rsidRDefault="00355DA4" w:rsidP="00355DA4">
      <w:pPr>
        <w:jc w:val="both"/>
        <w:rPr>
          <w:rFonts w:cs="Arial"/>
          <w:szCs w:val="20"/>
        </w:rPr>
      </w:pPr>
      <w:r>
        <w:rPr>
          <w:rFonts w:cs="Arial"/>
          <w:szCs w:val="20"/>
        </w:rPr>
        <w:t>Z amandmajem se sledi mnenju ZPS, ki ocenjuje, da je treba urediti vprašanje zatečenih postopkov, na katere vplivajo spremenjene oziroma nove določbe ZFPPIPP. Predlagana prehodna določba je povezana z amandmajem k 8. členu predloga zakona. Glede na to, da se bodo za terjatve iz 6. točke prvega odstavka in drugega odstavka 21. člena ZFPPIPP, ko se začne postopek osebnega stečaja, po novem uporabljala pravila o ustavitvi postopkov davčne izvršbe 132. člen ZFPPIPP, se s predlaganim amandmajem določi tudi posebno pravilo o ustavitvi tekočih postopkov davčne izvršbe proti dolžniku, nad katerim je bil pred uveljavitvijo tega zakona začet postopek osebnega stečaja.</w:t>
      </w:r>
    </w:p>
    <w:p w:rsidR="007E1230" w:rsidRDefault="007E1230" w:rsidP="00355DA4">
      <w:pPr>
        <w:tabs>
          <w:tab w:val="left" w:pos="5570"/>
        </w:tabs>
        <w:autoSpaceDE w:val="0"/>
        <w:autoSpaceDN w:val="0"/>
        <w:adjustRightInd w:val="0"/>
        <w:jc w:val="both"/>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F35C2" w:rsidRDefault="008F35C2" w:rsidP="00767987">
      <w:pPr>
        <w:spacing w:line="240" w:lineRule="auto"/>
      </w:pPr>
      <w:r>
        <w:separator/>
      </w:r>
    </w:p>
  </w:endnote>
  <w:endnote w:type="continuationSeparator" w:id="0">
    <w:p w:rsidR="008F35C2" w:rsidRDefault="008F35C2"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2E08" w:rsidRDefault="00C22E08">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2E08" w:rsidRDefault="00C22E0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2E08" w:rsidRDefault="00C22E08">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F35C2" w:rsidRDefault="008F35C2" w:rsidP="00767987">
      <w:pPr>
        <w:spacing w:line="240" w:lineRule="auto"/>
      </w:pPr>
      <w:r>
        <w:separator/>
      </w:r>
    </w:p>
  </w:footnote>
  <w:footnote w:type="continuationSeparator" w:id="0">
    <w:p w:rsidR="008F35C2" w:rsidRDefault="008F35C2"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2E08" w:rsidRDefault="00C22E08">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22E08" w:rsidRDefault="00C22E08">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CC236C"/>
    <w:multiLevelType w:val="hybridMultilevel"/>
    <w:tmpl w:val="682E073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355DA4"/>
    <w:rsid w:val="00366636"/>
    <w:rsid w:val="00367DE6"/>
    <w:rsid w:val="003B3E19"/>
    <w:rsid w:val="004076C6"/>
    <w:rsid w:val="00457A58"/>
    <w:rsid w:val="004B7F76"/>
    <w:rsid w:val="004E1BCE"/>
    <w:rsid w:val="00592079"/>
    <w:rsid w:val="00594080"/>
    <w:rsid w:val="00682FFE"/>
    <w:rsid w:val="00684751"/>
    <w:rsid w:val="006C69EC"/>
    <w:rsid w:val="007039D0"/>
    <w:rsid w:val="00767987"/>
    <w:rsid w:val="00782FD4"/>
    <w:rsid w:val="007E1230"/>
    <w:rsid w:val="00811140"/>
    <w:rsid w:val="008F35C2"/>
    <w:rsid w:val="00904A48"/>
    <w:rsid w:val="00980294"/>
    <w:rsid w:val="009C5392"/>
    <w:rsid w:val="009C657E"/>
    <w:rsid w:val="00A16E6F"/>
    <w:rsid w:val="00A50E4B"/>
    <w:rsid w:val="00A56EFB"/>
    <w:rsid w:val="00A9231D"/>
    <w:rsid w:val="00AD3BB3"/>
    <w:rsid w:val="00BF0724"/>
    <w:rsid w:val="00C0216A"/>
    <w:rsid w:val="00C22E08"/>
    <w:rsid w:val="00CD6077"/>
    <w:rsid w:val="00CE234E"/>
    <w:rsid w:val="00D02973"/>
    <w:rsid w:val="00DA09BE"/>
    <w:rsid w:val="00E83A83"/>
    <w:rsid w:val="00EB6D3E"/>
    <w:rsid w:val="00F17E46"/>
    <w:rsid w:val="00F2223F"/>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character" w:customStyle="1" w:styleId="OdstavekseznamaZnak">
    <w:name w:val="Odstavek seznama Znak"/>
    <w:aliases w:val="numbered list Znak"/>
    <w:link w:val="Odstavekseznama"/>
    <w:uiPriority w:val="34"/>
    <w:locked/>
    <w:rsid w:val="00355DA4"/>
    <w:rPr>
      <w:rFonts w:ascii="Arial" w:hAnsi="Arial" w:cs="Arial"/>
      <w:szCs w:val="16"/>
    </w:rPr>
  </w:style>
  <w:style w:type="paragraph" w:styleId="Odstavekseznama">
    <w:name w:val="List Paragraph"/>
    <w:aliases w:val="numbered list"/>
    <w:basedOn w:val="Navaden"/>
    <w:link w:val="OdstavekseznamaZnak"/>
    <w:uiPriority w:val="34"/>
    <w:qFormat/>
    <w:rsid w:val="00355DA4"/>
    <w:pPr>
      <w:overflowPunct w:val="0"/>
      <w:autoSpaceDE w:val="0"/>
      <w:autoSpaceDN w:val="0"/>
      <w:adjustRightInd w:val="0"/>
      <w:spacing w:line="240" w:lineRule="auto"/>
      <w:ind w:left="708"/>
      <w:jc w:val="both"/>
    </w:pPr>
    <w:rPr>
      <w:rFonts w:eastAsiaTheme="minorHAnsi" w:cs="Arial"/>
      <w:sz w:val="22"/>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45170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844</Words>
  <Characters>4817</Characters>
  <Application>Microsoft Office Word</Application>
  <DocSecurity>0</DocSecurity>
  <Lines>40</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5650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Ingrid Hribar</cp:lastModifiedBy>
  <cp:revision>3</cp:revision>
  <dcterms:created xsi:type="dcterms:W3CDTF">2025-04-24T07:28:00Z</dcterms:created>
  <dcterms:modified xsi:type="dcterms:W3CDTF">2025-04-24T07:41:00Z</dcterms:modified>
</cp:coreProperties>
</file>