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54D015" w14:textId="77777777" w:rsidR="001C4DC9" w:rsidRPr="00A9231D" w:rsidRDefault="001C4DC9" w:rsidP="001C4DC9">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11EA5A98" wp14:editId="66A241D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ABF8DAB" w14:textId="79C415DD" w:rsidR="001C4DC9" w:rsidRPr="00864C5E" w:rsidRDefault="001C4DC9" w:rsidP="001C4DC9">
      <w:pPr>
        <w:pStyle w:val="Glava"/>
        <w:tabs>
          <w:tab w:val="clear" w:pos="8640"/>
          <w:tab w:val="left" w:pos="5114"/>
          <w:tab w:val="left" w:pos="8641"/>
        </w:tabs>
        <w:spacing w:before="120" w:line="240" w:lineRule="exact"/>
        <w:rPr>
          <w:rFonts w:cs="Arial"/>
          <w:sz w:val="16"/>
          <w:lang w:val="it-IT"/>
        </w:rPr>
      </w:pPr>
      <w:r w:rsidRPr="00864C5E">
        <w:rPr>
          <w:rFonts w:cs="Arial"/>
          <w:sz w:val="16"/>
          <w:lang w:val="it-IT"/>
        </w:rPr>
        <w:t>Gregorčičeva ulica 20–25, 1000 Ljubljana</w:t>
      </w:r>
      <w:r w:rsidRPr="00864C5E">
        <w:rPr>
          <w:rFonts w:cs="Arial"/>
          <w:sz w:val="16"/>
          <w:lang w:val="it-IT"/>
        </w:rPr>
        <w:tab/>
      </w:r>
      <w:r w:rsidRPr="00864C5E">
        <w:rPr>
          <w:rFonts w:cs="Arial"/>
          <w:sz w:val="16"/>
          <w:lang w:val="it-IT"/>
        </w:rPr>
        <w:tab/>
        <w:t>T: +386 1 478 1000</w:t>
      </w:r>
    </w:p>
    <w:p w14:paraId="21AAC35F" w14:textId="7287B3CC" w:rsidR="001C4DC9" w:rsidRPr="00864C5E" w:rsidRDefault="001C4DC9" w:rsidP="001C4DC9">
      <w:pPr>
        <w:pStyle w:val="Glava"/>
        <w:tabs>
          <w:tab w:val="clear" w:pos="8640"/>
          <w:tab w:val="left" w:pos="5114"/>
          <w:tab w:val="left" w:pos="8641"/>
        </w:tabs>
        <w:spacing w:line="240" w:lineRule="exact"/>
        <w:rPr>
          <w:rFonts w:cs="Arial"/>
          <w:sz w:val="16"/>
          <w:lang w:val="it-IT"/>
        </w:rPr>
      </w:pPr>
      <w:r w:rsidRPr="00864C5E">
        <w:rPr>
          <w:rFonts w:cs="Arial"/>
          <w:sz w:val="16"/>
          <w:lang w:val="it-IT"/>
        </w:rPr>
        <w:tab/>
      </w:r>
      <w:r w:rsidRPr="00864C5E">
        <w:rPr>
          <w:rFonts w:cs="Arial"/>
          <w:sz w:val="16"/>
          <w:lang w:val="it-IT"/>
        </w:rPr>
        <w:tab/>
        <w:t>F: +386 1 478 1607</w:t>
      </w:r>
    </w:p>
    <w:p w14:paraId="2F15DCDE" w14:textId="5B098455" w:rsidR="001C4DC9" w:rsidRPr="00864C5E" w:rsidRDefault="001C4DC9" w:rsidP="001C4DC9">
      <w:pPr>
        <w:pStyle w:val="Glava"/>
        <w:tabs>
          <w:tab w:val="clear" w:pos="8640"/>
          <w:tab w:val="left" w:pos="5114"/>
          <w:tab w:val="left" w:pos="8641"/>
        </w:tabs>
        <w:spacing w:line="240" w:lineRule="exact"/>
        <w:rPr>
          <w:rFonts w:cs="Arial"/>
          <w:sz w:val="16"/>
          <w:lang w:val="it-IT"/>
        </w:rPr>
      </w:pPr>
      <w:r w:rsidRPr="00864C5E">
        <w:rPr>
          <w:rFonts w:cs="Arial"/>
          <w:sz w:val="16"/>
          <w:lang w:val="it-IT"/>
        </w:rPr>
        <w:tab/>
      </w:r>
      <w:r w:rsidRPr="00864C5E">
        <w:rPr>
          <w:rFonts w:cs="Arial"/>
          <w:sz w:val="16"/>
          <w:lang w:val="it-IT"/>
        </w:rPr>
        <w:tab/>
        <w:t>E: gp.gs@gov.si</w:t>
      </w:r>
    </w:p>
    <w:p w14:paraId="74C703D1" w14:textId="17268806" w:rsidR="001C4DC9" w:rsidRPr="00864C5E" w:rsidRDefault="001C4DC9" w:rsidP="001C4DC9">
      <w:pPr>
        <w:pStyle w:val="Glava"/>
        <w:tabs>
          <w:tab w:val="clear" w:pos="8640"/>
          <w:tab w:val="left" w:pos="5114"/>
          <w:tab w:val="left" w:pos="8641"/>
        </w:tabs>
        <w:spacing w:line="240" w:lineRule="exact"/>
        <w:rPr>
          <w:rFonts w:cs="Arial"/>
          <w:sz w:val="16"/>
          <w:lang w:val="it-IT"/>
        </w:rPr>
      </w:pPr>
      <w:r w:rsidRPr="00864C5E">
        <w:rPr>
          <w:rFonts w:cs="Arial"/>
          <w:sz w:val="16"/>
          <w:lang w:val="it-IT"/>
        </w:rPr>
        <w:tab/>
      </w:r>
      <w:r w:rsidRPr="00864C5E">
        <w:rPr>
          <w:rFonts w:cs="Arial"/>
          <w:sz w:val="16"/>
          <w:lang w:val="it-IT"/>
        </w:rPr>
        <w:tab/>
        <w:t>http://www.vlada.si/</w:t>
      </w:r>
    </w:p>
    <w:p w14:paraId="6AB707EF" w14:textId="77777777" w:rsidR="00A23D5D" w:rsidRDefault="00A23D5D" w:rsidP="0038250F">
      <w:pPr>
        <w:suppressAutoHyphens/>
        <w:overflowPunct w:val="0"/>
        <w:autoSpaceDE w:val="0"/>
        <w:autoSpaceDN w:val="0"/>
        <w:adjustRightInd w:val="0"/>
        <w:spacing w:line="276" w:lineRule="auto"/>
        <w:textAlignment w:val="baseline"/>
        <w:rPr>
          <w:rFonts w:cs="Arial"/>
          <w:b/>
          <w:szCs w:val="20"/>
          <w:lang w:val="sl-SI" w:eastAsia="sl-SI"/>
        </w:rPr>
      </w:pPr>
    </w:p>
    <w:p w14:paraId="7E7EE6A3" w14:textId="77777777" w:rsidR="001C4DC9" w:rsidRPr="00C50F53" w:rsidRDefault="001C4DC9" w:rsidP="0038250F">
      <w:pPr>
        <w:suppressAutoHyphens/>
        <w:overflowPunct w:val="0"/>
        <w:autoSpaceDE w:val="0"/>
        <w:autoSpaceDN w:val="0"/>
        <w:adjustRightInd w:val="0"/>
        <w:spacing w:line="276" w:lineRule="auto"/>
        <w:textAlignment w:val="baseline"/>
        <w:rPr>
          <w:rFonts w:cs="Arial"/>
          <w:b/>
          <w:szCs w:val="20"/>
          <w:lang w:val="sl-SI" w:eastAsia="sl-SI"/>
        </w:rPr>
      </w:pPr>
    </w:p>
    <w:p w14:paraId="5B4DE5A1" w14:textId="77777777" w:rsidR="00A23D5D" w:rsidRPr="00C50F53" w:rsidRDefault="00A23D5D" w:rsidP="0038250F">
      <w:pPr>
        <w:suppressAutoHyphens/>
        <w:overflowPunct w:val="0"/>
        <w:autoSpaceDE w:val="0"/>
        <w:autoSpaceDN w:val="0"/>
        <w:adjustRightInd w:val="0"/>
        <w:spacing w:line="276" w:lineRule="auto"/>
        <w:jc w:val="right"/>
        <w:textAlignment w:val="baseline"/>
        <w:rPr>
          <w:rFonts w:cs="Arial"/>
          <w:b/>
          <w:szCs w:val="20"/>
          <w:lang w:val="sl-SI" w:eastAsia="sl-SI"/>
        </w:rPr>
      </w:pPr>
      <w:r w:rsidRPr="00C50F53">
        <w:rPr>
          <w:rFonts w:cs="Arial"/>
          <w:b/>
          <w:szCs w:val="20"/>
          <w:lang w:val="sl-SI" w:eastAsia="sl-SI"/>
        </w:rPr>
        <w:t>PREDLOG</w:t>
      </w:r>
    </w:p>
    <w:p w14:paraId="566F488C" w14:textId="709DE3BF" w:rsidR="00A23D5D" w:rsidRPr="00C50F53" w:rsidRDefault="008D3023" w:rsidP="001C4DC9">
      <w:pPr>
        <w:suppressAutoHyphens/>
        <w:overflowPunct w:val="0"/>
        <w:autoSpaceDE w:val="0"/>
        <w:autoSpaceDN w:val="0"/>
        <w:adjustRightInd w:val="0"/>
        <w:spacing w:line="276" w:lineRule="auto"/>
        <w:jc w:val="right"/>
        <w:textAlignment w:val="baseline"/>
        <w:rPr>
          <w:rFonts w:cs="Arial"/>
          <w:b/>
          <w:szCs w:val="20"/>
          <w:lang w:val="sl-SI" w:eastAsia="sl-SI"/>
        </w:rPr>
      </w:pPr>
      <w:r w:rsidRPr="00C50F53">
        <w:rPr>
          <w:rFonts w:cs="Arial"/>
          <w:b/>
          <w:szCs w:val="20"/>
          <w:lang w:val="sl-SI" w:eastAsia="sl-SI"/>
        </w:rPr>
        <w:t>EVA 2023-1544-000</w:t>
      </w:r>
      <w:r w:rsidR="00EE08C0" w:rsidRPr="00C50F53">
        <w:rPr>
          <w:rFonts w:cs="Arial"/>
          <w:b/>
          <w:szCs w:val="20"/>
          <w:lang w:val="sl-SI" w:eastAsia="sl-SI"/>
        </w:rPr>
        <w:t>5</w:t>
      </w:r>
    </w:p>
    <w:p w14:paraId="363E2EC4" w14:textId="77777777" w:rsidR="0019719C" w:rsidRPr="00C50F53" w:rsidRDefault="0019719C" w:rsidP="0019719C">
      <w:pPr>
        <w:suppressAutoHyphens/>
        <w:overflowPunct w:val="0"/>
        <w:autoSpaceDE w:val="0"/>
        <w:autoSpaceDN w:val="0"/>
        <w:adjustRightInd w:val="0"/>
        <w:spacing w:line="276" w:lineRule="auto"/>
        <w:jc w:val="right"/>
        <w:textAlignment w:val="baseline"/>
        <w:rPr>
          <w:rFonts w:cs="Arial"/>
          <w:b/>
          <w:szCs w:val="20"/>
          <w:lang w:val="sl-SI" w:eastAsia="sl-SI"/>
        </w:rPr>
      </w:pPr>
      <w:r>
        <w:rPr>
          <w:rFonts w:cs="Arial"/>
          <w:b/>
          <w:szCs w:val="20"/>
          <w:lang w:val="sl-SI" w:eastAsia="sl-SI"/>
        </w:rPr>
        <w:t>NUJNI POSTOPEK</w:t>
      </w:r>
    </w:p>
    <w:p w14:paraId="063F14C1" w14:textId="77777777" w:rsidR="00A23D5D" w:rsidRPr="00C50F53" w:rsidRDefault="00A23D5D" w:rsidP="0038250F">
      <w:pPr>
        <w:suppressAutoHyphens/>
        <w:overflowPunct w:val="0"/>
        <w:autoSpaceDE w:val="0"/>
        <w:autoSpaceDN w:val="0"/>
        <w:adjustRightInd w:val="0"/>
        <w:spacing w:line="276" w:lineRule="auto"/>
        <w:jc w:val="right"/>
        <w:textAlignment w:val="baseline"/>
        <w:rPr>
          <w:rFonts w:cs="Arial"/>
          <w:b/>
          <w:szCs w:val="20"/>
          <w:lang w:val="sl-SI" w:eastAsia="sl-SI"/>
        </w:rPr>
      </w:pPr>
      <w:bookmarkStart w:id="0" w:name="_GoBack"/>
      <w:bookmarkEnd w:id="0"/>
    </w:p>
    <w:p w14:paraId="790D942E" w14:textId="3FCE396F" w:rsidR="00A23D5D" w:rsidRPr="00C50F53" w:rsidRDefault="00A23D5D" w:rsidP="0038250F">
      <w:pPr>
        <w:suppressAutoHyphens/>
        <w:overflowPunct w:val="0"/>
        <w:autoSpaceDE w:val="0"/>
        <w:autoSpaceDN w:val="0"/>
        <w:adjustRightInd w:val="0"/>
        <w:spacing w:line="276" w:lineRule="auto"/>
        <w:jc w:val="center"/>
        <w:textAlignment w:val="baseline"/>
        <w:rPr>
          <w:rFonts w:cs="Arial"/>
          <w:b/>
          <w:szCs w:val="20"/>
          <w:lang w:val="sl-SI" w:eastAsia="sl-SI"/>
        </w:rPr>
      </w:pPr>
      <w:r w:rsidRPr="00C50F53">
        <w:rPr>
          <w:rFonts w:cs="Arial"/>
          <w:b/>
          <w:szCs w:val="20"/>
          <w:lang w:val="sl-SI" w:eastAsia="sl-SI"/>
        </w:rPr>
        <w:t>ZAKON O INFORMACIJSKI VARNOSTI</w:t>
      </w:r>
    </w:p>
    <w:p w14:paraId="18FAAF49" w14:textId="77777777" w:rsidR="00A23D5D" w:rsidRPr="00C50F53" w:rsidRDefault="00A23D5D" w:rsidP="0038250F">
      <w:pPr>
        <w:suppressAutoHyphens/>
        <w:overflowPunct w:val="0"/>
        <w:autoSpaceDE w:val="0"/>
        <w:autoSpaceDN w:val="0"/>
        <w:adjustRightInd w:val="0"/>
        <w:spacing w:line="276" w:lineRule="auto"/>
        <w:jc w:val="center"/>
        <w:textAlignment w:val="baseline"/>
        <w:rPr>
          <w:rFonts w:cs="Arial"/>
          <w:b/>
          <w:szCs w:val="20"/>
          <w:lang w:val="sl-SI" w:eastAsia="sl-SI"/>
        </w:rPr>
      </w:pPr>
    </w:p>
    <w:p w14:paraId="64233FAF" w14:textId="77777777" w:rsidR="00A23D5D" w:rsidRPr="00C50F53" w:rsidRDefault="00A23D5D" w:rsidP="0038250F">
      <w:pPr>
        <w:suppressAutoHyphens/>
        <w:overflowPunct w:val="0"/>
        <w:autoSpaceDE w:val="0"/>
        <w:autoSpaceDN w:val="0"/>
        <w:adjustRightInd w:val="0"/>
        <w:spacing w:line="276" w:lineRule="auto"/>
        <w:jc w:val="center"/>
        <w:textAlignment w:val="baseline"/>
        <w:rPr>
          <w:rFonts w:cs="Arial"/>
          <w:b/>
          <w:szCs w:val="20"/>
          <w:lang w:val="sl-SI" w:eastAsia="sl-SI"/>
        </w:rPr>
      </w:pPr>
    </w:p>
    <w:p w14:paraId="374F174F" w14:textId="77777777" w:rsidR="00A23D5D" w:rsidRPr="00C50F53" w:rsidRDefault="00A23D5D" w:rsidP="0038250F">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t>I. UVOD</w:t>
      </w:r>
    </w:p>
    <w:p w14:paraId="703DF967" w14:textId="77777777" w:rsidR="00A23D5D" w:rsidRPr="00C50F53" w:rsidRDefault="00A23D5D" w:rsidP="0038250F">
      <w:pPr>
        <w:suppressAutoHyphens/>
        <w:overflowPunct w:val="0"/>
        <w:autoSpaceDE w:val="0"/>
        <w:autoSpaceDN w:val="0"/>
        <w:adjustRightInd w:val="0"/>
        <w:spacing w:line="276" w:lineRule="auto"/>
        <w:textAlignment w:val="baseline"/>
        <w:outlineLvl w:val="3"/>
        <w:rPr>
          <w:rFonts w:cs="Arial"/>
          <w:b/>
          <w:szCs w:val="20"/>
          <w:lang w:val="sl-SI" w:eastAsia="sl-SI"/>
        </w:rPr>
      </w:pPr>
    </w:p>
    <w:p w14:paraId="1495DE1B" w14:textId="77777777" w:rsidR="00A23D5D" w:rsidRPr="00C50F53" w:rsidRDefault="00A23D5D" w:rsidP="0038250F">
      <w:pPr>
        <w:suppressAutoHyphens/>
        <w:overflowPunct w:val="0"/>
        <w:autoSpaceDE w:val="0"/>
        <w:autoSpaceDN w:val="0"/>
        <w:adjustRightInd w:val="0"/>
        <w:spacing w:line="276" w:lineRule="auto"/>
        <w:textAlignment w:val="baseline"/>
        <w:outlineLvl w:val="3"/>
        <w:rPr>
          <w:rFonts w:cs="Arial"/>
          <w:b/>
          <w:szCs w:val="20"/>
          <w:lang w:val="sl-SI"/>
        </w:rPr>
      </w:pPr>
      <w:r w:rsidRPr="00C50F53">
        <w:rPr>
          <w:rFonts w:cs="Arial"/>
          <w:b/>
          <w:szCs w:val="20"/>
          <w:lang w:val="sl-SI"/>
        </w:rPr>
        <w:t>1. OCENA STANJA IN RAZLOGI ZA SPREJEM PREDLOGA ZAKONA</w:t>
      </w:r>
    </w:p>
    <w:p w14:paraId="547664AF" w14:textId="77777777" w:rsidR="00A23D5D" w:rsidRPr="00C50F53" w:rsidRDefault="00A23D5D" w:rsidP="0038250F">
      <w:pPr>
        <w:spacing w:line="276" w:lineRule="auto"/>
        <w:jc w:val="both"/>
        <w:rPr>
          <w:rFonts w:cs="Arial"/>
          <w:szCs w:val="20"/>
          <w:lang w:val="sl-SI"/>
        </w:rPr>
      </w:pPr>
    </w:p>
    <w:p w14:paraId="57084837" w14:textId="77777777" w:rsidR="00FF197A" w:rsidRPr="0038250F" w:rsidRDefault="00FF197A" w:rsidP="00FF197A">
      <w:pPr>
        <w:spacing w:line="276" w:lineRule="auto"/>
        <w:jc w:val="both"/>
        <w:rPr>
          <w:rFonts w:cs="Arial"/>
          <w:szCs w:val="20"/>
          <w:lang w:val="sl-SI"/>
        </w:rPr>
      </w:pPr>
      <w:r w:rsidRPr="0038250F">
        <w:rPr>
          <w:rFonts w:cs="Arial"/>
          <w:szCs w:val="20"/>
          <w:lang w:val="sl-SI"/>
        </w:rPr>
        <w:t>Leta 2016 je Vlada Republike Slovenije sprejela Strategijo kibernetske varnosti, ki je podlaga za pripravo in izvedbo ukrepov na področju zagotavljanja informacijske varnosti.</w:t>
      </w:r>
      <w:r w:rsidRPr="0038250F">
        <w:rPr>
          <w:rFonts w:eastAsia="Calibri" w:cs="Arial"/>
          <w:szCs w:val="20"/>
          <w:lang w:val="sl-SI"/>
        </w:rPr>
        <w:t xml:space="preserve"> </w:t>
      </w:r>
      <w:r w:rsidRPr="0038250F">
        <w:rPr>
          <w:rFonts w:cs="Arial"/>
          <w:szCs w:val="20"/>
          <w:lang w:val="sl-SI"/>
        </w:rPr>
        <w:t xml:space="preserve">Strategija kibernetske varnosti poudarja pomen vzpostavitve celovitega sistema zagotavljanja kibernetske varnosti kot pomembnega dejavnika varnosti države, ki bo prispeval k zagotovitvi odprtega, varnega in varovanega kibernetskega prostora ter bo podlaga za nemoteno delovanje infrastrukture, pomembne za delovanje državnih organov, gospodarstva in za življenje vsakega posameznika. </w:t>
      </w:r>
    </w:p>
    <w:p w14:paraId="73C74270" w14:textId="77777777" w:rsidR="00FF197A" w:rsidRPr="0038250F" w:rsidRDefault="00FF197A" w:rsidP="00FF197A">
      <w:pPr>
        <w:spacing w:line="276" w:lineRule="auto"/>
        <w:jc w:val="both"/>
        <w:rPr>
          <w:rFonts w:cs="Arial"/>
          <w:szCs w:val="20"/>
          <w:lang w:val="sl-SI"/>
        </w:rPr>
      </w:pPr>
    </w:p>
    <w:p w14:paraId="3E4CC86F" w14:textId="77777777" w:rsidR="00FF197A" w:rsidRPr="0038250F" w:rsidRDefault="00FF197A" w:rsidP="00FF197A">
      <w:pPr>
        <w:spacing w:line="276" w:lineRule="auto"/>
        <w:jc w:val="both"/>
        <w:rPr>
          <w:rFonts w:cs="Arial"/>
          <w:szCs w:val="20"/>
          <w:lang w:val="sl-SI"/>
        </w:rPr>
      </w:pPr>
      <w:r w:rsidRPr="0038250F">
        <w:rPr>
          <w:rFonts w:cs="Arial"/>
          <w:szCs w:val="20"/>
          <w:lang w:val="sl-SI"/>
        </w:rPr>
        <w:t>17. aprila 2018 je Državni zbor Republike Slovenij</w:t>
      </w:r>
      <w:r>
        <w:rPr>
          <w:rFonts w:cs="Arial"/>
          <w:szCs w:val="20"/>
          <w:lang w:val="sl-SI"/>
        </w:rPr>
        <w:t>e</w:t>
      </w:r>
      <w:r w:rsidRPr="0038250F">
        <w:rPr>
          <w:rFonts w:cs="Arial"/>
          <w:szCs w:val="20"/>
          <w:lang w:val="sl-SI"/>
        </w:rPr>
        <w:t xml:space="preserve"> sprejel Zakon o informacijski varnosti (v nadaljevanju besedila: ZInfV), ki ureja področje informacijske varnosti in ukrepe za doseganje visoke ravni varnosti omrežij in informacijskih sistemov v Republiki Sloveniji, ki so bistvenega pomena za nemoteno delovanje države v vseh varnostnih razmerah ter zagotavljajo izvajanje bistvenih storite</w:t>
      </w:r>
      <w:r>
        <w:rPr>
          <w:rFonts w:cs="Arial"/>
          <w:szCs w:val="20"/>
          <w:lang w:val="sl-SI"/>
        </w:rPr>
        <w:t>v</w:t>
      </w:r>
      <w:r w:rsidRPr="0038250F">
        <w:rPr>
          <w:rFonts w:cs="Arial"/>
          <w:szCs w:val="20"/>
          <w:lang w:val="sl-SI"/>
        </w:rPr>
        <w:t xml:space="preserve"> za ohranitev ključnih družbenih in gospodarskih dejavnosti v Republiki Sloveniji. Določa minimalne varnostne zahteve in zahteve za priglasitev incidentov za zavezance tega zakona. P</w:t>
      </w:r>
      <w:r>
        <w:rPr>
          <w:rFonts w:cs="Arial"/>
          <w:szCs w:val="20"/>
          <w:lang w:val="sl-SI"/>
        </w:rPr>
        <w:t>oleg tega</w:t>
      </w:r>
      <w:r w:rsidRPr="0038250F">
        <w:rPr>
          <w:rFonts w:cs="Arial"/>
          <w:szCs w:val="20"/>
          <w:lang w:val="sl-SI"/>
        </w:rPr>
        <w:t xml:space="preserve"> ureja pristojnosti, naloge, organizacijo in delovanje pristojnega nacionalnega organa za informacijsko varnost, enotne kontaktne točke za informacijsko varnost, nacionalne skupine za obravnavo incidentov s področja varnosti elektronskih omrežij in informacij </w:t>
      </w:r>
      <w:r>
        <w:rPr>
          <w:rFonts w:cs="Arial"/>
          <w:szCs w:val="20"/>
          <w:lang w:val="sl-SI"/>
        </w:rPr>
        <w:t>ter</w:t>
      </w:r>
      <w:r w:rsidRPr="0038250F">
        <w:rPr>
          <w:rFonts w:cs="Arial"/>
          <w:szCs w:val="20"/>
          <w:lang w:val="sl-SI"/>
        </w:rPr>
        <w:t xml:space="preserve"> skupine za obravnavo incidentov s področja varnosti elektronskih omrežij in informacij organov državne uprave na področju zagotavljanja informacijske varnosti. Zakon je določil tri kategorije zavezancev: izvajalce bistvenih storitev, organe državne uprave in ponudnike digitalnih storitev. Uredil je tudi področje nadzora v pristojnosti inšpekcijskega organa, ki je notranja organizacijska enota pristojnega nacionalnega organa za informacijsko varnost. Zakon ne velja za pravne ali fizične osebe, </w:t>
      </w:r>
      <w:r>
        <w:rPr>
          <w:rFonts w:cs="Arial"/>
          <w:szCs w:val="20"/>
          <w:lang w:val="sl-SI"/>
        </w:rPr>
        <w:t>če</w:t>
      </w:r>
      <w:r w:rsidRPr="0038250F">
        <w:rPr>
          <w:rFonts w:cs="Arial"/>
          <w:szCs w:val="20"/>
          <w:lang w:val="sl-SI"/>
        </w:rPr>
        <w:t xml:space="preserve"> zagotavljajo javna komunikacijska omrežja ali javno dostopne elektronske komunikacijske storitve</w:t>
      </w:r>
      <w:r>
        <w:rPr>
          <w:rFonts w:cs="Arial"/>
          <w:szCs w:val="20"/>
          <w:lang w:val="sl-SI"/>
        </w:rPr>
        <w:t>,</w:t>
      </w:r>
      <w:r w:rsidRPr="0038250F">
        <w:rPr>
          <w:rFonts w:cs="Arial"/>
          <w:szCs w:val="20"/>
          <w:lang w:val="sl-SI"/>
        </w:rPr>
        <w:t xml:space="preserve"> ter ponudnike storitev zaupanja, za katere veljajo zahteve iz 19. člena Uredbe (EU) št. 910/2014 (tako imenovana Uredba eIDAS).</w:t>
      </w:r>
    </w:p>
    <w:p w14:paraId="22B22D02" w14:textId="77777777" w:rsidR="00FF197A" w:rsidRPr="0038250F" w:rsidRDefault="00FF197A" w:rsidP="00FF197A">
      <w:pPr>
        <w:spacing w:line="276" w:lineRule="auto"/>
        <w:jc w:val="both"/>
        <w:rPr>
          <w:rFonts w:cs="Arial"/>
          <w:szCs w:val="20"/>
          <w:lang w:val="sl-SI"/>
        </w:rPr>
      </w:pPr>
    </w:p>
    <w:p w14:paraId="287561AC" w14:textId="77777777" w:rsidR="00FF197A" w:rsidRPr="0038250F" w:rsidRDefault="00FF197A" w:rsidP="00FF197A">
      <w:pPr>
        <w:spacing w:line="276" w:lineRule="auto"/>
        <w:jc w:val="both"/>
        <w:rPr>
          <w:rFonts w:eastAsia="Calibri" w:cs="Arial"/>
          <w:szCs w:val="20"/>
          <w:lang w:val="sl-SI"/>
        </w:rPr>
      </w:pPr>
      <w:r w:rsidRPr="0038250F">
        <w:rPr>
          <w:rFonts w:cs="Arial"/>
          <w:szCs w:val="20"/>
          <w:lang w:val="sl-SI"/>
        </w:rPr>
        <w:t>Republika Slovenija do sprejema ZInfV ni imela zakonsko urejenega področja zagotavljanja informacijske varnosti. S sprejemom ZInfV smo v slovenski pravni red prenesli Direktivo 2016/1148/ES Evropskega parlamenta in Sveta z dne 6. julija 2016 o ukrepih za visoko skupno raven varnosti omrežij in informacijskih sistemov v Uniji (v nadaljnjem besedilu: Direktiva 2016/1148/ES) ter se primerno odzvali na naraščajoče trende obsega in kompleksnosti incidentov v kibernetskem prostoru. Zaradi velike odvisnost</w:t>
      </w:r>
      <w:r>
        <w:rPr>
          <w:rFonts w:cs="Arial"/>
          <w:szCs w:val="20"/>
          <w:lang w:val="sl-SI"/>
        </w:rPr>
        <w:t>i</w:t>
      </w:r>
      <w:r w:rsidRPr="0038250F">
        <w:rPr>
          <w:rFonts w:cs="Arial"/>
          <w:szCs w:val="20"/>
          <w:lang w:val="sl-SI"/>
        </w:rPr>
        <w:t xml:space="preserve"> gospodarstva in celotne družbe od neprekinjenega delovanja omrežij in informacijskih sistemov </w:t>
      </w:r>
      <w:r>
        <w:rPr>
          <w:rFonts w:cs="Arial"/>
          <w:szCs w:val="20"/>
          <w:lang w:val="sl-SI"/>
        </w:rPr>
        <w:t>sta</w:t>
      </w:r>
      <w:r w:rsidRPr="0038250F">
        <w:rPr>
          <w:rFonts w:cs="Arial"/>
          <w:szCs w:val="20"/>
          <w:lang w:val="sl-SI"/>
        </w:rPr>
        <w:t xml:space="preserve"> bil</w:t>
      </w:r>
      <w:r>
        <w:rPr>
          <w:rFonts w:cs="Arial"/>
          <w:szCs w:val="20"/>
          <w:lang w:val="sl-SI"/>
        </w:rPr>
        <w:t>i</w:t>
      </w:r>
      <w:r w:rsidRPr="0038250F">
        <w:rPr>
          <w:rFonts w:cs="Arial"/>
          <w:szCs w:val="20"/>
          <w:lang w:val="sl-SI"/>
        </w:rPr>
        <w:t xml:space="preserve"> nujn</w:t>
      </w:r>
      <w:r>
        <w:rPr>
          <w:rFonts w:cs="Arial"/>
          <w:szCs w:val="20"/>
          <w:lang w:val="sl-SI"/>
        </w:rPr>
        <w:t>i</w:t>
      </w:r>
      <w:r w:rsidRPr="0038250F">
        <w:rPr>
          <w:rFonts w:cs="Arial"/>
          <w:szCs w:val="20"/>
          <w:lang w:val="sl-SI"/>
        </w:rPr>
        <w:t xml:space="preserve"> celovita ureditev in </w:t>
      </w:r>
      <w:r w:rsidRPr="0038250F">
        <w:rPr>
          <w:rFonts w:cs="Arial"/>
          <w:szCs w:val="20"/>
          <w:lang w:val="sl-SI"/>
        </w:rPr>
        <w:lastRenderedPageBreak/>
        <w:t>okrepitev področja zagotavljanja informacijske varnosti. Državo k temu spodbujajo in jo hkrati zavezujejo tudi sprejeti strateški nacionalni in mednarodni dokumenti, na primer Resolucija o strategiji nacionalne varnosti Republike Slovenije (Uradni list RS, št. 59/19). Omenjena resolucija je informacijsko-kibernetske grožnje opredelila kot eno ključnih groženj. Svet za nacionalno varnost (SNAV) je na seji 4. maja 2020 sklenil, da Slovenija potrebuje skupno in celovito delovanje na področju kibernetske varnosti. V okviru predsedovanja Svetu EU v drugi polovici leta 2021 je bila za eno od strateških tem določena digitalizacija, znotraj nje pa kot prednostno vprašanje ravno zagotavljanje kibernetske varnosti.</w:t>
      </w:r>
      <w:r w:rsidRPr="0038250F">
        <w:rPr>
          <w:rFonts w:eastAsia="Calibri" w:cs="Arial"/>
          <w:szCs w:val="20"/>
          <w:lang w:val="sl-SI"/>
        </w:rPr>
        <w:t xml:space="preserve"> Evropska komisija in Evropska služba za zunanje delovanje sta decembra 2020 predstavili novo strategijo EU za kibernetsko varnost. Njen namen je narediti Evropo odpornejšo proti kibernetskim grožnjam in zagotoviti, da bodo lahko vsi državljani in podjetja uživali vse koristi, ki jih </w:t>
      </w:r>
      <w:r>
        <w:rPr>
          <w:rFonts w:eastAsia="Calibri" w:cs="Arial"/>
          <w:szCs w:val="20"/>
          <w:lang w:val="sl-SI"/>
        </w:rPr>
        <w:t>ponujajo</w:t>
      </w:r>
      <w:r w:rsidRPr="0038250F">
        <w:rPr>
          <w:rFonts w:eastAsia="Calibri" w:cs="Arial"/>
          <w:szCs w:val="20"/>
          <w:lang w:val="sl-SI"/>
        </w:rPr>
        <w:t xml:space="preserve"> zaupanja vredne in zanesljive storitve ter digitalna orodja. Svet EU je 22. marca 2021 sprejel sklepe o strategiji za kibernetsko varnost, v katerih je poudaril, da je kibernetska varnost bistvena za izgradnjo odporne, zelene in digitalne Evrope.</w:t>
      </w:r>
    </w:p>
    <w:p w14:paraId="3A30C2F3" w14:textId="77777777" w:rsidR="00FF197A" w:rsidRPr="0038250F" w:rsidRDefault="00FF197A" w:rsidP="00FF197A">
      <w:pPr>
        <w:spacing w:line="276" w:lineRule="auto"/>
        <w:jc w:val="both"/>
        <w:rPr>
          <w:rFonts w:eastAsia="Calibri" w:cs="Arial"/>
          <w:szCs w:val="20"/>
          <w:lang w:val="sl-SI"/>
        </w:rPr>
      </w:pPr>
    </w:p>
    <w:p w14:paraId="7BB3B858"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Na podlagi strateških usmeritev in zaznanih pomanjkljivosti sistema informacijske varnosti je bil ZInfV nadgrajen z ustreznimi spremembami in dopolnitvami. Novela Zakona o spremembah in dopolnitvi Zakona o informacijski varnosti (v nadaljnjem besedilu: ZInfV-A), ki jo je Državni zbor Republike Slovenije sprejel 4. junija 2021, je pristojni nacionalni organ za informacijsko varnost, ki je deloval kot organ v sestavi Ministrstva za javno upravo, preoblikovala v samostojni vladni urad. S tem se je sledilo nacionalnim in mednarodnim izkušnjam, da so pristojni nacionalni organi za področje informacijske (kibernetske) varnosti postali ključni deležniki v sistemu zagotavljanja nacionalne varnosti sodobnih držav. Z ustrezno umestitvijo pristojnega nacionalnega organa kot vladnega urada, ki je prevzel tudi naloge</w:t>
      </w:r>
      <w:r w:rsidRPr="0038250F">
        <w:rPr>
          <w:rFonts w:cs="Arial"/>
          <w:lang w:val="sl-SI"/>
        </w:rPr>
        <w:t xml:space="preserve"> </w:t>
      </w:r>
      <w:r w:rsidRPr="0038250F">
        <w:rPr>
          <w:rFonts w:eastAsia="Calibri" w:cs="Arial"/>
          <w:szCs w:val="20"/>
          <w:lang w:val="sl-SI"/>
        </w:rPr>
        <w:t xml:space="preserve">pripravljanja predlogov predpisov s področja informacijske in kibernetske varnosti ter izvajanje nalog nacionalnega certifikacijskega organa za kibernetsko varnost, se je okrepila proaktivna vloga na področju zagotavljanja informacijsko kibernetske varnosti v Republiki Sloveniji. Novela zakona je tudi določila, da naloge CSIRT organov državne uprave izvaja notranja organizacijska enota pristojnega nacionalnega organa. </w:t>
      </w:r>
    </w:p>
    <w:p w14:paraId="38B40087" w14:textId="77777777" w:rsidR="00FF197A" w:rsidRPr="0038250F" w:rsidRDefault="00FF197A" w:rsidP="00FF197A">
      <w:pPr>
        <w:spacing w:line="276" w:lineRule="auto"/>
        <w:jc w:val="both"/>
        <w:rPr>
          <w:rFonts w:eastAsia="Calibri" w:cs="Arial"/>
          <w:szCs w:val="20"/>
          <w:lang w:val="sl-SI"/>
        </w:rPr>
      </w:pPr>
    </w:p>
    <w:p w14:paraId="6C851EEC" w14:textId="77777777" w:rsidR="00FF197A" w:rsidRPr="0038250F" w:rsidRDefault="00FF197A" w:rsidP="00FF197A">
      <w:pPr>
        <w:overflowPunct w:val="0"/>
        <w:autoSpaceDE w:val="0"/>
        <w:autoSpaceDN w:val="0"/>
        <w:adjustRightInd w:val="0"/>
        <w:spacing w:line="276" w:lineRule="auto"/>
        <w:jc w:val="both"/>
        <w:textAlignment w:val="baseline"/>
        <w:rPr>
          <w:rFonts w:eastAsia="Calibri" w:cs="Arial"/>
          <w:szCs w:val="20"/>
          <w:lang w:val="sl-SI"/>
        </w:rPr>
      </w:pPr>
      <w:r w:rsidRPr="0038250F">
        <w:rPr>
          <w:rFonts w:cs="Arial"/>
          <w:szCs w:val="20"/>
          <w:lang w:val="sl-SI" w:eastAsia="sl-SI"/>
        </w:rPr>
        <w:t xml:space="preserve">S spremembo Zakona o vladi (ZVRS-J) </w:t>
      </w:r>
      <w:r>
        <w:rPr>
          <w:rFonts w:cs="Arial"/>
          <w:szCs w:val="20"/>
          <w:lang w:val="sl-SI" w:eastAsia="sl-SI"/>
        </w:rPr>
        <w:t>ter</w:t>
      </w:r>
      <w:r w:rsidRPr="0038250F">
        <w:rPr>
          <w:rFonts w:cs="Arial"/>
          <w:szCs w:val="20"/>
          <w:lang w:val="sl-SI" w:eastAsia="sl-SI"/>
        </w:rPr>
        <w:t xml:space="preserve"> posledičnimi spremembami in dopolnitvami Zakona o državni upravi (ZDU-1O) je pristojnost upravljanja s </w:t>
      </w:r>
      <w:bookmarkStart w:id="1" w:name="_Hlk125623056"/>
      <w:r w:rsidRPr="0038250F">
        <w:rPr>
          <w:rFonts w:cs="Arial"/>
          <w:lang w:val="sl-SI"/>
        </w:rPr>
        <w:t xml:space="preserve">centralnim državnim informacijsko-komunikacijskim omrežjem oziroma sistemom (v nadaljnjem besedilu: centralni informacijsko-komunikacijski sistem) </w:t>
      </w:r>
      <w:bookmarkEnd w:id="1"/>
      <w:r w:rsidRPr="0038250F">
        <w:rPr>
          <w:rFonts w:cs="Arial"/>
          <w:lang w:val="sl-SI"/>
        </w:rPr>
        <w:t>z ministrstva, pristojnega za javno upravo, ki je (bilo) pristojno za informacijsko varnost v centralnem informacijsko-komunikacijsk</w:t>
      </w:r>
      <w:r>
        <w:rPr>
          <w:rFonts w:cs="Arial"/>
          <w:lang w:val="sl-SI"/>
        </w:rPr>
        <w:t>e</w:t>
      </w:r>
      <w:r w:rsidRPr="0038250F">
        <w:rPr>
          <w:rFonts w:cs="Arial"/>
          <w:lang w:val="sl-SI"/>
        </w:rPr>
        <w:t xml:space="preserve">m sistemu, prešla na novo vzpostavljeno ministrstvo za digitalno preobrazbo. Izvajanje enotne informacijske varnostne politike se je preneslo na pristojni nacionalni organ za informacijsko varnost. </w:t>
      </w:r>
      <w:r w:rsidRPr="0038250F">
        <w:rPr>
          <w:rFonts w:eastAsia="Calibri" w:cs="Arial"/>
          <w:szCs w:val="20"/>
          <w:lang w:val="sl-SI"/>
        </w:rPr>
        <w:t>Novela zakona, torej Zakon o spremembah in dopolnitvi Zakona o informacijski varnosti (ZInfV-A)</w:t>
      </w:r>
      <w:r>
        <w:rPr>
          <w:rFonts w:eastAsia="Calibri" w:cs="Arial"/>
          <w:szCs w:val="20"/>
          <w:lang w:val="sl-SI"/>
        </w:rPr>
        <w:t>,</w:t>
      </w:r>
      <w:r w:rsidRPr="0038250F">
        <w:rPr>
          <w:rFonts w:eastAsia="Calibri" w:cs="Arial"/>
          <w:szCs w:val="20"/>
          <w:lang w:val="sl-SI"/>
        </w:rPr>
        <w:t xml:space="preserve"> Uradni list RS, št. 95/21), je tudi nadgradila pristojnosti in naloge CSIRT organov državne uprave ter obveznosti upravitelja centralnega informacijsko-komunikacijskega sistema. Poleg tega je uvedla še ustrezne nadzorstvene določbe za nove subjekte.</w:t>
      </w:r>
    </w:p>
    <w:p w14:paraId="4A002272"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highlight w:val="green"/>
          <w:lang w:val="sl-SI" w:eastAsia="sl-SI"/>
        </w:rPr>
      </w:pPr>
    </w:p>
    <w:p w14:paraId="023639AC" w14:textId="77777777" w:rsidR="00FF197A" w:rsidRPr="0038250F" w:rsidRDefault="00FF197A" w:rsidP="00FF197A">
      <w:pPr>
        <w:overflowPunct w:val="0"/>
        <w:autoSpaceDE w:val="0"/>
        <w:autoSpaceDN w:val="0"/>
        <w:adjustRightInd w:val="0"/>
        <w:spacing w:line="276" w:lineRule="auto"/>
        <w:jc w:val="both"/>
        <w:textAlignment w:val="baseline"/>
        <w:rPr>
          <w:rFonts w:cs="Arial"/>
          <w:b/>
          <w:bCs/>
          <w:szCs w:val="20"/>
          <w:lang w:val="sl-SI" w:eastAsia="sl-SI"/>
        </w:rPr>
      </w:pPr>
      <w:r w:rsidRPr="0038250F">
        <w:rPr>
          <w:rFonts w:cs="Arial"/>
          <w:b/>
          <w:bCs/>
          <w:szCs w:val="20"/>
          <w:lang w:val="sl-SI" w:eastAsia="sl-SI"/>
        </w:rPr>
        <w:t>Organiziranost nacionalnega sistema kibernetske varnosti</w:t>
      </w:r>
    </w:p>
    <w:p w14:paraId="754F2F2F"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highlight w:val="green"/>
          <w:lang w:val="sl-SI" w:eastAsia="sl-SI"/>
        </w:rPr>
      </w:pPr>
    </w:p>
    <w:p w14:paraId="79D204A6"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Nacionalni sistem informacijske/kibernetske varnosti je razdeljen na tri ravni:</w:t>
      </w:r>
    </w:p>
    <w:p w14:paraId="09095EB3" w14:textId="77777777" w:rsidR="00FF197A" w:rsidRPr="0038250F" w:rsidRDefault="00FF197A" w:rsidP="00FF197A">
      <w:pPr>
        <w:spacing w:line="276" w:lineRule="auto"/>
        <w:jc w:val="both"/>
        <w:rPr>
          <w:rFonts w:eastAsia="Calibri" w:cs="Arial"/>
          <w:szCs w:val="20"/>
          <w:lang w:val="sl-SI"/>
        </w:rPr>
      </w:pPr>
    </w:p>
    <w:p w14:paraId="4782BF63" w14:textId="77777777" w:rsidR="00FF197A" w:rsidRPr="00B21442" w:rsidRDefault="00FF197A" w:rsidP="00FF197A">
      <w:pPr>
        <w:pStyle w:val="Odstavekseznama"/>
        <w:numPr>
          <w:ilvl w:val="0"/>
          <w:numId w:val="95"/>
        </w:numPr>
        <w:spacing w:line="276" w:lineRule="auto"/>
        <w:ind w:left="697" w:hanging="357"/>
        <w:jc w:val="both"/>
        <w:rPr>
          <w:rFonts w:eastAsia="Calibri" w:cs="Arial"/>
          <w:szCs w:val="20"/>
          <w:lang w:val="sl-SI"/>
        </w:rPr>
      </w:pPr>
      <w:r w:rsidRPr="00B21442">
        <w:rPr>
          <w:rFonts w:eastAsia="Calibri" w:cs="Arial"/>
          <w:szCs w:val="20"/>
          <w:lang w:val="sl-SI"/>
        </w:rPr>
        <w:t>strateško-koordinacijsko (URSIV kot pristojni nacionalni organ za informacijsko varnost – PNO),</w:t>
      </w:r>
    </w:p>
    <w:p w14:paraId="7DF501F1" w14:textId="77777777" w:rsidR="00FF197A" w:rsidRPr="00B21442" w:rsidRDefault="00FF197A" w:rsidP="00FF197A">
      <w:pPr>
        <w:pStyle w:val="Odstavekseznama"/>
        <w:numPr>
          <w:ilvl w:val="0"/>
          <w:numId w:val="95"/>
        </w:numPr>
        <w:spacing w:line="276" w:lineRule="auto"/>
        <w:ind w:left="697" w:hanging="357"/>
        <w:jc w:val="both"/>
        <w:rPr>
          <w:rFonts w:eastAsia="Calibri" w:cs="Arial"/>
          <w:szCs w:val="20"/>
          <w:lang w:val="sl-SI"/>
        </w:rPr>
      </w:pPr>
      <w:r w:rsidRPr="00B21442">
        <w:rPr>
          <w:rFonts w:eastAsia="Calibri" w:cs="Arial"/>
          <w:szCs w:val="20"/>
          <w:lang w:val="sl-SI"/>
        </w:rPr>
        <w:t>operativno oziroma raven zaznavanja in odzivanja na incidente (SI-CERT kot nacionalni CSIRT, SIGOV-CERT kot CSIRT organov državne uprave, SOVA in varnostno-operativni centri Policije, MO in MDP),</w:t>
      </w:r>
    </w:p>
    <w:p w14:paraId="3B58779B" w14:textId="77777777" w:rsidR="00FF197A" w:rsidRPr="00B21442" w:rsidRDefault="00FF197A" w:rsidP="00FF197A">
      <w:pPr>
        <w:pStyle w:val="Odstavekseznama"/>
        <w:numPr>
          <w:ilvl w:val="0"/>
          <w:numId w:val="95"/>
        </w:numPr>
        <w:spacing w:line="276" w:lineRule="auto"/>
        <w:ind w:left="697" w:hanging="357"/>
        <w:jc w:val="both"/>
        <w:rPr>
          <w:rFonts w:eastAsia="Calibri" w:cs="Arial"/>
          <w:szCs w:val="20"/>
          <w:lang w:val="sl-SI"/>
        </w:rPr>
      </w:pPr>
      <w:r w:rsidRPr="00B21442">
        <w:rPr>
          <w:rFonts w:eastAsia="Calibri" w:cs="Arial"/>
          <w:szCs w:val="20"/>
          <w:lang w:val="sl-SI"/>
        </w:rPr>
        <w:t>raven zavezancev (izvajalci bistvenih storitev, ponudniki digitalnih storitev, organi državne uprave, povezani subjekti).</w:t>
      </w:r>
    </w:p>
    <w:p w14:paraId="4BF1554B" w14:textId="77777777" w:rsidR="00FF197A" w:rsidRPr="0038250F" w:rsidRDefault="00FF197A" w:rsidP="00FF197A">
      <w:pPr>
        <w:spacing w:line="276" w:lineRule="auto"/>
        <w:jc w:val="both"/>
        <w:rPr>
          <w:rFonts w:eastAsia="Calibri" w:cs="Arial"/>
          <w:szCs w:val="20"/>
          <w:highlight w:val="cyan"/>
          <w:lang w:val="sl-SI"/>
        </w:rPr>
      </w:pPr>
    </w:p>
    <w:p w14:paraId="0461EBE0"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Osrednja naloga PNO na strateški koordinacijski ravni nacionalnega sistema informacijske/kibernetske varnosti je skrb za pripravo in izvajanje strategije ter normativno urejanje področja kibernetske varnosti. Naloga PNO je usklajevanje organov in organizacij, ki delujejo na področju informacijske/kibernetske varnosti (nacionalni CSIRT, CSIRT organov državne uprave, varnostno-operativni centri, regulatorji oziroma nadzorniki področij iz drugega odstavka 5. člena ZInfV, Agencija za komunikacijska omrežja in storitve Republike Slovenije, Informacijski pooblaščenec, organi kazenskega pregona in ponudniki varnostnih rešitev), ter v odnosu do mednarodnih deležnikov. Za zagotavljanje čezmejnega sodelovanja URSIV izvaja naloge enotne kontaktne točke, kar pomeni predvsem sooblikovanje politik na tem vsebinskem področju v okviru organizacij EU, NATO, OVSE, OZN. V zvezi s tem sta ključna izmenjava in usklajevanje stališč z drugimi pristojnimi organi na državni ravni (MO, MNZ, MZEZ, SOVA, UVTP, SI-CERT). S tega vidika se izvaja tudi redno letno poročanje glede na vprašalnike NATA in EU (ENISA).</w:t>
      </w:r>
    </w:p>
    <w:p w14:paraId="3BA2AABF" w14:textId="77777777" w:rsidR="00FF197A" w:rsidRPr="0038250F" w:rsidRDefault="00FF197A" w:rsidP="00FF197A">
      <w:pPr>
        <w:spacing w:line="276" w:lineRule="auto"/>
        <w:jc w:val="both"/>
        <w:rPr>
          <w:rFonts w:eastAsia="Calibri" w:cs="Arial"/>
          <w:szCs w:val="20"/>
          <w:highlight w:val="cyan"/>
          <w:lang w:val="sl-SI"/>
        </w:rPr>
      </w:pPr>
    </w:p>
    <w:p w14:paraId="6A7D27F8"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Na operativni ravni sistema so zmogljivosti za odzivanje na incidente v kibernetskem prostoru porazdeljene med SI-CERT kot nacionalni odzivni center za omrežne incidente, SIGOV-CERT kot CSIRT organov državne uprave, ki deluje v okviru PNO, Slovensko obveščevalno-varnostno agencijo ter varnostno</w:t>
      </w:r>
      <w:r>
        <w:rPr>
          <w:rFonts w:eastAsia="Calibri" w:cs="Arial"/>
          <w:szCs w:val="20"/>
          <w:lang w:val="sl-SI"/>
        </w:rPr>
        <w:t>-</w:t>
      </w:r>
      <w:r w:rsidRPr="0038250F">
        <w:rPr>
          <w:rFonts w:eastAsia="Calibri" w:cs="Arial"/>
          <w:szCs w:val="20"/>
          <w:lang w:val="sl-SI"/>
        </w:rPr>
        <w:t>operativne centre Ministrstva za obrambo, Policije in Ministrstva za digitalno preobrazbo.</w:t>
      </w:r>
    </w:p>
    <w:p w14:paraId="5E7332FA" w14:textId="77777777" w:rsidR="00FF197A" w:rsidRPr="0038250F" w:rsidRDefault="00FF197A" w:rsidP="00FF197A">
      <w:pPr>
        <w:spacing w:line="276" w:lineRule="auto"/>
        <w:jc w:val="both"/>
        <w:rPr>
          <w:rFonts w:eastAsia="Calibri" w:cs="Arial"/>
          <w:szCs w:val="20"/>
          <w:lang w:val="sl-SI"/>
        </w:rPr>
      </w:pPr>
    </w:p>
    <w:p w14:paraId="04779184" w14:textId="77777777" w:rsidR="00FF197A" w:rsidRPr="0038250F" w:rsidRDefault="00FF197A" w:rsidP="00FF197A">
      <w:pPr>
        <w:spacing w:line="276" w:lineRule="auto"/>
        <w:jc w:val="both"/>
        <w:rPr>
          <w:rFonts w:cs="Arial"/>
          <w:b/>
          <w:bCs/>
          <w:szCs w:val="20"/>
          <w:lang w:val="sl-SI" w:eastAsia="sl-SI"/>
        </w:rPr>
      </w:pPr>
      <w:r w:rsidRPr="0038250F">
        <w:rPr>
          <w:rFonts w:cs="Arial"/>
          <w:b/>
          <w:bCs/>
          <w:szCs w:val="20"/>
          <w:lang w:val="sl-SI" w:eastAsia="sl-SI"/>
        </w:rPr>
        <w:t>Direktiva 2022/2555/EU</w:t>
      </w:r>
    </w:p>
    <w:p w14:paraId="7A162F9E" w14:textId="77777777" w:rsidR="00FF197A" w:rsidRPr="0038250F" w:rsidRDefault="00FF197A" w:rsidP="00FF197A">
      <w:pPr>
        <w:spacing w:line="276" w:lineRule="auto"/>
        <w:jc w:val="both"/>
        <w:rPr>
          <w:rFonts w:eastAsia="Calibri" w:cs="Arial"/>
          <w:szCs w:val="20"/>
          <w:lang w:val="sl-SI"/>
        </w:rPr>
      </w:pPr>
    </w:p>
    <w:p w14:paraId="402DC938" w14:textId="6881443F"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Namen Direktive (EU) 2022/2555 Evropskega parlamenta in Sveta z dne 14. decembra 2022 o ukrepih za visoko skupno raven kibernetske varnosti v Uniji, spremembi Uredbe (EU) št. 910/2014 in Direktive (EU) 2018/1972 ter razveljavitvi Direktive (EU) 2016/1148 (Direktiva NIS 2) (UL L št. 333/142 z dne 27. 12. 2022, str.</w:t>
      </w:r>
      <w:r>
        <w:rPr>
          <w:rFonts w:cs="Arial"/>
          <w:szCs w:val="20"/>
          <w:lang w:val="sl-SI" w:eastAsia="sl-SI"/>
        </w:rPr>
        <w:t xml:space="preserve"> </w:t>
      </w:r>
      <w:r w:rsidRPr="0038250F">
        <w:rPr>
          <w:rFonts w:cs="Arial"/>
          <w:szCs w:val="20"/>
          <w:lang w:val="sl-SI" w:eastAsia="sl-SI"/>
        </w:rPr>
        <w:t xml:space="preserve">80), </w:t>
      </w:r>
      <w:r w:rsidR="00A62796" w:rsidRPr="00A62796">
        <w:rPr>
          <w:rFonts w:cs="Arial"/>
          <w:szCs w:val="20"/>
          <w:lang w:val="sl-SI" w:eastAsia="sl-SI"/>
        </w:rPr>
        <w:t>zadnjič popravljeno s Popravkom (UL L št. 90348 z dne 12. 6. 2024, str. 139), (v nadaljnjem besedilu: Direktiva 2022/2555/EU)</w:t>
      </w:r>
      <w:r w:rsidRPr="0038250F">
        <w:rPr>
          <w:rFonts w:cs="Arial"/>
          <w:szCs w:val="20"/>
          <w:lang w:val="sl-SI" w:eastAsia="sl-SI"/>
        </w:rPr>
        <w:t xml:space="preserve"> je določiti ukrepe, katerih cilj je zagotoviti visoko skupno raven kibernetske varnosti v Evropski uniji, da bi se izboljšalo delovanje notranjega trga. V ta namen direktiva določa obveznosti, ki od držav članic zahtevajo, da sprejmejo: </w:t>
      </w:r>
    </w:p>
    <w:p w14:paraId="378D36E5" w14:textId="77777777" w:rsidR="00FF197A" w:rsidRPr="00B21442" w:rsidRDefault="00FF197A" w:rsidP="00FF197A">
      <w:pPr>
        <w:pStyle w:val="Odstavekseznama"/>
        <w:numPr>
          <w:ilvl w:val="0"/>
          <w:numId w:val="96"/>
        </w:numPr>
        <w:overflowPunct w:val="0"/>
        <w:autoSpaceDE w:val="0"/>
        <w:autoSpaceDN w:val="0"/>
        <w:adjustRightInd w:val="0"/>
        <w:spacing w:line="276" w:lineRule="auto"/>
        <w:ind w:left="714" w:hanging="357"/>
        <w:jc w:val="both"/>
        <w:textAlignment w:val="baseline"/>
        <w:rPr>
          <w:rFonts w:cs="Arial"/>
          <w:szCs w:val="20"/>
          <w:lang w:val="sl-SI" w:eastAsia="sl-SI"/>
        </w:rPr>
      </w:pPr>
      <w:r w:rsidRPr="00B21442">
        <w:rPr>
          <w:rFonts w:cs="Arial"/>
          <w:szCs w:val="20"/>
          <w:lang w:val="sl-SI" w:eastAsia="sl-SI"/>
        </w:rPr>
        <w:t>nacionalne strategije za kibernetsko varnost in imenujejo ali ustanovijo pristojne organe, organe za obvladovanje kibernetskih kriz, enotne kontaktne točke za kibernetsko varnost (v nadaljnjem besedilu: enotne kontaktne točke) in skupine za odzivanje na incidente na področju računalniške varnosti (v nadaljnjem besedilu: skupine CSIRT),</w:t>
      </w:r>
    </w:p>
    <w:p w14:paraId="3F7FC8F5" w14:textId="77777777" w:rsidR="00FF197A" w:rsidRPr="00B21442" w:rsidRDefault="00FF197A" w:rsidP="00FF197A">
      <w:pPr>
        <w:pStyle w:val="Odstavekseznama"/>
        <w:numPr>
          <w:ilvl w:val="0"/>
          <w:numId w:val="96"/>
        </w:numPr>
        <w:overflowPunct w:val="0"/>
        <w:autoSpaceDE w:val="0"/>
        <w:autoSpaceDN w:val="0"/>
        <w:adjustRightInd w:val="0"/>
        <w:spacing w:line="276" w:lineRule="auto"/>
        <w:ind w:left="714" w:hanging="357"/>
        <w:jc w:val="both"/>
        <w:textAlignment w:val="baseline"/>
        <w:rPr>
          <w:rFonts w:cs="Arial"/>
          <w:szCs w:val="20"/>
          <w:lang w:val="sl-SI" w:eastAsia="sl-SI"/>
        </w:rPr>
      </w:pPr>
      <w:r w:rsidRPr="00B21442">
        <w:rPr>
          <w:rFonts w:cs="Arial"/>
          <w:szCs w:val="20"/>
          <w:lang w:val="sl-SI" w:eastAsia="sl-SI"/>
        </w:rPr>
        <w:t>ukrepe za obvladovanja tveganj za kibernetsko varnost in obveznosti poročanja za subjekte vrste iz Priloge I ali II ter za subjekte, ki so identificirani kot kritični subjekti na podlagi Direktive (EU) 2022/2557,</w:t>
      </w:r>
    </w:p>
    <w:p w14:paraId="244D29B6" w14:textId="77777777" w:rsidR="00FF197A" w:rsidRPr="00B21442" w:rsidRDefault="00FF197A" w:rsidP="00FF197A">
      <w:pPr>
        <w:pStyle w:val="Odstavekseznama"/>
        <w:numPr>
          <w:ilvl w:val="0"/>
          <w:numId w:val="96"/>
        </w:numPr>
        <w:overflowPunct w:val="0"/>
        <w:autoSpaceDE w:val="0"/>
        <w:autoSpaceDN w:val="0"/>
        <w:adjustRightInd w:val="0"/>
        <w:spacing w:line="276" w:lineRule="auto"/>
        <w:ind w:left="714" w:hanging="357"/>
        <w:jc w:val="both"/>
        <w:textAlignment w:val="baseline"/>
        <w:rPr>
          <w:rFonts w:cs="Arial"/>
          <w:szCs w:val="20"/>
          <w:lang w:val="sl-SI" w:eastAsia="sl-SI"/>
        </w:rPr>
      </w:pPr>
      <w:r w:rsidRPr="00B21442">
        <w:rPr>
          <w:rFonts w:cs="Arial"/>
          <w:szCs w:val="20"/>
          <w:lang w:val="sl-SI" w:eastAsia="sl-SI"/>
        </w:rPr>
        <w:t>pravila in obveznosti glede izmenjave informacij o kibernetski varnosti,</w:t>
      </w:r>
    </w:p>
    <w:p w14:paraId="3F45E244" w14:textId="77777777" w:rsidR="00FF197A" w:rsidRPr="00B21442" w:rsidRDefault="00FF197A" w:rsidP="00FF197A">
      <w:pPr>
        <w:pStyle w:val="Odstavekseznama"/>
        <w:numPr>
          <w:ilvl w:val="0"/>
          <w:numId w:val="96"/>
        </w:numPr>
        <w:overflowPunct w:val="0"/>
        <w:autoSpaceDE w:val="0"/>
        <w:autoSpaceDN w:val="0"/>
        <w:adjustRightInd w:val="0"/>
        <w:spacing w:line="276" w:lineRule="auto"/>
        <w:ind w:left="714" w:hanging="357"/>
        <w:jc w:val="both"/>
        <w:textAlignment w:val="baseline"/>
        <w:rPr>
          <w:rFonts w:cs="Arial"/>
          <w:szCs w:val="20"/>
          <w:lang w:val="sl-SI" w:eastAsia="sl-SI"/>
        </w:rPr>
      </w:pPr>
      <w:r w:rsidRPr="00B21442">
        <w:rPr>
          <w:rFonts w:cs="Arial"/>
          <w:szCs w:val="20"/>
          <w:lang w:val="sl-SI" w:eastAsia="sl-SI"/>
        </w:rPr>
        <w:t>obveznosti nadzora in izvrševanja za države članice.</w:t>
      </w:r>
    </w:p>
    <w:p w14:paraId="7706188D"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3FE8CEDC"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Direktiva 2022/2555/EU prinaša veliko sprememb na področju kibernetske varnosti in ne vpliva le na subjekte, ki so že zavezanci po ZInfV in morajo varovati svoje informacijske sisteme v skladu z veljavnim ZInfV, ampak tudi na veliko subjektov, ki jih bo nova ureditev zajela in do</w:t>
      </w:r>
      <w:r>
        <w:rPr>
          <w:rFonts w:cs="Arial"/>
          <w:szCs w:val="20"/>
          <w:lang w:val="sl-SI" w:eastAsia="sl-SI"/>
        </w:rPr>
        <w:t xml:space="preserve"> zdaj</w:t>
      </w:r>
      <w:r w:rsidRPr="0038250F">
        <w:rPr>
          <w:rFonts w:cs="Arial"/>
          <w:szCs w:val="20"/>
          <w:lang w:val="sl-SI" w:eastAsia="sl-SI"/>
        </w:rPr>
        <w:t xml:space="preserve"> niso bili dolžni izpolnjevati nobenih obveznosti ter so incidente priglašali na prostovoljni podlagi. Direktiva krepi skupno situacijsko zavedanje in kolektivno sposobnost odzivanja na kibernetske napade znotraj Evropske unije. V ta namen razširja področje uporabe ter odpravlja razlikovanje med izvajalci bistvenih storitev in ponudniki digitalnih storitev z uvedbo splošnega merila velikosti (vključitev srednjih in velikih podjetij). Direktiva prav tako krepi varnostne zahteve za podjetja z uvedbo delovanja za obvladovanje tveganj kot osnovne zahteve zagotavljanja kibernetske varnosti, vključno s prenosom odgovornosti na vodstva podjetij. S tem naj bi se močno izboljšal</w:t>
      </w:r>
      <w:r>
        <w:rPr>
          <w:rFonts w:cs="Arial"/>
          <w:szCs w:val="20"/>
          <w:lang w:val="sl-SI" w:eastAsia="sl-SI"/>
        </w:rPr>
        <w:t>i</w:t>
      </w:r>
      <w:r w:rsidRPr="0038250F">
        <w:rPr>
          <w:rFonts w:cs="Arial"/>
          <w:szCs w:val="20"/>
          <w:lang w:val="sl-SI" w:eastAsia="sl-SI"/>
        </w:rPr>
        <w:t xml:space="preserve"> </w:t>
      </w:r>
      <w:r w:rsidRPr="0038250F">
        <w:rPr>
          <w:rFonts w:cs="Arial"/>
          <w:szCs w:val="20"/>
          <w:lang w:val="sl-SI" w:eastAsia="sl-SI"/>
        </w:rPr>
        <w:lastRenderedPageBreak/>
        <w:t>odpornost in zmogljivost odzivanja javn</w:t>
      </w:r>
      <w:r>
        <w:rPr>
          <w:rFonts w:cs="Arial"/>
          <w:szCs w:val="20"/>
          <w:lang w:val="sl-SI" w:eastAsia="sl-SI"/>
        </w:rPr>
        <w:t>ih</w:t>
      </w:r>
      <w:r w:rsidRPr="0038250F">
        <w:rPr>
          <w:rFonts w:cs="Arial"/>
          <w:szCs w:val="20"/>
          <w:lang w:val="sl-SI" w:eastAsia="sl-SI"/>
        </w:rPr>
        <w:t xml:space="preserve"> ali zasebn</w:t>
      </w:r>
      <w:r>
        <w:rPr>
          <w:rFonts w:cs="Arial"/>
          <w:szCs w:val="20"/>
          <w:lang w:val="sl-SI" w:eastAsia="sl-SI"/>
        </w:rPr>
        <w:t>ih</w:t>
      </w:r>
      <w:r w:rsidRPr="0038250F">
        <w:rPr>
          <w:rFonts w:cs="Arial"/>
          <w:szCs w:val="20"/>
          <w:lang w:val="sl-SI" w:eastAsia="sl-SI"/>
        </w:rPr>
        <w:t xml:space="preserve"> subjekt</w:t>
      </w:r>
      <w:r>
        <w:rPr>
          <w:rFonts w:cs="Arial"/>
          <w:szCs w:val="20"/>
          <w:lang w:val="sl-SI" w:eastAsia="sl-SI"/>
        </w:rPr>
        <w:t>ov in</w:t>
      </w:r>
      <w:r w:rsidRPr="0038250F">
        <w:rPr>
          <w:rFonts w:cs="Arial"/>
          <w:szCs w:val="20"/>
          <w:lang w:val="sl-SI" w:eastAsia="sl-SI"/>
        </w:rPr>
        <w:t xml:space="preserve"> Evropske unije kot celote na incidente na področju kibernetske varnosti in zaščite kritične infrastrukture. </w:t>
      </w:r>
    </w:p>
    <w:p w14:paraId="6154AEA7"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08BD299E"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 xml:space="preserve">Določa tudi strožje nadzorne ukrepe, uvaja medsebojne strokovne preglede držav članic Evropske unije, okrepljeno varnost dobavnih verig ter vzpostavlja osnovni okvir za usklajeno razkritje ranljivosti. </w:t>
      </w:r>
    </w:p>
    <w:p w14:paraId="5BF249EB"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790AAD0F"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Direktiva 2022/2555/EU pomeni minimalno stopnjo harmonizacije, ki državam članicam ne preprečuje, da na nacionalni ravn</w:t>
      </w:r>
      <w:r>
        <w:rPr>
          <w:rFonts w:cs="Arial"/>
          <w:szCs w:val="20"/>
          <w:lang w:val="sl-SI" w:eastAsia="sl-SI"/>
        </w:rPr>
        <w:t>i</w:t>
      </w:r>
      <w:r w:rsidRPr="0038250F">
        <w:rPr>
          <w:rFonts w:cs="Arial"/>
          <w:szCs w:val="20"/>
          <w:lang w:val="sl-SI" w:eastAsia="sl-SI"/>
        </w:rPr>
        <w:t xml:space="preserve"> sprejmejo še dodatne ukrepe za </w:t>
      </w:r>
      <w:r>
        <w:rPr>
          <w:rFonts w:cs="Arial"/>
          <w:szCs w:val="20"/>
          <w:lang w:val="sl-SI" w:eastAsia="sl-SI"/>
        </w:rPr>
        <w:t>izboljšanje</w:t>
      </w:r>
      <w:r w:rsidRPr="0038250F">
        <w:rPr>
          <w:rFonts w:cs="Arial"/>
          <w:szCs w:val="20"/>
          <w:lang w:val="sl-SI" w:eastAsia="sl-SI"/>
        </w:rPr>
        <w:t xml:space="preserve"> odpornosti </w:t>
      </w:r>
      <w:r>
        <w:rPr>
          <w:rFonts w:cs="Arial"/>
          <w:szCs w:val="20"/>
          <w:lang w:val="sl-SI" w:eastAsia="sl-SI"/>
        </w:rPr>
        <w:t>proti</w:t>
      </w:r>
      <w:r w:rsidRPr="0038250F">
        <w:rPr>
          <w:rFonts w:cs="Arial"/>
          <w:szCs w:val="20"/>
          <w:lang w:val="sl-SI" w:eastAsia="sl-SI"/>
        </w:rPr>
        <w:t xml:space="preserve"> kibernetsk</w:t>
      </w:r>
      <w:r>
        <w:rPr>
          <w:rFonts w:cs="Arial"/>
          <w:szCs w:val="20"/>
          <w:lang w:val="sl-SI" w:eastAsia="sl-SI"/>
        </w:rPr>
        <w:t>im</w:t>
      </w:r>
      <w:r w:rsidRPr="0038250F">
        <w:rPr>
          <w:rFonts w:cs="Arial"/>
          <w:szCs w:val="20"/>
          <w:lang w:val="sl-SI" w:eastAsia="sl-SI"/>
        </w:rPr>
        <w:t xml:space="preserve"> incident</w:t>
      </w:r>
      <w:r>
        <w:rPr>
          <w:rFonts w:cs="Arial"/>
          <w:szCs w:val="20"/>
          <w:lang w:val="sl-SI" w:eastAsia="sl-SI"/>
        </w:rPr>
        <w:t>om</w:t>
      </w:r>
      <w:r w:rsidRPr="0038250F">
        <w:rPr>
          <w:rFonts w:cs="Arial"/>
          <w:szCs w:val="20"/>
          <w:lang w:val="sl-SI" w:eastAsia="sl-SI"/>
        </w:rPr>
        <w:t>.</w:t>
      </w:r>
    </w:p>
    <w:p w14:paraId="299E1FD9"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32388400"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Obseg Direktiv</w:t>
      </w:r>
      <w:r>
        <w:rPr>
          <w:rFonts w:cs="Arial"/>
          <w:szCs w:val="20"/>
          <w:lang w:val="sl-SI" w:eastAsia="sl-SI"/>
        </w:rPr>
        <w:t>e</w:t>
      </w:r>
      <w:r w:rsidRPr="0038250F">
        <w:rPr>
          <w:rFonts w:cs="Arial"/>
          <w:szCs w:val="20"/>
          <w:lang w:val="sl-SI" w:eastAsia="sl-SI"/>
        </w:rPr>
        <w:t xml:space="preserve"> 2022/2555/EU je bistveno razširjen v primerjavi z Direktiv</w:t>
      </w:r>
      <w:r>
        <w:rPr>
          <w:rFonts w:cs="Arial"/>
          <w:szCs w:val="20"/>
          <w:lang w:val="sl-SI" w:eastAsia="sl-SI"/>
        </w:rPr>
        <w:t>o</w:t>
      </w:r>
      <w:r w:rsidRPr="0038250F">
        <w:rPr>
          <w:rFonts w:cs="Arial"/>
          <w:szCs w:val="20"/>
          <w:lang w:val="sl-SI" w:eastAsia="sl-SI"/>
        </w:rPr>
        <w:t xml:space="preserve"> (EU) 2016/1148 in ni več nujno povezan s predhodno identifikacijo s strani pristojnih nacionalnih organov. Zavezanec je zajet, če deluje v enem od sektorjev in opravlja storitev, ki je navedena v </w:t>
      </w:r>
      <w:r>
        <w:rPr>
          <w:rFonts w:cs="Arial"/>
          <w:szCs w:val="20"/>
          <w:lang w:val="sl-SI" w:eastAsia="sl-SI"/>
        </w:rPr>
        <w:t>p</w:t>
      </w:r>
      <w:r w:rsidRPr="0038250F">
        <w:rPr>
          <w:rFonts w:cs="Arial"/>
          <w:szCs w:val="20"/>
          <w:lang w:val="sl-SI" w:eastAsia="sl-SI"/>
        </w:rPr>
        <w:t>rilog</w:t>
      </w:r>
      <w:r>
        <w:rPr>
          <w:rFonts w:cs="Arial"/>
          <w:szCs w:val="20"/>
          <w:lang w:val="sl-SI" w:eastAsia="sl-SI"/>
        </w:rPr>
        <w:t>ah</w:t>
      </w:r>
      <w:r w:rsidRPr="0038250F">
        <w:rPr>
          <w:rFonts w:cs="Arial"/>
          <w:szCs w:val="20"/>
          <w:lang w:val="sl-SI" w:eastAsia="sl-SI"/>
        </w:rPr>
        <w:t xml:space="preserve"> </w:t>
      </w:r>
      <w:r>
        <w:rPr>
          <w:rFonts w:cs="Arial"/>
          <w:szCs w:val="20"/>
          <w:lang w:val="sl-SI" w:eastAsia="sl-SI"/>
        </w:rPr>
        <w:t>I</w:t>
      </w:r>
      <w:r w:rsidRPr="0038250F">
        <w:rPr>
          <w:rFonts w:cs="Arial"/>
          <w:szCs w:val="20"/>
          <w:lang w:val="sl-SI" w:eastAsia="sl-SI"/>
        </w:rPr>
        <w:t xml:space="preserve"> in </w:t>
      </w:r>
      <w:r>
        <w:rPr>
          <w:rFonts w:cs="Arial"/>
          <w:szCs w:val="20"/>
          <w:lang w:val="sl-SI" w:eastAsia="sl-SI"/>
        </w:rPr>
        <w:t>II</w:t>
      </w:r>
      <w:r w:rsidRPr="0038250F">
        <w:rPr>
          <w:rFonts w:cs="Arial"/>
          <w:szCs w:val="20"/>
          <w:lang w:val="sl-SI" w:eastAsia="sl-SI"/>
        </w:rPr>
        <w:t xml:space="preserve"> </w:t>
      </w:r>
      <w:r>
        <w:rPr>
          <w:rFonts w:cs="Arial"/>
          <w:szCs w:val="20"/>
          <w:lang w:val="sl-SI" w:eastAsia="sl-SI"/>
        </w:rPr>
        <w:t>ter</w:t>
      </w:r>
      <w:r w:rsidRPr="0038250F">
        <w:rPr>
          <w:rFonts w:cs="Arial"/>
          <w:szCs w:val="20"/>
          <w:lang w:val="sl-SI" w:eastAsia="sl-SI"/>
        </w:rPr>
        <w:t xml:space="preserve"> se uvršča po velikosti. Direktiva 2022/2555/EU dodaja nove sektorje. Dodaja tudi vrste subjektov </w:t>
      </w:r>
      <w:r>
        <w:rPr>
          <w:rFonts w:cs="Arial"/>
          <w:szCs w:val="20"/>
          <w:lang w:val="sl-SI" w:eastAsia="sl-SI"/>
        </w:rPr>
        <w:t>v</w:t>
      </w:r>
      <w:r w:rsidRPr="0038250F">
        <w:rPr>
          <w:rFonts w:cs="Arial"/>
          <w:szCs w:val="20"/>
          <w:lang w:val="sl-SI" w:eastAsia="sl-SI"/>
        </w:rPr>
        <w:t xml:space="preserve"> sektorj</w:t>
      </w:r>
      <w:r>
        <w:rPr>
          <w:rFonts w:cs="Arial"/>
          <w:szCs w:val="20"/>
          <w:lang w:val="sl-SI" w:eastAsia="sl-SI"/>
        </w:rPr>
        <w:t>ih</w:t>
      </w:r>
      <w:r w:rsidRPr="0038250F">
        <w:rPr>
          <w:rFonts w:cs="Arial"/>
          <w:szCs w:val="20"/>
          <w:lang w:val="sl-SI" w:eastAsia="sl-SI"/>
        </w:rPr>
        <w:t>. Sektorji so razdeljeni v dve skupini.</w:t>
      </w:r>
    </w:p>
    <w:p w14:paraId="3D2CC85F"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7A0FAC37"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 xml:space="preserve">Visoko kritični sektorji (Priloga </w:t>
      </w:r>
      <w:r>
        <w:rPr>
          <w:rFonts w:cs="Arial"/>
          <w:szCs w:val="20"/>
          <w:lang w:val="sl-SI" w:eastAsia="sl-SI"/>
        </w:rPr>
        <w:t>I</w:t>
      </w:r>
      <w:r w:rsidRPr="0038250F">
        <w:rPr>
          <w:rFonts w:cs="Arial"/>
          <w:szCs w:val="20"/>
          <w:lang w:val="sl-SI" w:eastAsia="sl-SI"/>
        </w:rPr>
        <w:t>) so:</w:t>
      </w:r>
    </w:p>
    <w:p w14:paraId="464EB3AA"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e</w:t>
      </w:r>
      <w:r w:rsidRPr="0038250F">
        <w:rPr>
          <w:rFonts w:cs="Arial"/>
          <w:szCs w:val="20"/>
          <w:lang w:val="sl-SI" w:eastAsia="sl-SI"/>
        </w:rPr>
        <w:t>nergetika (elektrika, daljinsko ogrevanje in hlajenje, nafta, zemeljski plin, vodik)</w:t>
      </w:r>
      <w:r>
        <w:rPr>
          <w:rFonts w:cs="Arial"/>
          <w:szCs w:val="20"/>
          <w:lang w:val="sl-SI" w:eastAsia="sl-SI"/>
        </w:rPr>
        <w:t>,</w:t>
      </w:r>
    </w:p>
    <w:p w14:paraId="544F59FF"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p</w:t>
      </w:r>
      <w:r w:rsidRPr="0038250F">
        <w:rPr>
          <w:rFonts w:cs="Arial"/>
          <w:szCs w:val="20"/>
          <w:lang w:val="sl-SI" w:eastAsia="sl-SI"/>
        </w:rPr>
        <w:t>romet (zrak, železnica, voda, cestni)</w:t>
      </w:r>
      <w:r>
        <w:rPr>
          <w:rFonts w:cs="Arial"/>
          <w:szCs w:val="20"/>
          <w:lang w:val="sl-SI" w:eastAsia="sl-SI"/>
        </w:rPr>
        <w:t>,</w:t>
      </w:r>
    </w:p>
    <w:p w14:paraId="033C724B"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b</w:t>
      </w:r>
      <w:r w:rsidRPr="0038250F">
        <w:rPr>
          <w:rFonts w:cs="Arial"/>
          <w:szCs w:val="20"/>
          <w:lang w:val="sl-SI" w:eastAsia="sl-SI"/>
        </w:rPr>
        <w:t>ančništvo</w:t>
      </w:r>
      <w:r>
        <w:rPr>
          <w:rFonts w:cs="Arial"/>
          <w:szCs w:val="20"/>
          <w:lang w:val="sl-SI" w:eastAsia="sl-SI"/>
        </w:rPr>
        <w:t>,</w:t>
      </w:r>
    </w:p>
    <w:p w14:paraId="40F954E1"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i</w:t>
      </w:r>
      <w:r w:rsidRPr="0038250F">
        <w:rPr>
          <w:rFonts w:cs="Arial"/>
          <w:szCs w:val="20"/>
          <w:lang w:val="sl-SI" w:eastAsia="sl-SI"/>
        </w:rPr>
        <w:t>nfrastruktura finančnih trgov</w:t>
      </w:r>
      <w:r>
        <w:rPr>
          <w:rFonts w:cs="Arial"/>
          <w:szCs w:val="20"/>
          <w:lang w:val="sl-SI" w:eastAsia="sl-SI"/>
        </w:rPr>
        <w:t>,</w:t>
      </w:r>
    </w:p>
    <w:p w14:paraId="383A06F8"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z</w:t>
      </w:r>
      <w:r w:rsidRPr="0038250F">
        <w:rPr>
          <w:rFonts w:cs="Arial"/>
          <w:szCs w:val="20"/>
          <w:lang w:val="sl-SI" w:eastAsia="sl-SI"/>
        </w:rPr>
        <w:t>dravje (ki ne vključuje več samo izvajalcev zdravstvenih storitev, ampak tudi referenčne laboratorije, proizvajalce medicinskih pripomočkov ali farmacevtskih pripravkov in druge)</w:t>
      </w:r>
      <w:r>
        <w:rPr>
          <w:rFonts w:cs="Arial"/>
          <w:szCs w:val="20"/>
          <w:lang w:val="sl-SI" w:eastAsia="sl-SI"/>
        </w:rPr>
        <w:t>,</w:t>
      </w:r>
    </w:p>
    <w:p w14:paraId="252A30A9"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p</w:t>
      </w:r>
      <w:r w:rsidRPr="0038250F">
        <w:rPr>
          <w:rFonts w:cs="Arial"/>
          <w:szCs w:val="20"/>
          <w:lang w:val="sl-SI" w:eastAsia="sl-SI"/>
        </w:rPr>
        <w:t>itna voda</w:t>
      </w:r>
      <w:r>
        <w:rPr>
          <w:rFonts w:cs="Arial"/>
          <w:szCs w:val="20"/>
          <w:lang w:val="sl-SI" w:eastAsia="sl-SI"/>
        </w:rPr>
        <w:t>,</w:t>
      </w:r>
    </w:p>
    <w:p w14:paraId="5E9991B1"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o</w:t>
      </w:r>
      <w:r w:rsidRPr="0038250F">
        <w:rPr>
          <w:rFonts w:cs="Arial"/>
          <w:szCs w:val="20"/>
          <w:lang w:val="sl-SI" w:eastAsia="sl-SI"/>
        </w:rPr>
        <w:t>dpadne vode</w:t>
      </w:r>
      <w:r>
        <w:rPr>
          <w:rFonts w:cs="Arial"/>
          <w:szCs w:val="20"/>
          <w:lang w:val="sl-SI" w:eastAsia="sl-SI"/>
        </w:rPr>
        <w:t>,</w:t>
      </w:r>
    </w:p>
    <w:p w14:paraId="44772C63"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d</w:t>
      </w:r>
      <w:r w:rsidRPr="0038250F">
        <w:rPr>
          <w:rFonts w:cs="Arial"/>
          <w:szCs w:val="20"/>
          <w:lang w:val="sl-SI" w:eastAsia="sl-SI"/>
        </w:rPr>
        <w:t>igitalna infrastruktura</w:t>
      </w:r>
      <w:r>
        <w:rPr>
          <w:rFonts w:cs="Arial"/>
          <w:szCs w:val="20"/>
          <w:lang w:val="sl-SI" w:eastAsia="sl-SI"/>
        </w:rPr>
        <w:t>,</w:t>
      </w:r>
    </w:p>
    <w:p w14:paraId="2AEE99D3"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u</w:t>
      </w:r>
      <w:r w:rsidRPr="0038250F">
        <w:rPr>
          <w:rFonts w:cs="Arial"/>
          <w:szCs w:val="20"/>
          <w:lang w:val="sl-SI" w:eastAsia="sl-SI"/>
        </w:rPr>
        <w:t>pravljanje storit</w:t>
      </w:r>
      <w:r>
        <w:rPr>
          <w:rFonts w:cs="Arial"/>
          <w:szCs w:val="20"/>
          <w:lang w:val="sl-SI" w:eastAsia="sl-SI"/>
        </w:rPr>
        <w:t>e</w:t>
      </w:r>
      <w:r w:rsidRPr="0038250F">
        <w:rPr>
          <w:rFonts w:cs="Arial"/>
          <w:szCs w:val="20"/>
          <w:lang w:val="sl-SI" w:eastAsia="sl-SI"/>
        </w:rPr>
        <w:t>v IKT</w:t>
      </w:r>
      <w:r>
        <w:rPr>
          <w:rFonts w:cs="Arial"/>
          <w:szCs w:val="20"/>
          <w:lang w:val="sl-SI" w:eastAsia="sl-SI"/>
        </w:rPr>
        <w:t>,</w:t>
      </w:r>
    </w:p>
    <w:p w14:paraId="1E8FEE8C"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j</w:t>
      </w:r>
      <w:r w:rsidRPr="0038250F">
        <w:rPr>
          <w:rFonts w:cs="Arial"/>
          <w:szCs w:val="20"/>
          <w:lang w:val="sl-SI" w:eastAsia="sl-SI"/>
        </w:rPr>
        <w:t>avna uprava (centralna in regionalna)</w:t>
      </w:r>
      <w:r>
        <w:rPr>
          <w:rFonts w:cs="Arial"/>
          <w:szCs w:val="20"/>
          <w:lang w:val="sl-SI" w:eastAsia="sl-SI"/>
        </w:rPr>
        <w:t>,</w:t>
      </w:r>
    </w:p>
    <w:p w14:paraId="12BF41DC"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v</w:t>
      </w:r>
      <w:r w:rsidRPr="0038250F">
        <w:rPr>
          <w:rFonts w:cs="Arial"/>
          <w:szCs w:val="20"/>
          <w:lang w:val="sl-SI" w:eastAsia="sl-SI"/>
        </w:rPr>
        <w:t>esolje</w:t>
      </w:r>
      <w:r>
        <w:rPr>
          <w:rFonts w:cs="Arial"/>
          <w:szCs w:val="20"/>
          <w:lang w:val="sl-SI" w:eastAsia="sl-SI"/>
        </w:rPr>
        <w:t>.</w:t>
      </w:r>
    </w:p>
    <w:p w14:paraId="4E4E55F6"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2E448B52"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r w:rsidRPr="0038250F">
        <w:rPr>
          <w:rFonts w:cs="Arial"/>
          <w:szCs w:val="20"/>
          <w:lang w:val="sl-SI" w:eastAsia="sl-SI"/>
        </w:rPr>
        <w:t xml:space="preserve">Drugi kritični sektorji (Priloga </w:t>
      </w:r>
      <w:r>
        <w:rPr>
          <w:rFonts w:cs="Arial"/>
          <w:szCs w:val="20"/>
          <w:lang w:val="sl-SI" w:eastAsia="sl-SI"/>
        </w:rPr>
        <w:t>II</w:t>
      </w:r>
      <w:r w:rsidRPr="0038250F">
        <w:rPr>
          <w:rFonts w:cs="Arial"/>
          <w:szCs w:val="20"/>
          <w:lang w:val="sl-SI" w:eastAsia="sl-SI"/>
        </w:rPr>
        <w:t>) so:</w:t>
      </w:r>
    </w:p>
    <w:p w14:paraId="16A1912C"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p</w:t>
      </w:r>
      <w:r w:rsidRPr="0038250F">
        <w:rPr>
          <w:rFonts w:cs="Arial"/>
          <w:szCs w:val="20"/>
          <w:lang w:val="sl-SI" w:eastAsia="sl-SI"/>
        </w:rPr>
        <w:t>oštne in kurirske storitve</w:t>
      </w:r>
      <w:r>
        <w:rPr>
          <w:rFonts w:cs="Arial"/>
          <w:szCs w:val="20"/>
          <w:lang w:val="sl-SI" w:eastAsia="sl-SI"/>
        </w:rPr>
        <w:t>,</w:t>
      </w:r>
    </w:p>
    <w:p w14:paraId="4F4B0A4B"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r</w:t>
      </w:r>
      <w:r w:rsidRPr="0038250F">
        <w:rPr>
          <w:rFonts w:cs="Arial"/>
          <w:szCs w:val="20"/>
          <w:lang w:val="sl-SI" w:eastAsia="sl-SI"/>
        </w:rPr>
        <w:t>avnanje z odpadki</w:t>
      </w:r>
      <w:r>
        <w:rPr>
          <w:rFonts w:cs="Arial"/>
          <w:szCs w:val="20"/>
          <w:lang w:val="sl-SI" w:eastAsia="sl-SI"/>
        </w:rPr>
        <w:t>,</w:t>
      </w:r>
    </w:p>
    <w:p w14:paraId="0CD6B9C3"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i</w:t>
      </w:r>
      <w:r w:rsidRPr="0038250F">
        <w:rPr>
          <w:rFonts w:cs="Arial"/>
          <w:szCs w:val="20"/>
          <w:lang w:val="sl-SI" w:eastAsia="sl-SI"/>
        </w:rPr>
        <w:t>zdelava, proizvodnja in distribucija kemikalij</w:t>
      </w:r>
      <w:r>
        <w:rPr>
          <w:rFonts w:cs="Arial"/>
          <w:szCs w:val="20"/>
          <w:lang w:val="sl-SI" w:eastAsia="sl-SI"/>
        </w:rPr>
        <w:t>,</w:t>
      </w:r>
    </w:p>
    <w:p w14:paraId="24A13181"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p</w:t>
      </w:r>
      <w:r w:rsidRPr="0038250F">
        <w:rPr>
          <w:rFonts w:cs="Arial"/>
          <w:szCs w:val="20"/>
          <w:lang w:val="sl-SI" w:eastAsia="sl-SI"/>
        </w:rPr>
        <w:t>ridelava, predelava in distribucija živil</w:t>
      </w:r>
      <w:r>
        <w:rPr>
          <w:rFonts w:cs="Arial"/>
          <w:szCs w:val="20"/>
          <w:lang w:val="sl-SI" w:eastAsia="sl-SI"/>
        </w:rPr>
        <w:t>,</w:t>
      </w:r>
    </w:p>
    <w:p w14:paraId="56F4D62A"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p</w:t>
      </w:r>
      <w:r w:rsidRPr="0038250F">
        <w:rPr>
          <w:rFonts w:cs="Arial"/>
          <w:szCs w:val="20"/>
          <w:lang w:val="sl-SI" w:eastAsia="sl-SI"/>
        </w:rPr>
        <w:t>roizvodnja (proizvodnja medicinskih pripomočkov ter in vitro diagnostičnih medicinskih pripomočkov; proizvodnja računalnikov, elektronskih in optičnih izdelkov;</w:t>
      </w:r>
      <w:r w:rsidRPr="0038250F">
        <w:rPr>
          <w:rFonts w:cs="Arial"/>
          <w:szCs w:val="20"/>
          <w:lang w:val="sl-SI" w:eastAsia="sl-SI"/>
        </w:rPr>
        <w:tab/>
        <w:t>proizvodnja električnih naprav; proizvodnja drugih strojev in naprav; proizvodnja motornih vozil, prikolic in polprikolic; proizvodnja drugih vozil in plovil)</w:t>
      </w:r>
      <w:r>
        <w:rPr>
          <w:rFonts w:cs="Arial"/>
          <w:szCs w:val="20"/>
          <w:lang w:val="sl-SI" w:eastAsia="sl-SI"/>
        </w:rPr>
        <w:t>,</w:t>
      </w:r>
    </w:p>
    <w:p w14:paraId="09C8DADC"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d</w:t>
      </w:r>
      <w:r w:rsidRPr="0038250F">
        <w:rPr>
          <w:rFonts w:cs="Arial"/>
          <w:szCs w:val="20"/>
          <w:lang w:val="sl-SI" w:eastAsia="sl-SI"/>
        </w:rPr>
        <w:t>igitalni ponudniki</w:t>
      </w:r>
      <w:r>
        <w:rPr>
          <w:rFonts w:cs="Arial"/>
          <w:szCs w:val="20"/>
          <w:lang w:val="sl-SI" w:eastAsia="sl-SI"/>
        </w:rPr>
        <w:t>,</w:t>
      </w:r>
    </w:p>
    <w:p w14:paraId="7980D5FA" w14:textId="77777777" w:rsidR="00FF197A" w:rsidRPr="0038250F" w:rsidRDefault="00FF197A" w:rsidP="00FF197A">
      <w:pPr>
        <w:pStyle w:val="Odstavekseznama"/>
        <w:numPr>
          <w:ilvl w:val="0"/>
          <w:numId w:val="7"/>
        </w:numPr>
        <w:overflowPunct w:val="0"/>
        <w:autoSpaceDE w:val="0"/>
        <w:autoSpaceDN w:val="0"/>
        <w:adjustRightInd w:val="0"/>
        <w:spacing w:line="276" w:lineRule="auto"/>
        <w:jc w:val="both"/>
        <w:textAlignment w:val="baseline"/>
        <w:rPr>
          <w:rFonts w:cs="Arial"/>
          <w:szCs w:val="20"/>
          <w:lang w:val="sl-SI" w:eastAsia="sl-SI"/>
        </w:rPr>
      </w:pPr>
      <w:r>
        <w:rPr>
          <w:rFonts w:cs="Arial"/>
          <w:szCs w:val="20"/>
          <w:lang w:val="sl-SI" w:eastAsia="sl-SI"/>
        </w:rPr>
        <w:t>r</w:t>
      </w:r>
      <w:r w:rsidRPr="0038250F">
        <w:rPr>
          <w:rFonts w:cs="Arial"/>
          <w:szCs w:val="20"/>
          <w:lang w:val="sl-SI" w:eastAsia="sl-SI"/>
        </w:rPr>
        <w:t>aziskave</w:t>
      </w:r>
      <w:r>
        <w:rPr>
          <w:rFonts w:cs="Arial"/>
          <w:szCs w:val="20"/>
          <w:lang w:val="sl-SI" w:eastAsia="sl-SI"/>
        </w:rPr>
        <w:t>.</w:t>
      </w:r>
    </w:p>
    <w:p w14:paraId="5E9DD087" w14:textId="77777777" w:rsidR="00FF197A" w:rsidRPr="0038250F" w:rsidRDefault="00FF197A" w:rsidP="00FF197A">
      <w:pPr>
        <w:overflowPunct w:val="0"/>
        <w:autoSpaceDE w:val="0"/>
        <w:autoSpaceDN w:val="0"/>
        <w:adjustRightInd w:val="0"/>
        <w:spacing w:line="276" w:lineRule="auto"/>
        <w:jc w:val="both"/>
        <w:textAlignment w:val="baseline"/>
        <w:rPr>
          <w:rFonts w:cs="Arial"/>
          <w:szCs w:val="20"/>
          <w:lang w:val="sl-SI" w:eastAsia="sl-SI"/>
        </w:rPr>
      </w:pPr>
    </w:p>
    <w:p w14:paraId="6755BCDB" w14:textId="77777777" w:rsidR="00FF197A" w:rsidRPr="0038250F" w:rsidRDefault="00FF197A" w:rsidP="00FF197A">
      <w:pPr>
        <w:spacing w:line="276" w:lineRule="auto"/>
        <w:jc w:val="both"/>
        <w:rPr>
          <w:rFonts w:cs="Arial"/>
          <w:szCs w:val="20"/>
          <w:lang w:val="sl-SI" w:eastAsia="sl-SI"/>
        </w:rPr>
      </w:pPr>
      <w:r w:rsidRPr="0038250F">
        <w:rPr>
          <w:rFonts w:cs="Arial"/>
          <w:szCs w:val="20"/>
          <w:lang w:val="sl-SI" w:eastAsia="sl-SI"/>
        </w:rPr>
        <w:t xml:space="preserve">Razen izjem v NIS 2 ni več aktivne identifikacije. Podjetje, ki deluje v zgoraj navedenih sektorjih, je zavezanec, če je veliko ali srednje podjetje. To pomeni, da mora imeti subjekt več kot 50 zaposlenih in letni promet ali letno bilančno vsoto več kot 10 milijonov evrov. Z določenimi izjemami so iz obsega direktive izključena mala in mikro podjetja (z manj kot 50 zaposlenimi in letnim prometom (ali letnim skupnim bilančnim izkazom) manj kot 10 milijonov evrov </w:t>
      </w:r>
      <w:r>
        <w:rPr>
          <w:rFonts w:cs="Arial"/>
          <w:szCs w:val="20"/>
          <w:lang w:val="sl-SI" w:eastAsia="sl-SI"/>
        </w:rPr>
        <w:t>‒</w:t>
      </w:r>
      <w:r w:rsidRPr="0038250F">
        <w:rPr>
          <w:rFonts w:cs="Arial"/>
          <w:szCs w:val="20"/>
          <w:lang w:val="sl-SI" w:eastAsia="sl-SI"/>
        </w:rPr>
        <w:t xml:space="preserve"> kumulativni pogoji).</w:t>
      </w:r>
    </w:p>
    <w:p w14:paraId="5F3B1A63" w14:textId="77777777" w:rsidR="00FF197A" w:rsidRPr="0038250F" w:rsidRDefault="00FF197A" w:rsidP="00FF197A">
      <w:pPr>
        <w:spacing w:line="276" w:lineRule="auto"/>
        <w:jc w:val="both"/>
        <w:rPr>
          <w:rFonts w:cs="Arial"/>
          <w:szCs w:val="20"/>
          <w:lang w:val="sl-SI" w:eastAsia="sl-SI"/>
        </w:rPr>
      </w:pPr>
    </w:p>
    <w:p w14:paraId="79703954" w14:textId="77777777" w:rsidR="00FF197A" w:rsidRPr="0038250F" w:rsidRDefault="00FF197A" w:rsidP="00FF197A">
      <w:pPr>
        <w:spacing w:line="276" w:lineRule="auto"/>
        <w:jc w:val="both"/>
        <w:rPr>
          <w:rFonts w:cs="Arial"/>
          <w:szCs w:val="20"/>
          <w:lang w:val="sl-SI" w:eastAsia="sl-SI"/>
        </w:rPr>
      </w:pPr>
      <w:r w:rsidRPr="0038250F">
        <w:rPr>
          <w:rFonts w:cs="Arial"/>
          <w:szCs w:val="20"/>
          <w:lang w:val="sl-SI" w:eastAsia="sl-SI"/>
        </w:rPr>
        <w:t xml:space="preserve">Prejšnja razlika med izvajalci bistvenih storitev in ponudniki digitalnih storitev je nadomeščena z razlikovanjem med bistvenimi in pomembnimi subjekti. Razlika med bistvenimi in pomembnimi subjekti je predvsem v nadzoru in sankcijah. </w:t>
      </w:r>
    </w:p>
    <w:p w14:paraId="615444E6" w14:textId="77777777" w:rsidR="00FF197A" w:rsidRPr="0038250F" w:rsidRDefault="00FF197A" w:rsidP="00FF197A">
      <w:pPr>
        <w:spacing w:line="276" w:lineRule="auto"/>
        <w:jc w:val="both"/>
        <w:rPr>
          <w:rFonts w:cs="Arial"/>
          <w:szCs w:val="20"/>
          <w:lang w:val="sl-SI" w:eastAsia="sl-SI"/>
        </w:rPr>
      </w:pPr>
    </w:p>
    <w:p w14:paraId="78E40F48" w14:textId="2CB8AFFC" w:rsidR="00FF197A" w:rsidRPr="00357505" w:rsidRDefault="00FF197A" w:rsidP="00FF197A">
      <w:pPr>
        <w:spacing w:line="276" w:lineRule="auto"/>
        <w:jc w:val="both"/>
        <w:rPr>
          <w:rFonts w:cs="Arial"/>
          <w:szCs w:val="20"/>
          <w:lang w:val="sl-SI" w:eastAsia="sl-SI"/>
        </w:rPr>
      </w:pPr>
      <w:r w:rsidRPr="00357505">
        <w:rPr>
          <w:rFonts w:cs="Arial"/>
          <w:szCs w:val="20"/>
          <w:lang w:val="sl-SI" w:eastAsia="sl-SI"/>
        </w:rPr>
        <w:t xml:space="preserve">Bistveni subjekti so velika podjetja, ki spadajo v sektorje visoke kritičnosti, navedene v Prilogi 1 direktive. Veliko podjetje je opredeljeno kot podjetje z vsaj 250 zaposlenimi </w:t>
      </w:r>
      <w:r w:rsidR="00A44224">
        <w:rPr>
          <w:rFonts w:cs="Arial"/>
          <w:szCs w:val="20"/>
          <w:lang w:val="sl-SI" w:eastAsia="sl-SI"/>
        </w:rPr>
        <w:t>ali</w:t>
      </w:r>
      <w:r w:rsidR="00A44224" w:rsidRPr="00357505">
        <w:rPr>
          <w:rFonts w:cs="Arial"/>
          <w:szCs w:val="20"/>
          <w:lang w:val="sl-SI" w:eastAsia="sl-SI"/>
        </w:rPr>
        <w:t xml:space="preserve"> </w:t>
      </w:r>
      <w:r w:rsidRPr="00357505">
        <w:rPr>
          <w:rFonts w:cs="Arial"/>
          <w:szCs w:val="20"/>
          <w:lang w:val="sl-SI" w:eastAsia="sl-SI"/>
        </w:rPr>
        <w:t xml:space="preserve">z letnim prometom vsaj 50 milijonov evrov </w:t>
      </w:r>
      <w:r w:rsidR="00A44224">
        <w:rPr>
          <w:rFonts w:cs="Arial"/>
          <w:szCs w:val="20"/>
          <w:lang w:val="sl-SI" w:eastAsia="sl-SI"/>
        </w:rPr>
        <w:t>oziroma</w:t>
      </w:r>
      <w:r w:rsidR="00A44224" w:rsidRPr="00357505">
        <w:rPr>
          <w:rFonts w:cs="Arial"/>
          <w:szCs w:val="20"/>
          <w:lang w:val="sl-SI" w:eastAsia="sl-SI"/>
        </w:rPr>
        <w:t xml:space="preserve"> </w:t>
      </w:r>
      <w:r w:rsidRPr="00357505">
        <w:rPr>
          <w:rFonts w:cs="Arial"/>
          <w:szCs w:val="20"/>
          <w:lang w:val="sl-SI" w:eastAsia="sl-SI"/>
        </w:rPr>
        <w:t>letnim skupnim bilančnim izkazom vsaj 43 milijonov evrov.</w:t>
      </w:r>
    </w:p>
    <w:p w14:paraId="602B344A" w14:textId="77777777" w:rsidR="00FF197A" w:rsidRPr="00357505" w:rsidRDefault="00FF197A" w:rsidP="00FF197A">
      <w:pPr>
        <w:spacing w:line="276" w:lineRule="auto"/>
        <w:jc w:val="both"/>
        <w:rPr>
          <w:rFonts w:cs="Arial"/>
          <w:szCs w:val="20"/>
          <w:lang w:val="sl-SI" w:eastAsia="sl-SI"/>
        </w:rPr>
      </w:pPr>
    </w:p>
    <w:p w14:paraId="7481F3E4" w14:textId="77777777" w:rsidR="00FF197A" w:rsidRPr="0038250F" w:rsidRDefault="00FF197A" w:rsidP="00FF197A">
      <w:pPr>
        <w:spacing w:line="276" w:lineRule="auto"/>
        <w:jc w:val="both"/>
        <w:rPr>
          <w:rFonts w:cs="Arial"/>
          <w:szCs w:val="20"/>
          <w:lang w:val="sl-SI" w:eastAsia="sl-SI"/>
        </w:rPr>
      </w:pPr>
      <w:r w:rsidRPr="00357505">
        <w:rPr>
          <w:rFonts w:cs="Arial"/>
          <w:szCs w:val="20"/>
          <w:lang w:val="sl-SI" w:eastAsia="sl-SI"/>
        </w:rPr>
        <w:t>Pomembni subjekti so srednje</w:t>
      </w:r>
      <w:r w:rsidRPr="0038250F">
        <w:rPr>
          <w:rFonts w:cs="Arial"/>
          <w:szCs w:val="20"/>
          <w:lang w:val="sl-SI" w:eastAsia="sl-SI"/>
        </w:rPr>
        <w:t xml:space="preserve"> velika podjetja, ki delujejo v sektorjih visoke kritičnosti iz Priloge 1 direktive</w:t>
      </w:r>
      <w:r>
        <w:rPr>
          <w:rFonts w:cs="Arial"/>
          <w:szCs w:val="20"/>
          <w:lang w:val="sl-SI" w:eastAsia="sl-SI"/>
        </w:rPr>
        <w:t>,</w:t>
      </w:r>
      <w:r w:rsidRPr="0038250F">
        <w:rPr>
          <w:rFonts w:cs="Arial"/>
          <w:szCs w:val="20"/>
          <w:lang w:val="sl-SI" w:eastAsia="sl-SI"/>
        </w:rPr>
        <w:t xml:space="preserve"> in velika ali srednje velika podjetja v sektorjih iz Priloge 2 direktive, ki ne spadajo v kategorijo bistvenega subjekta (zaradi njihove velikosti ali vrste subjekta). Srednje veliko podjetje je opredeljeno kot podjetje z vsaj 50 zaposlenimi ali z letnim prometom (ali skupnim bilančnim izkazom) vsaj 10 milijonov evrov, vendar z manj kot 250 zaposlenimi in ne več kot 50 milijoni evrov letnega prometa ali 43 milijoni evrov skupnega letnega bilančnega izkaza.</w:t>
      </w:r>
    </w:p>
    <w:p w14:paraId="38765915" w14:textId="77777777" w:rsidR="00FF197A" w:rsidRPr="0038250F" w:rsidRDefault="00FF197A" w:rsidP="00FF197A">
      <w:pPr>
        <w:spacing w:line="276" w:lineRule="auto"/>
        <w:jc w:val="both"/>
        <w:rPr>
          <w:rFonts w:cs="Arial"/>
          <w:szCs w:val="20"/>
          <w:lang w:val="sl-SI" w:eastAsia="sl-SI"/>
        </w:rPr>
      </w:pPr>
    </w:p>
    <w:p w14:paraId="2F4439CB" w14:textId="77777777" w:rsidR="00FF197A" w:rsidRPr="0038250F" w:rsidRDefault="00FF197A" w:rsidP="00FF197A">
      <w:pPr>
        <w:spacing w:line="276" w:lineRule="auto"/>
        <w:jc w:val="both"/>
        <w:rPr>
          <w:rFonts w:cs="Arial"/>
          <w:szCs w:val="20"/>
          <w:lang w:val="sl-SI" w:eastAsia="sl-SI"/>
        </w:rPr>
      </w:pPr>
      <w:r w:rsidRPr="0038250F">
        <w:rPr>
          <w:rFonts w:cs="Arial"/>
          <w:szCs w:val="20"/>
          <w:lang w:val="sl-SI" w:eastAsia="sl-SI"/>
        </w:rPr>
        <w:t>Ob tem obstajajo nekatere izjeme. V nekaterih sektorjih so subjekti, ne glede na velikost, določeni kot bistveni. Taki primeri so ponudniki javnih elektronskih komunikacijskih omrežij, subjekti, določeni kot kritični na nacionalni ravni v skladu s predpisom, ki ureja kritično infrastrukturo, subjekti javnega sektorja (na centralni ravni), kvalificirani ponudniki storitev zaupanja in registri imen domen najvišje ravni ter ponudniki storitev DNS.</w:t>
      </w:r>
    </w:p>
    <w:p w14:paraId="6769FF4E" w14:textId="77777777" w:rsidR="00FF197A" w:rsidRPr="0038250F" w:rsidRDefault="00FF197A" w:rsidP="00FF197A">
      <w:pPr>
        <w:spacing w:line="276" w:lineRule="auto"/>
        <w:jc w:val="both"/>
        <w:rPr>
          <w:rFonts w:cs="Arial"/>
          <w:szCs w:val="20"/>
          <w:lang w:val="sl-SI" w:eastAsia="sl-SI"/>
        </w:rPr>
      </w:pPr>
    </w:p>
    <w:p w14:paraId="68743604" w14:textId="77777777" w:rsidR="00FF197A" w:rsidRPr="0038250F" w:rsidRDefault="00FF197A" w:rsidP="00FF197A">
      <w:pPr>
        <w:spacing w:line="276" w:lineRule="auto"/>
        <w:jc w:val="both"/>
        <w:rPr>
          <w:rFonts w:cs="Arial"/>
          <w:szCs w:val="20"/>
          <w:lang w:val="sl-SI" w:eastAsia="sl-SI"/>
        </w:rPr>
      </w:pPr>
      <w:bookmarkStart w:id="2" w:name="_Hlk163048972"/>
      <w:r w:rsidRPr="0038250F">
        <w:rPr>
          <w:rFonts w:cs="Arial"/>
          <w:szCs w:val="20"/>
          <w:lang w:val="sl-SI" w:eastAsia="sl-SI"/>
        </w:rPr>
        <w:t>Poleg tega lahko država članica posebej določi subjekte kot bistvene ali pomembne, če gre za edinega ponudnika storitev ali ko bi motnja v zagotavljanju storitev lahko imela pomembne posledice za javn</w:t>
      </w:r>
      <w:r>
        <w:rPr>
          <w:rFonts w:cs="Arial"/>
          <w:szCs w:val="20"/>
          <w:lang w:val="sl-SI" w:eastAsia="sl-SI"/>
        </w:rPr>
        <w:t>i</w:t>
      </w:r>
      <w:r w:rsidRPr="0038250F">
        <w:rPr>
          <w:rFonts w:cs="Arial"/>
          <w:szCs w:val="20"/>
          <w:lang w:val="sl-SI" w:eastAsia="sl-SI"/>
        </w:rPr>
        <w:t xml:space="preserve"> red, javno varnost ali javno zdravje.</w:t>
      </w:r>
    </w:p>
    <w:bookmarkEnd w:id="2"/>
    <w:p w14:paraId="4D4919C2" w14:textId="77777777" w:rsidR="00FF197A" w:rsidRPr="0038250F" w:rsidRDefault="00FF197A" w:rsidP="00FF197A">
      <w:pPr>
        <w:spacing w:line="276" w:lineRule="auto"/>
        <w:jc w:val="both"/>
        <w:rPr>
          <w:rFonts w:eastAsia="Calibri" w:cs="Arial"/>
          <w:szCs w:val="20"/>
          <w:lang w:val="sl-SI"/>
        </w:rPr>
      </w:pPr>
    </w:p>
    <w:p w14:paraId="086E0D4F" w14:textId="77777777" w:rsidR="00FF197A" w:rsidRPr="0038250F" w:rsidRDefault="00FF197A" w:rsidP="00FF197A">
      <w:pPr>
        <w:spacing w:line="276" w:lineRule="auto"/>
        <w:jc w:val="both"/>
        <w:rPr>
          <w:rFonts w:eastAsia="Calibri" w:cs="Arial"/>
          <w:szCs w:val="20"/>
          <w:lang w:val="sl-SI"/>
        </w:rPr>
      </w:pPr>
      <w:bookmarkStart w:id="3" w:name="_Hlk162464786"/>
      <w:r w:rsidRPr="0038250F">
        <w:rPr>
          <w:rFonts w:eastAsia="Calibri" w:cs="Arial"/>
          <w:szCs w:val="20"/>
          <w:lang w:val="sl-SI"/>
        </w:rPr>
        <w:t xml:space="preserve">Direktiva 2022/2555/EU </w:t>
      </w:r>
      <w:bookmarkEnd w:id="3"/>
      <w:r w:rsidRPr="0038250F">
        <w:rPr>
          <w:rFonts w:eastAsia="Calibri" w:cs="Arial"/>
          <w:szCs w:val="20"/>
          <w:lang w:val="sl-SI"/>
        </w:rPr>
        <w:t>uvaja načelo teritorialnosti glede na sedež subjekta. Vendar pa obstajajo izjeme od omenjenega pravila teritorialne pristojnosti. Ponudniki javnih elektronskih komunikacijskih omrežij ali ponudniki javnih elektronskih komunikacijskih storitev so podvrženi pristojnosti države članice, v kateri ponujajo svoje storitve. Ponudniki storitev DNS, registri imen domen najvišje ravni, subjekti, ki ponujajo storitve registracije imen domen, ponudniki storitev oblakov, ponudniki storitev podatkovnih centrov, ponudniki storitev dostave vsebine, upravljani ponudniki storitev, upravljani ponudniki storitev varnosti</w:t>
      </w:r>
      <w:r>
        <w:rPr>
          <w:rFonts w:eastAsia="Calibri" w:cs="Arial"/>
          <w:szCs w:val="20"/>
          <w:lang w:val="sl-SI"/>
        </w:rPr>
        <w:t xml:space="preserve"> in</w:t>
      </w:r>
      <w:r w:rsidRPr="0038250F">
        <w:rPr>
          <w:rFonts w:eastAsia="Calibri" w:cs="Arial"/>
          <w:szCs w:val="20"/>
          <w:lang w:val="sl-SI"/>
        </w:rPr>
        <w:t xml:space="preserve"> ponudniki spletnih tržnic, iskalnikov ali platform za druž</w:t>
      </w:r>
      <w:r>
        <w:rPr>
          <w:rFonts w:eastAsia="Calibri" w:cs="Arial"/>
          <w:szCs w:val="20"/>
          <w:lang w:val="sl-SI"/>
        </w:rPr>
        <w:t>be</w:t>
      </w:r>
      <w:r w:rsidRPr="0038250F">
        <w:rPr>
          <w:rFonts w:eastAsia="Calibri" w:cs="Arial"/>
          <w:szCs w:val="20"/>
          <w:lang w:val="sl-SI"/>
        </w:rPr>
        <w:t>na omrežja so podvrženi pristojnosti države članice, v kateri imajo svoj glavni sedež v Evropski uniji.</w:t>
      </w:r>
    </w:p>
    <w:p w14:paraId="01013D69" w14:textId="77777777" w:rsidR="00FF197A" w:rsidRPr="0038250F" w:rsidRDefault="00FF197A" w:rsidP="00FF197A">
      <w:pPr>
        <w:spacing w:line="276" w:lineRule="auto"/>
        <w:jc w:val="both"/>
        <w:rPr>
          <w:rFonts w:eastAsia="Calibri" w:cs="Arial"/>
          <w:szCs w:val="20"/>
          <w:lang w:val="sl-SI"/>
        </w:rPr>
      </w:pPr>
    </w:p>
    <w:p w14:paraId="279D90FB"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Bistveni in pomembni subjekti morajo sprejeti ustrezne in sorazmerne ukrepe za upravljanje tveganj za varnost svojih omrežij in informacijskih sistemov ter preprečevanje incidentov ali omilitev posledic incidentov za prejemnike svojih storitev in za druge storitve. Ukrepi morajo temeljiti na celovitem pristopu k vsem nevarnostim. Namen je zaščititi omrežja in informacijske sisteme ter fizično okolje teh sistemov pred incidenti. Upravni organi ali izvršni organi bistvenih in pomembnih subjektov morajo odobriti ukrepe za upravljanje tveganj kibernetske varnosti in nadzorovati njihovo izvajanje, lahko pa so odgovorni tudi za kakršne koli kršitve. Na nacionalni ravni lahko pristojni organi natančneje predpišejo izpolnjevanje varnostnih zahtev. Evropska komisija bo sprejela izvedbeni akt, ki bo določil tehnične in metodološke zahteve za ukrepe za upravljanje tveganj kibernetske varnosti.</w:t>
      </w:r>
    </w:p>
    <w:p w14:paraId="62CFAAA0" w14:textId="77777777" w:rsidR="00FF197A" w:rsidRPr="0038250F" w:rsidRDefault="00FF197A" w:rsidP="00FF197A">
      <w:pPr>
        <w:spacing w:line="276" w:lineRule="auto"/>
        <w:jc w:val="both"/>
        <w:rPr>
          <w:rFonts w:eastAsia="Calibri" w:cs="Arial"/>
          <w:szCs w:val="20"/>
          <w:lang w:val="sl-SI"/>
        </w:rPr>
      </w:pPr>
    </w:p>
    <w:p w14:paraId="53D19F5E"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t xml:space="preserve">Pomembni in bistveni subjekti morajo brez odlašanja poročati o vsakem pomembnem incidentu pristojni skupini CSIRT. Pomemben incident je tisti, ki je povzročil ali je sposoben povzročiti resne operativne motnje pri storitvah v sektorjih ali podsektorjih, navedenih v </w:t>
      </w:r>
      <w:r>
        <w:rPr>
          <w:rFonts w:eastAsia="Calibri" w:cs="Arial"/>
          <w:szCs w:val="20"/>
          <w:lang w:val="sl-SI"/>
        </w:rPr>
        <w:t>p</w:t>
      </w:r>
      <w:r w:rsidRPr="0038250F">
        <w:rPr>
          <w:rFonts w:eastAsia="Calibri" w:cs="Arial"/>
          <w:szCs w:val="20"/>
          <w:lang w:val="sl-SI"/>
        </w:rPr>
        <w:t xml:space="preserve">rilogah </w:t>
      </w:r>
      <w:r>
        <w:rPr>
          <w:rFonts w:eastAsia="Calibri" w:cs="Arial"/>
          <w:szCs w:val="20"/>
          <w:lang w:val="sl-SI"/>
        </w:rPr>
        <w:t>I</w:t>
      </w:r>
      <w:r w:rsidRPr="0038250F">
        <w:rPr>
          <w:rFonts w:eastAsia="Calibri" w:cs="Arial"/>
          <w:szCs w:val="20"/>
          <w:lang w:val="sl-SI"/>
        </w:rPr>
        <w:t xml:space="preserve"> in </w:t>
      </w:r>
      <w:r>
        <w:rPr>
          <w:rFonts w:eastAsia="Calibri" w:cs="Arial"/>
          <w:szCs w:val="20"/>
          <w:lang w:val="sl-SI"/>
        </w:rPr>
        <w:t>II</w:t>
      </w:r>
      <w:r w:rsidRPr="0038250F">
        <w:rPr>
          <w:rFonts w:eastAsia="Calibri" w:cs="Arial"/>
          <w:szCs w:val="20"/>
          <w:lang w:val="sl-SI"/>
        </w:rPr>
        <w:t xml:space="preserve"> direktive, ali finančne izgube za prizadeti subjekt; ali je vplival ali je sposoben vplivati na druge fizične ali pravne osebe z ustvarjanjem znatne materialne ali nematerialne škode. Direktiva 2022/2555/EU določa postopke obveščanja </w:t>
      </w:r>
      <w:r>
        <w:rPr>
          <w:rFonts w:eastAsia="Calibri" w:cs="Arial"/>
          <w:szCs w:val="20"/>
          <w:lang w:val="sl-SI"/>
        </w:rPr>
        <w:t>in</w:t>
      </w:r>
      <w:r w:rsidRPr="0038250F">
        <w:rPr>
          <w:rFonts w:eastAsia="Calibri" w:cs="Arial"/>
          <w:szCs w:val="20"/>
          <w:lang w:val="sl-SI"/>
        </w:rPr>
        <w:t xml:space="preserve"> zavezuje subjekt tudi k obveščanju prejemnikov njihov</w:t>
      </w:r>
      <w:r>
        <w:rPr>
          <w:rFonts w:eastAsia="Calibri" w:cs="Arial"/>
          <w:szCs w:val="20"/>
          <w:lang w:val="sl-SI"/>
        </w:rPr>
        <w:t>ih</w:t>
      </w:r>
      <w:r w:rsidRPr="0038250F">
        <w:rPr>
          <w:rFonts w:eastAsia="Calibri" w:cs="Arial"/>
          <w:szCs w:val="20"/>
          <w:lang w:val="sl-SI"/>
        </w:rPr>
        <w:t xml:space="preserve"> storitev. Pomembni in bistveni subjekti lahko prostovoljno priglasijo </w:t>
      </w:r>
      <w:r>
        <w:rPr>
          <w:rFonts w:eastAsia="Calibri" w:cs="Arial"/>
          <w:szCs w:val="20"/>
          <w:lang w:val="sl-SI"/>
        </w:rPr>
        <w:t>druge</w:t>
      </w:r>
      <w:r w:rsidRPr="0038250F">
        <w:rPr>
          <w:rFonts w:eastAsia="Calibri" w:cs="Arial"/>
          <w:szCs w:val="20"/>
          <w:lang w:val="sl-SI"/>
        </w:rPr>
        <w:t xml:space="preserve"> incidente, kibernetske grožnje in preprečene incidente. Prostovoljna priglasitev je omogočena tudi subjektom, ki ne spadajo med bistvene in pomembne.</w:t>
      </w:r>
    </w:p>
    <w:p w14:paraId="2BDBB636" w14:textId="77777777" w:rsidR="00FF197A" w:rsidRPr="0038250F" w:rsidRDefault="00FF197A" w:rsidP="00FF197A">
      <w:pPr>
        <w:spacing w:line="276" w:lineRule="auto"/>
        <w:jc w:val="both"/>
        <w:rPr>
          <w:rFonts w:eastAsia="Calibri" w:cs="Arial"/>
          <w:szCs w:val="20"/>
          <w:lang w:val="sl-SI"/>
        </w:rPr>
      </w:pPr>
    </w:p>
    <w:p w14:paraId="26EA0006" w14:textId="77777777" w:rsidR="00FF197A" w:rsidRPr="0038250F" w:rsidRDefault="00FF197A" w:rsidP="00FF197A">
      <w:pPr>
        <w:spacing w:line="276" w:lineRule="auto"/>
        <w:jc w:val="both"/>
        <w:rPr>
          <w:rFonts w:eastAsia="Calibri" w:cs="Arial"/>
          <w:szCs w:val="20"/>
          <w:lang w:val="sl-SI"/>
        </w:rPr>
      </w:pPr>
      <w:r w:rsidRPr="0038250F">
        <w:rPr>
          <w:rFonts w:eastAsia="Calibri" w:cs="Arial"/>
          <w:szCs w:val="20"/>
          <w:lang w:val="sl-SI"/>
        </w:rPr>
        <w:lastRenderedPageBreak/>
        <w:t>Države članice morajo zagotoviti, da subjekti iz Direktive 2022/2555/EU sprejmejo potrebne ukrepe in poročajo o incidentih. Za to lahko na primer izvajajo redne zunanje revizije ali preglede ali zahtevajo določeno dokumentacijo. Pristojni nacionalni organi bi morali imeti tudi pooblastila za ukrepanje, da bi spodbudili subjekte k sprejetju ustreznih ukrepov. To se lahko giblje od izdaje opozoril ali zavezujočih navodil za odpravo pomanjkljivosti do obveščanja njihovih strank. Poleg teh upravnih ukrepov se lahko uvedejo tudi učinkovite, sorazmerne in odvračilne upravne globe. Kršitve ukrepov za upravljanje tveganj ali poročil o incidentih se lahko kaznujejo. Za bistvene subjekte: z upravnimi globami v višini do 10.000.000 evrov ali vsaj 2 % skupnega letnega svetovnega prometa v preteklem davčnem letu podjetja, ki spada</w:t>
      </w:r>
      <w:r>
        <w:rPr>
          <w:rFonts w:eastAsia="Calibri" w:cs="Arial"/>
          <w:szCs w:val="20"/>
          <w:lang w:val="sl-SI"/>
        </w:rPr>
        <w:t>jo</w:t>
      </w:r>
      <w:r w:rsidRPr="0038250F">
        <w:rPr>
          <w:rFonts w:eastAsia="Calibri" w:cs="Arial"/>
          <w:szCs w:val="20"/>
          <w:lang w:val="sl-SI"/>
        </w:rPr>
        <w:t xml:space="preserve"> v bistveni subjekt, ne glede na to, kateri znesek je višji. Za pomembne subjekte: upravne globe v višini do 7.000.000 evrov ali vsaj 1,4 % skupnega letnega svetovnega prometa v preteklem davčnem letu podjetja, ki spada v pomemben subjekt, ne glede na to, kateri znesek je višji.</w:t>
      </w:r>
    </w:p>
    <w:p w14:paraId="7A0FA7D0" w14:textId="77777777" w:rsidR="00FF197A" w:rsidRPr="0038250F" w:rsidRDefault="00FF197A" w:rsidP="00FF197A">
      <w:pPr>
        <w:spacing w:line="276" w:lineRule="auto"/>
        <w:jc w:val="both"/>
        <w:rPr>
          <w:rFonts w:eastAsia="Calibri" w:cs="Arial"/>
          <w:szCs w:val="20"/>
          <w:lang w:val="sl-SI"/>
        </w:rPr>
      </w:pPr>
    </w:p>
    <w:p w14:paraId="45A5DB43"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2. CILJI, NAČELA IN POGLAVITNE REŠITVE PREDLOGA ZAKONA</w:t>
      </w:r>
    </w:p>
    <w:p w14:paraId="06D96732"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p>
    <w:p w14:paraId="5D589213"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2.1 Cilji</w:t>
      </w:r>
    </w:p>
    <w:p w14:paraId="29E8C37D"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p>
    <w:p w14:paraId="61A04B0E" w14:textId="77777777" w:rsidR="00FF197A" w:rsidRPr="0038250F" w:rsidRDefault="00FF197A" w:rsidP="00FF197A">
      <w:pPr>
        <w:spacing w:line="276" w:lineRule="auto"/>
        <w:jc w:val="both"/>
        <w:rPr>
          <w:rFonts w:cs="Arial"/>
          <w:szCs w:val="20"/>
          <w:lang w:val="sl-SI"/>
        </w:rPr>
      </w:pPr>
      <w:r w:rsidRPr="0038250F">
        <w:rPr>
          <w:rFonts w:cs="Arial"/>
          <w:szCs w:val="20"/>
          <w:lang w:val="sl-SI"/>
        </w:rPr>
        <w:t xml:space="preserve">Republika Slovenija bo z Zakonom o informacijski varnosti (v nadaljnjem besedilu: ZInfV-1) v svoj pravni red prenesla </w:t>
      </w:r>
      <w:bookmarkStart w:id="4" w:name="_Hlk162472751"/>
      <w:r w:rsidRPr="0038250F">
        <w:rPr>
          <w:rFonts w:cs="Arial"/>
          <w:szCs w:val="20"/>
          <w:lang w:val="sl-SI"/>
        </w:rPr>
        <w:t xml:space="preserve">Direktivo </w:t>
      </w:r>
      <w:bookmarkEnd w:id="4"/>
      <w:r w:rsidRPr="0038250F">
        <w:rPr>
          <w:rFonts w:cs="Arial"/>
          <w:szCs w:val="20"/>
          <w:lang w:val="sl-SI"/>
        </w:rPr>
        <w:t>2022/2555/EU, katere namen je sistemska ureditev področja informacijske oziroma kibernetske varnosti in zagotovitev visoke ravni kibernetske varnosti v Republiki Sloveniji na področjih, ki so bistvenega pomena za nemoteno delovanje države ter ohranitev zagotavljanja ključnih družbenih in gospodarskih dejavnosti v vseh varnostnih razmerah.</w:t>
      </w:r>
    </w:p>
    <w:p w14:paraId="5D6C3E36" w14:textId="77777777" w:rsidR="00FF197A" w:rsidRPr="0038250F" w:rsidRDefault="00FF197A" w:rsidP="00FF197A">
      <w:pPr>
        <w:spacing w:line="276" w:lineRule="auto"/>
        <w:jc w:val="both"/>
        <w:rPr>
          <w:rFonts w:eastAsia="Calibri" w:cs="Arial"/>
          <w:szCs w:val="20"/>
          <w:lang w:val="sl-SI"/>
        </w:rPr>
      </w:pPr>
    </w:p>
    <w:p w14:paraId="1C9B8D90" w14:textId="77777777" w:rsidR="00FF197A" w:rsidRPr="0038250F" w:rsidRDefault="00FF197A" w:rsidP="00FF197A">
      <w:pPr>
        <w:spacing w:line="276" w:lineRule="auto"/>
        <w:jc w:val="both"/>
        <w:rPr>
          <w:rFonts w:cs="Arial"/>
          <w:szCs w:val="20"/>
          <w:lang w:val="sl-SI" w:eastAsia="sl-SI"/>
        </w:rPr>
      </w:pPr>
      <w:r w:rsidRPr="0038250F">
        <w:rPr>
          <w:rFonts w:eastAsia="Calibri" w:cs="Arial"/>
          <w:szCs w:val="20"/>
          <w:lang w:val="sl-SI"/>
        </w:rPr>
        <w:t xml:space="preserve">Ker je </w:t>
      </w:r>
      <w:r w:rsidRPr="0038250F">
        <w:rPr>
          <w:rFonts w:cs="Arial"/>
          <w:szCs w:val="20"/>
          <w:lang w:val="sl-SI"/>
        </w:rPr>
        <w:t xml:space="preserve">Direktiva 2022/2555/EU uvedla pomembne </w:t>
      </w:r>
      <w:r w:rsidRPr="0038250F">
        <w:rPr>
          <w:rFonts w:cs="Arial"/>
          <w:szCs w:val="20"/>
          <w:lang w:val="sl-SI" w:eastAsia="sl-SI"/>
        </w:rPr>
        <w:t xml:space="preserve">spremembe v </w:t>
      </w:r>
      <w:r>
        <w:rPr>
          <w:rFonts w:cs="Arial"/>
          <w:szCs w:val="20"/>
          <w:lang w:val="sl-SI" w:eastAsia="sl-SI"/>
        </w:rPr>
        <w:t>veljavni</w:t>
      </w:r>
      <w:r w:rsidRPr="0038250F">
        <w:rPr>
          <w:rFonts w:cs="Arial"/>
          <w:szCs w:val="20"/>
          <w:lang w:val="sl-SI" w:eastAsia="sl-SI"/>
        </w:rPr>
        <w:t xml:space="preserve"> regulativni okvir</w:t>
      </w:r>
      <w:r>
        <w:rPr>
          <w:rFonts w:cs="Arial"/>
          <w:szCs w:val="20"/>
          <w:lang w:val="sl-SI" w:eastAsia="sl-SI"/>
        </w:rPr>
        <w:t>,</w:t>
      </w:r>
      <w:r w:rsidRPr="0038250F">
        <w:rPr>
          <w:rFonts w:cs="Arial"/>
          <w:szCs w:val="20"/>
          <w:lang w:val="sl-SI" w:eastAsia="sl-SI"/>
        </w:rPr>
        <w:t xml:space="preserve"> je bila sprejeta odločitev, da se pripravi nov zakon, ki ureja področje informacijske varnosti, ki bo nadomestil </w:t>
      </w:r>
      <w:r>
        <w:rPr>
          <w:rFonts w:cs="Arial"/>
          <w:szCs w:val="20"/>
          <w:lang w:val="sl-SI" w:eastAsia="sl-SI"/>
        </w:rPr>
        <w:t>veljavni</w:t>
      </w:r>
      <w:r w:rsidRPr="0038250F">
        <w:rPr>
          <w:rFonts w:cs="Arial"/>
          <w:szCs w:val="20"/>
          <w:lang w:val="sl-SI" w:eastAsia="sl-SI"/>
        </w:rPr>
        <w:t xml:space="preserve"> zakon, a ohranil in nadgradil pozitivne rešitve. Nov predlog zakona smiselno ohranja besedilo </w:t>
      </w:r>
      <w:r>
        <w:rPr>
          <w:rFonts w:cs="Arial"/>
          <w:szCs w:val="20"/>
          <w:lang w:val="sl-SI" w:eastAsia="sl-SI"/>
        </w:rPr>
        <w:t>veljavnega</w:t>
      </w:r>
      <w:r w:rsidRPr="0038250F">
        <w:rPr>
          <w:rFonts w:cs="Arial"/>
          <w:szCs w:val="20"/>
          <w:lang w:val="sl-SI" w:eastAsia="sl-SI"/>
        </w:rPr>
        <w:t xml:space="preserve"> zakona, ga nadgradi in s tem izpolnjuje minimalne zahteve</w:t>
      </w:r>
      <w:r>
        <w:rPr>
          <w:rFonts w:cs="Arial"/>
          <w:szCs w:val="20"/>
          <w:lang w:val="sl-SI" w:eastAsia="sl-SI"/>
        </w:rPr>
        <w:t>,</w:t>
      </w:r>
      <w:r w:rsidRPr="0038250F">
        <w:rPr>
          <w:rFonts w:cs="Arial"/>
          <w:szCs w:val="20"/>
          <w:lang w:val="sl-SI" w:eastAsia="sl-SI"/>
        </w:rPr>
        <w:t xml:space="preserve"> določene v Direktivi 2022/2555/EU. V </w:t>
      </w:r>
      <w:r>
        <w:rPr>
          <w:rFonts w:cs="Arial"/>
          <w:szCs w:val="20"/>
          <w:lang w:val="sl-SI" w:eastAsia="sl-SI"/>
        </w:rPr>
        <w:t>besedilu</w:t>
      </w:r>
      <w:r w:rsidRPr="0038250F">
        <w:rPr>
          <w:rFonts w:cs="Arial"/>
          <w:szCs w:val="20"/>
          <w:lang w:val="sl-SI" w:eastAsia="sl-SI"/>
        </w:rPr>
        <w:t xml:space="preserve"> se odražajo izkušnje in dobre prakse</w:t>
      </w:r>
      <w:r>
        <w:rPr>
          <w:rFonts w:cs="Arial"/>
          <w:szCs w:val="20"/>
          <w:lang w:val="sl-SI" w:eastAsia="sl-SI"/>
        </w:rPr>
        <w:t>,</w:t>
      </w:r>
      <w:r w:rsidRPr="0038250F">
        <w:rPr>
          <w:rFonts w:cs="Arial"/>
          <w:szCs w:val="20"/>
          <w:lang w:val="sl-SI" w:eastAsia="sl-SI"/>
        </w:rPr>
        <w:t xml:space="preserve"> pridobljene z upravljanjem z incidenti, večletne izkušnje koordinacije kibernetske varnosti v Republiki Sloveniji in praktične izkušnje iz vaj s področja zagotavljanja kibernetske varnosti. Osnutek ZInfV-1 združuje obstoječo razdrobljeno upravljanje kibernetske varnosti ob upoštevanju specifičnega področja bančništva in instrumentov finančnih trgov. Zakon ustrezno naslovi razmerje do zakona s področja kritične infrastrukture.</w:t>
      </w:r>
    </w:p>
    <w:p w14:paraId="16928F07" w14:textId="77777777" w:rsidR="00FF197A" w:rsidRPr="0038250F" w:rsidRDefault="00FF197A" w:rsidP="00FF197A">
      <w:pPr>
        <w:spacing w:line="276" w:lineRule="auto"/>
        <w:jc w:val="both"/>
        <w:rPr>
          <w:rFonts w:cs="Arial"/>
          <w:szCs w:val="20"/>
          <w:lang w:val="sl-SI" w:eastAsia="sl-SI"/>
        </w:rPr>
      </w:pPr>
    </w:p>
    <w:p w14:paraId="0F85BE7C"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2.2 Načela</w:t>
      </w:r>
    </w:p>
    <w:p w14:paraId="18E964B4"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highlight w:val="yellow"/>
          <w:lang w:val="sl-SI"/>
        </w:rPr>
      </w:pPr>
    </w:p>
    <w:p w14:paraId="4CC91612" w14:textId="77777777" w:rsidR="00FF197A" w:rsidRPr="0038250F" w:rsidRDefault="00FF197A" w:rsidP="00FF197A">
      <w:pPr>
        <w:spacing w:line="276" w:lineRule="auto"/>
        <w:jc w:val="both"/>
        <w:rPr>
          <w:rFonts w:cs="Arial"/>
          <w:szCs w:val="20"/>
          <w:lang w:val="sl-SI"/>
        </w:rPr>
      </w:pPr>
      <w:r w:rsidRPr="0038250F">
        <w:rPr>
          <w:rFonts w:cs="Arial"/>
          <w:szCs w:val="20"/>
          <w:lang w:val="sl-SI"/>
        </w:rPr>
        <w:t>Predlog zakona, podobno kot Direktive 2022/2555/EU, upošteva spoštovanje človekovih pravic in temeljnih svoboščin, zlasti pravico do spoštovanja zasebnega življenja in komunikacij, varstvo osebnih podatkov, svobodo gospodarske pobude, lastninsko pravico, pravico do učinkovitega pravnega sredstva in nepristranskega sodišča ter pravico podati izjavo. Ob tem predlog zakona upošteva tudi načelo ekonomičnosti (v smislu preprečevanja podvajanja administrativnih bremen) ter načela pravne države, in sicer pravne varnosti in sorazmernosti.</w:t>
      </w:r>
    </w:p>
    <w:p w14:paraId="596091B8" w14:textId="77777777" w:rsidR="00FF197A" w:rsidRPr="0038250F" w:rsidRDefault="00FF197A" w:rsidP="00FF197A">
      <w:pPr>
        <w:spacing w:line="276" w:lineRule="auto"/>
        <w:jc w:val="both"/>
        <w:rPr>
          <w:rFonts w:cs="Arial"/>
          <w:szCs w:val="20"/>
          <w:highlight w:val="yellow"/>
          <w:lang w:val="sl-SI"/>
        </w:rPr>
      </w:pPr>
    </w:p>
    <w:p w14:paraId="68C3303C" w14:textId="77777777" w:rsidR="00FF197A" w:rsidRPr="0038250F" w:rsidRDefault="00FF197A" w:rsidP="00FF197A">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2.3 Poglavitne rešitve</w:t>
      </w:r>
    </w:p>
    <w:p w14:paraId="231E5952" w14:textId="77777777" w:rsidR="00FF197A" w:rsidRPr="0038250F" w:rsidRDefault="00FF197A" w:rsidP="00FF197A">
      <w:pPr>
        <w:spacing w:line="276" w:lineRule="auto"/>
        <w:jc w:val="both"/>
        <w:rPr>
          <w:rFonts w:cs="Arial"/>
          <w:szCs w:val="20"/>
          <w:lang w:val="sl-SI"/>
        </w:rPr>
      </w:pPr>
    </w:p>
    <w:p w14:paraId="5E556B5D" w14:textId="77777777" w:rsidR="00FF197A" w:rsidRPr="0038250F" w:rsidRDefault="00FF197A" w:rsidP="00FF197A">
      <w:pPr>
        <w:numPr>
          <w:ilvl w:val="0"/>
          <w:numId w:val="10"/>
        </w:numPr>
        <w:spacing w:line="276" w:lineRule="auto"/>
        <w:jc w:val="both"/>
        <w:rPr>
          <w:rFonts w:cs="Arial"/>
          <w:szCs w:val="20"/>
          <w:lang w:val="sl-SI"/>
        </w:rPr>
      </w:pPr>
      <w:r w:rsidRPr="0038250F">
        <w:rPr>
          <w:rFonts w:cs="Arial"/>
          <w:szCs w:val="20"/>
          <w:lang w:val="sl-SI"/>
        </w:rPr>
        <w:t>Predstavitev predlaganih rešitev</w:t>
      </w:r>
    </w:p>
    <w:p w14:paraId="0E04C10E" w14:textId="77777777" w:rsidR="00FF197A" w:rsidRPr="0038250F" w:rsidRDefault="00FF197A" w:rsidP="00FF197A">
      <w:pPr>
        <w:spacing w:line="276" w:lineRule="auto"/>
        <w:jc w:val="both"/>
        <w:rPr>
          <w:rFonts w:cs="Arial"/>
          <w:szCs w:val="20"/>
          <w:lang w:val="sl-SI"/>
        </w:rPr>
      </w:pPr>
    </w:p>
    <w:p w14:paraId="676EE9A2" w14:textId="77777777" w:rsidR="00FF197A" w:rsidRPr="0038250F" w:rsidRDefault="00FF197A" w:rsidP="00FF197A">
      <w:pPr>
        <w:spacing w:line="276" w:lineRule="auto"/>
        <w:jc w:val="both"/>
        <w:rPr>
          <w:rFonts w:cs="Arial"/>
          <w:szCs w:val="20"/>
          <w:lang w:val="sl-SI"/>
        </w:rPr>
      </w:pPr>
      <w:r w:rsidRPr="0038250F">
        <w:rPr>
          <w:rFonts w:cs="Arial"/>
          <w:szCs w:val="20"/>
          <w:lang w:val="sl-SI"/>
        </w:rPr>
        <w:t xml:space="preserve">V nadaljevanju so po poglavjih predstavljene poglavitne rešitve predloga zakona. </w:t>
      </w:r>
    </w:p>
    <w:p w14:paraId="2505EADB" w14:textId="77777777" w:rsidR="00FF197A" w:rsidRDefault="00FF197A" w:rsidP="00FF197A">
      <w:pPr>
        <w:spacing w:line="240" w:lineRule="auto"/>
        <w:rPr>
          <w:rFonts w:cs="Arial"/>
          <w:b/>
          <w:szCs w:val="20"/>
          <w:lang w:val="sl-SI"/>
        </w:rPr>
      </w:pPr>
      <w:r>
        <w:rPr>
          <w:rFonts w:cs="Arial"/>
          <w:b/>
          <w:szCs w:val="20"/>
          <w:lang w:val="sl-SI"/>
        </w:rPr>
        <w:br w:type="page"/>
      </w:r>
    </w:p>
    <w:p w14:paraId="6F0FA8D3" w14:textId="77777777" w:rsidR="00FF197A" w:rsidRPr="0038250F" w:rsidRDefault="00FF197A" w:rsidP="00FF197A">
      <w:pPr>
        <w:spacing w:line="276" w:lineRule="auto"/>
        <w:jc w:val="both"/>
        <w:rPr>
          <w:rFonts w:cs="Arial"/>
          <w:b/>
          <w:szCs w:val="20"/>
          <w:lang w:val="sl-SI"/>
        </w:rPr>
      </w:pPr>
    </w:p>
    <w:p w14:paraId="46CC9B9E"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 xml:space="preserve">I. Splošne določbe </w:t>
      </w:r>
    </w:p>
    <w:p w14:paraId="327AC4B5" w14:textId="77777777" w:rsidR="00FF197A" w:rsidRPr="0038250F" w:rsidRDefault="00FF197A" w:rsidP="00FF197A">
      <w:pPr>
        <w:spacing w:line="276" w:lineRule="auto"/>
        <w:jc w:val="both"/>
        <w:rPr>
          <w:rFonts w:cs="Arial"/>
          <w:b/>
          <w:szCs w:val="20"/>
          <w:lang w:val="sl-SI"/>
        </w:rPr>
      </w:pPr>
    </w:p>
    <w:p w14:paraId="2AD91219"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vsebina predloga zakona ureja področje informacijske in kibernetske varnosti ter opredeljuje nacionalni sistem informacijske varnosti v Republiki Sloveniji. Pri tem ureja pristojnosti, naloge, organizacijo in delovanje pristojnega nacionalnega organa za informacijsko varnost (v nadaljnjem besedilu: pristojni nacionalni organ), organa za obvladovanje incidentov velikih razsežnosti in kriz, enotne kontaktne točke za kibernetsko varnost (v nadaljnjem besedilu: enotna kontaktna točka), skupine za odzivanje na incidente na področju računalniške varnosti (v nadaljnjem besedilu: skupine CSIRT); ureja sprejem Strategije kibernetske varnosti Republike Slovenije in določa kibernetsko obrambo ter sodelovanje pristojnih državnih organov in skupin CSIRT;</w:t>
      </w:r>
    </w:p>
    <w:p w14:paraId="6498015A"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za ohranitev ključnih družbenih in gospodarskih dejavnosti v Republiki Sloveniji določa tudi ukrepe za obvladovanje tveganj za kibernetsko varnost in obveznost poročanja zavezancev iz kritičnih sektorjev ter zavezancev, ki so kritični subjekti v skladu z zakonom, ki ureja področje kritične infrastrukture. Ureja tudi pravila in obveznosti glede izmenjave informacij o kibernetski varnosti ter nadzor po tem zakonu, vključno za področje certificiranja kibernetske varnosti;</w:t>
      </w:r>
    </w:p>
    <w:p w14:paraId="3678C358"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namen predloga zakona je sistemska ureditev področja informacijske oziroma kibernetske varnosti in zagotovitev visoke ravni kibernetske varnosti v Republiki Sloveniji na področjih, ki so bistvenega pomena za nemoteno delovanje države ter ohranitev zagotavljanja ključnih družbenih in gospodarskih dejavnosti;</w:t>
      </w:r>
    </w:p>
    <w:p w14:paraId="2FC9DFC5" w14:textId="42D892CD" w:rsidR="00A62796" w:rsidRDefault="00FF197A" w:rsidP="00A62796">
      <w:pPr>
        <w:numPr>
          <w:ilvl w:val="0"/>
          <w:numId w:val="11"/>
        </w:numPr>
        <w:spacing w:line="276" w:lineRule="auto"/>
        <w:jc w:val="both"/>
        <w:rPr>
          <w:rFonts w:cs="Arial"/>
          <w:szCs w:val="20"/>
          <w:lang w:val="sl-SI"/>
        </w:rPr>
      </w:pPr>
      <w:r w:rsidRPr="0038250F">
        <w:rPr>
          <w:rFonts w:cs="Arial"/>
          <w:szCs w:val="20"/>
          <w:lang w:val="sl-SI"/>
        </w:rPr>
        <w:t>s tem zakonom se v pravni red Republike Slovenije prenaša Direktiva (EU) 2022/2555 Evropskega parlamenta in Sveta z dne 14. decembra 2022 o ukrepih za visoko skupno raven kibernetske varnosti v Uniji, spremembi Uredbe (EU) št. 910/2014 in Direktive (EU) 2018/1972 ter razveljavitvi Direktive (EU) 2016/1148 (Direktiva NIS 2) (</w:t>
      </w:r>
      <w:r w:rsidRPr="00EF3EEF">
        <w:rPr>
          <w:rFonts w:cs="Arial"/>
          <w:szCs w:val="20"/>
          <w:lang w:val="sl-SI"/>
        </w:rPr>
        <w:t>UL L št. 333/142 z dne 27. 12. 2022, str. 80)</w:t>
      </w:r>
      <w:r w:rsidRPr="0038250F">
        <w:rPr>
          <w:rFonts w:cs="Arial"/>
          <w:szCs w:val="20"/>
          <w:lang w:val="sl-SI"/>
        </w:rPr>
        <w:t xml:space="preserve">, </w:t>
      </w:r>
      <w:r w:rsidR="00A62796" w:rsidRPr="00A62796">
        <w:rPr>
          <w:rFonts w:cs="Arial"/>
          <w:szCs w:val="20"/>
          <w:lang w:val="sl-SI"/>
        </w:rPr>
        <w:t>zadnjič popravljeno s Popravkom (UL L št. 90348 z dne 12. 6. 2024, str. 139), (v nadaljnjem besedilu: Direktiva 2022/2555/EU)</w:t>
      </w:r>
      <w:r w:rsidR="00A62796">
        <w:rPr>
          <w:rFonts w:cs="Arial"/>
          <w:szCs w:val="20"/>
          <w:lang w:val="sl-SI"/>
        </w:rPr>
        <w:t>;</w:t>
      </w:r>
    </w:p>
    <w:p w14:paraId="3B65EF5F" w14:textId="2ED36C11" w:rsidR="00FF197A" w:rsidRDefault="00FF197A" w:rsidP="00FF197A">
      <w:pPr>
        <w:numPr>
          <w:ilvl w:val="0"/>
          <w:numId w:val="11"/>
        </w:numPr>
        <w:spacing w:line="276" w:lineRule="auto"/>
        <w:jc w:val="both"/>
        <w:rPr>
          <w:rFonts w:cs="Arial"/>
          <w:szCs w:val="20"/>
          <w:lang w:val="sl-SI"/>
        </w:rPr>
      </w:pPr>
      <w:r w:rsidRPr="0038250F">
        <w:rPr>
          <w:rFonts w:cs="Arial"/>
          <w:szCs w:val="20"/>
          <w:lang w:val="sl-SI"/>
        </w:rPr>
        <w:t>s tem zakonom se ureja izvajanje Uredbe (EU) 2019/881 Evropskega parlamenta in Sveta z dne 17. aprila 2019 o Agenciji Evropske unije za kibernetsko varnost (ENISA) in o certificiranju informacijske in komunikacijske tehnologije na področju kibernetske varnosti ter razveljavitvi Uredbe (EU) št. 526/2013 (Akt o kibernetski varnosti) (UL L št. 151 z dne 7. 6. 2019, str. 15</w:t>
      </w:r>
      <w:r w:rsidR="000D6C2C">
        <w:rPr>
          <w:rFonts w:cs="Arial"/>
          <w:szCs w:val="20"/>
          <w:lang w:val="sl-SI"/>
        </w:rPr>
        <w:t>),</w:t>
      </w:r>
      <w:r w:rsidR="000D6C2C" w:rsidRPr="000D6C2C">
        <w:rPr>
          <w:lang w:val="sl-SI"/>
        </w:rPr>
        <w:t xml:space="preserve"> </w:t>
      </w:r>
      <w:r w:rsidR="000D6C2C" w:rsidRPr="000D6C2C">
        <w:rPr>
          <w:rFonts w:cs="Arial"/>
          <w:szCs w:val="20"/>
          <w:lang w:val="sl-SI"/>
        </w:rPr>
        <w:t>zadnjič spremenjeno z Uredbo (EU) 2025/37 Evropskega parlamenta in Sveta z dne 19. decembra 2024 o spremembi Uredbe (EU) 2019/881 glede upravljanih varnostnih storitev (UL L št. 2025/37 z dne 15. 1. 2025),</w:t>
      </w:r>
      <w:r w:rsidRPr="0038250F">
        <w:rPr>
          <w:rFonts w:cs="Arial"/>
          <w:szCs w:val="20"/>
          <w:lang w:val="sl-SI"/>
        </w:rPr>
        <w:t xml:space="preserve"> </w:t>
      </w:r>
      <w:r w:rsidR="000D6C2C">
        <w:rPr>
          <w:rFonts w:cs="Arial"/>
          <w:szCs w:val="20"/>
          <w:lang w:val="sl-SI"/>
        </w:rPr>
        <w:t>(</w:t>
      </w:r>
      <w:r w:rsidRPr="0038250F">
        <w:rPr>
          <w:rFonts w:cs="Arial"/>
          <w:szCs w:val="20"/>
          <w:lang w:val="sl-SI"/>
        </w:rPr>
        <w:t>v nadaljnjem besedilu: Uredba 2019/881/EU)</w:t>
      </w:r>
      <w:r w:rsidR="000D6C2C">
        <w:rPr>
          <w:rFonts w:cs="Arial"/>
          <w:szCs w:val="20"/>
          <w:lang w:val="sl-SI"/>
        </w:rPr>
        <w:t>:</w:t>
      </w:r>
    </w:p>
    <w:p w14:paraId="509CE00F"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določeni so subjekti, za katere se zakon ne uporablja;</w:t>
      </w:r>
    </w:p>
    <w:p w14:paraId="2D4C8368"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pomen izrazov</w:t>
      </w:r>
      <w:r w:rsidRPr="0038250F">
        <w:rPr>
          <w:rFonts w:cs="Arial"/>
          <w:b/>
          <w:szCs w:val="20"/>
          <w:lang w:val="sl-SI"/>
        </w:rPr>
        <w:t xml:space="preserve"> </w:t>
      </w:r>
      <w:r w:rsidRPr="0038250F">
        <w:rPr>
          <w:rFonts w:cs="Arial"/>
          <w:szCs w:val="20"/>
          <w:lang w:val="sl-SI"/>
        </w:rPr>
        <w:t>je skladen z Direktivo 2022/2555/EU, ko gre za nacionalne določbe, pa s strokovnimi pojmi s področja informacijske in kibernetske varnosti oziroma obramboslovja;</w:t>
      </w:r>
    </w:p>
    <w:p w14:paraId="6B59EC18"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pri obdelavi podatkov na podlagi tega zakona se ta glede osebnih podatkov izvaja skladno s predpisi, ki urejajo varstvo osebnih podatkov, če pa so podatki in informacije, ki se obdelujejo, opredeljeni kot tajni ali kot poslovna skrivnost, pa v skladu s predpisi, ki urejajo področje tajnih podatkov in poslovno skrivnost;</w:t>
      </w:r>
    </w:p>
    <w:p w14:paraId="73C34136" w14:textId="77777777" w:rsidR="00FF197A" w:rsidRPr="0038250F" w:rsidRDefault="00FF197A" w:rsidP="00FF197A">
      <w:pPr>
        <w:pStyle w:val="Odstavekseznama"/>
        <w:numPr>
          <w:ilvl w:val="0"/>
          <w:numId w:val="11"/>
        </w:numPr>
        <w:spacing w:line="276" w:lineRule="auto"/>
        <w:jc w:val="both"/>
        <w:rPr>
          <w:rFonts w:cs="Arial"/>
          <w:szCs w:val="20"/>
          <w:lang w:val="sl-SI"/>
        </w:rPr>
      </w:pPr>
      <w:r w:rsidRPr="0038250F">
        <w:rPr>
          <w:rFonts w:cs="Arial"/>
          <w:szCs w:val="20"/>
          <w:lang w:val="sl-SI"/>
        </w:rPr>
        <w:t>zakon uvaja tudi kategorijo</w:t>
      </w:r>
      <w:r w:rsidRPr="0038250F">
        <w:rPr>
          <w:rFonts w:cs="Arial"/>
          <w:lang w:val="sl-SI"/>
        </w:rPr>
        <w:t xml:space="preserve"> </w:t>
      </w:r>
      <w:r w:rsidRPr="0038250F">
        <w:rPr>
          <w:rFonts w:cs="Arial"/>
          <w:szCs w:val="20"/>
          <w:lang w:val="sl-SI"/>
        </w:rPr>
        <w:t>varovani podatki pristojnega nacionalnega organ</w:t>
      </w:r>
      <w:r>
        <w:rPr>
          <w:rFonts w:cs="Arial"/>
          <w:szCs w:val="20"/>
          <w:lang w:val="sl-SI"/>
        </w:rPr>
        <w:t>a</w:t>
      </w:r>
      <w:r w:rsidRPr="0038250F">
        <w:rPr>
          <w:rFonts w:cs="Arial"/>
          <w:szCs w:val="20"/>
          <w:lang w:val="sl-SI"/>
        </w:rPr>
        <w:t>. Organizacijske in logično</w:t>
      </w:r>
      <w:r>
        <w:rPr>
          <w:rFonts w:cs="Arial"/>
          <w:szCs w:val="20"/>
          <w:lang w:val="sl-SI"/>
        </w:rPr>
        <w:t>-</w:t>
      </w:r>
      <w:r w:rsidRPr="0038250F">
        <w:rPr>
          <w:rFonts w:cs="Arial"/>
          <w:szCs w:val="20"/>
          <w:lang w:val="sl-SI"/>
        </w:rPr>
        <w:t>tehnične postopke ter ukrepe za določanje in varovanje varovanih podatkov pristojnega nacionalnega organa ter vodenja zbirk podatkov</w:t>
      </w:r>
      <w:r>
        <w:rPr>
          <w:rFonts w:cs="Arial"/>
          <w:szCs w:val="20"/>
          <w:lang w:val="sl-SI"/>
        </w:rPr>
        <w:t>,</w:t>
      </w:r>
      <w:r w:rsidRPr="0038250F">
        <w:rPr>
          <w:rFonts w:cs="Arial"/>
          <w:szCs w:val="20"/>
          <w:lang w:val="sl-SI"/>
        </w:rPr>
        <w:t xml:space="preserve"> katerih upravljavec je pristojni nacionalni organ</w:t>
      </w:r>
      <w:r>
        <w:rPr>
          <w:rFonts w:cs="Arial"/>
          <w:szCs w:val="20"/>
          <w:lang w:val="sl-SI"/>
        </w:rPr>
        <w:t>,</w:t>
      </w:r>
      <w:r w:rsidRPr="0038250F">
        <w:rPr>
          <w:rFonts w:cs="Arial"/>
          <w:szCs w:val="20"/>
          <w:lang w:val="sl-SI"/>
        </w:rPr>
        <w:t xml:space="preserve"> določi predstojnik omenjenega organa.</w:t>
      </w:r>
    </w:p>
    <w:p w14:paraId="24A9B56C" w14:textId="77777777" w:rsidR="00FF197A" w:rsidRPr="0038250F" w:rsidRDefault="00FF197A" w:rsidP="00FF197A">
      <w:pPr>
        <w:spacing w:line="276" w:lineRule="auto"/>
        <w:ind w:left="720"/>
        <w:jc w:val="both"/>
        <w:rPr>
          <w:rFonts w:cs="Arial"/>
          <w:szCs w:val="20"/>
          <w:lang w:val="sl-SI"/>
        </w:rPr>
      </w:pPr>
    </w:p>
    <w:p w14:paraId="1DA1AD01" w14:textId="77777777" w:rsidR="00FF197A" w:rsidRPr="0038250F" w:rsidRDefault="00FF197A" w:rsidP="00FF197A">
      <w:pPr>
        <w:spacing w:line="276" w:lineRule="auto"/>
        <w:jc w:val="both"/>
        <w:rPr>
          <w:rFonts w:cs="Arial"/>
          <w:szCs w:val="20"/>
          <w:lang w:val="sl-SI"/>
        </w:rPr>
      </w:pPr>
    </w:p>
    <w:p w14:paraId="21BBA43A" w14:textId="77777777" w:rsidR="00CB2556" w:rsidRDefault="00CB2556">
      <w:pPr>
        <w:spacing w:line="240" w:lineRule="auto"/>
        <w:rPr>
          <w:rFonts w:cs="Arial"/>
          <w:b/>
          <w:szCs w:val="20"/>
          <w:lang w:val="sl-SI"/>
        </w:rPr>
      </w:pPr>
      <w:r>
        <w:rPr>
          <w:rFonts w:cs="Arial"/>
          <w:b/>
          <w:szCs w:val="20"/>
          <w:lang w:val="sl-SI"/>
        </w:rPr>
        <w:br w:type="page"/>
      </w:r>
    </w:p>
    <w:p w14:paraId="5E76BEC0" w14:textId="1E3992A6" w:rsidR="00FF197A" w:rsidRPr="0038250F" w:rsidRDefault="00FF197A" w:rsidP="00FF197A">
      <w:pPr>
        <w:spacing w:line="276" w:lineRule="auto"/>
        <w:jc w:val="both"/>
        <w:rPr>
          <w:rFonts w:cs="Arial"/>
          <w:b/>
          <w:szCs w:val="20"/>
          <w:lang w:val="sl-SI"/>
        </w:rPr>
      </w:pPr>
      <w:r w:rsidRPr="0038250F">
        <w:rPr>
          <w:rFonts w:cs="Arial"/>
          <w:b/>
          <w:szCs w:val="20"/>
          <w:lang w:val="sl-SI"/>
        </w:rPr>
        <w:lastRenderedPageBreak/>
        <w:t xml:space="preserve">II. Zavezanci </w:t>
      </w:r>
    </w:p>
    <w:p w14:paraId="0C80BF38" w14:textId="77777777" w:rsidR="00FF197A" w:rsidRPr="0038250F" w:rsidRDefault="00FF197A" w:rsidP="00FF197A">
      <w:pPr>
        <w:spacing w:line="276" w:lineRule="auto"/>
        <w:jc w:val="both"/>
        <w:rPr>
          <w:rFonts w:cs="Arial"/>
          <w:szCs w:val="20"/>
          <w:lang w:val="sl-SI"/>
        </w:rPr>
      </w:pPr>
    </w:p>
    <w:p w14:paraId="4234774C" w14:textId="3C74DF90" w:rsidR="00FF197A" w:rsidRPr="0038250F" w:rsidRDefault="00FF197A" w:rsidP="00FF197A">
      <w:pPr>
        <w:widowControl w:val="0"/>
        <w:numPr>
          <w:ilvl w:val="0"/>
          <w:numId w:val="11"/>
        </w:numPr>
        <w:autoSpaceDE w:val="0"/>
        <w:autoSpaceDN w:val="0"/>
        <w:adjustRightInd w:val="0"/>
        <w:spacing w:line="276" w:lineRule="auto"/>
        <w:ind w:left="714" w:hanging="357"/>
        <w:jc w:val="both"/>
        <w:rPr>
          <w:rFonts w:cs="Arial"/>
          <w:szCs w:val="20"/>
          <w:lang w:val="sl-SI" w:eastAsia="cs-CZ"/>
        </w:rPr>
      </w:pPr>
      <w:r w:rsidRPr="0038250F">
        <w:rPr>
          <w:rFonts w:cs="Arial"/>
          <w:szCs w:val="20"/>
          <w:lang w:val="sl-SI" w:eastAsia="cs-CZ"/>
        </w:rPr>
        <w:t>zavezanci so javni ali zasebni subje</w:t>
      </w:r>
      <w:r w:rsidRPr="00705339">
        <w:rPr>
          <w:rFonts w:cs="Arial"/>
          <w:szCs w:val="20"/>
          <w:lang w:val="sl-SI" w:eastAsia="cs-CZ"/>
        </w:rPr>
        <w:t xml:space="preserve">kti vrste iz </w:t>
      </w:r>
      <w:r w:rsidR="00CB2556">
        <w:rPr>
          <w:rFonts w:cs="Arial"/>
          <w:szCs w:val="20"/>
          <w:lang w:val="sl-SI" w:eastAsia="cs-CZ"/>
        </w:rPr>
        <w:t>P</w:t>
      </w:r>
      <w:r w:rsidRPr="00705339">
        <w:rPr>
          <w:rFonts w:cs="Arial"/>
          <w:szCs w:val="20"/>
          <w:lang w:val="sl-SI" w:eastAsia="cs-CZ"/>
        </w:rPr>
        <w:t xml:space="preserve">rilog </w:t>
      </w:r>
      <w:r>
        <w:rPr>
          <w:rFonts w:cs="Arial"/>
          <w:szCs w:val="20"/>
          <w:lang w:val="sl-SI" w:eastAsia="cs-CZ"/>
        </w:rPr>
        <w:t>1</w:t>
      </w:r>
      <w:r w:rsidRPr="00705339">
        <w:rPr>
          <w:rFonts w:cs="Arial"/>
          <w:szCs w:val="20"/>
          <w:lang w:val="sl-SI" w:eastAsia="cs-CZ"/>
        </w:rPr>
        <w:t xml:space="preserve"> ali </w:t>
      </w:r>
      <w:r>
        <w:rPr>
          <w:rFonts w:cs="Arial"/>
          <w:szCs w:val="20"/>
          <w:lang w:val="sl-SI" w:eastAsia="cs-CZ"/>
        </w:rPr>
        <w:t>2 tega zakona</w:t>
      </w:r>
      <w:r w:rsidRPr="00705339">
        <w:rPr>
          <w:rFonts w:cs="Arial"/>
          <w:szCs w:val="20"/>
          <w:lang w:val="sl-SI" w:eastAsia="cs-CZ"/>
        </w:rPr>
        <w:t xml:space="preserve"> (v nadaljnjem besedilu: Priloga </w:t>
      </w:r>
      <w:r w:rsidRPr="00705339">
        <w:rPr>
          <w:lang w:val="sl-SI"/>
        </w:rPr>
        <w:t>1 ali 2</w:t>
      </w:r>
      <w:r w:rsidR="00CB2556">
        <w:rPr>
          <w:lang w:val="sl-SI"/>
        </w:rPr>
        <w:t xml:space="preserve"> tega zakona</w:t>
      </w:r>
      <w:r w:rsidRPr="00705339">
        <w:rPr>
          <w:rFonts w:cs="Arial"/>
          <w:szCs w:val="20"/>
          <w:lang w:val="sl-SI" w:eastAsia="cs-CZ"/>
        </w:rPr>
        <w:t>),</w:t>
      </w:r>
      <w:r w:rsidRPr="0038250F">
        <w:rPr>
          <w:rFonts w:cs="Arial"/>
          <w:szCs w:val="20"/>
          <w:lang w:val="sl-SI" w:eastAsia="cs-CZ"/>
        </w:rPr>
        <w:t xml:space="preserve"> ki imajo vsaj 50 zaposlenih in letni promet ali letno bilančno vsoto vsaj 10 milijonov evrov;</w:t>
      </w:r>
    </w:p>
    <w:p w14:paraId="71D18209" w14:textId="77777777" w:rsidR="00FF197A" w:rsidRPr="0038250F" w:rsidRDefault="00FF197A" w:rsidP="00FF197A">
      <w:pPr>
        <w:widowControl w:val="0"/>
        <w:numPr>
          <w:ilvl w:val="0"/>
          <w:numId w:val="11"/>
        </w:numPr>
        <w:autoSpaceDE w:val="0"/>
        <w:autoSpaceDN w:val="0"/>
        <w:adjustRightInd w:val="0"/>
        <w:spacing w:line="276" w:lineRule="auto"/>
        <w:jc w:val="both"/>
        <w:rPr>
          <w:rFonts w:cs="Arial"/>
          <w:szCs w:val="20"/>
          <w:lang w:val="sl-SI" w:eastAsia="cs-CZ"/>
        </w:rPr>
      </w:pPr>
      <w:r w:rsidRPr="0038250F">
        <w:rPr>
          <w:rFonts w:cs="Arial"/>
          <w:szCs w:val="20"/>
          <w:lang w:val="sl-SI" w:eastAsia="cs-CZ"/>
        </w:rPr>
        <w:t>zavezanci po predlogu zakona ne glede na njihovo velikost ali letni promet oziroma letno bilančno vsoto, kadar:</w:t>
      </w:r>
    </w:p>
    <w:p w14:paraId="0D7694E6"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 xml:space="preserve">1. storitev opravljajo: </w:t>
      </w:r>
    </w:p>
    <w:p w14:paraId="193AF853" w14:textId="77777777" w:rsidR="00FF197A" w:rsidRPr="0038250F" w:rsidRDefault="00FF197A" w:rsidP="00FF197A">
      <w:pPr>
        <w:widowControl w:val="0"/>
        <w:numPr>
          <w:ilvl w:val="0"/>
          <w:numId w:val="11"/>
        </w:numPr>
        <w:autoSpaceDE w:val="0"/>
        <w:autoSpaceDN w:val="0"/>
        <w:adjustRightInd w:val="0"/>
        <w:spacing w:line="276" w:lineRule="auto"/>
        <w:ind w:left="2306"/>
        <w:jc w:val="both"/>
        <w:rPr>
          <w:rFonts w:cs="Arial"/>
          <w:szCs w:val="20"/>
          <w:lang w:val="sl-SI" w:eastAsia="cs-CZ"/>
        </w:rPr>
      </w:pPr>
      <w:r w:rsidRPr="0038250F">
        <w:rPr>
          <w:rFonts w:cs="Arial"/>
          <w:szCs w:val="20"/>
          <w:lang w:val="sl-SI" w:eastAsia="cs-CZ"/>
        </w:rPr>
        <w:t>ponudniki javnih elektronskih komunikacijskih omrežij ali javno dostopnih elektronskih komunikacijskih storitev,</w:t>
      </w:r>
    </w:p>
    <w:p w14:paraId="0655478C" w14:textId="77777777" w:rsidR="00FF197A" w:rsidRPr="0038250F" w:rsidRDefault="00FF197A" w:rsidP="00FF197A">
      <w:pPr>
        <w:widowControl w:val="0"/>
        <w:numPr>
          <w:ilvl w:val="0"/>
          <w:numId w:val="11"/>
        </w:numPr>
        <w:autoSpaceDE w:val="0"/>
        <w:autoSpaceDN w:val="0"/>
        <w:adjustRightInd w:val="0"/>
        <w:spacing w:line="276" w:lineRule="auto"/>
        <w:ind w:left="2306"/>
        <w:jc w:val="both"/>
        <w:rPr>
          <w:rFonts w:cs="Arial"/>
          <w:szCs w:val="20"/>
          <w:lang w:val="sl-SI" w:eastAsia="cs-CZ"/>
        </w:rPr>
      </w:pPr>
      <w:r w:rsidRPr="0038250F">
        <w:rPr>
          <w:rFonts w:cs="Arial"/>
          <w:szCs w:val="20"/>
          <w:lang w:val="sl-SI" w:eastAsia="cs-CZ"/>
        </w:rPr>
        <w:t>ponudniki storitev zaupanja,</w:t>
      </w:r>
    </w:p>
    <w:p w14:paraId="10A66C9A" w14:textId="77777777" w:rsidR="00FF197A" w:rsidRPr="0038250F" w:rsidRDefault="00FF197A" w:rsidP="00FF197A">
      <w:pPr>
        <w:widowControl w:val="0"/>
        <w:numPr>
          <w:ilvl w:val="0"/>
          <w:numId w:val="11"/>
        </w:numPr>
        <w:autoSpaceDE w:val="0"/>
        <w:autoSpaceDN w:val="0"/>
        <w:adjustRightInd w:val="0"/>
        <w:spacing w:line="276" w:lineRule="auto"/>
        <w:ind w:left="2306"/>
        <w:jc w:val="both"/>
        <w:rPr>
          <w:rFonts w:cs="Arial"/>
          <w:szCs w:val="20"/>
          <w:lang w:val="sl-SI" w:eastAsia="cs-CZ"/>
        </w:rPr>
      </w:pPr>
      <w:r w:rsidRPr="0038250F">
        <w:rPr>
          <w:rFonts w:cs="Arial"/>
          <w:szCs w:val="20"/>
          <w:lang w:val="sl-SI" w:eastAsia="cs-CZ"/>
        </w:rPr>
        <w:t>registri vrhnjih domenskih imen in ponudniki storitev sistema domenskih imen;</w:t>
      </w:r>
    </w:p>
    <w:p w14:paraId="5BA0FFE6"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2. je subjekt edini ponudnik storitve, ki je bistvena za ohranjanje kritičnih družbenih ali gospodarskih dejavnosti v Republiki Sloveniji;</w:t>
      </w:r>
    </w:p>
    <w:p w14:paraId="4A85FDFC"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3. bi motnja pri opravljanju storitve subjekta lahko pomembno vplivala na javni red, javno varnost ali javno zdravje;</w:t>
      </w:r>
    </w:p>
    <w:p w14:paraId="116D87D0"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4. bi motnja pri opravljanju storitve subjekta lahko povzročila pomembno sistemsko tveganje, zlasti za sektorje, v katerih bi lahko taka motnja imela čezmejni vpliv;</w:t>
      </w:r>
    </w:p>
    <w:p w14:paraId="31FFF32E"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5. je subjekt kritičen zaradi njegovega posebnega pomena na državni, regionalni ali lokalni ravni za določen sektor ali vrsto storitve ali za druge medsebojno odvisne sektorje v Republiki Sloveniji;</w:t>
      </w:r>
    </w:p>
    <w:p w14:paraId="43210387"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6. gre za subjekt javne uprave na državni ravni ali na pokrajinski ravni;</w:t>
      </w:r>
    </w:p>
    <w:p w14:paraId="64912762" w14:textId="77777777" w:rsidR="00FF197A" w:rsidRPr="0038250F" w:rsidRDefault="00FF197A" w:rsidP="00FF197A">
      <w:pPr>
        <w:widowControl w:val="0"/>
        <w:numPr>
          <w:ilvl w:val="0"/>
          <w:numId w:val="11"/>
        </w:numPr>
        <w:autoSpaceDE w:val="0"/>
        <w:autoSpaceDN w:val="0"/>
        <w:adjustRightInd w:val="0"/>
        <w:spacing w:line="276" w:lineRule="auto"/>
        <w:ind w:left="1597"/>
        <w:jc w:val="both"/>
        <w:rPr>
          <w:rFonts w:cs="Arial"/>
          <w:szCs w:val="20"/>
          <w:lang w:val="sl-SI" w:eastAsia="cs-CZ"/>
        </w:rPr>
      </w:pPr>
      <w:r w:rsidRPr="0038250F">
        <w:rPr>
          <w:rFonts w:cs="Arial"/>
          <w:szCs w:val="20"/>
          <w:lang w:val="sl-SI" w:eastAsia="cs-CZ"/>
        </w:rPr>
        <w:t>7. gre za subjekt javne uprave na lokalni ravni, če pri slednjem izhaja iz njegove ocene tveganja, da opravlja storitve, katerih motnje bi lahko pomembno negativno vplivale na ključne družbene ali gospodarske dejavnosti.</w:t>
      </w:r>
    </w:p>
    <w:p w14:paraId="2FA0D689" w14:textId="77777777" w:rsidR="00FF197A" w:rsidRPr="0038250F" w:rsidRDefault="00FF197A" w:rsidP="00FF197A">
      <w:pPr>
        <w:widowControl w:val="0"/>
        <w:numPr>
          <w:ilvl w:val="0"/>
          <w:numId w:val="11"/>
        </w:numPr>
        <w:autoSpaceDE w:val="0"/>
        <w:autoSpaceDN w:val="0"/>
        <w:adjustRightInd w:val="0"/>
        <w:spacing w:line="276" w:lineRule="auto"/>
        <w:jc w:val="both"/>
        <w:rPr>
          <w:rFonts w:cs="Arial"/>
          <w:szCs w:val="20"/>
          <w:lang w:val="sl-SI" w:eastAsia="cs-CZ"/>
        </w:rPr>
      </w:pPr>
      <w:r w:rsidRPr="0038250F">
        <w:rPr>
          <w:rFonts w:cs="Arial"/>
          <w:szCs w:val="20"/>
          <w:lang w:val="sl-SI" w:eastAsia="cs-CZ"/>
        </w:rPr>
        <w:t>zavezanci po predlogu zakona so tudi subjekti, ki so določeni kot kritični na podlagi zakona, ki ureja kritično infrastrukturo; subjekti, ki opravljajo storitve registracije domenskih imen, ne glede na njihovo velikost; subjekti, ki so v državnih načrtih zaščite in reševanja opredeljeni kot službe državnega pomena</w:t>
      </w:r>
      <w:r>
        <w:rPr>
          <w:rFonts w:cs="Arial"/>
          <w:szCs w:val="20"/>
          <w:lang w:val="sl-SI" w:eastAsia="cs-CZ"/>
        </w:rPr>
        <w:t>,</w:t>
      </w:r>
      <w:r w:rsidRPr="0038250F">
        <w:rPr>
          <w:rFonts w:cs="Arial"/>
          <w:szCs w:val="20"/>
          <w:lang w:val="sl-SI" w:eastAsia="cs-CZ"/>
        </w:rPr>
        <w:t xml:space="preserve"> so zavezanci po tem zakonu, če bi nedelovanje njihovih omrežnih in informacijskih sistemov ogrozilo izvajanje nalog zaščite in reševanja iz prej navedenih načrtov</w:t>
      </w:r>
      <w:r>
        <w:rPr>
          <w:rFonts w:cs="Arial"/>
          <w:szCs w:val="20"/>
          <w:lang w:val="sl-SI" w:eastAsia="cs-CZ"/>
        </w:rPr>
        <w:t>,</w:t>
      </w:r>
      <w:r w:rsidRPr="0038250F">
        <w:rPr>
          <w:rFonts w:cs="Arial"/>
          <w:szCs w:val="20"/>
          <w:lang w:val="sl-SI" w:eastAsia="cs-CZ"/>
        </w:rPr>
        <w:t xml:space="preserve"> ter mestne občine kot subjekti javne uprave na lokalni ravni;</w:t>
      </w:r>
    </w:p>
    <w:p w14:paraId="485309E1" w14:textId="77777777" w:rsidR="00FF197A" w:rsidRPr="0038250F" w:rsidRDefault="00FF197A" w:rsidP="00FF197A">
      <w:pPr>
        <w:widowControl w:val="0"/>
        <w:numPr>
          <w:ilvl w:val="0"/>
          <w:numId w:val="11"/>
        </w:numPr>
        <w:autoSpaceDE w:val="0"/>
        <w:autoSpaceDN w:val="0"/>
        <w:adjustRightInd w:val="0"/>
        <w:spacing w:line="276" w:lineRule="auto"/>
        <w:ind w:left="714" w:hanging="357"/>
        <w:jc w:val="both"/>
        <w:rPr>
          <w:rFonts w:cs="Arial"/>
          <w:szCs w:val="20"/>
          <w:lang w:val="sl-SI" w:eastAsia="cs-CZ"/>
        </w:rPr>
      </w:pPr>
      <w:r w:rsidRPr="0038250F">
        <w:rPr>
          <w:rFonts w:eastAsia="Calibri" w:cs="Arial"/>
          <w:szCs w:val="20"/>
          <w:lang w:val="sl-SI" w:eastAsia="cs-CZ"/>
        </w:rPr>
        <w:t>zavezanci</w:t>
      </w:r>
      <w:r w:rsidRPr="0038250F">
        <w:rPr>
          <w:rFonts w:cs="Arial"/>
          <w:szCs w:val="20"/>
          <w:lang w:val="sl-SI" w:eastAsia="cs-CZ"/>
        </w:rPr>
        <w:t xml:space="preserve"> po predlogu zakona se delijo na bistvene in pomembne subjekte;</w:t>
      </w:r>
    </w:p>
    <w:p w14:paraId="34AEDAD9" w14:textId="77777777" w:rsidR="00FF197A" w:rsidRPr="0038250F" w:rsidRDefault="00FF197A" w:rsidP="00FF197A">
      <w:pPr>
        <w:numPr>
          <w:ilvl w:val="0"/>
          <w:numId w:val="11"/>
        </w:numPr>
        <w:spacing w:line="276" w:lineRule="auto"/>
        <w:contextualSpacing/>
        <w:jc w:val="both"/>
        <w:rPr>
          <w:rFonts w:cs="Arial"/>
          <w:szCs w:val="20"/>
          <w:lang w:val="sl-SI" w:eastAsia="cs-CZ"/>
        </w:rPr>
      </w:pPr>
      <w:r w:rsidRPr="0038250F">
        <w:rPr>
          <w:rFonts w:cs="Arial"/>
          <w:szCs w:val="20"/>
          <w:lang w:val="sl-SI" w:eastAsia="cs-CZ"/>
        </w:rPr>
        <w:t>pristojni nacionalni organ vzpostavi mehanizem za samoregistracijo zavezancev;</w:t>
      </w:r>
    </w:p>
    <w:p w14:paraId="330E9611" w14:textId="77777777" w:rsidR="00FF197A" w:rsidRPr="0038250F" w:rsidRDefault="00FF197A" w:rsidP="00FF197A">
      <w:pPr>
        <w:numPr>
          <w:ilvl w:val="0"/>
          <w:numId w:val="11"/>
        </w:numPr>
        <w:spacing w:line="276" w:lineRule="auto"/>
        <w:contextualSpacing/>
        <w:jc w:val="both"/>
        <w:rPr>
          <w:rFonts w:cs="Arial"/>
          <w:szCs w:val="20"/>
          <w:lang w:val="sl-SI"/>
        </w:rPr>
      </w:pPr>
      <w:r w:rsidRPr="0038250F">
        <w:rPr>
          <w:rFonts w:cs="Arial"/>
          <w:szCs w:val="20"/>
          <w:lang w:val="sl-SI" w:eastAsia="cs-CZ"/>
        </w:rPr>
        <w:t xml:space="preserve">zavezanci v procesu samoregistracije določijo kontaktno osebo ter sporočijo kontaktne podatke, dodeljene bloke javnih naslovov IP in lastnih domenskih imen za potrebe elektronske pošte; ustrezen sektor in podsektor iz Priloge </w:t>
      </w:r>
      <w:r>
        <w:rPr>
          <w:rFonts w:cs="Arial"/>
          <w:szCs w:val="20"/>
          <w:lang w:val="sl-SI" w:eastAsia="cs-CZ"/>
        </w:rPr>
        <w:t>1</w:t>
      </w:r>
      <w:r w:rsidRPr="0038250F">
        <w:rPr>
          <w:rFonts w:cs="Arial"/>
          <w:szCs w:val="20"/>
          <w:lang w:val="sl-SI" w:eastAsia="cs-CZ"/>
        </w:rPr>
        <w:t xml:space="preserve"> ali </w:t>
      </w:r>
      <w:r>
        <w:rPr>
          <w:rFonts w:cs="Arial"/>
          <w:szCs w:val="20"/>
          <w:lang w:val="sl-SI" w:eastAsia="cs-CZ"/>
        </w:rPr>
        <w:t>2,</w:t>
      </w:r>
      <w:r w:rsidRPr="0038250F">
        <w:rPr>
          <w:rFonts w:cs="Arial"/>
          <w:szCs w:val="20"/>
          <w:lang w:val="sl-SI" w:eastAsia="cs-CZ"/>
        </w:rPr>
        <w:t xml:space="preserve"> v katerem zavezanec izvaja vrste storitev iz teh prilog ali kategorijo zavezancev, ki niso vključeni v navedenih prilogah.</w:t>
      </w:r>
    </w:p>
    <w:p w14:paraId="519FDED8" w14:textId="77777777" w:rsidR="00FF197A" w:rsidRPr="0038250F" w:rsidRDefault="00FF197A" w:rsidP="00FF197A">
      <w:pPr>
        <w:spacing w:line="276" w:lineRule="auto"/>
        <w:jc w:val="both"/>
        <w:rPr>
          <w:rFonts w:cs="Arial"/>
          <w:szCs w:val="20"/>
          <w:lang w:val="sl-SI"/>
        </w:rPr>
      </w:pPr>
    </w:p>
    <w:p w14:paraId="7D34E80C" w14:textId="77777777" w:rsidR="00FF197A" w:rsidRPr="0038250F" w:rsidRDefault="00FF197A" w:rsidP="00FF197A">
      <w:pPr>
        <w:spacing w:line="276" w:lineRule="auto"/>
        <w:jc w:val="both"/>
        <w:rPr>
          <w:rFonts w:cs="Arial"/>
          <w:szCs w:val="20"/>
          <w:lang w:val="sl-SI"/>
        </w:rPr>
      </w:pPr>
      <w:r w:rsidRPr="0038250F">
        <w:rPr>
          <w:rFonts w:cs="Arial"/>
          <w:b/>
          <w:bCs/>
          <w:szCs w:val="20"/>
          <w:lang w:val="sl-SI"/>
        </w:rPr>
        <w:t>III.</w:t>
      </w:r>
      <w:r w:rsidRPr="0038250F">
        <w:rPr>
          <w:rFonts w:cs="Arial"/>
          <w:szCs w:val="20"/>
          <w:lang w:val="sl-SI"/>
        </w:rPr>
        <w:t xml:space="preserve"> </w:t>
      </w:r>
      <w:r w:rsidRPr="0038250F">
        <w:rPr>
          <w:rFonts w:cs="Arial"/>
          <w:b/>
          <w:szCs w:val="20"/>
          <w:lang w:val="sl-SI"/>
        </w:rPr>
        <w:t>Organizacija</w:t>
      </w:r>
      <w:r w:rsidRPr="0038250F">
        <w:rPr>
          <w:rFonts w:cs="Arial"/>
          <w:szCs w:val="20"/>
          <w:lang w:val="sl-SI"/>
        </w:rPr>
        <w:t xml:space="preserve"> </w:t>
      </w:r>
      <w:r w:rsidRPr="0038250F">
        <w:rPr>
          <w:rFonts w:cs="Arial"/>
          <w:b/>
          <w:bCs/>
          <w:szCs w:val="20"/>
          <w:lang w:val="sl-SI"/>
        </w:rPr>
        <w:t>nacionalnega sistema informacijske varnosti</w:t>
      </w:r>
    </w:p>
    <w:p w14:paraId="71B6FD8E" w14:textId="77777777" w:rsidR="00FF197A" w:rsidRPr="0038250F" w:rsidRDefault="00FF197A" w:rsidP="00FF197A">
      <w:pPr>
        <w:spacing w:line="276" w:lineRule="auto"/>
        <w:jc w:val="both"/>
        <w:rPr>
          <w:rFonts w:cs="Arial"/>
          <w:szCs w:val="20"/>
          <w:lang w:val="sl-SI"/>
        </w:rPr>
      </w:pPr>
    </w:p>
    <w:p w14:paraId="142A31B1"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strategija kibernetske varnosti (strategija) predstavlja okvir za izvedbo ukrepov za vzpostavitev učinkovitega nacionalnega sistema zagotavljanja informacijske oziroma kibernetske varnosti;</w:t>
      </w:r>
    </w:p>
    <w:p w14:paraId="31C10594"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pristojni nacionalni organ je Urad Vlade Republike Slovenije za informacijsko varnost, ki poleg drugih nalog, določenih s predlogom tega zakona, izvaja še naloge, ki so taksativno naštete v določbi o pristojnem nacionalnem organu. Pri tem na primer koordinira delovanje sistema informacijske varnosti, razvija zmogljivosti za izvajanje kibernetske obrambe, zavezancem </w:t>
      </w:r>
      <w:r>
        <w:rPr>
          <w:rFonts w:cs="Arial"/>
          <w:szCs w:val="20"/>
          <w:lang w:val="sl-SI"/>
        </w:rPr>
        <w:t>ponuja</w:t>
      </w:r>
      <w:r w:rsidRPr="0038250F">
        <w:rPr>
          <w:rFonts w:cs="Arial"/>
          <w:szCs w:val="20"/>
          <w:lang w:val="sl-SI"/>
        </w:rPr>
        <w:t xml:space="preserve"> strokovno podporo, sodeluje z drugimi pristojnimi organi </w:t>
      </w:r>
      <w:r w:rsidRPr="0038250F">
        <w:rPr>
          <w:rFonts w:cs="Arial"/>
          <w:szCs w:val="20"/>
          <w:lang w:val="sl-SI"/>
        </w:rPr>
        <w:lastRenderedPageBreak/>
        <w:t>in organizacijami, je enotna kontaktna točka za zagotavljanje čezmejnega sodelovanja z ustreznimi organi drugih držav članic EU in izvaja druge naloge mednarodnega sodelovanja;</w:t>
      </w:r>
    </w:p>
    <w:p w14:paraId="54FFD408"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Urad Vlade Republike Slovenije za informacijsko varnost je tudi pristojni organ za obvladovanje kibernetskih incidentov velikih razsežnosti in kriz;</w:t>
      </w:r>
    </w:p>
    <w:p w14:paraId="75762BD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skupine za odzivanje na incidente na področju računalniške varnosti (skupine CSIRTI)</w:t>
      </w:r>
      <w:r>
        <w:rPr>
          <w:rFonts w:cs="Arial"/>
          <w:szCs w:val="20"/>
          <w:lang w:val="sl-SI"/>
        </w:rPr>
        <w:t>;</w:t>
      </w:r>
      <w:r w:rsidRPr="0038250F">
        <w:rPr>
          <w:rFonts w:cs="Arial"/>
          <w:szCs w:val="20"/>
          <w:lang w:val="sl-SI"/>
        </w:rPr>
        <w:t xml:space="preserve"> </w:t>
      </w:r>
    </w:p>
    <w:p w14:paraId="517DD23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določa zahteve in tehnične zmogljivosti skupin CSIRT, njihove naloge ter sodelovanje skupin CSIRT z deležniki zasebnega sektorja;</w:t>
      </w:r>
    </w:p>
    <w:p w14:paraId="62F77242" w14:textId="77777777" w:rsidR="00FF197A" w:rsidRPr="0038250F" w:rsidRDefault="00FF197A" w:rsidP="00FF197A">
      <w:pPr>
        <w:numPr>
          <w:ilvl w:val="0"/>
          <w:numId w:val="11"/>
        </w:numPr>
        <w:spacing w:line="276" w:lineRule="auto"/>
        <w:jc w:val="both"/>
        <w:rPr>
          <w:rFonts w:cs="Arial"/>
          <w:szCs w:val="20"/>
          <w:lang w:val="sl-SI"/>
        </w:rPr>
      </w:pPr>
      <w:r w:rsidRPr="005D1669">
        <w:rPr>
          <w:rFonts w:cs="Arial"/>
          <w:szCs w:val="20"/>
          <w:lang w:val="sl-SI"/>
        </w:rPr>
        <w:t>koordinator</w:t>
      </w:r>
      <w:r w:rsidRPr="0038250F">
        <w:rPr>
          <w:rFonts w:cs="Arial"/>
          <w:szCs w:val="20"/>
          <w:lang w:val="sl-SI"/>
        </w:rPr>
        <w:t xml:space="preserve"> za usklajeno razkrivanje ranljivosti v Republiki Sloveniji (v nadaljnjem besedilu</w:t>
      </w:r>
      <w:r>
        <w:rPr>
          <w:rFonts w:cs="Arial"/>
          <w:szCs w:val="20"/>
          <w:lang w:val="sl-SI"/>
        </w:rPr>
        <w:t>:</w:t>
      </w:r>
      <w:r w:rsidRPr="0038250F">
        <w:rPr>
          <w:rFonts w:cs="Arial"/>
          <w:szCs w:val="20"/>
          <w:lang w:val="sl-SI"/>
        </w:rPr>
        <w:t xml:space="preserve"> koordinator), ki deluje kot zaupanja vreden posrednik;</w:t>
      </w:r>
    </w:p>
    <w:p w14:paraId="49E730BB"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opredeljuje</w:t>
      </w:r>
      <w:r>
        <w:rPr>
          <w:rFonts w:cs="Arial"/>
          <w:szCs w:val="20"/>
          <w:lang w:val="sl-SI"/>
        </w:rPr>
        <w:t>ta</w:t>
      </w:r>
      <w:r w:rsidRPr="0038250F">
        <w:rPr>
          <w:rFonts w:cs="Arial"/>
          <w:szCs w:val="20"/>
          <w:lang w:val="sl-SI"/>
        </w:rPr>
        <w:t xml:space="preserve"> sodelovanje na nacionalni ravni in medsebojni strokovni pregled.</w:t>
      </w:r>
    </w:p>
    <w:p w14:paraId="45455F35" w14:textId="77777777" w:rsidR="00FF197A" w:rsidRPr="0038250F" w:rsidRDefault="00FF197A" w:rsidP="00FF197A">
      <w:pPr>
        <w:spacing w:line="276" w:lineRule="auto"/>
        <w:jc w:val="both"/>
        <w:rPr>
          <w:rFonts w:cs="Arial"/>
          <w:szCs w:val="20"/>
          <w:lang w:val="sl-SI"/>
        </w:rPr>
      </w:pPr>
    </w:p>
    <w:p w14:paraId="116255F7"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IV. Ukrepi za obvladovanje tveganj in priglasitve incidentov</w:t>
      </w:r>
    </w:p>
    <w:p w14:paraId="048892D1" w14:textId="77777777" w:rsidR="00FF197A" w:rsidRPr="0038250F" w:rsidRDefault="00FF197A" w:rsidP="00FF197A">
      <w:pPr>
        <w:spacing w:line="276" w:lineRule="auto"/>
        <w:jc w:val="both"/>
        <w:rPr>
          <w:rFonts w:cs="Arial"/>
          <w:b/>
          <w:szCs w:val="20"/>
          <w:lang w:val="sl-SI"/>
        </w:rPr>
      </w:pPr>
    </w:p>
    <w:p w14:paraId="0675043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določen</w:t>
      </w:r>
      <w:r>
        <w:rPr>
          <w:rFonts w:cs="Arial"/>
          <w:szCs w:val="20"/>
          <w:lang w:val="sl-SI"/>
        </w:rPr>
        <w:t>a sta</w:t>
      </w:r>
      <w:r w:rsidRPr="0038250F">
        <w:rPr>
          <w:rFonts w:cs="Arial"/>
          <w:szCs w:val="20"/>
          <w:lang w:val="sl-SI"/>
        </w:rPr>
        <w:t xml:space="preserve"> upravljanje in odgovornost za izvajanje ukrepov za obvladovanje tveganj za kibernetsko varnost, ukrepi za obvladovanje tveganj za kibernetsko varnost bistvenih in pomembnih subjektov;</w:t>
      </w:r>
    </w:p>
    <w:p w14:paraId="5230675C"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za zagotavljanje visoke ravni informacijske in kibernetske varnosti </w:t>
      </w:r>
      <w:r>
        <w:rPr>
          <w:rFonts w:cs="Arial"/>
          <w:szCs w:val="20"/>
          <w:lang w:val="sl-SI"/>
        </w:rPr>
        <w:t>ter</w:t>
      </w:r>
      <w:r w:rsidRPr="0038250F">
        <w:rPr>
          <w:rFonts w:cs="Arial"/>
          <w:szCs w:val="20"/>
          <w:lang w:val="sl-SI"/>
        </w:rPr>
        <w:t xml:space="preserve"> odpornosti svojih omrežnih in informacijskih sistemov vzpostavijo in vzdržujejo dokumentiran sistem upravljanja varovanja informacij ter sistem upravljanja neprekinjenega poslovanja, ki temeljita na pristopu upoštevanja vseh nevarnosti;</w:t>
      </w:r>
    </w:p>
    <w:p w14:paraId="25FA0E0A"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 v skladu z določbami tega zakona</w:t>
      </w:r>
      <w:r w:rsidRPr="0038250F" w:rsidDel="00406849">
        <w:rPr>
          <w:rFonts w:cs="Arial"/>
          <w:szCs w:val="20"/>
          <w:lang w:val="sl-SI"/>
        </w:rPr>
        <w:t xml:space="preserve"> </w:t>
      </w:r>
      <w:r w:rsidRPr="0038250F">
        <w:rPr>
          <w:rFonts w:cs="Arial"/>
          <w:szCs w:val="20"/>
          <w:lang w:val="sl-SI"/>
        </w:rPr>
        <w:t>so določeni ukrepi za obvladovanje tveganj za kibernetsko varnost bistvenih in pomembnih subjektov;</w:t>
      </w:r>
    </w:p>
    <w:p w14:paraId="04F95267"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omogočena je možnost preverjanja preteklosti zaposlenih ter kandidatov za zaposlitev na delovnih mestih, pomembnih za opravljanje storitev subjekta, ki imajo ali bodo imeli pooblastilo za neposredni ali oddaljeni dostop do njegovih ključnih informacijskih sistemov</w:t>
      </w:r>
      <w:r>
        <w:rPr>
          <w:rFonts w:cs="Arial"/>
          <w:szCs w:val="20"/>
          <w:lang w:val="sl-SI"/>
        </w:rPr>
        <w:t>,</w:t>
      </w:r>
      <w:r w:rsidRPr="0038250F">
        <w:rPr>
          <w:rFonts w:cs="Arial"/>
          <w:szCs w:val="20"/>
          <w:lang w:val="sl-SI"/>
        </w:rPr>
        <w:t xml:space="preserve"> vključno z zaposlenimi pri pogodbenih izvajalcih;</w:t>
      </w:r>
    </w:p>
    <w:p w14:paraId="6BDAF8C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določena je zahteva za spremljanje in beleženje dogodkov v omrežjih in informacijskih sistemih oziroma zagotavljanja zbiranja in ohranjanja dnevniških zapisov;</w:t>
      </w:r>
    </w:p>
    <w:p w14:paraId="4A87EA4D"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določena je obveza, da bistveni subjekti izvedejo oceno skladnosti najmanj enkrat na dve leti ali v primeru pojava pomembnega incidenta ter da pomembni subjekti izvedejo samooceno</w:t>
      </w:r>
      <w:r w:rsidRPr="0038250F">
        <w:rPr>
          <w:rFonts w:cs="Arial"/>
          <w:lang w:val="sl-SI"/>
        </w:rPr>
        <w:t xml:space="preserve"> </w:t>
      </w:r>
      <w:r w:rsidRPr="0038250F">
        <w:rPr>
          <w:rFonts w:cs="Arial"/>
          <w:szCs w:val="20"/>
          <w:lang w:val="sl-SI"/>
        </w:rPr>
        <w:t>skladnosti najmanj enkrat na dve leti;</w:t>
      </w:r>
    </w:p>
    <w:p w14:paraId="5B34625D"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določena je obveza posredovanja podatkov in informacij, ki jih morajo zavezanci na zahtevo posredovati pristojnemu nacionalnemu organu;</w:t>
      </w:r>
    </w:p>
    <w:p w14:paraId="03AE7430"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zaradi zagotavljanja višje ravni kibernetske varnosti zavezanci uporabljajo certifikacijske sheme za kibernetsko varnost </w:t>
      </w:r>
      <w:r>
        <w:rPr>
          <w:rFonts w:cs="Arial"/>
          <w:szCs w:val="20"/>
          <w:lang w:val="sl-SI"/>
        </w:rPr>
        <w:t>ter</w:t>
      </w:r>
      <w:r w:rsidRPr="0038250F">
        <w:rPr>
          <w:rFonts w:cs="Arial"/>
          <w:szCs w:val="20"/>
          <w:lang w:val="sl-SI"/>
        </w:rPr>
        <w:t xml:space="preserve"> v čim večji meri evropske in mednarodne standarde in tehnične specifikacije;</w:t>
      </w:r>
    </w:p>
    <w:p w14:paraId="56AC0637"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zavezanci pristojni skupini CSIRT brez nepotrebnega odlašanja, po predpisanem postopku, priglasijo vse incidente, ki imajo pomemben vpliv na zagotavljanje njihovih storitev.</w:t>
      </w:r>
    </w:p>
    <w:p w14:paraId="20774F56" w14:textId="77777777" w:rsidR="00FF197A" w:rsidRPr="0038250F" w:rsidRDefault="00FF197A" w:rsidP="00FF197A">
      <w:pPr>
        <w:spacing w:line="276" w:lineRule="auto"/>
        <w:jc w:val="both"/>
        <w:rPr>
          <w:rFonts w:cs="Arial"/>
          <w:b/>
          <w:szCs w:val="20"/>
          <w:lang w:val="sl-SI"/>
        </w:rPr>
      </w:pPr>
    </w:p>
    <w:p w14:paraId="1C2B6A8A"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V. Pristojnost in registracija</w:t>
      </w:r>
    </w:p>
    <w:p w14:paraId="48A2F0DF" w14:textId="77777777" w:rsidR="00FF197A" w:rsidRPr="0038250F" w:rsidRDefault="00FF197A" w:rsidP="00FF197A">
      <w:pPr>
        <w:spacing w:line="276" w:lineRule="auto"/>
        <w:jc w:val="both"/>
        <w:rPr>
          <w:rFonts w:cs="Arial"/>
          <w:b/>
          <w:szCs w:val="20"/>
          <w:lang w:val="sl-SI"/>
        </w:rPr>
      </w:pPr>
    </w:p>
    <w:p w14:paraId="2DFF7274"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določa pristojnost nacionalnega organa in pristojnih skupin CSIRT za zavezance, ki ji priglašajo incidente, če jih je ustanovila Republika Slovenija ali imajo sedež v Republiki Sloveniji;</w:t>
      </w:r>
    </w:p>
    <w:p w14:paraId="3BD6A502" w14:textId="46BEAEE8"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predlog zakona ureja teritorialnost </w:t>
      </w:r>
      <w:r>
        <w:rPr>
          <w:rFonts w:cs="Arial"/>
          <w:szCs w:val="20"/>
          <w:lang w:val="sl-SI"/>
        </w:rPr>
        <w:t>ter</w:t>
      </w:r>
      <w:r w:rsidRPr="0038250F">
        <w:rPr>
          <w:rFonts w:cs="Arial"/>
          <w:szCs w:val="20"/>
          <w:lang w:val="sl-SI"/>
        </w:rPr>
        <w:t xml:space="preserve"> določa pristojnost v E</w:t>
      </w:r>
      <w:r w:rsidR="00CB2556">
        <w:rPr>
          <w:rFonts w:cs="Arial"/>
          <w:szCs w:val="20"/>
          <w:lang w:val="sl-SI"/>
        </w:rPr>
        <w:t>vropski uniji</w:t>
      </w:r>
      <w:r>
        <w:rPr>
          <w:rFonts w:cs="Arial"/>
          <w:szCs w:val="20"/>
          <w:lang w:val="sl-SI"/>
        </w:rPr>
        <w:t>,</w:t>
      </w:r>
      <w:r w:rsidRPr="0038250F">
        <w:rPr>
          <w:rFonts w:cs="Arial"/>
          <w:szCs w:val="20"/>
          <w:lang w:val="sl-SI"/>
        </w:rPr>
        <w:t xml:space="preserve"> zbiranje informacij za register ponudnikov storitev pri ENISA </w:t>
      </w:r>
      <w:r>
        <w:rPr>
          <w:rFonts w:cs="Arial"/>
          <w:szCs w:val="20"/>
          <w:lang w:val="sl-SI"/>
        </w:rPr>
        <w:t>in</w:t>
      </w:r>
      <w:r w:rsidRPr="0038250F">
        <w:rPr>
          <w:rFonts w:cs="Arial"/>
          <w:szCs w:val="20"/>
          <w:lang w:val="sl-SI"/>
        </w:rPr>
        <w:t xml:space="preserve"> podlago za vzpostavitev podatkovne zbirke o registraciji domenskih imen.</w:t>
      </w:r>
    </w:p>
    <w:p w14:paraId="3485018A" w14:textId="77777777" w:rsidR="00FF197A" w:rsidRDefault="00FF197A" w:rsidP="00FF197A">
      <w:pPr>
        <w:spacing w:line="240" w:lineRule="auto"/>
        <w:rPr>
          <w:rFonts w:cs="Arial"/>
          <w:szCs w:val="20"/>
          <w:u w:val="single"/>
          <w:lang w:val="sl-SI"/>
        </w:rPr>
      </w:pPr>
      <w:r>
        <w:rPr>
          <w:rFonts w:cs="Arial"/>
          <w:szCs w:val="20"/>
          <w:u w:val="single"/>
          <w:lang w:val="sl-SI"/>
        </w:rPr>
        <w:br w:type="page"/>
      </w:r>
    </w:p>
    <w:p w14:paraId="6D98CD5E" w14:textId="77777777" w:rsidR="00FF197A" w:rsidRPr="0038250F" w:rsidRDefault="00FF197A" w:rsidP="00FF197A">
      <w:pPr>
        <w:spacing w:line="276" w:lineRule="auto"/>
        <w:jc w:val="both"/>
        <w:rPr>
          <w:rFonts w:cs="Arial"/>
          <w:szCs w:val="20"/>
          <w:u w:val="single"/>
          <w:lang w:val="sl-SI"/>
        </w:rPr>
      </w:pPr>
    </w:p>
    <w:p w14:paraId="1A0B7EDF"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VI. Izmenjava informacij</w:t>
      </w:r>
    </w:p>
    <w:p w14:paraId="460EDDE5" w14:textId="77777777" w:rsidR="00FF197A" w:rsidRPr="0038250F" w:rsidRDefault="00FF197A" w:rsidP="00FF197A">
      <w:pPr>
        <w:spacing w:line="276" w:lineRule="auto"/>
        <w:jc w:val="both"/>
        <w:rPr>
          <w:rFonts w:cs="Arial"/>
          <w:b/>
          <w:szCs w:val="20"/>
          <w:lang w:val="sl-SI"/>
        </w:rPr>
      </w:pPr>
    </w:p>
    <w:p w14:paraId="43636C76"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zavezanci si na podlagi tega zakona </w:t>
      </w:r>
      <w:r>
        <w:rPr>
          <w:rFonts w:cs="Arial"/>
          <w:szCs w:val="20"/>
          <w:lang w:val="sl-SI"/>
        </w:rPr>
        <w:t>in</w:t>
      </w:r>
      <w:r w:rsidRPr="0038250F">
        <w:rPr>
          <w:rFonts w:cs="Arial"/>
          <w:szCs w:val="20"/>
          <w:lang w:val="sl-SI"/>
        </w:rPr>
        <w:t xml:space="preserve"> kadar je to ustrezno, tudi drugi subjekti, lahko prostovoljno izmenjujejo ustrezne informacije o kibernetski varnosti, vključno z informacijami, ki se nanašajo na kibernetske grožnje, skorajšnje incidente, ranljivosti, tehnike in postopke, kazalnike ogroženosti, sovražne taktike, specifične informacije o grožnji in akterju, opozorila glede kibernetske varnosti in priporočila glede konfiguracije orodij za kibernetsko varnost za zaznavo zlonamernih kibernetskih </w:t>
      </w:r>
      <w:r>
        <w:rPr>
          <w:rFonts w:cs="Arial"/>
          <w:szCs w:val="20"/>
          <w:lang w:val="sl-SI"/>
        </w:rPr>
        <w:t>deja</w:t>
      </w:r>
      <w:r w:rsidRPr="0038250F">
        <w:rPr>
          <w:rFonts w:cs="Arial"/>
          <w:szCs w:val="20"/>
          <w:lang w:val="sl-SI"/>
        </w:rPr>
        <w:t>vnosti;</w:t>
      </w:r>
    </w:p>
    <w:p w14:paraId="5844D5A4"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zavezanci lahko poleg obvezne priglasitve skupinam CSIRT prostovoljno priglasijo incidente, kibernetske grožnje in skorajšnje incidente;</w:t>
      </w:r>
    </w:p>
    <w:p w14:paraId="63C4C832"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subjekti, ki niso zavezanci po tem zakonu, ne glede na to, ali spadajo na področje uporabe tega zakona, lahko prostovoljno priglasijo pomembne incidente, kibernetske grožnje in skorajšnje incidente.</w:t>
      </w:r>
    </w:p>
    <w:p w14:paraId="0F411B48" w14:textId="77777777" w:rsidR="00FF197A" w:rsidRPr="0038250F" w:rsidRDefault="00FF197A" w:rsidP="00FF197A">
      <w:pPr>
        <w:spacing w:line="276" w:lineRule="auto"/>
        <w:jc w:val="both"/>
        <w:rPr>
          <w:rFonts w:cs="Arial"/>
          <w:szCs w:val="20"/>
          <w:lang w:val="sl-SI"/>
        </w:rPr>
      </w:pPr>
    </w:p>
    <w:p w14:paraId="4FC048F6"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VII. Vrednotenje incidenta, stanje povečane ogroženosti in kibernetska obramba</w:t>
      </w:r>
    </w:p>
    <w:p w14:paraId="1EBBDADD" w14:textId="77777777" w:rsidR="00FF197A" w:rsidRPr="0038250F" w:rsidRDefault="00FF197A" w:rsidP="00FF197A">
      <w:pPr>
        <w:spacing w:line="276" w:lineRule="auto"/>
        <w:jc w:val="both"/>
        <w:rPr>
          <w:rFonts w:cs="Arial"/>
          <w:b/>
          <w:szCs w:val="20"/>
          <w:lang w:val="sl-SI"/>
        </w:rPr>
      </w:pPr>
    </w:p>
    <w:p w14:paraId="27C80D6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priglašene incidente ob njihovem reševanju vrednoti pristojna skupina CSIRT.</w:t>
      </w:r>
      <w:r w:rsidRPr="0038250F" w:rsidDel="00C778F8">
        <w:rPr>
          <w:rFonts w:cs="Arial"/>
          <w:szCs w:val="20"/>
          <w:lang w:val="sl-SI"/>
        </w:rPr>
        <w:t xml:space="preserve"> </w:t>
      </w:r>
      <w:r>
        <w:rPr>
          <w:rFonts w:cs="Arial"/>
          <w:szCs w:val="20"/>
          <w:lang w:val="sl-SI"/>
        </w:rPr>
        <w:t>Če</w:t>
      </w:r>
      <w:r w:rsidRPr="0038250F">
        <w:rPr>
          <w:rFonts w:cs="Arial"/>
          <w:szCs w:val="20"/>
          <w:lang w:val="sl-SI"/>
        </w:rPr>
        <w:t xml:space="preserve"> pristojni nacionalni organ ugotovi, da ocena ne odraža realnega stanja ali so bila ugotovljena nova dejstva, lahko incident prevrednoti. Varnostn</w:t>
      </w:r>
      <w:r>
        <w:rPr>
          <w:rFonts w:cs="Arial"/>
          <w:szCs w:val="20"/>
          <w:lang w:val="sl-SI"/>
        </w:rPr>
        <w:t>i</w:t>
      </w:r>
      <w:r w:rsidRPr="0038250F">
        <w:rPr>
          <w:rFonts w:cs="Arial"/>
          <w:szCs w:val="20"/>
          <w:lang w:val="sl-SI"/>
        </w:rPr>
        <w:t xml:space="preserve"> dogodk</w:t>
      </w:r>
      <w:r>
        <w:rPr>
          <w:rFonts w:cs="Arial"/>
          <w:szCs w:val="20"/>
          <w:lang w:val="sl-SI"/>
        </w:rPr>
        <w:t>i</w:t>
      </w:r>
      <w:r w:rsidRPr="0038250F">
        <w:rPr>
          <w:rFonts w:cs="Arial"/>
          <w:szCs w:val="20"/>
          <w:lang w:val="sl-SI"/>
        </w:rPr>
        <w:t xml:space="preserve"> in incident</w:t>
      </w:r>
      <w:r>
        <w:rPr>
          <w:rFonts w:cs="Arial"/>
          <w:szCs w:val="20"/>
          <w:lang w:val="sl-SI"/>
        </w:rPr>
        <w:t>i</w:t>
      </w:r>
      <w:r w:rsidRPr="0038250F">
        <w:rPr>
          <w:rFonts w:cs="Arial"/>
          <w:szCs w:val="20"/>
          <w:lang w:val="sl-SI"/>
        </w:rPr>
        <w:t xml:space="preserve"> se vrednoti</w:t>
      </w:r>
      <w:r>
        <w:rPr>
          <w:rFonts w:cs="Arial"/>
          <w:szCs w:val="20"/>
          <w:lang w:val="sl-SI"/>
        </w:rPr>
        <w:t>jo</w:t>
      </w:r>
      <w:r w:rsidRPr="0038250F">
        <w:rPr>
          <w:rFonts w:cs="Arial"/>
          <w:szCs w:val="20"/>
          <w:lang w:val="sl-SI"/>
        </w:rPr>
        <w:t xml:space="preserve"> v stopnje; </w:t>
      </w:r>
    </w:p>
    <w:p w14:paraId="40B7F0D4"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pristojni nacionalni organ na podlagi podatkov in informacij, ki se nanašajo na varnost omrežij in informacijskih sistemov, s katerimi razpolaga ali jih pridobi, izdela oceno ogroženosti kibernetske varnosti v Republiki Sloveniji;</w:t>
      </w:r>
    </w:p>
    <w:p w14:paraId="6B9ED3DF" w14:textId="77777777" w:rsidR="00FF197A" w:rsidRPr="0038250F" w:rsidRDefault="00FF197A" w:rsidP="00FF197A">
      <w:pPr>
        <w:numPr>
          <w:ilvl w:val="0"/>
          <w:numId w:val="11"/>
        </w:numPr>
        <w:spacing w:line="276" w:lineRule="auto"/>
        <w:jc w:val="both"/>
        <w:rPr>
          <w:rFonts w:cs="Arial"/>
          <w:szCs w:val="20"/>
          <w:lang w:val="sl-SI"/>
        </w:rPr>
      </w:pPr>
      <w:r w:rsidRPr="003B1803">
        <w:rPr>
          <w:rFonts w:cs="Arial"/>
          <w:szCs w:val="20"/>
          <w:lang w:val="sl-SI"/>
        </w:rPr>
        <w:t>pristojni nacionalni organ v primerih</w:t>
      </w:r>
      <w:r w:rsidRPr="0038250F">
        <w:rPr>
          <w:rFonts w:cs="Arial"/>
          <w:szCs w:val="20"/>
          <w:lang w:val="sl-SI"/>
        </w:rPr>
        <w:t>, da je ocena ogroženosti ovrednotena kot kritična</w:t>
      </w:r>
      <w:r>
        <w:rPr>
          <w:rFonts w:cs="Arial"/>
          <w:szCs w:val="20"/>
          <w:lang w:val="sl-SI"/>
        </w:rPr>
        <w:t>,</w:t>
      </w:r>
      <w:r w:rsidRPr="0038250F">
        <w:rPr>
          <w:rFonts w:cs="Arial"/>
          <w:szCs w:val="20"/>
          <w:lang w:val="sl-SI"/>
        </w:rPr>
        <w:t xml:space="preserve"> o tem nemudoma obvesti vlado in SNAV, lahko pa ju, glede na presojo relevantnih okoliščin in informacij obvesti tudi</w:t>
      </w:r>
      <w:r>
        <w:rPr>
          <w:rFonts w:cs="Arial"/>
          <w:szCs w:val="20"/>
          <w:lang w:val="sl-SI"/>
        </w:rPr>
        <w:t>, kadar</w:t>
      </w:r>
      <w:r w:rsidRPr="0038250F">
        <w:rPr>
          <w:rFonts w:cs="Arial"/>
          <w:szCs w:val="20"/>
          <w:lang w:val="sl-SI"/>
        </w:rPr>
        <w:t xml:space="preserve"> je ogroženost ovrednotena kot visoka;</w:t>
      </w:r>
    </w:p>
    <w:p w14:paraId="47331091"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pristojni nacionalni organ zavezancu s pisno odločbo, v nujnih primerih pa tudi ustno, določi primerne in sorazmerne ukrepe, kot je potrebno za zmanjšanje ogroženosti;</w:t>
      </w:r>
    </w:p>
    <w:p w14:paraId="0D0F5C93"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direktor pristojnega nacionalnega organa lahko z namenom nižanja ocene ogroženosti visoka ali kritična ter posledično zaradi preprečitve nastanka krize ali njenega obvladovanja izda odredbo, s katero odredi izvedbo nujnih ukrepov pri zavezancih, varnostno</w:t>
      </w:r>
      <w:r>
        <w:rPr>
          <w:rFonts w:cs="Arial"/>
          <w:szCs w:val="20"/>
          <w:lang w:val="sl-SI"/>
        </w:rPr>
        <w:t>-</w:t>
      </w:r>
      <w:r w:rsidRPr="0038250F">
        <w:rPr>
          <w:rFonts w:cs="Arial"/>
          <w:szCs w:val="20"/>
          <w:lang w:val="sl-SI"/>
        </w:rPr>
        <w:t>operativnih centrih oziroma skupinah CSIRT.</w:t>
      </w:r>
    </w:p>
    <w:p w14:paraId="215F3B56" w14:textId="77777777" w:rsidR="00FF197A" w:rsidRPr="0038250F" w:rsidRDefault="00FF197A" w:rsidP="00FF197A">
      <w:pPr>
        <w:spacing w:line="276" w:lineRule="auto"/>
        <w:jc w:val="both"/>
        <w:rPr>
          <w:rFonts w:cs="Arial"/>
          <w:b/>
          <w:szCs w:val="20"/>
          <w:lang w:val="sl-SI"/>
        </w:rPr>
      </w:pPr>
    </w:p>
    <w:p w14:paraId="5D74141A"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VIII. Kibernetska obramba</w:t>
      </w:r>
    </w:p>
    <w:p w14:paraId="49341CAF" w14:textId="77777777" w:rsidR="00FF197A" w:rsidRPr="0038250F" w:rsidRDefault="00FF197A" w:rsidP="00FF197A">
      <w:pPr>
        <w:spacing w:line="276" w:lineRule="auto"/>
        <w:jc w:val="both"/>
        <w:rPr>
          <w:rFonts w:cs="Arial"/>
          <w:b/>
          <w:szCs w:val="20"/>
          <w:lang w:val="sl-SI"/>
        </w:rPr>
      </w:pPr>
    </w:p>
    <w:p w14:paraId="6F3D4D59"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kibernetska obramba vključuje vse plasti kibernetskega prostora, in sicer družbeno, logično-tehnično in fizično;</w:t>
      </w:r>
    </w:p>
    <w:p w14:paraId="1DCD3F21"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ukrepe in dejavnosti kibernetske obrambe na ravni državnih organov usklajujejo in izvajajo pristojni nacionalni organ, skupine CSIRT ter ministrstvo, pristojno za obrambo, ministrstvo, pristojno za upravljanje informacijsko-komunikacijskih sistemov, ministrstvo, pristojno za zunanje zadeve, ministrstvo, pristojno za notranje zadeve, </w:t>
      </w:r>
      <w:r>
        <w:rPr>
          <w:rFonts w:cs="Arial"/>
          <w:szCs w:val="20"/>
          <w:lang w:val="sl-SI"/>
        </w:rPr>
        <w:t>P</w:t>
      </w:r>
      <w:r w:rsidRPr="0038250F">
        <w:rPr>
          <w:rFonts w:cs="Arial"/>
          <w:szCs w:val="20"/>
          <w:lang w:val="sl-SI"/>
        </w:rPr>
        <w:t>olicija, Slovenska obveščevalno-varnostna agencija (v nadaljnjem besedilu: SOVA) in drugi nacionalni organi v skladu s svojimi pristojnostmi pri zagotavljanju nacionalne varnost</w:t>
      </w:r>
      <w:r>
        <w:rPr>
          <w:rFonts w:cs="Arial"/>
          <w:szCs w:val="20"/>
          <w:lang w:val="sl-SI"/>
        </w:rPr>
        <w:t>i</w:t>
      </w:r>
      <w:r w:rsidRPr="0038250F">
        <w:rPr>
          <w:rFonts w:cs="Arial"/>
          <w:szCs w:val="20"/>
          <w:lang w:val="sl-SI"/>
        </w:rPr>
        <w:t>;</w:t>
      </w:r>
    </w:p>
    <w:p w14:paraId="65FB88C3"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zakon vpeljuje možnost vzpostavitve</w:t>
      </w:r>
      <w:r w:rsidRPr="0038250F">
        <w:rPr>
          <w:rFonts w:cs="Arial"/>
          <w:lang w:val="sl-SI"/>
        </w:rPr>
        <w:t xml:space="preserve"> </w:t>
      </w:r>
      <w:r w:rsidRPr="0038250F">
        <w:rPr>
          <w:rFonts w:cs="Arial"/>
          <w:szCs w:val="20"/>
          <w:lang w:val="sl-SI"/>
        </w:rPr>
        <w:t>situacijskega centra kibernetske obrambe pri pristojnem nacionalnem organu;</w:t>
      </w:r>
    </w:p>
    <w:p w14:paraId="7DBA8E62"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določa sodelovanje na področju kibernetske obrambe</w:t>
      </w:r>
      <w:r>
        <w:rPr>
          <w:rFonts w:cs="Arial"/>
          <w:szCs w:val="20"/>
          <w:lang w:val="sl-SI"/>
        </w:rPr>
        <w:t>,</w:t>
      </w:r>
      <w:r w:rsidRPr="0038250F">
        <w:rPr>
          <w:rFonts w:cs="Arial"/>
          <w:szCs w:val="20"/>
          <w:lang w:val="sl-SI"/>
        </w:rPr>
        <w:t xml:space="preserve"> vključno s sodelovanjem s posamezniki;</w:t>
      </w:r>
    </w:p>
    <w:p w14:paraId="78F534DE"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zakon vpeljuje možnost in postopke </w:t>
      </w:r>
      <w:r>
        <w:rPr>
          <w:rFonts w:cs="Arial"/>
          <w:szCs w:val="20"/>
          <w:lang w:val="sl-SI"/>
        </w:rPr>
        <w:t>ponujanja</w:t>
      </w:r>
      <w:r w:rsidRPr="0038250F">
        <w:rPr>
          <w:rFonts w:cs="Arial"/>
          <w:szCs w:val="20"/>
          <w:lang w:val="sl-SI"/>
        </w:rPr>
        <w:t xml:space="preserve"> pomoč</w:t>
      </w:r>
      <w:r>
        <w:rPr>
          <w:rFonts w:cs="Arial"/>
          <w:szCs w:val="20"/>
          <w:lang w:val="sl-SI"/>
        </w:rPr>
        <w:t>i</w:t>
      </w:r>
      <w:r w:rsidRPr="0038250F">
        <w:rPr>
          <w:rFonts w:cs="Arial"/>
          <w:szCs w:val="20"/>
          <w:lang w:val="sl-SI"/>
        </w:rPr>
        <w:t xml:space="preserve"> na področju kibernetske obrambe v Republiki Sloveniji, znotraj Evropske unije in na mednarodni ravni;</w:t>
      </w:r>
    </w:p>
    <w:p w14:paraId="71FA1ECF"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ureja se področje dela uslužbencev, ki izvajajo kibernetsko obrambo, v manj ugodnem delovnem času.</w:t>
      </w:r>
    </w:p>
    <w:p w14:paraId="237CD646" w14:textId="77777777" w:rsidR="00FF197A" w:rsidRPr="0038250F" w:rsidRDefault="00FF197A" w:rsidP="00FF197A">
      <w:pPr>
        <w:spacing w:line="276" w:lineRule="auto"/>
        <w:jc w:val="both"/>
        <w:rPr>
          <w:rFonts w:cs="Arial"/>
          <w:szCs w:val="20"/>
          <w:lang w:val="sl-SI"/>
        </w:rPr>
      </w:pPr>
    </w:p>
    <w:p w14:paraId="073504A3"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IX. Nadzor</w:t>
      </w:r>
    </w:p>
    <w:p w14:paraId="17FFA674" w14:textId="77777777" w:rsidR="00FF197A" w:rsidRPr="0038250F" w:rsidRDefault="00FF197A" w:rsidP="00FF197A">
      <w:pPr>
        <w:spacing w:line="276" w:lineRule="auto"/>
        <w:jc w:val="both"/>
        <w:rPr>
          <w:rFonts w:cs="Arial"/>
          <w:b/>
          <w:szCs w:val="20"/>
          <w:lang w:val="sl-SI"/>
        </w:rPr>
      </w:pPr>
    </w:p>
    <w:p w14:paraId="45A15D53"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predvideva, da bodo nadzor nad izvajanjem njegovih določb, na njegovi podlagi sprejetih predpisov in nad izvajanjem upravnih odločb, izdanih na njegovi podlagi, opravljali inšpektorji za informacijsko varnost v okviru pristojnega nacionalnega organa,</w:t>
      </w:r>
      <w:r w:rsidRPr="0038250F">
        <w:rPr>
          <w:rFonts w:cs="Arial"/>
          <w:lang w:val="sl-SI"/>
        </w:rPr>
        <w:t xml:space="preserve"> </w:t>
      </w:r>
      <w:r w:rsidRPr="0038250F">
        <w:rPr>
          <w:rFonts w:cs="Arial"/>
          <w:szCs w:val="20"/>
          <w:lang w:val="sl-SI"/>
        </w:rPr>
        <w:t xml:space="preserve">razen na obrambnem področju, kjer ta nadzor izvaja Inšpektorat Republike Slovenije za obrambo; </w:t>
      </w:r>
    </w:p>
    <w:p w14:paraId="5A8600EF"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inšpektor lahko poleg ukrepov, ki jih ima po zakonu, ki ureja inšpekcijski nadzor, odredi še ukrepe, določene s tem zakonom, pri čemer mora inšpektor, če gre hkrati za kršitev varstva osebnih podatkov ali če sumi, da gre za to, obveščati in sodelovati z Informacijskim pooblaščencem;</w:t>
      </w:r>
    </w:p>
    <w:p w14:paraId="61DEAB1C"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lang w:val="sl-SI"/>
        </w:rPr>
        <w:t>določa se i</w:t>
      </w:r>
      <w:r w:rsidRPr="0038250F">
        <w:rPr>
          <w:rFonts w:cs="Arial"/>
          <w:szCs w:val="20"/>
          <w:lang w:val="sl-SI"/>
        </w:rPr>
        <w:t>nšpekcijski nadzor subjektov po Uredbi 2019/881/EU;</w:t>
      </w:r>
    </w:p>
    <w:p w14:paraId="36574CA8"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ureja se področje določitve preizkušenega revizorja, ko inšpektor po tem zakonu izbere preizkušenega revizorja </w:t>
      </w:r>
      <w:r w:rsidRPr="00D3061C">
        <w:rPr>
          <w:rFonts w:cs="Arial"/>
          <w:szCs w:val="20"/>
          <w:lang w:val="sl-SI"/>
        </w:rPr>
        <w:t>za izvedbo revizije skladnosti;</w:t>
      </w:r>
      <w:r w:rsidRPr="0038250F">
        <w:rPr>
          <w:rFonts w:cs="Arial"/>
          <w:sz w:val="22"/>
          <w:szCs w:val="22"/>
          <w:lang w:val="sl-SI"/>
        </w:rPr>
        <w:t xml:space="preserve"> </w:t>
      </w:r>
    </w:p>
    <w:p w14:paraId="4E2489B2"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ne glede na določbe zakona, ki ureja inšpekcijski nadzor, lahko inšpektor zavezancem le v skrajnem primeru in upoštevaje področni pomen sistema ter njihovo dejavnost prepove uporabo tega sistema ali njegovega dela, dokler ni ugotovljena pomanjkljivost odpravljena in če s tem ukrepom ni ogrožena zanesljivost oskrbe v posameznem sistemu;</w:t>
      </w:r>
      <w:r w:rsidRPr="0038250F">
        <w:rPr>
          <w:rFonts w:cs="Arial"/>
          <w:lang w:val="sl-SI"/>
        </w:rPr>
        <w:t xml:space="preserve"> </w:t>
      </w:r>
    </w:p>
    <w:p w14:paraId="6AC34222"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 xml:space="preserve">upravni inšpekcijski nadzor nad bistvenimi in pomembnimi subjekti je urejen ločeno (oboje skladno s posebnimi zahtevami iz Direktive 2022/2555/EU). </w:t>
      </w:r>
    </w:p>
    <w:p w14:paraId="5FCD15B3" w14:textId="77777777" w:rsidR="00FF197A" w:rsidRPr="0038250F" w:rsidRDefault="00FF197A" w:rsidP="00FF197A">
      <w:pPr>
        <w:spacing w:line="276" w:lineRule="auto"/>
        <w:jc w:val="both"/>
        <w:rPr>
          <w:rFonts w:cs="Arial"/>
          <w:szCs w:val="20"/>
          <w:lang w:val="sl-SI"/>
        </w:rPr>
      </w:pPr>
    </w:p>
    <w:p w14:paraId="59C65DD3"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 xml:space="preserve">X. Kazenske določbe </w:t>
      </w:r>
    </w:p>
    <w:p w14:paraId="2A0A53C7" w14:textId="77777777" w:rsidR="00FF197A" w:rsidRPr="0038250F" w:rsidRDefault="00FF197A" w:rsidP="00FF197A">
      <w:pPr>
        <w:spacing w:line="276" w:lineRule="auto"/>
        <w:jc w:val="both"/>
        <w:rPr>
          <w:rFonts w:cs="Arial"/>
          <w:b/>
          <w:szCs w:val="20"/>
          <w:lang w:val="sl-SI"/>
        </w:rPr>
      </w:pPr>
    </w:p>
    <w:p w14:paraId="693CB0E3"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predpisane globe so</w:t>
      </w:r>
      <w:r>
        <w:rPr>
          <w:rFonts w:cs="Arial"/>
          <w:szCs w:val="20"/>
          <w:lang w:val="sl-SI"/>
        </w:rPr>
        <w:t xml:space="preserve">, kadar </w:t>
      </w:r>
      <w:r w:rsidRPr="0038250F">
        <w:rPr>
          <w:rFonts w:cs="Arial"/>
          <w:szCs w:val="20"/>
          <w:lang w:val="sl-SI"/>
        </w:rPr>
        <w:t>bistveni ali pomembni subjekt ne izpolnjuje obveznosti iz tega zakona, določene v višini, ki je učinkovita, sorazmerna in odvračalna (skladno z zahtevo iz Direktive 2022/2555/EU);</w:t>
      </w:r>
    </w:p>
    <w:p w14:paraId="585AEC20"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predlog zakona ločeno ureja prekrške</w:t>
      </w:r>
      <w:r>
        <w:rPr>
          <w:rFonts w:cs="Arial"/>
          <w:szCs w:val="20"/>
          <w:lang w:val="sl-SI"/>
        </w:rPr>
        <w:t>, kadar</w:t>
      </w:r>
      <w:r w:rsidRPr="0038250F">
        <w:rPr>
          <w:rFonts w:cs="Arial"/>
          <w:szCs w:val="20"/>
          <w:lang w:val="sl-SI"/>
        </w:rPr>
        <w:t xml:space="preserve"> obveznosti tega zakona ne izpolnjujejo bistveni ali pomembni subjekti. Ločeno je tudi urejanje prekrškov upravljavca centralnega informacijsko-komunikacijskega sistema;</w:t>
      </w:r>
    </w:p>
    <w:p w14:paraId="3321648A"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lang w:val="sl-SI"/>
        </w:rPr>
        <w:t>določa prekrške za kršitve</w:t>
      </w:r>
      <w:r w:rsidRPr="0038250F">
        <w:rPr>
          <w:rFonts w:cs="Arial"/>
          <w:szCs w:val="20"/>
          <w:lang w:val="sl-SI"/>
        </w:rPr>
        <w:t xml:space="preserve"> po Uredbi 2019/881/EU;</w:t>
      </w:r>
    </w:p>
    <w:p w14:paraId="231ABE9A"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poleg splošnih pravil za odmero sankcije iz zakona, ki ureja prekrške</w:t>
      </w:r>
      <w:r>
        <w:rPr>
          <w:rFonts w:cs="Arial"/>
          <w:szCs w:val="20"/>
          <w:lang w:val="sl-SI"/>
        </w:rPr>
        <w:t>,</w:t>
      </w:r>
      <w:r w:rsidRPr="0038250F">
        <w:rPr>
          <w:rFonts w:cs="Arial"/>
          <w:lang w:val="sl-SI"/>
        </w:rPr>
        <w:t xml:space="preserve"> </w:t>
      </w:r>
      <w:r w:rsidRPr="0038250F">
        <w:rPr>
          <w:rFonts w:cs="Arial"/>
          <w:szCs w:val="20"/>
          <w:lang w:val="sl-SI"/>
        </w:rPr>
        <w:t>se pri odločanju o višini izrečene globe</w:t>
      </w:r>
      <w:r w:rsidRPr="0038250F">
        <w:rPr>
          <w:rFonts w:cs="Arial"/>
          <w:lang w:val="sl-SI"/>
        </w:rPr>
        <w:t xml:space="preserve"> </w:t>
      </w:r>
      <w:r w:rsidRPr="0038250F">
        <w:rPr>
          <w:rFonts w:cs="Arial"/>
          <w:szCs w:val="20"/>
          <w:lang w:val="sl-SI"/>
        </w:rPr>
        <w:t>upošteva tudi letni promet oziroma letna bilančna vsota bistvenega ali pomembnega subjekta v predhodnem poslovnem letu;</w:t>
      </w:r>
    </w:p>
    <w:p w14:paraId="540EE3D3" w14:textId="77777777" w:rsidR="00FF197A" w:rsidRPr="0038250F" w:rsidRDefault="00FF197A" w:rsidP="00FF197A">
      <w:pPr>
        <w:numPr>
          <w:ilvl w:val="0"/>
          <w:numId w:val="11"/>
        </w:numPr>
        <w:spacing w:line="276" w:lineRule="auto"/>
        <w:jc w:val="both"/>
        <w:rPr>
          <w:rFonts w:cs="Arial"/>
          <w:bCs/>
          <w:szCs w:val="20"/>
          <w:lang w:val="sl-SI"/>
        </w:rPr>
      </w:pPr>
      <w:r w:rsidRPr="0038250F">
        <w:rPr>
          <w:rFonts w:cs="Arial"/>
          <w:szCs w:val="20"/>
          <w:lang w:val="sl-SI"/>
        </w:rPr>
        <w:t>predlog zakona omogoča, da se za v njem določene prekrške v hitrem postopku izrekajo globe tudi v znesku, ki je višji od najnižje predpisane globe, določene s tem zakonom.</w:t>
      </w:r>
    </w:p>
    <w:p w14:paraId="5A46F33D" w14:textId="77777777" w:rsidR="00FF197A" w:rsidRPr="0038250F" w:rsidRDefault="00FF197A" w:rsidP="00FF197A">
      <w:pPr>
        <w:spacing w:line="276" w:lineRule="auto"/>
        <w:jc w:val="both"/>
        <w:rPr>
          <w:rFonts w:cs="Arial"/>
          <w:szCs w:val="20"/>
          <w:lang w:val="sl-SI"/>
        </w:rPr>
      </w:pPr>
    </w:p>
    <w:p w14:paraId="6EEE3FFA" w14:textId="77777777" w:rsidR="00FF197A" w:rsidRPr="0038250F" w:rsidRDefault="00FF197A" w:rsidP="00FF197A">
      <w:pPr>
        <w:spacing w:line="276" w:lineRule="auto"/>
        <w:jc w:val="both"/>
        <w:rPr>
          <w:rFonts w:cs="Arial"/>
          <w:b/>
          <w:bCs/>
          <w:szCs w:val="20"/>
          <w:lang w:val="sl-SI"/>
        </w:rPr>
      </w:pPr>
      <w:r w:rsidRPr="0038250F">
        <w:rPr>
          <w:rFonts w:cs="Arial"/>
          <w:b/>
          <w:bCs/>
          <w:szCs w:val="20"/>
          <w:lang w:val="sl-SI"/>
        </w:rPr>
        <w:t>XI. Prehodne določbe</w:t>
      </w:r>
    </w:p>
    <w:p w14:paraId="45194B56" w14:textId="77777777" w:rsidR="00FF197A" w:rsidRPr="0038250F" w:rsidRDefault="00FF197A" w:rsidP="00FF197A">
      <w:pPr>
        <w:spacing w:line="276" w:lineRule="auto"/>
        <w:jc w:val="both"/>
        <w:rPr>
          <w:rFonts w:cs="Arial"/>
          <w:szCs w:val="20"/>
          <w:lang w:val="sl-SI"/>
        </w:rPr>
      </w:pPr>
    </w:p>
    <w:p w14:paraId="766C0345" w14:textId="77777777" w:rsidR="00FF197A" w:rsidRPr="0038250F" w:rsidRDefault="00FF197A" w:rsidP="00FF197A">
      <w:pPr>
        <w:pStyle w:val="Odstavekseznama"/>
        <w:numPr>
          <w:ilvl w:val="0"/>
          <w:numId w:val="11"/>
        </w:numPr>
        <w:spacing w:line="276" w:lineRule="auto"/>
        <w:jc w:val="both"/>
        <w:rPr>
          <w:rFonts w:cs="Arial"/>
          <w:szCs w:val="20"/>
          <w:lang w:val="sl-SI"/>
        </w:rPr>
      </w:pPr>
      <w:r w:rsidRPr="0038250F">
        <w:rPr>
          <w:rFonts w:cs="Arial"/>
          <w:szCs w:val="20"/>
          <w:lang w:val="sl-SI"/>
        </w:rPr>
        <w:t>zakon določa roke za izdajo podzakonskih aktov</w:t>
      </w:r>
      <w:r>
        <w:rPr>
          <w:rFonts w:cs="Arial"/>
          <w:szCs w:val="20"/>
          <w:lang w:val="sl-SI"/>
        </w:rPr>
        <w:t>,</w:t>
      </w:r>
      <w:r w:rsidRPr="0038250F">
        <w:rPr>
          <w:rFonts w:cs="Arial"/>
          <w:szCs w:val="20"/>
          <w:lang w:val="sl-SI"/>
        </w:rPr>
        <w:t xml:space="preserve"> vzpostavitev samoregistracijskega mehanizma in namenskih platform;</w:t>
      </w:r>
    </w:p>
    <w:p w14:paraId="28C676E3" w14:textId="77777777" w:rsidR="00FF197A" w:rsidRPr="0038250F" w:rsidRDefault="00FF197A" w:rsidP="00FF197A">
      <w:pPr>
        <w:pStyle w:val="Odstavekseznama"/>
        <w:numPr>
          <w:ilvl w:val="0"/>
          <w:numId w:val="11"/>
        </w:numPr>
        <w:spacing w:line="276" w:lineRule="auto"/>
        <w:jc w:val="both"/>
        <w:rPr>
          <w:rFonts w:cs="Arial"/>
          <w:lang w:val="sl-SI"/>
        </w:rPr>
      </w:pPr>
      <w:r w:rsidRPr="0038250F">
        <w:rPr>
          <w:rFonts w:cs="Arial"/>
          <w:szCs w:val="20"/>
          <w:lang w:val="sl-SI"/>
        </w:rPr>
        <w:t>ureja veljavnost zakona in določa roke, do katerih morajo bistveni in povezani subjekti izpolniti obveznosti iz 21. in 22. člena tega zakona.</w:t>
      </w:r>
    </w:p>
    <w:p w14:paraId="60CBB004" w14:textId="77777777" w:rsidR="00FF197A" w:rsidRPr="0038250F" w:rsidRDefault="00FF197A" w:rsidP="00FF197A">
      <w:pPr>
        <w:spacing w:line="276" w:lineRule="auto"/>
        <w:jc w:val="both"/>
        <w:rPr>
          <w:rFonts w:cs="Arial"/>
          <w:szCs w:val="20"/>
          <w:highlight w:val="yellow"/>
          <w:lang w:val="sl-SI"/>
        </w:rPr>
      </w:pPr>
    </w:p>
    <w:p w14:paraId="012C6339" w14:textId="77777777" w:rsidR="00FF197A" w:rsidRPr="0038250F" w:rsidRDefault="00FF197A" w:rsidP="00FF197A">
      <w:pPr>
        <w:spacing w:line="276" w:lineRule="auto"/>
        <w:jc w:val="both"/>
        <w:rPr>
          <w:rFonts w:cs="Arial"/>
          <w:b/>
          <w:szCs w:val="20"/>
          <w:lang w:val="sl-SI"/>
        </w:rPr>
      </w:pPr>
      <w:r w:rsidRPr="0038250F">
        <w:rPr>
          <w:rFonts w:cs="Arial"/>
          <w:b/>
          <w:szCs w:val="20"/>
          <w:lang w:val="sl-SI"/>
        </w:rPr>
        <w:t>XII. Končni določbi</w:t>
      </w:r>
    </w:p>
    <w:p w14:paraId="1EE7260D" w14:textId="77777777" w:rsidR="00FF197A" w:rsidRPr="0038250F" w:rsidRDefault="00FF197A" w:rsidP="00FF197A">
      <w:pPr>
        <w:spacing w:line="276" w:lineRule="auto"/>
        <w:jc w:val="both"/>
        <w:rPr>
          <w:rFonts w:cs="Arial"/>
          <w:b/>
          <w:szCs w:val="20"/>
          <w:lang w:val="sl-SI"/>
        </w:rPr>
      </w:pPr>
    </w:p>
    <w:p w14:paraId="24AB77E0" w14:textId="77777777" w:rsidR="00FF197A" w:rsidRPr="0038250F" w:rsidRDefault="00FF197A" w:rsidP="00FF197A">
      <w:pPr>
        <w:numPr>
          <w:ilvl w:val="0"/>
          <w:numId w:val="11"/>
        </w:numPr>
        <w:spacing w:line="276" w:lineRule="auto"/>
        <w:jc w:val="both"/>
        <w:rPr>
          <w:rFonts w:cs="Arial"/>
          <w:szCs w:val="20"/>
          <w:lang w:val="sl-SI"/>
        </w:rPr>
      </w:pPr>
      <w:r w:rsidRPr="0038250F">
        <w:rPr>
          <w:rFonts w:cs="Arial"/>
          <w:szCs w:val="20"/>
          <w:lang w:val="sl-SI"/>
        </w:rPr>
        <w:t>določa začetek veljavnosti zakona − petnajsti dan po objavi v Uradnem listu RS.</w:t>
      </w:r>
    </w:p>
    <w:p w14:paraId="61227F5D" w14:textId="77777777" w:rsidR="00FF197A" w:rsidRPr="0038250F" w:rsidRDefault="00FF197A" w:rsidP="00FF197A">
      <w:pPr>
        <w:spacing w:line="276" w:lineRule="auto"/>
        <w:jc w:val="both"/>
        <w:rPr>
          <w:rFonts w:cs="Arial"/>
          <w:szCs w:val="20"/>
          <w:lang w:val="sl-SI" w:eastAsia="sl-SI"/>
        </w:rPr>
      </w:pPr>
    </w:p>
    <w:p w14:paraId="037CF0B6" w14:textId="77777777" w:rsidR="00FF197A" w:rsidRPr="0038250F" w:rsidRDefault="00FF197A" w:rsidP="00FF197A">
      <w:pPr>
        <w:spacing w:line="276" w:lineRule="auto"/>
        <w:jc w:val="both"/>
        <w:rPr>
          <w:rFonts w:cs="Arial"/>
          <w:szCs w:val="20"/>
          <w:lang w:val="sl-SI" w:eastAsia="sl-SI"/>
        </w:rPr>
      </w:pPr>
      <w:r w:rsidRPr="0038250F">
        <w:rPr>
          <w:rFonts w:cs="Arial"/>
          <w:szCs w:val="20"/>
          <w:lang w:val="sl-SI" w:eastAsia="sl-SI"/>
        </w:rPr>
        <w:t xml:space="preserve">Skladno z zgoraj zapisanim se s predlogom zakona v pravni red prenaša Direktiva 2022/2555/EU, </w:t>
      </w:r>
      <w:r w:rsidRPr="0038250F">
        <w:rPr>
          <w:rFonts w:cs="Arial"/>
          <w:szCs w:val="20"/>
          <w:lang w:val="sl-SI"/>
        </w:rPr>
        <w:t xml:space="preserve">katere cilj in namen je sistemska ureditev področja informacijske oziroma kibernetske varnosti in zagotovitev visoke ravni kibernetske varnosti v Republiki Sloveniji na področjih, ki so bistvenega </w:t>
      </w:r>
      <w:r w:rsidRPr="0038250F">
        <w:rPr>
          <w:rFonts w:cs="Arial"/>
          <w:szCs w:val="20"/>
          <w:lang w:val="sl-SI"/>
        </w:rPr>
        <w:lastRenderedPageBreak/>
        <w:t xml:space="preserve">pomena za nemoteno delovanje države ter ohranitev zagotavljanja ključnih družbenih in gospodarskih dejavnosti. </w:t>
      </w:r>
      <w:r w:rsidRPr="0038250F">
        <w:rPr>
          <w:rFonts w:cs="Arial"/>
          <w:szCs w:val="20"/>
          <w:lang w:val="sl-SI" w:eastAsia="sl-SI"/>
        </w:rPr>
        <w:t>Poleg tega se bo z zakonom sistemsko uredilo in nadgradilo področje kibernetske obrambe tako na strateški kot na operativni ravni nacionalnega sistema zagotavljanja informacijske varnosti.</w:t>
      </w:r>
    </w:p>
    <w:p w14:paraId="6B2B30B5" w14:textId="77777777" w:rsidR="00FF197A" w:rsidRPr="0038250F" w:rsidRDefault="00FF197A" w:rsidP="00FF197A">
      <w:pPr>
        <w:spacing w:line="276" w:lineRule="auto"/>
        <w:jc w:val="both"/>
        <w:rPr>
          <w:rFonts w:cs="Arial"/>
          <w:szCs w:val="20"/>
          <w:highlight w:val="yellow"/>
          <w:lang w:val="sl-SI"/>
        </w:rPr>
      </w:pPr>
    </w:p>
    <w:p w14:paraId="72F8919A" w14:textId="77777777" w:rsidR="00FF197A" w:rsidRPr="0038250F" w:rsidRDefault="00FF197A" w:rsidP="00FF197A">
      <w:pPr>
        <w:spacing w:line="276" w:lineRule="auto"/>
        <w:jc w:val="both"/>
        <w:rPr>
          <w:rFonts w:cs="Arial"/>
          <w:szCs w:val="20"/>
          <w:highlight w:val="yellow"/>
          <w:lang w:val="sl-SI"/>
        </w:rPr>
      </w:pPr>
      <w:r w:rsidRPr="0038250F">
        <w:rPr>
          <w:rFonts w:cs="Arial"/>
          <w:szCs w:val="20"/>
          <w:lang w:val="sl-SI"/>
        </w:rPr>
        <w:t>Na podlagi predloga zakona pristojni nacionalni organ vzpostavi mehanizem za samoregistracijo zavezancev iz 6. člena tega zakona po prvem odstavku 8. člena tega zakona v štirih mesec</w:t>
      </w:r>
      <w:r>
        <w:rPr>
          <w:rFonts w:cs="Arial"/>
          <w:szCs w:val="20"/>
          <w:lang w:val="sl-SI"/>
        </w:rPr>
        <w:t>ih</w:t>
      </w:r>
      <w:r w:rsidRPr="0038250F">
        <w:rPr>
          <w:rFonts w:cs="Arial"/>
          <w:szCs w:val="20"/>
          <w:lang w:val="sl-SI"/>
        </w:rPr>
        <w:t xml:space="preserve"> od uveljavitve; vzpostavi digitalno platformo za medsebojno izmenjav</w:t>
      </w:r>
      <w:r>
        <w:rPr>
          <w:rFonts w:cs="Arial"/>
          <w:szCs w:val="20"/>
          <w:lang w:val="sl-SI"/>
        </w:rPr>
        <w:t>o</w:t>
      </w:r>
      <w:r w:rsidRPr="0038250F">
        <w:rPr>
          <w:rFonts w:cs="Arial"/>
          <w:szCs w:val="20"/>
          <w:lang w:val="sl-SI"/>
        </w:rPr>
        <w:t xml:space="preserve"> informacij o relevantnih incidentih, kibernetskih grožnjah in skorajšnjih incidentih iz drugega odstavka 18. člena tega zakona ter namensko digitalno platformo iz desetega odstavka 28. člena v enem letu od uveljavitve tega zakona.</w:t>
      </w:r>
      <w:r w:rsidRPr="0038250F">
        <w:rPr>
          <w:rFonts w:cs="Arial"/>
          <w:lang w:val="sl-SI"/>
        </w:rPr>
        <w:t xml:space="preserve"> </w:t>
      </w:r>
      <w:r w:rsidRPr="0038250F">
        <w:rPr>
          <w:rFonts w:cs="Arial"/>
          <w:szCs w:val="20"/>
          <w:lang w:val="sl-SI"/>
        </w:rPr>
        <w:t>Poleg tega se zaradi uskladitev z nalogami pristojnega nacionalnega organa, ki je samostojna vladna služba, uskladi Odlok o ustanovitvi, nalogah in organizaciji Urada Vlade Republike Slovenije za informacijsko varnost (Uradni list RS, št. 114/21 in 69/23) s tem zakonom v treh mesecih od njegove uveljavitve</w:t>
      </w:r>
      <w:r>
        <w:rPr>
          <w:rFonts w:cs="Arial"/>
          <w:szCs w:val="20"/>
          <w:lang w:val="sl-SI"/>
        </w:rPr>
        <w:t>.</w:t>
      </w:r>
    </w:p>
    <w:p w14:paraId="44F6B8E8" w14:textId="77777777" w:rsidR="00FF197A" w:rsidRPr="0038250F" w:rsidRDefault="00FF197A" w:rsidP="00FF197A">
      <w:pPr>
        <w:spacing w:line="276" w:lineRule="auto"/>
        <w:jc w:val="both"/>
        <w:rPr>
          <w:rFonts w:cs="Arial"/>
          <w:szCs w:val="20"/>
          <w:highlight w:val="yellow"/>
          <w:lang w:val="sl-SI"/>
        </w:rPr>
      </w:pPr>
    </w:p>
    <w:p w14:paraId="48206EC7" w14:textId="77777777" w:rsidR="00FF197A" w:rsidRPr="0038250F" w:rsidRDefault="00FF197A" w:rsidP="00FF197A">
      <w:pPr>
        <w:spacing w:line="276" w:lineRule="auto"/>
        <w:jc w:val="both"/>
        <w:rPr>
          <w:rFonts w:cs="Arial"/>
          <w:szCs w:val="20"/>
          <w:lang w:val="sl-SI"/>
        </w:rPr>
      </w:pPr>
      <w:r w:rsidRPr="0038250F">
        <w:rPr>
          <w:rFonts w:cs="Arial"/>
          <w:szCs w:val="20"/>
          <w:lang w:val="sl-SI"/>
        </w:rPr>
        <w:t xml:space="preserve">Z dnem uveljavitve tega zakona preneha veljati Zakon o informacijski varnosti (Uradni list RS, št. 30/18, 95/21, 130/22 – ZEKom-2, 18/23 – ZDU-1O in 49/23). Prav tako prenehajo veljati na njegovi </w:t>
      </w:r>
      <w:r>
        <w:rPr>
          <w:rFonts w:cs="Arial"/>
          <w:szCs w:val="20"/>
          <w:lang w:val="sl-SI"/>
        </w:rPr>
        <w:t>podlagi</w:t>
      </w:r>
      <w:r w:rsidRPr="0038250F">
        <w:rPr>
          <w:rFonts w:cs="Arial"/>
          <w:szCs w:val="20"/>
          <w:lang w:val="sl-SI"/>
        </w:rPr>
        <w:t xml:space="preserve"> izdani podzakonski akti, ki pa se smiselno uporabljajo do izdaje podzakonskih predpisov</w:t>
      </w:r>
      <w:r>
        <w:rPr>
          <w:rFonts w:cs="Arial"/>
          <w:szCs w:val="20"/>
          <w:lang w:val="sl-SI"/>
        </w:rPr>
        <w:t>,</w:t>
      </w:r>
      <w:r w:rsidRPr="0038250F">
        <w:rPr>
          <w:rFonts w:cs="Arial"/>
          <w:szCs w:val="20"/>
          <w:lang w:val="sl-SI"/>
        </w:rPr>
        <w:t xml:space="preserve"> sprejetih na podlagi tega zakona.</w:t>
      </w:r>
    </w:p>
    <w:p w14:paraId="1F46A19C" w14:textId="77777777" w:rsidR="00FF197A" w:rsidRPr="0038250F" w:rsidRDefault="00FF197A" w:rsidP="00FF197A">
      <w:pPr>
        <w:spacing w:line="276" w:lineRule="auto"/>
        <w:jc w:val="both"/>
        <w:rPr>
          <w:rFonts w:cs="Arial"/>
          <w:szCs w:val="20"/>
          <w:highlight w:val="yellow"/>
          <w:lang w:val="sl-SI"/>
        </w:rPr>
      </w:pPr>
    </w:p>
    <w:p w14:paraId="73B2A4ED" w14:textId="77777777" w:rsidR="00FF197A" w:rsidRPr="0038250F" w:rsidRDefault="00FF197A" w:rsidP="00FF197A">
      <w:pPr>
        <w:pStyle w:val="OdstavektevilkaZIV"/>
        <w:numPr>
          <w:ilvl w:val="0"/>
          <w:numId w:val="11"/>
        </w:numPr>
        <w:spacing w:after="0" w:line="276" w:lineRule="auto"/>
        <w:ind w:left="714" w:hanging="357"/>
        <w:rPr>
          <w:b/>
          <w:bCs/>
        </w:rPr>
      </w:pPr>
      <w:r w:rsidRPr="0038250F">
        <w:rPr>
          <w:b/>
          <w:bCs/>
        </w:rPr>
        <w:t>Normativna usklajenost predloga zakona</w:t>
      </w:r>
    </w:p>
    <w:p w14:paraId="276E0E56" w14:textId="77777777" w:rsidR="00FF197A" w:rsidRPr="0038250F" w:rsidRDefault="00FF197A" w:rsidP="00FF197A">
      <w:pPr>
        <w:pStyle w:val="OdstavektevilkaZIV"/>
        <w:numPr>
          <w:ilvl w:val="0"/>
          <w:numId w:val="0"/>
        </w:numPr>
        <w:spacing w:after="0" w:line="276" w:lineRule="auto"/>
        <w:ind w:left="714"/>
        <w:rPr>
          <w:b/>
          <w:bCs/>
        </w:rPr>
      </w:pPr>
    </w:p>
    <w:p w14:paraId="4428C4FF" w14:textId="77777777" w:rsidR="00FF197A" w:rsidRPr="0038250F" w:rsidRDefault="00FF197A" w:rsidP="00FF197A">
      <w:pPr>
        <w:spacing w:line="276" w:lineRule="auto"/>
        <w:jc w:val="both"/>
        <w:rPr>
          <w:rFonts w:cs="Arial"/>
          <w:szCs w:val="20"/>
          <w:lang w:val="sl-SI"/>
        </w:rPr>
      </w:pPr>
      <w:r w:rsidRPr="0038250F">
        <w:rPr>
          <w:rFonts w:cs="Arial"/>
          <w:szCs w:val="20"/>
          <w:lang w:val="sl-SI"/>
        </w:rPr>
        <w:t xml:space="preserve">Predlog zakona je usklajen z veljavno zakonodajo ter s splošno veljavnimi načeli mednarodnega prava in z mednarodnimi pogodbami, ki obvezujejo </w:t>
      </w:r>
      <w:r w:rsidRPr="0038250F">
        <w:rPr>
          <w:rFonts w:cs="Arial"/>
          <w:szCs w:val="20"/>
          <w:lang w:val="sl-SI" w:eastAsia="sl-SI"/>
        </w:rPr>
        <w:t>RS</w:t>
      </w:r>
      <w:r w:rsidRPr="0038250F">
        <w:rPr>
          <w:rFonts w:cs="Arial"/>
          <w:szCs w:val="20"/>
          <w:lang w:val="sl-SI"/>
        </w:rPr>
        <w:t xml:space="preserve">. Predlog zakona prenaša </w:t>
      </w:r>
      <w:r w:rsidRPr="0038250F">
        <w:rPr>
          <w:rFonts w:cs="Arial"/>
          <w:szCs w:val="20"/>
          <w:lang w:val="sl-SI" w:eastAsia="sl-SI"/>
        </w:rPr>
        <w:t>Direktivo 2022/2555/EU</w:t>
      </w:r>
      <w:r w:rsidRPr="0038250F">
        <w:rPr>
          <w:rFonts w:cs="Arial"/>
          <w:szCs w:val="20"/>
          <w:lang w:val="sl-SI"/>
        </w:rPr>
        <w:t>.</w:t>
      </w:r>
    </w:p>
    <w:p w14:paraId="6B1A369D" w14:textId="77777777" w:rsidR="00FF197A" w:rsidRPr="0038250F" w:rsidRDefault="00FF197A" w:rsidP="00FF197A">
      <w:pPr>
        <w:spacing w:line="276" w:lineRule="auto"/>
        <w:jc w:val="both"/>
        <w:rPr>
          <w:rFonts w:cs="Arial"/>
          <w:szCs w:val="20"/>
          <w:lang w:val="sl-SI"/>
        </w:rPr>
      </w:pPr>
    </w:p>
    <w:p w14:paraId="67AE05EA" w14:textId="77777777" w:rsidR="00FF197A" w:rsidRPr="0038250F" w:rsidRDefault="00FF197A" w:rsidP="00FF197A">
      <w:pPr>
        <w:pStyle w:val="OdstavektevilkaZIV"/>
        <w:numPr>
          <w:ilvl w:val="0"/>
          <w:numId w:val="11"/>
        </w:numPr>
        <w:spacing w:after="0" w:line="276" w:lineRule="auto"/>
        <w:ind w:left="714" w:hanging="357"/>
        <w:rPr>
          <w:b/>
          <w:bCs/>
        </w:rPr>
      </w:pPr>
      <w:r w:rsidRPr="0038250F">
        <w:rPr>
          <w:rFonts w:eastAsiaTheme="minorHAnsi"/>
          <w:b/>
          <w:bCs/>
        </w:rPr>
        <w:t>Usklajenost</w:t>
      </w:r>
      <w:r w:rsidRPr="0038250F">
        <w:rPr>
          <w:b/>
          <w:bCs/>
        </w:rPr>
        <w:t xml:space="preserve"> predloga zakona</w:t>
      </w:r>
    </w:p>
    <w:p w14:paraId="1A25DCF8" w14:textId="77777777" w:rsidR="00FF197A" w:rsidRPr="0038250F" w:rsidRDefault="00FF197A" w:rsidP="00FF197A">
      <w:pPr>
        <w:pStyle w:val="OdstavektevilkaZIV"/>
        <w:numPr>
          <w:ilvl w:val="0"/>
          <w:numId w:val="0"/>
        </w:numPr>
        <w:spacing w:after="0" w:line="276" w:lineRule="auto"/>
        <w:ind w:left="714"/>
        <w:rPr>
          <w:b/>
          <w:bCs/>
        </w:rPr>
      </w:pPr>
    </w:p>
    <w:p w14:paraId="399ACC58" w14:textId="77777777" w:rsidR="00FF197A" w:rsidRPr="0038250F" w:rsidRDefault="00FF197A" w:rsidP="00FF197A">
      <w:pPr>
        <w:spacing w:line="276" w:lineRule="auto"/>
        <w:jc w:val="both"/>
        <w:rPr>
          <w:rFonts w:cs="Arial"/>
          <w:iCs/>
          <w:szCs w:val="20"/>
          <w:lang w:val="sl-SI" w:eastAsia="sl-SI"/>
        </w:rPr>
      </w:pPr>
      <w:r w:rsidRPr="0038250F">
        <w:rPr>
          <w:rFonts w:cs="Arial"/>
          <w:iCs/>
          <w:szCs w:val="20"/>
          <w:lang w:val="sl-SI" w:eastAsia="sl-SI"/>
        </w:rPr>
        <w:t>Delovni osnutek predloga zakona je bil ob koncu leta 2023 posredovan deležnikom</w:t>
      </w:r>
      <w:r>
        <w:rPr>
          <w:rFonts w:cs="Arial"/>
          <w:iCs/>
          <w:szCs w:val="20"/>
          <w:lang w:val="sl-SI" w:eastAsia="sl-SI"/>
        </w:rPr>
        <w:t>,</w:t>
      </w:r>
      <w:r w:rsidRPr="0038250F">
        <w:rPr>
          <w:rFonts w:cs="Arial"/>
          <w:iCs/>
          <w:szCs w:val="20"/>
          <w:lang w:val="sl-SI" w:eastAsia="sl-SI"/>
        </w:rPr>
        <w:t xml:space="preserve"> zastopanim v Koordinacijski skupini za kibernetsko varnost. Na podlagi pobud so bili opravljeni usklajevalni sestanki in predstavitve osnutkov.</w:t>
      </w:r>
    </w:p>
    <w:p w14:paraId="029E12EE" w14:textId="77777777" w:rsidR="00FF197A" w:rsidRPr="0038250F" w:rsidRDefault="00FF197A" w:rsidP="00FF197A">
      <w:pPr>
        <w:spacing w:line="276" w:lineRule="auto"/>
        <w:jc w:val="both"/>
        <w:rPr>
          <w:rFonts w:cs="Arial"/>
          <w:iCs/>
          <w:szCs w:val="20"/>
          <w:lang w:val="sl-SI" w:eastAsia="sl-SI"/>
        </w:rPr>
      </w:pPr>
    </w:p>
    <w:p w14:paraId="0548E877" w14:textId="77777777" w:rsidR="00FF197A" w:rsidRPr="0038250F" w:rsidRDefault="00FF197A" w:rsidP="00FF197A">
      <w:pPr>
        <w:spacing w:line="276" w:lineRule="auto"/>
        <w:jc w:val="both"/>
        <w:rPr>
          <w:rFonts w:cs="Arial"/>
          <w:iCs/>
          <w:szCs w:val="20"/>
          <w:lang w:val="sl-SI" w:eastAsia="sl-SI"/>
        </w:rPr>
      </w:pPr>
      <w:r w:rsidRPr="0038250F">
        <w:rPr>
          <w:rFonts w:cs="Arial"/>
          <w:iCs/>
          <w:szCs w:val="20"/>
          <w:lang w:val="sl-SI" w:eastAsia="sl-SI"/>
        </w:rPr>
        <w:t xml:space="preserve">Osnutek predloga zakona je bil od 16. februarja do 18. marca 2024 v javni obravnavi. Na podlagi prispelih predlogov in pobud je bil izdelan osnutek predloga zakona in 15. maja 2024 posredovan v ponovno javno obravnavo. </w:t>
      </w:r>
      <w:r>
        <w:rPr>
          <w:rFonts w:cs="Arial"/>
          <w:iCs/>
          <w:szCs w:val="20"/>
          <w:lang w:val="sl-SI" w:eastAsia="sl-SI"/>
        </w:rPr>
        <w:t>Ta</w:t>
      </w:r>
      <w:r w:rsidRPr="0038250F">
        <w:rPr>
          <w:rFonts w:cs="Arial"/>
          <w:iCs/>
          <w:szCs w:val="20"/>
          <w:lang w:val="sl-SI" w:eastAsia="sl-SI"/>
        </w:rPr>
        <w:t xml:space="preserve"> je bila zaključena 31. maja 2024.</w:t>
      </w:r>
    </w:p>
    <w:p w14:paraId="590AD2F5" w14:textId="77777777" w:rsidR="00FF197A" w:rsidRPr="0038250F" w:rsidRDefault="00FF197A" w:rsidP="00FF197A">
      <w:pPr>
        <w:spacing w:line="276" w:lineRule="auto"/>
        <w:jc w:val="both"/>
        <w:rPr>
          <w:rFonts w:cs="Arial"/>
          <w:iCs/>
          <w:szCs w:val="20"/>
          <w:lang w:val="sl-SI" w:eastAsia="sl-SI"/>
        </w:rPr>
      </w:pPr>
    </w:p>
    <w:p w14:paraId="0F4BD48B" w14:textId="77777777" w:rsidR="00FF197A" w:rsidRPr="0038250F" w:rsidRDefault="00FF197A" w:rsidP="00FF197A">
      <w:pPr>
        <w:spacing w:line="276" w:lineRule="auto"/>
        <w:jc w:val="both"/>
        <w:rPr>
          <w:rFonts w:cs="Arial"/>
          <w:iCs/>
          <w:szCs w:val="20"/>
          <w:lang w:val="sl-SI" w:eastAsia="sl-SI"/>
        </w:rPr>
      </w:pPr>
      <w:r w:rsidRPr="0038250F">
        <w:rPr>
          <w:rFonts w:cs="Arial"/>
          <w:iCs/>
          <w:szCs w:val="20"/>
          <w:lang w:val="sl-SI" w:eastAsia="sl-SI"/>
        </w:rPr>
        <w:t>Osnutek predloga zakona je bil prek sistema IPP posredovan v medresorsko usklajevanje 15. maja, 4. septembra in 23. decembra 2024.</w:t>
      </w:r>
    </w:p>
    <w:p w14:paraId="6B2590FD" w14:textId="77777777" w:rsidR="00FF197A" w:rsidRPr="0038250F" w:rsidRDefault="00FF197A" w:rsidP="00FF197A">
      <w:pPr>
        <w:spacing w:line="276" w:lineRule="auto"/>
        <w:jc w:val="both"/>
        <w:rPr>
          <w:rFonts w:cs="Arial"/>
          <w:iCs/>
          <w:szCs w:val="20"/>
          <w:highlight w:val="yellow"/>
          <w:lang w:val="sl-SI" w:eastAsia="sl-SI"/>
        </w:rPr>
      </w:pPr>
    </w:p>
    <w:p w14:paraId="1B383877" w14:textId="77777777" w:rsidR="00FF197A" w:rsidRPr="0038250F" w:rsidRDefault="00FF197A" w:rsidP="00FF197A">
      <w:pPr>
        <w:spacing w:line="276" w:lineRule="auto"/>
        <w:jc w:val="both"/>
        <w:rPr>
          <w:rFonts w:cs="Arial"/>
          <w:szCs w:val="20"/>
          <w:lang w:val="sl-SI"/>
        </w:rPr>
      </w:pPr>
      <w:r w:rsidRPr="0038250F">
        <w:rPr>
          <w:rFonts w:cs="Arial"/>
          <w:szCs w:val="20"/>
          <w:lang w:val="sl-SI"/>
        </w:rPr>
        <w:t xml:space="preserve">Predlog zakona je </w:t>
      </w:r>
      <w:r>
        <w:rPr>
          <w:rFonts w:cs="Arial"/>
          <w:szCs w:val="20"/>
          <w:lang w:val="sl-SI"/>
        </w:rPr>
        <w:t xml:space="preserve">večinoma </w:t>
      </w:r>
      <w:r w:rsidRPr="0038250F">
        <w:rPr>
          <w:rFonts w:cs="Arial"/>
          <w:szCs w:val="20"/>
          <w:lang w:val="sl-SI"/>
        </w:rPr>
        <w:t xml:space="preserve">usklajen s samoupravnimi lokalnimi skupnostmi in delno s civilno družbo oziroma ciljnimi skupinami, na </w:t>
      </w:r>
      <w:r w:rsidRPr="0038250F">
        <w:rPr>
          <w:rFonts w:cs="Arial"/>
          <w:szCs w:val="20"/>
          <w:lang w:val="sl-SI" w:eastAsia="sl-SI"/>
        </w:rPr>
        <w:t>katere</w:t>
      </w:r>
      <w:r w:rsidRPr="0038250F">
        <w:rPr>
          <w:rFonts w:cs="Arial"/>
          <w:szCs w:val="20"/>
          <w:lang w:val="sl-SI"/>
        </w:rPr>
        <w:t xml:space="preserve"> se predlog zakona nanaša, ter s predstavniki zainteresirane javnosti.</w:t>
      </w:r>
    </w:p>
    <w:p w14:paraId="56DAFF20" w14:textId="77777777" w:rsidR="00FF197A" w:rsidRPr="0038250F" w:rsidRDefault="00FF197A" w:rsidP="00FF197A">
      <w:pPr>
        <w:spacing w:line="276" w:lineRule="auto"/>
        <w:jc w:val="both"/>
        <w:rPr>
          <w:rFonts w:cs="Arial"/>
          <w:szCs w:val="20"/>
          <w:highlight w:val="yellow"/>
          <w:lang w:val="sl-SI"/>
        </w:rPr>
      </w:pPr>
    </w:p>
    <w:p w14:paraId="2A7A5CEC" w14:textId="77777777" w:rsidR="00FF197A" w:rsidRDefault="00FF197A" w:rsidP="00FF197A">
      <w:pPr>
        <w:spacing w:line="276" w:lineRule="auto"/>
        <w:rPr>
          <w:rFonts w:cs="Arial"/>
          <w:szCs w:val="20"/>
          <w:lang w:val="sl-SI"/>
        </w:rPr>
      </w:pPr>
      <w:r w:rsidRPr="0038250F">
        <w:rPr>
          <w:rFonts w:cs="Arial"/>
          <w:szCs w:val="20"/>
          <w:lang w:val="sl-SI"/>
        </w:rPr>
        <w:t>Navedba neusklajenih vprašanj izhaja iz točke 7 tega gradiva</w:t>
      </w:r>
    </w:p>
    <w:p w14:paraId="334B8B99" w14:textId="77777777" w:rsidR="00FF197A" w:rsidRDefault="00FF197A" w:rsidP="00FF197A">
      <w:pPr>
        <w:spacing w:line="276" w:lineRule="auto"/>
        <w:rPr>
          <w:rFonts w:cs="Arial"/>
          <w:szCs w:val="20"/>
          <w:lang w:val="sl-SI"/>
        </w:rPr>
      </w:pPr>
    </w:p>
    <w:p w14:paraId="74373975" w14:textId="77777777" w:rsidR="00FF197A" w:rsidRPr="0038250F" w:rsidRDefault="00FF197A" w:rsidP="00FF197A">
      <w:pPr>
        <w:spacing w:line="276" w:lineRule="auto"/>
        <w:rPr>
          <w:rFonts w:cs="Arial"/>
          <w:b/>
          <w:bCs/>
          <w:szCs w:val="20"/>
          <w:lang w:val="sl-SI"/>
        </w:rPr>
      </w:pPr>
      <w:r w:rsidRPr="0038250F">
        <w:rPr>
          <w:rFonts w:cs="Arial"/>
          <w:b/>
          <w:bCs/>
          <w:szCs w:val="20"/>
          <w:lang w:val="sl-SI"/>
        </w:rPr>
        <w:t>(PRIKAZ SODELOVANJA JAVNOSTI PRI PRIPRAVI PREDLOGA ZAKONA).</w:t>
      </w:r>
    </w:p>
    <w:p w14:paraId="05A42549" w14:textId="77777777" w:rsidR="00FF197A" w:rsidRPr="0038250F" w:rsidRDefault="00FF197A" w:rsidP="00FF197A">
      <w:pPr>
        <w:spacing w:line="276" w:lineRule="auto"/>
        <w:jc w:val="both"/>
        <w:rPr>
          <w:rFonts w:cs="Arial"/>
          <w:szCs w:val="20"/>
          <w:highlight w:val="yellow"/>
          <w:lang w:val="sl-SI"/>
        </w:rPr>
      </w:pPr>
    </w:p>
    <w:p w14:paraId="0E7E2D34" w14:textId="77777777" w:rsidR="00DE4FA7" w:rsidRPr="00C50F53" w:rsidRDefault="00DE4FA7" w:rsidP="0038250F">
      <w:pPr>
        <w:spacing w:line="276" w:lineRule="auto"/>
        <w:jc w:val="both"/>
        <w:rPr>
          <w:rFonts w:cs="Arial"/>
          <w:szCs w:val="20"/>
          <w:lang w:val="sl-SI"/>
        </w:rPr>
      </w:pPr>
    </w:p>
    <w:p w14:paraId="04D64AB4" w14:textId="77777777" w:rsidR="00E7333E" w:rsidRPr="00C50F53" w:rsidRDefault="00E7333E" w:rsidP="0038250F">
      <w:pPr>
        <w:spacing w:line="276" w:lineRule="auto"/>
        <w:rPr>
          <w:rFonts w:cs="Arial"/>
          <w:b/>
          <w:szCs w:val="20"/>
          <w:lang w:val="sl-SI"/>
        </w:rPr>
      </w:pPr>
      <w:r w:rsidRPr="00C50F53">
        <w:rPr>
          <w:rFonts w:cs="Arial"/>
          <w:b/>
          <w:szCs w:val="20"/>
          <w:lang w:val="sl-SI"/>
        </w:rPr>
        <w:br w:type="page"/>
      </w:r>
    </w:p>
    <w:p w14:paraId="7CD4C66E" w14:textId="036CED3F" w:rsidR="00A23D5D" w:rsidRPr="00C50F53" w:rsidRDefault="00A23D5D" w:rsidP="0038250F">
      <w:pPr>
        <w:suppressAutoHyphens/>
        <w:overflowPunct w:val="0"/>
        <w:autoSpaceDE w:val="0"/>
        <w:autoSpaceDN w:val="0"/>
        <w:adjustRightInd w:val="0"/>
        <w:spacing w:line="276" w:lineRule="auto"/>
        <w:jc w:val="both"/>
        <w:textAlignment w:val="baseline"/>
        <w:outlineLvl w:val="3"/>
        <w:rPr>
          <w:rFonts w:cs="Arial"/>
          <w:b/>
          <w:szCs w:val="20"/>
          <w:lang w:val="sl-SI"/>
        </w:rPr>
      </w:pPr>
      <w:r w:rsidRPr="00C50F53">
        <w:rPr>
          <w:rFonts w:cs="Arial"/>
          <w:b/>
          <w:szCs w:val="20"/>
          <w:lang w:val="sl-SI"/>
        </w:rPr>
        <w:lastRenderedPageBreak/>
        <w:t>3. OCENA FINANČNIH POSLEDIC PREDLOGA ZAKONA ZA DRŽAVNI PRORAČUN IN DRUGA JAVNA FINANČNA SREDSTVA</w:t>
      </w:r>
    </w:p>
    <w:p w14:paraId="65A0F1B5" w14:textId="77777777" w:rsidR="00C0478B" w:rsidRPr="00C50F53" w:rsidRDefault="00C0478B" w:rsidP="0038250F">
      <w:pPr>
        <w:suppressAutoHyphens/>
        <w:overflowPunct w:val="0"/>
        <w:autoSpaceDE w:val="0"/>
        <w:autoSpaceDN w:val="0"/>
        <w:adjustRightInd w:val="0"/>
        <w:spacing w:line="276" w:lineRule="auto"/>
        <w:jc w:val="both"/>
        <w:textAlignment w:val="baseline"/>
        <w:outlineLvl w:val="3"/>
        <w:rPr>
          <w:rFonts w:cs="Arial"/>
          <w:b/>
          <w:szCs w:val="20"/>
          <w:lang w:val="sl-SI"/>
        </w:rPr>
      </w:pPr>
    </w:p>
    <w:p w14:paraId="41C3A584" w14:textId="77777777" w:rsidR="00292739" w:rsidRPr="00C50F53" w:rsidRDefault="00292739" w:rsidP="00292739">
      <w:pPr>
        <w:suppressAutoHyphens/>
        <w:overflowPunct w:val="0"/>
        <w:autoSpaceDE w:val="0"/>
        <w:autoSpaceDN w:val="0"/>
        <w:adjustRightInd w:val="0"/>
        <w:spacing w:line="276" w:lineRule="auto"/>
        <w:jc w:val="both"/>
        <w:textAlignment w:val="baseline"/>
        <w:outlineLvl w:val="3"/>
        <w:rPr>
          <w:rFonts w:cs="Arial"/>
          <w:bCs/>
          <w:szCs w:val="20"/>
          <w:lang w:val="sl-SI"/>
        </w:rPr>
      </w:pPr>
      <w:r w:rsidRPr="00C50F53">
        <w:rPr>
          <w:rFonts w:cs="Arial"/>
          <w:bCs/>
          <w:szCs w:val="20"/>
          <w:lang w:val="sl-SI"/>
        </w:rPr>
        <w:t>Pri pripravi ocene finančnih posledic predloga zakona je bila upoštevana preliminarna ocena o povečanju števila zavezance. Ocena kaže, da bo v Republiki Slovenije registriranih prek 1.000 subjektov. Gre za enajstkratno povečanje števila zavezancev v primerjavi z obstoječim zakonom, kar se bo neposredno odrazilo v delovanju pristojnega nacionalnega organa, skupin CSIRT, varnostno operativnih centrih in nadzornem organu. V luči obvladovanja skupnosti kibernetske varnosti bo potrebno okrepiti koordinacijo deležnikov, dvigniti sodelovanje med organi ter pristopiti k iskanju novih rešitev. Slednje vidimo v vpeljavi mehanizma za samoregistracijo, platformi za priglasitev incidentov in platformi za izmenjavo informacij. Ob tem ne smemo pozabiti na kadrovsko popolnjenost ter ustrezne načrte izobraževanja in usposabljanja.</w:t>
      </w:r>
    </w:p>
    <w:p w14:paraId="09B19E2F" w14:textId="77777777" w:rsidR="00292739" w:rsidRPr="00C50F53" w:rsidRDefault="00292739" w:rsidP="00292739">
      <w:pPr>
        <w:spacing w:line="276" w:lineRule="auto"/>
        <w:jc w:val="both"/>
        <w:rPr>
          <w:rFonts w:cs="Arial"/>
          <w:bCs/>
          <w:szCs w:val="20"/>
          <w:lang w:val="sl-SI"/>
        </w:rPr>
      </w:pPr>
    </w:p>
    <w:p w14:paraId="7E0E33C2" w14:textId="77777777" w:rsidR="00292739" w:rsidRPr="00C50F53" w:rsidRDefault="00292739" w:rsidP="00292739">
      <w:pPr>
        <w:spacing w:line="276" w:lineRule="auto"/>
        <w:jc w:val="both"/>
        <w:rPr>
          <w:rFonts w:cs="Arial"/>
          <w:bCs/>
          <w:szCs w:val="20"/>
          <w:lang w:val="sl-SI"/>
        </w:rPr>
      </w:pPr>
      <w:r w:rsidRPr="00C50F53">
        <w:rPr>
          <w:rFonts w:cs="Arial"/>
          <w:bCs/>
          <w:szCs w:val="20"/>
          <w:lang w:val="sl-SI"/>
        </w:rPr>
        <w:t>Z vzpostavitvijo in okrepitvijo delovanjem organov za izvajanje nalog skladno s predlogom ZInfV-1 bodo nastale finančne posledice za državni proračun zaradi:</w:t>
      </w:r>
    </w:p>
    <w:p w14:paraId="01E48CA5" w14:textId="77777777" w:rsidR="00292739" w:rsidRPr="00C50F53" w:rsidRDefault="00292739" w:rsidP="00292739">
      <w:pPr>
        <w:spacing w:line="276" w:lineRule="auto"/>
        <w:jc w:val="both"/>
        <w:rPr>
          <w:rFonts w:cs="Arial"/>
          <w:bCs/>
          <w:szCs w:val="20"/>
          <w:lang w:val="sl-SI"/>
        </w:rPr>
      </w:pPr>
    </w:p>
    <w:p w14:paraId="37F45076" w14:textId="77777777" w:rsidR="00292739" w:rsidRPr="00C50F53" w:rsidRDefault="00292739" w:rsidP="00292739">
      <w:pPr>
        <w:numPr>
          <w:ilvl w:val="0"/>
          <w:numId w:val="15"/>
        </w:numPr>
        <w:spacing w:line="276" w:lineRule="auto"/>
        <w:contextualSpacing/>
        <w:jc w:val="both"/>
        <w:rPr>
          <w:rFonts w:cs="Arial"/>
          <w:bCs/>
          <w:szCs w:val="20"/>
          <w:lang w:val="sl-SI"/>
        </w:rPr>
      </w:pPr>
      <w:r w:rsidRPr="00C50F53">
        <w:rPr>
          <w:rFonts w:cs="Arial"/>
          <w:bCs/>
          <w:szCs w:val="20"/>
          <w:lang w:val="sl-SI"/>
        </w:rPr>
        <w:t>zagotovitve pogojev za delovanje pristojnega nacionalnega organa, vključno z zagotovitvijo pogojev za:</w:t>
      </w:r>
    </w:p>
    <w:p w14:paraId="32BF9364"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 xml:space="preserve">delovanje enotne kontaktne točke za kibernetsko varnost; </w:t>
      </w:r>
    </w:p>
    <w:p w14:paraId="7A86299C"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delovanje organa za obvladovanje kibernetskih kriz;</w:t>
      </w:r>
    </w:p>
    <w:p w14:paraId="07F72E0D"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izvajanje nalog organa za obvladovanje incidentov velikih razsežnosti in kriz;</w:t>
      </w:r>
    </w:p>
    <w:p w14:paraId="30AE5D40"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 xml:space="preserve">izvajanje certifikacijskih shem za kibernetsko varnost; </w:t>
      </w:r>
    </w:p>
    <w:p w14:paraId="2C3C2064"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izpolnjevanje zakonskih pogojev za delovanje SIGOV-CERT;</w:t>
      </w:r>
    </w:p>
    <w:p w14:paraId="19B36264"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delovanje Nacionalnega koordinacijskega centra za kibernetsko varnost;</w:t>
      </w:r>
    </w:p>
    <w:p w14:paraId="11D24370" w14:textId="77777777" w:rsidR="00292739" w:rsidRPr="00C50F53" w:rsidRDefault="00292739" w:rsidP="00292739">
      <w:pPr>
        <w:pStyle w:val="Odstavekseznama"/>
        <w:numPr>
          <w:ilvl w:val="1"/>
          <w:numId w:val="17"/>
        </w:numPr>
        <w:spacing w:line="276" w:lineRule="auto"/>
        <w:rPr>
          <w:rFonts w:cs="Arial"/>
          <w:szCs w:val="20"/>
          <w:lang w:val="sl-SI"/>
        </w:rPr>
      </w:pPr>
      <w:r w:rsidRPr="00C50F53">
        <w:rPr>
          <w:rFonts w:cs="Arial"/>
          <w:szCs w:val="20"/>
          <w:lang w:val="sl-SI"/>
        </w:rPr>
        <w:t>vzpostavitev situacijskega centra kibernetske obrambe;</w:t>
      </w:r>
    </w:p>
    <w:p w14:paraId="4A71E080" w14:textId="77777777" w:rsidR="00292739" w:rsidRPr="00C50F53" w:rsidRDefault="00292739" w:rsidP="00292739">
      <w:pPr>
        <w:numPr>
          <w:ilvl w:val="1"/>
          <w:numId w:val="17"/>
        </w:numPr>
        <w:spacing w:line="276" w:lineRule="auto"/>
        <w:contextualSpacing/>
        <w:rPr>
          <w:rFonts w:cs="Arial"/>
          <w:szCs w:val="20"/>
          <w:lang w:val="sl-SI"/>
        </w:rPr>
      </w:pPr>
      <w:r w:rsidRPr="00C50F53">
        <w:rPr>
          <w:rFonts w:cs="Arial"/>
          <w:szCs w:val="20"/>
          <w:lang w:val="sl-SI"/>
        </w:rPr>
        <w:t>okrepljeno delovanje Inšpekcije za informacijsko varnost</w:t>
      </w:r>
      <w:r w:rsidRPr="00C50F53">
        <w:rPr>
          <w:rFonts w:cs="Arial"/>
          <w:szCs w:val="20"/>
          <w:lang w:val="sl-SI" w:eastAsia="sl-SI"/>
        </w:rPr>
        <w:t>;</w:t>
      </w:r>
    </w:p>
    <w:p w14:paraId="0DBE6CEA" w14:textId="77777777" w:rsidR="00292739" w:rsidRPr="00C50F53" w:rsidRDefault="00292739" w:rsidP="00292739">
      <w:pPr>
        <w:numPr>
          <w:ilvl w:val="0"/>
          <w:numId w:val="15"/>
        </w:numPr>
        <w:spacing w:line="276" w:lineRule="auto"/>
        <w:contextualSpacing/>
        <w:rPr>
          <w:rFonts w:cs="Arial"/>
          <w:szCs w:val="20"/>
          <w:lang w:val="sl-SI"/>
        </w:rPr>
      </w:pPr>
      <w:r w:rsidRPr="00C50F53">
        <w:rPr>
          <w:rFonts w:cs="Arial"/>
          <w:szCs w:val="20"/>
          <w:lang w:val="sl-SI"/>
        </w:rPr>
        <w:t xml:space="preserve">zagotovitve zakonskih pogojev za delovanje skupin </w:t>
      </w:r>
      <w:r w:rsidRPr="00C50F53">
        <w:rPr>
          <w:rFonts w:cs="Arial"/>
          <w:szCs w:val="20"/>
          <w:lang w:val="sl-SI" w:eastAsia="sl-SI"/>
        </w:rPr>
        <w:t>CSIRT</w:t>
      </w:r>
      <w:r w:rsidRPr="00C50F53">
        <w:rPr>
          <w:rFonts w:cs="Arial"/>
          <w:szCs w:val="20"/>
          <w:lang w:val="sl-SI"/>
        </w:rPr>
        <w:t xml:space="preserve"> ter pogojev za izvajanje nalog usklajenega razkrivanje ranljivosti;</w:t>
      </w:r>
    </w:p>
    <w:p w14:paraId="5D64FB63" w14:textId="77777777" w:rsidR="00292739" w:rsidRPr="00C50F53" w:rsidRDefault="00292739" w:rsidP="00292739">
      <w:pPr>
        <w:numPr>
          <w:ilvl w:val="0"/>
          <w:numId w:val="15"/>
        </w:numPr>
        <w:spacing w:line="276" w:lineRule="auto"/>
        <w:contextualSpacing/>
        <w:rPr>
          <w:rFonts w:cs="Arial"/>
          <w:szCs w:val="20"/>
          <w:lang w:val="sl-SI"/>
        </w:rPr>
      </w:pPr>
      <w:r w:rsidRPr="00C50F53">
        <w:rPr>
          <w:rFonts w:cs="Arial"/>
          <w:szCs w:val="20"/>
          <w:lang w:val="sl-SI"/>
        </w:rPr>
        <w:t>zagotovitev pogojev za delovanje ali vzpostavitev varnostno operativnih centrov organov državne uprave;</w:t>
      </w:r>
    </w:p>
    <w:p w14:paraId="060CEF84" w14:textId="77777777" w:rsidR="00292739" w:rsidRPr="00C50F53" w:rsidRDefault="00292739" w:rsidP="00292739">
      <w:pPr>
        <w:pStyle w:val="Odstavekseznama"/>
        <w:numPr>
          <w:ilvl w:val="0"/>
          <w:numId w:val="15"/>
        </w:numPr>
        <w:rPr>
          <w:rFonts w:cs="Arial"/>
          <w:szCs w:val="20"/>
          <w:lang w:val="sl-SI"/>
        </w:rPr>
      </w:pPr>
      <w:r w:rsidRPr="00C50F53">
        <w:rPr>
          <w:rFonts w:cs="Arial"/>
          <w:szCs w:val="20"/>
          <w:lang w:val="sl-SI"/>
        </w:rPr>
        <w:t>zagotovitev pogojev za delovanje ministrstva pristojnega za upravljanje informacijsko-komunikacijskih sistemov;</w:t>
      </w:r>
    </w:p>
    <w:p w14:paraId="394D59AB" w14:textId="77777777" w:rsidR="00292739" w:rsidRDefault="00292739" w:rsidP="00292739">
      <w:pPr>
        <w:numPr>
          <w:ilvl w:val="0"/>
          <w:numId w:val="15"/>
        </w:numPr>
        <w:spacing w:line="276" w:lineRule="auto"/>
        <w:contextualSpacing/>
        <w:rPr>
          <w:rFonts w:cs="Arial"/>
          <w:szCs w:val="20"/>
          <w:lang w:val="sl-SI"/>
        </w:rPr>
      </w:pPr>
      <w:r w:rsidRPr="00C50F53">
        <w:rPr>
          <w:rFonts w:cs="Arial"/>
          <w:szCs w:val="20"/>
          <w:lang w:val="sl-SI"/>
        </w:rPr>
        <w:t>zagotovitev pogojev za delovanje sodnih organov</w:t>
      </w:r>
      <w:r>
        <w:rPr>
          <w:rFonts w:cs="Arial"/>
          <w:szCs w:val="20"/>
          <w:lang w:val="sl-SI"/>
        </w:rPr>
        <w:t>;</w:t>
      </w:r>
    </w:p>
    <w:p w14:paraId="6775D03B" w14:textId="77777777" w:rsidR="00292739" w:rsidRPr="00C50F53" w:rsidRDefault="00292739" w:rsidP="00292739">
      <w:pPr>
        <w:numPr>
          <w:ilvl w:val="0"/>
          <w:numId w:val="15"/>
        </w:numPr>
        <w:spacing w:line="276" w:lineRule="auto"/>
        <w:contextualSpacing/>
        <w:rPr>
          <w:rFonts w:cs="Arial"/>
          <w:szCs w:val="20"/>
          <w:lang w:val="sl-SI"/>
        </w:rPr>
      </w:pPr>
      <w:r>
        <w:rPr>
          <w:rFonts w:cs="Arial"/>
          <w:szCs w:val="20"/>
          <w:lang w:val="sl-SI"/>
        </w:rPr>
        <w:t>zagotovitev pogojev za delovanje mestnih občin.</w:t>
      </w:r>
    </w:p>
    <w:p w14:paraId="2DC262D8" w14:textId="77777777" w:rsidR="00292739" w:rsidRPr="00C50F53" w:rsidRDefault="00292739" w:rsidP="00292739">
      <w:pPr>
        <w:spacing w:before="120" w:after="360" w:line="276" w:lineRule="auto"/>
        <w:jc w:val="both"/>
        <w:rPr>
          <w:rFonts w:cs="Arial"/>
          <w:szCs w:val="20"/>
          <w:lang w:val="sl-SI"/>
        </w:rPr>
      </w:pPr>
      <w:r w:rsidRPr="00C50F53">
        <w:rPr>
          <w:rFonts w:cs="Arial"/>
          <w:szCs w:val="20"/>
          <w:lang w:val="sl-SI" w:eastAsia="sl-SI"/>
        </w:rPr>
        <w:t xml:space="preserve">Pri oceni potrebnih finančnih sredstev je pri točkah 1 do 3 upoštevan letni bruto 2 znesek plače zaposlenega, skupaj s povračili stroškov in drugimi prejemki iz delovnega razmerja, v višini 45.000 eurov ter enkraten strošek vzpostavitve posameznega delovnega mesta v višini 5.000 eurov in letni strošek kasnejšega delovanja v višini 2.000 eurov na posamezno delovno </w:t>
      </w:r>
      <w:r w:rsidRPr="00C50F53">
        <w:rPr>
          <w:rFonts w:cs="Arial"/>
          <w:szCs w:val="20"/>
          <w:lang w:val="sl-SI"/>
        </w:rPr>
        <w:t>mesto. V oceni je prav tako upoštevan letni strošek službenih poti in izobraževanja v višini 1.200 EUR na zaposlenega.</w:t>
      </w:r>
    </w:p>
    <w:p w14:paraId="1556B22B"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r w:rsidRPr="00C50F53">
        <w:rPr>
          <w:rFonts w:cs="Arial"/>
          <w:b/>
          <w:bCs/>
          <w:szCs w:val="20"/>
          <w:lang w:val="sl-SI"/>
        </w:rPr>
        <w:t>Zagotovitev pogojev za delovanje pristojnega nacionalnega organa</w:t>
      </w:r>
    </w:p>
    <w:p w14:paraId="39FDC9DA" w14:textId="77777777" w:rsidR="00292739" w:rsidRPr="00C50F53" w:rsidRDefault="00292739" w:rsidP="00292739">
      <w:pPr>
        <w:spacing w:before="120" w:after="120" w:line="276" w:lineRule="auto"/>
        <w:jc w:val="both"/>
        <w:rPr>
          <w:rFonts w:cs="Arial"/>
          <w:szCs w:val="20"/>
          <w:lang w:val="sl-SI" w:eastAsia="sl-SI"/>
        </w:rPr>
      </w:pPr>
      <w:r w:rsidRPr="00C50F53">
        <w:rPr>
          <w:rFonts w:cs="Arial"/>
          <w:szCs w:val="20"/>
          <w:lang w:val="sl-SI" w:eastAsia="sl-SI"/>
        </w:rPr>
        <w:t xml:space="preserve">Ocena temelji na projekciji končnega števila novih zaposlitev po letih, in sicer v letu 2024 36, v letu 2025 46, v letu 2026 61 in 2027 71 zaposlitev, in pripadajočih stroških ter stroških za investicije v strojno in programsko opremo, ne vključuje pa stroškov nakupa oziroma pridobitve prostorov. </w:t>
      </w:r>
    </w:p>
    <w:p w14:paraId="58358CCE" w14:textId="77777777" w:rsidR="00292739" w:rsidRPr="00C50F53" w:rsidRDefault="00292739" w:rsidP="00292739">
      <w:pPr>
        <w:spacing w:line="240" w:lineRule="auto"/>
        <w:rPr>
          <w:rFonts w:cs="Arial"/>
          <w:bCs/>
          <w:szCs w:val="20"/>
          <w:lang w:val="sl-SI"/>
        </w:rPr>
      </w:pPr>
      <w:r w:rsidRPr="00C50F53">
        <w:rPr>
          <w:rFonts w:cs="Arial"/>
          <w:bCs/>
          <w:szCs w:val="20"/>
          <w:lang w:val="sl-SI"/>
        </w:rPr>
        <w:br w:type="page"/>
      </w:r>
    </w:p>
    <w:p w14:paraId="1967A829" w14:textId="77777777" w:rsidR="00292739" w:rsidRPr="00C50F53" w:rsidRDefault="00292739" w:rsidP="00292739">
      <w:pPr>
        <w:tabs>
          <w:tab w:val="left" w:pos="1440"/>
        </w:tabs>
        <w:spacing w:line="276" w:lineRule="auto"/>
        <w:jc w:val="both"/>
        <w:rPr>
          <w:rFonts w:cs="Arial"/>
          <w:bCs/>
          <w:szCs w:val="20"/>
          <w:lang w:val="sl-SI"/>
        </w:rPr>
      </w:pPr>
    </w:p>
    <w:tbl>
      <w:tblPr>
        <w:tblW w:w="8364" w:type="dxa"/>
        <w:tblCellMar>
          <w:left w:w="70" w:type="dxa"/>
          <w:right w:w="70" w:type="dxa"/>
        </w:tblCellMar>
        <w:tblLook w:val="04A0" w:firstRow="1" w:lastRow="0" w:firstColumn="1" w:lastColumn="0" w:noHBand="0" w:noVBand="1"/>
      </w:tblPr>
      <w:tblGrid>
        <w:gridCol w:w="404"/>
        <w:gridCol w:w="3586"/>
        <w:gridCol w:w="1397"/>
        <w:gridCol w:w="1417"/>
        <w:gridCol w:w="1560"/>
      </w:tblGrid>
      <w:tr w:rsidR="00292739" w:rsidRPr="00C50F53" w14:paraId="75E198D6" w14:textId="77777777" w:rsidTr="00D92B7A">
        <w:trPr>
          <w:trHeight w:val="300"/>
        </w:trPr>
        <w:tc>
          <w:tcPr>
            <w:tcW w:w="3990" w:type="dxa"/>
            <w:gridSpan w:val="2"/>
            <w:tcBorders>
              <w:top w:val="nil"/>
              <w:left w:val="nil"/>
              <w:bottom w:val="single" w:sz="12" w:space="0" w:color="FFFFFF"/>
              <w:right w:val="single" w:sz="4" w:space="0" w:color="FFFFFF"/>
            </w:tcBorders>
            <w:shd w:val="clear" w:color="4472C4" w:fill="4472C4"/>
            <w:noWrap/>
            <w:vAlign w:val="center"/>
            <w:hideMark/>
          </w:tcPr>
          <w:p w14:paraId="38AAE0E5" w14:textId="77777777" w:rsidR="00292739" w:rsidRPr="00C50F53" w:rsidRDefault="00292739" w:rsidP="00D92B7A">
            <w:pPr>
              <w:spacing w:line="276" w:lineRule="auto"/>
              <w:rPr>
                <w:rFonts w:cs="Arial"/>
                <w:b/>
                <w:bCs/>
                <w:color w:val="FFFFFF"/>
                <w:sz w:val="18"/>
                <w:szCs w:val="18"/>
                <w:lang w:val="sl-SI" w:eastAsia="sl-SI"/>
              </w:rPr>
            </w:pPr>
          </w:p>
        </w:tc>
        <w:tc>
          <w:tcPr>
            <w:tcW w:w="1397" w:type="dxa"/>
            <w:tcBorders>
              <w:top w:val="nil"/>
              <w:left w:val="single" w:sz="4" w:space="0" w:color="FFFFFF"/>
              <w:bottom w:val="single" w:sz="12" w:space="0" w:color="FFFFFF"/>
              <w:right w:val="single" w:sz="4" w:space="0" w:color="FFFFFF"/>
            </w:tcBorders>
            <w:shd w:val="clear" w:color="4472C4" w:fill="4472C4"/>
            <w:noWrap/>
            <w:vAlign w:val="center"/>
            <w:hideMark/>
          </w:tcPr>
          <w:p w14:paraId="0E828D48"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w:t>
            </w:r>
          </w:p>
        </w:tc>
        <w:tc>
          <w:tcPr>
            <w:tcW w:w="1417" w:type="dxa"/>
            <w:tcBorders>
              <w:top w:val="nil"/>
              <w:left w:val="single" w:sz="4" w:space="0" w:color="FFFFFF"/>
              <w:bottom w:val="single" w:sz="12" w:space="0" w:color="FFFFFF"/>
              <w:right w:val="single" w:sz="4" w:space="0" w:color="FFFFFF"/>
            </w:tcBorders>
            <w:shd w:val="clear" w:color="4472C4" w:fill="4472C4"/>
            <w:noWrap/>
            <w:vAlign w:val="center"/>
            <w:hideMark/>
          </w:tcPr>
          <w:p w14:paraId="4172BFB3"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 xml:space="preserve">t + 1 </w:t>
            </w:r>
          </w:p>
        </w:tc>
        <w:tc>
          <w:tcPr>
            <w:tcW w:w="1560" w:type="dxa"/>
            <w:tcBorders>
              <w:top w:val="nil"/>
              <w:left w:val="single" w:sz="4" w:space="0" w:color="FFFFFF"/>
              <w:bottom w:val="single" w:sz="12" w:space="0" w:color="FFFFFF"/>
              <w:right w:val="nil"/>
            </w:tcBorders>
            <w:shd w:val="clear" w:color="4472C4" w:fill="4472C4"/>
            <w:noWrap/>
            <w:vAlign w:val="center"/>
            <w:hideMark/>
          </w:tcPr>
          <w:p w14:paraId="6A3106DF"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+ 2</w:t>
            </w:r>
          </w:p>
        </w:tc>
      </w:tr>
      <w:tr w:rsidR="00292739" w:rsidRPr="00C50F53" w14:paraId="0823C538"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B4C6E7" w:fill="B4C6E7"/>
            <w:noWrap/>
            <w:vAlign w:val="center"/>
            <w:hideMark/>
          </w:tcPr>
          <w:p w14:paraId="6AB1454C" w14:textId="77777777" w:rsidR="00292739" w:rsidRPr="00C50F53" w:rsidRDefault="00292739" w:rsidP="00D92B7A">
            <w:pPr>
              <w:spacing w:line="276" w:lineRule="auto"/>
              <w:jc w:val="center"/>
              <w:rPr>
                <w:rFonts w:cs="Arial"/>
                <w:b/>
                <w:bCs/>
                <w:color w:val="FFFFFF"/>
                <w:sz w:val="18"/>
                <w:szCs w:val="18"/>
                <w:lang w:val="sl-SI" w:eastAsia="sl-SI"/>
              </w:rPr>
            </w:pPr>
          </w:p>
        </w:tc>
        <w:tc>
          <w:tcPr>
            <w:tcW w:w="3586"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DBC62AE"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Kategorija/leto</w:t>
            </w:r>
          </w:p>
        </w:tc>
        <w:tc>
          <w:tcPr>
            <w:tcW w:w="139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2F228088"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2025</w:t>
            </w:r>
          </w:p>
        </w:tc>
        <w:tc>
          <w:tcPr>
            <w:tcW w:w="141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9A9BAA5"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2026</w:t>
            </w:r>
          </w:p>
        </w:tc>
        <w:tc>
          <w:tcPr>
            <w:tcW w:w="1560" w:type="dxa"/>
            <w:tcBorders>
              <w:top w:val="single" w:sz="4" w:space="0" w:color="FFFFFF"/>
              <w:left w:val="single" w:sz="4" w:space="0" w:color="FFFFFF"/>
              <w:bottom w:val="single" w:sz="4" w:space="0" w:color="FFFFFF"/>
              <w:right w:val="nil"/>
            </w:tcBorders>
            <w:shd w:val="clear" w:color="B4C6E7" w:fill="B4C6E7"/>
            <w:noWrap/>
            <w:vAlign w:val="center"/>
          </w:tcPr>
          <w:p w14:paraId="5F6A3297"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2027</w:t>
            </w:r>
          </w:p>
        </w:tc>
      </w:tr>
      <w:tr w:rsidR="00292739" w:rsidRPr="00C50F53" w14:paraId="7EC680A9"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B4C6E7" w:fill="B4C6E7"/>
            <w:noWrap/>
            <w:vAlign w:val="center"/>
          </w:tcPr>
          <w:p w14:paraId="5F519A35" w14:textId="77777777" w:rsidR="00292739" w:rsidRPr="00C50F53" w:rsidRDefault="00292739" w:rsidP="00D92B7A">
            <w:pPr>
              <w:spacing w:line="276" w:lineRule="auto"/>
              <w:jc w:val="center"/>
              <w:rPr>
                <w:rFonts w:cs="Arial"/>
                <w:b/>
                <w:bCs/>
                <w:color w:val="FFFFFF"/>
                <w:sz w:val="18"/>
                <w:szCs w:val="18"/>
                <w:lang w:val="sl-SI" w:eastAsia="sl-SI"/>
              </w:rPr>
            </w:pPr>
          </w:p>
        </w:tc>
        <w:tc>
          <w:tcPr>
            <w:tcW w:w="3586"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895CB2E"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Število zaposlitev kumulativno</w:t>
            </w:r>
          </w:p>
        </w:tc>
        <w:tc>
          <w:tcPr>
            <w:tcW w:w="139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05A07B15"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46</w:t>
            </w:r>
          </w:p>
        </w:tc>
        <w:tc>
          <w:tcPr>
            <w:tcW w:w="1417"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89E8029"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61</w:t>
            </w:r>
          </w:p>
        </w:tc>
        <w:tc>
          <w:tcPr>
            <w:tcW w:w="1560" w:type="dxa"/>
            <w:tcBorders>
              <w:top w:val="single" w:sz="4" w:space="0" w:color="FFFFFF"/>
              <w:left w:val="single" w:sz="4" w:space="0" w:color="FFFFFF"/>
              <w:bottom w:val="single" w:sz="4" w:space="0" w:color="FFFFFF"/>
              <w:right w:val="nil"/>
            </w:tcBorders>
            <w:shd w:val="clear" w:color="B4C6E7" w:fill="B4C6E7"/>
            <w:noWrap/>
            <w:vAlign w:val="center"/>
          </w:tcPr>
          <w:p w14:paraId="73A79330"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71</w:t>
            </w:r>
          </w:p>
        </w:tc>
      </w:tr>
      <w:tr w:rsidR="00292739" w:rsidRPr="00C50F53" w14:paraId="5B88191C"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2042C6B6"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w:t>
            </w:r>
          </w:p>
        </w:tc>
        <w:tc>
          <w:tcPr>
            <w:tcW w:w="3586" w:type="dxa"/>
            <w:tcBorders>
              <w:top w:val="nil"/>
              <w:left w:val="nil"/>
              <w:bottom w:val="single" w:sz="8" w:space="0" w:color="FFFFFF"/>
              <w:right w:val="single" w:sz="8" w:space="0" w:color="FFFFFF"/>
            </w:tcBorders>
            <w:shd w:val="clear" w:color="auto" w:fill="D9E2F3" w:themeFill="accent1" w:themeFillTint="33"/>
            <w:noWrap/>
            <w:vAlign w:val="center"/>
          </w:tcPr>
          <w:p w14:paraId="3CCDFC93"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Plače</w:t>
            </w:r>
          </w:p>
        </w:tc>
        <w:tc>
          <w:tcPr>
            <w:tcW w:w="1397" w:type="dxa"/>
            <w:tcBorders>
              <w:top w:val="nil"/>
              <w:left w:val="nil"/>
              <w:bottom w:val="single" w:sz="8" w:space="0" w:color="FFFFFF"/>
              <w:right w:val="single" w:sz="8" w:space="0" w:color="FFFFFF"/>
            </w:tcBorders>
            <w:shd w:val="clear" w:color="auto" w:fill="D9E2F3" w:themeFill="accent1" w:themeFillTint="33"/>
            <w:noWrap/>
            <w:vAlign w:val="center"/>
          </w:tcPr>
          <w:p w14:paraId="455F5FAE"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w:t>
            </w:r>
            <w:r>
              <w:rPr>
                <w:rFonts w:cs="Arial"/>
                <w:color w:val="000000"/>
                <w:sz w:val="18"/>
                <w:szCs w:val="18"/>
                <w:lang w:val="sl-SI"/>
              </w:rPr>
              <w:t>306</w:t>
            </w:r>
            <w:r w:rsidRPr="00C50F53">
              <w:rPr>
                <w:rFonts w:cs="Arial"/>
                <w:color w:val="000000"/>
                <w:sz w:val="18"/>
                <w:szCs w:val="18"/>
                <w:lang w:val="sl-SI"/>
              </w:rPr>
              <w:t>.</w:t>
            </w:r>
            <w:r>
              <w:rPr>
                <w:rFonts w:cs="Arial"/>
                <w:color w:val="000000"/>
                <w:sz w:val="18"/>
                <w:szCs w:val="18"/>
                <w:lang w:val="sl-SI"/>
              </w:rPr>
              <w:t>250</w:t>
            </w:r>
            <w:r w:rsidRPr="00C50F53">
              <w:rPr>
                <w:rFonts w:cs="Arial"/>
                <w:color w:val="000000"/>
                <w:sz w:val="18"/>
                <w:szCs w:val="18"/>
                <w:lang w:val="sl-SI"/>
              </w:rPr>
              <w:t xml:space="preserve"> €</w:t>
            </w:r>
          </w:p>
        </w:tc>
        <w:tc>
          <w:tcPr>
            <w:tcW w:w="1417" w:type="dxa"/>
            <w:tcBorders>
              <w:top w:val="nil"/>
              <w:left w:val="nil"/>
              <w:bottom w:val="single" w:sz="8" w:space="0" w:color="FFFFFF"/>
              <w:right w:val="single" w:sz="8" w:space="0" w:color="FFFFFF"/>
            </w:tcBorders>
            <w:shd w:val="clear" w:color="auto" w:fill="D9E2F3" w:themeFill="accent1" w:themeFillTint="33"/>
            <w:noWrap/>
            <w:vAlign w:val="center"/>
          </w:tcPr>
          <w:p w14:paraId="76E66C9A"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3.431.250 €</w:t>
            </w:r>
          </w:p>
        </w:tc>
        <w:tc>
          <w:tcPr>
            <w:tcW w:w="1560" w:type="dxa"/>
            <w:tcBorders>
              <w:top w:val="nil"/>
              <w:left w:val="nil"/>
              <w:bottom w:val="single" w:sz="8" w:space="0" w:color="FFFFFF"/>
              <w:right w:val="single" w:sz="8" w:space="0" w:color="FFFFFF"/>
            </w:tcBorders>
            <w:shd w:val="clear" w:color="auto" w:fill="D9E2F3" w:themeFill="accent1" w:themeFillTint="33"/>
            <w:noWrap/>
            <w:vAlign w:val="center"/>
          </w:tcPr>
          <w:p w14:paraId="00E13A59"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3.993.750 €</w:t>
            </w:r>
          </w:p>
        </w:tc>
      </w:tr>
      <w:tr w:rsidR="00292739" w:rsidRPr="00C50F53" w14:paraId="2EBD0B40"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0F382A88"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2</w:t>
            </w:r>
          </w:p>
        </w:tc>
        <w:tc>
          <w:tcPr>
            <w:tcW w:w="3586" w:type="dxa"/>
            <w:tcBorders>
              <w:top w:val="nil"/>
              <w:left w:val="nil"/>
              <w:bottom w:val="single" w:sz="8" w:space="0" w:color="FFFFFF"/>
              <w:right w:val="single" w:sz="8" w:space="0" w:color="FFFFFF"/>
            </w:tcBorders>
            <w:shd w:val="clear" w:color="auto" w:fill="D9E2F3" w:themeFill="accent1" w:themeFillTint="33"/>
            <w:noWrap/>
            <w:vAlign w:val="center"/>
          </w:tcPr>
          <w:p w14:paraId="78C45CCC"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Materialni stroški</w:t>
            </w:r>
          </w:p>
        </w:tc>
        <w:tc>
          <w:tcPr>
            <w:tcW w:w="1397" w:type="dxa"/>
            <w:tcBorders>
              <w:top w:val="nil"/>
              <w:left w:val="nil"/>
              <w:bottom w:val="single" w:sz="8" w:space="0" w:color="FFFFFF"/>
              <w:right w:val="single" w:sz="8" w:space="0" w:color="FFFFFF"/>
            </w:tcBorders>
            <w:shd w:val="clear" w:color="auto" w:fill="D9E2F3" w:themeFill="accent1" w:themeFillTint="33"/>
            <w:noWrap/>
            <w:vAlign w:val="center"/>
          </w:tcPr>
          <w:p w14:paraId="2029038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w:t>
            </w:r>
            <w:r>
              <w:rPr>
                <w:rFonts w:cs="Arial"/>
                <w:color w:val="000000"/>
                <w:sz w:val="18"/>
                <w:szCs w:val="18"/>
                <w:lang w:val="sl-SI"/>
              </w:rPr>
              <w:t>292</w:t>
            </w:r>
            <w:r w:rsidRPr="00C50F53">
              <w:rPr>
                <w:rFonts w:cs="Arial"/>
                <w:color w:val="000000"/>
                <w:sz w:val="18"/>
                <w:szCs w:val="18"/>
                <w:lang w:val="sl-SI"/>
              </w:rPr>
              <w:t>.</w:t>
            </w:r>
            <w:r>
              <w:rPr>
                <w:rFonts w:cs="Arial"/>
                <w:color w:val="000000"/>
                <w:sz w:val="18"/>
                <w:szCs w:val="18"/>
                <w:lang w:val="sl-SI"/>
              </w:rPr>
              <w:t>730</w:t>
            </w:r>
            <w:r w:rsidRPr="00C50F53">
              <w:rPr>
                <w:rFonts w:cs="Arial"/>
                <w:color w:val="000000"/>
                <w:sz w:val="18"/>
                <w:szCs w:val="18"/>
                <w:lang w:val="sl-SI"/>
              </w:rPr>
              <w:t xml:space="preserve"> €</w:t>
            </w:r>
          </w:p>
        </w:tc>
        <w:tc>
          <w:tcPr>
            <w:tcW w:w="1417" w:type="dxa"/>
            <w:tcBorders>
              <w:top w:val="nil"/>
              <w:left w:val="nil"/>
              <w:bottom w:val="single" w:sz="8" w:space="0" w:color="FFFFFF"/>
              <w:right w:val="single" w:sz="8" w:space="0" w:color="FFFFFF"/>
            </w:tcBorders>
            <w:shd w:val="clear" w:color="auto" w:fill="D9E2F3" w:themeFill="accent1" w:themeFillTint="33"/>
            <w:noWrap/>
            <w:vAlign w:val="center"/>
          </w:tcPr>
          <w:p w14:paraId="607A4BC1"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1.674.200 €</w:t>
            </w:r>
          </w:p>
        </w:tc>
        <w:tc>
          <w:tcPr>
            <w:tcW w:w="1560" w:type="dxa"/>
            <w:tcBorders>
              <w:top w:val="nil"/>
              <w:left w:val="nil"/>
              <w:bottom w:val="single" w:sz="8" w:space="0" w:color="FFFFFF"/>
              <w:right w:val="single" w:sz="8" w:space="0" w:color="FFFFFF"/>
            </w:tcBorders>
            <w:shd w:val="clear" w:color="auto" w:fill="D9E2F3" w:themeFill="accent1" w:themeFillTint="33"/>
            <w:noWrap/>
            <w:vAlign w:val="center"/>
          </w:tcPr>
          <w:p w14:paraId="4EB91DE7"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2.246.000 €</w:t>
            </w:r>
          </w:p>
        </w:tc>
      </w:tr>
      <w:tr w:rsidR="00292739" w:rsidRPr="00C50F53" w14:paraId="190BB0B0"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2565520B"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3</w:t>
            </w:r>
          </w:p>
        </w:tc>
        <w:tc>
          <w:tcPr>
            <w:tcW w:w="3586" w:type="dxa"/>
            <w:tcBorders>
              <w:top w:val="nil"/>
              <w:left w:val="nil"/>
              <w:bottom w:val="single" w:sz="8" w:space="0" w:color="FFFFFF"/>
              <w:right w:val="single" w:sz="8" w:space="0" w:color="FFFFFF"/>
            </w:tcBorders>
            <w:shd w:val="clear" w:color="auto" w:fill="D9E2F3" w:themeFill="accent1" w:themeFillTint="33"/>
            <w:noWrap/>
            <w:vAlign w:val="center"/>
          </w:tcPr>
          <w:p w14:paraId="3B0947E3"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Investicije in investicijsko vzdrževanje</w:t>
            </w:r>
          </w:p>
        </w:tc>
        <w:tc>
          <w:tcPr>
            <w:tcW w:w="1397" w:type="dxa"/>
            <w:tcBorders>
              <w:top w:val="nil"/>
              <w:left w:val="nil"/>
              <w:bottom w:val="single" w:sz="8" w:space="0" w:color="FFFFFF"/>
              <w:right w:val="single" w:sz="8" w:space="0" w:color="FFFFFF"/>
            </w:tcBorders>
            <w:shd w:val="clear" w:color="auto" w:fill="D9E2F3" w:themeFill="accent1" w:themeFillTint="33"/>
            <w:noWrap/>
            <w:vAlign w:val="center"/>
          </w:tcPr>
          <w:p w14:paraId="6E17ABC6"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615.000 €</w:t>
            </w:r>
          </w:p>
        </w:tc>
        <w:tc>
          <w:tcPr>
            <w:tcW w:w="1417" w:type="dxa"/>
            <w:tcBorders>
              <w:top w:val="nil"/>
              <w:left w:val="nil"/>
              <w:bottom w:val="single" w:sz="8" w:space="0" w:color="FFFFFF"/>
              <w:right w:val="single" w:sz="8" w:space="0" w:color="FFFFFF"/>
            </w:tcBorders>
            <w:shd w:val="clear" w:color="auto" w:fill="D9E2F3" w:themeFill="accent1" w:themeFillTint="33"/>
            <w:noWrap/>
            <w:vAlign w:val="center"/>
          </w:tcPr>
          <w:p w14:paraId="1D25C2BE"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750.000 €</w:t>
            </w:r>
          </w:p>
        </w:tc>
        <w:tc>
          <w:tcPr>
            <w:tcW w:w="1560" w:type="dxa"/>
            <w:tcBorders>
              <w:top w:val="nil"/>
              <w:left w:val="nil"/>
              <w:bottom w:val="single" w:sz="8" w:space="0" w:color="FFFFFF"/>
              <w:right w:val="single" w:sz="8" w:space="0" w:color="FFFFFF"/>
            </w:tcBorders>
            <w:shd w:val="clear" w:color="auto" w:fill="D9E2F3" w:themeFill="accent1" w:themeFillTint="33"/>
            <w:noWrap/>
            <w:vAlign w:val="center"/>
          </w:tcPr>
          <w:p w14:paraId="4CACB79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1.150.000 €</w:t>
            </w:r>
          </w:p>
        </w:tc>
      </w:tr>
      <w:tr w:rsidR="00292739" w:rsidRPr="00C50F53" w14:paraId="05715861"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70861671"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4</w:t>
            </w:r>
          </w:p>
        </w:tc>
        <w:tc>
          <w:tcPr>
            <w:tcW w:w="3586" w:type="dxa"/>
            <w:tcBorders>
              <w:top w:val="nil"/>
              <w:left w:val="nil"/>
              <w:bottom w:val="single" w:sz="8" w:space="0" w:color="FFFFFF"/>
              <w:right w:val="single" w:sz="8" w:space="0" w:color="FFFFFF"/>
            </w:tcBorders>
            <w:shd w:val="clear" w:color="auto" w:fill="D9E2F3" w:themeFill="accent1" w:themeFillTint="33"/>
            <w:noWrap/>
            <w:vAlign w:val="center"/>
          </w:tcPr>
          <w:p w14:paraId="6317EA54"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Dvig ravni informacijske varnosti</w:t>
            </w:r>
          </w:p>
        </w:tc>
        <w:tc>
          <w:tcPr>
            <w:tcW w:w="1397" w:type="dxa"/>
            <w:tcBorders>
              <w:top w:val="nil"/>
              <w:left w:val="nil"/>
              <w:bottom w:val="single" w:sz="8" w:space="0" w:color="FFFFFF"/>
              <w:right w:val="single" w:sz="8" w:space="0" w:color="FFFFFF"/>
            </w:tcBorders>
            <w:shd w:val="clear" w:color="000000" w:fill="D9E1F2"/>
            <w:noWrap/>
            <w:vAlign w:val="center"/>
          </w:tcPr>
          <w:p w14:paraId="27858D5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340.000 €</w:t>
            </w:r>
          </w:p>
        </w:tc>
        <w:tc>
          <w:tcPr>
            <w:tcW w:w="1417" w:type="dxa"/>
            <w:tcBorders>
              <w:top w:val="nil"/>
              <w:left w:val="nil"/>
              <w:bottom w:val="single" w:sz="8" w:space="0" w:color="FFFFFF"/>
              <w:right w:val="single" w:sz="8" w:space="0" w:color="FFFFFF"/>
            </w:tcBorders>
            <w:shd w:val="clear" w:color="000000" w:fill="D9E1F2"/>
            <w:noWrap/>
            <w:vAlign w:val="center"/>
          </w:tcPr>
          <w:p w14:paraId="498BB02C"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393.500 €</w:t>
            </w:r>
          </w:p>
        </w:tc>
        <w:tc>
          <w:tcPr>
            <w:tcW w:w="1560" w:type="dxa"/>
            <w:tcBorders>
              <w:top w:val="nil"/>
              <w:left w:val="nil"/>
              <w:bottom w:val="single" w:sz="8" w:space="0" w:color="FFFFFF"/>
              <w:right w:val="single" w:sz="8" w:space="0" w:color="FFFFFF"/>
            </w:tcBorders>
            <w:shd w:val="clear" w:color="000000" w:fill="D9E1F2"/>
            <w:noWrap/>
            <w:vAlign w:val="center"/>
          </w:tcPr>
          <w:p w14:paraId="0EF26DF7"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519.350 €</w:t>
            </w:r>
          </w:p>
        </w:tc>
      </w:tr>
      <w:tr w:rsidR="00292739" w:rsidRPr="00C50F53" w14:paraId="146DBE43" w14:textId="77777777" w:rsidTr="00D92B7A">
        <w:trPr>
          <w:trHeight w:val="300"/>
        </w:trPr>
        <w:tc>
          <w:tcPr>
            <w:tcW w:w="404" w:type="dxa"/>
            <w:tcBorders>
              <w:top w:val="single" w:sz="4" w:space="0" w:color="FFFFFF"/>
              <w:left w:val="nil"/>
              <w:bottom w:val="single" w:sz="4" w:space="0" w:color="FFFFFF"/>
              <w:right w:val="single" w:sz="4" w:space="0" w:color="FFFFFF"/>
            </w:tcBorders>
            <w:shd w:val="clear" w:color="auto" w:fill="4472C4" w:themeFill="accent1"/>
            <w:noWrap/>
            <w:vAlign w:val="center"/>
            <w:hideMark/>
          </w:tcPr>
          <w:p w14:paraId="685824D4" w14:textId="77777777" w:rsidR="00292739" w:rsidRPr="00C50F53" w:rsidRDefault="00292739" w:rsidP="00D92B7A">
            <w:pPr>
              <w:spacing w:line="276" w:lineRule="auto"/>
              <w:rPr>
                <w:rFonts w:cs="Arial"/>
                <w:color w:val="FFFFFF" w:themeColor="background1"/>
                <w:sz w:val="18"/>
                <w:szCs w:val="18"/>
                <w:lang w:val="sl-SI" w:eastAsia="sl-SI"/>
              </w:rPr>
            </w:pPr>
          </w:p>
        </w:tc>
        <w:tc>
          <w:tcPr>
            <w:tcW w:w="3586"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hideMark/>
          </w:tcPr>
          <w:p w14:paraId="1889BD92" w14:textId="77777777" w:rsidR="00292739" w:rsidRPr="00C50F53" w:rsidRDefault="00292739" w:rsidP="00D92B7A">
            <w:pPr>
              <w:spacing w:line="276" w:lineRule="auto"/>
              <w:rPr>
                <w:rFonts w:cs="Arial"/>
                <w:b/>
                <w:bCs/>
                <w:color w:val="FFFFFF" w:themeColor="background1"/>
                <w:sz w:val="18"/>
                <w:szCs w:val="18"/>
                <w:lang w:val="sl-SI" w:eastAsia="sl-SI"/>
              </w:rPr>
            </w:pPr>
            <w:r w:rsidRPr="00C50F53">
              <w:rPr>
                <w:rFonts w:cs="Arial"/>
                <w:b/>
                <w:bCs/>
                <w:color w:val="FFFFFF" w:themeColor="background1"/>
                <w:sz w:val="18"/>
                <w:szCs w:val="18"/>
                <w:lang w:val="sl-SI" w:eastAsia="sl-SI"/>
              </w:rPr>
              <w:t>Skupaj</w:t>
            </w:r>
          </w:p>
        </w:tc>
        <w:tc>
          <w:tcPr>
            <w:tcW w:w="1397" w:type="dxa"/>
            <w:tcBorders>
              <w:top w:val="nil"/>
              <w:left w:val="nil"/>
              <w:bottom w:val="nil"/>
              <w:right w:val="single" w:sz="8" w:space="0" w:color="FFFFFF"/>
            </w:tcBorders>
            <w:shd w:val="clear" w:color="auto" w:fill="4472C4" w:themeFill="accent1"/>
            <w:noWrap/>
            <w:vAlign w:val="center"/>
          </w:tcPr>
          <w:p w14:paraId="773A5ABC" w14:textId="77777777" w:rsidR="00292739" w:rsidRPr="00C50F53" w:rsidRDefault="00292739" w:rsidP="00D92B7A">
            <w:pPr>
              <w:spacing w:line="276" w:lineRule="auto"/>
              <w:jc w:val="right"/>
              <w:rPr>
                <w:rFonts w:cs="Arial"/>
                <w:b/>
                <w:bCs/>
                <w:color w:val="FFFFFF" w:themeColor="background1"/>
                <w:sz w:val="18"/>
                <w:szCs w:val="18"/>
                <w:lang w:val="sl-SI" w:eastAsia="sl-SI"/>
              </w:rPr>
            </w:pPr>
            <w:r w:rsidRPr="00C50F53">
              <w:rPr>
                <w:rFonts w:cs="Arial"/>
                <w:b/>
                <w:bCs/>
                <w:color w:val="FFFFFF"/>
                <w:sz w:val="18"/>
                <w:szCs w:val="18"/>
                <w:lang w:val="sl-SI" w:eastAsia="sl-SI"/>
              </w:rPr>
              <w:t>4.</w:t>
            </w:r>
            <w:r>
              <w:rPr>
                <w:rFonts w:cs="Arial"/>
                <w:b/>
                <w:bCs/>
                <w:color w:val="FFFFFF"/>
                <w:sz w:val="18"/>
                <w:szCs w:val="18"/>
                <w:lang w:val="sl-SI" w:eastAsia="sl-SI"/>
              </w:rPr>
              <w:t>553</w:t>
            </w:r>
            <w:r w:rsidRPr="00C50F53">
              <w:rPr>
                <w:rFonts w:cs="Arial"/>
                <w:b/>
                <w:bCs/>
                <w:color w:val="FFFFFF"/>
                <w:sz w:val="18"/>
                <w:szCs w:val="18"/>
                <w:lang w:val="sl-SI" w:eastAsia="sl-SI"/>
              </w:rPr>
              <w:t>.9</w:t>
            </w:r>
            <w:r>
              <w:rPr>
                <w:rFonts w:cs="Arial"/>
                <w:b/>
                <w:bCs/>
                <w:color w:val="FFFFFF"/>
                <w:sz w:val="18"/>
                <w:szCs w:val="18"/>
                <w:lang w:val="sl-SI" w:eastAsia="sl-SI"/>
              </w:rPr>
              <w:t>80</w:t>
            </w:r>
            <w:r w:rsidRPr="00C50F53">
              <w:rPr>
                <w:rFonts w:cs="Arial"/>
                <w:b/>
                <w:bCs/>
                <w:color w:val="FFFFFF"/>
                <w:sz w:val="18"/>
                <w:szCs w:val="18"/>
                <w:lang w:val="sl-SI" w:eastAsia="sl-SI"/>
              </w:rPr>
              <w:t xml:space="preserve"> €</w:t>
            </w:r>
          </w:p>
        </w:tc>
        <w:tc>
          <w:tcPr>
            <w:tcW w:w="1417" w:type="dxa"/>
            <w:tcBorders>
              <w:top w:val="nil"/>
              <w:left w:val="nil"/>
              <w:bottom w:val="nil"/>
              <w:right w:val="single" w:sz="8" w:space="0" w:color="FFFFFF"/>
            </w:tcBorders>
            <w:shd w:val="clear" w:color="auto" w:fill="4472C4" w:themeFill="accent1"/>
            <w:noWrap/>
            <w:vAlign w:val="center"/>
          </w:tcPr>
          <w:p w14:paraId="14B7D031" w14:textId="77777777" w:rsidR="00292739" w:rsidRPr="00C50F53" w:rsidRDefault="00292739" w:rsidP="00D92B7A">
            <w:pPr>
              <w:spacing w:line="276" w:lineRule="auto"/>
              <w:jc w:val="right"/>
              <w:rPr>
                <w:rFonts w:cs="Arial"/>
                <w:b/>
                <w:bCs/>
                <w:color w:val="FFFFFF" w:themeColor="background1"/>
                <w:sz w:val="18"/>
                <w:szCs w:val="18"/>
                <w:lang w:val="sl-SI" w:eastAsia="sl-SI"/>
              </w:rPr>
            </w:pPr>
            <w:r w:rsidRPr="00C50F53">
              <w:rPr>
                <w:rFonts w:cs="Arial"/>
                <w:b/>
                <w:bCs/>
                <w:color w:val="FFFFFF"/>
                <w:sz w:val="18"/>
                <w:szCs w:val="18"/>
                <w:lang w:val="sl-SI" w:eastAsia="sl-SI"/>
              </w:rPr>
              <w:t>6.248.950 €</w:t>
            </w:r>
          </w:p>
        </w:tc>
        <w:tc>
          <w:tcPr>
            <w:tcW w:w="1560" w:type="dxa"/>
            <w:tcBorders>
              <w:top w:val="nil"/>
              <w:left w:val="nil"/>
              <w:bottom w:val="nil"/>
              <w:right w:val="single" w:sz="8" w:space="0" w:color="FFFFFF"/>
            </w:tcBorders>
            <w:shd w:val="clear" w:color="auto" w:fill="4472C4" w:themeFill="accent1"/>
            <w:noWrap/>
            <w:vAlign w:val="center"/>
          </w:tcPr>
          <w:p w14:paraId="6ABA9EDF" w14:textId="77777777" w:rsidR="00292739" w:rsidRPr="00C50F53" w:rsidRDefault="00292739" w:rsidP="00D92B7A">
            <w:pPr>
              <w:spacing w:line="276" w:lineRule="auto"/>
              <w:jc w:val="right"/>
              <w:rPr>
                <w:rFonts w:cs="Arial"/>
                <w:b/>
                <w:bCs/>
                <w:color w:val="FFFFFF" w:themeColor="background1"/>
                <w:sz w:val="18"/>
                <w:szCs w:val="18"/>
                <w:lang w:val="sl-SI" w:eastAsia="sl-SI"/>
              </w:rPr>
            </w:pPr>
            <w:r w:rsidRPr="00C50F53">
              <w:rPr>
                <w:rFonts w:cs="Arial"/>
                <w:b/>
                <w:bCs/>
                <w:color w:val="FFFFFF"/>
                <w:sz w:val="18"/>
                <w:szCs w:val="18"/>
                <w:lang w:val="sl-SI" w:eastAsia="sl-SI"/>
              </w:rPr>
              <w:t>7.909.100 €</w:t>
            </w:r>
          </w:p>
        </w:tc>
      </w:tr>
    </w:tbl>
    <w:p w14:paraId="5128BD5F" w14:textId="77777777" w:rsidR="00292739" w:rsidRPr="00C50F53" w:rsidRDefault="00292739" w:rsidP="00292739">
      <w:pPr>
        <w:spacing w:before="120" w:line="276" w:lineRule="auto"/>
        <w:jc w:val="both"/>
        <w:rPr>
          <w:rFonts w:cs="Arial"/>
          <w:szCs w:val="20"/>
          <w:lang w:val="sl-SI" w:eastAsia="sl-SI"/>
        </w:rPr>
      </w:pPr>
      <w:r w:rsidRPr="00C50F53">
        <w:rPr>
          <w:rFonts w:cs="Arial"/>
          <w:szCs w:val="20"/>
          <w:lang w:val="sl-SI"/>
        </w:rPr>
        <w:t xml:space="preserve">V letu 2025 so za namen opravljanja nalog PNO predvidene nove zaposlitve, ki bodo okrepile Inšpekcijo za informacijsko varnost, Sektor za informacijsko in kibernetsko varnost ter Sektor SIGOV-CERT. </w:t>
      </w:r>
      <w:r w:rsidRPr="00C50F53">
        <w:rPr>
          <w:rFonts w:cs="Arial"/>
          <w:szCs w:val="20"/>
          <w:lang w:val="sl-SI" w:eastAsia="sl-SI"/>
        </w:rPr>
        <w:t xml:space="preserve">Presoja zagotovitve dodatnih zaposlitev bo izvedena v skladu s sprejetjem Zakona o izvrševanju proračuna RS za leti 2025 in 2026 ter sprejetimi sklepi Vlade RS o kadrovskih načrtih organov državne uprave. </w:t>
      </w:r>
    </w:p>
    <w:p w14:paraId="22F5C5B9" w14:textId="77777777" w:rsidR="00292739" w:rsidRPr="00C50F53" w:rsidRDefault="00292739" w:rsidP="00292739">
      <w:pPr>
        <w:spacing w:before="120" w:line="276" w:lineRule="auto"/>
        <w:jc w:val="both"/>
        <w:rPr>
          <w:rFonts w:cs="Arial"/>
          <w:szCs w:val="20"/>
          <w:lang w:val="sl-SI" w:eastAsia="sl-SI"/>
        </w:rPr>
      </w:pPr>
      <w:r w:rsidRPr="00C50F53">
        <w:rPr>
          <w:rFonts w:cs="Arial"/>
          <w:szCs w:val="20"/>
          <w:lang w:val="sl-SI"/>
        </w:rPr>
        <w:t xml:space="preserve">V letu 2026 je predvidena nadaljnja kadrovska krepitev. Prednost bomo okrepili SIGOV-CERT, situacijski center kibernetske obrambe, področje certifikacija in delovanje enotne kontaktne točka. </w:t>
      </w:r>
      <w:r w:rsidRPr="00C50F53">
        <w:rPr>
          <w:rFonts w:cs="Arial"/>
          <w:szCs w:val="20"/>
          <w:lang w:val="sl-SI" w:eastAsia="sl-SI"/>
        </w:rPr>
        <w:t xml:space="preserve">V letu 2027 bomo zakrožili krepitev nadzornega in odzivnega dela ter certifikacije. </w:t>
      </w:r>
    </w:p>
    <w:p w14:paraId="49AF0660" w14:textId="77777777" w:rsidR="00292739" w:rsidRPr="00C50F53" w:rsidRDefault="00292739" w:rsidP="00292739">
      <w:pPr>
        <w:spacing w:before="120" w:line="276" w:lineRule="auto"/>
        <w:jc w:val="both"/>
        <w:rPr>
          <w:rFonts w:cs="Arial"/>
          <w:szCs w:val="20"/>
          <w:lang w:val="sl-SI" w:eastAsia="sl-SI"/>
        </w:rPr>
      </w:pPr>
      <w:r w:rsidRPr="00C50F53">
        <w:rPr>
          <w:rFonts w:cs="Arial"/>
          <w:szCs w:val="20"/>
          <w:lang w:val="sl-SI" w:eastAsia="sl-SI"/>
        </w:rPr>
        <w:t>Podatki ne obsegajo področje delovanje SI-CERT, za katerega se sredstva prav tako namenjajo iz proračuna URSIV. Podatki za SI-CERT so predstavljeni v nadaljevanju.</w:t>
      </w:r>
    </w:p>
    <w:p w14:paraId="5A94653E" w14:textId="77777777" w:rsidR="00292739" w:rsidRPr="00C50F53" w:rsidRDefault="00292739" w:rsidP="00292739">
      <w:pPr>
        <w:spacing w:before="120" w:line="276" w:lineRule="auto"/>
        <w:jc w:val="both"/>
        <w:rPr>
          <w:rFonts w:cs="Arial"/>
          <w:szCs w:val="20"/>
          <w:lang w:val="sl-SI" w:eastAsia="sl-SI"/>
        </w:rPr>
      </w:pPr>
    </w:p>
    <w:p w14:paraId="09FCE999"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r w:rsidRPr="00C50F53">
        <w:rPr>
          <w:rFonts w:cs="Arial"/>
          <w:b/>
          <w:bCs/>
          <w:szCs w:val="20"/>
          <w:lang w:val="sl-SI"/>
        </w:rPr>
        <w:t>Zagotovitev pogojev za delovanje skupin CSIRT</w:t>
      </w:r>
    </w:p>
    <w:p w14:paraId="469A3F8A" w14:textId="77777777" w:rsidR="00292739" w:rsidRPr="00C50F53" w:rsidRDefault="00292739" w:rsidP="00292739">
      <w:pPr>
        <w:pStyle w:val="Odstavekseznama"/>
        <w:tabs>
          <w:tab w:val="left" w:pos="1440"/>
        </w:tabs>
        <w:spacing w:line="276" w:lineRule="auto"/>
        <w:jc w:val="both"/>
        <w:rPr>
          <w:rFonts w:cs="Arial"/>
          <w:b/>
          <w:bCs/>
          <w:szCs w:val="20"/>
          <w:lang w:val="sl-SI"/>
        </w:rPr>
      </w:pPr>
    </w:p>
    <w:tbl>
      <w:tblPr>
        <w:tblW w:w="8498" w:type="dxa"/>
        <w:tblCellMar>
          <w:left w:w="70" w:type="dxa"/>
          <w:right w:w="70" w:type="dxa"/>
        </w:tblCellMar>
        <w:tblLook w:val="04A0" w:firstRow="1" w:lastRow="0" w:firstColumn="1" w:lastColumn="0" w:noHBand="0" w:noVBand="1"/>
      </w:tblPr>
      <w:tblGrid>
        <w:gridCol w:w="371"/>
        <w:gridCol w:w="2884"/>
        <w:gridCol w:w="1542"/>
        <w:gridCol w:w="1446"/>
        <w:gridCol w:w="1128"/>
        <w:gridCol w:w="1127"/>
      </w:tblGrid>
      <w:tr w:rsidR="00292739" w:rsidRPr="00C50F53" w14:paraId="6F8DC245" w14:textId="77777777" w:rsidTr="00D92B7A">
        <w:trPr>
          <w:trHeight w:val="300"/>
        </w:trPr>
        <w:tc>
          <w:tcPr>
            <w:tcW w:w="3255" w:type="dxa"/>
            <w:gridSpan w:val="2"/>
            <w:tcBorders>
              <w:top w:val="nil"/>
              <w:left w:val="nil"/>
              <w:bottom w:val="single" w:sz="12" w:space="0" w:color="FFFFFF"/>
              <w:right w:val="single" w:sz="4" w:space="0" w:color="FFFFFF"/>
            </w:tcBorders>
            <w:shd w:val="clear" w:color="4472C4" w:fill="4472C4"/>
            <w:noWrap/>
            <w:vAlign w:val="center"/>
            <w:hideMark/>
          </w:tcPr>
          <w:p w14:paraId="26846A60" w14:textId="77777777" w:rsidR="00292739" w:rsidRPr="00C50F53" w:rsidRDefault="00292739" w:rsidP="00D92B7A">
            <w:pPr>
              <w:spacing w:line="276" w:lineRule="auto"/>
              <w:rPr>
                <w:rFonts w:cs="Arial"/>
                <w:b/>
                <w:bCs/>
                <w:color w:val="FFFFFF"/>
                <w:sz w:val="18"/>
                <w:szCs w:val="18"/>
                <w:lang w:val="sl-SI" w:eastAsia="sl-SI"/>
              </w:rPr>
            </w:pPr>
          </w:p>
        </w:tc>
        <w:tc>
          <w:tcPr>
            <w:tcW w:w="1542" w:type="dxa"/>
            <w:tcBorders>
              <w:top w:val="nil"/>
              <w:left w:val="single" w:sz="4" w:space="0" w:color="FFFFFF"/>
              <w:bottom w:val="single" w:sz="12" w:space="0" w:color="FFFFFF"/>
              <w:right w:val="single" w:sz="4" w:space="0" w:color="FFFFFF"/>
            </w:tcBorders>
            <w:shd w:val="clear" w:color="4472C4" w:fill="4472C4"/>
            <w:noWrap/>
            <w:vAlign w:val="center"/>
            <w:hideMark/>
          </w:tcPr>
          <w:p w14:paraId="40F1A52A"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w:t>
            </w:r>
          </w:p>
        </w:tc>
        <w:tc>
          <w:tcPr>
            <w:tcW w:w="1446" w:type="dxa"/>
            <w:tcBorders>
              <w:top w:val="nil"/>
              <w:left w:val="single" w:sz="4" w:space="0" w:color="FFFFFF"/>
              <w:bottom w:val="single" w:sz="12" w:space="0" w:color="FFFFFF"/>
              <w:right w:val="single" w:sz="4" w:space="0" w:color="FFFFFF"/>
            </w:tcBorders>
            <w:shd w:val="clear" w:color="4472C4" w:fill="4472C4"/>
            <w:noWrap/>
            <w:vAlign w:val="center"/>
            <w:hideMark/>
          </w:tcPr>
          <w:p w14:paraId="115A1041"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 xml:space="preserve">t + 1 </w:t>
            </w:r>
          </w:p>
        </w:tc>
        <w:tc>
          <w:tcPr>
            <w:tcW w:w="1128" w:type="dxa"/>
            <w:tcBorders>
              <w:top w:val="nil"/>
              <w:left w:val="single" w:sz="4" w:space="0" w:color="FFFFFF"/>
              <w:bottom w:val="single" w:sz="12" w:space="0" w:color="FFFFFF"/>
              <w:right w:val="nil"/>
            </w:tcBorders>
            <w:shd w:val="clear" w:color="4472C4" w:fill="4472C4"/>
            <w:noWrap/>
            <w:vAlign w:val="center"/>
            <w:hideMark/>
          </w:tcPr>
          <w:p w14:paraId="472E58D7"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+ 2</w:t>
            </w:r>
          </w:p>
        </w:tc>
        <w:tc>
          <w:tcPr>
            <w:tcW w:w="1127" w:type="dxa"/>
            <w:tcBorders>
              <w:top w:val="nil"/>
              <w:left w:val="single" w:sz="4" w:space="0" w:color="FFFFFF"/>
              <w:bottom w:val="single" w:sz="12" w:space="0" w:color="FFFFFF"/>
              <w:right w:val="nil"/>
            </w:tcBorders>
            <w:shd w:val="clear" w:color="4472C4" w:fill="4472C4"/>
          </w:tcPr>
          <w:p w14:paraId="58131808"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+ 3</w:t>
            </w:r>
          </w:p>
        </w:tc>
      </w:tr>
      <w:tr w:rsidR="00292739" w:rsidRPr="00C50F53" w14:paraId="406FA469"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B4C6E7" w:fill="B4C6E7"/>
            <w:noWrap/>
            <w:vAlign w:val="center"/>
            <w:hideMark/>
          </w:tcPr>
          <w:p w14:paraId="2C62C954" w14:textId="77777777" w:rsidR="00292739" w:rsidRPr="00C50F53" w:rsidRDefault="00292739" w:rsidP="00D92B7A">
            <w:pPr>
              <w:spacing w:line="276" w:lineRule="auto"/>
              <w:jc w:val="center"/>
              <w:rPr>
                <w:rFonts w:cs="Arial"/>
                <w:b/>
                <w:bCs/>
                <w:color w:val="FFFFFF"/>
                <w:sz w:val="18"/>
                <w:szCs w:val="18"/>
                <w:lang w:val="sl-SI" w:eastAsia="sl-SI"/>
              </w:rPr>
            </w:pPr>
          </w:p>
        </w:tc>
        <w:tc>
          <w:tcPr>
            <w:tcW w:w="2884"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4D26385"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Kategorija/leto</w:t>
            </w:r>
          </w:p>
        </w:tc>
        <w:tc>
          <w:tcPr>
            <w:tcW w:w="15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640D482"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2025</w:t>
            </w:r>
          </w:p>
        </w:tc>
        <w:tc>
          <w:tcPr>
            <w:tcW w:w="1446"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30256E59"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2026</w:t>
            </w:r>
          </w:p>
        </w:tc>
        <w:tc>
          <w:tcPr>
            <w:tcW w:w="1128" w:type="dxa"/>
            <w:tcBorders>
              <w:top w:val="single" w:sz="4" w:space="0" w:color="FFFFFF"/>
              <w:left w:val="single" w:sz="4" w:space="0" w:color="FFFFFF"/>
              <w:bottom w:val="single" w:sz="4" w:space="0" w:color="FFFFFF"/>
              <w:right w:val="nil"/>
            </w:tcBorders>
            <w:shd w:val="clear" w:color="B4C6E7" w:fill="B4C6E7"/>
            <w:noWrap/>
            <w:vAlign w:val="center"/>
          </w:tcPr>
          <w:p w14:paraId="27070E32"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2027</w:t>
            </w:r>
          </w:p>
        </w:tc>
        <w:tc>
          <w:tcPr>
            <w:tcW w:w="1127" w:type="dxa"/>
            <w:tcBorders>
              <w:top w:val="single" w:sz="4" w:space="0" w:color="FFFFFF"/>
              <w:left w:val="single" w:sz="4" w:space="0" w:color="FFFFFF"/>
              <w:bottom w:val="single" w:sz="4" w:space="0" w:color="FFFFFF"/>
              <w:right w:val="nil"/>
            </w:tcBorders>
            <w:shd w:val="clear" w:color="B4C6E7" w:fill="B4C6E7"/>
          </w:tcPr>
          <w:p w14:paraId="54B8610A"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2028</w:t>
            </w:r>
          </w:p>
        </w:tc>
      </w:tr>
      <w:tr w:rsidR="00292739" w:rsidRPr="00C50F53" w14:paraId="396A8008"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B4C6E7" w:fill="B4C6E7"/>
            <w:noWrap/>
            <w:vAlign w:val="center"/>
          </w:tcPr>
          <w:p w14:paraId="16031994" w14:textId="77777777" w:rsidR="00292739" w:rsidRPr="00C50F53" w:rsidRDefault="00292739" w:rsidP="00D92B7A">
            <w:pPr>
              <w:spacing w:line="276" w:lineRule="auto"/>
              <w:jc w:val="center"/>
              <w:rPr>
                <w:rFonts w:cs="Arial"/>
                <w:b/>
                <w:bCs/>
                <w:color w:val="FFFFFF"/>
                <w:sz w:val="18"/>
                <w:szCs w:val="18"/>
                <w:lang w:val="sl-SI" w:eastAsia="sl-SI"/>
              </w:rPr>
            </w:pPr>
          </w:p>
        </w:tc>
        <w:tc>
          <w:tcPr>
            <w:tcW w:w="288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0FF8F68B"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Število zaposlitev kumulativno</w:t>
            </w:r>
          </w:p>
        </w:tc>
        <w:tc>
          <w:tcPr>
            <w:tcW w:w="1542"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D16F9AD"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12</w:t>
            </w:r>
          </w:p>
        </w:tc>
        <w:tc>
          <w:tcPr>
            <w:tcW w:w="1446"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575511D"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14</w:t>
            </w:r>
          </w:p>
        </w:tc>
        <w:tc>
          <w:tcPr>
            <w:tcW w:w="1128" w:type="dxa"/>
            <w:tcBorders>
              <w:top w:val="single" w:sz="4" w:space="0" w:color="FFFFFF"/>
              <w:left w:val="single" w:sz="4" w:space="0" w:color="FFFFFF"/>
              <w:bottom w:val="single" w:sz="4" w:space="0" w:color="FFFFFF"/>
              <w:right w:val="nil"/>
            </w:tcBorders>
            <w:shd w:val="clear" w:color="B4C6E7" w:fill="B4C6E7"/>
            <w:noWrap/>
            <w:vAlign w:val="center"/>
          </w:tcPr>
          <w:p w14:paraId="10B5BBA0"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15</w:t>
            </w:r>
          </w:p>
        </w:tc>
        <w:tc>
          <w:tcPr>
            <w:tcW w:w="1127" w:type="dxa"/>
            <w:tcBorders>
              <w:top w:val="single" w:sz="4" w:space="0" w:color="FFFFFF"/>
              <w:left w:val="single" w:sz="4" w:space="0" w:color="FFFFFF"/>
              <w:bottom w:val="single" w:sz="4" w:space="0" w:color="FFFFFF"/>
              <w:right w:val="nil"/>
            </w:tcBorders>
            <w:shd w:val="clear" w:color="B4C6E7" w:fill="B4C6E7"/>
          </w:tcPr>
          <w:p w14:paraId="26EBA6CB"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eastAsia="sl-SI"/>
              </w:rPr>
              <w:t>16</w:t>
            </w:r>
          </w:p>
        </w:tc>
      </w:tr>
      <w:tr w:rsidR="00292739" w:rsidRPr="00C50F53" w14:paraId="3D4125A7"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45BE74EB"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3698362F"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Plače</w:t>
            </w:r>
          </w:p>
        </w:tc>
        <w:tc>
          <w:tcPr>
            <w:tcW w:w="1542" w:type="dxa"/>
            <w:tcBorders>
              <w:top w:val="nil"/>
              <w:left w:val="nil"/>
              <w:bottom w:val="single" w:sz="8" w:space="0" w:color="FFFFFF"/>
              <w:right w:val="single" w:sz="8" w:space="0" w:color="FFFFFF"/>
            </w:tcBorders>
            <w:shd w:val="clear" w:color="auto" w:fill="D9E2F3" w:themeFill="accent1" w:themeFillTint="33"/>
            <w:noWrap/>
            <w:vAlign w:val="center"/>
          </w:tcPr>
          <w:p w14:paraId="0863889D" w14:textId="77777777" w:rsidR="00292739" w:rsidRPr="00C50F53" w:rsidRDefault="00292739" w:rsidP="00D92B7A">
            <w:pPr>
              <w:spacing w:line="276" w:lineRule="auto"/>
              <w:jc w:val="right"/>
              <w:rPr>
                <w:rFonts w:cs="Arial"/>
                <w:color w:val="000000"/>
                <w:sz w:val="18"/>
                <w:szCs w:val="18"/>
                <w:lang w:val="sl-SI"/>
              </w:rPr>
            </w:pPr>
            <w:r>
              <w:rPr>
                <w:rFonts w:cs="Arial"/>
                <w:color w:val="000000"/>
                <w:sz w:val="18"/>
                <w:szCs w:val="18"/>
                <w:lang w:val="sl-SI"/>
              </w:rPr>
              <w:t>493</w:t>
            </w:r>
            <w:r w:rsidRPr="00C50F53">
              <w:rPr>
                <w:rFonts w:cs="Arial"/>
                <w:color w:val="000000"/>
                <w:sz w:val="18"/>
                <w:szCs w:val="18"/>
                <w:lang w:val="sl-SI"/>
              </w:rPr>
              <w:t>.</w:t>
            </w:r>
            <w:r>
              <w:rPr>
                <w:rFonts w:cs="Arial"/>
                <w:color w:val="000000"/>
                <w:sz w:val="18"/>
                <w:szCs w:val="18"/>
                <w:lang w:val="sl-SI"/>
              </w:rPr>
              <w:t>163</w:t>
            </w:r>
            <w:r w:rsidRPr="00C50F53">
              <w:rPr>
                <w:rFonts w:cs="Arial"/>
                <w:color w:val="000000"/>
                <w:sz w:val="18"/>
                <w:szCs w:val="18"/>
                <w:lang w:val="sl-SI"/>
              </w:rPr>
              <w:t xml:space="preserve"> €</w:t>
            </w:r>
          </w:p>
        </w:tc>
        <w:tc>
          <w:tcPr>
            <w:tcW w:w="1446" w:type="dxa"/>
            <w:tcBorders>
              <w:top w:val="nil"/>
              <w:left w:val="nil"/>
              <w:bottom w:val="single" w:sz="8" w:space="0" w:color="FFFFFF"/>
              <w:right w:val="single" w:sz="8" w:space="0" w:color="FFFFFF"/>
            </w:tcBorders>
            <w:shd w:val="clear" w:color="auto" w:fill="D9E2F3" w:themeFill="accent1" w:themeFillTint="33"/>
            <w:noWrap/>
            <w:vAlign w:val="center"/>
          </w:tcPr>
          <w:p w14:paraId="6D7C92D9"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670.000 €</w:t>
            </w:r>
          </w:p>
        </w:tc>
        <w:tc>
          <w:tcPr>
            <w:tcW w:w="1128" w:type="dxa"/>
            <w:tcBorders>
              <w:top w:val="nil"/>
              <w:left w:val="nil"/>
              <w:bottom w:val="single" w:sz="8" w:space="0" w:color="FFFFFF"/>
              <w:right w:val="single" w:sz="8" w:space="0" w:color="FFFFFF"/>
            </w:tcBorders>
            <w:shd w:val="clear" w:color="auto" w:fill="D9E2F3" w:themeFill="accent1" w:themeFillTint="33"/>
            <w:noWrap/>
            <w:vAlign w:val="center"/>
          </w:tcPr>
          <w:p w14:paraId="5F1A884A"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766.000 €</w:t>
            </w:r>
          </w:p>
        </w:tc>
        <w:tc>
          <w:tcPr>
            <w:tcW w:w="1127" w:type="dxa"/>
            <w:tcBorders>
              <w:top w:val="nil"/>
              <w:left w:val="nil"/>
              <w:bottom w:val="single" w:sz="8" w:space="0" w:color="FFFFFF"/>
              <w:right w:val="single" w:sz="8" w:space="0" w:color="FFFFFF"/>
            </w:tcBorders>
            <w:shd w:val="clear" w:color="auto" w:fill="D9E2F3" w:themeFill="accent1" w:themeFillTint="33"/>
            <w:vAlign w:val="center"/>
          </w:tcPr>
          <w:p w14:paraId="17EB69A9"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872.000 €</w:t>
            </w:r>
          </w:p>
        </w:tc>
      </w:tr>
      <w:tr w:rsidR="00292739" w:rsidRPr="00C50F53" w14:paraId="4D3D8715"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074E466C"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2</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60F04D09"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Investicije</w:t>
            </w:r>
          </w:p>
        </w:tc>
        <w:tc>
          <w:tcPr>
            <w:tcW w:w="1542" w:type="dxa"/>
            <w:tcBorders>
              <w:top w:val="nil"/>
              <w:left w:val="nil"/>
              <w:bottom w:val="single" w:sz="8" w:space="0" w:color="FFFFFF"/>
              <w:right w:val="single" w:sz="8" w:space="0" w:color="FFFFFF"/>
            </w:tcBorders>
            <w:shd w:val="clear" w:color="auto" w:fill="D9E2F3" w:themeFill="accent1" w:themeFillTint="33"/>
            <w:noWrap/>
            <w:vAlign w:val="center"/>
          </w:tcPr>
          <w:p w14:paraId="7DC84E1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150.000 €</w:t>
            </w:r>
          </w:p>
        </w:tc>
        <w:tc>
          <w:tcPr>
            <w:tcW w:w="1446" w:type="dxa"/>
            <w:tcBorders>
              <w:top w:val="nil"/>
              <w:left w:val="nil"/>
              <w:bottom w:val="single" w:sz="8" w:space="0" w:color="FFFFFF"/>
              <w:right w:val="single" w:sz="8" w:space="0" w:color="FFFFFF"/>
            </w:tcBorders>
            <w:shd w:val="clear" w:color="auto" w:fill="D9E2F3" w:themeFill="accent1" w:themeFillTint="33"/>
            <w:noWrap/>
            <w:vAlign w:val="center"/>
          </w:tcPr>
          <w:p w14:paraId="086A0522"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50.000 €</w:t>
            </w:r>
          </w:p>
        </w:tc>
        <w:tc>
          <w:tcPr>
            <w:tcW w:w="1128" w:type="dxa"/>
            <w:tcBorders>
              <w:top w:val="nil"/>
              <w:left w:val="nil"/>
              <w:bottom w:val="single" w:sz="8" w:space="0" w:color="FFFFFF"/>
              <w:right w:val="single" w:sz="8" w:space="0" w:color="FFFFFF"/>
            </w:tcBorders>
            <w:shd w:val="clear" w:color="auto" w:fill="D9E2F3" w:themeFill="accent1" w:themeFillTint="33"/>
            <w:noWrap/>
            <w:vAlign w:val="center"/>
          </w:tcPr>
          <w:p w14:paraId="6653A538"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70.000 €</w:t>
            </w:r>
          </w:p>
        </w:tc>
        <w:tc>
          <w:tcPr>
            <w:tcW w:w="1127" w:type="dxa"/>
            <w:tcBorders>
              <w:top w:val="nil"/>
              <w:left w:val="nil"/>
              <w:bottom w:val="single" w:sz="8" w:space="0" w:color="FFFFFF"/>
              <w:right w:val="single" w:sz="8" w:space="0" w:color="FFFFFF"/>
            </w:tcBorders>
            <w:shd w:val="clear" w:color="auto" w:fill="D9E2F3" w:themeFill="accent1" w:themeFillTint="33"/>
            <w:vAlign w:val="center"/>
          </w:tcPr>
          <w:p w14:paraId="31F63434"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80.000 €</w:t>
            </w:r>
          </w:p>
        </w:tc>
      </w:tr>
      <w:tr w:rsidR="00292739" w:rsidRPr="00C50F53" w14:paraId="0A553D71"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4C740273"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3</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198EDD1B"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Nova rezervna delovna lokacija</w:t>
            </w:r>
          </w:p>
        </w:tc>
        <w:tc>
          <w:tcPr>
            <w:tcW w:w="1542" w:type="dxa"/>
            <w:tcBorders>
              <w:top w:val="nil"/>
              <w:left w:val="nil"/>
              <w:bottom w:val="single" w:sz="8" w:space="0" w:color="FFFFFF"/>
              <w:right w:val="single" w:sz="8" w:space="0" w:color="FFFFFF"/>
            </w:tcBorders>
            <w:shd w:val="clear" w:color="auto" w:fill="D9E2F3" w:themeFill="accent1" w:themeFillTint="33"/>
            <w:noWrap/>
            <w:vAlign w:val="center"/>
          </w:tcPr>
          <w:p w14:paraId="18C51AC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50.000 €</w:t>
            </w:r>
          </w:p>
        </w:tc>
        <w:tc>
          <w:tcPr>
            <w:tcW w:w="1446" w:type="dxa"/>
            <w:tcBorders>
              <w:top w:val="nil"/>
              <w:left w:val="nil"/>
              <w:bottom w:val="single" w:sz="8" w:space="0" w:color="FFFFFF"/>
              <w:right w:val="single" w:sz="8" w:space="0" w:color="FFFFFF"/>
            </w:tcBorders>
            <w:shd w:val="clear" w:color="auto" w:fill="D9E2F3" w:themeFill="accent1" w:themeFillTint="33"/>
            <w:noWrap/>
            <w:vAlign w:val="center"/>
          </w:tcPr>
          <w:p w14:paraId="5CA1AA3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52.500 €</w:t>
            </w:r>
          </w:p>
        </w:tc>
        <w:tc>
          <w:tcPr>
            <w:tcW w:w="1128" w:type="dxa"/>
            <w:tcBorders>
              <w:top w:val="nil"/>
              <w:left w:val="nil"/>
              <w:bottom w:val="single" w:sz="8" w:space="0" w:color="FFFFFF"/>
              <w:right w:val="single" w:sz="8" w:space="0" w:color="FFFFFF"/>
            </w:tcBorders>
            <w:shd w:val="clear" w:color="auto" w:fill="D9E2F3" w:themeFill="accent1" w:themeFillTint="33"/>
            <w:noWrap/>
            <w:vAlign w:val="center"/>
          </w:tcPr>
          <w:p w14:paraId="410D1E2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55.125 €</w:t>
            </w:r>
          </w:p>
        </w:tc>
        <w:tc>
          <w:tcPr>
            <w:tcW w:w="1127" w:type="dxa"/>
            <w:tcBorders>
              <w:top w:val="nil"/>
              <w:left w:val="nil"/>
              <w:bottom w:val="single" w:sz="8" w:space="0" w:color="FFFFFF"/>
              <w:right w:val="single" w:sz="8" w:space="0" w:color="FFFFFF"/>
            </w:tcBorders>
            <w:shd w:val="clear" w:color="auto" w:fill="D9E2F3" w:themeFill="accent1" w:themeFillTint="33"/>
            <w:vAlign w:val="center"/>
          </w:tcPr>
          <w:p w14:paraId="2F4BCF1C"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57.881 €</w:t>
            </w:r>
          </w:p>
        </w:tc>
      </w:tr>
      <w:tr w:rsidR="00292739" w:rsidRPr="00C50F53" w14:paraId="38648E47"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0322CA7B"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4</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68BE8D86"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rPr>
              <w:t>Licence za programsko opremo in virtualizacijo</w:t>
            </w:r>
          </w:p>
        </w:tc>
        <w:tc>
          <w:tcPr>
            <w:tcW w:w="1542" w:type="dxa"/>
            <w:tcBorders>
              <w:top w:val="nil"/>
              <w:left w:val="nil"/>
              <w:bottom w:val="single" w:sz="8" w:space="0" w:color="FFFFFF"/>
              <w:right w:val="single" w:sz="8" w:space="0" w:color="FFFFFF"/>
            </w:tcBorders>
            <w:shd w:val="clear" w:color="000000" w:fill="D9E1F2"/>
            <w:noWrap/>
            <w:vAlign w:val="center"/>
          </w:tcPr>
          <w:p w14:paraId="71483A66"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30.000 €</w:t>
            </w:r>
          </w:p>
        </w:tc>
        <w:tc>
          <w:tcPr>
            <w:tcW w:w="1446" w:type="dxa"/>
            <w:tcBorders>
              <w:top w:val="nil"/>
              <w:left w:val="nil"/>
              <w:bottom w:val="single" w:sz="8" w:space="0" w:color="FFFFFF"/>
              <w:right w:val="single" w:sz="8" w:space="0" w:color="FFFFFF"/>
            </w:tcBorders>
            <w:shd w:val="clear" w:color="000000" w:fill="D9E1F2"/>
            <w:noWrap/>
            <w:vAlign w:val="center"/>
          </w:tcPr>
          <w:p w14:paraId="7AF56166"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35.000 €</w:t>
            </w:r>
          </w:p>
        </w:tc>
        <w:tc>
          <w:tcPr>
            <w:tcW w:w="1128" w:type="dxa"/>
            <w:tcBorders>
              <w:top w:val="nil"/>
              <w:left w:val="nil"/>
              <w:bottom w:val="single" w:sz="8" w:space="0" w:color="FFFFFF"/>
              <w:right w:val="single" w:sz="8" w:space="0" w:color="FFFFFF"/>
            </w:tcBorders>
            <w:shd w:val="clear" w:color="000000" w:fill="D9E1F2"/>
            <w:noWrap/>
            <w:vAlign w:val="center"/>
          </w:tcPr>
          <w:p w14:paraId="32A67A1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40.000 €</w:t>
            </w:r>
          </w:p>
        </w:tc>
        <w:tc>
          <w:tcPr>
            <w:tcW w:w="1127" w:type="dxa"/>
            <w:tcBorders>
              <w:top w:val="nil"/>
              <w:left w:val="nil"/>
              <w:bottom w:val="single" w:sz="8" w:space="0" w:color="FFFFFF"/>
              <w:right w:val="single" w:sz="8" w:space="0" w:color="FFFFFF"/>
            </w:tcBorders>
            <w:shd w:val="clear" w:color="000000" w:fill="D9E1F2"/>
            <w:vAlign w:val="center"/>
          </w:tcPr>
          <w:p w14:paraId="37A7B8AD"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45.000 €</w:t>
            </w:r>
          </w:p>
        </w:tc>
      </w:tr>
      <w:tr w:rsidR="00292739" w:rsidRPr="00C50F53" w14:paraId="58C093AF"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04B313F0"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5</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65107F01" w14:textId="77777777" w:rsidR="00292739" w:rsidRPr="00C50F53" w:rsidRDefault="00292739" w:rsidP="00D92B7A">
            <w:pPr>
              <w:spacing w:line="276" w:lineRule="auto"/>
              <w:rPr>
                <w:rFonts w:cs="Arial"/>
                <w:color w:val="000000"/>
                <w:sz w:val="18"/>
                <w:szCs w:val="18"/>
                <w:lang w:val="sl-SI"/>
              </w:rPr>
            </w:pPr>
            <w:r w:rsidRPr="00C50F53">
              <w:rPr>
                <w:rFonts w:cs="Arial"/>
                <w:color w:val="000000"/>
                <w:sz w:val="18"/>
                <w:szCs w:val="18"/>
                <w:lang w:val="sl-SI"/>
              </w:rPr>
              <w:t>Izobraževanja in usposabljanja</w:t>
            </w:r>
          </w:p>
        </w:tc>
        <w:tc>
          <w:tcPr>
            <w:tcW w:w="1542" w:type="dxa"/>
            <w:tcBorders>
              <w:top w:val="nil"/>
              <w:left w:val="nil"/>
              <w:bottom w:val="single" w:sz="8" w:space="0" w:color="FFFFFF"/>
              <w:right w:val="single" w:sz="8" w:space="0" w:color="FFFFFF"/>
            </w:tcBorders>
            <w:shd w:val="clear" w:color="000000" w:fill="D9E1F2"/>
            <w:noWrap/>
            <w:vAlign w:val="center"/>
          </w:tcPr>
          <w:p w14:paraId="44E538A2" w14:textId="77777777" w:rsidR="00292739" w:rsidRPr="00C50F53" w:rsidRDefault="00292739" w:rsidP="00D92B7A">
            <w:pPr>
              <w:spacing w:line="276" w:lineRule="auto"/>
              <w:jc w:val="right"/>
              <w:rPr>
                <w:rFonts w:cs="Arial"/>
                <w:color w:val="000000"/>
                <w:sz w:val="18"/>
                <w:szCs w:val="18"/>
                <w:lang w:val="sl-SI"/>
              </w:rPr>
            </w:pPr>
            <w:r>
              <w:rPr>
                <w:rFonts w:cs="Arial"/>
                <w:sz w:val="18"/>
                <w:szCs w:val="18"/>
                <w:lang w:val="sl-SI" w:eastAsia="sl-SI"/>
              </w:rPr>
              <w:t>27</w:t>
            </w:r>
            <w:r w:rsidRPr="00C50F53">
              <w:rPr>
                <w:rFonts w:cs="Arial"/>
                <w:sz w:val="18"/>
                <w:szCs w:val="18"/>
                <w:lang w:val="sl-SI" w:eastAsia="sl-SI"/>
              </w:rPr>
              <w:t>.</w:t>
            </w:r>
            <w:r>
              <w:rPr>
                <w:rFonts w:cs="Arial"/>
                <w:sz w:val="18"/>
                <w:szCs w:val="18"/>
                <w:lang w:val="sl-SI" w:eastAsia="sl-SI"/>
              </w:rPr>
              <w:t>5</w:t>
            </w:r>
            <w:r w:rsidRPr="00C50F53">
              <w:rPr>
                <w:rFonts w:cs="Arial"/>
                <w:sz w:val="18"/>
                <w:szCs w:val="18"/>
                <w:lang w:val="sl-SI" w:eastAsia="sl-SI"/>
              </w:rPr>
              <w:t>00 €</w:t>
            </w:r>
          </w:p>
        </w:tc>
        <w:tc>
          <w:tcPr>
            <w:tcW w:w="1446" w:type="dxa"/>
            <w:tcBorders>
              <w:top w:val="nil"/>
              <w:left w:val="nil"/>
              <w:bottom w:val="single" w:sz="8" w:space="0" w:color="FFFFFF"/>
              <w:right w:val="single" w:sz="8" w:space="0" w:color="FFFFFF"/>
            </w:tcBorders>
            <w:shd w:val="clear" w:color="000000" w:fill="D9E1F2"/>
            <w:noWrap/>
            <w:vAlign w:val="center"/>
          </w:tcPr>
          <w:p w14:paraId="28BA6E94"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eastAsia="sl-SI"/>
              </w:rPr>
              <w:t>35.000 €</w:t>
            </w:r>
          </w:p>
        </w:tc>
        <w:tc>
          <w:tcPr>
            <w:tcW w:w="1128" w:type="dxa"/>
            <w:tcBorders>
              <w:top w:val="nil"/>
              <w:left w:val="nil"/>
              <w:bottom w:val="single" w:sz="8" w:space="0" w:color="FFFFFF"/>
              <w:right w:val="single" w:sz="8" w:space="0" w:color="FFFFFF"/>
            </w:tcBorders>
            <w:shd w:val="clear" w:color="000000" w:fill="D9E1F2"/>
            <w:noWrap/>
            <w:vAlign w:val="center"/>
          </w:tcPr>
          <w:p w14:paraId="1330E16F"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eastAsia="sl-SI"/>
              </w:rPr>
              <w:t>35.000 €</w:t>
            </w:r>
          </w:p>
        </w:tc>
        <w:tc>
          <w:tcPr>
            <w:tcW w:w="1127" w:type="dxa"/>
            <w:tcBorders>
              <w:top w:val="nil"/>
              <w:left w:val="nil"/>
              <w:bottom w:val="single" w:sz="8" w:space="0" w:color="FFFFFF"/>
              <w:right w:val="single" w:sz="8" w:space="0" w:color="FFFFFF"/>
            </w:tcBorders>
            <w:shd w:val="clear" w:color="000000" w:fill="D9E1F2"/>
            <w:vAlign w:val="center"/>
          </w:tcPr>
          <w:p w14:paraId="5545259B"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eastAsia="sl-SI"/>
              </w:rPr>
              <w:t>40.000 €</w:t>
            </w:r>
          </w:p>
        </w:tc>
      </w:tr>
      <w:tr w:rsidR="00292739" w:rsidRPr="00C50F53" w14:paraId="1E7B9D25"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6EEE7B63"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6</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4E00647F" w14:textId="77777777" w:rsidR="00292739" w:rsidRPr="00C50F53" w:rsidRDefault="00292739" w:rsidP="00D92B7A">
            <w:pPr>
              <w:spacing w:line="276" w:lineRule="auto"/>
              <w:rPr>
                <w:rFonts w:cs="Arial"/>
                <w:color w:val="000000"/>
                <w:sz w:val="18"/>
                <w:szCs w:val="18"/>
                <w:lang w:val="sl-SI"/>
              </w:rPr>
            </w:pPr>
            <w:r w:rsidRPr="00C50F53">
              <w:rPr>
                <w:rFonts w:cs="Arial"/>
                <w:color w:val="000000"/>
                <w:sz w:val="18"/>
                <w:szCs w:val="18"/>
                <w:lang w:val="sl-SI"/>
              </w:rPr>
              <w:t>Službene poti, mednarodno sodelovanje in članarine</w:t>
            </w:r>
          </w:p>
        </w:tc>
        <w:tc>
          <w:tcPr>
            <w:tcW w:w="1542" w:type="dxa"/>
            <w:tcBorders>
              <w:top w:val="nil"/>
              <w:left w:val="nil"/>
              <w:bottom w:val="single" w:sz="8" w:space="0" w:color="FFFFFF"/>
              <w:right w:val="single" w:sz="8" w:space="0" w:color="FFFFFF"/>
            </w:tcBorders>
            <w:shd w:val="clear" w:color="000000" w:fill="D9E1F2"/>
            <w:noWrap/>
            <w:vAlign w:val="center"/>
          </w:tcPr>
          <w:p w14:paraId="001C4CC2" w14:textId="77777777" w:rsidR="00292739" w:rsidRPr="00C50F53" w:rsidRDefault="00292739" w:rsidP="00D92B7A">
            <w:pPr>
              <w:spacing w:line="276" w:lineRule="auto"/>
              <w:jc w:val="right"/>
              <w:rPr>
                <w:rFonts w:cs="Arial"/>
                <w:sz w:val="18"/>
                <w:szCs w:val="18"/>
                <w:lang w:val="sl-SI" w:eastAsia="sl-SI"/>
              </w:rPr>
            </w:pPr>
            <w:r>
              <w:rPr>
                <w:rFonts w:cs="Arial"/>
                <w:sz w:val="18"/>
                <w:szCs w:val="18"/>
                <w:lang w:val="sl-SI" w:eastAsia="sl-SI"/>
              </w:rPr>
              <w:t>27</w:t>
            </w:r>
            <w:r w:rsidRPr="00C50F53">
              <w:rPr>
                <w:rFonts w:cs="Arial"/>
                <w:sz w:val="18"/>
                <w:szCs w:val="18"/>
                <w:lang w:val="sl-SI" w:eastAsia="sl-SI"/>
              </w:rPr>
              <w:t>.</w:t>
            </w:r>
            <w:r>
              <w:rPr>
                <w:rFonts w:cs="Arial"/>
                <w:sz w:val="18"/>
                <w:szCs w:val="18"/>
                <w:lang w:val="sl-SI" w:eastAsia="sl-SI"/>
              </w:rPr>
              <w:t>5</w:t>
            </w:r>
            <w:r w:rsidRPr="00C50F53">
              <w:rPr>
                <w:rFonts w:cs="Arial"/>
                <w:sz w:val="18"/>
                <w:szCs w:val="18"/>
                <w:lang w:val="sl-SI" w:eastAsia="sl-SI"/>
              </w:rPr>
              <w:t>00 €</w:t>
            </w:r>
          </w:p>
        </w:tc>
        <w:tc>
          <w:tcPr>
            <w:tcW w:w="1446" w:type="dxa"/>
            <w:tcBorders>
              <w:top w:val="nil"/>
              <w:left w:val="nil"/>
              <w:bottom w:val="single" w:sz="8" w:space="0" w:color="FFFFFF"/>
              <w:right w:val="single" w:sz="8" w:space="0" w:color="FFFFFF"/>
            </w:tcBorders>
            <w:shd w:val="clear" w:color="000000" w:fill="D9E1F2"/>
            <w:noWrap/>
            <w:vAlign w:val="center"/>
          </w:tcPr>
          <w:p w14:paraId="58B9622D"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35.000 €</w:t>
            </w:r>
          </w:p>
        </w:tc>
        <w:tc>
          <w:tcPr>
            <w:tcW w:w="1128" w:type="dxa"/>
            <w:tcBorders>
              <w:top w:val="nil"/>
              <w:left w:val="nil"/>
              <w:bottom w:val="single" w:sz="8" w:space="0" w:color="FFFFFF"/>
              <w:right w:val="single" w:sz="8" w:space="0" w:color="FFFFFF"/>
            </w:tcBorders>
            <w:shd w:val="clear" w:color="000000" w:fill="D9E1F2"/>
            <w:noWrap/>
            <w:vAlign w:val="center"/>
          </w:tcPr>
          <w:p w14:paraId="5AF83EED"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37.500 €</w:t>
            </w:r>
          </w:p>
        </w:tc>
        <w:tc>
          <w:tcPr>
            <w:tcW w:w="1127" w:type="dxa"/>
            <w:tcBorders>
              <w:top w:val="nil"/>
              <w:left w:val="nil"/>
              <w:bottom w:val="single" w:sz="8" w:space="0" w:color="FFFFFF"/>
              <w:right w:val="single" w:sz="8" w:space="0" w:color="FFFFFF"/>
            </w:tcBorders>
            <w:shd w:val="clear" w:color="000000" w:fill="D9E1F2"/>
            <w:vAlign w:val="center"/>
          </w:tcPr>
          <w:p w14:paraId="0092E584"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40.000 €</w:t>
            </w:r>
          </w:p>
        </w:tc>
      </w:tr>
      <w:tr w:rsidR="00292739" w:rsidRPr="00C50F53" w14:paraId="33C4BE5B"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07486405"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7</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7F31CF0B" w14:textId="77777777" w:rsidR="00292739" w:rsidRPr="00C50F53" w:rsidRDefault="00292739" w:rsidP="00D92B7A">
            <w:pPr>
              <w:spacing w:line="276" w:lineRule="auto"/>
              <w:rPr>
                <w:rFonts w:cs="Arial"/>
                <w:color w:val="000000"/>
                <w:sz w:val="18"/>
                <w:szCs w:val="18"/>
                <w:lang w:val="sl-SI"/>
              </w:rPr>
            </w:pPr>
            <w:r w:rsidRPr="00C50F53">
              <w:rPr>
                <w:rFonts w:cs="Arial"/>
                <w:sz w:val="18"/>
                <w:szCs w:val="18"/>
                <w:lang w:val="sl-SI" w:eastAsia="sl-SI"/>
              </w:rPr>
              <w:t>Program ozaveščanja Varni na internetu</w:t>
            </w:r>
          </w:p>
        </w:tc>
        <w:tc>
          <w:tcPr>
            <w:tcW w:w="1542" w:type="dxa"/>
            <w:tcBorders>
              <w:top w:val="nil"/>
              <w:left w:val="nil"/>
              <w:bottom w:val="single" w:sz="8" w:space="0" w:color="FFFFFF"/>
              <w:right w:val="single" w:sz="8" w:space="0" w:color="FFFFFF"/>
            </w:tcBorders>
            <w:shd w:val="clear" w:color="000000" w:fill="D9E1F2"/>
            <w:noWrap/>
            <w:vAlign w:val="center"/>
          </w:tcPr>
          <w:p w14:paraId="34E0DC89"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150.000 €</w:t>
            </w:r>
          </w:p>
        </w:tc>
        <w:tc>
          <w:tcPr>
            <w:tcW w:w="1446" w:type="dxa"/>
            <w:tcBorders>
              <w:top w:val="nil"/>
              <w:left w:val="nil"/>
              <w:bottom w:val="single" w:sz="8" w:space="0" w:color="FFFFFF"/>
              <w:right w:val="single" w:sz="8" w:space="0" w:color="FFFFFF"/>
            </w:tcBorders>
            <w:shd w:val="clear" w:color="000000" w:fill="D9E1F2"/>
            <w:noWrap/>
            <w:vAlign w:val="center"/>
          </w:tcPr>
          <w:p w14:paraId="3179357C"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170.000 €</w:t>
            </w:r>
          </w:p>
        </w:tc>
        <w:tc>
          <w:tcPr>
            <w:tcW w:w="1128" w:type="dxa"/>
            <w:tcBorders>
              <w:top w:val="nil"/>
              <w:left w:val="nil"/>
              <w:bottom w:val="single" w:sz="8" w:space="0" w:color="FFFFFF"/>
              <w:right w:val="single" w:sz="8" w:space="0" w:color="FFFFFF"/>
            </w:tcBorders>
            <w:shd w:val="clear" w:color="000000" w:fill="D9E1F2"/>
            <w:noWrap/>
            <w:vAlign w:val="center"/>
          </w:tcPr>
          <w:p w14:paraId="120594FD"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190.000 €</w:t>
            </w:r>
          </w:p>
        </w:tc>
        <w:tc>
          <w:tcPr>
            <w:tcW w:w="1127" w:type="dxa"/>
            <w:tcBorders>
              <w:top w:val="nil"/>
              <w:left w:val="nil"/>
              <w:bottom w:val="single" w:sz="8" w:space="0" w:color="FFFFFF"/>
              <w:right w:val="single" w:sz="8" w:space="0" w:color="FFFFFF"/>
            </w:tcBorders>
            <w:shd w:val="clear" w:color="000000" w:fill="D9E1F2"/>
            <w:vAlign w:val="center"/>
          </w:tcPr>
          <w:p w14:paraId="7B317790"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210.000 €</w:t>
            </w:r>
          </w:p>
        </w:tc>
      </w:tr>
      <w:tr w:rsidR="00292739" w:rsidRPr="00C50F53" w14:paraId="0C42C028" w14:textId="77777777" w:rsidTr="00D92B7A">
        <w:trPr>
          <w:trHeight w:val="300"/>
        </w:trPr>
        <w:tc>
          <w:tcPr>
            <w:tcW w:w="371"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1DC78A65"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8</w:t>
            </w:r>
          </w:p>
        </w:tc>
        <w:tc>
          <w:tcPr>
            <w:tcW w:w="2884" w:type="dxa"/>
            <w:tcBorders>
              <w:top w:val="nil"/>
              <w:left w:val="nil"/>
              <w:bottom w:val="single" w:sz="8" w:space="0" w:color="FFFFFF"/>
              <w:right w:val="single" w:sz="8" w:space="0" w:color="FFFFFF"/>
            </w:tcBorders>
            <w:shd w:val="clear" w:color="auto" w:fill="D9E2F3" w:themeFill="accent1" w:themeFillTint="33"/>
            <w:noWrap/>
            <w:vAlign w:val="center"/>
          </w:tcPr>
          <w:p w14:paraId="0B14F64C" w14:textId="77777777" w:rsidR="00292739" w:rsidRPr="00C50F53" w:rsidRDefault="00292739" w:rsidP="00D92B7A">
            <w:pPr>
              <w:spacing w:line="276" w:lineRule="auto"/>
              <w:rPr>
                <w:rFonts w:cs="Arial"/>
                <w:sz w:val="18"/>
                <w:szCs w:val="18"/>
                <w:lang w:val="sl-SI" w:eastAsia="sl-SI"/>
              </w:rPr>
            </w:pPr>
            <w:r w:rsidRPr="00C50F53">
              <w:rPr>
                <w:rFonts w:cs="Arial"/>
                <w:sz w:val="18"/>
                <w:szCs w:val="18"/>
                <w:lang w:val="sl-SI" w:eastAsia="sl-SI"/>
              </w:rPr>
              <w:t>Skupni stroški javnega zavoda Arnes, razdeljeni po ključu</w:t>
            </w:r>
          </w:p>
        </w:tc>
        <w:tc>
          <w:tcPr>
            <w:tcW w:w="1542" w:type="dxa"/>
            <w:tcBorders>
              <w:top w:val="nil"/>
              <w:left w:val="nil"/>
              <w:bottom w:val="single" w:sz="8" w:space="0" w:color="FFFFFF"/>
              <w:right w:val="single" w:sz="8" w:space="0" w:color="FFFFFF"/>
            </w:tcBorders>
            <w:shd w:val="clear" w:color="000000" w:fill="D9E1F2"/>
            <w:noWrap/>
            <w:vAlign w:val="center"/>
          </w:tcPr>
          <w:p w14:paraId="3E397E87"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160.000 €</w:t>
            </w:r>
          </w:p>
        </w:tc>
        <w:tc>
          <w:tcPr>
            <w:tcW w:w="1446" w:type="dxa"/>
            <w:tcBorders>
              <w:top w:val="nil"/>
              <w:left w:val="nil"/>
              <w:bottom w:val="single" w:sz="8" w:space="0" w:color="FFFFFF"/>
              <w:right w:val="single" w:sz="8" w:space="0" w:color="FFFFFF"/>
            </w:tcBorders>
            <w:shd w:val="clear" w:color="000000" w:fill="D9E1F2"/>
            <w:noWrap/>
            <w:vAlign w:val="center"/>
          </w:tcPr>
          <w:p w14:paraId="3EB7CE5F"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196.000 €</w:t>
            </w:r>
          </w:p>
        </w:tc>
        <w:tc>
          <w:tcPr>
            <w:tcW w:w="1128" w:type="dxa"/>
            <w:tcBorders>
              <w:top w:val="nil"/>
              <w:left w:val="nil"/>
              <w:bottom w:val="single" w:sz="8" w:space="0" w:color="FFFFFF"/>
              <w:right w:val="single" w:sz="8" w:space="0" w:color="FFFFFF"/>
            </w:tcBorders>
            <w:shd w:val="clear" w:color="000000" w:fill="D9E1F2"/>
            <w:noWrap/>
            <w:vAlign w:val="center"/>
          </w:tcPr>
          <w:p w14:paraId="2C74D75F"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210.000 €</w:t>
            </w:r>
          </w:p>
        </w:tc>
        <w:tc>
          <w:tcPr>
            <w:tcW w:w="1127" w:type="dxa"/>
            <w:tcBorders>
              <w:top w:val="nil"/>
              <w:left w:val="nil"/>
              <w:right w:val="single" w:sz="8" w:space="0" w:color="FFFFFF"/>
            </w:tcBorders>
            <w:shd w:val="clear" w:color="000000" w:fill="D9E1F2"/>
            <w:vAlign w:val="center"/>
          </w:tcPr>
          <w:p w14:paraId="19772E95" w14:textId="77777777" w:rsidR="00292739" w:rsidRPr="00C50F53" w:rsidRDefault="00292739" w:rsidP="00D92B7A">
            <w:pPr>
              <w:spacing w:line="276" w:lineRule="auto"/>
              <w:jc w:val="right"/>
              <w:rPr>
                <w:rFonts w:cs="Arial"/>
                <w:sz w:val="18"/>
                <w:szCs w:val="18"/>
                <w:lang w:val="sl-SI" w:eastAsia="sl-SI"/>
              </w:rPr>
            </w:pPr>
            <w:r w:rsidRPr="00C50F53">
              <w:rPr>
                <w:rFonts w:cs="Arial"/>
                <w:sz w:val="18"/>
                <w:szCs w:val="18"/>
                <w:lang w:val="sl-SI" w:eastAsia="sl-SI"/>
              </w:rPr>
              <w:t>224.000 €</w:t>
            </w:r>
          </w:p>
        </w:tc>
      </w:tr>
      <w:tr w:rsidR="00292739" w:rsidRPr="00C50F53" w14:paraId="13225EE1" w14:textId="77777777" w:rsidTr="00D92B7A">
        <w:trPr>
          <w:trHeight w:val="300"/>
        </w:trPr>
        <w:tc>
          <w:tcPr>
            <w:tcW w:w="371" w:type="dxa"/>
            <w:tcBorders>
              <w:top w:val="single" w:sz="4" w:space="0" w:color="FFFFFF"/>
              <w:left w:val="nil"/>
              <w:right w:val="single" w:sz="4" w:space="0" w:color="FFFFFF"/>
            </w:tcBorders>
            <w:shd w:val="clear" w:color="auto" w:fill="4472C4" w:themeFill="accent1"/>
            <w:noWrap/>
            <w:vAlign w:val="center"/>
            <w:hideMark/>
          </w:tcPr>
          <w:p w14:paraId="77D27095" w14:textId="77777777" w:rsidR="00292739" w:rsidRPr="00C50F53" w:rsidRDefault="00292739" w:rsidP="00D92B7A">
            <w:pPr>
              <w:spacing w:line="276" w:lineRule="auto"/>
              <w:rPr>
                <w:rFonts w:cs="Arial"/>
                <w:color w:val="FFFFFF" w:themeColor="background1"/>
                <w:sz w:val="18"/>
                <w:szCs w:val="18"/>
                <w:lang w:val="sl-SI" w:eastAsia="sl-SI"/>
              </w:rPr>
            </w:pPr>
          </w:p>
        </w:tc>
        <w:tc>
          <w:tcPr>
            <w:tcW w:w="2884" w:type="dxa"/>
            <w:tcBorders>
              <w:top w:val="single" w:sz="4" w:space="0" w:color="FFFFFF"/>
              <w:left w:val="single" w:sz="4" w:space="0" w:color="FFFFFF"/>
              <w:right w:val="single" w:sz="4" w:space="0" w:color="FFFFFF"/>
            </w:tcBorders>
            <w:shd w:val="clear" w:color="auto" w:fill="4472C4" w:themeFill="accent1"/>
            <w:noWrap/>
            <w:vAlign w:val="center"/>
            <w:hideMark/>
          </w:tcPr>
          <w:p w14:paraId="5F35EADB" w14:textId="77777777" w:rsidR="00292739" w:rsidRPr="00C50F53" w:rsidRDefault="00292739" w:rsidP="00D92B7A">
            <w:pPr>
              <w:spacing w:line="276" w:lineRule="auto"/>
              <w:rPr>
                <w:rFonts w:cs="Arial"/>
                <w:b/>
                <w:bCs/>
                <w:color w:val="FFFFFF" w:themeColor="background1"/>
                <w:sz w:val="18"/>
                <w:szCs w:val="18"/>
                <w:lang w:val="sl-SI" w:eastAsia="sl-SI"/>
              </w:rPr>
            </w:pPr>
            <w:r w:rsidRPr="00C50F53">
              <w:rPr>
                <w:rFonts w:cs="Arial"/>
                <w:b/>
                <w:bCs/>
                <w:color w:val="FFFFFF" w:themeColor="background1"/>
                <w:sz w:val="18"/>
                <w:szCs w:val="18"/>
                <w:lang w:val="sl-SI" w:eastAsia="sl-SI"/>
              </w:rPr>
              <w:t>Skupaj</w:t>
            </w:r>
          </w:p>
        </w:tc>
        <w:tc>
          <w:tcPr>
            <w:tcW w:w="1542" w:type="dxa"/>
            <w:tcBorders>
              <w:top w:val="nil"/>
              <w:left w:val="nil"/>
              <w:right w:val="single" w:sz="8" w:space="0" w:color="FFFFFF"/>
            </w:tcBorders>
            <w:shd w:val="clear" w:color="auto" w:fill="4472C4" w:themeFill="accent1"/>
            <w:noWrap/>
            <w:vAlign w:val="center"/>
          </w:tcPr>
          <w:p w14:paraId="327FAE99" w14:textId="77777777" w:rsidR="00292739" w:rsidRPr="00C50F53" w:rsidRDefault="00292739" w:rsidP="00D92B7A">
            <w:pPr>
              <w:spacing w:line="276" w:lineRule="auto"/>
              <w:jc w:val="right"/>
              <w:rPr>
                <w:rFonts w:cs="Arial"/>
                <w:b/>
                <w:bCs/>
                <w:color w:val="FFFFFF"/>
                <w:sz w:val="18"/>
                <w:szCs w:val="18"/>
                <w:lang w:val="sl-SI" w:eastAsia="sl-SI"/>
              </w:rPr>
            </w:pPr>
            <w:r w:rsidRPr="00C50F53">
              <w:rPr>
                <w:rFonts w:cs="Arial"/>
                <w:b/>
                <w:bCs/>
                <w:color w:val="FFFFFF"/>
                <w:sz w:val="18"/>
                <w:szCs w:val="18"/>
                <w:lang w:val="sl-SI" w:eastAsia="sl-SI"/>
              </w:rPr>
              <w:t>1.</w:t>
            </w:r>
            <w:r>
              <w:rPr>
                <w:rFonts w:cs="Arial"/>
                <w:b/>
                <w:bCs/>
                <w:color w:val="FFFFFF"/>
                <w:sz w:val="18"/>
                <w:szCs w:val="18"/>
                <w:lang w:val="sl-SI" w:eastAsia="sl-SI"/>
              </w:rPr>
              <w:t>088</w:t>
            </w:r>
            <w:r w:rsidRPr="00C50F53">
              <w:rPr>
                <w:rFonts w:cs="Arial"/>
                <w:b/>
                <w:bCs/>
                <w:color w:val="FFFFFF"/>
                <w:sz w:val="18"/>
                <w:szCs w:val="18"/>
                <w:lang w:val="sl-SI" w:eastAsia="sl-SI"/>
              </w:rPr>
              <w:t>.</w:t>
            </w:r>
            <w:r>
              <w:rPr>
                <w:rFonts w:cs="Arial"/>
                <w:b/>
                <w:bCs/>
                <w:color w:val="FFFFFF"/>
                <w:sz w:val="18"/>
                <w:szCs w:val="18"/>
                <w:lang w:val="sl-SI" w:eastAsia="sl-SI"/>
              </w:rPr>
              <w:t>163</w:t>
            </w:r>
            <w:r w:rsidRPr="00C50F53">
              <w:rPr>
                <w:rFonts w:cs="Arial"/>
                <w:b/>
                <w:bCs/>
                <w:color w:val="FFFFFF"/>
                <w:sz w:val="18"/>
                <w:szCs w:val="18"/>
                <w:lang w:val="sl-SI" w:eastAsia="sl-SI"/>
              </w:rPr>
              <w:t xml:space="preserve"> € </w:t>
            </w:r>
          </w:p>
        </w:tc>
        <w:tc>
          <w:tcPr>
            <w:tcW w:w="1446" w:type="dxa"/>
            <w:tcBorders>
              <w:top w:val="nil"/>
              <w:left w:val="nil"/>
              <w:right w:val="single" w:sz="8" w:space="0" w:color="FFFFFF"/>
            </w:tcBorders>
            <w:shd w:val="clear" w:color="auto" w:fill="4472C4" w:themeFill="accent1"/>
            <w:noWrap/>
            <w:vAlign w:val="center"/>
          </w:tcPr>
          <w:p w14:paraId="6759F1A8" w14:textId="77777777" w:rsidR="00292739" w:rsidRPr="00C50F53" w:rsidRDefault="00292739" w:rsidP="00D92B7A">
            <w:pPr>
              <w:spacing w:line="276" w:lineRule="auto"/>
              <w:jc w:val="right"/>
              <w:rPr>
                <w:rFonts w:cs="Arial"/>
                <w:b/>
                <w:bCs/>
                <w:color w:val="FFFFFF"/>
                <w:sz w:val="18"/>
                <w:szCs w:val="18"/>
                <w:lang w:val="sl-SI" w:eastAsia="sl-SI"/>
              </w:rPr>
            </w:pPr>
            <w:r w:rsidRPr="00C50F53">
              <w:rPr>
                <w:rFonts w:cs="Arial"/>
                <w:b/>
                <w:bCs/>
                <w:color w:val="FFFFFF"/>
                <w:sz w:val="18"/>
                <w:szCs w:val="18"/>
                <w:lang w:val="sl-SI" w:eastAsia="sl-SI"/>
              </w:rPr>
              <w:t>1.243.500 €</w:t>
            </w:r>
          </w:p>
        </w:tc>
        <w:tc>
          <w:tcPr>
            <w:tcW w:w="1128" w:type="dxa"/>
            <w:tcBorders>
              <w:top w:val="nil"/>
              <w:left w:val="nil"/>
            </w:tcBorders>
            <w:shd w:val="clear" w:color="auto" w:fill="4472C4" w:themeFill="accent1"/>
            <w:noWrap/>
            <w:vAlign w:val="center"/>
          </w:tcPr>
          <w:p w14:paraId="00989E37" w14:textId="77777777" w:rsidR="00292739" w:rsidRPr="00C50F53" w:rsidRDefault="00292739" w:rsidP="00D92B7A">
            <w:pPr>
              <w:spacing w:line="276" w:lineRule="auto"/>
              <w:jc w:val="right"/>
              <w:rPr>
                <w:rFonts w:cs="Arial"/>
                <w:b/>
                <w:bCs/>
                <w:color w:val="FFFFFF"/>
                <w:sz w:val="18"/>
                <w:szCs w:val="18"/>
                <w:lang w:val="sl-SI" w:eastAsia="sl-SI"/>
              </w:rPr>
            </w:pPr>
            <w:r w:rsidRPr="00C50F53">
              <w:rPr>
                <w:rFonts w:cs="Arial"/>
                <w:b/>
                <w:bCs/>
                <w:color w:val="FFFFFF"/>
                <w:sz w:val="18"/>
                <w:szCs w:val="18"/>
                <w:lang w:val="sl-SI" w:eastAsia="sl-SI"/>
              </w:rPr>
              <w:t>1.403.625 €</w:t>
            </w:r>
          </w:p>
        </w:tc>
        <w:tc>
          <w:tcPr>
            <w:tcW w:w="1127" w:type="dxa"/>
            <w:shd w:val="clear" w:color="auto" w:fill="4472C4" w:themeFill="accent1"/>
            <w:vAlign w:val="center"/>
          </w:tcPr>
          <w:p w14:paraId="79FA51D5" w14:textId="77777777" w:rsidR="00292739" w:rsidRPr="00C50F53" w:rsidRDefault="00292739" w:rsidP="00D92B7A">
            <w:pPr>
              <w:spacing w:line="276" w:lineRule="auto"/>
              <w:jc w:val="right"/>
              <w:rPr>
                <w:rFonts w:cs="Arial"/>
                <w:b/>
                <w:bCs/>
                <w:color w:val="FFFFFF"/>
                <w:sz w:val="18"/>
                <w:szCs w:val="18"/>
                <w:lang w:val="sl-SI" w:eastAsia="sl-SI"/>
              </w:rPr>
            </w:pPr>
            <w:r w:rsidRPr="00C50F53">
              <w:rPr>
                <w:rFonts w:cs="Arial"/>
                <w:b/>
                <w:bCs/>
                <w:color w:val="FFFFFF"/>
                <w:sz w:val="18"/>
                <w:szCs w:val="18"/>
                <w:lang w:val="sl-SI" w:eastAsia="sl-SI"/>
              </w:rPr>
              <w:t>1.568.881 €</w:t>
            </w:r>
          </w:p>
        </w:tc>
      </w:tr>
    </w:tbl>
    <w:p w14:paraId="289E9E8E" w14:textId="77777777" w:rsidR="00292739" w:rsidRPr="00C50F53" w:rsidRDefault="00292739" w:rsidP="00292739">
      <w:pPr>
        <w:spacing w:before="120" w:after="360" w:line="276" w:lineRule="auto"/>
        <w:jc w:val="both"/>
        <w:rPr>
          <w:rFonts w:cs="Arial"/>
          <w:szCs w:val="20"/>
          <w:lang w:val="sl-SI" w:eastAsia="sl-SI"/>
        </w:rPr>
      </w:pPr>
      <w:r w:rsidRPr="00C50F53">
        <w:rPr>
          <w:rFonts w:cs="Arial"/>
          <w:szCs w:val="20"/>
          <w:lang w:val="sl-SI" w:eastAsia="sl-SI"/>
        </w:rPr>
        <w:t>SI-CERT je pripravil finančni načrt za obdobje od 2025 do 2028, ki vključuje finančne posledice implementacije sprejema ZInfV-1. Pri pripravi je upošteval potrebo po kadrovski krepitvi, vsakoletno rast obratovalnih stroškov, zamenjavo oz. nadgradnjo opreme, ki so jo kupili na EU CEF projektu (2018 - 2020) in vzpostavitev rezervnih prostorov. Upoštevali so tudi stroške za izvajanje kampanje osveščanja »Varni na internetu«.</w:t>
      </w:r>
    </w:p>
    <w:p w14:paraId="683565A1" w14:textId="77777777" w:rsidR="00292739" w:rsidRPr="00C50F53" w:rsidRDefault="00292739" w:rsidP="00292739">
      <w:pPr>
        <w:spacing w:line="276" w:lineRule="auto"/>
        <w:rPr>
          <w:rFonts w:cs="Arial"/>
          <w:b/>
          <w:bCs/>
          <w:szCs w:val="20"/>
          <w:lang w:val="sl-SI"/>
        </w:rPr>
      </w:pPr>
      <w:r w:rsidRPr="00C50F53">
        <w:rPr>
          <w:rFonts w:cs="Arial"/>
          <w:b/>
          <w:bCs/>
          <w:szCs w:val="20"/>
          <w:lang w:val="sl-SI"/>
        </w:rPr>
        <w:br w:type="page"/>
      </w:r>
    </w:p>
    <w:p w14:paraId="6388CC98"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bookmarkStart w:id="5" w:name="_Hlk189811983"/>
      <w:r w:rsidRPr="00C50F53">
        <w:rPr>
          <w:rFonts w:cs="Arial"/>
          <w:b/>
          <w:bCs/>
          <w:szCs w:val="20"/>
          <w:lang w:val="sl-SI"/>
        </w:rPr>
        <w:lastRenderedPageBreak/>
        <w:t>Zagotovitev pogojev za delovanje varnostno operativnega centra Ministrstva za zunanje in evropske zadeve</w:t>
      </w:r>
    </w:p>
    <w:p w14:paraId="121DCDC5" w14:textId="77777777" w:rsidR="00292739" w:rsidRPr="00C50F53" w:rsidRDefault="00292739" w:rsidP="00292739">
      <w:pPr>
        <w:pStyle w:val="Odstavekseznama"/>
        <w:tabs>
          <w:tab w:val="left" w:pos="1440"/>
        </w:tabs>
        <w:spacing w:line="276" w:lineRule="auto"/>
        <w:jc w:val="both"/>
        <w:rPr>
          <w:rFonts w:cs="Arial"/>
          <w:b/>
          <w:bCs/>
          <w:szCs w:val="20"/>
          <w:lang w:val="sl-SI"/>
        </w:rPr>
      </w:pPr>
    </w:p>
    <w:tbl>
      <w:tblPr>
        <w:tblW w:w="8566" w:type="dxa"/>
        <w:tblCellMar>
          <w:left w:w="70" w:type="dxa"/>
          <w:right w:w="70" w:type="dxa"/>
        </w:tblCellMar>
        <w:tblLook w:val="04A0" w:firstRow="1" w:lastRow="0" w:firstColumn="1" w:lastColumn="0" w:noHBand="0" w:noVBand="1"/>
      </w:tblPr>
      <w:tblGrid>
        <w:gridCol w:w="419"/>
        <w:gridCol w:w="4287"/>
        <w:gridCol w:w="1309"/>
        <w:gridCol w:w="1242"/>
        <w:gridCol w:w="1309"/>
      </w:tblGrid>
      <w:tr w:rsidR="00292739" w:rsidRPr="00C50F53" w14:paraId="5A0427E6" w14:textId="77777777" w:rsidTr="00D92B7A">
        <w:trPr>
          <w:trHeight w:val="300"/>
        </w:trPr>
        <w:tc>
          <w:tcPr>
            <w:tcW w:w="4706" w:type="dxa"/>
            <w:gridSpan w:val="2"/>
            <w:tcBorders>
              <w:top w:val="nil"/>
              <w:left w:val="nil"/>
              <w:bottom w:val="single" w:sz="12" w:space="0" w:color="FFFFFF"/>
              <w:right w:val="single" w:sz="4" w:space="0" w:color="FFFFFF"/>
            </w:tcBorders>
            <w:shd w:val="clear" w:color="4472C4" w:fill="4472C4"/>
            <w:noWrap/>
            <w:vAlign w:val="center"/>
            <w:hideMark/>
          </w:tcPr>
          <w:p w14:paraId="1C6BBD49" w14:textId="77777777" w:rsidR="00292739" w:rsidRPr="00C50F53" w:rsidRDefault="00292739" w:rsidP="00D92B7A">
            <w:pPr>
              <w:spacing w:line="276" w:lineRule="auto"/>
              <w:rPr>
                <w:rFonts w:cs="Arial"/>
                <w:b/>
                <w:bCs/>
                <w:color w:val="FFFFFF"/>
                <w:sz w:val="18"/>
                <w:szCs w:val="18"/>
                <w:lang w:val="sl-SI" w:eastAsia="sl-SI"/>
              </w:rPr>
            </w:pPr>
            <w:bookmarkStart w:id="6" w:name="_Hlk176177193"/>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14:paraId="6C494E44"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14:paraId="534C821C"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+ 1</w:t>
            </w:r>
          </w:p>
        </w:tc>
        <w:tc>
          <w:tcPr>
            <w:tcW w:w="1309" w:type="dxa"/>
            <w:tcBorders>
              <w:top w:val="nil"/>
              <w:left w:val="single" w:sz="4" w:space="0" w:color="FFFFFF"/>
              <w:bottom w:val="single" w:sz="12" w:space="0" w:color="FFFFFF"/>
              <w:right w:val="nil"/>
            </w:tcBorders>
            <w:shd w:val="clear" w:color="4472C4" w:fill="4472C4"/>
            <w:noWrap/>
            <w:vAlign w:val="center"/>
            <w:hideMark/>
          </w:tcPr>
          <w:p w14:paraId="39284C4E"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+ 2</w:t>
            </w:r>
          </w:p>
        </w:tc>
      </w:tr>
      <w:tr w:rsidR="00292739" w:rsidRPr="00C50F53" w14:paraId="157D9645"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hideMark/>
          </w:tcPr>
          <w:p w14:paraId="6C7B7B0B" w14:textId="77777777" w:rsidR="00292739" w:rsidRPr="00C50F53" w:rsidRDefault="00292739" w:rsidP="00D92B7A">
            <w:pPr>
              <w:spacing w:line="276" w:lineRule="auto"/>
              <w:jc w:val="center"/>
              <w:rPr>
                <w:rFonts w:cs="Arial"/>
                <w:b/>
                <w:bCs/>
                <w:color w:val="FFFFFF"/>
                <w:sz w:val="18"/>
                <w:szCs w:val="18"/>
                <w:lang w:val="sl-SI" w:eastAsia="sl-SI"/>
              </w:rPr>
            </w:pPr>
          </w:p>
        </w:tc>
        <w:tc>
          <w:tcPr>
            <w:tcW w:w="4287"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82C42B1"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Kategorija/leto</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5075725"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2025</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5A6EDEC"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2026</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14:paraId="20025B84"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2027</w:t>
            </w:r>
          </w:p>
        </w:tc>
      </w:tr>
      <w:tr w:rsidR="00292739" w:rsidRPr="00C50F53" w14:paraId="4F838564"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hideMark/>
          </w:tcPr>
          <w:p w14:paraId="0DFA9B34"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w:t>
            </w:r>
          </w:p>
        </w:tc>
        <w:tc>
          <w:tcPr>
            <w:tcW w:w="4287"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6220CDF7"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Kadrovski viri</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1F8A5FCA" w14:textId="77777777" w:rsidR="00292739" w:rsidRPr="00C50F53" w:rsidRDefault="00292739" w:rsidP="00D92B7A">
            <w:pPr>
              <w:spacing w:line="276" w:lineRule="auto"/>
              <w:jc w:val="right"/>
              <w:rPr>
                <w:rFonts w:cs="Arial"/>
                <w:color w:val="000000"/>
                <w:sz w:val="18"/>
                <w:szCs w:val="18"/>
                <w:lang w:val="sl-SI"/>
              </w:rPr>
            </w:pPr>
            <w:r>
              <w:rPr>
                <w:rFonts w:cs="Arial"/>
                <w:color w:val="000000"/>
                <w:sz w:val="18"/>
                <w:szCs w:val="18"/>
                <w:lang w:val="sl-SI"/>
              </w:rPr>
              <w:t>243</w:t>
            </w:r>
            <w:r w:rsidRPr="00C50F53">
              <w:rPr>
                <w:rFonts w:cs="Arial"/>
                <w:color w:val="000000"/>
                <w:sz w:val="18"/>
                <w:szCs w:val="18"/>
                <w:lang w:val="sl-SI"/>
              </w:rPr>
              <w:t>.</w:t>
            </w:r>
            <w:r>
              <w:rPr>
                <w:rFonts w:cs="Arial"/>
                <w:color w:val="000000"/>
                <w:sz w:val="18"/>
                <w:szCs w:val="18"/>
                <w:lang w:val="sl-SI"/>
              </w:rPr>
              <w:t>75</w:t>
            </w:r>
            <w:r w:rsidRPr="00C50F53">
              <w:rPr>
                <w:rFonts w:cs="Arial"/>
                <w:color w:val="000000"/>
                <w:sz w:val="18"/>
                <w:szCs w:val="18"/>
                <w:lang w:val="sl-SI"/>
              </w:rPr>
              <w:t>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1A8980CE"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812.500 €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14:paraId="281F300F"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1.300.000 €</w:t>
            </w:r>
          </w:p>
        </w:tc>
      </w:tr>
      <w:tr w:rsidR="00292739" w:rsidRPr="00C50F53" w14:paraId="1A728871"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auto" w:fill="B4C6E7" w:themeFill="accent1" w:themeFillTint="66"/>
            <w:noWrap/>
            <w:vAlign w:val="center"/>
          </w:tcPr>
          <w:p w14:paraId="03A13449"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2.</w:t>
            </w:r>
          </w:p>
        </w:tc>
        <w:tc>
          <w:tcPr>
            <w:tcW w:w="4287" w:type="dxa"/>
            <w:tcBorders>
              <w:top w:val="single" w:sz="4" w:space="0" w:color="FFFFFF"/>
              <w:left w:val="single" w:sz="4" w:space="0" w:color="FFFFFF"/>
              <w:bottom w:val="single" w:sz="4" w:space="0" w:color="FFFFFF"/>
              <w:right w:val="single" w:sz="4" w:space="0" w:color="FFFFFF"/>
            </w:tcBorders>
            <w:shd w:val="clear" w:color="auto" w:fill="B4C6E7" w:themeFill="accent1" w:themeFillTint="66"/>
            <w:noWrap/>
            <w:vAlign w:val="center"/>
          </w:tcPr>
          <w:p w14:paraId="5A5F77A9"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Stroški najema storitev</w:t>
            </w:r>
          </w:p>
        </w:tc>
        <w:tc>
          <w:tcPr>
            <w:tcW w:w="1309" w:type="dxa"/>
            <w:tcBorders>
              <w:top w:val="single" w:sz="4" w:space="0" w:color="FFFFFF"/>
              <w:left w:val="single" w:sz="4" w:space="0" w:color="FFFFFF"/>
              <w:bottom w:val="single" w:sz="4" w:space="0" w:color="FFFFFF"/>
              <w:right w:val="single" w:sz="4" w:space="0" w:color="FFFFFF"/>
            </w:tcBorders>
            <w:shd w:val="clear" w:color="auto" w:fill="B4C6E7" w:themeFill="accent1" w:themeFillTint="66"/>
            <w:noWrap/>
            <w:vAlign w:val="center"/>
          </w:tcPr>
          <w:p w14:paraId="1B7E6F81"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eastAsia="sl-SI"/>
              </w:rPr>
              <w:t xml:space="preserve">59.400 </w:t>
            </w:r>
            <w:r w:rsidRPr="00C50F53">
              <w:rPr>
                <w:rFonts w:cs="Arial"/>
                <w:color w:val="000000"/>
                <w:sz w:val="18"/>
                <w:szCs w:val="18"/>
                <w:lang w:val="sl-SI"/>
              </w:rPr>
              <w:t>€</w:t>
            </w:r>
            <w:r w:rsidRPr="00C50F53">
              <w:rPr>
                <w:rFonts w:cs="Arial"/>
                <w:sz w:val="18"/>
                <w:szCs w:val="18"/>
                <w:lang w:val="sl-SI" w:eastAsia="sl-SI"/>
              </w:rPr>
              <w:t xml:space="preserve"> </w:t>
            </w:r>
          </w:p>
        </w:tc>
        <w:tc>
          <w:tcPr>
            <w:tcW w:w="1242" w:type="dxa"/>
            <w:tcBorders>
              <w:top w:val="single" w:sz="4" w:space="0" w:color="FFFFFF"/>
              <w:left w:val="single" w:sz="4" w:space="0" w:color="FFFFFF"/>
              <w:bottom w:val="single" w:sz="4" w:space="0" w:color="FFFFFF"/>
              <w:right w:val="single" w:sz="4" w:space="0" w:color="FFFFFF"/>
            </w:tcBorders>
            <w:shd w:val="clear" w:color="auto" w:fill="B4C6E7" w:themeFill="accent1" w:themeFillTint="66"/>
            <w:noWrap/>
            <w:vAlign w:val="center"/>
          </w:tcPr>
          <w:p w14:paraId="5C886AEC"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309" w:type="dxa"/>
            <w:tcBorders>
              <w:top w:val="single" w:sz="4" w:space="0" w:color="FFFFFF"/>
              <w:left w:val="single" w:sz="4" w:space="0" w:color="FFFFFF"/>
              <w:bottom w:val="single" w:sz="4" w:space="0" w:color="FFFFFF"/>
              <w:right w:val="nil"/>
            </w:tcBorders>
            <w:shd w:val="clear" w:color="auto" w:fill="B4C6E7" w:themeFill="accent1" w:themeFillTint="66"/>
            <w:noWrap/>
            <w:vAlign w:val="center"/>
          </w:tcPr>
          <w:p w14:paraId="787ACF60"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r>
      <w:tr w:rsidR="00292739" w:rsidRPr="00C50F53" w14:paraId="0AFD96FF"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36E9268D"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3.</w:t>
            </w:r>
          </w:p>
        </w:tc>
        <w:tc>
          <w:tcPr>
            <w:tcW w:w="4287"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2978BE59"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Stroški nakupa programske in strojne opreme</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182B2EF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300.000 €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BB61412"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224.000 €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14:paraId="232CDBE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146.000 €</w:t>
            </w:r>
          </w:p>
        </w:tc>
      </w:tr>
      <w:tr w:rsidR="00292739" w:rsidRPr="00C50F53" w14:paraId="71D93A85"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auto" w:fill="4472C4" w:themeFill="accent1"/>
            <w:noWrap/>
            <w:vAlign w:val="center"/>
          </w:tcPr>
          <w:p w14:paraId="3D967932" w14:textId="77777777" w:rsidR="00292739" w:rsidRPr="00C50F53" w:rsidRDefault="00292739" w:rsidP="00D92B7A">
            <w:pPr>
              <w:spacing w:line="276" w:lineRule="auto"/>
              <w:jc w:val="right"/>
              <w:rPr>
                <w:rFonts w:cs="Arial"/>
                <w:b/>
                <w:bCs/>
                <w:color w:val="FFFFFF" w:themeColor="background1"/>
                <w:sz w:val="18"/>
                <w:szCs w:val="18"/>
                <w:lang w:val="sl-SI" w:eastAsia="sl-SI"/>
              </w:rPr>
            </w:pPr>
          </w:p>
        </w:tc>
        <w:tc>
          <w:tcPr>
            <w:tcW w:w="4287"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50B454B8" w14:textId="77777777" w:rsidR="00292739" w:rsidRPr="00C50F53" w:rsidRDefault="00292739" w:rsidP="00D92B7A">
            <w:pPr>
              <w:spacing w:line="276" w:lineRule="auto"/>
              <w:rPr>
                <w:rFonts w:cs="Arial"/>
                <w:b/>
                <w:bCs/>
                <w:color w:val="FFFFFF" w:themeColor="background1"/>
                <w:sz w:val="18"/>
                <w:szCs w:val="18"/>
                <w:lang w:val="sl-SI" w:eastAsia="sl-SI"/>
              </w:rPr>
            </w:pPr>
            <w:r w:rsidRPr="00C50F53">
              <w:rPr>
                <w:rFonts w:cs="Arial"/>
                <w:b/>
                <w:bCs/>
                <w:color w:val="FFFFFF" w:themeColor="background1"/>
                <w:sz w:val="18"/>
                <w:szCs w:val="18"/>
                <w:lang w:val="sl-SI" w:eastAsia="sl-SI"/>
              </w:rPr>
              <w:t>Skupaj</w:t>
            </w:r>
          </w:p>
        </w:tc>
        <w:tc>
          <w:tcPr>
            <w:tcW w:w="1309"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312303B7" w14:textId="77777777" w:rsidR="00292739" w:rsidRPr="00C50F53" w:rsidRDefault="00292739" w:rsidP="00D92B7A">
            <w:pPr>
              <w:spacing w:line="276" w:lineRule="auto"/>
              <w:jc w:val="right"/>
              <w:rPr>
                <w:rFonts w:cs="Arial"/>
                <w:b/>
                <w:bCs/>
                <w:color w:val="FFFFFF" w:themeColor="background1"/>
                <w:sz w:val="18"/>
                <w:szCs w:val="18"/>
                <w:lang w:val="sl-SI" w:eastAsia="sl-SI"/>
              </w:rPr>
            </w:pPr>
            <w:r>
              <w:rPr>
                <w:rFonts w:cs="Arial"/>
                <w:b/>
                <w:bCs/>
                <w:color w:val="FFFFFF" w:themeColor="background1"/>
                <w:sz w:val="18"/>
                <w:szCs w:val="18"/>
                <w:lang w:val="sl-SI" w:eastAsia="sl-SI"/>
              </w:rPr>
              <w:t>603</w:t>
            </w:r>
            <w:r w:rsidRPr="00C50F53">
              <w:rPr>
                <w:rFonts w:cs="Arial"/>
                <w:b/>
                <w:bCs/>
                <w:color w:val="FFFFFF" w:themeColor="background1"/>
                <w:sz w:val="18"/>
                <w:szCs w:val="18"/>
                <w:lang w:val="sl-SI" w:eastAsia="sl-SI"/>
              </w:rPr>
              <w:t>.</w:t>
            </w:r>
            <w:r>
              <w:rPr>
                <w:rFonts w:cs="Arial"/>
                <w:b/>
                <w:bCs/>
                <w:color w:val="FFFFFF" w:themeColor="background1"/>
                <w:sz w:val="18"/>
                <w:szCs w:val="18"/>
                <w:lang w:val="sl-SI" w:eastAsia="sl-SI"/>
              </w:rPr>
              <w:t>150</w:t>
            </w:r>
            <w:r w:rsidRPr="00C50F53">
              <w:rPr>
                <w:rFonts w:cs="Arial"/>
                <w:b/>
                <w:bCs/>
                <w:color w:val="FFFFFF" w:themeColor="background1"/>
                <w:sz w:val="18"/>
                <w:szCs w:val="18"/>
                <w:lang w:val="sl-SI" w:eastAsia="sl-SI"/>
              </w:rPr>
              <w:t xml:space="preserve"> €</w:t>
            </w:r>
          </w:p>
        </w:tc>
        <w:tc>
          <w:tcPr>
            <w:tcW w:w="1242"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27525A66" w14:textId="77777777" w:rsidR="00292739" w:rsidRPr="00C50F53" w:rsidRDefault="00292739" w:rsidP="00D92B7A">
            <w:pPr>
              <w:spacing w:line="276" w:lineRule="auto"/>
              <w:jc w:val="right"/>
              <w:rPr>
                <w:rFonts w:cs="Arial"/>
                <w:b/>
                <w:bCs/>
                <w:color w:val="FFFFFF" w:themeColor="background1"/>
                <w:sz w:val="18"/>
                <w:szCs w:val="18"/>
                <w:lang w:val="sl-SI" w:eastAsia="sl-SI"/>
              </w:rPr>
            </w:pPr>
            <w:r w:rsidRPr="00C50F53">
              <w:rPr>
                <w:rFonts w:cs="Arial"/>
                <w:b/>
                <w:bCs/>
                <w:color w:val="FFFFFF" w:themeColor="background1"/>
                <w:sz w:val="18"/>
                <w:szCs w:val="18"/>
                <w:lang w:val="sl-SI" w:eastAsia="sl-SI"/>
              </w:rPr>
              <w:t>1.036.500 €</w:t>
            </w:r>
          </w:p>
        </w:tc>
        <w:tc>
          <w:tcPr>
            <w:tcW w:w="1309" w:type="dxa"/>
            <w:tcBorders>
              <w:top w:val="single" w:sz="4" w:space="0" w:color="FFFFFF"/>
              <w:left w:val="single" w:sz="4" w:space="0" w:color="FFFFFF"/>
              <w:bottom w:val="single" w:sz="4" w:space="0" w:color="FFFFFF"/>
              <w:right w:val="nil"/>
            </w:tcBorders>
            <w:shd w:val="clear" w:color="auto" w:fill="4472C4" w:themeFill="accent1"/>
            <w:noWrap/>
            <w:vAlign w:val="center"/>
          </w:tcPr>
          <w:p w14:paraId="1D62C982" w14:textId="77777777" w:rsidR="00292739" w:rsidRPr="00C50F53" w:rsidRDefault="00292739" w:rsidP="00D92B7A">
            <w:pPr>
              <w:spacing w:line="276" w:lineRule="auto"/>
              <w:jc w:val="right"/>
              <w:rPr>
                <w:rFonts w:cs="Arial"/>
                <w:b/>
                <w:bCs/>
                <w:color w:val="FFFFFF" w:themeColor="background1"/>
                <w:sz w:val="18"/>
                <w:szCs w:val="18"/>
                <w:lang w:val="sl-SI" w:eastAsia="sl-SI"/>
              </w:rPr>
            </w:pPr>
            <w:r w:rsidRPr="00C50F53">
              <w:rPr>
                <w:rFonts w:cs="Arial"/>
                <w:b/>
                <w:bCs/>
                <w:color w:val="FFFFFF" w:themeColor="background1"/>
                <w:sz w:val="18"/>
                <w:szCs w:val="18"/>
                <w:lang w:val="sl-SI" w:eastAsia="sl-SI"/>
              </w:rPr>
              <w:t>1.446.000 €</w:t>
            </w:r>
          </w:p>
        </w:tc>
      </w:tr>
    </w:tbl>
    <w:bookmarkEnd w:id="6"/>
    <w:p w14:paraId="35A6E64B" w14:textId="77777777" w:rsidR="00292739" w:rsidRPr="00C50F53" w:rsidRDefault="00292739" w:rsidP="00292739">
      <w:pPr>
        <w:spacing w:before="120" w:after="360" w:line="276" w:lineRule="auto"/>
        <w:jc w:val="both"/>
        <w:rPr>
          <w:rFonts w:cs="Arial"/>
          <w:szCs w:val="20"/>
          <w:lang w:val="sl-SI" w:eastAsia="sl-SI"/>
        </w:rPr>
      </w:pPr>
      <w:r w:rsidRPr="00C50F53">
        <w:rPr>
          <w:rFonts w:cs="Arial"/>
          <w:szCs w:val="20"/>
          <w:lang w:val="sl-SI" w:eastAsia="sl-SI"/>
        </w:rPr>
        <w:t>Ministrstvo za zunanje in evropske zadeve je posredovalo informacijo o potrebah triletnega ciklusa, ki obsega 16 delovnih mest (kadrovski viri) 2.</w:t>
      </w:r>
      <w:r>
        <w:rPr>
          <w:rFonts w:cs="Arial"/>
          <w:szCs w:val="20"/>
          <w:lang w:val="sl-SI" w:eastAsia="sl-SI"/>
        </w:rPr>
        <w:t>356</w:t>
      </w:r>
      <w:r w:rsidRPr="00C50F53">
        <w:rPr>
          <w:rFonts w:cs="Arial"/>
          <w:szCs w:val="20"/>
          <w:lang w:val="sl-SI" w:eastAsia="sl-SI"/>
        </w:rPr>
        <w:t>.</w:t>
      </w:r>
      <w:r>
        <w:rPr>
          <w:rFonts w:cs="Arial"/>
          <w:szCs w:val="20"/>
          <w:lang w:val="sl-SI" w:eastAsia="sl-SI"/>
        </w:rPr>
        <w:t>250</w:t>
      </w:r>
      <w:r w:rsidRPr="00C50F53">
        <w:rPr>
          <w:rFonts w:cs="Arial"/>
          <w:szCs w:val="20"/>
          <w:lang w:val="sl-SI" w:eastAsia="sl-SI"/>
        </w:rPr>
        <w:t xml:space="preserve"> € (v treh letih), stroške najema storitev 59.400 € in stroške nakupa programske in strojne opreme 670.000 € (v treh letih).</w:t>
      </w:r>
    </w:p>
    <w:p w14:paraId="5EDDAD53"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r w:rsidRPr="00C50F53">
        <w:rPr>
          <w:rFonts w:cs="Arial"/>
          <w:b/>
          <w:bCs/>
          <w:szCs w:val="20"/>
          <w:lang w:val="sl-SI"/>
        </w:rPr>
        <w:t>Zagotovitev pogojev za delovanje ministrstva pristojnega za upravljanje informacijsko-komunikacijskih sistemov</w:t>
      </w:r>
    </w:p>
    <w:p w14:paraId="794F406F" w14:textId="77777777" w:rsidR="00292739" w:rsidRPr="00C50F53" w:rsidRDefault="00292739" w:rsidP="00292739">
      <w:pPr>
        <w:pStyle w:val="Odstavekseznama"/>
        <w:tabs>
          <w:tab w:val="left" w:pos="1440"/>
        </w:tabs>
        <w:spacing w:line="276" w:lineRule="auto"/>
        <w:jc w:val="both"/>
        <w:rPr>
          <w:rFonts w:cs="Arial"/>
          <w:b/>
          <w:bCs/>
          <w:szCs w:val="20"/>
          <w:lang w:val="sl-SI"/>
        </w:rPr>
      </w:pPr>
    </w:p>
    <w:tbl>
      <w:tblPr>
        <w:tblW w:w="8647" w:type="dxa"/>
        <w:tblCellMar>
          <w:left w:w="70" w:type="dxa"/>
          <w:right w:w="70" w:type="dxa"/>
        </w:tblCellMar>
        <w:tblLook w:val="04A0" w:firstRow="1" w:lastRow="0" w:firstColumn="1" w:lastColumn="0" w:noHBand="0" w:noVBand="1"/>
      </w:tblPr>
      <w:tblGrid>
        <w:gridCol w:w="419"/>
        <w:gridCol w:w="3834"/>
        <w:gridCol w:w="1559"/>
        <w:gridCol w:w="1418"/>
        <w:gridCol w:w="1417"/>
      </w:tblGrid>
      <w:tr w:rsidR="00292739" w:rsidRPr="00C50F53" w14:paraId="2685527B" w14:textId="77777777" w:rsidTr="00D92B7A">
        <w:trPr>
          <w:trHeight w:val="300"/>
        </w:trPr>
        <w:tc>
          <w:tcPr>
            <w:tcW w:w="4253" w:type="dxa"/>
            <w:gridSpan w:val="2"/>
            <w:tcBorders>
              <w:top w:val="nil"/>
              <w:left w:val="nil"/>
              <w:bottom w:val="single" w:sz="12" w:space="0" w:color="FFFFFF"/>
              <w:right w:val="single" w:sz="4" w:space="0" w:color="FFFFFF"/>
            </w:tcBorders>
            <w:shd w:val="clear" w:color="4472C4" w:fill="4472C4"/>
            <w:noWrap/>
            <w:vAlign w:val="center"/>
            <w:hideMark/>
          </w:tcPr>
          <w:p w14:paraId="7067E91E" w14:textId="77777777" w:rsidR="00292739" w:rsidRPr="00C50F53" w:rsidRDefault="00292739" w:rsidP="00D92B7A">
            <w:pPr>
              <w:spacing w:line="276" w:lineRule="auto"/>
              <w:rPr>
                <w:rFonts w:cs="Arial"/>
                <w:b/>
                <w:bCs/>
                <w:color w:val="FFFFFF"/>
                <w:sz w:val="18"/>
                <w:szCs w:val="18"/>
                <w:lang w:val="sl-SI" w:eastAsia="sl-SI"/>
              </w:rPr>
            </w:pPr>
          </w:p>
        </w:tc>
        <w:tc>
          <w:tcPr>
            <w:tcW w:w="1559" w:type="dxa"/>
            <w:tcBorders>
              <w:top w:val="nil"/>
              <w:left w:val="single" w:sz="4" w:space="0" w:color="FFFFFF"/>
              <w:bottom w:val="single" w:sz="12" w:space="0" w:color="FFFFFF"/>
              <w:right w:val="single" w:sz="4" w:space="0" w:color="FFFFFF"/>
            </w:tcBorders>
            <w:shd w:val="clear" w:color="4472C4" w:fill="4472C4"/>
            <w:noWrap/>
            <w:vAlign w:val="center"/>
            <w:hideMark/>
          </w:tcPr>
          <w:p w14:paraId="5D671B68"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w:t>
            </w:r>
          </w:p>
        </w:tc>
        <w:tc>
          <w:tcPr>
            <w:tcW w:w="1418" w:type="dxa"/>
            <w:tcBorders>
              <w:top w:val="nil"/>
              <w:left w:val="single" w:sz="4" w:space="0" w:color="FFFFFF"/>
              <w:bottom w:val="single" w:sz="12" w:space="0" w:color="FFFFFF"/>
              <w:right w:val="single" w:sz="4" w:space="0" w:color="FFFFFF"/>
            </w:tcBorders>
            <w:shd w:val="clear" w:color="4472C4" w:fill="4472C4"/>
            <w:noWrap/>
            <w:vAlign w:val="center"/>
            <w:hideMark/>
          </w:tcPr>
          <w:p w14:paraId="57935A31"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+ 1</w:t>
            </w:r>
          </w:p>
        </w:tc>
        <w:tc>
          <w:tcPr>
            <w:tcW w:w="1417" w:type="dxa"/>
            <w:tcBorders>
              <w:top w:val="nil"/>
              <w:left w:val="single" w:sz="4" w:space="0" w:color="FFFFFF"/>
              <w:bottom w:val="single" w:sz="12" w:space="0" w:color="FFFFFF"/>
              <w:right w:val="nil"/>
            </w:tcBorders>
            <w:shd w:val="clear" w:color="4472C4" w:fill="4472C4"/>
            <w:noWrap/>
            <w:vAlign w:val="center"/>
            <w:hideMark/>
          </w:tcPr>
          <w:p w14:paraId="4AF7FBD7" w14:textId="77777777" w:rsidR="00292739" w:rsidRPr="00C50F53" w:rsidRDefault="00292739" w:rsidP="00D92B7A">
            <w:pPr>
              <w:spacing w:line="276" w:lineRule="auto"/>
              <w:jc w:val="center"/>
              <w:rPr>
                <w:rFonts w:cs="Arial"/>
                <w:b/>
                <w:bCs/>
                <w:color w:val="FFFFFF"/>
                <w:sz w:val="18"/>
                <w:szCs w:val="18"/>
                <w:lang w:val="sl-SI" w:eastAsia="sl-SI"/>
              </w:rPr>
            </w:pPr>
            <w:r w:rsidRPr="00C50F53">
              <w:rPr>
                <w:rFonts w:cs="Arial"/>
                <w:b/>
                <w:bCs/>
                <w:color w:val="FFFFFF"/>
                <w:sz w:val="18"/>
                <w:szCs w:val="18"/>
                <w:lang w:val="sl-SI" w:eastAsia="sl-SI"/>
              </w:rPr>
              <w:t>t + 2</w:t>
            </w:r>
          </w:p>
        </w:tc>
      </w:tr>
      <w:tr w:rsidR="00292739" w:rsidRPr="00C50F53" w14:paraId="26D977CE"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hideMark/>
          </w:tcPr>
          <w:p w14:paraId="63B9F752" w14:textId="77777777" w:rsidR="00292739" w:rsidRPr="00C50F53" w:rsidRDefault="00292739" w:rsidP="00D92B7A">
            <w:pPr>
              <w:spacing w:line="276" w:lineRule="auto"/>
              <w:jc w:val="center"/>
              <w:rPr>
                <w:rFonts w:cs="Arial"/>
                <w:b/>
                <w:bCs/>
                <w:color w:val="FFFFFF"/>
                <w:sz w:val="18"/>
                <w:szCs w:val="18"/>
                <w:lang w:val="sl-SI" w:eastAsia="sl-SI"/>
              </w:rPr>
            </w:pP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7051FF4B" w14:textId="77777777" w:rsidR="00292739" w:rsidRPr="00C50F53" w:rsidRDefault="00292739" w:rsidP="00D92B7A">
            <w:pPr>
              <w:spacing w:line="276" w:lineRule="auto"/>
              <w:rPr>
                <w:rFonts w:cs="Arial"/>
                <w:b/>
                <w:bCs/>
                <w:color w:val="000000"/>
                <w:sz w:val="18"/>
                <w:szCs w:val="18"/>
                <w:lang w:val="sl-SI" w:eastAsia="sl-SI"/>
              </w:rPr>
            </w:pPr>
            <w:r w:rsidRPr="00C50F53">
              <w:rPr>
                <w:rFonts w:cs="Arial"/>
                <w:b/>
                <w:bCs/>
                <w:color w:val="000000"/>
                <w:sz w:val="18"/>
                <w:szCs w:val="18"/>
                <w:lang w:val="sl-SI" w:eastAsia="sl-SI"/>
              </w:rPr>
              <w:t>Kategorija/leto</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14BBDFC7"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2025</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06848EC4"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2026</w:t>
            </w:r>
          </w:p>
        </w:tc>
        <w:tc>
          <w:tcPr>
            <w:tcW w:w="1417" w:type="dxa"/>
            <w:tcBorders>
              <w:top w:val="single" w:sz="4" w:space="0" w:color="FFFFFF"/>
              <w:left w:val="single" w:sz="4" w:space="0" w:color="FFFFFF"/>
              <w:bottom w:val="single" w:sz="4" w:space="0" w:color="FFFFFF"/>
              <w:right w:val="nil"/>
            </w:tcBorders>
            <w:shd w:val="clear" w:color="B4C6E7" w:fill="B4C6E7"/>
            <w:noWrap/>
            <w:vAlign w:val="center"/>
            <w:hideMark/>
          </w:tcPr>
          <w:p w14:paraId="2665B4E5" w14:textId="77777777" w:rsidR="00292739" w:rsidRPr="00C50F53" w:rsidRDefault="00292739" w:rsidP="00D92B7A">
            <w:pPr>
              <w:spacing w:line="276" w:lineRule="auto"/>
              <w:jc w:val="center"/>
              <w:rPr>
                <w:rFonts w:cs="Arial"/>
                <w:b/>
                <w:bCs/>
                <w:color w:val="000000"/>
                <w:sz w:val="18"/>
                <w:szCs w:val="18"/>
                <w:lang w:val="sl-SI" w:eastAsia="sl-SI"/>
              </w:rPr>
            </w:pPr>
            <w:r w:rsidRPr="00C50F53">
              <w:rPr>
                <w:rFonts w:cs="Arial"/>
                <w:b/>
                <w:bCs/>
                <w:color w:val="000000"/>
                <w:sz w:val="18"/>
                <w:szCs w:val="18"/>
                <w:lang w:val="sl-SI"/>
              </w:rPr>
              <w:t>2027</w:t>
            </w:r>
          </w:p>
        </w:tc>
      </w:tr>
      <w:tr w:rsidR="00292739" w:rsidRPr="00C50F53" w14:paraId="629C206C"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7FD5DFAA"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AF2880D"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Usposobljeno osebje za izvajanje nalog na primarni lokaciji</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555A27F9"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EBC5FB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1BB0A44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1.500.000 €</w:t>
            </w:r>
          </w:p>
        </w:tc>
      </w:tr>
      <w:tr w:rsidR="00292739" w:rsidRPr="00C50F53" w14:paraId="1B660F47"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1A94B224"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2</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582DFED"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Dodatni prostori (pisarne na MDP Maribor)</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18D56091"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4CE64981"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399EC7DC"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r>
      <w:tr w:rsidR="00292739" w:rsidRPr="00C50F53" w14:paraId="1AE22B7D"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3564CDCB"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3</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737A4A8"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Podatkovni center (najem Maribor)</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2CB4BEEA"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rPr>
              <w:t>20.000 €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2D0CD07B"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rPr>
              <w:t>20.000 €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5FA6BE5F" w14:textId="77777777" w:rsidR="00292739" w:rsidRPr="00C50F53" w:rsidRDefault="00292739" w:rsidP="00D92B7A">
            <w:pPr>
              <w:spacing w:line="276" w:lineRule="auto"/>
              <w:jc w:val="right"/>
              <w:rPr>
                <w:rFonts w:cs="Arial"/>
                <w:color w:val="000000"/>
                <w:sz w:val="18"/>
                <w:szCs w:val="18"/>
                <w:lang w:val="sl-SI"/>
              </w:rPr>
            </w:pPr>
            <w:r w:rsidRPr="00C50F53">
              <w:rPr>
                <w:rFonts w:cs="Arial"/>
                <w:sz w:val="18"/>
                <w:szCs w:val="18"/>
                <w:lang w:val="sl-SI"/>
              </w:rPr>
              <w:t>20.000 €</w:t>
            </w:r>
          </w:p>
        </w:tc>
      </w:tr>
      <w:tr w:rsidR="00292739" w:rsidRPr="00C50F53" w14:paraId="175EDC84"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71AB203E"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4</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4D00CF74"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Strojna oprema</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3323626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700.000 €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6F827A94"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7BA58150"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150.000 €</w:t>
            </w:r>
          </w:p>
        </w:tc>
      </w:tr>
      <w:tr w:rsidR="00292739" w:rsidRPr="00C50F53" w14:paraId="4F966080"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2D3E7092"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5</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F7168DB"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Programska oprema</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CD06EE7"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33B697C"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494AA48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500.000 €</w:t>
            </w:r>
          </w:p>
        </w:tc>
      </w:tr>
      <w:tr w:rsidR="00292739" w:rsidRPr="00C50F53" w14:paraId="3FE0F10E"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5700F4B3"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6</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AB86DF0"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Omrežne povezave</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05E7424"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10.000 €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29A6EC1"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2997CEB0"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2.000 €</w:t>
            </w:r>
          </w:p>
        </w:tc>
      </w:tr>
      <w:tr w:rsidR="00292739" w:rsidRPr="00C50F53" w14:paraId="6CC96338"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338C8BFD"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7</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31E343F3"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SOC storitve zunanji</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6B28F5A" w14:textId="77777777" w:rsidR="00292739" w:rsidRPr="00C50F53" w:rsidRDefault="00292739" w:rsidP="00D92B7A">
            <w:pPr>
              <w:spacing w:line="276" w:lineRule="auto"/>
              <w:jc w:val="right"/>
              <w:rPr>
                <w:rFonts w:cs="Arial"/>
                <w:color w:val="000000"/>
                <w:sz w:val="18"/>
                <w:szCs w:val="18"/>
                <w:lang w:val="sl-SI"/>
              </w:rPr>
            </w:pPr>
            <w:r>
              <w:rPr>
                <w:rFonts w:cs="Arial"/>
                <w:color w:val="000000"/>
                <w:sz w:val="18"/>
                <w:szCs w:val="18"/>
                <w:lang w:val="sl-SI"/>
              </w:rPr>
              <w:t>25</w:t>
            </w:r>
            <w:r w:rsidRPr="00C50F53">
              <w:rPr>
                <w:rFonts w:cs="Arial"/>
                <w:color w:val="000000"/>
                <w:sz w:val="18"/>
                <w:szCs w:val="18"/>
                <w:lang w:val="sl-SI"/>
              </w:rPr>
              <w:t>.000 €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3B3253E0"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350.000 €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14C88CAC"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350.000 €</w:t>
            </w:r>
          </w:p>
        </w:tc>
      </w:tr>
      <w:tr w:rsidR="00292739" w:rsidRPr="00C50F53" w14:paraId="321EDFD9"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04F05927"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8</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1398DFBF"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Vključevanje organov in skupin CSIRT iz tega člena v mednarodne povezave</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6ACC6D2A"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3F84C8BD"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6415C476"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150.000 €</w:t>
            </w:r>
          </w:p>
        </w:tc>
      </w:tr>
      <w:tr w:rsidR="00292739" w:rsidRPr="00C50F53" w14:paraId="4D338E70"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657E60C5"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9</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3C5356B5"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Vzpostavitev sistema upravljanja informacijske varnosti ISO 27001 na celotnem področju poslovanja MDP</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6432423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70.000 €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723C186"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31C427B1"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20.000 €</w:t>
            </w:r>
          </w:p>
        </w:tc>
      </w:tr>
      <w:tr w:rsidR="00292739" w:rsidRPr="00C50F53" w14:paraId="382DE58F"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4DEC300F"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10</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8FC9353"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Vzpostavitev sistema neprekinjenega poslovanja ISO 22301 MDP</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0CACDC3A"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70.000 €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E896753"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584DB537"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20.000 €</w:t>
            </w:r>
          </w:p>
        </w:tc>
      </w:tr>
      <w:tr w:rsidR="00292739" w:rsidRPr="00C50F53" w14:paraId="215C4EE2"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53CC6BFA"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11</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6457252B"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Stroški zagotavljanja in ohranjanja dnevniških zapisov za obdobje 6 mesecev</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E39CA2B" w14:textId="05F72E95" w:rsidR="00292739" w:rsidRPr="00C50F53" w:rsidRDefault="00A1035C" w:rsidP="00D92B7A">
            <w:pPr>
              <w:spacing w:line="276" w:lineRule="auto"/>
              <w:jc w:val="right"/>
              <w:rPr>
                <w:rFonts w:cs="Arial"/>
                <w:color w:val="000000"/>
                <w:sz w:val="18"/>
                <w:szCs w:val="18"/>
                <w:lang w:val="sl-SI"/>
              </w:rPr>
            </w:pPr>
            <w:r>
              <w:rPr>
                <w:rFonts w:cs="Arial"/>
                <w:color w:val="000000"/>
                <w:sz w:val="18"/>
                <w:szCs w:val="18"/>
                <w:lang w:val="sl-SI"/>
              </w:rPr>
              <w:t>800</w:t>
            </w:r>
            <w:r w:rsidR="00292739" w:rsidRPr="00C50F53">
              <w:rPr>
                <w:rFonts w:cs="Arial"/>
                <w:color w:val="000000"/>
                <w:sz w:val="18"/>
                <w:szCs w:val="18"/>
                <w:lang w:val="sl-SI"/>
              </w:rPr>
              <w:t>.000 €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0A0DD4E0"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160.000 €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4FAC5597"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160.000 €</w:t>
            </w:r>
          </w:p>
        </w:tc>
      </w:tr>
      <w:tr w:rsidR="00292739" w:rsidRPr="00C50F53" w14:paraId="31D54C83"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6D4B0373"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12</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1D03A53"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Stroški certificiranja za kibernetsko varnost</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C5A838D"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1775ACBD"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18709372"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500.000 €</w:t>
            </w:r>
          </w:p>
        </w:tc>
      </w:tr>
      <w:tr w:rsidR="00292739" w:rsidRPr="00C50F53" w14:paraId="7AFB9062"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5EE51E19"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13</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16C07D20"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Usposabljanje o kibernetski varnosti na različnih ravneh za vse zaposlene</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18CF882" w14:textId="77777777" w:rsidR="00292739" w:rsidRPr="00C50F53" w:rsidRDefault="00292739" w:rsidP="00D92B7A">
            <w:pPr>
              <w:spacing w:line="276" w:lineRule="auto"/>
              <w:jc w:val="center"/>
              <w:rPr>
                <w:rFonts w:cs="Arial"/>
                <w:color w:val="000000"/>
                <w:sz w:val="18"/>
                <w:szCs w:val="18"/>
                <w:lang w:val="sl-SI"/>
              </w:rPr>
            </w:pPr>
            <w:r w:rsidRPr="00C50F53">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82682C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160.000 €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0874916C"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160.000 €</w:t>
            </w:r>
          </w:p>
        </w:tc>
      </w:tr>
      <w:tr w:rsidR="00292739" w:rsidRPr="00C50F53" w14:paraId="1F1189C8"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1FDEE9A1"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14</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45B579DD"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Platforma za medsebojno izmenjavo informacij - gostovanje na infrastrukturi DRO, stroški strojne opreme, vzdrževanje</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E10EBD9"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100.000 €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4A34D87F"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686252D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30.000 €</w:t>
            </w:r>
          </w:p>
        </w:tc>
      </w:tr>
      <w:tr w:rsidR="00292739" w:rsidRPr="00C50F53" w14:paraId="7340D97E"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7EDF788C"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15</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5E208A38"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Vzpostavitev in vzdrževanje podležne infrastrukture za sistem samoregistracije</w:t>
            </w:r>
            <w:r w:rsidRPr="00C50F53">
              <w:rPr>
                <w:rFonts w:cs="Arial"/>
                <w:sz w:val="18"/>
                <w:szCs w:val="18"/>
                <w:lang w:val="sl-SI"/>
              </w:rPr>
              <w:t xml:space="preserve"> </w:t>
            </w:r>
            <w:r w:rsidRPr="00C50F53">
              <w:rPr>
                <w:rFonts w:cs="Arial"/>
                <w:color w:val="000000"/>
                <w:sz w:val="18"/>
                <w:szCs w:val="18"/>
                <w:lang w:val="sl-SI" w:eastAsia="sl-SI"/>
              </w:rPr>
              <w:t>zavezancev - gostovanje na infrastrukturi DRO, stroški strojne opreme, vzdrževanje</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21636DD2"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100.000 €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7E78E535"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7EFE0CE0"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30.000 €</w:t>
            </w:r>
          </w:p>
        </w:tc>
      </w:tr>
      <w:tr w:rsidR="00292739" w:rsidRPr="00C50F53" w14:paraId="5DF1405C"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19E4BB2D"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16</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76ED5F52"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Platforma za priglasitev incidentov -gostovanje na infrastrukturi DRO, stroški strojne opreme, vzdrževanje</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0B6ED2EA" w14:textId="77777777" w:rsidR="00292739" w:rsidRPr="00C50F53" w:rsidRDefault="00292739" w:rsidP="00D92B7A">
            <w:pPr>
              <w:spacing w:line="276" w:lineRule="auto"/>
              <w:jc w:val="right"/>
              <w:rPr>
                <w:rFonts w:cs="Arial"/>
                <w:color w:val="000000"/>
                <w:sz w:val="18"/>
                <w:szCs w:val="18"/>
                <w:lang w:val="sl-SI" w:eastAsia="sl-SI"/>
              </w:rPr>
            </w:pPr>
            <w:r w:rsidRPr="00C50F53">
              <w:rPr>
                <w:rFonts w:cs="Arial"/>
                <w:color w:val="000000"/>
                <w:sz w:val="18"/>
                <w:szCs w:val="18"/>
                <w:lang w:val="sl-SI"/>
              </w:rPr>
              <w:t>100.000 €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359E13E1" w14:textId="77777777" w:rsidR="00292739" w:rsidRPr="00C50F53" w:rsidRDefault="00292739" w:rsidP="00D92B7A">
            <w:pPr>
              <w:spacing w:line="276" w:lineRule="auto"/>
              <w:jc w:val="right"/>
              <w:rPr>
                <w:rFonts w:cs="Arial"/>
                <w:color w:val="000000"/>
                <w:sz w:val="18"/>
                <w:szCs w:val="18"/>
                <w:lang w:val="sl-SI" w:eastAsia="sl-SI"/>
              </w:rPr>
            </w:pPr>
            <w:r w:rsidRPr="00C50F53">
              <w:rPr>
                <w:rFonts w:cs="Arial"/>
                <w:color w:val="000000"/>
                <w:sz w:val="18"/>
                <w:szCs w:val="18"/>
                <w:lang w:val="sl-SI"/>
              </w:rPr>
              <w:t>30.000 €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0C6D7369" w14:textId="77777777" w:rsidR="00292739" w:rsidRPr="00C50F53" w:rsidRDefault="00292739" w:rsidP="00D92B7A">
            <w:pPr>
              <w:spacing w:line="276" w:lineRule="auto"/>
              <w:jc w:val="right"/>
              <w:rPr>
                <w:rFonts w:cs="Arial"/>
                <w:color w:val="000000"/>
                <w:sz w:val="18"/>
                <w:szCs w:val="18"/>
                <w:lang w:val="sl-SI" w:eastAsia="sl-SI"/>
              </w:rPr>
            </w:pPr>
            <w:r w:rsidRPr="00C50F53">
              <w:rPr>
                <w:rFonts w:cs="Arial"/>
                <w:color w:val="000000"/>
                <w:sz w:val="18"/>
                <w:szCs w:val="18"/>
                <w:lang w:val="sl-SI"/>
              </w:rPr>
              <w:t>30.000 €</w:t>
            </w:r>
          </w:p>
        </w:tc>
      </w:tr>
      <w:tr w:rsidR="00292739" w:rsidRPr="00C50F53" w14:paraId="69E721DA"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tcPr>
          <w:p w14:paraId="0B3EF2A0"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17</w:t>
            </w:r>
          </w:p>
        </w:tc>
        <w:tc>
          <w:tcPr>
            <w:tcW w:w="3834"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08EE9881"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10 dodatnih delovnih mest za delo na področju informacijske varnost</w:t>
            </w:r>
          </w:p>
        </w:tc>
        <w:tc>
          <w:tcPr>
            <w:tcW w:w="155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45D3F11" w14:textId="77777777" w:rsidR="00292739" w:rsidRPr="00C50F53" w:rsidRDefault="00292739" w:rsidP="00D92B7A">
            <w:pPr>
              <w:spacing w:line="276" w:lineRule="auto"/>
              <w:jc w:val="right"/>
              <w:rPr>
                <w:rFonts w:cs="Arial"/>
                <w:color w:val="000000"/>
                <w:sz w:val="18"/>
                <w:szCs w:val="18"/>
                <w:lang w:val="sl-SI"/>
              </w:rPr>
            </w:pPr>
            <w:r>
              <w:rPr>
                <w:rFonts w:cs="Arial"/>
                <w:color w:val="000000"/>
                <w:sz w:val="18"/>
                <w:szCs w:val="18"/>
                <w:lang w:val="sl-SI"/>
              </w:rPr>
              <w:t>270</w:t>
            </w:r>
            <w:r w:rsidRPr="00C50F53">
              <w:rPr>
                <w:rFonts w:cs="Arial"/>
                <w:color w:val="000000"/>
                <w:sz w:val="18"/>
                <w:szCs w:val="18"/>
                <w:lang w:val="sl-SI"/>
              </w:rPr>
              <w:t>.000 €</w:t>
            </w:r>
          </w:p>
        </w:tc>
        <w:tc>
          <w:tcPr>
            <w:tcW w:w="1418"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8493D7A"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540.000 €</w:t>
            </w:r>
          </w:p>
        </w:tc>
        <w:tc>
          <w:tcPr>
            <w:tcW w:w="1417" w:type="dxa"/>
            <w:tcBorders>
              <w:top w:val="single" w:sz="4" w:space="0" w:color="FFFFFF"/>
              <w:left w:val="single" w:sz="4" w:space="0" w:color="FFFFFF"/>
              <w:bottom w:val="single" w:sz="4" w:space="0" w:color="FFFFFF"/>
              <w:right w:val="nil"/>
            </w:tcBorders>
            <w:shd w:val="clear" w:color="D9E1F2" w:fill="D9E1F2"/>
            <w:noWrap/>
            <w:vAlign w:val="center"/>
          </w:tcPr>
          <w:p w14:paraId="3CC8440B" w14:textId="77777777" w:rsidR="00292739" w:rsidRPr="00C50F53" w:rsidRDefault="00292739" w:rsidP="00D92B7A">
            <w:pPr>
              <w:spacing w:line="276" w:lineRule="auto"/>
              <w:jc w:val="right"/>
              <w:rPr>
                <w:rFonts w:cs="Arial"/>
                <w:color w:val="000000"/>
                <w:sz w:val="18"/>
                <w:szCs w:val="18"/>
                <w:lang w:val="sl-SI"/>
              </w:rPr>
            </w:pPr>
            <w:r w:rsidRPr="00C50F53">
              <w:rPr>
                <w:rFonts w:cs="Arial"/>
                <w:color w:val="000000"/>
                <w:sz w:val="18"/>
                <w:szCs w:val="18"/>
                <w:lang w:val="sl-SI"/>
              </w:rPr>
              <w:t>540.000 €</w:t>
            </w:r>
          </w:p>
        </w:tc>
      </w:tr>
      <w:tr w:rsidR="00292739" w:rsidRPr="00C50F53" w14:paraId="703ED312"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tcPr>
          <w:p w14:paraId="630A8973"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lastRenderedPageBreak/>
              <w:t>18</w:t>
            </w:r>
          </w:p>
        </w:tc>
        <w:tc>
          <w:tcPr>
            <w:tcW w:w="3834"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2647F824"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10 novih zaposlitev na področju dela sistemske podpore</w:t>
            </w:r>
          </w:p>
        </w:tc>
        <w:tc>
          <w:tcPr>
            <w:tcW w:w="1559"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32073E1E" w14:textId="77777777" w:rsidR="00292739" w:rsidRPr="00C50F53" w:rsidRDefault="00292739" w:rsidP="00D92B7A">
            <w:pPr>
              <w:spacing w:line="276" w:lineRule="auto"/>
              <w:jc w:val="right"/>
              <w:rPr>
                <w:rFonts w:cs="Arial"/>
                <w:color w:val="000000"/>
                <w:sz w:val="18"/>
                <w:szCs w:val="18"/>
                <w:lang w:val="sl-SI" w:eastAsia="sl-SI"/>
              </w:rPr>
            </w:pPr>
            <w:r>
              <w:rPr>
                <w:rFonts w:cs="Arial"/>
                <w:color w:val="000000"/>
                <w:sz w:val="18"/>
                <w:szCs w:val="18"/>
                <w:lang w:val="sl-SI"/>
              </w:rPr>
              <w:t>270</w:t>
            </w:r>
            <w:r w:rsidRPr="00C50F53">
              <w:rPr>
                <w:rFonts w:cs="Arial"/>
                <w:color w:val="000000"/>
                <w:sz w:val="18"/>
                <w:szCs w:val="18"/>
                <w:lang w:val="sl-SI"/>
              </w:rPr>
              <w:t>.000 €</w:t>
            </w:r>
          </w:p>
        </w:tc>
        <w:tc>
          <w:tcPr>
            <w:tcW w:w="1418" w:type="dxa"/>
            <w:tcBorders>
              <w:top w:val="single" w:sz="4" w:space="0" w:color="FFFFFF"/>
              <w:left w:val="single" w:sz="4" w:space="0" w:color="FFFFFF"/>
              <w:bottom w:val="single" w:sz="4" w:space="0" w:color="FFFFFF"/>
              <w:right w:val="single" w:sz="4" w:space="0" w:color="FFFFFF"/>
            </w:tcBorders>
            <w:shd w:val="clear" w:color="B4C6E7" w:fill="B4C6E7"/>
            <w:noWrap/>
            <w:vAlign w:val="center"/>
          </w:tcPr>
          <w:p w14:paraId="5AE6D1D9" w14:textId="77777777" w:rsidR="00292739" w:rsidRPr="00C50F53" w:rsidRDefault="00292739" w:rsidP="00D92B7A">
            <w:pPr>
              <w:spacing w:line="276" w:lineRule="auto"/>
              <w:jc w:val="right"/>
              <w:rPr>
                <w:rFonts w:cs="Arial"/>
                <w:color w:val="000000"/>
                <w:sz w:val="18"/>
                <w:szCs w:val="18"/>
                <w:lang w:val="sl-SI" w:eastAsia="sl-SI"/>
              </w:rPr>
            </w:pPr>
            <w:r w:rsidRPr="00C50F53">
              <w:rPr>
                <w:rFonts w:cs="Arial"/>
                <w:color w:val="000000"/>
                <w:sz w:val="18"/>
                <w:szCs w:val="18"/>
                <w:lang w:val="sl-SI"/>
              </w:rPr>
              <w:t>540.000 €</w:t>
            </w:r>
          </w:p>
        </w:tc>
        <w:tc>
          <w:tcPr>
            <w:tcW w:w="1417" w:type="dxa"/>
            <w:tcBorders>
              <w:top w:val="single" w:sz="4" w:space="0" w:color="FFFFFF"/>
              <w:left w:val="single" w:sz="4" w:space="0" w:color="FFFFFF"/>
              <w:bottom w:val="single" w:sz="4" w:space="0" w:color="FFFFFF"/>
              <w:right w:val="nil"/>
            </w:tcBorders>
            <w:shd w:val="clear" w:color="B4C6E7" w:fill="B4C6E7"/>
            <w:noWrap/>
            <w:vAlign w:val="center"/>
          </w:tcPr>
          <w:p w14:paraId="640D6093" w14:textId="77777777" w:rsidR="00292739" w:rsidRPr="00C50F53" w:rsidRDefault="00292739" w:rsidP="00D92B7A">
            <w:pPr>
              <w:spacing w:line="276" w:lineRule="auto"/>
              <w:jc w:val="right"/>
              <w:rPr>
                <w:rFonts w:cs="Arial"/>
                <w:color w:val="000000"/>
                <w:sz w:val="18"/>
                <w:szCs w:val="18"/>
                <w:lang w:val="sl-SI" w:eastAsia="sl-SI"/>
              </w:rPr>
            </w:pPr>
            <w:r w:rsidRPr="00C50F53">
              <w:rPr>
                <w:rFonts w:cs="Arial"/>
                <w:color w:val="000000"/>
                <w:sz w:val="18"/>
                <w:szCs w:val="18"/>
                <w:lang w:val="sl-SI"/>
              </w:rPr>
              <w:t>540.000 €</w:t>
            </w:r>
          </w:p>
        </w:tc>
      </w:tr>
      <w:tr w:rsidR="00292739" w:rsidRPr="00C50F53" w14:paraId="5976EC0F"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auto" w:fill="D9E2F3" w:themeFill="accent1" w:themeFillTint="33"/>
            <w:noWrap/>
            <w:vAlign w:val="center"/>
          </w:tcPr>
          <w:p w14:paraId="35345A6B" w14:textId="77777777" w:rsidR="00292739" w:rsidRPr="00C50F53" w:rsidRDefault="00292739" w:rsidP="00B76F4E">
            <w:pPr>
              <w:spacing w:line="276" w:lineRule="auto"/>
              <w:jc w:val="center"/>
              <w:rPr>
                <w:rFonts w:cs="Arial"/>
                <w:color w:val="000000"/>
                <w:sz w:val="18"/>
                <w:szCs w:val="18"/>
                <w:lang w:val="sl-SI" w:eastAsia="sl-SI"/>
              </w:rPr>
            </w:pPr>
            <w:r w:rsidRPr="00C50F53">
              <w:rPr>
                <w:rFonts w:cs="Arial"/>
                <w:color w:val="000000"/>
                <w:sz w:val="18"/>
                <w:szCs w:val="18"/>
                <w:lang w:val="sl-SI" w:eastAsia="sl-SI"/>
              </w:rPr>
              <w:t>19</w:t>
            </w:r>
          </w:p>
        </w:tc>
        <w:tc>
          <w:tcPr>
            <w:tcW w:w="3834" w:type="dxa"/>
            <w:tcBorders>
              <w:top w:val="single" w:sz="4" w:space="0" w:color="FFFFFF"/>
              <w:left w:val="single" w:sz="4" w:space="0" w:color="FFFFFF"/>
              <w:bottom w:val="single" w:sz="4" w:space="0" w:color="FFFFFF"/>
              <w:right w:val="single" w:sz="4" w:space="0" w:color="FFFFFF"/>
            </w:tcBorders>
            <w:shd w:val="clear" w:color="auto" w:fill="D9E2F3" w:themeFill="accent1" w:themeFillTint="33"/>
            <w:noWrap/>
            <w:vAlign w:val="center"/>
          </w:tcPr>
          <w:p w14:paraId="347D7E88" w14:textId="77777777" w:rsidR="00292739" w:rsidRPr="00C50F53" w:rsidRDefault="00292739" w:rsidP="00D92B7A">
            <w:pPr>
              <w:spacing w:line="276" w:lineRule="auto"/>
              <w:rPr>
                <w:rFonts w:cs="Arial"/>
                <w:color w:val="000000"/>
                <w:sz w:val="18"/>
                <w:szCs w:val="18"/>
                <w:lang w:val="sl-SI" w:eastAsia="sl-SI"/>
              </w:rPr>
            </w:pPr>
            <w:r w:rsidRPr="00C50F53">
              <w:rPr>
                <w:rFonts w:cs="Arial"/>
                <w:color w:val="000000"/>
                <w:sz w:val="18"/>
                <w:szCs w:val="18"/>
                <w:lang w:val="sl-SI" w:eastAsia="sl-SI"/>
              </w:rPr>
              <w:t>Vzpostavitev sistema beleženje dnevniških zapisov</w:t>
            </w:r>
          </w:p>
        </w:tc>
        <w:tc>
          <w:tcPr>
            <w:tcW w:w="1559" w:type="dxa"/>
            <w:tcBorders>
              <w:top w:val="single" w:sz="4" w:space="0" w:color="FFFFFF"/>
              <w:left w:val="single" w:sz="4" w:space="0" w:color="FFFFFF"/>
              <w:bottom w:val="single" w:sz="4" w:space="0" w:color="FFFFFF"/>
              <w:right w:val="single" w:sz="4" w:space="0" w:color="FFFFFF"/>
            </w:tcBorders>
            <w:shd w:val="clear" w:color="auto" w:fill="D9E2F3" w:themeFill="accent1" w:themeFillTint="33"/>
            <w:noWrap/>
            <w:vAlign w:val="center"/>
          </w:tcPr>
          <w:p w14:paraId="4D6C0212" w14:textId="2A54F970" w:rsidR="00292739" w:rsidRPr="00C50F53" w:rsidRDefault="00A1035C" w:rsidP="00A1035C">
            <w:pPr>
              <w:spacing w:line="276" w:lineRule="auto"/>
              <w:jc w:val="center"/>
              <w:rPr>
                <w:rFonts w:cs="Arial"/>
                <w:color w:val="000000"/>
                <w:sz w:val="18"/>
                <w:szCs w:val="18"/>
                <w:lang w:val="sl-SI"/>
              </w:rPr>
            </w:pPr>
            <w:r>
              <w:rPr>
                <w:rFonts w:cs="Arial"/>
                <w:color w:val="000000"/>
                <w:sz w:val="18"/>
                <w:szCs w:val="18"/>
                <w:lang w:val="sl-SI"/>
              </w:rPr>
              <w:t>/</w:t>
            </w:r>
          </w:p>
        </w:tc>
        <w:tc>
          <w:tcPr>
            <w:tcW w:w="1418" w:type="dxa"/>
            <w:tcBorders>
              <w:top w:val="single" w:sz="4" w:space="0" w:color="FFFFFF"/>
              <w:left w:val="single" w:sz="4" w:space="0" w:color="FFFFFF"/>
              <w:bottom w:val="single" w:sz="4" w:space="0" w:color="FFFFFF"/>
              <w:right w:val="single" w:sz="4" w:space="0" w:color="FFFFFF"/>
            </w:tcBorders>
            <w:shd w:val="clear" w:color="auto" w:fill="D9E2F3" w:themeFill="accent1" w:themeFillTint="33"/>
            <w:noWrap/>
            <w:vAlign w:val="center"/>
          </w:tcPr>
          <w:p w14:paraId="43983E23" w14:textId="155EA2B1" w:rsidR="00292739" w:rsidRPr="00C50F53" w:rsidRDefault="00A1035C" w:rsidP="00D92B7A">
            <w:pPr>
              <w:spacing w:line="276" w:lineRule="auto"/>
              <w:jc w:val="right"/>
              <w:rPr>
                <w:rFonts w:cs="Arial"/>
                <w:color w:val="000000"/>
                <w:sz w:val="18"/>
                <w:szCs w:val="18"/>
                <w:lang w:val="sl-SI"/>
              </w:rPr>
            </w:pPr>
            <w:r>
              <w:rPr>
                <w:rFonts w:cs="Arial"/>
                <w:color w:val="000000"/>
                <w:sz w:val="18"/>
                <w:szCs w:val="18"/>
                <w:lang w:val="sl-SI"/>
              </w:rPr>
              <w:t>3</w:t>
            </w:r>
            <w:r w:rsidR="00292739" w:rsidRPr="00C50F53">
              <w:rPr>
                <w:rFonts w:cs="Arial"/>
                <w:color w:val="000000"/>
                <w:sz w:val="18"/>
                <w:szCs w:val="18"/>
                <w:lang w:val="sl-SI"/>
              </w:rPr>
              <w:t>.000.000 €</w:t>
            </w:r>
          </w:p>
        </w:tc>
        <w:tc>
          <w:tcPr>
            <w:tcW w:w="1417" w:type="dxa"/>
            <w:tcBorders>
              <w:top w:val="single" w:sz="4" w:space="0" w:color="FFFFFF"/>
              <w:left w:val="single" w:sz="4" w:space="0" w:color="FFFFFF"/>
              <w:bottom w:val="single" w:sz="4" w:space="0" w:color="FFFFFF"/>
              <w:right w:val="nil"/>
            </w:tcBorders>
            <w:shd w:val="clear" w:color="auto" w:fill="D9E2F3" w:themeFill="accent1" w:themeFillTint="33"/>
            <w:noWrap/>
            <w:vAlign w:val="center"/>
          </w:tcPr>
          <w:p w14:paraId="42949723" w14:textId="4D9F4CC6" w:rsidR="00292739" w:rsidRPr="00C50F53" w:rsidRDefault="00A1035C" w:rsidP="00A1035C">
            <w:pPr>
              <w:spacing w:line="276" w:lineRule="auto"/>
              <w:jc w:val="center"/>
              <w:rPr>
                <w:rFonts w:cs="Arial"/>
                <w:color w:val="000000"/>
                <w:sz w:val="18"/>
                <w:szCs w:val="18"/>
                <w:lang w:val="sl-SI"/>
              </w:rPr>
            </w:pPr>
            <w:r>
              <w:rPr>
                <w:rFonts w:cs="Arial"/>
                <w:color w:val="000000"/>
                <w:sz w:val="18"/>
                <w:szCs w:val="18"/>
                <w:lang w:val="sl-SI"/>
              </w:rPr>
              <w:t>/</w:t>
            </w:r>
          </w:p>
        </w:tc>
      </w:tr>
      <w:tr w:rsidR="00292739" w:rsidRPr="00C50F53" w14:paraId="2AFF21D2"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auto" w:fill="4472C4" w:themeFill="accent1"/>
            <w:noWrap/>
            <w:vAlign w:val="center"/>
          </w:tcPr>
          <w:p w14:paraId="424AED31" w14:textId="77777777" w:rsidR="00292739" w:rsidRPr="00C50F53" w:rsidRDefault="00292739" w:rsidP="00D92B7A">
            <w:pPr>
              <w:spacing w:line="276" w:lineRule="auto"/>
              <w:jc w:val="right"/>
              <w:rPr>
                <w:rFonts w:cs="Arial"/>
                <w:b/>
                <w:bCs/>
                <w:color w:val="FFFFFF"/>
                <w:sz w:val="18"/>
                <w:szCs w:val="18"/>
                <w:lang w:val="sl-SI" w:eastAsia="sl-SI"/>
              </w:rPr>
            </w:pPr>
          </w:p>
        </w:tc>
        <w:tc>
          <w:tcPr>
            <w:tcW w:w="3834"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4F7A404D" w14:textId="77777777" w:rsidR="00292739" w:rsidRPr="00C50F53" w:rsidRDefault="00292739" w:rsidP="00D92B7A">
            <w:pPr>
              <w:spacing w:line="276" w:lineRule="auto"/>
              <w:rPr>
                <w:rFonts w:cs="Arial"/>
                <w:b/>
                <w:bCs/>
                <w:color w:val="FFFFFF"/>
                <w:sz w:val="18"/>
                <w:szCs w:val="18"/>
                <w:lang w:val="sl-SI" w:eastAsia="sl-SI"/>
              </w:rPr>
            </w:pPr>
            <w:r w:rsidRPr="00C50F53">
              <w:rPr>
                <w:rFonts w:cs="Arial"/>
                <w:b/>
                <w:bCs/>
                <w:color w:val="FFFFFF"/>
                <w:sz w:val="18"/>
                <w:szCs w:val="18"/>
                <w:lang w:val="sl-SI" w:eastAsia="sl-SI"/>
              </w:rPr>
              <w:t>Skupaj</w:t>
            </w:r>
          </w:p>
        </w:tc>
        <w:tc>
          <w:tcPr>
            <w:tcW w:w="1559"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20019919" w14:textId="72919584" w:rsidR="00292739" w:rsidRPr="00C50F53" w:rsidRDefault="00292739" w:rsidP="00D92B7A">
            <w:pPr>
              <w:spacing w:line="276" w:lineRule="auto"/>
              <w:jc w:val="right"/>
              <w:rPr>
                <w:rFonts w:cs="Arial"/>
                <w:b/>
                <w:bCs/>
                <w:color w:val="FFFFFF"/>
                <w:sz w:val="18"/>
                <w:szCs w:val="18"/>
                <w:lang w:val="sl-SI" w:eastAsia="sl-SI"/>
              </w:rPr>
            </w:pPr>
            <w:r>
              <w:rPr>
                <w:rFonts w:cs="Arial"/>
                <w:b/>
                <w:bCs/>
                <w:color w:val="FFFFFF"/>
                <w:sz w:val="18"/>
                <w:szCs w:val="18"/>
                <w:lang w:val="sl-SI" w:eastAsia="sl-SI"/>
              </w:rPr>
              <w:t>4</w:t>
            </w:r>
            <w:r w:rsidRPr="00C50F53">
              <w:rPr>
                <w:rFonts w:cs="Arial"/>
                <w:b/>
                <w:bCs/>
                <w:color w:val="FFFFFF"/>
                <w:sz w:val="18"/>
                <w:szCs w:val="18"/>
                <w:lang w:val="sl-SI" w:eastAsia="sl-SI"/>
              </w:rPr>
              <w:t>.</w:t>
            </w:r>
            <w:r w:rsidR="009F6D68">
              <w:rPr>
                <w:rFonts w:cs="Arial"/>
                <w:b/>
                <w:bCs/>
                <w:color w:val="FFFFFF"/>
                <w:sz w:val="18"/>
                <w:szCs w:val="18"/>
                <w:lang w:val="sl-SI" w:eastAsia="sl-SI"/>
              </w:rPr>
              <w:t>535</w:t>
            </w:r>
            <w:r w:rsidRPr="00C50F53">
              <w:rPr>
                <w:rFonts w:cs="Arial"/>
                <w:b/>
                <w:bCs/>
                <w:color w:val="FFFFFF"/>
                <w:sz w:val="18"/>
                <w:szCs w:val="18"/>
                <w:lang w:val="sl-SI" w:eastAsia="sl-SI"/>
              </w:rPr>
              <w:t>.000 €</w:t>
            </w:r>
          </w:p>
        </w:tc>
        <w:tc>
          <w:tcPr>
            <w:tcW w:w="1418" w:type="dxa"/>
            <w:tcBorders>
              <w:top w:val="single" w:sz="4" w:space="0" w:color="FFFFFF"/>
              <w:left w:val="single" w:sz="4" w:space="0" w:color="FFFFFF"/>
              <w:bottom w:val="single" w:sz="4" w:space="0" w:color="FFFFFF"/>
              <w:right w:val="single" w:sz="4" w:space="0" w:color="FFFFFF"/>
            </w:tcBorders>
            <w:shd w:val="clear" w:color="auto" w:fill="4472C4" w:themeFill="accent1"/>
            <w:noWrap/>
            <w:vAlign w:val="center"/>
          </w:tcPr>
          <w:p w14:paraId="785B26BA" w14:textId="792159D0" w:rsidR="00292739" w:rsidRPr="00C50F53" w:rsidRDefault="009F6D68" w:rsidP="00D92B7A">
            <w:pPr>
              <w:spacing w:line="276" w:lineRule="auto"/>
              <w:jc w:val="right"/>
              <w:rPr>
                <w:rFonts w:cs="Arial"/>
                <w:b/>
                <w:bCs/>
                <w:color w:val="FFFFFF"/>
                <w:sz w:val="18"/>
                <w:szCs w:val="18"/>
                <w:lang w:val="sl-SI" w:eastAsia="sl-SI"/>
              </w:rPr>
            </w:pPr>
            <w:r>
              <w:rPr>
                <w:rFonts w:cs="Arial"/>
                <w:b/>
                <w:bCs/>
                <w:color w:val="FFFFFF"/>
                <w:sz w:val="18"/>
                <w:szCs w:val="18"/>
                <w:lang w:val="sl-SI" w:eastAsia="sl-SI"/>
              </w:rPr>
              <w:t>7</w:t>
            </w:r>
            <w:r w:rsidR="00292739" w:rsidRPr="00C50F53">
              <w:rPr>
                <w:rFonts w:cs="Arial"/>
                <w:b/>
                <w:bCs/>
                <w:color w:val="FFFFFF"/>
                <w:sz w:val="18"/>
                <w:szCs w:val="18"/>
                <w:lang w:val="sl-SI" w:eastAsia="sl-SI"/>
              </w:rPr>
              <w:t>.702.000 €</w:t>
            </w:r>
          </w:p>
        </w:tc>
        <w:tc>
          <w:tcPr>
            <w:tcW w:w="1417" w:type="dxa"/>
            <w:tcBorders>
              <w:top w:val="single" w:sz="4" w:space="0" w:color="FFFFFF"/>
              <w:left w:val="single" w:sz="4" w:space="0" w:color="FFFFFF"/>
              <w:bottom w:val="single" w:sz="4" w:space="0" w:color="FFFFFF"/>
              <w:right w:val="nil"/>
            </w:tcBorders>
            <w:shd w:val="clear" w:color="auto" w:fill="4472C4" w:themeFill="accent1"/>
            <w:noWrap/>
            <w:vAlign w:val="center"/>
          </w:tcPr>
          <w:p w14:paraId="5BE994D2" w14:textId="7952A163" w:rsidR="00292739" w:rsidRPr="00C50F53" w:rsidRDefault="009F6D68" w:rsidP="00D92B7A">
            <w:pPr>
              <w:spacing w:line="276" w:lineRule="auto"/>
              <w:jc w:val="right"/>
              <w:rPr>
                <w:rFonts w:cs="Arial"/>
                <w:b/>
                <w:bCs/>
                <w:color w:val="FFFFFF"/>
                <w:sz w:val="18"/>
                <w:szCs w:val="18"/>
                <w:lang w:val="sl-SI" w:eastAsia="sl-SI"/>
              </w:rPr>
            </w:pPr>
            <w:r>
              <w:rPr>
                <w:rFonts w:cs="Arial"/>
                <w:b/>
                <w:bCs/>
                <w:color w:val="FFFFFF"/>
                <w:sz w:val="18"/>
                <w:szCs w:val="18"/>
                <w:lang w:val="sl-SI" w:eastAsia="sl-SI"/>
              </w:rPr>
              <w:t>4</w:t>
            </w:r>
            <w:r w:rsidR="00292739" w:rsidRPr="00C50F53">
              <w:rPr>
                <w:rFonts w:cs="Arial"/>
                <w:b/>
                <w:bCs/>
                <w:color w:val="FFFFFF"/>
                <w:sz w:val="18"/>
                <w:szCs w:val="18"/>
                <w:lang w:val="sl-SI" w:eastAsia="sl-SI"/>
              </w:rPr>
              <w:t>.702.000 €</w:t>
            </w:r>
          </w:p>
        </w:tc>
      </w:tr>
    </w:tbl>
    <w:p w14:paraId="18C12D7D" w14:textId="77777777" w:rsidR="00292739" w:rsidRPr="00C50F53" w:rsidRDefault="00292739" w:rsidP="00292739">
      <w:pPr>
        <w:spacing w:before="120" w:after="360" w:line="276" w:lineRule="auto"/>
        <w:jc w:val="both"/>
        <w:rPr>
          <w:rFonts w:cs="Arial"/>
          <w:szCs w:val="20"/>
          <w:lang w:val="sl-SI"/>
        </w:rPr>
      </w:pPr>
      <w:r w:rsidRPr="00C50F53">
        <w:rPr>
          <w:rFonts w:cs="Arial"/>
          <w:szCs w:val="20"/>
          <w:lang w:val="sl-SI"/>
        </w:rPr>
        <w:t>Ministrstvo za digitalno preobrazbo je pripravilo oceno stroškov, ki vključuje sredstva za vzpostavitve zmogljivosti in vzdrževanja na letni ravni. Podrobna razdelitev je predstavljena v tabeli. Opravili so tudi oceno potrebnih kadrovskih virov. Menijo, da bodo potreboval 10 dodatnih delovnih mest za delo na področju informacijske varnost. Ob dejstvu, da bodo zavezani izvajati popise za vse centralizirane organe in te podatke poslati vsakemu bistvenemu subjektu, kar bo pomenilo, da bodo organi na MDP naslavljali zahteve za pripravo poročil, politik, pomoč pri pripravi dokumentacije o neprekinjenem poslovanju, pomoč pri izvedbi ocene tveganja ipd. ocenjujejo, da potrebujejo dodatnih 10 novih zaposlitev na področju dela sistemske podpore. Poleg tega so identificirali dodatne finančne posledice na področju sistemske infrastrukture. Hramba vseh sedaj zahtevanih dnevniških zapisov za 2.000 virtualnih strežnikov, revizijskih sledi 500 aplikacij na DRO in prometnih podatkov HKOM omrežja, zahteva vsaj 150TB na mesec oziroma 900TB za šest mesecev.</w:t>
      </w:r>
    </w:p>
    <w:p w14:paraId="45FAD0BA"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r w:rsidRPr="00C50F53">
        <w:rPr>
          <w:rFonts w:cs="Arial"/>
          <w:b/>
          <w:bCs/>
          <w:szCs w:val="20"/>
          <w:lang w:val="sl-SI"/>
        </w:rPr>
        <w:t>Zagotovitev pogojev za delovanje sodnih organov</w:t>
      </w:r>
    </w:p>
    <w:p w14:paraId="422651E0" w14:textId="77777777" w:rsidR="00292739" w:rsidRPr="00C50F53" w:rsidRDefault="00292739" w:rsidP="00292739">
      <w:pPr>
        <w:spacing w:before="120" w:line="276" w:lineRule="auto"/>
        <w:jc w:val="both"/>
        <w:rPr>
          <w:rFonts w:cs="Arial"/>
          <w:szCs w:val="20"/>
          <w:lang w:val="sl-SI" w:eastAsia="sl-SI"/>
        </w:rPr>
      </w:pPr>
    </w:p>
    <w:tbl>
      <w:tblPr>
        <w:tblW w:w="8130" w:type="dxa"/>
        <w:tblCellMar>
          <w:left w:w="70" w:type="dxa"/>
          <w:right w:w="70" w:type="dxa"/>
        </w:tblCellMar>
        <w:tblLook w:val="04A0" w:firstRow="1" w:lastRow="0" w:firstColumn="1" w:lastColumn="0" w:noHBand="0" w:noVBand="1"/>
      </w:tblPr>
      <w:tblGrid>
        <w:gridCol w:w="419"/>
        <w:gridCol w:w="2542"/>
        <w:gridCol w:w="1309"/>
        <w:gridCol w:w="1242"/>
        <w:gridCol w:w="1309"/>
        <w:gridCol w:w="1309"/>
      </w:tblGrid>
      <w:tr w:rsidR="00292739" w:rsidRPr="00C50F53" w14:paraId="60EB54F4" w14:textId="77777777" w:rsidTr="00D92B7A">
        <w:trPr>
          <w:trHeight w:val="300"/>
        </w:trPr>
        <w:tc>
          <w:tcPr>
            <w:tcW w:w="2961" w:type="dxa"/>
            <w:gridSpan w:val="2"/>
            <w:tcBorders>
              <w:top w:val="nil"/>
              <w:left w:val="nil"/>
              <w:bottom w:val="single" w:sz="12" w:space="0" w:color="FFFFFF"/>
              <w:right w:val="single" w:sz="4" w:space="0" w:color="FFFFFF"/>
            </w:tcBorders>
            <w:shd w:val="clear" w:color="4472C4" w:fill="4472C4"/>
            <w:noWrap/>
            <w:vAlign w:val="center"/>
            <w:hideMark/>
          </w:tcPr>
          <w:p w14:paraId="531FE434" w14:textId="77777777" w:rsidR="00292739" w:rsidRPr="00C50F53" w:rsidRDefault="00292739" w:rsidP="00D92B7A">
            <w:pPr>
              <w:spacing w:line="276" w:lineRule="auto"/>
              <w:rPr>
                <w:rFonts w:cs="Arial"/>
                <w:b/>
                <w:bCs/>
                <w:color w:val="FFFFFF"/>
                <w:szCs w:val="20"/>
                <w:lang w:val="sl-SI" w:eastAsia="sl-SI"/>
              </w:rPr>
            </w:pPr>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14:paraId="098272F7" w14:textId="106B891E" w:rsidR="00292739" w:rsidRPr="00C50F53" w:rsidRDefault="00A44224"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14:paraId="6C811990"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+ 1</w:t>
            </w:r>
          </w:p>
        </w:tc>
        <w:tc>
          <w:tcPr>
            <w:tcW w:w="1309" w:type="dxa"/>
            <w:tcBorders>
              <w:top w:val="nil"/>
              <w:left w:val="single" w:sz="4" w:space="0" w:color="FFFFFF"/>
              <w:bottom w:val="single" w:sz="12" w:space="0" w:color="FFFFFF"/>
              <w:right w:val="nil"/>
            </w:tcBorders>
            <w:shd w:val="clear" w:color="4472C4" w:fill="4472C4"/>
            <w:noWrap/>
            <w:vAlign w:val="center"/>
            <w:hideMark/>
          </w:tcPr>
          <w:p w14:paraId="2FBE8D1E"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+ 2</w:t>
            </w:r>
          </w:p>
        </w:tc>
        <w:tc>
          <w:tcPr>
            <w:tcW w:w="1309" w:type="dxa"/>
            <w:tcBorders>
              <w:top w:val="nil"/>
              <w:left w:val="single" w:sz="4" w:space="0" w:color="FFFFFF"/>
              <w:bottom w:val="single" w:sz="12" w:space="0" w:color="FFFFFF"/>
              <w:right w:val="nil"/>
            </w:tcBorders>
            <w:shd w:val="clear" w:color="4472C4" w:fill="4472C4"/>
          </w:tcPr>
          <w:p w14:paraId="3C388FA4"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+ 3</w:t>
            </w:r>
          </w:p>
        </w:tc>
      </w:tr>
      <w:tr w:rsidR="00292739" w:rsidRPr="00C50F53" w14:paraId="6C21C1F2"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hideMark/>
          </w:tcPr>
          <w:p w14:paraId="3F26EE55" w14:textId="77777777" w:rsidR="00292739" w:rsidRPr="00C50F53" w:rsidRDefault="00292739" w:rsidP="00D92B7A">
            <w:pPr>
              <w:spacing w:line="276" w:lineRule="auto"/>
              <w:jc w:val="center"/>
              <w:rPr>
                <w:rFonts w:cs="Arial"/>
                <w:b/>
                <w:bCs/>
                <w:color w:val="FFFFFF"/>
                <w:szCs w:val="20"/>
                <w:lang w:val="sl-SI" w:eastAsia="sl-SI"/>
              </w:rPr>
            </w:pPr>
          </w:p>
        </w:tc>
        <w:tc>
          <w:tcPr>
            <w:tcW w:w="25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5391F69D" w14:textId="77777777" w:rsidR="00292739" w:rsidRPr="00C50F53" w:rsidRDefault="00292739" w:rsidP="00D92B7A">
            <w:pPr>
              <w:spacing w:line="276" w:lineRule="auto"/>
              <w:rPr>
                <w:rFonts w:cs="Arial"/>
                <w:b/>
                <w:bCs/>
                <w:color w:val="000000"/>
                <w:szCs w:val="20"/>
                <w:lang w:val="sl-SI" w:eastAsia="sl-SI"/>
              </w:rPr>
            </w:pPr>
            <w:r w:rsidRPr="00C50F53">
              <w:rPr>
                <w:rFonts w:cs="Arial"/>
                <w:b/>
                <w:bCs/>
                <w:color w:val="000000"/>
                <w:szCs w:val="20"/>
                <w:lang w:val="sl-SI" w:eastAsia="sl-SI"/>
              </w:rPr>
              <w:t>Kategorija/leto</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1AEC6AB"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2025</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49085B99"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2026</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14:paraId="60AECF60"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2027</w:t>
            </w:r>
          </w:p>
        </w:tc>
        <w:tc>
          <w:tcPr>
            <w:tcW w:w="1309" w:type="dxa"/>
            <w:tcBorders>
              <w:top w:val="single" w:sz="4" w:space="0" w:color="FFFFFF"/>
              <w:left w:val="single" w:sz="4" w:space="0" w:color="FFFFFF"/>
              <w:bottom w:val="single" w:sz="4" w:space="0" w:color="FFFFFF"/>
              <w:right w:val="nil"/>
            </w:tcBorders>
            <w:shd w:val="clear" w:color="B4C6E7" w:fill="B4C6E7"/>
          </w:tcPr>
          <w:p w14:paraId="2D568B10" w14:textId="77777777" w:rsidR="00292739" w:rsidRPr="00C50F53" w:rsidRDefault="00292739" w:rsidP="00D92B7A">
            <w:pPr>
              <w:spacing w:line="276" w:lineRule="auto"/>
              <w:jc w:val="center"/>
              <w:rPr>
                <w:rFonts w:cs="Arial"/>
                <w:b/>
                <w:bCs/>
                <w:color w:val="000000"/>
                <w:szCs w:val="20"/>
                <w:lang w:val="sl-SI"/>
              </w:rPr>
            </w:pPr>
            <w:r w:rsidRPr="00C50F53">
              <w:rPr>
                <w:rFonts w:cs="Arial"/>
                <w:b/>
                <w:bCs/>
                <w:color w:val="000000"/>
                <w:szCs w:val="20"/>
                <w:lang w:val="sl-SI"/>
              </w:rPr>
              <w:t>2028</w:t>
            </w:r>
          </w:p>
        </w:tc>
      </w:tr>
      <w:tr w:rsidR="00292739" w:rsidRPr="00C50F53" w14:paraId="2C889889"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hideMark/>
          </w:tcPr>
          <w:p w14:paraId="661A58A6" w14:textId="77777777" w:rsidR="00292739" w:rsidRPr="00C50F53" w:rsidRDefault="00292739" w:rsidP="00B76F4E">
            <w:pPr>
              <w:spacing w:line="276" w:lineRule="auto"/>
              <w:jc w:val="center"/>
              <w:rPr>
                <w:rFonts w:cs="Arial"/>
                <w:color w:val="000000"/>
                <w:szCs w:val="20"/>
                <w:lang w:val="sl-SI" w:eastAsia="sl-SI"/>
              </w:rPr>
            </w:pPr>
            <w:r w:rsidRPr="00C50F53">
              <w:rPr>
                <w:rFonts w:cs="Arial"/>
                <w:color w:val="000000"/>
                <w:szCs w:val="20"/>
                <w:lang w:val="sl-SI" w:eastAsia="sl-SI"/>
              </w:rPr>
              <w:t>1.</w:t>
            </w:r>
          </w:p>
        </w:tc>
        <w:tc>
          <w:tcPr>
            <w:tcW w:w="2542"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BC7BC56" w14:textId="77777777" w:rsidR="00292739" w:rsidRPr="00C50F53" w:rsidRDefault="00292739" w:rsidP="00D92B7A">
            <w:pPr>
              <w:spacing w:line="276" w:lineRule="auto"/>
              <w:rPr>
                <w:rFonts w:cs="Arial"/>
                <w:color w:val="000000"/>
                <w:szCs w:val="20"/>
                <w:lang w:val="sl-SI" w:eastAsia="sl-SI"/>
              </w:rPr>
            </w:pPr>
            <w:r w:rsidRPr="00C50F53">
              <w:rPr>
                <w:rFonts w:cs="Arial"/>
                <w:color w:val="000000"/>
                <w:szCs w:val="20"/>
                <w:lang w:val="sl-SI" w:eastAsia="sl-SI"/>
              </w:rPr>
              <w:t xml:space="preserve">Upravno sodišče RS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5890F586" w14:textId="77777777" w:rsidR="00292739" w:rsidRPr="00C50F53" w:rsidRDefault="00292739" w:rsidP="00D92B7A">
            <w:pPr>
              <w:spacing w:line="276" w:lineRule="auto"/>
              <w:jc w:val="right"/>
              <w:rPr>
                <w:rFonts w:cs="Arial"/>
                <w:color w:val="000000"/>
                <w:szCs w:val="20"/>
                <w:lang w:val="sl-SI"/>
              </w:rPr>
            </w:pPr>
            <w:r>
              <w:rPr>
                <w:rFonts w:cs="Arial"/>
                <w:color w:val="000000"/>
                <w:szCs w:val="20"/>
                <w:lang w:val="sl-SI"/>
              </w:rPr>
              <w:t>196</w:t>
            </w:r>
            <w:r w:rsidRPr="00C50F53">
              <w:rPr>
                <w:rFonts w:cs="Arial"/>
                <w:color w:val="000000"/>
                <w:szCs w:val="20"/>
                <w:lang w:val="sl-SI"/>
              </w:rPr>
              <w:t>.</w:t>
            </w:r>
            <w:r>
              <w:rPr>
                <w:rFonts w:cs="Arial"/>
                <w:color w:val="000000"/>
                <w:szCs w:val="20"/>
                <w:lang w:val="sl-SI"/>
              </w:rPr>
              <w:t>171</w:t>
            </w:r>
            <w:r w:rsidRPr="00C50F53">
              <w:rPr>
                <w:rFonts w:cs="Arial"/>
                <w:color w:val="000000"/>
                <w:szCs w:val="20"/>
                <w:lang w:val="sl-SI"/>
              </w:rPr>
              <w:t xml:space="preserve">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4C27FE0E" w14:textId="77777777" w:rsidR="00292739" w:rsidRPr="00C50F53" w:rsidRDefault="00292739" w:rsidP="00D92B7A">
            <w:pPr>
              <w:spacing w:line="276" w:lineRule="auto"/>
              <w:jc w:val="right"/>
              <w:rPr>
                <w:rFonts w:cs="Arial"/>
                <w:color w:val="000000"/>
                <w:szCs w:val="20"/>
                <w:lang w:val="sl-SI"/>
              </w:rPr>
            </w:pPr>
            <w:r w:rsidRPr="00C50F53">
              <w:rPr>
                <w:rFonts w:cs="Arial"/>
                <w:color w:val="000000"/>
                <w:szCs w:val="20"/>
                <w:lang w:val="sl-SI"/>
              </w:rPr>
              <w:t>392.342 €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14:paraId="354A39E6" w14:textId="77777777" w:rsidR="00292739" w:rsidRPr="00C50F53" w:rsidRDefault="00292739" w:rsidP="00D92B7A">
            <w:pPr>
              <w:spacing w:line="276" w:lineRule="auto"/>
              <w:jc w:val="right"/>
              <w:rPr>
                <w:rFonts w:cs="Arial"/>
                <w:color w:val="000000"/>
                <w:szCs w:val="20"/>
                <w:lang w:val="sl-SI"/>
              </w:rPr>
            </w:pPr>
            <w:r w:rsidRPr="00C50F53">
              <w:rPr>
                <w:rFonts w:cs="Arial"/>
                <w:color w:val="000000"/>
                <w:szCs w:val="20"/>
                <w:lang w:val="sl-SI"/>
              </w:rPr>
              <w:t>392.342 €</w:t>
            </w:r>
          </w:p>
        </w:tc>
        <w:tc>
          <w:tcPr>
            <w:tcW w:w="1309" w:type="dxa"/>
            <w:tcBorders>
              <w:top w:val="single" w:sz="4" w:space="0" w:color="FFFFFF"/>
              <w:left w:val="single" w:sz="4" w:space="0" w:color="FFFFFF"/>
              <w:bottom w:val="single" w:sz="4" w:space="0" w:color="FFFFFF"/>
              <w:right w:val="nil"/>
            </w:tcBorders>
            <w:shd w:val="clear" w:color="D9E1F2" w:fill="D9E1F2"/>
          </w:tcPr>
          <w:p w14:paraId="7B9C0C16" w14:textId="77777777" w:rsidR="00292739" w:rsidRPr="00C50F53" w:rsidRDefault="00292739" w:rsidP="00D92B7A">
            <w:pPr>
              <w:spacing w:line="276" w:lineRule="auto"/>
              <w:jc w:val="right"/>
              <w:rPr>
                <w:rFonts w:cs="Arial"/>
                <w:color w:val="000000"/>
                <w:szCs w:val="20"/>
                <w:lang w:val="sl-SI"/>
              </w:rPr>
            </w:pPr>
            <w:r w:rsidRPr="00C50F53">
              <w:rPr>
                <w:rFonts w:cs="Arial"/>
                <w:color w:val="000000"/>
                <w:szCs w:val="20"/>
                <w:lang w:val="sl-SI"/>
              </w:rPr>
              <w:t>392.342 €</w:t>
            </w:r>
          </w:p>
        </w:tc>
      </w:tr>
    </w:tbl>
    <w:p w14:paraId="0F509305" w14:textId="77777777" w:rsidR="00292739" w:rsidRDefault="00292739" w:rsidP="00292739">
      <w:pPr>
        <w:spacing w:before="120" w:after="360" w:line="276" w:lineRule="auto"/>
        <w:jc w:val="both"/>
        <w:rPr>
          <w:rFonts w:cs="Arial"/>
          <w:szCs w:val="20"/>
          <w:lang w:val="sl-SI" w:eastAsia="sl-SI"/>
        </w:rPr>
      </w:pPr>
      <w:r w:rsidRPr="00C50F53">
        <w:rPr>
          <w:rFonts w:cs="Arial"/>
          <w:szCs w:val="20"/>
          <w:lang w:val="sl-SI" w:eastAsia="sl-SI"/>
        </w:rPr>
        <w:t>Upravno sodišče Republike Slovenije ocenjuje, da finančne posledice predloga zakona na področju pravosodnih organov obsegajo zagotovitev dodatnih štirih sodniških mest in štirih mest pravosodnih svetnikov. Na letni ravni zanašajo finančne posledice za sodnike: 4 x 60.882 eurov, kar znaša 243.528 eurov in za pravosodne svetnike: 4 x 37.203,60 eurov, kar znaša 148.814,40 eurov oziroma skupaj 392.342,40 eurov.</w:t>
      </w:r>
    </w:p>
    <w:p w14:paraId="2124D2BA" w14:textId="77777777" w:rsidR="00292739" w:rsidRPr="00C50F53" w:rsidRDefault="00292739" w:rsidP="00292739">
      <w:pPr>
        <w:pStyle w:val="Odstavekseznama"/>
        <w:numPr>
          <w:ilvl w:val="0"/>
          <w:numId w:val="16"/>
        </w:numPr>
        <w:tabs>
          <w:tab w:val="left" w:pos="1440"/>
        </w:tabs>
        <w:spacing w:line="276" w:lineRule="auto"/>
        <w:jc w:val="both"/>
        <w:rPr>
          <w:rFonts w:cs="Arial"/>
          <w:b/>
          <w:bCs/>
          <w:szCs w:val="20"/>
          <w:lang w:val="sl-SI"/>
        </w:rPr>
      </w:pPr>
      <w:r w:rsidRPr="00C50F53">
        <w:rPr>
          <w:rFonts w:cs="Arial"/>
          <w:b/>
          <w:bCs/>
          <w:szCs w:val="20"/>
          <w:lang w:val="sl-SI"/>
        </w:rPr>
        <w:t xml:space="preserve">Zagotovitev pogojev za delovanje </w:t>
      </w:r>
      <w:r>
        <w:rPr>
          <w:rFonts w:cs="Arial"/>
          <w:b/>
          <w:bCs/>
          <w:szCs w:val="20"/>
          <w:lang w:val="sl-SI"/>
        </w:rPr>
        <w:t>mestnih občin</w:t>
      </w:r>
    </w:p>
    <w:p w14:paraId="1CB4EDFB" w14:textId="77777777" w:rsidR="00292739" w:rsidRPr="00C50F53" w:rsidRDefault="00292739" w:rsidP="00292739">
      <w:pPr>
        <w:spacing w:before="120" w:line="276" w:lineRule="auto"/>
        <w:jc w:val="both"/>
        <w:rPr>
          <w:rFonts w:cs="Arial"/>
          <w:szCs w:val="20"/>
          <w:lang w:val="sl-SI" w:eastAsia="sl-SI"/>
        </w:rPr>
      </w:pPr>
    </w:p>
    <w:tbl>
      <w:tblPr>
        <w:tblW w:w="8130" w:type="dxa"/>
        <w:tblCellMar>
          <w:left w:w="70" w:type="dxa"/>
          <w:right w:w="70" w:type="dxa"/>
        </w:tblCellMar>
        <w:tblLook w:val="04A0" w:firstRow="1" w:lastRow="0" w:firstColumn="1" w:lastColumn="0" w:noHBand="0" w:noVBand="1"/>
      </w:tblPr>
      <w:tblGrid>
        <w:gridCol w:w="419"/>
        <w:gridCol w:w="2542"/>
        <w:gridCol w:w="1309"/>
        <w:gridCol w:w="1242"/>
        <w:gridCol w:w="1309"/>
        <w:gridCol w:w="1309"/>
      </w:tblGrid>
      <w:tr w:rsidR="00292739" w:rsidRPr="00C50F53" w14:paraId="7CA40152" w14:textId="77777777" w:rsidTr="00D92B7A">
        <w:trPr>
          <w:trHeight w:val="300"/>
        </w:trPr>
        <w:tc>
          <w:tcPr>
            <w:tcW w:w="2961" w:type="dxa"/>
            <w:gridSpan w:val="2"/>
            <w:tcBorders>
              <w:top w:val="nil"/>
              <w:left w:val="nil"/>
              <w:bottom w:val="single" w:sz="12" w:space="0" w:color="FFFFFF"/>
              <w:right w:val="single" w:sz="4" w:space="0" w:color="FFFFFF"/>
            </w:tcBorders>
            <w:shd w:val="clear" w:color="4472C4" w:fill="4472C4"/>
            <w:noWrap/>
            <w:vAlign w:val="center"/>
            <w:hideMark/>
          </w:tcPr>
          <w:p w14:paraId="641A89CD" w14:textId="77777777" w:rsidR="00292739" w:rsidRPr="00C50F53" w:rsidRDefault="00292739" w:rsidP="00D92B7A">
            <w:pPr>
              <w:spacing w:line="276" w:lineRule="auto"/>
              <w:rPr>
                <w:rFonts w:cs="Arial"/>
                <w:b/>
                <w:bCs/>
                <w:color w:val="FFFFFF"/>
                <w:szCs w:val="20"/>
                <w:lang w:val="sl-SI" w:eastAsia="sl-SI"/>
              </w:rPr>
            </w:pPr>
          </w:p>
        </w:tc>
        <w:tc>
          <w:tcPr>
            <w:tcW w:w="1309" w:type="dxa"/>
            <w:tcBorders>
              <w:top w:val="nil"/>
              <w:left w:val="single" w:sz="4" w:space="0" w:color="FFFFFF"/>
              <w:bottom w:val="single" w:sz="12" w:space="0" w:color="FFFFFF"/>
              <w:right w:val="single" w:sz="4" w:space="0" w:color="FFFFFF"/>
            </w:tcBorders>
            <w:shd w:val="clear" w:color="4472C4" w:fill="4472C4"/>
            <w:noWrap/>
            <w:vAlign w:val="center"/>
            <w:hideMark/>
          </w:tcPr>
          <w:p w14:paraId="69257295" w14:textId="672BAD3F" w:rsidR="00292739" w:rsidRPr="00C50F53" w:rsidRDefault="00A44224"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w:t>
            </w:r>
          </w:p>
        </w:tc>
        <w:tc>
          <w:tcPr>
            <w:tcW w:w="1242" w:type="dxa"/>
            <w:tcBorders>
              <w:top w:val="nil"/>
              <w:left w:val="single" w:sz="4" w:space="0" w:color="FFFFFF"/>
              <w:bottom w:val="single" w:sz="12" w:space="0" w:color="FFFFFF"/>
              <w:right w:val="single" w:sz="4" w:space="0" w:color="FFFFFF"/>
            </w:tcBorders>
            <w:shd w:val="clear" w:color="4472C4" w:fill="4472C4"/>
            <w:noWrap/>
            <w:vAlign w:val="center"/>
            <w:hideMark/>
          </w:tcPr>
          <w:p w14:paraId="5CA9BAA9"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+ 1</w:t>
            </w:r>
          </w:p>
        </w:tc>
        <w:tc>
          <w:tcPr>
            <w:tcW w:w="1309" w:type="dxa"/>
            <w:tcBorders>
              <w:top w:val="nil"/>
              <w:left w:val="single" w:sz="4" w:space="0" w:color="FFFFFF"/>
              <w:bottom w:val="single" w:sz="12" w:space="0" w:color="FFFFFF"/>
              <w:right w:val="nil"/>
            </w:tcBorders>
            <w:shd w:val="clear" w:color="4472C4" w:fill="4472C4"/>
            <w:noWrap/>
            <w:vAlign w:val="center"/>
            <w:hideMark/>
          </w:tcPr>
          <w:p w14:paraId="766ABAE2"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+ 2</w:t>
            </w:r>
          </w:p>
        </w:tc>
        <w:tc>
          <w:tcPr>
            <w:tcW w:w="1309" w:type="dxa"/>
            <w:tcBorders>
              <w:top w:val="nil"/>
              <w:left w:val="single" w:sz="4" w:space="0" w:color="FFFFFF"/>
              <w:bottom w:val="single" w:sz="12" w:space="0" w:color="FFFFFF"/>
              <w:right w:val="nil"/>
            </w:tcBorders>
            <w:shd w:val="clear" w:color="4472C4" w:fill="4472C4"/>
          </w:tcPr>
          <w:p w14:paraId="779079F7" w14:textId="77777777" w:rsidR="00292739" w:rsidRPr="00C50F53" w:rsidRDefault="00292739" w:rsidP="00D92B7A">
            <w:pPr>
              <w:spacing w:line="276" w:lineRule="auto"/>
              <w:jc w:val="center"/>
              <w:rPr>
                <w:rFonts w:cs="Arial"/>
                <w:b/>
                <w:bCs/>
                <w:color w:val="FFFFFF"/>
                <w:szCs w:val="20"/>
                <w:lang w:val="sl-SI" w:eastAsia="sl-SI"/>
              </w:rPr>
            </w:pPr>
            <w:r w:rsidRPr="00C50F53">
              <w:rPr>
                <w:rFonts w:cs="Arial"/>
                <w:b/>
                <w:bCs/>
                <w:color w:val="FFFFFF"/>
                <w:szCs w:val="20"/>
                <w:lang w:val="sl-SI" w:eastAsia="sl-SI"/>
              </w:rPr>
              <w:t>t + 3</w:t>
            </w:r>
          </w:p>
        </w:tc>
      </w:tr>
      <w:tr w:rsidR="00292739" w:rsidRPr="00C50F53" w14:paraId="060C0477"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B4C6E7" w:fill="B4C6E7"/>
            <w:noWrap/>
            <w:vAlign w:val="center"/>
            <w:hideMark/>
          </w:tcPr>
          <w:p w14:paraId="3AD3AC16" w14:textId="77777777" w:rsidR="00292739" w:rsidRPr="00C50F53" w:rsidRDefault="00292739" w:rsidP="00D92B7A">
            <w:pPr>
              <w:spacing w:line="276" w:lineRule="auto"/>
              <w:jc w:val="center"/>
              <w:rPr>
                <w:rFonts w:cs="Arial"/>
                <w:b/>
                <w:bCs/>
                <w:color w:val="FFFFFF"/>
                <w:szCs w:val="20"/>
                <w:lang w:val="sl-SI" w:eastAsia="sl-SI"/>
              </w:rPr>
            </w:pPr>
          </w:p>
        </w:tc>
        <w:tc>
          <w:tcPr>
            <w:tcW w:w="25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657DA739" w14:textId="77777777" w:rsidR="00292739" w:rsidRPr="00C50F53" w:rsidRDefault="00292739" w:rsidP="00D92B7A">
            <w:pPr>
              <w:spacing w:line="276" w:lineRule="auto"/>
              <w:rPr>
                <w:rFonts w:cs="Arial"/>
                <w:b/>
                <w:bCs/>
                <w:color w:val="000000"/>
                <w:szCs w:val="20"/>
                <w:lang w:val="sl-SI" w:eastAsia="sl-SI"/>
              </w:rPr>
            </w:pPr>
            <w:r w:rsidRPr="00C50F53">
              <w:rPr>
                <w:rFonts w:cs="Arial"/>
                <w:b/>
                <w:bCs/>
                <w:color w:val="000000"/>
                <w:szCs w:val="20"/>
                <w:lang w:val="sl-SI" w:eastAsia="sl-SI"/>
              </w:rPr>
              <w:t>Kategorija/leto</w:t>
            </w:r>
          </w:p>
        </w:tc>
        <w:tc>
          <w:tcPr>
            <w:tcW w:w="1309"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208530BE"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2025</w:t>
            </w:r>
          </w:p>
        </w:tc>
        <w:tc>
          <w:tcPr>
            <w:tcW w:w="1242" w:type="dxa"/>
            <w:tcBorders>
              <w:top w:val="single" w:sz="4" w:space="0" w:color="FFFFFF"/>
              <w:left w:val="single" w:sz="4" w:space="0" w:color="FFFFFF"/>
              <w:bottom w:val="single" w:sz="4" w:space="0" w:color="FFFFFF"/>
              <w:right w:val="single" w:sz="4" w:space="0" w:color="FFFFFF"/>
            </w:tcBorders>
            <w:shd w:val="clear" w:color="B4C6E7" w:fill="B4C6E7"/>
            <w:noWrap/>
            <w:vAlign w:val="center"/>
            <w:hideMark/>
          </w:tcPr>
          <w:p w14:paraId="30ABA63E"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2026</w:t>
            </w:r>
          </w:p>
        </w:tc>
        <w:tc>
          <w:tcPr>
            <w:tcW w:w="1309" w:type="dxa"/>
            <w:tcBorders>
              <w:top w:val="single" w:sz="4" w:space="0" w:color="FFFFFF"/>
              <w:left w:val="single" w:sz="4" w:space="0" w:color="FFFFFF"/>
              <w:bottom w:val="single" w:sz="4" w:space="0" w:color="FFFFFF"/>
              <w:right w:val="nil"/>
            </w:tcBorders>
            <w:shd w:val="clear" w:color="B4C6E7" w:fill="B4C6E7"/>
            <w:noWrap/>
            <w:vAlign w:val="center"/>
            <w:hideMark/>
          </w:tcPr>
          <w:p w14:paraId="44155B5C" w14:textId="77777777" w:rsidR="00292739" w:rsidRPr="00C50F53" w:rsidRDefault="00292739" w:rsidP="00D92B7A">
            <w:pPr>
              <w:spacing w:line="276" w:lineRule="auto"/>
              <w:jc w:val="center"/>
              <w:rPr>
                <w:rFonts w:cs="Arial"/>
                <w:b/>
                <w:bCs/>
                <w:color w:val="000000"/>
                <w:szCs w:val="20"/>
                <w:lang w:val="sl-SI" w:eastAsia="sl-SI"/>
              </w:rPr>
            </w:pPr>
            <w:r w:rsidRPr="00C50F53">
              <w:rPr>
                <w:rFonts w:cs="Arial"/>
                <w:b/>
                <w:bCs/>
                <w:color w:val="000000"/>
                <w:szCs w:val="20"/>
                <w:lang w:val="sl-SI"/>
              </w:rPr>
              <w:t>2027</w:t>
            </w:r>
          </w:p>
        </w:tc>
        <w:tc>
          <w:tcPr>
            <w:tcW w:w="1309" w:type="dxa"/>
            <w:tcBorders>
              <w:top w:val="single" w:sz="4" w:space="0" w:color="FFFFFF"/>
              <w:left w:val="single" w:sz="4" w:space="0" w:color="FFFFFF"/>
              <w:bottom w:val="single" w:sz="4" w:space="0" w:color="FFFFFF"/>
              <w:right w:val="nil"/>
            </w:tcBorders>
            <w:shd w:val="clear" w:color="B4C6E7" w:fill="B4C6E7"/>
          </w:tcPr>
          <w:p w14:paraId="025EB32A" w14:textId="77777777" w:rsidR="00292739" w:rsidRPr="00C50F53" w:rsidRDefault="00292739" w:rsidP="00D92B7A">
            <w:pPr>
              <w:spacing w:line="276" w:lineRule="auto"/>
              <w:jc w:val="center"/>
              <w:rPr>
                <w:rFonts w:cs="Arial"/>
                <w:b/>
                <w:bCs/>
                <w:color w:val="000000"/>
                <w:szCs w:val="20"/>
                <w:lang w:val="sl-SI"/>
              </w:rPr>
            </w:pPr>
            <w:r w:rsidRPr="00C50F53">
              <w:rPr>
                <w:rFonts w:cs="Arial"/>
                <w:b/>
                <w:bCs/>
                <w:color w:val="000000"/>
                <w:szCs w:val="20"/>
                <w:lang w:val="sl-SI"/>
              </w:rPr>
              <w:t>2028</w:t>
            </w:r>
          </w:p>
        </w:tc>
      </w:tr>
      <w:tr w:rsidR="00292739" w:rsidRPr="00C50F53" w14:paraId="17122CE9" w14:textId="77777777" w:rsidTr="00D92B7A">
        <w:trPr>
          <w:trHeight w:val="300"/>
        </w:trPr>
        <w:tc>
          <w:tcPr>
            <w:tcW w:w="419" w:type="dxa"/>
            <w:tcBorders>
              <w:top w:val="single" w:sz="4" w:space="0" w:color="FFFFFF"/>
              <w:left w:val="nil"/>
              <w:bottom w:val="single" w:sz="4" w:space="0" w:color="FFFFFF"/>
              <w:right w:val="single" w:sz="4" w:space="0" w:color="FFFFFF"/>
            </w:tcBorders>
            <w:shd w:val="clear" w:color="D9E1F2" w:fill="D9E1F2"/>
            <w:noWrap/>
            <w:vAlign w:val="center"/>
            <w:hideMark/>
          </w:tcPr>
          <w:p w14:paraId="1613F12C" w14:textId="77777777" w:rsidR="00292739" w:rsidRPr="00C50F53" w:rsidRDefault="00292739" w:rsidP="00B76F4E">
            <w:pPr>
              <w:spacing w:line="276" w:lineRule="auto"/>
              <w:jc w:val="center"/>
              <w:rPr>
                <w:rFonts w:cs="Arial"/>
                <w:color w:val="000000"/>
                <w:szCs w:val="20"/>
                <w:lang w:val="sl-SI" w:eastAsia="sl-SI"/>
              </w:rPr>
            </w:pPr>
            <w:r w:rsidRPr="00C50F53">
              <w:rPr>
                <w:rFonts w:cs="Arial"/>
                <w:color w:val="000000"/>
                <w:szCs w:val="20"/>
                <w:lang w:val="sl-SI" w:eastAsia="sl-SI"/>
              </w:rPr>
              <w:t>1.</w:t>
            </w:r>
          </w:p>
        </w:tc>
        <w:tc>
          <w:tcPr>
            <w:tcW w:w="2542" w:type="dxa"/>
            <w:tcBorders>
              <w:top w:val="single" w:sz="4" w:space="0" w:color="FFFFFF"/>
              <w:left w:val="single" w:sz="4" w:space="0" w:color="FFFFFF"/>
              <w:bottom w:val="single" w:sz="4" w:space="0" w:color="FFFFFF"/>
              <w:right w:val="single" w:sz="4" w:space="0" w:color="FFFFFF"/>
            </w:tcBorders>
            <w:shd w:val="clear" w:color="D9E1F2" w:fill="D9E1F2"/>
            <w:noWrap/>
            <w:vAlign w:val="center"/>
            <w:hideMark/>
          </w:tcPr>
          <w:p w14:paraId="1617E857" w14:textId="77777777" w:rsidR="00292739" w:rsidRPr="00C50F53" w:rsidRDefault="00292739" w:rsidP="00D92B7A">
            <w:pPr>
              <w:spacing w:line="276" w:lineRule="auto"/>
              <w:rPr>
                <w:rFonts w:cs="Arial"/>
                <w:color w:val="000000"/>
                <w:szCs w:val="20"/>
                <w:lang w:val="sl-SI" w:eastAsia="sl-SI"/>
              </w:rPr>
            </w:pPr>
            <w:r>
              <w:rPr>
                <w:rFonts w:cs="Arial"/>
                <w:color w:val="000000"/>
                <w:szCs w:val="20"/>
                <w:lang w:val="sl-SI" w:eastAsia="sl-SI"/>
              </w:rPr>
              <w:t>Mestne občine</w:t>
            </w:r>
            <w:r w:rsidRPr="00C50F53">
              <w:rPr>
                <w:rFonts w:cs="Arial"/>
                <w:color w:val="000000"/>
                <w:szCs w:val="20"/>
                <w:lang w:val="sl-SI" w:eastAsia="sl-SI"/>
              </w:rPr>
              <w:t xml:space="preserve"> </w:t>
            </w:r>
          </w:p>
        </w:tc>
        <w:tc>
          <w:tcPr>
            <w:tcW w:w="1309"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2E390126" w14:textId="77777777" w:rsidR="00292739" w:rsidRPr="00C50F53" w:rsidRDefault="00292739" w:rsidP="00D92B7A">
            <w:pPr>
              <w:spacing w:line="276" w:lineRule="auto"/>
              <w:jc w:val="right"/>
              <w:rPr>
                <w:rFonts w:cs="Arial"/>
                <w:color w:val="000000"/>
                <w:szCs w:val="20"/>
                <w:lang w:val="sl-SI"/>
              </w:rPr>
            </w:pPr>
            <w:r>
              <w:rPr>
                <w:rFonts w:cs="Arial"/>
                <w:color w:val="000000"/>
                <w:szCs w:val="20"/>
                <w:lang w:val="sl-SI"/>
              </w:rPr>
              <w:t>1.500.000</w:t>
            </w:r>
            <w:r w:rsidRPr="00C50F53">
              <w:rPr>
                <w:rFonts w:cs="Arial"/>
                <w:color w:val="000000"/>
                <w:szCs w:val="20"/>
                <w:lang w:val="sl-SI"/>
              </w:rPr>
              <w:t xml:space="preserve"> €</w:t>
            </w:r>
          </w:p>
        </w:tc>
        <w:tc>
          <w:tcPr>
            <w:tcW w:w="1242" w:type="dxa"/>
            <w:tcBorders>
              <w:top w:val="single" w:sz="4" w:space="0" w:color="FFFFFF"/>
              <w:left w:val="single" w:sz="4" w:space="0" w:color="FFFFFF"/>
              <w:bottom w:val="single" w:sz="4" w:space="0" w:color="FFFFFF"/>
              <w:right w:val="single" w:sz="4" w:space="0" w:color="FFFFFF"/>
            </w:tcBorders>
            <w:shd w:val="clear" w:color="D9E1F2" w:fill="D9E1F2"/>
            <w:noWrap/>
            <w:vAlign w:val="center"/>
          </w:tcPr>
          <w:p w14:paraId="5BEDDF17" w14:textId="77777777" w:rsidR="00292739" w:rsidRPr="00C50F53" w:rsidRDefault="00292739" w:rsidP="00D92B7A">
            <w:pPr>
              <w:spacing w:line="276" w:lineRule="auto"/>
              <w:jc w:val="right"/>
              <w:rPr>
                <w:rFonts w:cs="Arial"/>
                <w:color w:val="000000"/>
                <w:szCs w:val="20"/>
                <w:lang w:val="sl-SI"/>
              </w:rPr>
            </w:pPr>
            <w:r>
              <w:rPr>
                <w:rFonts w:cs="Arial"/>
                <w:color w:val="000000"/>
                <w:szCs w:val="20"/>
                <w:lang w:val="sl-SI"/>
              </w:rPr>
              <w:t>2.100.000</w:t>
            </w:r>
            <w:r w:rsidRPr="00C50F53">
              <w:rPr>
                <w:rFonts w:cs="Arial"/>
                <w:color w:val="000000"/>
                <w:szCs w:val="20"/>
                <w:lang w:val="sl-SI"/>
              </w:rPr>
              <w:t xml:space="preserve"> €</w:t>
            </w:r>
          </w:p>
        </w:tc>
        <w:tc>
          <w:tcPr>
            <w:tcW w:w="1309" w:type="dxa"/>
            <w:tcBorders>
              <w:top w:val="single" w:sz="4" w:space="0" w:color="FFFFFF"/>
              <w:left w:val="single" w:sz="4" w:space="0" w:color="FFFFFF"/>
              <w:bottom w:val="single" w:sz="4" w:space="0" w:color="FFFFFF"/>
              <w:right w:val="nil"/>
            </w:tcBorders>
            <w:shd w:val="clear" w:color="D9E1F2" w:fill="D9E1F2"/>
            <w:noWrap/>
            <w:vAlign w:val="center"/>
          </w:tcPr>
          <w:p w14:paraId="4F94541A" w14:textId="77777777" w:rsidR="00292739" w:rsidRPr="00C50F53" w:rsidRDefault="00292739" w:rsidP="00D92B7A">
            <w:pPr>
              <w:spacing w:line="276" w:lineRule="auto"/>
              <w:jc w:val="right"/>
              <w:rPr>
                <w:rFonts w:cs="Arial"/>
                <w:color w:val="000000"/>
                <w:szCs w:val="20"/>
                <w:lang w:val="sl-SI"/>
              </w:rPr>
            </w:pPr>
            <w:r>
              <w:rPr>
                <w:rFonts w:cs="Arial"/>
                <w:color w:val="000000"/>
                <w:szCs w:val="20"/>
                <w:lang w:val="sl-SI"/>
              </w:rPr>
              <w:t>2.100.000</w:t>
            </w:r>
            <w:r w:rsidRPr="00C50F53">
              <w:rPr>
                <w:rFonts w:cs="Arial"/>
                <w:color w:val="000000"/>
                <w:szCs w:val="20"/>
                <w:lang w:val="sl-SI"/>
              </w:rPr>
              <w:t xml:space="preserve"> €</w:t>
            </w:r>
          </w:p>
        </w:tc>
        <w:tc>
          <w:tcPr>
            <w:tcW w:w="1309" w:type="dxa"/>
            <w:tcBorders>
              <w:top w:val="single" w:sz="4" w:space="0" w:color="FFFFFF"/>
              <w:left w:val="single" w:sz="4" w:space="0" w:color="FFFFFF"/>
              <w:bottom w:val="single" w:sz="4" w:space="0" w:color="FFFFFF"/>
              <w:right w:val="nil"/>
            </w:tcBorders>
            <w:shd w:val="clear" w:color="D9E1F2" w:fill="D9E1F2"/>
          </w:tcPr>
          <w:p w14:paraId="086B4A68" w14:textId="77777777" w:rsidR="00292739" w:rsidRPr="00C50F53" w:rsidRDefault="00292739" w:rsidP="00D92B7A">
            <w:pPr>
              <w:spacing w:line="276" w:lineRule="auto"/>
              <w:jc w:val="right"/>
              <w:rPr>
                <w:rFonts w:cs="Arial"/>
                <w:color w:val="000000"/>
                <w:szCs w:val="20"/>
                <w:lang w:val="sl-SI"/>
              </w:rPr>
            </w:pPr>
            <w:r>
              <w:rPr>
                <w:rFonts w:cs="Arial"/>
                <w:color w:val="000000"/>
                <w:szCs w:val="20"/>
                <w:lang w:val="sl-SI"/>
              </w:rPr>
              <w:t>2.100.000</w:t>
            </w:r>
            <w:r w:rsidRPr="00C50F53">
              <w:rPr>
                <w:rFonts w:cs="Arial"/>
                <w:color w:val="000000"/>
                <w:szCs w:val="20"/>
                <w:lang w:val="sl-SI"/>
              </w:rPr>
              <w:t xml:space="preserve"> €</w:t>
            </w:r>
          </w:p>
        </w:tc>
      </w:tr>
    </w:tbl>
    <w:p w14:paraId="2F5191CE" w14:textId="77777777" w:rsidR="00292739" w:rsidRDefault="00292739" w:rsidP="00292739">
      <w:pPr>
        <w:spacing w:before="120" w:after="360" w:line="276" w:lineRule="auto"/>
        <w:jc w:val="both"/>
        <w:rPr>
          <w:rFonts w:cs="Arial"/>
          <w:szCs w:val="20"/>
          <w:lang w:val="sl-SI" w:eastAsia="sl-SI"/>
        </w:rPr>
      </w:pPr>
      <w:r>
        <w:rPr>
          <w:rFonts w:cs="Arial"/>
          <w:szCs w:val="20"/>
          <w:lang w:val="sl-SI" w:eastAsia="sl-SI"/>
        </w:rPr>
        <w:t xml:space="preserve">Združenje mestnih občin Slovenije </w:t>
      </w:r>
      <w:r w:rsidRPr="00C50F53">
        <w:rPr>
          <w:rFonts w:cs="Arial"/>
          <w:szCs w:val="20"/>
          <w:lang w:val="sl-SI" w:eastAsia="sl-SI"/>
        </w:rPr>
        <w:t xml:space="preserve">ocenjuje, da finančne posledice predloga zakona na področju </w:t>
      </w:r>
      <w:r>
        <w:rPr>
          <w:rFonts w:cs="Arial"/>
          <w:szCs w:val="20"/>
          <w:lang w:val="sl-SI" w:eastAsia="sl-SI"/>
        </w:rPr>
        <w:t>delovanja lokalne samouprave, konkretno dvanajstih mestnih občin, znaša 2.100.000 eurov na leto. Stroški se nanašajo predvsem na stroške izvajanja ukrepov ter zaposlitve za področje kibernetske varnosti.</w:t>
      </w:r>
    </w:p>
    <w:p w14:paraId="67535749" w14:textId="77777777" w:rsidR="00292739" w:rsidRPr="00C50F53" w:rsidRDefault="00292739" w:rsidP="00292739">
      <w:pPr>
        <w:spacing w:before="120" w:after="360" w:line="276" w:lineRule="auto"/>
        <w:jc w:val="both"/>
        <w:rPr>
          <w:rFonts w:cs="Arial"/>
          <w:bCs/>
          <w:szCs w:val="20"/>
          <w:lang w:val="sl-SI"/>
        </w:rPr>
      </w:pPr>
      <w:r>
        <w:rPr>
          <w:rFonts w:cs="Arial"/>
          <w:szCs w:val="20"/>
          <w:lang w:val="sl-SI" w:eastAsia="sl-SI"/>
        </w:rPr>
        <w:t>Predlog zakona nima posledic na druga javna finančna sredstva</w:t>
      </w:r>
      <w:r w:rsidRPr="00CC1B52">
        <w:rPr>
          <w:lang w:val="sl-SI"/>
        </w:rPr>
        <w:t xml:space="preserve"> </w:t>
      </w:r>
      <w:r>
        <w:rPr>
          <w:rFonts w:cs="Arial"/>
          <w:szCs w:val="20"/>
          <w:lang w:val="sl-SI" w:eastAsia="sl-SI"/>
        </w:rPr>
        <w:t xml:space="preserve">kot so </w:t>
      </w:r>
      <w:r w:rsidRPr="00CC1B52">
        <w:rPr>
          <w:rFonts w:cs="Arial"/>
          <w:szCs w:val="20"/>
          <w:lang w:val="sl-SI" w:eastAsia="sl-SI"/>
        </w:rPr>
        <w:t>zdravstvena in pokojninska blagajna</w:t>
      </w:r>
      <w:r>
        <w:rPr>
          <w:rFonts w:cs="Arial"/>
          <w:szCs w:val="20"/>
          <w:lang w:val="sl-SI" w:eastAsia="sl-SI"/>
        </w:rPr>
        <w:t>.</w:t>
      </w:r>
    </w:p>
    <w:p w14:paraId="0348885B" w14:textId="77777777" w:rsidR="00292739" w:rsidRDefault="00292739" w:rsidP="00292739">
      <w:pPr>
        <w:spacing w:before="120" w:after="360" w:line="276" w:lineRule="auto"/>
        <w:jc w:val="both"/>
        <w:rPr>
          <w:rFonts w:cs="Arial"/>
          <w:szCs w:val="20"/>
          <w:lang w:val="sl-SI" w:eastAsia="sl-SI"/>
        </w:rPr>
      </w:pPr>
    </w:p>
    <w:bookmarkEnd w:id="5"/>
    <w:p w14:paraId="10A3AFB4" w14:textId="77777777" w:rsidR="00292739" w:rsidRDefault="00292739" w:rsidP="00292739">
      <w:pPr>
        <w:spacing w:line="240" w:lineRule="auto"/>
        <w:rPr>
          <w:rFonts w:cs="Arial"/>
          <w:b/>
          <w:szCs w:val="20"/>
          <w:lang w:val="sl-SI"/>
        </w:rPr>
      </w:pPr>
      <w:r>
        <w:rPr>
          <w:rFonts w:cs="Arial"/>
          <w:b/>
          <w:szCs w:val="20"/>
          <w:lang w:val="sl-SI"/>
        </w:rPr>
        <w:br w:type="page"/>
      </w:r>
    </w:p>
    <w:p w14:paraId="7298390C" w14:textId="77777777" w:rsidR="00292739" w:rsidRPr="00C50F53" w:rsidRDefault="00292739" w:rsidP="00292739">
      <w:pPr>
        <w:suppressAutoHyphens/>
        <w:overflowPunct w:val="0"/>
        <w:autoSpaceDE w:val="0"/>
        <w:autoSpaceDN w:val="0"/>
        <w:adjustRightInd w:val="0"/>
        <w:spacing w:line="276" w:lineRule="auto"/>
        <w:jc w:val="both"/>
        <w:textAlignment w:val="baseline"/>
        <w:outlineLvl w:val="3"/>
        <w:rPr>
          <w:rFonts w:cs="Arial"/>
          <w:b/>
          <w:szCs w:val="20"/>
          <w:lang w:val="sl-SI"/>
        </w:rPr>
      </w:pPr>
      <w:r w:rsidRPr="00C50F53">
        <w:rPr>
          <w:rFonts w:cs="Arial"/>
          <w:b/>
          <w:szCs w:val="20"/>
          <w:lang w:val="sl-SI"/>
        </w:rPr>
        <w:lastRenderedPageBreak/>
        <w:t>4. NAVEDBA, DA SO SREDSTVA ZA IZVAJANJE ZAKONA V DRŽAVNEM PRORAČUNU ZAGOTOVLJENA, ČE PREDLOG ZAKONA PREDVIDEVA PORABO PRORAČUNSKIH SREDSTEV V OBDOBJU, ZA KATERO JE BIL DRŽAVNI PRORAČUN ŽE SPREJET</w:t>
      </w:r>
    </w:p>
    <w:p w14:paraId="54D17C17" w14:textId="77777777" w:rsidR="00292739" w:rsidRPr="00C50F53" w:rsidRDefault="00292739" w:rsidP="00292739">
      <w:pPr>
        <w:overflowPunct w:val="0"/>
        <w:autoSpaceDE w:val="0"/>
        <w:autoSpaceDN w:val="0"/>
        <w:adjustRightInd w:val="0"/>
        <w:spacing w:line="260" w:lineRule="atLeast"/>
        <w:jc w:val="both"/>
        <w:textAlignment w:val="baseline"/>
        <w:rPr>
          <w:rFonts w:cs="Arial"/>
          <w:szCs w:val="20"/>
          <w:lang w:val="sl-SI" w:eastAsia="sl-SI"/>
        </w:rPr>
      </w:pPr>
    </w:p>
    <w:p w14:paraId="03926C94" w14:textId="77777777" w:rsidR="00292739" w:rsidRPr="00C50F53" w:rsidRDefault="00292739" w:rsidP="00292739">
      <w:pPr>
        <w:overflowPunct w:val="0"/>
        <w:autoSpaceDE w:val="0"/>
        <w:autoSpaceDN w:val="0"/>
        <w:adjustRightInd w:val="0"/>
        <w:spacing w:line="260" w:lineRule="atLeast"/>
        <w:jc w:val="both"/>
        <w:textAlignment w:val="baseline"/>
        <w:rPr>
          <w:rFonts w:cs="Arial"/>
          <w:szCs w:val="20"/>
          <w:lang w:val="sl-SI" w:eastAsia="sl-SI"/>
        </w:rPr>
      </w:pPr>
      <w:r w:rsidRPr="00C50F53">
        <w:rPr>
          <w:rFonts w:cs="Arial"/>
          <w:szCs w:val="20"/>
          <w:lang w:val="sl-SI" w:eastAsia="sl-SI"/>
        </w:rPr>
        <w:t>Proračunska sredstva, katerih porabo predvideva predlog zakona, so delno zagotovljena v sprejetem državnem proračunu za leti 2025 in 2026 na naslednjih proračunskih postavkah Urada Vlade Republike Slovenije za informacijsko varnost:</w:t>
      </w:r>
    </w:p>
    <w:p w14:paraId="235C24A9" w14:textId="77777777" w:rsidR="00292739" w:rsidRPr="00C50F53" w:rsidRDefault="00292739" w:rsidP="00292739">
      <w:pPr>
        <w:pStyle w:val="Odstavekseznama"/>
        <w:numPr>
          <w:ilvl w:val="0"/>
          <w:numId w:val="17"/>
        </w:numPr>
        <w:overflowPunct w:val="0"/>
        <w:autoSpaceDE w:val="0"/>
        <w:autoSpaceDN w:val="0"/>
        <w:adjustRightInd w:val="0"/>
        <w:spacing w:line="260" w:lineRule="atLeast"/>
        <w:jc w:val="both"/>
        <w:textAlignment w:val="baseline"/>
        <w:rPr>
          <w:rFonts w:cs="Arial"/>
          <w:szCs w:val="20"/>
          <w:lang w:val="sl-SI" w:eastAsia="sl-SI"/>
        </w:rPr>
      </w:pPr>
      <w:r w:rsidRPr="00C50F53">
        <w:rPr>
          <w:rFonts w:cs="Arial"/>
          <w:szCs w:val="20"/>
          <w:lang w:val="sl-SI" w:eastAsia="sl-SI"/>
        </w:rPr>
        <w:t>1544 -21-0001 Delovanje Urada Vlade RS za informacijsko varnost / 221003 – Plače in 221004 - Materialni stroški</w:t>
      </w:r>
    </w:p>
    <w:p w14:paraId="20F73865" w14:textId="77777777" w:rsidR="00292739" w:rsidRPr="00C50F53" w:rsidRDefault="00292739" w:rsidP="00292739">
      <w:pPr>
        <w:pStyle w:val="Odstavekseznama"/>
        <w:numPr>
          <w:ilvl w:val="0"/>
          <w:numId w:val="17"/>
        </w:numPr>
        <w:overflowPunct w:val="0"/>
        <w:autoSpaceDE w:val="0"/>
        <w:autoSpaceDN w:val="0"/>
        <w:adjustRightInd w:val="0"/>
        <w:spacing w:line="260" w:lineRule="atLeast"/>
        <w:jc w:val="both"/>
        <w:textAlignment w:val="baseline"/>
        <w:rPr>
          <w:rFonts w:cs="Arial"/>
          <w:szCs w:val="20"/>
          <w:lang w:val="sl-SI" w:eastAsia="sl-SI"/>
        </w:rPr>
      </w:pPr>
      <w:r w:rsidRPr="00C50F53">
        <w:rPr>
          <w:rFonts w:cs="Arial"/>
          <w:szCs w:val="20"/>
          <w:lang w:val="sl-SI" w:eastAsia="sl-SI"/>
        </w:rPr>
        <w:t>1544-21-0002 Izvajanje nalog URSIV /221006 – Dvig ravni informacijske varnosti</w:t>
      </w:r>
    </w:p>
    <w:p w14:paraId="473B3BBB" w14:textId="77777777" w:rsidR="00292739" w:rsidRPr="00C50F53" w:rsidRDefault="00292739" w:rsidP="00292739">
      <w:pPr>
        <w:pStyle w:val="Odstavekseznama"/>
        <w:numPr>
          <w:ilvl w:val="0"/>
          <w:numId w:val="17"/>
        </w:numPr>
        <w:overflowPunct w:val="0"/>
        <w:autoSpaceDE w:val="0"/>
        <w:autoSpaceDN w:val="0"/>
        <w:adjustRightInd w:val="0"/>
        <w:spacing w:line="260" w:lineRule="atLeast"/>
        <w:jc w:val="both"/>
        <w:textAlignment w:val="baseline"/>
        <w:rPr>
          <w:rFonts w:cs="Arial"/>
          <w:szCs w:val="20"/>
          <w:lang w:val="sl-SI" w:eastAsia="sl-SI"/>
        </w:rPr>
      </w:pPr>
      <w:r w:rsidRPr="00C50F53">
        <w:rPr>
          <w:rFonts w:cs="Arial"/>
          <w:szCs w:val="20"/>
          <w:lang w:val="sl-SI" w:eastAsia="sl-SI"/>
        </w:rPr>
        <w:t>1544-23-0001 Investicije in inv. vzdrževanje URSIV 2024-2027 / 21005 – Investicije in investicijsko vzdrževanje</w:t>
      </w:r>
    </w:p>
    <w:p w14:paraId="466F41E3" w14:textId="77777777" w:rsidR="00292739" w:rsidRPr="00C50F53" w:rsidRDefault="00292739" w:rsidP="00292739">
      <w:pPr>
        <w:pStyle w:val="Odstavekseznama"/>
        <w:numPr>
          <w:ilvl w:val="0"/>
          <w:numId w:val="17"/>
        </w:numPr>
        <w:overflowPunct w:val="0"/>
        <w:autoSpaceDE w:val="0"/>
        <w:autoSpaceDN w:val="0"/>
        <w:adjustRightInd w:val="0"/>
        <w:spacing w:line="260" w:lineRule="atLeast"/>
        <w:jc w:val="both"/>
        <w:textAlignment w:val="baseline"/>
        <w:rPr>
          <w:rFonts w:cs="Arial"/>
          <w:szCs w:val="20"/>
          <w:lang w:val="sl-SI" w:eastAsia="sl-SI"/>
        </w:rPr>
      </w:pPr>
      <w:r w:rsidRPr="00C50F53">
        <w:rPr>
          <w:rFonts w:cs="Arial"/>
          <w:szCs w:val="20"/>
          <w:lang w:val="sl-SI" w:eastAsia="sl-SI"/>
        </w:rPr>
        <w:t>1544-23-0002 Zmogljivost informacijske varnosti 2024-2027/ 221007 – Delovanje nacionalnega CSIRT</w:t>
      </w:r>
    </w:p>
    <w:p w14:paraId="353F69D9" w14:textId="77777777" w:rsidR="00292739" w:rsidRDefault="00292739" w:rsidP="00292739">
      <w:pPr>
        <w:spacing w:line="276" w:lineRule="auto"/>
        <w:jc w:val="both"/>
        <w:rPr>
          <w:rFonts w:cs="Arial"/>
          <w:bCs/>
          <w:szCs w:val="20"/>
          <w:lang w:val="sl-SI"/>
        </w:rPr>
      </w:pPr>
    </w:p>
    <w:p w14:paraId="5CCC6F24" w14:textId="77777777" w:rsidR="00292739" w:rsidRDefault="00292739" w:rsidP="00292739">
      <w:pPr>
        <w:overflowPunct w:val="0"/>
        <w:autoSpaceDE w:val="0"/>
        <w:autoSpaceDN w:val="0"/>
        <w:adjustRightInd w:val="0"/>
        <w:spacing w:line="260" w:lineRule="atLeast"/>
        <w:jc w:val="both"/>
        <w:textAlignment w:val="baseline"/>
        <w:rPr>
          <w:rFonts w:cs="Arial"/>
          <w:szCs w:val="20"/>
          <w:lang w:val="sl-SI" w:eastAsia="sl-SI"/>
        </w:rPr>
      </w:pPr>
      <w:r>
        <w:rPr>
          <w:rFonts w:cs="Arial"/>
          <w:szCs w:val="20"/>
          <w:lang w:val="sl-SI" w:eastAsia="sl-SI"/>
        </w:rPr>
        <w:t xml:space="preserve">Za izvajanje zakona je tako zagotovljenih </w:t>
      </w:r>
      <w:r w:rsidRPr="00DC6C7D">
        <w:rPr>
          <w:rFonts w:cs="Arial"/>
          <w:szCs w:val="20"/>
          <w:lang w:val="sl-SI" w:eastAsia="sl-SI"/>
        </w:rPr>
        <w:t>4.265.362</w:t>
      </w:r>
      <w:r>
        <w:rPr>
          <w:rFonts w:cs="Arial"/>
          <w:szCs w:val="20"/>
          <w:lang w:val="sl-SI" w:eastAsia="sl-SI"/>
        </w:rPr>
        <w:t xml:space="preserve"> eurov v letu 2025 in </w:t>
      </w:r>
      <w:r w:rsidRPr="00DC6C7D">
        <w:rPr>
          <w:rFonts w:cs="Arial"/>
          <w:szCs w:val="20"/>
          <w:lang w:val="sl-SI" w:eastAsia="sl-SI"/>
        </w:rPr>
        <w:t>4.777.200</w:t>
      </w:r>
      <w:r>
        <w:rPr>
          <w:rFonts w:cs="Arial"/>
          <w:szCs w:val="20"/>
          <w:lang w:val="sl-SI" w:eastAsia="sl-SI"/>
        </w:rPr>
        <w:t xml:space="preserve"> eurov</w:t>
      </w:r>
      <w:r w:rsidRPr="00437E30">
        <w:rPr>
          <w:rFonts w:cs="Arial"/>
          <w:szCs w:val="20"/>
          <w:lang w:val="sl-SI" w:eastAsia="sl-SI"/>
        </w:rPr>
        <w:t xml:space="preserve"> </w:t>
      </w:r>
      <w:r>
        <w:rPr>
          <w:rFonts w:cs="Arial"/>
          <w:szCs w:val="20"/>
          <w:lang w:val="sl-SI" w:eastAsia="sl-SI"/>
        </w:rPr>
        <w:t xml:space="preserve">v letu 2026. </w:t>
      </w:r>
    </w:p>
    <w:p w14:paraId="29D09298" w14:textId="77777777" w:rsidR="00292739" w:rsidRDefault="00292739" w:rsidP="00292739">
      <w:pPr>
        <w:overflowPunct w:val="0"/>
        <w:autoSpaceDE w:val="0"/>
        <w:autoSpaceDN w:val="0"/>
        <w:adjustRightInd w:val="0"/>
        <w:spacing w:line="260" w:lineRule="atLeast"/>
        <w:jc w:val="both"/>
        <w:textAlignment w:val="baseline"/>
        <w:rPr>
          <w:rFonts w:cs="Arial"/>
          <w:szCs w:val="20"/>
          <w:lang w:val="sl-SI" w:eastAsia="sl-SI"/>
        </w:rPr>
      </w:pPr>
    </w:p>
    <w:p w14:paraId="419494E1" w14:textId="1A41AE69" w:rsidR="00292739" w:rsidRDefault="00292739" w:rsidP="00292739">
      <w:pPr>
        <w:widowControl w:val="0"/>
        <w:suppressAutoHyphens/>
        <w:overflowPunct w:val="0"/>
        <w:autoSpaceDE w:val="0"/>
        <w:autoSpaceDN w:val="0"/>
        <w:adjustRightInd w:val="0"/>
        <w:jc w:val="both"/>
        <w:textAlignment w:val="baseline"/>
        <w:outlineLvl w:val="3"/>
        <w:rPr>
          <w:rFonts w:cs="Arial"/>
          <w:szCs w:val="20"/>
          <w:lang w:val="sl-SI" w:eastAsia="sl-SI"/>
        </w:rPr>
      </w:pPr>
      <w:r w:rsidRPr="00437E30">
        <w:rPr>
          <w:rFonts w:cs="Arial"/>
          <w:bCs/>
          <w:szCs w:val="20"/>
          <w:lang w:val="sl-SI"/>
        </w:rPr>
        <w:t xml:space="preserve">Predvideno povečanje odhodkov državnega proračuna v višini </w:t>
      </w:r>
      <w:r w:rsidR="00B5205E">
        <w:rPr>
          <w:rFonts w:cs="Arial"/>
          <w:bCs/>
          <w:szCs w:val="20"/>
          <w:lang w:val="sl-SI"/>
        </w:rPr>
        <w:t>6</w:t>
      </w:r>
      <w:r w:rsidRPr="00437E30">
        <w:rPr>
          <w:rFonts w:cs="Arial"/>
          <w:bCs/>
          <w:szCs w:val="20"/>
          <w:lang w:val="sl-SI"/>
        </w:rPr>
        <w:t>.</w:t>
      </w:r>
      <w:r w:rsidR="00B5205E">
        <w:rPr>
          <w:rFonts w:cs="Arial"/>
          <w:bCs/>
          <w:szCs w:val="20"/>
          <w:lang w:val="sl-SI"/>
        </w:rPr>
        <w:t>711</w:t>
      </w:r>
      <w:r w:rsidRPr="00437E30">
        <w:rPr>
          <w:rFonts w:cs="Arial"/>
          <w:bCs/>
          <w:szCs w:val="20"/>
          <w:lang w:val="sl-SI"/>
        </w:rPr>
        <w:t>.102</w:t>
      </w:r>
      <w:r>
        <w:rPr>
          <w:rFonts w:cs="Arial"/>
          <w:bCs/>
          <w:szCs w:val="20"/>
          <w:lang w:val="sl-SI"/>
        </w:rPr>
        <w:t xml:space="preserve"> </w:t>
      </w:r>
      <w:r w:rsidRPr="00437E30">
        <w:rPr>
          <w:rFonts w:cs="Arial"/>
          <w:bCs/>
          <w:szCs w:val="20"/>
          <w:lang w:val="sl-SI"/>
        </w:rPr>
        <w:t xml:space="preserve">eurov v letu 2025 in </w:t>
      </w:r>
      <w:r w:rsidR="00B5205E">
        <w:rPr>
          <w:rFonts w:cs="Arial"/>
          <w:bCs/>
          <w:szCs w:val="20"/>
          <w:lang w:val="sl-SI"/>
        </w:rPr>
        <w:t>11</w:t>
      </w:r>
      <w:r w:rsidRPr="00437E30">
        <w:rPr>
          <w:rFonts w:cs="Arial"/>
          <w:bCs/>
          <w:szCs w:val="20"/>
          <w:lang w:val="sl-SI"/>
        </w:rPr>
        <w:t xml:space="preserve">.846.092 eurov v letu 2026 ter sredstva za delovanje mestnih občin v višini </w:t>
      </w:r>
      <w:r w:rsidRPr="00B135CE">
        <w:rPr>
          <w:rFonts w:cs="Arial"/>
          <w:bCs/>
          <w:szCs w:val="20"/>
          <w:lang w:val="sl-SI"/>
        </w:rPr>
        <w:t>1</w:t>
      </w:r>
      <w:r w:rsidRPr="00437E30">
        <w:rPr>
          <w:rFonts w:cs="Arial"/>
          <w:bCs/>
          <w:szCs w:val="20"/>
          <w:lang w:val="sl-SI"/>
        </w:rPr>
        <w:t>.</w:t>
      </w:r>
      <w:r w:rsidRPr="00B135CE">
        <w:rPr>
          <w:rFonts w:cs="Arial"/>
          <w:bCs/>
          <w:szCs w:val="20"/>
          <w:lang w:val="sl-SI"/>
        </w:rPr>
        <w:t>5</w:t>
      </w:r>
      <w:r w:rsidRPr="00437E30">
        <w:rPr>
          <w:rFonts w:cs="Arial"/>
          <w:bCs/>
          <w:szCs w:val="20"/>
          <w:lang w:val="sl-SI"/>
        </w:rPr>
        <w:t>00.000 evrov za leto 2025 in 2.100.000 eurov v letu 2026</w:t>
      </w:r>
      <w:r w:rsidRPr="00B135CE">
        <w:rPr>
          <w:rFonts w:cs="Arial"/>
          <w:bCs/>
          <w:szCs w:val="20"/>
          <w:lang w:val="sl-SI"/>
        </w:rPr>
        <w:t xml:space="preserve"> niso zagotovljena</w:t>
      </w:r>
      <w:r w:rsidRPr="00437E30">
        <w:rPr>
          <w:rFonts w:cs="Arial"/>
          <w:bCs/>
          <w:szCs w:val="20"/>
          <w:lang w:val="sl-SI"/>
        </w:rPr>
        <w:t xml:space="preserve">. </w:t>
      </w:r>
      <w:r w:rsidRPr="00421806">
        <w:rPr>
          <w:rFonts w:cs="Arial"/>
          <w:szCs w:val="20"/>
          <w:lang w:val="sl-SI" w:eastAsia="sl-SI"/>
        </w:rPr>
        <w:t>Sredstva bodo zagotovljena s prerazporeditvami pravic porabe oziroma bodo načrtovana v okviru limita-razreza proračunskih izdatkov za posameznega predlagatelja finančnih načrtov, ob pripravi proračunov za posamezno leto.</w:t>
      </w:r>
    </w:p>
    <w:p w14:paraId="266BC776" w14:textId="77777777" w:rsidR="00672677" w:rsidRDefault="00672677" w:rsidP="00672677">
      <w:pPr>
        <w:overflowPunct w:val="0"/>
        <w:autoSpaceDE w:val="0"/>
        <w:autoSpaceDN w:val="0"/>
        <w:adjustRightInd w:val="0"/>
        <w:spacing w:line="260" w:lineRule="atLeast"/>
        <w:jc w:val="both"/>
        <w:textAlignment w:val="baseline"/>
        <w:rPr>
          <w:rFonts w:cs="Arial"/>
          <w:bCs/>
          <w:szCs w:val="20"/>
          <w:lang w:val="sl-SI"/>
        </w:rPr>
      </w:pPr>
    </w:p>
    <w:p w14:paraId="3DD41F1D" w14:textId="77777777" w:rsidR="00672677" w:rsidRPr="00C50F53" w:rsidRDefault="00672677" w:rsidP="00DC6C7D">
      <w:pPr>
        <w:spacing w:line="276" w:lineRule="auto"/>
        <w:jc w:val="both"/>
        <w:rPr>
          <w:rFonts w:cs="Arial"/>
          <w:bCs/>
          <w:szCs w:val="20"/>
          <w:lang w:val="sl-SI"/>
        </w:rPr>
      </w:pPr>
    </w:p>
    <w:p w14:paraId="24A4921F" w14:textId="68831213" w:rsidR="00A23D5D" w:rsidRPr="00C50F53" w:rsidRDefault="00A23D5D" w:rsidP="0038250F">
      <w:pPr>
        <w:suppressAutoHyphens/>
        <w:overflowPunct w:val="0"/>
        <w:autoSpaceDE w:val="0"/>
        <w:autoSpaceDN w:val="0"/>
        <w:adjustRightInd w:val="0"/>
        <w:spacing w:line="276" w:lineRule="auto"/>
        <w:jc w:val="both"/>
        <w:textAlignment w:val="baseline"/>
        <w:outlineLvl w:val="3"/>
        <w:rPr>
          <w:rFonts w:cs="Arial"/>
          <w:b/>
          <w:szCs w:val="20"/>
          <w:lang w:val="sl-SI"/>
        </w:rPr>
      </w:pPr>
      <w:bookmarkStart w:id="7" w:name="_Hlk125624398"/>
      <w:r w:rsidRPr="00C50F53">
        <w:rPr>
          <w:rFonts w:cs="Arial"/>
          <w:b/>
          <w:szCs w:val="20"/>
          <w:lang w:val="sl-SI"/>
        </w:rPr>
        <w:t>5. PRIKAZ UREDITVE V DRUGIH PRAVNIH SISTEMIH IN PRILAGOJENOSTI PREDLAGANE UREDITVE PRAVU EVROPSKE UNIJE</w:t>
      </w:r>
    </w:p>
    <w:p w14:paraId="6394089D" w14:textId="77777777" w:rsidR="00903F15" w:rsidRDefault="00903F15" w:rsidP="0038250F">
      <w:pPr>
        <w:suppressAutoHyphens/>
        <w:overflowPunct w:val="0"/>
        <w:autoSpaceDE w:val="0"/>
        <w:autoSpaceDN w:val="0"/>
        <w:adjustRightInd w:val="0"/>
        <w:spacing w:line="276" w:lineRule="auto"/>
        <w:jc w:val="both"/>
        <w:textAlignment w:val="baseline"/>
        <w:outlineLvl w:val="3"/>
        <w:rPr>
          <w:rFonts w:cs="Arial"/>
          <w:b/>
          <w:szCs w:val="20"/>
          <w:lang w:val="sl-SI"/>
        </w:rPr>
      </w:pPr>
    </w:p>
    <w:p w14:paraId="757BD937" w14:textId="77777777" w:rsidR="000A51A5" w:rsidRPr="0038250F" w:rsidRDefault="000A51A5" w:rsidP="000A51A5">
      <w:pPr>
        <w:spacing w:line="276" w:lineRule="auto"/>
        <w:jc w:val="both"/>
        <w:rPr>
          <w:rFonts w:cs="Arial"/>
          <w:b/>
          <w:szCs w:val="20"/>
          <w:lang w:val="sl-SI"/>
        </w:rPr>
      </w:pPr>
      <w:r w:rsidRPr="0038250F">
        <w:rPr>
          <w:rFonts w:cs="Arial"/>
          <w:b/>
          <w:szCs w:val="20"/>
          <w:lang w:val="sl-SI"/>
        </w:rPr>
        <w:t>Prikaz ureditve v pravnem redu EU</w:t>
      </w:r>
    </w:p>
    <w:p w14:paraId="2B490D57" w14:textId="77777777" w:rsidR="000A51A5" w:rsidRPr="0038250F" w:rsidRDefault="000A51A5" w:rsidP="000A51A5">
      <w:pPr>
        <w:spacing w:line="276" w:lineRule="auto"/>
        <w:jc w:val="both"/>
        <w:rPr>
          <w:rFonts w:cs="Arial"/>
          <w:szCs w:val="20"/>
          <w:lang w:val="sl-SI"/>
        </w:rPr>
      </w:pPr>
      <w:r w:rsidRPr="0038250F">
        <w:rPr>
          <w:rFonts w:cs="Arial"/>
          <w:szCs w:val="20"/>
          <w:lang w:val="sl-SI"/>
        </w:rPr>
        <w:t>Predlog zakona je usklajen s pravnim redom EU.</w:t>
      </w:r>
    </w:p>
    <w:p w14:paraId="2C918DE9" w14:textId="77777777" w:rsidR="000A51A5" w:rsidRPr="0038250F" w:rsidRDefault="000A51A5" w:rsidP="000A51A5">
      <w:pPr>
        <w:spacing w:line="276" w:lineRule="auto"/>
        <w:jc w:val="both"/>
        <w:rPr>
          <w:rFonts w:cs="Arial"/>
          <w:b/>
          <w:szCs w:val="20"/>
          <w:highlight w:val="yellow"/>
          <w:lang w:val="sl-SI"/>
        </w:rPr>
      </w:pPr>
    </w:p>
    <w:p w14:paraId="66FDEC2C" w14:textId="77777777" w:rsidR="000A51A5" w:rsidRPr="0038250F" w:rsidRDefault="000A51A5" w:rsidP="000A51A5">
      <w:pPr>
        <w:spacing w:line="276" w:lineRule="auto"/>
        <w:jc w:val="both"/>
        <w:rPr>
          <w:rFonts w:cs="Arial"/>
          <w:b/>
          <w:szCs w:val="20"/>
          <w:lang w:val="sl-SI"/>
        </w:rPr>
      </w:pPr>
      <w:r w:rsidRPr="0038250F">
        <w:rPr>
          <w:rFonts w:cs="Arial"/>
          <w:b/>
          <w:szCs w:val="20"/>
          <w:lang w:val="sl-SI"/>
        </w:rPr>
        <w:t xml:space="preserve">Prikaz ureditve v najmanj treh pravnih sistemih držav članic EU </w:t>
      </w:r>
    </w:p>
    <w:p w14:paraId="365A4D98" w14:textId="77777777" w:rsidR="000A51A5" w:rsidRPr="0038250F" w:rsidRDefault="000A51A5" w:rsidP="000A51A5">
      <w:pPr>
        <w:spacing w:after="240" w:line="276" w:lineRule="auto"/>
        <w:jc w:val="both"/>
        <w:rPr>
          <w:rFonts w:cs="Arial"/>
          <w:szCs w:val="20"/>
          <w:lang w:val="sl-SI"/>
        </w:rPr>
      </w:pPr>
      <w:r w:rsidRPr="0038250F">
        <w:rPr>
          <w:rFonts w:cs="Arial"/>
          <w:szCs w:val="20"/>
          <w:lang w:val="sl-SI"/>
        </w:rPr>
        <w:t>Za primerjanje stanja na področju, ki ureja ukrepe za doseganje o ukrepih za visoko skupno raven kibernetske varnosti v Evropski uniji, v nadaljevanju predstavljamo predvidene zakonodajne rešitve treh držav, in sicer Kraljevine Belgije, Italijanske republike, Češke republike in Francoske republike.</w:t>
      </w:r>
    </w:p>
    <w:p w14:paraId="415F927E" w14:textId="77777777" w:rsidR="000A51A5" w:rsidRPr="0038250F" w:rsidRDefault="000A51A5" w:rsidP="000A51A5">
      <w:pPr>
        <w:spacing w:after="240" w:line="276" w:lineRule="auto"/>
        <w:jc w:val="both"/>
        <w:rPr>
          <w:rFonts w:cs="Arial"/>
          <w:b/>
          <w:bCs/>
          <w:szCs w:val="20"/>
          <w:lang w:val="sl-SI"/>
        </w:rPr>
      </w:pPr>
      <w:r w:rsidRPr="0038250F">
        <w:rPr>
          <w:rFonts w:cs="Arial"/>
          <w:b/>
          <w:bCs/>
          <w:szCs w:val="20"/>
          <w:lang w:val="sl-SI"/>
        </w:rPr>
        <w:t>Kraljevina Belgija</w:t>
      </w:r>
    </w:p>
    <w:p w14:paraId="0A83B030" w14:textId="77777777" w:rsidR="000A51A5" w:rsidRPr="0038250F" w:rsidRDefault="000A51A5" w:rsidP="000A51A5">
      <w:pPr>
        <w:spacing w:after="240" w:line="276" w:lineRule="auto"/>
        <w:jc w:val="both"/>
        <w:rPr>
          <w:rFonts w:cs="Arial"/>
          <w:szCs w:val="20"/>
          <w:lang w:val="sl-SI"/>
        </w:rPr>
      </w:pPr>
      <w:r w:rsidRPr="0038250F">
        <w:rPr>
          <w:rFonts w:cs="Arial"/>
          <w:szCs w:val="20"/>
          <w:lang w:val="sl-SI"/>
        </w:rPr>
        <w:t>Kraljevina Belgija je z izdajo kraljevega odloka 26. april</w:t>
      </w:r>
      <w:r>
        <w:rPr>
          <w:rFonts w:cs="Arial"/>
          <w:szCs w:val="20"/>
          <w:lang w:val="sl-SI"/>
        </w:rPr>
        <w:t>a</w:t>
      </w:r>
      <w:r w:rsidRPr="0038250F">
        <w:rPr>
          <w:rFonts w:cs="Arial"/>
          <w:szCs w:val="20"/>
          <w:lang w:val="sl-SI"/>
        </w:rPr>
        <w:t xml:space="preserve"> 2024 zaključila prenos direktive 2022/2555/EU v belgijski pravni red. Okrepila je Center za kibernetsko varnost v Belgiji (Centre for Cybersecurity Belgium, CCB), ki ostaja nacionalni organ za kibernetsko varnost in nacionalni CSIRT ter različne sektorske organe, ki podpirajo CCB pri njegovih nalogah. Kraljevi odlok opredeljuje tudi redne postopke ugotavljanja skladnosti (obvezne za bistvene subjekte in prostovoljne za nebistvene subjekte) in referenčne okvire, ki jih je mogoče uporabiti (</w:t>
      </w:r>
      <w:r>
        <w:rPr>
          <w:rFonts w:cs="Arial"/>
          <w:szCs w:val="20"/>
          <w:lang w:val="sl-SI"/>
        </w:rPr>
        <w:t>na primer</w:t>
      </w:r>
      <w:r w:rsidRPr="0038250F">
        <w:rPr>
          <w:rFonts w:cs="Arial"/>
          <w:szCs w:val="20"/>
          <w:lang w:val="sl-SI"/>
        </w:rPr>
        <w:t xml:space="preserve"> CyberFundamentals ali ISO/IEC 27001). Opredeljeni so tudi pogoji za odobritev organov za ugotavljanje skladnosti. Implementacij</w:t>
      </w:r>
      <w:r>
        <w:rPr>
          <w:rFonts w:cs="Arial"/>
          <w:szCs w:val="20"/>
          <w:lang w:val="sl-SI"/>
        </w:rPr>
        <w:t>a</w:t>
      </w:r>
      <w:r w:rsidRPr="0038250F">
        <w:rPr>
          <w:rFonts w:cs="Arial"/>
          <w:szCs w:val="20"/>
          <w:lang w:val="sl-SI"/>
        </w:rPr>
        <w:t xml:space="preserve"> direktive 2022/2555/EU je vključena v obstoječi okvir kibernetske varnosti, ki vključuje različne zakone in pristojnosti na področju zaščite omrežij in informacijskih sistemov. Poleg širitve področ</w:t>
      </w:r>
      <w:r>
        <w:rPr>
          <w:rFonts w:cs="Arial"/>
          <w:szCs w:val="20"/>
          <w:lang w:val="sl-SI"/>
        </w:rPr>
        <w:t>ij</w:t>
      </w:r>
      <w:r w:rsidRPr="0038250F">
        <w:rPr>
          <w:rFonts w:cs="Arial"/>
          <w:szCs w:val="20"/>
          <w:lang w:val="sl-SI"/>
        </w:rPr>
        <w:t xml:space="preserve"> uporabe kibernetske varnosti na dodatne sektorje in organizacije, ki pred tem niso bile obvezane k visokim varnostnim standardom</w:t>
      </w:r>
      <w:r>
        <w:rPr>
          <w:rFonts w:cs="Arial"/>
          <w:szCs w:val="20"/>
          <w:lang w:val="sl-SI"/>
        </w:rPr>
        <w:t>,</w:t>
      </w:r>
      <w:r w:rsidRPr="0038250F">
        <w:rPr>
          <w:rFonts w:cs="Arial"/>
          <w:szCs w:val="20"/>
          <w:lang w:val="sl-SI"/>
        </w:rPr>
        <w:t xml:space="preserve"> je določen poostren nadzor nad izvajanjem ukrepov kibernetske varnosti, vključno s kaznimi za neupoštevanje zahtev. To vključuje redne revizije in naloge za prijavo incidentov, ki so večji ali </w:t>
      </w:r>
      <w:r w:rsidRPr="0038250F">
        <w:rPr>
          <w:rFonts w:cs="Arial"/>
          <w:szCs w:val="20"/>
          <w:lang w:val="sl-SI"/>
        </w:rPr>
        <w:lastRenderedPageBreak/>
        <w:t>imajo resne posledice. Pri tem ima CCB pooblastila za izvajanje nadzora in uvedbo sankcij v primeru neskladnosti. Določen</w:t>
      </w:r>
      <w:r>
        <w:rPr>
          <w:rFonts w:cs="Arial"/>
          <w:szCs w:val="20"/>
          <w:lang w:val="sl-SI"/>
        </w:rPr>
        <w:t>e so</w:t>
      </w:r>
      <w:r w:rsidRPr="0038250F">
        <w:rPr>
          <w:rFonts w:cs="Arial"/>
          <w:szCs w:val="20"/>
          <w:lang w:val="sl-SI"/>
        </w:rPr>
        <w:t xml:space="preserve"> obveznost poročanja o incidentih, povečana pozornost na zaščito dobaviteljske verige, zavezanost k sodelovanju na ravni EU ter zaveza k vlaganju v izobraževalne in programe ozaveščanja, katerih cilj </w:t>
      </w:r>
      <w:r>
        <w:rPr>
          <w:rFonts w:cs="Arial"/>
          <w:szCs w:val="20"/>
          <w:lang w:val="sl-SI"/>
        </w:rPr>
        <w:t xml:space="preserve">je </w:t>
      </w:r>
      <w:r>
        <w:rPr>
          <w:rFonts w:cs="Arial"/>
          <w:szCs w:val="20"/>
          <w:lang w:val="sl-SI" w:eastAsia="sl-SI"/>
        </w:rPr>
        <w:t>izboljšanje</w:t>
      </w:r>
      <w:r w:rsidRPr="0038250F" w:rsidDel="002779D0">
        <w:rPr>
          <w:rFonts w:cs="Arial"/>
          <w:szCs w:val="20"/>
          <w:lang w:val="sl-SI"/>
        </w:rPr>
        <w:t xml:space="preserve"> </w:t>
      </w:r>
      <w:r w:rsidRPr="0038250F">
        <w:rPr>
          <w:rFonts w:cs="Arial"/>
          <w:szCs w:val="20"/>
          <w:lang w:val="sl-SI"/>
        </w:rPr>
        <w:t xml:space="preserve">odpornosti podjetij </w:t>
      </w:r>
      <w:r>
        <w:rPr>
          <w:rFonts w:cs="Arial"/>
          <w:szCs w:val="20"/>
          <w:lang w:val="sl-SI"/>
        </w:rPr>
        <w:t>in</w:t>
      </w:r>
      <w:r w:rsidRPr="0038250F">
        <w:rPr>
          <w:rFonts w:cs="Arial"/>
          <w:szCs w:val="20"/>
          <w:lang w:val="sl-SI"/>
        </w:rPr>
        <w:t xml:space="preserve"> posameznikov </w:t>
      </w:r>
      <w:r>
        <w:rPr>
          <w:rFonts w:cs="Arial"/>
          <w:szCs w:val="20"/>
          <w:lang w:val="sl-SI"/>
        </w:rPr>
        <w:t>proti</w:t>
      </w:r>
      <w:r w:rsidRPr="0038250F">
        <w:rPr>
          <w:rFonts w:cs="Arial"/>
          <w:szCs w:val="20"/>
          <w:lang w:val="sl-SI"/>
        </w:rPr>
        <w:t xml:space="preserve"> kibernetsk</w:t>
      </w:r>
      <w:r>
        <w:rPr>
          <w:rFonts w:cs="Arial"/>
          <w:szCs w:val="20"/>
          <w:lang w:val="sl-SI"/>
        </w:rPr>
        <w:t>im</w:t>
      </w:r>
      <w:r w:rsidRPr="0038250F">
        <w:rPr>
          <w:rFonts w:cs="Arial"/>
          <w:szCs w:val="20"/>
          <w:lang w:val="sl-SI"/>
        </w:rPr>
        <w:t xml:space="preserve"> grožnj</w:t>
      </w:r>
      <w:r>
        <w:rPr>
          <w:rFonts w:cs="Arial"/>
          <w:szCs w:val="20"/>
          <w:lang w:val="sl-SI"/>
        </w:rPr>
        <w:t>am</w:t>
      </w:r>
      <w:r w:rsidRPr="0038250F">
        <w:rPr>
          <w:rFonts w:cs="Arial"/>
          <w:szCs w:val="20"/>
          <w:lang w:val="sl-SI"/>
        </w:rPr>
        <w:t>. Podrobne informacije in razlage glede obsega, obveznosti, nadzora, sankcij in časovnice za izvajanje Zakona NIS2 so na voljo na strani NIS2 na Safeonweb@Work. CCB je prav tako pripravil kratek vodnik o tem, kako izpolniti zahteve NIS2 v sedmih preprostih korakih. Safeonweb@Work spletna stran deluje kot portal za registracijo subjektov, ki spadajo pod NIS2. Stran NIS2 na Safeonweb@Work prav tako vsebuje vrsto praktičnih orodij in virov za skladnost z NIS2. Leta 2017 je Svet ministrov na predlog takratnega premier</w:t>
      </w:r>
      <w:r>
        <w:rPr>
          <w:rFonts w:cs="Arial"/>
          <w:szCs w:val="20"/>
          <w:lang w:val="sl-SI"/>
        </w:rPr>
        <w:t>j</w:t>
      </w:r>
      <w:r w:rsidRPr="0038250F">
        <w:rPr>
          <w:rFonts w:cs="Arial"/>
          <w:szCs w:val="20"/>
          <w:lang w:val="sl-SI"/>
        </w:rPr>
        <w:t xml:space="preserve">a Charlesa Michela sprejel Nacionalni načrt za kibernetske izredne razmere. Kot del svoje naloge pri obvladovanju kriz v primeru kibernetskih incidentov je Center za kibernetsko varnost Belgije (CCB) v sodelovanju z Vladnim koordinacijskim in kriznim centrom (NCCN) razvil </w:t>
      </w:r>
      <w:r>
        <w:rPr>
          <w:rFonts w:cs="Arial"/>
          <w:szCs w:val="20"/>
          <w:lang w:val="sl-SI"/>
        </w:rPr>
        <w:t>N</w:t>
      </w:r>
      <w:r w:rsidRPr="0038250F">
        <w:rPr>
          <w:rFonts w:cs="Arial"/>
          <w:szCs w:val="20"/>
          <w:lang w:val="sl-SI"/>
        </w:rPr>
        <w:t xml:space="preserve">acionalni </w:t>
      </w:r>
      <w:r>
        <w:rPr>
          <w:rFonts w:cs="Arial"/>
          <w:szCs w:val="20"/>
          <w:lang w:val="sl-SI"/>
        </w:rPr>
        <w:t>n</w:t>
      </w:r>
      <w:r w:rsidRPr="0038250F">
        <w:rPr>
          <w:rFonts w:cs="Arial"/>
          <w:szCs w:val="20"/>
          <w:lang w:val="sl-SI"/>
        </w:rPr>
        <w:t>ačrt za kibernetske izredne razmere. Glavni cilj načrta je organizirati strukturo odziva na kibernetske krize in incidente, ki zahtevajo koordinacijo in obvladovanje na nacionalni ravni.</w:t>
      </w:r>
      <w:r>
        <w:rPr>
          <w:rFonts w:cs="Arial"/>
          <w:szCs w:val="20"/>
          <w:lang w:val="sl-SI"/>
        </w:rPr>
        <w:t xml:space="preserve"> V Belgiji zdaj poteka r</w:t>
      </w:r>
      <w:r w:rsidRPr="003972F3">
        <w:rPr>
          <w:rFonts w:cs="Arial"/>
          <w:szCs w:val="20"/>
          <w:lang w:val="sl-SI"/>
        </w:rPr>
        <w:t xml:space="preserve">egistracija </w:t>
      </w:r>
      <w:r>
        <w:rPr>
          <w:rFonts w:cs="Arial"/>
          <w:szCs w:val="20"/>
          <w:lang w:val="sl-SI"/>
        </w:rPr>
        <w:t>zavezancev. Trenutno</w:t>
      </w:r>
      <w:r w:rsidRPr="003972F3">
        <w:rPr>
          <w:rFonts w:cs="Arial"/>
          <w:szCs w:val="20"/>
          <w:lang w:val="sl-SI"/>
        </w:rPr>
        <w:t xml:space="preserve"> imajo že 900 registriranih subjektov in</w:t>
      </w:r>
      <w:r>
        <w:rPr>
          <w:rFonts w:cs="Arial"/>
          <w:szCs w:val="20"/>
          <w:lang w:val="sl-SI"/>
        </w:rPr>
        <w:t xml:space="preserve"> </w:t>
      </w:r>
      <w:r w:rsidRPr="003972F3">
        <w:rPr>
          <w:rFonts w:cs="Arial"/>
          <w:szCs w:val="20"/>
          <w:lang w:val="sl-SI"/>
        </w:rPr>
        <w:t>pričakujejo</w:t>
      </w:r>
      <w:r>
        <w:rPr>
          <w:rFonts w:cs="Arial"/>
          <w:szCs w:val="20"/>
          <w:lang w:val="sl-SI"/>
        </w:rPr>
        <w:t>, da jih bo</w:t>
      </w:r>
      <w:r w:rsidRPr="003972F3">
        <w:rPr>
          <w:rFonts w:cs="Arial"/>
          <w:szCs w:val="20"/>
          <w:lang w:val="sl-SI"/>
        </w:rPr>
        <w:t xml:space="preserve"> še več.</w:t>
      </w:r>
    </w:p>
    <w:p w14:paraId="790ACEB1" w14:textId="77777777" w:rsidR="000A51A5" w:rsidRPr="0038250F" w:rsidRDefault="000A51A5" w:rsidP="000A51A5">
      <w:pPr>
        <w:spacing w:after="240" w:line="276" w:lineRule="auto"/>
        <w:jc w:val="both"/>
        <w:rPr>
          <w:rFonts w:cs="Arial"/>
          <w:b/>
          <w:szCs w:val="20"/>
          <w:lang w:val="sl-SI"/>
        </w:rPr>
      </w:pPr>
      <w:r w:rsidRPr="0038250F">
        <w:rPr>
          <w:rFonts w:cs="Arial"/>
          <w:b/>
          <w:szCs w:val="20"/>
          <w:lang w:val="sl-SI"/>
        </w:rPr>
        <w:t>Italijanska republika</w:t>
      </w:r>
    </w:p>
    <w:p w14:paraId="2EA8516A" w14:textId="77777777" w:rsidR="000A51A5" w:rsidRDefault="000A51A5" w:rsidP="000A51A5">
      <w:pPr>
        <w:spacing w:line="276" w:lineRule="auto"/>
        <w:jc w:val="both"/>
        <w:rPr>
          <w:rFonts w:cs="Arial"/>
          <w:szCs w:val="20"/>
          <w:lang w:val="sl-SI"/>
        </w:rPr>
      </w:pPr>
      <w:r w:rsidRPr="0038250F">
        <w:rPr>
          <w:rFonts w:cs="Arial"/>
          <w:szCs w:val="20"/>
          <w:lang w:val="sl-SI"/>
        </w:rPr>
        <w:t xml:space="preserve">Svet ministrov je 10. junija 2024 odobril osnutek zakonodajnega odloka za prenos direktive. </w:t>
      </w:r>
      <w:r>
        <w:rPr>
          <w:rFonts w:cs="Arial"/>
          <w:szCs w:val="20"/>
          <w:lang w:val="sl-SI"/>
        </w:rPr>
        <w:t xml:space="preserve">Italija je z </w:t>
      </w:r>
      <w:r w:rsidRPr="005C5131">
        <w:rPr>
          <w:rFonts w:cs="Arial"/>
          <w:szCs w:val="20"/>
          <w:lang w:val="sl-SI"/>
        </w:rPr>
        <w:t>Zakonodajni</w:t>
      </w:r>
      <w:r>
        <w:rPr>
          <w:rFonts w:cs="Arial"/>
          <w:szCs w:val="20"/>
          <w:lang w:val="sl-SI"/>
        </w:rPr>
        <w:t>m</w:t>
      </w:r>
      <w:r w:rsidRPr="005C5131">
        <w:rPr>
          <w:rFonts w:cs="Arial"/>
          <w:szCs w:val="20"/>
          <w:lang w:val="sl-SI"/>
        </w:rPr>
        <w:t xml:space="preserve"> odlok</w:t>
      </w:r>
      <w:r>
        <w:rPr>
          <w:rFonts w:cs="Arial"/>
          <w:szCs w:val="20"/>
          <w:lang w:val="sl-SI"/>
        </w:rPr>
        <w:t>om</w:t>
      </w:r>
      <w:r w:rsidRPr="005C5131">
        <w:rPr>
          <w:rFonts w:cs="Arial"/>
          <w:szCs w:val="20"/>
          <w:lang w:val="sl-SI"/>
        </w:rPr>
        <w:t xml:space="preserve"> z dne </w:t>
      </w:r>
      <w:r>
        <w:rPr>
          <w:rFonts w:cs="Arial"/>
          <w:szCs w:val="20"/>
          <w:lang w:val="sl-SI"/>
        </w:rPr>
        <w:t xml:space="preserve">4. septembra </w:t>
      </w:r>
      <w:r w:rsidRPr="005C5131">
        <w:rPr>
          <w:rFonts w:cs="Arial"/>
          <w:szCs w:val="20"/>
          <w:lang w:val="sl-SI"/>
        </w:rPr>
        <w:t>2024 št. 138</w:t>
      </w:r>
      <w:r>
        <w:rPr>
          <w:rFonts w:cs="Arial"/>
          <w:szCs w:val="20"/>
          <w:lang w:val="sl-SI"/>
        </w:rPr>
        <w:t xml:space="preserve"> prenesla Direktivo NIS2. </w:t>
      </w:r>
      <w:r w:rsidRPr="0038250F">
        <w:rPr>
          <w:rFonts w:cs="Arial"/>
          <w:szCs w:val="20"/>
          <w:lang w:val="sl-SI"/>
        </w:rPr>
        <w:t xml:space="preserve">Italijanska Nacionalna agencija za kibernetsko varnost (Agenzia per la Cybersicurezza Nazionale </w:t>
      </w:r>
      <w:r w:rsidRPr="000F762B">
        <w:rPr>
          <w:rFonts w:cs="Arial"/>
          <w:szCs w:val="20"/>
          <w:lang w:val="sl-SI" w:eastAsia="sl-SI"/>
        </w:rPr>
        <w:t>–</w:t>
      </w:r>
      <w:r w:rsidRPr="0038250F">
        <w:rPr>
          <w:rFonts w:cs="Arial"/>
          <w:szCs w:val="20"/>
          <w:lang w:val="sl-SI"/>
        </w:rPr>
        <w:t xml:space="preserve"> ACN) ohranja svoj status kot pristojni organ za kibernetsko varnost v Italiji po prenosu Direktive NIS2 v nacionalno zakonodajo. ACN je že začela izvajati ukrepe za uskladitev z direktivo NIS2, vključno z vzpostavitvijo digitalne platforme, prek katere se morajo zavezanci registrirati. ACN sodeluje z drugimi italijanskimi javnimi organi kot sektorskimi organi, s katerimi bo usklajevala izvajanje direktive NIS2. ACN bo igrala ključno vlogo v italijanskem okviru za kibernetsko varnost, saj bo odgovorna za regulativne in izvedbene aktivnosti v zvezi z direktivo NIS2. V okviru ACN deluje tudi skupina za odzivanje na kibernetske grožnje in incidente (CSIRT). CSIRT Italije je odgovoren za usklajevanje in podporo dejavnosti nacionalne mreže CSIRT, ki vključuje skupine CSIRT iz različnih sektorjev, vključno z vlado, kritično infrastrukturo in zasebnimi podjetji.</w:t>
      </w:r>
      <w:r>
        <w:rPr>
          <w:rFonts w:cs="Arial"/>
          <w:szCs w:val="20"/>
          <w:lang w:val="sl-SI"/>
        </w:rPr>
        <w:t xml:space="preserve"> </w:t>
      </w:r>
      <w:r w:rsidRPr="00A004BC">
        <w:rPr>
          <w:rFonts w:cs="Arial"/>
          <w:szCs w:val="20"/>
          <w:lang w:val="sl-SI"/>
        </w:rPr>
        <w:t xml:space="preserve">Agencija za digitalno Italijo (Agenzia per l’Italia Digitale </w:t>
      </w:r>
      <w:r>
        <w:rPr>
          <w:rFonts w:cs="Arial"/>
          <w:szCs w:val="20"/>
          <w:lang w:val="sl-SI"/>
        </w:rPr>
        <w:t xml:space="preserve">‒ </w:t>
      </w:r>
      <w:r w:rsidRPr="00A004BC">
        <w:rPr>
          <w:rFonts w:cs="Arial"/>
          <w:szCs w:val="20"/>
          <w:lang w:val="sl-SI"/>
        </w:rPr>
        <w:t>AgID)</w:t>
      </w:r>
      <w:r w:rsidRPr="0038250F">
        <w:rPr>
          <w:rFonts w:cs="Arial"/>
          <w:szCs w:val="20"/>
          <w:lang w:val="sl-SI"/>
        </w:rPr>
        <w:t xml:space="preserve"> svojim članom zagotavlja tehnično pomoč, upravljanje incidentov in storitve za izmenjavo informacij. Skupina CSIRT tesno sodeluje tudi z drugimi nacionalnimi in mednarodnimi organizacijami, da bi zagotovila pripravljenost Italije na odzivanje na kibernetske grožnje in incidente. Kar se tiče CSIRT-a in tehnične podpore</w:t>
      </w:r>
      <w:r>
        <w:rPr>
          <w:rFonts w:cs="Arial"/>
          <w:szCs w:val="20"/>
          <w:lang w:val="sl-SI"/>
        </w:rPr>
        <w:t>,</w:t>
      </w:r>
      <w:r w:rsidRPr="0038250F">
        <w:rPr>
          <w:rFonts w:cs="Arial"/>
          <w:szCs w:val="20"/>
          <w:lang w:val="sl-SI"/>
        </w:rPr>
        <w:t xml:space="preserve"> str</w:t>
      </w:r>
      <w:r>
        <w:rPr>
          <w:rFonts w:cs="Arial"/>
          <w:szCs w:val="20"/>
          <w:lang w:val="sl-SI"/>
        </w:rPr>
        <w:t>e</w:t>
      </w:r>
      <w:r w:rsidRPr="0038250F">
        <w:rPr>
          <w:rFonts w:cs="Arial"/>
          <w:szCs w:val="20"/>
          <w:lang w:val="sl-SI"/>
        </w:rPr>
        <w:t xml:space="preserve">mijo k popolni integraciji </w:t>
      </w:r>
      <w:r>
        <w:rPr>
          <w:rFonts w:cs="Arial"/>
          <w:szCs w:val="20"/>
          <w:lang w:val="sl-SI"/>
        </w:rPr>
        <w:t>z</w:t>
      </w:r>
      <w:r w:rsidRPr="0038250F">
        <w:rPr>
          <w:rFonts w:cs="Arial"/>
          <w:szCs w:val="20"/>
          <w:lang w:val="sl-SI"/>
        </w:rPr>
        <w:t xml:space="preserve"> EU, N</w:t>
      </w:r>
      <w:r>
        <w:rPr>
          <w:rFonts w:cs="Arial"/>
          <w:szCs w:val="20"/>
          <w:lang w:val="sl-SI"/>
        </w:rPr>
        <w:t>ato</w:t>
      </w:r>
      <w:r w:rsidRPr="0038250F">
        <w:rPr>
          <w:rFonts w:cs="Arial"/>
          <w:szCs w:val="20"/>
          <w:lang w:val="sl-SI"/>
        </w:rPr>
        <w:t xml:space="preserve">m in </w:t>
      </w:r>
      <w:r>
        <w:rPr>
          <w:rFonts w:cs="Arial"/>
          <w:szCs w:val="20"/>
          <w:lang w:val="sl-SI"/>
        </w:rPr>
        <w:t>drugimi</w:t>
      </w:r>
      <w:r w:rsidRPr="0038250F">
        <w:rPr>
          <w:rFonts w:cs="Arial"/>
          <w:szCs w:val="20"/>
          <w:lang w:val="sl-SI"/>
        </w:rPr>
        <w:t xml:space="preserve"> mednarodno relevantnimi mehanizmi. Poleg tega imajo v nacionalni strategiji osem ukrepov, namenjenih nacionalnim kibernetskim storitvam, vključno s HyperSOC, HPC in ISAC (podprt s skladi za okrevanje in odpornost)</w:t>
      </w:r>
      <w:r>
        <w:rPr>
          <w:rFonts w:cs="Arial"/>
          <w:szCs w:val="20"/>
          <w:lang w:val="sl-SI"/>
        </w:rPr>
        <w:t>.</w:t>
      </w:r>
    </w:p>
    <w:p w14:paraId="0A4825C1" w14:textId="77777777" w:rsidR="000A51A5" w:rsidRDefault="000A51A5" w:rsidP="000A51A5">
      <w:pPr>
        <w:spacing w:line="276" w:lineRule="auto"/>
        <w:jc w:val="both"/>
        <w:rPr>
          <w:rFonts w:cs="Arial"/>
          <w:szCs w:val="20"/>
          <w:lang w:val="sl-SI"/>
        </w:rPr>
      </w:pPr>
    </w:p>
    <w:p w14:paraId="0CDD1337" w14:textId="77777777" w:rsidR="000A51A5" w:rsidRPr="0038250F" w:rsidRDefault="000A51A5" w:rsidP="000A51A5">
      <w:pPr>
        <w:spacing w:line="276" w:lineRule="auto"/>
        <w:jc w:val="both"/>
        <w:rPr>
          <w:rFonts w:cs="Arial"/>
          <w:szCs w:val="20"/>
          <w:lang w:val="sl-SI"/>
        </w:rPr>
      </w:pPr>
      <w:r>
        <w:rPr>
          <w:rFonts w:cs="Arial"/>
          <w:szCs w:val="20"/>
          <w:lang w:val="sl-SI"/>
        </w:rPr>
        <w:t>Zdaj je v Italiji v</w:t>
      </w:r>
      <w:r w:rsidRPr="003972F3">
        <w:rPr>
          <w:rFonts w:cs="Arial"/>
          <w:szCs w:val="20"/>
          <w:lang w:val="sl-SI"/>
        </w:rPr>
        <w:t xml:space="preserve"> postopku registracije subjektov </w:t>
      </w:r>
      <w:r>
        <w:rPr>
          <w:rFonts w:cs="Arial"/>
          <w:szCs w:val="20"/>
          <w:lang w:val="sl-SI"/>
        </w:rPr>
        <w:t>po</w:t>
      </w:r>
      <w:r w:rsidRPr="003972F3">
        <w:rPr>
          <w:rFonts w:cs="Arial"/>
          <w:szCs w:val="20"/>
          <w:lang w:val="sl-SI"/>
        </w:rPr>
        <w:t xml:space="preserve"> NIS2</w:t>
      </w:r>
      <w:r>
        <w:rPr>
          <w:rFonts w:cs="Arial"/>
          <w:szCs w:val="20"/>
          <w:lang w:val="sl-SI"/>
        </w:rPr>
        <w:t xml:space="preserve"> registriranih </w:t>
      </w:r>
      <w:r w:rsidRPr="003972F3">
        <w:rPr>
          <w:rFonts w:cs="Arial"/>
          <w:szCs w:val="20"/>
          <w:lang w:val="sl-SI"/>
        </w:rPr>
        <w:t>2</w:t>
      </w:r>
      <w:r>
        <w:rPr>
          <w:rFonts w:cs="Arial"/>
          <w:szCs w:val="20"/>
          <w:lang w:val="sl-SI"/>
        </w:rPr>
        <w:t>3</w:t>
      </w:r>
      <w:r w:rsidRPr="003972F3">
        <w:rPr>
          <w:rFonts w:cs="Arial"/>
          <w:szCs w:val="20"/>
          <w:lang w:val="sl-SI"/>
        </w:rPr>
        <w:t>00</w:t>
      </w:r>
      <w:r>
        <w:rPr>
          <w:rFonts w:cs="Arial"/>
          <w:szCs w:val="20"/>
          <w:lang w:val="sl-SI"/>
        </w:rPr>
        <w:t xml:space="preserve"> zavezancev. Ob tem </w:t>
      </w:r>
      <w:r w:rsidRPr="003972F3">
        <w:rPr>
          <w:rFonts w:cs="Arial"/>
          <w:szCs w:val="20"/>
          <w:lang w:val="sl-SI"/>
        </w:rPr>
        <w:t>izvajajo kampanjo za pospešitev registracije</w:t>
      </w:r>
      <w:r>
        <w:rPr>
          <w:rFonts w:cs="Arial"/>
          <w:szCs w:val="20"/>
          <w:lang w:val="sl-SI"/>
        </w:rPr>
        <w:t>.</w:t>
      </w:r>
      <w:r w:rsidRPr="003972F3">
        <w:rPr>
          <w:rFonts w:cs="Arial"/>
          <w:szCs w:val="20"/>
          <w:lang w:val="sl-SI"/>
        </w:rPr>
        <w:t xml:space="preserve"> </w:t>
      </w:r>
    </w:p>
    <w:p w14:paraId="1836DE01" w14:textId="77777777" w:rsidR="000A51A5" w:rsidRPr="0038250F" w:rsidRDefault="000A51A5" w:rsidP="000A51A5">
      <w:pPr>
        <w:spacing w:line="276" w:lineRule="auto"/>
        <w:jc w:val="both"/>
        <w:rPr>
          <w:rFonts w:cs="Arial"/>
          <w:lang w:val="sl-SI"/>
        </w:rPr>
      </w:pPr>
    </w:p>
    <w:p w14:paraId="0BEF889C" w14:textId="77777777" w:rsidR="000A51A5" w:rsidRPr="0038250F" w:rsidRDefault="000A51A5" w:rsidP="000A51A5">
      <w:pPr>
        <w:spacing w:line="276" w:lineRule="auto"/>
        <w:jc w:val="both"/>
        <w:rPr>
          <w:rFonts w:cs="Arial"/>
          <w:b/>
          <w:szCs w:val="20"/>
          <w:lang w:val="sl-SI"/>
        </w:rPr>
      </w:pPr>
      <w:r w:rsidRPr="0038250F">
        <w:rPr>
          <w:rFonts w:cs="Arial"/>
          <w:b/>
          <w:szCs w:val="20"/>
          <w:lang w:val="sl-SI"/>
        </w:rPr>
        <w:t>Češka republika</w:t>
      </w:r>
    </w:p>
    <w:p w14:paraId="7F587DA5" w14:textId="77777777" w:rsidR="000A51A5" w:rsidRPr="0038250F" w:rsidRDefault="000A51A5" w:rsidP="000A51A5">
      <w:pPr>
        <w:spacing w:line="276" w:lineRule="auto"/>
        <w:jc w:val="both"/>
        <w:rPr>
          <w:rFonts w:cs="Arial"/>
          <w:b/>
          <w:szCs w:val="20"/>
          <w:lang w:val="sl-SI"/>
        </w:rPr>
      </w:pPr>
    </w:p>
    <w:p w14:paraId="00D90CE5" w14:textId="77777777" w:rsidR="000A51A5" w:rsidRDefault="000A51A5" w:rsidP="000A51A5">
      <w:pPr>
        <w:spacing w:line="276" w:lineRule="auto"/>
        <w:jc w:val="both"/>
        <w:rPr>
          <w:rFonts w:cs="Arial"/>
          <w:bCs/>
          <w:szCs w:val="20"/>
          <w:lang w:val="sl-SI"/>
        </w:rPr>
      </w:pPr>
      <w:r w:rsidRPr="0038250F">
        <w:rPr>
          <w:rFonts w:cs="Arial"/>
          <w:bCs/>
          <w:szCs w:val="20"/>
          <w:lang w:val="sl-SI"/>
        </w:rPr>
        <w:t xml:space="preserve">Češka republika je ob prenosu direktive NIS (Direktiva (EU) 2016/1148) v svojo nacionalno zakonodajo vzpostavila Nacionalni organ za kibernetsko in informacijsko varnost (NUKIB), ki deluje kot osrednja točka za kibernetsko varnost v državi. Kar zadeva prenos direktive NIS2 (Direktiva (EU) 2022/2555), je Češka republika v postopku prilagajanja svoje zakonodaje novim zahtevam. NUKIB je pripravil osnutek novega zakona o kibernetski varnosti, ki vključuje zahteve direktive NIS2, in ga predstavil javnosti v začetku leta 2023. Po javnem posvetovanju, ki je potekalo od 26. januarja do 12. marca 2023, je NUKIB prejel številne pripombe in predloge, ki so bili upoštevani pri posodobitvi osnutka zakona. </w:t>
      </w:r>
      <w:r w:rsidRPr="00090EC2">
        <w:rPr>
          <w:rFonts w:cs="Arial"/>
          <w:bCs/>
          <w:szCs w:val="20"/>
          <w:lang w:val="sl-SI"/>
        </w:rPr>
        <w:t xml:space="preserve">Predlog novega zakona je </w:t>
      </w:r>
      <w:r>
        <w:rPr>
          <w:rFonts w:cs="Arial"/>
          <w:bCs/>
          <w:szCs w:val="20"/>
          <w:lang w:val="sl-SI"/>
        </w:rPr>
        <w:t>v</w:t>
      </w:r>
      <w:r w:rsidRPr="00090EC2">
        <w:rPr>
          <w:rFonts w:cs="Arial"/>
          <w:bCs/>
          <w:szCs w:val="20"/>
          <w:lang w:val="sl-SI"/>
        </w:rPr>
        <w:t xml:space="preserve">lada potrdila 17. julija </w:t>
      </w:r>
      <w:r w:rsidRPr="00090EC2">
        <w:rPr>
          <w:rFonts w:cs="Arial"/>
          <w:bCs/>
          <w:szCs w:val="20"/>
          <w:lang w:val="sl-SI"/>
        </w:rPr>
        <w:lastRenderedPageBreak/>
        <w:t>2024</w:t>
      </w:r>
      <w:r>
        <w:rPr>
          <w:rFonts w:cs="Arial"/>
          <w:bCs/>
          <w:szCs w:val="20"/>
          <w:lang w:val="sl-SI"/>
        </w:rPr>
        <w:t>.</w:t>
      </w:r>
      <w:r w:rsidRPr="005716CB">
        <w:rPr>
          <w:lang w:val="sl-SI"/>
        </w:rPr>
        <w:t xml:space="preserve"> </w:t>
      </w:r>
      <w:r>
        <w:rPr>
          <w:rFonts w:cs="Arial"/>
          <w:bCs/>
          <w:szCs w:val="20"/>
          <w:lang w:val="sl-SI"/>
        </w:rPr>
        <w:t>Trenutno</w:t>
      </w:r>
      <w:r w:rsidRPr="000B19B1">
        <w:rPr>
          <w:rFonts w:cs="Arial"/>
          <w:bCs/>
          <w:szCs w:val="20"/>
          <w:lang w:val="sl-SI"/>
        </w:rPr>
        <w:t xml:space="preserve"> je</w:t>
      </w:r>
      <w:r>
        <w:rPr>
          <w:rFonts w:cs="Arial"/>
          <w:bCs/>
          <w:szCs w:val="20"/>
          <w:lang w:val="sl-SI"/>
        </w:rPr>
        <w:t xml:space="preserve"> zakon v</w:t>
      </w:r>
      <w:r w:rsidRPr="000B19B1">
        <w:rPr>
          <w:rFonts w:cs="Arial"/>
          <w:bCs/>
          <w:szCs w:val="20"/>
          <w:lang w:val="sl-SI"/>
        </w:rPr>
        <w:t xml:space="preserve"> obravnav</w:t>
      </w:r>
      <w:r>
        <w:rPr>
          <w:rFonts w:cs="Arial"/>
          <w:bCs/>
          <w:szCs w:val="20"/>
          <w:lang w:val="sl-SI"/>
        </w:rPr>
        <w:t xml:space="preserve">i </w:t>
      </w:r>
      <w:r w:rsidRPr="000B19B1">
        <w:rPr>
          <w:rFonts w:cs="Arial"/>
          <w:bCs/>
          <w:szCs w:val="20"/>
          <w:lang w:val="sl-SI"/>
        </w:rPr>
        <w:t xml:space="preserve">v češkem </w:t>
      </w:r>
      <w:r>
        <w:rPr>
          <w:rFonts w:cs="Arial"/>
          <w:bCs/>
          <w:szCs w:val="20"/>
          <w:lang w:val="sl-SI"/>
        </w:rPr>
        <w:t>p</w:t>
      </w:r>
      <w:r w:rsidRPr="000B19B1">
        <w:rPr>
          <w:rFonts w:cs="Arial"/>
          <w:bCs/>
          <w:szCs w:val="20"/>
          <w:lang w:val="sl-SI"/>
        </w:rPr>
        <w:t>arlamentu</w:t>
      </w:r>
      <w:r w:rsidRPr="00090EC2">
        <w:rPr>
          <w:rFonts w:cs="Arial"/>
          <w:bCs/>
          <w:szCs w:val="20"/>
          <w:lang w:val="sl-SI"/>
        </w:rPr>
        <w:t>.</w:t>
      </w:r>
      <w:r>
        <w:rPr>
          <w:rFonts w:cs="Arial"/>
          <w:bCs/>
          <w:szCs w:val="20"/>
          <w:lang w:val="sl-SI"/>
        </w:rPr>
        <w:t xml:space="preserve"> </w:t>
      </w:r>
      <w:r w:rsidRPr="0038250F">
        <w:rPr>
          <w:rFonts w:cs="Arial"/>
          <w:bCs/>
          <w:szCs w:val="20"/>
          <w:lang w:val="sl-SI"/>
        </w:rPr>
        <w:t xml:space="preserve">Čeprav je bil rok za prenos direktive NIS2 17. oktober 2024, Češka republika še ni dokončno prenesla direktive v svojo nacionalno zakonodajo. </w:t>
      </w:r>
    </w:p>
    <w:p w14:paraId="21D05AAD" w14:textId="77777777" w:rsidR="000A51A5" w:rsidRDefault="000A51A5" w:rsidP="000A51A5">
      <w:pPr>
        <w:spacing w:line="276" w:lineRule="auto"/>
        <w:jc w:val="both"/>
        <w:rPr>
          <w:rFonts w:cs="Arial"/>
          <w:bCs/>
          <w:szCs w:val="20"/>
          <w:lang w:val="sl-SI"/>
        </w:rPr>
      </w:pPr>
    </w:p>
    <w:p w14:paraId="51335C24" w14:textId="77777777" w:rsidR="000A51A5" w:rsidRPr="00090EC2" w:rsidRDefault="000A51A5" w:rsidP="000A51A5">
      <w:pPr>
        <w:spacing w:line="276" w:lineRule="auto"/>
        <w:jc w:val="both"/>
        <w:rPr>
          <w:rFonts w:cs="Arial"/>
          <w:bCs/>
          <w:szCs w:val="20"/>
          <w:lang w:val="sl-SI"/>
        </w:rPr>
      </w:pPr>
      <w:r w:rsidRPr="00090EC2">
        <w:rPr>
          <w:rFonts w:cs="Arial"/>
          <w:bCs/>
          <w:szCs w:val="20"/>
          <w:lang w:val="sl-SI"/>
        </w:rPr>
        <w:t xml:space="preserve">Ureditev kibernetske varnosti še vedno zagotavlja veljavni zakon št. 181/2014 o kibernetski varnosti, obveznosti, ki izhajajo iz tega, </w:t>
      </w:r>
      <w:r>
        <w:rPr>
          <w:rFonts w:cs="Arial"/>
          <w:bCs/>
          <w:szCs w:val="20"/>
          <w:lang w:val="sl-SI"/>
        </w:rPr>
        <w:t xml:space="preserve">pa </w:t>
      </w:r>
      <w:r w:rsidRPr="00090EC2">
        <w:rPr>
          <w:rFonts w:cs="Arial"/>
          <w:bCs/>
          <w:szCs w:val="20"/>
          <w:lang w:val="sl-SI"/>
        </w:rPr>
        <w:t>veljajo samo za subjekte, ki spadajo v njegovo področje uporabe. Zakonodajal</w:t>
      </w:r>
      <w:r>
        <w:rPr>
          <w:rFonts w:cs="Arial"/>
          <w:bCs/>
          <w:szCs w:val="20"/>
          <w:lang w:val="sl-SI"/>
        </w:rPr>
        <w:t>ec</w:t>
      </w:r>
      <w:r w:rsidRPr="00090EC2">
        <w:rPr>
          <w:rFonts w:cs="Arial"/>
          <w:bCs/>
          <w:szCs w:val="20"/>
          <w:lang w:val="sl-SI"/>
        </w:rPr>
        <w:t xml:space="preserve"> bo svoje obveznosti izpoln</w:t>
      </w:r>
      <w:r>
        <w:rPr>
          <w:rFonts w:cs="Arial"/>
          <w:bCs/>
          <w:szCs w:val="20"/>
          <w:lang w:val="sl-SI"/>
        </w:rPr>
        <w:t xml:space="preserve">il </w:t>
      </w:r>
      <w:r w:rsidRPr="00090EC2">
        <w:rPr>
          <w:rFonts w:cs="Arial"/>
          <w:bCs/>
          <w:szCs w:val="20"/>
          <w:lang w:val="sl-SI"/>
        </w:rPr>
        <w:t xml:space="preserve">šele z uveljavitvijo novega zakona, kar se bo zgodilo predvidoma </w:t>
      </w:r>
      <w:r w:rsidRPr="000B19B1">
        <w:rPr>
          <w:rFonts w:cs="Arial"/>
          <w:bCs/>
          <w:szCs w:val="20"/>
          <w:lang w:val="sl-SI"/>
        </w:rPr>
        <w:t>v drugem tromesečju leta 2025</w:t>
      </w:r>
      <w:r w:rsidRPr="00090EC2">
        <w:rPr>
          <w:rFonts w:cs="Arial"/>
          <w:bCs/>
          <w:szCs w:val="20"/>
          <w:lang w:val="sl-SI"/>
        </w:rPr>
        <w:t xml:space="preserve">. </w:t>
      </w:r>
    </w:p>
    <w:p w14:paraId="3A62A662" w14:textId="77777777" w:rsidR="000A51A5" w:rsidRPr="00090EC2" w:rsidRDefault="000A51A5" w:rsidP="000A51A5">
      <w:pPr>
        <w:spacing w:line="276" w:lineRule="auto"/>
        <w:jc w:val="both"/>
        <w:rPr>
          <w:rFonts w:cs="Arial"/>
          <w:bCs/>
          <w:szCs w:val="20"/>
          <w:lang w:val="sl-SI"/>
        </w:rPr>
      </w:pPr>
    </w:p>
    <w:p w14:paraId="7595E2E7" w14:textId="77777777" w:rsidR="000A51A5" w:rsidRPr="0038250F" w:rsidRDefault="000A51A5" w:rsidP="000A51A5">
      <w:pPr>
        <w:spacing w:line="276" w:lineRule="auto"/>
        <w:jc w:val="both"/>
        <w:rPr>
          <w:rFonts w:cs="Arial"/>
          <w:b/>
          <w:szCs w:val="20"/>
          <w:lang w:val="sl-SI"/>
        </w:rPr>
      </w:pPr>
      <w:r w:rsidRPr="00090EC2">
        <w:rPr>
          <w:rFonts w:cs="Arial"/>
          <w:bCs/>
          <w:szCs w:val="20"/>
          <w:lang w:val="sl-SI"/>
        </w:rPr>
        <w:t xml:space="preserve">Osnutek novega zakona temelji na besedilu </w:t>
      </w:r>
      <w:r>
        <w:rPr>
          <w:rFonts w:cs="Arial"/>
          <w:bCs/>
          <w:szCs w:val="20"/>
          <w:lang w:val="sl-SI"/>
        </w:rPr>
        <w:t>veljavnega</w:t>
      </w:r>
      <w:r w:rsidRPr="00090EC2">
        <w:rPr>
          <w:rFonts w:cs="Arial"/>
          <w:bCs/>
          <w:szCs w:val="20"/>
          <w:lang w:val="sl-SI"/>
        </w:rPr>
        <w:t xml:space="preserve"> zakona o kibernetski varnosti in izpolnjuje minimalne zahteve, ki jih določa direktiva NIS2. Zato prenaša spremembe, ki jih zahteva direktiva NIS2, v češki pravni sistem. Poleg tega odraža izkušnje in spoznanja, ki jih je NUKIB zbral med svojim obstojem.</w:t>
      </w:r>
      <w:r>
        <w:rPr>
          <w:rFonts w:cs="Arial"/>
          <w:bCs/>
          <w:szCs w:val="20"/>
          <w:lang w:val="sl-SI"/>
        </w:rPr>
        <w:t xml:space="preserve"> </w:t>
      </w:r>
      <w:r w:rsidRPr="00090EC2">
        <w:rPr>
          <w:rFonts w:cs="Arial"/>
          <w:bCs/>
          <w:szCs w:val="20"/>
          <w:lang w:val="sl-SI"/>
        </w:rPr>
        <w:t xml:space="preserve">Glavni namen </w:t>
      </w:r>
      <w:r>
        <w:rPr>
          <w:rFonts w:cs="Arial"/>
          <w:bCs/>
          <w:szCs w:val="20"/>
          <w:lang w:val="sl-SI"/>
        </w:rPr>
        <w:t xml:space="preserve">novega zakona </w:t>
      </w:r>
      <w:r w:rsidRPr="00090EC2">
        <w:rPr>
          <w:rFonts w:cs="Arial"/>
          <w:bCs/>
          <w:szCs w:val="20"/>
          <w:lang w:val="sl-SI"/>
        </w:rPr>
        <w:t>je vzpostavitev osnovne stopnje varnosti v organizacijah, ki opravljajo storitve v gospodarsko, socialno ali varnostno pomembnih sektorjih in izpolnjujejo druge kriterije pomembnosti. Obseg reguliranih sektorjev in posameznih reguliranih storitev znotraj teh sektorjev se je z direktivo NIS2 razširil, zato bo novi zakon veljal za bistveno širši krog organizacij.</w:t>
      </w:r>
    </w:p>
    <w:p w14:paraId="122EA7F0" w14:textId="77777777" w:rsidR="000A51A5" w:rsidRPr="0038250F" w:rsidRDefault="000A51A5" w:rsidP="000A51A5">
      <w:pPr>
        <w:spacing w:line="276" w:lineRule="auto"/>
        <w:jc w:val="both"/>
        <w:rPr>
          <w:rFonts w:cs="Arial"/>
          <w:bCs/>
          <w:szCs w:val="20"/>
          <w:lang w:val="sl-SI"/>
        </w:rPr>
      </w:pPr>
      <w:r w:rsidRPr="0038250F">
        <w:rPr>
          <w:rFonts w:cs="Arial"/>
          <w:bCs/>
          <w:szCs w:val="20"/>
          <w:lang w:val="sl-SI"/>
        </w:rPr>
        <w:t xml:space="preserve">Na operativni ravni deluje vladni CERT (GovCERT.CZ), katerega glavne naloge so zbiranje priglasitev kibernetskih incidentov od določenih subjektov, njihova analiza in pomoč. Zakon o kibernetski varnosti je uvedel obveznost priglasitve kibernetskih incidentov za subjekte, ki upravljajo kritično informacijsko infrastrukturo, vladno in z njo povezano informacijsko infrastrukturo ter internetna vozlišča, ki omogočajo neposredno povezavo do kritične informacijske infrastrukture ali omrežij v tujini. Ti subjekti morajo izvajati preventivne varnostne ukrepe, ki segajo od zagotavljanja fizične varnosti do kriptografije, ter priglašati kibernetske incidente vladnemu CERT. Drugi ponudniki internetnih storitev priglašajo kibernetske incidente nacionalnemu CERT (trenutno CSIRT.CZ), ki opravlja storitve za zasebni sektor. </w:t>
      </w:r>
    </w:p>
    <w:p w14:paraId="22ED6AF2" w14:textId="77777777" w:rsidR="000A51A5" w:rsidRPr="0038250F" w:rsidRDefault="000A51A5" w:rsidP="000A51A5">
      <w:pPr>
        <w:spacing w:line="276" w:lineRule="auto"/>
        <w:jc w:val="both"/>
        <w:rPr>
          <w:rFonts w:cs="Arial"/>
          <w:szCs w:val="22"/>
          <w:lang w:val="sl-SI"/>
        </w:rPr>
      </w:pPr>
    </w:p>
    <w:p w14:paraId="092C87B4" w14:textId="77777777" w:rsidR="000A51A5" w:rsidRPr="0038250F" w:rsidRDefault="000A51A5" w:rsidP="000A51A5">
      <w:pPr>
        <w:spacing w:line="276" w:lineRule="auto"/>
        <w:jc w:val="both"/>
        <w:rPr>
          <w:rFonts w:cs="Arial"/>
          <w:b/>
          <w:bCs/>
          <w:szCs w:val="20"/>
          <w:lang w:val="sl-SI"/>
        </w:rPr>
      </w:pPr>
      <w:r w:rsidRPr="0038250F">
        <w:rPr>
          <w:rFonts w:cs="Arial"/>
          <w:b/>
          <w:bCs/>
          <w:szCs w:val="20"/>
          <w:lang w:val="sl-SI"/>
        </w:rPr>
        <w:t>Francoska republika</w:t>
      </w:r>
    </w:p>
    <w:p w14:paraId="0C5ECA4D" w14:textId="77777777" w:rsidR="000A51A5" w:rsidRPr="0038250F" w:rsidRDefault="000A51A5" w:rsidP="000A51A5">
      <w:pPr>
        <w:spacing w:line="276" w:lineRule="auto"/>
        <w:jc w:val="both"/>
        <w:rPr>
          <w:rFonts w:cs="Arial"/>
          <w:szCs w:val="20"/>
          <w:lang w:val="sl-SI"/>
        </w:rPr>
      </w:pPr>
    </w:p>
    <w:p w14:paraId="2B83B182" w14:textId="77777777" w:rsidR="000A51A5" w:rsidRPr="0038250F" w:rsidRDefault="000A51A5" w:rsidP="000A51A5">
      <w:pPr>
        <w:spacing w:line="276" w:lineRule="auto"/>
        <w:jc w:val="both"/>
        <w:rPr>
          <w:rFonts w:cs="Arial"/>
          <w:lang w:val="sl-SI"/>
        </w:rPr>
      </w:pPr>
      <w:r w:rsidRPr="0038250F">
        <w:rPr>
          <w:rFonts w:cs="Arial"/>
          <w:bCs/>
          <w:szCs w:val="20"/>
          <w:lang w:val="sl-SI"/>
        </w:rPr>
        <w:t>Francija je med državami, za katere je Evropska komisija 2</w:t>
      </w:r>
      <w:r>
        <w:rPr>
          <w:rFonts w:cs="Arial"/>
          <w:bCs/>
          <w:szCs w:val="20"/>
          <w:lang w:val="sl-SI"/>
        </w:rPr>
        <w:t>8</w:t>
      </w:r>
      <w:r w:rsidRPr="0038250F">
        <w:rPr>
          <w:rFonts w:cs="Arial"/>
          <w:bCs/>
          <w:szCs w:val="20"/>
          <w:lang w:val="sl-SI"/>
        </w:rPr>
        <w:t xml:space="preserve">. novembra 2024 sporočila, da je začela postopke zaradi neizpolnjevanja obveznosti proti 23 državam članicam, ker niso v celoti prenesle direktive NIS2 v svoje nacionalne zakonodaje. Francija je 15. oktobra 2024 v Senat vložila predlog zakona št. 33, ki predvideva prenos direktive NIS2 v nacionalno zakonodajo. Ta predlog zakona vključuje tudi prenos direktiv CER in DORA ter je trenutno v zakonodajnem postopku. </w:t>
      </w:r>
      <w:r w:rsidRPr="0038250F">
        <w:rPr>
          <w:rFonts w:cs="Arial"/>
          <w:lang w:val="sl-SI"/>
        </w:rPr>
        <w:t>Predlog zakona št. 33 združuje te tri zakonodajne akte v enoten pravni okvir, kar odraža celovit pristop Francije k izboljšanju kibernetske varnosti in odpornosti kritične infrastrukture ter finančnega sektorja.</w:t>
      </w:r>
      <w:r>
        <w:rPr>
          <w:rFonts w:cs="Arial"/>
          <w:lang w:val="sl-SI"/>
        </w:rPr>
        <w:t xml:space="preserve"> Predvidoma bodo imeli </w:t>
      </w:r>
      <w:r w:rsidRPr="0080443E">
        <w:rPr>
          <w:rFonts w:cs="Arial"/>
          <w:lang w:val="sl-SI"/>
        </w:rPr>
        <w:t>javn</w:t>
      </w:r>
      <w:r>
        <w:rPr>
          <w:rFonts w:cs="Arial"/>
          <w:lang w:val="sl-SI"/>
        </w:rPr>
        <w:t>o</w:t>
      </w:r>
      <w:r w:rsidRPr="0080443E">
        <w:rPr>
          <w:rFonts w:cs="Arial"/>
          <w:lang w:val="sl-SI"/>
        </w:rPr>
        <w:t xml:space="preserve"> obravnav</w:t>
      </w:r>
      <w:r>
        <w:rPr>
          <w:rFonts w:cs="Arial"/>
          <w:lang w:val="sl-SI"/>
        </w:rPr>
        <w:t>o</w:t>
      </w:r>
      <w:r w:rsidRPr="0080443E">
        <w:rPr>
          <w:rFonts w:cs="Arial"/>
          <w:lang w:val="sl-SI"/>
        </w:rPr>
        <w:t xml:space="preserve"> marca</w:t>
      </w:r>
      <w:r>
        <w:rPr>
          <w:rFonts w:cs="Arial"/>
          <w:lang w:val="sl-SI"/>
        </w:rPr>
        <w:t xml:space="preserve"> 2025.</w:t>
      </w:r>
      <w:r w:rsidRPr="0080443E">
        <w:rPr>
          <w:rFonts w:cs="Arial"/>
          <w:lang w:val="sl-SI"/>
        </w:rPr>
        <w:t xml:space="preserve"> </w:t>
      </w:r>
      <w:r>
        <w:rPr>
          <w:rFonts w:cs="Arial"/>
          <w:lang w:val="sl-SI"/>
        </w:rPr>
        <w:t>M</w:t>
      </w:r>
      <w:r w:rsidRPr="0080443E">
        <w:rPr>
          <w:rFonts w:cs="Arial"/>
          <w:lang w:val="sl-SI"/>
        </w:rPr>
        <w:t xml:space="preserve">ed tem </w:t>
      </w:r>
      <w:r>
        <w:rPr>
          <w:rFonts w:cs="Arial"/>
          <w:lang w:val="sl-SI"/>
        </w:rPr>
        <w:t>opravljajo</w:t>
      </w:r>
      <w:r w:rsidRPr="0080443E">
        <w:rPr>
          <w:rFonts w:cs="Arial"/>
          <w:lang w:val="sl-SI"/>
        </w:rPr>
        <w:t xml:space="preserve"> posvete </w:t>
      </w:r>
      <w:r>
        <w:rPr>
          <w:rFonts w:cs="Arial"/>
          <w:lang w:val="sl-SI"/>
        </w:rPr>
        <w:t>z deležniki, zakon pa naj bi bil sprejet proti koncu leta 2025.</w:t>
      </w:r>
    </w:p>
    <w:p w14:paraId="763D9147" w14:textId="77777777" w:rsidR="000A51A5" w:rsidRPr="0038250F" w:rsidRDefault="000A51A5" w:rsidP="000A51A5">
      <w:pPr>
        <w:spacing w:line="276" w:lineRule="auto"/>
        <w:jc w:val="both"/>
        <w:rPr>
          <w:rFonts w:cs="Arial"/>
          <w:bCs/>
          <w:szCs w:val="20"/>
          <w:lang w:val="sl-SI"/>
        </w:rPr>
      </w:pPr>
    </w:p>
    <w:p w14:paraId="32FB54D1" w14:textId="77777777" w:rsidR="000A51A5" w:rsidRPr="0038250F" w:rsidRDefault="000A51A5" w:rsidP="000A51A5">
      <w:pPr>
        <w:spacing w:line="276" w:lineRule="auto"/>
        <w:jc w:val="both"/>
        <w:rPr>
          <w:rFonts w:cs="Arial"/>
          <w:bCs/>
          <w:szCs w:val="20"/>
          <w:lang w:val="sl-SI"/>
        </w:rPr>
      </w:pPr>
      <w:r w:rsidRPr="0038250F">
        <w:rPr>
          <w:rFonts w:cs="Arial"/>
          <w:bCs/>
          <w:szCs w:val="20"/>
          <w:lang w:val="sl-SI"/>
        </w:rPr>
        <w:t>Francoska nacionalna agencija za varnost informacijskih sistemov (</w:t>
      </w:r>
      <w:r w:rsidRPr="0038250F">
        <w:rPr>
          <w:rFonts w:cs="Arial"/>
          <w:bCs/>
          <w:i/>
          <w:szCs w:val="20"/>
          <w:lang w:val="sl-SI"/>
        </w:rPr>
        <w:t>Agence nationale de la sécurité des systèmes d’information</w:t>
      </w:r>
      <w:r w:rsidRPr="0038250F">
        <w:rPr>
          <w:rFonts w:cs="Arial"/>
          <w:bCs/>
          <w:szCs w:val="20"/>
          <w:lang w:val="sl-SI"/>
        </w:rPr>
        <w:t xml:space="preserve"> – ANSSI) je bila ustanovljena z odlokom št. 2009-834 z dne 7. julija 2009 kot nacionalni organ za kibernetsko varnost. ANSSI deluje kot pristojni nacionalni organ za kibernetsko obrambo ter varnost omrežij in informacij v skladu z direktivo NIS. </w:t>
      </w:r>
      <w:r>
        <w:rPr>
          <w:rFonts w:cs="Arial"/>
          <w:bCs/>
          <w:szCs w:val="20"/>
          <w:lang w:val="sl-SI"/>
        </w:rPr>
        <w:t>Ponuja</w:t>
      </w:r>
      <w:r w:rsidRPr="0038250F">
        <w:rPr>
          <w:rFonts w:cs="Arial"/>
          <w:bCs/>
          <w:szCs w:val="20"/>
          <w:lang w:val="sl-SI"/>
        </w:rPr>
        <w:t xml:space="preserve"> strokovno znanje in pomoč </w:t>
      </w:r>
      <w:r>
        <w:rPr>
          <w:rFonts w:cs="Arial"/>
          <w:bCs/>
          <w:szCs w:val="20"/>
          <w:lang w:val="sl-SI"/>
        </w:rPr>
        <w:t>nacionalnim</w:t>
      </w:r>
      <w:r w:rsidRPr="0038250F">
        <w:rPr>
          <w:rFonts w:cs="Arial"/>
          <w:bCs/>
          <w:szCs w:val="20"/>
          <w:lang w:val="sl-SI"/>
        </w:rPr>
        <w:t xml:space="preserve"> organom ter izvajalcem bistvenih storitev, skrbi za promocijo francoskih tehnologij in znanja ter ima vlogo pri gradnji zaupanja v digitalnem okolju. Poleg tega usmerja francoske in evropske raziskave na področju kibernetske varnosti. Glede na trenutno dostopne informacije predlog</w:t>
      </w:r>
      <w:r>
        <w:rPr>
          <w:rFonts w:cs="Arial"/>
          <w:bCs/>
          <w:szCs w:val="20"/>
          <w:lang w:val="sl-SI"/>
        </w:rPr>
        <w:t>a</w:t>
      </w:r>
      <w:r w:rsidRPr="0038250F">
        <w:rPr>
          <w:rFonts w:cs="Arial"/>
          <w:bCs/>
          <w:szCs w:val="20"/>
          <w:lang w:val="sl-SI"/>
        </w:rPr>
        <w:t xml:space="preserve"> zakona št. 33, ki predvideva prenos direktive NIS2 v nacionalno zakonodajo, naj bi ANSSI ohranil svoj status pristojnega organa za kibernetsko varnost v Franciji, saj je že uveljavljen in delujoč organ na tem področju. </w:t>
      </w:r>
    </w:p>
    <w:p w14:paraId="6EF1B1DC" w14:textId="77777777" w:rsidR="000A51A5" w:rsidRPr="0038250F" w:rsidRDefault="000A51A5" w:rsidP="000A51A5">
      <w:pPr>
        <w:spacing w:line="276" w:lineRule="auto"/>
        <w:jc w:val="both"/>
        <w:rPr>
          <w:rFonts w:cs="Arial"/>
          <w:bCs/>
          <w:szCs w:val="20"/>
          <w:lang w:val="sl-SI"/>
        </w:rPr>
      </w:pPr>
    </w:p>
    <w:p w14:paraId="49414041" w14:textId="77777777" w:rsidR="000A51A5" w:rsidRPr="0038250F" w:rsidRDefault="000A51A5" w:rsidP="000A51A5">
      <w:pPr>
        <w:spacing w:line="276" w:lineRule="auto"/>
        <w:jc w:val="both"/>
        <w:rPr>
          <w:rFonts w:cs="Arial"/>
          <w:bCs/>
          <w:szCs w:val="20"/>
          <w:lang w:val="sl-SI"/>
        </w:rPr>
      </w:pPr>
      <w:r>
        <w:rPr>
          <w:rFonts w:cs="Arial"/>
          <w:bCs/>
          <w:szCs w:val="20"/>
          <w:lang w:val="sl-SI"/>
        </w:rPr>
        <w:t>Menijo</w:t>
      </w:r>
      <w:r w:rsidRPr="0038250F">
        <w:rPr>
          <w:rFonts w:cs="Arial"/>
          <w:bCs/>
          <w:szCs w:val="20"/>
          <w:lang w:val="sl-SI"/>
        </w:rPr>
        <w:t xml:space="preserve">, da bo implementacija </w:t>
      </w:r>
      <w:r>
        <w:rPr>
          <w:rFonts w:cs="Arial"/>
          <w:bCs/>
          <w:szCs w:val="20"/>
          <w:lang w:val="sl-SI"/>
        </w:rPr>
        <w:t xml:space="preserve">z </w:t>
      </w:r>
      <w:r w:rsidRPr="0038250F">
        <w:rPr>
          <w:rFonts w:cs="Arial"/>
          <w:bCs/>
          <w:szCs w:val="20"/>
          <w:lang w:val="sl-SI"/>
        </w:rPr>
        <w:t xml:space="preserve">Direktivo 2022/2555/EU vplivala na tisoče subjektov v več kot osemnajstih panogah, ki bodo </w:t>
      </w:r>
      <w:r>
        <w:rPr>
          <w:rFonts w:cs="Arial"/>
          <w:bCs/>
          <w:szCs w:val="20"/>
          <w:lang w:val="sl-SI"/>
        </w:rPr>
        <w:t>z</w:t>
      </w:r>
      <w:r w:rsidRPr="0038250F">
        <w:rPr>
          <w:rFonts w:cs="Arial"/>
          <w:bCs/>
          <w:szCs w:val="20"/>
          <w:lang w:val="sl-SI"/>
        </w:rPr>
        <w:t>daj regulirane. Kot nacionalni organ na področju digitalne varnosti bo ANSSI še vedno skrbel za izvajanje podpornih programov za organizacije, prilagojen</w:t>
      </w:r>
      <w:r>
        <w:rPr>
          <w:rFonts w:cs="Arial"/>
          <w:bCs/>
          <w:szCs w:val="20"/>
          <w:lang w:val="sl-SI"/>
        </w:rPr>
        <w:t>e</w:t>
      </w:r>
      <w:r w:rsidRPr="0038250F">
        <w:rPr>
          <w:rFonts w:cs="Arial"/>
          <w:bCs/>
          <w:szCs w:val="20"/>
          <w:lang w:val="sl-SI"/>
        </w:rPr>
        <w:t xml:space="preserve"> </w:t>
      </w:r>
      <w:r w:rsidRPr="0038250F">
        <w:rPr>
          <w:rFonts w:cs="Arial"/>
          <w:bCs/>
          <w:szCs w:val="20"/>
          <w:lang w:val="sl-SI"/>
        </w:rPr>
        <w:lastRenderedPageBreak/>
        <w:t xml:space="preserve">njihovemu profilu. Izvajal bo vsakodnevno svetovanje, izmenjavo strokovnega znanja in operativne pomoči, hkrati pa spodbujal razvoj varnostnih izdelkov in storitev zaupanja. Ohranili bodo glavni cilj </w:t>
      </w:r>
      <w:r>
        <w:rPr>
          <w:rFonts w:cs="Arial"/>
          <w:bCs/>
          <w:szCs w:val="20"/>
          <w:lang w:val="sl-SI"/>
        </w:rPr>
        <w:t>‒</w:t>
      </w:r>
      <w:r w:rsidRPr="0038250F">
        <w:rPr>
          <w:rFonts w:cs="Arial"/>
          <w:bCs/>
          <w:szCs w:val="20"/>
          <w:lang w:val="sl-SI"/>
        </w:rPr>
        <w:t xml:space="preserve"> </w:t>
      </w:r>
      <w:r>
        <w:rPr>
          <w:rFonts w:cs="Arial"/>
          <w:bCs/>
          <w:szCs w:val="20"/>
          <w:lang w:val="sl-SI"/>
        </w:rPr>
        <w:t>zvišati</w:t>
      </w:r>
      <w:r w:rsidRPr="0038250F">
        <w:rPr>
          <w:rFonts w:cs="Arial"/>
          <w:bCs/>
          <w:szCs w:val="20"/>
          <w:lang w:val="sl-SI"/>
        </w:rPr>
        <w:t xml:space="preserve"> splošno raven digitalne varnosti v Franciji, tako da se zavezanim subjektom omogoči, da se bolje zaščitijo pred grožnjami</w:t>
      </w:r>
      <w:r>
        <w:rPr>
          <w:rFonts w:cs="Arial"/>
          <w:bCs/>
          <w:szCs w:val="20"/>
          <w:lang w:val="sl-SI"/>
        </w:rPr>
        <w:t>.</w:t>
      </w:r>
    </w:p>
    <w:p w14:paraId="674AD6DA" w14:textId="77777777" w:rsidR="000A51A5" w:rsidRPr="0038250F" w:rsidRDefault="000A51A5" w:rsidP="000A51A5">
      <w:pPr>
        <w:spacing w:line="276" w:lineRule="auto"/>
        <w:jc w:val="both"/>
        <w:rPr>
          <w:rFonts w:cs="Arial"/>
          <w:bCs/>
          <w:szCs w:val="20"/>
          <w:lang w:val="sl-SI"/>
        </w:rPr>
      </w:pPr>
    </w:p>
    <w:p w14:paraId="3D214FD9" w14:textId="77777777" w:rsidR="000A51A5" w:rsidRPr="0038250F" w:rsidRDefault="000A51A5" w:rsidP="000A51A5">
      <w:pPr>
        <w:spacing w:after="240" w:line="276" w:lineRule="auto"/>
        <w:jc w:val="both"/>
        <w:rPr>
          <w:rFonts w:cs="Arial"/>
          <w:szCs w:val="20"/>
          <w:lang w:val="sl-SI"/>
        </w:rPr>
      </w:pPr>
      <w:r w:rsidRPr="0038250F">
        <w:rPr>
          <w:rFonts w:cs="Arial"/>
          <w:szCs w:val="20"/>
          <w:lang w:val="sl-SI"/>
        </w:rPr>
        <w:t xml:space="preserve">Izjava o skladnosti predloga zakona s pravnimi akti EU in korelacijska tabela pri prenosu direktive je priložena. </w:t>
      </w:r>
    </w:p>
    <w:p w14:paraId="42010BD4" w14:textId="77777777" w:rsidR="000A51A5" w:rsidRPr="0038250F" w:rsidRDefault="000A51A5" w:rsidP="000A51A5">
      <w:pPr>
        <w:spacing w:line="276" w:lineRule="auto"/>
        <w:jc w:val="both"/>
        <w:rPr>
          <w:rFonts w:cs="Arial"/>
          <w:bCs/>
          <w:szCs w:val="20"/>
          <w:highlight w:val="yellow"/>
          <w:lang w:val="sl-SI"/>
        </w:rPr>
      </w:pPr>
    </w:p>
    <w:p w14:paraId="3D2F8F3E"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 PRESOJA POSLEDIC, KI JIH BO IMEL SPREJEM ZAKONA</w:t>
      </w:r>
    </w:p>
    <w:p w14:paraId="64972572"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15848426"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6.1 Presoja administrativnih posledic:</w:t>
      </w:r>
    </w:p>
    <w:p w14:paraId="17CE5157"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61133E89"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 xml:space="preserve">a) V postopkih oziroma poslovanju javne uprave ali pravosodnih organov: </w:t>
      </w:r>
    </w:p>
    <w:p w14:paraId="3A52F5FF" w14:textId="77777777" w:rsidR="000A51A5" w:rsidRPr="0038250F" w:rsidRDefault="000A51A5" w:rsidP="000A51A5">
      <w:pPr>
        <w:spacing w:line="276" w:lineRule="auto"/>
        <w:jc w:val="both"/>
        <w:rPr>
          <w:rFonts w:eastAsia="Calibri" w:cs="Arial"/>
          <w:color w:val="000000"/>
          <w:szCs w:val="20"/>
          <w:lang w:val="sl-SI"/>
        </w:rPr>
      </w:pPr>
    </w:p>
    <w:p w14:paraId="1BB40484" w14:textId="77777777" w:rsidR="000A51A5" w:rsidRPr="0038250F" w:rsidRDefault="000A51A5" w:rsidP="000A51A5">
      <w:pPr>
        <w:spacing w:line="276" w:lineRule="auto"/>
        <w:jc w:val="both"/>
        <w:rPr>
          <w:rFonts w:eastAsia="Calibri" w:cs="Arial"/>
          <w:color w:val="000000"/>
          <w:szCs w:val="20"/>
          <w:lang w:val="sl-SI"/>
        </w:rPr>
      </w:pPr>
      <w:r w:rsidRPr="0038250F">
        <w:rPr>
          <w:rFonts w:eastAsia="Calibri" w:cs="Arial"/>
          <w:color w:val="000000"/>
          <w:szCs w:val="20"/>
          <w:lang w:val="sl-SI"/>
        </w:rPr>
        <w:t>Pristojni nacionalni organ ohranja status samostojne vladne službe in nadgrajuje svoje pristojnosti z okrepljenim delovanjem na področju certificiranja kibernetske varnosti, enotne kontaktne točke in organa za obvladovanje kibernetskih kriz. Ohranja se pristojnost na področju nadzora.</w:t>
      </w:r>
    </w:p>
    <w:p w14:paraId="641DFD5D" w14:textId="77777777" w:rsidR="000A51A5" w:rsidRPr="0038250F" w:rsidRDefault="000A51A5" w:rsidP="000A51A5">
      <w:pPr>
        <w:spacing w:line="276" w:lineRule="auto"/>
        <w:jc w:val="both"/>
        <w:rPr>
          <w:rFonts w:eastAsia="Calibri" w:cs="Arial"/>
          <w:color w:val="000000"/>
          <w:szCs w:val="20"/>
          <w:highlight w:val="yellow"/>
          <w:lang w:val="sl-SI"/>
        </w:rPr>
      </w:pPr>
    </w:p>
    <w:p w14:paraId="6D8DC893" w14:textId="77777777" w:rsidR="000A51A5" w:rsidRPr="0038250F" w:rsidRDefault="000A51A5" w:rsidP="000A51A5">
      <w:pPr>
        <w:spacing w:line="276" w:lineRule="auto"/>
        <w:jc w:val="both"/>
        <w:rPr>
          <w:rFonts w:eastAsia="Calibri" w:cs="Arial"/>
          <w:color w:val="000000"/>
          <w:szCs w:val="20"/>
          <w:highlight w:val="yellow"/>
          <w:lang w:val="sl-SI"/>
        </w:rPr>
      </w:pPr>
      <w:r w:rsidRPr="0038250F">
        <w:rPr>
          <w:rFonts w:eastAsia="Calibri" w:cs="Arial"/>
          <w:color w:val="000000"/>
          <w:szCs w:val="20"/>
          <w:lang w:val="sl-SI"/>
        </w:rPr>
        <w:t>Vlada RS</w:t>
      </w:r>
      <w:r w:rsidRPr="0038250F">
        <w:rPr>
          <w:rFonts w:cs="Arial"/>
          <w:lang w:val="sl-SI"/>
        </w:rPr>
        <w:t xml:space="preserve"> </w:t>
      </w:r>
      <w:r w:rsidRPr="0038250F">
        <w:rPr>
          <w:rFonts w:eastAsia="Calibri" w:cs="Arial"/>
          <w:color w:val="000000"/>
          <w:szCs w:val="20"/>
          <w:lang w:val="sl-SI"/>
        </w:rPr>
        <w:t>je sprejela Odlok o ustanovitvi, nalogah in organizaciji Urada Vlade Republike Slovenije za informacijsko varnost (Uradni list RS, št. 114/21 in 69/23)</w:t>
      </w:r>
      <w:r>
        <w:rPr>
          <w:rFonts w:eastAsia="Calibri" w:cs="Arial"/>
          <w:color w:val="000000"/>
          <w:szCs w:val="20"/>
          <w:lang w:val="sl-SI"/>
        </w:rPr>
        <w:t>,</w:t>
      </w:r>
      <w:r w:rsidRPr="0038250F">
        <w:rPr>
          <w:rFonts w:eastAsia="Calibri" w:cs="Arial"/>
          <w:color w:val="000000"/>
          <w:szCs w:val="20"/>
          <w:lang w:val="sl-SI"/>
        </w:rPr>
        <w:t xml:space="preserve"> s katerim je opredelila naloge pristojnega nacionalnega organa, ki je URSIV. V okviru nacionalnega sistema informacijske varnosti je URSIV tako pristojni organ na strateški ravni. Na operativni ravni sistema pa so zmogljivosti za odzivanje na incidente v kibernetskem prostoru porazdeljene med SI-CERT kot nacionalni odzivni center za omrežne incidente in SIGOV-CERT </w:t>
      </w:r>
      <w:r w:rsidRPr="000F762B">
        <w:rPr>
          <w:rFonts w:cs="Arial"/>
          <w:szCs w:val="20"/>
          <w:lang w:val="sl-SI" w:eastAsia="sl-SI"/>
        </w:rPr>
        <w:t>–</w:t>
      </w:r>
      <w:r w:rsidRPr="0038250F">
        <w:rPr>
          <w:rFonts w:eastAsia="Calibri" w:cs="Arial"/>
          <w:color w:val="000000"/>
          <w:szCs w:val="20"/>
          <w:lang w:val="sl-SI"/>
        </w:rPr>
        <w:t xml:space="preserve"> CSIRT organov državne uprave, ki je notranja organizacijska enota pristojnega nacionalnega organa, Ministrstvo za digitalno preobrazbo (MDP)</w:t>
      </w:r>
      <w:r>
        <w:rPr>
          <w:rFonts w:eastAsia="Calibri" w:cs="Arial"/>
          <w:color w:val="000000"/>
          <w:szCs w:val="20"/>
          <w:lang w:val="sl-SI"/>
        </w:rPr>
        <w:t>,</w:t>
      </w:r>
      <w:r w:rsidRPr="0038250F">
        <w:rPr>
          <w:rFonts w:eastAsia="Calibri" w:cs="Arial"/>
          <w:color w:val="000000"/>
          <w:szCs w:val="20"/>
          <w:lang w:val="sl-SI"/>
        </w:rPr>
        <w:t xml:space="preserve"> pristojno za upravljanje informacijsko-komunikacijskih sistemov, Ministrstvo za obrambo (MO) za sisteme na področju obrambe in varstva pred naravnimi in drugimi nesrečami, Slovensko obveščevalno-varnostno agencijo (SOVA) na področju protiobveščevalnega delovanja ter Policijo, Urad za informatiko in telekomunikacije in Upravo kriminalistične policije, predvsem Center za računalniško preiskovanje z zmogljivostmi za zatiranje kibernetskega kriminala. Organi na obeh ravneh sistema so podhranjeni na kadrovskem, materialno-tehničnem in organizacijskem področju. </w:t>
      </w:r>
    </w:p>
    <w:p w14:paraId="7354AFE7" w14:textId="77777777" w:rsidR="000A51A5" w:rsidRPr="0038250F" w:rsidRDefault="000A51A5" w:rsidP="000A51A5">
      <w:pPr>
        <w:spacing w:line="276" w:lineRule="auto"/>
        <w:jc w:val="both"/>
        <w:rPr>
          <w:rFonts w:eastAsia="Calibri" w:cs="Arial"/>
          <w:color w:val="000000"/>
          <w:szCs w:val="20"/>
          <w:highlight w:val="yellow"/>
          <w:lang w:val="sl-SI"/>
        </w:rPr>
      </w:pPr>
    </w:p>
    <w:p w14:paraId="12ED1E8B" w14:textId="77777777" w:rsidR="000A51A5" w:rsidRPr="0038250F" w:rsidRDefault="000A51A5" w:rsidP="000A51A5">
      <w:pPr>
        <w:spacing w:line="276" w:lineRule="auto"/>
        <w:jc w:val="both"/>
        <w:rPr>
          <w:rFonts w:eastAsia="Calibri" w:cs="Arial"/>
          <w:color w:val="000000"/>
          <w:szCs w:val="20"/>
          <w:highlight w:val="yellow"/>
          <w:lang w:val="sl-SI"/>
        </w:rPr>
      </w:pPr>
      <w:r w:rsidRPr="0038250F">
        <w:rPr>
          <w:rFonts w:eastAsia="Calibri" w:cs="Arial"/>
          <w:color w:val="000000"/>
          <w:szCs w:val="20"/>
          <w:lang w:val="sl-SI"/>
        </w:rPr>
        <w:t>Republika Slovenija je imela do zdaj zakonsko urejeno področje zagotavljanja informacijske varnosti v Zakonu o informacijski varnosti (Uradni list RS, št. 30/18, 95/21, 130/22 – ZEKom-2, 18/23 – ZDU-1O in 49/23).</w:t>
      </w:r>
      <w:r w:rsidRPr="0038250F">
        <w:rPr>
          <w:rFonts w:cs="Arial"/>
          <w:lang w:val="sl-SI"/>
        </w:rPr>
        <w:t xml:space="preserve"> </w:t>
      </w:r>
      <w:r w:rsidRPr="0038250F">
        <w:rPr>
          <w:rFonts w:eastAsia="Calibri" w:cs="Arial"/>
          <w:color w:val="000000"/>
          <w:szCs w:val="20"/>
          <w:lang w:val="sl-SI"/>
        </w:rPr>
        <w:t xml:space="preserve">Ob tem je treba pojasniti, da za pravne ali fizične osebe, </w:t>
      </w:r>
      <w:r>
        <w:rPr>
          <w:rFonts w:eastAsia="Calibri" w:cs="Arial"/>
          <w:color w:val="000000"/>
          <w:szCs w:val="20"/>
          <w:lang w:val="sl-SI"/>
        </w:rPr>
        <w:t>če</w:t>
      </w:r>
      <w:r w:rsidRPr="0038250F">
        <w:rPr>
          <w:rFonts w:eastAsia="Calibri" w:cs="Arial"/>
          <w:color w:val="000000"/>
          <w:szCs w:val="20"/>
          <w:lang w:val="sl-SI"/>
        </w:rPr>
        <w:t xml:space="preserve"> zagotavljajo javna komunikacijska omrežja ali javno dostopne elektronske komunikacijske storitve (v nadaljnjem besedilu: operaterji), veljajo posebne obveznosti glede varnosti in celovitosti omrežij in storitev iz VII. poglavja (Varnost omrežij in storitev ter delovanje v izjemnih stanjih) Zakona o elektronskih komunikacijah (Uradni list RS, št. 109/12, 110/13, 40/14 – ZIN-B, 54/14 – odl. US, 81/15 in 40/17; v nadaljnjem besedilu: ZEKom-1), kjer gre za prenos 13.a in 13.b člena Direktive 2002/21/ES Evropskega parlamenta in Sveta z dne 7. marca 2002 o skupnem regulativnem okviru za elektronska komunikacijska omrežja in storitve (Okvirna direktiva). Operaterji morajo namreč sprejeti ustrezne tehnične in organizacijske ukrepe za ustrezno obvladovanje tveganja za varnost omrežij in storitev, zlasti zaradi preprečevanja in zmanjševanja učinkov varnostnih incidentov na uporabnike in medsebojno povezana omrežja. Sprejeti ukrepi morajo ob upoštevanju stanja zagotoviti raven varnosti, primerno predvidenemu tveganju. Določene so tudi obveznosti obveščanja in poročanja o kršitvah varnosti ali celovitosti Agenciji za komunikacijska omrežja in storitve RS (v nadaljnjem besedilu: AKOS), ki potem po potrebi poroča UVTP. Iz tega razloga Direktiva 2016/1148/ES v tretjem odstavku 1. člena operaterje izključuje iz svojega dometa, temu pa sledi tudi predlog ZIV. Določbe ZInfV se ne uporabljajo za </w:t>
      </w:r>
      <w:r w:rsidRPr="0038250F">
        <w:rPr>
          <w:rFonts w:eastAsia="Calibri" w:cs="Arial"/>
          <w:color w:val="000000"/>
          <w:szCs w:val="20"/>
          <w:lang w:val="sl-SI"/>
        </w:rPr>
        <w:lastRenderedPageBreak/>
        <w:t>ponudnike storitev zaupanja, za katere veljajo zahteve iz 19. člena Uredbe (EU) št. 910/2014 (tako imenovana Uredba eIDAS).</w:t>
      </w:r>
    </w:p>
    <w:p w14:paraId="2DB96415" w14:textId="77777777" w:rsidR="000A51A5" w:rsidRPr="0038250F" w:rsidRDefault="000A51A5" w:rsidP="000A51A5">
      <w:pPr>
        <w:spacing w:line="276" w:lineRule="auto"/>
        <w:jc w:val="both"/>
        <w:rPr>
          <w:rFonts w:eastAsia="Calibri" w:cs="Arial"/>
          <w:color w:val="000000"/>
          <w:szCs w:val="20"/>
          <w:highlight w:val="yellow"/>
          <w:lang w:val="sl-SI"/>
        </w:rPr>
      </w:pPr>
    </w:p>
    <w:p w14:paraId="3C414C33" w14:textId="77777777" w:rsidR="000A51A5" w:rsidRPr="0038250F" w:rsidRDefault="000A51A5" w:rsidP="000A51A5">
      <w:pPr>
        <w:spacing w:line="276" w:lineRule="auto"/>
        <w:jc w:val="both"/>
        <w:rPr>
          <w:rFonts w:eastAsia="Calibri" w:cs="Arial"/>
          <w:color w:val="000000"/>
          <w:szCs w:val="20"/>
          <w:highlight w:val="yellow"/>
          <w:lang w:val="sl-SI"/>
        </w:rPr>
      </w:pPr>
      <w:r w:rsidRPr="0038250F">
        <w:rPr>
          <w:rFonts w:eastAsia="Calibri" w:cs="Arial"/>
          <w:color w:val="000000"/>
          <w:szCs w:val="20"/>
          <w:lang w:val="sl-SI"/>
        </w:rPr>
        <w:t>Naraščajoči trend obsega in kompleksnost incidentov v kibernetskem prostoru in velika odvisnost gospodarstva ter celotne družbe od neprekinjenega delovanja omrežij in informacijskih sistemov pa zahteva</w:t>
      </w:r>
      <w:r>
        <w:rPr>
          <w:rFonts w:eastAsia="Calibri" w:cs="Arial"/>
          <w:color w:val="000000"/>
          <w:szCs w:val="20"/>
          <w:lang w:val="sl-SI"/>
        </w:rPr>
        <w:t>ta</w:t>
      </w:r>
      <w:r w:rsidRPr="0038250F">
        <w:rPr>
          <w:rFonts w:eastAsia="Calibri" w:cs="Arial"/>
          <w:color w:val="000000"/>
          <w:szCs w:val="20"/>
          <w:lang w:val="sl-SI"/>
        </w:rPr>
        <w:t xml:space="preserve"> celovito ureditev in okrepitev področja zagotavljanja informacijske varnosti. Državo k temu zavezujejo tudi sprejeti strateški domači in mednarodni dokumenti, na primer Resolucija o strategiji nacionalne varnosti RS, Strategija kibernetske varnosti Evropske unije »Odprt, varen in zavarovan kibernetski prostor« ter nacionalna Strategija kibernetske varnosti in predvsem Direktiva 2022/2555/EU, ki se prenaša s predlogom tega zakona.</w:t>
      </w:r>
    </w:p>
    <w:p w14:paraId="301520D0" w14:textId="77777777" w:rsidR="000A51A5" w:rsidRPr="0038250F" w:rsidRDefault="000A51A5" w:rsidP="000A51A5">
      <w:pPr>
        <w:spacing w:line="276" w:lineRule="auto"/>
        <w:jc w:val="both"/>
        <w:rPr>
          <w:rFonts w:eastAsia="Calibri" w:cs="Arial"/>
          <w:color w:val="000000"/>
          <w:szCs w:val="20"/>
          <w:lang w:val="sl-SI"/>
        </w:rPr>
      </w:pPr>
    </w:p>
    <w:p w14:paraId="35988EB3" w14:textId="77777777" w:rsidR="000A51A5" w:rsidRPr="0038250F" w:rsidRDefault="000A51A5" w:rsidP="000A51A5">
      <w:pPr>
        <w:spacing w:line="276" w:lineRule="auto"/>
        <w:jc w:val="both"/>
        <w:rPr>
          <w:rFonts w:eastAsia="Calibri" w:cs="Arial"/>
          <w:color w:val="000000"/>
          <w:szCs w:val="20"/>
          <w:lang w:val="sl-SI"/>
        </w:rPr>
      </w:pPr>
      <w:r w:rsidRPr="0038250F">
        <w:rPr>
          <w:rFonts w:eastAsia="Calibri" w:cs="Arial"/>
          <w:color w:val="000000"/>
          <w:szCs w:val="20"/>
          <w:lang w:val="sl-SI"/>
        </w:rPr>
        <w:t>Glede na zgoraj navedeno potrebnih nalog in pristojnosti ni mogoče celovito in sistemsko izvajati v nobenem od zgoraj navedenih organov, saj je za dosego ciljev na področju informacijske varnosti treba zagotoviti in okrepiti ustrezno koordinacijo med vsemi resorji in organi. Omenjeno nalogo ohranja pristojni nacionalni organ.</w:t>
      </w:r>
    </w:p>
    <w:p w14:paraId="38A73947" w14:textId="77777777" w:rsidR="000A51A5" w:rsidRPr="0038250F" w:rsidRDefault="000A51A5" w:rsidP="000A51A5">
      <w:pPr>
        <w:spacing w:line="276" w:lineRule="auto"/>
        <w:jc w:val="both"/>
        <w:rPr>
          <w:rFonts w:eastAsia="Calibri" w:cs="Arial"/>
          <w:color w:val="000000"/>
          <w:szCs w:val="20"/>
          <w:highlight w:val="yellow"/>
          <w:lang w:val="sl-SI"/>
        </w:rPr>
      </w:pPr>
    </w:p>
    <w:p w14:paraId="024D20E1" w14:textId="77777777" w:rsidR="000A51A5" w:rsidRPr="0038250F" w:rsidRDefault="000A51A5" w:rsidP="000A51A5">
      <w:pPr>
        <w:spacing w:line="276" w:lineRule="auto"/>
        <w:jc w:val="both"/>
        <w:rPr>
          <w:rFonts w:eastAsia="Calibri" w:cs="Arial"/>
          <w:color w:val="000000"/>
          <w:szCs w:val="20"/>
          <w:lang w:val="sl-SI"/>
        </w:rPr>
      </w:pPr>
      <w:r w:rsidRPr="0038250F">
        <w:rPr>
          <w:rFonts w:eastAsia="Calibri" w:cs="Arial"/>
          <w:color w:val="000000"/>
          <w:szCs w:val="20"/>
          <w:lang w:val="sl-SI"/>
        </w:rPr>
        <w:t>Glede skupin CSIRT je treba pojasniti, da zakon gradi na trenutnem stanju z željo po prehodu v bolj kompleksne oblike delovanja, ki so primerno umeščene v nacionalno</w:t>
      </w:r>
      <w:r>
        <w:rPr>
          <w:rFonts w:eastAsia="Calibri" w:cs="Arial"/>
          <w:color w:val="000000"/>
          <w:szCs w:val="20"/>
          <w:lang w:val="sl-SI"/>
        </w:rPr>
        <w:t>-</w:t>
      </w:r>
      <w:r w:rsidRPr="0038250F">
        <w:rPr>
          <w:rFonts w:eastAsia="Calibri" w:cs="Arial"/>
          <w:color w:val="000000"/>
          <w:szCs w:val="20"/>
          <w:lang w:val="sl-SI"/>
        </w:rPr>
        <w:t>varnostni sistem Republike Slovenije. Ob tem se z novim zakonom več energije posveča tudi varnostno</w:t>
      </w:r>
      <w:r>
        <w:rPr>
          <w:rFonts w:eastAsia="Calibri" w:cs="Arial"/>
          <w:color w:val="000000"/>
          <w:szCs w:val="20"/>
          <w:lang w:val="sl-SI"/>
        </w:rPr>
        <w:t>-</w:t>
      </w:r>
      <w:r w:rsidRPr="0038250F">
        <w:rPr>
          <w:rFonts w:eastAsia="Calibri" w:cs="Arial"/>
          <w:color w:val="000000"/>
          <w:szCs w:val="20"/>
          <w:lang w:val="sl-SI"/>
        </w:rPr>
        <w:t>operativnim centom organov državne uprave. Pris</w:t>
      </w:r>
      <w:r>
        <w:rPr>
          <w:rFonts w:eastAsia="Calibri" w:cs="Arial"/>
          <w:color w:val="000000"/>
          <w:szCs w:val="20"/>
          <w:lang w:val="sl-SI"/>
        </w:rPr>
        <w:t>t</w:t>
      </w:r>
      <w:r w:rsidRPr="0038250F">
        <w:rPr>
          <w:rFonts w:eastAsia="Calibri" w:cs="Arial"/>
          <w:color w:val="000000"/>
          <w:szCs w:val="20"/>
          <w:lang w:val="sl-SI"/>
        </w:rPr>
        <w:t>ojnost določanja skupina CSIRT se zaradi kompleksnosti in hitrejšega odzivanja na potrebe prenaša na Vlado RS.</w:t>
      </w:r>
    </w:p>
    <w:p w14:paraId="63F3012C" w14:textId="77777777" w:rsidR="000A51A5" w:rsidRPr="0038250F" w:rsidRDefault="000A51A5" w:rsidP="000A51A5">
      <w:pPr>
        <w:spacing w:line="276" w:lineRule="auto"/>
        <w:jc w:val="both"/>
        <w:rPr>
          <w:rFonts w:eastAsia="Calibri" w:cs="Arial"/>
          <w:color w:val="000000"/>
          <w:szCs w:val="20"/>
          <w:highlight w:val="yellow"/>
          <w:lang w:val="sl-SI"/>
        </w:rPr>
      </w:pPr>
    </w:p>
    <w:p w14:paraId="7C80DFFB" w14:textId="77777777" w:rsidR="000A51A5" w:rsidRPr="0038250F" w:rsidRDefault="000A51A5" w:rsidP="000A51A5">
      <w:pPr>
        <w:overflowPunct w:val="0"/>
        <w:autoSpaceDE w:val="0"/>
        <w:autoSpaceDN w:val="0"/>
        <w:adjustRightInd w:val="0"/>
        <w:spacing w:line="276" w:lineRule="auto"/>
        <w:jc w:val="both"/>
        <w:textAlignment w:val="baseline"/>
        <w:rPr>
          <w:rFonts w:cs="Arial"/>
          <w:b/>
          <w:szCs w:val="20"/>
          <w:lang w:val="sl-SI"/>
        </w:rPr>
      </w:pPr>
      <w:r w:rsidRPr="0038250F">
        <w:rPr>
          <w:rFonts w:cs="Arial"/>
          <w:b/>
          <w:szCs w:val="20"/>
          <w:lang w:val="sl-SI"/>
        </w:rPr>
        <w:t>b) Pri obveznostih strank do javne uprave ali pravosodnih organov:</w:t>
      </w:r>
    </w:p>
    <w:p w14:paraId="771D9FB5" w14:textId="77777777" w:rsidR="000A51A5" w:rsidRPr="0038250F" w:rsidRDefault="000A51A5" w:rsidP="000A51A5">
      <w:pPr>
        <w:overflowPunct w:val="0"/>
        <w:autoSpaceDE w:val="0"/>
        <w:autoSpaceDN w:val="0"/>
        <w:adjustRightInd w:val="0"/>
        <w:spacing w:line="276" w:lineRule="auto"/>
        <w:jc w:val="both"/>
        <w:textAlignment w:val="baseline"/>
        <w:rPr>
          <w:rFonts w:cs="Arial"/>
          <w:b/>
          <w:szCs w:val="20"/>
          <w:highlight w:val="yellow"/>
          <w:lang w:val="sl-SI"/>
        </w:rPr>
      </w:pPr>
    </w:p>
    <w:p w14:paraId="4684E8F3"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szCs w:val="20"/>
          <w:lang w:val="sl-SI"/>
        </w:rPr>
      </w:pPr>
      <w:r w:rsidRPr="0038250F">
        <w:rPr>
          <w:rFonts w:cs="Arial"/>
          <w:szCs w:val="20"/>
          <w:lang w:val="sl-SI"/>
        </w:rPr>
        <w:t>Predlog zakona ne bo imel posledic pri obveznostih strank do javne uprave ali pravosodnih organov.</w:t>
      </w:r>
    </w:p>
    <w:p w14:paraId="73E99867"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6388975C"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6.2 Presoja posledic za okolje, vključno s prostorskimi in varstvenimi vidiki:</w:t>
      </w:r>
    </w:p>
    <w:p w14:paraId="0A238CA7"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szCs w:val="20"/>
          <w:lang w:val="sl-SI"/>
        </w:rPr>
      </w:pPr>
    </w:p>
    <w:p w14:paraId="10D7892F"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szCs w:val="20"/>
          <w:lang w:val="sl-SI"/>
        </w:rPr>
      </w:pPr>
      <w:r w:rsidRPr="0038250F">
        <w:rPr>
          <w:rFonts w:cs="Arial"/>
          <w:szCs w:val="20"/>
          <w:lang w:val="sl-SI"/>
        </w:rPr>
        <w:t>Predlog zakona ima pozitivne posledice za okolje, za cilje upravljanja voda in za varstvo pred naravnimi in drugimi nesrečami s posledicami za okolje</w:t>
      </w:r>
      <w:r>
        <w:rPr>
          <w:rFonts w:cs="Arial"/>
          <w:szCs w:val="20"/>
          <w:lang w:val="sl-SI"/>
        </w:rPr>
        <w:t xml:space="preserve"> ter</w:t>
      </w:r>
      <w:r w:rsidRPr="0038250F">
        <w:rPr>
          <w:rFonts w:cs="Arial"/>
          <w:szCs w:val="20"/>
          <w:lang w:val="sl-SI"/>
        </w:rPr>
        <w:t xml:space="preserve"> za zmanjševanje verjetnosti in stopnje tveganja za okolje.</w:t>
      </w:r>
    </w:p>
    <w:p w14:paraId="37B6917D"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szCs w:val="20"/>
          <w:lang w:val="sl-SI"/>
        </w:rPr>
      </w:pPr>
    </w:p>
    <w:p w14:paraId="71F831D6"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szCs w:val="20"/>
          <w:lang w:val="sl-SI"/>
        </w:rPr>
      </w:pPr>
      <w:r w:rsidRPr="0038250F">
        <w:rPr>
          <w:rFonts w:cs="Arial"/>
          <w:szCs w:val="20"/>
          <w:lang w:val="sl-SI"/>
        </w:rPr>
        <w:t>Predlog zakona namreč med področja, na katerih delujejo bistveni in pomembni subjekti (zavezanci po tem zakonu), uvršča tudi sektorja pitna in odpadna voda ter ravnanje z odpadki. S tem ko bodo zavezanci iz omenjenih sektorjev poskrbeli za ustrezno raven varnosti svojih omrežij in informacijskih sistemov skladno s tem zakonom, se bo zmanjšala njihova ranljivost v primeru pomembnih incidentov, ki bi sicer lahko imeli negativne posledice. Prav tako se bodo ob ustrezni priglasitvi incidentov pristojni skupini CSIRT in ob sodelovanju z njim ter pristojnim nacionalnim organom lahko zmanjšali tudi že nastali negativni vplivi incidentov na obe področji.</w:t>
      </w:r>
    </w:p>
    <w:p w14:paraId="599CDF3E"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highlight w:val="yellow"/>
          <w:lang w:val="sl-SI"/>
        </w:rPr>
      </w:pPr>
    </w:p>
    <w:p w14:paraId="722D3B24"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6.3 Presoja posledic za gospodarstvo:</w:t>
      </w:r>
    </w:p>
    <w:p w14:paraId="4C42CA51"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3958512E" w14:textId="77777777" w:rsidR="000A51A5" w:rsidRPr="0038250F" w:rsidRDefault="000A51A5" w:rsidP="000A51A5">
      <w:pPr>
        <w:spacing w:after="240" w:line="276" w:lineRule="auto"/>
        <w:jc w:val="both"/>
        <w:rPr>
          <w:rFonts w:eastAsia="Calibri" w:cs="Arial"/>
          <w:color w:val="000000"/>
          <w:szCs w:val="20"/>
          <w:lang w:val="sl-SI"/>
        </w:rPr>
      </w:pPr>
      <w:r w:rsidRPr="0038250F">
        <w:rPr>
          <w:rFonts w:eastAsia="Calibri" w:cs="Arial"/>
          <w:color w:val="000000"/>
          <w:szCs w:val="20"/>
          <w:lang w:val="sl-SI"/>
        </w:rPr>
        <w:t>Predlog zakona ima vpliv na gospodarstvo, saj so med zavezanci večin</w:t>
      </w:r>
      <w:r>
        <w:rPr>
          <w:rFonts w:eastAsia="Calibri" w:cs="Arial"/>
          <w:color w:val="000000"/>
          <w:szCs w:val="20"/>
          <w:lang w:val="sl-SI"/>
        </w:rPr>
        <w:t>oma</w:t>
      </w:r>
      <w:r w:rsidRPr="0038250F">
        <w:rPr>
          <w:rFonts w:eastAsia="Calibri" w:cs="Arial"/>
          <w:color w:val="000000"/>
          <w:szCs w:val="20"/>
          <w:lang w:val="sl-SI"/>
        </w:rPr>
        <w:t xml:space="preserve"> gospodarski subjekti. Po predlogu zakona so bistveni in pomembni subjekti (zavezancev) namreč lahko javni ali zasebni subjekti, ki spadajo v katerega od v zakonu določenih področij: energetika, promet, bančništvo, infrastruktura finančnih trgov, zdravje, pitna voda, odpadne vode, digitalna infrastruktura, upravljanje s </w:t>
      </w:r>
      <w:r w:rsidRPr="00FA193F">
        <w:rPr>
          <w:rFonts w:eastAsia="Calibri" w:cs="Arial"/>
          <w:color w:val="000000"/>
          <w:szCs w:val="20"/>
          <w:lang w:val="sl-SI"/>
        </w:rPr>
        <w:t>storitvami IKT, vesolje, poštne in kurirske storitve, ravnanje z odpadki, izdelava, proizvodnja in distribucija kemikalij, pridelava, predelava in distribucija živil, proizvodnja (proizvodnja medicinskih pripomočkov ter in vitro diagnostičnih medicinskih pripomočkov; proizvodnja računalnikov, elektronskih in optičnih</w:t>
      </w:r>
      <w:r w:rsidRPr="0038250F">
        <w:rPr>
          <w:rFonts w:eastAsia="Calibri" w:cs="Arial"/>
          <w:color w:val="000000"/>
          <w:szCs w:val="20"/>
          <w:lang w:val="sl-SI"/>
        </w:rPr>
        <w:t xml:space="preserve"> izdelkov; proizvodnja električnih naprav; proizvodnja drugih strojev in naprav; proizvodnja motornih vozil, prikolic in polprikolic; proizvodnja drugih vozil in plovil), digitalni ponudniki in raziskav</w:t>
      </w:r>
      <w:r>
        <w:rPr>
          <w:rFonts w:eastAsia="Calibri" w:cs="Arial"/>
          <w:color w:val="000000"/>
          <w:szCs w:val="20"/>
          <w:lang w:val="sl-SI"/>
        </w:rPr>
        <w:t>e.</w:t>
      </w:r>
    </w:p>
    <w:p w14:paraId="0C2F1DB1" w14:textId="77777777" w:rsidR="000A51A5" w:rsidRPr="0038250F" w:rsidRDefault="000A51A5" w:rsidP="000A51A5">
      <w:pPr>
        <w:spacing w:after="240" w:line="276" w:lineRule="auto"/>
        <w:jc w:val="both"/>
        <w:rPr>
          <w:rFonts w:eastAsia="Calibri" w:cs="Arial"/>
          <w:color w:val="000000"/>
          <w:szCs w:val="20"/>
          <w:lang w:val="sl-SI"/>
        </w:rPr>
      </w:pPr>
      <w:r w:rsidRPr="0038250F">
        <w:rPr>
          <w:rFonts w:eastAsia="Calibri" w:cs="Arial"/>
          <w:color w:val="000000"/>
          <w:szCs w:val="20"/>
          <w:lang w:val="sl-SI"/>
        </w:rPr>
        <w:lastRenderedPageBreak/>
        <w:t xml:space="preserve">Predlog zakona sicer prinaša nabor obveznosti za tiste gospodarske subjekte, ki so zavezanci po tem zakonu, saj bodo morali poskrbeti za kibernetsko varnost </w:t>
      </w:r>
      <w:r>
        <w:rPr>
          <w:rFonts w:eastAsia="Calibri" w:cs="Arial"/>
          <w:color w:val="000000"/>
          <w:szCs w:val="20"/>
          <w:lang w:val="sl-SI"/>
        </w:rPr>
        <w:t>ter</w:t>
      </w:r>
      <w:r w:rsidRPr="0038250F">
        <w:rPr>
          <w:rFonts w:eastAsia="Calibri" w:cs="Arial"/>
          <w:color w:val="000000"/>
          <w:szCs w:val="20"/>
          <w:lang w:val="sl-SI"/>
        </w:rPr>
        <w:t xml:space="preserve"> ustrezno raven varnosti svojih omrežij in informacijskih sistemov skladno s tem zakonom, pa tudi določena administrativna bremena zaradi priglasitve incidentov skupini CSIRT in sodelovanja z njim ter pristojnim nacionalnim organom. </w:t>
      </w:r>
    </w:p>
    <w:p w14:paraId="0692C9D3" w14:textId="77777777" w:rsidR="000A51A5" w:rsidRPr="0038250F" w:rsidRDefault="000A51A5" w:rsidP="000A51A5">
      <w:pPr>
        <w:spacing w:after="240" w:line="276" w:lineRule="auto"/>
        <w:jc w:val="both"/>
        <w:rPr>
          <w:rFonts w:eastAsia="Calibri" w:cs="Arial"/>
          <w:color w:val="000000"/>
          <w:szCs w:val="20"/>
          <w:lang w:val="sl-SI"/>
        </w:rPr>
      </w:pPr>
      <w:r w:rsidRPr="0038250F">
        <w:rPr>
          <w:rFonts w:eastAsia="Calibri" w:cs="Arial"/>
          <w:color w:val="000000"/>
          <w:szCs w:val="20"/>
          <w:lang w:val="sl-SI"/>
        </w:rPr>
        <w:t xml:space="preserve">Administrativna bremena so pri zavezancih omejena tudi tako, da lahko ti ob upoštevanju varnostnih zahtev druge področne zakonodaje področij svojo že izdelano dokumentacijo (le) dopolnijo skladno s tem zakonom. </w:t>
      </w:r>
    </w:p>
    <w:p w14:paraId="485551CF" w14:textId="77777777" w:rsidR="000A51A5" w:rsidRPr="0038250F" w:rsidRDefault="000A51A5" w:rsidP="000A51A5">
      <w:pPr>
        <w:spacing w:after="240" w:line="276" w:lineRule="auto"/>
        <w:jc w:val="both"/>
        <w:rPr>
          <w:rFonts w:eastAsia="Calibri" w:cs="Arial"/>
          <w:color w:val="000000"/>
          <w:szCs w:val="20"/>
          <w:lang w:val="sl-SI"/>
        </w:rPr>
      </w:pPr>
      <w:r w:rsidRPr="0038250F">
        <w:rPr>
          <w:rFonts w:eastAsia="Calibri" w:cs="Arial"/>
          <w:color w:val="000000"/>
          <w:szCs w:val="20"/>
          <w:lang w:val="sl-SI"/>
        </w:rPr>
        <w:t>Upoštevanje določb predloga zakona bo izboljšalo informacijsko varnost zavezancev in s tem zmanjšalo njihov</w:t>
      </w:r>
      <w:r>
        <w:rPr>
          <w:rFonts w:eastAsia="Calibri" w:cs="Arial"/>
          <w:color w:val="000000"/>
          <w:szCs w:val="20"/>
          <w:lang w:val="sl-SI"/>
        </w:rPr>
        <w:t>o</w:t>
      </w:r>
      <w:r w:rsidRPr="0038250F">
        <w:rPr>
          <w:rFonts w:eastAsia="Calibri" w:cs="Arial"/>
          <w:color w:val="000000"/>
          <w:szCs w:val="20"/>
          <w:lang w:val="sl-SI"/>
        </w:rPr>
        <w:t xml:space="preserve"> ranljivost v primeru različnih incidentov ali kriz, ki bi sicer lahko imela tudi večje škodljive posledice za njih. Prav tako se bodo ob ustrezni priglasitvi incidentov skupini CSIRT in ob sodelovanju z njim ter pristojnim nacionalnim organom zmanjšali že nastali negativni vplivi incidentov. Posledično bo predlog zakona zaradi večje informacijske varnosti zavezancev iz gospodarstva izboljšal njihovo konkurenčnost tako v nacionalnem kot v mednarodnem gospodarskem prostoru.</w:t>
      </w:r>
    </w:p>
    <w:p w14:paraId="0C3047D9" w14:textId="77777777" w:rsidR="000A51A5" w:rsidRPr="0038250F" w:rsidRDefault="000A51A5" w:rsidP="000A51A5">
      <w:pPr>
        <w:spacing w:after="240" w:line="276" w:lineRule="auto"/>
        <w:jc w:val="both"/>
        <w:rPr>
          <w:rFonts w:eastAsia="Calibri" w:cs="Arial"/>
          <w:color w:val="000000"/>
          <w:szCs w:val="20"/>
          <w:lang w:val="sl-SI"/>
        </w:rPr>
      </w:pPr>
      <w:r w:rsidRPr="0038250F">
        <w:rPr>
          <w:rFonts w:eastAsia="Calibri" w:cs="Arial"/>
          <w:color w:val="000000"/>
          <w:szCs w:val="20"/>
          <w:lang w:val="sl-SI"/>
        </w:rPr>
        <w:t>Večja informacijska in kibernetska</w:t>
      </w:r>
      <w:r>
        <w:rPr>
          <w:rFonts w:eastAsia="Calibri" w:cs="Arial"/>
          <w:color w:val="000000"/>
          <w:szCs w:val="20"/>
          <w:lang w:val="sl-SI"/>
        </w:rPr>
        <w:t xml:space="preserve"> </w:t>
      </w:r>
      <w:r w:rsidRPr="0038250F">
        <w:rPr>
          <w:rFonts w:eastAsia="Calibri" w:cs="Arial"/>
          <w:color w:val="000000"/>
          <w:szCs w:val="20"/>
          <w:lang w:val="sl-SI"/>
        </w:rPr>
        <w:t>varnost zavezancev iz gospodarstva bo imela hkrati pozitiven vpliv na potrošnike in gospodinjstva, saj bo s tem zagotovljena večja zanesljivost storitev teh zavezancev.</w:t>
      </w:r>
    </w:p>
    <w:p w14:paraId="3340F48C"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6.4 Presoja posledic za socialno področje:</w:t>
      </w:r>
    </w:p>
    <w:p w14:paraId="5DF278D9"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3A12FC71"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szCs w:val="20"/>
          <w:lang w:val="sl-SI"/>
        </w:rPr>
      </w:pPr>
      <w:r w:rsidRPr="0038250F">
        <w:rPr>
          <w:rFonts w:cs="Arial"/>
          <w:szCs w:val="20"/>
          <w:lang w:val="sl-SI"/>
        </w:rPr>
        <w:t>Predlog zakona bo imel pozitivne posledice za socialno okolje, saj se bo zagotavljanju informacijske varnosti namenilo več pozornosti, hkrati se bo okrepilo zaupanje v informacijsko in kibernetsko varnost ter s tem v storitve zavezancev. Ob tem lahko predlog zakona pozitivno vpliva na zaposlenost in trg dela, saj lahko ustvari nova delovna mesta za strokovnjake s področja informacijske varnosti.</w:t>
      </w:r>
    </w:p>
    <w:p w14:paraId="056B4C34"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00570F82"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6.5 Presoja posledic za dokumente razvojnega načrtovanja:</w:t>
      </w:r>
    </w:p>
    <w:p w14:paraId="26FA8C93"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74EFAC88"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r w:rsidRPr="0038250F">
        <w:rPr>
          <w:rFonts w:cs="Arial"/>
          <w:szCs w:val="20"/>
          <w:lang w:val="sl-SI"/>
        </w:rPr>
        <w:t xml:space="preserve">Ukrepi iz predloga zakona bodo pripomogli k uresničevanju ciljev že sprejetih strateških domačih in mednarodnih dokumentov, na primer Resolucije o strategiji nacionalne varnosti Republike Slovenije, Strategije kibernetske varnosti Evropske unije »Odprt, varen in zavarovan kibernetski prostor« in leta 2016 sprejete nacionalne Strategije kibernetske varnosti ter Direktive 2022/2555/EU. </w:t>
      </w:r>
    </w:p>
    <w:p w14:paraId="29BAD06C"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7EDA922D"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r w:rsidRPr="0038250F">
        <w:rPr>
          <w:rFonts w:cs="Arial"/>
          <w:szCs w:val="20"/>
          <w:lang w:val="sl-SI"/>
        </w:rPr>
        <w:t>Zaradi uskladitve z Direktiv</w:t>
      </w:r>
      <w:r>
        <w:rPr>
          <w:rFonts w:cs="Arial"/>
          <w:szCs w:val="20"/>
          <w:lang w:val="sl-SI"/>
        </w:rPr>
        <w:t>o</w:t>
      </w:r>
      <w:r w:rsidRPr="0038250F">
        <w:rPr>
          <w:rFonts w:cs="Arial"/>
          <w:szCs w:val="20"/>
          <w:lang w:val="sl-SI"/>
        </w:rPr>
        <w:t xml:space="preserve"> 2022/2555/EU predlog zakona prinaša še nekatere dodatne elemente, ki jih bo treba vključiti v novo Strategijo kibernetske varnosti, zaradi česar se v prehodnih določbah predvideva sprejem strategije (skladno s tem zakonom) v ene</w:t>
      </w:r>
      <w:r>
        <w:rPr>
          <w:rFonts w:cs="Arial"/>
          <w:szCs w:val="20"/>
          <w:lang w:val="sl-SI"/>
        </w:rPr>
        <w:t>m</w:t>
      </w:r>
      <w:r w:rsidRPr="0038250F">
        <w:rPr>
          <w:rFonts w:cs="Arial"/>
          <w:szCs w:val="20"/>
          <w:lang w:val="sl-SI"/>
        </w:rPr>
        <w:t xml:space="preserve"> let</w:t>
      </w:r>
      <w:r>
        <w:rPr>
          <w:rFonts w:cs="Arial"/>
          <w:szCs w:val="20"/>
          <w:lang w:val="sl-SI"/>
        </w:rPr>
        <w:t>u</w:t>
      </w:r>
      <w:r w:rsidRPr="0038250F">
        <w:rPr>
          <w:rFonts w:cs="Arial"/>
          <w:szCs w:val="20"/>
          <w:lang w:val="sl-SI"/>
        </w:rPr>
        <w:t xml:space="preserve"> od njegove uveljavitve.</w:t>
      </w:r>
    </w:p>
    <w:p w14:paraId="2226CB79" w14:textId="77777777" w:rsidR="000A51A5" w:rsidRPr="0038250F" w:rsidRDefault="000A51A5" w:rsidP="000A51A5">
      <w:pPr>
        <w:overflowPunct w:val="0"/>
        <w:autoSpaceDE w:val="0"/>
        <w:autoSpaceDN w:val="0"/>
        <w:adjustRightInd w:val="0"/>
        <w:spacing w:line="276" w:lineRule="auto"/>
        <w:jc w:val="both"/>
        <w:textAlignment w:val="baseline"/>
        <w:rPr>
          <w:rFonts w:cs="Arial"/>
          <w:b/>
          <w:szCs w:val="20"/>
          <w:lang w:val="sl-SI"/>
        </w:rPr>
      </w:pPr>
    </w:p>
    <w:p w14:paraId="4558B600" w14:textId="77777777" w:rsidR="000A51A5" w:rsidRPr="0038250F" w:rsidRDefault="000A51A5" w:rsidP="000A51A5">
      <w:pPr>
        <w:overflowPunct w:val="0"/>
        <w:autoSpaceDE w:val="0"/>
        <w:autoSpaceDN w:val="0"/>
        <w:adjustRightInd w:val="0"/>
        <w:spacing w:line="276" w:lineRule="auto"/>
        <w:jc w:val="both"/>
        <w:textAlignment w:val="baseline"/>
        <w:rPr>
          <w:rFonts w:cs="Arial"/>
          <w:b/>
          <w:szCs w:val="20"/>
          <w:lang w:val="sl-SI"/>
        </w:rPr>
      </w:pPr>
      <w:r w:rsidRPr="0038250F">
        <w:rPr>
          <w:rFonts w:cs="Arial"/>
          <w:b/>
          <w:szCs w:val="20"/>
          <w:lang w:val="sl-SI"/>
        </w:rPr>
        <w:t>6.6 Presoja posledic za druga področja:</w:t>
      </w:r>
    </w:p>
    <w:p w14:paraId="774AFE0E"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13015A0C"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r w:rsidRPr="0038250F">
        <w:rPr>
          <w:rFonts w:cs="Arial"/>
          <w:szCs w:val="20"/>
          <w:lang w:val="sl-SI"/>
        </w:rPr>
        <w:t>Zakon ne bo imel posledic na drugih področjih.</w:t>
      </w:r>
    </w:p>
    <w:p w14:paraId="35E834AF"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p>
    <w:p w14:paraId="2839EB80"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6.7 Izvajanje sprejetega predpisa:</w:t>
      </w:r>
    </w:p>
    <w:p w14:paraId="510C63BE"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635B4C7C" w14:textId="77777777" w:rsidR="000A51A5" w:rsidRPr="0038250F" w:rsidRDefault="000A51A5" w:rsidP="000A51A5">
      <w:pPr>
        <w:pStyle w:val="Odstavekseznama"/>
        <w:numPr>
          <w:ilvl w:val="0"/>
          <w:numId w:val="19"/>
        </w:numPr>
        <w:overflowPunct w:val="0"/>
        <w:autoSpaceDE w:val="0"/>
        <w:autoSpaceDN w:val="0"/>
        <w:adjustRightInd w:val="0"/>
        <w:spacing w:line="276" w:lineRule="auto"/>
        <w:jc w:val="both"/>
        <w:textAlignment w:val="baseline"/>
        <w:rPr>
          <w:rFonts w:cs="Arial"/>
          <w:szCs w:val="20"/>
          <w:lang w:val="sl-SI"/>
        </w:rPr>
      </w:pPr>
      <w:r w:rsidRPr="0038250F">
        <w:rPr>
          <w:rFonts w:cs="Arial"/>
          <w:szCs w:val="20"/>
          <w:lang w:val="sl-SI"/>
        </w:rPr>
        <w:t>Predstavitev sprejetega zakona</w:t>
      </w:r>
    </w:p>
    <w:p w14:paraId="4092106E"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3E8D2E91"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r w:rsidRPr="0038250F">
        <w:rPr>
          <w:rFonts w:cs="Arial"/>
          <w:szCs w:val="20"/>
          <w:lang w:val="sl-SI"/>
        </w:rPr>
        <w:t>Sprejeti zakon bo objavljen na spletnih straneh Urada Vlade Republike Slovenije za informacijsko varnost.</w:t>
      </w:r>
    </w:p>
    <w:p w14:paraId="49404C03"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42B0F90A" w14:textId="77777777" w:rsidR="000A51A5" w:rsidRPr="0038250F" w:rsidRDefault="000A51A5" w:rsidP="000A51A5">
      <w:pPr>
        <w:pStyle w:val="Odstavekseznama"/>
        <w:numPr>
          <w:ilvl w:val="0"/>
          <w:numId w:val="18"/>
        </w:numPr>
        <w:spacing w:line="276" w:lineRule="auto"/>
        <w:rPr>
          <w:rFonts w:cs="Arial"/>
          <w:szCs w:val="20"/>
          <w:lang w:val="sl-SI"/>
        </w:rPr>
      </w:pPr>
      <w:r w:rsidRPr="0038250F">
        <w:rPr>
          <w:rFonts w:cs="Arial"/>
          <w:szCs w:val="20"/>
          <w:lang w:val="sl-SI"/>
        </w:rPr>
        <w:t>Spremljanje izvajanja sprejetega predpisa</w:t>
      </w:r>
    </w:p>
    <w:p w14:paraId="1A4EC855" w14:textId="77777777" w:rsidR="000A51A5" w:rsidRPr="0038250F" w:rsidRDefault="000A51A5" w:rsidP="000A51A5">
      <w:pPr>
        <w:overflowPunct w:val="0"/>
        <w:autoSpaceDE w:val="0"/>
        <w:autoSpaceDN w:val="0"/>
        <w:adjustRightInd w:val="0"/>
        <w:spacing w:line="276" w:lineRule="auto"/>
        <w:jc w:val="both"/>
        <w:textAlignment w:val="baseline"/>
        <w:rPr>
          <w:rFonts w:cs="Arial"/>
          <w:szCs w:val="20"/>
          <w:lang w:val="sl-SI"/>
        </w:rPr>
      </w:pPr>
    </w:p>
    <w:p w14:paraId="5B68143B" w14:textId="77777777" w:rsidR="000A51A5" w:rsidRPr="0038250F" w:rsidRDefault="000A51A5" w:rsidP="000A51A5">
      <w:pPr>
        <w:spacing w:line="276" w:lineRule="auto"/>
        <w:jc w:val="both"/>
        <w:rPr>
          <w:rFonts w:cs="Arial"/>
          <w:szCs w:val="20"/>
          <w:lang w:val="sl-SI"/>
        </w:rPr>
      </w:pPr>
      <w:r w:rsidRPr="0038250F">
        <w:rPr>
          <w:rFonts w:cs="Arial"/>
          <w:szCs w:val="20"/>
          <w:lang w:val="sl-SI"/>
        </w:rPr>
        <w:t xml:space="preserve">Sprejeti zakon bo v večjem delu izvajal pristojni nacionalni organ, ki bo tudi spremljal njegovo izvajanje. Inšpekcijski nadzor bo izvajal pristojni nacionalni organ oziroma njegova organizacijska enota Inšpekcija za informacijsko varnost. </w:t>
      </w:r>
    </w:p>
    <w:p w14:paraId="42DD13D8" w14:textId="77777777" w:rsidR="000A51A5" w:rsidRPr="0038250F" w:rsidRDefault="000A51A5" w:rsidP="000A51A5">
      <w:pPr>
        <w:spacing w:line="276" w:lineRule="auto"/>
        <w:jc w:val="both"/>
        <w:rPr>
          <w:rFonts w:cs="Arial"/>
          <w:szCs w:val="20"/>
          <w:lang w:val="sl-SI"/>
        </w:rPr>
      </w:pPr>
    </w:p>
    <w:p w14:paraId="364F1B56" w14:textId="77777777" w:rsidR="000A51A5" w:rsidRPr="0038250F" w:rsidRDefault="000A51A5" w:rsidP="000A51A5">
      <w:pPr>
        <w:spacing w:line="276" w:lineRule="auto"/>
        <w:jc w:val="both"/>
        <w:rPr>
          <w:rFonts w:cs="Arial"/>
          <w:szCs w:val="20"/>
          <w:lang w:val="sl-SI"/>
        </w:rPr>
      </w:pPr>
      <w:r w:rsidRPr="0038250F">
        <w:rPr>
          <w:rFonts w:cs="Arial"/>
          <w:szCs w:val="20"/>
          <w:lang w:val="sl-SI"/>
        </w:rPr>
        <w:t>Vlada bo moral</w:t>
      </w:r>
      <w:r>
        <w:rPr>
          <w:rFonts w:cs="Arial"/>
          <w:szCs w:val="20"/>
          <w:lang w:val="sl-SI"/>
        </w:rPr>
        <w:t>a</w:t>
      </w:r>
      <w:r w:rsidRPr="0038250F">
        <w:rPr>
          <w:rFonts w:cs="Arial"/>
          <w:szCs w:val="20"/>
          <w:lang w:val="sl-SI"/>
        </w:rPr>
        <w:t xml:space="preserve"> v enem letu od uveljavitve zakona izdati sprejet</w:t>
      </w:r>
      <w:r>
        <w:rPr>
          <w:rFonts w:cs="Arial"/>
          <w:szCs w:val="20"/>
          <w:lang w:val="sl-SI"/>
        </w:rPr>
        <w:t>o</w:t>
      </w:r>
      <w:r w:rsidRPr="0038250F">
        <w:rPr>
          <w:rFonts w:cs="Arial"/>
          <w:szCs w:val="20"/>
          <w:lang w:val="sl-SI"/>
        </w:rPr>
        <w:t xml:space="preserve"> strategijo. V šestih mesecih od uveljavitve tega zakona</w:t>
      </w:r>
      <w:r w:rsidRPr="0038250F" w:rsidDel="0076204B">
        <w:rPr>
          <w:rFonts w:cs="Arial"/>
          <w:szCs w:val="20"/>
          <w:lang w:val="sl-SI"/>
        </w:rPr>
        <w:t xml:space="preserve"> </w:t>
      </w:r>
      <w:r w:rsidRPr="0038250F">
        <w:rPr>
          <w:rFonts w:cs="Arial"/>
          <w:szCs w:val="20"/>
          <w:lang w:val="sl-SI"/>
        </w:rPr>
        <w:t xml:space="preserve">bo morala izdati podzakonska akta iz tretjega odstavka 4. člena in šestega odstavka 20. člena predloga. </w:t>
      </w:r>
    </w:p>
    <w:p w14:paraId="13D8923A" w14:textId="77777777" w:rsidR="000A51A5" w:rsidRPr="0038250F" w:rsidRDefault="000A51A5" w:rsidP="000A51A5">
      <w:pPr>
        <w:spacing w:line="276" w:lineRule="auto"/>
        <w:jc w:val="both"/>
        <w:rPr>
          <w:rFonts w:cs="Arial"/>
          <w:szCs w:val="20"/>
          <w:lang w:val="sl-SI"/>
        </w:rPr>
      </w:pPr>
    </w:p>
    <w:p w14:paraId="766E88B1" w14:textId="77777777" w:rsidR="000A51A5" w:rsidRPr="0038250F" w:rsidRDefault="000A51A5" w:rsidP="000A51A5">
      <w:pPr>
        <w:spacing w:line="276" w:lineRule="auto"/>
        <w:jc w:val="both"/>
        <w:rPr>
          <w:rFonts w:cs="Arial"/>
          <w:szCs w:val="20"/>
          <w:lang w:val="sl-SI"/>
        </w:rPr>
      </w:pPr>
      <w:r w:rsidRPr="0038250F">
        <w:rPr>
          <w:rFonts w:cs="Arial"/>
          <w:szCs w:val="20"/>
          <w:lang w:val="sl-SI"/>
        </w:rPr>
        <w:t>V t</w:t>
      </w:r>
      <w:r>
        <w:rPr>
          <w:rFonts w:cs="Arial"/>
          <w:szCs w:val="20"/>
          <w:lang w:val="sl-SI"/>
        </w:rPr>
        <w:t>r</w:t>
      </w:r>
      <w:r w:rsidRPr="0038250F">
        <w:rPr>
          <w:rFonts w:cs="Arial"/>
          <w:szCs w:val="20"/>
          <w:lang w:val="sl-SI"/>
        </w:rPr>
        <w:t>eh mesec</w:t>
      </w:r>
      <w:r>
        <w:rPr>
          <w:rFonts w:cs="Arial"/>
          <w:szCs w:val="20"/>
          <w:lang w:val="sl-SI"/>
        </w:rPr>
        <w:t>ih</w:t>
      </w:r>
      <w:r w:rsidRPr="0038250F">
        <w:rPr>
          <w:rFonts w:cs="Arial"/>
          <w:szCs w:val="20"/>
          <w:lang w:val="sl-SI"/>
        </w:rPr>
        <w:t xml:space="preserve"> od uveljavitve zakona bo vlada uskladila Odlok o ustanovitvi, nalogah in organizaciji Urada Vlade Republike Slovenije za informacijsko varnost (Uradni list RS, št. 114/21 in 69/23) ter sprejela nacionalni načrt odzivanja iz tretjega odstavka 12. člena tega zakona.</w:t>
      </w:r>
    </w:p>
    <w:p w14:paraId="097EF566" w14:textId="77777777" w:rsidR="000A51A5" w:rsidRPr="0038250F" w:rsidRDefault="000A51A5" w:rsidP="000A51A5">
      <w:pPr>
        <w:spacing w:line="276" w:lineRule="auto"/>
        <w:jc w:val="both"/>
        <w:rPr>
          <w:rFonts w:cs="Arial"/>
          <w:szCs w:val="20"/>
          <w:highlight w:val="yellow"/>
          <w:lang w:val="sl-SI"/>
        </w:rPr>
      </w:pPr>
    </w:p>
    <w:p w14:paraId="669910B6"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lang w:val="sl-SI"/>
        </w:rPr>
      </w:pPr>
      <w:r w:rsidRPr="0038250F">
        <w:rPr>
          <w:rFonts w:cs="Arial"/>
          <w:b/>
          <w:szCs w:val="20"/>
          <w:lang w:val="sl-SI"/>
        </w:rPr>
        <w:t>6.8 Druge pomembne okoliščine v zvezi z vprašanji, ki jih ureja predlog zakona:</w:t>
      </w:r>
    </w:p>
    <w:p w14:paraId="1922FAF9" w14:textId="77777777" w:rsidR="000A51A5" w:rsidRPr="0038250F" w:rsidRDefault="000A51A5" w:rsidP="000A51A5">
      <w:pPr>
        <w:spacing w:line="276" w:lineRule="auto"/>
        <w:jc w:val="both"/>
        <w:rPr>
          <w:rFonts w:cs="Arial"/>
          <w:szCs w:val="20"/>
          <w:lang w:val="sl-SI"/>
        </w:rPr>
      </w:pPr>
    </w:p>
    <w:p w14:paraId="6E02E8AA" w14:textId="77777777" w:rsidR="000A51A5" w:rsidRPr="0038250F" w:rsidRDefault="000A51A5" w:rsidP="000A51A5">
      <w:pPr>
        <w:spacing w:line="276" w:lineRule="auto"/>
        <w:jc w:val="both"/>
        <w:rPr>
          <w:rFonts w:cs="Arial"/>
          <w:szCs w:val="20"/>
          <w:lang w:val="sl-SI"/>
        </w:rPr>
      </w:pPr>
      <w:r w:rsidRPr="0038250F">
        <w:rPr>
          <w:rFonts w:cs="Arial"/>
          <w:szCs w:val="20"/>
          <w:lang w:val="sl-SI"/>
        </w:rPr>
        <w:t>Drugih posebnih pomembnih okoliščin v zvezi z vprašanji, ki jih ureja predlog zakona, ni.</w:t>
      </w:r>
    </w:p>
    <w:p w14:paraId="00A4A32B" w14:textId="77777777" w:rsidR="000A51A5" w:rsidRPr="0038250F" w:rsidRDefault="000A51A5" w:rsidP="000A51A5">
      <w:pPr>
        <w:suppressAutoHyphens/>
        <w:overflowPunct w:val="0"/>
        <w:autoSpaceDE w:val="0"/>
        <w:autoSpaceDN w:val="0"/>
        <w:adjustRightInd w:val="0"/>
        <w:spacing w:line="276" w:lineRule="auto"/>
        <w:textAlignment w:val="baseline"/>
        <w:outlineLvl w:val="3"/>
        <w:rPr>
          <w:rFonts w:cs="Arial"/>
          <w:b/>
          <w:szCs w:val="20"/>
          <w:highlight w:val="yellow"/>
          <w:lang w:val="sl-SI"/>
        </w:rPr>
      </w:pPr>
    </w:p>
    <w:p w14:paraId="04C730A8" w14:textId="77777777" w:rsidR="000A51A5" w:rsidRPr="000A51A5" w:rsidRDefault="000A51A5" w:rsidP="0038250F">
      <w:pPr>
        <w:suppressAutoHyphens/>
        <w:overflowPunct w:val="0"/>
        <w:autoSpaceDE w:val="0"/>
        <w:autoSpaceDN w:val="0"/>
        <w:adjustRightInd w:val="0"/>
        <w:spacing w:line="276" w:lineRule="auto"/>
        <w:jc w:val="both"/>
        <w:textAlignment w:val="baseline"/>
        <w:outlineLvl w:val="3"/>
        <w:rPr>
          <w:rFonts w:cs="Arial"/>
          <w:bCs/>
          <w:szCs w:val="20"/>
          <w:lang w:val="sl-SI"/>
        </w:rPr>
      </w:pPr>
    </w:p>
    <w:bookmarkEnd w:id="7"/>
    <w:p w14:paraId="7E7A4B73" w14:textId="77777777" w:rsidR="00D31B7E" w:rsidRPr="00C50F53" w:rsidRDefault="00D31B7E">
      <w:pPr>
        <w:spacing w:line="240" w:lineRule="auto"/>
        <w:rPr>
          <w:rFonts w:cs="Arial"/>
          <w:b/>
          <w:szCs w:val="20"/>
          <w:lang w:val="sl-SI"/>
        </w:rPr>
      </w:pPr>
      <w:r w:rsidRPr="00C50F53">
        <w:rPr>
          <w:rFonts w:cs="Arial"/>
          <w:b/>
          <w:szCs w:val="20"/>
          <w:lang w:val="sl-SI"/>
        </w:rPr>
        <w:br w:type="page"/>
      </w:r>
    </w:p>
    <w:p w14:paraId="40007670" w14:textId="7300BDB2" w:rsidR="00A23D5D" w:rsidRPr="00C50F53" w:rsidRDefault="00A23D5D" w:rsidP="00D31B7E">
      <w:pPr>
        <w:suppressAutoHyphens/>
        <w:overflowPunct w:val="0"/>
        <w:autoSpaceDE w:val="0"/>
        <w:autoSpaceDN w:val="0"/>
        <w:adjustRightInd w:val="0"/>
        <w:spacing w:line="276" w:lineRule="auto"/>
        <w:textAlignment w:val="baseline"/>
        <w:outlineLvl w:val="3"/>
        <w:rPr>
          <w:rFonts w:cs="Arial"/>
          <w:b/>
          <w:szCs w:val="20"/>
          <w:lang w:val="sl-SI"/>
        </w:rPr>
      </w:pPr>
      <w:r w:rsidRPr="00C50F53">
        <w:rPr>
          <w:rFonts w:cs="Arial"/>
          <w:b/>
          <w:szCs w:val="20"/>
          <w:lang w:val="sl-SI"/>
        </w:rPr>
        <w:lastRenderedPageBreak/>
        <w:t>7. PRIKAZ SODELOVANJA JAVNOSTI PRI PRIPRAVI PREDLOGA ZAKONA:</w:t>
      </w:r>
    </w:p>
    <w:p w14:paraId="0CFAF271" w14:textId="77777777" w:rsidR="00401022" w:rsidRPr="00C50F53" w:rsidRDefault="00401022" w:rsidP="00D31B7E">
      <w:pPr>
        <w:suppressAutoHyphens/>
        <w:overflowPunct w:val="0"/>
        <w:autoSpaceDE w:val="0"/>
        <w:autoSpaceDN w:val="0"/>
        <w:adjustRightInd w:val="0"/>
        <w:spacing w:line="276" w:lineRule="auto"/>
        <w:textAlignment w:val="baseline"/>
        <w:outlineLvl w:val="3"/>
        <w:rPr>
          <w:rFonts w:cs="Arial"/>
          <w:b/>
          <w:szCs w:val="20"/>
          <w:lang w:val="sl-SI"/>
        </w:rPr>
      </w:pPr>
    </w:p>
    <w:p w14:paraId="6722C09C"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iCs/>
          <w:szCs w:val="20"/>
          <w:lang w:val="sl-SI" w:eastAsia="sl-SI"/>
        </w:rPr>
      </w:pPr>
      <w:r w:rsidRPr="00D31B7E">
        <w:rPr>
          <w:rFonts w:cs="Arial"/>
          <w:iCs/>
          <w:szCs w:val="20"/>
          <w:lang w:val="sl-SI" w:eastAsia="sl-SI"/>
        </w:rPr>
        <w:t xml:space="preserve">Z namenom zagotovitve sodelovanja javnosti in priprave čim </w:t>
      </w:r>
      <w:r>
        <w:rPr>
          <w:rFonts w:cs="Arial"/>
          <w:iCs/>
          <w:szCs w:val="20"/>
          <w:lang w:val="sl-SI" w:eastAsia="sl-SI"/>
        </w:rPr>
        <w:t>kakovostnejšega</w:t>
      </w:r>
      <w:r w:rsidRPr="00D31B7E">
        <w:rPr>
          <w:rFonts w:cs="Arial"/>
          <w:iCs/>
          <w:szCs w:val="20"/>
          <w:lang w:val="sl-SI" w:eastAsia="sl-SI"/>
        </w:rPr>
        <w:t xml:space="preserve"> predloga zakona je URSIV prek objave na </w:t>
      </w:r>
      <w:r w:rsidRPr="00D31B7E">
        <w:rPr>
          <w:rFonts w:cs="Arial"/>
          <w:szCs w:val="20"/>
          <w:lang w:val="sl-SI"/>
        </w:rPr>
        <w:t>državnem portalu Republike Sloven</w:t>
      </w:r>
      <w:r>
        <w:rPr>
          <w:rFonts w:cs="Arial"/>
          <w:szCs w:val="20"/>
          <w:lang w:val="sl-SI"/>
        </w:rPr>
        <w:t>i</w:t>
      </w:r>
      <w:r w:rsidRPr="00D31B7E">
        <w:rPr>
          <w:rFonts w:cs="Arial"/>
          <w:szCs w:val="20"/>
          <w:lang w:val="sl-SI"/>
        </w:rPr>
        <w:t>je, e-uprava, v rubriki e-demokracija (</w:t>
      </w:r>
      <w:hyperlink r:id="rId8" w:anchor="eyJmaWx0ZXJzIjp7ImNvbW1lbnQiOlsiLSJdLCJ0eXBlIjpbIi0iXSwic3RhdHVzIjpbIi0iXSwiY2F0IjpbIi0iXSwicmlqcyI6WyItMSJdLCJvZmZzZXQiOlsiMCJdLCJzZW50aW5lbF90eXBlIjpbIm9rIl0sInNlbnRpbmVsX3N0YXR1cyI6WyJvayJdLCJpc19hamF4IjpbIjEiXX19" w:history="1">
        <w:r w:rsidRPr="00D31B7E">
          <w:rPr>
            <w:rStyle w:val="Hiperpovezava"/>
            <w:rFonts w:cs="Arial"/>
            <w:szCs w:val="20"/>
            <w:lang w:val="sl-SI"/>
          </w:rPr>
          <w:t>eUprava - Predlogi predpisov</w:t>
        </w:r>
      </w:hyperlink>
      <w:r w:rsidRPr="00D31B7E">
        <w:rPr>
          <w:rFonts w:cs="Arial"/>
          <w:szCs w:val="20"/>
          <w:lang w:val="sl-SI"/>
        </w:rPr>
        <w:t>),</w:t>
      </w:r>
      <w:r w:rsidRPr="00D31B7E">
        <w:rPr>
          <w:rFonts w:cs="Arial"/>
          <w:iCs/>
          <w:color w:val="0000FF"/>
          <w:szCs w:val="20"/>
          <w:lang w:val="sl-SI" w:eastAsia="sl-SI"/>
        </w:rPr>
        <w:t xml:space="preserve"> </w:t>
      </w:r>
      <w:r w:rsidRPr="00D31B7E">
        <w:rPr>
          <w:rFonts w:cs="Arial"/>
          <w:iCs/>
          <w:szCs w:val="20"/>
          <w:lang w:val="sl-SI" w:eastAsia="sl-SI"/>
        </w:rPr>
        <w:t xml:space="preserve">izvedel dva kroga javne obravnave (v nadaljnjem besedilu: JO) osnutkov predloga novega Zakona o informacijski varnosti (ZInfV-1), kar je vidno na spletni strani </w:t>
      </w:r>
    </w:p>
    <w:p w14:paraId="3B4409A6" w14:textId="77777777" w:rsidR="000A51A5" w:rsidRPr="00D31B7E" w:rsidRDefault="001A1D3D" w:rsidP="000A51A5">
      <w:pPr>
        <w:widowControl w:val="0"/>
        <w:overflowPunct w:val="0"/>
        <w:autoSpaceDE w:val="0"/>
        <w:autoSpaceDN w:val="0"/>
        <w:adjustRightInd w:val="0"/>
        <w:spacing w:line="276" w:lineRule="auto"/>
        <w:jc w:val="both"/>
        <w:textAlignment w:val="baseline"/>
        <w:rPr>
          <w:rFonts w:cs="Arial"/>
          <w:iCs/>
          <w:color w:val="0000FF"/>
          <w:szCs w:val="20"/>
          <w:u w:val="single"/>
          <w:lang w:val="sl-SI" w:eastAsia="sl-SI"/>
        </w:rPr>
      </w:pPr>
      <w:hyperlink r:id="rId9" w:history="1">
        <w:r w:rsidR="000A51A5" w:rsidRPr="00D31B7E">
          <w:rPr>
            <w:rStyle w:val="Hiperpovezava"/>
            <w:rFonts w:cs="Arial"/>
            <w:iCs/>
            <w:szCs w:val="20"/>
            <w:lang w:val="sl-SI" w:eastAsia="sl-SI"/>
          </w:rPr>
          <w:t>https://e-uprava.gov.si/si/drzava-in-druzba/e-demokracija/predlogi-predpisov/predlog-predpisa.html?id=16290</w:t>
        </w:r>
      </w:hyperlink>
      <w:r w:rsidR="000A51A5" w:rsidRPr="00D31B7E">
        <w:rPr>
          <w:rStyle w:val="Hiperpovezava"/>
          <w:rFonts w:cs="Arial"/>
          <w:iCs/>
          <w:szCs w:val="20"/>
          <w:lang w:val="sl-SI" w:eastAsia="sl-SI"/>
        </w:rPr>
        <w:t xml:space="preserve">, </w:t>
      </w:r>
      <w:r w:rsidR="000A51A5" w:rsidRPr="00D31B7E">
        <w:rPr>
          <w:rFonts w:cs="Arial"/>
          <w:iCs/>
          <w:szCs w:val="20"/>
          <w:lang w:val="sl-SI" w:eastAsia="sl-SI"/>
        </w:rPr>
        <w:t>k sodelovanju z morebitnimi komentarji predlogi oziroma pripombami pa je bila vabljena strokovna, zainteresirana in druga javnost.</w:t>
      </w:r>
      <w:r w:rsidR="000A51A5">
        <w:rPr>
          <w:rFonts w:cs="Arial"/>
          <w:iCs/>
          <w:szCs w:val="20"/>
          <w:lang w:val="sl-SI" w:eastAsia="sl-SI"/>
        </w:rPr>
        <w:t xml:space="preserve"> </w:t>
      </w:r>
    </w:p>
    <w:p w14:paraId="3C32EB23"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iCs/>
          <w:szCs w:val="20"/>
          <w:lang w:val="sl-SI" w:eastAsia="sl-SI"/>
        </w:rPr>
      </w:pPr>
    </w:p>
    <w:p w14:paraId="087382A6"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iCs/>
          <w:szCs w:val="20"/>
          <w:lang w:val="sl-SI" w:eastAsia="sl-SI"/>
        </w:rPr>
      </w:pPr>
      <w:r w:rsidRPr="00D31B7E">
        <w:rPr>
          <w:rFonts w:cs="Arial"/>
          <w:iCs/>
          <w:szCs w:val="20"/>
          <w:lang w:val="sl-SI" w:eastAsia="sl-SI"/>
        </w:rPr>
        <w:t>Osnutek predloga ZInfV-1 je bil v prvem krogu JO prek objave na e-demokraciji od 16. 2. 2024 do vključno 18. 3. 2024.</w:t>
      </w:r>
    </w:p>
    <w:p w14:paraId="5267C11E"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iCs/>
          <w:szCs w:val="20"/>
          <w:lang w:val="sl-SI" w:eastAsia="sl-SI"/>
        </w:rPr>
      </w:pPr>
    </w:p>
    <w:p w14:paraId="7168792E"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eastAsia="sl-SI"/>
        </w:rPr>
      </w:pPr>
      <w:r w:rsidRPr="00D31B7E">
        <w:rPr>
          <w:rFonts w:cs="Arial"/>
          <w:szCs w:val="20"/>
          <w:lang w:val="sl-SI" w:eastAsia="sl-SI"/>
        </w:rPr>
        <w:t>Gospodarska zbornica Slovenije (v nadaljnjem besedilu: GZS) je z</w:t>
      </w:r>
      <w:r w:rsidRPr="00D31B7E">
        <w:rPr>
          <w:rFonts w:cs="Arial"/>
          <w:szCs w:val="20"/>
          <w:lang w:val="sl-SI"/>
        </w:rPr>
        <w:t xml:space="preserve"> dopisom z dne 15. 3. 2024 pozvala URSIV k podaljšanju roka zadevne JO do 29. 3. 2024. Na ta dopis se je URSIV odzval s pojasnilom, </w:t>
      </w:r>
      <w:r w:rsidRPr="00D31B7E">
        <w:rPr>
          <w:rFonts w:cs="Arial"/>
          <w:szCs w:val="20"/>
          <w:lang w:val="sl-SI" w:eastAsia="sl-SI"/>
        </w:rPr>
        <w:t xml:space="preserve">da je v zadevnem času že prejel številne pripombe zainteresiranih javnosti, zato bo predlog GZS upošteval </w:t>
      </w:r>
      <w:r w:rsidRPr="00D31B7E">
        <w:rPr>
          <w:rFonts w:cs="Arial"/>
          <w:szCs w:val="20"/>
          <w:lang w:val="sl-SI"/>
        </w:rPr>
        <w:t>na način, da bo prenovljeno verzijo osnutka predloga ZInfV-1 posredoval v dodatno javno obravnavo z rokom 14 dni</w:t>
      </w:r>
      <w:r>
        <w:rPr>
          <w:rFonts w:cs="Arial"/>
          <w:szCs w:val="20"/>
          <w:lang w:val="sl-SI"/>
        </w:rPr>
        <w:t>,</w:t>
      </w:r>
      <w:r w:rsidRPr="00D31B7E">
        <w:rPr>
          <w:rFonts w:cs="Arial"/>
          <w:szCs w:val="20"/>
          <w:lang w:val="sl-SI"/>
        </w:rPr>
        <w:t xml:space="preserve"> in sicer </w:t>
      </w:r>
      <w:r>
        <w:rPr>
          <w:rFonts w:cs="Arial"/>
          <w:szCs w:val="20"/>
          <w:lang w:val="sl-SI"/>
        </w:rPr>
        <w:t>hkrati</w:t>
      </w:r>
      <w:r w:rsidRPr="00D31B7E">
        <w:rPr>
          <w:rFonts w:cs="Arial"/>
          <w:szCs w:val="20"/>
          <w:lang w:val="sl-SI"/>
        </w:rPr>
        <w:t xml:space="preserve">, kot bo predlog ZInfV-1 posredovan v medresorsko usklajevanje. </w:t>
      </w:r>
    </w:p>
    <w:p w14:paraId="4FFDDF62"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iCs/>
          <w:szCs w:val="20"/>
          <w:lang w:val="sl-SI" w:eastAsia="sl-SI"/>
        </w:rPr>
      </w:pPr>
    </w:p>
    <w:p w14:paraId="596F8E3D"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eastAsia="sl-SI"/>
        </w:rPr>
      </w:pPr>
      <w:r w:rsidRPr="00D31B7E">
        <w:rPr>
          <w:rFonts w:cs="Arial"/>
          <w:iCs/>
          <w:szCs w:val="20"/>
          <w:lang w:val="sl-SI" w:eastAsia="sl-SI"/>
        </w:rPr>
        <w:t xml:space="preserve">Na osnutek predloga ZInfV-1 so se v prvem krogu javne obravnave </w:t>
      </w:r>
      <w:r w:rsidRPr="00D31B7E">
        <w:rPr>
          <w:rFonts w:cs="Arial"/>
          <w:szCs w:val="20"/>
          <w:lang w:val="sl-SI" w:eastAsia="sl-SI"/>
        </w:rPr>
        <w:t xml:space="preserve">(brez omejitve tajnosti) z mnenji, predlogi in pripombami odzvali: Agencija Republike Slovenije za javnopravne evidence in storitve (v nadaljnjem besedilu: </w:t>
      </w:r>
      <w:r w:rsidRPr="00D31B7E">
        <w:rPr>
          <w:rFonts w:cs="Arial"/>
          <w:szCs w:val="20"/>
          <w:lang w:val="sl-SI"/>
        </w:rPr>
        <w:t xml:space="preserve">AJPES); Agencija za komunikacijska omrežja in storitve (v nadaljnjem besedilu: </w:t>
      </w:r>
      <w:r w:rsidRPr="00D31B7E">
        <w:rPr>
          <w:rFonts w:cs="Arial"/>
          <w:szCs w:val="20"/>
          <w:lang w:val="sl-SI" w:eastAsia="sl-SI"/>
        </w:rPr>
        <w:t xml:space="preserve">AKOS); </w:t>
      </w:r>
      <w:r w:rsidRPr="00D31B7E">
        <w:rPr>
          <w:rFonts w:cs="Arial"/>
          <w:iCs/>
          <w:szCs w:val="20"/>
          <w:lang w:val="sl-SI" w:eastAsia="sl-SI"/>
        </w:rPr>
        <w:t>A 1 Slovenija, d.</w:t>
      </w:r>
      <w:r>
        <w:rPr>
          <w:rFonts w:cs="Arial"/>
          <w:iCs/>
          <w:szCs w:val="20"/>
          <w:lang w:val="sl-SI" w:eastAsia="sl-SI"/>
        </w:rPr>
        <w:t xml:space="preserve"> </w:t>
      </w:r>
      <w:r w:rsidRPr="00D31B7E">
        <w:rPr>
          <w:rFonts w:cs="Arial"/>
          <w:iCs/>
          <w:szCs w:val="20"/>
          <w:lang w:val="sl-SI" w:eastAsia="sl-SI"/>
        </w:rPr>
        <w:t>d. (v nadaljnjem besedilu: A1); Banka Slovenije (v nadaljnjem besedilu: BS); DATAINFO.SI</w:t>
      </w:r>
      <w:r>
        <w:rPr>
          <w:rFonts w:cs="Arial"/>
          <w:iCs/>
          <w:szCs w:val="20"/>
          <w:lang w:val="sl-SI" w:eastAsia="sl-SI"/>
        </w:rPr>
        <w:t>,</w:t>
      </w:r>
      <w:r w:rsidRPr="00D31B7E">
        <w:rPr>
          <w:rFonts w:cs="Arial"/>
          <w:iCs/>
          <w:szCs w:val="20"/>
          <w:lang w:val="sl-SI" w:eastAsia="sl-SI"/>
        </w:rPr>
        <w:t xml:space="preserve"> d.</w:t>
      </w:r>
      <w:r>
        <w:rPr>
          <w:rFonts w:cs="Arial"/>
          <w:iCs/>
          <w:szCs w:val="20"/>
          <w:lang w:val="sl-SI" w:eastAsia="sl-SI"/>
        </w:rPr>
        <w:t xml:space="preserve"> </w:t>
      </w:r>
      <w:r w:rsidRPr="00D31B7E">
        <w:rPr>
          <w:rFonts w:cs="Arial"/>
          <w:iCs/>
          <w:szCs w:val="20"/>
          <w:lang w:val="sl-SI" w:eastAsia="sl-SI"/>
        </w:rPr>
        <w:t>o.</w:t>
      </w:r>
      <w:r>
        <w:rPr>
          <w:rFonts w:cs="Arial"/>
          <w:iCs/>
          <w:szCs w:val="20"/>
          <w:lang w:val="sl-SI" w:eastAsia="sl-SI"/>
        </w:rPr>
        <w:t xml:space="preserve"> </w:t>
      </w:r>
      <w:r w:rsidRPr="00D31B7E">
        <w:rPr>
          <w:rFonts w:cs="Arial"/>
          <w:iCs/>
          <w:szCs w:val="20"/>
          <w:lang w:val="sl-SI" w:eastAsia="sl-SI"/>
        </w:rPr>
        <w:t xml:space="preserve">o. (v nadaljnjem besedilu: DATAINFO.SI); </w:t>
      </w:r>
      <w:r w:rsidRPr="00D31B7E">
        <w:rPr>
          <w:rFonts w:cs="Arial"/>
          <w:szCs w:val="20"/>
          <w:lang w:val="sl-SI" w:eastAsia="sl-SI"/>
        </w:rPr>
        <w:t>ELES</w:t>
      </w:r>
      <w:r>
        <w:rPr>
          <w:rFonts w:cs="Arial"/>
          <w:szCs w:val="20"/>
          <w:lang w:val="sl-SI" w:eastAsia="sl-SI"/>
        </w:rPr>
        <w:t>,</w:t>
      </w:r>
      <w:r w:rsidRPr="00D31B7E">
        <w:rPr>
          <w:rFonts w:cs="Arial"/>
          <w:szCs w:val="20"/>
          <w:lang w:val="sl-SI" w:eastAsia="sl-SI"/>
        </w:rPr>
        <w:t xml:space="preserve"> d.</w:t>
      </w:r>
      <w:r>
        <w:rPr>
          <w:rFonts w:cs="Arial"/>
          <w:szCs w:val="20"/>
          <w:lang w:val="sl-SI" w:eastAsia="sl-SI"/>
        </w:rPr>
        <w:t xml:space="preserve"> </w:t>
      </w:r>
      <w:r w:rsidRPr="00D31B7E">
        <w:rPr>
          <w:rFonts w:cs="Arial"/>
          <w:szCs w:val="20"/>
          <w:lang w:val="sl-SI" w:eastAsia="sl-SI"/>
        </w:rPr>
        <w:t>o.</w:t>
      </w:r>
      <w:r>
        <w:rPr>
          <w:rFonts w:cs="Arial"/>
          <w:szCs w:val="20"/>
          <w:lang w:val="sl-SI" w:eastAsia="sl-SI"/>
        </w:rPr>
        <w:t xml:space="preserve"> </w:t>
      </w:r>
      <w:r w:rsidRPr="00D31B7E">
        <w:rPr>
          <w:rFonts w:cs="Arial"/>
          <w:szCs w:val="20"/>
          <w:lang w:val="sl-SI" w:eastAsia="sl-SI"/>
        </w:rPr>
        <w:t>o. (v nadaljnjem besedilu</w:t>
      </w:r>
      <w:r>
        <w:rPr>
          <w:rFonts w:cs="Arial"/>
          <w:szCs w:val="20"/>
          <w:lang w:val="sl-SI" w:eastAsia="sl-SI"/>
        </w:rPr>
        <w:t>:</w:t>
      </w:r>
      <w:r w:rsidRPr="00D31B7E">
        <w:rPr>
          <w:rFonts w:cs="Arial"/>
          <w:szCs w:val="20"/>
          <w:lang w:val="sl-SI" w:eastAsia="sl-SI"/>
        </w:rPr>
        <w:t xml:space="preserve"> ELES); Microsoft</w:t>
      </w:r>
      <w:r>
        <w:rPr>
          <w:rFonts w:cs="Arial"/>
          <w:szCs w:val="20"/>
          <w:lang w:val="sl-SI" w:eastAsia="sl-SI"/>
        </w:rPr>
        <w:t>,</w:t>
      </w:r>
      <w:r w:rsidRPr="00D31B7E">
        <w:rPr>
          <w:rFonts w:cs="Arial"/>
          <w:szCs w:val="20"/>
          <w:lang w:val="sl-SI" w:eastAsia="sl-SI"/>
        </w:rPr>
        <w:t xml:space="preserve"> d.</w:t>
      </w:r>
      <w:r>
        <w:rPr>
          <w:rFonts w:cs="Arial"/>
          <w:szCs w:val="20"/>
          <w:lang w:val="sl-SI" w:eastAsia="sl-SI"/>
        </w:rPr>
        <w:t xml:space="preserve"> </w:t>
      </w:r>
      <w:r w:rsidRPr="00D31B7E">
        <w:rPr>
          <w:rFonts w:cs="Arial"/>
          <w:szCs w:val="20"/>
          <w:lang w:val="sl-SI" w:eastAsia="sl-SI"/>
        </w:rPr>
        <w:t>o.</w:t>
      </w:r>
      <w:r>
        <w:rPr>
          <w:rFonts w:cs="Arial"/>
          <w:szCs w:val="20"/>
          <w:lang w:val="sl-SI" w:eastAsia="sl-SI"/>
        </w:rPr>
        <w:t xml:space="preserve"> </w:t>
      </w:r>
      <w:r w:rsidRPr="00D31B7E">
        <w:rPr>
          <w:rFonts w:cs="Arial"/>
          <w:szCs w:val="20"/>
          <w:lang w:val="sl-SI" w:eastAsia="sl-SI"/>
        </w:rPr>
        <w:t>o. (v nadaljnjem besedilu: Microsoft); Nuklearna elektrarna Krško, d.</w:t>
      </w:r>
      <w:r>
        <w:rPr>
          <w:rFonts w:cs="Arial"/>
          <w:szCs w:val="20"/>
          <w:lang w:val="sl-SI" w:eastAsia="sl-SI"/>
        </w:rPr>
        <w:t xml:space="preserve"> </w:t>
      </w:r>
      <w:r w:rsidRPr="00D31B7E">
        <w:rPr>
          <w:rFonts w:cs="Arial"/>
          <w:szCs w:val="20"/>
          <w:lang w:val="sl-SI" w:eastAsia="sl-SI"/>
        </w:rPr>
        <w:t>o.</w:t>
      </w:r>
      <w:r>
        <w:rPr>
          <w:rFonts w:cs="Arial"/>
          <w:szCs w:val="20"/>
          <w:lang w:val="sl-SI" w:eastAsia="sl-SI"/>
        </w:rPr>
        <w:t xml:space="preserve"> </w:t>
      </w:r>
      <w:r w:rsidRPr="00D31B7E">
        <w:rPr>
          <w:rFonts w:cs="Arial"/>
          <w:szCs w:val="20"/>
          <w:lang w:val="sl-SI" w:eastAsia="sl-SI"/>
        </w:rPr>
        <w:t>o. (v nadaljnjem besedilu: NEK); Petrol</w:t>
      </w:r>
      <w:r>
        <w:rPr>
          <w:rFonts w:cs="Arial"/>
          <w:szCs w:val="20"/>
          <w:lang w:val="sl-SI" w:eastAsia="sl-SI"/>
        </w:rPr>
        <w:t>,</w:t>
      </w:r>
      <w:r w:rsidRPr="00D31B7E">
        <w:rPr>
          <w:rFonts w:cs="Arial"/>
          <w:szCs w:val="20"/>
          <w:lang w:val="sl-SI" w:eastAsia="sl-SI"/>
        </w:rPr>
        <w:t xml:space="preserve"> d.</w:t>
      </w:r>
      <w:r>
        <w:rPr>
          <w:rFonts w:cs="Arial"/>
          <w:szCs w:val="20"/>
          <w:lang w:val="sl-SI" w:eastAsia="sl-SI"/>
        </w:rPr>
        <w:t xml:space="preserve"> </w:t>
      </w:r>
      <w:r w:rsidRPr="00D31B7E">
        <w:rPr>
          <w:rFonts w:cs="Arial"/>
          <w:szCs w:val="20"/>
          <w:lang w:val="sl-SI" w:eastAsia="sl-SI"/>
        </w:rPr>
        <w:t>d. (v nadaljnjem besedilu: Petrol); Plinovodi</w:t>
      </w:r>
      <w:r>
        <w:rPr>
          <w:rFonts w:cs="Arial"/>
          <w:szCs w:val="20"/>
          <w:lang w:val="sl-SI" w:eastAsia="sl-SI"/>
        </w:rPr>
        <w:t>,</w:t>
      </w:r>
      <w:r w:rsidRPr="00D31B7E">
        <w:rPr>
          <w:rFonts w:cs="Arial"/>
          <w:szCs w:val="20"/>
          <w:lang w:val="sl-SI" w:eastAsia="sl-SI"/>
        </w:rPr>
        <w:t xml:space="preserve"> d.</w:t>
      </w:r>
      <w:r>
        <w:rPr>
          <w:rFonts w:cs="Arial"/>
          <w:szCs w:val="20"/>
          <w:lang w:val="sl-SI" w:eastAsia="sl-SI"/>
        </w:rPr>
        <w:t xml:space="preserve"> </w:t>
      </w:r>
      <w:r w:rsidRPr="00D31B7E">
        <w:rPr>
          <w:rFonts w:cs="Arial"/>
          <w:szCs w:val="20"/>
          <w:lang w:val="sl-SI" w:eastAsia="sl-SI"/>
        </w:rPr>
        <w:t>o.</w:t>
      </w:r>
      <w:r>
        <w:rPr>
          <w:rFonts w:cs="Arial"/>
          <w:szCs w:val="20"/>
          <w:lang w:val="sl-SI" w:eastAsia="sl-SI"/>
        </w:rPr>
        <w:t xml:space="preserve"> </w:t>
      </w:r>
      <w:r w:rsidRPr="00D31B7E">
        <w:rPr>
          <w:rFonts w:cs="Arial"/>
          <w:szCs w:val="20"/>
          <w:lang w:val="sl-SI" w:eastAsia="sl-SI"/>
        </w:rPr>
        <w:t xml:space="preserve">o. (v nadaljnjem besedilu: Plinovodi); </w:t>
      </w:r>
      <w:r>
        <w:rPr>
          <w:rFonts w:cs="Arial"/>
          <w:szCs w:val="20"/>
          <w:lang w:val="sl-SI" w:eastAsia="sl-SI"/>
        </w:rPr>
        <w:t>p</w:t>
      </w:r>
      <w:r w:rsidRPr="00D31B7E">
        <w:rPr>
          <w:rFonts w:cs="Arial"/>
          <w:szCs w:val="20"/>
          <w:lang w:val="sl-SI" w:eastAsia="sl-SI"/>
        </w:rPr>
        <w:t>osameznik A.</w:t>
      </w:r>
      <w:r>
        <w:rPr>
          <w:rFonts w:cs="Arial"/>
          <w:szCs w:val="20"/>
          <w:lang w:val="sl-SI" w:eastAsia="sl-SI"/>
        </w:rPr>
        <w:t xml:space="preserve"> </w:t>
      </w:r>
      <w:r w:rsidRPr="00D31B7E">
        <w:rPr>
          <w:rFonts w:cs="Arial"/>
          <w:szCs w:val="20"/>
          <w:lang w:val="sl-SI" w:eastAsia="sl-SI"/>
        </w:rPr>
        <w:t>C.</w:t>
      </w:r>
      <w:r>
        <w:rPr>
          <w:rFonts w:cs="Arial"/>
          <w:szCs w:val="20"/>
          <w:lang w:val="sl-SI" w:eastAsia="sl-SI"/>
        </w:rPr>
        <w:t xml:space="preserve"> </w:t>
      </w:r>
      <w:r w:rsidRPr="00D31B7E">
        <w:rPr>
          <w:rFonts w:cs="Arial"/>
          <w:szCs w:val="20"/>
          <w:lang w:val="sl-SI" w:eastAsia="sl-SI"/>
        </w:rPr>
        <w:t xml:space="preserve">R. (v nadaljnjem besedilu: ACR); </w:t>
      </w:r>
      <w:r>
        <w:rPr>
          <w:rFonts w:cs="Arial"/>
          <w:szCs w:val="20"/>
          <w:lang w:val="sl-SI" w:eastAsia="sl-SI"/>
        </w:rPr>
        <w:t>p</w:t>
      </w:r>
      <w:r w:rsidRPr="00D31B7E">
        <w:rPr>
          <w:rFonts w:cs="Arial"/>
          <w:szCs w:val="20"/>
          <w:lang w:val="sl-SI" w:eastAsia="sl-SI"/>
        </w:rPr>
        <w:t>osameznik H.</w:t>
      </w:r>
      <w:r>
        <w:rPr>
          <w:rFonts w:cs="Arial"/>
          <w:szCs w:val="20"/>
          <w:lang w:val="sl-SI" w:eastAsia="sl-SI"/>
        </w:rPr>
        <w:t xml:space="preserve"> </w:t>
      </w:r>
      <w:r w:rsidRPr="00D31B7E">
        <w:rPr>
          <w:rFonts w:cs="Arial"/>
          <w:szCs w:val="20"/>
          <w:lang w:val="sl-SI" w:eastAsia="sl-SI"/>
        </w:rPr>
        <w:t xml:space="preserve">M. (v nadaljnjem besedilu: </w:t>
      </w:r>
      <w:r w:rsidRPr="003B1803">
        <w:rPr>
          <w:rFonts w:cs="Arial"/>
          <w:szCs w:val="20"/>
          <w:lang w:val="sl-SI" w:eastAsia="sl-SI"/>
        </w:rPr>
        <w:t>H. M</w:t>
      </w:r>
      <w:r>
        <w:rPr>
          <w:rFonts w:cs="Arial"/>
          <w:szCs w:val="20"/>
          <w:lang w:val="sl-SI" w:eastAsia="sl-SI"/>
        </w:rPr>
        <w:t>.</w:t>
      </w:r>
      <w:r w:rsidRPr="00D31B7E">
        <w:rPr>
          <w:rFonts w:cs="Arial"/>
          <w:szCs w:val="20"/>
          <w:lang w:val="sl-SI" w:eastAsia="sl-SI"/>
        </w:rPr>
        <w:t xml:space="preserve">); </w:t>
      </w:r>
      <w:r>
        <w:rPr>
          <w:rFonts w:cs="Arial"/>
          <w:szCs w:val="20"/>
          <w:lang w:val="sl-SI" w:eastAsia="sl-SI"/>
        </w:rPr>
        <w:t>p</w:t>
      </w:r>
      <w:r w:rsidRPr="00D31B7E">
        <w:rPr>
          <w:rFonts w:cs="Arial"/>
          <w:szCs w:val="20"/>
          <w:lang w:val="sl-SI" w:eastAsia="sl-SI"/>
        </w:rPr>
        <w:t>osameznik – nepodpisan (v nadaljnjem besedilu</w:t>
      </w:r>
      <w:r w:rsidRPr="003B1803">
        <w:rPr>
          <w:rFonts w:cs="Arial"/>
          <w:szCs w:val="20"/>
          <w:lang w:val="sl-SI" w:eastAsia="sl-SI"/>
        </w:rPr>
        <w:t>: NN);</w:t>
      </w:r>
      <w:r w:rsidRPr="00D31B7E">
        <w:rPr>
          <w:rFonts w:cs="Arial"/>
          <w:szCs w:val="20"/>
          <w:lang w:val="sl-SI" w:eastAsia="sl-SI"/>
        </w:rPr>
        <w:t xml:space="preserve"> </w:t>
      </w:r>
      <w:r w:rsidRPr="00D31B7E">
        <w:rPr>
          <w:rFonts w:cs="Arial"/>
          <w:szCs w:val="20"/>
          <w:lang w:val="sl-SI"/>
        </w:rPr>
        <w:t xml:space="preserve">Register.si, ki deluje v okviru Javnega infrastrukturnega zavoda Akademska in raziskovalna mreža Slovenije </w:t>
      </w:r>
      <w:r>
        <w:rPr>
          <w:rFonts w:cs="Arial"/>
          <w:szCs w:val="20"/>
          <w:lang w:val="sl-SI"/>
        </w:rPr>
        <w:t>‒</w:t>
      </w:r>
      <w:r w:rsidRPr="00D31B7E">
        <w:rPr>
          <w:rFonts w:cs="Arial"/>
          <w:szCs w:val="20"/>
          <w:lang w:val="sl-SI"/>
        </w:rPr>
        <w:t xml:space="preserve"> ARNES (v nadaljnjem besedilu: Register.si); Nacionalni odzivni center za kibernetsko varnost SI-CERT, ki deluje v okviru Javnega infrastrukturnega zavoda ARNES (v nadaljnjem besedilu: SI-CERT); </w:t>
      </w:r>
      <w:r w:rsidRPr="00D31B7E">
        <w:rPr>
          <w:rFonts w:cs="Arial"/>
          <w:iCs/>
          <w:szCs w:val="20"/>
          <w:lang w:val="sl-SI" w:eastAsia="sl-SI"/>
        </w:rPr>
        <w:t>Sekcija operaterjev elektronskih komunikacij (SOEK), Združenj</w:t>
      </w:r>
      <w:r>
        <w:rPr>
          <w:rFonts w:cs="Arial"/>
          <w:iCs/>
          <w:szCs w:val="20"/>
          <w:lang w:val="sl-SI" w:eastAsia="sl-SI"/>
        </w:rPr>
        <w:t>e</w:t>
      </w:r>
      <w:r w:rsidRPr="00D31B7E">
        <w:rPr>
          <w:rFonts w:cs="Arial"/>
          <w:iCs/>
          <w:szCs w:val="20"/>
          <w:lang w:val="sl-SI" w:eastAsia="sl-SI"/>
        </w:rPr>
        <w:t xml:space="preserve"> za informatiko in telekomunikacije (ZIT), </w:t>
      </w:r>
      <w:r w:rsidRPr="00D31B7E">
        <w:rPr>
          <w:rFonts w:cs="Arial"/>
          <w:szCs w:val="20"/>
          <w:lang w:val="sl-SI" w:eastAsia="sl-SI"/>
        </w:rPr>
        <w:t>Gospodarsk</w:t>
      </w:r>
      <w:r>
        <w:rPr>
          <w:rFonts w:cs="Arial"/>
          <w:szCs w:val="20"/>
          <w:lang w:val="sl-SI" w:eastAsia="sl-SI"/>
        </w:rPr>
        <w:t>a</w:t>
      </w:r>
      <w:r w:rsidRPr="00D31B7E">
        <w:rPr>
          <w:rFonts w:cs="Arial"/>
          <w:szCs w:val="20"/>
          <w:lang w:val="sl-SI" w:eastAsia="sl-SI"/>
        </w:rPr>
        <w:t xml:space="preserve"> zbornic</w:t>
      </w:r>
      <w:r>
        <w:rPr>
          <w:rFonts w:cs="Arial"/>
          <w:szCs w:val="20"/>
          <w:lang w:val="sl-SI" w:eastAsia="sl-SI"/>
        </w:rPr>
        <w:t>a</w:t>
      </w:r>
      <w:r w:rsidRPr="00D31B7E">
        <w:rPr>
          <w:rFonts w:cs="Arial"/>
          <w:szCs w:val="20"/>
          <w:lang w:val="sl-SI" w:eastAsia="sl-SI"/>
        </w:rPr>
        <w:t xml:space="preserve"> Slovenije (GZS) </w:t>
      </w:r>
      <w:r w:rsidRPr="00D31B7E">
        <w:rPr>
          <w:rFonts w:cs="Arial"/>
          <w:szCs w:val="20"/>
          <w:lang w:val="sl-SI"/>
        </w:rPr>
        <w:t>(v nadaljnjem besedilu: SOEK, ZIT, GZS); Sekcija</w:t>
      </w:r>
      <w:r w:rsidRPr="00D31B7E">
        <w:rPr>
          <w:rFonts w:cs="Arial"/>
          <w:szCs w:val="20"/>
          <w:lang w:val="sl-SI" w:eastAsia="sl-SI"/>
        </w:rPr>
        <w:t xml:space="preserve"> za kibernetsko varnost (SeKV) pri ZIT skupaj s Strateško razvojno inovacijskim partnerstvom (SRIP) GoDigital</w:t>
      </w:r>
      <w:r>
        <w:rPr>
          <w:rFonts w:cs="Arial"/>
          <w:szCs w:val="20"/>
          <w:lang w:val="sl-SI" w:eastAsia="sl-SI"/>
        </w:rPr>
        <w:t>,</w:t>
      </w:r>
      <w:r w:rsidRPr="00D31B7E">
        <w:rPr>
          <w:rFonts w:cs="Arial"/>
          <w:szCs w:val="20"/>
          <w:lang w:val="sl-SI" w:eastAsia="sl-SI"/>
        </w:rPr>
        <w:t xml:space="preserve"> oboje pri GZS (v nadaljnjem besedilu: SKV, ZIT in SRIP GoDigital pri GZS); Slovenski inštitut za revizijo (v nadaljnjem besedilu: SIR); Skupnost občin Slovenija (v nadaljnjem besedilu: SOS); Slovensko društvo za nadzor in preverjanje informacijskih sistemov (Slovenski odsek ISAKA) (v nadaljnjem besedilu: Društvo ISACA); Slovensko združenje korporativne varnosti; Telemach Slovenija</w:t>
      </w:r>
      <w:r>
        <w:rPr>
          <w:rFonts w:cs="Arial"/>
          <w:szCs w:val="20"/>
          <w:lang w:val="sl-SI" w:eastAsia="sl-SI"/>
        </w:rPr>
        <w:t>,</w:t>
      </w:r>
      <w:r w:rsidRPr="00D31B7E">
        <w:rPr>
          <w:rFonts w:cs="Arial"/>
          <w:szCs w:val="20"/>
          <w:lang w:val="sl-SI" w:eastAsia="sl-SI"/>
        </w:rPr>
        <w:t xml:space="preserve"> d.</w:t>
      </w:r>
      <w:r>
        <w:rPr>
          <w:rFonts w:cs="Arial"/>
          <w:szCs w:val="20"/>
          <w:lang w:val="sl-SI" w:eastAsia="sl-SI"/>
        </w:rPr>
        <w:t xml:space="preserve"> </w:t>
      </w:r>
      <w:r w:rsidRPr="00D31B7E">
        <w:rPr>
          <w:rFonts w:cs="Arial"/>
          <w:szCs w:val="20"/>
          <w:lang w:val="sl-SI" w:eastAsia="sl-SI"/>
        </w:rPr>
        <w:t>o.</w:t>
      </w:r>
      <w:r>
        <w:rPr>
          <w:rFonts w:cs="Arial"/>
          <w:szCs w:val="20"/>
          <w:lang w:val="sl-SI" w:eastAsia="sl-SI"/>
        </w:rPr>
        <w:t xml:space="preserve"> </w:t>
      </w:r>
      <w:r w:rsidRPr="00D31B7E">
        <w:rPr>
          <w:rFonts w:cs="Arial"/>
          <w:szCs w:val="20"/>
          <w:lang w:val="sl-SI" w:eastAsia="sl-SI"/>
        </w:rPr>
        <w:t xml:space="preserve">o. (v nadaljnjem besedilu: Telemach); Univerza v Mariboru, Združenje bank Slovenije (v nadaljnjem besedilu: ZBS); Slovensko združenje za elektronsko identifikacijo in elektronske storitve zaupanja </w:t>
      </w:r>
      <w:r>
        <w:rPr>
          <w:rFonts w:cs="Arial"/>
          <w:szCs w:val="20"/>
          <w:lang w:val="sl-SI"/>
        </w:rPr>
        <w:t>‒</w:t>
      </w:r>
      <w:r w:rsidRPr="00D31B7E">
        <w:rPr>
          <w:rFonts w:cs="Arial"/>
          <w:szCs w:val="20"/>
          <w:lang w:val="sl-SI" w:eastAsia="sl-SI"/>
        </w:rPr>
        <w:t xml:space="preserve"> EIDES (v nadaljnjem besedilu: Združenje EIDES).</w:t>
      </w:r>
    </w:p>
    <w:p w14:paraId="27B0999F"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rPr>
      </w:pPr>
    </w:p>
    <w:p w14:paraId="3D022BF9"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rPr>
      </w:pPr>
      <w:r w:rsidRPr="00D31B7E">
        <w:rPr>
          <w:rFonts w:cs="Arial"/>
          <w:szCs w:val="20"/>
          <w:lang w:val="sl-SI"/>
        </w:rPr>
        <w:t>Nadalje sta se s pripombami že v prve</w:t>
      </w:r>
      <w:r>
        <w:rPr>
          <w:rFonts w:cs="Arial"/>
          <w:szCs w:val="20"/>
          <w:lang w:val="sl-SI"/>
        </w:rPr>
        <w:t>m</w:t>
      </w:r>
      <w:r w:rsidRPr="00D31B7E">
        <w:rPr>
          <w:rFonts w:cs="Arial"/>
          <w:szCs w:val="20"/>
          <w:lang w:val="sl-SI"/>
        </w:rPr>
        <w:t xml:space="preserve"> krog</w:t>
      </w:r>
      <w:r>
        <w:rPr>
          <w:rFonts w:cs="Arial"/>
          <w:szCs w:val="20"/>
          <w:lang w:val="sl-SI"/>
        </w:rPr>
        <w:t>u</w:t>
      </w:r>
      <w:r w:rsidRPr="00D31B7E">
        <w:rPr>
          <w:rFonts w:cs="Arial"/>
          <w:szCs w:val="20"/>
          <w:lang w:val="sl-SI"/>
        </w:rPr>
        <w:t xml:space="preserve"> JO odzvala Ministrstvo za digitalno preobrazbo (v nadaljnjem besedilu: MDP) </w:t>
      </w:r>
      <w:r>
        <w:rPr>
          <w:rFonts w:cs="Arial"/>
          <w:szCs w:val="20"/>
          <w:lang w:val="sl-SI"/>
        </w:rPr>
        <w:t>in</w:t>
      </w:r>
      <w:r w:rsidRPr="00D31B7E">
        <w:rPr>
          <w:rFonts w:cs="Arial"/>
          <w:szCs w:val="20"/>
          <w:lang w:val="sl-SI"/>
        </w:rPr>
        <w:t xml:space="preserve"> Slovenska varnostno-obveščevalna agencija (v nadaljnjem besedilu: SOVA), ki pa sta bila oba v nadaljevanju vključena v postopek medresorskega usklajevanja predloga ZInfV-1. Opis postopka usklajevanja z MDP in SOVA zato ni vključen na tem mestu.</w:t>
      </w:r>
      <w:r>
        <w:rPr>
          <w:rFonts w:cs="Arial"/>
          <w:szCs w:val="20"/>
          <w:lang w:val="sl-SI"/>
        </w:rPr>
        <w:t xml:space="preserve"> </w:t>
      </w:r>
    </w:p>
    <w:p w14:paraId="175DC6AD"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rPr>
      </w:pPr>
    </w:p>
    <w:p w14:paraId="039B9ED0"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rPr>
      </w:pPr>
      <w:r w:rsidRPr="00D31B7E">
        <w:rPr>
          <w:rFonts w:cs="Arial"/>
          <w:szCs w:val="20"/>
          <w:lang w:val="sl-SI"/>
        </w:rPr>
        <w:t xml:space="preserve">Pojasnjujemo še, da je </w:t>
      </w:r>
      <w:r w:rsidRPr="00D31B7E">
        <w:rPr>
          <w:rFonts w:cs="Arial"/>
          <w:szCs w:val="20"/>
          <w:lang w:val="sl-SI" w:eastAsia="sl-SI"/>
        </w:rPr>
        <w:t>H.</w:t>
      </w:r>
      <w:r>
        <w:rPr>
          <w:rFonts w:cs="Arial"/>
          <w:szCs w:val="20"/>
          <w:lang w:val="sl-SI" w:eastAsia="sl-SI"/>
        </w:rPr>
        <w:t xml:space="preserve"> </w:t>
      </w:r>
      <w:r w:rsidRPr="00D31B7E">
        <w:rPr>
          <w:rFonts w:cs="Arial"/>
          <w:szCs w:val="20"/>
          <w:lang w:val="sl-SI" w:eastAsia="sl-SI"/>
        </w:rPr>
        <w:t xml:space="preserve">M. sicer navedel, da pošilja komentarje, vendar v pripeti priponki komentarjev na osnutek predloga ZInfV-1, ki je bil v prvem krogu javne obravnave, ni bilo (le z materijo zakona nepovezana vsebina, ki se je nanašala na </w:t>
      </w:r>
      <w:r>
        <w:rPr>
          <w:rFonts w:cs="Arial"/>
          <w:szCs w:val="20"/>
          <w:lang w:val="sl-SI" w:eastAsia="sl-SI"/>
        </w:rPr>
        <w:t>p</w:t>
      </w:r>
      <w:r w:rsidRPr="00D31B7E">
        <w:rPr>
          <w:rFonts w:cs="Arial"/>
          <w:szCs w:val="20"/>
          <w:lang w:val="sl-SI" w:eastAsia="sl-SI"/>
        </w:rPr>
        <w:t xml:space="preserve">omoč na daljavo). Nadalje je SOS </w:t>
      </w:r>
      <w:r w:rsidRPr="00D31B7E">
        <w:rPr>
          <w:rFonts w:cs="Arial"/>
          <w:szCs w:val="20"/>
          <w:lang w:val="sl-SI"/>
        </w:rPr>
        <w:lastRenderedPageBreak/>
        <w:t xml:space="preserve">poslal le sporočilo, da do poteka roka za oddajo mnenja na osnutek predloga zakona niso prejeli pripomb občin članic SOS. </w:t>
      </w:r>
    </w:p>
    <w:p w14:paraId="04283B60"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rPr>
      </w:pPr>
    </w:p>
    <w:p w14:paraId="167A92FE"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eastAsia="sl-SI"/>
        </w:rPr>
      </w:pPr>
      <w:r w:rsidRPr="00D31B7E">
        <w:rPr>
          <w:rFonts w:cs="Arial"/>
          <w:szCs w:val="20"/>
          <w:lang w:val="sl-SI"/>
        </w:rPr>
        <w:t>V preostalem je URSIV na podlagi pr</w:t>
      </w:r>
      <w:r>
        <w:rPr>
          <w:rFonts w:cs="Arial"/>
          <w:szCs w:val="20"/>
          <w:lang w:val="sl-SI"/>
        </w:rPr>
        <w:t>o</w:t>
      </w:r>
      <w:r w:rsidRPr="00D31B7E">
        <w:rPr>
          <w:rFonts w:cs="Arial"/>
          <w:szCs w:val="20"/>
          <w:lang w:val="sl-SI"/>
        </w:rPr>
        <w:t>učitve vseh prejetih predlogov, pripomb in komentarjev javnosti ter prejetih predlogov državnih organov iz prvega kroga javne obravnave ter dodatnega razmisleka oblikoval prenovljen osnutek predloga ZInfV-1 z dne 15. 5. 2024, o katerem je potekal drugi krog javne obravnave na e-demokraciji od 15. 5. 2024 do vključno 31. 5. 2024. Pri tem je šlo za dodatno možnost sodelovanja javnosti, ki je sicer že podajala pripombe, predloge oziroma komentarje v prvem krogu javne obravnave. V drugem krogu javne obravnave smo prejeli odzive (brez omejitve tajnosti) naslednjih deležnikov: AJPES, AKOS, Coalition for online Accountabilty (v nadaljnjem besedilu: COA), Društv</w:t>
      </w:r>
      <w:r>
        <w:rPr>
          <w:rFonts w:cs="Arial"/>
          <w:szCs w:val="20"/>
          <w:lang w:val="sl-SI"/>
        </w:rPr>
        <w:t>a</w:t>
      </w:r>
      <w:r w:rsidRPr="00D31B7E">
        <w:rPr>
          <w:rFonts w:cs="Arial"/>
          <w:szCs w:val="20"/>
          <w:lang w:val="sl-SI"/>
        </w:rPr>
        <w:t xml:space="preserve"> ISACA, GZS</w:t>
      </w:r>
      <w:r>
        <w:rPr>
          <w:rFonts w:cs="Arial"/>
          <w:szCs w:val="20"/>
          <w:lang w:val="sl-SI"/>
        </w:rPr>
        <w:t>,</w:t>
      </w:r>
      <w:r w:rsidRPr="00D31B7E">
        <w:rPr>
          <w:rFonts w:cs="Arial"/>
          <w:szCs w:val="20"/>
          <w:lang w:val="sl-SI"/>
        </w:rPr>
        <w:t xml:space="preserve"> </w:t>
      </w:r>
      <w:r>
        <w:rPr>
          <w:rFonts w:cs="Arial"/>
          <w:szCs w:val="20"/>
          <w:lang w:val="sl-SI"/>
        </w:rPr>
        <w:t xml:space="preserve">podjetij </w:t>
      </w:r>
      <w:r w:rsidRPr="00D31B7E">
        <w:rPr>
          <w:rFonts w:cs="Arial"/>
          <w:szCs w:val="20"/>
          <w:lang w:val="sl-SI"/>
        </w:rPr>
        <w:t>Info hiša</w:t>
      </w:r>
      <w:r>
        <w:rPr>
          <w:rFonts w:cs="Arial"/>
          <w:szCs w:val="20"/>
          <w:lang w:val="sl-SI"/>
        </w:rPr>
        <w:t>,</w:t>
      </w:r>
      <w:r w:rsidRPr="00D31B7E">
        <w:rPr>
          <w:rFonts w:cs="Arial"/>
          <w:szCs w:val="20"/>
          <w:lang w:val="sl-SI"/>
        </w:rPr>
        <w:t xml:space="preserve"> d.</w:t>
      </w:r>
      <w:r>
        <w:rPr>
          <w:rFonts w:cs="Arial"/>
          <w:szCs w:val="20"/>
          <w:lang w:val="sl-SI"/>
        </w:rPr>
        <w:t xml:space="preserve"> </w:t>
      </w:r>
      <w:r w:rsidRPr="00D31B7E">
        <w:rPr>
          <w:rFonts w:cs="Arial"/>
          <w:szCs w:val="20"/>
          <w:lang w:val="sl-SI"/>
        </w:rPr>
        <w:t>o.</w:t>
      </w:r>
      <w:r>
        <w:rPr>
          <w:rFonts w:cs="Arial"/>
          <w:szCs w:val="20"/>
          <w:lang w:val="sl-SI"/>
        </w:rPr>
        <w:t xml:space="preserve"> </w:t>
      </w:r>
      <w:r w:rsidRPr="00D31B7E">
        <w:rPr>
          <w:rFonts w:cs="Arial"/>
          <w:szCs w:val="20"/>
          <w:lang w:val="sl-SI"/>
        </w:rPr>
        <w:t>o. (v nadaljnjem besedilu: InfoHiša)</w:t>
      </w:r>
      <w:r>
        <w:rPr>
          <w:rFonts w:cs="Arial"/>
          <w:szCs w:val="20"/>
          <w:lang w:val="sl-SI"/>
        </w:rPr>
        <w:t>,</w:t>
      </w:r>
      <w:r w:rsidRPr="00D31B7E">
        <w:rPr>
          <w:rFonts w:cs="Arial"/>
          <w:szCs w:val="20"/>
          <w:lang w:val="sl-SI"/>
        </w:rPr>
        <w:t xml:space="preserve"> </w:t>
      </w:r>
      <w:r w:rsidRPr="00D31B7E">
        <w:rPr>
          <w:rFonts w:cs="Arial"/>
          <w:szCs w:val="20"/>
          <w:lang w:val="sl-SI" w:eastAsia="sl-SI"/>
        </w:rPr>
        <w:t>Microsoft, Petrol, Plinovodi</w:t>
      </w:r>
      <w:r w:rsidRPr="00D31B7E">
        <w:rPr>
          <w:rFonts w:cs="Arial"/>
          <w:szCs w:val="20"/>
          <w:lang w:val="sl-SI"/>
        </w:rPr>
        <w:t>, nepodpisan</w:t>
      </w:r>
      <w:r>
        <w:rPr>
          <w:rFonts w:cs="Arial"/>
          <w:szCs w:val="20"/>
          <w:lang w:val="sl-SI"/>
        </w:rPr>
        <w:t>ega</w:t>
      </w:r>
      <w:r w:rsidRPr="00D31B7E">
        <w:rPr>
          <w:rFonts w:cs="Arial"/>
          <w:szCs w:val="20"/>
          <w:lang w:val="sl-SI"/>
        </w:rPr>
        <w:t xml:space="preserve"> </w:t>
      </w:r>
      <w:r>
        <w:rPr>
          <w:rFonts w:cs="Arial"/>
          <w:szCs w:val="20"/>
          <w:lang w:val="sl-SI"/>
        </w:rPr>
        <w:t>p</w:t>
      </w:r>
      <w:r w:rsidRPr="00D31B7E">
        <w:rPr>
          <w:rFonts w:cs="Arial"/>
          <w:szCs w:val="20"/>
          <w:lang w:val="sl-SI"/>
        </w:rPr>
        <w:t>osameznik</w:t>
      </w:r>
      <w:r>
        <w:rPr>
          <w:rFonts w:cs="Arial"/>
          <w:szCs w:val="20"/>
          <w:lang w:val="sl-SI"/>
        </w:rPr>
        <w:t>a</w:t>
      </w:r>
      <w:r w:rsidRPr="00D31B7E">
        <w:rPr>
          <w:rFonts w:cs="Arial"/>
          <w:szCs w:val="20"/>
          <w:lang w:val="sl-SI"/>
        </w:rPr>
        <w:t xml:space="preserve"> (v nadaljnjem besedilu: </w:t>
      </w:r>
      <w:r w:rsidRPr="003B1803">
        <w:rPr>
          <w:rFonts w:cs="Arial"/>
          <w:szCs w:val="20"/>
          <w:lang w:val="sl-SI"/>
        </w:rPr>
        <w:t>posameznik AA),</w:t>
      </w:r>
      <w:r w:rsidRPr="00D31B7E">
        <w:rPr>
          <w:rFonts w:cs="Arial"/>
          <w:szCs w:val="20"/>
          <w:lang w:val="sl-SI"/>
        </w:rPr>
        <w:t xml:space="preserve"> </w:t>
      </w:r>
      <w:bookmarkStart w:id="8" w:name="_Hlk192173848"/>
      <w:r w:rsidRPr="00D31B7E">
        <w:rPr>
          <w:rFonts w:cs="Arial"/>
          <w:szCs w:val="20"/>
          <w:lang w:val="sl-SI"/>
        </w:rPr>
        <w:t>nepodpisan</w:t>
      </w:r>
      <w:r>
        <w:rPr>
          <w:rFonts w:cs="Arial"/>
          <w:szCs w:val="20"/>
          <w:lang w:val="sl-SI"/>
        </w:rPr>
        <w:t>ega</w:t>
      </w:r>
      <w:r w:rsidRPr="00D31B7E">
        <w:rPr>
          <w:rFonts w:cs="Arial"/>
          <w:szCs w:val="20"/>
          <w:lang w:val="sl-SI"/>
        </w:rPr>
        <w:t xml:space="preserve"> </w:t>
      </w:r>
      <w:r>
        <w:rPr>
          <w:rFonts w:cs="Arial"/>
          <w:szCs w:val="20"/>
          <w:lang w:val="sl-SI"/>
        </w:rPr>
        <w:t>p</w:t>
      </w:r>
      <w:r w:rsidRPr="00D31B7E">
        <w:rPr>
          <w:rFonts w:cs="Arial"/>
          <w:szCs w:val="20"/>
          <w:lang w:val="sl-SI"/>
        </w:rPr>
        <w:t>osameznik</w:t>
      </w:r>
      <w:r>
        <w:rPr>
          <w:rFonts w:cs="Arial"/>
          <w:szCs w:val="20"/>
          <w:lang w:val="sl-SI"/>
        </w:rPr>
        <w:t>a</w:t>
      </w:r>
      <w:r w:rsidRPr="00D31B7E">
        <w:rPr>
          <w:rFonts w:cs="Arial"/>
          <w:szCs w:val="20"/>
          <w:lang w:val="sl-SI"/>
        </w:rPr>
        <w:t xml:space="preserve"> (v nadaljnjem besedilu: </w:t>
      </w:r>
      <w:r w:rsidRPr="003B1803">
        <w:rPr>
          <w:rFonts w:cs="Arial"/>
          <w:szCs w:val="20"/>
          <w:lang w:val="sl-SI"/>
        </w:rPr>
        <w:t>posameznik BB)</w:t>
      </w:r>
      <w:r w:rsidRPr="003B1803">
        <w:rPr>
          <w:rFonts w:cs="Arial"/>
          <w:szCs w:val="20"/>
          <w:lang w:val="sl-SI" w:eastAsia="sl-SI"/>
        </w:rPr>
        <w:t xml:space="preserve">, </w:t>
      </w:r>
      <w:bookmarkEnd w:id="8"/>
      <w:r w:rsidRPr="003B1803">
        <w:rPr>
          <w:rFonts w:cs="Arial"/>
          <w:szCs w:val="20"/>
          <w:lang w:val="sl-SI" w:eastAsia="sl-SI"/>
        </w:rPr>
        <w:t>posameznik</w:t>
      </w:r>
      <w:r>
        <w:rPr>
          <w:rFonts w:cs="Arial"/>
          <w:szCs w:val="20"/>
          <w:lang w:val="sl-SI" w:eastAsia="sl-SI"/>
        </w:rPr>
        <w:t>a</w:t>
      </w:r>
      <w:r w:rsidRPr="00D31B7E">
        <w:rPr>
          <w:rFonts w:cs="Arial"/>
          <w:szCs w:val="20"/>
          <w:lang w:val="sl-SI" w:eastAsia="sl-SI"/>
        </w:rPr>
        <w:t xml:space="preserve"> JN</w:t>
      </w:r>
      <w:r>
        <w:rPr>
          <w:rFonts w:cs="Arial"/>
          <w:szCs w:val="20"/>
          <w:lang w:val="sl-SI" w:eastAsia="sl-SI"/>
        </w:rPr>
        <w:t>,</w:t>
      </w:r>
      <w:r w:rsidRPr="00D31B7E">
        <w:rPr>
          <w:rFonts w:cs="Arial"/>
          <w:szCs w:val="20"/>
          <w:lang w:val="sl-SI" w:eastAsia="sl-SI"/>
        </w:rPr>
        <w:t xml:space="preserve"> </w:t>
      </w:r>
      <w:r>
        <w:rPr>
          <w:rFonts w:cs="Arial"/>
          <w:szCs w:val="20"/>
          <w:lang w:val="sl-SI" w:eastAsia="sl-SI"/>
        </w:rPr>
        <w:t xml:space="preserve">podjetja </w:t>
      </w:r>
      <w:r w:rsidRPr="00D31B7E">
        <w:rPr>
          <w:rFonts w:cs="Arial"/>
          <w:szCs w:val="20"/>
          <w:lang w:val="sl-SI" w:eastAsia="sl-SI"/>
        </w:rPr>
        <w:t>SI-CERT</w:t>
      </w:r>
      <w:r>
        <w:rPr>
          <w:rFonts w:cs="Arial"/>
          <w:szCs w:val="20"/>
          <w:lang w:val="sl-SI" w:eastAsia="sl-SI"/>
        </w:rPr>
        <w:t>,</w:t>
      </w:r>
      <w:r w:rsidRPr="00D31B7E">
        <w:rPr>
          <w:rFonts w:cs="Arial"/>
          <w:szCs w:val="20"/>
          <w:lang w:val="sl-SI" w:eastAsia="sl-SI"/>
        </w:rPr>
        <w:t xml:space="preserve"> </w:t>
      </w:r>
      <w:bookmarkStart w:id="9" w:name="_Hlk192103099"/>
      <w:r w:rsidRPr="00D31B7E">
        <w:rPr>
          <w:rFonts w:cs="Arial"/>
          <w:szCs w:val="20"/>
          <w:lang w:val="sl-SI" w:eastAsia="sl-SI"/>
        </w:rPr>
        <w:t>Združenj</w:t>
      </w:r>
      <w:r>
        <w:rPr>
          <w:rFonts w:cs="Arial"/>
          <w:szCs w:val="20"/>
          <w:lang w:val="sl-SI" w:eastAsia="sl-SI"/>
        </w:rPr>
        <w:t>a</w:t>
      </w:r>
      <w:r w:rsidRPr="00D31B7E">
        <w:rPr>
          <w:rFonts w:cs="Arial"/>
          <w:szCs w:val="20"/>
          <w:lang w:val="sl-SI" w:eastAsia="sl-SI"/>
        </w:rPr>
        <w:t xml:space="preserve"> filmskih ustvarjalcev (Motion Picture Association) (v nadaljnjem besedilu: MPA)</w:t>
      </w:r>
      <w:bookmarkEnd w:id="9"/>
      <w:r>
        <w:rPr>
          <w:rFonts w:cs="Arial"/>
          <w:szCs w:val="20"/>
          <w:lang w:val="sl-SI" w:eastAsia="sl-SI"/>
        </w:rPr>
        <w:t>,</w:t>
      </w:r>
      <w:r w:rsidRPr="00D31B7E">
        <w:rPr>
          <w:rFonts w:cs="Arial"/>
          <w:szCs w:val="20"/>
          <w:lang w:val="sl-SI" w:eastAsia="sl-SI"/>
        </w:rPr>
        <w:t xml:space="preserve"> </w:t>
      </w:r>
      <w:r>
        <w:rPr>
          <w:rFonts w:cs="Arial"/>
          <w:szCs w:val="20"/>
          <w:lang w:val="sl-SI" w:eastAsia="sl-SI"/>
        </w:rPr>
        <w:t xml:space="preserve">podjetij </w:t>
      </w:r>
      <w:r w:rsidRPr="00D31B7E">
        <w:rPr>
          <w:rFonts w:cs="Arial"/>
          <w:szCs w:val="20"/>
          <w:lang w:val="sl-SI" w:eastAsia="sl-SI"/>
        </w:rPr>
        <w:t>SIR</w:t>
      </w:r>
      <w:r>
        <w:rPr>
          <w:rFonts w:cs="Arial"/>
          <w:szCs w:val="20"/>
          <w:lang w:val="sl-SI" w:eastAsia="sl-SI"/>
        </w:rPr>
        <w:t>,</w:t>
      </w:r>
      <w:r w:rsidRPr="00D31B7E">
        <w:rPr>
          <w:rFonts w:cs="Arial"/>
          <w:szCs w:val="20"/>
          <w:lang w:val="sl-SI" w:eastAsia="sl-SI"/>
        </w:rPr>
        <w:t xml:space="preserve"> SIQ, Telemach in Trgovinsk</w:t>
      </w:r>
      <w:r>
        <w:rPr>
          <w:rFonts w:cs="Arial"/>
          <w:szCs w:val="20"/>
          <w:lang w:val="sl-SI" w:eastAsia="sl-SI"/>
        </w:rPr>
        <w:t>e</w:t>
      </w:r>
      <w:r w:rsidRPr="00D31B7E">
        <w:rPr>
          <w:rFonts w:cs="Arial"/>
          <w:szCs w:val="20"/>
          <w:lang w:val="sl-SI" w:eastAsia="sl-SI"/>
        </w:rPr>
        <w:t xml:space="preserve"> zbornic</w:t>
      </w:r>
      <w:r>
        <w:rPr>
          <w:rFonts w:cs="Arial"/>
          <w:szCs w:val="20"/>
          <w:lang w:val="sl-SI" w:eastAsia="sl-SI"/>
        </w:rPr>
        <w:t>e</w:t>
      </w:r>
      <w:r w:rsidRPr="00D31B7E">
        <w:rPr>
          <w:rFonts w:cs="Arial"/>
          <w:szCs w:val="20"/>
          <w:lang w:val="sl-SI" w:eastAsia="sl-SI"/>
        </w:rPr>
        <w:t xml:space="preserve"> Slovenije (v nadaljnjem besedilu: TZS) </w:t>
      </w:r>
      <w:r>
        <w:rPr>
          <w:rFonts w:cs="Arial"/>
          <w:szCs w:val="20"/>
          <w:lang w:val="sl-SI" w:eastAsia="sl-SI"/>
        </w:rPr>
        <w:t xml:space="preserve">ter </w:t>
      </w:r>
      <w:r w:rsidRPr="00D31B7E">
        <w:rPr>
          <w:rFonts w:cs="Arial"/>
          <w:szCs w:val="20"/>
          <w:lang w:val="sl-SI" w:eastAsia="sl-SI"/>
        </w:rPr>
        <w:t>ZBS.</w:t>
      </w:r>
    </w:p>
    <w:p w14:paraId="7765C7D4" w14:textId="77777777" w:rsidR="000A51A5" w:rsidRPr="00D31B7E" w:rsidRDefault="000A51A5" w:rsidP="000A51A5">
      <w:pPr>
        <w:widowControl w:val="0"/>
        <w:overflowPunct w:val="0"/>
        <w:autoSpaceDE w:val="0"/>
        <w:autoSpaceDN w:val="0"/>
        <w:adjustRightInd w:val="0"/>
        <w:spacing w:line="276" w:lineRule="auto"/>
        <w:jc w:val="both"/>
        <w:textAlignment w:val="baseline"/>
        <w:rPr>
          <w:rFonts w:cs="Arial"/>
          <w:szCs w:val="20"/>
          <w:lang w:val="sl-SI" w:eastAsia="sl-SI"/>
        </w:rPr>
      </w:pPr>
    </w:p>
    <w:p w14:paraId="16AFFAA4"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Pripomba AJPES: </w:t>
      </w:r>
    </w:p>
    <w:p w14:paraId="782F2B55"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prvem</w:t>
      </w:r>
      <w:r>
        <w:rPr>
          <w:rFonts w:cs="Arial"/>
          <w:szCs w:val="20"/>
          <w:lang w:val="sl-SI"/>
        </w:rPr>
        <w:t>u</w:t>
      </w:r>
      <w:r w:rsidRPr="00D31B7E">
        <w:rPr>
          <w:rFonts w:cs="Arial"/>
          <w:szCs w:val="20"/>
          <w:lang w:val="sl-SI"/>
        </w:rPr>
        <w:t xml:space="preserve"> odstavku 58. člena osnutka predloga ZInfV-1, da je rok dvanajst mesecev po uveljavitvi zakona prekratek za sprejem ukrepov za obvladovanje tveganj in naj se podaljša na štiriindvajset mesecev, je bila delno upoštevana. Zadevni rok je v predlogu ZInfV-1 (</w:t>
      </w:r>
      <w:r>
        <w:rPr>
          <w:rFonts w:cs="Arial"/>
          <w:szCs w:val="20"/>
          <w:lang w:val="sl-SI"/>
        </w:rPr>
        <w:t>z</w:t>
      </w:r>
      <w:r w:rsidRPr="00D31B7E">
        <w:rPr>
          <w:rFonts w:cs="Arial"/>
          <w:szCs w:val="20"/>
          <w:lang w:val="sl-SI"/>
        </w:rPr>
        <w:t xml:space="preserve">daj gre za prvi odstavek 62. člena) podaljšan na osemnajst mesecev po uveljavitvi zakona. </w:t>
      </w:r>
    </w:p>
    <w:p w14:paraId="449E6034"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Pripombe AKOS:</w:t>
      </w:r>
    </w:p>
    <w:p w14:paraId="0ADD7C57"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Pr>
          <w:rFonts w:cs="Arial"/>
          <w:szCs w:val="20"/>
          <w:lang w:val="sl-SI"/>
        </w:rPr>
        <w:t xml:space="preserve">pripomba </w:t>
      </w:r>
      <w:r w:rsidRPr="00D31B7E">
        <w:rPr>
          <w:rFonts w:cs="Arial"/>
          <w:szCs w:val="20"/>
          <w:lang w:val="sl-SI"/>
        </w:rPr>
        <w:t>k 42. členu osnutka predloga ZInfV-1 (nadzor bistvenih subjektov)</w:t>
      </w:r>
      <w:r>
        <w:rPr>
          <w:rFonts w:cs="Arial"/>
          <w:szCs w:val="20"/>
          <w:lang w:val="sl-SI"/>
        </w:rPr>
        <w:t>,</w:t>
      </w:r>
      <w:r w:rsidRPr="00D31B7E">
        <w:rPr>
          <w:rFonts w:cs="Arial"/>
          <w:szCs w:val="20"/>
          <w:lang w:val="sl-SI"/>
        </w:rPr>
        <w:t xml:space="preserve"> naj se jo vključi oziroma uredi zanjo podobno kot za kritično infrastrukturo v desetem odstavku tega člena, da bo pooblaščenim osebam agencije omogočeno celovito izvajanje nadzora nad izvajanjem določb VIII. </w:t>
      </w:r>
      <w:r>
        <w:rPr>
          <w:rFonts w:cs="Arial"/>
          <w:szCs w:val="20"/>
          <w:lang w:val="sl-SI"/>
        </w:rPr>
        <w:t>p</w:t>
      </w:r>
      <w:r w:rsidRPr="00D31B7E">
        <w:rPr>
          <w:rFonts w:cs="Arial"/>
          <w:szCs w:val="20"/>
          <w:lang w:val="sl-SI"/>
        </w:rPr>
        <w:t>oglavja ZEKom-2, ni bila upoštevana na tem mestu (</w:t>
      </w:r>
      <w:r>
        <w:rPr>
          <w:rFonts w:cs="Arial"/>
          <w:szCs w:val="20"/>
          <w:lang w:val="sl-SI"/>
        </w:rPr>
        <w:t>z</w:t>
      </w:r>
      <w:r w:rsidRPr="00D31B7E">
        <w:rPr>
          <w:rFonts w:cs="Arial"/>
          <w:szCs w:val="20"/>
          <w:lang w:val="sl-SI"/>
        </w:rPr>
        <w:t>daj gre za 46. člen predloga ZInfV-1). Je pa bil v zvezi s to pripombo v predlogu ZInfV-1 v (sedanjem) 65. členu (spremembe in</w:t>
      </w:r>
      <w:r>
        <w:rPr>
          <w:rFonts w:cs="Arial"/>
          <w:szCs w:val="20"/>
          <w:lang w:val="sl-SI"/>
        </w:rPr>
        <w:t xml:space="preserve"> </w:t>
      </w:r>
      <w:r w:rsidRPr="00D31B7E">
        <w:rPr>
          <w:rFonts w:cs="Arial"/>
          <w:szCs w:val="20"/>
          <w:lang w:val="sl-SI"/>
        </w:rPr>
        <w:t xml:space="preserve">dopolnitve Zakona o elektronskih komunikacijah) v </w:t>
      </w:r>
      <w:r>
        <w:rPr>
          <w:rFonts w:cs="Arial"/>
          <w:szCs w:val="20"/>
          <w:lang w:val="sl-SI"/>
        </w:rPr>
        <w:t>5</w:t>
      </w:r>
      <w:r w:rsidRPr="00D31B7E">
        <w:rPr>
          <w:rFonts w:cs="Arial"/>
          <w:szCs w:val="20"/>
          <w:lang w:val="sl-SI"/>
        </w:rPr>
        <w:t>. točki, ki posega v 128. člen (nadzor) ZEKom-2, za nadzor nad prvim odstavkom 115. člena (ZEKom-2), ki od operaterjev zahteva skladnost z zakonom, ki ureja informacijsko varnost, z vidika jasnosti izrecno določen organ</w:t>
      </w:r>
      <w:r>
        <w:rPr>
          <w:rFonts w:cs="Arial"/>
          <w:szCs w:val="20"/>
          <w:lang w:val="sl-SI"/>
        </w:rPr>
        <w:t>,</w:t>
      </w:r>
      <w:r w:rsidRPr="00D31B7E">
        <w:rPr>
          <w:rFonts w:cs="Arial"/>
          <w:szCs w:val="20"/>
          <w:lang w:val="sl-SI"/>
        </w:rPr>
        <w:t xml:space="preserve"> pristojen za informacijsko varnost (torej URSIV). V preostalem je torej za nadzor nad izvajanjem določb VIII. </w:t>
      </w:r>
      <w:r>
        <w:rPr>
          <w:rFonts w:cs="Arial"/>
          <w:szCs w:val="20"/>
          <w:lang w:val="sl-SI"/>
        </w:rPr>
        <w:t>p</w:t>
      </w:r>
      <w:r w:rsidRPr="00D31B7E">
        <w:rPr>
          <w:rFonts w:cs="Arial"/>
          <w:szCs w:val="20"/>
          <w:lang w:val="sl-SI"/>
        </w:rPr>
        <w:t>oglavja ZEKom-2 določen AKOS. Sodelovanje med inšpekcijami pa ureja že Zakon o inšpekcijskem nadzoru (ZIN). Nadalje AKOS pri tem členu (nadzor bistvenih subjektov) ocenjuje, da bi bilo treba obseg revizije razširiti na obveznosti, ki bodo operaterjem naložene na podlagi ZEKom-2. Ta pripomba ni bila upoštevana na tem mestu (ki vključuje le revizije po ZInfV-1), temveč na način, da se je v predlogu ZInfV-1 v (sedanjem) 65. členu (spremembe in</w:t>
      </w:r>
      <w:r>
        <w:rPr>
          <w:rFonts w:cs="Arial"/>
          <w:szCs w:val="20"/>
          <w:lang w:val="sl-SI"/>
        </w:rPr>
        <w:t xml:space="preserve"> </w:t>
      </w:r>
      <w:r w:rsidRPr="00D31B7E">
        <w:rPr>
          <w:rFonts w:cs="Arial"/>
          <w:szCs w:val="20"/>
          <w:lang w:val="sl-SI"/>
        </w:rPr>
        <w:t xml:space="preserve">dopolnitve Zakona o elektronskih komunikacijah) ohranil 123. člen (revizija varnosti), pri čemer revizija varnosti po tem zakonu (torej ZEKom-2) ne vključuje primerov iz prvega odstavka 115. člena tega zakona, ki poteka v skladu z zakonom, ki ureja informacijsko varnost. </w:t>
      </w:r>
      <w:r w:rsidRPr="00D31B7E">
        <w:rPr>
          <w:rFonts w:cs="Arial"/>
          <w:bCs/>
          <w:szCs w:val="20"/>
          <w:lang w:val="sl-SI"/>
        </w:rPr>
        <w:t xml:space="preserve">Agencija (AKOS) za pomoč pri </w:t>
      </w:r>
      <w:r w:rsidRPr="00D31B7E">
        <w:rPr>
          <w:rFonts w:cs="Arial"/>
          <w:szCs w:val="20"/>
          <w:lang w:val="sl-SI"/>
        </w:rPr>
        <w:t xml:space="preserve">zahtevi za revizijo in </w:t>
      </w:r>
      <w:r w:rsidRPr="00D31B7E">
        <w:rPr>
          <w:rFonts w:cs="Arial"/>
          <w:bCs/>
          <w:szCs w:val="20"/>
          <w:lang w:val="sl-SI"/>
        </w:rPr>
        <w:t xml:space="preserve">pregledu rezultatov revizije, ki jih zahteva, lahko zaprosi za pomoč pristojni nacionalni organ iz zakona, ki ureja informacijsko varnost. Nadalje AKOS pri tem členu (nadzor bistvenih subjektov) tudi navaja, </w:t>
      </w:r>
      <w:r w:rsidRPr="00D31B7E">
        <w:rPr>
          <w:rFonts w:cs="Arial"/>
          <w:szCs w:val="20"/>
          <w:lang w:val="sl-SI"/>
        </w:rPr>
        <w:t xml:space="preserve">da bi bilo glede na pristojnosti agencije kot nadzornega organa za varnost smiselno, da se jo obvešča o nastalih incidentih, in sicer na </w:t>
      </w:r>
      <w:r>
        <w:rPr>
          <w:rFonts w:cs="Arial"/>
          <w:szCs w:val="20"/>
          <w:lang w:val="sl-SI"/>
        </w:rPr>
        <w:t>enak</w:t>
      </w:r>
      <w:r w:rsidRPr="00D31B7E">
        <w:rPr>
          <w:rFonts w:cs="Arial"/>
          <w:szCs w:val="20"/>
          <w:lang w:val="sl-SI"/>
        </w:rPr>
        <w:t xml:space="preserve"> način</w:t>
      </w:r>
      <w:r>
        <w:rPr>
          <w:rFonts w:cs="Arial"/>
          <w:szCs w:val="20"/>
          <w:lang w:val="sl-SI"/>
        </w:rPr>
        <w:t>,</w:t>
      </w:r>
      <w:r w:rsidRPr="00D31B7E">
        <w:rPr>
          <w:rFonts w:cs="Arial"/>
          <w:szCs w:val="20"/>
          <w:lang w:val="sl-SI"/>
        </w:rPr>
        <w:t xml:space="preserve"> kot ga predvideva osmi odstavek 26. člena za pristojni organ za kritično infrastrukturo. V zvezi s to pripombe pojasnjujemo, da je bil AKOS že vključen v izmenjavo informacij o incidentih, kibernetskih grožnjah in skorajšnjih incidentih, vendar </w:t>
      </w:r>
      <w:r w:rsidRPr="00D31B7E">
        <w:rPr>
          <w:rFonts w:cs="Arial"/>
          <w:szCs w:val="20"/>
          <w:lang w:val="sl-SI"/>
        </w:rPr>
        <w:lastRenderedPageBreak/>
        <w:t>na drugem mestu</w:t>
      </w:r>
      <w:r>
        <w:rPr>
          <w:rFonts w:cs="Arial"/>
          <w:szCs w:val="20"/>
          <w:lang w:val="sl-SI"/>
        </w:rPr>
        <w:t>,</w:t>
      </w:r>
      <w:r w:rsidRPr="00D31B7E">
        <w:rPr>
          <w:rFonts w:cs="Arial"/>
          <w:szCs w:val="20"/>
          <w:lang w:val="sl-SI"/>
        </w:rPr>
        <w:t xml:space="preserve"> in sicer v 17. členu (sodelovanje na nacionalni ravni) glede na drugi odstavek v povezavi s prvim odstavkom navedenega člena. Po predlogu ZInfV-1 je AKOS še naprej vključen v izmenjavo zadevnih informacij</w:t>
      </w:r>
      <w:r>
        <w:rPr>
          <w:rFonts w:cs="Arial"/>
          <w:szCs w:val="20"/>
          <w:lang w:val="sl-SI"/>
        </w:rPr>
        <w:t>,</w:t>
      </w:r>
      <w:r w:rsidRPr="00D31B7E">
        <w:rPr>
          <w:rFonts w:cs="Arial"/>
          <w:szCs w:val="20"/>
          <w:lang w:val="sl-SI"/>
        </w:rPr>
        <w:t xml:space="preserve"> in sicer gre </w:t>
      </w:r>
      <w:r>
        <w:rPr>
          <w:rFonts w:cs="Arial"/>
          <w:szCs w:val="20"/>
          <w:lang w:val="sl-SI"/>
        </w:rPr>
        <w:t>z</w:t>
      </w:r>
      <w:r w:rsidRPr="00D31B7E">
        <w:rPr>
          <w:rFonts w:cs="Arial"/>
          <w:szCs w:val="20"/>
          <w:lang w:val="sl-SI"/>
        </w:rPr>
        <w:t xml:space="preserve">daj za 18. člen (sodelovanje na nacionalni ravni) glede na drugi odstavek </w:t>
      </w:r>
      <w:r>
        <w:rPr>
          <w:rFonts w:cs="Arial"/>
          <w:szCs w:val="20"/>
          <w:lang w:val="sl-SI"/>
        </w:rPr>
        <w:t xml:space="preserve">v </w:t>
      </w:r>
      <w:r w:rsidRPr="00D31B7E">
        <w:rPr>
          <w:rFonts w:cs="Arial"/>
          <w:szCs w:val="20"/>
          <w:lang w:val="sl-SI"/>
        </w:rPr>
        <w:t xml:space="preserve">povezavi s prvim odstavkom navedenega člena; </w:t>
      </w:r>
    </w:p>
    <w:p w14:paraId="6DF7DA16" w14:textId="77777777" w:rsidR="000A51A5" w:rsidRPr="00D31B7E" w:rsidRDefault="000A51A5" w:rsidP="000A51A5">
      <w:pPr>
        <w:pStyle w:val="Odstavekseznama"/>
        <w:widowControl w:val="0"/>
        <w:overflowPunct w:val="0"/>
        <w:autoSpaceDE w:val="0"/>
        <w:autoSpaceDN w:val="0"/>
        <w:adjustRightInd w:val="0"/>
        <w:spacing w:after="240" w:line="276" w:lineRule="auto"/>
        <w:ind w:left="786"/>
        <w:jc w:val="both"/>
        <w:textAlignment w:val="baseline"/>
        <w:rPr>
          <w:rFonts w:cs="Arial"/>
          <w:szCs w:val="20"/>
          <w:lang w:val="sl-SI"/>
        </w:rPr>
      </w:pPr>
    </w:p>
    <w:p w14:paraId="58767EF1"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Pr>
          <w:rFonts w:cs="Arial"/>
          <w:szCs w:val="20"/>
          <w:lang w:val="sl-SI"/>
        </w:rPr>
        <w:t xml:space="preserve">pripomba </w:t>
      </w:r>
      <w:r w:rsidRPr="00D31B7E">
        <w:rPr>
          <w:rFonts w:cs="Arial"/>
          <w:szCs w:val="20"/>
          <w:lang w:val="sl-SI"/>
        </w:rPr>
        <w:t>k prvem</w:t>
      </w:r>
      <w:r>
        <w:rPr>
          <w:rFonts w:cs="Arial"/>
          <w:szCs w:val="20"/>
          <w:lang w:val="sl-SI"/>
        </w:rPr>
        <w:t>u</w:t>
      </w:r>
      <w:r w:rsidRPr="00D31B7E">
        <w:rPr>
          <w:rFonts w:cs="Arial"/>
          <w:szCs w:val="20"/>
          <w:lang w:val="sl-SI"/>
        </w:rPr>
        <w:t xml:space="preserve"> odstavku 48. člena (kršitve, ki pomenijo kršitve varstva osebnih podatkov) osnutka predloga ZInfV-1, da bi v zvezi z 227. členom ZEKom-2 (kršitev varnosti osebnih podatkov) inšpektor o zadevnih ugotovitvah moral obvestiti tudi AKOS, zaradi česar predlaga smiselno dopolnitev zadevne določbe, je bila upoštevana z dodanim stavkom na koncu prvega odstavka </w:t>
      </w:r>
      <w:r>
        <w:rPr>
          <w:rFonts w:cs="Arial"/>
          <w:szCs w:val="20"/>
          <w:lang w:val="sl-SI"/>
        </w:rPr>
        <w:t>z</w:t>
      </w:r>
      <w:r w:rsidRPr="00D31B7E">
        <w:rPr>
          <w:rFonts w:cs="Arial"/>
          <w:szCs w:val="20"/>
          <w:lang w:val="sl-SI"/>
        </w:rPr>
        <w:t>daj 50. člena tega predloga ZInfV-1;</w:t>
      </w:r>
    </w:p>
    <w:p w14:paraId="54F0D49E" w14:textId="77777777" w:rsidR="000A51A5" w:rsidRPr="00D31B7E" w:rsidRDefault="000A51A5" w:rsidP="000A51A5">
      <w:pPr>
        <w:pStyle w:val="Odstavekseznama"/>
        <w:widowControl w:val="0"/>
        <w:overflowPunct w:val="0"/>
        <w:autoSpaceDE w:val="0"/>
        <w:autoSpaceDN w:val="0"/>
        <w:adjustRightInd w:val="0"/>
        <w:spacing w:after="240" w:line="276" w:lineRule="auto"/>
        <w:ind w:left="786"/>
        <w:jc w:val="both"/>
        <w:textAlignment w:val="baseline"/>
        <w:rPr>
          <w:rFonts w:cs="Arial"/>
          <w:szCs w:val="20"/>
          <w:lang w:val="sl-SI"/>
        </w:rPr>
      </w:pPr>
    </w:p>
    <w:p w14:paraId="36198EE9"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Pr>
          <w:rFonts w:cs="Arial"/>
          <w:szCs w:val="20"/>
          <w:lang w:val="sl-SI"/>
        </w:rPr>
        <w:t xml:space="preserve">pripomba </w:t>
      </w:r>
      <w:r w:rsidRPr="00D31B7E">
        <w:rPr>
          <w:rFonts w:cs="Arial"/>
          <w:szCs w:val="20"/>
          <w:lang w:val="sl-SI"/>
        </w:rPr>
        <w:t>k 162. členu (spremembe in dopolnitve Zakona o elektronskih komunikacijah):</w:t>
      </w:r>
    </w:p>
    <w:p w14:paraId="0D8C4E80"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 xml:space="preserve">glede takratnega predvidenega posega v besedilo 115. člena ZEKom-2 meni, da bodo (lahko) za operaterje poleg zahtev za zagotavljanje varnosti na podlagi ZInfV-1 s splošnim aktom agencije na podlagi ZEKom-2 sprejeti tudi dodatni ukrepi, kar pomeni, da bodo operaterji podvrženi regulaciji in nadzoru po dveh regulatornih okvirjih in tudi dvema različnima organoma. Navedenemu razumevanju AKOS-a pritrjujemo. </w:t>
      </w:r>
      <w:bookmarkStart w:id="10" w:name="_Hlk191889420"/>
      <w:r w:rsidRPr="00D31B7E">
        <w:rPr>
          <w:rFonts w:cs="Arial"/>
          <w:szCs w:val="20"/>
          <w:lang w:val="sl-SI"/>
        </w:rPr>
        <w:t>Predlagani ZInfV-1 je namreč splošen (sistemski) zakon na področju informacijske varnosti in ureja področje informacijske varnosti za vse sektorje, ki jih zajema, ob hkratnem prenosu Direktive 2022/2555/EU. Predlagani ZInfV-1, ki je horizontale</w:t>
      </w:r>
      <w:r>
        <w:rPr>
          <w:rFonts w:cs="Arial"/>
          <w:szCs w:val="20"/>
          <w:lang w:val="sl-SI"/>
        </w:rPr>
        <w:t>n</w:t>
      </w:r>
      <w:r w:rsidRPr="00D31B7E">
        <w:rPr>
          <w:rFonts w:cs="Arial"/>
          <w:szCs w:val="20"/>
          <w:lang w:val="sl-SI"/>
        </w:rPr>
        <w:t>, je torej tisti minimum, ki ga je treba upoštevati v vseh sektorjih. Kar pa je posebno (oziroma več)</w:t>
      </w:r>
      <w:r>
        <w:rPr>
          <w:rFonts w:cs="Arial"/>
          <w:szCs w:val="20"/>
          <w:lang w:val="sl-SI"/>
        </w:rPr>
        <w:t>,</w:t>
      </w:r>
      <w:r w:rsidRPr="00D31B7E">
        <w:rPr>
          <w:rFonts w:cs="Arial"/>
          <w:szCs w:val="20"/>
          <w:lang w:val="sl-SI"/>
        </w:rPr>
        <w:t xml:space="preserve"> pa za posamezni sektor ureja področna EU ali nacionalna zakonodaja (v danem primeru torej ZEKom-2). Glede navedbe AKOS, da je zato pravno jasnost in varnost </w:t>
      </w:r>
      <w:r>
        <w:rPr>
          <w:rFonts w:cs="Arial"/>
          <w:szCs w:val="20"/>
          <w:lang w:val="sl-SI"/>
        </w:rPr>
        <w:t>treba</w:t>
      </w:r>
      <w:r w:rsidRPr="00D31B7E">
        <w:rPr>
          <w:rFonts w:cs="Arial"/>
          <w:szCs w:val="20"/>
          <w:lang w:val="sl-SI"/>
        </w:rPr>
        <w:t xml:space="preserve"> zagotoviti na izvedbeni ravni, torej s splošnimi akti, ki jih bosta za izvajanje svojih pristojnosti izdala oba organa, pojasnjujemo, da je le AKOS tisti, ki po ZEKom-1 izda splošni akt, pri njegovem sprejemu agencija (le) sodeluje z organom, pristojnim za informacijsko varnost. Ker se 115. člen ZEKom-2 ne črta, </w:t>
      </w:r>
      <w:r>
        <w:rPr>
          <w:rFonts w:cs="Arial"/>
          <w:szCs w:val="20"/>
          <w:lang w:val="sl-SI"/>
        </w:rPr>
        <w:t>ampak</w:t>
      </w:r>
      <w:r w:rsidRPr="00D31B7E">
        <w:rPr>
          <w:rFonts w:cs="Arial"/>
          <w:szCs w:val="20"/>
          <w:lang w:val="sl-SI"/>
        </w:rPr>
        <w:t xml:space="preserve"> se ga le spreminja, AKOS opozarja, da je treba 22. točko 298. člena ZEKom-2 spremeniti, ne pa črtati, sicer izpade prekrškovna sankcija za neizvajanje zahtev iz 115. člena ZEKom-2. Smiselno enako velja tudi glede točk 23 in 24, saj gre za vsebino, ki jo lahko ureja 115. člen ZEKom-2. Ugotavljamo, da se pripomba vsebinsko nanaša na takrat predvid</w:t>
      </w:r>
      <w:r>
        <w:rPr>
          <w:rFonts w:cs="Arial"/>
          <w:szCs w:val="20"/>
          <w:lang w:val="sl-SI"/>
        </w:rPr>
        <w:t>en</w:t>
      </w:r>
      <w:r w:rsidRPr="00D31B7E">
        <w:rPr>
          <w:rFonts w:cs="Arial"/>
          <w:szCs w:val="20"/>
          <w:lang w:val="sl-SI"/>
        </w:rPr>
        <w:t xml:space="preserve"> poseg v 299. člen ZEKom-2 (in ne 298. člen ZEKom-2). Ta pripomba AKOS je bila upoštevana v predlogu ZInfV-1 v </w:t>
      </w:r>
      <w:r>
        <w:rPr>
          <w:rFonts w:cs="Arial"/>
          <w:szCs w:val="20"/>
          <w:lang w:val="sl-SI"/>
        </w:rPr>
        <w:t>z</w:t>
      </w:r>
      <w:r w:rsidRPr="00D31B7E">
        <w:rPr>
          <w:rFonts w:cs="Arial"/>
          <w:szCs w:val="20"/>
          <w:lang w:val="sl-SI"/>
        </w:rPr>
        <w:t>daj 165. členu (spremembe in dopolnitve Zakona o elektronskih komunikacijah), ki v 10. točki ureja poseg v 299. člen ZEKom-2</w:t>
      </w:r>
      <w:r>
        <w:rPr>
          <w:rFonts w:cs="Arial"/>
          <w:szCs w:val="20"/>
          <w:lang w:val="sl-SI"/>
        </w:rPr>
        <w:t>,</w:t>
      </w:r>
      <w:r w:rsidRPr="00D31B7E">
        <w:rPr>
          <w:rFonts w:cs="Arial"/>
          <w:szCs w:val="20"/>
          <w:lang w:val="sl-SI"/>
        </w:rPr>
        <w:t xml:space="preserve"> in sicer na način, kot je predlagal AKOS, da se točke 22, 23 in 24 ne črtajo, temveč se spreminjajo; </w:t>
      </w:r>
    </w:p>
    <w:bookmarkEnd w:id="10"/>
    <w:p w14:paraId="5AAC2D69"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 xml:space="preserve">glede takrat predvidenega črtanja 123. člena (revizija varnosti) ZEKom-2 se s črtanjem tega člena ne strinja, saj bi to pomenilo, da bi agencija (AKOS) izgubila pomemben inštrument za izvajanje nadzora nad operaterji z vidika varnosti njihovih omrežij in storitev. Naložitev revizije varnosti in vpogled v rezultate revizije informacijskih sistemov je – po dosedanjih izkušnjah agencije – namreč najboljše orodje za nadzor dejanskega izvajanja zakonskih zahtev zavezancev. Zato predlaga, da 123. člen ZEKom-2 ostane v veljavi, enako tudi 30. točka prvega odstavka 299. člena ZEKom-2. Te pripombe AKOS so bile upoštevane na način, kot je to </w:t>
      </w:r>
      <w:r>
        <w:rPr>
          <w:rFonts w:cs="Arial"/>
          <w:szCs w:val="20"/>
          <w:lang w:val="sl-SI"/>
        </w:rPr>
        <w:t>z</w:t>
      </w:r>
      <w:r w:rsidRPr="00D31B7E">
        <w:rPr>
          <w:rFonts w:cs="Arial"/>
          <w:szCs w:val="20"/>
          <w:lang w:val="sl-SI"/>
        </w:rPr>
        <w:t>daj razvidno v 165. členu (spremembe in dopolnitve Zakona o elektronskih komunikacijah) predloga ZInfV-1, kjer se v 3. točki 123. člen le dopolnjuje, kot smo to tudi že pojasnili zgoraj v zvezi s pripombami AKOS</w:t>
      </w:r>
      <w:r>
        <w:rPr>
          <w:rFonts w:cs="Arial"/>
          <w:szCs w:val="20"/>
          <w:lang w:val="sl-SI"/>
        </w:rPr>
        <w:t>,</w:t>
      </w:r>
      <w:r w:rsidRPr="00D31B7E">
        <w:rPr>
          <w:rFonts w:cs="Arial"/>
          <w:szCs w:val="20"/>
          <w:lang w:val="sl-SI"/>
        </w:rPr>
        <w:t xml:space="preserve"> danimi pri 42. členu osnutka predloga ZInfV-1. Prav tako je bila </w:t>
      </w:r>
      <w:r>
        <w:rPr>
          <w:rFonts w:cs="Arial"/>
          <w:szCs w:val="20"/>
          <w:lang w:val="sl-SI"/>
        </w:rPr>
        <w:t xml:space="preserve">pri </w:t>
      </w:r>
      <w:r w:rsidRPr="00D31B7E">
        <w:rPr>
          <w:rFonts w:cs="Arial"/>
          <w:szCs w:val="20"/>
          <w:lang w:val="sl-SI"/>
        </w:rPr>
        <w:t>predlogu ZInfV-1 v 165. členu upoštevana pripomba AKOS, naj se 30. točka prvega odstavka 299. člena ne črta;</w:t>
      </w:r>
    </w:p>
    <w:p w14:paraId="1A56F5BB"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 xml:space="preserve">glede posega v 128. členu ZEKom-2, po katerem agencija (AKOS) izvaja tudi nadzor nad izvajanjem odločbe vlade iz prvega odstavka 117. člena tega zakona, AKOS meni, da je takšno urejanje nepotrebno. Določbe 117. člena </w:t>
      </w:r>
      <w:r>
        <w:rPr>
          <w:rFonts w:cs="Arial"/>
          <w:szCs w:val="20"/>
          <w:lang w:val="sl-SI"/>
        </w:rPr>
        <w:t>spadajo</w:t>
      </w:r>
      <w:r w:rsidRPr="00D31B7E">
        <w:rPr>
          <w:rFonts w:cs="Arial"/>
          <w:szCs w:val="20"/>
          <w:lang w:val="sl-SI"/>
        </w:rPr>
        <w:t xml:space="preserve"> namreč v poglavje, ki ga </w:t>
      </w:r>
      <w:r w:rsidRPr="00D31B7E">
        <w:rPr>
          <w:rFonts w:cs="Arial"/>
          <w:szCs w:val="20"/>
          <w:lang w:val="sl-SI"/>
        </w:rPr>
        <w:lastRenderedPageBreak/>
        <w:t>AKOS že tako nadzira na podlagi istega (128.) člena. Nepotrebna se ji zdi zato tudi sprememba prvega o</w:t>
      </w:r>
      <w:r>
        <w:rPr>
          <w:rFonts w:cs="Arial"/>
          <w:szCs w:val="20"/>
          <w:lang w:val="sl-SI"/>
        </w:rPr>
        <w:t>d</w:t>
      </w:r>
      <w:r w:rsidRPr="00D31B7E">
        <w:rPr>
          <w:rFonts w:cs="Arial"/>
          <w:szCs w:val="20"/>
          <w:lang w:val="sl-SI"/>
        </w:rPr>
        <w:t xml:space="preserve">stavka 287. člena (pristojnost za nadzor) ZEKom-2. S tem mnenjem AKOS-a se ne strinjamo, saj menimo, da je z vidika jasnosti treba izrecno urediti tudi nadzor odločbe, ki se sicer izda na podlagi 117. člena ZEKom-1. Dodajamo še, da gre v predlogu ZinfV-1 </w:t>
      </w:r>
      <w:r>
        <w:rPr>
          <w:rFonts w:cs="Arial"/>
          <w:szCs w:val="20"/>
          <w:lang w:val="sl-SI"/>
        </w:rPr>
        <w:t>z</w:t>
      </w:r>
      <w:r w:rsidRPr="00D31B7E">
        <w:rPr>
          <w:rFonts w:cs="Arial"/>
          <w:szCs w:val="20"/>
          <w:lang w:val="sl-SI"/>
        </w:rPr>
        <w:t xml:space="preserve">daj za 165. člen (spremembe in dopolnitve Zakona o elektronskih komunikacijah), ki v 5. točki ureja poseg v 128. člen ZEKom-2). </w:t>
      </w:r>
    </w:p>
    <w:p w14:paraId="151DBF95"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Pripombe COA</w:t>
      </w:r>
      <w:r>
        <w:rPr>
          <w:rFonts w:cs="Arial"/>
          <w:szCs w:val="20"/>
          <w:lang w:val="sl-SI"/>
        </w:rPr>
        <w:t>:</w:t>
      </w:r>
    </w:p>
    <w:p w14:paraId="314B76E5"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eastAsia="sl-SI"/>
        </w:rPr>
        <w:t xml:space="preserve">se sklicujejo na dokument v priponki (14 strani), pri čemer </w:t>
      </w:r>
      <w:r>
        <w:rPr>
          <w:rFonts w:cs="Arial"/>
          <w:szCs w:val="20"/>
          <w:lang w:val="sl-SI" w:eastAsia="sl-SI"/>
        </w:rPr>
        <w:t>sta</w:t>
      </w:r>
      <w:r w:rsidRPr="00D31B7E">
        <w:rPr>
          <w:rFonts w:cs="Arial"/>
          <w:szCs w:val="20"/>
          <w:lang w:val="sl-SI" w:eastAsia="sl-SI"/>
        </w:rPr>
        <w:t xml:space="preserve"> bil</w:t>
      </w:r>
      <w:r>
        <w:rPr>
          <w:rFonts w:cs="Arial"/>
          <w:szCs w:val="20"/>
          <w:lang w:val="sl-SI" w:eastAsia="sl-SI"/>
        </w:rPr>
        <w:t>a</w:t>
      </w:r>
      <w:r w:rsidRPr="00D31B7E">
        <w:rPr>
          <w:rFonts w:cs="Arial"/>
          <w:szCs w:val="20"/>
          <w:lang w:val="sl-SI" w:eastAsia="sl-SI"/>
        </w:rPr>
        <w:t xml:space="preserve"> tako spremno besedilo kot pripet dokument le v angleškem jeziku. Glede na spremno besedilo se pripet dokument sicer nanaša na 28. člen </w:t>
      </w:r>
      <w:r w:rsidRPr="00D31B7E">
        <w:rPr>
          <w:rFonts w:cs="Arial"/>
          <w:szCs w:val="20"/>
          <w:lang w:val="sl-SI"/>
        </w:rPr>
        <w:t>(Podatkovna zbirka o registraciji domenskih imen) Direktive 2022/2555/EU</w:t>
      </w:r>
      <w:r w:rsidRPr="00D31B7E">
        <w:rPr>
          <w:rFonts w:cs="Arial"/>
          <w:szCs w:val="20"/>
          <w:lang w:val="sl-SI" w:eastAsia="sl-SI"/>
        </w:rPr>
        <w:t xml:space="preserve"> in na sistem imenskih imen ter se zavzema za strogo izvajanje zadevnega člena direktive, za kar se navaja, da je bistvenega pomena za doseganje cilja povečanja kibernetske varnosti in boja proti kibernetski kriminaliteti v Sloveniji in po Evropski uniji. Zadevni dokument naj bi imel podp</w:t>
      </w:r>
      <w:r>
        <w:rPr>
          <w:rFonts w:cs="Arial"/>
          <w:szCs w:val="20"/>
          <w:lang w:val="sl-SI" w:eastAsia="sl-SI"/>
        </w:rPr>
        <w:t>o</w:t>
      </w:r>
      <w:r w:rsidRPr="00D31B7E">
        <w:rPr>
          <w:rFonts w:cs="Arial"/>
          <w:szCs w:val="20"/>
          <w:lang w:val="sl-SI" w:eastAsia="sl-SI"/>
        </w:rPr>
        <w:t xml:space="preserve">ro številnih deležnikov. Pojasnjujemo, da je Republiki Sloveniji uradni jezik </w:t>
      </w:r>
      <w:r>
        <w:rPr>
          <w:rFonts w:cs="Arial"/>
          <w:szCs w:val="20"/>
          <w:lang w:val="sl-SI" w:eastAsia="sl-SI"/>
        </w:rPr>
        <w:t>s</w:t>
      </w:r>
      <w:r w:rsidRPr="00D31B7E">
        <w:rPr>
          <w:rFonts w:cs="Arial"/>
          <w:szCs w:val="20"/>
          <w:lang w:val="sl-SI" w:eastAsia="sl-SI"/>
        </w:rPr>
        <w:t xml:space="preserve">lovenščina in zato ne komentiramo prejetega oziroma pripetega dokumenta v angleškem jeziku, ki hkrati tudi ne podaja konkretnih pripomb k osnutku predloga ZInfV-1, ki je bil predmet javne obravnave, </w:t>
      </w:r>
      <w:r w:rsidRPr="00A9505A">
        <w:rPr>
          <w:rFonts w:cs="Arial"/>
          <w:szCs w:val="20"/>
          <w:lang w:val="sl-SI" w:eastAsia="sl-SI"/>
        </w:rPr>
        <w:t xml:space="preserve">temveč </w:t>
      </w:r>
      <w:r>
        <w:rPr>
          <w:rFonts w:cs="Arial"/>
          <w:szCs w:val="20"/>
          <w:lang w:val="sl-SI" w:eastAsia="sl-SI"/>
        </w:rPr>
        <w:t>i</w:t>
      </w:r>
      <w:r w:rsidRPr="00A9505A">
        <w:rPr>
          <w:rFonts w:cs="Arial"/>
          <w:szCs w:val="20"/>
          <w:lang w:val="sl-SI" w:eastAsia="sl-SI"/>
        </w:rPr>
        <w:t>zgleda</w:t>
      </w:r>
      <w:r w:rsidRPr="00D31B7E">
        <w:rPr>
          <w:rFonts w:cs="Arial"/>
          <w:szCs w:val="20"/>
          <w:lang w:val="sl-SI" w:eastAsia="sl-SI"/>
        </w:rPr>
        <w:t xml:space="preserve"> pisan splošno. Ker pa iz informacij</w:t>
      </w:r>
      <w:r>
        <w:rPr>
          <w:rFonts w:cs="Arial"/>
          <w:szCs w:val="20"/>
          <w:lang w:val="sl-SI" w:eastAsia="sl-SI"/>
        </w:rPr>
        <w:t>,</w:t>
      </w:r>
      <w:r w:rsidRPr="00D31B7E">
        <w:rPr>
          <w:rFonts w:cs="Arial"/>
          <w:szCs w:val="20"/>
          <w:lang w:val="sl-SI" w:eastAsia="sl-SI"/>
        </w:rPr>
        <w:t xml:space="preserve"> dostopnih </w:t>
      </w:r>
      <w:r>
        <w:rPr>
          <w:rFonts w:cs="Arial"/>
          <w:szCs w:val="20"/>
          <w:lang w:val="sl-SI" w:eastAsia="sl-SI"/>
        </w:rPr>
        <w:t>na</w:t>
      </w:r>
      <w:r w:rsidRPr="00D31B7E">
        <w:rPr>
          <w:rFonts w:cs="Arial"/>
          <w:szCs w:val="20"/>
          <w:lang w:val="sl-SI" w:eastAsia="sl-SI"/>
        </w:rPr>
        <w:t xml:space="preserve"> splet</w:t>
      </w:r>
      <w:r>
        <w:rPr>
          <w:rFonts w:cs="Arial"/>
          <w:szCs w:val="20"/>
          <w:lang w:val="sl-SI" w:eastAsia="sl-SI"/>
        </w:rPr>
        <w:t>u,</w:t>
      </w:r>
      <w:r w:rsidRPr="00D31B7E">
        <w:rPr>
          <w:rFonts w:cs="Arial"/>
          <w:szCs w:val="20"/>
          <w:lang w:val="sl-SI" w:eastAsia="sl-SI"/>
        </w:rPr>
        <w:t xml:space="preserve"> izhaja, da COA </w:t>
      </w:r>
      <w:r w:rsidRPr="00D31B7E">
        <w:rPr>
          <w:rFonts w:cs="Arial"/>
          <w:szCs w:val="20"/>
          <w:lang w:val="sl-SI"/>
        </w:rPr>
        <w:t>sestavlja sedem vodilnih podjetij za industrijo avtorskih pravic, trgovinskih združenj in organizacij članic lastnikov avtorskih pravic</w:t>
      </w:r>
      <w:r>
        <w:rPr>
          <w:rFonts w:cs="Arial"/>
          <w:szCs w:val="20"/>
          <w:lang w:val="sl-SI"/>
        </w:rPr>
        <w:t>,</w:t>
      </w:r>
      <w:r w:rsidRPr="00D31B7E">
        <w:rPr>
          <w:rFonts w:cs="Arial"/>
          <w:szCs w:val="20"/>
          <w:lang w:val="sl-SI"/>
        </w:rPr>
        <w:t xml:space="preserve"> hkrati napotujemo na </w:t>
      </w:r>
      <w:r w:rsidRPr="00D31B7E">
        <w:rPr>
          <w:rFonts w:cs="Arial"/>
          <w:szCs w:val="20"/>
          <w:lang w:val="sl-SI" w:eastAsia="sl-SI"/>
        </w:rPr>
        <w:t xml:space="preserve">naša pojasnila v zvezi s pripombami MPA spodaj. </w:t>
      </w:r>
    </w:p>
    <w:p w14:paraId="371CF8C6"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Pripombe </w:t>
      </w:r>
      <w:r>
        <w:rPr>
          <w:rFonts w:cs="Arial"/>
          <w:szCs w:val="20"/>
          <w:lang w:val="sl-SI"/>
        </w:rPr>
        <w:t>d</w:t>
      </w:r>
      <w:r w:rsidRPr="00D31B7E">
        <w:rPr>
          <w:rFonts w:cs="Arial"/>
          <w:szCs w:val="20"/>
          <w:lang w:val="sl-SI"/>
        </w:rPr>
        <w:t xml:space="preserve">ruštva ISACA: </w:t>
      </w:r>
    </w:p>
    <w:p w14:paraId="6D8085A4"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r>
        <w:rPr>
          <w:rFonts w:cs="Arial"/>
          <w:b w:val="0"/>
          <w:sz w:val="20"/>
          <w:szCs w:val="20"/>
        </w:rPr>
        <w:t xml:space="preserve">pripomba </w:t>
      </w:r>
      <w:r w:rsidRPr="00D31B7E">
        <w:rPr>
          <w:rFonts w:cs="Arial"/>
          <w:b w:val="0"/>
          <w:sz w:val="20"/>
          <w:szCs w:val="20"/>
        </w:rPr>
        <w:t xml:space="preserve">k 39. točki 5. člena (pomen izrazov) osnutka predloga ZInfV-1, ker se ne strinja z opredelitvijo </w:t>
      </w:r>
      <w:r>
        <w:rPr>
          <w:rFonts w:cs="Arial"/>
          <w:b w:val="0"/>
          <w:sz w:val="20"/>
          <w:szCs w:val="20"/>
        </w:rPr>
        <w:t>p</w:t>
      </w:r>
      <w:r w:rsidRPr="00D31B7E">
        <w:rPr>
          <w:rFonts w:cs="Arial"/>
          <w:b w:val="0"/>
          <w:sz w:val="20"/>
          <w:szCs w:val="20"/>
        </w:rPr>
        <w:t>reizkušenega revizorja. Predlagajo</w:t>
      </w:r>
      <w:r>
        <w:rPr>
          <w:rFonts w:cs="Arial"/>
          <w:b w:val="0"/>
          <w:sz w:val="20"/>
          <w:szCs w:val="20"/>
        </w:rPr>
        <w:t>,</w:t>
      </w:r>
      <w:r w:rsidRPr="00D31B7E">
        <w:rPr>
          <w:rFonts w:cs="Arial"/>
          <w:b w:val="0"/>
          <w:sz w:val="20"/>
          <w:szCs w:val="20"/>
        </w:rPr>
        <w:t xml:space="preserve"> naj </w:t>
      </w:r>
      <w:r>
        <w:rPr>
          <w:rFonts w:cs="Arial"/>
          <w:b w:val="0"/>
          <w:sz w:val="20"/>
          <w:szCs w:val="20"/>
        </w:rPr>
        <w:t>p</w:t>
      </w:r>
      <w:r w:rsidRPr="00D31B7E">
        <w:rPr>
          <w:rFonts w:cs="Arial"/>
          <w:b w:val="0"/>
          <w:sz w:val="20"/>
          <w:szCs w:val="20"/>
        </w:rPr>
        <w:t xml:space="preserve">reizkušeni revizor pomeni preizkušenega revizorja informacijskih sistemov, ki: (i) </w:t>
      </w:r>
      <w:r>
        <w:rPr>
          <w:rFonts w:cs="Arial"/>
          <w:b w:val="0"/>
          <w:sz w:val="20"/>
          <w:szCs w:val="20"/>
        </w:rPr>
        <w:t>ima</w:t>
      </w:r>
      <w:r w:rsidRPr="00D31B7E">
        <w:rPr>
          <w:rFonts w:cs="Arial"/>
          <w:b w:val="0"/>
          <w:sz w:val="20"/>
          <w:szCs w:val="20"/>
        </w:rPr>
        <w:t xml:space="preserve"> certifikat PRIS (izdajatelj Slovenski inštitut za revizijo) in je vpisan </w:t>
      </w:r>
      <w:r>
        <w:rPr>
          <w:rFonts w:cs="Arial"/>
          <w:b w:val="0"/>
          <w:sz w:val="20"/>
          <w:szCs w:val="20"/>
        </w:rPr>
        <w:t xml:space="preserve">na </w:t>
      </w:r>
      <w:r w:rsidRPr="00D31B7E">
        <w:rPr>
          <w:rFonts w:cs="Arial"/>
          <w:b w:val="0"/>
          <w:sz w:val="20"/>
          <w:szCs w:val="20"/>
        </w:rPr>
        <w:t xml:space="preserve">seznam aktivnih preizkušenih revizorjev informacijskih sistemov, ki ga vodi Slovenski inštitut za revizijo ali (ii) </w:t>
      </w:r>
      <w:r>
        <w:rPr>
          <w:rFonts w:cs="Arial"/>
          <w:b w:val="0"/>
          <w:sz w:val="20"/>
          <w:szCs w:val="20"/>
        </w:rPr>
        <w:t>ima</w:t>
      </w:r>
      <w:r w:rsidRPr="00D31B7E">
        <w:rPr>
          <w:rFonts w:cs="Arial"/>
          <w:b w:val="0"/>
          <w:sz w:val="20"/>
          <w:szCs w:val="20"/>
        </w:rPr>
        <w:t xml:space="preserve"> veljavni status preizkušenega revizorja informacijskih sistemov (certifikat CISA, izdajatelj mednarodna organizacija ISACA). Pripomba je bila delno upoštevana prek dodanega izraza notranji revizor v 27. točki 5. člena predloga ZInfV-1 in popravka v 48. točki (prej 39.). Pri tem pa je treba opozoriti še na 75. (prej 69.) točko 5. člena (pomen izrazov) predloga ZInfV-1. Pri tem je v 27. točki 5. člena predloga ZINfV-1 dodatno opredeljen izraz »notranji revizor«, ki je preizkušeni notranji revizor, ki je pridobil strokovni naziv pri Slovenskem inštitutu za revizijo in je vpisan v njegov register aktivnih preizkušenih notranjih revizorjev</w:t>
      </w:r>
      <w:r w:rsidRPr="008A32B8">
        <w:t xml:space="preserve"> </w:t>
      </w:r>
      <w:r w:rsidRPr="008A32B8">
        <w:rPr>
          <w:rFonts w:cs="Arial"/>
          <w:b w:val="0"/>
          <w:sz w:val="20"/>
          <w:szCs w:val="20"/>
        </w:rPr>
        <w:t>ali oseba, ki je pridobila naziv državni notranji revizor ali preizkušeni državni notranji revizor</w:t>
      </w:r>
      <w:r w:rsidRPr="00D31B7E">
        <w:rPr>
          <w:rFonts w:cs="Arial"/>
          <w:b w:val="0"/>
          <w:sz w:val="20"/>
          <w:szCs w:val="20"/>
        </w:rPr>
        <w:t xml:space="preserve">. Točka 48 prej navedenega člena predloga ZInfV-1 </w:t>
      </w:r>
      <w:r>
        <w:rPr>
          <w:rFonts w:cs="Arial"/>
          <w:b w:val="0"/>
          <w:sz w:val="20"/>
          <w:szCs w:val="20"/>
        </w:rPr>
        <w:t>z</w:t>
      </w:r>
      <w:r w:rsidRPr="00D31B7E">
        <w:rPr>
          <w:rFonts w:cs="Arial"/>
          <w:b w:val="0"/>
          <w:sz w:val="20"/>
          <w:szCs w:val="20"/>
        </w:rPr>
        <w:t xml:space="preserve">daj opredeljuje revizorja informacijskih sistemov, ki je </w:t>
      </w:r>
      <w:r w:rsidRPr="008A32B8">
        <w:rPr>
          <w:rFonts w:cs="Arial"/>
          <w:b w:val="0"/>
          <w:sz w:val="20"/>
          <w:szCs w:val="20"/>
        </w:rPr>
        <w:t>preizkušeni revizor informacijskih sistemov</w:t>
      </w:r>
      <w:r>
        <w:rPr>
          <w:rFonts w:cs="Arial"/>
          <w:b w:val="0"/>
          <w:sz w:val="20"/>
          <w:szCs w:val="20"/>
        </w:rPr>
        <w:t xml:space="preserve"> </w:t>
      </w:r>
      <w:r w:rsidRPr="00D31B7E">
        <w:rPr>
          <w:rFonts w:cs="Arial"/>
          <w:b w:val="0"/>
          <w:sz w:val="20"/>
          <w:szCs w:val="20"/>
        </w:rPr>
        <w:t xml:space="preserve">z ustreznim revizijskim znanjem, ki je strokovni naziv </w:t>
      </w:r>
      <w:r>
        <w:rPr>
          <w:rFonts w:cs="Arial"/>
          <w:b w:val="0"/>
          <w:sz w:val="20"/>
          <w:szCs w:val="20"/>
        </w:rPr>
        <w:t xml:space="preserve">pridobil </w:t>
      </w:r>
      <w:r w:rsidRPr="00D31B7E">
        <w:rPr>
          <w:rFonts w:cs="Arial"/>
          <w:b w:val="0"/>
          <w:sz w:val="20"/>
          <w:szCs w:val="20"/>
        </w:rPr>
        <w:t xml:space="preserve">pri Slovenskem inštitutu za revizijo </w:t>
      </w:r>
      <w:r>
        <w:rPr>
          <w:rFonts w:cs="Arial"/>
          <w:b w:val="0"/>
          <w:sz w:val="20"/>
          <w:szCs w:val="20"/>
        </w:rPr>
        <w:t>in</w:t>
      </w:r>
      <w:r w:rsidRPr="00D31B7E">
        <w:rPr>
          <w:rFonts w:cs="Arial"/>
          <w:b w:val="0"/>
          <w:sz w:val="20"/>
          <w:szCs w:val="20"/>
        </w:rPr>
        <w:t xml:space="preserve"> je vpisan v njegov register aktivnih preizkušenih revizorjev informacijskih sistemov. Po 75. (prej 69.) točki 5. člena predloga ZInfV-1 pa veščak za informacijsko varnost pomeni posameznika ali organizacijo, ki ima izkazano poglobljeno strokovno znanje </w:t>
      </w:r>
      <w:r>
        <w:rPr>
          <w:rFonts w:cs="Arial"/>
          <w:b w:val="0"/>
          <w:sz w:val="20"/>
          <w:szCs w:val="20"/>
        </w:rPr>
        <w:t>na</w:t>
      </w:r>
      <w:r w:rsidRPr="00D31B7E">
        <w:rPr>
          <w:rFonts w:cs="Arial"/>
          <w:b w:val="0"/>
          <w:sz w:val="20"/>
          <w:szCs w:val="20"/>
        </w:rPr>
        <w:t xml:space="preserve"> področju informacijsko</w:t>
      </w:r>
      <w:r>
        <w:rPr>
          <w:rFonts w:cs="Arial"/>
          <w:b w:val="0"/>
          <w:sz w:val="20"/>
          <w:szCs w:val="20"/>
        </w:rPr>
        <w:t>-</w:t>
      </w:r>
      <w:r w:rsidRPr="00D31B7E">
        <w:rPr>
          <w:rFonts w:cs="Arial"/>
          <w:b w:val="0"/>
          <w:sz w:val="20"/>
          <w:szCs w:val="20"/>
        </w:rPr>
        <w:t xml:space="preserve">komunikacijskih tehnologij, katerega ali katere delo revizor uporabi kot strokovno pomoč revizorju pri pridobivanju zadostnih in ustreznih revizijskih dokazov. V zvezi s podano pripombo je v 25. členu (ocena in samoocena skladnosti) predloga ZInfV-1 bistvenim subjektom omogočeno, da oceno skladnosti izvedejo v obliki revizije, </w:t>
      </w:r>
      <w:r>
        <w:rPr>
          <w:rFonts w:cs="Arial"/>
          <w:b w:val="0"/>
          <w:sz w:val="20"/>
          <w:szCs w:val="20"/>
        </w:rPr>
        <w:t>ki jo</w:t>
      </w:r>
      <w:r w:rsidRPr="00D31B7E">
        <w:rPr>
          <w:rFonts w:cs="Arial"/>
          <w:b w:val="0"/>
          <w:sz w:val="20"/>
          <w:szCs w:val="20"/>
        </w:rPr>
        <w:t xml:space="preserve"> izvede revizor informacijskih sistemov ali v obliki notranje revizije, ki obsega tudi vsa potrebna sodila s področja informacijske in kibernetske varnosti. Tako revizijo lahko izvede notranji revizor v sodelovanju z veščakom </w:t>
      </w:r>
      <w:r>
        <w:rPr>
          <w:rFonts w:cs="Arial"/>
          <w:b w:val="0"/>
          <w:sz w:val="20"/>
          <w:szCs w:val="20"/>
        </w:rPr>
        <w:t>za</w:t>
      </w:r>
      <w:r w:rsidRPr="00D31B7E">
        <w:rPr>
          <w:rFonts w:cs="Arial"/>
          <w:b w:val="0"/>
          <w:sz w:val="20"/>
          <w:szCs w:val="20"/>
        </w:rPr>
        <w:t xml:space="preserve"> informacijsk</w:t>
      </w:r>
      <w:r>
        <w:rPr>
          <w:rFonts w:cs="Arial"/>
          <w:b w:val="0"/>
          <w:sz w:val="20"/>
          <w:szCs w:val="20"/>
        </w:rPr>
        <w:t>o</w:t>
      </w:r>
      <w:r w:rsidRPr="00D31B7E">
        <w:rPr>
          <w:rFonts w:cs="Arial"/>
          <w:b w:val="0"/>
          <w:sz w:val="20"/>
          <w:szCs w:val="20"/>
        </w:rPr>
        <w:t xml:space="preserve"> tehnologij</w:t>
      </w:r>
      <w:r>
        <w:rPr>
          <w:rFonts w:cs="Arial"/>
          <w:b w:val="0"/>
          <w:sz w:val="20"/>
          <w:szCs w:val="20"/>
        </w:rPr>
        <w:t>o</w:t>
      </w:r>
      <w:r w:rsidRPr="00D31B7E">
        <w:rPr>
          <w:rFonts w:cs="Arial"/>
          <w:b w:val="0"/>
          <w:sz w:val="20"/>
          <w:szCs w:val="20"/>
        </w:rPr>
        <w:t xml:space="preserve">. Na omenjeni način je torej prek veščaka za informacijsko </w:t>
      </w:r>
      <w:r>
        <w:rPr>
          <w:rFonts w:cs="Arial"/>
          <w:b w:val="0"/>
          <w:sz w:val="20"/>
          <w:szCs w:val="20"/>
        </w:rPr>
        <w:t>tehnologijo</w:t>
      </w:r>
      <w:r w:rsidRPr="00D31B7E">
        <w:rPr>
          <w:rFonts w:cs="Arial"/>
          <w:b w:val="0"/>
          <w:sz w:val="20"/>
          <w:szCs w:val="20"/>
        </w:rPr>
        <w:t xml:space="preserve"> omogočeno tudi </w:t>
      </w:r>
      <w:r w:rsidRPr="00D31B7E">
        <w:rPr>
          <w:rFonts w:cs="Arial"/>
          <w:b w:val="0"/>
          <w:sz w:val="20"/>
          <w:szCs w:val="20"/>
        </w:rPr>
        <w:lastRenderedPageBreak/>
        <w:t xml:space="preserve">drugim subjektom z izkazanim poglobljenim strokovnim znanjem </w:t>
      </w:r>
      <w:r>
        <w:rPr>
          <w:rFonts w:cs="Arial"/>
          <w:b w:val="0"/>
          <w:sz w:val="20"/>
          <w:szCs w:val="20"/>
        </w:rPr>
        <w:t>za</w:t>
      </w:r>
      <w:r w:rsidRPr="00D31B7E">
        <w:rPr>
          <w:rFonts w:cs="Arial"/>
          <w:b w:val="0"/>
          <w:sz w:val="20"/>
          <w:szCs w:val="20"/>
        </w:rPr>
        <w:t xml:space="preserve"> informacijsk</w:t>
      </w:r>
      <w:r>
        <w:rPr>
          <w:rFonts w:cs="Arial"/>
          <w:b w:val="0"/>
          <w:sz w:val="20"/>
          <w:szCs w:val="20"/>
        </w:rPr>
        <w:t>o</w:t>
      </w:r>
      <w:r w:rsidRPr="00D31B7E">
        <w:rPr>
          <w:rFonts w:cs="Arial"/>
          <w:b w:val="0"/>
          <w:sz w:val="20"/>
          <w:szCs w:val="20"/>
        </w:rPr>
        <w:t xml:space="preserve"> tehnologij</w:t>
      </w:r>
      <w:r>
        <w:rPr>
          <w:rFonts w:cs="Arial"/>
          <w:b w:val="0"/>
          <w:sz w:val="20"/>
          <w:szCs w:val="20"/>
        </w:rPr>
        <w:t>o</w:t>
      </w:r>
      <w:r w:rsidRPr="00D31B7E">
        <w:rPr>
          <w:rFonts w:cs="Arial"/>
          <w:b w:val="0"/>
          <w:sz w:val="20"/>
          <w:szCs w:val="20"/>
        </w:rPr>
        <w:t xml:space="preserve"> sodelovanje pri izvedbi ocene skladnosti (glej prvi odstavek 25. člena predloga ZInfV-1). Pomembni subjekti izvedejo le samooceno skladnosti, ki se lahko izvede tudi v okviru notranje revizije in ni nikjer izključeno sodelovanje veščakov (glej tretji odstavek 25. člena predloga ZInfV-1). Izvedba revizije, ki jo lahko izvede (le) revizor informacijsk</w:t>
      </w:r>
      <w:r>
        <w:rPr>
          <w:rFonts w:cs="Arial"/>
          <w:b w:val="0"/>
          <w:sz w:val="20"/>
          <w:szCs w:val="20"/>
        </w:rPr>
        <w:t>ih sistemov,</w:t>
      </w:r>
      <w:r w:rsidRPr="00D31B7E">
        <w:rPr>
          <w:rFonts w:cs="Arial"/>
          <w:b w:val="0"/>
          <w:sz w:val="20"/>
          <w:szCs w:val="20"/>
        </w:rPr>
        <w:t xml:space="preserve"> je po predlogu ZInfV-1 </w:t>
      </w:r>
      <w:r>
        <w:rPr>
          <w:rFonts w:cs="Arial"/>
          <w:b w:val="0"/>
          <w:sz w:val="20"/>
          <w:szCs w:val="20"/>
        </w:rPr>
        <w:t>z</w:t>
      </w:r>
      <w:r w:rsidRPr="00D31B7E">
        <w:rPr>
          <w:rFonts w:cs="Arial"/>
          <w:b w:val="0"/>
          <w:sz w:val="20"/>
          <w:szCs w:val="20"/>
        </w:rPr>
        <w:t xml:space="preserve">daj omejena na primere, ko izvedbo revizije v postopkih inšpekcijskega nadzora zahteva inšpektor; </w:t>
      </w:r>
    </w:p>
    <w:p w14:paraId="7693C9E1" w14:textId="77777777" w:rsidR="000A51A5" w:rsidRPr="00D31B7E" w:rsidRDefault="000A51A5" w:rsidP="000A51A5">
      <w:pPr>
        <w:pStyle w:val="lennaslov0"/>
        <w:spacing w:line="276" w:lineRule="auto"/>
        <w:ind w:left="360"/>
        <w:jc w:val="both"/>
        <w:rPr>
          <w:rFonts w:cs="Arial"/>
          <w:b w:val="0"/>
          <w:sz w:val="20"/>
          <w:szCs w:val="20"/>
        </w:rPr>
      </w:pPr>
    </w:p>
    <w:p w14:paraId="1EB4ACC2"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r>
        <w:rPr>
          <w:rFonts w:cs="Arial"/>
          <w:b w:val="0"/>
          <w:sz w:val="20"/>
          <w:szCs w:val="20"/>
        </w:rPr>
        <w:t xml:space="preserve">pripomba </w:t>
      </w:r>
      <w:r w:rsidRPr="00D31B7E">
        <w:rPr>
          <w:rFonts w:cs="Arial"/>
          <w:b w:val="0"/>
          <w:sz w:val="20"/>
          <w:szCs w:val="20"/>
        </w:rPr>
        <w:t>k drugemu odstavku 21. člena osnutka predloga ZInfV-1 glede kraja ohranjanja dnevniških zapisov, kjer se predlaga, da se del besedila, ki se je glasil: »Ohranjanje dnevniških zapisov se zagotavlja primarno na ozemlju Republike Slovenije, sekundarno pa se lahko zagotavlja na ozemlju Evropske unije, razen subjektov s področja digitalne infrastrukture, bančništva in infrastrukture finančnega trga, kateri lahko ohranjanje dnevniških zapisov v celoti zagotavlja na ozemlju Evropske unije«, spremeni tako, da se ohranjanje dnevniških zapisov zagotavlja na ozemlju Evropske unije oziroma tudi v tretjih državah v skladu z zahtevami Splošne uredbe o varstvu podatkov. Ta pripomba je bila upoštevana pretežn</w:t>
      </w:r>
      <w:r>
        <w:rPr>
          <w:rFonts w:cs="Arial"/>
          <w:b w:val="0"/>
          <w:sz w:val="20"/>
          <w:szCs w:val="20"/>
        </w:rPr>
        <w:t>o</w:t>
      </w:r>
      <w:r w:rsidRPr="00D31B7E">
        <w:rPr>
          <w:rFonts w:cs="Arial"/>
          <w:b w:val="0"/>
          <w:sz w:val="20"/>
          <w:szCs w:val="20"/>
        </w:rPr>
        <w:t xml:space="preserve"> na način, kot je to </w:t>
      </w:r>
      <w:r>
        <w:rPr>
          <w:rFonts w:cs="Arial"/>
          <w:b w:val="0"/>
          <w:sz w:val="20"/>
          <w:szCs w:val="20"/>
        </w:rPr>
        <w:t>z</w:t>
      </w:r>
      <w:r w:rsidRPr="00D31B7E">
        <w:rPr>
          <w:rFonts w:cs="Arial"/>
          <w:b w:val="0"/>
          <w:sz w:val="20"/>
          <w:szCs w:val="20"/>
        </w:rPr>
        <w:t xml:space="preserve">daj razvidno iz 24. člena (dnevniški zapisi) predloga ZInfV-1. Tako je </w:t>
      </w:r>
      <w:r>
        <w:rPr>
          <w:rFonts w:cs="Arial"/>
          <w:b w:val="0"/>
          <w:sz w:val="20"/>
          <w:szCs w:val="20"/>
        </w:rPr>
        <w:t>z</w:t>
      </w:r>
      <w:r w:rsidRPr="00D31B7E">
        <w:rPr>
          <w:rFonts w:cs="Arial"/>
          <w:b w:val="0"/>
          <w:sz w:val="20"/>
          <w:szCs w:val="20"/>
        </w:rPr>
        <w:t>daj omejitev na ohranjanje dnevniških zapisov v Republiki Sloveniji vezana na dnevniške zapise ključnih delov nacionalnega varnostnega sistema (razen za ministrstvo, pristojno za zunanje zadeve, ki lahko to hranjenje zagotavlja tudi na diplomatskih predstavništvih in konzulatih Republike Slovenije). Prav tako se predlaga omejitev ohranjanja dnevniških zapisov bistvenih subjektov, ki so določeni kot kritični na podlagi zakona, ki ureja kritično infrastrukturo</w:t>
      </w:r>
      <w:r>
        <w:rPr>
          <w:rFonts w:cs="Arial"/>
          <w:b w:val="0"/>
          <w:sz w:val="20"/>
          <w:szCs w:val="20"/>
        </w:rPr>
        <w:t>,</w:t>
      </w:r>
      <w:r w:rsidRPr="00D31B7E">
        <w:rPr>
          <w:rFonts w:cs="Arial"/>
          <w:b w:val="0"/>
          <w:sz w:val="20"/>
          <w:szCs w:val="20"/>
        </w:rPr>
        <w:t xml:space="preserve"> in sicer </w:t>
      </w:r>
      <w:r>
        <w:rPr>
          <w:rFonts w:cs="Arial"/>
          <w:b w:val="0"/>
          <w:sz w:val="20"/>
          <w:szCs w:val="20"/>
        </w:rPr>
        <w:t>predvsem</w:t>
      </w:r>
      <w:r w:rsidRPr="00D31B7E">
        <w:rPr>
          <w:rFonts w:cs="Arial"/>
          <w:b w:val="0"/>
          <w:sz w:val="20"/>
          <w:szCs w:val="20"/>
        </w:rPr>
        <w:t xml:space="preserve"> na ozemlju Republike Slovenije, drugotno pa lahko na ozemlju Evropske unije, kar pa </w:t>
      </w:r>
      <w:r w:rsidRPr="00D914BF">
        <w:rPr>
          <w:rFonts w:cs="Arial"/>
          <w:b w:val="0"/>
          <w:sz w:val="20"/>
          <w:szCs w:val="20"/>
        </w:rPr>
        <w:t>je omiljeno za primere</w:t>
      </w:r>
      <w:r w:rsidRPr="00D31B7E">
        <w:rPr>
          <w:rFonts w:cs="Arial"/>
          <w:b w:val="0"/>
          <w:sz w:val="20"/>
          <w:szCs w:val="20"/>
        </w:rPr>
        <w:t xml:space="preserve">, da gre za subjekte s področja sektorjev digitalne infrastrukture, bančništva in infrastrukture finančnega trga, kjer se ohranjanje teh zapisov lahko v celoti zagotovi na ozemlju Evropske unije, ob upoštevanju predpisov s področja varstva osebnih podatkov ter na </w:t>
      </w:r>
      <w:r>
        <w:rPr>
          <w:rFonts w:cs="Arial"/>
          <w:b w:val="0"/>
          <w:sz w:val="20"/>
          <w:szCs w:val="20"/>
        </w:rPr>
        <w:t>podlagi</w:t>
      </w:r>
      <w:r w:rsidRPr="00D31B7E">
        <w:rPr>
          <w:rFonts w:cs="Arial"/>
          <w:b w:val="0"/>
          <w:sz w:val="20"/>
          <w:szCs w:val="20"/>
        </w:rPr>
        <w:t xml:space="preserve"> ocene tveganj identificiranih in implementiranih sorazmernih varnostnih kontrol, pa tudi </w:t>
      </w:r>
      <w:r>
        <w:rPr>
          <w:rFonts w:cs="Arial"/>
          <w:b w:val="0"/>
          <w:sz w:val="20"/>
          <w:szCs w:val="20"/>
        </w:rPr>
        <w:t>zunaj</w:t>
      </w:r>
      <w:r w:rsidRPr="00D31B7E">
        <w:rPr>
          <w:rFonts w:cs="Arial"/>
          <w:b w:val="0"/>
          <w:sz w:val="20"/>
          <w:szCs w:val="20"/>
        </w:rPr>
        <w:t xml:space="preserve"> ozemlja Evropske unije;</w:t>
      </w:r>
    </w:p>
    <w:p w14:paraId="1454573C" w14:textId="77777777" w:rsidR="000A51A5" w:rsidRPr="00D31B7E" w:rsidRDefault="000A51A5" w:rsidP="000A51A5">
      <w:pPr>
        <w:pStyle w:val="lennaslov0"/>
        <w:spacing w:line="276" w:lineRule="auto"/>
        <w:ind w:left="360"/>
        <w:jc w:val="both"/>
        <w:rPr>
          <w:rFonts w:cs="Arial"/>
          <w:b w:val="0"/>
          <w:sz w:val="20"/>
          <w:szCs w:val="20"/>
        </w:rPr>
      </w:pPr>
    </w:p>
    <w:p w14:paraId="02A35A97" w14:textId="77777777" w:rsidR="000A51A5" w:rsidRPr="00D31B7E" w:rsidRDefault="000A51A5" w:rsidP="000A51A5">
      <w:pPr>
        <w:pStyle w:val="lennaslov0"/>
        <w:widowControl w:val="0"/>
        <w:numPr>
          <w:ilvl w:val="0"/>
          <w:numId w:val="17"/>
        </w:numPr>
        <w:spacing w:after="240" w:line="276" w:lineRule="auto"/>
        <w:ind w:left="786"/>
        <w:jc w:val="both"/>
        <w:rPr>
          <w:rFonts w:cs="Arial"/>
          <w:b w:val="0"/>
          <w:sz w:val="20"/>
          <w:szCs w:val="20"/>
        </w:rPr>
      </w:pPr>
      <w:r>
        <w:rPr>
          <w:rFonts w:cs="Arial"/>
          <w:b w:val="0"/>
          <w:sz w:val="20"/>
          <w:szCs w:val="20"/>
        </w:rPr>
        <w:t xml:space="preserve">pripomba </w:t>
      </w:r>
      <w:r w:rsidRPr="00D31B7E">
        <w:rPr>
          <w:rFonts w:cs="Arial"/>
          <w:b w:val="0"/>
          <w:sz w:val="20"/>
          <w:szCs w:val="20"/>
        </w:rPr>
        <w:t>k naslovu zakona, da se ta spremeni v Zakon o kibernetski varnost</w:t>
      </w:r>
      <w:r>
        <w:rPr>
          <w:rFonts w:cs="Arial"/>
          <w:b w:val="0"/>
          <w:sz w:val="20"/>
          <w:szCs w:val="20"/>
        </w:rPr>
        <w:t>i</w:t>
      </w:r>
      <w:r w:rsidRPr="00D31B7E">
        <w:rPr>
          <w:rFonts w:cs="Arial"/>
          <w:b w:val="0"/>
          <w:sz w:val="20"/>
          <w:szCs w:val="20"/>
        </w:rPr>
        <w:t xml:space="preserve"> in da se v celotnem zakonu izraz »informacijska oziroma kibernetska varnost« nadomesti z izrazom »kibernetska varnost« ter naj se izraz »informacijska varnost« nadomesti s »kibernetska varnost« v členih: 5, 9, 14, 17, 27, 40 in 45, ni bila upoštevana. Treba je opozoriti, da je Direktiv</w:t>
      </w:r>
      <w:r>
        <w:rPr>
          <w:rFonts w:cs="Arial"/>
          <w:b w:val="0"/>
          <w:sz w:val="20"/>
          <w:szCs w:val="20"/>
        </w:rPr>
        <w:t>a</w:t>
      </w:r>
      <w:r w:rsidRPr="00D31B7E">
        <w:rPr>
          <w:rFonts w:cs="Arial"/>
          <w:b w:val="0"/>
          <w:sz w:val="20"/>
          <w:szCs w:val="20"/>
        </w:rPr>
        <w:t xml:space="preserve"> 2022/2555/EU direktiva minimalne harmonizacij</w:t>
      </w:r>
      <w:r>
        <w:rPr>
          <w:rFonts w:cs="Arial"/>
          <w:b w:val="0"/>
          <w:sz w:val="20"/>
          <w:szCs w:val="20"/>
        </w:rPr>
        <w:t>e</w:t>
      </w:r>
      <w:r w:rsidRPr="00D31B7E">
        <w:rPr>
          <w:rFonts w:cs="Arial"/>
          <w:b w:val="0"/>
          <w:sz w:val="20"/>
          <w:szCs w:val="20"/>
        </w:rPr>
        <w:t>, kar pomeni, da gre za minimalne standarde ali zahteve, ki jih morajo države članice upoštevati pri sprejemanju nacionalne zakonodaje na določenem področju, lahko pa uvedejo (ali ohranijo) več in strožje zahteve. Nadalje predlog ZInf</w:t>
      </w:r>
      <w:r>
        <w:rPr>
          <w:rFonts w:cs="Arial"/>
          <w:b w:val="0"/>
          <w:sz w:val="20"/>
          <w:szCs w:val="20"/>
        </w:rPr>
        <w:t>V</w:t>
      </w:r>
      <w:r w:rsidRPr="00D31B7E">
        <w:rPr>
          <w:rFonts w:cs="Arial"/>
          <w:b w:val="0"/>
          <w:sz w:val="20"/>
          <w:szCs w:val="20"/>
        </w:rPr>
        <w:t xml:space="preserve">-1 vsebuje tudi nacionalne določbe in ureja materijo, ki je prej navedena direktiva ne zajema. Zato se v predlogu ZInfV-1 predlaga ohranitev širšega pojma »informacijska varnost« tako v naslovu (enako kot v </w:t>
      </w:r>
      <w:r>
        <w:rPr>
          <w:rFonts w:cs="Arial"/>
          <w:b w:val="0"/>
          <w:sz w:val="20"/>
          <w:szCs w:val="20"/>
        </w:rPr>
        <w:t>z</w:t>
      </w:r>
      <w:r w:rsidRPr="00D31B7E">
        <w:rPr>
          <w:rFonts w:cs="Arial"/>
          <w:b w:val="0"/>
          <w:sz w:val="20"/>
          <w:szCs w:val="20"/>
        </w:rPr>
        <w:t>daj veljavnem ZInfV) in na vseh mestih, kjer smo ocenili, da je to smiselno in potrebno. Dodatno v zvezi z definicijo informacijske varnosti iz (</w:t>
      </w:r>
      <w:r>
        <w:rPr>
          <w:rFonts w:cs="Arial"/>
          <w:b w:val="0"/>
          <w:sz w:val="20"/>
          <w:szCs w:val="20"/>
        </w:rPr>
        <w:t>z</w:t>
      </w:r>
      <w:r w:rsidRPr="00D31B7E">
        <w:rPr>
          <w:rFonts w:cs="Arial"/>
          <w:b w:val="0"/>
          <w:sz w:val="20"/>
          <w:szCs w:val="20"/>
        </w:rPr>
        <w:t>daj) 10</w:t>
      </w:r>
      <w:r>
        <w:rPr>
          <w:rFonts w:cs="Arial"/>
          <w:b w:val="0"/>
          <w:sz w:val="20"/>
          <w:szCs w:val="20"/>
        </w:rPr>
        <w:t>.</w:t>
      </w:r>
      <w:r w:rsidRPr="00D31B7E">
        <w:rPr>
          <w:rFonts w:cs="Arial"/>
          <w:b w:val="0"/>
          <w:sz w:val="20"/>
          <w:szCs w:val="20"/>
        </w:rPr>
        <w:t xml:space="preserve"> točke 5. člena predloga ZInfV-1 pojasnjujemo, da povezujemo ta termin za potrebe tega zakona z informacijsko varnostjo v informacijskih sistemih in omrežjih. Razlika med informacijsko in kibernetsko varnostjo je tudi jasna iz 5. člena predloga ZInfV-1, 10. točka opredeljuje informacijsko varnost, 18. točka pa kibernetsko</w:t>
      </w:r>
      <w:r>
        <w:rPr>
          <w:rFonts w:cs="Arial"/>
          <w:b w:val="0"/>
          <w:sz w:val="20"/>
          <w:szCs w:val="20"/>
        </w:rPr>
        <w:t xml:space="preserve"> varnost</w:t>
      </w:r>
      <w:r w:rsidRPr="00D31B7E">
        <w:rPr>
          <w:rFonts w:cs="Arial"/>
          <w:b w:val="0"/>
          <w:sz w:val="20"/>
          <w:szCs w:val="20"/>
        </w:rPr>
        <w:t xml:space="preserve">. Je pa bila v zvezi s podano pripombo raba obeh izrazov na vseh mestih v predlogu zakona ponovno preverjena in na določenih mestih (kot je to razvidno iz predloga ZInfV-1) usklajena s prej navedenim. Zato se tudi opušča raba besedne zveze »informacijska oziroma kibernetska varnost« </w:t>
      </w:r>
      <w:r w:rsidRPr="00767F3E">
        <w:rPr>
          <w:rFonts w:cs="Arial"/>
          <w:b w:val="0"/>
          <w:sz w:val="20"/>
          <w:szCs w:val="20"/>
        </w:rPr>
        <w:t xml:space="preserve">(v manjšem delu </w:t>
      </w:r>
      <w:r>
        <w:rPr>
          <w:rFonts w:cs="Arial"/>
          <w:b w:val="0"/>
          <w:sz w:val="20"/>
          <w:szCs w:val="20"/>
        </w:rPr>
        <w:t xml:space="preserve">smo </w:t>
      </w:r>
      <w:r w:rsidRPr="00767F3E">
        <w:rPr>
          <w:rFonts w:cs="Arial"/>
          <w:b w:val="0"/>
          <w:sz w:val="20"/>
          <w:szCs w:val="20"/>
        </w:rPr>
        <w:t>upoštevali pripombo</w:t>
      </w:r>
      <w:r w:rsidRPr="00D31B7E">
        <w:rPr>
          <w:rFonts w:cs="Arial"/>
          <w:b w:val="0"/>
          <w:sz w:val="20"/>
          <w:szCs w:val="20"/>
        </w:rPr>
        <w:t xml:space="preserve">) in se namesto veznika »oziroma« uporablja veznik »in«, kjer prideta v poštev oba termina hkrati. </w:t>
      </w:r>
    </w:p>
    <w:p w14:paraId="4FD6F266" w14:textId="77777777" w:rsidR="000A51A5" w:rsidRPr="00D31B7E" w:rsidRDefault="000A51A5" w:rsidP="000A51A5">
      <w:pPr>
        <w:pStyle w:val="lennaslov0"/>
        <w:widowControl w:val="0"/>
        <w:spacing w:after="240" w:line="276" w:lineRule="auto"/>
        <w:jc w:val="both"/>
        <w:rPr>
          <w:rFonts w:cs="Arial"/>
          <w:b w:val="0"/>
          <w:sz w:val="20"/>
          <w:szCs w:val="20"/>
        </w:rPr>
      </w:pPr>
      <w:bookmarkStart w:id="11" w:name="_Hlk191399666"/>
      <w:bookmarkStart w:id="12" w:name="_Hlk190861686"/>
      <w:r w:rsidRPr="00D31B7E">
        <w:rPr>
          <w:rFonts w:cs="Arial"/>
          <w:b w:val="0"/>
          <w:sz w:val="20"/>
          <w:szCs w:val="20"/>
        </w:rPr>
        <w:lastRenderedPageBreak/>
        <w:t>Pripombe GZS</w:t>
      </w:r>
      <w:r>
        <w:rPr>
          <w:rFonts w:cs="Arial"/>
          <w:b w:val="0"/>
          <w:sz w:val="20"/>
          <w:szCs w:val="20"/>
        </w:rPr>
        <w:t>:</w:t>
      </w:r>
    </w:p>
    <w:p w14:paraId="041E1EF5" w14:textId="77777777" w:rsidR="000A51A5" w:rsidRPr="00D31B7E" w:rsidRDefault="000A51A5" w:rsidP="000A51A5">
      <w:pPr>
        <w:pStyle w:val="lennaslov0"/>
        <w:widowControl w:val="0"/>
        <w:spacing w:after="240" w:line="276" w:lineRule="auto"/>
        <w:jc w:val="both"/>
        <w:rPr>
          <w:rFonts w:cs="Arial"/>
          <w:b w:val="0"/>
          <w:sz w:val="20"/>
          <w:szCs w:val="20"/>
        </w:rPr>
      </w:pPr>
      <w:r w:rsidRPr="00D31B7E">
        <w:rPr>
          <w:rFonts w:cs="Arial"/>
          <w:b w:val="0"/>
          <w:sz w:val="20"/>
          <w:szCs w:val="20"/>
        </w:rPr>
        <w:t>vsebujejo pripombe sekcij SeKV in SOEK, ki delujeta znotraj ZIT pri GZS</w:t>
      </w:r>
      <w:bookmarkEnd w:id="11"/>
      <w:r w:rsidRPr="00D31B7E">
        <w:rPr>
          <w:rFonts w:cs="Arial"/>
          <w:b w:val="0"/>
          <w:sz w:val="20"/>
          <w:szCs w:val="20"/>
        </w:rPr>
        <w:t xml:space="preserve">, pri čemer obe sekciji podajata splošne oziroma uvodne pripombe </w:t>
      </w:r>
      <w:r>
        <w:rPr>
          <w:rFonts w:cs="Arial"/>
          <w:b w:val="0"/>
          <w:sz w:val="20"/>
          <w:szCs w:val="20"/>
        </w:rPr>
        <w:t>in</w:t>
      </w:r>
      <w:r w:rsidRPr="00D31B7E">
        <w:rPr>
          <w:rFonts w:cs="Arial"/>
          <w:b w:val="0"/>
          <w:sz w:val="20"/>
          <w:szCs w:val="20"/>
        </w:rPr>
        <w:t xml:space="preserve"> pripombe k posameznim členom: </w:t>
      </w:r>
    </w:p>
    <w:p w14:paraId="129656B4"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Splošne oziroma uvodne pripombe:</w:t>
      </w:r>
    </w:p>
    <w:p w14:paraId="2C88E59F"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 xml:space="preserve">SeKV, naj URSIV opravi javni posvet z izmenjavo stališč javnosti, je bil upoštevan na način, da je URSIV različnim javnostim tudi ob </w:t>
      </w:r>
      <w:r>
        <w:rPr>
          <w:rFonts w:cs="Arial"/>
          <w:szCs w:val="20"/>
          <w:lang w:val="sl-SI"/>
        </w:rPr>
        <w:t>priložnosti</w:t>
      </w:r>
      <w:r w:rsidRPr="00D31B7E">
        <w:rPr>
          <w:rFonts w:cs="Arial"/>
          <w:szCs w:val="20"/>
          <w:lang w:val="sl-SI"/>
        </w:rPr>
        <w:t xml:space="preserve"> različnih javnih dogodkov, izobraževanj, konferenc in podobno predstavljal osnutke predloga ZIinfV-1, pri čemer je bila v sklopu dogodkov z udeleženci odprta tudi debata. Glede pripombe o uporabi različnih izrazov kibernetska, informacijska in računalniška varnost pojasnjujemo, da je bil predlog ZInfV-1 izboljšan z vidika dosledne rabe teh izrazov glede na njihov pomen. Izraza informacijska in kibernetska varnost sta v predlogu ZInfV-1 jasno in različno </w:t>
      </w:r>
      <w:r>
        <w:rPr>
          <w:rFonts w:cs="Arial"/>
          <w:szCs w:val="20"/>
          <w:lang w:val="sl-SI"/>
        </w:rPr>
        <w:t>opredeljena</w:t>
      </w:r>
      <w:r w:rsidRPr="00D31B7E">
        <w:rPr>
          <w:rFonts w:cs="Arial"/>
          <w:szCs w:val="20"/>
          <w:lang w:val="sl-SI"/>
        </w:rPr>
        <w:t>, izraz računalniška varnost se kot tak v predlogu zakona vsebinsko ne uporablja, gre le za del polnega imena Skupine ali Skupin CSIRT (»computer security incident response team«, kar je v slovenskem prevodu »skupina za odzivanje na incidente na področju računalniške varnosti«). Glede uvodoma izpostavljene pripombe, da inšpekcija kot sestavni del URSIV-a ni najboljša organizacijska rešitev, tega nismo upoštevali. Gre namreč za že z veljavnim ZInfV uveljavljeno rešitev, ki v prvem odstavku 31. člena določa, da nadzor nad izvajanjem določb tega zakona, na njegovi podlagi sprejetih predpisov in nad izvajanjem upravnih odločb, izdanih na podlagi četrtega odstavka 21. člena in četrtega odstavka 22. člena tega zakona, ter nad izvajanjem odrejenih ukrepov iz četrtega dostavka 29. člena tega zakona opravljajo inšpektorji za informacijsko varnost pristojnega nacionalnega organa (v nadaljnjem besedilu: inšpektor). Poleg tega se je navedena organizacijska oblika inšpekcije v praksi izkazala za uspešno oziroma celo za prednost. Pripomba, da je člene in določbe, ki se nanašajo na inšpekcijski nadzor</w:t>
      </w:r>
      <w:r>
        <w:rPr>
          <w:rFonts w:cs="Arial"/>
          <w:szCs w:val="20"/>
          <w:lang w:val="sl-SI"/>
        </w:rPr>
        <w:t>,</w:t>
      </w:r>
      <w:r w:rsidRPr="00D31B7E">
        <w:rPr>
          <w:rFonts w:cs="Arial"/>
          <w:szCs w:val="20"/>
          <w:lang w:val="sl-SI"/>
        </w:rPr>
        <w:t xml:space="preserve"> treba uskladiti z Zakonom o inšpekcijskem nadzoru, je bila upoštevana na način</w:t>
      </w:r>
      <w:r>
        <w:rPr>
          <w:rFonts w:cs="Arial"/>
          <w:szCs w:val="20"/>
          <w:lang w:val="sl-SI"/>
        </w:rPr>
        <w:t>,</w:t>
      </w:r>
      <w:r w:rsidRPr="00D31B7E">
        <w:rPr>
          <w:rFonts w:cs="Arial"/>
          <w:szCs w:val="20"/>
          <w:lang w:val="sl-SI"/>
        </w:rPr>
        <w:t xml:space="preserve"> kot je razviden iz predloga ZInfV-1, pri urejanju pa smo upoštevali razmerje med splošnim in posebnim zakonom. Predlog</w:t>
      </w:r>
      <w:r>
        <w:rPr>
          <w:rFonts w:cs="Arial"/>
          <w:szCs w:val="20"/>
          <w:lang w:val="sl-SI"/>
        </w:rPr>
        <w:t>a</w:t>
      </w:r>
      <w:r w:rsidRPr="00D31B7E">
        <w:rPr>
          <w:rFonts w:cs="Arial"/>
          <w:szCs w:val="20"/>
          <w:lang w:val="sl-SI"/>
        </w:rPr>
        <w:t xml:space="preserve"> za novo določbo, po katerem se med inšpekcijskim postopkom ne sme motiti delovanja subjekta, z vidika jasnosti in določnosti ni mogoče upoštevati (kaj moti</w:t>
      </w:r>
      <w:r>
        <w:rPr>
          <w:rFonts w:cs="Arial"/>
          <w:szCs w:val="20"/>
          <w:lang w:val="sl-SI"/>
        </w:rPr>
        <w:t>,</w:t>
      </w:r>
      <w:r w:rsidRPr="00D31B7E">
        <w:rPr>
          <w:rFonts w:cs="Arial"/>
          <w:szCs w:val="20"/>
          <w:lang w:val="sl-SI"/>
        </w:rPr>
        <w:t xml:space="preserve"> je relativno). </w:t>
      </w:r>
      <w:r>
        <w:rPr>
          <w:rFonts w:cs="Arial"/>
          <w:szCs w:val="20"/>
          <w:lang w:val="sl-SI"/>
        </w:rPr>
        <w:t>Menimo</w:t>
      </w:r>
      <w:r w:rsidRPr="00D31B7E">
        <w:rPr>
          <w:rFonts w:cs="Arial"/>
          <w:szCs w:val="20"/>
          <w:lang w:val="sl-SI"/>
        </w:rPr>
        <w:t xml:space="preserve"> tudi, da je ta vsebina smiselno na ustrezen način že zajeta v načelu sorazmernosti, ki ga je treba uporabiti pri nalaganju ukrepov. Sicer pa tudi Zakon o inšpekcijskem nadzoru kot splošen </w:t>
      </w:r>
      <w:r>
        <w:rPr>
          <w:rFonts w:cs="Arial"/>
          <w:szCs w:val="20"/>
          <w:lang w:val="sl-SI"/>
        </w:rPr>
        <w:t xml:space="preserve">zakon </w:t>
      </w:r>
      <w:r w:rsidRPr="00D31B7E">
        <w:rPr>
          <w:rFonts w:cs="Arial"/>
          <w:szCs w:val="20"/>
          <w:lang w:val="sl-SI"/>
        </w:rPr>
        <w:t>določa prepoved opravljanja dejavnosti kot skrajen inšpektorski ukrep;</w:t>
      </w:r>
    </w:p>
    <w:p w14:paraId="1ADDE160"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Pr>
          <w:rFonts w:cs="Arial"/>
          <w:szCs w:val="20"/>
          <w:lang w:val="sl-SI"/>
        </w:rPr>
        <w:t xml:space="preserve">pripombo </w:t>
      </w:r>
      <w:r w:rsidRPr="00D31B7E">
        <w:rPr>
          <w:rFonts w:cs="Arial"/>
          <w:szCs w:val="20"/>
          <w:lang w:val="sl-SI"/>
        </w:rPr>
        <w:t xml:space="preserve">SOEK, da je obrazložitev osnutka predloga ZInfV-1 vsebinsko prazna in naj se ustrezno dopolni, saj je vitalnega pomena za razumevanje predvidenega kompleksnega predpisa, smo upoštevali na način, da so nekatere obrazložitve </w:t>
      </w:r>
      <w:r>
        <w:rPr>
          <w:rFonts w:cs="Arial"/>
          <w:szCs w:val="20"/>
          <w:lang w:val="sl-SI"/>
        </w:rPr>
        <w:t>z</w:t>
      </w:r>
      <w:r w:rsidRPr="00D31B7E">
        <w:rPr>
          <w:rFonts w:cs="Arial"/>
          <w:szCs w:val="20"/>
          <w:lang w:val="sl-SI"/>
        </w:rPr>
        <w:t xml:space="preserve">daj izboljšane na mestih in </w:t>
      </w:r>
      <w:r>
        <w:rPr>
          <w:rFonts w:cs="Arial"/>
          <w:szCs w:val="20"/>
          <w:lang w:val="sl-SI"/>
        </w:rPr>
        <w:t>tako</w:t>
      </w:r>
      <w:r w:rsidRPr="00D31B7E">
        <w:rPr>
          <w:rFonts w:cs="Arial"/>
          <w:szCs w:val="20"/>
          <w:lang w:val="sl-SI"/>
        </w:rPr>
        <w:t xml:space="preserve">, </w:t>
      </w:r>
      <w:r>
        <w:rPr>
          <w:rFonts w:cs="Arial"/>
          <w:szCs w:val="20"/>
          <w:lang w:val="sl-SI"/>
        </w:rPr>
        <w:t>kot</w:t>
      </w:r>
      <w:r w:rsidRPr="00D31B7E">
        <w:rPr>
          <w:rFonts w:cs="Arial"/>
          <w:szCs w:val="20"/>
          <w:lang w:val="sl-SI"/>
        </w:rPr>
        <w:t xml:space="preserve"> smo </w:t>
      </w:r>
      <w:r>
        <w:rPr>
          <w:rFonts w:cs="Arial"/>
          <w:szCs w:val="20"/>
          <w:lang w:val="sl-SI"/>
        </w:rPr>
        <w:t>menili</w:t>
      </w:r>
      <w:r w:rsidRPr="00D31B7E">
        <w:rPr>
          <w:rFonts w:cs="Arial"/>
          <w:szCs w:val="20"/>
          <w:lang w:val="sl-SI"/>
        </w:rPr>
        <w:t xml:space="preserve">, da </w:t>
      </w:r>
      <w:r>
        <w:rPr>
          <w:rFonts w:cs="Arial"/>
          <w:szCs w:val="20"/>
          <w:lang w:val="sl-SI"/>
        </w:rPr>
        <w:t xml:space="preserve">je </w:t>
      </w:r>
      <w:r w:rsidRPr="00D31B7E">
        <w:rPr>
          <w:rFonts w:cs="Arial"/>
          <w:szCs w:val="20"/>
          <w:lang w:val="sl-SI"/>
        </w:rPr>
        <w:t>potrebno</w:t>
      </w:r>
      <w:r>
        <w:rPr>
          <w:rFonts w:cs="Arial"/>
          <w:szCs w:val="20"/>
          <w:lang w:val="sl-SI"/>
        </w:rPr>
        <w:t>, kar je z</w:t>
      </w:r>
      <w:r w:rsidRPr="00D31B7E">
        <w:rPr>
          <w:rFonts w:cs="Arial"/>
          <w:szCs w:val="20"/>
          <w:lang w:val="sl-SI"/>
        </w:rPr>
        <w:t>daj razvidno iz predloga ZInfV-1. Na pripombo glede obligatornosti izdaje podzakonskih aktov, ker naj bi osnutek predloga ZInfV-1 presplošno in ohlapno opredeljeval obveznosti subjektov, pojasnjujemo, da smo v predlogu ZInfV-1 izboljšali določbe členov z vidika jasnosti in določnosti, niso pa potrebni obligatorni podzakonski predpisi na vseh mestih. Pripomb</w:t>
      </w:r>
      <w:r>
        <w:rPr>
          <w:rFonts w:cs="Arial"/>
          <w:szCs w:val="20"/>
          <w:lang w:val="sl-SI"/>
        </w:rPr>
        <w:t>o</w:t>
      </w:r>
      <w:r w:rsidRPr="00D31B7E">
        <w:rPr>
          <w:rFonts w:cs="Arial"/>
          <w:szCs w:val="20"/>
          <w:lang w:val="sl-SI"/>
        </w:rPr>
        <w:t xml:space="preserve">, naj se v prehodnih določbah natančno navede, kateri novi zakonski predpisi bodo (obvezno) izdani, smo upoštevali v celoti; </w:t>
      </w:r>
    </w:p>
    <w:p w14:paraId="4D1BE6D5" w14:textId="77777777" w:rsidR="000A51A5" w:rsidRPr="00D31B7E" w:rsidRDefault="000A51A5" w:rsidP="000A51A5">
      <w:pPr>
        <w:pStyle w:val="Odstavekseznama"/>
        <w:widowControl w:val="0"/>
        <w:overflowPunct w:val="0"/>
        <w:autoSpaceDE w:val="0"/>
        <w:autoSpaceDN w:val="0"/>
        <w:adjustRightInd w:val="0"/>
        <w:spacing w:after="240" w:line="276" w:lineRule="auto"/>
        <w:ind w:left="851"/>
        <w:jc w:val="both"/>
        <w:textAlignment w:val="baseline"/>
        <w:rPr>
          <w:rFonts w:cs="Arial"/>
          <w:szCs w:val="20"/>
          <w:lang w:val="sl-SI"/>
        </w:rPr>
      </w:pPr>
    </w:p>
    <w:bookmarkEnd w:id="12"/>
    <w:p w14:paraId="427353BE"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r w:rsidRPr="00D31B7E">
        <w:rPr>
          <w:rFonts w:cs="Arial"/>
          <w:b w:val="0"/>
          <w:sz w:val="20"/>
          <w:szCs w:val="20"/>
        </w:rPr>
        <w:t>k 2. členu (namen zakona) SeKV sicer pozdravlja, da osnutek predloga zakona ureja tudi izvajanje Uredbe 2019/881/EU, vendar predlaga, da se namen zakona še dodatno in natančneje opredeli, kar pa ne pojasni in konkretno n</w:t>
      </w:r>
      <w:r>
        <w:rPr>
          <w:rFonts w:cs="Arial"/>
          <w:b w:val="0"/>
          <w:sz w:val="20"/>
          <w:szCs w:val="20"/>
        </w:rPr>
        <w:t>e</w:t>
      </w:r>
      <w:r w:rsidRPr="00D31B7E">
        <w:rPr>
          <w:rFonts w:cs="Arial"/>
          <w:b w:val="0"/>
          <w:sz w:val="20"/>
          <w:szCs w:val="20"/>
        </w:rPr>
        <w:t xml:space="preserve"> predlaga. Zato ta pripomba ni bila upoštevana; </w:t>
      </w:r>
    </w:p>
    <w:p w14:paraId="5D607C1C" w14:textId="77777777" w:rsidR="000A51A5" w:rsidRPr="00D31B7E" w:rsidRDefault="000A51A5" w:rsidP="000A51A5">
      <w:pPr>
        <w:pStyle w:val="lennaslov0"/>
        <w:spacing w:line="276" w:lineRule="auto"/>
        <w:ind w:left="360"/>
        <w:jc w:val="both"/>
        <w:rPr>
          <w:rFonts w:cs="Arial"/>
          <w:b w:val="0"/>
          <w:sz w:val="20"/>
          <w:szCs w:val="20"/>
        </w:rPr>
      </w:pPr>
    </w:p>
    <w:p w14:paraId="59862113"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r w:rsidRPr="00D31B7E">
        <w:rPr>
          <w:rFonts w:cs="Arial"/>
          <w:b w:val="0"/>
          <w:sz w:val="20"/>
          <w:szCs w:val="20"/>
        </w:rPr>
        <w:t>k prvem</w:t>
      </w:r>
      <w:r>
        <w:rPr>
          <w:rFonts w:cs="Arial"/>
          <w:b w:val="0"/>
          <w:sz w:val="20"/>
          <w:szCs w:val="20"/>
        </w:rPr>
        <w:t>u</w:t>
      </w:r>
      <w:r w:rsidRPr="00D31B7E">
        <w:rPr>
          <w:rFonts w:cs="Arial"/>
          <w:b w:val="0"/>
          <w:sz w:val="20"/>
          <w:szCs w:val="20"/>
        </w:rPr>
        <w:t xml:space="preserve"> odstavku 3. členu (področje uporabe zakona) SeKV pripominja, da so potrebna bolj jasna merila za presojanje ustreznosti oziroma sorazmernosti ukrepov za </w:t>
      </w:r>
      <w:r w:rsidRPr="00D31B7E">
        <w:rPr>
          <w:rFonts w:cs="Arial"/>
          <w:b w:val="0"/>
          <w:sz w:val="20"/>
          <w:szCs w:val="20"/>
        </w:rPr>
        <w:lastRenderedPageBreak/>
        <w:t>obvladovanje tveganj ter izvajanje ukrepov v praksi, vendar zadevna določba iz osnutka predloga ZInfV-1 ukrepov ni urejala. Določala je, da se ta zakon uporablja za javne ali zasebne subjekte vrste iz Prilog I ali II tega zakona (v nadaljnjem besedilu</w:t>
      </w:r>
      <w:r>
        <w:rPr>
          <w:rFonts w:cs="Arial"/>
          <w:b w:val="0"/>
          <w:sz w:val="20"/>
          <w:szCs w:val="20"/>
        </w:rPr>
        <w:t>:</w:t>
      </w:r>
      <w:r w:rsidRPr="00D31B7E">
        <w:rPr>
          <w:rFonts w:cs="Arial"/>
          <w:b w:val="0"/>
          <w:sz w:val="20"/>
          <w:szCs w:val="20"/>
        </w:rPr>
        <w:t xml:space="preserve"> Priloga I ali II), </w:t>
      </w:r>
      <w:bookmarkStart w:id="13" w:name="_Hlk130907209"/>
      <w:r w:rsidRPr="00D31B7E">
        <w:rPr>
          <w:rFonts w:cs="Arial"/>
          <w:b w:val="0"/>
          <w:sz w:val="20"/>
          <w:szCs w:val="20"/>
        </w:rPr>
        <w:t>ki sta sestavni del tega zakona, če imajo vsaj 50 zaposlenih in letni promet ali letno bilančno vsoto vsaj 10 milijonov evrov</w:t>
      </w:r>
      <w:bookmarkEnd w:id="13"/>
      <w:r w:rsidRPr="00D31B7E">
        <w:rPr>
          <w:rFonts w:cs="Arial"/>
          <w:b w:val="0"/>
          <w:sz w:val="20"/>
          <w:szCs w:val="20"/>
        </w:rPr>
        <w:t xml:space="preserve">. Kaj je bilo pri tem nejasno, pripomba sicer ne pojasni. V predlogu ZInfV-1 gre </w:t>
      </w:r>
      <w:r>
        <w:rPr>
          <w:rFonts w:cs="Arial"/>
          <w:b w:val="0"/>
          <w:sz w:val="20"/>
          <w:szCs w:val="20"/>
        </w:rPr>
        <w:t>z</w:t>
      </w:r>
      <w:r w:rsidRPr="00D31B7E">
        <w:rPr>
          <w:rFonts w:cs="Arial"/>
          <w:b w:val="0"/>
          <w:sz w:val="20"/>
          <w:szCs w:val="20"/>
        </w:rPr>
        <w:t>daj sicer za prvi odstavek 6. člena (zavezanci), ki se glasi: »Zavezanci po tem zakonu so subjekti, ki spadajo med vrste subjektov iz Prilog 1 ali Priloge 2, ki sta kot Prilogi sestavni del tega zakona (v nadaljnjem besedilu: Priloga 1 ali 2</w:t>
      </w:r>
      <w:r>
        <w:rPr>
          <w:rFonts w:cs="Arial"/>
          <w:b w:val="0"/>
          <w:sz w:val="20"/>
          <w:szCs w:val="20"/>
        </w:rPr>
        <w:t xml:space="preserve"> tega zakona</w:t>
      </w:r>
      <w:r w:rsidRPr="00D31B7E">
        <w:rPr>
          <w:rFonts w:cs="Arial"/>
          <w:b w:val="0"/>
          <w:sz w:val="20"/>
          <w:szCs w:val="20"/>
        </w:rPr>
        <w:t xml:space="preserve">), če imajo vsaj 50 zaposlenih in letni promet ali letno bilančno vsoto vsaj 10 milijonov eurov.«, za kar menimo, da je </w:t>
      </w:r>
      <w:r>
        <w:rPr>
          <w:rFonts w:cs="Arial"/>
          <w:b w:val="0"/>
          <w:sz w:val="20"/>
          <w:szCs w:val="20"/>
        </w:rPr>
        <w:t>z</w:t>
      </w:r>
      <w:r w:rsidRPr="00D31B7E">
        <w:rPr>
          <w:rFonts w:cs="Arial"/>
          <w:b w:val="0"/>
          <w:sz w:val="20"/>
          <w:szCs w:val="20"/>
        </w:rPr>
        <w:t xml:space="preserve">daj bolje umeščeno in bolj jasno, v preostalem pa pripomba ni bila upoštevana; </w:t>
      </w:r>
    </w:p>
    <w:p w14:paraId="09AFCD1E" w14:textId="77777777" w:rsidR="000A51A5" w:rsidRPr="00D31B7E" w:rsidRDefault="000A51A5" w:rsidP="000A51A5">
      <w:pPr>
        <w:pStyle w:val="lennaslov0"/>
        <w:spacing w:line="276" w:lineRule="auto"/>
        <w:ind w:left="360"/>
        <w:jc w:val="both"/>
        <w:rPr>
          <w:rFonts w:cs="Arial"/>
          <w:b w:val="0"/>
          <w:sz w:val="20"/>
          <w:szCs w:val="20"/>
        </w:rPr>
      </w:pPr>
    </w:p>
    <w:p w14:paraId="385CAB00"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r w:rsidRPr="00D31B7E">
        <w:rPr>
          <w:rFonts w:cs="Arial"/>
          <w:b w:val="0"/>
          <w:sz w:val="20"/>
          <w:szCs w:val="20"/>
        </w:rPr>
        <w:t>k petem</w:t>
      </w:r>
      <w:r>
        <w:rPr>
          <w:rFonts w:cs="Arial"/>
          <w:b w:val="0"/>
          <w:sz w:val="20"/>
          <w:szCs w:val="20"/>
        </w:rPr>
        <w:t>u</w:t>
      </w:r>
      <w:r w:rsidRPr="00D31B7E">
        <w:rPr>
          <w:rFonts w:cs="Arial"/>
          <w:b w:val="0"/>
          <w:sz w:val="20"/>
          <w:szCs w:val="20"/>
        </w:rPr>
        <w:t xml:space="preserve"> odstavku 4. člena (obdelava podatkov in informacij) SOEK navaja, da se po tej določbi podatki in informacije, ki se obdelujejo po tem zakonu in so vitalni za nacionalni interes, ne smejo iznašati izven Republike Slovenije. Iz člena sicer izhaja, da velja prepoved za organe državne uprave, vendar je treba določbo zaradi pomembnosti ponovno </w:t>
      </w:r>
      <w:r>
        <w:rPr>
          <w:rFonts w:cs="Arial"/>
          <w:b w:val="0"/>
          <w:sz w:val="20"/>
          <w:szCs w:val="20"/>
        </w:rPr>
        <w:t xml:space="preserve">prebrati in </w:t>
      </w:r>
      <w:r w:rsidRPr="00D31B7E">
        <w:rPr>
          <w:rFonts w:cs="Arial"/>
          <w:b w:val="0"/>
          <w:sz w:val="20"/>
          <w:szCs w:val="20"/>
        </w:rPr>
        <w:t>pr</w:t>
      </w:r>
      <w:r>
        <w:rPr>
          <w:rFonts w:cs="Arial"/>
          <w:b w:val="0"/>
          <w:sz w:val="20"/>
          <w:szCs w:val="20"/>
        </w:rPr>
        <w:t>o</w:t>
      </w:r>
      <w:r w:rsidRPr="00D31B7E">
        <w:rPr>
          <w:rFonts w:cs="Arial"/>
          <w:b w:val="0"/>
          <w:sz w:val="20"/>
          <w:szCs w:val="20"/>
        </w:rPr>
        <w:t>učiti,</w:t>
      </w:r>
      <w:r>
        <w:rPr>
          <w:rFonts w:cs="Arial"/>
          <w:b w:val="0"/>
          <w:sz w:val="20"/>
          <w:szCs w:val="20"/>
        </w:rPr>
        <w:t xml:space="preserve"> </w:t>
      </w:r>
      <w:r w:rsidRPr="00D31B7E">
        <w:rPr>
          <w:rFonts w:cs="Arial"/>
          <w:b w:val="0"/>
          <w:sz w:val="20"/>
          <w:szCs w:val="20"/>
        </w:rPr>
        <w:t>kaj je želel predlagatelj predpisati</w:t>
      </w:r>
      <w:r>
        <w:rPr>
          <w:rFonts w:cs="Arial"/>
          <w:b w:val="0"/>
          <w:sz w:val="20"/>
          <w:szCs w:val="20"/>
        </w:rPr>
        <w:t>, ter</w:t>
      </w:r>
      <w:r w:rsidRPr="00D31B7E">
        <w:rPr>
          <w:rFonts w:cs="Arial"/>
          <w:b w:val="0"/>
          <w:sz w:val="20"/>
          <w:szCs w:val="20"/>
        </w:rPr>
        <w:t xml:space="preserve"> to jasneje zapisati. Pojasnjujemo, da je z vidika jasnosti zadevno besedilo izboljšano</w:t>
      </w:r>
      <w:r>
        <w:rPr>
          <w:rFonts w:cs="Arial"/>
          <w:b w:val="0"/>
          <w:sz w:val="20"/>
          <w:szCs w:val="20"/>
        </w:rPr>
        <w:t xml:space="preserve"> in da se v</w:t>
      </w:r>
      <w:r w:rsidRPr="00D31B7E">
        <w:rPr>
          <w:rFonts w:cs="Arial"/>
          <w:b w:val="0"/>
          <w:sz w:val="20"/>
          <w:szCs w:val="20"/>
        </w:rPr>
        <w:t xml:space="preserve"> predlogu ZInfV-1 peti odstavek 4. člena </w:t>
      </w:r>
      <w:r>
        <w:rPr>
          <w:rFonts w:cs="Arial"/>
          <w:b w:val="0"/>
          <w:sz w:val="20"/>
          <w:szCs w:val="20"/>
        </w:rPr>
        <w:t>z</w:t>
      </w:r>
      <w:r w:rsidRPr="00D31B7E">
        <w:rPr>
          <w:rFonts w:cs="Arial"/>
          <w:b w:val="0"/>
          <w:sz w:val="20"/>
          <w:szCs w:val="20"/>
        </w:rPr>
        <w:t xml:space="preserve">daj glasi: »Obveznost izmenjave podatkov in informacij </w:t>
      </w:r>
      <w:r>
        <w:rPr>
          <w:rFonts w:cs="Arial"/>
          <w:b w:val="0"/>
          <w:sz w:val="20"/>
          <w:szCs w:val="20"/>
        </w:rPr>
        <w:t>zunaj</w:t>
      </w:r>
      <w:r w:rsidRPr="00D31B7E">
        <w:rPr>
          <w:rFonts w:cs="Arial"/>
          <w:b w:val="0"/>
          <w:sz w:val="20"/>
          <w:szCs w:val="20"/>
        </w:rPr>
        <w:t xml:space="preserve"> Republike Slovenije na podlagi tega zakona ne </w:t>
      </w:r>
      <w:r>
        <w:rPr>
          <w:rFonts w:cs="Arial"/>
          <w:b w:val="0"/>
          <w:sz w:val="20"/>
          <w:szCs w:val="20"/>
        </w:rPr>
        <w:t>velja za</w:t>
      </w:r>
      <w:r w:rsidRPr="00D31B7E">
        <w:rPr>
          <w:rFonts w:cs="Arial"/>
          <w:b w:val="0"/>
          <w:sz w:val="20"/>
          <w:szCs w:val="20"/>
        </w:rPr>
        <w:t xml:space="preserve"> subjekt</w:t>
      </w:r>
      <w:r>
        <w:rPr>
          <w:rFonts w:cs="Arial"/>
          <w:b w:val="0"/>
          <w:sz w:val="20"/>
          <w:szCs w:val="20"/>
        </w:rPr>
        <w:t>e</w:t>
      </w:r>
      <w:r w:rsidRPr="00D31B7E">
        <w:rPr>
          <w:rFonts w:cs="Arial"/>
          <w:b w:val="0"/>
          <w:sz w:val="20"/>
          <w:szCs w:val="20"/>
        </w:rPr>
        <w:t xml:space="preserve"> javne uprave, ki izvajajo dejavnosti s področja nacionalne varnosti, </w:t>
      </w:r>
      <w:r>
        <w:rPr>
          <w:rFonts w:cs="Arial"/>
          <w:b w:val="0"/>
          <w:sz w:val="20"/>
          <w:szCs w:val="20"/>
        </w:rPr>
        <w:t>pri čemer bi</w:t>
      </w:r>
      <w:r w:rsidRPr="00D31B7E">
        <w:rPr>
          <w:rFonts w:cs="Arial"/>
          <w:b w:val="0"/>
          <w:sz w:val="20"/>
          <w:szCs w:val="20"/>
        </w:rPr>
        <w:t xml:space="preserve"> razkritje </w:t>
      </w:r>
      <w:r>
        <w:rPr>
          <w:rFonts w:cs="Arial"/>
          <w:b w:val="0"/>
          <w:sz w:val="20"/>
          <w:szCs w:val="20"/>
        </w:rPr>
        <w:t xml:space="preserve">teh podatkov in informacij </w:t>
      </w:r>
      <w:r w:rsidRPr="00D31B7E">
        <w:rPr>
          <w:rFonts w:cs="Arial"/>
          <w:b w:val="0"/>
          <w:sz w:val="20"/>
          <w:szCs w:val="20"/>
        </w:rPr>
        <w:t>ogrozilo vitalne interese Republike Slovenije.«. Pri tem je bila z vidika jasnosti v 5. členu (pomen izrazov) predloga ZInfV-1 dodana 29. točka, ki se glasi: »</w:t>
      </w:r>
      <w:r>
        <w:rPr>
          <w:rFonts w:cs="Arial"/>
          <w:b w:val="0"/>
          <w:sz w:val="20"/>
          <w:szCs w:val="20"/>
        </w:rPr>
        <w:t>o</w:t>
      </w:r>
      <w:r w:rsidRPr="00D31B7E">
        <w:rPr>
          <w:rFonts w:cs="Arial"/>
          <w:b w:val="0"/>
          <w:sz w:val="20"/>
          <w:szCs w:val="20"/>
        </w:rPr>
        <w:t xml:space="preserve">grožanje vitalnih interesov Republike Slovenije je ogrožanje njene ustavne ureditve, neodvisnosti, ozemeljske celovitosti, obrambne sposobnosti in javne varnosti.«; </w:t>
      </w:r>
    </w:p>
    <w:p w14:paraId="5618F431" w14:textId="77777777" w:rsidR="000A51A5" w:rsidRPr="00D31B7E" w:rsidRDefault="000A51A5" w:rsidP="000A51A5">
      <w:pPr>
        <w:pStyle w:val="lennaslov0"/>
        <w:spacing w:line="276" w:lineRule="auto"/>
        <w:jc w:val="both"/>
        <w:rPr>
          <w:rFonts w:cs="Arial"/>
          <w:b w:val="0"/>
          <w:sz w:val="20"/>
          <w:szCs w:val="20"/>
        </w:rPr>
      </w:pPr>
    </w:p>
    <w:p w14:paraId="165CE9CC" w14:textId="77777777" w:rsidR="000A51A5" w:rsidRPr="00D31B7E" w:rsidRDefault="000A51A5" w:rsidP="000A51A5">
      <w:pPr>
        <w:pStyle w:val="lennaslov0"/>
        <w:numPr>
          <w:ilvl w:val="0"/>
          <w:numId w:val="17"/>
        </w:numPr>
        <w:spacing w:line="276" w:lineRule="auto"/>
        <w:ind w:left="786"/>
        <w:jc w:val="both"/>
        <w:rPr>
          <w:rFonts w:cs="Arial"/>
          <w:b w:val="0"/>
          <w:sz w:val="20"/>
          <w:szCs w:val="20"/>
        </w:rPr>
      </w:pPr>
      <w:bookmarkStart w:id="14" w:name="_Hlk190794407"/>
      <w:r w:rsidRPr="00D31B7E">
        <w:rPr>
          <w:rFonts w:cs="Arial"/>
          <w:b w:val="0"/>
          <w:sz w:val="20"/>
          <w:szCs w:val="20"/>
        </w:rPr>
        <w:t xml:space="preserve">k 5. členu (pomen izrazov) SeKV: </w:t>
      </w:r>
    </w:p>
    <w:bookmarkEnd w:id="14"/>
    <w:p w14:paraId="05820377"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predlaga</w:t>
      </w:r>
      <w:r>
        <w:rPr>
          <w:rFonts w:cs="Arial"/>
          <w:szCs w:val="20"/>
          <w:lang w:val="sl-SI"/>
        </w:rPr>
        <w:t>,</w:t>
      </w:r>
      <w:r w:rsidRPr="00D31B7E">
        <w:rPr>
          <w:rFonts w:cs="Arial"/>
          <w:szCs w:val="20"/>
          <w:lang w:val="sl-SI"/>
        </w:rPr>
        <w:t xml:space="preserve"> naj se v 2. točki beseda »računalniške« zaradi poenotenja zamenja z besedo »informacijske«. Pojasnjujemo, da gre pri CSIRT iz 2. točke za kratico angleškega besedila »computer security incident response team«, kar je v slovenskem prevodu »skupina za odzivanje na incidente na področju računalniške varnosti«. Gre torej za ime zadevne skupine ali skupin, ki se v Direktivi</w:t>
      </w:r>
      <w:r>
        <w:rPr>
          <w:rFonts w:cs="Arial"/>
          <w:szCs w:val="20"/>
          <w:lang w:val="sl-SI"/>
        </w:rPr>
        <w:t xml:space="preserve"> </w:t>
      </w:r>
      <w:r w:rsidRPr="00D31B7E">
        <w:rPr>
          <w:rFonts w:cs="Arial"/>
          <w:szCs w:val="20"/>
          <w:lang w:val="sl-SI"/>
        </w:rPr>
        <w:t>2022/2555/EU (t.</w:t>
      </w:r>
      <w:r>
        <w:rPr>
          <w:rFonts w:cs="Arial"/>
          <w:szCs w:val="20"/>
          <w:lang w:val="sl-SI"/>
        </w:rPr>
        <w:t xml:space="preserve"> </w:t>
      </w:r>
      <w:r w:rsidRPr="00D31B7E">
        <w:rPr>
          <w:rFonts w:cs="Arial"/>
          <w:szCs w:val="20"/>
          <w:lang w:val="sl-SI"/>
        </w:rPr>
        <w:t xml:space="preserve">i. Direktiva NIS 2) dosledno uporablja tako v angleški kot v slovenski različici te direktive. To je razvidno iz uvodnih izjav (glej npr. uvodno izjavo 9) </w:t>
      </w:r>
      <w:r>
        <w:rPr>
          <w:rFonts w:cs="Arial"/>
          <w:szCs w:val="20"/>
          <w:lang w:val="sl-SI"/>
        </w:rPr>
        <w:t>in</w:t>
      </w:r>
      <w:r w:rsidRPr="00D31B7E">
        <w:rPr>
          <w:rFonts w:cs="Arial"/>
          <w:szCs w:val="20"/>
          <w:lang w:val="sl-SI"/>
        </w:rPr>
        <w:t xml:space="preserve"> iz določb Direktive 2022/2555/EU</w:t>
      </w:r>
      <w:r>
        <w:rPr>
          <w:rFonts w:cs="Arial"/>
          <w:szCs w:val="20"/>
          <w:lang w:val="sl-SI"/>
        </w:rPr>
        <w:t xml:space="preserve"> ter</w:t>
      </w:r>
      <w:r w:rsidRPr="00D31B7E">
        <w:rPr>
          <w:rFonts w:cs="Arial"/>
          <w:szCs w:val="20"/>
          <w:lang w:val="sl-SI"/>
        </w:rPr>
        <w:t xml:space="preserve"> izhaja primeroma iz točke (a) drugega odstavka 1. člena pa tudi iz naslova 10. člena prej navedene direktive, ki se glasi »Skupine za odzivanje na incidente na področju računalniške varnosti (skupine CSIRT)«. Zaradi prenosa Direktive 2022/2555/EU se tako upošteva ime zadevne skupine oziroma skupin, kot je to navedeno v zadevni direktivi. Pripomba zato ni bila upoštevana; </w:t>
      </w:r>
    </w:p>
    <w:p w14:paraId="67CBA33A"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predlaga</w:t>
      </w:r>
      <w:r>
        <w:rPr>
          <w:rFonts w:cs="Arial"/>
          <w:szCs w:val="20"/>
          <w:lang w:val="sl-SI"/>
        </w:rPr>
        <w:t>,</w:t>
      </w:r>
      <w:r w:rsidRPr="00D31B7E">
        <w:rPr>
          <w:rFonts w:cs="Arial"/>
          <w:szCs w:val="20"/>
          <w:lang w:val="sl-SI"/>
        </w:rPr>
        <w:t xml:space="preserve"> naj se 39. točka spremeni tako, da se glasi: »Preizkušeni revizor pomeni preizkušenega revizorja informacijskih sistemov, ki je pridobil strokovni naziv pri Slovenskem inštitutu za revizijo in je vpisan v njegov register aktivnih preizkušenih revizorjev informacijskih sistemov.« Predlagajo tudi dodat</w:t>
      </w:r>
      <w:r>
        <w:rPr>
          <w:rFonts w:cs="Arial"/>
          <w:szCs w:val="20"/>
          <w:lang w:val="sl-SI"/>
        </w:rPr>
        <w:t>e</w:t>
      </w:r>
      <w:r w:rsidRPr="00D31B7E">
        <w:rPr>
          <w:rFonts w:cs="Arial"/>
          <w:szCs w:val="20"/>
          <w:lang w:val="sl-SI"/>
        </w:rPr>
        <w:t xml:space="preserve">n premislek glede določbe, ki določa Slovenski inštitut za revizijo kot edini organ, pri katerem je možno pridobiti strokovni naziv. Uveljavitev te določbe bi lahko vodila v omejevanje konkurence. Pripomba je bila delno upoštevana na način, kot smo to opisali zgoraj pri pripombi </w:t>
      </w:r>
      <w:r w:rsidRPr="00D914BF">
        <w:rPr>
          <w:rFonts w:cs="Arial"/>
          <w:szCs w:val="20"/>
          <w:lang w:val="sl-SI"/>
        </w:rPr>
        <w:t>društva ISACA prav tako k 39. točki</w:t>
      </w:r>
      <w:r>
        <w:rPr>
          <w:rFonts w:cs="Arial"/>
          <w:szCs w:val="20"/>
          <w:lang w:val="sl-SI"/>
        </w:rPr>
        <w:t>. Glede</w:t>
      </w:r>
      <w:r w:rsidRPr="00D914BF">
        <w:rPr>
          <w:rFonts w:cs="Arial"/>
          <w:szCs w:val="20"/>
          <w:lang w:val="sl-SI"/>
        </w:rPr>
        <w:t xml:space="preserve"> Slovenskega inštituta za revizijo, </w:t>
      </w:r>
      <w:r w:rsidRPr="00E87342">
        <w:rPr>
          <w:rFonts w:cs="Arial"/>
          <w:szCs w:val="20"/>
          <w:lang w:val="sl-SI"/>
        </w:rPr>
        <w:t xml:space="preserve">pojasnjujemo, da se v predlaganem zakonu </w:t>
      </w:r>
      <w:r>
        <w:rPr>
          <w:rFonts w:cs="Arial"/>
          <w:szCs w:val="20"/>
          <w:lang w:val="sl-SI"/>
        </w:rPr>
        <w:t>želi</w:t>
      </w:r>
      <w:r w:rsidRPr="00E87342">
        <w:rPr>
          <w:rFonts w:cs="Arial"/>
          <w:szCs w:val="20"/>
          <w:lang w:val="sl-SI"/>
        </w:rPr>
        <w:t xml:space="preserve"> upoštevati </w:t>
      </w:r>
      <w:r w:rsidRPr="00D914BF">
        <w:rPr>
          <w:rFonts w:cs="Arial"/>
          <w:szCs w:val="20"/>
          <w:lang w:val="sl-SI"/>
        </w:rPr>
        <w:t>zakon, ki ureja revidiranje</w:t>
      </w:r>
      <w:r w:rsidRPr="00D31B7E">
        <w:rPr>
          <w:rFonts w:cs="Arial"/>
          <w:szCs w:val="20"/>
          <w:lang w:val="sl-SI"/>
        </w:rPr>
        <w:t>. Preizkušeni revizor informacijskih sistemov v našem pravnem redu tako pomeni strokovni naziv, ki se ga pridobi pri Slovenskem inštitutu za revizijo;</w:t>
      </w:r>
    </w:p>
    <w:p w14:paraId="0A41CE5A"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851"/>
        <w:jc w:val="both"/>
        <w:textAlignment w:val="baseline"/>
        <w:rPr>
          <w:rFonts w:cs="Arial"/>
          <w:szCs w:val="20"/>
          <w:lang w:val="sl-SI"/>
        </w:rPr>
      </w:pPr>
      <w:r w:rsidRPr="00D31B7E">
        <w:rPr>
          <w:rFonts w:cs="Arial"/>
          <w:szCs w:val="20"/>
          <w:lang w:val="sl-SI"/>
        </w:rPr>
        <w:t xml:space="preserve">meni, da glede na vsebino 68. in 69. točke ni jasno, na podlagi katerih zakonskih določb se bo ukrepalo zoper posameznika, ki bo </w:t>
      </w:r>
      <w:r>
        <w:rPr>
          <w:rFonts w:cs="Arial"/>
          <w:szCs w:val="20"/>
          <w:lang w:val="sl-SI"/>
        </w:rPr>
        <w:t>»</w:t>
      </w:r>
      <w:r w:rsidRPr="00D31B7E">
        <w:rPr>
          <w:rFonts w:cs="Arial"/>
          <w:szCs w:val="20"/>
          <w:lang w:val="sl-SI"/>
        </w:rPr>
        <w:t>varovani podatek</w:t>
      </w:r>
      <w:r>
        <w:rPr>
          <w:rFonts w:cs="Arial"/>
          <w:szCs w:val="20"/>
          <w:lang w:val="sl-SI"/>
        </w:rPr>
        <w:t>«</w:t>
      </w:r>
      <w:r w:rsidRPr="00D31B7E">
        <w:rPr>
          <w:rFonts w:cs="Arial"/>
          <w:szCs w:val="20"/>
          <w:lang w:val="sl-SI"/>
        </w:rPr>
        <w:t xml:space="preserve"> razkril nepoklicani osebi. </w:t>
      </w:r>
      <w:r>
        <w:rPr>
          <w:rFonts w:cs="Arial"/>
          <w:szCs w:val="20"/>
          <w:lang w:val="sl-SI"/>
        </w:rPr>
        <w:lastRenderedPageBreak/>
        <w:t>»</w:t>
      </w:r>
      <w:r w:rsidRPr="00D31B7E">
        <w:rPr>
          <w:rFonts w:cs="Arial"/>
          <w:szCs w:val="20"/>
          <w:lang w:val="sl-SI"/>
        </w:rPr>
        <w:t>Varovani podatek</w:t>
      </w:r>
      <w:r>
        <w:rPr>
          <w:rFonts w:cs="Arial"/>
          <w:szCs w:val="20"/>
          <w:lang w:val="sl-SI"/>
        </w:rPr>
        <w:t>«</w:t>
      </w:r>
      <w:r w:rsidRPr="00D31B7E">
        <w:rPr>
          <w:rFonts w:cs="Arial"/>
          <w:szCs w:val="20"/>
          <w:lang w:val="sl-SI"/>
        </w:rPr>
        <w:t xml:space="preserve"> ni ena od izjem od dostopa javnosti do informacij organa, ki so določene v 6. členu Zakona o dostopu do informacij javnega značaja (ZDIJZ). Definicija </w:t>
      </w:r>
      <w:r>
        <w:rPr>
          <w:rFonts w:cs="Arial"/>
          <w:szCs w:val="20"/>
          <w:lang w:val="sl-SI"/>
        </w:rPr>
        <w:t>»</w:t>
      </w:r>
      <w:r w:rsidRPr="00D31B7E">
        <w:rPr>
          <w:rFonts w:cs="Arial"/>
          <w:szCs w:val="20"/>
          <w:lang w:val="sl-SI"/>
        </w:rPr>
        <w:t>varovanega podatka</w:t>
      </w:r>
      <w:r>
        <w:rPr>
          <w:rFonts w:cs="Arial"/>
          <w:szCs w:val="20"/>
          <w:lang w:val="sl-SI"/>
        </w:rPr>
        <w:t>«</w:t>
      </w:r>
      <w:r w:rsidRPr="00D31B7E">
        <w:rPr>
          <w:rFonts w:cs="Arial"/>
          <w:szCs w:val="20"/>
          <w:lang w:val="sl-SI"/>
        </w:rPr>
        <w:t xml:space="preserve"> ustreza opredelitvi tajnega podatka stopnje tajnosti INTERNO, ki se nanaša na javno varnost, kot ga opredeljuje Zakon o tajnih podatkih (ZTP). Uvodno ugotavljamo, da je le 68. točka (gre za opredelitev varovanega podatka pristojnega </w:t>
      </w:r>
      <w:r w:rsidRPr="00D914BF">
        <w:rPr>
          <w:rFonts w:cs="Arial"/>
          <w:szCs w:val="20"/>
          <w:lang w:val="sl-SI"/>
        </w:rPr>
        <w:t>nacionalnega organa)</w:t>
      </w:r>
      <w:r w:rsidRPr="00D31B7E">
        <w:rPr>
          <w:rFonts w:cs="Arial"/>
          <w:szCs w:val="20"/>
          <w:lang w:val="sl-SI"/>
        </w:rPr>
        <w:t xml:space="preserve"> osnutka predloga ZInfV-1 v povezavi z dano pripombo. Točka 69 namreč opredeljuje pojem »veščak za informacijsko varnost«, kar je lahko v povezavi kvečjemu s prejšnjo pripombo (k 39. točki). Glede pripombe k 68. točki v delu, ko naj bi po vsebini šlo za opredelitev tajnega podatka stopnje INTERNO, pojasnjujemo, da za to ne gre. V 68. točki (</w:t>
      </w:r>
      <w:r>
        <w:rPr>
          <w:rFonts w:cs="Arial"/>
          <w:szCs w:val="20"/>
          <w:lang w:val="sl-SI"/>
        </w:rPr>
        <w:t>z</w:t>
      </w:r>
      <w:r w:rsidRPr="00D31B7E">
        <w:rPr>
          <w:rFonts w:cs="Arial"/>
          <w:szCs w:val="20"/>
          <w:lang w:val="sl-SI"/>
        </w:rPr>
        <w:t>daj gre za 74. točko</w:t>
      </w:r>
      <w:r>
        <w:rPr>
          <w:rFonts w:cs="Arial"/>
          <w:szCs w:val="20"/>
          <w:lang w:val="sl-SI"/>
        </w:rPr>
        <w:t xml:space="preserve"> tega zakona</w:t>
      </w:r>
      <w:r w:rsidRPr="00D31B7E">
        <w:rPr>
          <w:rFonts w:cs="Arial"/>
          <w:szCs w:val="20"/>
          <w:lang w:val="sl-SI"/>
        </w:rPr>
        <w:t xml:space="preserve">) je namreč izrecno navedeno, da gre za podatek, ki ni tajen, zato tak podatek ne spada pod ZTP. S stopnjo INTERNO po ZTP se namreč določi (le) tajni podatek, ki pa ga ZTP tudi posebej opredeljuje med izrazi. Pripomba je bila v preostalem delu sicer upoštevana na način, da je v 66. členu tega predloga ZInfV-1 predlagana dopolnitev Zakona o dostopu do informacij javnega značaja (ZDIJZ) tako, da se v njegovem prvem odstavku 6. člena doda 12. točka (torej dodatna izjema), pri čemer gre za podatek, ki je opredeljen kot varovani podatek pristojnega nacionalnega organa v skladu z zakonom, ki ureja informacijsko varnost. </w:t>
      </w:r>
      <w:r w:rsidRPr="006D7895">
        <w:rPr>
          <w:rFonts w:cs="Arial"/>
          <w:szCs w:val="20"/>
          <w:lang w:val="sl-SI"/>
        </w:rPr>
        <w:t xml:space="preserve">Nadalje </w:t>
      </w:r>
      <w:r>
        <w:rPr>
          <w:rFonts w:cs="Arial"/>
          <w:szCs w:val="20"/>
          <w:lang w:val="sl-SI"/>
        </w:rPr>
        <w:t xml:space="preserve">pri </w:t>
      </w:r>
      <w:r w:rsidRPr="006D7895">
        <w:rPr>
          <w:rFonts w:cs="Arial"/>
          <w:szCs w:val="20"/>
          <w:lang w:val="sl-SI"/>
        </w:rPr>
        <w:t>predlogu ZInfV-1</w:t>
      </w:r>
      <w:r w:rsidRPr="00D31B7E">
        <w:rPr>
          <w:rFonts w:cs="Arial"/>
          <w:szCs w:val="20"/>
          <w:lang w:val="sl-SI"/>
        </w:rPr>
        <w:t xml:space="preserve"> določba 4. člena (obdelava podatkov in informacij) tretji odstavek </w:t>
      </w:r>
      <w:r>
        <w:rPr>
          <w:rFonts w:cs="Arial"/>
          <w:szCs w:val="20"/>
          <w:lang w:val="sl-SI"/>
        </w:rPr>
        <w:t>z</w:t>
      </w:r>
      <w:r w:rsidRPr="00D31B7E">
        <w:rPr>
          <w:rFonts w:cs="Arial"/>
          <w:szCs w:val="20"/>
          <w:lang w:val="sl-SI"/>
        </w:rPr>
        <w:t>daj določa, da podrobnejše organizacijske in logično tehnične postopke ter ukrepe za določanje in varovanje varovanih podatkov pristojnega nacionalnega organa ter vodenja zbirk podatkov, katerih upravljavec je pristojni nacionalni organ, določi vlada. Za nadzor nad izvajanjem določb tega zakona in na njegovi podlagi sprejetih predpisov so po prvem odstavku 45. člena (splošne določbe) pristojni inšpektorji za informacijsko varnost pristojnega nacionalnega organa (torej URSIV), ki v postopku nadzora lahko izdaja tudi odločbe. Nadalje tako določba trinajstega odstavka 46. člena (nadzor bistvenih subjektov) kot tudi določba sedmega odstavka 47. člena (nadzor pomembnih subjektov) urejata upravno izvršbo izvršljivih odločb</w:t>
      </w:r>
      <w:r>
        <w:rPr>
          <w:rFonts w:cs="Arial"/>
          <w:szCs w:val="20"/>
          <w:lang w:val="sl-SI"/>
        </w:rPr>
        <w:t>,</w:t>
      </w:r>
      <w:r w:rsidRPr="00D31B7E">
        <w:rPr>
          <w:rFonts w:cs="Arial"/>
          <w:szCs w:val="20"/>
          <w:lang w:val="sl-SI"/>
        </w:rPr>
        <w:t xml:space="preserve"> izdanih v postopku nadzora</w:t>
      </w:r>
      <w:r>
        <w:rPr>
          <w:rFonts w:cs="Arial"/>
          <w:szCs w:val="20"/>
          <w:lang w:val="sl-SI"/>
        </w:rPr>
        <w:t>,</w:t>
      </w:r>
      <w:r w:rsidRPr="00D31B7E">
        <w:rPr>
          <w:rFonts w:cs="Arial"/>
          <w:szCs w:val="20"/>
          <w:lang w:val="sl-SI"/>
        </w:rPr>
        <w:t xml:space="preserve"> in pri tem uporabo prisilnih ukrepov z izrekanjem denarnih kazni. V primeru kršitev dolžnega ravnanja </w:t>
      </w:r>
      <w:r>
        <w:rPr>
          <w:rFonts w:cs="Arial"/>
          <w:szCs w:val="20"/>
          <w:lang w:val="sl-SI"/>
        </w:rPr>
        <w:t>glede</w:t>
      </w:r>
      <w:r w:rsidRPr="00D31B7E">
        <w:rPr>
          <w:rFonts w:cs="Arial"/>
          <w:szCs w:val="20"/>
          <w:lang w:val="sl-SI"/>
        </w:rPr>
        <w:t xml:space="preserve"> varovani</w:t>
      </w:r>
      <w:r>
        <w:rPr>
          <w:rFonts w:cs="Arial"/>
          <w:szCs w:val="20"/>
          <w:lang w:val="sl-SI"/>
        </w:rPr>
        <w:t>h</w:t>
      </w:r>
      <w:r w:rsidRPr="00D31B7E">
        <w:rPr>
          <w:rFonts w:cs="Arial"/>
          <w:szCs w:val="20"/>
          <w:lang w:val="sl-SI"/>
        </w:rPr>
        <w:t xml:space="preserve"> podatk</w:t>
      </w:r>
      <w:r>
        <w:rPr>
          <w:rFonts w:cs="Arial"/>
          <w:szCs w:val="20"/>
          <w:lang w:val="sl-SI"/>
        </w:rPr>
        <w:t>ov</w:t>
      </w:r>
      <w:r w:rsidRPr="00D31B7E">
        <w:rPr>
          <w:rFonts w:cs="Arial"/>
          <w:szCs w:val="20"/>
          <w:lang w:val="sl-SI"/>
        </w:rPr>
        <w:t xml:space="preserve"> pristojnega nacionalnega organa s strani zaposlenih pristojnega nacionalnega organa, pa je to lahko predmet ukrepanja v skladu z delovno pravno zakonodajo in pogodbo o zaposlitvi; </w:t>
      </w:r>
    </w:p>
    <w:p w14:paraId="199603DA" w14:textId="77777777" w:rsidR="000A51A5" w:rsidRPr="00D31B7E" w:rsidRDefault="000A51A5" w:rsidP="000A51A5">
      <w:pPr>
        <w:pStyle w:val="Odstavekseznama"/>
        <w:widowControl w:val="0"/>
        <w:overflowPunct w:val="0"/>
        <w:autoSpaceDE w:val="0"/>
        <w:autoSpaceDN w:val="0"/>
        <w:adjustRightInd w:val="0"/>
        <w:spacing w:after="240" w:line="276" w:lineRule="auto"/>
        <w:ind w:left="851"/>
        <w:jc w:val="both"/>
        <w:textAlignment w:val="baseline"/>
        <w:rPr>
          <w:rFonts w:cs="Arial"/>
          <w:szCs w:val="20"/>
          <w:lang w:val="sl-SI"/>
        </w:rPr>
      </w:pPr>
    </w:p>
    <w:p w14:paraId="2B1E7BAB"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bookmarkStart w:id="15" w:name="_Hlk190861633"/>
      <w:r w:rsidRPr="00D31B7E">
        <w:rPr>
          <w:rFonts w:cs="Arial"/>
          <w:szCs w:val="20"/>
          <w:lang w:val="sl-SI"/>
        </w:rPr>
        <w:t>k drugemu odstavku 6. člena (zavezanci) SeKV:</w:t>
      </w:r>
    </w:p>
    <w:p w14:paraId="4B7B0ECF"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meni, da iz določb drugega odstavka ni dovolj razvidno</w:t>
      </w:r>
      <w:r>
        <w:rPr>
          <w:rFonts w:cs="Arial"/>
          <w:szCs w:val="20"/>
          <w:lang w:val="sl-SI"/>
        </w:rPr>
        <w:t>,</w:t>
      </w:r>
      <w:r w:rsidRPr="00D31B7E">
        <w:rPr>
          <w:rFonts w:cs="Arial"/>
          <w:szCs w:val="20"/>
          <w:lang w:val="sl-SI"/>
        </w:rPr>
        <w:t xml:space="preserve"> ali gre za javne ali zasebne subjekte, ki imajo vsaj 50 zaposlenih in letni promet ali letno bilančno vsoto vsaj 10 milijonov evrov. Pripomba je bila upoštevana na način, da je v predlogu ZInfV-1 v 5. členu (pomen izrazov) </w:t>
      </w:r>
      <w:r>
        <w:rPr>
          <w:rFonts w:cs="Arial"/>
          <w:szCs w:val="20"/>
          <w:lang w:val="sl-SI"/>
        </w:rPr>
        <w:t>z</w:t>
      </w:r>
      <w:r w:rsidRPr="00D31B7E">
        <w:rPr>
          <w:rFonts w:cs="Arial"/>
          <w:szCs w:val="20"/>
          <w:lang w:val="sl-SI"/>
        </w:rPr>
        <w:t xml:space="preserve">daj določeno, da je subjekt oseba javnega ali zasebnega prava (glej 64. točko); </w:t>
      </w:r>
      <w:bookmarkStart w:id="16" w:name="_Hlk190861603"/>
    </w:p>
    <w:p w14:paraId="4AF4042C"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predlagajo črtanje 5. in 8. točke, ker kriteriji niso določeni, takšno blanketno pooblastilo Vladi za določanje zavezancev</w:t>
      </w:r>
      <w:r>
        <w:rPr>
          <w:rFonts w:cs="Arial"/>
          <w:szCs w:val="20"/>
          <w:lang w:val="sl-SI"/>
        </w:rPr>
        <w:t xml:space="preserve"> pa</w:t>
      </w:r>
      <w:r w:rsidRPr="00D31B7E">
        <w:rPr>
          <w:rFonts w:cs="Arial"/>
          <w:szCs w:val="20"/>
          <w:lang w:val="sl-SI"/>
        </w:rPr>
        <w:t xml:space="preserve"> naj bi bilo v nasprotju </w:t>
      </w:r>
      <w:r>
        <w:rPr>
          <w:rFonts w:cs="Arial"/>
          <w:szCs w:val="20"/>
          <w:lang w:val="sl-SI"/>
        </w:rPr>
        <w:t>s</w:t>
      </w:r>
      <w:r w:rsidRPr="00D31B7E">
        <w:rPr>
          <w:rFonts w:cs="Arial"/>
          <w:szCs w:val="20"/>
          <w:lang w:val="sl-SI"/>
        </w:rPr>
        <w:t xml:space="preserve"> 120. in 87. členom Ustave</w:t>
      </w:r>
      <w:bookmarkEnd w:id="15"/>
      <w:r w:rsidRPr="00D31B7E">
        <w:rPr>
          <w:rFonts w:cs="Arial"/>
          <w:szCs w:val="20"/>
          <w:lang w:val="sl-SI"/>
        </w:rPr>
        <w:t>. V zvezi s podano pripomb</w:t>
      </w:r>
      <w:r>
        <w:rPr>
          <w:rFonts w:cs="Arial"/>
          <w:szCs w:val="20"/>
          <w:lang w:val="sl-SI"/>
        </w:rPr>
        <w:t>o</w:t>
      </w:r>
      <w:r w:rsidRPr="00D31B7E">
        <w:rPr>
          <w:rFonts w:cs="Arial"/>
          <w:szCs w:val="20"/>
          <w:lang w:val="sl-SI"/>
        </w:rPr>
        <w:t xml:space="preserve"> pojasnjujemo, da je bila upoštevana na način, kot je razviden v tem predlogu ZInfV-1 pri sedanjem 6. (zavezanci) in 7. členu (bistveni in pomembni subjekti). V 7. členu se </w:t>
      </w:r>
      <w:r>
        <w:rPr>
          <w:rFonts w:cs="Arial"/>
          <w:szCs w:val="20"/>
          <w:lang w:val="sl-SI"/>
        </w:rPr>
        <w:t>z</w:t>
      </w:r>
      <w:r w:rsidRPr="00D31B7E">
        <w:rPr>
          <w:rFonts w:cs="Arial"/>
          <w:szCs w:val="20"/>
          <w:lang w:val="sl-SI"/>
        </w:rPr>
        <w:t>daj 5. točka (»vsi drugi subjekti vrste iz Prilog 1 ali 2</w:t>
      </w:r>
      <w:r>
        <w:rPr>
          <w:rFonts w:cs="Arial"/>
          <w:szCs w:val="20"/>
          <w:lang w:val="sl-SI"/>
        </w:rPr>
        <w:t xml:space="preserve"> tega zakona</w:t>
      </w:r>
      <w:r w:rsidRPr="00D31B7E">
        <w:rPr>
          <w:rFonts w:cs="Arial"/>
          <w:szCs w:val="20"/>
          <w:lang w:val="sl-SI"/>
        </w:rPr>
        <w:t xml:space="preserve">, ki jih na podlagi 2. do 5. točke drugega odstavka prejšnjega člena tega zakona in na predlog pristojnega nacionalnega organa določi vlada«) sklicuje na 2. do 5. točko drugega odstavka prejšnjega (torej 6. člena), ki pa določa kriterije oziroma pogoje. Glede </w:t>
      </w:r>
      <w:r>
        <w:rPr>
          <w:rFonts w:cs="Arial"/>
          <w:szCs w:val="20"/>
          <w:lang w:val="sl-SI"/>
        </w:rPr>
        <w:t>zdaj</w:t>
      </w:r>
      <w:r w:rsidRPr="00D31B7E">
        <w:rPr>
          <w:rFonts w:cs="Arial"/>
          <w:szCs w:val="20"/>
          <w:lang w:val="sl-SI"/>
        </w:rPr>
        <w:t xml:space="preserve"> 7. točke (»subjekti iz sektorja 9. Upravljanje storitev IKT iz Priloge 1 in niso subjekti iz 1. do 6. točke tega odstavka, ki jih na predlog pristojnega nacionalnega organa določi vlada«) predloga ZInfV-1 pojasnjujemo, da iz četrtega odstavka 7. člena predloga ZInfV-1 </w:t>
      </w:r>
      <w:r>
        <w:rPr>
          <w:rFonts w:cs="Arial"/>
          <w:szCs w:val="20"/>
          <w:lang w:val="sl-SI"/>
        </w:rPr>
        <w:t>trenutno</w:t>
      </w:r>
      <w:r w:rsidRPr="00D31B7E">
        <w:rPr>
          <w:rFonts w:cs="Arial"/>
          <w:szCs w:val="20"/>
          <w:lang w:val="sl-SI"/>
        </w:rPr>
        <w:t xml:space="preserve"> izhaja, da za izvajanje 7. točke drugega odstavka tega člena Banka Slovenije, Agencija za trg vrednostnih papirjev in Agencija za zavarovalni nadzor pošljejo pristojnemu nacionalnemu organu poimenski seznam </w:t>
      </w:r>
      <w:r w:rsidRPr="00D31B7E">
        <w:rPr>
          <w:rFonts w:cs="Arial"/>
          <w:szCs w:val="20"/>
          <w:lang w:val="sl-SI"/>
        </w:rPr>
        <w:lastRenderedPageBreak/>
        <w:t>subjektov, ki izvajajo zadevne storitve na področju sektorjev 3. Bančništvo ali 4. Infrastrukture finančnega trga iz Priloge 1. Gre torej za jasen pogoj, da prej omenjeni subjekti iz sektorja 9. Upravljanje storitev IKT iz Priloge 1 izvajajo storitve v prej navedenih</w:t>
      </w:r>
      <w:r>
        <w:rPr>
          <w:rFonts w:cs="Arial"/>
          <w:szCs w:val="20"/>
          <w:lang w:val="sl-SI"/>
        </w:rPr>
        <w:t xml:space="preserve"> </w:t>
      </w:r>
      <w:r w:rsidRPr="00D31B7E">
        <w:rPr>
          <w:rFonts w:cs="Arial"/>
          <w:szCs w:val="20"/>
          <w:lang w:val="sl-SI"/>
        </w:rPr>
        <w:t xml:space="preserve">sektorjih, torej za subjekte s področja finančnega sektorja, za katere pa veljajo strožje obveznosti, ki izhajajo iz Uredbe 2022/2554/EU, ki zadeva finančni sektor, kot so predvidene v tem zakonu. V zvezi z zagotavljanjem odpornosti subjektov iz finančnega sektorja, ki so zavezanci po Uredbi 2022/2554/EU, ki je bila sprejeta </w:t>
      </w:r>
      <w:r>
        <w:rPr>
          <w:rFonts w:cs="Arial"/>
          <w:szCs w:val="20"/>
          <w:lang w:val="sl-SI"/>
        </w:rPr>
        <w:t>hkrati</w:t>
      </w:r>
      <w:r w:rsidRPr="00D31B7E">
        <w:rPr>
          <w:rFonts w:cs="Arial"/>
          <w:szCs w:val="20"/>
          <w:lang w:val="sl-SI"/>
        </w:rPr>
        <w:t xml:space="preserve"> kot Direktiva 2022/2555 (minimalne harmonizacije, ki se prenaša s tem zakonom)</w:t>
      </w:r>
      <w:r>
        <w:rPr>
          <w:rFonts w:cs="Arial"/>
          <w:szCs w:val="20"/>
          <w:lang w:val="sl-SI"/>
        </w:rPr>
        <w:t>,</w:t>
      </w:r>
      <w:r w:rsidRPr="00D31B7E">
        <w:rPr>
          <w:rFonts w:cs="Arial"/>
          <w:szCs w:val="20"/>
          <w:lang w:val="sl-SI"/>
        </w:rPr>
        <w:t xml:space="preserve"> in ob zasledovanju cilja medsebojne usklajenosti je namreč treba zagotoviti, da se tudi subjekti iz sektorja 9. Upravljanje storitev IKT iz Priloge 1, ki niso subjekti iz 1. do 6. točke tega odstavka (torej niso že na tej podlagi določeni za bistvene subjekte), če izvajajo zadevne storitve za subjekte iz finančnega sektorja</w:t>
      </w:r>
      <w:r>
        <w:rPr>
          <w:rFonts w:cs="Arial"/>
          <w:szCs w:val="20"/>
          <w:lang w:val="sl-SI"/>
        </w:rPr>
        <w:t>,</w:t>
      </w:r>
      <w:r w:rsidRPr="00D31B7E">
        <w:rPr>
          <w:rFonts w:cs="Arial"/>
          <w:szCs w:val="20"/>
          <w:lang w:val="sl-SI"/>
        </w:rPr>
        <w:t xml:space="preserve"> lahko določijo za bistvene subjekte po predlaganem zakonu. Ob tem seznam takšnih subjektov pošljejo pristojnemu nacionalnemu organu le pristojni organi iz finančnega sektorja; </w:t>
      </w:r>
      <w:bookmarkEnd w:id="16"/>
    </w:p>
    <w:p w14:paraId="0E50F82F" w14:textId="77777777" w:rsidR="000A51A5" w:rsidRPr="00D31B7E" w:rsidRDefault="000A51A5" w:rsidP="000A51A5">
      <w:pPr>
        <w:pStyle w:val="Odstavekseznama"/>
        <w:widowControl w:val="0"/>
        <w:overflowPunct w:val="0"/>
        <w:autoSpaceDE w:val="0"/>
        <w:autoSpaceDN w:val="0"/>
        <w:adjustRightInd w:val="0"/>
        <w:spacing w:after="240" w:line="276" w:lineRule="auto"/>
        <w:ind w:left="993"/>
        <w:jc w:val="both"/>
        <w:textAlignment w:val="baseline"/>
        <w:rPr>
          <w:rFonts w:cs="Arial"/>
          <w:szCs w:val="20"/>
          <w:lang w:val="sl-SI"/>
        </w:rPr>
      </w:pPr>
    </w:p>
    <w:p w14:paraId="534DE1A3"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prvemu odstavku 7. člena (samoregistracija in seznam zavezancev) SeKV navaja, da ni z nič</w:t>
      </w:r>
      <w:r>
        <w:rPr>
          <w:rFonts w:cs="Arial"/>
          <w:szCs w:val="20"/>
          <w:lang w:val="sl-SI"/>
        </w:rPr>
        <w:t>i</w:t>
      </w:r>
      <w:r w:rsidRPr="00D31B7E">
        <w:rPr>
          <w:rFonts w:cs="Arial"/>
          <w:szCs w:val="20"/>
          <w:lang w:val="sl-SI"/>
        </w:rPr>
        <w:t>mer utemeljena odločitev predlagatelja, da bo</w:t>
      </w:r>
      <w:r>
        <w:rPr>
          <w:rFonts w:cs="Arial"/>
          <w:szCs w:val="20"/>
          <w:lang w:val="sl-SI"/>
        </w:rPr>
        <w:t>sta</w:t>
      </w:r>
      <w:r w:rsidRPr="00D31B7E">
        <w:rPr>
          <w:rFonts w:cs="Arial"/>
          <w:szCs w:val="20"/>
          <w:lang w:val="sl-SI"/>
        </w:rPr>
        <w:t xml:space="preserve"> vzpostavitev in evidentiranje statusa bistvenih in pomembnih subjektov, razen redkih izjem, temeljil</w:t>
      </w:r>
      <w:r>
        <w:rPr>
          <w:rFonts w:cs="Arial"/>
          <w:szCs w:val="20"/>
          <w:lang w:val="sl-SI"/>
        </w:rPr>
        <w:t>a</w:t>
      </w:r>
      <w:r w:rsidRPr="00D31B7E">
        <w:rPr>
          <w:rFonts w:cs="Arial"/>
          <w:szCs w:val="20"/>
          <w:lang w:val="sl-SI"/>
        </w:rPr>
        <w:t xml:space="preserve"> na samoidentifikaciji in samoregistraciji bistvenih in pomembnih subjektov. Menijo, da bi bil učinkovitejši in natančnejši sistem registracije zavezancev, ki bi temeljil na podatkih uradnih evidenc. Kot primer navajajo vodenje registra zavezancev za informacije javnega značaja v ZDIJZ, pri čemer je upravljavec registra in nosilec postopka evidentiranja zavezancev AJPES (členi 3.b, 3.c in 3.d ZDIJZ). Uvodno pojasnjujemo, da gre </w:t>
      </w:r>
      <w:r>
        <w:rPr>
          <w:rFonts w:cs="Arial"/>
          <w:szCs w:val="20"/>
          <w:lang w:val="sl-SI"/>
        </w:rPr>
        <w:t>z</w:t>
      </w:r>
      <w:r w:rsidRPr="00D31B7E">
        <w:rPr>
          <w:rFonts w:cs="Arial"/>
          <w:szCs w:val="20"/>
          <w:lang w:val="sl-SI"/>
        </w:rPr>
        <w:t xml:space="preserve">daj za 8. člen predloga ZInfV-1 (samoregistracija in seznam zavezancev), ki, kot je to navedeno v obrazložitvi predlaganega člena, v slovenski pravni red prenaša določbe tretjega, četrtega in petega odstavka 3. člena Direktive 2022/2555/EU. Pri tem </w:t>
      </w:r>
      <w:r>
        <w:rPr>
          <w:rFonts w:cs="Arial"/>
          <w:szCs w:val="20"/>
          <w:lang w:val="sl-SI"/>
        </w:rPr>
        <w:t>poudarjamo</w:t>
      </w:r>
      <w:r w:rsidRPr="00D31B7E">
        <w:rPr>
          <w:rFonts w:cs="Arial"/>
          <w:szCs w:val="20"/>
          <w:lang w:val="sl-SI"/>
        </w:rPr>
        <w:t>, da zadnji stavek četrtega odstavka prej navedenega člena zadevne direktive izrecno določa, da države članice lahko vzpostavijo nacionalne mehanizme za samoregistracijo subjektov, kar smo sprejeli. Zgoraj navedene določbe zadevne direktive se tako prenašajo z 8. členom predloga ZInfV-1 na način, da po prvem odstavku pristojni nacionalni organ vzpostavi mehanizem za samoregistracijo zavezancev iz 6. člena tega zakona, ki se po drugem odstavku morajo (razen zavezancev iz četrtega odstavka 6. člena tega zakona in subjektov iz prvega odstavka 3. člena tega zakona) registrirati prek tega mehanizma za samoregistracijo</w:t>
      </w:r>
      <w:r>
        <w:rPr>
          <w:rFonts w:cs="Arial"/>
          <w:szCs w:val="20"/>
          <w:lang w:val="sl-SI"/>
        </w:rPr>
        <w:t>,</w:t>
      </w:r>
      <w:r w:rsidRPr="00D31B7E">
        <w:rPr>
          <w:rFonts w:cs="Arial"/>
          <w:szCs w:val="20"/>
          <w:lang w:val="sl-SI"/>
        </w:rPr>
        <w:t xml:space="preserve"> ter določa, katere informacije morajo ob tem podati. Glede na zahtevane informacije, ki jih morajo zavezanci ob samoregistraciji podati, </w:t>
      </w:r>
      <w:r>
        <w:rPr>
          <w:rFonts w:cs="Arial"/>
          <w:szCs w:val="20"/>
          <w:lang w:val="sl-SI"/>
        </w:rPr>
        <w:t>t</w:t>
      </w:r>
      <w:r w:rsidRPr="00D31B7E">
        <w:rPr>
          <w:rFonts w:cs="Arial"/>
          <w:szCs w:val="20"/>
          <w:lang w:val="sl-SI"/>
        </w:rPr>
        <w:t>e ne izhajajo v celoti iz uradnih evidenc. Glede zatrjevane večje natančnosti podatkov, s katerimi upravlja AJPES, pa pojasnjujemo, da je bila z vidika te pripombe dodana določba devetega odstavka 8. člena predloga ZInfV-1, po kateri pristojni nacionalni organ za potrebe izvajanja tega člena brezplačno pridobiva podatke zavezancev iz drugega odstavka tega člena iz zbirke podatkov Poslovni register Slovenije upravljavca AJPES (glej deveti odstav</w:t>
      </w:r>
      <w:r>
        <w:rPr>
          <w:rFonts w:cs="Arial"/>
          <w:szCs w:val="20"/>
          <w:lang w:val="sl-SI"/>
        </w:rPr>
        <w:t>ek</w:t>
      </w:r>
      <w:r w:rsidRPr="00D31B7E">
        <w:rPr>
          <w:rFonts w:cs="Arial"/>
          <w:szCs w:val="20"/>
          <w:lang w:val="sl-SI"/>
        </w:rPr>
        <w:t xml:space="preserve"> 8. člena predloga ZInfV-1). Navedeno bo tako omogočalo tudi preverbo podane samoregistracije zavezancev in seznama bistvenih in pomembnih subjektov pristojnega nacionalnega organa z vidika podatkov, ki jih vodi AJPES;</w:t>
      </w:r>
    </w:p>
    <w:p w14:paraId="6DD61DC0"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tretjemu odstavku</w:t>
      </w:r>
      <w:r>
        <w:rPr>
          <w:rFonts w:cs="Arial"/>
          <w:szCs w:val="20"/>
          <w:lang w:val="sl-SI"/>
        </w:rPr>
        <w:t xml:space="preserve"> </w:t>
      </w:r>
      <w:r w:rsidRPr="00D31B7E">
        <w:rPr>
          <w:rFonts w:cs="Arial"/>
          <w:szCs w:val="20"/>
          <w:lang w:val="sl-SI"/>
        </w:rPr>
        <w:t>15. člena (sodelovanje skupin CSIRT z deležniki zasebnega sektorja) SeKV meni, da ni jasno opredeljena identifikacija skrbnika sistema (kje CSIRT pridobi informacijo o skrbniku sistema). Pripomba je bila upoštevana na način, da v zadevni določbi (</w:t>
      </w:r>
      <w:r>
        <w:rPr>
          <w:rFonts w:cs="Arial"/>
          <w:szCs w:val="20"/>
          <w:lang w:val="sl-SI"/>
        </w:rPr>
        <w:t>z</w:t>
      </w:r>
      <w:r w:rsidRPr="00D31B7E">
        <w:rPr>
          <w:rFonts w:cs="Arial"/>
          <w:szCs w:val="20"/>
          <w:lang w:val="sl-SI"/>
        </w:rPr>
        <w:t>daj gre za tretji odstavek</w:t>
      </w:r>
      <w:r>
        <w:rPr>
          <w:rFonts w:cs="Arial"/>
          <w:szCs w:val="20"/>
          <w:lang w:val="sl-SI"/>
        </w:rPr>
        <w:t xml:space="preserve"> </w:t>
      </w:r>
      <w:r w:rsidRPr="00D31B7E">
        <w:rPr>
          <w:rFonts w:cs="Arial"/>
          <w:szCs w:val="20"/>
          <w:lang w:val="sl-SI"/>
        </w:rPr>
        <w:t>16. člena predloga ZInfV-1) skupina CSIRT, ki zazna ranljivost, ne obvesti več skrbnika sistema</w:t>
      </w:r>
      <w:r>
        <w:rPr>
          <w:rFonts w:cs="Arial"/>
          <w:szCs w:val="20"/>
          <w:lang w:val="sl-SI"/>
        </w:rPr>
        <w:t>,</w:t>
      </w:r>
      <w:r w:rsidRPr="00D31B7E">
        <w:rPr>
          <w:rFonts w:cs="Arial"/>
          <w:szCs w:val="20"/>
          <w:lang w:val="sl-SI"/>
        </w:rPr>
        <w:t xml:space="preserve"> temveč subjekt iz prvega odstavka tega člena (torej zadevni subjekt zasebnega sektorja);</w:t>
      </w:r>
    </w:p>
    <w:p w14:paraId="4A405266"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szCs w:val="20"/>
          <w:lang w:val="sl-SI"/>
        </w:rPr>
      </w:pPr>
    </w:p>
    <w:p w14:paraId="20A5F271"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 xml:space="preserve">k 19. členu (upravljanje) SeKV predlaga dopolnitev 19. člena tako, da pristojni nacionalni </w:t>
      </w:r>
      <w:r w:rsidRPr="00D31B7E">
        <w:rPr>
          <w:rFonts w:cs="Arial"/>
          <w:szCs w:val="20"/>
          <w:lang w:val="sl-SI"/>
        </w:rPr>
        <w:lastRenderedPageBreak/>
        <w:t>organ začne izvajati program za usposabljanje odgovornih oseb naj</w:t>
      </w:r>
      <w:r>
        <w:rPr>
          <w:rFonts w:cs="Arial"/>
          <w:szCs w:val="20"/>
          <w:lang w:val="sl-SI"/>
        </w:rPr>
        <w:t>poz</w:t>
      </w:r>
      <w:r w:rsidRPr="00D31B7E">
        <w:rPr>
          <w:rFonts w:cs="Arial"/>
          <w:szCs w:val="20"/>
          <w:lang w:val="sl-SI"/>
        </w:rPr>
        <w:t xml:space="preserve">neje v </w:t>
      </w:r>
      <w:r>
        <w:rPr>
          <w:rFonts w:cs="Arial"/>
          <w:szCs w:val="20"/>
          <w:lang w:val="sl-SI"/>
        </w:rPr>
        <w:t>štirih</w:t>
      </w:r>
      <w:r w:rsidRPr="00D31B7E">
        <w:rPr>
          <w:rFonts w:cs="Arial"/>
          <w:szCs w:val="20"/>
          <w:lang w:val="sl-SI"/>
        </w:rPr>
        <w:t xml:space="preserve"> mesecih po uveljavitvi zakona. Pripomba je bila upoštevana delno na način, da je v predlogu ZInfV-1 prehodna določba prvega odstavka 64. člena (izdaja podzakonskih predpisov in strategije) skrajšala rok za izdajo podzakonskega predpisa iz (</w:t>
      </w:r>
      <w:r>
        <w:rPr>
          <w:rFonts w:cs="Arial"/>
          <w:szCs w:val="20"/>
          <w:lang w:val="sl-SI"/>
        </w:rPr>
        <w:t>z</w:t>
      </w:r>
      <w:r w:rsidRPr="00D31B7E">
        <w:rPr>
          <w:rFonts w:cs="Arial"/>
          <w:szCs w:val="20"/>
          <w:lang w:val="sl-SI"/>
        </w:rPr>
        <w:t xml:space="preserve">daj) šestega odstavka 20. člena predloga ZInfV-1 glede programa in načina izvajanja usposabljanja odgovornih oseb na področju informacijske in kibernetske varnosti z enega leta na šest mesecev po uveljavitvi tega zakona; </w:t>
      </w:r>
    </w:p>
    <w:p w14:paraId="1952954C"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szCs w:val="20"/>
          <w:lang w:val="sl-SI"/>
        </w:rPr>
      </w:pPr>
    </w:p>
    <w:p w14:paraId="10363996"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četrtem</w:t>
      </w:r>
      <w:r>
        <w:rPr>
          <w:rFonts w:cs="Arial"/>
          <w:szCs w:val="20"/>
          <w:lang w:val="sl-SI"/>
        </w:rPr>
        <w:t>u</w:t>
      </w:r>
      <w:r w:rsidRPr="00D31B7E">
        <w:rPr>
          <w:rFonts w:cs="Arial"/>
          <w:szCs w:val="20"/>
          <w:lang w:val="sl-SI"/>
        </w:rPr>
        <w:t xml:space="preserve"> odstavku 20. člena (varnostna dokumentacija bistvenih in pomembnih subjektov) SeKV predlaga črtanje dela besedila: »način izvajanja obveznosti iz tega člena. Pri tem vlada upošteva tudi morebitne dokumente ali tehnična priporočila ENISA, Skupine za sodelovanje in dokumente Evropske komisije.«, ker naj bi šlo za nalaganje obveznosti s podzakonskim aktom in za blanketno pooblastilo, ki bi bilo v nasprotju s 120. in 87. členom Ustave RS, ker zakon ne določa dovolj podrobno usmeritev za podzakonsko urejanje. Pojasnjujemo, da je bila pripomba upoštevana delno na način, kot je </w:t>
      </w:r>
      <w:r>
        <w:rPr>
          <w:rFonts w:cs="Arial"/>
          <w:szCs w:val="20"/>
          <w:lang w:val="sl-SI"/>
        </w:rPr>
        <w:t>z</w:t>
      </w:r>
      <w:r w:rsidRPr="00D31B7E">
        <w:rPr>
          <w:rFonts w:cs="Arial"/>
          <w:szCs w:val="20"/>
          <w:lang w:val="sl-SI"/>
        </w:rPr>
        <w:t>daj to razvidno iz 21. člen</w:t>
      </w:r>
      <w:r>
        <w:rPr>
          <w:rFonts w:cs="Arial"/>
          <w:szCs w:val="20"/>
          <w:lang w:val="sl-SI"/>
        </w:rPr>
        <w:t>a</w:t>
      </w:r>
      <w:r w:rsidRPr="00D31B7E">
        <w:rPr>
          <w:rFonts w:cs="Arial"/>
          <w:szCs w:val="20"/>
          <w:lang w:val="sl-SI"/>
        </w:rPr>
        <w:t xml:space="preserve"> (varnostna dokumentacija) predloga ZInfv-1, ki je hkrati tudi obsežnejši in natančnejši, kot je bila verzija, ki je bila v javni obravnavi. Zavračamo pa tezo, da vlada ne bi smela, če </w:t>
      </w:r>
      <w:r>
        <w:rPr>
          <w:rFonts w:cs="Arial"/>
          <w:szCs w:val="20"/>
          <w:lang w:val="sl-SI"/>
        </w:rPr>
        <w:t>meni</w:t>
      </w:r>
      <w:r w:rsidRPr="00D31B7E">
        <w:rPr>
          <w:rFonts w:cs="Arial"/>
          <w:szCs w:val="20"/>
          <w:lang w:val="sl-SI"/>
        </w:rPr>
        <w:t>, da je to potrebno, doda</w:t>
      </w:r>
      <w:r>
        <w:rPr>
          <w:rFonts w:cs="Arial"/>
          <w:szCs w:val="20"/>
          <w:lang w:val="sl-SI"/>
        </w:rPr>
        <w:t>t</w:t>
      </w:r>
      <w:r w:rsidRPr="00D31B7E">
        <w:rPr>
          <w:rFonts w:cs="Arial"/>
          <w:szCs w:val="20"/>
          <w:lang w:val="sl-SI"/>
        </w:rPr>
        <w:t>no določiti (le) način</w:t>
      </w:r>
      <w:r>
        <w:rPr>
          <w:rFonts w:cs="Arial"/>
          <w:szCs w:val="20"/>
          <w:lang w:val="sl-SI"/>
        </w:rPr>
        <w:t>a</w:t>
      </w:r>
      <w:r w:rsidRPr="00D31B7E">
        <w:rPr>
          <w:rFonts w:cs="Arial"/>
          <w:szCs w:val="20"/>
          <w:lang w:val="sl-SI"/>
        </w:rPr>
        <w:t xml:space="preserve"> izvajanja zakonskih obveznosti, pri čemer je </w:t>
      </w:r>
      <w:r>
        <w:rPr>
          <w:rFonts w:cs="Arial"/>
          <w:szCs w:val="20"/>
          <w:lang w:val="sl-SI"/>
        </w:rPr>
        <w:t>popolnoma</w:t>
      </w:r>
      <w:r w:rsidRPr="00D31B7E">
        <w:rPr>
          <w:rFonts w:cs="Arial"/>
          <w:szCs w:val="20"/>
          <w:lang w:val="sl-SI"/>
        </w:rPr>
        <w:t xml:space="preserve"> jasno, da pristojnosti ali obveznosti ni mogoče širiti čez določbo zakona. Tako po petem odstavku 21. člena predloga ZInfV-1 vlada lahko podrobneje določi način izvajanja obveznosti iz tega člena. Ob tem posebej opozarjamo še na dodani šesti odstavek, po katerem ne glede na določbe tega člena bistveni in pomembni subjekti, na katere se nanašajo izvedbeni akti Evropske komisije iz prvega pododstavka petega odstavka 21. člena Direktive 2022/2555/EU ali iz drugega pododstavka petega odstavka 21. člena Direktive 2022/2555/EU</w:t>
      </w:r>
      <w:r>
        <w:rPr>
          <w:rFonts w:cs="Arial"/>
          <w:szCs w:val="20"/>
          <w:lang w:val="sl-SI"/>
        </w:rPr>
        <w:t>,</w:t>
      </w:r>
      <w:r w:rsidRPr="00D31B7E">
        <w:rPr>
          <w:rFonts w:cs="Arial"/>
          <w:szCs w:val="20"/>
          <w:lang w:val="sl-SI"/>
        </w:rPr>
        <w:t xml:space="preserve"> uporabljajo določbe izvedbenega akta glede varnostne dokumentacije zadevnih subjektov. Pojasnjujemo, da je </w:t>
      </w:r>
      <w:r w:rsidRPr="00D31B7E">
        <w:rPr>
          <w:rFonts w:cs="Arial"/>
          <w:color w:val="000000"/>
          <w:szCs w:val="20"/>
          <w:shd w:val="clear" w:color="auto" w:fill="FFFFFF"/>
          <w:lang w:val="sl-SI"/>
        </w:rPr>
        <w:t>tak akt (ki je bil medtem sprejet) Izvedbena uredba Komisije (EU) 2024/2690, z dne 17. oktobra 2024, o določitvi pravil za uporabo Direktive (EU) 2022/2555 v zvezi s tehničnimi in metodološkimi zahtevami ukrepov za obvladovanje tveganj za kibernetsko varnost ter podrobnejšo opredelitvijo primerov, v katerih se incident šteje za pomembnega, kar zadeva ponudnike storitev DNS, registre TLD imen, ponudnike storitev računalništva v oblaku, ponudnike storitev podatkovnega centra, ponudnike omrežij za dostavo vsebin, ponudnike upravljanih storitev, ponudnike upravljanih varnostnih storitev, ponudnike spletnih tržnic, spletnih iskalnikov in platform za storitve družbenega mreženja ter ponudnike storitev zaupanja;</w:t>
      </w:r>
    </w:p>
    <w:p w14:paraId="0B4BF315"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szCs w:val="20"/>
          <w:lang w:val="sl-SI"/>
        </w:rPr>
      </w:pPr>
    </w:p>
    <w:p w14:paraId="7BB919F5"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i/>
          <w:iCs/>
          <w:szCs w:val="20"/>
          <w:lang w:val="sl-SI"/>
        </w:rPr>
      </w:pPr>
      <w:r w:rsidRPr="00D31B7E">
        <w:rPr>
          <w:rFonts w:cs="Arial"/>
          <w:szCs w:val="20"/>
          <w:lang w:val="sl-SI"/>
        </w:rPr>
        <w:t>k 21. členu (ukrepi za obvladovanje tveganj za kibernetsko varnost bistvenih in pomembnih subjektov)</w:t>
      </w:r>
      <w:r w:rsidRPr="00D31B7E">
        <w:rPr>
          <w:rFonts w:cs="Arial"/>
          <w:i/>
          <w:iCs/>
          <w:szCs w:val="20"/>
          <w:lang w:val="sl-SI"/>
        </w:rPr>
        <w:t xml:space="preserve"> SeKV predlaga: </w:t>
      </w:r>
    </w:p>
    <w:p w14:paraId="0725C817"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 xml:space="preserve">k 6. točki drugega odstavka (pomotoma sicer navaja, da gre za šesti odstavek) naj se razširi izjema glede subjektov, ki jim ni treba voditi dnevnikov lokalno v Sloveniji tako, da bi omenili tudi </w:t>
      </w:r>
      <w:r>
        <w:rPr>
          <w:rFonts w:cs="Arial"/>
          <w:szCs w:val="20"/>
          <w:lang w:val="sl-SI"/>
        </w:rPr>
        <w:t>»</w:t>
      </w:r>
      <w:r w:rsidRPr="00D31B7E">
        <w:rPr>
          <w:rFonts w:cs="Arial"/>
          <w:szCs w:val="20"/>
          <w:lang w:val="sl-SI"/>
        </w:rPr>
        <w:t>subjekte v storitvah upravljanja IKT in digitalne ponudnike</w:t>
      </w:r>
      <w:r>
        <w:rPr>
          <w:rFonts w:cs="Arial"/>
          <w:szCs w:val="20"/>
          <w:lang w:val="sl-SI"/>
        </w:rPr>
        <w:t>«</w:t>
      </w:r>
      <w:r w:rsidRPr="00D31B7E">
        <w:rPr>
          <w:rFonts w:cs="Arial"/>
          <w:szCs w:val="20"/>
          <w:lang w:val="sl-SI"/>
        </w:rPr>
        <w:t>, kar bi prineslo znatne koristi in bilo skladno s cilji osnutka predloga zakona. Z omogočanjem shranjevanja dnevniških zapisov v EU bi zagotovili, da so podatki shranjeni varno in skladno, hkrati pa bi zagotovili večjo prožnost za subjekte v storitvah upravljanja IKT in ponudnike digitalnih storitev. Pripomba glede lokacije hrambe dnevniških zapisov za subjekte v storitvah upravljanja IKT in za digitalne ponudnike je bila upoštevana  pretežn</w:t>
      </w:r>
      <w:r>
        <w:rPr>
          <w:rFonts w:cs="Arial"/>
          <w:szCs w:val="20"/>
          <w:lang w:val="sl-SI"/>
        </w:rPr>
        <w:t>o</w:t>
      </w:r>
      <w:r w:rsidRPr="00D31B7E">
        <w:rPr>
          <w:rFonts w:cs="Arial"/>
          <w:szCs w:val="20"/>
          <w:lang w:val="sl-SI"/>
        </w:rPr>
        <w:t xml:space="preserve"> na način, kot je to razvidno iz petega odstavka 24. člena (dnevniški zapisi) v povezavi s 6. točko drugega odstavka 22. člena (ukrepi za obvladovanje tveganj) predloga ZInfV-1. Iz petega odstavka 24. čelna predloga ZInfV-1 je namreč razvidno, da je (vključno v primeru vrst subjektov, ki delujejo v sektorju upravljanje storitev IKT oziroma v sektorju digitalni ponudniki) omejena (le) še lokacija ohranjanja dnevniških zapisov za bistvene subjekte, ki so določeni kot kritični subjekti na podlagi zakona, ki ureja področje kritične infrastrukture, ki se zagotavlja prvenstveno na ozemlju </w:t>
      </w:r>
      <w:r w:rsidRPr="00D31B7E">
        <w:rPr>
          <w:rFonts w:cs="Arial"/>
          <w:szCs w:val="20"/>
          <w:lang w:val="sl-SI"/>
        </w:rPr>
        <w:lastRenderedPageBreak/>
        <w:t>Republike Slovenije, drugotno pa se lahko zagotavlja na ozemlju Evropske unije;</w:t>
      </w:r>
    </w:p>
    <w:p w14:paraId="4F79C60A"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k petemu odstavku, da se besedilo »rezultate morebitnih usklajenih ocen tveganja za kritične dobavne verige, ki jih lahko pripravi Skupina za sodelovanje v sodelovanju z Evropsko komisijo in ENISA«</w:t>
      </w:r>
      <w:r>
        <w:rPr>
          <w:rFonts w:cs="Arial"/>
          <w:szCs w:val="20"/>
          <w:lang w:val="sl-SI"/>
        </w:rPr>
        <w:t>,</w:t>
      </w:r>
      <w:r w:rsidRPr="00D31B7E">
        <w:rPr>
          <w:rFonts w:cs="Arial"/>
          <w:szCs w:val="20"/>
          <w:lang w:val="sl-SI"/>
        </w:rPr>
        <w:t xml:space="preserve"> nadomesti z besedilom »rezultate morebitnih usklajenih ocen tveganja za kritične dobavne verige, ki bodo izvedene v skladu s členom 22(1) Direktive 2022/2555.« Menijo namreč, da je peti odstavek bistveno manj določen kot člen 21(3) Direktive NIS 2, iz katerega </w:t>
      </w:r>
      <w:r>
        <w:rPr>
          <w:rFonts w:cs="Arial"/>
          <w:szCs w:val="20"/>
          <w:lang w:val="sl-SI"/>
        </w:rPr>
        <w:t xml:space="preserve">je </w:t>
      </w:r>
      <w:r w:rsidRPr="00D31B7E">
        <w:rPr>
          <w:rFonts w:cs="Arial"/>
          <w:szCs w:val="20"/>
          <w:lang w:val="sl-SI"/>
        </w:rPr>
        <w:t xml:space="preserve">razvidno, da se določba nanaša na konkretne ocene tveganj, ki bodo izvedene na podlagi 22. člena Direktive NIS 2 in ne kar na splošno. Zato naj se neskladje odpravi. Pripomba je bila upoštevana na način, kot je razviden iz četrtega odstavka 22. člena (ukrepi za obvladovanje tveganj) predloga ZInfV-1, ki se v relevantnem delu </w:t>
      </w:r>
      <w:r>
        <w:rPr>
          <w:rFonts w:cs="Arial"/>
          <w:szCs w:val="20"/>
          <w:lang w:val="sl-SI"/>
        </w:rPr>
        <w:t>z</w:t>
      </w:r>
      <w:r w:rsidRPr="00D31B7E">
        <w:rPr>
          <w:rFonts w:cs="Arial"/>
          <w:szCs w:val="20"/>
          <w:lang w:val="sl-SI"/>
        </w:rPr>
        <w:t>daj glasi: »Pri tem upoštevajo rezultate morebitnih usklajenih ocen tveganja za kritične dobavne verige, ki jih Skupina za sodelovanje pripravi v sodelovanju z Evropsko komisijo in ENISA v skladu s prvim odstavkom 22. člena Direktive 2022/2555/EU.«;</w:t>
      </w:r>
    </w:p>
    <w:p w14:paraId="0DAF4381"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k devetemu odstavku, da se ta črta ali vsaj spremeni, ker je ta določ</w:t>
      </w:r>
      <w:r>
        <w:rPr>
          <w:rFonts w:cs="Arial"/>
          <w:szCs w:val="20"/>
          <w:lang w:val="sl-SI"/>
        </w:rPr>
        <w:t>b</w:t>
      </w:r>
      <w:r w:rsidRPr="00D31B7E">
        <w:rPr>
          <w:rFonts w:cs="Arial"/>
          <w:szCs w:val="20"/>
          <w:lang w:val="sl-SI"/>
        </w:rPr>
        <w:t xml:space="preserve">a neizdelana in vsebuje pravno praznino, ker nista določena način in rok ugotavljanja ali imajo informacijsko-komunikacijske rešitve aktivno izkoriščane ranljivosti, kdo to ugotavlja in po kakšnem postopku. Prav tako nista določena rok in način, v katerem je </w:t>
      </w:r>
      <w:r>
        <w:rPr>
          <w:rFonts w:cs="Arial"/>
          <w:szCs w:val="20"/>
          <w:lang w:val="sl-SI"/>
        </w:rPr>
        <w:t>treba</w:t>
      </w:r>
      <w:r w:rsidRPr="00D31B7E">
        <w:rPr>
          <w:rFonts w:cs="Arial"/>
          <w:szCs w:val="20"/>
          <w:lang w:val="sl-SI"/>
        </w:rPr>
        <w:t xml:space="preserve"> izvesti prilagoditev itd. Vprašanje morebitnih ranljivosti naj bi bilo tudi že naslovljeno z drugimi določbami. Pripomba ni bila upoštevana in se v </w:t>
      </w:r>
      <w:r>
        <w:rPr>
          <w:rFonts w:cs="Arial"/>
          <w:szCs w:val="20"/>
          <w:lang w:val="sl-SI"/>
        </w:rPr>
        <w:t>z</w:t>
      </w:r>
      <w:r w:rsidRPr="00D31B7E">
        <w:rPr>
          <w:rFonts w:cs="Arial"/>
          <w:szCs w:val="20"/>
          <w:lang w:val="sl-SI"/>
        </w:rPr>
        <w:t xml:space="preserve">daj osmem odstavku 22. člena (ukrepi za obvladovanje tveganj) predloga ZInfV-1 ponovno glasi: »Bistveni in pomembni subjekti ne smejo uporabljati informacijsko-komunikacijskih rešitev, </w:t>
      </w:r>
      <w:r w:rsidRPr="00744ED4">
        <w:rPr>
          <w:rFonts w:cs="Arial"/>
          <w:szCs w:val="20"/>
          <w:lang w:val="sl-SI"/>
        </w:rPr>
        <w:t>v katerih so zaznane</w:t>
      </w:r>
      <w:r w:rsidRPr="00D31B7E">
        <w:rPr>
          <w:rFonts w:cs="Arial"/>
          <w:szCs w:val="20"/>
          <w:lang w:val="sl-SI"/>
        </w:rPr>
        <w:t xml:space="preserve"> aktivno izkoriščane ranljivosti brez dodatne izvedbe ocene tveganja in uvedenih ustreznih dodatnih varnostnih ukrepov, ki znižajo stopnjo tveganja na sprejemljivo raven.</w:t>
      </w:r>
      <w:r>
        <w:rPr>
          <w:rFonts w:cs="Arial"/>
          <w:szCs w:val="20"/>
          <w:lang w:val="sl-SI"/>
        </w:rPr>
        <w:t>«</w:t>
      </w:r>
      <w:r w:rsidRPr="00D31B7E">
        <w:rPr>
          <w:rFonts w:cs="Arial"/>
          <w:szCs w:val="20"/>
          <w:lang w:val="sl-SI"/>
        </w:rPr>
        <w:t xml:space="preserve"> Namen določbe je jasen, bistveni in pomembni subjekti namreč ne smejo brez izvedbe dodatnih </w:t>
      </w:r>
      <w:r>
        <w:rPr>
          <w:rFonts w:cs="Arial"/>
          <w:szCs w:val="20"/>
          <w:lang w:val="sl-SI"/>
        </w:rPr>
        <w:t>deja</w:t>
      </w:r>
      <w:r w:rsidRPr="00D31B7E">
        <w:rPr>
          <w:rFonts w:cs="Arial"/>
          <w:szCs w:val="20"/>
          <w:lang w:val="sl-SI"/>
        </w:rPr>
        <w:t xml:space="preserve">vnosti uporabljati informacijsko-komunikacijskih rešitev, ki (že) imajo aktivno izkoriščane ranljivosti. Te dodatne </w:t>
      </w:r>
      <w:r>
        <w:rPr>
          <w:rFonts w:cs="Arial"/>
          <w:szCs w:val="20"/>
          <w:lang w:val="sl-SI"/>
        </w:rPr>
        <w:t>dejav</w:t>
      </w:r>
      <w:r w:rsidRPr="00D31B7E">
        <w:rPr>
          <w:rFonts w:cs="Arial"/>
          <w:szCs w:val="20"/>
          <w:lang w:val="sl-SI"/>
        </w:rPr>
        <w:t>nosti bistvenega ali pomembnega subjekta pa zajemajo, kot to izhaja iz določbe, dodatno izvedbo ocene tveganja in uvedbo ustreznih dodatnih varnostnih ukrepov, ki znižajo stopnjo tveganja na sprejemljivo raven. Ob tem še pojasnjujemo, da se aktivno izkoriščane ranljivosti ugotavlja</w:t>
      </w:r>
      <w:r>
        <w:rPr>
          <w:rFonts w:cs="Arial"/>
          <w:szCs w:val="20"/>
          <w:lang w:val="sl-SI"/>
        </w:rPr>
        <w:t>jo</w:t>
      </w:r>
      <w:r w:rsidRPr="00D31B7E">
        <w:rPr>
          <w:rFonts w:cs="Arial"/>
          <w:szCs w:val="20"/>
          <w:lang w:val="sl-SI"/>
        </w:rPr>
        <w:t xml:space="preserve"> z javnim skeniranjem ali po splošno uveljavljenih postopkih (varnostno skeniranje, varnostni pregled, vdorni testi) in tega ni treba posebej navajati, saj je to strokovni javnosti dobro poznano. Rok </w:t>
      </w:r>
      <w:r>
        <w:rPr>
          <w:rFonts w:cs="Arial"/>
          <w:szCs w:val="20"/>
          <w:lang w:val="sl-SI"/>
        </w:rPr>
        <w:t>za</w:t>
      </w:r>
      <w:r w:rsidRPr="00D31B7E">
        <w:rPr>
          <w:rFonts w:cs="Arial"/>
          <w:szCs w:val="20"/>
          <w:lang w:val="sl-SI"/>
        </w:rPr>
        <w:t>četka prepovedi uporabe takšnih informacijsko-komunikacijskih rešitev za zadevni bistveni ali pomembni subjekt jasno izhaja iz določbe same</w:t>
      </w:r>
      <w:r>
        <w:rPr>
          <w:rFonts w:cs="Arial"/>
          <w:szCs w:val="20"/>
          <w:lang w:val="sl-SI"/>
        </w:rPr>
        <w:t>,</w:t>
      </w:r>
      <w:r w:rsidRPr="00D31B7E">
        <w:rPr>
          <w:rFonts w:cs="Arial"/>
          <w:szCs w:val="20"/>
          <w:lang w:val="sl-SI"/>
        </w:rPr>
        <w:t xml:space="preserve"> namreč takoj (nemudoma), ko (mu) te aktivno izkoriščane ranljivosti postanejo znane. </w:t>
      </w:r>
      <w:r>
        <w:rPr>
          <w:rFonts w:cs="Arial"/>
          <w:szCs w:val="20"/>
          <w:lang w:val="sl-SI"/>
        </w:rPr>
        <w:t>To zahteva</w:t>
      </w:r>
      <w:r w:rsidRPr="00D31B7E">
        <w:rPr>
          <w:rFonts w:cs="Arial"/>
          <w:szCs w:val="20"/>
          <w:lang w:val="sl-SI"/>
        </w:rPr>
        <w:t xml:space="preserve"> od določenih zavezancev proaktivno ravnanje oziroma spremljanje varnostnih groženj in odzivanje v realnem času. Ta prepoved uporabe traja vse do izvedbe dodatnih </w:t>
      </w:r>
      <w:r>
        <w:rPr>
          <w:rFonts w:cs="Arial"/>
          <w:szCs w:val="20"/>
          <w:lang w:val="sl-SI"/>
        </w:rPr>
        <w:t>dejav</w:t>
      </w:r>
      <w:r w:rsidRPr="00D31B7E">
        <w:rPr>
          <w:rFonts w:cs="Arial"/>
          <w:szCs w:val="20"/>
          <w:lang w:val="sl-SI"/>
        </w:rPr>
        <w:t xml:space="preserve">nosti s strani zadevnega bistvenega ali pomembnega subjekta in je hkrati odvisna od specifike, tehnologije in obsega aktivno izkoriščane ranljivosti </w:t>
      </w:r>
      <w:r>
        <w:rPr>
          <w:rFonts w:cs="Arial"/>
          <w:szCs w:val="20"/>
          <w:lang w:val="sl-SI"/>
        </w:rPr>
        <w:t>ter</w:t>
      </w:r>
      <w:r w:rsidRPr="00D31B7E">
        <w:rPr>
          <w:rFonts w:cs="Arial"/>
          <w:szCs w:val="20"/>
          <w:lang w:val="sl-SI"/>
        </w:rPr>
        <w:t xml:space="preserve"> se zato ne predpisuje vnaprej, saj je to različno za vsak posamezni primer. Prav tako menimo, da je ukrepanje zaradi aktivno izkoriščenih ranljivosti treba nasloviti v zadevnem členu med ukrepi za obvladovanje tveganj; </w:t>
      </w:r>
    </w:p>
    <w:p w14:paraId="17BD657C"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 xml:space="preserve">k enajstemu odstavku, da se ta določba črta, ker naj bi bilo tako široko blanketno pooblastilo za podzakonski predpis verjetno v nasprotju z Ustavo RS in problematično v praksi. Pri tem dodano opozarja, da lahko omejitve glede dobavnih verig posegajo na trg (torej tudi na prosto nastopanje dobaviteljev na trgu) in s tem omejitev ali določitev načina uresničevanja svobodne gospodarske pobude (74. člen Ustave RS). Navedene problematike po vsebini ne reši dikcija, da naj bi vlada določala zgolj »način izvajanja obveznosti« in »varnostne ukrepe«, saj je vsebina 21. člena zelo splošna (na </w:t>
      </w:r>
      <w:r>
        <w:rPr>
          <w:rFonts w:cs="Arial"/>
          <w:szCs w:val="20"/>
          <w:lang w:val="sl-SI"/>
        </w:rPr>
        <w:t>ravni</w:t>
      </w:r>
      <w:r w:rsidRPr="00D31B7E">
        <w:rPr>
          <w:rFonts w:cs="Arial"/>
          <w:szCs w:val="20"/>
          <w:lang w:val="sl-SI"/>
        </w:rPr>
        <w:t xml:space="preserve"> smernic, ki splošno govorijo o obveznosti sprejeti ustrezne ukrepe) in nekonkretizirana. Dodatno v zvezi z 10. točko drugega odstavka 21. člena to pomeni, </w:t>
      </w:r>
      <w:r w:rsidRPr="00D31B7E">
        <w:rPr>
          <w:rFonts w:cs="Arial"/>
          <w:szCs w:val="20"/>
          <w:lang w:val="sl-SI"/>
        </w:rPr>
        <w:lastRenderedPageBreak/>
        <w:t>da bi vlada lahko (brez zakonskih kriterijev) urejala tudi tveganja, ki se nanašajo na odnose med posameznim subjektom in njegovimi neposrednimi dobavitelji ali ponudniki storitev ter v zvezi s petim odstavkom 21. člena »ranljivosti, ki so specifične za posameznega neposrednega dobavitelja in ponudnika storitev«. Navedeno nakazuje na možnost izključevanja posameznih dobaviteljev iz naslova naslavljanja specifičnih ranljivosti</w:t>
      </w:r>
      <w:r>
        <w:rPr>
          <w:rFonts w:cs="Arial"/>
          <w:szCs w:val="20"/>
          <w:lang w:val="sl-SI"/>
        </w:rPr>
        <w:t>,</w:t>
      </w:r>
      <w:r w:rsidRPr="00D31B7E">
        <w:rPr>
          <w:rFonts w:cs="Arial"/>
          <w:szCs w:val="20"/>
          <w:lang w:val="sl-SI"/>
        </w:rPr>
        <w:t xml:space="preserve"> vezanih na določenega dobavitelja, v zvezi s čimer se odpirajo številni pomisleki. Vsekakor vlada ne bi smela imeti pristojnosti omejevanja trga dobave opreme in storitev, ne da bi bili v zakonu podrobno opredeljeni kriteriji (kot jih na primer opredeljuje 117. člen ZEKom-2). Pripomba je bila delno upoštevana na način, da pooblastilo vladi ne vključuje več tudi možnosti določanja minimalnega obsega varnostnih ukrepov, temveč gre le še za pooblastilo vladi, da ta lahko (če bo torej ocenila za potrebno) podrobneje določi način izvajanja obveznosti iz tega člena za obvladovanje tveganj za informacijsko in kibernetsko varnost bistvenih in pomembnih subjektov. Ne strinjamo se torej s pripombodajalcem, da podzakonski predpis ne bi smel določati načina izvajanja zakonsko že določenih obveznosti. O preseganju ustavno dopustnega podzakonskega urejanja tudi ne gre vnaprej špekulirati ali predpostavljati. Lahko pa se sproži v zvezi s konkretnim sprejetim podzakonsk</w:t>
      </w:r>
      <w:r>
        <w:rPr>
          <w:rFonts w:cs="Arial"/>
          <w:szCs w:val="20"/>
          <w:lang w:val="sl-SI"/>
        </w:rPr>
        <w:t>i</w:t>
      </w:r>
      <w:r w:rsidRPr="00D31B7E">
        <w:rPr>
          <w:rFonts w:cs="Arial"/>
          <w:szCs w:val="20"/>
          <w:lang w:val="sl-SI"/>
        </w:rPr>
        <w:t xml:space="preserve">m predpisom, če bi ta v nasprotju z </w:t>
      </w:r>
      <w:r>
        <w:rPr>
          <w:rFonts w:cs="Arial"/>
          <w:szCs w:val="20"/>
          <w:lang w:val="sl-SI"/>
        </w:rPr>
        <w:t>U</w:t>
      </w:r>
      <w:r w:rsidRPr="00D31B7E">
        <w:rPr>
          <w:rFonts w:cs="Arial"/>
          <w:szCs w:val="20"/>
          <w:lang w:val="sl-SI"/>
        </w:rPr>
        <w:t>stavo in prek zakona urejal zadevno materijo;</w:t>
      </w:r>
    </w:p>
    <w:p w14:paraId="57EB13AC" w14:textId="77777777" w:rsidR="000A51A5" w:rsidRPr="00D31B7E" w:rsidRDefault="000A51A5" w:rsidP="000A51A5">
      <w:pPr>
        <w:pStyle w:val="Odstavek"/>
        <w:numPr>
          <w:ilvl w:val="0"/>
          <w:numId w:val="17"/>
        </w:numPr>
        <w:spacing w:line="276" w:lineRule="auto"/>
        <w:ind w:left="786"/>
      </w:pPr>
      <w:r w:rsidRPr="00D31B7E">
        <w:t xml:space="preserve">k 22. členu (obveza posredovanja podatkov in informacij) SeKV meni, da je člen presplošen in presega vsebino Direktive 2022/2555/EU. Predlagajo, da se inšpekcijske/nadzorstvene pristojnosti omejijo na pristojnosti, ki jih predvideva ta direktiva (ki so že rezultat tehtanja med drugim tudi z vidika sorazmernosti in procesnih jamstev) in za katere menijo, da so že široke. Navedeno velja splošno tudi za preostale določbe v osnutku predloga zakona glede nadzora in inšpekcijskih pristojnosti. Pripomba ni bila upoštevana iz več razlogov. Res gre v tem delu sicer za nacionalno določbo, </w:t>
      </w:r>
      <w:r w:rsidRPr="00D31B7E">
        <w:rPr>
          <w:color w:val="000000"/>
          <w:shd w:val="clear" w:color="auto" w:fill="FFFFFF"/>
        </w:rPr>
        <w:t xml:space="preserve">pri čemer gre za rešitev iz </w:t>
      </w:r>
      <w:r>
        <w:rPr>
          <w:color w:val="000000"/>
          <w:shd w:val="clear" w:color="auto" w:fill="FFFFFF"/>
        </w:rPr>
        <w:t>veljavnega</w:t>
      </w:r>
      <w:r w:rsidRPr="00D31B7E">
        <w:rPr>
          <w:color w:val="000000"/>
          <w:shd w:val="clear" w:color="auto" w:fill="FFFFFF"/>
        </w:rPr>
        <w:t xml:space="preserve"> zakona (ZInfV), ki ureja področje informacijske varnosti in se je izkazala kot pomemben gradnik za </w:t>
      </w:r>
      <w:r>
        <w:rPr>
          <w:lang w:eastAsia="sl-SI"/>
        </w:rPr>
        <w:t>izboljšanje</w:t>
      </w:r>
      <w:r w:rsidRPr="00D31B7E" w:rsidDel="002779D0">
        <w:rPr>
          <w:color w:val="000000"/>
          <w:shd w:val="clear" w:color="auto" w:fill="FFFFFF"/>
        </w:rPr>
        <w:t xml:space="preserve"> </w:t>
      </w:r>
      <w:r w:rsidRPr="00D31B7E">
        <w:rPr>
          <w:color w:val="000000"/>
          <w:shd w:val="clear" w:color="auto" w:fill="FFFFFF"/>
        </w:rPr>
        <w:t xml:space="preserve">informacijske in kibernetske varnosti zavezancev. Poudarjamo pa, da je </w:t>
      </w:r>
      <w:r w:rsidRPr="00D31B7E">
        <w:t xml:space="preserve">Direktiva 2022/2555EU direktiva minimalne harmonizacije, ki državam članicam ne preprečuje, da sprejmejo ali ohranijo določbe, ki zagotavljajo višjo raven kibernetske varnosti (glej 5. člen te direktive). Nadalje zadevni člen sledi ciljem navedene direktive, saj pristojni nacionalni organ opolnomoči za učinkovito izvajanje njegovih pristojnosti. </w:t>
      </w:r>
      <w:r>
        <w:t>Tako</w:t>
      </w:r>
      <w:r w:rsidRPr="00D31B7E">
        <w:t xml:space="preserve"> je namreč urejen dostop pristojnega nacionalnega organa do vseh potrebnih informacij, kar mu šele omogoči, da lahko informirano izvaja analize, pripravlja strategijo, nacionalni načrt odzivanja na incidente, pregleduje ustreznost določitve nekaterih zavezancev</w:t>
      </w:r>
      <w:r>
        <w:t>,</w:t>
      </w:r>
      <w:r w:rsidRPr="00D31B7E">
        <w:t xml:space="preserve"> sprejema ustrezne ukrepe in podobno. </w:t>
      </w:r>
      <w:r>
        <w:t>Z</w:t>
      </w:r>
      <w:r w:rsidRPr="00D31B7E">
        <w:t xml:space="preserve">daj to vsebino ureja 26. člen predloga ZInfV-1, ki vsebino še dodatno izboljšuje. Ob tem </w:t>
      </w:r>
      <w:r>
        <w:t>poudarjamo</w:t>
      </w:r>
      <w:r w:rsidRPr="00D31B7E">
        <w:t xml:space="preserve">, da pristojni nacionalni organ na tej podlagi ne more zahtevati katerih koli podatkov in informacij, temveč le tiste, ki jih potrebuje za izvajanje svojih pristojnosti po tem zakonu (prvi odstavek). Nadalje morajo biti zahtevani podatki in informacije sorazmerni namenu, za katerega bodo uporabljeni. Pristojni nacionalni organ mora v zahtevi navesti namen uporabe zahtevanih podatkov in informacij (drugi odstavek). V tem predlogu ZInfV-1 je dodan še tretji odstavek, po katerem se za </w:t>
      </w:r>
      <w:r>
        <w:t>predložitev takšnih</w:t>
      </w:r>
      <w:r w:rsidRPr="00D31B7E">
        <w:t xml:space="preserve"> podatkov in informacij, ki so pri bistvenih in pomembnih subjektih opredeljeni kot tajni ali kot poslovna skrivnost ali druga oblika varovanih podatkov, pristojnemu nacionalnemu organu uporabljajo izključno varne komunikacijske poti. Glede pristojnosti inšpektorjev v postopkih nadzora pa so te urejene v IX. poglavju predloga ZInfV-1;</w:t>
      </w:r>
    </w:p>
    <w:p w14:paraId="705E8E37"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 xml:space="preserve">k 23. členu (certifikacija) SeKV v splošnem meni, da je celoten člen nejasen, niso jasno razmejeni certifikati in ni jasno, kateri certifikati se lahko odvzamejo. Nadalje predlagajo črtanje od šestega do vključno šestnajstega odstavka, ker s preuranjeno regulacijo </w:t>
      </w:r>
      <w:r w:rsidRPr="00D31B7E">
        <w:rPr>
          <w:rFonts w:cs="Arial"/>
          <w:szCs w:val="20"/>
          <w:lang w:val="sl-SI"/>
        </w:rPr>
        <w:lastRenderedPageBreak/>
        <w:t xml:space="preserve">odprtih vprašanj Republika Slovenija tvega neskladnost s prizadevanji za harmonizacijo tega področja na ravni EU. Še posebej so preuranjeni in nesmiselni šesti, sedmi in osmi odstavek upoštevaje, da je bila šele sprejeta prva evropska certifikacijska shema in da sta dve shemi še vedno v pripravi. Nadalje sprašujejo, ali ima URSIV kapacitete (zadostno število zaposlenih), strokovnost ter izkušnje za izvajanje vseh nalog, ki mu jih podeljuje osnutek predloga zakona. Splošne pripombe so bile delno upoštevane. Pojasnjujemo, da Uredba 2019/881/EU kot podlaga za certifikacijske sheme velja in že </w:t>
      </w:r>
      <w:r>
        <w:rPr>
          <w:rFonts w:cs="Arial"/>
          <w:szCs w:val="20"/>
          <w:lang w:val="sl-SI"/>
        </w:rPr>
        <w:t>zahteva</w:t>
      </w:r>
      <w:r w:rsidRPr="00D31B7E">
        <w:rPr>
          <w:rFonts w:cs="Arial"/>
          <w:szCs w:val="20"/>
          <w:lang w:val="sl-SI"/>
        </w:rPr>
        <w:t xml:space="preserve"> aktivnosti. Pojasnjujemo, da smo v zvezi s to pripombo besedilo člena izboljšali z vidika jasnosti na način, kot je to </w:t>
      </w:r>
      <w:r>
        <w:rPr>
          <w:rFonts w:cs="Arial"/>
          <w:szCs w:val="20"/>
          <w:lang w:val="sl-SI"/>
        </w:rPr>
        <w:t>z</w:t>
      </w:r>
      <w:r w:rsidRPr="00D31B7E">
        <w:rPr>
          <w:rFonts w:cs="Arial"/>
          <w:szCs w:val="20"/>
          <w:lang w:val="sl-SI"/>
        </w:rPr>
        <w:t>daj razvidno iz 27. člena (certificiranje) predloga ZInfV-1. Vprašanje kapacitet URSIV za izvajanje nalog je bilo upoštevano pri oceni vpliva zakona in njegovih finančnih posledicah.</w:t>
      </w:r>
    </w:p>
    <w:p w14:paraId="78375210" w14:textId="77777777" w:rsidR="007B4338" w:rsidRDefault="007B4338" w:rsidP="000A51A5">
      <w:pPr>
        <w:pStyle w:val="Odstavekseznama"/>
        <w:widowControl w:val="0"/>
        <w:overflowPunct w:val="0"/>
        <w:autoSpaceDE w:val="0"/>
        <w:autoSpaceDN w:val="0"/>
        <w:adjustRightInd w:val="0"/>
        <w:spacing w:after="240" w:line="276" w:lineRule="auto"/>
        <w:ind w:left="360"/>
        <w:jc w:val="both"/>
        <w:textAlignment w:val="baseline"/>
        <w:rPr>
          <w:rFonts w:cs="Arial"/>
          <w:szCs w:val="20"/>
          <w:lang w:val="sl-SI"/>
        </w:rPr>
      </w:pPr>
    </w:p>
    <w:p w14:paraId="7682C0EC" w14:textId="7AB12076"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szCs w:val="20"/>
          <w:lang w:val="sl-SI"/>
        </w:rPr>
      </w:pPr>
      <w:r w:rsidRPr="00D31B7E">
        <w:rPr>
          <w:rFonts w:cs="Arial"/>
          <w:szCs w:val="20"/>
          <w:lang w:val="sl-SI"/>
        </w:rPr>
        <w:t>Glede drugih posamičnih pripomb SeKV:</w:t>
      </w:r>
    </w:p>
    <w:p w14:paraId="11302223"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k prvemu odstavku, ki definira pojem certifikacije, pripomba ni jasna oziroma hkrati govori tudi o devetem in petnajstem odstavku. Zato pripombe na tem mestu ni bilo mogoče upoštevati, je bila pa vsebina prvega odstavka ponovno preverjena; </w:t>
      </w:r>
    </w:p>
    <w:p w14:paraId="7E9A4AB0"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opozorilo k tretjemu, četrtemu in petemu odstavku glede roka, v katerem bi bilo treba določiti nacionalni certifikacijski organ za kibernetsko varnost (tretji odstav</w:t>
      </w:r>
      <w:r>
        <w:rPr>
          <w:rFonts w:cs="Arial"/>
          <w:szCs w:val="20"/>
          <w:lang w:val="sl-SI"/>
        </w:rPr>
        <w:t>ek</w:t>
      </w:r>
      <w:r w:rsidRPr="00D31B7E">
        <w:rPr>
          <w:rFonts w:cs="Arial"/>
          <w:szCs w:val="20"/>
          <w:lang w:val="sl-SI"/>
        </w:rPr>
        <w:t>) in organ(e) za ugotavljanje skladnosti, ki so v tem zakonu določeni na način, ki je opredeljen v četrtem in petem odstavku, smo sicer vzeli na znanje. Ob tem pojasnjujemo, da je že ZInfV v drugem odstavku 27. člena med nalogami, ki jih izvaja pristojni nacionalni organ</w:t>
      </w:r>
      <w:r>
        <w:rPr>
          <w:rFonts w:cs="Arial"/>
          <w:szCs w:val="20"/>
          <w:lang w:val="sl-SI"/>
        </w:rPr>
        <w:t>,</w:t>
      </w:r>
      <w:r w:rsidRPr="00D31B7E">
        <w:rPr>
          <w:rFonts w:cs="Arial"/>
          <w:szCs w:val="20"/>
          <w:lang w:val="sl-SI"/>
        </w:rPr>
        <w:t xml:space="preserve"> v 18. točki določil, da izvaja (tudi) naloge nacionalnega certifikacijskega organa za kibernetsko varnost. Dodajamo še, da je bila zadevna določba tretjega odstavka osnutka predloga ZInfV-1 s tretjim odstavkom 27. člena predloga ZInfV-1 izboljšana tudi z vidika jasnosti. Pomen izraza »</w:t>
      </w:r>
      <w:r>
        <w:rPr>
          <w:rFonts w:cs="Arial"/>
          <w:szCs w:val="20"/>
          <w:lang w:val="sl-SI"/>
        </w:rPr>
        <w:t>o</w:t>
      </w:r>
      <w:r w:rsidRPr="00D31B7E">
        <w:rPr>
          <w:rFonts w:cs="Arial"/>
          <w:szCs w:val="20"/>
          <w:lang w:val="sl-SI"/>
        </w:rPr>
        <w:t xml:space="preserve">rgan za ugotavljanje skladnosti« pa </w:t>
      </w:r>
      <w:r>
        <w:rPr>
          <w:rFonts w:cs="Arial"/>
          <w:szCs w:val="20"/>
          <w:lang w:val="sl-SI"/>
        </w:rPr>
        <w:t>je z</w:t>
      </w:r>
      <w:r w:rsidRPr="00D31B7E">
        <w:rPr>
          <w:rFonts w:cs="Arial"/>
          <w:szCs w:val="20"/>
          <w:lang w:val="sl-SI"/>
        </w:rPr>
        <w:t>daj posebej opredeljen v 32. točki 5. člena (pomen izrazov) predloga ZInfV-1;</w:t>
      </w:r>
    </w:p>
    <w:p w14:paraId="00304810"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osmemu odstavku, da je pomembno zagotoviti sorazmeren odziv (ne le odvzem certifikata, ampak tudi začasni preklic). Tudi sicer naj bo postopek skladen s členi Uredbe 2019/881/EU in izvedbenimi uredbami za posamezno evropsko certifikacijsko shemo za področje izdajanj</w:t>
      </w:r>
      <w:r>
        <w:rPr>
          <w:rFonts w:cs="Arial"/>
          <w:szCs w:val="20"/>
          <w:lang w:val="sl-SI"/>
        </w:rPr>
        <w:t>a</w:t>
      </w:r>
      <w:r w:rsidRPr="00D31B7E">
        <w:rPr>
          <w:rFonts w:cs="Arial"/>
          <w:szCs w:val="20"/>
          <w:lang w:val="sl-SI"/>
        </w:rPr>
        <w:t>, podaljšanja in odvzema. Predlog za začasni preklic certifikata ni bil upoštevan, saj zanj ne vidimo podlage v osmem odstavku Uredbe 2019/881/EU. Zadevno vsebino ureja določba dvanajstega odstavka 27. člena predloga ZInfV-1 in se v relevantnem delu glasi: »</w:t>
      </w:r>
      <w:r w:rsidRPr="008B1D39">
        <w:rPr>
          <w:rFonts w:cs="Arial"/>
          <w:szCs w:val="20"/>
          <w:lang w:val="sl-SI"/>
        </w:rPr>
        <w:t>Poleg tega lahko z odločbo prekliče evropski certifikat kibernetske varnosti, ki ga izda pristojni organ iz sedmega, osmega ali prejšnjega odstavka tega člena, kadar tak certifikat ni v skladu z Uredbo 2019/881/EU ali z evropskimi certifikacijskimi shemami za kibernetsko varnost, sprejetimi na podlagi 49. člena Uredbe 2019/881/EU.</w:t>
      </w:r>
      <w:r w:rsidRPr="00D31B7E">
        <w:rPr>
          <w:rFonts w:cs="Arial"/>
          <w:szCs w:val="20"/>
          <w:lang w:val="sl-SI"/>
        </w:rPr>
        <w:t xml:space="preserve">«; </w:t>
      </w:r>
    </w:p>
    <w:p w14:paraId="574946AF"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devetemu odstavku, da naj se v zvezi z Izjavo EU o skladnosti upoštevajo določila 53. člena Uredbe 2019/881/EU (samoocenjevanje skladnosti)</w:t>
      </w:r>
      <w:r>
        <w:rPr>
          <w:rFonts w:cs="Arial"/>
          <w:szCs w:val="20"/>
          <w:lang w:val="sl-SI"/>
        </w:rPr>
        <w:t xml:space="preserve"> ter</w:t>
      </w:r>
      <w:r w:rsidRPr="00D31B7E">
        <w:rPr>
          <w:rFonts w:cs="Arial"/>
          <w:szCs w:val="20"/>
          <w:lang w:val="sl-SI"/>
        </w:rPr>
        <w:t xml:space="preserve"> jasno razmeji med »Evropskim certifikatom kibernetske varnosti« in »Izjavo EU o skladnosti«. Pripomba je bila upoštevana na način, da je bila dodana določba (</w:t>
      </w:r>
      <w:r>
        <w:rPr>
          <w:rFonts w:cs="Arial"/>
          <w:szCs w:val="20"/>
          <w:lang w:val="sl-SI"/>
        </w:rPr>
        <w:t>z</w:t>
      </w:r>
      <w:r w:rsidRPr="00D31B7E">
        <w:rPr>
          <w:rFonts w:cs="Arial"/>
          <w:szCs w:val="20"/>
          <w:lang w:val="sl-SI"/>
        </w:rPr>
        <w:t>daj) četrtega odstavka 27. člena predloga ZInfV-1, ki določa: »Samoocenjevanje skladnosti, za katero je v celoti odgovoren proizvajalec ali ponudnik proizvodov, storitev ali postopkov IKT</w:t>
      </w:r>
      <w:r>
        <w:rPr>
          <w:rFonts w:cs="Arial"/>
          <w:szCs w:val="20"/>
          <w:lang w:val="sl-SI"/>
        </w:rPr>
        <w:t>, in</w:t>
      </w:r>
      <w:r w:rsidRPr="00D31B7E">
        <w:rPr>
          <w:rFonts w:cs="Arial"/>
          <w:szCs w:val="20"/>
          <w:lang w:val="sl-SI"/>
        </w:rPr>
        <w:t xml:space="preserve"> izdaja izjave EU o skladnosti se izvaja</w:t>
      </w:r>
      <w:r>
        <w:rPr>
          <w:rFonts w:cs="Arial"/>
          <w:szCs w:val="20"/>
          <w:lang w:val="sl-SI"/>
        </w:rPr>
        <w:t>ta</w:t>
      </w:r>
      <w:r w:rsidRPr="00D31B7E">
        <w:rPr>
          <w:rFonts w:cs="Arial"/>
          <w:szCs w:val="20"/>
          <w:lang w:val="sl-SI"/>
        </w:rPr>
        <w:t xml:space="preserve"> v skladu s 53. členom Uredbe 2019/881/EU.«. Opredelitev pojma »</w:t>
      </w:r>
      <w:r>
        <w:rPr>
          <w:rFonts w:cs="Arial"/>
          <w:szCs w:val="20"/>
          <w:lang w:val="sl-SI"/>
        </w:rPr>
        <w:t>e</w:t>
      </w:r>
      <w:r w:rsidRPr="00D31B7E">
        <w:rPr>
          <w:rFonts w:cs="Arial"/>
          <w:szCs w:val="20"/>
          <w:lang w:val="sl-SI"/>
        </w:rPr>
        <w:t xml:space="preserve">vropski certifikat kibernetske varnosti« pa je bila prenesena v 7. točko 5. člena (pomen izrazov) predloga ZInfV-1in je ta opredeljen kot dokument, ki potrjuje, da je bil zadevni proizvod IKT, storitev IKT ali postopek IKT ocenjen glede skladnosti s </w:t>
      </w:r>
      <w:r>
        <w:rPr>
          <w:rFonts w:cs="Arial"/>
          <w:szCs w:val="20"/>
          <w:lang w:val="sl-SI"/>
        </w:rPr>
        <w:t>specifičnimi</w:t>
      </w:r>
      <w:r w:rsidRPr="00D31B7E">
        <w:rPr>
          <w:rFonts w:cs="Arial"/>
          <w:szCs w:val="20"/>
          <w:lang w:val="sl-SI"/>
        </w:rPr>
        <w:t xml:space="preserve"> varnostnimi zahtevami, določenimi v evropski certifikacijski shemi za kibernetsko varnost;</w:t>
      </w:r>
    </w:p>
    <w:p w14:paraId="31297C3F"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k desetemu odstavku menijo, da je sklic na »izjave EU o skladnosti« preširoko </w:t>
      </w:r>
      <w:r>
        <w:rPr>
          <w:rFonts w:cs="Arial"/>
          <w:szCs w:val="20"/>
          <w:lang w:val="sl-SI"/>
        </w:rPr>
        <w:t>opredeljen</w:t>
      </w:r>
      <w:r w:rsidRPr="00D31B7E">
        <w:rPr>
          <w:rFonts w:cs="Arial"/>
          <w:szCs w:val="20"/>
          <w:lang w:val="sl-SI"/>
        </w:rPr>
        <w:t xml:space="preserve">, saj je možno govoriti le o izjavah po CSA (vezanih na kibernetsko varnost) in ne </w:t>
      </w:r>
      <w:r>
        <w:rPr>
          <w:rFonts w:cs="Arial"/>
          <w:szCs w:val="20"/>
          <w:lang w:val="sl-SI"/>
        </w:rPr>
        <w:t xml:space="preserve">o </w:t>
      </w:r>
      <w:r w:rsidRPr="00D31B7E">
        <w:rPr>
          <w:rFonts w:cs="Arial"/>
          <w:szCs w:val="20"/>
          <w:lang w:val="sl-SI"/>
        </w:rPr>
        <w:t xml:space="preserve">vseh morebitnih izjavah o skladnosti. Pripomba je bila upoštevana na način, kot </w:t>
      </w:r>
      <w:r w:rsidRPr="00D31B7E">
        <w:rPr>
          <w:rFonts w:cs="Arial"/>
          <w:szCs w:val="20"/>
          <w:lang w:val="sl-SI"/>
        </w:rPr>
        <w:lastRenderedPageBreak/>
        <w:t xml:space="preserve">to </w:t>
      </w:r>
      <w:r>
        <w:rPr>
          <w:rFonts w:cs="Arial"/>
          <w:szCs w:val="20"/>
          <w:lang w:val="sl-SI"/>
        </w:rPr>
        <w:t>z</w:t>
      </w:r>
      <w:r w:rsidRPr="00D31B7E">
        <w:rPr>
          <w:rFonts w:cs="Arial"/>
          <w:szCs w:val="20"/>
          <w:lang w:val="sl-SI"/>
        </w:rPr>
        <w:t xml:space="preserve">daj izhaja iz trinajstega odstavka 27. člena predloga ZInfV-1, ki ne zajema več izjav o skladnosti; </w:t>
      </w:r>
    </w:p>
    <w:p w14:paraId="1F90487E"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noProof/>
          <w:color w:val="000000"/>
          <w:szCs w:val="20"/>
          <w:lang w:val="sl-SI" w:eastAsia="sl-SI"/>
        </w:rPr>
      </w:pPr>
      <w:r w:rsidRPr="00D31B7E">
        <w:rPr>
          <w:rFonts w:cs="Arial"/>
          <w:szCs w:val="20"/>
          <w:lang w:val="sl-SI"/>
        </w:rPr>
        <w:t>k dvanajstem</w:t>
      </w:r>
      <w:r>
        <w:rPr>
          <w:rFonts w:cs="Arial"/>
          <w:szCs w:val="20"/>
          <w:lang w:val="sl-SI"/>
        </w:rPr>
        <w:t>u</w:t>
      </w:r>
      <w:r w:rsidRPr="00D31B7E">
        <w:rPr>
          <w:rFonts w:cs="Arial"/>
          <w:szCs w:val="20"/>
          <w:lang w:val="sl-SI"/>
        </w:rPr>
        <w:t xml:space="preserve"> odstavku, ker ta predvideva pravno sredstvo (le) pred upravnim sodiščem, saj so tovrstna pravna sredstva zelo omejena in de facto neustrezna (tudi z vidika ustavno varovane pravice do pravnega sredstva oziroma sodnega varstva). Malo je namreč</w:t>
      </w:r>
      <w:r>
        <w:rPr>
          <w:rFonts w:cs="Arial"/>
          <w:szCs w:val="20"/>
          <w:lang w:val="sl-SI"/>
        </w:rPr>
        <w:t xml:space="preserve"> </w:t>
      </w:r>
      <w:r w:rsidRPr="00D31B7E">
        <w:rPr>
          <w:rFonts w:cs="Arial"/>
          <w:szCs w:val="20"/>
          <w:lang w:val="sl-SI"/>
        </w:rPr>
        <w:t xml:space="preserve">verjetno, da bi sodišče interveniralo v primeru odločitve, ki je napačna z dejanskega (tehničnega) vidika, vendar brez postopkovnih napak. Primerneje bi bilo, da bi bilo dovoljeno tudi pravno sredstvo pritožbe na organ s strokovnimi kompetencami, ki bi odločitev lahko preveril tudi s strokovno-tehničnega vidika (in ne samo z vidika vsebinskega preizkusa omejeno pravno sredstvo tožbe v upravnem sporu). Pripomba ni bila upoštevana. Pojasnjujemo, da že </w:t>
      </w:r>
      <w:r>
        <w:rPr>
          <w:rFonts w:cs="Arial"/>
          <w:szCs w:val="20"/>
          <w:lang w:val="sl-SI"/>
        </w:rPr>
        <w:t>z</w:t>
      </w:r>
      <w:r w:rsidRPr="00D31B7E">
        <w:rPr>
          <w:rFonts w:cs="Arial"/>
          <w:szCs w:val="20"/>
          <w:lang w:val="sl-SI"/>
        </w:rPr>
        <w:t>daj veljavni ZInfV zoper odločbe URSIV, ki je vladna služba, podeljene pa so mu bile tudi upravne pristojnosti, izključuje dovoljenost pritožbe, dovoljuje pa upravni spor (glej peti odstavek 21. člena in peti odstave</w:t>
      </w:r>
      <w:r>
        <w:rPr>
          <w:rFonts w:cs="Arial"/>
          <w:szCs w:val="20"/>
          <w:lang w:val="sl-SI"/>
        </w:rPr>
        <w:t>k</w:t>
      </w:r>
      <w:r w:rsidRPr="00D31B7E">
        <w:rPr>
          <w:rFonts w:cs="Arial"/>
          <w:szCs w:val="20"/>
          <w:lang w:val="sl-SI"/>
        </w:rPr>
        <w:t xml:space="preserve"> 22. člena ZInfV). To se s predlogom ZInfV-1 ni spremenilo, velja pa tudi glede novih upravnih pristojnosti, ki jih ima URSIV kot pristojni nacionalni certifikacijski organ za kibernetsko varnost iz prvega odstavka 58. člena Uredbe 2019/881/EU</w:t>
      </w:r>
      <w:r>
        <w:rPr>
          <w:rFonts w:cs="Arial"/>
          <w:szCs w:val="20"/>
          <w:lang w:val="sl-SI"/>
        </w:rPr>
        <w:t>,</w:t>
      </w:r>
      <w:r w:rsidRPr="00D31B7E">
        <w:rPr>
          <w:rFonts w:cs="Arial"/>
          <w:szCs w:val="20"/>
          <w:lang w:val="sl-SI"/>
        </w:rPr>
        <w:t xml:space="preserve"> vključno v (omejenih) primerih, ko odloča na prvi stopnji v postopkih certificiranja po 27. členu predloga ZInfV-1 (</w:t>
      </w:r>
      <w:r>
        <w:rPr>
          <w:rFonts w:cs="Arial"/>
          <w:szCs w:val="20"/>
          <w:lang w:val="sl-SI"/>
        </w:rPr>
        <w:t>z</w:t>
      </w:r>
      <w:r w:rsidRPr="00D31B7E">
        <w:rPr>
          <w:rFonts w:cs="Arial"/>
          <w:szCs w:val="20"/>
          <w:lang w:val="sl-SI"/>
        </w:rPr>
        <w:t>daj gre za petnajsti odstavek). Glede na dejanske in pravne okoliščine ni razloga za razlikovanje pri določanju dovoljenih pravnih sredstev v zvezi z odločbami, ki jih izda isti organ – to je URSIV.</w:t>
      </w:r>
      <w:r>
        <w:rPr>
          <w:rFonts w:cs="Arial"/>
          <w:szCs w:val="20"/>
          <w:lang w:val="sl-SI"/>
        </w:rPr>
        <w:t xml:space="preserve"> </w:t>
      </w:r>
      <w:r w:rsidRPr="00D31B7E">
        <w:rPr>
          <w:rFonts w:cs="Arial"/>
          <w:noProof/>
          <w:color w:val="000000"/>
          <w:szCs w:val="20"/>
          <w:lang w:val="sl-SI" w:eastAsia="sl-SI"/>
        </w:rPr>
        <w:t>Pritožba zoper odločbo URSIV (ki je vladni urad) na Vlado Republike Slovenije bi pomenila navidezno dev</w:t>
      </w:r>
      <w:r>
        <w:rPr>
          <w:rFonts w:cs="Arial"/>
          <w:noProof/>
          <w:color w:val="000000"/>
          <w:szCs w:val="20"/>
          <w:lang w:val="sl-SI" w:eastAsia="sl-SI"/>
        </w:rPr>
        <w:t>o</w:t>
      </w:r>
      <w:r w:rsidRPr="00D31B7E">
        <w:rPr>
          <w:rFonts w:cs="Arial"/>
          <w:noProof/>
          <w:color w:val="000000"/>
          <w:szCs w:val="20"/>
          <w:lang w:val="sl-SI" w:eastAsia="sl-SI"/>
        </w:rPr>
        <w:t>l</w:t>
      </w:r>
      <w:r>
        <w:rPr>
          <w:rFonts w:cs="Arial"/>
          <w:noProof/>
          <w:color w:val="000000"/>
          <w:szCs w:val="20"/>
          <w:lang w:val="sl-SI" w:eastAsia="sl-SI"/>
        </w:rPr>
        <w:t>u</w:t>
      </w:r>
      <w:r w:rsidRPr="00D31B7E">
        <w:rPr>
          <w:rFonts w:cs="Arial"/>
          <w:noProof/>
          <w:color w:val="000000"/>
          <w:szCs w:val="20"/>
          <w:lang w:val="sl-SI" w:eastAsia="sl-SI"/>
        </w:rPr>
        <w:t>tivnost in zgolj podaljševanje postopkov, prav tako za takšne primere upravnega odločanja niso predvideni pritožbeni postopki na nak tretji novoustanovljeni tehnični organ. Menimo sicer, da so pravice strank in udeležencev postopkov do učinkovitega pravnega sredstva zoper (dokončne) upravne odločbe URSIV zagotovljene v postopku upravnega spora, ki je v skladu z Zakonom o upravnem sporu, tudi spor polne jurisdikcije.</w:t>
      </w:r>
      <w:r w:rsidRPr="00D31B7E">
        <w:rPr>
          <w:rStyle w:val="Sprotnaopomba-sklic"/>
          <w:rFonts w:cs="Arial"/>
          <w:noProof/>
          <w:color w:val="000000"/>
          <w:szCs w:val="20"/>
          <w:lang w:val="sl-SI" w:eastAsia="sl-SI"/>
        </w:rPr>
        <w:t xml:space="preserve">. </w:t>
      </w:r>
      <w:r w:rsidRPr="00D31B7E">
        <w:rPr>
          <w:rFonts w:cs="Arial"/>
          <w:noProof/>
          <w:color w:val="000000"/>
          <w:szCs w:val="20"/>
          <w:lang w:val="sl-SI" w:eastAsia="sl-SI"/>
        </w:rPr>
        <w:t>Ob tem se v upravnem sporu uporabljajo (subsidiarno) tudi določbe zakona, ki ureja pravdni postopek, kolikor ta zakon ne določa drugače, kar pomeni, da sodišče zaradi razjasnitve morebitnih strokovno</w:t>
      </w:r>
      <w:r>
        <w:rPr>
          <w:rFonts w:cs="Arial"/>
          <w:noProof/>
          <w:color w:val="000000"/>
          <w:szCs w:val="20"/>
          <w:lang w:val="sl-SI" w:eastAsia="sl-SI"/>
        </w:rPr>
        <w:t>-</w:t>
      </w:r>
      <w:r w:rsidRPr="00D31B7E">
        <w:rPr>
          <w:rFonts w:cs="Arial"/>
          <w:noProof/>
          <w:color w:val="000000"/>
          <w:szCs w:val="20"/>
          <w:lang w:val="sl-SI" w:eastAsia="sl-SI"/>
        </w:rPr>
        <w:t>tehničnih vprašanj lahko postavi tudi izvedence ustrezne stroke. Nadalje iz ocene vpliva izhaja tudi dodatno izobraževanje sodnikov;</w:t>
      </w:r>
    </w:p>
    <w:p w14:paraId="7D39C7D0"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štirinajstem</w:t>
      </w:r>
      <w:r>
        <w:rPr>
          <w:rFonts w:cs="Arial"/>
          <w:szCs w:val="20"/>
          <w:lang w:val="sl-SI"/>
        </w:rPr>
        <w:t>u</w:t>
      </w:r>
      <w:r w:rsidRPr="00D31B7E">
        <w:rPr>
          <w:rFonts w:cs="Arial"/>
          <w:szCs w:val="20"/>
          <w:lang w:val="sl-SI"/>
        </w:rPr>
        <w:t xml:space="preserve"> odstavku</w:t>
      </w:r>
      <w:r>
        <w:rPr>
          <w:rFonts w:cs="Arial"/>
          <w:szCs w:val="20"/>
          <w:lang w:val="sl-SI"/>
        </w:rPr>
        <w:t>,</w:t>
      </w:r>
      <w:r w:rsidRPr="00D31B7E">
        <w:rPr>
          <w:rFonts w:cs="Arial"/>
          <w:szCs w:val="20"/>
          <w:lang w:val="sl-SI"/>
        </w:rPr>
        <w:t xml:space="preserve"> ker vsebuje nejasno določbo, saj krog zavezancev za obveznost iz tega odstavka ni jasno določen, ravno tako ni jasne reference, na katero konkretno odločitev Evropske komisije naj bi bila vezana ta določba ter ni jasno</w:t>
      </w:r>
      <w:r>
        <w:rPr>
          <w:rFonts w:cs="Arial"/>
          <w:szCs w:val="20"/>
          <w:lang w:val="sl-SI"/>
        </w:rPr>
        <w:t>,</w:t>
      </w:r>
      <w:r w:rsidRPr="00D31B7E">
        <w:rPr>
          <w:rFonts w:cs="Arial"/>
          <w:szCs w:val="20"/>
          <w:lang w:val="sl-SI"/>
        </w:rPr>
        <w:t xml:space="preserve"> v zvezi s č</w:t>
      </w:r>
      <w:r>
        <w:rPr>
          <w:rFonts w:cs="Arial"/>
          <w:szCs w:val="20"/>
          <w:lang w:val="sl-SI"/>
        </w:rPr>
        <w:t>i</w:t>
      </w:r>
      <w:r w:rsidRPr="00D31B7E">
        <w:rPr>
          <w:rFonts w:cs="Arial"/>
          <w:szCs w:val="20"/>
          <w:lang w:val="sl-SI"/>
        </w:rPr>
        <w:t xml:space="preserve">m naj bi bile določene takšne »kategorije«. Pripomba je bila upoštevana in ta določba brisana (takšne določbe v 27. členu predloga ZInfV-1 ni več); </w:t>
      </w:r>
    </w:p>
    <w:p w14:paraId="2CB35FB0"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petnajstem</w:t>
      </w:r>
      <w:r>
        <w:rPr>
          <w:rFonts w:cs="Arial"/>
          <w:szCs w:val="20"/>
          <w:lang w:val="sl-SI"/>
        </w:rPr>
        <w:t>u</w:t>
      </w:r>
      <w:r w:rsidRPr="00D31B7E">
        <w:rPr>
          <w:rFonts w:cs="Arial"/>
          <w:szCs w:val="20"/>
          <w:lang w:val="sl-SI"/>
        </w:rPr>
        <w:t xml:space="preserve"> odstavku, da ta obravnava zgolj izdajo in podpis izjave EU o skladnosti, ne pa tudi predložitev nacionalnemu certifikacijskemu organu za kibernetsko varnost in agenciji ENISA. Pojasnjujemo (kot zgoraj), da je vsebina </w:t>
      </w:r>
      <w:r>
        <w:rPr>
          <w:rFonts w:cs="Arial"/>
          <w:szCs w:val="20"/>
          <w:lang w:val="sl-SI"/>
        </w:rPr>
        <w:t>z</w:t>
      </w:r>
      <w:r w:rsidRPr="00D31B7E">
        <w:rPr>
          <w:rFonts w:cs="Arial"/>
          <w:szCs w:val="20"/>
          <w:lang w:val="sl-SI"/>
        </w:rPr>
        <w:t>daj urejena v četrtem odstavku 27. člena</w:t>
      </w:r>
      <w:r>
        <w:rPr>
          <w:rFonts w:cs="Arial"/>
          <w:szCs w:val="20"/>
          <w:lang w:val="sl-SI"/>
        </w:rPr>
        <w:t xml:space="preserve"> predloga ZInfV-1</w:t>
      </w:r>
      <w:r w:rsidRPr="00D31B7E">
        <w:rPr>
          <w:rFonts w:cs="Arial"/>
          <w:szCs w:val="20"/>
          <w:lang w:val="sl-SI"/>
        </w:rPr>
        <w:t xml:space="preserve"> in se samoocenjevanje skladnosti kot tudi izdaja izjave EU o skladnosti izvaja v skladu s 53. členom Uredbe 2019/881/EU (ki je neposredno uporabljiva, kot </w:t>
      </w:r>
      <w:r>
        <w:rPr>
          <w:rFonts w:cs="Arial"/>
          <w:szCs w:val="20"/>
          <w:lang w:val="sl-SI"/>
        </w:rPr>
        <w:t>s</w:t>
      </w:r>
      <w:r w:rsidRPr="00D31B7E">
        <w:rPr>
          <w:rFonts w:cs="Arial"/>
          <w:szCs w:val="20"/>
          <w:lang w:val="sl-SI"/>
        </w:rPr>
        <w:t>o načeloma uredbe EU). Ker vsebina te določbe presega vsebino Direktive 2022/2555/EU</w:t>
      </w:r>
      <w:r>
        <w:rPr>
          <w:rFonts w:cs="Arial"/>
          <w:szCs w:val="20"/>
          <w:lang w:val="sl-SI"/>
        </w:rPr>
        <w:t>,</w:t>
      </w:r>
      <w:r w:rsidRPr="00D31B7E">
        <w:rPr>
          <w:rFonts w:cs="Arial"/>
          <w:szCs w:val="20"/>
          <w:lang w:val="sl-SI"/>
        </w:rPr>
        <w:t xml:space="preserve"> se nadalje predlaga, naj se pristojnosti v osnutk</w:t>
      </w:r>
      <w:r>
        <w:rPr>
          <w:rFonts w:cs="Arial"/>
          <w:szCs w:val="20"/>
          <w:lang w:val="sl-SI"/>
        </w:rPr>
        <w:t>u</w:t>
      </w:r>
      <w:r w:rsidRPr="00D31B7E">
        <w:rPr>
          <w:rFonts w:cs="Arial"/>
          <w:szCs w:val="20"/>
          <w:lang w:val="sl-SI"/>
        </w:rPr>
        <w:t xml:space="preserve"> predloga zakona omejijo na pristojnosti, ki jih predvideva ta direktiva, ki so že rezultat tehtanja med drugim tudi z vidika sorazmernosti in procesnih jamstev in so že relativno široke. Pripomba je bila pri tej določbi le delno upoštevana</w:t>
      </w:r>
      <w:r>
        <w:rPr>
          <w:rFonts w:cs="Arial"/>
          <w:szCs w:val="20"/>
          <w:lang w:val="sl-SI"/>
        </w:rPr>
        <w:t>,</w:t>
      </w:r>
      <w:r w:rsidRPr="00D31B7E">
        <w:rPr>
          <w:rFonts w:cs="Arial"/>
          <w:szCs w:val="20"/>
          <w:lang w:val="sl-SI"/>
        </w:rPr>
        <w:t xml:space="preserve"> in sicer na način, kot je to razvidno iz sedemnajstega odstavka </w:t>
      </w:r>
      <w:r>
        <w:rPr>
          <w:rFonts w:cs="Arial"/>
          <w:szCs w:val="20"/>
          <w:lang w:val="sl-SI"/>
        </w:rPr>
        <w:t xml:space="preserve">27. člena </w:t>
      </w:r>
      <w:r w:rsidRPr="00D31B7E">
        <w:rPr>
          <w:rFonts w:cs="Arial"/>
          <w:szCs w:val="20"/>
          <w:lang w:val="sl-SI"/>
        </w:rPr>
        <w:t>predloga ZInfV-1 (»</w:t>
      </w:r>
      <w:r w:rsidRPr="00D31B7E">
        <w:rPr>
          <w:rFonts w:cs="Arial"/>
          <w:color w:val="000000"/>
          <w:szCs w:val="20"/>
          <w:lang w:val="sl-SI"/>
        </w:rPr>
        <w:t>Za obvladovanj</w:t>
      </w:r>
      <w:r>
        <w:rPr>
          <w:rFonts w:cs="Arial"/>
          <w:color w:val="000000"/>
          <w:szCs w:val="20"/>
          <w:lang w:val="sl-SI"/>
        </w:rPr>
        <w:t>e</w:t>
      </w:r>
      <w:r w:rsidRPr="00D31B7E">
        <w:rPr>
          <w:rFonts w:cs="Arial"/>
          <w:color w:val="000000"/>
          <w:szCs w:val="20"/>
          <w:lang w:val="sl-SI"/>
        </w:rPr>
        <w:t xml:space="preserve"> tveganj za varnost omrežij in informacijskih sistemov bistveni in pomembni subjekti pri izvajanju ukrepov iz 22. člena tega zakona prednostno uporabljajo kvalificirane storitve zaupanja in tiste proizvode, storitve ali postopke</w:t>
      </w:r>
      <w:r>
        <w:rPr>
          <w:rFonts w:cs="Arial"/>
          <w:color w:val="000000"/>
          <w:szCs w:val="20"/>
          <w:lang w:val="sl-SI"/>
        </w:rPr>
        <w:t xml:space="preserve"> IKT</w:t>
      </w:r>
      <w:r w:rsidRPr="00D31B7E">
        <w:rPr>
          <w:rFonts w:cs="Arial"/>
          <w:color w:val="000000"/>
          <w:szCs w:val="20"/>
          <w:lang w:val="sl-SI"/>
        </w:rPr>
        <w:t>, ki so jih razvili bistveni ali pomembni subjekti ali so bili kupljeni pri drugih subjektih in so certificirani na podlagi evropskih certifikacijskih shem za kibernetsko varnost sprejetih na podlagi 49. člena Uredb</w:t>
      </w:r>
      <w:r>
        <w:rPr>
          <w:rFonts w:cs="Arial"/>
          <w:color w:val="000000"/>
          <w:szCs w:val="20"/>
          <w:lang w:val="sl-SI"/>
        </w:rPr>
        <w:t>e</w:t>
      </w:r>
      <w:r w:rsidRPr="00D31B7E">
        <w:rPr>
          <w:rFonts w:cs="Arial"/>
          <w:color w:val="000000"/>
          <w:szCs w:val="20"/>
          <w:lang w:val="sl-SI"/>
        </w:rPr>
        <w:t xml:space="preserve"> 2019/881/EU.«) Nadalje ponovno pojasnjujemo, da je </w:t>
      </w:r>
      <w:r w:rsidRPr="00D31B7E">
        <w:rPr>
          <w:rFonts w:cs="Arial"/>
          <w:szCs w:val="20"/>
          <w:lang w:val="sl-SI"/>
        </w:rPr>
        <w:t xml:space="preserve">Direktiva 2022/ 2555/EU direktiva </w:t>
      </w:r>
      <w:r w:rsidRPr="00D31B7E">
        <w:rPr>
          <w:rFonts w:cs="Arial"/>
          <w:szCs w:val="20"/>
          <w:lang w:val="sl-SI"/>
        </w:rPr>
        <w:lastRenderedPageBreak/>
        <w:t>minimalne harmonizacije;</w:t>
      </w:r>
    </w:p>
    <w:p w14:paraId="786AB6C7"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k </w:t>
      </w:r>
      <w:r w:rsidRPr="00E35D5F">
        <w:rPr>
          <w:rFonts w:cs="Arial"/>
          <w:szCs w:val="20"/>
          <w:lang w:val="sl-SI"/>
        </w:rPr>
        <w:t>šestnajstemu</w:t>
      </w:r>
      <w:r w:rsidRPr="00D31B7E">
        <w:rPr>
          <w:rFonts w:cs="Arial"/>
          <w:szCs w:val="20"/>
          <w:lang w:val="sl-SI"/>
        </w:rPr>
        <w:t xml:space="preserve"> odstavku</w:t>
      </w:r>
      <w:r>
        <w:rPr>
          <w:rFonts w:cs="Arial"/>
          <w:szCs w:val="20"/>
          <w:lang w:val="sl-SI"/>
        </w:rPr>
        <w:t>,</w:t>
      </w:r>
      <w:r w:rsidRPr="00D31B7E">
        <w:rPr>
          <w:rFonts w:cs="Arial"/>
          <w:szCs w:val="20"/>
          <w:lang w:val="sl-SI"/>
        </w:rPr>
        <w:t xml:space="preserve"> naj se črta zakonska podlaga, po kateri bi vlada določenim kategorijam bistvenih subjektov lahko predpisala obvezno uporabo certificiranih proizvodov IKT, storitev IKT ali postopkov IKT</w:t>
      </w:r>
      <w:r>
        <w:rPr>
          <w:rFonts w:cs="Arial"/>
          <w:szCs w:val="20"/>
          <w:lang w:val="sl-SI"/>
        </w:rPr>
        <w:t>,</w:t>
      </w:r>
      <w:r w:rsidRPr="00D31B7E">
        <w:rPr>
          <w:rFonts w:cs="Arial"/>
          <w:szCs w:val="20"/>
          <w:lang w:val="sl-SI"/>
        </w:rPr>
        <w:t xml:space="preserve"> saj gre za blanketno pooblastilo, ki bi bilo tudi v </w:t>
      </w:r>
      <w:r w:rsidRPr="00D31B7E">
        <w:rPr>
          <w:rFonts w:cs="Arial"/>
          <w:color w:val="000000"/>
          <w:szCs w:val="20"/>
          <w:lang w:val="sl-SI"/>
        </w:rPr>
        <w:t>nasprotju</w:t>
      </w:r>
      <w:r w:rsidRPr="00D31B7E">
        <w:rPr>
          <w:rFonts w:cs="Arial"/>
          <w:szCs w:val="20"/>
          <w:lang w:val="sl-SI"/>
        </w:rPr>
        <w:t xml:space="preserve"> z Ustavo. Pripomba je bila upoštevana in določba črtana; </w:t>
      </w:r>
    </w:p>
    <w:p w14:paraId="30F2FA50" w14:textId="77777777" w:rsidR="000A51A5" w:rsidRPr="00D31B7E" w:rsidRDefault="000A51A5" w:rsidP="000A51A5">
      <w:pPr>
        <w:pStyle w:val="Odstavekseznama"/>
        <w:widowControl w:val="0"/>
        <w:overflowPunct w:val="0"/>
        <w:autoSpaceDE w:val="0"/>
        <w:autoSpaceDN w:val="0"/>
        <w:adjustRightInd w:val="0"/>
        <w:spacing w:after="240" w:line="276" w:lineRule="auto"/>
        <w:jc w:val="both"/>
        <w:textAlignment w:val="baseline"/>
        <w:rPr>
          <w:rFonts w:cs="Arial"/>
          <w:szCs w:val="20"/>
          <w:lang w:val="sl-SI"/>
        </w:rPr>
      </w:pPr>
    </w:p>
    <w:p w14:paraId="74799904"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bookmarkStart w:id="17" w:name="_Hlk191400467"/>
      <w:r w:rsidRPr="00D31B7E">
        <w:rPr>
          <w:rFonts w:cs="Arial"/>
          <w:szCs w:val="20"/>
          <w:lang w:val="sl-SI"/>
        </w:rPr>
        <w:t xml:space="preserve">k 24. členu (standardizacija) SeKV meni, da bi vlada morala z uredbo določiti dokumentacijo SUVI in SUNP, pri čemer se sklicuje na dobro prakso, ki bi jo lahko ohranili, in sicer 12. člen ZInfV. </w:t>
      </w:r>
      <w:r>
        <w:rPr>
          <w:rFonts w:cs="Arial"/>
          <w:szCs w:val="20"/>
          <w:lang w:val="sl-SI"/>
        </w:rPr>
        <w:t>Menimo</w:t>
      </w:r>
      <w:r w:rsidRPr="00D31B7E">
        <w:rPr>
          <w:rFonts w:cs="Arial"/>
          <w:szCs w:val="20"/>
          <w:lang w:val="sl-SI"/>
        </w:rPr>
        <w:t>, da ta pripomba ne spada k členu o standardizaciji</w:t>
      </w:r>
      <w:r>
        <w:rPr>
          <w:rFonts w:cs="Arial"/>
          <w:szCs w:val="20"/>
          <w:lang w:val="sl-SI"/>
        </w:rPr>
        <w:t>,</w:t>
      </w:r>
      <w:r w:rsidRPr="00D31B7E">
        <w:rPr>
          <w:rFonts w:cs="Arial"/>
          <w:szCs w:val="20"/>
          <w:lang w:val="sl-SI"/>
        </w:rPr>
        <w:t xml:space="preserve"> temveč kvečjemu k 20. oziroma 22. členu osnutka predloga zakona, kar predlog ZInfV-1 </w:t>
      </w:r>
      <w:r>
        <w:rPr>
          <w:rFonts w:cs="Arial"/>
          <w:szCs w:val="20"/>
          <w:lang w:val="sl-SI"/>
        </w:rPr>
        <w:t>z</w:t>
      </w:r>
      <w:r w:rsidRPr="00D31B7E">
        <w:rPr>
          <w:rFonts w:cs="Arial"/>
          <w:szCs w:val="20"/>
          <w:lang w:val="sl-SI"/>
        </w:rPr>
        <w:t xml:space="preserve">daj ureja v 21. členu (varnostna dokumentacija) oziroma 22. členu (ukrepi za obvladovanje tveganj). Pojasnjujemo, da oba člena skupaj urejata vsebino, ki jo </w:t>
      </w:r>
      <w:r>
        <w:rPr>
          <w:rFonts w:cs="Arial"/>
          <w:szCs w:val="20"/>
          <w:lang w:val="sl-SI"/>
        </w:rPr>
        <w:t>z</w:t>
      </w:r>
      <w:r w:rsidRPr="00D31B7E">
        <w:rPr>
          <w:rFonts w:cs="Arial"/>
          <w:szCs w:val="20"/>
          <w:lang w:val="sl-SI"/>
        </w:rPr>
        <w:t xml:space="preserve">daj ureja 12. člen ZInfV-1 (varnostna dokumentacija in varnostni ukrepi) in bo vsebina s predlogom ZInfV-1 že na zakonski ravni mnogo podrobneje urejena, kot pa je to v ZInfV, kjer je bil posledično potreben obvezen podzakonski akt. Za določene skupine zavezancev s področja digitalne infrastrukture (že </w:t>
      </w:r>
      <w:r>
        <w:rPr>
          <w:rFonts w:cs="Arial"/>
          <w:szCs w:val="20"/>
          <w:lang w:val="sl-SI"/>
        </w:rPr>
        <w:t>z</w:t>
      </w:r>
      <w:r w:rsidRPr="00D31B7E">
        <w:rPr>
          <w:rFonts w:cs="Arial"/>
          <w:szCs w:val="20"/>
          <w:lang w:val="sl-SI"/>
        </w:rPr>
        <w:t xml:space="preserve">daj) zelo natančno in podrobno določa potrebne varnostne ukrepe in vsebino predpisane dokumentacije veljavna IZVEDBENA UREDBA KOMISIJE (EU) 2024/2690 z dne 17. oktobra 2024. Ne glede na navedeno oba čelna predloga ZInfV-1 vsebujeta podlago za morebitno dodatno podzakonsko urejanje načina izvajanja obveznosti obeh zakonskih določb, če se bo v praksi pokazalo, da je to potrebno ob takšni novi zakonski ureditvi. Glede pripombe pri členu o standardizaciji, da naj bi bilo poleg objav na spletni strani smiselno pošiljati tudi obvestila na spletne naslove zavezancev, vključno z opozorili na relevantne dokumente ENISA, pojasnjujemo, da ta ni bila sprejeta. Menimo namreč, da bi šlo za nepotrebno administrativno breme pristojnega nacionalnega organa. Ocenjujemo, da predvideni način obveščanja zavezancev, ki so hkrati strokovnjaki na svojem področju dela, zadošča. Zadevna določba </w:t>
      </w:r>
      <w:r>
        <w:rPr>
          <w:rFonts w:cs="Arial"/>
          <w:szCs w:val="20"/>
          <w:lang w:val="sl-SI"/>
        </w:rPr>
        <w:t>z</w:t>
      </w:r>
      <w:r w:rsidRPr="00D31B7E">
        <w:rPr>
          <w:rFonts w:cs="Arial"/>
          <w:szCs w:val="20"/>
          <w:lang w:val="sl-SI"/>
        </w:rPr>
        <w:t>daj drugega odstavka 28. člena (standardizacija) predloga ZInfV-1 se namreč glasi: »Pristojni nacionalni organ na osrednjem spletnem mestu državne uprave objavlja ustrezne informacije o evropskih in mednarodnih standardih in tehničnih specifikacijah, ki obravnavajo varnost omrežnih in informacijskih sistemov iz prejšnjega odstavka</w:t>
      </w:r>
      <w:r>
        <w:rPr>
          <w:rFonts w:cs="Arial"/>
          <w:szCs w:val="20"/>
          <w:lang w:val="sl-SI"/>
        </w:rPr>
        <w:t>,</w:t>
      </w:r>
      <w:r w:rsidRPr="00D31B7E">
        <w:rPr>
          <w:rFonts w:cs="Arial"/>
          <w:szCs w:val="20"/>
          <w:lang w:val="sl-SI"/>
        </w:rPr>
        <w:t xml:space="preserve"> ter o</w:t>
      </w:r>
      <w:r>
        <w:rPr>
          <w:rFonts w:cs="Arial"/>
          <w:szCs w:val="20"/>
          <w:lang w:val="sl-SI"/>
        </w:rPr>
        <w:t>za</w:t>
      </w:r>
      <w:r w:rsidRPr="00D31B7E">
        <w:rPr>
          <w:rFonts w:cs="Arial"/>
          <w:szCs w:val="20"/>
          <w:lang w:val="sl-SI"/>
        </w:rPr>
        <w:t xml:space="preserve">vešča zavezance </w:t>
      </w:r>
      <w:r>
        <w:rPr>
          <w:rFonts w:cs="Arial"/>
          <w:szCs w:val="20"/>
          <w:lang w:val="sl-SI"/>
        </w:rPr>
        <w:t>glede</w:t>
      </w:r>
      <w:r w:rsidRPr="00D31B7E">
        <w:rPr>
          <w:rFonts w:cs="Arial"/>
          <w:szCs w:val="20"/>
          <w:lang w:val="sl-SI"/>
        </w:rPr>
        <w:t xml:space="preserve"> njihov</w:t>
      </w:r>
      <w:r>
        <w:rPr>
          <w:rFonts w:cs="Arial"/>
          <w:szCs w:val="20"/>
          <w:lang w:val="sl-SI"/>
        </w:rPr>
        <w:t>e</w:t>
      </w:r>
      <w:r w:rsidRPr="00D31B7E">
        <w:rPr>
          <w:rFonts w:cs="Arial"/>
          <w:szCs w:val="20"/>
          <w:lang w:val="sl-SI"/>
        </w:rPr>
        <w:t xml:space="preserve"> uporab</w:t>
      </w:r>
      <w:r>
        <w:rPr>
          <w:rFonts w:cs="Arial"/>
          <w:szCs w:val="20"/>
          <w:lang w:val="sl-SI"/>
        </w:rPr>
        <w:t>e</w:t>
      </w:r>
      <w:r w:rsidRPr="00D31B7E">
        <w:rPr>
          <w:rFonts w:cs="Arial"/>
          <w:szCs w:val="20"/>
          <w:lang w:val="sl-SI"/>
        </w:rPr>
        <w:t>.«;</w:t>
      </w:r>
    </w:p>
    <w:bookmarkEnd w:id="17"/>
    <w:p w14:paraId="77F01301"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i/>
          <w:iCs/>
          <w:szCs w:val="20"/>
          <w:lang w:val="sl-SI"/>
        </w:rPr>
      </w:pPr>
    </w:p>
    <w:p w14:paraId="50160493"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szCs w:val="20"/>
          <w:lang w:val="sl-SI"/>
        </w:rPr>
        <w:t xml:space="preserve">k 25. členu (obveznost priglašanja in obveščanja) je SOEK podal pripombe skupaj s pripombami k 26. členu (postopek priglasitve pomembnih incidentov) </w:t>
      </w:r>
      <w:r>
        <w:rPr>
          <w:rFonts w:cs="Arial"/>
          <w:szCs w:val="20"/>
          <w:lang w:val="sl-SI"/>
        </w:rPr>
        <w:t>ter</w:t>
      </w:r>
      <w:r w:rsidRPr="00D31B7E">
        <w:rPr>
          <w:rFonts w:cs="Arial"/>
          <w:szCs w:val="20"/>
          <w:lang w:val="sl-SI"/>
        </w:rPr>
        <w:t xml:space="preserve"> k spremembam in dopolnitvam Zakona o elektronskih komunikacijah </w:t>
      </w:r>
      <w:r>
        <w:rPr>
          <w:rFonts w:cs="Arial"/>
          <w:szCs w:val="20"/>
          <w:lang w:val="sl-SI"/>
        </w:rPr>
        <w:t>‒</w:t>
      </w:r>
      <w:r w:rsidRPr="00D31B7E">
        <w:rPr>
          <w:rFonts w:cs="Arial"/>
          <w:szCs w:val="20"/>
          <w:lang w:val="sl-SI"/>
        </w:rPr>
        <w:t xml:space="preserve"> ZEKom-2 (torej k 62. členu)</w:t>
      </w:r>
      <w:r>
        <w:rPr>
          <w:rFonts w:cs="Arial"/>
          <w:szCs w:val="20"/>
          <w:lang w:val="sl-SI"/>
        </w:rPr>
        <w:t>, ne</w:t>
      </w:r>
      <w:r w:rsidRPr="00D31B7E">
        <w:rPr>
          <w:rFonts w:cs="Arial"/>
          <w:szCs w:val="20"/>
          <w:lang w:val="sl-SI"/>
        </w:rPr>
        <w:t xml:space="preserve"> da bi jih jasno razmejil glede na posamezne člene oziroma člene navedel v zvezi s posamezno pripombo. </w:t>
      </w:r>
      <w:r>
        <w:rPr>
          <w:rFonts w:cs="Arial"/>
          <w:szCs w:val="20"/>
          <w:lang w:val="sl-SI"/>
        </w:rPr>
        <w:t>Menimo</w:t>
      </w:r>
      <w:r w:rsidRPr="00D31B7E">
        <w:rPr>
          <w:rFonts w:cs="Arial"/>
          <w:szCs w:val="20"/>
          <w:lang w:val="sl-SI"/>
        </w:rPr>
        <w:t xml:space="preserve">, da se na 25. člen nanaša predlog, naj se opredeli pomen izrazov »finančne izgube« in »precejšnja premoženjska ali nepremoženjske škode«. Predloga nista bila upoštevana. Izraz finančna izguba je pogosto uporabljen v ekonomiji, računovodstvu in pravu, zato ga ni treba posebej </w:t>
      </w:r>
      <w:r>
        <w:rPr>
          <w:rFonts w:cs="Arial"/>
          <w:szCs w:val="20"/>
          <w:lang w:val="sl-SI"/>
        </w:rPr>
        <w:t>opredeliti</w:t>
      </w:r>
      <w:r w:rsidRPr="00D31B7E">
        <w:rPr>
          <w:rFonts w:cs="Arial"/>
          <w:szCs w:val="20"/>
          <w:lang w:val="sl-SI"/>
        </w:rPr>
        <w:t>, saj mu splošna in strokovna javnost pripisuje</w:t>
      </w:r>
      <w:r>
        <w:rPr>
          <w:rFonts w:cs="Arial"/>
          <w:szCs w:val="20"/>
          <w:lang w:val="sl-SI"/>
        </w:rPr>
        <w:t>ta</w:t>
      </w:r>
      <w:r w:rsidRPr="00D31B7E">
        <w:rPr>
          <w:rFonts w:cs="Arial"/>
          <w:szCs w:val="20"/>
          <w:lang w:val="sl-SI"/>
        </w:rPr>
        <w:t xml:space="preserve"> enak pomen. Pojma premoženjska škoda ali nepremožen</w:t>
      </w:r>
      <w:r>
        <w:rPr>
          <w:rFonts w:cs="Arial"/>
          <w:szCs w:val="20"/>
          <w:lang w:val="sl-SI"/>
        </w:rPr>
        <w:t>j</w:t>
      </w:r>
      <w:r w:rsidRPr="00D31B7E">
        <w:rPr>
          <w:rFonts w:cs="Arial"/>
          <w:szCs w:val="20"/>
          <w:lang w:val="sl-SI"/>
        </w:rPr>
        <w:t>ska škoda se že dolgo uporablja</w:t>
      </w:r>
      <w:r>
        <w:rPr>
          <w:rFonts w:cs="Arial"/>
          <w:szCs w:val="20"/>
          <w:lang w:val="sl-SI"/>
        </w:rPr>
        <w:t>ta</w:t>
      </w:r>
      <w:r w:rsidRPr="00D31B7E">
        <w:rPr>
          <w:rFonts w:cs="Arial"/>
          <w:szCs w:val="20"/>
          <w:lang w:val="sl-SI"/>
        </w:rPr>
        <w:t xml:space="preserve"> v civilnem pravu, zlasti v obligacijskih razmerjih in odškodninskem pravu. Sodna praksa in komentarji zakonov jih dosledno razlagajo, zato posebna zakonska definicija ni potrebna. Izraz »precejšnja« v povezavi s premoženjsko ali nepremoženj</w:t>
      </w:r>
      <w:r>
        <w:rPr>
          <w:rFonts w:cs="Arial"/>
          <w:szCs w:val="20"/>
          <w:lang w:val="sl-SI"/>
        </w:rPr>
        <w:t>s</w:t>
      </w:r>
      <w:r w:rsidRPr="00D31B7E">
        <w:rPr>
          <w:rFonts w:cs="Arial"/>
          <w:szCs w:val="20"/>
          <w:lang w:val="sl-SI"/>
        </w:rPr>
        <w:t>ko škodo pa ni stvar opredelitve pojma</w:t>
      </w:r>
      <w:r>
        <w:rPr>
          <w:rFonts w:cs="Arial"/>
          <w:szCs w:val="20"/>
          <w:lang w:val="sl-SI"/>
        </w:rPr>
        <w:t>,</w:t>
      </w:r>
      <w:r w:rsidRPr="00D31B7E">
        <w:rPr>
          <w:rFonts w:cs="Arial"/>
          <w:szCs w:val="20"/>
          <w:lang w:val="sl-SI"/>
        </w:rPr>
        <w:t xml:space="preserve"> temveč vrednotenja. Nadalje </w:t>
      </w:r>
      <w:r>
        <w:rPr>
          <w:rFonts w:cs="Arial"/>
          <w:szCs w:val="20"/>
          <w:lang w:val="sl-SI"/>
        </w:rPr>
        <w:t>menimo</w:t>
      </w:r>
      <w:r w:rsidRPr="00D31B7E">
        <w:rPr>
          <w:rFonts w:cs="Arial"/>
          <w:szCs w:val="20"/>
          <w:lang w:val="sl-SI"/>
        </w:rPr>
        <w:t xml:space="preserve">, da je v </w:t>
      </w:r>
      <w:r>
        <w:rPr>
          <w:rFonts w:cs="Arial"/>
          <w:szCs w:val="20"/>
          <w:lang w:val="sl-SI"/>
        </w:rPr>
        <w:t>povezavi</w:t>
      </w:r>
      <w:r w:rsidRPr="00D31B7E">
        <w:rPr>
          <w:rFonts w:cs="Arial"/>
          <w:szCs w:val="20"/>
          <w:lang w:val="sl-SI"/>
        </w:rPr>
        <w:t xml:space="preserve"> s to določbo osnutka predloga ZInfV-1 tudi pripomba, da je poročanje o incidentih izredno neopredeljeno, zato naj se predvidi izdaja podzakonskega predpisa (po vzoru ureditve iz ZEKom-2). Pripombe ne sprejemamo, že prvi odstavek 25. člena je glede obveznosti priglašanja incidentov navedel, da mora biti to v skladu s prvim in drugim odstavkom 26. člena in z nacionalnim načrtom odzivanja iz drugega odstavka 12. člena tega zakona (torej osnutka predloga</w:t>
      </w:r>
      <w:r>
        <w:rPr>
          <w:rFonts w:cs="Arial"/>
          <w:szCs w:val="20"/>
          <w:lang w:val="sl-SI"/>
        </w:rPr>
        <w:t xml:space="preserve"> ZInfV-1</w:t>
      </w:r>
      <w:r w:rsidRPr="00D31B7E">
        <w:rPr>
          <w:rFonts w:cs="Arial"/>
          <w:szCs w:val="20"/>
          <w:lang w:val="sl-SI"/>
        </w:rPr>
        <w:t xml:space="preserve">). Nadalje je bilo v drugem odstavku 25. člena pojasnjeno, da </w:t>
      </w:r>
      <w:r w:rsidRPr="00D31B7E">
        <w:rPr>
          <w:rFonts w:cs="Arial"/>
          <w:color w:val="000000"/>
          <w:szCs w:val="20"/>
          <w:lang w:val="sl-SI"/>
        </w:rPr>
        <w:t xml:space="preserve">pri vrednotenju pomembnosti incidenta bistveni in pomembni subjekti upoštevajo prizadetost omrežnih </w:t>
      </w:r>
      <w:r w:rsidRPr="00D31B7E">
        <w:rPr>
          <w:rFonts w:cs="Arial"/>
          <w:color w:val="000000"/>
          <w:szCs w:val="20"/>
          <w:lang w:val="sl-SI"/>
        </w:rPr>
        <w:lastRenderedPageBreak/>
        <w:t>in informacijskih sistemov, zlasti njihov pomen pri zagotavljanju storitev subjekta, resnost in tehnične značilnosti kibernetske grožnje in njihovega vpliva na uporabnike, obstoječe ranljivosti, ki se izkoriščajo, ter izkušnje subjekta s podobnimi incidenti. Bistveni in pomembni subjekti pri priglašanju iz prejšnjega odstavka upoštevajo morebitne izvedbene akte Evropske komisije iz prvega pododstavka enajstega odstavka 23. člena Direktive (EU) 2022/2555, s katerimi ta podrobneje določi vrsto informacij, obliko in postopek priglasitve ter prostovoljne priglasitve in obvestila. Nadalje se je tretji odstavek 25. člena za primer, da so zavezanci ponudniki storitev DNS, registri TLD imen, ponudniki storitev računalništva v oblaku, ponudniki storitev podatkovnih centrov, ponudniki omrežij za dostavo vsebine, ponudniki upravljanih storitev, ponudniki upravljanih varnostnih storitev</w:t>
      </w:r>
      <w:r>
        <w:rPr>
          <w:rFonts w:cs="Arial"/>
          <w:color w:val="000000"/>
          <w:szCs w:val="20"/>
          <w:lang w:val="sl-SI"/>
        </w:rPr>
        <w:t xml:space="preserve"> ter</w:t>
      </w:r>
      <w:r w:rsidRPr="00D31B7E">
        <w:rPr>
          <w:rFonts w:cs="Arial"/>
          <w:color w:val="000000"/>
          <w:szCs w:val="20"/>
          <w:lang w:val="sl-SI"/>
        </w:rPr>
        <w:t xml:space="preserve"> ponudniki spletnih tržnic, spletnih iskalnikov in platform za storitve družbenega mreženja, glede poročanja incidentov skliceval na (obvezni) izvedbeni akt Evropske komisije iz drugega pododstavka enajstega odstavka 23. člena Direktive (EU) 2022/2555, kjer so za (le) te zavezance podrobneje določeni primeri, ko se incident šteje za pomembnega, kar se upošteva pri priglašanju. Za tisto skupino zavezancev, ki ne spadajo med prej naštete zavezance, pa je četrti odstavek 25. člena osnutka predloga ZInfV-1 v četrtem odstavku določal, da upoštevajo morebitne izvedbene akte Evropske komisije iz drugega pododstavka enajstega odstavka 23. člena Direktive (EU) 2022/2555 (sprejem tega izvedben</w:t>
      </w:r>
      <w:r>
        <w:rPr>
          <w:rFonts w:cs="Arial"/>
          <w:color w:val="000000"/>
          <w:szCs w:val="20"/>
          <w:lang w:val="sl-SI"/>
        </w:rPr>
        <w:t>ega</w:t>
      </w:r>
      <w:r w:rsidRPr="00D31B7E">
        <w:rPr>
          <w:rFonts w:cs="Arial"/>
          <w:color w:val="000000"/>
          <w:szCs w:val="20"/>
          <w:lang w:val="sl-SI"/>
        </w:rPr>
        <w:t xml:space="preserve"> akta torej ni obvezen), v katerih so zanje podrobneje določeni primeri, ko se incident šteje za pomembnega. Če Evropska komisija takšnih izvedbenih aktov ne sprejme, se za te subjekte upošteva metodologija za določitev pomembnosti incidenta, kot je opredeljena v nacionalnem načrtu odzivanja (na katerega se je skliceval že prvi odstavek tega člena). Ureditev torej ni izredno neopredeljena </w:t>
      </w:r>
      <w:r>
        <w:rPr>
          <w:rFonts w:cs="Arial"/>
          <w:color w:val="000000"/>
          <w:szCs w:val="20"/>
          <w:lang w:val="sl-SI"/>
        </w:rPr>
        <w:t>ter</w:t>
      </w:r>
      <w:r w:rsidRPr="00D31B7E">
        <w:rPr>
          <w:rFonts w:cs="Arial"/>
          <w:color w:val="000000"/>
          <w:szCs w:val="20"/>
          <w:lang w:val="sl-SI"/>
        </w:rPr>
        <w:t xml:space="preserve"> ob sklicih na izvedbene akte Evropske komisije </w:t>
      </w:r>
      <w:r>
        <w:rPr>
          <w:rFonts w:cs="Arial"/>
          <w:color w:val="000000"/>
          <w:szCs w:val="20"/>
          <w:lang w:val="sl-SI"/>
        </w:rPr>
        <w:t>in</w:t>
      </w:r>
      <w:r w:rsidRPr="00D31B7E">
        <w:rPr>
          <w:rFonts w:cs="Arial"/>
          <w:color w:val="000000"/>
          <w:szCs w:val="20"/>
          <w:lang w:val="sl-SI"/>
        </w:rPr>
        <w:t xml:space="preserve"> na nacionalni načrt odzivanja ne potrebuje dodatnega podzakonskega urejanja. Zato je bila ureditev na tak način ohranjena tudi v </w:t>
      </w:r>
      <w:r>
        <w:rPr>
          <w:rFonts w:cs="Arial"/>
          <w:color w:val="000000"/>
          <w:szCs w:val="20"/>
          <w:lang w:val="sl-SI"/>
        </w:rPr>
        <w:t>z</w:t>
      </w:r>
      <w:r w:rsidRPr="00D31B7E">
        <w:rPr>
          <w:rFonts w:cs="Arial"/>
          <w:color w:val="000000"/>
          <w:szCs w:val="20"/>
          <w:lang w:val="sl-SI"/>
        </w:rPr>
        <w:t xml:space="preserve">daj 29. členu predloga ZInfV-1, se pa prvi odstavek tega člena </w:t>
      </w:r>
      <w:r>
        <w:rPr>
          <w:rFonts w:cs="Arial"/>
          <w:color w:val="000000"/>
          <w:szCs w:val="20"/>
          <w:lang w:val="sl-SI"/>
        </w:rPr>
        <w:t>z</w:t>
      </w:r>
      <w:r w:rsidRPr="00D31B7E">
        <w:rPr>
          <w:rFonts w:cs="Arial"/>
          <w:color w:val="000000"/>
          <w:szCs w:val="20"/>
          <w:lang w:val="sl-SI"/>
        </w:rPr>
        <w:t xml:space="preserve">daj sklicuje na 30. člen tega zakona in na nacionalni načrt odzivanja iz drugega odstavka 12. člena tega zakona. Dodajamo še, da gre v tem členu za prenos določb prvega, drugega in tretjega odstavka 23. člena Direktive 2022/2555/EU, ki določa obveznost priglašanja in obveščanja </w:t>
      </w:r>
      <w:r>
        <w:rPr>
          <w:rFonts w:cs="Arial"/>
          <w:color w:val="000000"/>
          <w:szCs w:val="20"/>
          <w:lang w:val="sl-SI"/>
        </w:rPr>
        <w:t>ter</w:t>
      </w:r>
      <w:r w:rsidRPr="00D31B7E">
        <w:rPr>
          <w:rFonts w:cs="Arial"/>
          <w:color w:val="000000"/>
          <w:szCs w:val="20"/>
          <w:lang w:val="sl-SI"/>
        </w:rPr>
        <w:t xml:space="preserve"> ne sprejemamo teze, da bi se morali zgledovati po ureditvi v ZEKom-2 ali njegovih podzakonskih predpisih, ki prenosa omenjene direktive ne zagotavljajo; </w:t>
      </w:r>
    </w:p>
    <w:p w14:paraId="77BA54F0"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42597DB6"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color w:val="000000"/>
          <w:szCs w:val="20"/>
          <w:lang w:val="sl-SI"/>
        </w:rPr>
        <w:t xml:space="preserve">k 26. členu (postopek priglasitve pomembnih incidentov) sta podala pripombe SeKV in SOEK, pri čemer je slednji podal pripombe k tej določbi skupaj s pripombami k 25. členu (obveznost priglašanja in obveščanja) </w:t>
      </w:r>
      <w:r>
        <w:rPr>
          <w:rFonts w:cs="Arial"/>
          <w:color w:val="000000"/>
          <w:szCs w:val="20"/>
          <w:lang w:val="sl-SI"/>
        </w:rPr>
        <w:t>ter</w:t>
      </w:r>
      <w:r w:rsidRPr="00D31B7E">
        <w:rPr>
          <w:rFonts w:cs="Arial"/>
          <w:color w:val="000000"/>
          <w:szCs w:val="20"/>
          <w:lang w:val="sl-SI"/>
        </w:rPr>
        <w:t xml:space="preserve"> k spremembam in dopolnitvam Zakona o elektronskih komunikacijah (torej k 62. členu)</w:t>
      </w:r>
      <w:r>
        <w:rPr>
          <w:rFonts w:cs="Arial"/>
          <w:color w:val="000000"/>
          <w:szCs w:val="20"/>
          <w:lang w:val="sl-SI"/>
        </w:rPr>
        <w:t>, ne d</w:t>
      </w:r>
      <w:r w:rsidRPr="00D31B7E">
        <w:rPr>
          <w:rFonts w:cs="Arial"/>
          <w:color w:val="000000"/>
          <w:szCs w:val="20"/>
          <w:lang w:val="sl-SI"/>
        </w:rPr>
        <w:t xml:space="preserve">a bi jih jasno razmejil: </w:t>
      </w:r>
    </w:p>
    <w:p w14:paraId="7E389923"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 xml:space="preserve">SeKV meni, da bi bilo treba urediti postopek za priglašanje tudi tistih incidentov, ki ne bodo izpolnjevali meril za razvrstitev med </w:t>
      </w:r>
      <w:r>
        <w:rPr>
          <w:rFonts w:cs="Arial"/>
          <w:szCs w:val="20"/>
          <w:lang w:val="sl-SI"/>
        </w:rPr>
        <w:t>»</w:t>
      </w:r>
      <w:r w:rsidRPr="00D31B7E">
        <w:rPr>
          <w:rFonts w:cs="Arial"/>
          <w:szCs w:val="20"/>
          <w:lang w:val="sl-SI"/>
        </w:rPr>
        <w:t>pomembne</w:t>
      </w:r>
      <w:r>
        <w:rPr>
          <w:rFonts w:cs="Arial"/>
          <w:szCs w:val="20"/>
          <w:lang w:val="sl-SI"/>
        </w:rPr>
        <w:t>«</w:t>
      </w:r>
      <w:r w:rsidRPr="00D31B7E">
        <w:rPr>
          <w:rFonts w:cs="Arial"/>
          <w:szCs w:val="20"/>
          <w:lang w:val="sl-SI"/>
        </w:rPr>
        <w:t xml:space="preserve">. Te pripombe nismo upoštevali. Pri 26. členu osnutka predloga ZInfV-1 (ki je </w:t>
      </w:r>
      <w:r>
        <w:rPr>
          <w:rFonts w:cs="Arial"/>
          <w:szCs w:val="20"/>
          <w:lang w:val="sl-SI"/>
        </w:rPr>
        <w:t>z</w:t>
      </w:r>
      <w:r w:rsidRPr="00D31B7E">
        <w:rPr>
          <w:rFonts w:cs="Arial"/>
          <w:szCs w:val="20"/>
          <w:lang w:val="sl-SI"/>
        </w:rPr>
        <w:t xml:space="preserve">daj člen 30. predloga ZInfV-1) </w:t>
      </w:r>
      <w:r>
        <w:rPr>
          <w:rFonts w:cs="Arial"/>
          <w:szCs w:val="20"/>
          <w:lang w:val="sl-SI"/>
        </w:rPr>
        <w:t xml:space="preserve">gre </w:t>
      </w:r>
      <w:r w:rsidRPr="00D31B7E">
        <w:rPr>
          <w:rFonts w:cs="Arial"/>
          <w:szCs w:val="20"/>
          <w:lang w:val="sl-SI"/>
        </w:rPr>
        <w:t>za prenos določb četrtega odstavka 23. člena Direktive 2022/2555/EU, ki določa obveznost poročanja oziroma postopek priglasitve pomembnih incidentov, prenaša</w:t>
      </w:r>
      <w:r>
        <w:rPr>
          <w:rFonts w:cs="Arial"/>
          <w:szCs w:val="20"/>
          <w:lang w:val="sl-SI"/>
        </w:rPr>
        <w:t>ta</w:t>
      </w:r>
      <w:r w:rsidRPr="00D31B7E">
        <w:rPr>
          <w:rFonts w:cs="Arial"/>
          <w:szCs w:val="20"/>
          <w:lang w:val="sl-SI"/>
        </w:rPr>
        <w:t xml:space="preserve"> pa se tudi tretji in šesti odstavek 13. člena Direktive 2022/2555/EU. Incidente, ki niso pomembni zavezanci</w:t>
      </w:r>
      <w:r>
        <w:rPr>
          <w:rFonts w:cs="Arial"/>
          <w:szCs w:val="20"/>
          <w:lang w:val="sl-SI"/>
        </w:rPr>
        <w:t>,</w:t>
      </w:r>
      <w:r w:rsidRPr="00D31B7E">
        <w:rPr>
          <w:rFonts w:cs="Arial"/>
          <w:szCs w:val="20"/>
          <w:lang w:val="sl-SI"/>
        </w:rPr>
        <w:t xml:space="preserve"> lahko kljub temu priglašajo prostovoljno v skladu z 31. členom osnutka predloga ZInfV-1 (</w:t>
      </w:r>
      <w:r>
        <w:rPr>
          <w:rFonts w:cs="Arial"/>
          <w:szCs w:val="20"/>
          <w:lang w:val="sl-SI"/>
        </w:rPr>
        <w:t>z</w:t>
      </w:r>
      <w:r w:rsidRPr="00D31B7E">
        <w:rPr>
          <w:rFonts w:cs="Arial"/>
          <w:szCs w:val="20"/>
          <w:lang w:val="sl-SI"/>
        </w:rPr>
        <w:t>daj gre za 35. člen predloga ZInfV-1), prav tako incidente po navedeni določbi prostovoljno priglašajo tisti subjekti, ki niso zavezanci. V obeh primerih pristojne skupine CSIRT prostovoljne priglasitve obravnavajo v skladu s postopkom iz 26. člena osnutka predloga ZInfV-1 (</w:t>
      </w:r>
      <w:r>
        <w:rPr>
          <w:rFonts w:cs="Arial"/>
          <w:szCs w:val="20"/>
          <w:lang w:val="sl-SI"/>
        </w:rPr>
        <w:t>z</w:t>
      </w:r>
      <w:r w:rsidRPr="00D31B7E">
        <w:rPr>
          <w:rFonts w:cs="Arial"/>
          <w:szCs w:val="20"/>
          <w:lang w:val="sl-SI"/>
        </w:rPr>
        <w:t xml:space="preserve">daj gre za 30. člen predloga ZInfV-1). Pojasnjujemo, da gre v tem delu za prenos določb 30. člena Direktive (EU) 2022/2555, ki določa dogovore o prostovoljni priglasitvi ustreznih informacij. V zvezi s podano pripombo ne vidimo utemeljenega razloga, da bi </w:t>
      </w:r>
      <w:r>
        <w:rPr>
          <w:rFonts w:cs="Arial"/>
          <w:szCs w:val="20"/>
          <w:lang w:val="sl-SI"/>
        </w:rPr>
        <w:t xml:space="preserve">se </w:t>
      </w:r>
      <w:r w:rsidRPr="00D31B7E">
        <w:rPr>
          <w:rFonts w:cs="Arial"/>
          <w:szCs w:val="20"/>
          <w:lang w:val="sl-SI"/>
        </w:rPr>
        <w:t>s predlogom tega horizontalne</w:t>
      </w:r>
      <w:r>
        <w:rPr>
          <w:rFonts w:cs="Arial"/>
          <w:szCs w:val="20"/>
          <w:lang w:val="sl-SI"/>
        </w:rPr>
        <w:t>ga</w:t>
      </w:r>
      <w:r w:rsidRPr="00D31B7E">
        <w:rPr>
          <w:rFonts w:cs="Arial"/>
          <w:szCs w:val="20"/>
          <w:lang w:val="sl-SI"/>
        </w:rPr>
        <w:t xml:space="preserve"> zakona, ki ureja prijavljanje incidentov za različne sektorje, povečevala administrativna bremena subjektom v primerih, ko zadevna direktiva predvideva le </w:t>
      </w:r>
      <w:r w:rsidRPr="00D31B7E">
        <w:rPr>
          <w:rFonts w:cs="Arial"/>
          <w:szCs w:val="20"/>
          <w:lang w:val="sl-SI"/>
        </w:rPr>
        <w:lastRenderedPageBreak/>
        <w:t xml:space="preserve">prostovoljno poročanje. Če pa v posameznem sektorju obstajajo utemeljeni razlogi (zaradi specialne EU zakonodaje ali nacionalni razlogi) za strožje oziroma dodatno urejanje, pa tega predlog ZInfV-1 kot splošni in horizontalni zakon ne onemogoča. Nadalje pri tej določbi predlaga, da se uredi način poročanja o incidentu, o katerem je poleg URSIV </w:t>
      </w:r>
      <w:r>
        <w:rPr>
          <w:rFonts w:cs="Arial"/>
          <w:szCs w:val="20"/>
          <w:lang w:val="sl-SI"/>
        </w:rPr>
        <w:t>treba</w:t>
      </w:r>
      <w:r w:rsidRPr="00D31B7E">
        <w:rPr>
          <w:rFonts w:cs="Arial"/>
          <w:szCs w:val="20"/>
          <w:lang w:val="sl-SI"/>
        </w:rPr>
        <w:t xml:space="preserve"> obvestiti več pristojnih državnih organov (</w:t>
      </w:r>
      <w:r>
        <w:rPr>
          <w:rFonts w:cs="Arial"/>
          <w:szCs w:val="20"/>
          <w:lang w:val="sl-SI"/>
        </w:rPr>
        <w:t>na primer</w:t>
      </w:r>
      <w:r w:rsidRPr="00D31B7E">
        <w:rPr>
          <w:rFonts w:cs="Arial"/>
          <w:szCs w:val="20"/>
          <w:lang w:val="sl-SI"/>
        </w:rPr>
        <w:t xml:space="preserve"> Informacijskega pooblaščenca, AKOS, Urad Vlade RS za varovanje tajnih podatkov, Inšpektorat za informacijsko družbo). Pojasnjujemo, da je zadevno materijo urejala že določba 17. člena (sodelovanje na nacionalni ravni) osnutka predloga ZInfV-1, ki je že zajemala možnost sodelovanja med različnimi organi v primeru katerihkoli incidentov (ne samo tistih, ki so bili priglašeni kot obvezni) ter način izmenjave teh informacij med njimi. Ta vsebina je </w:t>
      </w:r>
      <w:r>
        <w:rPr>
          <w:rFonts w:cs="Arial"/>
          <w:szCs w:val="20"/>
          <w:lang w:val="sl-SI"/>
        </w:rPr>
        <w:t>z</w:t>
      </w:r>
      <w:r w:rsidRPr="00D31B7E">
        <w:rPr>
          <w:rFonts w:cs="Arial"/>
          <w:szCs w:val="20"/>
          <w:lang w:val="sl-SI"/>
        </w:rPr>
        <w:t xml:space="preserve">daj urejana in dodatno izboljšana z vidika pripombe v 18. členu predloga ZInfV-1; </w:t>
      </w:r>
    </w:p>
    <w:p w14:paraId="5C57D4BD" w14:textId="77777777" w:rsidR="000A51A5" w:rsidRPr="00D31B7E" w:rsidRDefault="000A51A5" w:rsidP="000A51A5">
      <w:pPr>
        <w:pStyle w:val="Odstavekseznama"/>
        <w:widowControl w:val="0"/>
        <w:numPr>
          <w:ilvl w:val="0"/>
          <w:numId w:val="49"/>
        </w:numPr>
        <w:overflowPunct w:val="0"/>
        <w:autoSpaceDE w:val="0"/>
        <w:autoSpaceDN w:val="0"/>
        <w:adjustRightInd w:val="0"/>
        <w:spacing w:after="240" w:line="276" w:lineRule="auto"/>
        <w:ind w:left="993"/>
        <w:jc w:val="both"/>
        <w:textAlignment w:val="baseline"/>
        <w:rPr>
          <w:rFonts w:cs="Arial"/>
          <w:szCs w:val="20"/>
          <w:lang w:val="sl-SI"/>
        </w:rPr>
      </w:pPr>
      <w:r w:rsidRPr="00D31B7E">
        <w:rPr>
          <w:rFonts w:cs="Arial"/>
          <w:szCs w:val="20"/>
          <w:lang w:val="sl-SI"/>
        </w:rPr>
        <w:t>SOEK predlaga, naj se opredeli pomen izraza »domnevno povzročen z nezakonitim ali zlonamernim dejanjem</w:t>
      </w:r>
      <w:r>
        <w:rPr>
          <w:rFonts w:cs="Arial"/>
          <w:szCs w:val="20"/>
          <w:lang w:val="sl-SI"/>
        </w:rPr>
        <w:t>«</w:t>
      </w:r>
      <w:r w:rsidRPr="00D31B7E">
        <w:rPr>
          <w:rFonts w:cs="Arial"/>
          <w:szCs w:val="20"/>
          <w:lang w:val="sl-SI"/>
        </w:rPr>
        <w:t xml:space="preserve">, za katerega ugotavljamo, da se uporablja v 1. točki prvega odstavka 26. člena osnutka predloga ZInfV-1. Pripomba ni bila sprejeta. Gre namreč za prenos določbe četrtega odstavka 23. člena Direktive 2022/2555/EU, ki uporablja enako dikcijo brez dodatnih opredelitev. Izrazi </w:t>
      </w:r>
      <w:r>
        <w:rPr>
          <w:rFonts w:cs="Arial"/>
          <w:szCs w:val="20"/>
          <w:lang w:val="sl-SI"/>
        </w:rPr>
        <w:t>»</w:t>
      </w:r>
      <w:r w:rsidRPr="00D31B7E">
        <w:rPr>
          <w:rFonts w:cs="Arial"/>
          <w:szCs w:val="20"/>
          <w:lang w:val="sl-SI"/>
        </w:rPr>
        <w:t>nezakonito dejanje</w:t>
      </w:r>
      <w:r>
        <w:rPr>
          <w:rFonts w:cs="Arial"/>
          <w:szCs w:val="20"/>
          <w:lang w:val="sl-SI"/>
        </w:rPr>
        <w:t>«</w:t>
      </w:r>
      <w:r w:rsidRPr="00D31B7E">
        <w:rPr>
          <w:rFonts w:cs="Arial"/>
          <w:szCs w:val="20"/>
          <w:lang w:val="sl-SI"/>
        </w:rPr>
        <w:t xml:space="preserve"> in </w:t>
      </w:r>
      <w:r>
        <w:rPr>
          <w:rFonts w:cs="Arial"/>
          <w:szCs w:val="20"/>
          <w:lang w:val="sl-SI"/>
        </w:rPr>
        <w:t>»</w:t>
      </w:r>
      <w:r w:rsidRPr="00D31B7E">
        <w:rPr>
          <w:rFonts w:cs="Arial"/>
          <w:szCs w:val="20"/>
          <w:lang w:val="sl-SI"/>
        </w:rPr>
        <w:t>zlonamerno dejanje</w:t>
      </w:r>
      <w:r>
        <w:rPr>
          <w:rFonts w:cs="Arial"/>
          <w:szCs w:val="20"/>
          <w:lang w:val="sl-SI"/>
        </w:rPr>
        <w:t>«</w:t>
      </w:r>
      <w:r w:rsidRPr="00D31B7E">
        <w:rPr>
          <w:rFonts w:cs="Arial"/>
          <w:szCs w:val="20"/>
          <w:lang w:val="sl-SI"/>
        </w:rPr>
        <w:t xml:space="preserve"> imajo že uveljavljen pomen v pravni teoriji in sodni praksi. Uporaba besedne zveze </w:t>
      </w:r>
      <w:r>
        <w:rPr>
          <w:rFonts w:cs="Arial"/>
          <w:szCs w:val="20"/>
          <w:lang w:val="sl-SI"/>
        </w:rPr>
        <w:t>»</w:t>
      </w:r>
      <w:r w:rsidRPr="00D31B7E">
        <w:rPr>
          <w:rFonts w:cs="Arial"/>
          <w:szCs w:val="20"/>
          <w:lang w:val="sl-SI"/>
        </w:rPr>
        <w:t>domnevno povzročen</w:t>
      </w:r>
      <w:r>
        <w:rPr>
          <w:rFonts w:cs="Arial"/>
          <w:szCs w:val="20"/>
          <w:lang w:val="sl-SI"/>
        </w:rPr>
        <w:t>«</w:t>
      </w:r>
      <w:r w:rsidRPr="00D31B7E">
        <w:rPr>
          <w:rFonts w:cs="Arial"/>
          <w:szCs w:val="20"/>
          <w:lang w:val="sl-SI"/>
        </w:rPr>
        <w:t xml:space="preserve"> že po jezikovni razlagi pomeni, da se ne zahteva dokončen dokaz nezakonitosti ali zlonamernosti v trenutku, ko zavezanec v skladu s 1. točko prvega odstavka po zaznavi pomembnega incidenta podaja zgodnje opozorilo (o incidentu), zadošča namreč domneva o tem. Dodatna razlaga pojma zato ni potrebna. Nadalje SOEK opozarja, da AKOS skladno z ZEKom-2 že vzpostavlja informatiziran sistem, med drugim tudi za poročanje incidentov, čeprav osnutek predloga zakona (ZInfV-1) predvideva, da se bodo ti incidenti prijavljali URSIV in ne AKOS, ki so ga že pozvali, da z vzpostavitvijo tega sistema počaka, smiselno pa bi bilo, da se ta sistem uporabi tudi za potrebe poročanja po ZInfV-1, lahko s prilagoditvenim rokom. Predlagajo, da se v največji možni meri izogne poročanju incidentov prek elektronske pošte in naj se takoj preide na avtomatiziran sistem. Najprej pojasnjujemo, da je že iz prehodne določbe 62. člena osnutka predloga ZInfV-1 izhajalo, da (med drugim) z dnem uveljavitve tega zakona preneha veljati 118. člen (obveznost obveščanja in poročanja o varnostnih incidentih) ZEKom-2 </w:t>
      </w:r>
      <w:r>
        <w:rPr>
          <w:rFonts w:cs="Arial"/>
          <w:szCs w:val="20"/>
          <w:lang w:val="sl-SI"/>
        </w:rPr>
        <w:t>in</w:t>
      </w:r>
      <w:r w:rsidRPr="00D31B7E">
        <w:rPr>
          <w:rFonts w:cs="Arial"/>
          <w:szCs w:val="20"/>
          <w:lang w:val="sl-SI"/>
        </w:rPr>
        <w:t xml:space="preserve"> (tudi) splošni akt iz drugega odstavka 118. člena ZEKom-2. Navedeno je </w:t>
      </w:r>
      <w:r>
        <w:rPr>
          <w:rFonts w:cs="Arial"/>
          <w:szCs w:val="20"/>
          <w:lang w:val="sl-SI"/>
        </w:rPr>
        <w:t>z</w:t>
      </w:r>
      <w:r w:rsidRPr="00D31B7E">
        <w:rPr>
          <w:rFonts w:cs="Arial"/>
          <w:szCs w:val="20"/>
          <w:lang w:val="sl-SI"/>
        </w:rPr>
        <w:t>daj (med drugim) urejeno v tretjem in četrtem odstavku 69. člena (prenehanje veljavnosti) predloga ZInfV-1</w:t>
      </w:r>
      <w:r>
        <w:rPr>
          <w:rFonts w:cs="Arial"/>
          <w:szCs w:val="20"/>
          <w:lang w:val="sl-SI"/>
        </w:rPr>
        <w:t>,</w:t>
      </w:r>
      <w:r w:rsidRPr="00D31B7E">
        <w:rPr>
          <w:rFonts w:cs="Arial"/>
          <w:szCs w:val="20"/>
          <w:lang w:val="sl-SI"/>
        </w:rPr>
        <w:t xml:space="preserve"> medtem ko se vsebinske spremembe in dopolnitve ZEKom-2 urejajo v </w:t>
      </w:r>
      <w:r>
        <w:rPr>
          <w:rFonts w:cs="Arial"/>
          <w:szCs w:val="20"/>
          <w:lang w:val="sl-SI"/>
        </w:rPr>
        <w:t>z</w:t>
      </w:r>
      <w:r w:rsidRPr="00D31B7E">
        <w:rPr>
          <w:rFonts w:cs="Arial"/>
          <w:szCs w:val="20"/>
          <w:lang w:val="sl-SI"/>
        </w:rPr>
        <w:t>daj 65. členu predloga ZInfV-1. Pojasnjujemo, da je za 118. člen ZEKom-2 (obveznost obveščanja in poročanja o varnostnih incidentih) in pripadajoč podzakonski akt predlagano prenehanje veljavnosti, ker Direktiv</w:t>
      </w:r>
      <w:r>
        <w:rPr>
          <w:rFonts w:cs="Arial"/>
          <w:szCs w:val="20"/>
          <w:lang w:val="sl-SI"/>
        </w:rPr>
        <w:t>a</w:t>
      </w:r>
      <w:r w:rsidRPr="00D31B7E">
        <w:rPr>
          <w:rFonts w:cs="Arial"/>
          <w:szCs w:val="20"/>
          <w:lang w:val="sl-SI"/>
        </w:rPr>
        <w:t xml:space="preserve"> 2022/2555/EU, ki jo prenašamo s predlogom ZInfV-1, posega v Direktivo 2018/1972/EU, ki je bila v slovenski pravni red prenesena z ZEKom-2 tako, da se v slednji direktivi črta</w:t>
      </w:r>
      <w:r>
        <w:rPr>
          <w:rFonts w:cs="Arial"/>
          <w:szCs w:val="20"/>
          <w:lang w:val="sl-SI"/>
        </w:rPr>
        <w:t>ta</w:t>
      </w:r>
      <w:r w:rsidRPr="00D31B7E">
        <w:rPr>
          <w:rFonts w:cs="Arial"/>
          <w:szCs w:val="20"/>
          <w:lang w:val="sl-SI"/>
        </w:rPr>
        <w:t xml:space="preserve"> člena 40 in 41. Pri tem se drugi odstavek 40. člena Direktive 2018/1972/EU nanaša na obveznost obveščanja in poročanja o varnostnih incidentih ponudnikov javnih elektronskih komunikacijskih omrežij ali javno dostopnih elektronskih komunikacijskih storitev (v ZEKom-2 operaterji), kar je bilo v slovenski pravni red preneseno </w:t>
      </w:r>
      <w:r>
        <w:rPr>
          <w:rFonts w:cs="Arial"/>
          <w:szCs w:val="20"/>
          <w:lang w:val="sl-SI"/>
        </w:rPr>
        <w:t>s</w:t>
      </w:r>
      <w:r w:rsidRPr="00D31B7E">
        <w:rPr>
          <w:rFonts w:cs="Arial"/>
          <w:szCs w:val="20"/>
          <w:lang w:val="sl-SI"/>
        </w:rPr>
        <w:t xml:space="preserve"> 118. členom ZEKom-2, na njegovi podlagi pa je AKOS izdal tudi splošni akt. Posledično je bilo v predlogu ZInfV-1, ki v skladu z Direktivo 2022/2555/EU med zavezance vključuje tudi ponudnike javnih elektronskih komunikacijskih omrežij ali javno dostopnih elektronskih komunikacijskih storitev, ki </w:t>
      </w:r>
      <w:r>
        <w:rPr>
          <w:rFonts w:cs="Arial"/>
          <w:szCs w:val="20"/>
          <w:lang w:val="sl-SI"/>
        </w:rPr>
        <w:t>spadajo</w:t>
      </w:r>
      <w:r w:rsidRPr="00D31B7E">
        <w:rPr>
          <w:rFonts w:cs="Arial"/>
          <w:szCs w:val="20"/>
          <w:lang w:val="sl-SI"/>
        </w:rPr>
        <w:t xml:space="preserve"> med vrste subjektov iz visoko kritičnega sektorja 8. Digitalna infrastruktura iz Priloge 1, ki je sestavni del tega zakona (glej prvi in drugi odstavek 6. člena predloga ZInfV-1), treba določiti prenehanje veljave za zadevne določbe in na njeni podlagi sprejet podzakonski akt. Predlog ZInfV-1, ki prenaša Direktivo 2022/2555/EU, namreč kot splošni in horizontalni zakona ureja (tudi) obveznost priglašanja in obveščanja za zavezance iz vseh sektorjev </w:t>
      </w:r>
      <w:r>
        <w:rPr>
          <w:rFonts w:cs="Arial"/>
          <w:szCs w:val="20"/>
          <w:lang w:val="sl-SI"/>
        </w:rPr>
        <w:t>P</w:t>
      </w:r>
      <w:r w:rsidRPr="00D31B7E">
        <w:rPr>
          <w:rFonts w:cs="Arial"/>
          <w:szCs w:val="20"/>
          <w:lang w:val="sl-SI"/>
        </w:rPr>
        <w:t>rilog 1 in 2</w:t>
      </w:r>
      <w:r>
        <w:rPr>
          <w:rFonts w:cs="Arial"/>
          <w:szCs w:val="20"/>
          <w:lang w:val="sl-SI"/>
        </w:rPr>
        <w:t xml:space="preserve"> tega </w:t>
      </w:r>
      <w:r>
        <w:rPr>
          <w:rFonts w:cs="Arial"/>
          <w:szCs w:val="20"/>
          <w:lang w:val="sl-SI"/>
        </w:rPr>
        <w:lastRenderedPageBreak/>
        <w:t>zakona</w:t>
      </w:r>
      <w:r w:rsidRPr="00D31B7E">
        <w:rPr>
          <w:rFonts w:cs="Arial"/>
          <w:szCs w:val="20"/>
          <w:lang w:val="sl-SI"/>
        </w:rPr>
        <w:t xml:space="preserve"> (razen v primeru izključitve uporabe po 3. členu predlaganega zakona, za kar pa v tem primeru ne gre</w:t>
      </w:r>
      <w:r>
        <w:rPr>
          <w:rFonts w:cs="Arial"/>
          <w:szCs w:val="20"/>
          <w:lang w:val="sl-SI"/>
        </w:rPr>
        <w:t>)</w:t>
      </w:r>
      <w:r w:rsidRPr="00D31B7E">
        <w:rPr>
          <w:rFonts w:cs="Arial"/>
          <w:szCs w:val="20"/>
          <w:lang w:val="sl-SI"/>
        </w:rPr>
        <w:t>. Zato sklicevanje na način urejanja priglašanja incidentov, kot naj bi ga urejal AKOS na podlagi zadevnega člena ZEKom-2 ali pripadajočega podzakonskega akta, za namen ZInfV-1 ni primeren. Brez vpliva na ZInfV-1 je zato tudi sklicevanje na dokument Informacijski sistemi</w:t>
      </w:r>
      <w:r>
        <w:rPr>
          <w:rFonts w:cs="Arial"/>
          <w:szCs w:val="20"/>
          <w:lang w:val="sl-SI"/>
        </w:rPr>
        <w:t>,</w:t>
      </w:r>
      <w:r w:rsidRPr="00D31B7E">
        <w:rPr>
          <w:rFonts w:cs="Arial"/>
          <w:szCs w:val="20"/>
          <w:lang w:val="sl-SI"/>
        </w:rPr>
        <w:t xml:space="preserve"> namenjeni zajemu podatkov obvestil in poročil, ki ga je ZIT pri GZS 20. 5. 2024 posredoval na AKOS in ga kot Prilogo I priložil tem pripombam. Posledično tudi ni bil upoštevan predlog, naj se takoj preide na avtomatiziran sistem (na digitalno platformo torej), brez uporabe elektronske pošte v vmesnem obdobju. V zvezi s podano pripombo še pojasnjujemo, da bistveni in pomembni subjekti pomembne incidente priglašajo pristojni skupini CSIRT in ne URSIV</w:t>
      </w:r>
      <w:r>
        <w:rPr>
          <w:rFonts w:cs="Arial"/>
          <w:szCs w:val="20"/>
          <w:lang w:val="sl-SI"/>
        </w:rPr>
        <w:t>,</w:t>
      </w:r>
      <w:r w:rsidRPr="00D31B7E">
        <w:rPr>
          <w:rFonts w:cs="Arial"/>
          <w:szCs w:val="20"/>
          <w:lang w:val="sl-SI"/>
        </w:rPr>
        <w:t xml:space="preserve"> kot meni pripombodajalec (prvi odstavek 25. in prvi odstavek 26. člena osnutka predloga ZInfV-1 oziroma </w:t>
      </w:r>
      <w:r>
        <w:rPr>
          <w:rFonts w:cs="Arial"/>
          <w:szCs w:val="20"/>
          <w:lang w:val="sl-SI"/>
        </w:rPr>
        <w:t>z</w:t>
      </w:r>
      <w:r w:rsidRPr="00D31B7E">
        <w:rPr>
          <w:rFonts w:cs="Arial"/>
          <w:szCs w:val="20"/>
          <w:lang w:val="sl-SI"/>
        </w:rPr>
        <w:t xml:space="preserve">daj prvi odstavek 29. in prvi odstavek 30. člena predloga ZInfV-1). Z vidika jasnosti in določnosti pa smo v zvezi s pripombo nekoliko izboljšali deseti odstavek </w:t>
      </w:r>
      <w:r>
        <w:rPr>
          <w:rFonts w:cs="Arial"/>
          <w:szCs w:val="20"/>
          <w:lang w:val="sl-SI"/>
        </w:rPr>
        <w:t>z</w:t>
      </w:r>
      <w:r w:rsidRPr="00D31B7E">
        <w:rPr>
          <w:rFonts w:cs="Arial"/>
          <w:szCs w:val="20"/>
          <w:lang w:val="sl-SI"/>
        </w:rPr>
        <w:t>daj 30. člena predloga ZInfV-1 (prej deseti odstav</w:t>
      </w:r>
      <w:r>
        <w:rPr>
          <w:rFonts w:cs="Arial"/>
          <w:szCs w:val="20"/>
          <w:lang w:val="sl-SI"/>
        </w:rPr>
        <w:t>ek</w:t>
      </w:r>
      <w:r w:rsidRPr="00D31B7E">
        <w:rPr>
          <w:rFonts w:cs="Arial"/>
          <w:szCs w:val="20"/>
          <w:lang w:val="sl-SI"/>
        </w:rPr>
        <w:t xml:space="preserve"> 26. člena osnutka predloga ZInfV-1) tako, da </w:t>
      </w:r>
      <w:r>
        <w:rPr>
          <w:rFonts w:cs="Arial"/>
          <w:szCs w:val="20"/>
          <w:lang w:val="sl-SI"/>
        </w:rPr>
        <w:t>z</w:t>
      </w:r>
      <w:r w:rsidRPr="00D31B7E">
        <w:rPr>
          <w:rFonts w:cs="Arial"/>
          <w:szCs w:val="20"/>
          <w:lang w:val="sl-SI"/>
        </w:rPr>
        <w:t>daj (le) URSIV kot pristojni nacionalni organ vzpostavi namensko digitalno platformo, po kateri poteka tudi izmenjava informacij med sodelujočimi organi na podlagi drugega odstavka 18. člena tega zakona. Sodelujoči organi imajo dostop do informacij o priglasitvah subjektov, ki so povezane z njihovim področjem dela (torej tudi AKOS za priglasitve operaterjev). Rok za vzpostavitev zadevne digitalne platforme ne glede na pripombo ostaja realen (v enem letu od uveljavitve zakona), način priglasitve incidentov zavezancev ter medsebojne izmenjave informacij s strani pristojnih organov v prehodnem obdobj</w:t>
      </w:r>
      <w:r>
        <w:rPr>
          <w:rFonts w:cs="Arial"/>
          <w:szCs w:val="20"/>
          <w:lang w:val="sl-SI"/>
        </w:rPr>
        <w:t>u</w:t>
      </w:r>
      <w:r w:rsidRPr="00D31B7E">
        <w:rPr>
          <w:rFonts w:cs="Arial"/>
          <w:szCs w:val="20"/>
          <w:lang w:val="sl-SI"/>
        </w:rPr>
        <w:t xml:space="preserve"> sicer </w:t>
      </w:r>
      <w:r>
        <w:rPr>
          <w:rFonts w:cs="Arial"/>
          <w:szCs w:val="20"/>
          <w:lang w:val="sl-SI"/>
        </w:rPr>
        <w:t>z</w:t>
      </w:r>
      <w:r w:rsidRPr="00D31B7E">
        <w:rPr>
          <w:rFonts w:cs="Arial"/>
          <w:szCs w:val="20"/>
          <w:lang w:val="sl-SI"/>
        </w:rPr>
        <w:t>daj podrobneje ureja šesti odstavek 60. člena predloga ZInfV-1. Kot nepotreben je bil zavrnjen tudi predlog, da se, kolikor priglasitveni organ nima dežurne službe, rok za obveščanje opredeli »naslednji delovni dan«. Nadalje ni bila upoštevana pripomba, naj se predvidi poenostavljeno obveščanje, saj je prizadevanje subjektov usmerjen</w:t>
      </w:r>
      <w:r>
        <w:rPr>
          <w:rFonts w:cs="Arial"/>
          <w:szCs w:val="20"/>
          <w:lang w:val="sl-SI"/>
        </w:rPr>
        <w:t>o</w:t>
      </w:r>
      <w:r w:rsidRPr="00D31B7E">
        <w:rPr>
          <w:rFonts w:cs="Arial"/>
          <w:szCs w:val="20"/>
          <w:lang w:val="sl-SI"/>
        </w:rPr>
        <w:t xml:space="preserve"> v odpravo incidenta, ne pa v pisanje poročil. Pojasnjujemo namreč, da določba 26. člena </w:t>
      </w:r>
      <w:r>
        <w:rPr>
          <w:rFonts w:cs="Arial"/>
          <w:szCs w:val="20"/>
          <w:lang w:val="sl-SI"/>
        </w:rPr>
        <w:t xml:space="preserve">(sedaj 30. člen predloga ZInfV-1) </w:t>
      </w:r>
      <w:r w:rsidRPr="00D31B7E">
        <w:rPr>
          <w:rFonts w:cs="Arial"/>
          <w:szCs w:val="20"/>
          <w:lang w:val="sl-SI"/>
        </w:rPr>
        <w:t xml:space="preserve">prenaša Direktivo 2022/2555/EU in hkrati tudi upošteva omejitev na tista poročila, ki so potrebna; </w:t>
      </w:r>
    </w:p>
    <w:p w14:paraId="30894EC5" w14:textId="77777777" w:rsidR="000A51A5" w:rsidRPr="00D31B7E" w:rsidRDefault="000A51A5" w:rsidP="000A51A5">
      <w:pPr>
        <w:pStyle w:val="Odstavekseznama"/>
        <w:widowControl w:val="0"/>
        <w:overflowPunct w:val="0"/>
        <w:autoSpaceDE w:val="0"/>
        <w:autoSpaceDN w:val="0"/>
        <w:adjustRightInd w:val="0"/>
        <w:spacing w:after="240" w:line="276" w:lineRule="auto"/>
        <w:ind w:left="993"/>
        <w:jc w:val="both"/>
        <w:textAlignment w:val="baseline"/>
        <w:rPr>
          <w:rFonts w:cs="Arial"/>
          <w:szCs w:val="20"/>
          <w:lang w:val="sl-SI"/>
        </w:rPr>
      </w:pPr>
    </w:p>
    <w:p w14:paraId="1E9FBBED"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bookmarkStart w:id="18" w:name="_Hlk191457945"/>
      <w:r w:rsidRPr="00D31B7E">
        <w:rPr>
          <w:rFonts w:cs="Arial"/>
          <w:color w:val="000000"/>
          <w:szCs w:val="20"/>
          <w:lang w:val="sl-SI"/>
        </w:rPr>
        <w:t xml:space="preserve">k 27. členu (pristojnost in teritorialnost) SeKV predlaga, da se teritorialna pristojnost v izogib dvomom bolj jasno zapiše. Menijo, da je teritorialna pristojnost v zadevnem členu urejena zgolj parcialno, in sicer vezano na pristojnost skupin CSIRT in pristojnost URSIV, ni pa teritorialna pristojnost dovolj splošno zapisana v skladu s 26. členom Direktive 2022/2555/EU, ki v prvem odstavku govori o pristojnosti držav članic za subjekte iz te direktive (pravilo sedeža in tam določene izjeme). Povsem nesorazmerna bi bila obveznost, da bi imele preostale določbe zakona univerzalno veljavnost (vključno z obveznostjo samoregistracije po 7. členu) in bodo veljale za vse subjekte po celem svetu, tudi takšne, ki nimajo povezave z Republiko Slovenijo, v njej ne izvajajo storitev in v njej nimajo sedeža. Pojasnjujemo, da smo pripombo zavrnili kot nepotrebno, smo po delno z vidika jasnosti popravili prvi odstavek </w:t>
      </w:r>
      <w:r>
        <w:rPr>
          <w:rFonts w:cs="Arial"/>
          <w:color w:val="000000"/>
          <w:szCs w:val="20"/>
          <w:lang w:val="sl-SI"/>
        </w:rPr>
        <w:t>z</w:t>
      </w:r>
      <w:r w:rsidRPr="00D31B7E">
        <w:rPr>
          <w:rFonts w:cs="Arial"/>
          <w:color w:val="000000"/>
          <w:szCs w:val="20"/>
          <w:lang w:val="sl-SI"/>
        </w:rPr>
        <w:t xml:space="preserve">daj 31. člena (pristojnost in teritorialnost) tako, da se napovedni stavek v tej določbi </w:t>
      </w:r>
      <w:r>
        <w:rPr>
          <w:rFonts w:cs="Arial"/>
          <w:color w:val="000000"/>
          <w:szCs w:val="20"/>
          <w:lang w:val="sl-SI"/>
        </w:rPr>
        <w:t>z</w:t>
      </w:r>
      <w:r w:rsidRPr="00D31B7E">
        <w:rPr>
          <w:rFonts w:cs="Arial"/>
          <w:color w:val="000000"/>
          <w:szCs w:val="20"/>
          <w:lang w:val="sl-SI"/>
        </w:rPr>
        <w:t>daj glasi: »Zavezanci iz 6. člena tega zakona, ki jih je ustanovila Republika Slovenija ali imajo sedež v Republiki Sloveniji, spadajo v pristojnost pristojnega nacionalnega organa in pristojnih skupin CSIRT v skladu s tem zakonom, razen:«. Prva izjema glede v napovednem stavku navedenih kriterijev (razen) je v skladu s prvo alinejo tega odstavka vezana na ponudnike javnih elektronskih komunikacijskih omrežij ali ponudnike javno dostopnih elektronskih komunikacijskih storitev, ki spadajo v pristojnost pristojnih organov države članice Evropske unije, v kateri zagotavljajo svoje storitve. Druga izjema od teh kriterijev (razen) pa se po drugi alineji prvega odstavka nanaša na ponudnike storitev DNS, registr</w:t>
      </w:r>
      <w:r>
        <w:rPr>
          <w:rFonts w:cs="Arial"/>
          <w:color w:val="000000"/>
          <w:szCs w:val="20"/>
          <w:lang w:val="sl-SI"/>
        </w:rPr>
        <w:t>e</w:t>
      </w:r>
      <w:r w:rsidRPr="00D31B7E">
        <w:rPr>
          <w:rFonts w:cs="Arial"/>
          <w:color w:val="000000"/>
          <w:szCs w:val="20"/>
          <w:lang w:val="sl-SI"/>
        </w:rPr>
        <w:t xml:space="preserve"> TLD imen, subjekt</w:t>
      </w:r>
      <w:r>
        <w:rPr>
          <w:rFonts w:cs="Arial"/>
          <w:color w:val="000000"/>
          <w:szCs w:val="20"/>
          <w:lang w:val="sl-SI"/>
        </w:rPr>
        <w:t>e</w:t>
      </w:r>
      <w:r w:rsidRPr="00D31B7E">
        <w:rPr>
          <w:rFonts w:cs="Arial"/>
          <w:color w:val="000000"/>
          <w:szCs w:val="20"/>
          <w:lang w:val="sl-SI"/>
        </w:rPr>
        <w:t>, ki opravljajo storitve registracije domenskih imen, ponudnik</w:t>
      </w:r>
      <w:r>
        <w:rPr>
          <w:rFonts w:cs="Arial"/>
          <w:color w:val="000000"/>
          <w:szCs w:val="20"/>
          <w:lang w:val="sl-SI"/>
        </w:rPr>
        <w:t>e</w:t>
      </w:r>
      <w:r w:rsidRPr="00D31B7E">
        <w:rPr>
          <w:rFonts w:cs="Arial"/>
          <w:color w:val="000000"/>
          <w:szCs w:val="20"/>
          <w:lang w:val="sl-SI"/>
        </w:rPr>
        <w:t xml:space="preserve"> storitev računalništva v oblaku, ponudnik</w:t>
      </w:r>
      <w:r>
        <w:rPr>
          <w:rFonts w:cs="Arial"/>
          <w:color w:val="000000"/>
          <w:szCs w:val="20"/>
          <w:lang w:val="sl-SI"/>
        </w:rPr>
        <w:t>e</w:t>
      </w:r>
      <w:r w:rsidRPr="00D31B7E">
        <w:rPr>
          <w:rFonts w:cs="Arial"/>
          <w:color w:val="000000"/>
          <w:szCs w:val="20"/>
          <w:lang w:val="sl-SI"/>
        </w:rPr>
        <w:t xml:space="preserve"> storitev podatkovnih centrov, ponudnik</w:t>
      </w:r>
      <w:r>
        <w:rPr>
          <w:rFonts w:cs="Arial"/>
          <w:color w:val="000000"/>
          <w:szCs w:val="20"/>
          <w:lang w:val="sl-SI"/>
        </w:rPr>
        <w:t>e</w:t>
      </w:r>
      <w:r w:rsidRPr="00D31B7E">
        <w:rPr>
          <w:rFonts w:cs="Arial"/>
          <w:color w:val="000000"/>
          <w:szCs w:val="20"/>
          <w:lang w:val="sl-SI"/>
        </w:rPr>
        <w:t xml:space="preserve"> omrežij za dostavo vsebine, ponudnik</w:t>
      </w:r>
      <w:r>
        <w:rPr>
          <w:rFonts w:cs="Arial"/>
          <w:color w:val="000000"/>
          <w:szCs w:val="20"/>
          <w:lang w:val="sl-SI"/>
        </w:rPr>
        <w:t>e</w:t>
      </w:r>
      <w:r w:rsidRPr="00D31B7E">
        <w:rPr>
          <w:rFonts w:cs="Arial"/>
          <w:color w:val="000000"/>
          <w:szCs w:val="20"/>
          <w:lang w:val="sl-SI"/>
        </w:rPr>
        <w:t xml:space="preserve"> upravljanih storitev, ponudnik</w:t>
      </w:r>
      <w:r>
        <w:rPr>
          <w:rFonts w:cs="Arial"/>
          <w:color w:val="000000"/>
          <w:szCs w:val="20"/>
          <w:lang w:val="sl-SI"/>
        </w:rPr>
        <w:t>e</w:t>
      </w:r>
      <w:r w:rsidRPr="00D31B7E">
        <w:rPr>
          <w:rFonts w:cs="Arial"/>
          <w:color w:val="000000"/>
          <w:szCs w:val="20"/>
          <w:lang w:val="sl-SI"/>
        </w:rPr>
        <w:t xml:space="preserve"> upravljanih varnostnih </w:t>
      </w:r>
      <w:r w:rsidRPr="00D31B7E">
        <w:rPr>
          <w:rFonts w:cs="Arial"/>
          <w:color w:val="000000"/>
          <w:szCs w:val="20"/>
          <w:lang w:val="sl-SI"/>
        </w:rPr>
        <w:lastRenderedPageBreak/>
        <w:t>storitev ter ponudnik</w:t>
      </w:r>
      <w:r>
        <w:rPr>
          <w:rFonts w:cs="Arial"/>
          <w:color w:val="000000"/>
          <w:szCs w:val="20"/>
          <w:lang w:val="sl-SI"/>
        </w:rPr>
        <w:t>e</w:t>
      </w:r>
      <w:r w:rsidRPr="00D31B7E">
        <w:rPr>
          <w:rFonts w:cs="Arial"/>
          <w:color w:val="000000"/>
          <w:szCs w:val="20"/>
          <w:lang w:val="sl-SI"/>
        </w:rPr>
        <w:t xml:space="preserve"> spletnih tržnic, spletnih iskalnikov in platform za storitve družbenega mreženja, ki spadajo v pristojnost pristojnih organov države članice, v kateri imajo glavni sedež v Evropski uniji v skladu z drugim odstavkom tega člena. Menimo, da gre za ustrezen in pravilen prenos prvega odstavka 26. člena (pristojnost in teritorialnost) Direktive 2022/2555/EU, ki sicer govori o tem, kdaj subjekti na podlagi te direktive </w:t>
      </w:r>
      <w:r>
        <w:rPr>
          <w:rFonts w:cs="Arial"/>
          <w:color w:val="000000"/>
          <w:szCs w:val="20"/>
          <w:lang w:val="sl-SI"/>
        </w:rPr>
        <w:t>spadajo</w:t>
      </w:r>
      <w:r w:rsidRPr="00D31B7E">
        <w:rPr>
          <w:rFonts w:cs="Arial"/>
          <w:color w:val="000000"/>
          <w:szCs w:val="20"/>
          <w:lang w:val="sl-SI"/>
        </w:rPr>
        <w:t xml:space="preserve"> v pristojnost (posamezne) države članice. Pojasnjujemo še, da Republik</w:t>
      </w:r>
      <w:r>
        <w:rPr>
          <w:rFonts w:cs="Arial"/>
          <w:color w:val="000000"/>
          <w:szCs w:val="20"/>
          <w:lang w:val="sl-SI"/>
        </w:rPr>
        <w:t>a</w:t>
      </w:r>
      <w:r w:rsidRPr="00D31B7E">
        <w:rPr>
          <w:rFonts w:cs="Arial"/>
          <w:color w:val="000000"/>
          <w:szCs w:val="20"/>
          <w:lang w:val="sl-SI"/>
        </w:rPr>
        <w:t xml:space="preserve"> Slovenija kot taka ne izvršuje pristojnosti, temveč je treba v zakonu, ki prenaša direktivo</w:t>
      </w:r>
      <w:r>
        <w:rPr>
          <w:rFonts w:cs="Arial"/>
          <w:color w:val="000000"/>
          <w:szCs w:val="20"/>
          <w:lang w:val="sl-SI"/>
        </w:rPr>
        <w:t>,</w:t>
      </w:r>
      <w:r w:rsidRPr="00D31B7E">
        <w:rPr>
          <w:rFonts w:cs="Arial"/>
          <w:color w:val="000000"/>
          <w:szCs w:val="20"/>
          <w:lang w:val="sl-SI"/>
        </w:rPr>
        <w:t xml:space="preserve"> to konkretno določiti, gre torej za pristojnosti pristojnega nacionalnega organa in pristojnih skupin CSIRT v skladu s tem zakonom. To, da obveznosti po predlogu ZInfV-1 (v nasprotju </w:t>
      </w:r>
      <w:r>
        <w:rPr>
          <w:rFonts w:cs="Arial"/>
          <w:color w:val="000000"/>
          <w:szCs w:val="20"/>
          <w:lang w:val="sl-SI"/>
        </w:rPr>
        <w:t>s</w:t>
      </w:r>
      <w:r w:rsidRPr="00D31B7E">
        <w:rPr>
          <w:rFonts w:cs="Arial"/>
          <w:color w:val="000000"/>
          <w:szCs w:val="20"/>
          <w:lang w:val="sl-SI"/>
        </w:rPr>
        <w:t xml:space="preserve"> 26. členom Direktive 2022/2555/EU in 27. členom predloga, ki to direktivo prenaša) nimajo e</w:t>
      </w:r>
      <w:r>
        <w:rPr>
          <w:rFonts w:cs="Arial"/>
          <w:color w:val="000000"/>
          <w:szCs w:val="20"/>
          <w:lang w:val="sl-SI"/>
        </w:rPr>
        <w:t>ks</w:t>
      </w:r>
      <w:r w:rsidRPr="00D31B7E">
        <w:rPr>
          <w:rFonts w:cs="Arial"/>
          <w:color w:val="000000"/>
          <w:szCs w:val="20"/>
          <w:lang w:val="sl-SI"/>
        </w:rPr>
        <w:t>teritorialnega učinka, pa se skladno z načelom teritorialne pristojnosti zakonov, kot to smiselno izhaja iz Ustave, pravne doktrine in prakse</w:t>
      </w:r>
      <w:r>
        <w:rPr>
          <w:rFonts w:cs="Arial"/>
          <w:color w:val="000000"/>
          <w:szCs w:val="20"/>
          <w:lang w:val="sl-SI"/>
        </w:rPr>
        <w:t>,</w:t>
      </w:r>
      <w:r w:rsidRPr="00D31B7E">
        <w:rPr>
          <w:rFonts w:cs="Arial"/>
          <w:color w:val="000000"/>
          <w:szCs w:val="20"/>
          <w:lang w:val="sl-SI"/>
        </w:rPr>
        <w:t xml:space="preserve"> predpostavlja </w:t>
      </w:r>
      <w:r>
        <w:rPr>
          <w:rFonts w:cs="Arial"/>
          <w:color w:val="000000"/>
          <w:szCs w:val="20"/>
          <w:lang w:val="sl-SI"/>
        </w:rPr>
        <w:t>in</w:t>
      </w:r>
      <w:r w:rsidRPr="00D31B7E">
        <w:rPr>
          <w:rFonts w:cs="Arial"/>
          <w:color w:val="000000"/>
          <w:szCs w:val="20"/>
          <w:lang w:val="sl-SI"/>
        </w:rPr>
        <w:t xml:space="preserve"> se ne določa posebej po posameznih zakonih. Načelo teritorialne pristojnosti zakonov namreč pomeni, da se zakonodaja neke države uporablja na njenem ozemlju in velja za vse osebe, stvari in pravna razmerja, ki se tam nahajajo. To načelo izhaja iz suverenosti države in njene izključne pristojnosti, da ureja pravna razmerja na svojem ozemlju. Države imajo torej izključno jurisdikcijo nad dogajanjem na svojem ozemlju</w:t>
      </w:r>
      <w:r>
        <w:rPr>
          <w:rFonts w:cs="Arial"/>
          <w:color w:val="000000"/>
          <w:szCs w:val="20"/>
          <w:lang w:val="sl-SI"/>
        </w:rPr>
        <w:t>,</w:t>
      </w:r>
      <w:r w:rsidRPr="00D31B7E">
        <w:rPr>
          <w:rFonts w:cs="Arial"/>
          <w:color w:val="000000"/>
          <w:szCs w:val="20"/>
          <w:lang w:val="sl-SI"/>
        </w:rPr>
        <w:t xml:space="preserve"> razen če so</w:t>
      </w:r>
      <w:r>
        <w:rPr>
          <w:rFonts w:cs="Arial"/>
          <w:color w:val="000000"/>
          <w:szCs w:val="20"/>
          <w:lang w:val="sl-SI"/>
        </w:rPr>
        <w:t xml:space="preserve"> določene</w:t>
      </w:r>
      <w:r w:rsidRPr="00D31B7E">
        <w:rPr>
          <w:rFonts w:cs="Arial"/>
          <w:color w:val="000000"/>
          <w:szCs w:val="20"/>
          <w:lang w:val="sl-SI"/>
        </w:rPr>
        <w:t xml:space="preserve"> izjeme. Posebej se torej določa ekstrateritorialna pristojnost, kjer država lahko uveljavlja določene zakone zunaj svojega ozemlja in ne obratno, kot to sugerira pripomba. Ob tem še dodajamo, da tudi veljavni ZInfV le v prvem odstavku 15. člena (pristojnost in teritorialnost) za ponudnike digitalnih storitev na podoben način določa pristojnost</w:t>
      </w:r>
      <w:r>
        <w:rPr>
          <w:rFonts w:cs="Arial"/>
          <w:color w:val="000000"/>
          <w:szCs w:val="20"/>
          <w:lang w:val="sl-SI"/>
        </w:rPr>
        <w:t xml:space="preserve"> </w:t>
      </w:r>
      <w:r w:rsidRPr="00D31B7E">
        <w:rPr>
          <w:rFonts w:cs="Arial"/>
          <w:color w:val="000000"/>
          <w:szCs w:val="20"/>
          <w:lang w:val="sl-SI"/>
        </w:rPr>
        <w:t>in teritorialnost</w:t>
      </w:r>
      <w:r>
        <w:rPr>
          <w:rFonts w:cs="Arial"/>
          <w:color w:val="000000"/>
          <w:szCs w:val="20"/>
          <w:lang w:val="sl-SI"/>
        </w:rPr>
        <w:t>,</w:t>
      </w:r>
      <w:r w:rsidRPr="00D31B7E">
        <w:rPr>
          <w:rFonts w:cs="Arial"/>
          <w:color w:val="000000"/>
          <w:szCs w:val="20"/>
          <w:lang w:val="sl-SI"/>
        </w:rPr>
        <w:t xml:space="preserve"> in sicer določa kriterije za pristojnosti pristojnega nacionalnega organa in nacionalnega CSIRT, ki mu priglaša incidente, pa to do</w:t>
      </w:r>
      <w:r>
        <w:rPr>
          <w:rFonts w:cs="Arial"/>
          <w:color w:val="000000"/>
          <w:szCs w:val="20"/>
          <w:lang w:val="sl-SI"/>
        </w:rPr>
        <w:t xml:space="preserve"> zdaj</w:t>
      </w:r>
      <w:r w:rsidRPr="00D31B7E">
        <w:rPr>
          <w:rFonts w:cs="Arial"/>
          <w:color w:val="000000"/>
          <w:szCs w:val="20"/>
          <w:lang w:val="sl-SI"/>
        </w:rPr>
        <w:t xml:space="preserve"> pri izvajanju zakona ni sprožilo vprašanja o eksteritorialnem učinku obveznosti po tem zakonu</w:t>
      </w:r>
      <w:bookmarkEnd w:id="18"/>
      <w:r w:rsidRPr="00D31B7E">
        <w:rPr>
          <w:rFonts w:cs="Arial"/>
          <w:color w:val="000000"/>
          <w:szCs w:val="20"/>
          <w:lang w:val="sl-SI"/>
        </w:rPr>
        <w:t>;</w:t>
      </w:r>
    </w:p>
    <w:p w14:paraId="70F93D33"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24ADC005"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szCs w:val="20"/>
          <w:lang w:val="sl-SI"/>
        </w:rPr>
        <w:t>k 32. členu</w:t>
      </w:r>
      <w:r w:rsidRPr="00D31B7E">
        <w:rPr>
          <w:rFonts w:cs="Arial"/>
          <w:i/>
          <w:iCs/>
          <w:szCs w:val="20"/>
          <w:lang w:val="sl-SI"/>
        </w:rPr>
        <w:t xml:space="preserve"> </w:t>
      </w:r>
      <w:r w:rsidRPr="00D31B7E">
        <w:rPr>
          <w:rFonts w:cs="Arial"/>
          <w:szCs w:val="20"/>
          <w:lang w:val="sl-SI"/>
        </w:rPr>
        <w:t>(vrednotenje incidenta in ukrepanja) SeKV</w:t>
      </w:r>
      <w:r w:rsidRPr="00D31B7E">
        <w:rPr>
          <w:rFonts w:cs="Arial"/>
          <w:i/>
          <w:iCs/>
          <w:szCs w:val="20"/>
          <w:lang w:val="sl-SI"/>
        </w:rPr>
        <w:t xml:space="preserve"> </w:t>
      </w:r>
      <w:r w:rsidRPr="00161D67">
        <w:rPr>
          <w:lang w:val="sl-SI"/>
        </w:rPr>
        <w:t>p</w:t>
      </w:r>
      <w:r w:rsidRPr="00D31B7E">
        <w:rPr>
          <w:rFonts w:cs="Arial"/>
          <w:color w:val="000000"/>
          <w:szCs w:val="20"/>
          <w:lang w:val="sl-SI"/>
        </w:rPr>
        <w:t xml:space="preserve">redlaga črtanje od četrtega do osmega odstavka, ker niso v skladu z Direktivo 2022/2555/EU, določajo preširoka pooblastila in so tudi v nasprotju z načelom jasnosti in določnosti predpisov. Blanketno pooblastilo (da se lahko odredijo kakršnikoli ukrepi) je verjetno v nasprotju z Ustavo RS in problematično v praksi. Predlagatelj je nalaganje obveznosti v celoti prepustil URSIV, kar je v nasprotju z ustavnim načelom legalitete, omejitve pa lahko posegajo tudi na trg (torej na prosto nastopanje dobaviteljev na trgu) in gre s tem tudi za omejitev oziroma določitev načina uresničevanja svobodne gospodarske pobude (74. člen Ustave RS). Pojasnjujemo, da je vsebina tega člena o vrednotenju incidenta in ukrepanju </w:t>
      </w:r>
      <w:r>
        <w:rPr>
          <w:rFonts w:cs="Arial"/>
          <w:color w:val="000000"/>
          <w:szCs w:val="20"/>
          <w:lang w:val="sl-SI"/>
        </w:rPr>
        <w:t>z</w:t>
      </w:r>
      <w:r w:rsidRPr="00D31B7E">
        <w:rPr>
          <w:rFonts w:cs="Arial"/>
          <w:color w:val="000000"/>
          <w:szCs w:val="20"/>
          <w:lang w:val="sl-SI"/>
        </w:rPr>
        <w:t xml:space="preserve">daj urejena na način, kot je to razvidno iz 36. člena predloga ZInfV-1. Pri tem smo besedilo ob usklajevanju z resorji in Službo Vlade Republike Slovenije za zakonodajo tudi izboljšali. Zavračamo pripombo, da bi bilo zadevne določbe treba črtati, ker naj ne bi bile v skladu z Direktivo 2022/2555/EU. Najprej pojasnjujemo, da gre po 5. členu zadevne direktive za direktivo minimalne harmonizacije, ki državam članicam ne preprečuje, da sprejmejo ali ohranijo določbe, ki zagotavljajo višjo raven kibernetske varnosti, pod pogojem, da so take določbe v skladu z obveznostmi držav članic, določenimi v pravu Unije. Poleg tega ta direktiva ne posega v pristojnosti držav članic, da zaščitijo nacionalno varnost. Pojasnjujemo, da gre za nacionalno določbo, ki ohranja pooblastila in možnost ukrepanja, ki jih že </w:t>
      </w:r>
      <w:r>
        <w:rPr>
          <w:rFonts w:cs="Arial"/>
          <w:color w:val="000000"/>
          <w:szCs w:val="20"/>
          <w:lang w:val="sl-SI"/>
        </w:rPr>
        <w:t>z</w:t>
      </w:r>
      <w:r w:rsidRPr="00D31B7E">
        <w:rPr>
          <w:rFonts w:cs="Arial"/>
          <w:color w:val="000000"/>
          <w:szCs w:val="20"/>
          <w:lang w:val="sl-SI"/>
        </w:rPr>
        <w:t>daj ima pristojni nacionalni organ po četrtem in petem odstavku 21. člena (vrednotenje in ukrepanje) ZInfV, jih pa izboljšuje in dopolnjuje z vidika jasnosti in lažje uporabe v praksi. Primerljiva pooblastila organa, pristojnega za informacijsko varnost (torej URSIV)</w:t>
      </w:r>
      <w:r>
        <w:rPr>
          <w:rFonts w:cs="Arial"/>
          <w:color w:val="000000"/>
          <w:szCs w:val="20"/>
          <w:lang w:val="sl-SI"/>
        </w:rPr>
        <w:t>,</w:t>
      </w:r>
      <w:r w:rsidRPr="00D31B7E">
        <w:rPr>
          <w:rFonts w:cs="Arial"/>
          <w:color w:val="000000"/>
          <w:szCs w:val="20"/>
          <w:lang w:val="sl-SI"/>
        </w:rPr>
        <w:t xml:space="preserve"> pozna sicer tudi ZEKom-2 v tretjem in četrtem odstavku 120. člena (Ukrepanje v primeru težjega in kritičnega incidenta ali kibernetskega napada). Zavračamo tezo, da zakon z vidika posega v svobodno gospodarsko pobudo</w:t>
      </w:r>
      <w:r>
        <w:rPr>
          <w:rFonts w:cs="Arial"/>
          <w:color w:val="000000"/>
          <w:szCs w:val="20"/>
          <w:lang w:val="sl-SI"/>
        </w:rPr>
        <w:t xml:space="preserve"> </w:t>
      </w:r>
      <w:r w:rsidRPr="00D31B7E">
        <w:rPr>
          <w:rFonts w:cs="Arial"/>
          <w:color w:val="000000"/>
          <w:szCs w:val="20"/>
          <w:lang w:val="sl-SI"/>
        </w:rPr>
        <w:t>ne bi smel predvideti primerov (pri tem gre za le primere težjih in kritičnih incidentov), v katerih z zakonom določen organ, ki so mu bila podeljena upravna pooblastila, ne bi smel naložiti zavezancu takšn</w:t>
      </w:r>
      <w:r>
        <w:rPr>
          <w:rFonts w:cs="Arial"/>
          <w:color w:val="000000"/>
          <w:szCs w:val="20"/>
          <w:lang w:val="sl-SI"/>
        </w:rPr>
        <w:t>ih</w:t>
      </w:r>
      <w:r w:rsidRPr="00D31B7E">
        <w:rPr>
          <w:rFonts w:cs="Arial"/>
          <w:color w:val="000000"/>
          <w:szCs w:val="20"/>
          <w:lang w:val="sl-SI"/>
        </w:rPr>
        <w:t xml:space="preserve"> primern</w:t>
      </w:r>
      <w:r>
        <w:rPr>
          <w:rFonts w:cs="Arial"/>
          <w:color w:val="000000"/>
          <w:szCs w:val="20"/>
          <w:lang w:val="sl-SI"/>
        </w:rPr>
        <w:t xml:space="preserve">ih </w:t>
      </w:r>
      <w:r w:rsidRPr="00D31B7E">
        <w:rPr>
          <w:rFonts w:cs="Arial"/>
          <w:color w:val="000000"/>
          <w:szCs w:val="20"/>
          <w:lang w:val="sl-SI"/>
        </w:rPr>
        <w:t>in sorazmern</w:t>
      </w:r>
      <w:r>
        <w:rPr>
          <w:rFonts w:cs="Arial"/>
          <w:color w:val="000000"/>
          <w:szCs w:val="20"/>
          <w:lang w:val="sl-SI"/>
        </w:rPr>
        <w:t>ih</w:t>
      </w:r>
      <w:r w:rsidRPr="00D31B7E">
        <w:rPr>
          <w:rFonts w:cs="Arial"/>
          <w:color w:val="000000"/>
          <w:szCs w:val="20"/>
          <w:lang w:val="sl-SI"/>
        </w:rPr>
        <w:t xml:space="preserve"> ukrep</w:t>
      </w:r>
      <w:r>
        <w:rPr>
          <w:rFonts w:cs="Arial"/>
          <w:color w:val="000000"/>
          <w:szCs w:val="20"/>
          <w:lang w:val="sl-SI"/>
        </w:rPr>
        <w:t>ov</w:t>
      </w:r>
      <w:r w:rsidRPr="00D31B7E">
        <w:rPr>
          <w:rFonts w:cs="Arial"/>
          <w:color w:val="000000"/>
          <w:szCs w:val="20"/>
          <w:lang w:val="sl-SI"/>
        </w:rPr>
        <w:t xml:space="preserve">, kot </w:t>
      </w:r>
      <w:r w:rsidRPr="00D31B7E">
        <w:rPr>
          <w:rFonts w:cs="Arial"/>
          <w:color w:val="000000"/>
          <w:szCs w:val="20"/>
          <w:lang w:val="sl-SI"/>
        </w:rPr>
        <w:lastRenderedPageBreak/>
        <w:t>je potrebno za zaustavitev (takšnega težjega ali kritičnega) incidenta, ki že poteka, ali za odpravo njegovih posledic. Pri tem se takšni ukrepi določijo v takšnem obsegu in za toliko časa, kot je nujno potrebno za dosego namena. Menimo pa, da vnaprejšnja določitev takšnih primernih in sorazmernih ukrepov ni možna, saj je odvisna od narave (tehničnih posebnosti) vsakega posameznega incidenta in razsežnosti posledic ter tehničnih in drugih možnosti za ustavitev konkretnega incidenta in odpravo njegovih posledic. Presoja ukrepov pristojnega nacionalnega organa v vsakem posamičnem primeru je ne</w:t>
      </w:r>
      <w:r>
        <w:rPr>
          <w:rFonts w:cs="Arial"/>
          <w:color w:val="000000"/>
          <w:szCs w:val="20"/>
          <w:lang w:val="sl-SI"/>
        </w:rPr>
        <w:t xml:space="preserve"> </w:t>
      </w:r>
      <w:r w:rsidRPr="00D31B7E">
        <w:rPr>
          <w:rFonts w:cs="Arial"/>
          <w:color w:val="000000"/>
          <w:szCs w:val="20"/>
          <w:lang w:val="sl-SI"/>
        </w:rPr>
        <w:t xml:space="preserve">nazadnje podvržena sodni kontroli izdane odločbe v upravnem sporu, ki ga zavezanec lahko sproži. Posledično pa predlagana ureditev ni v </w:t>
      </w:r>
      <w:r w:rsidRPr="00D914BF">
        <w:rPr>
          <w:rFonts w:cs="Arial"/>
          <w:color w:val="000000"/>
          <w:szCs w:val="20"/>
          <w:lang w:val="sl-SI"/>
        </w:rPr>
        <w:t>neskladju z Ustavo</w:t>
      </w:r>
      <w:r w:rsidRPr="00D31B7E">
        <w:rPr>
          <w:rFonts w:cs="Arial"/>
          <w:color w:val="000000"/>
          <w:szCs w:val="20"/>
          <w:lang w:val="sl-SI"/>
        </w:rPr>
        <w:t>. Ob tem je treba poudariti, da bi čimprejšnja učinkovita ustavitev takšnega (težjega ali kritičnega) incidenta, ki poteka</w:t>
      </w:r>
      <w:r>
        <w:rPr>
          <w:rFonts w:cs="Arial"/>
          <w:color w:val="000000"/>
          <w:szCs w:val="20"/>
          <w:lang w:val="sl-SI"/>
        </w:rPr>
        <w:t>,</w:t>
      </w:r>
      <w:r w:rsidRPr="00D31B7E">
        <w:rPr>
          <w:rFonts w:cs="Arial"/>
          <w:color w:val="000000"/>
          <w:szCs w:val="20"/>
          <w:lang w:val="sl-SI"/>
        </w:rPr>
        <w:t xml:space="preserve"> in odprava njegovih posledic moral</w:t>
      </w:r>
      <w:r>
        <w:rPr>
          <w:rFonts w:cs="Arial"/>
          <w:color w:val="000000"/>
          <w:szCs w:val="20"/>
          <w:lang w:val="sl-SI"/>
        </w:rPr>
        <w:t>i</w:t>
      </w:r>
      <w:r w:rsidRPr="00D31B7E">
        <w:rPr>
          <w:rFonts w:cs="Arial"/>
          <w:color w:val="000000"/>
          <w:szCs w:val="20"/>
          <w:lang w:val="sl-SI"/>
        </w:rPr>
        <w:t xml:space="preserve"> biti tudi v največjem interesu zavezanca in njegovih uporabnikov. Namreč škoda, ki tudi zavezancu (ali pa najprej njemu) lahko nastane ob takšnih incidentih</w:t>
      </w:r>
      <w:r>
        <w:rPr>
          <w:rFonts w:cs="Arial"/>
          <w:color w:val="000000"/>
          <w:szCs w:val="20"/>
          <w:lang w:val="sl-SI"/>
        </w:rPr>
        <w:t>,</w:t>
      </w:r>
      <w:r w:rsidRPr="00D31B7E">
        <w:rPr>
          <w:rFonts w:cs="Arial"/>
          <w:color w:val="000000"/>
          <w:szCs w:val="20"/>
          <w:lang w:val="sl-SI"/>
        </w:rPr>
        <w:t xml:space="preserve"> je lahko zelo visoka ali pa celo previsoka, da bi si jo zavezanec lahko privoščil; </w:t>
      </w:r>
    </w:p>
    <w:p w14:paraId="38AC4846"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445D71B5"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color w:val="000000"/>
          <w:szCs w:val="20"/>
          <w:lang w:val="sl-SI"/>
        </w:rPr>
        <w:t xml:space="preserve">k 33. členu (ocena ogroženosti) SeKV predlaga črtanje od sedmega do desetega odstavka, za obrazložitve pa se sklicujejo na pripombe k 32. členu osnutka predloga zakona. Pojasnjujemo, da je vsebina tega člena o oceni ogroženosti </w:t>
      </w:r>
      <w:r>
        <w:rPr>
          <w:rFonts w:cs="Arial"/>
          <w:color w:val="000000"/>
          <w:szCs w:val="20"/>
          <w:lang w:val="sl-SI"/>
        </w:rPr>
        <w:t>z</w:t>
      </w:r>
      <w:r w:rsidRPr="00D31B7E">
        <w:rPr>
          <w:rFonts w:cs="Arial"/>
          <w:color w:val="000000"/>
          <w:szCs w:val="20"/>
          <w:lang w:val="sl-SI"/>
        </w:rPr>
        <w:t xml:space="preserve">daj urejena na način, kot je to razvidno iz 37. člena predloga ZInfV-1. Pri tem smo besedilo ob usklajevanju z resorji in Službo Vlade Republike Slovenije za zakonodajo tudi izboljšali. Pojasnjujemo, da gre za nacionalno določbo, ki ohranja pooblastila in možnost ukrepanja, ki jih ima že </w:t>
      </w:r>
      <w:r>
        <w:rPr>
          <w:rFonts w:cs="Arial"/>
          <w:color w:val="000000"/>
          <w:szCs w:val="20"/>
          <w:lang w:val="sl-SI"/>
        </w:rPr>
        <w:t>z</w:t>
      </w:r>
      <w:r w:rsidRPr="00D31B7E">
        <w:rPr>
          <w:rFonts w:cs="Arial"/>
          <w:color w:val="000000"/>
          <w:szCs w:val="20"/>
          <w:lang w:val="sl-SI"/>
        </w:rPr>
        <w:t>daj pristojni nacionalni organ po četrtem in petem odstavku 22. člena (stanje povečane ogroženosti in ukrepanje) ZInfV, določbe 22. člena ZinfV pa predlog ZInfV-1 v predlaganem 37. členu izboljšuje</w:t>
      </w:r>
      <w:r>
        <w:rPr>
          <w:rFonts w:cs="Arial"/>
          <w:color w:val="000000"/>
          <w:szCs w:val="20"/>
          <w:lang w:val="sl-SI"/>
        </w:rPr>
        <w:t>jo</w:t>
      </w:r>
      <w:r w:rsidRPr="00D31B7E">
        <w:rPr>
          <w:rFonts w:cs="Arial"/>
          <w:color w:val="000000"/>
          <w:szCs w:val="20"/>
          <w:lang w:val="sl-SI"/>
        </w:rPr>
        <w:t xml:space="preserve"> in dopolnjuje</w:t>
      </w:r>
      <w:r>
        <w:rPr>
          <w:rFonts w:cs="Arial"/>
          <w:color w:val="000000"/>
          <w:szCs w:val="20"/>
          <w:lang w:val="sl-SI"/>
        </w:rPr>
        <w:t>jo</w:t>
      </w:r>
      <w:r w:rsidRPr="00D31B7E">
        <w:rPr>
          <w:rFonts w:cs="Arial"/>
          <w:color w:val="000000"/>
          <w:szCs w:val="20"/>
          <w:lang w:val="sl-SI"/>
        </w:rPr>
        <w:t xml:space="preserve"> z vidika jasnosti in lažje uporabe v praksi. Primerljiva pooblastila organa, pristojnega za informacijsko varnost (torej URSIV)</w:t>
      </w:r>
      <w:r>
        <w:rPr>
          <w:rFonts w:cs="Arial"/>
          <w:color w:val="000000"/>
          <w:szCs w:val="20"/>
          <w:lang w:val="sl-SI"/>
        </w:rPr>
        <w:t>,</w:t>
      </w:r>
      <w:r w:rsidRPr="00D31B7E">
        <w:rPr>
          <w:rFonts w:cs="Arial"/>
          <w:color w:val="000000"/>
          <w:szCs w:val="20"/>
          <w:lang w:val="sl-SI"/>
        </w:rPr>
        <w:t xml:space="preserve"> pozna sicer tudi ZEKom-2 v četrtem in petem odstavku 121. člena (stanje povečane ogroženosti in ukrepanje). Ukrepi, ki se lahko sprejmejo na podlagi sedmega, osmega in devetega </w:t>
      </w:r>
      <w:r>
        <w:rPr>
          <w:rFonts w:cs="Arial"/>
          <w:color w:val="000000"/>
          <w:szCs w:val="20"/>
          <w:lang w:val="sl-SI"/>
        </w:rPr>
        <w:t>odstavka</w:t>
      </w:r>
      <w:r w:rsidRPr="00D31B7E">
        <w:rPr>
          <w:rFonts w:cs="Arial"/>
          <w:color w:val="000000"/>
          <w:szCs w:val="20"/>
          <w:lang w:val="sl-SI"/>
        </w:rPr>
        <w:t xml:space="preserve"> 37. člena predloga ZInfV-1</w:t>
      </w:r>
      <w:r>
        <w:rPr>
          <w:rFonts w:cs="Arial"/>
          <w:color w:val="000000"/>
          <w:szCs w:val="20"/>
          <w:lang w:val="sl-SI"/>
        </w:rPr>
        <w:t>,</w:t>
      </w:r>
      <w:r w:rsidRPr="00D31B7E">
        <w:rPr>
          <w:rFonts w:cs="Arial"/>
          <w:color w:val="000000"/>
          <w:szCs w:val="20"/>
          <w:lang w:val="sl-SI"/>
        </w:rPr>
        <w:t xml:space="preserve"> so pri tem vezani le na primere, ko gre za oceno ogroženosti visoka ali kritična in ne zajema drugih primerov, ki ne dosegajo takšne stopnje ogroženosti. V preostalem se smiselno sklicujemo na pojasnila ozir</w:t>
      </w:r>
      <w:r>
        <w:rPr>
          <w:rFonts w:cs="Arial"/>
          <w:color w:val="000000"/>
          <w:szCs w:val="20"/>
          <w:lang w:val="sl-SI"/>
        </w:rPr>
        <w:t>o</w:t>
      </w:r>
      <w:r w:rsidRPr="00D31B7E">
        <w:rPr>
          <w:rFonts w:cs="Arial"/>
          <w:color w:val="000000"/>
          <w:szCs w:val="20"/>
          <w:lang w:val="sl-SI"/>
        </w:rPr>
        <w:t>ma razlog zavrnitve k pripombi istega deležnika k 32. členu zgoraj;</w:t>
      </w:r>
    </w:p>
    <w:p w14:paraId="4FE00325"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5FE58CD7"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szCs w:val="20"/>
          <w:lang w:val="sl-SI"/>
        </w:rPr>
        <w:t>k 41</w:t>
      </w:r>
      <w:r>
        <w:rPr>
          <w:rFonts w:cs="Arial"/>
          <w:szCs w:val="20"/>
          <w:lang w:val="sl-SI"/>
        </w:rPr>
        <w:t>.</w:t>
      </w:r>
      <w:r w:rsidRPr="00D31B7E">
        <w:rPr>
          <w:rFonts w:cs="Arial"/>
          <w:szCs w:val="20"/>
          <w:lang w:val="sl-SI"/>
        </w:rPr>
        <w:t xml:space="preserve"> členu (splošne določbe) SeKV</w:t>
      </w:r>
      <w:r w:rsidRPr="00D31B7E">
        <w:rPr>
          <w:rFonts w:cs="Arial"/>
          <w:i/>
          <w:iCs/>
          <w:szCs w:val="20"/>
          <w:lang w:val="sl-SI"/>
        </w:rPr>
        <w:t xml:space="preserve"> </w:t>
      </w:r>
      <w:r w:rsidRPr="00D31B7E">
        <w:rPr>
          <w:rFonts w:cs="Arial"/>
          <w:color w:val="000000"/>
          <w:szCs w:val="20"/>
          <w:lang w:val="sl-SI"/>
        </w:rPr>
        <w:t xml:space="preserve">meni, da je 41. člen osnutka predloga zakona presplošen in presega vsebino Direktive 2022/2555/EU, zato naj se inšpekcijske nadzorstvene pristojnosti omejijo na pristojnosti, ki jih predvideva ta direktiva in so že relativno široke. V nasprotnem, ko gre za dodatno širjenje pristojnosti, verjetno ne bo podana sorazmernost, kar velja tudi za preostale določbe glede nadzora. Pojasnjujemo, da smo zadevni člen izboljšali z vidika večje jasnosti in določnosti na način, kot je to </w:t>
      </w:r>
      <w:r>
        <w:rPr>
          <w:rFonts w:cs="Arial"/>
          <w:color w:val="000000"/>
          <w:szCs w:val="20"/>
          <w:lang w:val="sl-SI"/>
        </w:rPr>
        <w:t>z</w:t>
      </w:r>
      <w:r w:rsidRPr="00D31B7E">
        <w:rPr>
          <w:rFonts w:cs="Arial"/>
          <w:color w:val="000000"/>
          <w:szCs w:val="20"/>
          <w:lang w:val="sl-SI"/>
        </w:rPr>
        <w:t xml:space="preserve">daj razvidno iz 45. člena predloga ZInfV-1 (glej peti odstavek), sicer pa že naslov pove, da gre za splošno določbo, ki jo </w:t>
      </w:r>
      <w:r>
        <w:rPr>
          <w:rFonts w:cs="Arial"/>
          <w:color w:val="000000"/>
          <w:szCs w:val="20"/>
          <w:lang w:val="sl-SI"/>
        </w:rPr>
        <w:t>naslednje</w:t>
      </w:r>
      <w:r w:rsidRPr="00D31B7E">
        <w:rPr>
          <w:rFonts w:cs="Arial"/>
          <w:color w:val="000000"/>
          <w:szCs w:val="20"/>
          <w:lang w:val="sl-SI"/>
        </w:rPr>
        <w:t xml:space="preserve"> določbe iz poglavja o nadzoru dopolnjujejo. Kot je bilo že pojasnjeno na več mestih, je Direktiva 2022/2555/EU direktiva minimalne harmonizacije. Še posebej pa določbe direktive o nadzoru ob njihovem prenosu v naš pravni red ne morejo veljati v pravnem vak</w:t>
      </w:r>
      <w:r>
        <w:rPr>
          <w:rFonts w:cs="Arial"/>
          <w:color w:val="000000"/>
          <w:szCs w:val="20"/>
          <w:lang w:val="sl-SI"/>
        </w:rPr>
        <w:t>u</w:t>
      </w:r>
      <w:r w:rsidRPr="00D31B7E">
        <w:rPr>
          <w:rFonts w:cs="Arial"/>
          <w:color w:val="000000"/>
          <w:szCs w:val="20"/>
          <w:lang w:val="sl-SI"/>
        </w:rPr>
        <w:t>umu, temveč je treba pri prenosu upoštevati tudi ureditev zakona, ki v Republiki Slovenji na sistemski ravni ureja inšpekcijski nadzor, čemur zadevna direktiva ne nasprotuje. Posledično se v postopku nadzora uporabljajo določbe zakona, ki ureja inšpekcijski nadzor (ki že vsebuje pravila in določbe</w:t>
      </w:r>
      <w:r>
        <w:rPr>
          <w:rFonts w:cs="Arial"/>
          <w:color w:val="000000"/>
          <w:szCs w:val="20"/>
          <w:lang w:val="sl-SI"/>
        </w:rPr>
        <w:t>,</w:t>
      </w:r>
      <w:r w:rsidRPr="00D31B7E">
        <w:rPr>
          <w:rFonts w:cs="Arial"/>
          <w:color w:val="000000"/>
          <w:szCs w:val="20"/>
          <w:lang w:val="sl-SI"/>
        </w:rPr>
        <w:t xml:space="preserve"> ki jih zadevna direktiva ne ureja), če s tem zakonom (torej predlogom ZInfV-1) ni določeno drugače. Pri tem iz predloga ZInf-V-1 v tem splošnem členu in naslednjih iz poglavja o nadzor</w:t>
      </w:r>
      <w:r>
        <w:rPr>
          <w:rFonts w:cs="Arial"/>
          <w:color w:val="000000"/>
          <w:szCs w:val="20"/>
          <w:lang w:val="sl-SI"/>
        </w:rPr>
        <w:t>u</w:t>
      </w:r>
      <w:r w:rsidRPr="00D31B7E">
        <w:rPr>
          <w:rFonts w:cs="Arial"/>
          <w:color w:val="000000"/>
          <w:szCs w:val="20"/>
          <w:lang w:val="sl-SI"/>
        </w:rPr>
        <w:t xml:space="preserve"> jasno izhajajo primeri, ko je določeno drugače kot v zakonu, ki ureja inšpekcijski nadzor. Pri tem </w:t>
      </w:r>
      <w:r>
        <w:rPr>
          <w:rFonts w:cs="Arial"/>
          <w:color w:val="000000"/>
          <w:szCs w:val="20"/>
          <w:lang w:val="sl-SI"/>
        </w:rPr>
        <w:t xml:space="preserve">so </w:t>
      </w:r>
      <w:r w:rsidRPr="00D31B7E">
        <w:rPr>
          <w:rFonts w:cs="Arial"/>
          <w:color w:val="000000"/>
          <w:szCs w:val="20"/>
          <w:lang w:val="sl-SI"/>
        </w:rPr>
        <w:t xml:space="preserve">se </w:t>
      </w:r>
      <w:r>
        <w:rPr>
          <w:rFonts w:cs="Arial"/>
          <w:color w:val="000000"/>
          <w:szCs w:val="20"/>
          <w:lang w:val="sl-SI"/>
        </w:rPr>
        <w:t>najbolj</w:t>
      </w:r>
      <w:r w:rsidRPr="00D31B7E">
        <w:rPr>
          <w:rFonts w:cs="Arial"/>
          <w:color w:val="000000"/>
          <w:szCs w:val="20"/>
          <w:lang w:val="sl-SI"/>
        </w:rPr>
        <w:t xml:space="preserve"> upošteval</w:t>
      </w:r>
      <w:r>
        <w:rPr>
          <w:rFonts w:cs="Arial"/>
          <w:color w:val="000000"/>
          <w:szCs w:val="20"/>
          <w:lang w:val="sl-SI"/>
        </w:rPr>
        <w:t>e</w:t>
      </w:r>
      <w:r w:rsidRPr="00D31B7E">
        <w:rPr>
          <w:rFonts w:cs="Arial"/>
          <w:color w:val="000000"/>
          <w:szCs w:val="20"/>
          <w:lang w:val="sl-SI"/>
        </w:rPr>
        <w:t xml:space="preserve"> zahteve predmetne direktiv</w:t>
      </w:r>
      <w:r>
        <w:rPr>
          <w:rFonts w:cs="Arial"/>
          <w:color w:val="000000"/>
          <w:szCs w:val="20"/>
          <w:lang w:val="sl-SI"/>
        </w:rPr>
        <w:t>e</w:t>
      </w:r>
      <w:r w:rsidRPr="00D31B7E">
        <w:rPr>
          <w:rFonts w:cs="Arial"/>
          <w:color w:val="000000"/>
          <w:szCs w:val="20"/>
          <w:lang w:val="sl-SI"/>
        </w:rPr>
        <w:t xml:space="preserve">, vendar ob upoštevanju cilja, ki ga direktiva zasleduje. Zavračamo poskuse omejitve učinkovitosti nadzora, ki je utemeljen prav v ustreznih pooblastilih pristojnih inšpektorjev. Ob tem še </w:t>
      </w:r>
      <w:r w:rsidRPr="00D31B7E">
        <w:rPr>
          <w:rFonts w:cs="Arial"/>
          <w:color w:val="000000"/>
          <w:szCs w:val="20"/>
          <w:lang w:val="sl-SI"/>
        </w:rPr>
        <w:lastRenderedPageBreak/>
        <w:t xml:space="preserve">dodajamo, da nadzor ni namenjen samemu sebi, temveč je njegov namen zagotoviti informacijsko in kibernetsko varnost na področjih, ki so ključna za delovanje države in družbe ter posledično v zaščiti uporabnikov storitev, ki jih zagotavljajo zavezanci, ki delujejo v visoko kritičnih in drugih kritičnih sektorjih; </w:t>
      </w:r>
    </w:p>
    <w:p w14:paraId="0458EB40"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6245B33D"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9D65BB">
        <w:rPr>
          <w:rFonts w:cs="Arial"/>
          <w:szCs w:val="20"/>
          <w:lang w:val="sl-SI"/>
        </w:rPr>
        <w:t>k 42. členu (nadzor bistvenih subjektov)</w:t>
      </w:r>
      <w:r w:rsidRPr="00D31B7E">
        <w:rPr>
          <w:rFonts w:cs="Arial"/>
          <w:i/>
          <w:iCs/>
          <w:szCs w:val="20"/>
          <w:lang w:val="sl-SI"/>
        </w:rPr>
        <w:t xml:space="preserve"> </w:t>
      </w:r>
      <w:r w:rsidRPr="00D31B7E">
        <w:rPr>
          <w:rFonts w:cs="Arial"/>
          <w:color w:val="000000"/>
          <w:szCs w:val="20"/>
          <w:lang w:val="sl-SI"/>
        </w:rPr>
        <w:t>SeKV meni, da dodatne pravice inšpektorja</w:t>
      </w:r>
      <w:r>
        <w:rPr>
          <w:rFonts w:cs="Arial"/>
          <w:color w:val="000000"/>
          <w:szCs w:val="20"/>
          <w:lang w:val="sl-SI"/>
        </w:rPr>
        <w:t>,</w:t>
      </w:r>
      <w:r w:rsidRPr="00D31B7E">
        <w:rPr>
          <w:rFonts w:cs="Arial"/>
          <w:color w:val="000000"/>
          <w:szCs w:val="20"/>
          <w:lang w:val="sl-SI"/>
        </w:rPr>
        <w:t xml:space="preserve"> določene v tem členu</w:t>
      </w:r>
      <w:r>
        <w:rPr>
          <w:rFonts w:cs="Arial"/>
          <w:color w:val="000000"/>
          <w:szCs w:val="20"/>
          <w:lang w:val="sl-SI"/>
        </w:rPr>
        <w:t>,</w:t>
      </w:r>
      <w:r w:rsidRPr="00D31B7E">
        <w:rPr>
          <w:rFonts w:cs="Arial"/>
          <w:color w:val="000000"/>
          <w:szCs w:val="20"/>
          <w:lang w:val="sl-SI"/>
        </w:rPr>
        <w:t xml:space="preserve"> niso jasne, pri tem problematizirajo ciljno usmerjene revizije skladnosti iz 2. točke prvega odstavka zadevne določbe v povezavi z določbo, po kateri ciljno usmerjene revizije</w:t>
      </w:r>
      <w:r>
        <w:rPr>
          <w:rFonts w:cs="Arial"/>
          <w:color w:val="000000"/>
          <w:szCs w:val="20"/>
          <w:lang w:val="sl-SI"/>
        </w:rPr>
        <w:t xml:space="preserve"> </w:t>
      </w:r>
      <w:r w:rsidRPr="00D31B7E">
        <w:rPr>
          <w:rFonts w:cs="Arial"/>
          <w:color w:val="000000"/>
          <w:szCs w:val="20"/>
          <w:lang w:val="sl-SI"/>
        </w:rPr>
        <w:t>temeljijo na ocenah tveganj, ki jih izvedejo pristojni nacionalni organi ali bistveni subjekt, ki je predmet presoje, ali na drugih razpoložljivih informacijah o tveganju. Poročilo o izvedeni ciljno usmerjeni reviziji varnosti se da na voljo inšpektorju (ugotavljamo, da gre za sedmi odstav</w:t>
      </w:r>
      <w:r>
        <w:rPr>
          <w:rFonts w:cs="Arial"/>
          <w:color w:val="000000"/>
          <w:szCs w:val="20"/>
          <w:lang w:val="sl-SI"/>
        </w:rPr>
        <w:t>ek</w:t>
      </w:r>
      <w:r w:rsidRPr="00D31B7E">
        <w:rPr>
          <w:rFonts w:cs="Arial"/>
          <w:color w:val="000000"/>
          <w:szCs w:val="20"/>
          <w:lang w:val="sl-SI"/>
        </w:rPr>
        <w:t xml:space="preserve"> zadevnega člena). Za dodatne obrazložitve se sklicujejo na pripombe k 41. členu osnutka predloga zakona (splošne določbe). Tokrat menijo, da je treba vse člene in določbe, ki se nanašajo na inšpekcijski nadzor, uskladiti z Zakonom o inšpekcijsk</w:t>
      </w:r>
      <w:r>
        <w:rPr>
          <w:rFonts w:cs="Arial"/>
          <w:color w:val="000000"/>
          <w:szCs w:val="20"/>
          <w:lang w:val="sl-SI"/>
        </w:rPr>
        <w:t>e</w:t>
      </w:r>
      <w:r w:rsidRPr="00D31B7E">
        <w:rPr>
          <w:rFonts w:cs="Arial"/>
          <w:color w:val="000000"/>
          <w:szCs w:val="20"/>
          <w:lang w:val="sl-SI"/>
        </w:rPr>
        <w:t xml:space="preserve">m nadzoru. Pojasnjujemo, da zadevno vsebino </w:t>
      </w:r>
      <w:r>
        <w:rPr>
          <w:rFonts w:cs="Arial"/>
          <w:color w:val="000000"/>
          <w:szCs w:val="20"/>
          <w:lang w:val="sl-SI"/>
        </w:rPr>
        <w:t>z</w:t>
      </w:r>
      <w:r w:rsidRPr="00D31B7E">
        <w:rPr>
          <w:rFonts w:cs="Arial"/>
          <w:color w:val="000000"/>
          <w:szCs w:val="20"/>
          <w:lang w:val="sl-SI"/>
        </w:rPr>
        <w:t xml:space="preserve">daj ureja 46. člen predloga ZInfV-1 in gre za prvo točko drugega odstavka tega člena v povezavi z osmim odstavkom tega člena, kjer je dodatno </w:t>
      </w:r>
      <w:r>
        <w:rPr>
          <w:rFonts w:cs="Arial"/>
          <w:color w:val="000000"/>
          <w:szCs w:val="20"/>
          <w:lang w:val="sl-SI"/>
        </w:rPr>
        <w:t>pojasnjeno</w:t>
      </w:r>
      <w:r w:rsidRPr="00D31B7E">
        <w:rPr>
          <w:rFonts w:cs="Arial"/>
          <w:color w:val="000000"/>
          <w:szCs w:val="20"/>
          <w:lang w:val="sl-SI"/>
        </w:rPr>
        <w:t>, da gre za redne in ciljno usmerjene revizije skladnosti iz 1. točke drugega odstavka tega člena, vsebina določbe osmega odstavka sicer ostaja enaka kot v osnutku predloga ZInfV-1. Kaj točno naj ne bi bilo jasno, pripomba ne pojasni, gre pa v tem delu za prenos zahtev glede nadzorstvenih pristojnosti iz Direktive 2022/2555/EU, torej za specialno urejanje v predlaganem glede na zakon, ki ureja inšpekcijski nadzor. So pa določbe o nadzoru v predlaganem zakonu medsebojno usklajene z zakonom, ki ureja inšpekcijski nadzor in se ne podvajajo. Dodani so le elementi iz Direktive 2022/2555/EU s področj</w:t>
      </w:r>
      <w:r>
        <w:rPr>
          <w:rFonts w:cs="Arial"/>
          <w:color w:val="000000"/>
          <w:szCs w:val="20"/>
          <w:lang w:val="sl-SI"/>
        </w:rPr>
        <w:t>a</w:t>
      </w:r>
      <w:r w:rsidRPr="00D31B7E">
        <w:rPr>
          <w:rFonts w:cs="Arial"/>
          <w:color w:val="000000"/>
          <w:szCs w:val="20"/>
          <w:lang w:val="sl-SI"/>
        </w:rPr>
        <w:t xml:space="preserve"> nadzora. V preostalem se sklicujemo na pojasnilo k prejšnji pripombi zgoraj;</w:t>
      </w:r>
    </w:p>
    <w:p w14:paraId="26FA25D2"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i/>
          <w:iCs/>
          <w:szCs w:val="20"/>
          <w:lang w:val="sl-SI"/>
        </w:rPr>
      </w:pPr>
    </w:p>
    <w:p w14:paraId="6589AA06"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43. členu (nadzor pomembnih subjektov) SeKV p</w:t>
      </w:r>
      <w:r w:rsidRPr="00D31B7E">
        <w:rPr>
          <w:rFonts w:cs="Arial"/>
          <w:color w:val="000000"/>
          <w:szCs w:val="20"/>
          <w:lang w:val="sl-SI"/>
        </w:rPr>
        <w:t>redlaga črtanje 3. točke drugega</w:t>
      </w:r>
      <w:r>
        <w:rPr>
          <w:rFonts w:cs="Arial"/>
          <w:color w:val="000000"/>
          <w:szCs w:val="20"/>
          <w:lang w:val="sl-SI"/>
        </w:rPr>
        <w:t xml:space="preserve"> </w:t>
      </w:r>
      <w:r w:rsidRPr="00D31B7E">
        <w:rPr>
          <w:rFonts w:cs="Arial"/>
          <w:color w:val="000000"/>
          <w:szCs w:val="20"/>
          <w:lang w:val="sl-SI"/>
        </w:rPr>
        <w:t>odstavka tega člena, saj se zastavlja vprašanje izvedljivosti določbe v okviru nadzora</w:t>
      </w:r>
      <w:r>
        <w:rPr>
          <w:rFonts w:cs="Arial"/>
          <w:color w:val="000000"/>
          <w:szCs w:val="20"/>
          <w:lang w:val="sl-SI"/>
        </w:rPr>
        <w:t>.</w:t>
      </w:r>
      <w:r w:rsidRPr="00D31B7E">
        <w:rPr>
          <w:rFonts w:cs="Arial"/>
          <w:color w:val="000000"/>
          <w:szCs w:val="20"/>
          <w:lang w:val="sl-SI"/>
        </w:rPr>
        <w:t xml:space="preserve"> Varnostni pregled je namreč najsplošnejši izraz, ki označuje proces iskanja varnostnih pomanjkljivosti v sistemih, procesih in ljudeh z dovoljenjem in v dogovoru z lastnikom </w:t>
      </w:r>
      <w:r w:rsidRPr="00D914BF">
        <w:rPr>
          <w:rFonts w:cs="Arial"/>
          <w:color w:val="000000"/>
          <w:szCs w:val="20"/>
          <w:lang w:val="sl-SI"/>
        </w:rPr>
        <w:t>sredstev z namenom izboljšanja varnosti ali pomeni tudi pregled ranljivosti in izvedbo vdornega testiranja</w:t>
      </w:r>
      <w:r w:rsidRPr="00D31B7E">
        <w:rPr>
          <w:rFonts w:cs="Arial"/>
          <w:color w:val="000000"/>
          <w:szCs w:val="20"/>
          <w:lang w:val="sl-SI"/>
        </w:rPr>
        <w:t>. Za dodatne obrazložitve se sklicuje na pripombe k 41. in 42. členu osnutka predloga zakona. Pojasnjujemo, da nazor pomembni</w:t>
      </w:r>
      <w:r>
        <w:rPr>
          <w:rFonts w:cs="Arial"/>
          <w:color w:val="000000"/>
          <w:szCs w:val="20"/>
          <w:lang w:val="sl-SI"/>
        </w:rPr>
        <w:t>h</w:t>
      </w:r>
      <w:r w:rsidRPr="00D31B7E">
        <w:rPr>
          <w:rFonts w:cs="Arial"/>
          <w:color w:val="000000"/>
          <w:szCs w:val="20"/>
          <w:lang w:val="sl-SI"/>
        </w:rPr>
        <w:t xml:space="preserve"> subjektov </w:t>
      </w:r>
      <w:r>
        <w:rPr>
          <w:rFonts w:cs="Arial"/>
          <w:color w:val="000000"/>
          <w:szCs w:val="20"/>
          <w:lang w:val="sl-SI"/>
        </w:rPr>
        <w:t>z</w:t>
      </w:r>
      <w:r w:rsidRPr="00D31B7E">
        <w:rPr>
          <w:rFonts w:cs="Arial"/>
          <w:color w:val="000000"/>
          <w:szCs w:val="20"/>
          <w:lang w:val="sl-SI"/>
        </w:rPr>
        <w:t>daj ureja 47. člen predloga ZInfV-1, ki takšn</w:t>
      </w:r>
      <w:r>
        <w:rPr>
          <w:rFonts w:cs="Arial"/>
          <w:color w:val="000000"/>
          <w:szCs w:val="20"/>
          <w:lang w:val="sl-SI"/>
        </w:rPr>
        <w:t>ih</w:t>
      </w:r>
      <w:r w:rsidRPr="00D31B7E">
        <w:rPr>
          <w:rFonts w:cs="Arial"/>
          <w:color w:val="000000"/>
          <w:szCs w:val="20"/>
          <w:lang w:val="sl-SI"/>
        </w:rPr>
        <w:t xml:space="preserve"> določb glede varnostnih pregledov na tem mestu ne vsebuje več. Je pa bila ta pristojnost inšpektorja vključena v peti odstavek 45. člena predloga ZInfV-1, saj 2. točka, kjer gre </w:t>
      </w:r>
      <w:r>
        <w:rPr>
          <w:rFonts w:cs="Arial"/>
          <w:color w:val="000000"/>
          <w:szCs w:val="20"/>
          <w:lang w:val="sl-SI"/>
        </w:rPr>
        <w:t>z</w:t>
      </w:r>
      <w:r w:rsidRPr="00D31B7E">
        <w:rPr>
          <w:rFonts w:cs="Arial"/>
          <w:color w:val="000000"/>
          <w:szCs w:val="20"/>
          <w:lang w:val="sl-SI"/>
        </w:rPr>
        <w:t xml:space="preserve">daj v 2. točki za »inšpekcijski« varnostni pregled, ki ga ima med drugim pravico izvesti inšpektor poleg pravic iz zakona, ki ureja inšpekcijski nadzor. Tudi na tem mestu ponovno pojasnjujemo, da gre za zahtevo iz Direktive 2022/2555/EU glede nadzora in njen prenos v smislu </w:t>
      </w:r>
      <w:r>
        <w:rPr>
          <w:rFonts w:cs="Arial"/>
          <w:color w:val="000000"/>
          <w:szCs w:val="20"/>
          <w:lang w:val="sl-SI"/>
        </w:rPr>
        <w:t>specifičnega</w:t>
      </w:r>
      <w:r w:rsidRPr="00D31B7E">
        <w:rPr>
          <w:rFonts w:cs="Arial"/>
          <w:color w:val="000000"/>
          <w:szCs w:val="20"/>
          <w:lang w:val="sl-SI"/>
        </w:rPr>
        <w:t xml:space="preserve"> urejanja. V preostalem se sklicujemo na pojasnila k prejšnji in predprejšnji pripomb</w:t>
      </w:r>
      <w:r>
        <w:rPr>
          <w:rFonts w:cs="Arial"/>
          <w:color w:val="000000"/>
          <w:szCs w:val="20"/>
          <w:lang w:val="sl-SI"/>
        </w:rPr>
        <w:t>i</w:t>
      </w:r>
      <w:r w:rsidRPr="00D31B7E">
        <w:rPr>
          <w:rFonts w:cs="Arial"/>
          <w:color w:val="000000"/>
          <w:szCs w:val="20"/>
          <w:lang w:val="sl-SI"/>
        </w:rPr>
        <w:t xml:space="preserve"> zgoraj; </w:t>
      </w:r>
    </w:p>
    <w:p w14:paraId="6D4CA5FB"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30888D6A"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color w:val="000000"/>
          <w:szCs w:val="20"/>
          <w:lang w:val="sl-SI"/>
        </w:rPr>
      </w:pPr>
      <w:r w:rsidRPr="00D31B7E">
        <w:rPr>
          <w:rFonts w:cs="Arial"/>
          <w:color w:val="000000"/>
          <w:szCs w:val="20"/>
          <w:lang w:val="sl-SI"/>
        </w:rPr>
        <w:t xml:space="preserve">k 53. členu (prekrški bistvenih subjektov) in 54. členu (prekrški pomembnih subjektov) SeKV meni, da so predvidene </w:t>
      </w:r>
      <w:r>
        <w:rPr>
          <w:rFonts w:cs="Arial"/>
          <w:color w:val="000000"/>
          <w:szCs w:val="20"/>
          <w:lang w:val="sl-SI"/>
        </w:rPr>
        <w:t xml:space="preserve">globe </w:t>
      </w:r>
      <w:r w:rsidRPr="00D31B7E">
        <w:rPr>
          <w:rFonts w:cs="Arial"/>
          <w:color w:val="000000"/>
          <w:szCs w:val="20"/>
          <w:lang w:val="sl-SI"/>
        </w:rPr>
        <w:t>previsoke in nesorazmerne. Predlaga</w:t>
      </w:r>
      <w:r>
        <w:rPr>
          <w:rFonts w:cs="Arial"/>
          <w:color w:val="000000"/>
          <w:szCs w:val="20"/>
          <w:lang w:val="sl-SI"/>
        </w:rPr>
        <w:t>j</w:t>
      </w:r>
      <w:r w:rsidRPr="00D31B7E">
        <w:rPr>
          <w:rFonts w:cs="Arial"/>
          <w:color w:val="000000"/>
          <w:szCs w:val="20"/>
          <w:lang w:val="sl-SI"/>
        </w:rPr>
        <w:t>o, da se možnost izreka globe v višini 2</w:t>
      </w:r>
      <w:r>
        <w:rPr>
          <w:rFonts w:cs="Arial"/>
          <w:color w:val="000000"/>
          <w:szCs w:val="20"/>
          <w:lang w:val="sl-SI"/>
        </w:rPr>
        <w:t xml:space="preserve"> </w:t>
      </w:r>
      <w:r w:rsidRPr="00D31B7E">
        <w:rPr>
          <w:rFonts w:cs="Arial"/>
          <w:color w:val="000000"/>
          <w:szCs w:val="20"/>
          <w:lang w:val="sl-SI"/>
        </w:rPr>
        <w:t>% prometa rezervira za primere, ki jih predvideva Direktiv</w:t>
      </w:r>
      <w:r>
        <w:rPr>
          <w:rFonts w:cs="Arial"/>
          <w:color w:val="000000"/>
          <w:szCs w:val="20"/>
          <w:lang w:val="sl-SI"/>
        </w:rPr>
        <w:t>a</w:t>
      </w:r>
      <w:r w:rsidRPr="00D31B7E">
        <w:rPr>
          <w:rFonts w:cs="Arial"/>
          <w:color w:val="000000"/>
          <w:szCs w:val="20"/>
          <w:lang w:val="sl-SI"/>
        </w:rPr>
        <w:t xml:space="preserve"> 2022/2555/EU, ki to predvideva za kršitev njenih členov 21 (ukrepi za obvladovanje tveganj za kibernetsko varnost) in 23 (obveznosti poročanja o incidentih), zato predlagajo, da se tudi osnutek predloga zakona omeji na navedeni dve situaciji. Nadalje naj bi bilo primerneje, da se najnižja globa ne bi določala ali da bi bila najnižja globa določena zgolj v nominalnem znesku (ne v odstotku od prometa, saj so globe</w:t>
      </w:r>
      <w:r>
        <w:rPr>
          <w:rFonts w:cs="Arial"/>
          <w:color w:val="000000"/>
          <w:szCs w:val="20"/>
          <w:lang w:val="sl-SI"/>
        </w:rPr>
        <w:t>,</w:t>
      </w:r>
      <w:r w:rsidRPr="00D31B7E">
        <w:rPr>
          <w:rFonts w:cs="Arial"/>
          <w:color w:val="000000"/>
          <w:szCs w:val="20"/>
          <w:lang w:val="sl-SI"/>
        </w:rPr>
        <w:t xml:space="preserve"> določene v odstotku od prometa</w:t>
      </w:r>
      <w:r>
        <w:rPr>
          <w:rFonts w:cs="Arial"/>
          <w:color w:val="000000"/>
          <w:szCs w:val="20"/>
          <w:lang w:val="sl-SI"/>
        </w:rPr>
        <w:t>,</w:t>
      </w:r>
      <w:r w:rsidRPr="00D31B7E">
        <w:rPr>
          <w:rFonts w:cs="Arial"/>
          <w:color w:val="000000"/>
          <w:szCs w:val="20"/>
          <w:lang w:val="sl-SI"/>
        </w:rPr>
        <w:t xml:space="preserve"> primerjalno rezervirane za najtežje kršitve). Drugačna ureditev naj ne bi zadostila kriteriju sorazmernosti in bi bila potencialno protiustavna</w:t>
      </w:r>
      <w:r>
        <w:rPr>
          <w:rFonts w:cs="Arial"/>
          <w:color w:val="000000"/>
          <w:szCs w:val="20"/>
          <w:lang w:val="sl-SI"/>
        </w:rPr>
        <w:t>.</w:t>
      </w:r>
      <w:r w:rsidRPr="00D31B7E">
        <w:rPr>
          <w:rFonts w:cs="Arial"/>
          <w:color w:val="000000"/>
          <w:szCs w:val="20"/>
          <w:lang w:val="sl-SI"/>
        </w:rPr>
        <w:t xml:space="preserve"> Pojasnjujemo, da zadevno vsebino </w:t>
      </w:r>
      <w:r>
        <w:rPr>
          <w:rFonts w:cs="Arial"/>
          <w:color w:val="000000"/>
          <w:szCs w:val="20"/>
          <w:lang w:val="sl-SI"/>
        </w:rPr>
        <w:t>z</w:t>
      </w:r>
      <w:r w:rsidRPr="00D31B7E">
        <w:rPr>
          <w:rFonts w:cs="Arial"/>
          <w:color w:val="000000"/>
          <w:szCs w:val="20"/>
          <w:lang w:val="sl-SI"/>
        </w:rPr>
        <w:t>daj urejata 52. člen (prekrški bistvenih subjektov) in 53. člen (prekrški pomembnih subjektov</w:t>
      </w:r>
      <w:r>
        <w:rPr>
          <w:rFonts w:cs="Arial"/>
          <w:color w:val="000000"/>
          <w:szCs w:val="20"/>
          <w:lang w:val="sl-SI"/>
        </w:rPr>
        <w:t>) predloga ZInfV-1</w:t>
      </w:r>
      <w:r w:rsidRPr="00D31B7E">
        <w:rPr>
          <w:rFonts w:cs="Arial"/>
          <w:color w:val="000000"/>
          <w:szCs w:val="20"/>
          <w:lang w:val="sl-SI"/>
        </w:rPr>
        <w:t xml:space="preserve">. Po prvem odstavku 52. člena </w:t>
      </w:r>
      <w:r w:rsidRPr="00D31B7E">
        <w:rPr>
          <w:rFonts w:cs="Arial"/>
          <w:color w:val="000000"/>
          <w:szCs w:val="20"/>
          <w:lang w:val="sl-SI"/>
        </w:rPr>
        <w:lastRenderedPageBreak/>
        <w:t xml:space="preserve">je </w:t>
      </w:r>
      <w:r>
        <w:rPr>
          <w:rFonts w:cs="Arial"/>
          <w:color w:val="000000"/>
          <w:szCs w:val="20"/>
          <w:lang w:val="sl-SI"/>
        </w:rPr>
        <w:t>z</w:t>
      </w:r>
      <w:r w:rsidRPr="00D31B7E">
        <w:rPr>
          <w:rFonts w:cs="Arial"/>
          <w:color w:val="000000"/>
          <w:szCs w:val="20"/>
          <w:lang w:val="sl-SI"/>
        </w:rPr>
        <w:t>daj globa za pravno osebo (ki je bistven subjekt) določena v višini 0,5 odstotka do 2 odstotka skupnega letnega prometa pravne osebe, doseženega v preteklem poslovnem letu, vendar ne manj kot 10.000 eurov in ne več kot 10.000.000 eurov, odvisno od tega, kateri znesek je višji, pri čemer pa gre za tam določene kršitve 21</w:t>
      </w:r>
      <w:r>
        <w:rPr>
          <w:rFonts w:cs="Arial"/>
          <w:color w:val="000000"/>
          <w:szCs w:val="20"/>
          <w:lang w:val="sl-SI"/>
        </w:rPr>
        <w:t>.</w:t>
      </w:r>
      <w:r w:rsidRPr="00D31B7E">
        <w:rPr>
          <w:rFonts w:cs="Arial"/>
          <w:color w:val="000000"/>
          <w:szCs w:val="20"/>
          <w:lang w:val="sl-SI"/>
        </w:rPr>
        <w:t>, 22</w:t>
      </w:r>
      <w:r>
        <w:rPr>
          <w:rFonts w:cs="Arial"/>
          <w:color w:val="000000"/>
          <w:szCs w:val="20"/>
          <w:lang w:val="sl-SI"/>
        </w:rPr>
        <w:t>.</w:t>
      </w:r>
      <w:r w:rsidRPr="00D31B7E">
        <w:rPr>
          <w:rFonts w:cs="Arial"/>
          <w:color w:val="000000"/>
          <w:szCs w:val="20"/>
          <w:lang w:val="sl-SI"/>
        </w:rPr>
        <w:t>, 24</w:t>
      </w:r>
      <w:r>
        <w:rPr>
          <w:rFonts w:cs="Arial"/>
          <w:color w:val="000000"/>
          <w:szCs w:val="20"/>
          <w:lang w:val="sl-SI"/>
        </w:rPr>
        <w:t>.</w:t>
      </w:r>
      <w:r w:rsidRPr="00D31B7E">
        <w:rPr>
          <w:rFonts w:cs="Arial"/>
          <w:color w:val="000000"/>
          <w:szCs w:val="20"/>
          <w:lang w:val="sl-SI"/>
        </w:rPr>
        <w:t xml:space="preserve">, 29. in 30. člena (predloga) tega zakona. Po prvem odstavku 53. člena pa je </w:t>
      </w:r>
      <w:r>
        <w:rPr>
          <w:rFonts w:cs="Arial"/>
          <w:color w:val="000000"/>
          <w:szCs w:val="20"/>
          <w:lang w:val="sl-SI"/>
        </w:rPr>
        <w:t>z</w:t>
      </w:r>
      <w:r w:rsidRPr="00D31B7E">
        <w:rPr>
          <w:rFonts w:cs="Arial"/>
          <w:color w:val="000000"/>
          <w:szCs w:val="20"/>
          <w:lang w:val="sl-SI"/>
        </w:rPr>
        <w:t>daj globa za pravne osebe (ki so pomembni subjekt) določena v višini 0,3 odstotk</w:t>
      </w:r>
      <w:r>
        <w:rPr>
          <w:rFonts w:cs="Arial"/>
          <w:color w:val="000000"/>
          <w:szCs w:val="20"/>
          <w:lang w:val="sl-SI"/>
        </w:rPr>
        <w:t>a</w:t>
      </w:r>
      <w:r w:rsidRPr="00D31B7E">
        <w:rPr>
          <w:rFonts w:cs="Arial"/>
          <w:color w:val="000000"/>
          <w:szCs w:val="20"/>
          <w:lang w:val="sl-SI"/>
        </w:rPr>
        <w:t xml:space="preserve"> do 1,4 odstotk</w:t>
      </w:r>
      <w:r>
        <w:rPr>
          <w:rFonts w:cs="Arial"/>
          <w:color w:val="000000"/>
          <w:szCs w:val="20"/>
          <w:lang w:val="sl-SI"/>
        </w:rPr>
        <w:t>a</w:t>
      </w:r>
      <w:r w:rsidRPr="00D31B7E">
        <w:rPr>
          <w:rFonts w:cs="Arial"/>
          <w:color w:val="000000"/>
          <w:szCs w:val="20"/>
          <w:lang w:val="sl-SI"/>
        </w:rPr>
        <w:t xml:space="preserve"> skupnega letnega prometa pravne osebe, doseženega v preteklem poslovnem letu, vendar ne manj kot 7.000 eurov in ne več kot 7.000.000 eurov, odvisno od tega, kateri znesek je višji, pri čemer </w:t>
      </w:r>
      <w:r>
        <w:rPr>
          <w:rFonts w:cs="Arial"/>
          <w:color w:val="000000"/>
          <w:szCs w:val="20"/>
          <w:lang w:val="sl-SI"/>
        </w:rPr>
        <w:t xml:space="preserve">gre </w:t>
      </w:r>
      <w:r w:rsidRPr="00D31B7E">
        <w:rPr>
          <w:rFonts w:cs="Arial"/>
          <w:color w:val="000000"/>
          <w:szCs w:val="20"/>
          <w:lang w:val="sl-SI"/>
        </w:rPr>
        <w:t>tudi tam za določene kršitve 21</w:t>
      </w:r>
      <w:r>
        <w:rPr>
          <w:rFonts w:cs="Arial"/>
          <w:color w:val="000000"/>
          <w:szCs w:val="20"/>
          <w:lang w:val="sl-SI"/>
        </w:rPr>
        <w:t>.</w:t>
      </w:r>
      <w:r w:rsidRPr="00D31B7E">
        <w:rPr>
          <w:rFonts w:cs="Arial"/>
          <w:color w:val="000000"/>
          <w:szCs w:val="20"/>
          <w:lang w:val="sl-SI"/>
        </w:rPr>
        <w:t>, 22</w:t>
      </w:r>
      <w:r>
        <w:rPr>
          <w:rFonts w:cs="Arial"/>
          <w:color w:val="000000"/>
          <w:szCs w:val="20"/>
          <w:lang w:val="sl-SI"/>
        </w:rPr>
        <w:t>.</w:t>
      </w:r>
      <w:r w:rsidRPr="00D31B7E">
        <w:rPr>
          <w:rFonts w:cs="Arial"/>
          <w:color w:val="000000"/>
          <w:szCs w:val="20"/>
          <w:lang w:val="sl-SI"/>
        </w:rPr>
        <w:t>, 24</w:t>
      </w:r>
      <w:r>
        <w:rPr>
          <w:rFonts w:cs="Arial"/>
          <w:color w:val="000000"/>
          <w:szCs w:val="20"/>
          <w:lang w:val="sl-SI"/>
        </w:rPr>
        <w:t>.</w:t>
      </w:r>
      <w:r w:rsidRPr="00D31B7E">
        <w:rPr>
          <w:rFonts w:cs="Arial"/>
          <w:color w:val="000000"/>
          <w:szCs w:val="20"/>
          <w:lang w:val="sl-SI"/>
        </w:rPr>
        <w:t>, 29. in 30. člena (predloga) tega zakona. Pojasnjujemo, da so tako visoke globe predvidene samo za tiste kršitve, kot jih predvideva Direktiv</w:t>
      </w:r>
      <w:r>
        <w:rPr>
          <w:rFonts w:cs="Arial"/>
          <w:color w:val="000000"/>
          <w:szCs w:val="20"/>
          <w:lang w:val="sl-SI"/>
        </w:rPr>
        <w:t>a</w:t>
      </w:r>
      <w:r w:rsidRPr="00D31B7E">
        <w:rPr>
          <w:rFonts w:cs="Arial"/>
          <w:color w:val="000000"/>
          <w:szCs w:val="20"/>
          <w:lang w:val="sl-SI"/>
        </w:rPr>
        <w:t xml:space="preserve"> 2022/2555/EU v 34. členu, ki se pri tem sklicuje na njen 21. (</w:t>
      </w:r>
      <w:r>
        <w:rPr>
          <w:rFonts w:cs="Arial"/>
          <w:color w:val="000000"/>
          <w:szCs w:val="20"/>
          <w:lang w:val="sl-SI"/>
        </w:rPr>
        <w:t>u</w:t>
      </w:r>
      <w:r w:rsidRPr="00D31B7E">
        <w:rPr>
          <w:rFonts w:cs="Arial"/>
          <w:color w:val="000000"/>
          <w:szCs w:val="20"/>
          <w:lang w:val="sl-SI"/>
        </w:rPr>
        <w:t>krepi za obvladovanje tveganj za kibernetsko varnost) in 23. člen (obveznosti poročanja). Upoštevaje način prenosa zadevnih določb te direktive v predlog ZInfV-1 in o</w:t>
      </w:r>
      <w:r>
        <w:rPr>
          <w:rFonts w:cs="Arial"/>
          <w:color w:val="000000"/>
          <w:szCs w:val="20"/>
          <w:lang w:val="sl-SI"/>
        </w:rPr>
        <w:t>b</w:t>
      </w:r>
      <w:r w:rsidRPr="00D31B7E">
        <w:rPr>
          <w:rFonts w:cs="Arial"/>
          <w:color w:val="000000"/>
          <w:szCs w:val="20"/>
          <w:lang w:val="sl-SI"/>
        </w:rPr>
        <w:t xml:space="preserve"> hkratnem upoštevanju, da gre za direktivo za minimaln</w:t>
      </w:r>
      <w:r>
        <w:rPr>
          <w:rFonts w:cs="Arial"/>
          <w:color w:val="000000"/>
          <w:szCs w:val="20"/>
          <w:lang w:val="sl-SI"/>
        </w:rPr>
        <w:t>o</w:t>
      </w:r>
      <w:r w:rsidRPr="00D31B7E">
        <w:rPr>
          <w:rFonts w:cs="Arial"/>
          <w:color w:val="000000"/>
          <w:szCs w:val="20"/>
          <w:lang w:val="sl-SI"/>
        </w:rPr>
        <w:t xml:space="preserve"> harmonizacijo, je bilo treba v 52. in 53. člen</w:t>
      </w:r>
      <w:r>
        <w:rPr>
          <w:rFonts w:cs="Arial"/>
          <w:color w:val="000000"/>
          <w:szCs w:val="20"/>
          <w:lang w:val="sl-SI"/>
        </w:rPr>
        <w:t>u</w:t>
      </w:r>
      <w:r w:rsidRPr="00D31B7E">
        <w:rPr>
          <w:rFonts w:cs="Arial"/>
          <w:color w:val="000000"/>
          <w:szCs w:val="20"/>
          <w:lang w:val="sl-SI"/>
        </w:rPr>
        <w:t xml:space="preserve"> predloga ZInfV-1 vključiti kršitve določb členov 21 (varnostna dokumentacija)</w:t>
      </w:r>
      <w:r>
        <w:rPr>
          <w:rFonts w:cs="Arial"/>
          <w:color w:val="000000"/>
          <w:szCs w:val="20"/>
          <w:lang w:val="sl-SI"/>
        </w:rPr>
        <w:t xml:space="preserve"> in</w:t>
      </w:r>
      <w:r w:rsidRPr="00D31B7E">
        <w:rPr>
          <w:rFonts w:cs="Arial"/>
          <w:color w:val="000000"/>
          <w:szCs w:val="20"/>
          <w:lang w:val="sl-SI"/>
        </w:rPr>
        <w:t xml:space="preserve"> 22 (ukrepi za obvladovanje tveganj), ki se sklicuje</w:t>
      </w:r>
      <w:r>
        <w:rPr>
          <w:rFonts w:cs="Arial"/>
          <w:color w:val="000000"/>
          <w:szCs w:val="20"/>
          <w:lang w:val="sl-SI"/>
        </w:rPr>
        <w:t>ta</w:t>
      </w:r>
      <w:r w:rsidRPr="00D31B7E">
        <w:rPr>
          <w:rFonts w:cs="Arial"/>
          <w:color w:val="000000"/>
          <w:szCs w:val="20"/>
          <w:lang w:val="sl-SI"/>
        </w:rPr>
        <w:t xml:space="preserve"> tudi na 24. člen predloga zakona, </w:t>
      </w:r>
      <w:r>
        <w:rPr>
          <w:rFonts w:cs="Arial"/>
          <w:color w:val="000000"/>
          <w:szCs w:val="20"/>
          <w:lang w:val="sl-SI"/>
        </w:rPr>
        <w:t xml:space="preserve">ter </w:t>
      </w:r>
      <w:r w:rsidRPr="00D31B7E">
        <w:rPr>
          <w:rFonts w:cs="Arial"/>
          <w:color w:val="000000"/>
          <w:szCs w:val="20"/>
          <w:lang w:val="sl-SI"/>
        </w:rPr>
        <w:t xml:space="preserve">24 (dnevniški zapisi), 29 (obveznosti priglašanja in obveščanja) in 30 (postopek priglasitve pomembnih incidentov). Določba </w:t>
      </w:r>
      <w:r>
        <w:rPr>
          <w:rFonts w:cs="Arial"/>
          <w:color w:val="000000"/>
          <w:szCs w:val="20"/>
          <w:lang w:val="sl-SI"/>
        </w:rPr>
        <w:t xml:space="preserve">ne </w:t>
      </w:r>
      <w:r w:rsidRPr="00D31B7E">
        <w:rPr>
          <w:rFonts w:cs="Arial"/>
          <w:color w:val="000000"/>
          <w:szCs w:val="20"/>
          <w:lang w:val="sl-SI"/>
        </w:rPr>
        <w:t xml:space="preserve">gre prek tega, kar je nujno ob zasledovanju ciljev zadevne direktive. Polega tega so predvideni dovolj veliki razponi kazni, kar omogoča diferenciranje kazni glede na resnost kršitve; </w:t>
      </w:r>
    </w:p>
    <w:p w14:paraId="01A5DF79" w14:textId="77777777" w:rsidR="000A51A5" w:rsidRPr="00D31B7E" w:rsidRDefault="000A51A5" w:rsidP="000A51A5">
      <w:pPr>
        <w:pStyle w:val="Odstavekseznama"/>
        <w:widowControl w:val="0"/>
        <w:overflowPunct w:val="0"/>
        <w:autoSpaceDE w:val="0"/>
        <w:autoSpaceDN w:val="0"/>
        <w:adjustRightInd w:val="0"/>
        <w:spacing w:after="240" w:line="276" w:lineRule="auto"/>
        <w:ind w:left="360"/>
        <w:jc w:val="both"/>
        <w:textAlignment w:val="baseline"/>
        <w:rPr>
          <w:rFonts w:cs="Arial"/>
          <w:color w:val="000000"/>
          <w:szCs w:val="20"/>
          <w:lang w:val="sl-SI"/>
        </w:rPr>
      </w:pPr>
    </w:p>
    <w:p w14:paraId="537ACEC4"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 xml:space="preserve">k 62. členu (spremembe in dopolnitve Zakona o elektronskih komunikacijah) SeKV: </w:t>
      </w:r>
    </w:p>
    <w:p w14:paraId="295B1CAF"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meni, da ni razlogov za predlagane spremembe in naj se ne posega v ZEKom-2. Pripombo zavračamo in pojasnjujemo, da so razlogi za poseg v ZEKom-2 utemeljeni v 43. členu Direktive 2022/2555/EU, ki posega v Direktivo 2018/1972/EU na način, da v </w:t>
      </w:r>
      <w:r>
        <w:rPr>
          <w:rFonts w:cs="Arial"/>
          <w:szCs w:val="20"/>
          <w:lang w:val="sl-SI"/>
        </w:rPr>
        <w:t>tej</w:t>
      </w:r>
      <w:r w:rsidRPr="00D31B7E">
        <w:rPr>
          <w:rFonts w:cs="Arial"/>
          <w:szCs w:val="20"/>
          <w:lang w:val="sl-SI"/>
        </w:rPr>
        <w:t xml:space="preserve"> direktivi črta 40. člen glede varnosti omrežij in storitev </w:t>
      </w:r>
      <w:r>
        <w:rPr>
          <w:rFonts w:cs="Arial"/>
          <w:szCs w:val="20"/>
          <w:lang w:val="sl-SI"/>
        </w:rPr>
        <w:t>ter</w:t>
      </w:r>
      <w:r w:rsidRPr="00D31B7E">
        <w:rPr>
          <w:rFonts w:cs="Arial"/>
          <w:szCs w:val="20"/>
          <w:lang w:val="sl-SI"/>
        </w:rPr>
        <w:t xml:space="preserve"> 41. člen glede izvajanja in izvrševanja, ki pa se nanaša na prej navedeni 40. člen zadevne direktive. Direktiva 2018/1972/EU je v slovenski pravni red prenesena z ZEKom-2, njena člena 40 in 41 pa sta prenesena v poglavju VIII. Varnost omrežij in storitev ter delovanje v stanjih ogroženosti omenjenega zakona. Omenjeno poglavje ZEKom-2 ob tem sicer ohranja tudi strukturo in pretežno nacionalno vsebino iz VII. poglavja prej veljavnega ZEKom-1. Ob tem VIII. poglavje ZEKom-2 vsebuje tudi določbe, ki pomenijo implementacijo ukrepov</w:t>
      </w:r>
      <w:r>
        <w:rPr>
          <w:rFonts w:cs="Arial"/>
          <w:szCs w:val="20"/>
          <w:lang w:val="sl-SI"/>
        </w:rPr>
        <w:t>,</w:t>
      </w:r>
      <w:r w:rsidRPr="00D31B7E">
        <w:rPr>
          <w:rFonts w:cs="Arial"/>
          <w:szCs w:val="20"/>
          <w:lang w:val="sl-SI"/>
        </w:rPr>
        <w:t xml:space="preserve"> predvidenih s Sporočilom EK »Varna uvedba tehnologije 5G v EU – izvajanje nabora orodij EU«, kjer prav tako ne gre za prenos 40. in 41. člena Direktive 2018/1972/EU, temveč so zadevne določbe ZEKom-2 nacionalne narave, četudi utemeljene v prej navedenem Sporočilu EK. Posledično je zaradi prenosa Direktive 2022/2555/EU treba poseči v tiste določbe VIII. poglavja ZEKom-2, ki pre</w:t>
      </w:r>
      <w:r>
        <w:rPr>
          <w:rFonts w:cs="Arial"/>
          <w:szCs w:val="20"/>
          <w:lang w:val="sl-SI"/>
        </w:rPr>
        <w:t>d</w:t>
      </w:r>
      <w:r w:rsidRPr="00D31B7E">
        <w:rPr>
          <w:rFonts w:cs="Arial"/>
          <w:szCs w:val="20"/>
          <w:lang w:val="sl-SI"/>
        </w:rPr>
        <w:t xml:space="preserve">stavljajo prenos </w:t>
      </w:r>
      <w:r>
        <w:rPr>
          <w:rFonts w:cs="Arial"/>
          <w:szCs w:val="20"/>
          <w:lang w:val="sl-SI"/>
        </w:rPr>
        <w:t>z</w:t>
      </w:r>
      <w:r w:rsidRPr="00D31B7E">
        <w:rPr>
          <w:rFonts w:cs="Arial"/>
          <w:szCs w:val="20"/>
          <w:lang w:val="sl-SI"/>
        </w:rPr>
        <w:t>daj črt</w:t>
      </w:r>
      <w:r>
        <w:rPr>
          <w:rFonts w:cs="Arial"/>
          <w:szCs w:val="20"/>
          <w:lang w:val="sl-SI"/>
        </w:rPr>
        <w:t>a</w:t>
      </w:r>
      <w:r w:rsidRPr="00D31B7E">
        <w:rPr>
          <w:rFonts w:cs="Arial"/>
          <w:szCs w:val="20"/>
          <w:lang w:val="sl-SI"/>
        </w:rPr>
        <w:t>nih členov 40 in 41 Direktive 2018/1972/EU</w:t>
      </w:r>
      <w:r>
        <w:rPr>
          <w:rFonts w:cs="Arial"/>
          <w:szCs w:val="20"/>
          <w:lang w:val="sl-SI"/>
        </w:rPr>
        <w:t>,</w:t>
      </w:r>
      <w:r w:rsidRPr="00D31B7E">
        <w:rPr>
          <w:rFonts w:cs="Arial"/>
          <w:szCs w:val="20"/>
          <w:lang w:val="sl-SI"/>
        </w:rPr>
        <w:t xml:space="preserve"> </w:t>
      </w:r>
      <w:r>
        <w:rPr>
          <w:rFonts w:cs="Arial"/>
          <w:szCs w:val="20"/>
          <w:lang w:val="sl-SI"/>
        </w:rPr>
        <w:t>ter</w:t>
      </w:r>
      <w:r w:rsidRPr="00D31B7E">
        <w:rPr>
          <w:rFonts w:cs="Arial"/>
          <w:szCs w:val="20"/>
          <w:lang w:val="sl-SI"/>
        </w:rPr>
        <w:t xml:space="preserve"> medsebojno uskladiti oba zakona. Dodatno pojasnjujemo, da ZInfV-1 kot splošen (sistemski) zakon na področju informacijske varnosti ureja to področje za vse sektorje, ki jih zajema. Pri tem so </w:t>
      </w:r>
      <w:r>
        <w:rPr>
          <w:rFonts w:cs="Arial"/>
          <w:szCs w:val="20"/>
          <w:lang w:val="sl-SI"/>
        </w:rPr>
        <w:t>z</w:t>
      </w:r>
      <w:r w:rsidRPr="00D31B7E">
        <w:rPr>
          <w:rFonts w:cs="Arial"/>
          <w:szCs w:val="20"/>
          <w:lang w:val="sl-SI"/>
        </w:rPr>
        <w:t xml:space="preserve">daj v ZInfV-1 (za razliko od ZInfV) v sklopu visoko kritičnega sektorja Digitalna infrastruktura med vrste (zajetih) subjektov v skladu s Prilogo </w:t>
      </w:r>
      <w:r>
        <w:rPr>
          <w:rFonts w:cs="Arial"/>
          <w:szCs w:val="20"/>
          <w:lang w:val="sl-SI"/>
        </w:rPr>
        <w:t>1</w:t>
      </w:r>
      <w:r w:rsidRPr="00D31B7E">
        <w:rPr>
          <w:rFonts w:cs="Arial"/>
          <w:szCs w:val="20"/>
          <w:lang w:val="sl-SI"/>
        </w:rPr>
        <w:t xml:space="preserve"> Direktive 2022/2555/EU vključeni tudi ponudniki javnih elektronskih komunikacijskih omrežij in ponudniki javnih elektronskih komunikacijskih storitev (torej operaterji iz ZEKom-2). Predlagani ZInfV-1, ki je horizontalne narave, je torej tisti minimum, ki ga je treba upoštevati v vseh sektorjih, ki jih ta zakon zajema. Kar je posebno ali več</w:t>
      </w:r>
      <w:r>
        <w:rPr>
          <w:rFonts w:cs="Arial"/>
          <w:szCs w:val="20"/>
          <w:lang w:val="sl-SI"/>
        </w:rPr>
        <w:t>,</w:t>
      </w:r>
      <w:r w:rsidRPr="00D31B7E">
        <w:rPr>
          <w:rFonts w:cs="Arial"/>
          <w:szCs w:val="20"/>
          <w:lang w:val="sl-SI"/>
        </w:rPr>
        <w:t xml:space="preserve"> pa za posamezni sektor ureja področna EU ali nacionalna zakonodaja, v danem primeru torej ZEKom-2, kjer se vsebinsko ohranjajo njegove nacionalne določbe; </w:t>
      </w:r>
    </w:p>
    <w:p w14:paraId="27681E99"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k spremembi 115. člena ZEKom-2 v delu, ki se sklicuje na obveznosti po zakonu, ki ureja informacijsko varnost, ker gre za nepotrebno podvajanje. V delu, ki predvideva, da lahko AKOS izda splošni akt, s katerim predpiše posebne tehnične usmeritve ter tehnične in organizacijske ukrepe, pri čemer upošteva tudi dokumente ali tehnična priporočila </w:t>
      </w:r>
      <w:r w:rsidRPr="00D31B7E">
        <w:rPr>
          <w:rFonts w:cs="Arial"/>
          <w:szCs w:val="20"/>
          <w:lang w:val="sl-SI"/>
        </w:rPr>
        <w:lastRenderedPageBreak/>
        <w:t>ENISA ter smernice Evropske komisije, pri sprejemu splošnega akta pa sodeluje z organom, pristojnim za informacijsko varnost, pa meni, da je ureditev po vsej verjetnosti v nasprotju z Ustavo RS (blanketna norma, ki ne daje zadosti določnih usmeritev za podzakonsko urejanje)</w:t>
      </w:r>
      <w:r>
        <w:rPr>
          <w:rFonts w:cs="Arial"/>
          <w:szCs w:val="20"/>
          <w:lang w:val="sl-SI"/>
        </w:rPr>
        <w:t>,</w:t>
      </w:r>
      <w:r w:rsidRPr="00D31B7E">
        <w:rPr>
          <w:rFonts w:cs="Arial"/>
          <w:szCs w:val="20"/>
          <w:lang w:val="sl-SI"/>
        </w:rPr>
        <w:t xml:space="preserve"> še posebej, ker lahko tak splošni akt posega tudi na trg (torej tudi na prosto nastopanje dobaviteljev na trgu) in s tem omejitev ali določitev načina uresničevanja svobodne gospodarske pobude (74. člen Ustave RS). Pojasnjujemo, da je bila pripomba upoštevana delno na način, ki je razviden iz </w:t>
      </w:r>
      <w:r>
        <w:rPr>
          <w:rFonts w:cs="Arial"/>
          <w:szCs w:val="20"/>
          <w:lang w:val="sl-SI"/>
        </w:rPr>
        <w:t>z</w:t>
      </w:r>
      <w:r w:rsidRPr="00D31B7E">
        <w:rPr>
          <w:rFonts w:cs="Arial"/>
          <w:szCs w:val="20"/>
          <w:lang w:val="sl-SI"/>
        </w:rPr>
        <w:t>daj 65. člena predloga ZInfV-1</w:t>
      </w:r>
      <w:r>
        <w:rPr>
          <w:rFonts w:cs="Arial"/>
          <w:szCs w:val="20"/>
          <w:lang w:val="sl-SI"/>
        </w:rPr>
        <w:t>,</w:t>
      </w:r>
      <w:r w:rsidRPr="00D31B7E">
        <w:rPr>
          <w:rFonts w:cs="Arial"/>
          <w:szCs w:val="20"/>
          <w:lang w:val="sl-SI"/>
        </w:rPr>
        <w:t xml:space="preserve"> in sicer iz 1. točke predlaganega člena, ki posega v 115. člen</w:t>
      </w:r>
      <w:r>
        <w:rPr>
          <w:rFonts w:cs="Arial"/>
          <w:szCs w:val="20"/>
          <w:lang w:val="sl-SI"/>
        </w:rPr>
        <w:t xml:space="preserve"> ZEKom-2</w:t>
      </w:r>
      <w:r w:rsidRPr="00D31B7E">
        <w:rPr>
          <w:rFonts w:cs="Arial"/>
          <w:szCs w:val="20"/>
          <w:lang w:val="sl-SI"/>
        </w:rPr>
        <w:t xml:space="preserve">, pri čemer smo kar najbolj upoštevali pripombe AKOS. Predlagani prvi odstavek spremenjenega 115. člena </w:t>
      </w:r>
      <w:r>
        <w:rPr>
          <w:rFonts w:cs="Arial"/>
          <w:szCs w:val="20"/>
          <w:lang w:val="sl-SI"/>
        </w:rPr>
        <w:t xml:space="preserve">ZEKom-2 </w:t>
      </w:r>
      <w:r w:rsidRPr="00D31B7E">
        <w:rPr>
          <w:rFonts w:cs="Arial"/>
          <w:szCs w:val="20"/>
          <w:lang w:val="sl-SI"/>
        </w:rPr>
        <w:t xml:space="preserve">se sicer še vedno sklicuje na potrebno skladnost ukrepov, ki jih sprejmejo operaterji z zakonom, ki ureja informacijsko varnost, vendar je hkrati z vidika jasnosti izboljšan tudi poseg v 128. člen (nadzor) ZEKom-2. Iz predloga spremembe 128. člena ZEKom-2 je </w:t>
      </w:r>
      <w:r>
        <w:rPr>
          <w:rFonts w:cs="Arial"/>
          <w:szCs w:val="20"/>
          <w:lang w:val="sl-SI"/>
        </w:rPr>
        <w:t>z</w:t>
      </w:r>
      <w:r w:rsidRPr="00D31B7E">
        <w:rPr>
          <w:rFonts w:cs="Arial"/>
          <w:szCs w:val="20"/>
          <w:lang w:val="sl-SI"/>
        </w:rPr>
        <w:t xml:space="preserve">daj jasno razvidno, da je za nadzor nad določbo prvega odstavka 115. člena ZEKom-2 pristojen organ, pristojen za informacijsko varnost (torej URSIV), v preostalem pa AKOS in ne bo podvajanja nadzora. Možnost izdaje splošnega akta AKOS pa je </w:t>
      </w:r>
      <w:r>
        <w:rPr>
          <w:rFonts w:cs="Arial"/>
          <w:szCs w:val="20"/>
          <w:lang w:val="sl-SI"/>
        </w:rPr>
        <w:t>z</w:t>
      </w:r>
      <w:r w:rsidRPr="00D31B7E">
        <w:rPr>
          <w:rFonts w:cs="Arial"/>
          <w:szCs w:val="20"/>
          <w:lang w:val="sl-SI"/>
        </w:rPr>
        <w:t xml:space="preserve">daj urejena v predlaganem četrtem odstavku spremenjenega 115. člena ZEKom-2. Zavračamo pripombe, po katerih naj bi bilo to ustavno sporno. Namreč, </w:t>
      </w:r>
      <w:bookmarkStart w:id="19" w:name="_Hlk187757982"/>
      <w:r w:rsidRPr="00D31B7E">
        <w:rPr>
          <w:rFonts w:cs="Arial"/>
          <w:szCs w:val="20"/>
          <w:lang w:val="sl-SI"/>
        </w:rPr>
        <w:t>izdaja takšnega splošnega akta AKOS je vezana na pogoj, da so zaradi zagotovitve višje ravni kibernetske varnosti ob upoštevanju varnostnih tveganj potrebni tudi sektorsko specifični ukrepi za operaterje. Izdaja splošn</w:t>
      </w:r>
      <w:r>
        <w:rPr>
          <w:rFonts w:cs="Arial"/>
          <w:szCs w:val="20"/>
          <w:lang w:val="sl-SI"/>
        </w:rPr>
        <w:t>ega</w:t>
      </w:r>
      <w:r w:rsidRPr="00D31B7E">
        <w:rPr>
          <w:rFonts w:cs="Arial"/>
          <w:szCs w:val="20"/>
          <w:lang w:val="sl-SI"/>
        </w:rPr>
        <w:t xml:space="preserve"> akta je pri tem omejena le na posebne tehnične usmeritve ter tehnične in organizacijske ukrepe, pri čemer se upošteva</w:t>
      </w:r>
      <w:r>
        <w:rPr>
          <w:rFonts w:cs="Arial"/>
          <w:szCs w:val="20"/>
          <w:lang w:val="sl-SI"/>
        </w:rPr>
        <w:t>jo</w:t>
      </w:r>
      <w:r w:rsidRPr="00D31B7E">
        <w:rPr>
          <w:rFonts w:cs="Arial"/>
          <w:szCs w:val="20"/>
          <w:lang w:val="sl-SI"/>
        </w:rPr>
        <w:t xml:space="preserve"> tudi dokument</w:t>
      </w:r>
      <w:r>
        <w:rPr>
          <w:rFonts w:cs="Arial"/>
          <w:szCs w:val="20"/>
          <w:lang w:val="sl-SI"/>
        </w:rPr>
        <w:t>i</w:t>
      </w:r>
      <w:r w:rsidRPr="00D31B7E">
        <w:rPr>
          <w:rFonts w:cs="Arial"/>
          <w:szCs w:val="20"/>
          <w:lang w:val="sl-SI"/>
        </w:rPr>
        <w:t xml:space="preserve"> ali tehnična priporočila ENISA </w:t>
      </w:r>
      <w:r>
        <w:rPr>
          <w:rFonts w:cs="Arial"/>
          <w:szCs w:val="20"/>
          <w:lang w:val="sl-SI"/>
        </w:rPr>
        <w:t>in</w:t>
      </w:r>
      <w:r w:rsidRPr="00D31B7E">
        <w:rPr>
          <w:rFonts w:cs="Arial"/>
          <w:szCs w:val="20"/>
          <w:lang w:val="sl-SI"/>
        </w:rPr>
        <w:t xml:space="preserve"> smernice Evropske komisije. </w:t>
      </w:r>
      <w:bookmarkEnd w:id="19"/>
      <w:r w:rsidRPr="00D31B7E">
        <w:rPr>
          <w:rFonts w:cs="Arial"/>
          <w:szCs w:val="20"/>
          <w:lang w:val="sl-SI"/>
        </w:rPr>
        <w:t>Morebitna potreba po dodatnem urejanju s splošnim aktom bo predvidoma nastala šele po sprejemu zadevnih dokumentov ali tehničnih priporočil ENISA ter Smernic Evropske komisije, ki se bodo nanašali (le) na ponudnike javnih elektronskih komunikacijskih omrežij in storitev (torej na operaterje po ZEKom-2). Pri sprejemu takšnega splošnega akta bo AKOS (iz strokovnih razlogov glede na vsebino urejanja) sicer sodeloval z URSIV. Menimo, da takšno morebitno urejanj</w:t>
      </w:r>
      <w:r>
        <w:rPr>
          <w:rFonts w:cs="Arial"/>
          <w:szCs w:val="20"/>
          <w:lang w:val="sl-SI"/>
        </w:rPr>
        <w:t>e</w:t>
      </w:r>
      <w:r w:rsidRPr="00D31B7E">
        <w:rPr>
          <w:rFonts w:cs="Arial"/>
          <w:szCs w:val="20"/>
          <w:lang w:val="sl-SI"/>
        </w:rPr>
        <w:t xml:space="preserve"> s podzakonskim aktom ni v nasprotju z Ustavo; </w:t>
      </w:r>
    </w:p>
    <w:p w14:paraId="606A8FD3"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spremembi 298. člena ZEKom-2, ker ta predvideva novo globo do pet odstotkov letnega prometa, ustvarjenega na trgu javnih komunikacijskih omrežij oziroma javnih komunikacijskih storitev v predhodnem poslovnem letu, če se ne izvede odločb</w:t>
      </w:r>
      <w:r>
        <w:rPr>
          <w:rFonts w:cs="Arial"/>
          <w:szCs w:val="20"/>
          <w:lang w:val="sl-SI"/>
        </w:rPr>
        <w:t>a</w:t>
      </w:r>
      <w:r w:rsidRPr="00D31B7E">
        <w:rPr>
          <w:rFonts w:cs="Arial"/>
          <w:szCs w:val="20"/>
          <w:lang w:val="sl-SI"/>
        </w:rPr>
        <w:t xml:space="preserve"> vlade iz prvega odstavka 117. člena. Navedeno naj bi predstavljalo povsem nesorazmerno globo v nasprotju z načelom sorazmernosti, ki dejansko (še dodatno zaradi odsotnosti možnosti pritožbe in nesuspenzivnosti pravnega sredstva, torej upravnega spora zoper izdano odločbo) izpodbija pravico do sodnega varstva. Operater se bo tako v primeru nezakonite odločbe, pod bremenom grožnje globe do pet odstotkov letnega prometa, prisiljen podrediti odločbi</w:t>
      </w:r>
      <w:r>
        <w:rPr>
          <w:rFonts w:cs="Arial"/>
          <w:szCs w:val="20"/>
          <w:lang w:val="sl-SI"/>
        </w:rPr>
        <w:t>,</w:t>
      </w:r>
      <w:r w:rsidRPr="00D31B7E">
        <w:rPr>
          <w:rFonts w:cs="Arial"/>
          <w:szCs w:val="20"/>
          <w:lang w:val="sl-SI"/>
        </w:rPr>
        <w:t xml:space="preserve"> tudi če je nezakonita in se z njo ne strinja, tudi za čas pred pravnomočnostjo take odločbe, dokler </w:t>
      </w:r>
      <w:r>
        <w:rPr>
          <w:rFonts w:cs="Arial"/>
          <w:szCs w:val="20"/>
          <w:lang w:val="sl-SI"/>
        </w:rPr>
        <w:t>poteka</w:t>
      </w:r>
      <w:r w:rsidRPr="00D31B7E">
        <w:rPr>
          <w:rFonts w:cs="Arial"/>
          <w:szCs w:val="20"/>
          <w:lang w:val="sl-SI"/>
        </w:rPr>
        <w:t xml:space="preserve"> morebitno pravno sredstvo zoper odločbo. Takšen predlog naj bi zahteval tudi vnovično priglasitev po mehanizmu TRIS, saj bi šlo za spremembo (bolj restriktiven poseg) v primerjavi z že priglašenim besedilom ZEKom-2 v okviru TRIS mehanizma. Pripombo zavračamo. Namreč 298. člen (prekrški) ZEKom-2 že doslej za kršitve naloženih obveznosti (sicer </w:t>
      </w:r>
      <w:r w:rsidRPr="00D31B7E">
        <w:rPr>
          <w:rFonts w:cs="Arial"/>
          <w:i/>
          <w:iCs/>
          <w:szCs w:val="20"/>
          <w:lang w:val="sl-SI"/>
        </w:rPr>
        <w:t>ex-ante</w:t>
      </w:r>
      <w:r w:rsidRPr="00D31B7E">
        <w:rPr>
          <w:rFonts w:cs="Arial"/>
          <w:szCs w:val="20"/>
          <w:lang w:val="sl-SI"/>
        </w:rPr>
        <w:t xml:space="preserve"> regulacije) določa globe v takšni višini, takšna višina globe v ZEKom-2 torej ni novo</w:t>
      </w:r>
      <w:r>
        <w:rPr>
          <w:rFonts w:cs="Arial"/>
          <w:szCs w:val="20"/>
          <w:lang w:val="sl-SI"/>
        </w:rPr>
        <w:t>st</w:t>
      </w:r>
      <w:r w:rsidRPr="00D31B7E">
        <w:rPr>
          <w:rFonts w:cs="Arial"/>
          <w:szCs w:val="20"/>
          <w:lang w:val="sl-SI"/>
        </w:rPr>
        <w:t xml:space="preserve">. S predlogom za poseg v 298. člen ZEKom-2 se zgolj odpravlja pomanjkljivost ZEKom-2, ki za neizvedbo odločbe vlade iz prvega odstavka 117. člena ZEKom-2 ni določil prekrška in globe za kršitev. </w:t>
      </w:r>
      <w:r>
        <w:rPr>
          <w:rFonts w:cs="Arial"/>
          <w:szCs w:val="20"/>
          <w:lang w:val="sl-SI"/>
        </w:rPr>
        <w:t>Menimo</w:t>
      </w:r>
      <w:r w:rsidRPr="00D31B7E">
        <w:rPr>
          <w:rFonts w:cs="Arial"/>
          <w:szCs w:val="20"/>
          <w:lang w:val="sl-SI"/>
        </w:rPr>
        <w:t xml:space="preserve">, da neizvedba izdane odločbe vlade iz 117. člena predstavlja takšno kršitev, ki je po resnosti kršitve primerljiva z neizvedbo naloženih obveznosti </w:t>
      </w:r>
      <w:r w:rsidRPr="00D31B7E">
        <w:rPr>
          <w:rFonts w:cs="Arial"/>
          <w:i/>
          <w:iCs/>
          <w:szCs w:val="20"/>
          <w:lang w:val="sl-SI"/>
        </w:rPr>
        <w:t>ex-ante</w:t>
      </w:r>
      <w:r w:rsidRPr="00D31B7E">
        <w:rPr>
          <w:rFonts w:cs="Arial"/>
          <w:szCs w:val="20"/>
          <w:lang w:val="sl-SI"/>
        </w:rPr>
        <w:t xml:space="preserve"> regulacije iz dosedanjega 298. člena ZEKom-2. V opisanem smislu je torej sorazmernost podana. S predlaganim 65. členom ZInfV-1 se tudi ne posega v 117. člen ZEKom-2 in tam določena pravna sredstva (upravni spor) zoper na tej podlagi izdano odločbo vlade. Glede očitane nesuspenzivnosti upravnega spora pojasnjujemo, da zakon, ki ureja upravni spor</w:t>
      </w:r>
      <w:r>
        <w:rPr>
          <w:rFonts w:cs="Arial"/>
          <w:szCs w:val="20"/>
          <w:lang w:val="sl-SI"/>
        </w:rPr>
        <w:t>,</w:t>
      </w:r>
      <w:r w:rsidRPr="00D31B7E">
        <w:rPr>
          <w:rFonts w:cs="Arial"/>
          <w:szCs w:val="20"/>
          <w:lang w:val="sl-SI"/>
        </w:rPr>
        <w:t xml:space="preserve"> omogoča, da sodišče na tožnikov predlog odloži izvršitev izpodbijanega akta do izdaje </w:t>
      </w:r>
      <w:r w:rsidRPr="00D31B7E">
        <w:rPr>
          <w:rFonts w:cs="Arial"/>
          <w:szCs w:val="20"/>
          <w:lang w:val="sl-SI"/>
        </w:rPr>
        <w:lastRenderedPageBreak/>
        <w:t xml:space="preserve">pravnomočne odločbe, če bi se z izvršitvijo akta </w:t>
      </w:r>
      <w:r>
        <w:rPr>
          <w:rFonts w:cs="Arial"/>
          <w:szCs w:val="20"/>
          <w:lang w:val="sl-SI"/>
        </w:rPr>
        <w:t>naredila</w:t>
      </w:r>
      <w:r w:rsidRPr="00D31B7E">
        <w:rPr>
          <w:rFonts w:cs="Arial"/>
          <w:szCs w:val="20"/>
          <w:lang w:val="sl-SI"/>
        </w:rPr>
        <w:t xml:space="preserve"> tožniku težko popravljiva škoda. Pri odločanju mora sodišče skladno z načelom sorazmernosti upoštevati tudi prizadetost javne koristi </w:t>
      </w:r>
      <w:r>
        <w:rPr>
          <w:rFonts w:cs="Arial"/>
          <w:szCs w:val="20"/>
          <w:lang w:val="sl-SI"/>
        </w:rPr>
        <w:t>in</w:t>
      </w:r>
      <w:r w:rsidRPr="00D31B7E">
        <w:rPr>
          <w:rFonts w:cs="Arial"/>
          <w:szCs w:val="20"/>
          <w:lang w:val="sl-SI"/>
        </w:rPr>
        <w:t xml:space="preserve"> koristi nasprotnih strank. Ob tem dodajamo, da je tudi zoper morebitne izdane odločbe AKOS s področja </w:t>
      </w:r>
      <w:r w:rsidRPr="00D31B7E">
        <w:rPr>
          <w:rFonts w:cs="Arial"/>
          <w:i/>
          <w:iCs/>
          <w:szCs w:val="20"/>
          <w:lang w:val="sl-SI"/>
        </w:rPr>
        <w:t>ex-ante</w:t>
      </w:r>
      <w:r w:rsidRPr="00D31B7E">
        <w:rPr>
          <w:rFonts w:cs="Arial"/>
          <w:szCs w:val="20"/>
          <w:lang w:val="sl-SI"/>
        </w:rPr>
        <w:t xml:space="preserve"> regulacije dovoljen le upravni spor, pa to ni sporno pri dosedanji ureditvi prekrškov iz 298. člena ZEKom-2. Zavračamo trditev, da bi ZEKom-2 ali ZInfV-1 morala biti zaradi dodatne ureditve (prej izpadlega) prekrška v okviru TRIS mehanizma ponovno notificiran</w:t>
      </w:r>
      <w:r>
        <w:rPr>
          <w:rFonts w:cs="Arial"/>
          <w:szCs w:val="20"/>
          <w:lang w:val="sl-SI"/>
        </w:rPr>
        <w:t>a</w:t>
      </w:r>
      <w:r w:rsidRPr="00D31B7E">
        <w:rPr>
          <w:rFonts w:cs="Arial"/>
          <w:szCs w:val="20"/>
          <w:lang w:val="sl-SI"/>
        </w:rPr>
        <w:t>. Določba namreč ne posega v samo vsebino pravic in obveznosti po ZEKom-2 in v tem smislu ne posega na trg ali notranji trg. Zagotavlja se le sankcioniranje neizvajanja že naloženih obveznosti iz morebitne odločbe vlade</w:t>
      </w:r>
      <w:r>
        <w:rPr>
          <w:rFonts w:cs="Arial"/>
          <w:szCs w:val="20"/>
          <w:lang w:val="sl-SI"/>
        </w:rPr>
        <w:t>,</w:t>
      </w:r>
      <w:r w:rsidRPr="00D31B7E">
        <w:rPr>
          <w:rFonts w:cs="Arial"/>
          <w:szCs w:val="20"/>
          <w:lang w:val="sl-SI"/>
        </w:rPr>
        <w:t xml:space="preserve"> izdane na podlagi 117. člena ZEKom-2, ki se mu subjekt lahko izogne z njenim izvajanjem, kar pa ne</w:t>
      </w:r>
      <w:r>
        <w:rPr>
          <w:rFonts w:cs="Arial"/>
          <w:szCs w:val="20"/>
          <w:lang w:val="sl-SI"/>
        </w:rPr>
        <w:t xml:space="preserve"> </w:t>
      </w:r>
      <w:r w:rsidRPr="00D31B7E">
        <w:rPr>
          <w:rFonts w:cs="Arial"/>
          <w:szCs w:val="20"/>
          <w:lang w:val="sl-SI"/>
        </w:rPr>
        <w:t xml:space="preserve">nazadnje zahteva že spoštovanje pravne države; </w:t>
      </w:r>
    </w:p>
    <w:p w14:paraId="731C6CFD" w14:textId="77777777" w:rsidR="000A51A5" w:rsidRPr="00D31B7E" w:rsidRDefault="000A51A5" w:rsidP="000A51A5">
      <w:pPr>
        <w:pStyle w:val="Odstavekseznama"/>
        <w:widowControl w:val="0"/>
        <w:overflowPunct w:val="0"/>
        <w:autoSpaceDE w:val="0"/>
        <w:autoSpaceDN w:val="0"/>
        <w:adjustRightInd w:val="0"/>
        <w:spacing w:after="240" w:line="276" w:lineRule="auto"/>
        <w:jc w:val="both"/>
        <w:textAlignment w:val="baseline"/>
        <w:rPr>
          <w:rFonts w:cs="Arial"/>
          <w:szCs w:val="20"/>
          <w:lang w:val="sl-SI"/>
        </w:rPr>
      </w:pPr>
    </w:p>
    <w:p w14:paraId="248E0FDC"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Prilogi II – drugi kritični subjekti SeKV meni, da ni skladno z načelom enakosti in načelom sorazmernosti, da bi se predlagani zakon uporabljal za vse raziskovalne ustanove, temveč bi bilo navedeno (če bo predlagatelj utemeljil in dokazal, zakaj bi bila takšna ureditev primerna, nujna in sorazmerna v ožjem pomenu) treba omejiti na raziskovalne ustanove, ki izvajajo »kritične raziskovalne dejavnosti«. Direktiva 2022/2555/EU v petem odstav</w:t>
      </w:r>
      <w:r>
        <w:rPr>
          <w:rFonts w:cs="Arial"/>
          <w:szCs w:val="20"/>
          <w:lang w:val="sl-SI"/>
        </w:rPr>
        <w:t>ku</w:t>
      </w:r>
      <w:r w:rsidRPr="00D31B7E">
        <w:rPr>
          <w:rFonts w:cs="Arial"/>
          <w:szCs w:val="20"/>
          <w:lang w:val="sl-SI"/>
        </w:rPr>
        <w:t xml:space="preserve"> 2. člena sicer dopušča, da lahko države članice določijo, da so zavezanci tudi ustanove, ki izvajajo kritične raziskovalne dejavnosti. Zato bi bilo v zvezi z navedeno razširitvijo uporabe zadevne </w:t>
      </w:r>
      <w:r>
        <w:rPr>
          <w:rFonts w:cs="Arial"/>
          <w:szCs w:val="20"/>
          <w:lang w:val="sl-SI"/>
        </w:rPr>
        <w:t xml:space="preserve">določbe </w:t>
      </w:r>
      <w:r w:rsidRPr="00D31B7E">
        <w:rPr>
          <w:rFonts w:cs="Arial"/>
          <w:szCs w:val="20"/>
          <w:lang w:val="sl-SI"/>
        </w:rPr>
        <w:t xml:space="preserve">treba </w:t>
      </w:r>
      <w:r>
        <w:rPr>
          <w:rFonts w:cs="Arial"/>
          <w:szCs w:val="20"/>
          <w:lang w:val="sl-SI"/>
        </w:rPr>
        <w:t xml:space="preserve">presoditi </w:t>
      </w:r>
      <w:r w:rsidRPr="00D31B7E">
        <w:rPr>
          <w:rFonts w:cs="Arial"/>
          <w:szCs w:val="20"/>
          <w:lang w:val="sl-SI"/>
        </w:rPr>
        <w:t>posledic</w:t>
      </w:r>
      <w:r>
        <w:rPr>
          <w:rFonts w:cs="Arial"/>
          <w:szCs w:val="20"/>
          <w:lang w:val="sl-SI"/>
        </w:rPr>
        <w:t>e</w:t>
      </w:r>
      <w:r w:rsidRPr="00D31B7E">
        <w:rPr>
          <w:rFonts w:cs="Arial"/>
          <w:szCs w:val="20"/>
          <w:lang w:val="sl-SI"/>
        </w:rPr>
        <w:t xml:space="preserve"> za gospodarstvo in upoštevati načelo sorazmernosti. Predlagajo pa ustrezno zamejitev skladno z zadevno direktivo. Pojasnjujemo, da si pripombodajalec napačno tolmači določbe osnutka predloga ZIn</w:t>
      </w:r>
      <w:r>
        <w:rPr>
          <w:rFonts w:cs="Arial"/>
          <w:szCs w:val="20"/>
          <w:lang w:val="sl-SI"/>
        </w:rPr>
        <w:t>f</w:t>
      </w:r>
      <w:r w:rsidRPr="00D31B7E">
        <w:rPr>
          <w:rFonts w:cs="Arial"/>
          <w:szCs w:val="20"/>
          <w:lang w:val="sl-SI"/>
        </w:rPr>
        <w:t>V-1, saj je bilo že iz 43. točke 5. člena (pomen izrazov) razvidno, da je raziskovalna organizacija opredeljena kot subjekt, katerega glavni cilj je izvajati uporabne raziskave ali eksperimentalni razvoj z namenom uporabe rezultatov teh raziskav v komercialne namene, vendar ne vključuje izobraževalnih ustanov, kar je tudi povsem skladno z opredelitvijo iz 41. točke 6. člena (opredelitev pojmov) Direktiv</w:t>
      </w:r>
      <w:r>
        <w:rPr>
          <w:rFonts w:cs="Arial"/>
          <w:szCs w:val="20"/>
          <w:lang w:val="sl-SI"/>
        </w:rPr>
        <w:t>e</w:t>
      </w:r>
      <w:r w:rsidRPr="00D31B7E">
        <w:rPr>
          <w:rFonts w:cs="Arial"/>
          <w:szCs w:val="20"/>
          <w:lang w:val="sl-SI"/>
        </w:rPr>
        <w:t xml:space="preserve"> 2022/2555/EU. Osnutek predloga ZInfV-1 namreč možnosti držav članic po točki b) petega odstavka 2. člena te direktive ni uporabil, pri čemer se zadevna možnost iz te direktive nanaša na »izobraževalne institucije, zlasti kadar izvajajo kritične raziskovalne dejavnost</w:t>
      </w:r>
      <w:r>
        <w:rPr>
          <w:rFonts w:cs="Arial"/>
          <w:szCs w:val="20"/>
          <w:lang w:val="sl-SI"/>
        </w:rPr>
        <w:t>i</w:t>
      </w:r>
      <w:r w:rsidRPr="00D31B7E">
        <w:rPr>
          <w:rFonts w:cs="Arial"/>
          <w:szCs w:val="20"/>
          <w:lang w:val="sl-SI"/>
        </w:rPr>
        <w:t xml:space="preserve">.«. Tudi ta predlog ZInfV-1, ki v Prilogi 2 prav tako v sektorju 7. Raziskave vključuje raziskovalne organizacije, te </w:t>
      </w:r>
      <w:r>
        <w:rPr>
          <w:rFonts w:cs="Arial"/>
          <w:szCs w:val="20"/>
          <w:lang w:val="sl-SI"/>
        </w:rPr>
        <w:t>z</w:t>
      </w:r>
      <w:r w:rsidRPr="00D31B7E">
        <w:rPr>
          <w:rFonts w:cs="Arial"/>
          <w:szCs w:val="20"/>
          <w:lang w:val="sl-SI"/>
        </w:rPr>
        <w:t>daj skladno z Direktivo 2022/2555/EU opredeljuje v 45. točki 5. člena (pomen izrazov), možnost</w:t>
      </w:r>
      <w:r>
        <w:rPr>
          <w:rFonts w:cs="Arial"/>
          <w:szCs w:val="20"/>
          <w:lang w:val="sl-SI"/>
        </w:rPr>
        <w:t>i</w:t>
      </w:r>
      <w:r w:rsidRPr="00D31B7E">
        <w:rPr>
          <w:rFonts w:cs="Arial"/>
          <w:szCs w:val="20"/>
          <w:lang w:val="sl-SI"/>
        </w:rPr>
        <w:t xml:space="preserve"> iz točke b) petega odstavka 2. člena te direktive pa predlog ZInfv-1 ni uporabil. </w:t>
      </w:r>
    </w:p>
    <w:p w14:paraId="79033EC3"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Pripomba InfoHiš</w:t>
      </w:r>
      <w:r>
        <w:rPr>
          <w:rFonts w:cs="Arial"/>
          <w:szCs w:val="20"/>
          <w:lang w:val="sl-SI"/>
        </w:rPr>
        <w:t>e</w:t>
      </w:r>
      <w:r w:rsidRPr="00D31B7E">
        <w:rPr>
          <w:rFonts w:cs="Arial"/>
          <w:szCs w:val="20"/>
          <w:lang w:val="sl-SI"/>
        </w:rPr>
        <w:t xml:space="preserve">: </w:t>
      </w:r>
    </w:p>
    <w:p w14:paraId="0C8BC8DC"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prvem</w:t>
      </w:r>
      <w:r>
        <w:rPr>
          <w:rFonts w:cs="Arial"/>
          <w:szCs w:val="20"/>
          <w:lang w:val="sl-SI"/>
        </w:rPr>
        <w:t>u</w:t>
      </w:r>
      <w:r w:rsidRPr="00D31B7E">
        <w:rPr>
          <w:rFonts w:cs="Arial"/>
          <w:szCs w:val="20"/>
          <w:lang w:val="sl-SI"/>
        </w:rPr>
        <w:t xml:space="preserve"> odstavku 58. člena osnutka predloga ZInfV-1 po pregledu in posvetu z različnimi deležniki (med njimi so tako novi zavezanci kot strokovnjaki, ki bodo zavezancem svetovali) </w:t>
      </w:r>
      <w:r>
        <w:rPr>
          <w:rFonts w:cs="Arial"/>
          <w:szCs w:val="20"/>
          <w:lang w:val="sl-SI"/>
        </w:rPr>
        <w:t>menijo</w:t>
      </w:r>
      <w:r w:rsidRPr="00D31B7E">
        <w:rPr>
          <w:rFonts w:cs="Arial"/>
          <w:szCs w:val="20"/>
          <w:lang w:val="sl-SI"/>
        </w:rPr>
        <w:t>, da je rok dvanajst mesecev po uveljavitvi zakona prekratek za sprejem ukrepov za obvladovanje tveganj in naj se podaljša na štiriindvajset mesecev. Pripomba je bila delno upoštevana. Zadevni rok je v predlogu ZInfV-1 (</w:t>
      </w:r>
      <w:r>
        <w:rPr>
          <w:rFonts w:cs="Arial"/>
          <w:szCs w:val="20"/>
          <w:lang w:val="sl-SI"/>
        </w:rPr>
        <w:t>z</w:t>
      </w:r>
      <w:r w:rsidRPr="00D31B7E">
        <w:rPr>
          <w:rFonts w:cs="Arial"/>
          <w:szCs w:val="20"/>
          <w:lang w:val="sl-SI"/>
        </w:rPr>
        <w:t xml:space="preserve">daj gre za prvi odstavek 62. člena) podaljšan na osemnajst mesecev po uveljavitvi </w:t>
      </w:r>
      <w:r>
        <w:rPr>
          <w:rFonts w:cs="Arial"/>
          <w:szCs w:val="20"/>
          <w:lang w:val="sl-SI"/>
        </w:rPr>
        <w:t xml:space="preserve">tega </w:t>
      </w:r>
      <w:r w:rsidRPr="00D31B7E">
        <w:rPr>
          <w:rFonts w:cs="Arial"/>
          <w:szCs w:val="20"/>
          <w:lang w:val="sl-SI"/>
        </w:rPr>
        <w:t>zakon</w:t>
      </w:r>
      <w:r>
        <w:rPr>
          <w:rFonts w:cs="Arial"/>
          <w:szCs w:val="20"/>
          <w:lang w:val="sl-SI"/>
        </w:rPr>
        <w:t>a</w:t>
      </w:r>
      <w:r w:rsidRPr="00D31B7E">
        <w:rPr>
          <w:rFonts w:cs="Arial"/>
          <w:szCs w:val="20"/>
          <w:lang w:val="sl-SI"/>
        </w:rPr>
        <w:t>, kar ocenjujemo, da je zadostno obdobje za sprejem takšnih ukrepov s strani bistvenih in pomembnih subjektov (zavezancev).</w:t>
      </w:r>
    </w:p>
    <w:p w14:paraId="69A569E0" w14:textId="77777777"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t>Pripomba Microsoft</w:t>
      </w:r>
      <w:r>
        <w:rPr>
          <w:rFonts w:cs="Arial"/>
          <w:szCs w:val="20"/>
          <w:lang w:val="sl-SI" w:eastAsia="sl-SI"/>
        </w:rPr>
        <w:t>a</w:t>
      </w:r>
      <w:r w:rsidRPr="00D31B7E">
        <w:rPr>
          <w:rFonts w:cs="Arial"/>
          <w:szCs w:val="20"/>
          <w:lang w:val="sl-SI" w:eastAsia="sl-SI"/>
        </w:rPr>
        <w:t xml:space="preserve">: </w:t>
      </w:r>
    </w:p>
    <w:p w14:paraId="09DB9AEF"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 xml:space="preserve">k 21. členu ponavlja stališče in priporočilo, da bi bilo koristno razširiti izjemo (6) iz tega člena in omeniti tudi </w:t>
      </w:r>
      <w:r>
        <w:rPr>
          <w:rFonts w:cs="Arial"/>
          <w:szCs w:val="20"/>
          <w:lang w:val="sl-SI"/>
        </w:rPr>
        <w:t>»</w:t>
      </w:r>
      <w:r w:rsidRPr="00D31B7E">
        <w:rPr>
          <w:rFonts w:cs="Arial"/>
          <w:szCs w:val="20"/>
          <w:lang w:val="sl-SI"/>
        </w:rPr>
        <w:t>subjekte v storitvah upravljanja IKT in digitalne ponudnike</w:t>
      </w:r>
      <w:r>
        <w:rPr>
          <w:rFonts w:cs="Arial"/>
          <w:szCs w:val="20"/>
          <w:lang w:val="sl-SI"/>
        </w:rPr>
        <w:t>«</w:t>
      </w:r>
      <w:r w:rsidRPr="00D31B7E">
        <w:rPr>
          <w:rFonts w:cs="Arial"/>
          <w:szCs w:val="20"/>
          <w:lang w:val="sl-SI"/>
        </w:rPr>
        <w:t xml:space="preserve">. Z omogočanjem shranjevanja dnevniških zapisov v EU bi zagotovili, da so podatki shranjeni varno in skladno, hkrati pa </w:t>
      </w:r>
      <w:r>
        <w:rPr>
          <w:rFonts w:cs="Arial"/>
          <w:szCs w:val="20"/>
          <w:lang w:val="sl-SI"/>
        </w:rPr>
        <w:t xml:space="preserve">bi </w:t>
      </w:r>
      <w:r w:rsidRPr="00D31B7E">
        <w:rPr>
          <w:rFonts w:cs="Arial"/>
          <w:szCs w:val="20"/>
          <w:lang w:val="sl-SI"/>
        </w:rPr>
        <w:t xml:space="preserve">zagotovili večjo prožnost za subjekte v storitvah upravljanja IKT in ponudnike digitalnih storitev. Ugotavljamo, da gre za pripombo k 6. </w:t>
      </w:r>
      <w:r w:rsidRPr="00D31B7E">
        <w:rPr>
          <w:rFonts w:cs="Arial"/>
          <w:szCs w:val="20"/>
          <w:lang w:val="sl-SI"/>
        </w:rPr>
        <w:lastRenderedPageBreak/>
        <w:t xml:space="preserve">točki drugega odstavka zadevnega člena, ki je bila </w:t>
      </w:r>
      <w:r>
        <w:rPr>
          <w:rFonts w:cs="Arial"/>
          <w:szCs w:val="20"/>
          <w:lang w:val="sl-SI"/>
        </w:rPr>
        <w:t xml:space="preserve">pretežno </w:t>
      </w:r>
      <w:r w:rsidRPr="00D31B7E">
        <w:rPr>
          <w:rFonts w:cs="Arial"/>
          <w:szCs w:val="20"/>
          <w:lang w:val="sl-SI"/>
        </w:rPr>
        <w:t>upoštevana</w:t>
      </w:r>
      <w:r>
        <w:rPr>
          <w:rFonts w:cs="Arial"/>
          <w:szCs w:val="20"/>
          <w:lang w:val="sl-SI"/>
        </w:rPr>
        <w:t>,</w:t>
      </w:r>
      <w:r w:rsidRPr="00D31B7E">
        <w:rPr>
          <w:rFonts w:cs="Arial"/>
          <w:szCs w:val="20"/>
          <w:lang w:val="sl-SI"/>
        </w:rPr>
        <w:t xml:space="preserve"> in sicer na način, kot je to </w:t>
      </w:r>
      <w:r>
        <w:rPr>
          <w:rFonts w:cs="Arial"/>
          <w:szCs w:val="20"/>
          <w:lang w:val="sl-SI"/>
        </w:rPr>
        <w:t>z</w:t>
      </w:r>
      <w:r w:rsidRPr="00D31B7E">
        <w:rPr>
          <w:rFonts w:cs="Arial"/>
          <w:szCs w:val="20"/>
          <w:lang w:val="sl-SI"/>
        </w:rPr>
        <w:t xml:space="preserve">daj razvidno iz 24. člena (dnevniški zapisi) predloga ZInfV-1, na katerega se </w:t>
      </w:r>
      <w:r>
        <w:rPr>
          <w:rFonts w:cs="Arial"/>
          <w:szCs w:val="20"/>
          <w:lang w:val="sl-SI"/>
        </w:rPr>
        <w:t>z</w:t>
      </w:r>
      <w:r w:rsidRPr="00D31B7E">
        <w:rPr>
          <w:rFonts w:cs="Arial"/>
          <w:szCs w:val="20"/>
          <w:lang w:val="sl-SI"/>
        </w:rPr>
        <w:t xml:space="preserve">daj sklicuje 6. točka drugega odstavka 22. člena (ukrepi za obvladovanje tveganj) predloga ZInfV-1. Tako je </w:t>
      </w:r>
      <w:r>
        <w:rPr>
          <w:rFonts w:cs="Arial"/>
          <w:szCs w:val="20"/>
          <w:lang w:val="sl-SI"/>
        </w:rPr>
        <w:t>z</w:t>
      </w:r>
      <w:r w:rsidRPr="00D31B7E">
        <w:rPr>
          <w:rFonts w:cs="Arial"/>
          <w:szCs w:val="20"/>
          <w:lang w:val="sl-SI"/>
        </w:rPr>
        <w:t>daj omejitev na ohranjanje dnevniških zapisov v Republiki Sloveniji vezana na dnevniške zapise ključnih delov nacionalnega varnostnega sistema (razen za ministrstvo, pristojno za zunanje zadeve, ki lahko to hranjenje zagotavlja tudi na diplomatskih predstavništvih in konzulatih Republike Slovenije). Prav tako se predlaga omejitev ohranjanja dnevniških zapisov bistvenih subjektov, ki so določeni kot kritični na podlagi zakona, ki ureja kritično infrastrukturo</w:t>
      </w:r>
      <w:r>
        <w:rPr>
          <w:rFonts w:cs="Arial"/>
          <w:szCs w:val="20"/>
          <w:lang w:val="sl-SI"/>
        </w:rPr>
        <w:t>,</w:t>
      </w:r>
      <w:r w:rsidRPr="00D31B7E">
        <w:rPr>
          <w:rFonts w:cs="Arial"/>
          <w:szCs w:val="20"/>
          <w:lang w:val="sl-SI"/>
        </w:rPr>
        <w:t xml:space="preserve"> in sicer </w:t>
      </w:r>
      <w:r>
        <w:rPr>
          <w:rFonts w:cs="Arial"/>
          <w:szCs w:val="20"/>
          <w:lang w:val="sl-SI"/>
        </w:rPr>
        <w:t>predvsem</w:t>
      </w:r>
      <w:r w:rsidRPr="00D31B7E">
        <w:rPr>
          <w:rFonts w:cs="Arial"/>
          <w:szCs w:val="20"/>
          <w:lang w:val="sl-SI"/>
        </w:rPr>
        <w:t xml:space="preserve"> na ozemlju Republike Slovenije, </w:t>
      </w:r>
      <w:r>
        <w:rPr>
          <w:rFonts w:cs="Arial"/>
          <w:szCs w:val="20"/>
          <w:lang w:val="sl-SI"/>
        </w:rPr>
        <w:t>potem</w:t>
      </w:r>
      <w:r w:rsidRPr="00D31B7E">
        <w:rPr>
          <w:rFonts w:cs="Arial"/>
          <w:szCs w:val="20"/>
          <w:lang w:val="sl-SI"/>
        </w:rPr>
        <w:t xml:space="preserve"> pa na ozemlju Evropske unije, kar je </w:t>
      </w:r>
      <w:r w:rsidRPr="00D914BF">
        <w:rPr>
          <w:rFonts w:cs="Arial"/>
          <w:szCs w:val="20"/>
          <w:lang w:val="sl-SI"/>
        </w:rPr>
        <w:t>omiljeno za primere, da</w:t>
      </w:r>
      <w:r w:rsidRPr="00D31B7E">
        <w:rPr>
          <w:rFonts w:cs="Arial"/>
          <w:szCs w:val="20"/>
          <w:lang w:val="sl-SI"/>
        </w:rPr>
        <w:t xml:space="preserve"> gre za subjekte s področja sektorjev digitalne infrastrukture, bančništva in infrastrukture finančnega trga, kjer se ohranjanje teh zapisov lahko v celoti zagotovi na ozemlju Evropske unije, ob upoštevanju predpisov s področja varstva osebnih podatkov ter na </w:t>
      </w:r>
      <w:r>
        <w:rPr>
          <w:rFonts w:cs="Arial"/>
          <w:szCs w:val="20"/>
          <w:lang w:val="sl-SI"/>
        </w:rPr>
        <w:t>podlagi</w:t>
      </w:r>
      <w:r w:rsidRPr="00D31B7E">
        <w:rPr>
          <w:rFonts w:cs="Arial"/>
          <w:szCs w:val="20"/>
          <w:lang w:val="sl-SI"/>
        </w:rPr>
        <w:t xml:space="preserve"> ocene tveganj</w:t>
      </w:r>
      <w:r>
        <w:rPr>
          <w:rFonts w:cs="Arial"/>
          <w:szCs w:val="20"/>
          <w:lang w:val="sl-SI"/>
        </w:rPr>
        <w:t>,</w:t>
      </w:r>
      <w:r w:rsidRPr="00D31B7E">
        <w:rPr>
          <w:rFonts w:cs="Arial"/>
          <w:szCs w:val="20"/>
          <w:lang w:val="sl-SI"/>
        </w:rPr>
        <w:t xml:space="preserve"> </w:t>
      </w:r>
      <w:r>
        <w:rPr>
          <w:rFonts w:cs="Arial"/>
          <w:szCs w:val="20"/>
          <w:lang w:val="sl-SI"/>
        </w:rPr>
        <w:t>opredeljenih</w:t>
      </w:r>
      <w:r w:rsidRPr="00D31B7E">
        <w:rPr>
          <w:rFonts w:cs="Arial"/>
          <w:szCs w:val="20"/>
          <w:lang w:val="sl-SI"/>
        </w:rPr>
        <w:t xml:space="preserve"> in </w:t>
      </w:r>
      <w:r>
        <w:rPr>
          <w:rFonts w:cs="Arial"/>
          <w:szCs w:val="20"/>
          <w:lang w:val="sl-SI"/>
        </w:rPr>
        <w:t xml:space="preserve">uvedenih </w:t>
      </w:r>
      <w:r w:rsidRPr="00D31B7E">
        <w:rPr>
          <w:rFonts w:cs="Arial"/>
          <w:szCs w:val="20"/>
          <w:lang w:val="sl-SI"/>
        </w:rPr>
        <w:t xml:space="preserve">sorazmernih varnostnih kontrol, pa tudi </w:t>
      </w:r>
      <w:r>
        <w:rPr>
          <w:rFonts w:cs="Arial"/>
          <w:szCs w:val="20"/>
          <w:lang w:val="sl-SI"/>
        </w:rPr>
        <w:t>zunaj</w:t>
      </w:r>
      <w:r w:rsidRPr="00D31B7E">
        <w:rPr>
          <w:rFonts w:cs="Arial"/>
          <w:szCs w:val="20"/>
          <w:lang w:val="sl-SI"/>
        </w:rPr>
        <w:t xml:space="preserve"> ozemlja Evropske unije.</w:t>
      </w:r>
    </w:p>
    <w:p w14:paraId="48D36D29"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bookmarkStart w:id="20" w:name="_Hlk192173432"/>
      <w:r w:rsidRPr="00D31B7E">
        <w:rPr>
          <w:rFonts w:cs="Arial"/>
          <w:szCs w:val="20"/>
          <w:lang w:val="sl-SI"/>
        </w:rPr>
        <w:t>Pripomba MPA:</w:t>
      </w:r>
    </w:p>
    <w:p w14:paraId="720F896B"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29. členu (podatkovna zbirka o registraciji domenskih imen) pojasnjuje, da je globalni zagovornik mednarodne industrije filma, televizije in prenosa vsebin, ima pa tudi vodilno vlogo v boju proti n</w:t>
      </w:r>
      <w:r>
        <w:rPr>
          <w:rFonts w:cs="Arial"/>
          <w:szCs w:val="20"/>
          <w:lang w:val="sl-SI"/>
        </w:rPr>
        <w:t>e</w:t>
      </w:r>
      <w:r w:rsidRPr="00D31B7E">
        <w:rPr>
          <w:rFonts w:cs="Arial"/>
          <w:szCs w:val="20"/>
          <w:lang w:val="sl-SI"/>
        </w:rPr>
        <w:t>zakonitemu razširjanju avtorsko zaščitenih vsebin, ki škoduje razvitemu digitalnemu ekosistemu, pri čemer je njihov cilj zmanjšati oziroma preprečiti piratstvo. Člen pozdravlja, ker dobesedno prenaša 28. člen (Podatkovna zbirka o registraciji domenskih imen) Direktive 2022/2555/EU, vendar z vidika zanesljive implementacije te določbe direktive:</w:t>
      </w:r>
    </w:p>
    <w:p w14:paraId="5917D1AB"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predlaga vključitev besedila: »Osebe, ki imajo upravičen razlog za dostop, vključujejo vse fizične ali pravne osebe, ki vložijo zahtevo za vzpostavitev, uveljavitev ali obrambo kazenskih, civilnih ali drugih pravnih sredstev v skladu s pravom Unije ali pravom Republike Slovenije.«. Predlagano dopolnitev zavračamo kot nepotrebno in dodajamo, da je vsebina zadevnega člena </w:t>
      </w:r>
      <w:r>
        <w:rPr>
          <w:rFonts w:cs="Arial"/>
          <w:szCs w:val="20"/>
          <w:lang w:val="sl-SI"/>
        </w:rPr>
        <w:t>z</w:t>
      </w:r>
      <w:r w:rsidRPr="00D31B7E">
        <w:rPr>
          <w:rFonts w:cs="Arial"/>
          <w:szCs w:val="20"/>
          <w:lang w:val="sl-SI"/>
        </w:rPr>
        <w:t xml:space="preserve">daj razvidna iz 33. člena (podatkovna zbirka o registraciji domenskih imen) predloga ZInfV-1, ki v največji meri ohranja določbo 29. člena osnutka predloga, pri čemer sam člen, kot je to uvodno zaznal že pripombodajalec, </w:t>
      </w:r>
      <w:r>
        <w:rPr>
          <w:rFonts w:cs="Arial"/>
          <w:szCs w:val="20"/>
          <w:lang w:val="sl-SI"/>
        </w:rPr>
        <w:t>popolnoma</w:t>
      </w:r>
      <w:r w:rsidRPr="00D31B7E">
        <w:rPr>
          <w:rFonts w:cs="Arial"/>
          <w:szCs w:val="20"/>
          <w:lang w:val="sl-SI"/>
        </w:rPr>
        <w:t xml:space="preserve"> sledi 28. členu Direktive 2022/2555/ES. Pri tem prvi stavek petega odstavka 33. člena predloga ZInfV-1 določa: »Subjekti iz prvega odstavka tega člena omogočijo dostop do podatkov o registraciji posameznih domenskih imen na podlagi zakonitih in ustrezno utemeljenih zahtevkov oseb, ki imajo upravičen razlog za dostop, v skladu s predpisom s področja varstva osebnih podatkov.«. Navedeno je v skladu s prvim stavkom petega odstavka 28. člena Direktive 2022/2555/ES, pri čemer je </w:t>
      </w:r>
      <w:r>
        <w:rPr>
          <w:rFonts w:cs="Arial"/>
          <w:szCs w:val="20"/>
          <w:lang w:val="sl-SI"/>
        </w:rPr>
        <w:t>popolnoma</w:t>
      </w:r>
      <w:r w:rsidRPr="00D31B7E">
        <w:rPr>
          <w:rFonts w:cs="Arial"/>
          <w:szCs w:val="20"/>
          <w:lang w:val="sl-SI"/>
        </w:rPr>
        <w:t xml:space="preserve"> jasno, da je pri tem treba ravnati v skladu z določbami neposredno uporabljive Uredbe 2016/679/EU</w:t>
      </w:r>
      <w:r w:rsidRPr="00D31B7E">
        <w:rPr>
          <w:rFonts w:cs="Arial"/>
          <w:szCs w:val="20"/>
          <w:vertAlign w:val="superscript"/>
          <w:lang w:val="sl-SI"/>
        </w:rPr>
        <w:footnoteReference w:id="1"/>
      </w:r>
      <w:r w:rsidRPr="00D31B7E">
        <w:rPr>
          <w:rFonts w:cs="Arial"/>
          <w:szCs w:val="20"/>
          <w:lang w:val="sl-SI"/>
        </w:rPr>
        <w:t xml:space="preserve"> (v nadaljnjem besedilu: Splošna uredba o varstvu podatkov). Tudi 6. člen Splošne uredbe o varstvu podatkov ne določa primerov oseb, ki imajo upravičen razlog za dostop do osebnih podatkov, </w:t>
      </w:r>
      <w:r>
        <w:rPr>
          <w:rFonts w:cs="Arial"/>
          <w:szCs w:val="20"/>
          <w:lang w:val="sl-SI"/>
        </w:rPr>
        <w:t>ampak</w:t>
      </w:r>
      <w:r w:rsidRPr="00D31B7E">
        <w:rPr>
          <w:rFonts w:cs="Arial"/>
          <w:szCs w:val="20"/>
          <w:lang w:val="sl-SI"/>
        </w:rPr>
        <w:t xml:space="preserve"> mora dostop do zadevnih podatkov temeljiti na eni izmed pravnih podlag iz 6. člena zadevne EU uredbe (zakonska obveznost, legitimen interes, izvrševanje pogodbe, soglasje posameznika)</w:t>
      </w:r>
      <w:r>
        <w:rPr>
          <w:rFonts w:cs="Arial"/>
          <w:szCs w:val="20"/>
          <w:lang w:val="sl-SI"/>
        </w:rPr>
        <w:t>;</w:t>
      </w:r>
    </w:p>
    <w:p w14:paraId="01D37A72"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meni, da mora biti dostop do zadevnih, to je podatkov WHOIS, brezplačen, podatki pa morajo biti na zahtevo osebe, ki ima upravičen razlog za dostop, zagotovljeni brez nepotrebnega odlašanja (v skladu z uvodno izjavo 112 zadevne direktive). Pojasnjujemo, da po petem odstavku </w:t>
      </w:r>
      <w:r>
        <w:rPr>
          <w:rFonts w:cs="Arial"/>
          <w:szCs w:val="20"/>
          <w:lang w:val="sl-SI"/>
        </w:rPr>
        <w:t>z</w:t>
      </w:r>
      <w:r w:rsidRPr="00D31B7E">
        <w:rPr>
          <w:rFonts w:cs="Arial"/>
          <w:szCs w:val="20"/>
          <w:lang w:val="sl-SI"/>
        </w:rPr>
        <w:t xml:space="preserve">daj 33. člena predloga ZInfV-1 subjekti iz prvega odstavka tega člena odgovorijo nemudoma, v vsakem primeru pa v 72 urah od prejema </w:t>
      </w:r>
      <w:r w:rsidRPr="00D31B7E">
        <w:rPr>
          <w:rFonts w:cs="Arial"/>
          <w:szCs w:val="20"/>
          <w:lang w:val="sl-SI"/>
        </w:rPr>
        <w:lastRenderedPageBreak/>
        <w:t xml:space="preserve">kakršnihkoli zahtevkov za dostop. Politike in postopki v zvezi z razkritjem teh podatkov morajo biti javno dostopni, kar je vse </w:t>
      </w:r>
      <w:r>
        <w:rPr>
          <w:rFonts w:cs="Arial"/>
          <w:szCs w:val="20"/>
          <w:lang w:val="sl-SI"/>
        </w:rPr>
        <w:t>popolnoma</w:t>
      </w:r>
      <w:r w:rsidRPr="00D31B7E">
        <w:rPr>
          <w:rFonts w:cs="Arial"/>
          <w:szCs w:val="20"/>
          <w:lang w:val="sl-SI"/>
        </w:rPr>
        <w:t xml:space="preserve"> v skladu z zahtevami drugega in tretjega stavka petega odstavka 28. člena Direktive 2022/2555/EU. Nismo pa sledili predlogu, da bi pri tem izrecno določili brezplačnosti dostopa do osebnih in neosebnih podatkov o registraciji domenskih imen na način, kot bi to želel pripombodajalec. Glede dostopnosti zadevnih neosebni</w:t>
      </w:r>
      <w:r>
        <w:rPr>
          <w:rFonts w:cs="Arial"/>
          <w:szCs w:val="20"/>
          <w:lang w:val="sl-SI"/>
        </w:rPr>
        <w:t>h</w:t>
      </w:r>
      <w:r w:rsidRPr="00D31B7E">
        <w:rPr>
          <w:rFonts w:cs="Arial"/>
          <w:szCs w:val="20"/>
          <w:lang w:val="sl-SI"/>
        </w:rPr>
        <w:t xml:space="preserve"> podatkov pojasnjujemo, da že četrti odstavek predlaganega 33. člena določa: </w:t>
      </w:r>
      <w:r>
        <w:rPr>
          <w:rFonts w:cs="Arial"/>
          <w:szCs w:val="20"/>
          <w:lang w:val="sl-SI"/>
        </w:rPr>
        <w:t>»</w:t>
      </w:r>
      <w:r w:rsidRPr="00D31B7E">
        <w:rPr>
          <w:rFonts w:cs="Arial"/>
          <w:szCs w:val="20"/>
          <w:lang w:val="sl-SI"/>
        </w:rPr>
        <w:t>Subjekti iz prvega odstavka tega člena po registraciji domenskega imena nemudoma omogočijo javno dostopnost podatkov o registraciji, ki niso osebni podatki. Takšne podatke objavijo na svoj</w:t>
      </w:r>
      <w:r>
        <w:rPr>
          <w:rFonts w:cs="Arial"/>
          <w:szCs w:val="20"/>
          <w:lang w:val="sl-SI"/>
        </w:rPr>
        <w:t>em</w:t>
      </w:r>
      <w:r w:rsidRPr="00D31B7E">
        <w:rPr>
          <w:rFonts w:cs="Arial"/>
          <w:szCs w:val="20"/>
          <w:lang w:val="sl-SI"/>
        </w:rPr>
        <w:t xml:space="preserve"> spletn</w:t>
      </w:r>
      <w:r>
        <w:rPr>
          <w:rFonts w:cs="Arial"/>
          <w:szCs w:val="20"/>
          <w:lang w:val="sl-SI"/>
        </w:rPr>
        <w:t>em</w:t>
      </w:r>
      <w:r w:rsidRPr="00D31B7E">
        <w:rPr>
          <w:rFonts w:cs="Arial"/>
          <w:szCs w:val="20"/>
          <w:lang w:val="sl-SI"/>
        </w:rPr>
        <w:t xml:space="preserve"> </w:t>
      </w:r>
      <w:r>
        <w:rPr>
          <w:rFonts w:cs="Arial"/>
          <w:szCs w:val="20"/>
          <w:lang w:val="sl-SI"/>
        </w:rPr>
        <w:t>mestu</w:t>
      </w:r>
      <w:r w:rsidRPr="00D31B7E">
        <w:rPr>
          <w:rFonts w:cs="Arial"/>
          <w:szCs w:val="20"/>
          <w:lang w:val="sl-SI"/>
        </w:rPr>
        <w:t xml:space="preserve"> </w:t>
      </w:r>
      <w:r>
        <w:rPr>
          <w:rFonts w:cs="Arial"/>
          <w:szCs w:val="20"/>
          <w:lang w:val="sl-SI"/>
        </w:rPr>
        <w:t>ali</w:t>
      </w:r>
      <w:r w:rsidRPr="00D31B7E">
        <w:rPr>
          <w:rFonts w:cs="Arial"/>
          <w:szCs w:val="20"/>
          <w:lang w:val="sl-SI"/>
        </w:rPr>
        <w:t xml:space="preserve"> objavijo povezavo na spletno stran, kjer so ti podatki dostopni.«, kar logično ne predpostavlja plačljivosti. Pri tem gre za prenos četrtega odstavka 28. člena Direktive 2022/2555/EU. Glede brezplačne dostopnosti do zadevnih osebnih podatkov menimo, da je treba upoštevati Splošno uredbo o varstvu podatkov ter drugo področno (nacionalno) zakonodajo, če ta daje podlago za brezplačen dostop do zahtevanih osebnih podatkov (</w:t>
      </w:r>
      <w:r>
        <w:rPr>
          <w:rFonts w:cs="Arial"/>
          <w:szCs w:val="20"/>
          <w:lang w:val="sl-SI"/>
        </w:rPr>
        <w:t>na primer</w:t>
      </w:r>
      <w:r w:rsidRPr="00D31B7E">
        <w:rPr>
          <w:rFonts w:cs="Arial"/>
          <w:szCs w:val="20"/>
          <w:lang w:val="sl-SI"/>
        </w:rPr>
        <w:t xml:space="preserve"> sodiščem in organom pregona). V preostalem pa menimo, da bi za dodatno določanje brezplačnosti pri pridobivanju zadevnih osebnih podatkov v predlaganem zakonu morala biti takšna izrecna zahteva postavljena že v 28. členu zadevne direktive (in ne zgolj v uvodni izjavi), saj lahko pri izvajanju takšnih zahtev nastajajo subjektom tudi administrativni stroški; </w:t>
      </w:r>
    </w:p>
    <w:p w14:paraId="290D1B6B"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priporoča izrecno vključitev besedila: »Pri zagotavljanju podatkov v odgovor na zahteve za upravičen dostop morajo registri TLD</w:t>
      </w:r>
      <w:r>
        <w:rPr>
          <w:rFonts w:cs="Arial"/>
          <w:szCs w:val="20"/>
          <w:lang w:val="sl-SI"/>
        </w:rPr>
        <w:t>-</w:t>
      </w:r>
      <w:r w:rsidRPr="00D31B7E">
        <w:rPr>
          <w:rFonts w:cs="Arial"/>
          <w:szCs w:val="20"/>
          <w:lang w:val="sl-SI"/>
        </w:rPr>
        <w:t xml:space="preserve">imen in subjekti, ki zagotavljajo storitev registracije domenskih imen, zagotoviti podatke o dejanskem oziroma končnem uporabniku domenskega imena in namesto tega ne smejo zagotoviti podatkov o ponudniku storitev registracije za zasebnost ali pooblaščencu, ki so bili morda uporabljeni v postopku registracije domenskega imena.«. S tem v zvezi še meni, da </w:t>
      </w:r>
      <w:r>
        <w:rPr>
          <w:rFonts w:cs="Arial"/>
          <w:szCs w:val="20"/>
          <w:lang w:val="sl-SI"/>
        </w:rPr>
        <w:t xml:space="preserve">bi </w:t>
      </w:r>
      <w:r w:rsidRPr="00D31B7E">
        <w:rPr>
          <w:rFonts w:cs="Arial"/>
          <w:szCs w:val="20"/>
          <w:lang w:val="sl-SI"/>
        </w:rPr>
        <w:t>morale obveznosti za preverjanje točnosti WHOIS podatkov jasno veljati za ponudnike storitev zagotavljanja zasebnosti in pooblaščencev ter preprodajalcev domenskih imen kot primere »subjektov, ki opravljajo storitve registracije domenskih imen«. Priporočilo za vključitev predlaganega besedila zavračamo, saj menimo, da prenos v petem odstavku 33. členu predloga ZInfV-1, po katerem se omogoči dostop do podatkov registraciji posameznih domenski</w:t>
      </w:r>
      <w:r>
        <w:rPr>
          <w:rFonts w:cs="Arial"/>
          <w:szCs w:val="20"/>
          <w:lang w:val="sl-SI"/>
        </w:rPr>
        <w:t>h</w:t>
      </w:r>
      <w:r w:rsidRPr="00D31B7E">
        <w:rPr>
          <w:rFonts w:cs="Arial"/>
          <w:szCs w:val="20"/>
          <w:lang w:val="sl-SI"/>
        </w:rPr>
        <w:t xml:space="preserve"> imen</w:t>
      </w:r>
      <w:r>
        <w:rPr>
          <w:rFonts w:cs="Arial"/>
          <w:szCs w:val="20"/>
          <w:lang w:val="sl-SI"/>
        </w:rPr>
        <w:t>,</w:t>
      </w:r>
      <w:r w:rsidRPr="00D31B7E">
        <w:rPr>
          <w:rFonts w:cs="Arial"/>
          <w:szCs w:val="20"/>
          <w:lang w:val="sl-SI"/>
        </w:rPr>
        <w:t xml:space="preserve"> sledi določbam petega odstavka 28. člena Direktive 2022/2555/EU in je ustrezen. Pojasnjujemo pa, da že 63. točka 5. člena (pomen izrazov) predloga ZInfV-1 v skladu z 22. točko 6. člena (opredelitev pojmov) Direktive 2022/2555/EU ustrezno opredeljuje »subjekt, ki opravlja storitev registracije domenskih imen«, ki je registrar ali zastopnik, ki deluje v imenu registrarja, kot je ponudnik storitev registracije za zasebnost ali pooblaščenec ali preprodajalec;</w:t>
      </w:r>
    </w:p>
    <w:p w14:paraId="76E18D98"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priporoča, da se za primer suma, da gre za zlorabo ali nezakonito dejavnost</w:t>
      </w:r>
      <w:r>
        <w:rPr>
          <w:rFonts w:cs="Arial"/>
          <w:szCs w:val="20"/>
          <w:lang w:val="sl-SI"/>
        </w:rPr>
        <w:t>,</w:t>
      </w:r>
      <w:r w:rsidRPr="00D31B7E">
        <w:rPr>
          <w:rFonts w:cs="Arial"/>
          <w:szCs w:val="20"/>
          <w:lang w:val="sl-SI"/>
        </w:rPr>
        <w:t xml:space="preserve"> vključi tudi besedilo: » kadar je domensko ime povezano z zlorabo ali nezakonito dejavnostjo, kot to domneva oseba, ki ima upravičen razlog za dostop, morajo registri TLD</w:t>
      </w:r>
      <w:r>
        <w:rPr>
          <w:rFonts w:cs="Arial"/>
          <w:szCs w:val="20"/>
          <w:lang w:val="sl-SI"/>
        </w:rPr>
        <w:t>-</w:t>
      </w:r>
      <w:r w:rsidRPr="00D31B7E">
        <w:rPr>
          <w:rFonts w:cs="Arial"/>
          <w:szCs w:val="20"/>
          <w:lang w:val="sl-SI"/>
        </w:rPr>
        <w:t>imen in subjekti, ki zagotavljajo storitve registracije domenskih imen, na zahtevo osebe, ki ima upravičen razlog za dostop, zagotoviti seznam vseh imenskih imen, ki jih upravljajo ali so registrirani z enakimi podatki o registrantu.«. Priporočilo zavračamo, saj določb predloga ZInfV-1 ne nameravamo širiti prek tega, kar zahtevajo določbe 28. člena Direktive 2022/2555/EU;</w:t>
      </w:r>
    </w:p>
    <w:p w14:paraId="4601FA21"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meni, da morajo biti podatki WHOIS o pravnih osebah javno dostopni v skladu s četrtim odstavkom 28. člena Direktive 2022/2555/EU, s sklicem na njeno uvodno izjavo 112. Pojasnjujemo, da je zadevna določba prej navedene direktive jasno prenesena s četrtim odstavkom predlaganega člena ZInfV-1, kot smo ga navedli že zgoraj, sklic na uvodno izjavo v predlagani določbi ni niti potreben niti ni nomotehnično dopusten; </w:t>
      </w:r>
    </w:p>
    <w:p w14:paraId="54E58BD8"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navaja, da morajo biti postopki za preverjanje podatkov WHOIS zanesljivi in stalno posodobljeni (kot je določeno v uvodni izjavi 111</w:t>
      </w:r>
      <w:r w:rsidRPr="0044675E">
        <w:rPr>
          <w:lang w:val="sl-SI"/>
        </w:rPr>
        <w:t xml:space="preserve"> </w:t>
      </w:r>
      <w:r w:rsidRPr="0044675E">
        <w:rPr>
          <w:rFonts w:cs="Arial"/>
          <w:szCs w:val="20"/>
          <w:lang w:val="sl-SI"/>
        </w:rPr>
        <w:t>Direktive 2022/2555/EU</w:t>
      </w:r>
      <w:r w:rsidRPr="00D31B7E">
        <w:rPr>
          <w:rFonts w:cs="Arial"/>
          <w:szCs w:val="20"/>
          <w:lang w:val="sl-SI"/>
        </w:rPr>
        <w:t>)</w:t>
      </w:r>
      <w:r>
        <w:rPr>
          <w:rFonts w:cs="Arial"/>
          <w:szCs w:val="20"/>
          <w:lang w:val="sl-SI"/>
        </w:rPr>
        <w:t>,</w:t>
      </w:r>
      <w:r w:rsidRPr="00D31B7E">
        <w:rPr>
          <w:rFonts w:cs="Arial"/>
          <w:szCs w:val="20"/>
          <w:lang w:val="sl-SI"/>
        </w:rPr>
        <w:t xml:space="preserve"> in priporoča, da se za registre TLD</w:t>
      </w:r>
      <w:r>
        <w:rPr>
          <w:rFonts w:cs="Arial"/>
          <w:szCs w:val="20"/>
          <w:lang w:val="sl-SI"/>
        </w:rPr>
        <w:t>-</w:t>
      </w:r>
      <w:r w:rsidRPr="00D31B7E">
        <w:rPr>
          <w:rFonts w:cs="Arial"/>
          <w:szCs w:val="20"/>
          <w:lang w:val="sl-SI"/>
        </w:rPr>
        <w:t>imen določi</w:t>
      </w:r>
      <w:r>
        <w:rPr>
          <w:rFonts w:cs="Arial"/>
          <w:szCs w:val="20"/>
          <w:lang w:val="sl-SI"/>
        </w:rPr>
        <w:t>jo</w:t>
      </w:r>
      <w:r w:rsidRPr="00D31B7E">
        <w:rPr>
          <w:rFonts w:cs="Arial"/>
          <w:szCs w:val="20"/>
          <w:lang w:val="sl-SI"/>
        </w:rPr>
        <w:t xml:space="preserve"> obvezn</w:t>
      </w:r>
      <w:r>
        <w:rPr>
          <w:rFonts w:cs="Arial"/>
          <w:szCs w:val="20"/>
          <w:lang w:val="sl-SI"/>
        </w:rPr>
        <w:t>i</w:t>
      </w:r>
      <w:r w:rsidRPr="00D31B7E">
        <w:rPr>
          <w:rFonts w:cs="Arial"/>
          <w:szCs w:val="20"/>
          <w:lang w:val="sl-SI"/>
        </w:rPr>
        <w:t xml:space="preserve"> postopk</w:t>
      </w:r>
      <w:r>
        <w:rPr>
          <w:rFonts w:cs="Arial"/>
          <w:szCs w:val="20"/>
          <w:lang w:val="sl-SI"/>
        </w:rPr>
        <w:t>i</w:t>
      </w:r>
      <w:r w:rsidRPr="00D31B7E">
        <w:rPr>
          <w:rFonts w:cs="Arial"/>
          <w:szCs w:val="20"/>
          <w:lang w:val="sl-SI"/>
        </w:rPr>
        <w:t xml:space="preserve"> naknadnega preverjanja. </w:t>
      </w:r>
      <w:r w:rsidRPr="00D31B7E">
        <w:rPr>
          <w:rFonts w:cs="Arial"/>
          <w:szCs w:val="20"/>
          <w:lang w:val="sl-SI"/>
        </w:rPr>
        <w:lastRenderedPageBreak/>
        <w:t xml:space="preserve">Pojasnjujemo, da je navedeno ustrezno in </w:t>
      </w:r>
      <w:r>
        <w:rPr>
          <w:rFonts w:cs="Arial"/>
          <w:szCs w:val="20"/>
          <w:lang w:val="sl-SI"/>
        </w:rPr>
        <w:t xml:space="preserve">v </w:t>
      </w:r>
      <w:r w:rsidRPr="00D31B7E">
        <w:rPr>
          <w:rFonts w:cs="Arial"/>
          <w:szCs w:val="20"/>
          <w:lang w:val="sl-SI"/>
        </w:rPr>
        <w:t xml:space="preserve">skladu </w:t>
      </w:r>
      <w:r>
        <w:rPr>
          <w:rFonts w:cs="Arial"/>
          <w:szCs w:val="20"/>
          <w:lang w:val="sl-SI"/>
        </w:rPr>
        <w:t>s</w:t>
      </w:r>
      <w:r w:rsidRPr="00D31B7E">
        <w:rPr>
          <w:rFonts w:cs="Arial"/>
          <w:szCs w:val="20"/>
          <w:lang w:val="sl-SI"/>
        </w:rPr>
        <w:t xml:space="preserve"> prvim in tretjim odstavkom 28. člena Direktive 2022/2555/EU urejeno v prvem in tretjem odstavku 33. člena ZInfV-1. Po prvem odstavku prej navedenega predlaganega člena namreč v njem navedeni subjekti z ustrezno skrbnostjo zbirajo ter vzdržujejo točne in popolne podatke o registraciji domenskih imen. Po tretjem odstavku prej navedenega predlaganega člena pa zadevni subjekti vzpostavijo politike in postopke, vključno s postopki preverjanja, ki zagotavljajo, da podatkovne zbirke iz prvega odstavka tega člena v</w:t>
      </w:r>
      <w:r>
        <w:rPr>
          <w:rFonts w:cs="Arial"/>
          <w:szCs w:val="20"/>
          <w:lang w:val="sl-SI"/>
        </w:rPr>
        <w:t>sebujejo</w:t>
      </w:r>
      <w:r w:rsidRPr="00D31B7E">
        <w:rPr>
          <w:rFonts w:cs="Arial"/>
          <w:szCs w:val="20"/>
          <w:lang w:val="sl-SI"/>
        </w:rPr>
        <w:t xml:space="preserve"> točne in popolne informacije, pri čemer se v politiki in postopkih upošteva, da morajo preveriti po vsaj en kontaktni podatek iz tretje in četrte alineje prejšnjega odstavka in določiti obdobja preverbe. Te politike in postopki morajo biti javno dostopni. Sklicevanje na uvodno izjavo v členih pa ni ne potrebno in ne nomotehnično dopustno;</w:t>
      </w:r>
    </w:p>
    <w:p w14:paraId="0532BEBB"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navaja, da je bistvenega pomena, da enotni register TLD</w:t>
      </w:r>
      <w:r>
        <w:rPr>
          <w:rFonts w:cs="Arial"/>
          <w:szCs w:val="20"/>
          <w:lang w:val="sl-SI"/>
        </w:rPr>
        <w:t>-</w:t>
      </w:r>
      <w:r w:rsidRPr="00D31B7E">
        <w:rPr>
          <w:rFonts w:cs="Arial"/>
          <w:szCs w:val="20"/>
          <w:lang w:val="sl-SI"/>
        </w:rPr>
        <w:t>imen in vsi drugi registri TLD</w:t>
      </w:r>
      <w:r>
        <w:rPr>
          <w:rFonts w:cs="Arial"/>
          <w:szCs w:val="20"/>
          <w:lang w:val="sl-SI"/>
        </w:rPr>
        <w:t>-</w:t>
      </w:r>
      <w:r w:rsidRPr="00D31B7E">
        <w:rPr>
          <w:rFonts w:cs="Arial"/>
          <w:szCs w:val="20"/>
          <w:lang w:val="sl-SI"/>
        </w:rPr>
        <w:t>imen vzdržujejo popolno, natančno in neodvisno zbirko podatkov WHOIS za vsa domenska imena, ki jih upravljajo, ti podatki pa morajo vključevati podatke končnega uporabnika domenskega imena in ne zgolj podatkov ponudnika storitev zaupanja zagotavljanja zasebnosti ali pooblaščenca, ki je bil morda uporabljen v postopku registracije. Navedeno bo organom pregona in drugim osebam, ki imajo upravičen razlog za dostop, zagotovil centraliziran in enoten vir, iz katerega lahko poiščejo popolne in točne podatke, ki jih upravlja register TLD</w:t>
      </w:r>
      <w:r>
        <w:rPr>
          <w:rFonts w:cs="Arial"/>
          <w:szCs w:val="20"/>
          <w:lang w:val="sl-SI"/>
        </w:rPr>
        <w:t>-</w:t>
      </w:r>
      <w:r w:rsidRPr="00D31B7E">
        <w:rPr>
          <w:rFonts w:cs="Arial"/>
          <w:szCs w:val="20"/>
          <w:lang w:val="sl-SI"/>
        </w:rPr>
        <w:t>imen. Pojasnjujemo, da je obseg podatkovnih zbirk razviden iz drugega odstavka predlaganega 33. člena, ki je v skladu z drugim odstavkom 28. člena Direktive 2022/2555/EU, da pa morajo biti podatki točni in popolni</w:t>
      </w:r>
      <w:r>
        <w:rPr>
          <w:rFonts w:cs="Arial"/>
          <w:szCs w:val="20"/>
          <w:lang w:val="sl-SI"/>
        </w:rPr>
        <w:t>,</w:t>
      </w:r>
      <w:r w:rsidRPr="00D31B7E">
        <w:rPr>
          <w:rFonts w:cs="Arial"/>
          <w:szCs w:val="20"/>
          <w:lang w:val="sl-SI"/>
        </w:rPr>
        <w:t xml:space="preserve"> pa izhaja že iz prvega odstavka predlaganega 33. člena (kot že opisano pri prejšnji pripombi). Nadalje po šestem odstavku predlaganega 33. člena, ki prenaša šesti odstavek 28. člena zadevne direktive, izpolnjevanje obveznosti od prvega do petega odstavka tega člena ne sme povzročiti podvajanja zbiranja podatkov o registraciji domenskih imen. V ta namen morajo registri TLD</w:t>
      </w:r>
      <w:r>
        <w:rPr>
          <w:rFonts w:cs="Arial"/>
          <w:szCs w:val="20"/>
          <w:lang w:val="sl-SI"/>
        </w:rPr>
        <w:t>-</w:t>
      </w:r>
      <w:r w:rsidRPr="00D31B7E">
        <w:rPr>
          <w:rFonts w:cs="Arial"/>
          <w:szCs w:val="20"/>
          <w:lang w:val="sl-SI"/>
        </w:rPr>
        <w:t>imen in subjekti, ki opravljajo storitve registracije domenskih imen</w:t>
      </w:r>
      <w:r>
        <w:rPr>
          <w:rFonts w:cs="Arial"/>
          <w:szCs w:val="20"/>
          <w:lang w:val="sl-SI"/>
        </w:rPr>
        <w:t>,</w:t>
      </w:r>
      <w:r w:rsidRPr="00D31B7E">
        <w:rPr>
          <w:rFonts w:cs="Arial"/>
          <w:szCs w:val="20"/>
          <w:lang w:val="sl-SI"/>
        </w:rPr>
        <w:t xml:space="preserve"> medsebojno sodelovati z izmenjavo relevantnih informacij. Več od tega pa Direktiva 2022/2555/EU ne zahteva.</w:t>
      </w:r>
    </w:p>
    <w:bookmarkEnd w:id="20"/>
    <w:p w14:paraId="06CBB692" w14:textId="7D54321C"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t>Pripombe Petrol</w:t>
      </w:r>
      <w:r>
        <w:rPr>
          <w:rFonts w:cs="Arial"/>
          <w:szCs w:val="20"/>
          <w:lang w:val="sl-SI" w:eastAsia="sl-SI"/>
        </w:rPr>
        <w:t>a</w:t>
      </w:r>
      <w:r w:rsidR="007B4338">
        <w:rPr>
          <w:rFonts w:cs="Arial"/>
          <w:szCs w:val="20"/>
          <w:lang w:val="sl-SI" w:eastAsia="sl-SI"/>
        </w:rPr>
        <w:t>:</w:t>
      </w:r>
      <w:r w:rsidRPr="00D31B7E">
        <w:rPr>
          <w:rFonts w:cs="Arial"/>
          <w:szCs w:val="20"/>
          <w:lang w:val="sl-SI" w:eastAsia="sl-SI"/>
        </w:rPr>
        <w:t xml:space="preserve"> </w:t>
      </w:r>
    </w:p>
    <w:p w14:paraId="5027C013" w14:textId="77777777" w:rsidR="000A51A5"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 xml:space="preserve">k 39. točki 5. člena (pomen izrazov) predlaga spremembo besedila tako, da bi se glasilo: »Preizkušeni revizor pomeni preizkušenega revizorja informacijskih sistemov: ki je registriran pri Slovenskem inštitutu za revizijo in vpisan </w:t>
      </w:r>
      <w:r>
        <w:rPr>
          <w:rFonts w:cs="Arial"/>
          <w:szCs w:val="20"/>
          <w:lang w:val="sl-SI" w:eastAsia="sl-SI"/>
        </w:rPr>
        <w:t>na</w:t>
      </w:r>
      <w:r w:rsidRPr="00D31B7E">
        <w:rPr>
          <w:rFonts w:cs="Arial"/>
          <w:szCs w:val="20"/>
          <w:lang w:val="sl-SI" w:eastAsia="sl-SI"/>
        </w:rPr>
        <w:t xml:space="preserve"> seznam aktivnih preizkušeni</w:t>
      </w:r>
      <w:r>
        <w:rPr>
          <w:rFonts w:cs="Arial"/>
          <w:szCs w:val="20"/>
          <w:lang w:val="sl-SI" w:eastAsia="sl-SI"/>
        </w:rPr>
        <w:t>h</w:t>
      </w:r>
      <w:r w:rsidRPr="00D31B7E">
        <w:rPr>
          <w:rFonts w:cs="Arial"/>
          <w:szCs w:val="20"/>
          <w:lang w:val="sl-SI" w:eastAsia="sl-SI"/>
        </w:rPr>
        <w:t xml:space="preserve"> revizorjev informacijskih sistemov; ima pridobljen naziv Certified Information Systems Auditor (CISA) in ima veljaven certifikat; ima pridobljen naziv </w:t>
      </w:r>
      <w:r>
        <w:rPr>
          <w:rFonts w:cs="Arial"/>
          <w:szCs w:val="20"/>
          <w:lang w:val="sl-SI" w:eastAsia="sl-SI"/>
        </w:rPr>
        <w:t>v</w:t>
      </w:r>
      <w:r w:rsidRPr="00D31B7E">
        <w:rPr>
          <w:rFonts w:cs="Arial"/>
          <w:szCs w:val="20"/>
          <w:lang w:val="sl-SI" w:eastAsia="sl-SI"/>
        </w:rPr>
        <w:t>odilni presojevalec ISO27001 in ima veljaven certifikat; revizor s področja informacijske varnosti, ki je certifikat pridobil pri eni izmed neodvisnih revizijskih organizacij ali ima primerljivo strokovno znanje ali primerljiv strokovni naziv.</w:t>
      </w:r>
      <w:r>
        <w:rPr>
          <w:rFonts w:cs="Arial"/>
          <w:szCs w:val="20"/>
          <w:lang w:val="sl-SI" w:eastAsia="sl-SI"/>
        </w:rPr>
        <w:t>«.</w:t>
      </w:r>
      <w:r w:rsidRPr="00D31B7E">
        <w:rPr>
          <w:rFonts w:cs="Arial"/>
          <w:szCs w:val="20"/>
          <w:lang w:val="sl-SI" w:eastAsia="sl-SI"/>
        </w:rPr>
        <w:t xml:space="preserve"> Naveden predlog je podan, ker bi bilo treba že </w:t>
      </w:r>
      <w:r>
        <w:rPr>
          <w:rFonts w:cs="Arial"/>
          <w:szCs w:val="20"/>
          <w:lang w:val="sl-SI" w:eastAsia="sl-SI"/>
        </w:rPr>
        <w:t>zaradi</w:t>
      </w:r>
      <w:r w:rsidRPr="00D31B7E">
        <w:rPr>
          <w:rFonts w:cs="Arial"/>
          <w:szCs w:val="20"/>
          <w:lang w:val="sl-SI" w:eastAsia="sl-SI"/>
        </w:rPr>
        <w:t xml:space="preserve"> pragmatičnosti povečati število oseb, ki lahko </w:t>
      </w:r>
      <w:r>
        <w:rPr>
          <w:rFonts w:cs="Arial"/>
          <w:szCs w:val="20"/>
          <w:lang w:val="sl-SI" w:eastAsia="sl-SI"/>
        </w:rPr>
        <w:t>ponujajo</w:t>
      </w:r>
      <w:r w:rsidRPr="00D31B7E">
        <w:rPr>
          <w:rFonts w:cs="Arial"/>
          <w:szCs w:val="20"/>
          <w:lang w:val="sl-SI" w:eastAsia="sl-SI"/>
        </w:rPr>
        <w:t xml:space="preserve"> te storitve, poleg tega pa ureditev (osnutka predloga ZInfV-1) brez potrebe združuje možnost dejavnosti pri zelo majhnem številu oseb. Zadnja možnost, ki jo predlaga, pa se zgleduje po še veljavnem ZInfV (17. točka 4. člena) in po zakonu, ki ureja gospodarske družbe (281.a člen ZGD-1). </w:t>
      </w:r>
      <w:r w:rsidRPr="00D31B7E">
        <w:rPr>
          <w:rFonts w:cs="Arial"/>
          <w:szCs w:val="20"/>
          <w:lang w:val="sl-SI"/>
        </w:rPr>
        <w:t xml:space="preserve">Pripomba je bila v predlogu ZInfV-1 delno upoštevana prek dodanega izraza notranji revizor v 27. točki 5. člena (pomen izrazov) in popravka v 48. točki (prej 39.) tega člena. </w:t>
      </w:r>
      <w:r>
        <w:rPr>
          <w:rFonts w:cs="Arial"/>
          <w:szCs w:val="20"/>
          <w:lang w:val="sl-SI"/>
        </w:rPr>
        <w:t>T</w:t>
      </w:r>
      <w:r w:rsidRPr="00D31B7E">
        <w:rPr>
          <w:rFonts w:cs="Arial"/>
          <w:szCs w:val="20"/>
          <w:lang w:val="sl-SI"/>
        </w:rPr>
        <w:t>reba</w:t>
      </w:r>
      <w:r w:rsidRPr="0044675E">
        <w:rPr>
          <w:lang w:val="sl-SI"/>
        </w:rPr>
        <w:t xml:space="preserve"> </w:t>
      </w:r>
      <w:r>
        <w:rPr>
          <w:rFonts w:cs="Arial"/>
          <w:szCs w:val="20"/>
          <w:lang w:val="sl-SI"/>
        </w:rPr>
        <w:t xml:space="preserve">pa je </w:t>
      </w:r>
      <w:r w:rsidRPr="00D31B7E">
        <w:rPr>
          <w:rFonts w:cs="Arial"/>
          <w:szCs w:val="20"/>
          <w:lang w:val="sl-SI"/>
        </w:rPr>
        <w:t>opozoriti še na 75. (prej 69.) točko 5. člena predloga ZInfV-1. Pri tem je v 27. točki 5. člena predloga ZI</w:t>
      </w:r>
      <w:r>
        <w:rPr>
          <w:rFonts w:cs="Arial"/>
          <w:szCs w:val="20"/>
          <w:lang w:val="sl-SI"/>
        </w:rPr>
        <w:t>n</w:t>
      </w:r>
      <w:r w:rsidRPr="00D31B7E">
        <w:rPr>
          <w:rFonts w:cs="Arial"/>
          <w:szCs w:val="20"/>
          <w:lang w:val="sl-SI"/>
        </w:rPr>
        <w:t>fV-1 dodatno opredeljen izraz »notranji revizor«, ki je preizkušeni notranji revizor, ki je pridobil strokovni naziv pri Slovenskem inštitutu za revizijo in je vpisan v njegov register aktivnih preizkušenih notranjih revizorjev</w:t>
      </w:r>
      <w:r w:rsidRPr="0044675E">
        <w:rPr>
          <w:lang w:val="sl-SI"/>
        </w:rPr>
        <w:t xml:space="preserve"> </w:t>
      </w:r>
      <w:r w:rsidRPr="0044675E">
        <w:rPr>
          <w:rFonts w:cs="Arial"/>
          <w:szCs w:val="20"/>
          <w:lang w:val="sl-SI"/>
        </w:rPr>
        <w:t>ali oseba, ki je pridobila naziv državni notranji revizor ali preizkušeni državni notranji revizor</w:t>
      </w:r>
      <w:r w:rsidRPr="00D31B7E">
        <w:rPr>
          <w:rFonts w:cs="Arial"/>
          <w:szCs w:val="20"/>
          <w:lang w:val="sl-SI"/>
        </w:rPr>
        <w:t xml:space="preserve">. Točka 48 prej navedenega člena predloga ZInfV-1 </w:t>
      </w:r>
      <w:r>
        <w:rPr>
          <w:rFonts w:cs="Arial"/>
          <w:szCs w:val="20"/>
          <w:lang w:val="sl-SI"/>
        </w:rPr>
        <w:t>z</w:t>
      </w:r>
      <w:r w:rsidRPr="00D31B7E">
        <w:rPr>
          <w:rFonts w:cs="Arial"/>
          <w:szCs w:val="20"/>
          <w:lang w:val="sl-SI"/>
        </w:rPr>
        <w:t xml:space="preserve">daj opredeljuje revizorja informacijskih sistemov, ki je </w:t>
      </w:r>
      <w:r w:rsidRPr="0044675E">
        <w:rPr>
          <w:rFonts w:cs="Arial"/>
          <w:szCs w:val="20"/>
          <w:lang w:val="sl-SI"/>
        </w:rPr>
        <w:t>preizkušeni revizor informacijskih sistemov</w:t>
      </w:r>
      <w:r w:rsidRPr="00D31B7E">
        <w:rPr>
          <w:rFonts w:cs="Arial"/>
          <w:szCs w:val="20"/>
          <w:lang w:val="sl-SI"/>
        </w:rPr>
        <w:t xml:space="preserve"> z ustreznim revizijskim znanjem, ki je strokovni naziv </w:t>
      </w:r>
      <w:r>
        <w:rPr>
          <w:rFonts w:cs="Arial"/>
          <w:szCs w:val="20"/>
          <w:lang w:val="sl-SI"/>
        </w:rPr>
        <w:t xml:space="preserve">pridobil </w:t>
      </w:r>
      <w:r w:rsidRPr="00D31B7E">
        <w:rPr>
          <w:rFonts w:cs="Arial"/>
          <w:szCs w:val="20"/>
          <w:lang w:val="sl-SI"/>
        </w:rPr>
        <w:t xml:space="preserve">pri Slovenskem inštitutu za revizijo </w:t>
      </w:r>
      <w:r>
        <w:rPr>
          <w:rFonts w:cs="Arial"/>
          <w:szCs w:val="20"/>
          <w:lang w:val="sl-SI"/>
        </w:rPr>
        <w:t xml:space="preserve">in </w:t>
      </w:r>
      <w:r w:rsidRPr="00D31B7E">
        <w:rPr>
          <w:rFonts w:cs="Arial"/>
          <w:szCs w:val="20"/>
          <w:lang w:val="sl-SI"/>
        </w:rPr>
        <w:lastRenderedPageBreak/>
        <w:t>je vpisan v njegov register aktivnih preizkušenih revizorjev informacijskih sistemov. Po 75. (prej 69.) točki 5. člena predloga ZInfV-1 pa veščak za informacijsko varnost pomeni posameznika ali organizacijo, ki ima izkazano poglobljeno strokovno znanje na področju informacijsko</w:t>
      </w:r>
      <w:r>
        <w:rPr>
          <w:rFonts w:cs="Arial"/>
          <w:szCs w:val="20"/>
          <w:lang w:val="sl-SI"/>
        </w:rPr>
        <w:t>-</w:t>
      </w:r>
      <w:r w:rsidRPr="00D31B7E">
        <w:rPr>
          <w:rFonts w:cs="Arial"/>
          <w:szCs w:val="20"/>
          <w:lang w:val="sl-SI"/>
        </w:rPr>
        <w:t xml:space="preserve">komunikacijskih tehnologij, katerega ali katere delo revizor uporabi kot strokovno pomoč revizorju pri pridobivanju zadostnih in ustreznih revizijskih dokazov. V zvezi s podano pripombo je v 25. členu (ocena in samoocena skladnosti) predloga ZInfV-1 bistvenim subjektom omogočeno, da oceno skladnosti izvedejo v obliki revizije, </w:t>
      </w:r>
      <w:r>
        <w:rPr>
          <w:rFonts w:cs="Arial"/>
          <w:szCs w:val="20"/>
          <w:lang w:val="sl-SI"/>
        </w:rPr>
        <w:t>ki jo</w:t>
      </w:r>
      <w:r w:rsidRPr="00D31B7E">
        <w:rPr>
          <w:rFonts w:cs="Arial"/>
          <w:szCs w:val="20"/>
          <w:lang w:val="sl-SI"/>
        </w:rPr>
        <w:t xml:space="preserve"> izvede revizor informacijskih sistemov</w:t>
      </w:r>
      <w:r>
        <w:rPr>
          <w:rFonts w:cs="Arial"/>
          <w:szCs w:val="20"/>
          <w:lang w:val="sl-SI"/>
        </w:rPr>
        <w:t>,</w:t>
      </w:r>
      <w:r w:rsidRPr="00D31B7E">
        <w:rPr>
          <w:rFonts w:cs="Arial"/>
          <w:szCs w:val="20"/>
          <w:lang w:val="sl-SI"/>
        </w:rPr>
        <w:t xml:space="preserve"> ali v obliki notranje revizije, ki obsega tudi vsa potrebna sodila s področja informacijske in kibernetske varnosti. Tako revizijo lahko izvede notranji revizor v sodelovanju z veščakom </w:t>
      </w:r>
      <w:r>
        <w:rPr>
          <w:rFonts w:cs="Arial"/>
          <w:szCs w:val="20"/>
          <w:lang w:val="sl-SI"/>
        </w:rPr>
        <w:t>za i</w:t>
      </w:r>
      <w:r w:rsidRPr="00D31B7E">
        <w:rPr>
          <w:rFonts w:cs="Arial"/>
          <w:szCs w:val="20"/>
          <w:lang w:val="sl-SI"/>
        </w:rPr>
        <w:t>nformacijsk</w:t>
      </w:r>
      <w:r>
        <w:rPr>
          <w:rFonts w:cs="Arial"/>
          <w:szCs w:val="20"/>
          <w:lang w:val="sl-SI"/>
        </w:rPr>
        <w:t>o</w:t>
      </w:r>
      <w:r w:rsidRPr="00D31B7E">
        <w:rPr>
          <w:rFonts w:cs="Arial"/>
          <w:szCs w:val="20"/>
          <w:lang w:val="sl-SI"/>
        </w:rPr>
        <w:t xml:space="preserve"> tehnologij</w:t>
      </w:r>
      <w:r>
        <w:rPr>
          <w:rFonts w:cs="Arial"/>
          <w:szCs w:val="20"/>
          <w:lang w:val="sl-SI"/>
        </w:rPr>
        <w:t>o</w:t>
      </w:r>
      <w:r w:rsidRPr="00D31B7E">
        <w:rPr>
          <w:rFonts w:cs="Arial"/>
          <w:szCs w:val="20"/>
          <w:lang w:val="sl-SI"/>
        </w:rPr>
        <w:t xml:space="preserve">. Na omenjeni način je torej prek veščaka za informacijsko </w:t>
      </w:r>
      <w:r>
        <w:rPr>
          <w:rFonts w:cs="Arial"/>
          <w:szCs w:val="20"/>
          <w:lang w:val="sl-SI"/>
        </w:rPr>
        <w:t>tehnologijo</w:t>
      </w:r>
      <w:r w:rsidRPr="00D31B7E">
        <w:rPr>
          <w:rFonts w:cs="Arial"/>
          <w:szCs w:val="20"/>
          <w:lang w:val="sl-SI"/>
        </w:rPr>
        <w:t xml:space="preserve"> omogočeno tudi drugim subjektom z izkazanim poglobljenim strokovnim znanjem </w:t>
      </w:r>
      <w:r>
        <w:rPr>
          <w:rFonts w:cs="Arial"/>
          <w:szCs w:val="20"/>
          <w:lang w:val="sl-SI"/>
        </w:rPr>
        <w:t>za</w:t>
      </w:r>
      <w:r w:rsidRPr="00D31B7E">
        <w:rPr>
          <w:rFonts w:cs="Arial"/>
          <w:szCs w:val="20"/>
          <w:lang w:val="sl-SI"/>
        </w:rPr>
        <w:t xml:space="preserve"> informacijsk</w:t>
      </w:r>
      <w:r>
        <w:rPr>
          <w:rFonts w:cs="Arial"/>
          <w:szCs w:val="20"/>
          <w:lang w:val="sl-SI"/>
        </w:rPr>
        <w:t>o</w:t>
      </w:r>
      <w:r w:rsidRPr="00D31B7E">
        <w:rPr>
          <w:rFonts w:cs="Arial"/>
          <w:szCs w:val="20"/>
          <w:lang w:val="sl-SI"/>
        </w:rPr>
        <w:t xml:space="preserve"> tehnologij</w:t>
      </w:r>
      <w:r>
        <w:rPr>
          <w:rFonts w:cs="Arial"/>
          <w:szCs w:val="20"/>
          <w:lang w:val="sl-SI"/>
        </w:rPr>
        <w:t>o</w:t>
      </w:r>
      <w:r w:rsidRPr="00D31B7E">
        <w:rPr>
          <w:rFonts w:cs="Arial"/>
          <w:szCs w:val="20"/>
          <w:lang w:val="sl-SI"/>
        </w:rPr>
        <w:t xml:space="preserve"> sodelovanje pri izvedbi ocene skladnosti (glej prvi odstavek 25. člena predloga ZInfV-1). Pomembni subjekti izvedejo le samooceno skladnosti, ki se lahko izvede tudi v okviru notranje revizije in ni nikjer izključeno sodelovanje veščakov (glej tretji odstavek 25. člena predloga ZInfV-1). Izvedba revizije, ki jo lahko izvede (le) revizor informacijske varnosti</w:t>
      </w:r>
      <w:r>
        <w:rPr>
          <w:rFonts w:cs="Arial"/>
          <w:szCs w:val="20"/>
          <w:lang w:val="sl-SI"/>
        </w:rPr>
        <w:t>,</w:t>
      </w:r>
      <w:r w:rsidRPr="00D31B7E">
        <w:rPr>
          <w:rFonts w:cs="Arial"/>
          <w:szCs w:val="20"/>
          <w:lang w:val="sl-SI"/>
        </w:rPr>
        <w:t xml:space="preserve"> je po predlogu ZInfV-1 </w:t>
      </w:r>
      <w:r>
        <w:rPr>
          <w:rFonts w:cs="Arial"/>
          <w:szCs w:val="20"/>
          <w:lang w:val="sl-SI"/>
        </w:rPr>
        <w:t>z</w:t>
      </w:r>
      <w:r w:rsidRPr="00D31B7E">
        <w:rPr>
          <w:rFonts w:cs="Arial"/>
          <w:szCs w:val="20"/>
          <w:lang w:val="sl-SI"/>
        </w:rPr>
        <w:t>daj omejena na primere, ko izvedbo revizije v postopkih inšpekcijskega nadzora zahteva inšpektor;</w:t>
      </w:r>
    </w:p>
    <w:p w14:paraId="5B13A8E6" w14:textId="77777777" w:rsidR="007B4338" w:rsidRPr="00D31B7E" w:rsidRDefault="007B4338" w:rsidP="007B4338">
      <w:pPr>
        <w:pStyle w:val="Odstavekseznama"/>
        <w:spacing w:after="240" w:line="276" w:lineRule="auto"/>
        <w:ind w:left="786"/>
        <w:jc w:val="both"/>
        <w:rPr>
          <w:rFonts w:cs="Arial"/>
          <w:szCs w:val="20"/>
          <w:lang w:val="sl-SI" w:eastAsia="sl-SI"/>
        </w:rPr>
      </w:pPr>
    </w:p>
    <w:p w14:paraId="20008C38"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 xml:space="preserve">k 7. členu (samoregistracija in seznam zavezancev) imajo splošno pripombo, da bi bilo smotrno ohraniti sistem, po katerem državni organi imenujejo zavezance, saj bo to bistveno pripomoglo k pravni varnosti. Pojasnjujemo, da gre </w:t>
      </w:r>
      <w:r>
        <w:rPr>
          <w:rFonts w:cs="Arial"/>
          <w:szCs w:val="20"/>
          <w:lang w:val="sl-SI" w:eastAsia="sl-SI"/>
        </w:rPr>
        <w:t>z</w:t>
      </w:r>
      <w:r w:rsidRPr="00D31B7E">
        <w:rPr>
          <w:rFonts w:cs="Arial"/>
          <w:szCs w:val="20"/>
          <w:lang w:val="sl-SI" w:eastAsia="sl-SI"/>
        </w:rPr>
        <w:t xml:space="preserve">daj za določbo 8. člena (samoregistracija in seznam zavezancev), ki v zvezi s podano pripombo ni ključen člen. Menimo, da bi bilo upoštevanje tega predloga v nasprotju z Direktivo </w:t>
      </w:r>
      <w:r w:rsidRPr="00D31B7E">
        <w:rPr>
          <w:rFonts w:cs="Arial"/>
          <w:szCs w:val="20"/>
          <w:lang w:val="sl-SI"/>
        </w:rPr>
        <w:t xml:space="preserve">2022/2555/EU in njenim namenom. Direktiva 2022/2555/EU namreč </w:t>
      </w:r>
      <w:r w:rsidRPr="00D31B7E">
        <w:rPr>
          <w:rFonts w:cs="Arial"/>
          <w:szCs w:val="20"/>
          <w:lang w:val="sl-SI" w:eastAsia="sl-SI"/>
        </w:rPr>
        <w:t xml:space="preserve">v splošnem temelji na samoprepoznavi bistvenih in pomembnih subjektov (to je bistvena razlika od prej veljavne direktive), le v nekaterih primerih pa ta direktiva določa, da države članice same identificirajo takšne subjekte (glej prvi in drugi odstavek 3. člena). </w:t>
      </w:r>
      <w:r w:rsidRPr="00D31B7E">
        <w:rPr>
          <w:rFonts w:cs="Arial"/>
          <w:szCs w:val="20"/>
          <w:lang w:val="sl-SI"/>
        </w:rPr>
        <w:t xml:space="preserve">Direktiva 2022/2555/EU pri tem </w:t>
      </w:r>
      <w:r w:rsidRPr="00D31B7E">
        <w:rPr>
          <w:rFonts w:cs="Arial"/>
          <w:szCs w:val="20"/>
          <w:lang w:val="sl-SI" w:eastAsia="sl-SI"/>
        </w:rPr>
        <w:t xml:space="preserve">dopušča, da države članice vzpostavijo nacionalne mehanizme za samoregistracijo zadevnih subjektov (glej zadnji stavek četrtega odstavka 3. člena Direktive </w:t>
      </w:r>
      <w:r w:rsidRPr="00D31B7E">
        <w:rPr>
          <w:rFonts w:cs="Arial"/>
          <w:szCs w:val="20"/>
          <w:lang w:val="sl-SI"/>
        </w:rPr>
        <w:t xml:space="preserve">2022/2555/EU). Posledično </w:t>
      </w:r>
      <w:r w:rsidRPr="00D31B7E">
        <w:rPr>
          <w:rFonts w:cs="Arial"/>
          <w:szCs w:val="20"/>
          <w:lang w:val="sl-SI" w:eastAsia="sl-SI"/>
        </w:rPr>
        <w:t xml:space="preserve">so tudi zavezanci, ki so bistveni in pomembni subjekti, pretežno določeni že s predlaganim zakonom. Tako so bistveni subjekti določeni že v točkah od 1 do 4 drugega odstavka 7. člena (bistveni in pomembni subjekti) </w:t>
      </w:r>
      <w:r>
        <w:rPr>
          <w:rFonts w:cs="Arial"/>
          <w:szCs w:val="20"/>
          <w:lang w:val="sl-SI" w:eastAsia="sl-SI"/>
        </w:rPr>
        <w:t xml:space="preserve">predlog ZInfV-1 </w:t>
      </w:r>
      <w:r w:rsidRPr="00D31B7E">
        <w:rPr>
          <w:rFonts w:cs="Arial"/>
          <w:szCs w:val="20"/>
          <w:lang w:val="sl-SI" w:eastAsia="sl-SI"/>
        </w:rPr>
        <w:t xml:space="preserve">in se kot taki samoprepoznajo, za določitev bistvenih subjektov iz 5. do 7. točke zadevne določbe pa je, kot je to iz njih jasno razvidno, potrebna njihova določitev s strani vlade. Navedeno je utemeljeno v Direktivi </w:t>
      </w:r>
      <w:r w:rsidRPr="00D31B7E">
        <w:rPr>
          <w:rFonts w:cs="Arial"/>
          <w:szCs w:val="20"/>
          <w:lang w:val="sl-SI"/>
        </w:rPr>
        <w:t>2022/2555/EU, pa tudi v nacionalnih določbah, ki upoštevajo, da gre za direktivo minimalne harmonizac</w:t>
      </w:r>
      <w:r>
        <w:rPr>
          <w:rFonts w:cs="Arial"/>
          <w:szCs w:val="20"/>
          <w:lang w:val="sl-SI"/>
        </w:rPr>
        <w:t>i</w:t>
      </w:r>
      <w:r w:rsidRPr="00D31B7E">
        <w:rPr>
          <w:rFonts w:cs="Arial"/>
          <w:szCs w:val="20"/>
          <w:lang w:val="sl-SI"/>
        </w:rPr>
        <w:t>je. P</w:t>
      </w:r>
      <w:r w:rsidRPr="00D31B7E">
        <w:rPr>
          <w:rFonts w:cs="Arial"/>
          <w:szCs w:val="20"/>
          <w:lang w:val="sl-SI" w:eastAsia="sl-SI"/>
        </w:rPr>
        <w:t>omembni subjekti pa so določeni v tretjem odstavku 7. člena predloga ZInfV-1 in se kot taki samoprepoznajo, razen tistih</w:t>
      </w:r>
      <w:r>
        <w:rPr>
          <w:rFonts w:cs="Arial"/>
          <w:szCs w:val="20"/>
          <w:lang w:val="sl-SI" w:eastAsia="sl-SI"/>
        </w:rPr>
        <w:t>,</w:t>
      </w:r>
      <w:r w:rsidRPr="00D31B7E">
        <w:rPr>
          <w:rFonts w:cs="Arial"/>
          <w:szCs w:val="20"/>
          <w:lang w:val="sl-SI" w:eastAsia="sl-SI"/>
        </w:rPr>
        <w:t xml:space="preserve"> za katere je v tej določbi izrecno navedeno, da jih določi vlada, kar je tudi utemeljeno v Direktivi </w:t>
      </w:r>
      <w:r w:rsidRPr="00D31B7E">
        <w:rPr>
          <w:rFonts w:cs="Arial"/>
          <w:szCs w:val="20"/>
          <w:lang w:val="sl-SI"/>
        </w:rPr>
        <w:t>2022/2555/EU in v nacionalnih določbah, ki upoštevajo, da gre za direktivo minimalne harmonizac</w:t>
      </w:r>
      <w:r>
        <w:rPr>
          <w:rFonts w:cs="Arial"/>
          <w:szCs w:val="20"/>
          <w:lang w:val="sl-SI"/>
        </w:rPr>
        <w:t>i</w:t>
      </w:r>
      <w:r w:rsidRPr="00D31B7E">
        <w:rPr>
          <w:rFonts w:cs="Arial"/>
          <w:szCs w:val="20"/>
          <w:lang w:val="sl-SI"/>
        </w:rPr>
        <w:t xml:space="preserve">je. </w:t>
      </w:r>
      <w:r w:rsidRPr="00D31B7E">
        <w:rPr>
          <w:rFonts w:cs="Arial"/>
          <w:szCs w:val="20"/>
          <w:lang w:val="sl-SI" w:eastAsia="sl-SI"/>
        </w:rPr>
        <w:t xml:space="preserve">Posledično subjekti ne postanejo zavezanci šele s samoregistracijo. Samoregistracija je sicer dodatna dolžnost zavezancev, ki jo zadevna direktiva dovoljuje, </w:t>
      </w:r>
      <w:r>
        <w:rPr>
          <w:rFonts w:cs="Arial"/>
          <w:szCs w:val="20"/>
          <w:lang w:val="sl-SI" w:eastAsia="sl-SI"/>
        </w:rPr>
        <w:t>in</w:t>
      </w:r>
      <w:r w:rsidRPr="00D31B7E">
        <w:rPr>
          <w:rFonts w:cs="Arial"/>
          <w:szCs w:val="20"/>
          <w:lang w:val="sl-SI" w:eastAsia="sl-SI"/>
        </w:rPr>
        <w:t xml:space="preserve"> je potrebna zaradi lažjega izvajanja predlaganega zakona s strani pristojnega nacionalnega organa;</w:t>
      </w:r>
    </w:p>
    <w:p w14:paraId="501008B9" w14:textId="77777777" w:rsidR="000A51A5" w:rsidRPr="00D31B7E" w:rsidRDefault="000A51A5" w:rsidP="000A51A5">
      <w:pPr>
        <w:pStyle w:val="Odstavekseznama"/>
        <w:spacing w:after="240" w:line="276" w:lineRule="auto"/>
        <w:ind w:left="360"/>
        <w:jc w:val="both"/>
        <w:rPr>
          <w:rFonts w:cs="Arial"/>
          <w:szCs w:val="20"/>
          <w:lang w:val="sl-SI" w:eastAsia="sl-SI"/>
        </w:rPr>
      </w:pPr>
    </w:p>
    <w:p w14:paraId="122B8CE2"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k četrtem</w:t>
      </w:r>
      <w:r>
        <w:rPr>
          <w:rFonts w:cs="Arial"/>
          <w:szCs w:val="20"/>
          <w:lang w:val="sl-SI" w:eastAsia="sl-SI"/>
        </w:rPr>
        <w:t>u</w:t>
      </w:r>
      <w:r w:rsidRPr="00D31B7E">
        <w:rPr>
          <w:rFonts w:cs="Arial"/>
          <w:szCs w:val="20"/>
          <w:lang w:val="sl-SI" w:eastAsia="sl-SI"/>
        </w:rPr>
        <w:t xml:space="preserve"> odstavku 45. člena (ocena skladnosti) predlagajo spremembo besedila, tako da bi se glasilo: »Revizor iz drugega odstavka tega člena za bistvenega ali pomembnega subjekta pripravi poročilo o izvedeni oceni skladnosti.« Pojasnjujemo, da je zadevna vsebina </w:t>
      </w:r>
      <w:r>
        <w:rPr>
          <w:rFonts w:cs="Arial"/>
          <w:szCs w:val="20"/>
          <w:lang w:val="sl-SI" w:eastAsia="sl-SI"/>
        </w:rPr>
        <w:t>z</w:t>
      </w:r>
      <w:r w:rsidRPr="00D31B7E">
        <w:rPr>
          <w:rFonts w:cs="Arial"/>
          <w:szCs w:val="20"/>
          <w:lang w:val="sl-SI" w:eastAsia="sl-SI"/>
        </w:rPr>
        <w:t xml:space="preserve">daj premeščena izven določb o nadzoru v vsebinski del zakona in gre </w:t>
      </w:r>
      <w:r>
        <w:rPr>
          <w:rFonts w:cs="Arial"/>
          <w:szCs w:val="20"/>
          <w:lang w:val="sl-SI" w:eastAsia="sl-SI"/>
        </w:rPr>
        <w:t>z</w:t>
      </w:r>
      <w:r w:rsidRPr="00D31B7E">
        <w:rPr>
          <w:rFonts w:cs="Arial"/>
          <w:szCs w:val="20"/>
          <w:lang w:val="sl-SI" w:eastAsia="sl-SI"/>
        </w:rPr>
        <w:t xml:space="preserve">daj za 25. člen (ocena in samoocena skladnosti) predloga ZInfV-1. Pri tem je </w:t>
      </w:r>
      <w:r w:rsidRPr="00D31B7E">
        <w:rPr>
          <w:rFonts w:cs="Arial"/>
          <w:szCs w:val="20"/>
          <w:lang w:val="sl-SI"/>
        </w:rPr>
        <w:t xml:space="preserve">vsebina tega člena </w:t>
      </w:r>
      <w:r>
        <w:rPr>
          <w:rFonts w:cs="Arial"/>
          <w:szCs w:val="20"/>
          <w:lang w:val="sl-SI"/>
        </w:rPr>
        <w:t>z</w:t>
      </w:r>
      <w:r w:rsidRPr="00D31B7E">
        <w:rPr>
          <w:rFonts w:cs="Arial"/>
          <w:szCs w:val="20"/>
          <w:lang w:val="sl-SI"/>
        </w:rPr>
        <w:t xml:space="preserve">daj manj obremenjujoča za zavezance kot predhodno. </w:t>
      </w:r>
      <w:r w:rsidRPr="00D31B7E">
        <w:rPr>
          <w:rFonts w:cs="Arial"/>
          <w:szCs w:val="20"/>
          <w:lang w:val="sl-SI" w:eastAsia="sl-SI"/>
        </w:rPr>
        <w:t xml:space="preserve">Prvi odstavek 25. člena se glede obveznosti izvajanja ocene skladnosti </w:t>
      </w:r>
      <w:r>
        <w:rPr>
          <w:rFonts w:cs="Arial"/>
          <w:szCs w:val="20"/>
          <w:lang w:val="sl-SI" w:eastAsia="sl-SI"/>
        </w:rPr>
        <w:t>z</w:t>
      </w:r>
      <w:r w:rsidRPr="00D31B7E">
        <w:rPr>
          <w:rFonts w:cs="Arial"/>
          <w:szCs w:val="20"/>
          <w:lang w:val="sl-SI" w:eastAsia="sl-SI"/>
        </w:rPr>
        <w:t xml:space="preserve">daj namreč nanaša le na bistvene subjekte, pri čemer </w:t>
      </w:r>
      <w:r w:rsidRPr="00D31B7E">
        <w:rPr>
          <w:rFonts w:cs="Arial"/>
          <w:szCs w:val="20"/>
          <w:lang w:val="sl-SI"/>
        </w:rPr>
        <w:t xml:space="preserve">revizor informacijskih sistemov ali notranji revizor pripravi poročilo o </w:t>
      </w:r>
      <w:r w:rsidRPr="00D31B7E">
        <w:rPr>
          <w:rFonts w:cs="Arial"/>
          <w:szCs w:val="20"/>
          <w:lang w:val="sl-SI"/>
        </w:rPr>
        <w:lastRenderedPageBreak/>
        <w:t>izvedeni oceni skladnosti. V primeru pomembnih subjektov, ki po tretjem odstavku 25. člena izvajajo le samooceno skladnosti, pa pomembni subjekt sestavi izjavo po četrtem odstavku (če je iz rezultatov opravljene samoocene skladnosti razvidno, da pomembni subjekt izpolnjuje zahteve</w:t>
      </w:r>
      <w:r>
        <w:rPr>
          <w:rFonts w:cs="Arial"/>
          <w:szCs w:val="20"/>
          <w:lang w:val="sl-SI"/>
        </w:rPr>
        <w:t>,</w:t>
      </w:r>
      <w:r w:rsidRPr="00D31B7E">
        <w:rPr>
          <w:rFonts w:cs="Arial"/>
          <w:szCs w:val="20"/>
          <w:lang w:val="sl-SI"/>
        </w:rPr>
        <w:t xml:space="preserve"> predpisane s tem zakonom) ali po petem odstavku (če je iz rezultatov opravljene samoocene skladnosti razvidno, da pomembni subjekt ne izpolnjuje zahteve</w:t>
      </w:r>
      <w:r>
        <w:rPr>
          <w:rFonts w:cs="Arial"/>
          <w:szCs w:val="20"/>
          <w:lang w:val="sl-SI"/>
        </w:rPr>
        <w:t>,</w:t>
      </w:r>
      <w:r w:rsidRPr="00D31B7E">
        <w:rPr>
          <w:rFonts w:cs="Arial"/>
          <w:szCs w:val="20"/>
          <w:lang w:val="sl-SI"/>
        </w:rPr>
        <w:t xml:space="preserve"> predpisane s tem zakonom) tega člena. </w:t>
      </w:r>
    </w:p>
    <w:p w14:paraId="2BC86E41" w14:textId="1C435B1F"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t>Pripombe Plinovod</w:t>
      </w:r>
      <w:r>
        <w:rPr>
          <w:rFonts w:cs="Arial"/>
          <w:szCs w:val="20"/>
          <w:lang w:val="sl-SI" w:eastAsia="sl-SI"/>
        </w:rPr>
        <w:t>ov</w:t>
      </w:r>
      <w:r w:rsidR="007B4338">
        <w:rPr>
          <w:rFonts w:cs="Arial"/>
          <w:szCs w:val="20"/>
          <w:lang w:val="sl-SI" w:eastAsia="sl-SI"/>
        </w:rPr>
        <w:t>:</w:t>
      </w:r>
    </w:p>
    <w:p w14:paraId="433A7746" w14:textId="77777777" w:rsidR="000A51A5"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rPr>
        <w:t>k prvem</w:t>
      </w:r>
      <w:r>
        <w:rPr>
          <w:rFonts w:cs="Arial"/>
          <w:szCs w:val="20"/>
          <w:lang w:val="sl-SI"/>
        </w:rPr>
        <w:t>u</w:t>
      </w:r>
      <w:r w:rsidRPr="00D31B7E">
        <w:rPr>
          <w:rFonts w:cs="Arial"/>
          <w:szCs w:val="20"/>
          <w:lang w:val="sl-SI"/>
        </w:rPr>
        <w:t xml:space="preserve"> odstavku 30. člena (dogovori o izmenjavi informacij o kibernetski varnosti) razmislek o dopolnitvi, ki bi opredelila načina izmenjave informacij med zavezanci, ki so sklenili dogovor, in SI-CERT oziroma URSIV. Predlagajo, da se za ta namen in za zagotovitev varne izmenjave občutljivih podatkov uporablja namenska digitalna platforma, ki jo za namen priglasitve incidentov implementirata URSIV in SI-CERT, na tovrstni platformi pa naj se tehnično zagotovi, da vsebino sporočenih informacij vidijo le sklenitelji dogovora o izmenjavi informacij o kibernetski varnosti in ne tudi upravitelji namenske platforme, </w:t>
      </w:r>
      <w:r>
        <w:rPr>
          <w:rFonts w:cs="Arial"/>
          <w:szCs w:val="20"/>
          <w:lang w:val="sl-SI"/>
        </w:rPr>
        <w:t>če</w:t>
      </w:r>
      <w:r w:rsidRPr="00D31B7E">
        <w:rPr>
          <w:rFonts w:cs="Arial"/>
          <w:szCs w:val="20"/>
          <w:lang w:val="sl-SI"/>
        </w:rPr>
        <w:t xml:space="preserve"> ta ni sklenitelj dogovora o izmenjavi informacij. Pojasnjujemo, da zadevno vsebino </w:t>
      </w:r>
      <w:r>
        <w:rPr>
          <w:rFonts w:cs="Arial"/>
          <w:szCs w:val="20"/>
          <w:lang w:val="sl-SI"/>
        </w:rPr>
        <w:t>z</w:t>
      </w:r>
      <w:r w:rsidRPr="00D31B7E">
        <w:rPr>
          <w:rFonts w:cs="Arial"/>
          <w:szCs w:val="20"/>
          <w:lang w:val="sl-SI"/>
        </w:rPr>
        <w:t xml:space="preserve">daj ureja predlog ZInfV-1 v 34. členu (dogovori o izmenjavi informacij o kibernetski varnosti), pri čemer smo predlog upoštevali delno na način, kot je to razvidno iz njegovega drugega in tretjega odstavka. </w:t>
      </w:r>
      <w:r w:rsidRPr="00D914BF">
        <w:rPr>
          <w:rFonts w:cs="Arial"/>
          <w:szCs w:val="20"/>
          <w:lang w:val="sl-SI"/>
        </w:rPr>
        <w:t>Pri tem drugi odstavek o taki izmenjavi določa, da</w:t>
      </w:r>
      <w:r>
        <w:rPr>
          <w:rFonts w:cs="Arial"/>
          <w:szCs w:val="20"/>
          <w:lang w:val="sl-SI"/>
        </w:rPr>
        <w:t xml:space="preserve"> se</w:t>
      </w:r>
      <w:r w:rsidRPr="00D914BF">
        <w:rPr>
          <w:rFonts w:cs="Arial"/>
          <w:szCs w:val="20"/>
          <w:lang w:val="sl-SI"/>
        </w:rPr>
        <w:t xml:space="preserve"> izvaja na podlagi dogovorov o izmenjavi informacij o kibernetski varnosti,</w:t>
      </w:r>
      <w:r w:rsidRPr="00D31B7E">
        <w:rPr>
          <w:rFonts w:cs="Arial"/>
          <w:szCs w:val="20"/>
          <w:lang w:val="sl-SI"/>
        </w:rPr>
        <w:t xml:space="preserve"> ob upoštevanju morebitne občutljive narave informacij, ki se izmenjujejo. Podatki, ki so predmet izmenjave, morajo biti ustrezno označeni s semaforskim protokolom. Pri sklenitvi dogovorov o izmenjavi informacij se upoštevajo dobre prakse in smernice ENISA. Po tretjem odstavku 34. člena predloga ZInfV-1 pa dogovori o izmenjavi informacij o kibernetski varnosti iz prejšnjega odstavka vsebujejo vsebine in pogoje za takšne dogovore ter lahko vključujejo tudi operativne elemente, vključno glede uporabe namenskih digitalnih platform in orodij za avtomatizacijo. Pristojni nacionalni organ spodbuja sklenitev takšnih dogovorov prek o</w:t>
      </w:r>
      <w:r>
        <w:rPr>
          <w:rFonts w:cs="Arial"/>
          <w:szCs w:val="20"/>
          <w:lang w:val="sl-SI"/>
        </w:rPr>
        <w:t>za</w:t>
      </w:r>
      <w:r w:rsidRPr="00D31B7E">
        <w:rPr>
          <w:rFonts w:cs="Arial"/>
          <w:szCs w:val="20"/>
          <w:lang w:val="sl-SI"/>
        </w:rPr>
        <w:t>veščanja zavezancev in z metodološko podporo pri sklenitvi dogovorov. Ostaja pa enaka vsebina kot do</w:t>
      </w:r>
      <w:r>
        <w:rPr>
          <w:rFonts w:cs="Arial"/>
          <w:szCs w:val="20"/>
          <w:lang w:val="sl-SI"/>
        </w:rPr>
        <w:t xml:space="preserve"> zdaj</w:t>
      </w:r>
      <w:r w:rsidRPr="00D31B7E">
        <w:rPr>
          <w:rFonts w:cs="Arial"/>
          <w:szCs w:val="20"/>
          <w:lang w:val="sl-SI"/>
        </w:rPr>
        <w:t xml:space="preserve"> v petem odstavku 34. člena predloga ZInfV-1, po katerem na zaprosilo zavezancev iz tega zakona pristojni nacionalni organ ali skupine CSIRT lahko sodelujejo pri posamičnem dogovoru iz prejšnjega odstavka in pri tem določijo pogoje glede informacij, ki jih dajo na voljo. Vse navedeno za zakonsko raven zadošča, podrobnosti bodo, ko</w:t>
      </w:r>
      <w:r>
        <w:rPr>
          <w:rFonts w:cs="Arial"/>
          <w:szCs w:val="20"/>
          <w:lang w:val="sl-SI"/>
        </w:rPr>
        <w:t>t</w:t>
      </w:r>
      <w:r w:rsidRPr="00D31B7E">
        <w:rPr>
          <w:rFonts w:cs="Arial"/>
          <w:szCs w:val="20"/>
          <w:lang w:val="sl-SI"/>
        </w:rPr>
        <w:t xml:space="preserve"> je razvidno iz določb</w:t>
      </w:r>
      <w:r>
        <w:rPr>
          <w:rFonts w:cs="Arial"/>
          <w:szCs w:val="20"/>
          <w:lang w:val="sl-SI"/>
        </w:rPr>
        <w:t>,</w:t>
      </w:r>
      <w:r w:rsidRPr="00D31B7E">
        <w:rPr>
          <w:rFonts w:cs="Arial"/>
          <w:szCs w:val="20"/>
          <w:lang w:val="sl-SI"/>
        </w:rPr>
        <w:t xml:space="preserve"> izhajale iz dogovorov</w:t>
      </w:r>
      <w:r>
        <w:rPr>
          <w:rFonts w:cs="Arial"/>
          <w:szCs w:val="20"/>
          <w:lang w:val="sl-SI"/>
        </w:rPr>
        <w:t>;</w:t>
      </w:r>
    </w:p>
    <w:p w14:paraId="5363D1A9" w14:textId="77777777" w:rsidR="007B4338" w:rsidRPr="00D31B7E" w:rsidRDefault="007B4338" w:rsidP="007B4338">
      <w:pPr>
        <w:pStyle w:val="Odstavekseznama"/>
        <w:spacing w:after="240" w:line="276" w:lineRule="auto"/>
        <w:ind w:left="786"/>
        <w:jc w:val="both"/>
        <w:rPr>
          <w:rFonts w:cs="Arial"/>
          <w:szCs w:val="20"/>
          <w:lang w:val="sl-SI"/>
        </w:rPr>
      </w:pPr>
    </w:p>
    <w:p w14:paraId="34FE9318"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rPr>
        <w:t xml:space="preserve"> k 45. členu (ocena skladnosti)</w:t>
      </w:r>
      <w:r>
        <w:rPr>
          <w:rFonts w:cs="Arial"/>
          <w:szCs w:val="20"/>
          <w:lang w:val="sl-SI"/>
        </w:rPr>
        <w:t xml:space="preserve"> pojasnujemo</w:t>
      </w:r>
      <w:r w:rsidRPr="00D31B7E">
        <w:rPr>
          <w:rFonts w:cs="Arial"/>
          <w:szCs w:val="20"/>
          <w:lang w:val="sl-SI" w:eastAsia="sl-SI"/>
        </w:rPr>
        <w:t xml:space="preserve">, da je zadevna vsebina </w:t>
      </w:r>
      <w:r>
        <w:rPr>
          <w:rFonts w:cs="Arial"/>
          <w:szCs w:val="20"/>
          <w:lang w:val="sl-SI" w:eastAsia="sl-SI"/>
        </w:rPr>
        <w:t>z</w:t>
      </w:r>
      <w:r w:rsidRPr="00D31B7E">
        <w:rPr>
          <w:rFonts w:cs="Arial"/>
          <w:szCs w:val="20"/>
          <w:lang w:val="sl-SI" w:eastAsia="sl-SI"/>
        </w:rPr>
        <w:t xml:space="preserve">daj premeščena izven določb o nadzoru v vsebinski del zakona, pri čemer je </w:t>
      </w:r>
      <w:r w:rsidRPr="00D31B7E">
        <w:rPr>
          <w:rFonts w:cs="Arial"/>
          <w:szCs w:val="20"/>
          <w:lang w:val="sl-SI"/>
        </w:rPr>
        <w:t xml:space="preserve">vsebina urejanja </w:t>
      </w:r>
      <w:r>
        <w:rPr>
          <w:rFonts w:cs="Arial"/>
          <w:szCs w:val="20"/>
          <w:lang w:val="sl-SI"/>
        </w:rPr>
        <w:t>z</w:t>
      </w:r>
      <w:r w:rsidRPr="00D31B7E">
        <w:rPr>
          <w:rFonts w:cs="Arial"/>
          <w:szCs w:val="20"/>
          <w:lang w:val="sl-SI"/>
        </w:rPr>
        <w:t>daj tudi manj obremenjujoča za zavezance</w:t>
      </w:r>
      <w:r w:rsidRPr="00D31B7E">
        <w:rPr>
          <w:rFonts w:cs="Arial"/>
          <w:szCs w:val="20"/>
          <w:lang w:val="sl-SI" w:eastAsia="sl-SI"/>
        </w:rPr>
        <w:t xml:space="preserve">, kot je to </w:t>
      </w:r>
      <w:r>
        <w:rPr>
          <w:rFonts w:cs="Arial"/>
          <w:szCs w:val="20"/>
          <w:lang w:val="sl-SI" w:eastAsia="sl-SI"/>
        </w:rPr>
        <w:t>z</w:t>
      </w:r>
      <w:r w:rsidRPr="00D31B7E">
        <w:rPr>
          <w:rFonts w:cs="Arial"/>
          <w:szCs w:val="20"/>
          <w:lang w:val="sl-SI" w:eastAsia="sl-SI"/>
        </w:rPr>
        <w:t>daj razvidno iz 25. člena (ocena in samoocena skladnosti) predloga ZInfV-1. Glede predlogov:</w:t>
      </w:r>
    </w:p>
    <w:p w14:paraId="255DD151"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naj se zaradi jasnosti dodatno opredeli metodologij</w:t>
      </w:r>
      <w:r>
        <w:rPr>
          <w:rFonts w:cs="Arial"/>
          <w:szCs w:val="20"/>
          <w:lang w:val="sl-SI"/>
        </w:rPr>
        <w:t>a</w:t>
      </w:r>
      <w:r w:rsidRPr="00D31B7E">
        <w:rPr>
          <w:rFonts w:cs="Arial"/>
          <w:szCs w:val="20"/>
          <w:lang w:val="sl-SI"/>
        </w:rPr>
        <w:t xml:space="preserve"> za oceno skladnosti in vključi</w:t>
      </w:r>
      <w:r>
        <w:rPr>
          <w:rFonts w:cs="Arial"/>
          <w:szCs w:val="20"/>
          <w:lang w:val="sl-SI"/>
        </w:rPr>
        <w:t>jo</w:t>
      </w:r>
      <w:r w:rsidRPr="00D31B7E">
        <w:rPr>
          <w:rFonts w:cs="Arial"/>
          <w:szCs w:val="20"/>
          <w:lang w:val="sl-SI"/>
        </w:rPr>
        <w:t xml:space="preserve"> navedbe o njenih obveznih vsebinah, ta predlog zavračamo kot nepotreben. Ocena skladnosti se </w:t>
      </w:r>
      <w:r>
        <w:rPr>
          <w:rFonts w:cs="Arial"/>
          <w:szCs w:val="20"/>
          <w:lang w:val="sl-SI"/>
        </w:rPr>
        <w:t>z</w:t>
      </w:r>
      <w:r w:rsidRPr="00D31B7E">
        <w:rPr>
          <w:rFonts w:cs="Arial"/>
          <w:szCs w:val="20"/>
          <w:lang w:val="sl-SI"/>
        </w:rPr>
        <w:t xml:space="preserve">daj zahteva le še za bistvene subjekte, kot je to </w:t>
      </w:r>
      <w:r>
        <w:rPr>
          <w:rFonts w:cs="Arial"/>
          <w:szCs w:val="20"/>
          <w:lang w:val="sl-SI"/>
        </w:rPr>
        <w:t>z</w:t>
      </w:r>
      <w:r w:rsidRPr="00D31B7E">
        <w:rPr>
          <w:rFonts w:cs="Arial"/>
          <w:szCs w:val="20"/>
          <w:lang w:val="sl-SI"/>
        </w:rPr>
        <w:t>daj razvidno iz prvega odstavka 25. člena predloga ZInfV-1 (pomembni subjekti). Pri tem je navedeno tudi, da se ocena skladnosti izvaja kot revizija skladnosti s predpisi s področja informacijske varnosti ali v okviru notranje revizije, ki se izvaja na podlagi drugih predpisov in vključuje tudi področje informacijske varnosti iz tega zakona in na podlagi tega zakona izdanih podzakonskih predpisov ali izvedbenih aktov Evropske komisije. Oceno skladnosti v okviru notranje revizije poleg revizorjev informacijskih sistemov lahko izvajajo tudi notranji revizorji v sodelovanju z veščakom za informacijsko tehnologijo. Revizor informacijskih sistemov ali notranji revizor pripravi poročilo o izvedeni oceni skladnosti. Prej navedeni izvajalci ocene skladnosti so strokovnjaki, za katere je jasno</w:t>
      </w:r>
      <w:r>
        <w:rPr>
          <w:rFonts w:cs="Arial"/>
          <w:szCs w:val="20"/>
          <w:lang w:val="sl-SI"/>
        </w:rPr>
        <w:t>,</w:t>
      </w:r>
      <w:r w:rsidRPr="00D31B7E">
        <w:rPr>
          <w:rFonts w:cs="Arial"/>
          <w:szCs w:val="20"/>
          <w:lang w:val="sl-SI"/>
        </w:rPr>
        <w:t xml:space="preserve"> za kaj gre, stroka pa pri tem uporablja</w:t>
      </w:r>
      <w:r>
        <w:rPr>
          <w:rFonts w:cs="Arial"/>
          <w:szCs w:val="20"/>
          <w:lang w:val="sl-SI"/>
        </w:rPr>
        <w:t xml:space="preserve"> </w:t>
      </w:r>
      <w:r w:rsidRPr="00D31B7E">
        <w:rPr>
          <w:rFonts w:cs="Arial"/>
          <w:szCs w:val="20"/>
          <w:lang w:val="sl-SI"/>
        </w:rPr>
        <w:t xml:space="preserve">tudi ustrezne standarde in ni </w:t>
      </w:r>
      <w:r>
        <w:rPr>
          <w:rFonts w:cs="Arial"/>
          <w:szCs w:val="20"/>
          <w:lang w:val="sl-SI"/>
        </w:rPr>
        <w:t>treba</w:t>
      </w:r>
      <w:r w:rsidRPr="00D31B7E">
        <w:rPr>
          <w:rFonts w:cs="Arial"/>
          <w:szCs w:val="20"/>
          <w:lang w:val="sl-SI"/>
        </w:rPr>
        <w:t xml:space="preserve"> nič doda</w:t>
      </w:r>
      <w:r>
        <w:rPr>
          <w:rFonts w:cs="Arial"/>
          <w:szCs w:val="20"/>
          <w:lang w:val="sl-SI"/>
        </w:rPr>
        <w:t>t</w:t>
      </w:r>
      <w:r w:rsidRPr="00D31B7E">
        <w:rPr>
          <w:rFonts w:cs="Arial"/>
          <w:szCs w:val="20"/>
          <w:lang w:val="sl-SI"/>
        </w:rPr>
        <w:t xml:space="preserve">no določati; </w:t>
      </w:r>
    </w:p>
    <w:p w14:paraId="1B33E2D9"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lastRenderedPageBreak/>
        <w:t>k petem</w:t>
      </w:r>
      <w:r>
        <w:rPr>
          <w:rFonts w:cs="Arial"/>
          <w:szCs w:val="20"/>
          <w:lang w:val="sl-SI"/>
        </w:rPr>
        <w:t>u</w:t>
      </w:r>
      <w:r w:rsidRPr="00D31B7E">
        <w:rPr>
          <w:rFonts w:cs="Arial"/>
          <w:szCs w:val="20"/>
          <w:lang w:val="sl-SI"/>
        </w:rPr>
        <w:t xml:space="preserve"> odstavku, da je treba zaradi razjasnitve dodatno opredeliti način pošiljanja poročila</w:t>
      </w:r>
      <w:r>
        <w:rPr>
          <w:rFonts w:cs="Arial"/>
          <w:szCs w:val="20"/>
          <w:lang w:val="sl-SI"/>
        </w:rPr>
        <w:t xml:space="preserve"> </w:t>
      </w:r>
      <w:r w:rsidRPr="00D31B7E">
        <w:rPr>
          <w:rFonts w:cs="Arial"/>
          <w:szCs w:val="20"/>
          <w:lang w:val="sl-SI"/>
        </w:rPr>
        <w:t>o izveden</w:t>
      </w:r>
      <w:r>
        <w:rPr>
          <w:rFonts w:cs="Arial"/>
          <w:szCs w:val="20"/>
          <w:lang w:val="sl-SI"/>
        </w:rPr>
        <w:t>i</w:t>
      </w:r>
      <w:r w:rsidRPr="00D31B7E">
        <w:rPr>
          <w:rFonts w:cs="Arial"/>
          <w:szCs w:val="20"/>
          <w:lang w:val="sl-SI"/>
        </w:rPr>
        <w:t xml:space="preserve"> oceni skladnosti, na katerem so lahko navedeni občutljivi podatki, ter opredeliti prejemnika poročila, </w:t>
      </w:r>
      <w:r>
        <w:rPr>
          <w:rFonts w:cs="Arial"/>
          <w:szCs w:val="20"/>
          <w:lang w:val="sl-SI"/>
        </w:rPr>
        <w:t>če</w:t>
      </w:r>
      <w:r w:rsidRPr="00D31B7E">
        <w:rPr>
          <w:rFonts w:cs="Arial"/>
          <w:szCs w:val="20"/>
          <w:lang w:val="sl-SI"/>
        </w:rPr>
        <w:t xml:space="preserve"> poročilo ni bilo izvedeno na zahtevo dotičnega inšpektorja, to pripombo zavračamo. Pojasnjujemo, da predlog 25. člena ne vsebuje več določbe o posredovanju poročila o izvedeni oceni skladnosti inšpektorju in že s tega vidika upoštevanje pripombe v tem členu ni potrebno. Je pa izpolnitev zakonskih obveznosti iz predlaganega 25. člena lahko predmet nadzora, kar inšpektor lahko preveri </w:t>
      </w:r>
      <w:r>
        <w:rPr>
          <w:rFonts w:cs="Arial"/>
          <w:szCs w:val="20"/>
          <w:lang w:val="sl-SI"/>
        </w:rPr>
        <w:t>ob</w:t>
      </w:r>
      <w:r w:rsidRPr="00D31B7E">
        <w:rPr>
          <w:rFonts w:cs="Arial"/>
          <w:szCs w:val="20"/>
          <w:lang w:val="sl-SI"/>
        </w:rPr>
        <w:t xml:space="preserve"> nadzoru. Dodatno še pojasnjujemo, da je način pošiljanja poročila o izvedeni oceni skladnosti in komu</w:t>
      </w:r>
      <w:r>
        <w:rPr>
          <w:rFonts w:cs="Arial"/>
          <w:szCs w:val="20"/>
          <w:lang w:val="sl-SI"/>
        </w:rPr>
        <w:t xml:space="preserve"> se pošilja</w:t>
      </w:r>
      <w:r w:rsidRPr="00D31B7E">
        <w:rPr>
          <w:rFonts w:cs="Arial"/>
          <w:szCs w:val="20"/>
          <w:lang w:val="sl-SI"/>
        </w:rPr>
        <w:t xml:space="preserve">, če zakon ne določa drugače, v vsakem primeru del poslovanja z dokumentarnim gradivom, kar subjekti za svoje potrebe določajo z internimi akti; </w:t>
      </w:r>
    </w:p>
    <w:p w14:paraId="3092712E" w14:textId="77777777" w:rsidR="000A51A5"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šestem</w:t>
      </w:r>
      <w:r>
        <w:rPr>
          <w:rFonts w:cs="Arial"/>
          <w:szCs w:val="20"/>
          <w:lang w:val="sl-SI"/>
        </w:rPr>
        <w:t>u</w:t>
      </w:r>
      <w:r w:rsidRPr="00D31B7E">
        <w:rPr>
          <w:rFonts w:cs="Arial"/>
          <w:szCs w:val="20"/>
          <w:lang w:val="sl-SI"/>
        </w:rPr>
        <w:t xml:space="preserve"> odstavku predlaga dodajanje besede </w:t>
      </w:r>
      <w:r>
        <w:rPr>
          <w:rFonts w:cs="Arial"/>
          <w:szCs w:val="20"/>
          <w:lang w:val="sl-SI"/>
        </w:rPr>
        <w:t>»</w:t>
      </w:r>
      <w:r w:rsidRPr="00D31B7E">
        <w:rPr>
          <w:rFonts w:cs="Arial"/>
          <w:szCs w:val="20"/>
          <w:lang w:val="sl-SI"/>
        </w:rPr>
        <w:t>odstavka</w:t>
      </w:r>
      <w:r>
        <w:rPr>
          <w:rFonts w:cs="Arial"/>
          <w:szCs w:val="20"/>
          <w:lang w:val="sl-SI"/>
        </w:rPr>
        <w:t>«</w:t>
      </w:r>
      <w:r w:rsidRPr="00D31B7E">
        <w:rPr>
          <w:rFonts w:cs="Arial"/>
          <w:szCs w:val="20"/>
          <w:lang w:val="sl-SI"/>
        </w:rPr>
        <w:t xml:space="preserve">, pri čemer gre </w:t>
      </w:r>
      <w:r>
        <w:rPr>
          <w:rFonts w:cs="Arial"/>
          <w:szCs w:val="20"/>
          <w:lang w:val="sl-SI"/>
        </w:rPr>
        <w:t xml:space="preserve">za </w:t>
      </w:r>
      <w:r w:rsidRPr="00D31B7E">
        <w:rPr>
          <w:rFonts w:cs="Arial"/>
          <w:szCs w:val="20"/>
          <w:lang w:val="sl-SI"/>
        </w:rPr>
        <w:t>redakcijski predlog popravka, katerega upoštevanje glede na besedilo 25. člena predloga ZInfV-1, ki takšne določbe ne vsebuje več, ni potrebno;</w:t>
      </w:r>
    </w:p>
    <w:p w14:paraId="7D0CBD16" w14:textId="77777777" w:rsidR="000A51A5" w:rsidRPr="00D31B7E" w:rsidRDefault="000A51A5" w:rsidP="000A51A5">
      <w:pPr>
        <w:pStyle w:val="Odstavekseznama"/>
        <w:widowControl w:val="0"/>
        <w:overflowPunct w:val="0"/>
        <w:autoSpaceDE w:val="0"/>
        <w:autoSpaceDN w:val="0"/>
        <w:adjustRightInd w:val="0"/>
        <w:spacing w:after="240" w:line="276" w:lineRule="auto"/>
        <w:ind w:left="786"/>
        <w:jc w:val="both"/>
        <w:textAlignment w:val="baseline"/>
        <w:rPr>
          <w:rFonts w:cs="Arial"/>
          <w:szCs w:val="20"/>
          <w:lang w:val="sl-SI"/>
        </w:rPr>
      </w:pPr>
    </w:p>
    <w:p w14:paraId="6CBEEADA"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k prvem</w:t>
      </w:r>
      <w:r>
        <w:rPr>
          <w:rFonts w:cs="Arial"/>
          <w:szCs w:val="20"/>
          <w:lang w:val="sl-SI"/>
        </w:rPr>
        <w:t>u</w:t>
      </w:r>
      <w:r w:rsidRPr="00D31B7E">
        <w:rPr>
          <w:rFonts w:cs="Arial"/>
          <w:szCs w:val="20"/>
          <w:lang w:val="sl-SI"/>
        </w:rPr>
        <w:t xml:space="preserve"> odstavku 53. člena (prekrški bistvenih subjektov) predlagajo, da se v zaključku navedenega odstavka doda stavek: »Globa ne sme predstavljati več kot 2 % skupnega letnega prometa pravne osebe v preteklem poslovnem letu.«, saj je glede na zapis globa lahko višja, kot je skupni letni promet pravne osebe v preteklem poslovnem letu. Pojasnjujemo, da je pri določanju zadevnih glob treba upoštevati določbe Direktive 2022/2555/EU, zato predlogu ni bilo mogoče slediti. Smo pa nekoliko (z vidika jasnosti) preoblikovali napovedni stavek prvega odstavka </w:t>
      </w:r>
      <w:r>
        <w:rPr>
          <w:rFonts w:cs="Arial"/>
          <w:szCs w:val="20"/>
          <w:lang w:val="sl-SI"/>
        </w:rPr>
        <w:t>z</w:t>
      </w:r>
      <w:r w:rsidRPr="00D31B7E">
        <w:rPr>
          <w:rFonts w:cs="Arial"/>
          <w:szCs w:val="20"/>
          <w:lang w:val="sl-SI"/>
        </w:rPr>
        <w:t xml:space="preserve">daj 52. člena (prekrški bistvenih subjektov) predloga ZInfV-1 tako, da se ta </w:t>
      </w:r>
      <w:r>
        <w:rPr>
          <w:rFonts w:cs="Arial"/>
          <w:szCs w:val="20"/>
          <w:lang w:val="sl-SI"/>
        </w:rPr>
        <w:t>z</w:t>
      </w:r>
      <w:r w:rsidRPr="00D31B7E">
        <w:rPr>
          <w:rFonts w:cs="Arial"/>
          <w:szCs w:val="20"/>
          <w:lang w:val="sl-SI"/>
        </w:rPr>
        <w:t>daj glasi: »Z globo v višini od 0,5 odstotka do 2 odstotka skupnega letnega prometa pravne osebe, doseženega v preteklem poslovnem letu, vendar ne manj kot 10.000 eurov in ne več kot 10.000.000 eurov, odvisno od tega, kateri znesek je višji, se kaznuje pravna oseba, če:«.</w:t>
      </w:r>
    </w:p>
    <w:p w14:paraId="7344A2C1" w14:textId="77777777" w:rsidR="000A51A5" w:rsidRPr="00D31B7E" w:rsidRDefault="000A51A5" w:rsidP="000A51A5">
      <w:pPr>
        <w:widowControl w:val="0"/>
        <w:overflowPunct w:val="0"/>
        <w:autoSpaceDE w:val="0"/>
        <w:autoSpaceDN w:val="0"/>
        <w:adjustRightInd w:val="0"/>
        <w:spacing w:after="240" w:line="276" w:lineRule="auto"/>
        <w:jc w:val="both"/>
        <w:textAlignment w:val="baseline"/>
        <w:rPr>
          <w:rFonts w:cs="Arial"/>
          <w:szCs w:val="20"/>
          <w:lang w:val="sl-SI"/>
        </w:rPr>
      </w:pPr>
      <w:bookmarkStart w:id="21" w:name="_Hlk192102914"/>
      <w:r w:rsidRPr="00D31B7E">
        <w:rPr>
          <w:rFonts w:cs="Arial"/>
          <w:szCs w:val="20"/>
          <w:lang w:val="sl-SI"/>
        </w:rPr>
        <w:t xml:space="preserve">Pripomba posameznika AA: </w:t>
      </w:r>
    </w:p>
    <w:p w14:paraId="2B24C62B"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podaja predlog za dodajanje novih zavezancev oziroma vrst storitev v sektor zdravstva in za urejanje drugih posebnosti glede na (posebna) tveganja zaradi vse večje digitalizacije v zdravstvu. Predlog zavračamo in pojasnjujemo, da takšno urejanje ni predmet</w:t>
      </w:r>
      <w:r>
        <w:rPr>
          <w:rFonts w:cs="Arial"/>
          <w:szCs w:val="20"/>
          <w:lang w:val="sl-SI"/>
        </w:rPr>
        <w:t xml:space="preserve"> </w:t>
      </w:r>
      <w:r w:rsidRPr="00D31B7E">
        <w:rPr>
          <w:rFonts w:cs="Arial"/>
          <w:szCs w:val="20"/>
          <w:lang w:val="sl-SI"/>
        </w:rPr>
        <w:t>predlaganega zakona. Urejanje posebnosti v zdravstvenem sektorju oziroma posebnosti zaradi digitalizacije v zdravstvu je predmet posebnega zakona (o digitalizaciji zdravstva). Predlagani ZInfV-1 je namreč splošen (sistemski) zakon na področju informacijske varnosti in ureja področje informacijske varnosti za vse sektorje, ki jih zajema (vključno zdravstveni), ob hkratnem prenosu Direktive 2022/2555/EU. Predlagani ZInfV-1, ki je horizontalne narave, je torej tisti minimum, ki ga je treba upoštevati v vseh sektorjih. Kar je posebno oziroma več</w:t>
      </w:r>
      <w:r>
        <w:rPr>
          <w:rFonts w:cs="Arial"/>
          <w:szCs w:val="20"/>
          <w:lang w:val="sl-SI"/>
        </w:rPr>
        <w:t>,</w:t>
      </w:r>
      <w:r w:rsidRPr="00D31B7E">
        <w:rPr>
          <w:rFonts w:cs="Arial"/>
          <w:szCs w:val="20"/>
          <w:lang w:val="sl-SI"/>
        </w:rPr>
        <w:t xml:space="preserve"> pa za posamezni sektor ureja področna EU ali druga nacionalna zakonodaja. </w:t>
      </w:r>
    </w:p>
    <w:p w14:paraId="3CD3236F" w14:textId="376F173D" w:rsidR="000A51A5" w:rsidRPr="00D31B7E" w:rsidRDefault="000A51A5" w:rsidP="000A51A5">
      <w:pPr>
        <w:spacing w:after="240" w:line="276" w:lineRule="auto"/>
        <w:jc w:val="both"/>
        <w:rPr>
          <w:rFonts w:cs="Arial"/>
          <w:szCs w:val="20"/>
          <w:lang w:val="sl-SI"/>
        </w:rPr>
      </w:pPr>
      <w:bookmarkStart w:id="22" w:name="_Hlk192173247"/>
      <w:bookmarkEnd w:id="21"/>
      <w:r w:rsidRPr="00D31B7E">
        <w:rPr>
          <w:rFonts w:cs="Arial"/>
          <w:szCs w:val="20"/>
          <w:lang w:val="sl-SI" w:eastAsia="sl-SI"/>
        </w:rPr>
        <w:t>Pripombe posameznika BB</w:t>
      </w:r>
      <w:r w:rsidR="007B4338">
        <w:rPr>
          <w:rFonts w:cs="Arial"/>
          <w:szCs w:val="20"/>
          <w:lang w:val="sl-SI" w:eastAsia="sl-SI"/>
        </w:rPr>
        <w:t>:</w:t>
      </w:r>
    </w:p>
    <w:p w14:paraId="0B031B90"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eastAsia="sl-SI"/>
        </w:rPr>
        <w:t xml:space="preserve"> gre </w:t>
      </w:r>
      <w:r>
        <w:rPr>
          <w:rFonts w:cs="Arial"/>
          <w:szCs w:val="20"/>
          <w:lang w:val="sl-SI" w:eastAsia="sl-SI"/>
        </w:rPr>
        <w:t xml:space="preserve">za </w:t>
      </w:r>
      <w:r w:rsidRPr="00D31B7E">
        <w:rPr>
          <w:rFonts w:cs="Arial"/>
          <w:szCs w:val="20"/>
          <w:lang w:val="sl-SI" w:eastAsia="sl-SI"/>
        </w:rPr>
        <w:t xml:space="preserve">besedilo v angleščini, ki se sklicuje na dopis, ki naj bi bil v priponki </w:t>
      </w:r>
      <w:r>
        <w:rPr>
          <w:rFonts w:cs="Arial"/>
          <w:szCs w:val="20"/>
          <w:lang w:val="sl-SI" w:eastAsia="sl-SI"/>
        </w:rPr>
        <w:t>ter</w:t>
      </w:r>
      <w:r w:rsidRPr="00D31B7E">
        <w:rPr>
          <w:rFonts w:cs="Arial"/>
          <w:szCs w:val="20"/>
          <w:lang w:val="sl-SI" w:eastAsia="sl-SI"/>
        </w:rPr>
        <w:t xml:space="preserve"> se nanašal na 28. člen </w:t>
      </w:r>
      <w:r w:rsidRPr="00D31B7E">
        <w:rPr>
          <w:rFonts w:cs="Arial"/>
          <w:szCs w:val="20"/>
          <w:lang w:val="sl-SI"/>
        </w:rPr>
        <w:t>(Podatkovna zbirka o registraciji domenskih imen) Direktive 2022/2555/EU</w:t>
      </w:r>
      <w:r w:rsidRPr="00D31B7E">
        <w:rPr>
          <w:rFonts w:cs="Arial"/>
          <w:szCs w:val="20"/>
          <w:lang w:val="sl-SI" w:eastAsia="sl-SI"/>
        </w:rPr>
        <w:t xml:space="preserve"> in na sistem imenskih imen, pri čemer te priponke nismo prejeli. Glede na spremno besedilo </w:t>
      </w:r>
      <w:r>
        <w:rPr>
          <w:rFonts w:cs="Arial"/>
          <w:szCs w:val="20"/>
          <w:lang w:val="sl-SI" w:eastAsia="sl-SI"/>
        </w:rPr>
        <w:t>i</w:t>
      </w:r>
      <w:r w:rsidRPr="00D31B7E">
        <w:rPr>
          <w:rFonts w:cs="Arial"/>
          <w:szCs w:val="20"/>
          <w:lang w:val="sl-SI" w:eastAsia="sl-SI"/>
        </w:rPr>
        <w:t>zgleda</w:t>
      </w:r>
      <w:r>
        <w:rPr>
          <w:rFonts w:cs="Arial"/>
          <w:szCs w:val="20"/>
          <w:lang w:val="sl-SI" w:eastAsia="sl-SI"/>
        </w:rPr>
        <w:t>,</w:t>
      </w:r>
      <w:r w:rsidRPr="00D31B7E">
        <w:rPr>
          <w:rFonts w:cs="Arial"/>
          <w:szCs w:val="20"/>
          <w:lang w:val="sl-SI" w:eastAsia="sl-SI"/>
        </w:rPr>
        <w:t xml:space="preserve"> kot da gre za pripombe COA (opisano zgoraj), vendar nepodpisano in brez priponke. Zato s tem v zvezi napotujemo na naša stališča zgoraj v zvezi s pripombami COA</w:t>
      </w:r>
      <w:bookmarkEnd w:id="22"/>
      <w:r>
        <w:rPr>
          <w:rFonts w:cs="Arial"/>
          <w:szCs w:val="20"/>
          <w:lang w:val="sl-SI" w:eastAsia="sl-SI"/>
        </w:rPr>
        <w:t>.</w:t>
      </w:r>
    </w:p>
    <w:p w14:paraId="11F536ED" w14:textId="77777777" w:rsidR="007B4338" w:rsidRDefault="007B4338">
      <w:pPr>
        <w:spacing w:line="240" w:lineRule="auto"/>
        <w:rPr>
          <w:rFonts w:cs="Arial"/>
          <w:szCs w:val="20"/>
          <w:lang w:val="sl-SI" w:eastAsia="sl-SI"/>
        </w:rPr>
      </w:pPr>
      <w:r>
        <w:rPr>
          <w:rFonts w:cs="Arial"/>
          <w:szCs w:val="20"/>
          <w:lang w:val="sl-SI" w:eastAsia="sl-SI"/>
        </w:rPr>
        <w:br w:type="page"/>
      </w:r>
    </w:p>
    <w:p w14:paraId="11452CAC" w14:textId="235F16AA"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lastRenderedPageBreak/>
        <w:t>Pripombe SI-CERT:</w:t>
      </w:r>
    </w:p>
    <w:p w14:paraId="25CF6F4B" w14:textId="77777777" w:rsidR="000A51A5" w:rsidRPr="00D31B7E" w:rsidRDefault="000A51A5" w:rsidP="000A51A5">
      <w:pPr>
        <w:pStyle w:val="Odstavek"/>
        <w:numPr>
          <w:ilvl w:val="0"/>
          <w:numId w:val="17"/>
        </w:numPr>
        <w:shd w:val="clear" w:color="auto" w:fill="FFFFFF"/>
        <w:spacing w:after="240" w:line="276" w:lineRule="auto"/>
        <w:ind w:left="786"/>
      </w:pPr>
      <w:r w:rsidRPr="00D31B7E">
        <w:rPr>
          <w:lang w:eastAsia="sl-SI"/>
        </w:rPr>
        <w:t>k prvi alineji prvega odstavk</w:t>
      </w:r>
      <w:r>
        <w:rPr>
          <w:lang w:eastAsia="sl-SI"/>
        </w:rPr>
        <w:t>a</w:t>
      </w:r>
      <w:r w:rsidRPr="00D31B7E">
        <w:rPr>
          <w:lang w:eastAsia="sl-SI"/>
        </w:rPr>
        <w:t xml:space="preserve"> 12. člena </w:t>
      </w:r>
      <w:r w:rsidRPr="00D31B7E">
        <w:t xml:space="preserve">(skupine za odzivanje na incidente na področju računalniške varnosti (skupine CSIRT)) predlaga, naj se dikcija »CSIRT SI-CERT, ki deluje kot notranja organizacijska enota pri javnem infrastrukturnem zavodu Akademska in raziskovalna mreža Slovenije« spremeni v: </w:t>
      </w:r>
      <w:r>
        <w:t>»</w:t>
      </w:r>
      <w:r w:rsidRPr="00D31B7E">
        <w:t>nacionalna CSIRT skupina je SI-CERT pri javnem zavodu Akademska in raziskovalna mreža Slovenije</w:t>
      </w:r>
      <w:r>
        <w:t>«</w:t>
      </w:r>
      <w:r w:rsidRPr="00D31B7E">
        <w:t>. Navaja, da je SI-CERT uradno ime</w:t>
      </w:r>
      <w:r>
        <w:t>,</w:t>
      </w:r>
      <w:r w:rsidRPr="00D31B7E">
        <w:t xml:space="preserve"> navedeno že v </w:t>
      </w:r>
      <w:r>
        <w:t>veljavni</w:t>
      </w:r>
      <w:r w:rsidRPr="00D31B7E">
        <w:t xml:space="preserve"> zakonodaji in strateških dokumentih. Pod tem imenom je SI-CERT registriran kot nacionalna CSIRT skupina v združenju FIRST in v Mreži CSIRT. Poimenovanje </w:t>
      </w:r>
      <w:r>
        <w:t>»</w:t>
      </w:r>
      <w:r w:rsidRPr="00D31B7E">
        <w:t>CSIRT SI-CERT</w:t>
      </w:r>
      <w:r>
        <w:t>«</w:t>
      </w:r>
      <w:r w:rsidRPr="00D31B7E">
        <w:t xml:space="preserve"> je prvič uporabljeno, </w:t>
      </w:r>
      <w:r>
        <w:t>ne</w:t>
      </w:r>
      <w:r w:rsidRPr="00D31B7E">
        <w:t xml:space="preserve"> da bi bilo jasno</w:t>
      </w:r>
      <w:r>
        <w:t>,</w:t>
      </w:r>
      <w:r w:rsidRPr="00D31B7E">
        <w:t xml:space="preserve"> zakaj. Hkrati gre pa za podvajanje pojma, saj sta pojma CSIRT in CERT sopomenki. Povsod drugod (v drugih členih) pa naj se izraz zamenja z </w:t>
      </w:r>
      <w:r>
        <w:t>»</w:t>
      </w:r>
      <w:r w:rsidRPr="00D31B7E">
        <w:t>nacionalni</w:t>
      </w:r>
      <w:r>
        <w:t>m</w:t>
      </w:r>
      <w:r w:rsidRPr="00D31B7E">
        <w:t xml:space="preserve"> CSIRT</w:t>
      </w:r>
      <w:r>
        <w:t>«</w:t>
      </w:r>
      <w:r w:rsidRPr="00D31B7E">
        <w:t xml:space="preserve"> ali preprosto </w:t>
      </w:r>
      <w:r>
        <w:t>»</w:t>
      </w:r>
      <w:r w:rsidRPr="00D31B7E">
        <w:t>SI-CERT</w:t>
      </w:r>
      <w:r>
        <w:t>«</w:t>
      </w:r>
      <w:r w:rsidRPr="00D31B7E">
        <w:t xml:space="preserve">. Pojasnjujemo, da zadevno vsebino </w:t>
      </w:r>
      <w:r>
        <w:t>z</w:t>
      </w:r>
      <w:r w:rsidRPr="00D31B7E">
        <w:t>daj urejata 13. (skupine za odzivanje na incidente na področju računalniške varnosti) člen in prehodna določba 59. (skupne CSIRT) člena predloga ZInfV-1. Pri tem določbe 13. člena predloga ZInfV-1 posameznih skupin CSIRT ne navajajo</w:t>
      </w:r>
      <w:r w:rsidRPr="00164BA4">
        <w:t xml:space="preserve"> </w:t>
      </w:r>
      <w:r w:rsidRPr="00D31B7E">
        <w:t xml:space="preserve">več, temveč prvi odstavek navedenega člena določa, da skupine CSIRT in njihove pristojnosti za obravnavo incidentov posameznih skupin zavezanih subjektov določi vlada. </w:t>
      </w:r>
      <w:r>
        <w:t>P</w:t>
      </w:r>
      <w:r w:rsidRPr="00D31B7E">
        <w:t xml:space="preserve">ripomba </w:t>
      </w:r>
      <w:r>
        <w:t xml:space="preserve">je </w:t>
      </w:r>
      <w:r w:rsidRPr="00D31B7E">
        <w:t xml:space="preserve">upoštevana na način, kot je to </w:t>
      </w:r>
      <w:r>
        <w:t>z</w:t>
      </w:r>
      <w:r w:rsidRPr="00D31B7E">
        <w:t xml:space="preserve">daj razvidno iz 59. člena predloga ZInfV-1, ki določa, da do določitve skupin CSIRT iz prvega odstavka 13. člena tega zakona njihove naloge izvajata SIGOV-CERT in SI-CERT (torej skupini, ki že delujeta po ZInfV) </w:t>
      </w:r>
      <w:r>
        <w:t>ter</w:t>
      </w:r>
      <w:r w:rsidRPr="00D31B7E">
        <w:t xml:space="preserve"> obema pripisuje tam določene naloge. Druga alineja prej navedenega člena predloga ZInfV-1 pri tem opredeljuje: »SI-CERT, ki deluje kot notranja organizacijska enota pri javnem infrastrukturnem zavodu Akademska</w:t>
      </w:r>
      <w:r>
        <w:t>,</w:t>
      </w:r>
      <w:r w:rsidRPr="00D31B7E">
        <w:t xml:space="preserve"> in raziskovalna mreža Slovenije«.; </w:t>
      </w:r>
    </w:p>
    <w:p w14:paraId="21ED5B8D" w14:textId="77777777" w:rsidR="000A51A5"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 xml:space="preserve">k 13. členu </w:t>
      </w:r>
      <w:r>
        <w:rPr>
          <w:rFonts w:cs="Arial"/>
          <w:szCs w:val="20"/>
          <w:lang w:val="sl-SI" w:eastAsia="sl-SI"/>
        </w:rPr>
        <w:t>omenja</w:t>
      </w:r>
      <w:r w:rsidRPr="00D31B7E">
        <w:rPr>
          <w:rFonts w:cs="Arial"/>
          <w:szCs w:val="20"/>
          <w:lang w:val="sl-SI" w:eastAsia="sl-SI"/>
        </w:rPr>
        <w:t xml:space="preserve"> potrebo po jasni opredelitvi finančnih posledic zahtev, ki izhajajo iz te določbe za SI-CERT, kar je sicer posledica zahtev iz Direktive </w:t>
      </w:r>
      <w:r w:rsidRPr="00D31B7E">
        <w:rPr>
          <w:rFonts w:cs="Arial"/>
          <w:szCs w:val="20"/>
          <w:lang w:val="sl-SI"/>
        </w:rPr>
        <w:t>2022/2555/EU</w:t>
      </w:r>
      <w:r w:rsidRPr="00D31B7E">
        <w:rPr>
          <w:rFonts w:cs="Arial"/>
          <w:szCs w:val="20"/>
          <w:lang w:val="sl-SI" w:eastAsia="sl-SI"/>
        </w:rPr>
        <w:t>. Pojasnjujemo, da je bil s tem v zvezi SI-CERT posebej pozvan, da na URSIV posreduje za njih relevantne podatke oziroma informacije o teh finančnih posledicah, kar je bilo ob pripravi gradiva za predlog ZInfV-1 upoštevano;</w:t>
      </w:r>
    </w:p>
    <w:p w14:paraId="29DDF8C1" w14:textId="77777777" w:rsidR="000A51A5" w:rsidRPr="00D31B7E" w:rsidRDefault="000A51A5" w:rsidP="000A51A5">
      <w:pPr>
        <w:pStyle w:val="Odstavekseznama"/>
        <w:spacing w:after="240" w:line="276" w:lineRule="auto"/>
        <w:ind w:left="786"/>
        <w:jc w:val="both"/>
        <w:rPr>
          <w:rFonts w:cs="Arial"/>
          <w:szCs w:val="20"/>
          <w:lang w:val="sl-SI" w:eastAsia="sl-SI"/>
        </w:rPr>
      </w:pPr>
    </w:p>
    <w:p w14:paraId="439CD75C" w14:textId="77777777" w:rsidR="000A51A5"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k devetem</w:t>
      </w:r>
      <w:r>
        <w:rPr>
          <w:rFonts w:cs="Arial"/>
          <w:szCs w:val="20"/>
          <w:lang w:val="sl-SI" w:eastAsia="sl-SI"/>
        </w:rPr>
        <w:t>u</w:t>
      </w:r>
      <w:r w:rsidRPr="00D31B7E">
        <w:rPr>
          <w:rFonts w:cs="Arial"/>
          <w:szCs w:val="20"/>
          <w:lang w:val="sl-SI" w:eastAsia="sl-SI"/>
        </w:rPr>
        <w:t xml:space="preserve"> odstavku 14. člena</w:t>
      </w:r>
      <w:r>
        <w:rPr>
          <w:rFonts w:cs="Arial"/>
          <w:szCs w:val="20"/>
          <w:lang w:val="sl-SI" w:eastAsia="sl-SI"/>
        </w:rPr>
        <w:t>,</w:t>
      </w:r>
      <w:r w:rsidRPr="00D31B7E">
        <w:rPr>
          <w:rFonts w:cs="Arial"/>
          <w:szCs w:val="20"/>
          <w:lang w:val="sl-SI" w:eastAsia="sl-SI"/>
        </w:rPr>
        <w:t xml:space="preserve"> po katerem skup</w:t>
      </w:r>
      <w:r>
        <w:rPr>
          <w:rFonts w:cs="Arial"/>
          <w:szCs w:val="20"/>
          <w:lang w:val="sl-SI" w:eastAsia="sl-SI"/>
        </w:rPr>
        <w:t>i</w:t>
      </w:r>
      <w:r w:rsidRPr="00D31B7E">
        <w:rPr>
          <w:rFonts w:cs="Arial"/>
          <w:szCs w:val="20"/>
          <w:lang w:val="sl-SI" w:eastAsia="sl-SI"/>
        </w:rPr>
        <w:t xml:space="preserve">ne CSIRT </w:t>
      </w:r>
      <w:r>
        <w:rPr>
          <w:rFonts w:cs="Arial"/>
          <w:szCs w:val="20"/>
          <w:lang w:val="sl-SI" w:eastAsia="sl-SI"/>
        </w:rPr>
        <w:t>»</w:t>
      </w:r>
      <w:r w:rsidRPr="00D31B7E">
        <w:rPr>
          <w:rFonts w:cs="Arial"/>
          <w:szCs w:val="20"/>
          <w:lang w:val="sl-SI" w:eastAsia="sl-SI"/>
        </w:rPr>
        <w:t>lahko izvajajo programe ozaveščanja«, predlaga, da se to opredeli kot nalogo</w:t>
      </w:r>
      <w:r>
        <w:rPr>
          <w:rFonts w:cs="Arial"/>
          <w:szCs w:val="20"/>
          <w:lang w:val="sl-SI" w:eastAsia="sl-SI"/>
        </w:rPr>
        <w:t>,</w:t>
      </w:r>
      <w:r w:rsidRPr="00D31B7E">
        <w:rPr>
          <w:rFonts w:cs="Arial"/>
          <w:szCs w:val="20"/>
          <w:lang w:val="sl-SI" w:eastAsia="sl-SI"/>
        </w:rPr>
        <w:t xml:space="preserve"> podobno kot do</w:t>
      </w:r>
      <w:r>
        <w:rPr>
          <w:rFonts w:cs="Arial"/>
          <w:szCs w:val="20"/>
          <w:lang w:val="sl-SI" w:eastAsia="sl-SI"/>
        </w:rPr>
        <w:t xml:space="preserve"> zdaj</w:t>
      </w:r>
      <w:r w:rsidRPr="00D31B7E">
        <w:rPr>
          <w:rFonts w:cs="Arial"/>
          <w:szCs w:val="20"/>
          <w:lang w:val="sl-SI" w:eastAsia="sl-SI"/>
        </w:rPr>
        <w:t xml:space="preserve"> v ZInfV, ki določa, da SI-CERT izvaja nacionalni program ozaveščanja. Sicer se lahko pojavi pravna negotovost pri financiranju izredno uspešnega programa, pri čemer pojasnjuje, da gre za program Varni na internetu, ki je deležen številnih nagrad doma in v tujini. Tako menijo, četudi je smiselno ozaveščanje uvrstiti v strategijo. Pojasnjujemo, da je bila pripomba upoštevana z brisanjem besede »lahko«</w:t>
      </w:r>
      <w:r>
        <w:rPr>
          <w:rFonts w:cs="Arial"/>
          <w:szCs w:val="20"/>
          <w:lang w:val="sl-SI" w:eastAsia="sl-SI"/>
        </w:rPr>
        <w:t>,</w:t>
      </w:r>
      <w:r w:rsidRPr="00D31B7E">
        <w:rPr>
          <w:rFonts w:cs="Arial"/>
          <w:szCs w:val="20"/>
          <w:lang w:val="sl-SI" w:eastAsia="sl-SI"/>
        </w:rPr>
        <w:t xml:space="preserve"> in sicer na način, kot to </w:t>
      </w:r>
      <w:r>
        <w:rPr>
          <w:rFonts w:cs="Arial"/>
          <w:szCs w:val="20"/>
          <w:lang w:val="sl-SI" w:eastAsia="sl-SI"/>
        </w:rPr>
        <w:t>z</w:t>
      </w:r>
      <w:r w:rsidRPr="00D31B7E">
        <w:rPr>
          <w:rFonts w:cs="Arial"/>
          <w:szCs w:val="20"/>
          <w:lang w:val="sl-SI" w:eastAsia="sl-SI"/>
        </w:rPr>
        <w:t xml:space="preserve">daj izhaja iz devetega odstavka 15. člena (naloge skupin CSIRT) predloga ZInfV-1, ki se glasi: »Skupine CSIRT iz prvega odstavka 13. člena tega zakona izvajajo tudi programe ozaveščanja v skladu s </w:t>
      </w:r>
      <w:r>
        <w:rPr>
          <w:rFonts w:cs="Arial"/>
          <w:szCs w:val="20"/>
          <w:lang w:val="sl-SI" w:eastAsia="sl-SI"/>
        </w:rPr>
        <w:t>s</w:t>
      </w:r>
      <w:r w:rsidRPr="00D31B7E">
        <w:rPr>
          <w:rFonts w:cs="Arial"/>
          <w:szCs w:val="20"/>
          <w:lang w:val="sl-SI" w:eastAsia="sl-SI"/>
        </w:rPr>
        <w:t xml:space="preserve">trategijo kibernetske varnosti.«; </w:t>
      </w:r>
    </w:p>
    <w:p w14:paraId="72FEB6B1" w14:textId="77777777" w:rsidR="000A51A5" w:rsidRPr="00463DB9" w:rsidRDefault="000A51A5" w:rsidP="000A51A5">
      <w:pPr>
        <w:pStyle w:val="Odstavekseznama"/>
        <w:rPr>
          <w:rFonts w:cs="Arial"/>
          <w:szCs w:val="20"/>
          <w:lang w:val="sl-SI" w:eastAsia="sl-SI"/>
        </w:rPr>
      </w:pPr>
    </w:p>
    <w:p w14:paraId="30B38F13" w14:textId="77777777" w:rsidR="000A51A5"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eastAsia="sl-SI"/>
        </w:rPr>
        <w:t>k šestem</w:t>
      </w:r>
      <w:r>
        <w:rPr>
          <w:rFonts w:cs="Arial"/>
          <w:szCs w:val="20"/>
          <w:lang w:val="sl-SI" w:eastAsia="sl-SI"/>
        </w:rPr>
        <w:t>u</w:t>
      </w:r>
      <w:r w:rsidRPr="00D31B7E">
        <w:rPr>
          <w:rFonts w:cs="Arial"/>
          <w:szCs w:val="20"/>
          <w:lang w:val="sl-SI" w:eastAsia="sl-SI"/>
        </w:rPr>
        <w:t>, sedmem</w:t>
      </w:r>
      <w:r>
        <w:rPr>
          <w:rFonts w:cs="Arial"/>
          <w:szCs w:val="20"/>
          <w:lang w:val="sl-SI" w:eastAsia="sl-SI"/>
        </w:rPr>
        <w:t>u</w:t>
      </w:r>
      <w:r w:rsidRPr="00D31B7E">
        <w:rPr>
          <w:rFonts w:cs="Arial"/>
          <w:szCs w:val="20"/>
          <w:lang w:val="sl-SI" w:eastAsia="sl-SI"/>
        </w:rPr>
        <w:t xml:space="preserve"> in osmem</w:t>
      </w:r>
      <w:r>
        <w:rPr>
          <w:rFonts w:cs="Arial"/>
          <w:szCs w:val="20"/>
          <w:lang w:val="sl-SI" w:eastAsia="sl-SI"/>
        </w:rPr>
        <w:t>u</w:t>
      </w:r>
      <w:r w:rsidRPr="00D31B7E">
        <w:rPr>
          <w:rFonts w:cs="Arial"/>
          <w:szCs w:val="20"/>
          <w:lang w:val="sl-SI" w:eastAsia="sl-SI"/>
        </w:rPr>
        <w:t xml:space="preserve"> odstavku 16. člena (usklajeno razkrivanje ranljivosti in evropska podatkovna zbirka ranljivosti) navaja, da osnutek predloga od petega do osmega odstavka tega člena opredeljuje dodatne zahteve, ki niso prisotne v </w:t>
      </w:r>
      <w:r w:rsidRPr="00D31B7E">
        <w:rPr>
          <w:rFonts w:cs="Arial"/>
          <w:szCs w:val="20"/>
          <w:lang w:val="sl-SI"/>
        </w:rPr>
        <w:t>Direktivi 2022/2555/EU</w:t>
      </w:r>
      <w:r w:rsidRPr="00D31B7E">
        <w:rPr>
          <w:rFonts w:cs="Arial"/>
          <w:szCs w:val="20"/>
          <w:lang w:val="sl-SI" w:eastAsia="sl-SI"/>
        </w:rPr>
        <w:t xml:space="preserve">: tedensko poročanje SI-CERT na URSIV; neposredno obveščanje ob zaznani ranljivosti pri zavezancu; vzpostavitev podatkovne zbirke, do katere imajo dostop URSIV in vsi zavezanci. Navaja, da ni nikjer opredeljeno, zakaj je ta podatkovna zbirka na </w:t>
      </w:r>
      <w:r>
        <w:rPr>
          <w:rFonts w:cs="Arial"/>
          <w:szCs w:val="20"/>
          <w:lang w:val="sl-SI" w:eastAsia="sl-SI"/>
        </w:rPr>
        <w:t>državni</w:t>
      </w:r>
      <w:r w:rsidRPr="00D31B7E">
        <w:rPr>
          <w:rFonts w:cs="Arial"/>
          <w:szCs w:val="20"/>
          <w:lang w:val="sl-SI" w:eastAsia="sl-SI"/>
        </w:rPr>
        <w:t xml:space="preserve"> ravni potrebna, niti ni primerjalno razvidno, da bi bilo tako predvideno v drugih državah članicah, imelo pa bi dodatne neposredne finančne (</w:t>
      </w:r>
      <w:r>
        <w:rPr>
          <w:rFonts w:cs="Arial"/>
          <w:szCs w:val="20"/>
          <w:lang w:val="sl-SI" w:eastAsia="sl-SI"/>
        </w:rPr>
        <w:t>in</w:t>
      </w:r>
      <w:r w:rsidRPr="00D31B7E">
        <w:rPr>
          <w:rFonts w:cs="Arial"/>
          <w:szCs w:val="20"/>
          <w:lang w:val="sl-SI" w:eastAsia="sl-SI"/>
        </w:rPr>
        <w:t xml:space="preserve"> kadrovske) posledice za SI-CERT. Pojasnjujemo, da smo pripombo pretežno upoštevali</w:t>
      </w:r>
      <w:r>
        <w:rPr>
          <w:rFonts w:cs="Arial"/>
          <w:szCs w:val="20"/>
          <w:lang w:val="sl-SI" w:eastAsia="sl-SI"/>
        </w:rPr>
        <w:t>,</w:t>
      </w:r>
      <w:r w:rsidRPr="00D31B7E">
        <w:rPr>
          <w:rFonts w:cs="Arial"/>
          <w:szCs w:val="20"/>
          <w:lang w:val="sl-SI" w:eastAsia="sl-SI"/>
        </w:rPr>
        <w:t xml:space="preserve"> in sicer na način, kot je to </w:t>
      </w:r>
      <w:r>
        <w:rPr>
          <w:rFonts w:cs="Arial"/>
          <w:szCs w:val="20"/>
          <w:lang w:val="sl-SI" w:eastAsia="sl-SI"/>
        </w:rPr>
        <w:t>z</w:t>
      </w:r>
      <w:r w:rsidRPr="00D31B7E">
        <w:rPr>
          <w:rFonts w:cs="Arial"/>
          <w:szCs w:val="20"/>
          <w:lang w:val="sl-SI" w:eastAsia="sl-SI"/>
        </w:rPr>
        <w:t xml:space="preserve">daj razvidno iz 17. člena (usklajeno razkrivanje ranljivosti in evropska podatkovna zbirka ranljivosti) predloga ZInfV-1. V </w:t>
      </w:r>
      <w:r>
        <w:rPr>
          <w:rFonts w:cs="Arial"/>
          <w:szCs w:val="20"/>
          <w:lang w:val="sl-SI" w:eastAsia="sl-SI"/>
        </w:rPr>
        <w:t>z</w:t>
      </w:r>
      <w:r w:rsidRPr="00D31B7E">
        <w:rPr>
          <w:rFonts w:cs="Arial"/>
          <w:szCs w:val="20"/>
          <w:lang w:val="sl-SI" w:eastAsia="sl-SI"/>
        </w:rPr>
        <w:t xml:space="preserve">daj petem (oziroma zadnjem </w:t>
      </w:r>
      <w:r w:rsidRPr="00D31B7E">
        <w:rPr>
          <w:rFonts w:cs="Arial"/>
          <w:szCs w:val="20"/>
          <w:lang w:val="sl-SI" w:eastAsia="sl-SI"/>
        </w:rPr>
        <w:lastRenderedPageBreak/>
        <w:t xml:space="preserve">odstavku) 17. člena predloga ZInfV-1 se ohranja le še nacionalna obveznost, po kateri </w:t>
      </w:r>
      <w:r w:rsidRPr="00D31B7E">
        <w:rPr>
          <w:rFonts w:cs="Arial"/>
          <w:szCs w:val="20"/>
          <w:lang w:val="sl-SI"/>
        </w:rPr>
        <w:t>koordinator pristojnemu nacionalnemu organu po</w:t>
      </w:r>
      <w:r>
        <w:rPr>
          <w:rFonts w:cs="Arial"/>
          <w:szCs w:val="20"/>
          <w:lang w:val="sl-SI"/>
        </w:rPr>
        <w:t>šlje</w:t>
      </w:r>
      <w:r w:rsidRPr="00D31B7E">
        <w:rPr>
          <w:rFonts w:cs="Arial"/>
          <w:szCs w:val="20"/>
          <w:lang w:val="sl-SI"/>
        </w:rPr>
        <w:t xml:space="preserve"> tedensko poročilo o izvajanju svojih nalog iz tega člena, v katerega vključi informacije o vseh zaznanih ranljivostih iz prvega odstavka tega člena. Pojasnjujemo, da je Direktiva 2022/2555/EU direktiva minimalne harmonizacije, pri čemer je treba upoštevati tudi nalogo pristojnega nacionalnega organa, da koordinira delovanje nacionalnega sistema informacijske varnosti. V preostalem so bile za pripombodajalca sporne določbe oziroma obveznosti iz prej 16. člena osnutka predloga ZInfV-1 v </w:t>
      </w:r>
      <w:r>
        <w:rPr>
          <w:rFonts w:cs="Arial"/>
          <w:szCs w:val="20"/>
          <w:lang w:val="sl-SI"/>
        </w:rPr>
        <w:t>z</w:t>
      </w:r>
      <w:r w:rsidRPr="00D31B7E">
        <w:rPr>
          <w:rFonts w:cs="Arial"/>
          <w:szCs w:val="20"/>
          <w:lang w:val="sl-SI"/>
        </w:rPr>
        <w:t>daj predlaganem 17. členu predloga ZInfV-1 opuščene;</w:t>
      </w:r>
    </w:p>
    <w:p w14:paraId="73849F98" w14:textId="77777777" w:rsidR="000A51A5" w:rsidRPr="00D31B7E" w:rsidRDefault="000A51A5" w:rsidP="000A51A5">
      <w:pPr>
        <w:pStyle w:val="Odstavekseznama"/>
        <w:spacing w:after="240" w:line="276" w:lineRule="auto"/>
        <w:ind w:left="786"/>
        <w:jc w:val="both"/>
        <w:rPr>
          <w:rFonts w:cs="Arial"/>
          <w:szCs w:val="20"/>
          <w:lang w:val="sl-SI"/>
        </w:rPr>
      </w:pPr>
    </w:p>
    <w:p w14:paraId="41EB864D"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k 26. členu (postopek priglasitve pomembnih incidentov)</w:t>
      </w:r>
      <w:r>
        <w:rPr>
          <w:rFonts w:cs="Arial"/>
          <w:szCs w:val="20"/>
          <w:lang w:val="sl-SI" w:eastAsia="sl-SI"/>
        </w:rPr>
        <w:t>,</w:t>
      </w:r>
      <w:r w:rsidRPr="00D31B7E">
        <w:rPr>
          <w:rFonts w:cs="Arial"/>
          <w:szCs w:val="20"/>
          <w:lang w:val="sl-SI" w:eastAsia="sl-SI"/>
        </w:rPr>
        <w:t xml:space="preserve"> in sicer:</w:t>
      </w:r>
    </w:p>
    <w:p w14:paraId="038C0A06"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k tretjemu odstavku v delu, ki se nanaša na zahtevo, da </w:t>
      </w:r>
      <w:r>
        <w:rPr>
          <w:rFonts w:cs="Arial"/>
          <w:szCs w:val="20"/>
          <w:lang w:val="sl-SI"/>
        </w:rPr>
        <w:t>»</w:t>
      </w:r>
      <w:r w:rsidRPr="00D31B7E">
        <w:rPr>
          <w:rFonts w:cs="Arial"/>
          <w:szCs w:val="20"/>
          <w:lang w:val="sl-SI"/>
        </w:rPr>
        <w:t>Skupina CSIRT na zahtevo zadevnega subjekta zagotovi dodatno tehnično podporo.</w:t>
      </w:r>
      <w:r>
        <w:rPr>
          <w:rFonts w:cs="Arial"/>
          <w:szCs w:val="20"/>
          <w:lang w:val="sl-SI"/>
        </w:rPr>
        <w:t>«</w:t>
      </w:r>
      <w:r w:rsidRPr="00D31B7E">
        <w:rPr>
          <w:rFonts w:cs="Arial"/>
          <w:szCs w:val="20"/>
          <w:lang w:val="sl-SI"/>
        </w:rPr>
        <w:t xml:space="preserve">, ker se pojem </w:t>
      </w:r>
      <w:r>
        <w:rPr>
          <w:rFonts w:cs="Arial"/>
          <w:szCs w:val="20"/>
          <w:lang w:val="sl-SI"/>
        </w:rPr>
        <w:t>»</w:t>
      </w:r>
      <w:r w:rsidRPr="00D31B7E">
        <w:rPr>
          <w:rFonts w:cs="Arial"/>
          <w:szCs w:val="20"/>
          <w:lang w:val="sl-SI"/>
        </w:rPr>
        <w:t>tehnične podpore</w:t>
      </w:r>
      <w:r>
        <w:rPr>
          <w:rFonts w:cs="Arial"/>
          <w:szCs w:val="20"/>
          <w:lang w:val="sl-SI"/>
        </w:rPr>
        <w:t>«</w:t>
      </w:r>
      <w:r w:rsidRPr="00D31B7E">
        <w:rPr>
          <w:rFonts w:cs="Arial"/>
          <w:szCs w:val="20"/>
          <w:lang w:val="sl-SI"/>
        </w:rPr>
        <w:t xml:space="preserve"> lahko razume zelo široko, za kar skupina CSIRT nikakor ne more imeti razpoložljivih kapacitet. Predlaga, da se ta pojem nadomesti z </w:t>
      </w:r>
      <w:r>
        <w:rPr>
          <w:rFonts w:cs="Arial"/>
          <w:szCs w:val="20"/>
          <w:lang w:val="sl-SI"/>
        </w:rPr>
        <w:t>»</w:t>
      </w:r>
      <w:r w:rsidRPr="00D31B7E">
        <w:rPr>
          <w:rFonts w:cs="Arial"/>
          <w:szCs w:val="20"/>
          <w:lang w:val="sl-SI"/>
        </w:rPr>
        <w:t>metodološko podporo pri preiskovanju incidenta,</w:t>
      </w:r>
      <w:r>
        <w:rPr>
          <w:rFonts w:cs="Arial"/>
          <w:szCs w:val="20"/>
          <w:lang w:val="sl-SI"/>
        </w:rPr>
        <w:t>«</w:t>
      </w:r>
      <w:r w:rsidRPr="00D31B7E">
        <w:rPr>
          <w:rFonts w:cs="Arial"/>
          <w:szCs w:val="20"/>
          <w:lang w:val="sl-SI"/>
        </w:rPr>
        <w:t xml:space="preserve"> kot je to zapisano v veljavnem ZInfV. Tudi določba 11. člen</w:t>
      </w:r>
      <w:r>
        <w:rPr>
          <w:rFonts w:cs="Arial"/>
          <w:szCs w:val="20"/>
          <w:lang w:val="sl-SI"/>
        </w:rPr>
        <w:t>a</w:t>
      </w:r>
      <w:r w:rsidRPr="00D31B7E">
        <w:rPr>
          <w:rFonts w:cs="Arial"/>
          <w:szCs w:val="20"/>
          <w:lang w:val="sl-SI"/>
        </w:rPr>
        <w:t xml:space="preserve"> Direktiv</w:t>
      </w:r>
      <w:r>
        <w:rPr>
          <w:rFonts w:cs="Arial"/>
          <w:szCs w:val="20"/>
          <w:lang w:val="sl-SI"/>
        </w:rPr>
        <w:t>e</w:t>
      </w:r>
      <w:r w:rsidRPr="00D31B7E">
        <w:rPr>
          <w:rFonts w:cs="Arial"/>
          <w:szCs w:val="20"/>
          <w:lang w:val="sl-SI"/>
        </w:rPr>
        <w:t xml:space="preserve"> 2022/2555/EU omenja le </w:t>
      </w:r>
      <w:r>
        <w:rPr>
          <w:rFonts w:cs="Arial"/>
          <w:szCs w:val="20"/>
          <w:lang w:val="sl-SI"/>
        </w:rPr>
        <w:t>»</w:t>
      </w:r>
      <w:r w:rsidRPr="00D31B7E">
        <w:rPr>
          <w:rFonts w:cs="Arial"/>
          <w:szCs w:val="20"/>
          <w:lang w:val="sl-SI"/>
        </w:rPr>
        <w:t>pomoč</w:t>
      </w:r>
      <w:r>
        <w:rPr>
          <w:rFonts w:cs="Arial"/>
          <w:szCs w:val="20"/>
          <w:lang w:val="sl-SI"/>
        </w:rPr>
        <w:t>«</w:t>
      </w:r>
      <w:r w:rsidRPr="00D31B7E">
        <w:rPr>
          <w:rFonts w:cs="Arial"/>
          <w:szCs w:val="20"/>
          <w:lang w:val="sl-SI"/>
        </w:rPr>
        <w:t xml:space="preserve">, brez podrobnejše opredelitve. Pripombo zavračamo kot neskladno z določbo petega odstavka 23. člena (Obveznost poročanja) Direktive 2022/2555/EU, ki se na tem mestu prenaša v nacionalno zakonodajo, saj zadevna določba direktive jasno vsebuje tudi stavek »Skupina CSIRT na zahtevo zadevnega subjekta zagotovi dodatno tehnično podporo«. Ohranjamo torej zadevni del besedila, kot je to </w:t>
      </w:r>
      <w:r>
        <w:rPr>
          <w:rFonts w:cs="Arial"/>
          <w:szCs w:val="20"/>
          <w:lang w:val="sl-SI"/>
        </w:rPr>
        <w:t>z</w:t>
      </w:r>
      <w:r w:rsidRPr="00D31B7E">
        <w:rPr>
          <w:rFonts w:cs="Arial"/>
          <w:szCs w:val="20"/>
          <w:lang w:val="sl-SI"/>
        </w:rPr>
        <w:t xml:space="preserve">daj razvidno iz tretjega odstavka 30. člena </w:t>
      </w:r>
      <w:r w:rsidRPr="00D31B7E">
        <w:rPr>
          <w:rFonts w:cs="Arial"/>
          <w:szCs w:val="20"/>
          <w:lang w:val="sl-SI" w:eastAsia="sl-SI"/>
        </w:rPr>
        <w:t xml:space="preserve">(postopek priglasitve pomembnih incidentov) predloga ZInfV-1; </w:t>
      </w:r>
    </w:p>
    <w:p w14:paraId="2E6937B0" w14:textId="77777777" w:rsidR="000A51A5"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 šestemu odstavku</w:t>
      </w:r>
      <w:r>
        <w:rPr>
          <w:rFonts w:cs="Arial"/>
          <w:szCs w:val="20"/>
          <w:lang w:val="sl-SI"/>
        </w:rPr>
        <w:t>,</w:t>
      </w:r>
      <w:r w:rsidRPr="00D31B7E">
        <w:rPr>
          <w:rFonts w:cs="Arial"/>
          <w:szCs w:val="20"/>
          <w:lang w:val="sl-SI"/>
        </w:rPr>
        <w:t xml:space="preserve"> ki se glasi </w:t>
      </w:r>
      <w:r>
        <w:rPr>
          <w:rFonts w:cs="Arial"/>
          <w:szCs w:val="20"/>
          <w:lang w:val="sl-SI"/>
        </w:rPr>
        <w:t>»</w:t>
      </w:r>
      <w:r w:rsidRPr="00D31B7E">
        <w:rPr>
          <w:rFonts w:cs="Arial"/>
          <w:szCs w:val="20"/>
          <w:lang w:val="sl-SI"/>
        </w:rPr>
        <w:t>Kadar je ozaveščenost javnosti potrebna za preprečitev pomembnega incidenta ali obravnavo pomembnega incidenta, ki je v teku, ali kadar je razkritje pomembnega incidenta kako drugače v javnem interesu, pristojni nacionalni organ po posvetovanju z zadevnim zavezancem obvesti javnost o pomembnem incidentu ali zahteva, da to stori zavezanec.</w:t>
      </w:r>
      <w:r>
        <w:rPr>
          <w:rFonts w:cs="Arial"/>
          <w:szCs w:val="20"/>
          <w:lang w:val="sl-SI"/>
        </w:rPr>
        <w:t>«</w:t>
      </w:r>
      <w:r w:rsidRPr="00D31B7E">
        <w:rPr>
          <w:rFonts w:cs="Arial"/>
          <w:szCs w:val="20"/>
          <w:lang w:val="sl-SI"/>
        </w:rPr>
        <w:t xml:space="preserve"> Navedeno naj bi bilo v neskladju z Direktivo 2022/2555/EU, ki glede tega določa: </w:t>
      </w:r>
      <w:r>
        <w:rPr>
          <w:rFonts w:cs="Arial"/>
          <w:szCs w:val="20"/>
          <w:lang w:val="sl-SI"/>
        </w:rPr>
        <w:t>»</w:t>
      </w:r>
      <w:r w:rsidRPr="00D31B7E">
        <w:rPr>
          <w:rFonts w:cs="Arial"/>
          <w:szCs w:val="20"/>
          <w:lang w:val="sl-SI"/>
        </w:rPr>
        <w:t>Kadar je ozaveščenost javnosti potrebna za preprečitev pomembnega incidenta ali obravnavo pomembnega incidenta, ki je v teku, ali kadar je razkritje pomembnega incidenta kako drugače v javnem interesu, lahko skupina CSIRT ali po potrebi pristojni organ države članice in, kadar je ustrezno, skupine CSIRT ali pristojni organi drugih zadevnih držav članic po posvetovanju z zadevnim subjektom obvestijo javnost o pomembnem incidentu ali zahtevajo, da to stori subjekt.</w:t>
      </w:r>
      <w:r>
        <w:rPr>
          <w:rFonts w:cs="Arial"/>
          <w:szCs w:val="20"/>
          <w:lang w:val="sl-SI"/>
        </w:rPr>
        <w:t>«</w:t>
      </w:r>
      <w:r w:rsidRPr="00D31B7E">
        <w:rPr>
          <w:rFonts w:cs="Arial"/>
          <w:szCs w:val="20"/>
          <w:lang w:val="sl-SI"/>
        </w:rPr>
        <w:t xml:space="preserve"> Zato naj se dikcija uskladi z Direktivo 2022/2555/EU. Ne strinjamo se z mnenjem pripombodaj</w:t>
      </w:r>
      <w:r>
        <w:rPr>
          <w:rFonts w:cs="Arial"/>
          <w:szCs w:val="20"/>
          <w:lang w:val="sl-SI"/>
        </w:rPr>
        <w:t>al</w:t>
      </w:r>
      <w:r w:rsidRPr="00D31B7E">
        <w:rPr>
          <w:rFonts w:cs="Arial"/>
          <w:szCs w:val="20"/>
          <w:lang w:val="sl-SI"/>
        </w:rPr>
        <w:t xml:space="preserve">ca, da gre za neskladje z Direktivo 2022/2555/EU, pri čemer gre sicer za sedmi odstavek 23. člena zadevne direktive (Obveznost poročanja). Pojasnjujemo, da so direktive zavezujoče le glede cilja, ki ga </w:t>
      </w:r>
      <w:r>
        <w:rPr>
          <w:rFonts w:cs="Arial"/>
          <w:szCs w:val="20"/>
          <w:lang w:val="sl-SI"/>
        </w:rPr>
        <w:t xml:space="preserve">je </w:t>
      </w:r>
      <w:r w:rsidRPr="00D31B7E">
        <w:rPr>
          <w:rFonts w:cs="Arial"/>
          <w:szCs w:val="20"/>
          <w:lang w:val="sl-SI"/>
        </w:rPr>
        <w:t>treba s prenosom v nacionalno zakonodajo doseči. Iz zadevne določbe prej navedene direktive pa izhaja, da je pristojnost omogočena (»lahko«) alternativno</w:t>
      </w:r>
      <w:r>
        <w:rPr>
          <w:rFonts w:cs="Arial"/>
          <w:szCs w:val="20"/>
          <w:lang w:val="sl-SI"/>
        </w:rPr>
        <w:t>,</w:t>
      </w:r>
      <w:r w:rsidRPr="00D31B7E">
        <w:rPr>
          <w:rFonts w:cs="Arial"/>
          <w:szCs w:val="20"/>
          <w:lang w:val="sl-SI"/>
        </w:rPr>
        <w:t xml:space="preserve"> in sicer pristojni skupini CSIRT ali pristojnemu organu države članice. Alternativno določanje pristojnosti v nacionalnem pravu z vidika jasnosti in določnosti ni sprejemljivo. Pristojnost je (skladno z možnostmi države članice) predvidena za pristojni nacionalni organ, kar je tudi v skladu z njegovo nalogo, da koordinira delovanje nacionalnega sistema informacijske varnosti, kar po našem mnenju zajema tudi komuniciranje z javnostjo v takšnih primerih, kot je obravnavani. Smo pa pripombo upoštevali delno na način, kot je to </w:t>
      </w:r>
      <w:r>
        <w:rPr>
          <w:rFonts w:cs="Arial"/>
          <w:szCs w:val="20"/>
          <w:lang w:val="sl-SI"/>
        </w:rPr>
        <w:t>z</w:t>
      </w:r>
      <w:r w:rsidRPr="00D31B7E">
        <w:rPr>
          <w:rFonts w:cs="Arial"/>
          <w:szCs w:val="20"/>
          <w:lang w:val="sl-SI"/>
        </w:rPr>
        <w:t xml:space="preserve">daj razvidno iz šestega odstavka 30. člena (postopek priglasitve pomembnih incidentov) predloga ZInfV-1, pri čemer smo prejšnji dikciji dodali stavke: »Predlog za takšno obveščanje lahko na pristojni nacionalni organ poda tudi pristojna skupina CSIRT.«, kar CSIRT (po potrebi) omogoča ustrezno iniciativo za zadevno ozaveščanje javnosti; </w:t>
      </w:r>
    </w:p>
    <w:p w14:paraId="158A148F" w14:textId="77777777" w:rsidR="000A51A5" w:rsidRPr="00D31B7E" w:rsidRDefault="000A51A5" w:rsidP="000A51A5">
      <w:pPr>
        <w:pStyle w:val="Odstavekseznama"/>
        <w:widowControl w:val="0"/>
        <w:overflowPunct w:val="0"/>
        <w:autoSpaceDE w:val="0"/>
        <w:autoSpaceDN w:val="0"/>
        <w:adjustRightInd w:val="0"/>
        <w:spacing w:after="240" w:line="276" w:lineRule="auto"/>
        <w:ind w:left="786"/>
        <w:jc w:val="both"/>
        <w:textAlignment w:val="baseline"/>
        <w:rPr>
          <w:rFonts w:cs="Arial"/>
          <w:szCs w:val="20"/>
          <w:lang w:val="sl-SI"/>
        </w:rPr>
      </w:pPr>
    </w:p>
    <w:p w14:paraId="6D437F93"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rPr>
        <w:lastRenderedPageBreak/>
        <w:t>k prvem</w:t>
      </w:r>
      <w:r>
        <w:rPr>
          <w:rFonts w:cs="Arial"/>
          <w:szCs w:val="20"/>
          <w:lang w:val="sl-SI"/>
        </w:rPr>
        <w:t>u</w:t>
      </w:r>
      <w:r w:rsidRPr="00D31B7E">
        <w:rPr>
          <w:rFonts w:cs="Arial"/>
          <w:szCs w:val="20"/>
          <w:lang w:val="sl-SI"/>
        </w:rPr>
        <w:t xml:space="preserve"> odstavku 40. členu, ki pravi: </w:t>
      </w:r>
      <w:r>
        <w:rPr>
          <w:rFonts w:cs="Arial"/>
          <w:szCs w:val="20"/>
          <w:lang w:val="sl-SI"/>
        </w:rPr>
        <w:t>»</w:t>
      </w:r>
      <w:r w:rsidRPr="00D31B7E">
        <w:rPr>
          <w:rFonts w:cs="Arial"/>
          <w:szCs w:val="20"/>
          <w:lang w:val="sl-SI"/>
        </w:rPr>
        <w:t>Uslužbenci državnih organov, ki izvajajo kibernetsko obrambo …</w:t>
      </w:r>
      <w:r>
        <w:rPr>
          <w:rFonts w:cs="Arial"/>
          <w:szCs w:val="20"/>
          <w:lang w:val="sl-SI"/>
        </w:rPr>
        <w:t>«</w:t>
      </w:r>
      <w:r w:rsidRPr="00D31B7E">
        <w:rPr>
          <w:rFonts w:cs="Arial"/>
          <w:szCs w:val="20"/>
          <w:lang w:val="sl-SI"/>
        </w:rPr>
        <w:t xml:space="preserve">, pojasnjuje, da SI-CERT deluje v okviru javnega zavoda Arnes in ni državni organ, zato predlaga spremembo v </w:t>
      </w:r>
      <w:r>
        <w:rPr>
          <w:rFonts w:cs="Arial"/>
          <w:szCs w:val="20"/>
          <w:lang w:val="sl-SI"/>
        </w:rPr>
        <w:t>»</w:t>
      </w:r>
      <w:r w:rsidRPr="00D31B7E">
        <w:rPr>
          <w:rFonts w:cs="Arial"/>
          <w:szCs w:val="20"/>
          <w:lang w:val="sl-SI"/>
        </w:rPr>
        <w:t>Uslužbenci organov, ki izvajajo kibernetsko obrambo</w:t>
      </w:r>
      <w:r>
        <w:rPr>
          <w:rFonts w:cs="Arial"/>
          <w:szCs w:val="20"/>
          <w:lang w:val="sl-SI"/>
        </w:rPr>
        <w:t>«</w:t>
      </w:r>
      <w:r w:rsidRPr="00D31B7E">
        <w:rPr>
          <w:rFonts w:cs="Arial"/>
          <w:szCs w:val="20"/>
          <w:lang w:val="sl-SI"/>
        </w:rPr>
        <w:t xml:space="preserve">. Pojasnjujemo, da smo pripombo upoštevali, kar je razvidno iz prvega odstavka 44. člena (delo v manj ugodnem delovnem času). </w:t>
      </w:r>
    </w:p>
    <w:p w14:paraId="51820B22" w14:textId="77777777"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t xml:space="preserve">Pripomba SIR: </w:t>
      </w:r>
    </w:p>
    <w:p w14:paraId="04F20460"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eastAsia="sl-SI"/>
        </w:rPr>
      </w:pPr>
      <w:r w:rsidRPr="00D31B7E">
        <w:rPr>
          <w:rFonts w:cs="Arial"/>
          <w:szCs w:val="20"/>
          <w:lang w:val="sl-SI" w:eastAsia="sl-SI"/>
        </w:rPr>
        <w:t xml:space="preserve">k 5. členu (pomen izrazov) predlaga, da se, </w:t>
      </w:r>
      <w:r w:rsidRPr="00D31B7E">
        <w:rPr>
          <w:rFonts w:cs="Arial"/>
          <w:szCs w:val="20"/>
          <w:lang w:val="sl-SI"/>
        </w:rPr>
        <w:t>podobno kot 39. točka</w:t>
      </w:r>
      <w:r>
        <w:rPr>
          <w:rFonts w:cs="Arial"/>
          <w:szCs w:val="20"/>
          <w:lang w:val="sl-SI"/>
        </w:rPr>
        <w:t>,</w:t>
      </w:r>
      <w:r w:rsidRPr="00D31B7E">
        <w:rPr>
          <w:rFonts w:cs="Arial"/>
          <w:szCs w:val="20"/>
          <w:lang w:val="sl-SI"/>
        </w:rPr>
        <w:t xml:space="preserve"> pojasni izraz »preizkušeni revizor«, zaradi jasnosti zakona opredeli tudi pojem »notranji revizor« tako, da se doda nov</w:t>
      </w:r>
      <w:r>
        <w:rPr>
          <w:rFonts w:cs="Arial"/>
          <w:szCs w:val="20"/>
          <w:lang w:val="sl-SI"/>
        </w:rPr>
        <w:t>a</w:t>
      </w:r>
      <w:r w:rsidRPr="00D31B7E">
        <w:rPr>
          <w:rFonts w:cs="Arial"/>
          <w:szCs w:val="20"/>
          <w:lang w:val="sl-SI"/>
        </w:rPr>
        <w:t xml:space="preserve"> točk</w:t>
      </w:r>
      <w:r>
        <w:rPr>
          <w:rFonts w:cs="Arial"/>
          <w:szCs w:val="20"/>
          <w:lang w:val="sl-SI"/>
        </w:rPr>
        <w:t>a</w:t>
      </w:r>
      <w:r w:rsidRPr="00D31B7E">
        <w:rPr>
          <w:rFonts w:cs="Arial"/>
          <w:szCs w:val="20"/>
          <w:lang w:val="sl-SI"/>
        </w:rPr>
        <w:t xml:space="preserve">, ki naj se glasi: »Notranji revizor pomeni preizkušenega notranjega revizorja, ki je pridobil strokovni naziv pri Slovenskem inštitutu za revizijo in je vpisan v njegov register aktivnih preizkušenih notranjih revizorjev.«. Pri tem navaja, da bodo na predlagani način jasno opredeljeni enaki temelji strokovnega delovanja za vse strokovnjake, ki bodo odgovorni za oceno skladnosti. Pripomba je bila </w:t>
      </w:r>
      <w:r>
        <w:rPr>
          <w:rFonts w:cs="Arial"/>
          <w:szCs w:val="20"/>
          <w:lang w:val="sl-SI"/>
        </w:rPr>
        <w:t xml:space="preserve">pretežno </w:t>
      </w:r>
      <w:r w:rsidRPr="00D31B7E">
        <w:rPr>
          <w:rFonts w:cs="Arial"/>
          <w:szCs w:val="20"/>
          <w:lang w:val="sl-SI"/>
        </w:rPr>
        <w:t>upoštevana in v predlog ZInfV-1 dodana (</w:t>
      </w:r>
      <w:r>
        <w:rPr>
          <w:rFonts w:cs="Arial"/>
          <w:szCs w:val="20"/>
          <w:lang w:val="sl-SI"/>
        </w:rPr>
        <w:t>zdaj</w:t>
      </w:r>
      <w:r w:rsidRPr="00D31B7E">
        <w:rPr>
          <w:rFonts w:cs="Arial"/>
          <w:szCs w:val="20"/>
          <w:lang w:val="sl-SI"/>
        </w:rPr>
        <w:t>) 27. točka, ki se glasi: »</w:t>
      </w:r>
      <w:r>
        <w:rPr>
          <w:rFonts w:cs="Arial"/>
          <w:szCs w:val="20"/>
          <w:lang w:val="sl-SI"/>
        </w:rPr>
        <w:t>n</w:t>
      </w:r>
      <w:r w:rsidRPr="00D31B7E">
        <w:rPr>
          <w:rFonts w:cs="Arial"/>
          <w:szCs w:val="20"/>
          <w:lang w:val="sl-SI"/>
        </w:rPr>
        <w:t>otranji revizor je preizkušeni notranji revizor, ki je pridobil strokovni naziv pri Slovenskem inštitutu za revizijo in je vpisan v njegov register aktivnih preizkušenih notranjih revizorjev</w:t>
      </w:r>
      <w:r w:rsidRPr="00547FD7">
        <w:rPr>
          <w:lang w:val="sl-SI"/>
        </w:rPr>
        <w:t xml:space="preserve"> </w:t>
      </w:r>
      <w:r w:rsidRPr="00547FD7">
        <w:rPr>
          <w:rFonts w:cs="Arial"/>
          <w:szCs w:val="20"/>
          <w:lang w:val="sl-SI"/>
        </w:rPr>
        <w:t>ali oseba, ki je pridobila naziv državni notranji revizor ali preizkušeni državni notranji revizor</w:t>
      </w:r>
      <w:r w:rsidRPr="00D31B7E">
        <w:rPr>
          <w:rFonts w:cs="Arial"/>
          <w:szCs w:val="20"/>
          <w:lang w:val="sl-SI"/>
        </w:rPr>
        <w:t>.«.</w:t>
      </w:r>
    </w:p>
    <w:p w14:paraId="539E955D" w14:textId="77777777" w:rsidR="000A51A5" w:rsidRPr="00D31B7E" w:rsidRDefault="000A51A5" w:rsidP="000A51A5">
      <w:pPr>
        <w:spacing w:after="240" w:line="276" w:lineRule="auto"/>
        <w:jc w:val="both"/>
        <w:rPr>
          <w:rFonts w:cs="Arial"/>
          <w:szCs w:val="20"/>
          <w:lang w:val="sl-SI" w:eastAsia="sl-SI"/>
        </w:rPr>
      </w:pPr>
      <w:r w:rsidRPr="00D31B7E">
        <w:rPr>
          <w:rFonts w:cs="Arial"/>
          <w:szCs w:val="20"/>
          <w:lang w:val="sl-SI" w:eastAsia="sl-SI"/>
        </w:rPr>
        <w:t>Pripomba SIQ:</w:t>
      </w:r>
    </w:p>
    <w:p w14:paraId="05D4FD5C" w14:textId="77777777" w:rsidR="000A51A5" w:rsidRPr="00D31B7E" w:rsidRDefault="000A51A5" w:rsidP="000A51A5">
      <w:pPr>
        <w:pStyle w:val="Odstavek"/>
        <w:numPr>
          <w:ilvl w:val="0"/>
          <w:numId w:val="17"/>
        </w:numPr>
        <w:spacing w:line="276" w:lineRule="auto"/>
        <w:ind w:left="786"/>
      </w:pPr>
      <w:r w:rsidRPr="00D31B7E">
        <w:rPr>
          <w:lang w:eastAsia="sl-SI"/>
        </w:rPr>
        <w:t>k šestem</w:t>
      </w:r>
      <w:r>
        <w:rPr>
          <w:lang w:eastAsia="sl-SI"/>
        </w:rPr>
        <w:t>u</w:t>
      </w:r>
      <w:r w:rsidRPr="00D31B7E">
        <w:rPr>
          <w:lang w:eastAsia="sl-SI"/>
        </w:rPr>
        <w:t xml:space="preserve"> odstavku 23. člena (certificiranje) predlaga, da se črta beseda </w:t>
      </w:r>
      <w:r>
        <w:rPr>
          <w:lang w:eastAsia="sl-SI"/>
        </w:rPr>
        <w:t>»</w:t>
      </w:r>
      <w:r w:rsidRPr="00D31B7E">
        <w:rPr>
          <w:lang w:eastAsia="sl-SI"/>
        </w:rPr>
        <w:t>javni</w:t>
      </w:r>
      <w:r>
        <w:rPr>
          <w:lang w:eastAsia="sl-SI"/>
        </w:rPr>
        <w:t>«</w:t>
      </w:r>
      <w:r w:rsidRPr="00D31B7E">
        <w:rPr>
          <w:lang w:eastAsia="sl-SI"/>
        </w:rPr>
        <w:t xml:space="preserve"> pred besedo organ. Organi za ugotavljanje skladnosti niso nujno tudi javni organi, niti uredba tega ne zahteva. Tudi v pojasnilu k obravnavanem</w:t>
      </w:r>
      <w:r>
        <w:rPr>
          <w:lang w:eastAsia="sl-SI"/>
        </w:rPr>
        <w:t>u</w:t>
      </w:r>
      <w:r w:rsidRPr="00D31B7E">
        <w:rPr>
          <w:lang w:eastAsia="sl-SI"/>
        </w:rPr>
        <w:t xml:space="preserve"> členu je navedeno: </w:t>
      </w:r>
      <w:r>
        <w:rPr>
          <w:lang w:eastAsia="sl-SI"/>
        </w:rPr>
        <w:t>»</w:t>
      </w:r>
      <w:r w:rsidRPr="00D31B7E">
        <w:rPr>
          <w:lang w:eastAsia="sl-SI"/>
        </w:rPr>
        <w:t>Organe za ugotavljanje skladnosti oziroma certifikacijski organ akreditira nacionalni akreditacijski organ.</w:t>
      </w:r>
      <w:r>
        <w:rPr>
          <w:lang w:eastAsia="sl-SI"/>
        </w:rPr>
        <w:t>«</w:t>
      </w:r>
      <w:r w:rsidRPr="00D31B7E">
        <w:rPr>
          <w:lang w:eastAsia="sl-SI"/>
        </w:rPr>
        <w:t xml:space="preserve"> Certifikacijski organ je lahko tudi subjekt zasebnega prava. Menimo, da je pripombodajalec napačno razumel zadevno določbo, ki na splošno ni zahtevala, da so organi za ugotavljanje skladnosti javni: Takšna zahteva je bila vezana le na primere, če tako določa evropska certifikacijska shema za kibernetsko varnost. Ne glede na navedeno smo pripomb</w:t>
      </w:r>
      <w:r>
        <w:rPr>
          <w:lang w:eastAsia="sl-SI"/>
        </w:rPr>
        <w:t>o</w:t>
      </w:r>
      <w:r w:rsidRPr="00D31B7E">
        <w:rPr>
          <w:lang w:eastAsia="sl-SI"/>
        </w:rPr>
        <w:t xml:space="preserve"> upoštevali delno na način, da smo z vidika jasnosti in določnosti izboljšali zadevno besedilo v (</w:t>
      </w:r>
      <w:r>
        <w:rPr>
          <w:lang w:eastAsia="sl-SI"/>
        </w:rPr>
        <w:t>z</w:t>
      </w:r>
      <w:r w:rsidRPr="00D31B7E">
        <w:rPr>
          <w:lang w:eastAsia="sl-SI"/>
        </w:rPr>
        <w:t xml:space="preserve">daj) 27. členu (certificiranje) predloga ZInfV-1. Tako je </w:t>
      </w:r>
      <w:r>
        <w:rPr>
          <w:lang w:eastAsia="sl-SI"/>
        </w:rPr>
        <w:t>z</w:t>
      </w:r>
      <w:r w:rsidRPr="00D31B7E">
        <w:rPr>
          <w:lang w:eastAsia="sl-SI"/>
        </w:rPr>
        <w:t>daj obravnavana vsebina z vidika jasnosti ločena. Sedmi odstavek 27. člena predloga ZInfv-1 jasno ne vsebuje zahteve, da bi šlo za javni organ, saj se glasi: »</w:t>
      </w:r>
      <w:r w:rsidRPr="00D31B7E">
        <w:t xml:space="preserve">Organ za ugotavljanje skladnosti iz prejšnjega odstavka lahko na podlagi Uredbe 2019/881/EU izda evropski certifikat kibernetske varnosti, ki se nanaša na osnovno ali znatno raven zanesljivosti, </w:t>
      </w:r>
      <w:r>
        <w:t xml:space="preserve">in to </w:t>
      </w:r>
      <w:r w:rsidRPr="00D31B7E">
        <w:t>na podlagi meril, vključenih v evropsko certifikacijsko shemo za kibernetsko varnost.«. Osmi odstavek 27. člena predloga ZInfV-1 pa določa omejitev, ki je skladna z Uredbo 2019/881/EU in se glasi: »Ne glede na prejšnji odstavek, kadar evropska certifikacijska shema za kibernetsko varnost</w:t>
      </w:r>
      <w:r w:rsidRPr="00D31B7E" w:rsidDel="004D208C">
        <w:t xml:space="preserve"> </w:t>
      </w:r>
      <w:r w:rsidRPr="00D31B7E">
        <w:t xml:space="preserve">določa, da evropske certifikate kibernetske varnosti, ki izhajajo iz te sheme izdajajo le javni organi, je v Republiki Sloveniji pristojen organ za ugotavljanje skladnosti iz šestega odstavka tega člena, ki izpolnjuje dodatni pogoj, da gre za subjekt javnega prava. </w:t>
      </w:r>
      <w:r>
        <w:t>Kadar</w:t>
      </w:r>
      <w:r w:rsidRPr="00D31B7E">
        <w:t xml:space="preserve"> takšnega organa ni, je za izdajo takšnega evropskega certifikata kibernetske varnosti pristojen nacionalni certifikacijski organ za kibernetsko varnost.«. Pri tem predhodno šesti odstave</w:t>
      </w:r>
      <w:r>
        <w:t>k</w:t>
      </w:r>
      <w:r w:rsidRPr="00D31B7E">
        <w:t xml:space="preserve"> 27. člena predloga ZInfV-1 določa, da se organ za ugotavljanje skladnosti v Republiki Sloveniji določi po postopku in na način iz IV. poglavja Zakona o tehničnih zahtevah za proizvode in o ugotavljanju skladnosti (Uradni list RS, št. 17/11 in 29/23), pri čemer ta organ izpolnjuje zahteve po prej navedenem zakonu in dodatne zahteve iz priloge Uredbe 2019/881/EU.</w:t>
      </w:r>
    </w:p>
    <w:p w14:paraId="10EB51EE" w14:textId="77777777" w:rsidR="007B4338" w:rsidRDefault="007B4338">
      <w:pPr>
        <w:spacing w:line="240" w:lineRule="auto"/>
        <w:rPr>
          <w:lang w:val="sl-SI"/>
        </w:rPr>
      </w:pPr>
      <w:bookmarkStart w:id="23" w:name="_Hlk192778828"/>
      <w:bookmarkStart w:id="24" w:name="_Hlk192588286"/>
      <w:r>
        <w:rPr>
          <w:lang w:val="sl-SI"/>
        </w:rPr>
        <w:br w:type="page"/>
      </w:r>
    </w:p>
    <w:p w14:paraId="57086D77" w14:textId="0748DA4C" w:rsidR="000A51A5" w:rsidRPr="00547FD7" w:rsidRDefault="000A51A5" w:rsidP="000A51A5">
      <w:pPr>
        <w:spacing w:after="240" w:line="276" w:lineRule="auto"/>
        <w:rPr>
          <w:lang w:val="sl-SI"/>
        </w:rPr>
      </w:pPr>
      <w:r w:rsidRPr="00547FD7">
        <w:rPr>
          <w:lang w:val="sl-SI"/>
        </w:rPr>
        <w:lastRenderedPageBreak/>
        <w:t xml:space="preserve">Pripombe Telemacha: </w:t>
      </w:r>
    </w:p>
    <w:p w14:paraId="795C4D29" w14:textId="77777777" w:rsidR="000A51A5" w:rsidRPr="00547FD7" w:rsidRDefault="000A51A5" w:rsidP="007B4338">
      <w:pPr>
        <w:numPr>
          <w:ilvl w:val="0"/>
          <w:numId w:val="51"/>
        </w:numPr>
        <w:spacing w:line="240" w:lineRule="auto"/>
        <w:ind w:left="502" w:hanging="357"/>
        <w:jc w:val="both"/>
        <w:rPr>
          <w:lang w:val="sl-SI"/>
        </w:rPr>
      </w:pPr>
      <w:r w:rsidRPr="00547FD7">
        <w:rPr>
          <w:lang w:val="sl-SI"/>
        </w:rPr>
        <w:t xml:space="preserve">k 3. členu (področje uporabe), in sicer: </w:t>
      </w:r>
    </w:p>
    <w:p w14:paraId="6509236A" w14:textId="77777777" w:rsidR="000A51A5" w:rsidRPr="00547FD7" w:rsidRDefault="000A51A5" w:rsidP="007B4338">
      <w:pPr>
        <w:numPr>
          <w:ilvl w:val="0"/>
          <w:numId w:val="52"/>
        </w:numPr>
        <w:spacing w:line="240" w:lineRule="auto"/>
        <w:ind w:hanging="357"/>
        <w:jc w:val="both"/>
        <w:rPr>
          <w:lang w:val="sl-SI"/>
        </w:rPr>
      </w:pPr>
      <w:r w:rsidRPr="00547FD7">
        <w:rPr>
          <w:lang w:val="sl-SI"/>
        </w:rPr>
        <w:t>splošno, ker gre ta člen preko tega, kar predvideva Direktiva 2022/2555</w:t>
      </w:r>
      <w:r>
        <w:rPr>
          <w:lang w:val="sl-SI"/>
        </w:rPr>
        <w:t>/</w:t>
      </w:r>
      <w:r w:rsidRPr="00547FD7">
        <w:rPr>
          <w:lang w:val="sl-SI"/>
        </w:rPr>
        <w:t>EU. Pojasnjujemo, da v tem predlogu ZInfV-1 določbe njegovega 3. člena urejajo le še izključitev uporabe (predlaganega) zakona, določitev zavezancev pa zdaj ureja njegov 6. člen. Pripombo zavračamo. Hkrati pojasnjujemo, da je Direktiva 2022/2555</w:t>
      </w:r>
      <w:r>
        <w:rPr>
          <w:lang w:val="sl-SI"/>
        </w:rPr>
        <w:t>/</w:t>
      </w:r>
      <w:r w:rsidRPr="00547FD7">
        <w:rPr>
          <w:lang w:val="sl-SI"/>
        </w:rPr>
        <w:t>EU direktiva minimalne harmonizacije, ki državam članicam ne preprečuje, da sprejmejo ali ohranijo določbe, ki zagotavljajo višjo raven kibernetske varnosti (glej 5. člen te direktive). Nadalje zadevna direktiva hkrati tudi ne posega na področja izključne pristojnosti držav članic (glej na primer določbe šestega, sedmega, osmega odstavka enajstega odstavka 2. člena zadevne direktive), kar pa ne pomeni, da države članice tega ne bi smele urejati v skladu s svojimi pristojnostmi na zadevnem področju;</w:t>
      </w:r>
    </w:p>
    <w:p w14:paraId="2AA08DB9" w14:textId="77777777" w:rsidR="000A51A5" w:rsidRPr="00547FD7" w:rsidRDefault="000A51A5" w:rsidP="007B4338">
      <w:pPr>
        <w:numPr>
          <w:ilvl w:val="0"/>
          <w:numId w:val="52"/>
        </w:numPr>
        <w:spacing w:line="240" w:lineRule="auto"/>
        <w:ind w:left="782" w:hanging="357"/>
        <w:jc w:val="both"/>
        <w:rPr>
          <w:lang w:val="sl-SI"/>
        </w:rPr>
      </w:pPr>
      <w:r w:rsidRPr="00547FD7">
        <w:rPr>
          <w:lang w:val="sl-SI"/>
        </w:rPr>
        <w:t>k prvemu odstavku predlagajo uskladitev definicij, vezanih na promet in bilančno vsoto z Direktivo 2022/2555</w:t>
      </w:r>
      <w:r>
        <w:rPr>
          <w:lang w:val="sl-SI"/>
        </w:rPr>
        <w:t>/</w:t>
      </w:r>
      <w:r w:rsidRPr="00547FD7">
        <w:rPr>
          <w:lang w:val="sl-SI"/>
        </w:rPr>
        <w:t>E</w:t>
      </w:r>
      <w:r>
        <w:rPr>
          <w:lang w:val="sl-SI"/>
        </w:rPr>
        <w:t>U</w:t>
      </w:r>
      <w:r w:rsidRPr="00547FD7">
        <w:rPr>
          <w:lang w:val="sl-SI"/>
        </w:rPr>
        <w:t>. Kriteriji prometa in bilančne vsote naj bi morali biti podani kumulativno in ne alternativno (kar nakazujeta besedi: »oziroma«, »ali«). Ugotavljamo, da gre za pripombo k drugi alineji zadevnega odstavka, ki se glasi »letni promet ali letno bilančno vsoto vsaj 10 milijonov evrov. Vendar pojasnjujemo, da sta pogoja iz prve alineje (ki se nanaša na število zaposlenih) in iz druge alineje med sabo vezana z veznikom »in«, torej kumulativno. Pripombo zavračamo. Menimo namreč, da je določba skladna s prvim odstavkom 2. člena (Področje uporabe) Direktive 2022/2555</w:t>
      </w:r>
      <w:r>
        <w:rPr>
          <w:lang w:val="sl-SI"/>
        </w:rPr>
        <w:t>/</w:t>
      </w:r>
      <w:r w:rsidRPr="00547FD7">
        <w:rPr>
          <w:lang w:val="sl-SI"/>
        </w:rPr>
        <w:t>EU in z 2. členom Priloge k Priporočilu 2003/361/ES, na katerega se direktiva v tem delu sklicuje. Kot je razvidno iz 2. člena Priloge k Priporočilu 2003/361/ES, je namreč med obema pogojema, ki sta bila ob prenosu v osnutek predloga ZInfV-1 uvrščena vsak v svojo alinejo prvega odstavka zadevnega člena, veznik »in« (v angleškem jeziku »</w:t>
      </w:r>
      <w:r w:rsidRPr="00547FD7">
        <w:rPr>
          <w:i/>
          <w:iCs/>
          <w:lang w:val="sl-SI"/>
        </w:rPr>
        <w:t>and</w:t>
      </w:r>
      <w:r w:rsidRPr="00547FD7">
        <w:rPr>
          <w:lang w:val="sl-SI"/>
        </w:rPr>
        <w:t>«). Znotraj drugega pogoja (torej ob prenosu druge alineje prvega odstavka zadevnega člena osnutka predloga ZInfV-1) pa je med letnim prometom in letno bilančno vsoto v angleščini uporabljen veznik »</w:t>
      </w:r>
      <w:r w:rsidRPr="00547FD7">
        <w:rPr>
          <w:i/>
          <w:iCs/>
          <w:lang w:val="sl-SI"/>
        </w:rPr>
        <w:t>and/or</w:t>
      </w:r>
      <w:r w:rsidRPr="00547FD7">
        <w:rPr>
          <w:lang w:val="sl-SI"/>
        </w:rPr>
        <w:t xml:space="preserve">«. Torej v tem delu ne gre več za kumulativno zahtevo. Zato se prej omenjena raba veznikov ni spremenila niti v zdaj prvem odstavku 6. člena (zavezanci) predloga ZInfV-1; </w:t>
      </w:r>
    </w:p>
    <w:p w14:paraId="6C69C17B" w14:textId="24A8C2F0" w:rsidR="000A51A5" w:rsidRDefault="000A51A5" w:rsidP="007B4338">
      <w:pPr>
        <w:numPr>
          <w:ilvl w:val="0"/>
          <w:numId w:val="52"/>
        </w:numPr>
        <w:spacing w:line="240" w:lineRule="auto"/>
        <w:ind w:left="782" w:hanging="357"/>
        <w:jc w:val="both"/>
        <w:rPr>
          <w:lang w:val="sl-SI"/>
        </w:rPr>
      </w:pPr>
      <w:r w:rsidRPr="00547FD7">
        <w:rPr>
          <w:lang w:val="sl-SI"/>
        </w:rPr>
        <w:t>k šestemu odstavku predlaga črtanje te določbe, saj Direktiva 2022/2555/EU navedenega ne zahteva. Menijo namreč, da bi imela lahko pretirana širitev kroga zavezancev preko kroga (bistvenih in pomembnih subjektov), predvidenega zadevni direktivi, širši domino</w:t>
      </w:r>
      <w:r>
        <w:rPr>
          <w:lang w:val="sl-SI"/>
        </w:rPr>
        <w:t xml:space="preserve"> </w:t>
      </w:r>
      <w:r w:rsidRPr="00547FD7">
        <w:rPr>
          <w:lang w:val="sl-SI"/>
        </w:rPr>
        <w:t xml:space="preserve">učinek na slovensko gospodarstvo in morebitno zmanjšanje inovacij, kar bi lahko imelo negativen vpliv na cilje glede digitalne preobrazbe. Zadevna določba se je takrat glasila: »Ta zakon se uporablja tudi za subjekte lokalne samouprave, in sicer za mestne občine in občine, ki imajo sedeže v krajih, kjer so sedeži upravnih enot.«, kar je bilo znotraj možnosti določanja, kot to dopušča zadevna direktiva. Namreč, po petem odstavku 2. člena (Področje uporabe) Direktive 2022/2555/EU države članice lahko določijo, da se ta direktiva uporablja tudi za subjekte javne uprave na lokalni ravni (glej točko a znotraj navedenega odstavka). Ne glede na navedeno je bila pripomba upoštevana delno, in sicer na način, kot to zdaj izhaja iz 4. točke tretjega odstavka 6. člena (zavezanci) predloga ZInfV-1, po katerem so ne glede na prvi in prejšnji odstavek tega člena zavezanci po tem zakonu tudi mestne občine kot subjekti javne uprave na lokalni ravni; </w:t>
      </w:r>
    </w:p>
    <w:p w14:paraId="1B62A56E" w14:textId="77777777" w:rsidR="007B4338" w:rsidRPr="00547FD7" w:rsidRDefault="007B4338" w:rsidP="007B4338">
      <w:pPr>
        <w:spacing w:line="240" w:lineRule="auto"/>
        <w:ind w:left="782"/>
        <w:jc w:val="both"/>
        <w:rPr>
          <w:lang w:val="sl-SI"/>
        </w:rPr>
      </w:pPr>
    </w:p>
    <w:p w14:paraId="30306C44" w14:textId="77777777" w:rsidR="000A51A5" w:rsidRPr="00547FD7" w:rsidRDefault="000A51A5" w:rsidP="007B4338">
      <w:pPr>
        <w:numPr>
          <w:ilvl w:val="0"/>
          <w:numId w:val="51"/>
        </w:numPr>
        <w:spacing w:line="240" w:lineRule="auto"/>
        <w:ind w:left="502" w:hanging="357"/>
        <w:jc w:val="both"/>
        <w:rPr>
          <w:lang w:val="sl-SI"/>
        </w:rPr>
      </w:pPr>
      <w:r w:rsidRPr="00547FD7">
        <w:rPr>
          <w:lang w:val="sl-SI"/>
        </w:rPr>
        <w:t xml:space="preserve">k 6. členu (zavezanci), in sicer: </w:t>
      </w:r>
    </w:p>
    <w:p w14:paraId="4CB64BC9" w14:textId="77777777" w:rsidR="000A51A5" w:rsidRPr="00547FD7" w:rsidRDefault="000A51A5" w:rsidP="007B4338">
      <w:pPr>
        <w:numPr>
          <w:ilvl w:val="0"/>
          <w:numId w:val="52"/>
        </w:numPr>
        <w:spacing w:line="240" w:lineRule="auto"/>
        <w:ind w:hanging="357"/>
        <w:jc w:val="both"/>
        <w:rPr>
          <w:lang w:val="sl-SI"/>
        </w:rPr>
      </w:pPr>
      <w:r w:rsidRPr="00547FD7">
        <w:rPr>
          <w:lang w:val="sl-SI"/>
        </w:rPr>
        <w:t xml:space="preserve">splošno, ker gre ta člen preko tega, kar predvideva Direktiva 2022/2555/EU. Pojasnjujemo, da v sedanjem predlogu ZInfV-1 določbe njegovega 3. člena urejajo le še izključitev uporabe (predlaganega) zakona, določitev zavezancev pa ureja njegov 6. člen (zavezanci), kar smo pojasnili zgoraj pri splošni pripombi k 3. členu osnutka predloga ZInfV-1. Razvrščanje zavezancev na bistvene in pomembne subjekte (prejšnji 6. člen </w:t>
      </w:r>
      <w:r w:rsidRPr="00547FD7">
        <w:rPr>
          <w:rFonts w:cs="Arial"/>
          <w:lang w:val="sl-SI"/>
        </w:rPr>
        <w:t>‒</w:t>
      </w:r>
      <w:r w:rsidRPr="00547FD7">
        <w:rPr>
          <w:lang w:val="sl-SI"/>
        </w:rPr>
        <w:t xml:space="preserve"> zavezanci) pa zdaj ureja 7. člen (bistveni in pomembni subjekti) predloga ZInfV-1. Splošno pripombo tudi v tem delu zavračamo. Hkrati se glede razlogov zavrnitve tudi na tem mestu sklicujemo na pojasnilo, ki smo ga pripombodajalcu dali zgoraj pri njegovi splošni pripombi k 3. členu osnutka predloga ZInfV-1; </w:t>
      </w:r>
    </w:p>
    <w:p w14:paraId="08864B1E" w14:textId="77777777" w:rsidR="000A51A5" w:rsidRPr="00547FD7" w:rsidRDefault="000A51A5" w:rsidP="007B4338">
      <w:pPr>
        <w:numPr>
          <w:ilvl w:val="0"/>
          <w:numId w:val="52"/>
        </w:numPr>
        <w:spacing w:line="240" w:lineRule="auto"/>
        <w:ind w:left="782" w:hanging="357"/>
        <w:jc w:val="both"/>
        <w:rPr>
          <w:lang w:val="sl-SI"/>
        </w:rPr>
      </w:pPr>
      <w:r w:rsidRPr="00547FD7">
        <w:rPr>
          <w:lang w:val="sl-SI"/>
        </w:rPr>
        <w:t xml:space="preserve">k točkama 1 in 3 drugega odstavka (gre za določanje bistvenih subjektov) predlaga uskladitev definicij, vezanih na promet in bilančno vsoto z Direktivo 2022/2555EU, in sicer bi morali biti kriteriji prometa in bilančne vsote podani kumulativno in ne alternativno (kar nakazujeta besedi: »oziroma«, »ali«). Pripombo zavračamo. Hkrati se glede </w:t>
      </w:r>
      <w:r w:rsidRPr="00547FD7">
        <w:rPr>
          <w:lang w:val="sl-SI"/>
        </w:rPr>
        <w:lastRenderedPageBreak/>
        <w:t>razlogov zavrnitve na tem mestu smiselno sklicujemo na pojasnilo, ki smo ga pripombodajalcu dali zgoraj pri pripombi k prvemu odstavku 3. člena osnutka predloga ZInfV-1. Tudi v točkah 1 in 3 drugega odstavka (zdaj) 7. člena predloga ZInfV-1 smo posledično ohranili zadevne veznike, ker so pravilni;</w:t>
      </w:r>
    </w:p>
    <w:p w14:paraId="22FC835C" w14:textId="77777777" w:rsidR="000A51A5" w:rsidRDefault="000A51A5" w:rsidP="007B4338">
      <w:pPr>
        <w:numPr>
          <w:ilvl w:val="0"/>
          <w:numId w:val="52"/>
        </w:numPr>
        <w:spacing w:line="240" w:lineRule="auto"/>
        <w:ind w:left="782" w:hanging="357"/>
        <w:jc w:val="both"/>
        <w:rPr>
          <w:lang w:val="sl-SI"/>
        </w:rPr>
      </w:pPr>
      <w:r w:rsidRPr="00547FD7">
        <w:rPr>
          <w:lang w:val="sl-SI"/>
        </w:rPr>
        <w:t>k točkama 5. in 8. drugega odstavka (gre za določanje bistvenih subjektov) predlaga črtanje obeh točk, ker naj bi šlo za povsem odprto določanje zavezancev in bi se tako skoraj vsak subjekt določilo za zavezanca, kar je lahko ob odsotnosti zadostnih specificiranih zakonskih kriterijev v nasprotju z Ustavo, pa tudi problematično z vidika načela sorazmernosti. V zvezi s podano pripombo pojasnjujemo, da je bila ta delno upoštevana na način, kot je razviden v predlogu ZInfV-1 pri sedanjem 7. členu (bistveni in pomembni subjekti) predloga ZInfV-1. Pri tem smo v 5. točki drugega odstavka zdaj 7. člena predloga ZInfV-1, podobno kot prej, predvideli, da so bistveni subjekti tudi »vsi drugi subjekti vrste iz Prilog 1 ali 2</w:t>
      </w:r>
      <w:r>
        <w:rPr>
          <w:lang w:val="sl-SI"/>
        </w:rPr>
        <w:t xml:space="preserve"> tega zakona</w:t>
      </w:r>
      <w:r w:rsidRPr="00547FD7">
        <w:rPr>
          <w:lang w:val="sl-SI"/>
        </w:rPr>
        <w:t xml:space="preserve">, ki jih na podlagi 2. do 5. točke drugega odstavka prejšnjega člena tega zakona in na predlog pristojnega nacionalnega organa določi vlada«). Določba se (podobno kot prej) sklicuje na 2. do 5. točko drugega odstavka (tokrat) prejšnjega, torej 6. člena predloga ZInfV-1, ki pa določa kriterije oziroma pogoje za takšno določitev s strani vlade. Glede zdaj 7. točke (»subjekti iz sektorja 9. Upravljanje storitev IKT iz Priloge 1 niso subjekti iz 1. do 6. točke tega odstavka, ki jih na predlog pristojnega nacionalnega organa določi vlada«) drugega odstavka 7. člena predloga ZInfV-1 pa smo pripombo upoštevali delno z vidika jasnosti. Pojasnjujemo, da iz (novega) četrtega odstavka 7. člena predloga ZInfV-1 zdaj izhaja, da za izvajanje 7. točke drugega odstavka tega člena Banka Slovenije, Agencija za trg vrednostnih papirjev in Agencija za zavarovalni nadzor pošljejo pristojnemu nacionalnemu organu poimenski seznam subjektov, ki izvajajo zadevne storitve na področju sektorjev 3. Bančništvo ali 4. Infrastrukture finančnega trga iz Priloge 1. Gre torej za jasen pogoj, da prej omenjeni subjekti iz sektorja 9. Upravljanje storitev IKT iz Priloge 1 izvajajo storitve v prej navedenih sektorjih, torej za subjekte s področja finančnega sektorja, za katere pa veljajo strožje obveznosti, ki izhajajo iz Uredbe 2022/2554/EU, ki zadeva finančni sektor, kot so sicer predvidene v tem zakonu. V zvezi z zagotavljanjem odpornosti subjektov iz finančnega sektorja, ki so zavezanci po Uredbi 2022/2554/EU, ki je bila sprejeta hkrati kot Direktiva 2022/2555 (minimalne harmonizacije, ki se prenaša s tem zakonom), in ob zasledovanju cilja medsebojne usklajenosti je namreč treba zagotoviti, da se tudi subjekti iz sektorja 9. Upravljanje storitev IKT iz Priloge 1, ki niso subjekti iz 1. do 6. točke tega odstavka (torej niso že na tej podlagi določeni za bistvene subjekte), če izvajajo zadevne storitve za subjekte iz finančnega sektorja, lahko določijo za bistvene subjekte po predlaganem zakonu. Ob tem seznam takšnih subjektov pošljejo pristojnemu nacionalnemu organu le pristojni organi iz finančnega sektorja; </w:t>
      </w:r>
    </w:p>
    <w:p w14:paraId="3C38C489" w14:textId="77777777" w:rsidR="007B4338" w:rsidRPr="00547FD7" w:rsidRDefault="007B4338" w:rsidP="007B4338">
      <w:pPr>
        <w:spacing w:line="240" w:lineRule="auto"/>
        <w:ind w:left="782"/>
        <w:jc w:val="both"/>
        <w:rPr>
          <w:lang w:val="sl-SI"/>
        </w:rPr>
      </w:pPr>
    </w:p>
    <w:p w14:paraId="4C482282" w14:textId="77777777" w:rsidR="000A51A5" w:rsidRPr="00547FD7" w:rsidRDefault="000A51A5" w:rsidP="000A51A5">
      <w:pPr>
        <w:numPr>
          <w:ilvl w:val="0"/>
          <w:numId w:val="51"/>
        </w:numPr>
        <w:spacing w:line="240" w:lineRule="auto"/>
        <w:ind w:left="502" w:hanging="357"/>
        <w:jc w:val="both"/>
        <w:rPr>
          <w:lang w:val="sl-SI"/>
        </w:rPr>
      </w:pPr>
      <w:r w:rsidRPr="00547FD7">
        <w:rPr>
          <w:lang w:val="sl-SI"/>
        </w:rPr>
        <w:t>k 21. členu (ukrepi za obvladovanje tveganj za kibernetsko varnost bistvenih in pomembnih subjektov), in sicer:</w:t>
      </w:r>
    </w:p>
    <w:p w14:paraId="0660B703" w14:textId="77777777" w:rsidR="000A51A5" w:rsidRPr="00547FD7" w:rsidRDefault="000A51A5" w:rsidP="000A51A5">
      <w:pPr>
        <w:numPr>
          <w:ilvl w:val="0"/>
          <w:numId w:val="52"/>
        </w:numPr>
        <w:spacing w:line="240" w:lineRule="auto"/>
        <w:ind w:hanging="357"/>
        <w:jc w:val="both"/>
        <w:rPr>
          <w:lang w:val="sl-SI"/>
        </w:rPr>
      </w:pPr>
      <w:r w:rsidRPr="00547FD7">
        <w:rPr>
          <w:lang w:val="sl-SI"/>
        </w:rPr>
        <w:t xml:space="preserve">k petemu odstavku predlaga »redakcijsko« dopolnitev tako, da se referenca na usklajene ocene tveganja izrecno nanaša na morebitne bodoče usklajene ocene tveganj za kritične dobavne verige, ki bi bile izvedene v skladu s členom 22(1) Direktive 2022/2555/EU (kot predvideva tretji odstavek 21. člena Direktive 2022/2555/EU). Pripomba je bila upoštevana delno z vidika jasnosti na način, kot je zdaj razviden iz četrtega odstavka 22. člena (ukrepi za obvladovanje tveganj) predloga ZInfV-1, ki se v relevantnem delu zdaj glasi: »Pri tem upoštevajo rezultate morebitnih usklajenih ocen tveganja za kritične dobavne verige, ki jih Skupina za sodelovanje pripravi v sodelovanju z Evropsko komisijo in </w:t>
      </w:r>
      <w:r>
        <w:rPr>
          <w:lang w:val="sl-SI"/>
        </w:rPr>
        <w:t xml:space="preserve">agencijo </w:t>
      </w:r>
      <w:r w:rsidRPr="00547FD7">
        <w:rPr>
          <w:lang w:val="sl-SI"/>
        </w:rPr>
        <w:t>ENISA v skladu s prvim odstavkom 22. člena Direktive 2022/2555/EU.</w:t>
      </w:r>
      <w:r>
        <w:rPr>
          <w:lang w:val="sl-SI"/>
        </w:rPr>
        <w:t>«.</w:t>
      </w:r>
      <w:r w:rsidRPr="00547FD7">
        <w:rPr>
          <w:lang w:val="sl-SI"/>
        </w:rPr>
        <w:t xml:space="preserve"> V preostalem pa, če pripomba meri na domnevno retroaktivnost, pojasnjujemo, da je popolnoma jasno, da za retroaktivnost ne gre. Vsebino četrtega odstavka 22. člena (ukrepi za obvladovanje tveganj) predloga ZInfV-1 je namreč treba brati skupaj s petim odstavkom (prej šestim) istega člena. Po (zdaj) četrtem odstavku zadevnega člena predloga ZInfV-1 morajo bistveni in pomembni subjekti pri oceni in izvedbi ustreznih varnostnih ukrepov za varnost dobavne verige upoštevati ranljivosti, ki so specifične za posameznega neposrednega dobavitelja in ponudnika storitev ter splošno kakovost proizvodov in praks svojih dobaviteljev ter ponudnikov storitev na področju kibernetske varnosti, vključno z njihovimi varnimi razvojnimi postopki. Bistveni in pomembni subjekti morajo ugotavljati, kateri varnostni ukrepi so ustrezni in primerni </w:t>
      </w:r>
      <w:r w:rsidRPr="00547FD7">
        <w:rPr>
          <w:lang w:val="sl-SI"/>
        </w:rPr>
        <w:lastRenderedPageBreak/>
        <w:t xml:space="preserve">za zagotovitev varnosti dobavne verige ter lahko preverjajo njihovo izvajanje pri dobaviteljih in ponudnikih storitev. Pri tem upoštevajo rezultate morebitnih usklajenih ocen tveganja za kritične dobavne verige, ki jih pripravi Skupina za sodelovanje v sodelovanju z Evropsko komisijo in ENISA v skladu s prvim odstavkom 22. člena Direktive 2022/2555/EU. Gre torej za upoštevanje tistih usklajenih ocen tveganj za kritične dobavne verige, ki so takrat aktualne, če obstajajo. Po </w:t>
      </w:r>
      <w:r>
        <w:rPr>
          <w:lang w:val="sl-SI"/>
        </w:rPr>
        <w:t>petem</w:t>
      </w:r>
      <w:r w:rsidRPr="00547FD7">
        <w:rPr>
          <w:lang w:val="sl-SI"/>
        </w:rPr>
        <w:t xml:space="preserve"> odstavku 22. člena pa morajo bistveni ali pomembni subjekti najmanj enkrat letno oziroma v rednih obdobjih, ki jih opredelijo v politiki in postopkih za oceno učinkovitosti ukrepov za obvladovanje tveganj za kibernetsko varnost in ob zaznanih ranljivostih, preverjati izpolnjevanje varnostnih ukrepov iz tretjega odstavka tega člena. V primeru ugotovljenega pomanjkljivega ali neustreznega izvajanja varnostnih ukrepov morajo nemudoma sprejeti vse potrebne, ustrezne in sorazmerne popravne ukrepe. Morebitne poznejše usklajene ocene tveganj za kritične dobavne verige bo torej bistveni ali pomembni subjekt upošteval ob priložnosti preverbe izvajanja varnostnih ukrepov. Iz 70. člena (začetek veljavnosti) predloga ZInfV-1 tudi jasno izhaja, da ni retroaktivne veljave zakona. Za (prvi) sprejem ukrepov iz 21. in 22. člena predlaganega zakona je hkrati na voljo tudi dovolj dolgo prehodno obdobje, ki je razvidno iz 62. člena predloga ZInfV-1, pri čemer pripombodajalca posebej opozarjamo na tretji odstavek zadevnega člena; </w:t>
      </w:r>
    </w:p>
    <w:p w14:paraId="4759A324" w14:textId="77777777" w:rsidR="000A51A5" w:rsidRPr="00547FD7" w:rsidRDefault="000A51A5" w:rsidP="000A51A5">
      <w:pPr>
        <w:numPr>
          <w:ilvl w:val="0"/>
          <w:numId w:val="52"/>
        </w:numPr>
        <w:spacing w:after="240" w:line="240" w:lineRule="auto"/>
        <w:jc w:val="both"/>
        <w:rPr>
          <w:lang w:val="sl-SI"/>
        </w:rPr>
      </w:pPr>
      <w:r w:rsidRPr="00547FD7">
        <w:rPr>
          <w:lang w:val="sl-SI"/>
        </w:rPr>
        <w:t>k enajstemu odstavku predlaga njegovo črtanje, ker meni, da je pooblastilo vladi, da podrobneje določi način izvajanja obveznosti iz tega člena in minimalni obseg varnostnih ukrepov za obvladovanje tveganj za kibernetsko varnost bistvenih in pomembnih subjektov, če niso zajeti v zadevnih dokumentih Evropske komisije, ter da vlada pri tem upošteva tudi morebitne dokumente ali tehnična priporočila ENISA in Skupine za sodelovanje, preširoko pooblastilo in po vsej verjetnosti v nasprotju z Ustavo. Glede na abstraktnost in pomensko odprtost tega člena gre lahko za de facto predpisovanje ukrepov, za kar pa ni zadostne vsebinske podlage, tudi ob upoštevanju, da imajo lahko kakršnikoli takšni ukrepi učinek omejitev na trg opreme in svobode gospodarske pobude (74. člen Ustave). Pripomba je bila delno upoštevana v zdaj 13. odstavku 22. člena predloga ZInfV-1 na način, da pooblastilo vladi ne vključuje več tudi možnosti določanja minimalnega obsega varnostnih ukrepov, temveč gre le še za pooblastilo vladi, da ta lahko (če bo torej ocenila za potrebno) podrobneje določi način izvajanja obveznosti iz tega člena za obvladovanje tveganj za informacijsko in kibernetsko varnost bistvenih in pomembnih subjektov. Ne strinjamo se torej s pripombodajalcem, da podzakonski predpis ne bi smel določati načina izvajanja zakonsko že določenih obveznosti, saj ne gre za predpisovanje novih obveznosti. O preseganju ustavno dopustnega podzakonskega urejanja tudi ne gre vnaprej špekulirati ali predpostavljati. Lahko pa se to vprašanje sproži v zvezi s konkretnim sprejetim podzakonskim predpisom, če bi ta v nasprotju z Ustavo in preko zakona urejal zadevno materijo;</w:t>
      </w:r>
    </w:p>
    <w:p w14:paraId="54D466A1" w14:textId="77777777" w:rsidR="000A51A5" w:rsidRPr="00547FD7" w:rsidRDefault="000A51A5" w:rsidP="000A51A5">
      <w:pPr>
        <w:numPr>
          <w:ilvl w:val="0"/>
          <w:numId w:val="51"/>
        </w:numPr>
        <w:spacing w:after="240" w:line="240" w:lineRule="auto"/>
        <w:ind w:left="502"/>
        <w:jc w:val="both"/>
        <w:rPr>
          <w:lang w:val="sl-SI"/>
        </w:rPr>
      </w:pPr>
      <w:r w:rsidRPr="00547FD7">
        <w:rPr>
          <w:lang w:val="sl-SI"/>
        </w:rPr>
        <w:t>k 22. členu (obveza posredovanja podatkov in informacij), ker je presplošen in gre preko obsega Direktive 2022/2555/EU, zato naj se črta. Pojasnjujemo, da gre v predlogu ZInfV-1 zdaj za 26. člen (obveza posredovanja podatkov in informacij), pri čemer je bil prvi odstavek izboljšan z vidika jasnosti in določnosti glede roka, v katerem je treba p</w:t>
      </w:r>
      <w:r>
        <w:rPr>
          <w:lang w:val="sl-SI"/>
        </w:rPr>
        <w:t>redložiti</w:t>
      </w:r>
      <w:r w:rsidRPr="00547FD7">
        <w:rPr>
          <w:lang w:val="sl-SI"/>
        </w:rPr>
        <w:t xml:space="preserve"> zahtevane </w:t>
      </w:r>
      <w:r>
        <w:rPr>
          <w:lang w:val="sl-SI"/>
        </w:rPr>
        <w:t xml:space="preserve">podatke in </w:t>
      </w:r>
      <w:r w:rsidRPr="00547FD7">
        <w:rPr>
          <w:lang w:val="sl-SI"/>
        </w:rPr>
        <w:t xml:space="preserve">informacije. Namreč bistveni in pomembni subjekti morajo zdaj pristojnemu nacionalnemu na podlagi pisne zahteve posredovati podatke in informacije, ki jih pristojni nacionalni organ potrebuje za izvajanje svojih pristojnosti po tem zakonu, v roku, ki ga določi pristojni nacionalni organ v </w:t>
      </w:r>
      <w:r>
        <w:rPr>
          <w:lang w:val="sl-SI"/>
        </w:rPr>
        <w:t xml:space="preserve">svoji </w:t>
      </w:r>
      <w:r w:rsidRPr="00547FD7">
        <w:rPr>
          <w:lang w:val="sl-SI"/>
        </w:rPr>
        <w:t xml:space="preserve">pisni zahtevi. Drugi odstavek 26. člena pa tudi v predlogu ZInfV-1 ostaja enak, in sicer morajo zahtevani podatki in informacije biti sorazmerni namenu, za katerega bodo uporabljeni. Pristojni nacionalni organ mora v zahtevi navesti namen uporabe zahtevanih podatkov in informacij. Gre torej za varovalko v korist bistvenih in pomembnih subjektov. V preostalem pa pripombo k zadevnemu členu, ki je bila sicer podana v okviru pripomb na inšpekcijske oziroma nadzorstvene pristojnosti in se ji očita, da gre preko pristojnosti nadzora, kot to izhaja iz Direktive 2022/2555/EU, zavračamo. Res gre v tem delu sicer za nacionalno določbo, pri čemer gre za rešitev iz veljavnega zakona (ZInfV), ki ureja področje informacijske varnosti in se je izkazala kot pomemben gradnik za </w:t>
      </w:r>
      <w:r w:rsidRPr="00547FD7">
        <w:rPr>
          <w:rFonts w:cs="Arial"/>
          <w:szCs w:val="20"/>
          <w:lang w:val="sl-SI" w:eastAsia="sl-SI"/>
        </w:rPr>
        <w:t>izboljšanje</w:t>
      </w:r>
      <w:r w:rsidRPr="00547FD7" w:rsidDel="002779D0">
        <w:rPr>
          <w:lang w:val="sl-SI"/>
        </w:rPr>
        <w:t xml:space="preserve"> </w:t>
      </w:r>
      <w:r w:rsidRPr="00547FD7">
        <w:rPr>
          <w:lang w:val="sl-SI"/>
        </w:rPr>
        <w:t xml:space="preserve">informacijske in kibernetske varnosti zavezancev. </w:t>
      </w:r>
      <w:bookmarkStart w:id="25" w:name="_Hlk192685881"/>
      <w:r w:rsidRPr="00547FD7">
        <w:rPr>
          <w:lang w:val="sl-SI"/>
        </w:rPr>
        <w:t xml:space="preserve">Poudarjamo pa, da je Direktiva 2022/2555/EU direktiva minimalne harmonizacije, ki državam članicam ne preprečuje, da sprejmejo ali ohranijo določbe, ki zagotavljajo višjo raven kibernetske varnosti (glej 5. člen te direktive). </w:t>
      </w:r>
      <w:bookmarkEnd w:id="25"/>
      <w:r w:rsidRPr="00547FD7">
        <w:rPr>
          <w:lang w:val="sl-SI"/>
        </w:rPr>
        <w:t xml:space="preserve">Nadalje zadevni člen sledi ciljem navedene direktive, saj pristojni nacionalni organ opolnomoči za učinkovito izvajanje njegovih pristojnosti. Tako je </w:t>
      </w:r>
      <w:r w:rsidRPr="00547FD7">
        <w:rPr>
          <w:lang w:val="sl-SI"/>
        </w:rPr>
        <w:lastRenderedPageBreak/>
        <w:t xml:space="preserve">namreč urejen dostop pristojnega nacionalnega organa do vseh potrebnih </w:t>
      </w:r>
      <w:r>
        <w:rPr>
          <w:lang w:val="sl-SI"/>
        </w:rPr>
        <w:t xml:space="preserve">podatkov in </w:t>
      </w:r>
      <w:r w:rsidRPr="00547FD7">
        <w:rPr>
          <w:lang w:val="sl-SI"/>
        </w:rPr>
        <w:t>informacij, kar mu šele omogoči, da lahko informirano izvaja analize, pripravlja strategijo, nacionalni načrt odzivanja na incidente, pregleduje ustreznost določitve nekaterih zavezancev (iz 5. točke drugega odstavka 7. člena), sprejema ustrezne ukrepe in podobno. V tem predlogu ZInfV-1 je dodan še tretji odstavek, po katerem se za p</w:t>
      </w:r>
      <w:r>
        <w:rPr>
          <w:lang w:val="sl-SI"/>
        </w:rPr>
        <w:t>redložitev</w:t>
      </w:r>
      <w:r w:rsidRPr="00547FD7">
        <w:rPr>
          <w:lang w:val="sl-SI"/>
        </w:rPr>
        <w:t xml:space="preserve"> podatkov in informacij pristojnemu nacionalnemu organu, ki so pri bistvenih in pomembnih subjektih opredeljeni kot tajni ali kot poslovna skrivnost ali druga oblika varovanih podatkov, uporabljajo izključno varne komunikacijske poti. Glede pristojnosti inšpektorjev v postopkih nadzora pa so te podrobneje urejene v IX. poglavju predloga ZInfV-1;</w:t>
      </w:r>
    </w:p>
    <w:p w14:paraId="7372246C" w14:textId="77777777" w:rsidR="000A51A5" w:rsidRPr="00547FD7" w:rsidRDefault="000A51A5" w:rsidP="000A51A5">
      <w:pPr>
        <w:numPr>
          <w:ilvl w:val="0"/>
          <w:numId w:val="51"/>
        </w:numPr>
        <w:spacing w:line="240" w:lineRule="auto"/>
        <w:ind w:left="499" w:hanging="357"/>
        <w:jc w:val="both"/>
        <w:rPr>
          <w:lang w:val="sl-SI"/>
        </w:rPr>
      </w:pPr>
      <w:bookmarkStart w:id="26" w:name="_Hlk192851169"/>
      <w:bookmarkEnd w:id="23"/>
      <w:r w:rsidRPr="00547FD7">
        <w:rPr>
          <w:lang w:val="sl-SI"/>
        </w:rPr>
        <w:t>k 23. členu (certifikacija):</w:t>
      </w:r>
    </w:p>
    <w:p w14:paraId="7CEC3FB0" w14:textId="77777777" w:rsidR="000A51A5" w:rsidRPr="00547FD7" w:rsidRDefault="000A51A5" w:rsidP="000A51A5">
      <w:pPr>
        <w:numPr>
          <w:ilvl w:val="0"/>
          <w:numId w:val="52"/>
        </w:numPr>
        <w:spacing w:line="240" w:lineRule="auto"/>
        <w:ind w:left="782" w:hanging="357"/>
        <w:jc w:val="both"/>
        <w:rPr>
          <w:lang w:val="sl-SI"/>
        </w:rPr>
      </w:pPr>
      <w:r w:rsidRPr="00547FD7">
        <w:rPr>
          <w:lang w:val="sl-SI"/>
        </w:rPr>
        <w:t xml:space="preserve">splošno: predlagajo črtanje določb, ki so bile dodane v zadnji verziji 23. člena v primerjavi s predhodnim predlogom, saj niso usklajene s pravom EU. Člen tudi ni dovolj jasen in določen. Ni jasno, katere evropske certifikate URSIV lahko odvzame, ali je to zamejeno na certifikate, izdane v Sloveniji, ali tudi druge certifikate. Te pripombe so bile delno upoštevane na način, kot je zdaj razvidno iz 27. člena predloga ZInfV-1, še posebej pa so bile določbe o certifikaciji izboljšane z vidika jasnosti in določnosti. Jasno je med drugim razvidno, za katere certifikate gre, in katere URSIV lahko odvzame. Ker so sheme za EUCS in EU5G šele v pripravi, kar bo trajalo več let, urejanje na državni ravni pa naj bi bilo dopustno zgolj do vzpostavitve shem na evropski ravni, je večina držav članic previdnih in niso začele pripravljati zakonodaje, vezane na evropske certifikacijske sheme, da ne bi ogrozile harmonizacijskih prizadevanj na ravni EU. Pojasnjujemo, da Uredba 2019/881/EU kot podlaga za certifikacijske sheme velja in že zahteva aktivnosti. Zato dodatno čakanje z določbami, ki so potrebne zaradi izvajanja Uredbe 2019/881/EU, ni združljivo z njenimi zahtevami in roki, ki so v njej predvideni. Glede na vsebino zdaj 27. člena predloga ZInfV-1 dodajamo, da </w:t>
      </w:r>
      <w:r>
        <w:rPr>
          <w:lang w:val="sl-SI"/>
        </w:rPr>
        <w:t xml:space="preserve">ta </w:t>
      </w:r>
      <w:r w:rsidRPr="00547FD7">
        <w:rPr>
          <w:lang w:val="sl-SI"/>
        </w:rPr>
        <w:t>nacionalne sheme</w:t>
      </w:r>
      <w:r>
        <w:rPr>
          <w:lang w:val="sl-SI"/>
        </w:rPr>
        <w:t xml:space="preserve"> ne ureja</w:t>
      </w:r>
      <w:r w:rsidRPr="00547FD7">
        <w:rPr>
          <w:lang w:val="sl-SI"/>
        </w:rPr>
        <w:t>, prav tako ocenjujemo, da ni potrebe po notifikaciji skladno z mehanizmom TRIS in pravom WTO;</w:t>
      </w:r>
    </w:p>
    <w:p w14:paraId="0E5437E7" w14:textId="77777777" w:rsidR="000A51A5" w:rsidRDefault="000A51A5" w:rsidP="000A51A5">
      <w:pPr>
        <w:numPr>
          <w:ilvl w:val="0"/>
          <w:numId w:val="52"/>
        </w:numPr>
        <w:spacing w:line="240" w:lineRule="auto"/>
        <w:ind w:left="782" w:hanging="357"/>
        <w:jc w:val="both"/>
        <w:rPr>
          <w:lang w:val="sl-SI"/>
        </w:rPr>
      </w:pPr>
      <w:r w:rsidRPr="003A6D30">
        <w:rPr>
          <w:lang w:val="sl-SI"/>
        </w:rPr>
        <w:t xml:space="preserve">k sedmemu odstavku predvidevajo, da bi URSIV (ali organ, na katerega URSIV prenese pooblastilo izdajanja evropskih certifikatov kibernetske varnosti) izdajal evropski certifikat kibernetske varnosti za visoko raven zanesljivosti. URSIV bi moral torej predstaviti ustrezno strokovno znanje in izkušnje za tovrstne postopke certificiranja oziroma se postavlja vprašanje preverjanja ustreznega strokovnega znanja in izkušenj osebja organov (torej URSIV), ki izdajajo certifikate za »visoko«, ki ima ustrezno strokovno znanje in izkušnje. Glede vprašanja ali ima osebje organov, ki izdajajo certifikate, »visoko« raven zanesljivosti v skladu s šestim odstavkom 56. člena Uredbe 2019/881/EU ustrezno strokovno znanje in izkušnje, pojasnjujemo, da je to lahko predmet medsebojnih strokovnih pregledov iz 59. člena zadevne uredbe EU, ki je neposredno uporabljiva. Poleg tega se v oceni vpliva predlaganega zakona predvideva tudi dodatno zaposlovanje. Dodatno čakanje z ureditvijo izvajanja Uredbe 2019/881/EU, kot to sugerira pripombodajalec, pa ne bi bilo kompatibilno z Uredbo 2019/881/EU. V zvezi z ureditvijo pristojnosti za izdajo evropskega certifikata kibernetske varnosti za visoko raven zanesljivosti zdaj sicer napotujemo na deveti, deseti in enajsti odstavek 27. člena v predlogu ZInfV-1; </w:t>
      </w:r>
    </w:p>
    <w:p w14:paraId="4FF16139" w14:textId="77777777" w:rsidR="000A51A5" w:rsidRPr="003A6D30" w:rsidRDefault="000A51A5" w:rsidP="000A51A5">
      <w:pPr>
        <w:numPr>
          <w:ilvl w:val="0"/>
          <w:numId w:val="52"/>
        </w:numPr>
        <w:spacing w:line="240" w:lineRule="auto"/>
        <w:ind w:left="782" w:hanging="357"/>
        <w:jc w:val="both"/>
        <w:rPr>
          <w:lang w:val="sl-SI"/>
        </w:rPr>
      </w:pPr>
      <w:r w:rsidRPr="003A6D30">
        <w:rPr>
          <w:lang w:val="sl-SI"/>
        </w:rPr>
        <w:t>k trinajstemu odstavku, ker ni jasno, kaj je mišljeno s postopkom »priznanja evropskega certifikata kibernetske varnosti«, v zvezi z možnostjo sodnega varstva, ko pa bi evropski certifikati kibernetske varnosti morali učinkovati avtomatično, brez potrebe po posebnem priznanju v Republiki Sloveniji. Pripombodajalec se moti, da postopek priznanja evropskega certifikata ne bi smel obstajati in posledično biti zajet v pravici do sodnega varstva. Namreč iz točke a prvega odstavka 64. člena Uredbe 2019/881/EU jasno izhaja, da imajo fizične in pravne osebe pravico do učinkovitega sodnega pravnega sredstva v zvezi z odločitvami, ki jih sprejme organ iz člena 63(1), po potrebi tudi v zvezi z nepravilno izdajo, opustitvijo izdaje ali priznanjem evropskega certifikata kibernetske varnosti, ki ga imajo v lasti zadevne fizične ali pravne osebe. Postopek priznanj</w:t>
      </w:r>
      <w:r>
        <w:rPr>
          <w:lang w:val="sl-SI"/>
        </w:rPr>
        <w:t>a</w:t>
      </w:r>
      <w:r w:rsidRPr="003A6D30">
        <w:rPr>
          <w:lang w:val="sl-SI"/>
        </w:rPr>
        <w:t xml:space="preserve"> evropskega certifikata kibernetske varnosti torej obstaja. Glede tega zdaj napotujemo na enajsti in dvanajsti odstavek predloga ZInfV-1. Glede sodnega varstva v primerih, ko odločbo na prvi stopnji izda (ali bi jo moral izdati) URSIV, pa na zdaj petnajsti in šestnajsti odstavek 27. člena predloga ZInfV-1. K tej določbi podaja tudi pripombe, da sodno varstvo pred upravnim sodiščem vsebinsko ne zagotavlja zadostne varnosti za udeležence, saj je izjemno omejeno, kar naj bi bilo vprašljivo tudi z vidika ustavnih pravic. Predvidena bi morala biti tudi vsebinska kontrola (pravilnosti) odločitve, ne samo s </w:t>
      </w:r>
      <w:r w:rsidRPr="003A6D30">
        <w:rPr>
          <w:lang w:val="sl-SI"/>
        </w:rPr>
        <w:lastRenderedPageBreak/>
        <w:t>postopkovnega vidika, temveč tudi dejanskega (strokovnega). Pojasnjujemo, da že zdaj veljavni ZInfV zoper odločbe URSIV, ki je vladna služba, podeljene pa so mu bile tudi upravne pristojnosti, izključuje dovoljenost pritožbe, dovoljuje pa upravni spor (glej peti odstavek 21. člena in peti odstavek 22. člena ZInfV). To se s predlogom ZInfV-1 ni spremenilo, velja pa tudi glede novih upravnih pristojnostih, ki jih ima URSIV kot pristojni nacionalni certifikacijski organ za kibernetsko varnost iz prvega odstavka 58. člena Uredbe 2019/881/EU, vključno v (omejenih) primerih, ko odloča na prvi stopnji v postopkih certificiranja po 27. členu predloga ZInfV-1 (zdaj gre za petnajsti odstavek). Glede na dejanske in pravne okoliščine ni razloga za razlikovanje pri določanju dovoljenih pravnih sredstev v zvezi z odločbami, ki jih izda isti organ – to je URSIV. Pritožba zoper odločbo URSIV (ki je vladni urad) na Vlado Republike Slovenije bi pomenila navidezno devulotivnost in zgolj podaljševanje postopkov, prav tako za takšne primere upravnega odločanja niso predvideni pritožbeni postopki na nek tretji (in to novoustanovljeni tehnični organ). Menimo sicer, da so pravice strank in udeležencev postopkov do učinkovitega pravnega sredstva zoper (dokončne) upravne odločbe URSIV zagotovljene v postopku upravnega spora, ki je v skladu z Zakonom o upravnem sporu, tudi spor polne jurisdikcije. Ob tem se v upravnem sporu uporabljajo (subsidiarno) tudi določbe zakona, ki ureja pravdni postopek, kolikor ta zakon ne določa drugače, kar pomeni, da sodišče zaradi razjasnitve morebitnih strokovno-tehničnih vprašanj lahko postavi tudi izvedence ustrezne stroke. Nadalje iz ocene vpliva izhaja tudi dodatno izobraževanje sodnikov;</w:t>
      </w:r>
    </w:p>
    <w:p w14:paraId="7A2BAC68" w14:textId="77777777" w:rsidR="000A51A5" w:rsidRPr="00547FD7" w:rsidRDefault="000A51A5" w:rsidP="000A51A5">
      <w:pPr>
        <w:numPr>
          <w:ilvl w:val="0"/>
          <w:numId w:val="52"/>
        </w:numPr>
        <w:spacing w:line="240" w:lineRule="auto"/>
        <w:ind w:left="782" w:hanging="357"/>
        <w:jc w:val="both"/>
        <w:rPr>
          <w:lang w:val="sl-SI"/>
        </w:rPr>
      </w:pPr>
      <w:r w:rsidRPr="00547FD7">
        <w:rPr>
          <w:lang w:val="sl-SI"/>
        </w:rPr>
        <w:t>k štirinajstemu odstavku, ker je ta nejasen in nepotreben. Kaj bo določal delegirani akt na ravni EU na podlagi Uredbe 2019/881/EU, se bo vedelo, ko bo delegirani akt sprejet. Ni jasno, kdo so naslovniki prepovedi iz štirinajstega odstavka in glede katerih konkretnih kategorij velja prepoved, po drugi strani pa določba zahteva kar splošno obvezno certifikacijo, kar pa ne bo nujno tudi vsebina delegiranega akta. Pripomba je bila upoštevana in ta določba brisana (takšne določbe v 27. členu predloga ZInfV-1 ni več);</w:t>
      </w:r>
    </w:p>
    <w:p w14:paraId="788216C7" w14:textId="77777777" w:rsidR="000A51A5" w:rsidRPr="00547FD7" w:rsidRDefault="000A51A5" w:rsidP="000A51A5">
      <w:pPr>
        <w:numPr>
          <w:ilvl w:val="0"/>
          <w:numId w:val="52"/>
        </w:numPr>
        <w:spacing w:line="240" w:lineRule="auto"/>
        <w:ind w:left="782" w:hanging="357"/>
        <w:jc w:val="both"/>
        <w:rPr>
          <w:lang w:val="sl-SI"/>
        </w:rPr>
      </w:pPr>
      <w:r w:rsidRPr="00547FD7">
        <w:rPr>
          <w:lang w:val="sl-SI"/>
        </w:rPr>
        <w:t>k šestnajstemu odstavku, ker omogoča predpisovanj</w:t>
      </w:r>
      <w:r>
        <w:rPr>
          <w:lang w:val="sl-SI"/>
        </w:rPr>
        <w:t>e</w:t>
      </w:r>
      <w:r w:rsidRPr="00547FD7">
        <w:rPr>
          <w:lang w:val="sl-SI"/>
        </w:rPr>
        <w:t xml:space="preserve"> obvezne uporabe certificiranih proizvodov IKT, storitev IKT ali postopkov IKT, ne da bi to zahtevala Direktiva 2022/2555/EU, in vse preko blanketnega pooblastila vladi za sprejem podzakonskega predpisa, brez ustreznih zakonskih kriterijev, kar je po vsej verjetnosti v nasprotju z Ustavo, ukrep pa tudi ni bil notificiran skladno z mehanizmom TRIS. Pripomba je bila upoštevana in določba črtana;</w:t>
      </w:r>
    </w:p>
    <w:p w14:paraId="31B0BA05" w14:textId="77777777" w:rsidR="000A51A5" w:rsidRDefault="000A51A5" w:rsidP="000A51A5">
      <w:pPr>
        <w:numPr>
          <w:ilvl w:val="0"/>
          <w:numId w:val="52"/>
        </w:numPr>
        <w:spacing w:line="240" w:lineRule="auto"/>
        <w:ind w:left="782" w:hanging="357"/>
        <w:jc w:val="both"/>
        <w:rPr>
          <w:lang w:val="sl-SI"/>
        </w:rPr>
      </w:pPr>
      <w:r w:rsidRPr="00547FD7">
        <w:rPr>
          <w:lang w:val="sl-SI"/>
        </w:rPr>
        <w:t>glede pripombe, da Direktiva 2022/2555/EU ne zahteva od držav članic, da bi se implementiralo obvezno certificiranje na podlagi evropskih certifikacijskih shem za kibernetsko varnost, se pa dopušča ta možnost za določene posebne proizvode IKT, storitve IKT in postopke IKT (glejte angleško »particular ICT products, ICT Services and ICT processes« v 24. členu zadev</w:t>
      </w:r>
      <w:r>
        <w:rPr>
          <w:lang w:val="sl-SI"/>
        </w:rPr>
        <w:t>n</w:t>
      </w:r>
      <w:r w:rsidRPr="00547FD7">
        <w:rPr>
          <w:lang w:val="sl-SI"/>
        </w:rPr>
        <w:t>e</w:t>
      </w:r>
      <w:r>
        <w:rPr>
          <w:lang w:val="sl-SI"/>
        </w:rPr>
        <w:t xml:space="preserve"> direktive</w:t>
      </w:r>
      <w:r w:rsidRPr="00547FD7">
        <w:rPr>
          <w:lang w:val="sl-SI"/>
        </w:rPr>
        <w:t xml:space="preserve">). Pojasnjujemo, da je s to pripombo povezana zdaj le še določba 17. </w:t>
      </w:r>
      <w:r>
        <w:rPr>
          <w:lang w:val="sl-SI"/>
        </w:rPr>
        <w:t xml:space="preserve">odstavka 27. </w:t>
      </w:r>
      <w:r w:rsidRPr="00547FD7">
        <w:rPr>
          <w:lang w:val="sl-SI"/>
        </w:rPr>
        <w:t>člena predloga ZInfV-1, ki se glasi: »Za obvladovan</w:t>
      </w:r>
      <w:r>
        <w:rPr>
          <w:lang w:val="sl-SI"/>
        </w:rPr>
        <w:t>je</w:t>
      </w:r>
      <w:r w:rsidRPr="00547FD7">
        <w:rPr>
          <w:lang w:val="sl-SI"/>
        </w:rPr>
        <w:t xml:space="preserve"> tveganj za varnost omrežij in informacijskih sistemov bistveni in pomembni subjekti pri izvajanju ukrepov iz 22. člena tega zakona prednostno uporabljajo kvalificirane storitve zaupanja in tiste proizvode, storitve ali postopke IKT, ki so jih razvili bistveni ali pomembni subjekti ali so bili kupljeni pri drugih subjektih in so certificirani na podlagi evropskih certifikacijskih shem za kibernetsko varnost, sprejetih na podlagi 49. člena Uredbe 2019/881/EU.«. Pri tem pa gre le še za prenos prvega odstavka 24. člena zadevne direktive, ki se glasi: »Države članice lahko za dokaz izpolnjevanja nekaterih zahtev iz člena 21 od bistvenih in pomembnih subjektov zahtevajo, naj zlasti uporabljajo proizvode IKT, storitve IKT in postopke IKT, ki so jih razvili bistveni ali pomembni subjekti ali ki so bili kupljeni pri tretjih straneh in so certificirani na podlagi evropskih certifikacijskih shem za kibernetsko varnost, sprejetih na podlagi člena 49 Uredbe (EU) 2019/881. Poleg tega države članice bistvene in pomembne subjekte spodbujajo, naj uporabljajo kvalificirane storitve zaupanja.«; </w:t>
      </w:r>
    </w:p>
    <w:p w14:paraId="63DD10AE" w14:textId="77777777" w:rsidR="000A51A5" w:rsidRPr="00547FD7" w:rsidRDefault="000A51A5" w:rsidP="000A51A5">
      <w:pPr>
        <w:spacing w:line="240" w:lineRule="auto"/>
        <w:ind w:left="782"/>
        <w:jc w:val="both"/>
        <w:rPr>
          <w:lang w:val="sl-SI"/>
        </w:rPr>
      </w:pPr>
    </w:p>
    <w:p w14:paraId="32D5CC43" w14:textId="77777777" w:rsidR="000A51A5" w:rsidRPr="00547FD7" w:rsidRDefault="000A51A5" w:rsidP="000A51A5">
      <w:pPr>
        <w:numPr>
          <w:ilvl w:val="0"/>
          <w:numId w:val="51"/>
        </w:numPr>
        <w:spacing w:after="240" w:line="240" w:lineRule="auto"/>
        <w:ind w:left="502"/>
        <w:jc w:val="both"/>
        <w:rPr>
          <w:lang w:val="sl-SI"/>
        </w:rPr>
      </w:pPr>
      <w:bookmarkStart w:id="27" w:name="_Hlk192779224"/>
      <w:bookmarkEnd w:id="26"/>
      <w:r w:rsidRPr="00547FD7">
        <w:rPr>
          <w:lang w:val="sl-SI"/>
        </w:rPr>
        <w:t xml:space="preserve">k 27. členu </w:t>
      </w:r>
      <w:bookmarkStart w:id="28" w:name="_Hlk192779303"/>
      <w:r w:rsidRPr="00547FD7">
        <w:rPr>
          <w:lang w:val="sl-SI"/>
        </w:rPr>
        <w:t xml:space="preserve">(pristojnosti in teritorialnost) </w:t>
      </w:r>
      <w:bookmarkEnd w:id="28"/>
      <w:r w:rsidRPr="00547FD7">
        <w:rPr>
          <w:lang w:val="sl-SI"/>
        </w:rPr>
        <w:t xml:space="preserve">predlaga, da se dosledno implementira teritorialno načelo, ki izhaja iz 26. člena Direktive 2022/2555/EU. Menijo, da gre pri dobesednem branju tega člena za določanje pristojnosti URSIV in pristojnih skupin CSIRT, ki jim zavezanci priglašajo incidente, in ne za teritorialno zamejitev zavezancev glede na 26. člen zadevne direktive. Pojasnjujemo, da smo pripombo zavrnili kot nepotrebno, smo pa delno z vidika jasnosti popravili prvi odstavek zdaj 31. člena (pristojnost in teritorialnost) tako, da se napovedni stavek v tej določbi zdaj glasi: »Zavezanci iz 6. člena tega zakona, ki jih je </w:t>
      </w:r>
      <w:r w:rsidRPr="00547FD7">
        <w:rPr>
          <w:lang w:val="sl-SI"/>
        </w:rPr>
        <w:lastRenderedPageBreak/>
        <w:t xml:space="preserve">ustanovila Republika Slovenija ali imajo sedež v Republiki Sloveniji, spadajo v pristojnost pristojnega nacionalnega organa in pristojnih skupin CSIRT v skladu s tem zakonom, razen:«. Prva izjema glede v napovednem stavku navedenih kriterijev (razen) je v skladu s prvo alinejo tega odstavka vezana na ponudnike javnih elektronskih komunikacijskih omrežij ali ponudnike javno dostopnih elektronskih komunikacijskih storitev, ki spadajo v pristojnost pristojnih organov države članice Evropske unije, v kateri zagotavljajo svoje storitve. Druga izjema od teh kriterijev (razen) pa se po drugi alineji prvega odstavka nanaša na ponudnike storitev DNS, registre TLD-imen, subjekte, ki opravljajo storitve registracije domenskih imen, ponudnike storitev računalništva v oblaku, ponudnike storitev podatkovnih centrov, ponudnike omrežij za dostavo vsebine, ponudnike upravljanih storitev, ponudnike upravljanih varnostnih storitev ter ponudnike spletnih tržnic, spletnih iskalnikov in platform za storitve družbenega mreženja, ki spadajo v pristojnost pristojnih organov države članice, v kateri imajo glavni sedež v Evropski uniji v skladu z drugim odstavkom tega člena. Menimo, da gre za ustrezen in pravilen prenos prvega odstavka 26. člena (pristojnost in teritorialnost) Direktive 2022/2555/EU, ki sicer govori o tem, kdaj subjekti na podlagi te direktive spadajo v pristojnost (posamezne) države članice. Pojasnjujemo še, da Republike Slovenija kot taka ne izvršuje pristojnosti, temveč je treba v zakonu, ki prenaša direktivo, to konkretno določiti, gre torej za pristojnosti pristojnega nacionalnega organa in pristojnih skupin CSIRT v skladu s tem zakonom. To, da obveznosti po predlogu ZInfV-1 (v nasprotju s 26. členom Direktive 2022/2555/EU in 27. členom predloga, ki to direktivo prenaša) nimajo eksteritorialnega učinka, se sicer skladno z načelom teritorialne pristojnosti zakonov, kot to smiselno izhaja iz Ustave, pravne doktrine in prakse, predpostavlja ter se ne določa posebej po posameznih zakonih. Načelo teritorialne pristojnosti zakonov namreč pomeni, da se zakonodaja neke države uporablja na njenem ozemlju in velja za vse osebe, stvari in pravna razmerja, ki se tam nahajajo. To načelo izhaja iz suverenosti države in njene izključne pristojnosti, da ureja pravna razmerja na svojem ozemlju. Države imajo torej izključno jurisdikcijo nad dogajanjem na svojem ozemlju, razen če so določene izjeme. Posebej se torej določa ekstrateritorialna pristojnost, kjer država lahko uveljavlja določene zakone zunaj svojega ozemlja in ne obratno. Ob tem še dodajamo, da tudi veljavni ZInfV le v prvem odstavku 15. člena (pristojnost in teritorialnost) za ponudnike digitalnih storitev na podoben način določa pristojnost in teritorialnost, in sicer določa kriterije za pristojnosti pristojnega nacionalnega organa in nacionalnega CSIRT, ki mu priglaša incidente, pa to doslej pri izvajanju zakona ni sprožilo vprašanja o eksteritorialnem učinku obveznosti po </w:t>
      </w:r>
      <w:r>
        <w:rPr>
          <w:lang w:val="sl-SI"/>
        </w:rPr>
        <w:t>ZInfV</w:t>
      </w:r>
      <w:r w:rsidRPr="00547FD7">
        <w:rPr>
          <w:lang w:val="sl-SI"/>
        </w:rPr>
        <w:t>;</w:t>
      </w:r>
    </w:p>
    <w:p w14:paraId="4F09F324" w14:textId="77777777" w:rsidR="000A51A5" w:rsidRPr="00547FD7" w:rsidRDefault="000A51A5" w:rsidP="000A51A5">
      <w:pPr>
        <w:numPr>
          <w:ilvl w:val="0"/>
          <w:numId w:val="51"/>
        </w:numPr>
        <w:spacing w:after="240" w:line="240" w:lineRule="auto"/>
        <w:ind w:left="502"/>
        <w:jc w:val="both"/>
        <w:rPr>
          <w:lang w:val="sl-SI"/>
        </w:rPr>
      </w:pPr>
      <w:r w:rsidRPr="00547FD7">
        <w:rPr>
          <w:lang w:val="sl-SI"/>
        </w:rPr>
        <w:t xml:space="preserve">k odstavkom štiri do osem 32. člena (vrednotenje incidentov in ukrepanje) navaja, da so te določbe preveč pomensko odprte in ne dajejo zadostnih zakonskih kriterijev, usmeritev, podlag in zamejitev za sprejem takšnih ukrepov, da bi bilo možno izdati ukrep, ki bi bil skladen z Ustavo (načelo legalitete in vsebinske vezanosti na zakon) ter 74. členom Ustave (saj se lahko način izvrševanja svobode gospodarske pobude, vključno z omejitvami na trgu) urejajo le z zakonom. Pojasnjujemo, da je vsebina člena o vrednotenju incidenta in ukrepanju zdaj urejena na način, kot je to razvidno iz 36. člena predloga ZInfV-1. Pri tem smo besedilo ob usklajevanju z resorji in Službo Vlade Republike Slovenije za zakonodajo tudi izboljšali. V preostalem pa zadevno pripombo zavračamo. Najprej pojasnjujemo, da gre po 5. členu Direktive 2022/2555/EU za direktivo minimalne harmonizacije, ki državam članicam ne preprečuje, da sprejmejo ali ohranijo določbe, ki zagotavljajo višjo raven kibernetske varnosti, pod pogojem, da so take določbe v skladu z obveznostmi držav članic, določenimi v pravu Unije. Poleg tega ta direktiva ne posega v pristojnosti držav članic, da zaščitijo nacionalno varnost. Pojasnjujemo, da gre za nacionalno določbo, ki ohranja pooblastila in možnost ukrepanja, ki jih že zdaj ima pristojni nacionalni organ po četrtem in petem odstavku 21. člena (vrednotenje in ukrepanje) ZInfV, jih pa izboljšuje in dopolnjuje z vidika jasnosti in lažje uporabe v praksi. Primerljiva pooblastila organa, pristojnega za informacijsko varnost (torej URSIV), pozna sicer tudi ZEKom-2 v tretjem in četrtem odstavku 120. člena (Ukrepanje v primeru težjega in kritičnega incidenta ali kibernetskega napada). Zavračamo tezo, da zakon z vidika posega v svobodno gospodarsko pobudo ne bi smel predvideti primerov (pri tem gre za le primere težjih in kritičnih incidentov), v katerih z zakonom določen organ, ki so mu bila podeljena upravna pooblastila, ne bi smel naložiti zavezancu takšnih primernih in sorazmernih ukrepov, kot je potrebno za zaustavitev (takšnega težjega ali kritičnega) incidenta, ki že poteka, ali za odpravo njegovih posledic. Pri tem se takšni ukrepi določijo v takšnem obsegu in za toliko časa, kot je nujno potrebno za dosego namena. Menimo pa, da vnaprejšnja določitev takšnih primernih in sorazmernih </w:t>
      </w:r>
      <w:r w:rsidRPr="00547FD7">
        <w:rPr>
          <w:lang w:val="sl-SI"/>
        </w:rPr>
        <w:lastRenderedPageBreak/>
        <w:t xml:space="preserve">ukrepov ni možna, saj je odvisna od narave (tehničnih posebnosti) vsakega posameznega incidenta in razsežnosti posledic ter tehničnih in drugih možnosti za ustavitev konkretnega incidenta in odpravo njegovih posledic. Presoja ukrepov pristojnega nacionalnega organa v vsakem posamičnem primeru je ne nazadnje podvržena sodni kontroli izdane odločbe v upravnem sporu, ki ga zavezanec lahko sproži. Posledično pa predlagana ureditev ni v neskladju z Ustavo. Ob tem pa je treba poudariti, da bi čimprejšnja učinkovita ustavitev takšnega (težjega ali kritičnega) incidenta, ki poteka, in odprava njegovih posledic morala biti tudi v največjem interesu zavezanca samega in njegovih uporabnikov. Namreč škoda, ki tudi zavezancu (ali pa najprej njemu) lahko nastane ob takšnih incidentih, je lahko zelo visoka ali pa celo previsoka, da bi jo zavezanec lahko uspešno premostil; </w:t>
      </w:r>
    </w:p>
    <w:p w14:paraId="4BC18CE3" w14:textId="77777777" w:rsidR="000A51A5" w:rsidRPr="00547FD7" w:rsidRDefault="000A51A5" w:rsidP="000A51A5">
      <w:pPr>
        <w:numPr>
          <w:ilvl w:val="0"/>
          <w:numId w:val="51"/>
        </w:numPr>
        <w:spacing w:after="240" w:line="240" w:lineRule="auto"/>
        <w:ind w:left="502"/>
        <w:jc w:val="both"/>
        <w:rPr>
          <w:lang w:val="sl-SI"/>
        </w:rPr>
      </w:pPr>
      <w:r w:rsidRPr="00547FD7">
        <w:rPr>
          <w:lang w:val="sl-SI"/>
        </w:rPr>
        <w:t>k odstavkom sedem do deset 33. člena (ocena ogroženosti) ponavlja argument pri prejšnji pripombi glede 32. člena (glej zgoraj). Pojasnjujemo, da je vsebina tega člena o oceni ogroženosti zdaj urejena na način, kot je to razvidno iz 37. člena predloga ZInfV-1. Pri tem smo besedilo ob usklajevanju z resorji in Službo Vlade Republike Slovenije za zakonodajo tudi izboljšali. V preostalem pripombo zavračamo. Pojasnjujemo, da gre za nacionalno določbo, ki ohranja pooblastila in možnost ukrepanja, ki jih že zdaj ima pristojni nacionalni organ po četrtem in petem odstavku 22. člena (stanje povečane ogroženosti in ukrepanje) ZInfV, določbe 22. člena ZinfV pa predlog ZInfV-1 v predlaganem 37. členu izboljšujejo in dopolnjujejo z vidika jasnosti in lažje uporabe v praksi. Primerljiva pooblastila organa, pristojnega za informacijsko varnost (torej URSIV), pozna sicer tudi ZEKom-2 v četrtem in petem odstavku 121. člena (stanje povečane ogroženosti in ukrepanje). Ukrepi, ki se lahko sprejmejo na podlagi sedmega, osmega in devetega člena 37. člena predloga ZInfV-1, so pri tem vezani le na primere, ko gre za oceno ogroženosti visoka ali kritična, in ne zajema drugih primerov, ki ne dosegajo takšne stopnje ogroženosti. V preostalem se smiselno sklicujemo na pojasnila oziroma razlog zavrnitve k pripombi istega deležnika k 32. členu zgoraj;</w:t>
      </w:r>
    </w:p>
    <w:p w14:paraId="5B46AE04" w14:textId="77777777" w:rsidR="000A51A5" w:rsidRPr="00547FD7" w:rsidRDefault="000A51A5" w:rsidP="000A51A5">
      <w:pPr>
        <w:numPr>
          <w:ilvl w:val="0"/>
          <w:numId w:val="51"/>
        </w:numPr>
        <w:spacing w:after="240" w:line="240" w:lineRule="auto"/>
        <w:ind w:left="502"/>
        <w:jc w:val="both"/>
        <w:rPr>
          <w:lang w:val="sl-SI"/>
        </w:rPr>
      </w:pPr>
      <w:bookmarkStart w:id="29" w:name="_Hlk192779356"/>
      <w:bookmarkEnd w:id="27"/>
      <w:r w:rsidRPr="00547FD7">
        <w:rPr>
          <w:lang w:val="sl-SI"/>
        </w:rPr>
        <w:t xml:space="preserve">glede inšpekcijskih in nadzorstvenih pristojnosti in obveznosti poročanja predlaga, da se nadzorstvene in inšpekcijske pristojnosti ne širijo prek dometa Direktive 2022/2555/EU, morebitna odstopanja bi morala biti posebej utemeljena s strani predlagatelja in tudi evalvirana z vidika posledic in zagotavljanja sorazmernosti. Pri tem navajajo, da gre za področje, ki je izjemno občutljivo z vidika procesnih pravic in temeljnih ustavnih in konvencijskih jamstev, konkretno med drugim domneve nedolžnosti, privilegija zoper samoobtožbo, ohranjanja zaupnosti, obveznosti subjektov glede varovanja poslovnih skrivnosti in varstva osebnih podatkov (GDPR), posega v zasebnost in posega v nedotakljivost poslovnih prostorov. Pojasnjujemo, da smo pripombo upoštevali delno, in sicer na način, da smo celotno poglavje IX. Nadzor v sedanjem predlogu ZInfV-1 izboljšali z vidika jasnosti in določnosti. Kot pa je bilo predhodno že pojasnjeno na več mestih, je Direktiva 2022/2555/EU direktiva minimalne harmonizacije. Še posebej pa določbe direktive o nadzoru ob njihovem prenosu v naš pravni red ne morejo veljati v pravnem vakuumu, temveč je treba pri prenosu upoštevati tudi ureditev zakona, ki v Republiki Sloveniji na sistemski ravni ureja inšpekcijski nadzor, čemur zadevna direktiva ne nasprotuje. Posledično se v postopku nadzora uporabljajo določbe zakona, ki ureja inšpekcijski nadzor (ki že vsebuje tudi pravila in določbe, ki jih zadevna direktiva ne ureja), če s tem zakonom (torej predlogom ZInfV-1) ni določeno drugače. Pri tem iz predloga ZInf-V-1 jasno izhajajo primeri, ko je določeno drugače kot pa v zakonu, ki ureja inšpekcijski nadzor. O vsebini poglavja o nadzoru smo usklajeni tudi z resorno pristojnim ministrstvom za zakon, ki ureja inšpekcijski nadzor (Ministrstvom za javno upravo). Pri tem so se najbolj upoštevale zahteve predmetne direktive, vendar ob upoštevanju cilja, ki ga direktiva zasleduje. Zavračamo poskuse omejitve učinkovitosti nadzora, ki je utemeljen prav v ustreznih pooblastilih pristojnih inšpektorjev. Ob tem še dodajamo, da nadzor ni namenjen samemu sebi, temveč je njegov namen zagotoviti informacijsko in kibernetsko varnost na področjih, ki so ključna za delovanje države in družbe ter posledično zaščiti uporabnikov storitev, ki jih zagotavljajo zavezanci, ki delujejo v visoko kritičnih in drugih kritičnih sektorjih; </w:t>
      </w:r>
    </w:p>
    <w:p w14:paraId="418EA938" w14:textId="77777777" w:rsidR="000A51A5" w:rsidRPr="00547FD7" w:rsidRDefault="000A51A5" w:rsidP="007B4338">
      <w:pPr>
        <w:numPr>
          <w:ilvl w:val="0"/>
          <w:numId w:val="51"/>
        </w:numPr>
        <w:spacing w:line="240" w:lineRule="auto"/>
        <w:ind w:left="502" w:hanging="357"/>
        <w:jc w:val="both"/>
        <w:rPr>
          <w:lang w:val="sl-SI"/>
        </w:rPr>
      </w:pPr>
      <w:r w:rsidRPr="00547FD7">
        <w:rPr>
          <w:lang w:val="sl-SI"/>
        </w:rPr>
        <w:t xml:space="preserve">Glede določanja glob: </w:t>
      </w:r>
    </w:p>
    <w:p w14:paraId="18FE940D" w14:textId="77777777" w:rsidR="000A51A5" w:rsidRPr="00547FD7" w:rsidRDefault="000A51A5" w:rsidP="007B4338">
      <w:pPr>
        <w:numPr>
          <w:ilvl w:val="0"/>
          <w:numId w:val="52"/>
        </w:numPr>
        <w:spacing w:line="240" w:lineRule="auto"/>
        <w:ind w:hanging="357"/>
        <w:jc w:val="both"/>
        <w:rPr>
          <w:lang w:val="sl-SI"/>
        </w:rPr>
      </w:pPr>
      <w:r w:rsidRPr="00547FD7">
        <w:rPr>
          <w:lang w:val="sl-SI"/>
        </w:rPr>
        <w:t>splošno, da Direktiva 2022/2555/EU ne določa najnižjih glob (»</w:t>
      </w:r>
      <w:r w:rsidRPr="00547FD7">
        <w:rPr>
          <w:i/>
          <w:iCs/>
          <w:lang w:val="sl-SI"/>
        </w:rPr>
        <w:t>floor</w:t>
      </w:r>
      <w:r w:rsidRPr="00547FD7">
        <w:rPr>
          <w:lang w:val="sl-SI"/>
        </w:rPr>
        <w:t xml:space="preserve">) in se na tak način zagotavlja sorazmernost oziroma presoja v konkretnih primerih, saj gre za širok krog obveznosti in tudi širok krog potencialnih kršitev, lahko tudi za povsem nenamerne </w:t>
      </w:r>
      <w:r w:rsidRPr="00547FD7">
        <w:rPr>
          <w:lang w:val="sl-SI"/>
        </w:rPr>
        <w:lastRenderedPageBreak/>
        <w:t xml:space="preserve">kršitve, včasih tudi neznatnega pomena. Meni, da bi bilo zato primerno inšpektorjem prepustiti diskrecijo, da se odločijo od primera do primera, zato predlagajo brisanje minimalnih glob. To (splošno) pripombo zavračamo. Pojasnjujemo, da Direktiva 2022/2555/EU v splošnem sankcij ne določa. Nasprotno 36. člen (Sankcije) navedene direktive določa, da države članice določijo pravila o sankcijah, ki se uporabljajo za kršitve nacionalnih predpisov, sprejetih na podlagi te direktive, in sprejmejo vse potrebne ukrepe za zagotovitev, da se te sankcije izvajajo. Te sankcije morajo biti učinkovite, sorazmerne in odvračilne. Prekrški in njim pripadajoče globe so v predlogu ZInV-1 določeni v X. poglavju na način, ki je skladen s sistemskim zakonom, ki ureja prekrške, pri čemer se globa lahko predpiše v razponu ali v določenem znesku. Pripomba je torej v nasprotju z zakonom, ki ureja prekrške. Poleg tega je zadevno poglavje usklajeno tudi z ministrstvom, ki je resorno pristojno za prej navedeni zakon; </w:t>
      </w:r>
    </w:p>
    <w:p w14:paraId="79826DDE" w14:textId="77777777" w:rsidR="000A51A5" w:rsidRPr="00547FD7" w:rsidRDefault="000A51A5" w:rsidP="000A51A5">
      <w:pPr>
        <w:numPr>
          <w:ilvl w:val="0"/>
          <w:numId w:val="52"/>
        </w:numPr>
        <w:spacing w:after="240" w:line="240" w:lineRule="auto"/>
        <w:jc w:val="both"/>
        <w:rPr>
          <w:lang w:val="sl-SI"/>
        </w:rPr>
      </w:pPr>
      <w:r w:rsidRPr="00547FD7">
        <w:rPr>
          <w:lang w:val="sl-SI"/>
        </w:rPr>
        <w:t xml:space="preserve">glede konkretne pripombe, da je po Direktivi 2022/2555/EU najvišja možna globa zamejena navzgor do 2 % prometa (ne pa tudi navzdol) in predvidena za najhujši kršitvi iz 21. člena (Ukrepi za obvladovanje tveganj za kibernetsko varnost) in 23. člena (Obveznosti poročanja). Predlagajo, da se naredi enaka razmejitev in najvišja možna globa zameji zgolj na primere, predvidene v Direktivi 2022/2555/EU. Uvodno pojasnjujemo, da se 34. člen (Splošni pogoji za naložitev upravnih glob bistvenim in pomembnim subjektom), na katerega se smiselno sklicuje pripombodajalec, nanaša na upravne globe in ne na (prekrškovne) sankcije. Zaradi posebnosti naše sistemske ureditve (in skladnosti z njo) pa je bilo pri načinu prenosa te določbe treba zagotoviti znotraj poglavja X. Kazenske določbe, kjer pa je treba upoštevati možnosti, ki izhajajo iz zakona, ki ureja prekrške (glej pojasnilo zgoraj), in potrebo po usklajenosti z za navedeni sistemski zakon pristojnim ministrstvom. S tem v zvezi glej zdaj prvi odstavek 52. člena (prekrški bistvenih subjektov) predloga ZInfV-1, ki za pravne osebe določa kazni za neizpolnitve tam navedenih kršitev točno določenih členov (ki ustrezajo prenosu določb 21. in 23. člena Direktive 2022/2555/EU) in zdaj prvi odstavek 53. člena (prekrški pomembnih subjektov) predloga ZInfV-1, ki za pravne osebe določa kazni za neizpolnitve tam navedenih </w:t>
      </w:r>
      <w:r>
        <w:rPr>
          <w:lang w:val="sl-SI"/>
        </w:rPr>
        <w:t xml:space="preserve">obveznosti iz </w:t>
      </w:r>
      <w:r w:rsidRPr="00547FD7">
        <w:rPr>
          <w:lang w:val="sl-SI"/>
        </w:rPr>
        <w:t xml:space="preserve">točno določenih členov (ki ustrezajo prenosu določb 21. in 23. člena Direktivi 2022/2555/EU). Nadalje pojasnjujemo, da četrti odstavek 34. člena zadevne direktive določa: »Države članice zagotovijo, da se bistvenim subjektom za kršitve člena 21 ali 23 v skladu z odstavkoma 2 in 3 tega člena naložijo upravne globe v višini najmanj 10 000 000 eurov ali v višini najmanj 2 % skupnega svetovnega letnega prometa podjetja, ki mu pripada bistveni subjekt, v preteklem proračunskem letu, kateri koli znesek je višji.«. Nadalje peti odstavek istega člena zadevne direktive določa: »Države članice zagotovijo, da se pomembnim subjektom za kršitve člena 21 ali 23 v skladu z odstavkoma 2 in 3 tega člena naložijo upravne globe v višini najmanj 7 000 000 eurov ali v višini najmanj 1,4 % skupnega svetovnega letnega prometa podjetja, ki mu pripada pomembni subjekt, v preteklem proračunskem letu, kateri koli znesek je višji.«. Jasno je torej razvidno, da si pripombodajalec napačno tolmači Direktivo 2022/2555/EU, ki v 34. členu določa tudi minimalne upravne globe (v višini, kot je bilo prej navedeno), pri čemer smo takšno višino predvideli le za pravne osebe. Nadalje je iz zdaj 56. člena (odmerjanje sankcij za prekrške) predloga ZInfV-1 razvidno, da se poleg splošnih pravil za odmero sankcije iz zakona, ki ureja prekrške, pri odločanju o višini izrečene globe za kršitve določb 21., 22., 24., 29. ali 30. člena tega zakona s strani bistvenih subjektov in pomembnih subjektov upošteva tudi letni promet </w:t>
      </w:r>
      <w:r>
        <w:rPr>
          <w:lang w:val="sl-SI"/>
        </w:rPr>
        <w:t>ali</w:t>
      </w:r>
      <w:r w:rsidRPr="00547FD7">
        <w:rPr>
          <w:lang w:val="sl-SI"/>
        </w:rPr>
        <w:t xml:space="preserve"> letna bilančna vsota bistvenega ali pomembnega subjekta v predhodnem poslovnem letu (glej prvi odstavek), kar je bilo treba predvideti zaradi načina prenosa 34. člena v poglavju X. Kazenske določbe. Pri odločanju o naložitvi in višini globe iz tega člena se upoštevajo okoliščine posameznega primera in elementi, določeni v petem odstavku 46. člena oziroma tretjega odstavka 47. člena tega zakona (glej drugi odstavek </w:t>
      </w:r>
      <w:r>
        <w:rPr>
          <w:lang w:val="sl-SI"/>
        </w:rPr>
        <w:t xml:space="preserve">56. člena </w:t>
      </w:r>
      <w:r w:rsidRPr="00547FD7">
        <w:rPr>
          <w:lang w:val="sl-SI"/>
        </w:rPr>
        <w:t xml:space="preserve">predloga ZInfV-1), kar je bilo treba določiti zaradi prenosa prvega in tretjega odstavka 34. člena zadevne direktive. </w:t>
      </w:r>
    </w:p>
    <w:bookmarkEnd w:id="29"/>
    <w:p w14:paraId="1BBDD1DD" w14:textId="77777777" w:rsidR="000A51A5" w:rsidRPr="00547FD7" w:rsidRDefault="000A51A5" w:rsidP="007B4338">
      <w:pPr>
        <w:numPr>
          <w:ilvl w:val="0"/>
          <w:numId w:val="51"/>
        </w:numPr>
        <w:spacing w:line="240" w:lineRule="auto"/>
        <w:ind w:left="502" w:hanging="357"/>
        <w:jc w:val="both"/>
        <w:rPr>
          <w:lang w:val="sl-SI"/>
        </w:rPr>
      </w:pPr>
      <w:r w:rsidRPr="00547FD7">
        <w:rPr>
          <w:lang w:val="sl-SI"/>
        </w:rPr>
        <w:t xml:space="preserve">k 62. členu oziroma k posegu v ZEKom-2 v 62. členu: </w:t>
      </w:r>
    </w:p>
    <w:p w14:paraId="5C28DAA2" w14:textId="77777777" w:rsidR="000A51A5" w:rsidRPr="00547FD7" w:rsidRDefault="000A51A5" w:rsidP="007B4338">
      <w:pPr>
        <w:numPr>
          <w:ilvl w:val="0"/>
          <w:numId w:val="52"/>
        </w:numPr>
        <w:spacing w:line="240" w:lineRule="auto"/>
        <w:ind w:hanging="357"/>
        <w:jc w:val="both"/>
        <w:rPr>
          <w:lang w:val="sl-SI"/>
        </w:rPr>
      </w:pPr>
      <w:r w:rsidRPr="00547FD7">
        <w:rPr>
          <w:lang w:val="sl-SI"/>
        </w:rPr>
        <w:t xml:space="preserve">splošno: meni, da za poseg v ZEKom-2 ni utemeljenih razlogov, in predlaga, da se v zadevni zakon ne posega. Pripombo zavračamo in pojasnjujemo, da so razlogi za poseg v ZEKom-2 utemeljeni v 43. členu Direktive 2022/2555/EU, ki posega v Direktivo 2018/1972/EU na način, da v slednji direktivi črta 40. člen glede varnosti omrežij in storitev ter 41. člen glede izvajanja in izvrševanja, ki pa se nanaša na prej navedeni 40. </w:t>
      </w:r>
      <w:r w:rsidRPr="00547FD7">
        <w:rPr>
          <w:lang w:val="sl-SI"/>
        </w:rPr>
        <w:lastRenderedPageBreak/>
        <w:t xml:space="preserve">člen zadevne direktive. Direktiva 2018/1972/EU je v slovenski pravni red prenesena z ZEKom-2, njena člena 40 in 41 pa sta prenesena v poglavju VIII. Varnost omrežij in storitev ter delovanje v stanjih ogroženosti omenjenega zakona. Omenjeno poglavje ZEKom-2 ob tem sicer ohranja tudi strukturo in pretežno nacionalno vsebino iz VII. poglavja prej veljavnega ZEKom-1. Ob tem VIII. poglavje ZEKom-2 vsebuje tudi določbe, ki pomenijo implementacijo ukrepov, predvidenih s Sporočilom EK »Varna uvedba tehnologije 5G v EU – izvajanje nabora orodij EU«, kjer prav tako ne gre za prenos 40. in 41. člena Direktive 2018/1972/EU, temveč so zadevne določbe ZEKom-2 nacionalne narave, četudi utemeljene v prej navedenem Sporočilu EK. Posledično je zaradi prenosa Direktive 2022/2555/EU treba poseči v tiste določbe VIII. poglavja ZEKom-2, ki prestavljajo prenos zdaj črtnih členov 40 in 41 Direktive 2018/1972/EU, in medsebojno uskladiti oba zakona. Dodatno pojasnjujemo, da ZInfV-1 kot splošen (sistemski) zakon na področju informacijske varnosti ureja to področje za vse sektorje, ki jih zajema. Pri tem so zdaj v ZInfV-1 (za razliko od ZInfV) v sklopu visoko kritičnega sektorja Digitalna infrastruktura med vrste (zajetih) subjektov v skladu s Prilogo I Direktive 2022/2555/EU vključeni tudi ponudniki javnih elektronskih komunikacijskih omrežij in ponudniki javnih elektronskih komunikacijskih storitev (torej operaterji iz ZEKom-2). Predlagani ZInfV-1, ki je horizontalne narave, je torej tisti minimum, ki ga je treba upoštevati v vseh sektorjih, ki jih ta zakon zajema. Kar je posebno ali več, pa za posamezni sektor ureja področna EU ali nacionalna zakonodaja, v danem primeru torej ZEKom-2, kjer se vsebinsko ohranjajo njegove nacionalne določbe; </w:t>
      </w:r>
    </w:p>
    <w:p w14:paraId="26586068" w14:textId="77777777" w:rsidR="000A51A5" w:rsidRPr="00547FD7" w:rsidRDefault="000A51A5" w:rsidP="007B4338">
      <w:pPr>
        <w:numPr>
          <w:ilvl w:val="0"/>
          <w:numId w:val="52"/>
        </w:numPr>
        <w:spacing w:line="240" w:lineRule="auto"/>
        <w:ind w:left="782" w:hanging="357"/>
        <w:jc w:val="both"/>
        <w:rPr>
          <w:lang w:val="sl-SI"/>
        </w:rPr>
      </w:pPr>
      <w:r w:rsidRPr="00547FD7">
        <w:rPr>
          <w:lang w:val="sl-SI"/>
        </w:rPr>
        <w:t xml:space="preserve">k spremembi 115. člena ZEKom-2 (in tudi nekaterim drugim nenavedenim členom) smiselno predlagajo, da se primeru posega v ZEKom-2 zaradi podvajanja z materijo ZlnfV-1 tega črta, saj ni potrebe za novi predlagani 115. člen. Novi 115. člen, ki se sklicuje na obveznosti po ZlnfV-1, bi morebitne kršitve ZlnfV-1 kvalificiral istočasno tudi kot kršitve ZEKom-2, kar pa je nepotrebno podvajanje. Nadalje v delu, ki predvideva, da lahko AKOS izda splošni akt, s katerim predpiše posebne tehnične usmeritve ter tehnične in organizacijske ukrepe, pri čemer upošteva tudi dokumente ali tehnična priporočila ENISA ter smernice Evropske komisije, pri sprejemu splošnega akta pa sodeluje z organom, pristojnim za informacijsko varnost, meni, da je ureditev po vsej verjetnosti v nasprotju z Ustavo (blanketna norma, ki ne daje dovolj določnih usmeritev za podzakonsko urejanje), še posebej, ker lahko tak splošni akt posega tudi na trg (torej tudi na prosto nastopanje dobaviteljev na trgu) in s tem omejitev ali določitev načina uresničevanja svobodne gospodarske pobude (74. člen Ustave RS). Vsebina 115. člena je presplošna in nekonkretizirana, pri čemer navaja, da je ureditev iz 115. (dodaja in 116. in 117. člena) ZEKom-2 že bila predmet kritik (smiselno v Državnem zboru in s strani GZS). Navedeno bi lahko poleg negativnih učinkov na sam trg opreme za elektronska komunikacijska omrežja negativno vplivalo tudi na slovensko gospodarstvo glede na njegovo izvozno naravnanost. Glede na omejevalno naravo 115. člena bi bila potrebna tudi vnovična TRIS notifikacija po Direktivi (EU) 2015/1535, pri čemer bi bilo treba priglasiti tudi osnutek splošnega akta po 115. členu. Pojasnjujemo, da so bile te pripombe upoštevane delno na način, ki je razviden zdaj iz 65. člena predloga ZInfV-1, in sicer iz 1. točke predlaganega člena, ki posega v 115. člen ZEKom-2, pri čemer smo kar najbolj upoštevali pripombe AKOS. Predlagani prvi odstavek spremenjenega 115. člena se sicer še vedno sklicuje na potrebno skladnost ukrepov, ki jih sprejmejo operaterji, z zakonom, ki ureja informacijsko varnost, vendar je hkrati z vidika jasnosti izboljšan poseg v 128. člen (nadzor) ZEKom-2. Iz predloga spremembe 128. člena ZEKom-2 je zdaj jasno razvidno, da je za nadzor nad določbo prvega odstavka 115. člena ZEKom-2 pristojen organ, pristojen za informacijsko varnost (torej URSIV), v preostalem pa AKOS in tako ne bo podvajanja nadzora. Možnost izdaje splošnega akta AKOS je zdaj urejena v predlaganem četrtem odstavku spremenjenega 115. člena ZEKom-2. Zavračamo pripombe, po katerih naj bi bilo to ustavno sporno. Namreč, izdaja takšnega splošnega akta AKOS je vezana na pogoj, da so zaradi zagotovitve višje ravni kibernetske varnosti ob upoštevanju varnostnih tveganj potrebni tudi sektorsko specifični ukrepi za operaterje. Izdaja splošnega akta je pri tem omejena le na posebne tehnične usmeritve ter tehnične in organizacijske ukrepe, pri čemer se upoštevajo tudi dokumenti ali tehnična priporočila </w:t>
      </w:r>
      <w:r>
        <w:rPr>
          <w:lang w:val="sl-SI"/>
        </w:rPr>
        <w:t xml:space="preserve">agencije </w:t>
      </w:r>
      <w:r w:rsidRPr="00547FD7">
        <w:rPr>
          <w:lang w:val="sl-SI"/>
        </w:rPr>
        <w:t xml:space="preserve">ENISA in smernice Evropske komisije. Morebitna potreba po dodatnem urejanju s splošnim aktom bo predvidoma nastala šele po sprejemu zadevnih dokumentov ali tehničnih priporočil </w:t>
      </w:r>
      <w:r>
        <w:rPr>
          <w:lang w:val="sl-SI"/>
        </w:rPr>
        <w:t xml:space="preserve">agencije </w:t>
      </w:r>
      <w:r w:rsidRPr="00547FD7">
        <w:rPr>
          <w:lang w:val="sl-SI"/>
        </w:rPr>
        <w:t xml:space="preserve">ENISA ter Smernic Evropske komisije, ki se bodo nanašali (le) na ponudnike javnih elektronskih </w:t>
      </w:r>
      <w:r w:rsidRPr="00547FD7">
        <w:rPr>
          <w:lang w:val="sl-SI"/>
        </w:rPr>
        <w:lastRenderedPageBreak/>
        <w:t xml:space="preserve">komunikacijskih omrežij in storitev (torej na operaterje po ZEKom-2). Pri sprejemu morebitnega splošnega akta bo AKOS (iz strokovnih razlogov glede na vsebino urejanja) sicer sodeloval z URSIV. Menimo, da takšno morebitno urejanje s podzakonskim aktom ni v nasprotju z Ustavo. Menimo, da bi se morebitna omejevalna narava in potreba po (vnovični) TRIS-notifikaciji po Direktivi (EU) 2015/1535 lahko pokazala šele pri pripravi morebitnega osnutka (novega) splošnega akta, ki bi ga bilo v tem primeru treba priglasiti; </w:t>
      </w:r>
    </w:p>
    <w:p w14:paraId="27772A4F" w14:textId="77777777" w:rsidR="000A51A5" w:rsidRPr="00547FD7" w:rsidRDefault="000A51A5" w:rsidP="007B4338">
      <w:pPr>
        <w:numPr>
          <w:ilvl w:val="0"/>
          <w:numId w:val="52"/>
        </w:numPr>
        <w:spacing w:line="240" w:lineRule="auto"/>
        <w:ind w:left="782" w:hanging="357"/>
        <w:jc w:val="both"/>
        <w:rPr>
          <w:lang w:val="sl-SI"/>
        </w:rPr>
      </w:pPr>
      <w:r w:rsidRPr="00547FD7">
        <w:rPr>
          <w:lang w:val="sl-SI"/>
        </w:rPr>
        <w:t xml:space="preserve">k spremembi 298. člena ZEKom-2 meni, da ni primerno določanje globe za kršitev morebitne odločbe iz 117. člena ZEKom- 2 v odstotku od prometa. Že tako zoper odločbo Vlade iz 117. člena ni predvideno pravno sredstvo, če bi bila odločba izdana, pa glede na nedoločno in pomensko odprto vsebino 116. člena ZEKom-2 ne bi bil jasen obseg prepovedi in na katere operaterje se prepoved sploh nanaša. V takšnih okoliščinah je tudi z vidika temeljnih ustavnih načel, med drugim pravne države (2. člen Ustave) in pravice do pravnega sredstva in sodnega varstva, nujno potrebno, da bi bil jasen obseg prepovedi in zagotovljeno ustrezno (suspenzivno) pravno sredstvo (kjer bi se lahko odločba izpodbijala tudi vsebinsko </w:t>
      </w:r>
      <w:r w:rsidRPr="00547FD7">
        <w:rPr>
          <w:rFonts w:cs="Arial"/>
          <w:lang w:val="sl-SI"/>
        </w:rPr>
        <w:t>‒</w:t>
      </w:r>
      <w:r w:rsidRPr="00547FD7">
        <w:rPr>
          <w:lang w:val="sl-SI"/>
        </w:rPr>
        <w:t xml:space="preserve"> strokovno, ne zgolj v upravnem sporu s postopkovnega vidika in z vidika uporabe prava), povsem neprimerno pa je na tako nejasno opredeljeno prepoved, ki odpira celo vrsto vprašanj, vezati globo v odstotku od prometa. Prav tako že sama določitev globe za kršitev morebitne odločbe iz 117. člena ZEKom-2 s predlagano spremembo 298. člena ZEKom-2 ni primerna ter tudi ni potrebna, saj je globa za kršitev 117. člena že posredno določena z globo za kršitev 116. člena ZEKom-2 po 299. členu ZEKom-2. Ker sta 116. člen in 117. člen ZEKom-2 med seboj močno povezana, naj bi imela kršitev 116. člena enake posledice kot kršitev 117. člena ZEKom-2, kar se še posebej odraža v petem odstavku 116. člena. V izogib nepotrebnega in neustavnega podvajanja globe namesto spremembe 298. člena ZEKom-2, kot navaja, predlaga spremembo petindvajsetega odstavka 299. člena ZEKom-2, in sicer naj se besedilo v petem odstavku glasi: »ne upošteva dodatnih varnostnih zahtev in omejitev iz 116. člena tega zakona in posledično tudi iz 117. člena tega zakona.« Menimo, da predlog pripombodajalca, da se prekršek za kršitev odločbe iz 117. člena ZEKom-2 ureja p</w:t>
      </w:r>
      <w:r>
        <w:rPr>
          <w:lang w:val="sl-SI"/>
        </w:rPr>
        <w:t>r</w:t>
      </w:r>
      <w:r w:rsidRPr="00547FD7">
        <w:rPr>
          <w:lang w:val="sl-SI"/>
        </w:rPr>
        <w:t xml:space="preserve">ek prekrška iz 116. člena na način, kot je to predlagal, ni v skladu z načelom zakonitosti v kaznovalnem pravu. Glede višine zagrožene globe pa pojasnjujemo, da 298. člen (prekrški) ZEKom-2 že doslej za kršitve naloženih obveznosti (sicer </w:t>
      </w:r>
      <w:r w:rsidRPr="00547FD7">
        <w:rPr>
          <w:i/>
          <w:iCs/>
          <w:lang w:val="sl-SI"/>
        </w:rPr>
        <w:t>ex-ante</w:t>
      </w:r>
      <w:r w:rsidRPr="00547FD7">
        <w:rPr>
          <w:lang w:val="sl-SI"/>
        </w:rPr>
        <w:t xml:space="preserve"> regulacije) določa globe v enakem odstotku od prometa, takšna višina globe v ZEKom-2 torej ni novost. S predlogom za poseg v 298. člen ZEKom-2 se zgolj odpravlja njegova pomanjkljivost, ki za neizvedbo odločbe vlade iz prvega odstavka 117. člena ZEKom-2 posebej ni določil prekrška in globe za kršitev. Menimo, da neizvedba izdane odločbe vlade iz 117. člena pomeni kršitev, ki je po njeni resnosti primerljiva z neizvedbo naloženih obveznosti </w:t>
      </w:r>
      <w:r w:rsidRPr="00547FD7">
        <w:rPr>
          <w:i/>
          <w:iCs/>
          <w:lang w:val="sl-SI"/>
        </w:rPr>
        <w:t>ex-ante</w:t>
      </w:r>
      <w:r w:rsidRPr="00547FD7">
        <w:rPr>
          <w:lang w:val="sl-SI"/>
        </w:rPr>
        <w:t xml:space="preserve"> regulacije iz dosedanjega 298. člena ZEKom-2. S predlaganim 65. členom ZInfV-1 se tudi ne posega v 117. člen ZEKom-2 in tam določena pravna sredstva (upravni spor) zoper na tej podlagi izdano odločbo vlade. </w:t>
      </w:r>
      <w:bookmarkStart w:id="30" w:name="_Hlk193268716"/>
      <w:r w:rsidRPr="00547FD7">
        <w:rPr>
          <w:lang w:val="sl-SI"/>
        </w:rPr>
        <w:t xml:space="preserve">Ni se mogoče strinjati s trditvijo, da upravni spor v primeru izdane odločbe iz 117. člena ZEKom-2 ne zagotavlja učinkovite pravice do pravnega sredstva oziroma kršitev temeljnih ustavnih načel, ampak celo nasprotno. Upravni spor je v danem primeru celo lahko (edino) učinkovito pravno sredstvo, ki zagotavlja ustrezno pravno varstvo, saj gre za strokovno zelo zahtevno materijo, ki se v tem primeru presoja v sodnem postopku, v katerem je zagotovljeno načelo kontradiktornosti in možnost tudi angažiranja sodnega izvedenca </w:t>
      </w:r>
      <w:r w:rsidRPr="00547FD7">
        <w:rPr>
          <w:rFonts w:cs="Arial"/>
          <w:lang w:val="sl-SI"/>
        </w:rPr>
        <w:t>‒</w:t>
      </w:r>
      <w:r w:rsidRPr="00547FD7">
        <w:rPr>
          <w:lang w:val="sl-SI"/>
        </w:rPr>
        <w:t xml:space="preserve"> strokovnjaka telekomunikacijske stroke.</w:t>
      </w:r>
      <w:bookmarkEnd w:id="30"/>
      <w:r w:rsidRPr="00547FD7">
        <w:rPr>
          <w:lang w:val="sl-SI"/>
        </w:rPr>
        <w:t xml:space="preserve"> Ob tem dodajamo, da je tudi zoper morebitne izdane odločbe AKOS s področja </w:t>
      </w:r>
      <w:r w:rsidRPr="00547FD7">
        <w:rPr>
          <w:i/>
          <w:iCs/>
          <w:lang w:val="sl-SI"/>
        </w:rPr>
        <w:t>ex-ante</w:t>
      </w:r>
      <w:r w:rsidRPr="00547FD7">
        <w:rPr>
          <w:lang w:val="sl-SI"/>
        </w:rPr>
        <w:t xml:space="preserve"> regulacije dovoljen le upravni spor, pa to ni sporno pri dosedanji ureditvi prekrškov iz 298. člena ZEKom-2. S predlagano določbo se zagotavlja le sankcioniranje neizvajanja že naloženih obveznosti iz morebitne odločbe vlade, izdane na podlagi 117. člena ZEKom-2, ki se mu subjekt lahko izogne z njenim izvajanjem, kar pa ne nazadnje zahteva že spoštovanje pravne države; </w:t>
      </w:r>
    </w:p>
    <w:p w14:paraId="219ED8D7" w14:textId="77777777" w:rsidR="000A51A5" w:rsidRPr="00547FD7" w:rsidRDefault="000A51A5" w:rsidP="000A51A5">
      <w:pPr>
        <w:numPr>
          <w:ilvl w:val="0"/>
          <w:numId w:val="52"/>
        </w:numPr>
        <w:spacing w:after="240" w:line="240" w:lineRule="auto"/>
        <w:jc w:val="both"/>
        <w:rPr>
          <w:lang w:val="sl-SI"/>
        </w:rPr>
      </w:pPr>
      <w:r w:rsidRPr="00547FD7">
        <w:rPr>
          <w:lang w:val="sl-SI"/>
        </w:rPr>
        <w:t xml:space="preserve">k Prilogi II predlaga, naj se raziskovalne ustanove zamejijo na tiste, ki opravljajo kritične raziskovalne dejavnosti, pri čemer se sklicuje na 2. člen Direktive 2022/2555/EU </w:t>
      </w:r>
      <w:r>
        <w:rPr>
          <w:lang w:val="sl-SI"/>
        </w:rPr>
        <w:t>v točki</w:t>
      </w:r>
      <w:r w:rsidRPr="00547FD7">
        <w:rPr>
          <w:lang w:val="sl-SI"/>
        </w:rPr>
        <w:t xml:space="preserve"> (b)</w:t>
      </w:r>
      <w:r>
        <w:rPr>
          <w:lang w:val="sl-SI"/>
        </w:rPr>
        <w:t xml:space="preserve"> petega odstavka</w:t>
      </w:r>
      <w:r w:rsidRPr="00547FD7">
        <w:rPr>
          <w:lang w:val="sl-SI"/>
        </w:rPr>
        <w:t xml:space="preserve">. Kot pri pripombi k šestemu odstavku 3. člena smiselno meni, da Direktiva 2022/2555/EU ne zahteva tako široko, kot je predvideno v prilogi II, smiselno tudi na tem mestu ocenjuje, da bi imela pretirana širitev kroga zavezancev preko kroga (bistvenih in pomembnih subjektov), predvidenega v zadevni direktivi, lahko širši domino učinek na slovensko gospodarstvo in morebitno zmanjšanje inovacij, kar bi lahko imelo negativen vpliv na cilje glede digitalne preobrazbe. Pojasnjujemo, da si pripombodajalec napačno tolmači določbe osnutka predloga ZInfV-1, saj je bilo že iz 43. točke 5. člena </w:t>
      </w:r>
      <w:r w:rsidRPr="00547FD7">
        <w:rPr>
          <w:lang w:val="sl-SI"/>
        </w:rPr>
        <w:lastRenderedPageBreak/>
        <w:t xml:space="preserve">(pomen izrazov) razvidno, da je raziskovalna organizacija opredeljena kot subjekt, katerega glavni cilj je izvajati uporabne raziskave ali eksperimentalni razvoj z namenom uporabe rezultatov teh raziskav v komercialne namene, vendar ne vključuje izobraževalnih ustanov, kar je tudi popolnoma skladno z opredelitvijo iz 41. točke 6. člena (opredelitev pojmov) Direktive 2022/2555/EU. Osnutek predloga ZInfV-1 namreč možnosti držav članic po točki b) petega odstavka 2. člena te direktive ni uporabil, pri čemer se zadevna možnost iz te direktive nanaša na »izobraževalne institucije, zlasti kadar izvajajo kritične raziskovalne dejavnosti.«. Tudi ta predlog ZInfV-1, ki v Prilogi 2 prav tako v sektorju 7. Raziskave vključuje raziskovalne organizacije, te zdaj skladno z Direktivo 2022/2555/EU opredeljuje v 45. točki 5. člena (pomen izrazov), možnost iz točke b) petega odstavka 2. člena te direktive pa predlog ZInfv-1 ni uporabil. </w:t>
      </w:r>
    </w:p>
    <w:p w14:paraId="65F17629" w14:textId="77777777" w:rsidR="000A51A5" w:rsidRPr="00D31B7E" w:rsidRDefault="000A51A5" w:rsidP="000A51A5">
      <w:pPr>
        <w:spacing w:after="240" w:line="276" w:lineRule="auto"/>
        <w:jc w:val="both"/>
        <w:rPr>
          <w:rFonts w:cs="Arial"/>
          <w:szCs w:val="20"/>
          <w:lang w:val="sl-SI"/>
        </w:rPr>
      </w:pPr>
      <w:r w:rsidRPr="00D31B7E">
        <w:rPr>
          <w:rFonts w:cs="Arial"/>
          <w:szCs w:val="20"/>
          <w:lang w:val="sl-SI"/>
        </w:rPr>
        <w:t>Pripomba TZS:</w:t>
      </w:r>
    </w:p>
    <w:p w14:paraId="7B4EFCBA"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rPr>
        <w:t>k prvem</w:t>
      </w:r>
      <w:r>
        <w:rPr>
          <w:rFonts w:cs="Arial"/>
          <w:szCs w:val="20"/>
          <w:lang w:val="sl-SI"/>
        </w:rPr>
        <w:t>u</w:t>
      </w:r>
      <w:r w:rsidRPr="00D31B7E">
        <w:rPr>
          <w:rFonts w:cs="Arial"/>
          <w:szCs w:val="20"/>
          <w:lang w:val="sl-SI"/>
        </w:rPr>
        <w:t xml:space="preserve"> odstavku 20. člena </w:t>
      </w:r>
      <w:bookmarkStart w:id="31" w:name="_Hlk162725443"/>
      <w:r w:rsidRPr="00D31B7E">
        <w:rPr>
          <w:rFonts w:cs="Arial"/>
          <w:szCs w:val="20"/>
          <w:lang w:val="sl-SI"/>
        </w:rPr>
        <w:t>(varnostna dokumentacija bistvenih in pomembnih subjektov</w:t>
      </w:r>
      <w:bookmarkEnd w:id="31"/>
      <w:r w:rsidRPr="00D31B7E">
        <w:rPr>
          <w:rFonts w:cs="Arial"/>
          <w:szCs w:val="20"/>
          <w:lang w:val="sl-SI"/>
        </w:rPr>
        <w:t xml:space="preserve">) meni, da bi bila z vidika razlage in ustrezne implementacije te določbe potrebna jasnejša definicija »informacijskih sredstev«, na katere se ta določba nanaša. Glede na zadevno dikcijo naj bi bilo za informacijsko sredstvo možno šteti tudi denimo računalniško miško, za kar domnevajo, da ni bil namen te določbe. Pripombo zavračamo in pojasnjujemo, da gre za vsa tista informacijska sredstva, ki so potrebna za nemoteno delovanje omrežnih in informacijskih sistemov, kot je bilo to jasno opredeljeno v 1. točki prvega odstavka zadevnega člena. Dodajamo še, da zadevno vsebino </w:t>
      </w:r>
      <w:r>
        <w:rPr>
          <w:rFonts w:cs="Arial"/>
          <w:szCs w:val="20"/>
          <w:lang w:val="sl-SI"/>
        </w:rPr>
        <w:t>zdaj</w:t>
      </w:r>
      <w:r w:rsidRPr="00D31B7E">
        <w:rPr>
          <w:rFonts w:cs="Arial"/>
          <w:szCs w:val="20"/>
          <w:lang w:val="sl-SI"/>
        </w:rPr>
        <w:t xml:space="preserve"> na enak način ureja 2. točka prvega odstavka 21. člena (varnostna dokumentacija) predloga ZInfV-1.</w:t>
      </w:r>
    </w:p>
    <w:p w14:paraId="204252C0" w14:textId="77777777" w:rsidR="000A51A5" w:rsidRPr="00D31B7E" w:rsidRDefault="000A51A5" w:rsidP="000A51A5">
      <w:pPr>
        <w:spacing w:after="240" w:line="276" w:lineRule="auto"/>
        <w:jc w:val="both"/>
        <w:rPr>
          <w:rFonts w:cs="Arial"/>
          <w:szCs w:val="20"/>
          <w:lang w:val="sl-SI"/>
        </w:rPr>
      </w:pPr>
      <w:r w:rsidRPr="00D31B7E">
        <w:rPr>
          <w:rFonts w:cs="Arial"/>
          <w:szCs w:val="20"/>
          <w:lang w:val="sl-SI"/>
        </w:rPr>
        <w:t>Pripomba ZBS:</w:t>
      </w:r>
    </w:p>
    <w:p w14:paraId="2B6D47DF" w14:textId="77777777" w:rsidR="000A51A5" w:rsidRPr="00D31B7E" w:rsidRDefault="000A51A5" w:rsidP="000A51A5">
      <w:pPr>
        <w:pStyle w:val="Odstavekseznama"/>
        <w:numPr>
          <w:ilvl w:val="0"/>
          <w:numId w:val="17"/>
        </w:numPr>
        <w:spacing w:after="240" w:line="276" w:lineRule="auto"/>
        <w:ind w:left="786"/>
        <w:jc w:val="both"/>
        <w:rPr>
          <w:rFonts w:cs="Arial"/>
          <w:szCs w:val="20"/>
          <w:lang w:val="sl-SI"/>
        </w:rPr>
      </w:pPr>
      <w:r w:rsidRPr="00D31B7E">
        <w:rPr>
          <w:rFonts w:cs="Arial"/>
          <w:szCs w:val="20"/>
          <w:lang w:val="sl-SI"/>
        </w:rPr>
        <w:t>k drugem</w:t>
      </w:r>
      <w:r>
        <w:rPr>
          <w:rFonts w:cs="Arial"/>
          <w:szCs w:val="20"/>
          <w:lang w:val="sl-SI"/>
        </w:rPr>
        <w:t>u</w:t>
      </w:r>
      <w:r w:rsidRPr="00D31B7E">
        <w:rPr>
          <w:rFonts w:cs="Arial"/>
          <w:szCs w:val="20"/>
          <w:lang w:val="sl-SI"/>
        </w:rPr>
        <w:t xml:space="preserve"> odstavku 21. člena v delu, ki se nanaša na kraj hranjenja dnevniških zapisov, kot to izhaja iz 6. točke te določbe, pri čemer predlaga, naj se besedilo te točke v delu, ki se nanaša na kraj hrambe</w:t>
      </w:r>
      <w:r>
        <w:rPr>
          <w:rFonts w:cs="Arial"/>
          <w:szCs w:val="20"/>
          <w:lang w:val="sl-SI"/>
        </w:rPr>
        <w:t>,</w:t>
      </w:r>
      <w:r w:rsidRPr="00D31B7E">
        <w:rPr>
          <w:rFonts w:cs="Arial"/>
          <w:szCs w:val="20"/>
          <w:lang w:val="sl-SI"/>
        </w:rPr>
        <w:t xml:space="preserve"> glasi: »Ohranjanje dnevniških zapisov se zagotavlja primarno na ozemlju Republike Slovenije, sekundarno pa se lahko zagotavlja na ozemlju Evropske unije, razen subjektov s področja digitalne infrastrukture, bančništva in infrastrukture finančnega trga, </w:t>
      </w:r>
      <w:r>
        <w:rPr>
          <w:rFonts w:cs="Arial"/>
          <w:szCs w:val="20"/>
          <w:lang w:val="sl-SI"/>
        </w:rPr>
        <w:t>ki</w:t>
      </w:r>
      <w:r w:rsidRPr="00D31B7E">
        <w:rPr>
          <w:rFonts w:cs="Arial"/>
          <w:szCs w:val="20"/>
          <w:lang w:val="sl-SI"/>
        </w:rPr>
        <w:t xml:space="preserve"> lahko ohranjanje dnevniških zapisov, z upoštevanjem zahtev Splošne uredbe o varstvu podatkov (GDPR) ter na </w:t>
      </w:r>
      <w:r>
        <w:rPr>
          <w:rFonts w:cs="Arial"/>
          <w:szCs w:val="20"/>
          <w:lang w:val="sl-SI"/>
        </w:rPr>
        <w:t>podlagi</w:t>
      </w:r>
      <w:r w:rsidRPr="00D31B7E">
        <w:rPr>
          <w:rFonts w:cs="Arial"/>
          <w:szCs w:val="20"/>
          <w:lang w:val="sl-SI"/>
        </w:rPr>
        <w:t xml:space="preserve"> ocene tvegani identificiranih in implementiranih sorazmernih varnostnih kontrolah, v celoti zagotavlja tudi </w:t>
      </w:r>
      <w:r>
        <w:rPr>
          <w:rFonts w:cs="Arial"/>
          <w:szCs w:val="20"/>
          <w:lang w:val="sl-SI"/>
        </w:rPr>
        <w:t>zunaj</w:t>
      </w:r>
      <w:r w:rsidRPr="00D31B7E">
        <w:rPr>
          <w:rFonts w:cs="Arial"/>
          <w:szCs w:val="20"/>
          <w:lang w:val="sl-SI"/>
        </w:rPr>
        <w:t xml:space="preserve"> ozemlja Evropske unije.«. Pojasnjuje, da organizacije danes uporabljajo zelo veliko različnih storitev v oblaku, pri katerih so ponudniki tudi iz tretjih držav. Po podatkih Evropske centralne banke (ECB) za </w:t>
      </w:r>
      <w:r>
        <w:rPr>
          <w:rFonts w:cs="Arial"/>
          <w:szCs w:val="20"/>
          <w:lang w:val="sl-SI"/>
        </w:rPr>
        <w:t xml:space="preserve">leto </w:t>
      </w:r>
      <w:r w:rsidRPr="00D31B7E">
        <w:rPr>
          <w:rFonts w:cs="Arial"/>
          <w:szCs w:val="20"/>
          <w:lang w:val="sl-SI"/>
        </w:rPr>
        <w:t xml:space="preserve">2023 </w:t>
      </w:r>
      <w:r>
        <w:rPr>
          <w:rFonts w:cs="Arial"/>
          <w:szCs w:val="20"/>
          <w:lang w:val="sl-SI"/>
        </w:rPr>
        <w:t>j</w:t>
      </w:r>
      <w:r w:rsidRPr="00D31B7E">
        <w:rPr>
          <w:rFonts w:cs="Arial"/>
          <w:szCs w:val="20"/>
          <w:lang w:val="sl-SI"/>
        </w:rPr>
        <w:t>e približno 22</w:t>
      </w:r>
      <w:r>
        <w:rPr>
          <w:rFonts w:cs="Arial"/>
          <w:szCs w:val="20"/>
          <w:lang w:val="sl-SI"/>
        </w:rPr>
        <w:t xml:space="preserve"> </w:t>
      </w:r>
      <w:r w:rsidRPr="00D31B7E">
        <w:rPr>
          <w:rFonts w:cs="Arial"/>
          <w:szCs w:val="20"/>
          <w:lang w:val="sl-SI"/>
        </w:rPr>
        <w:t xml:space="preserve">% vseh kritičnih zunanjih izvajalcev, ki ponujajo storitve 73 sistemsko pomembnim bankam, v tretjih državah. Pri uporabi mnogih tovrstnih storitev nastajajo dnevniške datoteke, ki bi jih glede na prvotno določbo zavezanci morali hraniti na ozemlju EU, kar v mnogih primerih niti ni izvedljivo, v vseh primerih pa to prinaša velike dodatne stroške za zavezance. Glede na to, da je varstvo oziroma varnost dnevniških zapisov možno ustrezno urediti v skladu z GDPR in uredbo DORA, meni, da je smiselno, da se lahko dnevniški zapisi hranijo tudi </w:t>
      </w:r>
      <w:r>
        <w:rPr>
          <w:rFonts w:cs="Arial"/>
          <w:szCs w:val="20"/>
          <w:lang w:val="sl-SI"/>
        </w:rPr>
        <w:t>zunaj</w:t>
      </w:r>
      <w:r w:rsidRPr="00D31B7E">
        <w:rPr>
          <w:rFonts w:cs="Arial"/>
          <w:szCs w:val="20"/>
          <w:lang w:val="sl-SI"/>
        </w:rPr>
        <w:t xml:space="preserve"> ozemlja EU. Predlog je bil </w:t>
      </w:r>
      <w:r>
        <w:rPr>
          <w:rFonts w:cs="Arial"/>
          <w:szCs w:val="20"/>
          <w:lang w:val="sl-SI"/>
        </w:rPr>
        <w:t xml:space="preserve">pretežno </w:t>
      </w:r>
      <w:r w:rsidRPr="00D31B7E">
        <w:rPr>
          <w:rFonts w:cs="Arial"/>
          <w:szCs w:val="20"/>
          <w:lang w:val="sl-SI"/>
        </w:rPr>
        <w:t xml:space="preserve">upoštevan na način, kot je to </w:t>
      </w:r>
      <w:r>
        <w:rPr>
          <w:rFonts w:cs="Arial"/>
          <w:szCs w:val="20"/>
          <w:lang w:val="sl-SI"/>
        </w:rPr>
        <w:t>zdaj</w:t>
      </w:r>
      <w:r w:rsidRPr="00D31B7E">
        <w:rPr>
          <w:rFonts w:cs="Arial"/>
          <w:szCs w:val="20"/>
          <w:lang w:val="sl-SI"/>
        </w:rPr>
        <w:t xml:space="preserve"> razvidno iz 24. člena (dnevniški zapisi) predloga ZInfV-1. Določba </w:t>
      </w:r>
      <w:r>
        <w:rPr>
          <w:rFonts w:cs="Arial"/>
          <w:szCs w:val="20"/>
          <w:lang w:val="sl-SI"/>
        </w:rPr>
        <w:t>zdaj</w:t>
      </w:r>
      <w:r w:rsidRPr="00D31B7E">
        <w:rPr>
          <w:rFonts w:cs="Arial"/>
          <w:szCs w:val="20"/>
          <w:lang w:val="sl-SI"/>
        </w:rPr>
        <w:t xml:space="preserve"> 6. točke drugega odstavka 22. člena (ukrepi za obvladovanje tveganj) predloga ZInfV-1 glede zagotavljanja in ohranjanja dnevniških zapisov o delovanju omrežnih in informacijskih sistemov </w:t>
      </w:r>
      <w:r>
        <w:rPr>
          <w:rFonts w:cs="Arial"/>
          <w:szCs w:val="20"/>
          <w:lang w:val="sl-SI"/>
        </w:rPr>
        <w:t>zdaj</w:t>
      </w:r>
      <w:r w:rsidRPr="00D31B7E">
        <w:rPr>
          <w:rFonts w:cs="Arial"/>
          <w:szCs w:val="20"/>
          <w:lang w:val="sl-SI"/>
        </w:rPr>
        <w:t xml:space="preserve"> določa le zahtevo po skladnosti s 24. členom tega zakona. Glede na pripombo, ki je smiselno vezana na bančni sektor</w:t>
      </w:r>
      <w:r>
        <w:rPr>
          <w:rFonts w:cs="Arial"/>
          <w:szCs w:val="20"/>
          <w:lang w:val="sl-SI"/>
        </w:rPr>
        <w:t>,</w:t>
      </w:r>
      <w:r w:rsidRPr="00D31B7E">
        <w:rPr>
          <w:rFonts w:cs="Arial"/>
          <w:szCs w:val="20"/>
          <w:lang w:val="sl-SI"/>
        </w:rPr>
        <w:t xml:space="preserve"> je relevanten šesti odstavek 24. člena predloga ZInfV-1, ki se glasi: »Ne glede na prejšnji odstavek </w:t>
      </w:r>
      <w:r>
        <w:rPr>
          <w:rFonts w:cs="Arial"/>
          <w:szCs w:val="20"/>
          <w:lang w:val="sl-SI"/>
        </w:rPr>
        <w:t xml:space="preserve">lahko </w:t>
      </w:r>
      <w:r w:rsidRPr="00D31B7E">
        <w:rPr>
          <w:rFonts w:cs="Arial"/>
          <w:szCs w:val="20"/>
          <w:lang w:val="sl-SI"/>
        </w:rPr>
        <w:t xml:space="preserve">subjekti s področja sektorjev digitalne infrastrukture, bančništva in infrastrukture finančnega trga </w:t>
      </w:r>
      <w:r>
        <w:rPr>
          <w:rFonts w:cs="Arial"/>
          <w:szCs w:val="20"/>
          <w:lang w:val="sl-SI"/>
        </w:rPr>
        <w:t>z</w:t>
      </w:r>
      <w:r w:rsidRPr="00D31B7E">
        <w:rPr>
          <w:rFonts w:cs="Arial"/>
          <w:szCs w:val="20"/>
          <w:lang w:val="sl-SI"/>
        </w:rPr>
        <w:t>agotovijo ohranjanje dnevniških zapisov v celoti na ozemlju Evropske unije</w:t>
      </w:r>
      <w:r>
        <w:rPr>
          <w:rFonts w:cs="Arial"/>
          <w:szCs w:val="20"/>
          <w:lang w:val="sl-SI"/>
        </w:rPr>
        <w:t>,</w:t>
      </w:r>
      <w:r w:rsidRPr="00D31B7E">
        <w:rPr>
          <w:rFonts w:cs="Arial"/>
          <w:szCs w:val="20"/>
          <w:lang w:val="sl-SI"/>
        </w:rPr>
        <w:t xml:space="preserve"> ob upoštevanju predpisov s področja varstva osebnih podatkov ter na </w:t>
      </w:r>
      <w:r>
        <w:rPr>
          <w:rFonts w:cs="Arial"/>
          <w:szCs w:val="20"/>
          <w:lang w:val="sl-SI"/>
        </w:rPr>
        <w:t>podlagi</w:t>
      </w:r>
      <w:r w:rsidRPr="00D31B7E">
        <w:rPr>
          <w:rFonts w:cs="Arial"/>
          <w:szCs w:val="20"/>
          <w:lang w:val="sl-SI"/>
        </w:rPr>
        <w:t xml:space="preserve"> ocene tveganj </w:t>
      </w:r>
      <w:r>
        <w:rPr>
          <w:rFonts w:cs="Arial"/>
          <w:szCs w:val="20"/>
          <w:lang w:val="sl-SI"/>
        </w:rPr>
        <w:lastRenderedPageBreak/>
        <w:t>opredeljenih</w:t>
      </w:r>
      <w:r w:rsidRPr="00D31B7E">
        <w:rPr>
          <w:rFonts w:cs="Arial"/>
          <w:szCs w:val="20"/>
          <w:lang w:val="sl-SI"/>
        </w:rPr>
        <w:t xml:space="preserve"> in </w:t>
      </w:r>
      <w:r>
        <w:rPr>
          <w:rFonts w:cs="Arial"/>
          <w:szCs w:val="20"/>
          <w:lang w:val="sl-SI"/>
        </w:rPr>
        <w:t>uvedenih</w:t>
      </w:r>
      <w:r w:rsidRPr="00D31B7E">
        <w:rPr>
          <w:rFonts w:cs="Arial"/>
          <w:szCs w:val="20"/>
          <w:lang w:val="sl-SI"/>
        </w:rPr>
        <w:t xml:space="preserve"> sorazmernih varnostnih kontrol, pa tudi </w:t>
      </w:r>
      <w:r>
        <w:rPr>
          <w:rFonts w:cs="Arial"/>
          <w:szCs w:val="20"/>
          <w:lang w:val="sl-SI"/>
        </w:rPr>
        <w:t>zunaj</w:t>
      </w:r>
      <w:r w:rsidRPr="00D31B7E">
        <w:rPr>
          <w:rFonts w:cs="Arial"/>
          <w:szCs w:val="20"/>
          <w:lang w:val="sl-SI"/>
        </w:rPr>
        <w:t xml:space="preserve"> ozemlja Evropske unije.«.</w:t>
      </w:r>
      <w:r w:rsidRPr="00D31B7E">
        <w:rPr>
          <w:rFonts w:cs="Arial"/>
          <w:strike/>
          <w:szCs w:val="20"/>
          <w:lang w:val="sl-SI"/>
        </w:rPr>
        <w:t xml:space="preserve"> </w:t>
      </w:r>
    </w:p>
    <w:bookmarkEnd w:id="24"/>
    <w:p w14:paraId="1A6B11BA" w14:textId="77777777" w:rsidR="000A51A5" w:rsidRPr="00D31B7E" w:rsidRDefault="000A51A5" w:rsidP="000A51A5">
      <w:pPr>
        <w:spacing w:after="240" w:line="276" w:lineRule="auto"/>
        <w:jc w:val="both"/>
        <w:rPr>
          <w:rFonts w:cs="Arial"/>
          <w:szCs w:val="20"/>
          <w:lang w:val="sl-SI"/>
        </w:rPr>
      </w:pPr>
      <w:r w:rsidRPr="00D31B7E">
        <w:rPr>
          <w:rFonts w:cs="Arial"/>
          <w:szCs w:val="20"/>
          <w:lang w:val="sl-SI"/>
        </w:rPr>
        <w:t xml:space="preserve">Izven možnosti podaje pripomb v JO osnutka predloga ZInfV-1 je URSIV gradivo osnutka predloga ZInfV-1 dodatno in posebej poslal v mnenje </w:t>
      </w:r>
      <w:r w:rsidRPr="00D31B7E">
        <w:rPr>
          <w:rFonts w:cs="Arial"/>
          <w:iCs/>
          <w:szCs w:val="20"/>
          <w:lang w:val="sl-SI"/>
        </w:rPr>
        <w:t xml:space="preserve">Skupnosti občin Slovenije (v nadaljnjem besedilu: </w:t>
      </w:r>
      <w:r w:rsidRPr="00D31B7E">
        <w:rPr>
          <w:rFonts w:cs="Arial"/>
          <w:szCs w:val="20"/>
          <w:lang w:val="sl-SI"/>
        </w:rPr>
        <w:t xml:space="preserve">SOS), </w:t>
      </w:r>
      <w:r w:rsidRPr="00D31B7E">
        <w:rPr>
          <w:rFonts w:cs="Arial"/>
          <w:iCs/>
          <w:szCs w:val="20"/>
          <w:lang w:val="sl-SI"/>
        </w:rPr>
        <w:t xml:space="preserve">Združenju občin Slovenije (v nadaljnjem besedilu: </w:t>
      </w:r>
      <w:r w:rsidRPr="00D31B7E">
        <w:rPr>
          <w:rFonts w:cs="Arial"/>
          <w:szCs w:val="20"/>
          <w:lang w:val="sl-SI"/>
        </w:rPr>
        <w:t xml:space="preserve">ZOS) in </w:t>
      </w:r>
      <w:r w:rsidRPr="00D31B7E">
        <w:rPr>
          <w:rFonts w:cs="Arial"/>
          <w:iCs/>
          <w:szCs w:val="20"/>
          <w:lang w:val="sl-SI"/>
        </w:rPr>
        <w:t xml:space="preserve">Združenju mestnih občin Slovenije </w:t>
      </w:r>
      <w:r>
        <w:rPr>
          <w:rFonts w:cs="Arial"/>
          <w:iCs/>
          <w:szCs w:val="20"/>
          <w:lang w:val="sl-SI"/>
        </w:rPr>
        <w:t>(</w:t>
      </w:r>
      <w:r w:rsidRPr="00D31B7E">
        <w:rPr>
          <w:rFonts w:cs="Arial"/>
          <w:iCs/>
          <w:szCs w:val="20"/>
          <w:lang w:val="sl-SI"/>
        </w:rPr>
        <w:t xml:space="preserve">v nadaljnjem besedilu: </w:t>
      </w:r>
      <w:r w:rsidRPr="00D31B7E">
        <w:rPr>
          <w:rFonts w:cs="Arial"/>
          <w:szCs w:val="20"/>
          <w:lang w:val="sl-SI"/>
        </w:rPr>
        <w:t>ZMOS)</w:t>
      </w:r>
      <w:r w:rsidRPr="00D31B7E">
        <w:rPr>
          <w:rFonts w:cs="Arial"/>
          <w:iCs/>
          <w:szCs w:val="20"/>
          <w:lang w:val="sl-SI"/>
        </w:rPr>
        <w:t xml:space="preserve"> </w:t>
      </w:r>
      <w:r w:rsidRPr="00D31B7E">
        <w:rPr>
          <w:rFonts w:cs="Arial"/>
          <w:szCs w:val="20"/>
          <w:lang w:val="sl-SI"/>
        </w:rPr>
        <w:t xml:space="preserve">ter v mnenje Informacijskemu pooblaščencu Republike Slovenije (v nadaljnjem besedilu: IP). </w:t>
      </w:r>
    </w:p>
    <w:p w14:paraId="1893CCA3" w14:textId="77777777" w:rsidR="000A51A5" w:rsidRPr="00D31B7E" w:rsidRDefault="000A51A5" w:rsidP="000A51A5">
      <w:pPr>
        <w:pStyle w:val="Odstavekseznama"/>
        <w:widowControl w:val="0"/>
        <w:numPr>
          <w:ilvl w:val="0"/>
          <w:numId w:val="17"/>
        </w:numPr>
        <w:overflowPunct w:val="0"/>
        <w:autoSpaceDE w:val="0"/>
        <w:autoSpaceDN w:val="0"/>
        <w:adjustRightInd w:val="0"/>
        <w:spacing w:line="276" w:lineRule="auto"/>
        <w:ind w:left="786"/>
        <w:jc w:val="both"/>
        <w:textAlignment w:val="baseline"/>
        <w:rPr>
          <w:rFonts w:eastAsiaTheme="minorHAnsi" w:cs="Arial"/>
          <w:szCs w:val="20"/>
          <w:lang w:val="sl-SI"/>
          <w14:ligatures w14:val="standardContextual"/>
        </w:rPr>
      </w:pPr>
      <w:r w:rsidRPr="00D31B7E">
        <w:rPr>
          <w:rFonts w:cs="Arial"/>
          <w:iCs/>
          <w:szCs w:val="20"/>
          <w:lang w:val="sl-SI"/>
        </w:rPr>
        <w:t xml:space="preserve">SOS, ZOS in ZMOS </w:t>
      </w:r>
      <w:r>
        <w:rPr>
          <w:rFonts w:cs="Arial"/>
          <w:iCs/>
          <w:szCs w:val="20"/>
          <w:lang w:val="sl-SI"/>
        </w:rPr>
        <w:t>so</w:t>
      </w:r>
      <w:r w:rsidRPr="00D31B7E">
        <w:rPr>
          <w:rFonts w:cs="Arial"/>
          <w:iCs/>
          <w:szCs w:val="20"/>
          <w:lang w:val="sl-SI"/>
        </w:rPr>
        <w:t xml:space="preserve"> URSIV poslal</w:t>
      </w:r>
      <w:r>
        <w:rPr>
          <w:rFonts w:cs="Arial"/>
          <w:iCs/>
          <w:szCs w:val="20"/>
          <w:lang w:val="sl-SI"/>
        </w:rPr>
        <w:t>i</w:t>
      </w:r>
      <w:r w:rsidRPr="00D31B7E">
        <w:rPr>
          <w:rFonts w:cs="Arial"/>
          <w:iCs/>
          <w:szCs w:val="20"/>
          <w:lang w:val="sl-SI"/>
        </w:rPr>
        <w:t xml:space="preserve"> osnutek predloga ZInfVf-1 </w:t>
      </w:r>
      <w:r>
        <w:rPr>
          <w:rFonts w:cs="Arial"/>
          <w:iCs/>
          <w:szCs w:val="20"/>
          <w:lang w:val="sl-SI"/>
        </w:rPr>
        <w:t>med</w:t>
      </w:r>
      <w:r w:rsidRPr="00D31B7E">
        <w:rPr>
          <w:rFonts w:cs="Arial"/>
          <w:iCs/>
          <w:szCs w:val="20"/>
          <w:lang w:val="sl-SI"/>
        </w:rPr>
        <w:t xml:space="preserve"> drug</w:t>
      </w:r>
      <w:r>
        <w:rPr>
          <w:rFonts w:cs="Arial"/>
          <w:iCs/>
          <w:szCs w:val="20"/>
          <w:lang w:val="sl-SI"/>
        </w:rPr>
        <w:t>im</w:t>
      </w:r>
      <w:r w:rsidRPr="00D31B7E">
        <w:rPr>
          <w:rFonts w:cs="Arial"/>
          <w:iCs/>
          <w:szCs w:val="20"/>
          <w:lang w:val="sl-SI"/>
        </w:rPr>
        <w:t xml:space="preserve"> krog</w:t>
      </w:r>
      <w:r>
        <w:rPr>
          <w:rFonts w:cs="Arial"/>
          <w:iCs/>
          <w:szCs w:val="20"/>
          <w:lang w:val="sl-SI"/>
        </w:rPr>
        <w:t>om</w:t>
      </w:r>
      <w:r w:rsidRPr="00D31B7E">
        <w:rPr>
          <w:rFonts w:cs="Arial"/>
          <w:iCs/>
          <w:szCs w:val="20"/>
          <w:lang w:val="sl-SI"/>
        </w:rPr>
        <w:t xml:space="preserve"> javne obravnave in hkrati prv</w:t>
      </w:r>
      <w:r>
        <w:rPr>
          <w:rFonts w:cs="Arial"/>
          <w:iCs/>
          <w:szCs w:val="20"/>
          <w:lang w:val="sl-SI"/>
        </w:rPr>
        <w:t>im</w:t>
      </w:r>
      <w:r w:rsidRPr="00D31B7E">
        <w:rPr>
          <w:rFonts w:cs="Arial"/>
          <w:iCs/>
          <w:szCs w:val="20"/>
          <w:lang w:val="sl-SI"/>
        </w:rPr>
        <w:t xml:space="preserve"> krog</w:t>
      </w:r>
      <w:r>
        <w:rPr>
          <w:rFonts w:cs="Arial"/>
          <w:iCs/>
          <w:szCs w:val="20"/>
          <w:lang w:val="sl-SI"/>
        </w:rPr>
        <w:t>om</w:t>
      </w:r>
      <w:r w:rsidRPr="00D31B7E">
        <w:rPr>
          <w:rFonts w:cs="Arial"/>
          <w:iCs/>
          <w:szCs w:val="20"/>
          <w:lang w:val="sl-SI"/>
        </w:rPr>
        <w:t xml:space="preserve"> medresorskega usklajevanja</w:t>
      </w:r>
      <w:r>
        <w:rPr>
          <w:rFonts w:cs="Arial"/>
          <w:iCs/>
          <w:szCs w:val="20"/>
          <w:lang w:val="sl-SI"/>
        </w:rPr>
        <w:t>,</w:t>
      </w:r>
      <w:r w:rsidRPr="00D31B7E">
        <w:rPr>
          <w:rFonts w:cs="Arial"/>
          <w:iCs/>
          <w:szCs w:val="20"/>
          <w:lang w:val="sl-SI"/>
        </w:rPr>
        <w:t xml:space="preserve"> posebej 17. 5. 2024</w:t>
      </w:r>
      <w:r>
        <w:rPr>
          <w:rFonts w:cs="Arial"/>
          <w:iCs/>
          <w:szCs w:val="20"/>
          <w:lang w:val="sl-SI"/>
        </w:rPr>
        <w:t>,</w:t>
      </w:r>
      <w:r w:rsidRPr="00D31B7E">
        <w:rPr>
          <w:rFonts w:cs="Arial"/>
          <w:iCs/>
          <w:szCs w:val="20"/>
          <w:lang w:val="sl-SI"/>
        </w:rPr>
        <w:t xml:space="preserve"> z možnostjo odziva do 31. 5. 2024. Nadalje jim je URSIV 6. 9. 2024 v ponovno mnenje skupaj s pojasnili poslal še prenovljen osnutek predloga ZInfV-1 (ki je bil takrat poslan v drugi krog medresorskega usklajevanja)</w:t>
      </w:r>
      <w:r>
        <w:rPr>
          <w:rFonts w:cs="Arial"/>
          <w:iCs/>
          <w:szCs w:val="20"/>
          <w:lang w:val="sl-SI"/>
        </w:rPr>
        <w:t>,</w:t>
      </w:r>
      <w:r w:rsidRPr="00D31B7E">
        <w:rPr>
          <w:rFonts w:cs="Arial"/>
          <w:iCs/>
          <w:szCs w:val="20"/>
          <w:lang w:val="sl-SI"/>
        </w:rPr>
        <w:t xml:space="preserve"> in sicer z možnostjo odziva do 20. 9. 2024. Glede obsega usklajenosti: </w:t>
      </w:r>
    </w:p>
    <w:p w14:paraId="791E484D"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ker se je v drugem krogu ponovno odzval le ZMOS</w:t>
      </w:r>
      <w:r>
        <w:rPr>
          <w:rFonts w:cs="Arial"/>
          <w:szCs w:val="20"/>
          <w:lang w:val="sl-SI"/>
        </w:rPr>
        <w:t>,</w:t>
      </w:r>
      <w:r w:rsidRPr="00D31B7E">
        <w:rPr>
          <w:rFonts w:cs="Arial"/>
          <w:szCs w:val="20"/>
          <w:lang w:val="sl-SI"/>
        </w:rPr>
        <w:t xml:space="preserve"> ocenjujemo, da smo </w:t>
      </w:r>
      <w:r>
        <w:rPr>
          <w:rFonts w:cs="Arial"/>
          <w:szCs w:val="20"/>
          <w:lang w:val="sl-SI"/>
        </w:rPr>
        <w:t>s</w:t>
      </w:r>
      <w:r w:rsidRPr="00D31B7E">
        <w:rPr>
          <w:rFonts w:cs="Arial"/>
          <w:szCs w:val="20"/>
          <w:lang w:val="sl-SI"/>
        </w:rPr>
        <w:t xml:space="preserve"> SOS in ZOS usklajeni v celoti; </w:t>
      </w:r>
    </w:p>
    <w:p w14:paraId="19C8AFEE"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 xml:space="preserve">glede preostale pripombe ZMOS </w:t>
      </w:r>
      <w:r>
        <w:rPr>
          <w:rFonts w:cs="Arial"/>
          <w:szCs w:val="20"/>
          <w:lang w:val="sl-SI"/>
        </w:rPr>
        <w:t>menimo</w:t>
      </w:r>
      <w:r w:rsidRPr="00D31B7E">
        <w:rPr>
          <w:rFonts w:cs="Arial"/>
          <w:szCs w:val="20"/>
          <w:lang w:val="sl-SI"/>
        </w:rPr>
        <w:t xml:space="preserve">, da smo večinoma usklajeni oziroma pojasnjujemo, da za dosego namena, ki ga je s pripombo k 20. členu (upravljanje) </w:t>
      </w:r>
      <w:r>
        <w:rPr>
          <w:rFonts w:cs="Arial"/>
          <w:szCs w:val="20"/>
          <w:lang w:val="sl-SI"/>
        </w:rPr>
        <w:t>zdaj</w:t>
      </w:r>
      <w:r w:rsidRPr="00D31B7E">
        <w:rPr>
          <w:rFonts w:cs="Arial"/>
          <w:szCs w:val="20"/>
          <w:lang w:val="sl-SI"/>
        </w:rPr>
        <w:t xml:space="preserve"> predloga ZInfV-1 izpostavil ZMOS, ni treba posegati v navedeni člen na način</w:t>
      </w:r>
      <w:r>
        <w:rPr>
          <w:rFonts w:cs="Arial"/>
          <w:szCs w:val="20"/>
          <w:lang w:val="sl-SI"/>
        </w:rPr>
        <w:t>,</w:t>
      </w:r>
      <w:r w:rsidRPr="00D31B7E">
        <w:rPr>
          <w:rFonts w:cs="Arial"/>
          <w:szCs w:val="20"/>
          <w:lang w:val="sl-SI"/>
        </w:rPr>
        <w:t xml:space="preserve"> kot predlaga ZMOS, pri čemer menimo, </w:t>
      </w:r>
      <w:r>
        <w:rPr>
          <w:rFonts w:cs="Arial"/>
          <w:szCs w:val="20"/>
          <w:lang w:val="sl-SI"/>
        </w:rPr>
        <w:t xml:space="preserve">da </w:t>
      </w:r>
      <w:r w:rsidRPr="00D31B7E">
        <w:rPr>
          <w:rFonts w:cs="Arial"/>
          <w:szCs w:val="20"/>
          <w:lang w:val="sl-SI"/>
        </w:rPr>
        <w:t>je določba skladna tudi z 20. členom Direktive 2022/2555/EU. Na predlog ZMOS</w:t>
      </w:r>
      <w:r>
        <w:rPr>
          <w:rFonts w:cs="Arial"/>
          <w:szCs w:val="20"/>
          <w:lang w:val="sl-SI"/>
        </w:rPr>
        <w:t>,</w:t>
      </w:r>
      <w:r w:rsidRPr="00D31B7E">
        <w:rPr>
          <w:rFonts w:cs="Arial"/>
          <w:szCs w:val="20"/>
          <w:lang w:val="sl-SI"/>
        </w:rPr>
        <w:t xml:space="preserve"> naj v primeru voljenih funkcionarjev njihove obveznosti iz 20. člena predloga ZInfV-1 preidejo na od njega (torej predstojnika </w:t>
      </w:r>
      <w:r>
        <w:rPr>
          <w:rFonts w:cs="Arial"/>
          <w:szCs w:val="20"/>
          <w:lang w:val="sl-SI"/>
        </w:rPr>
        <w:t>‒</w:t>
      </w:r>
      <w:r w:rsidRPr="00D31B7E">
        <w:rPr>
          <w:rFonts w:cs="Arial"/>
          <w:szCs w:val="20"/>
          <w:lang w:val="sl-SI"/>
        </w:rPr>
        <w:t xml:space="preserve"> župana) imenovano (strokovno) osebo, saj imajo izvoljeni funkcionarji na lokalni ravni politični mandat in nosijo predvsem politično odgovornost</w:t>
      </w:r>
      <w:r>
        <w:rPr>
          <w:rFonts w:cs="Arial"/>
          <w:szCs w:val="20"/>
          <w:lang w:val="sl-SI"/>
        </w:rPr>
        <w:t>,</w:t>
      </w:r>
      <w:r w:rsidRPr="00D31B7E">
        <w:rPr>
          <w:rFonts w:cs="Arial"/>
          <w:szCs w:val="20"/>
          <w:lang w:val="sl-SI"/>
        </w:rPr>
        <w:t xml:space="preserve"> pojasnjujemo, da se glede odgovornosti odgovornih oseb prav</w:t>
      </w:r>
      <w:r>
        <w:rPr>
          <w:rFonts w:cs="Arial"/>
          <w:szCs w:val="20"/>
          <w:lang w:val="sl-SI"/>
        </w:rPr>
        <w:t>n</w:t>
      </w:r>
      <w:r w:rsidRPr="00D31B7E">
        <w:rPr>
          <w:rFonts w:cs="Arial"/>
          <w:szCs w:val="20"/>
          <w:lang w:val="sl-SI"/>
        </w:rPr>
        <w:t>ih oseb v poveza</w:t>
      </w:r>
      <w:r>
        <w:rPr>
          <w:rFonts w:cs="Arial"/>
          <w:szCs w:val="20"/>
          <w:lang w:val="sl-SI"/>
        </w:rPr>
        <w:t>v</w:t>
      </w:r>
      <w:r w:rsidRPr="00D31B7E">
        <w:rPr>
          <w:rFonts w:cs="Arial"/>
          <w:szCs w:val="20"/>
          <w:lang w:val="sl-SI"/>
        </w:rPr>
        <w:t>i z 20. členom predloga ZInfV-1 uporabljajo splošna pravila glede odgovornosti za kršitev predpisov iz Zakona o prekrških (ZP-1). Odgovorna oseba pravne osebe je tista, ki je pooblaščena opravljati delo v imenu, za račun, v korist ali s sredstvi pravne osebe. Odgovorna oseba je lahko tudi tista, ki je pooblaščena izvajati dolžno nadzorstvo. Odgovorna oseba je odgovorna za kršitev predpisa,</w:t>
      </w:r>
      <w:r>
        <w:rPr>
          <w:rFonts w:cs="Arial"/>
          <w:szCs w:val="20"/>
          <w:lang w:val="sl-SI"/>
        </w:rPr>
        <w:t xml:space="preserve"> </w:t>
      </w:r>
      <w:r w:rsidRPr="00D31B7E">
        <w:rPr>
          <w:rFonts w:cs="Arial"/>
          <w:szCs w:val="20"/>
          <w:lang w:val="sl-SI"/>
        </w:rPr>
        <w:t>če opusti dolžno nadzorstvo, s katerim bi se kršitev predpisa lahko preprečila. Uporablja se tudi institut ekskulpacije odgovornosti, ki pomeni, da se odgovorna oseba lahko razbremeni odgovornosti za kršitev predpisa, če dokaže, da je bila kršitev storjena z namenom škodovanja pravni osebi z zavestnim kršenjem pogodbe, na podlagi katere kršitelj opravlja delo ali storitev za pravno osebo</w:t>
      </w:r>
      <w:r>
        <w:rPr>
          <w:rFonts w:cs="Arial"/>
          <w:szCs w:val="20"/>
          <w:lang w:val="sl-SI"/>
        </w:rPr>
        <w:t>,</w:t>
      </w:r>
      <w:r w:rsidRPr="00D31B7E">
        <w:rPr>
          <w:rFonts w:cs="Arial"/>
          <w:szCs w:val="20"/>
          <w:lang w:val="sl-SI"/>
        </w:rPr>
        <w:t xml:space="preserve"> in s kršenjem navodil ali pravil odgovorne osebe pravne osebe, ki je v okviru dolžnega nadzorstva pravočasno izvedla vse ukrepe, potrebne za preprečitev kršitve predpisa. Odgovorna oseba pravne osebe lahko prenese izvajanje določenih (strokovnih) pristojnosti na drugo osebo s pooblastilom ali pogodbo. Vendar pa mora pri tem upoštevati, da ima pooblaščena oseba ustrezna strokovna znanja in kompetence na področju informacijske in kibernetske varnosti, da so v pisnem pooblastilu ali pogodbi jasno določene pristojnosti in odgovornosti, da so ustrezno dokumentirane vse aktivnosti, povezane s prenosom pristojnosti </w:t>
      </w:r>
      <w:r>
        <w:rPr>
          <w:rFonts w:cs="Arial"/>
          <w:szCs w:val="20"/>
          <w:lang w:val="sl-SI"/>
        </w:rPr>
        <w:t>in</w:t>
      </w:r>
      <w:r w:rsidRPr="00D31B7E">
        <w:rPr>
          <w:rFonts w:cs="Arial"/>
          <w:szCs w:val="20"/>
          <w:lang w:val="sl-SI"/>
        </w:rPr>
        <w:t xml:space="preserve"> nadzorom</w:t>
      </w:r>
      <w:r>
        <w:rPr>
          <w:rFonts w:cs="Arial"/>
          <w:szCs w:val="20"/>
          <w:lang w:val="sl-SI"/>
        </w:rPr>
        <w:t>, ter</w:t>
      </w:r>
      <w:r w:rsidRPr="00D31B7E">
        <w:rPr>
          <w:rFonts w:cs="Arial"/>
          <w:szCs w:val="20"/>
          <w:lang w:val="sl-SI"/>
        </w:rPr>
        <w:t xml:space="preserve"> da odgovorna oseba pravne osebe izvaja dolžno nadzorstvo nad pooblaščeno osebo, kar vključuje redno preverjanje izvajanja nalog in učinkovitosti ukrepov informacijske in kibernetske varnosti. V praksi na področju informacijske in kibernetske varnosti se taka oseba poimenuje kot vodja informacijske varnosti (ang. Chief Information Security Officer – CISO).</w:t>
      </w:r>
    </w:p>
    <w:p w14:paraId="4311FDF9" w14:textId="77777777" w:rsidR="000A51A5" w:rsidRPr="00D31B7E" w:rsidRDefault="000A51A5" w:rsidP="000A51A5">
      <w:pPr>
        <w:pStyle w:val="Odstavekseznama"/>
        <w:widowControl w:val="0"/>
        <w:numPr>
          <w:ilvl w:val="0"/>
          <w:numId w:val="17"/>
        </w:numPr>
        <w:overflowPunct w:val="0"/>
        <w:autoSpaceDE w:val="0"/>
        <w:autoSpaceDN w:val="0"/>
        <w:adjustRightInd w:val="0"/>
        <w:spacing w:after="240" w:line="276" w:lineRule="auto"/>
        <w:ind w:left="786"/>
        <w:jc w:val="both"/>
        <w:textAlignment w:val="baseline"/>
        <w:rPr>
          <w:rFonts w:cs="Arial"/>
          <w:szCs w:val="20"/>
          <w:lang w:val="sl-SI"/>
        </w:rPr>
      </w:pPr>
      <w:r w:rsidRPr="00D31B7E">
        <w:rPr>
          <w:rFonts w:cs="Arial"/>
          <w:szCs w:val="20"/>
          <w:lang w:val="sl-SI"/>
        </w:rPr>
        <w:t xml:space="preserve">na IP je URSIV 17. 5. 2024 </w:t>
      </w:r>
      <w:r>
        <w:rPr>
          <w:rFonts w:cs="Arial"/>
          <w:szCs w:val="20"/>
          <w:lang w:val="sl-SI"/>
        </w:rPr>
        <w:t>med</w:t>
      </w:r>
      <w:r w:rsidRPr="00D31B7E">
        <w:rPr>
          <w:rFonts w:cs="Arial"/>
          <w:szCs w:val="20"/>
          <w:lang w:val="sl-SI"/>
        </w:rPr>
        <w:t xml:space="preserve"> drug</w:t>
      </w:r>
      <w:r>
        <w:rPr>
          <w:rFonts w:cs="Arial"/>
          <w:szCs w:val="20"/>
          <w:lang w:val="sl-SI"/>
        </w:rPr>
        <w:t>im</w:t>
      </w:r>
      <w:r w:rsidRPr="00D31B7E">
        <w:rPr>
          <w:rFonts w:cs="Arial"/>
          <w:szCs w:val="20"/>
          <w:lang w:val="sl-SI"/>
        </w:rPr>
        <w:t xml:space="preserve"> krog</w:t>
      </w:r>
      <w:r>
        <w:rPr>
          <w:rFonts w:cs="Arial"/>
          <w:szCs w:val="20"/>
          <w:lang w:val="sl-SI"/>
        </w:rPr>
        <w:t>om</w:t>
      </w:r>
      <w:r w:rsidRPr="00D31B7E">
        <w:rPr>
          <w:rFonts w:cs="Arial"/>
          <w:szCs w:val="20"/>
          <w:lang w:val="sl-SI"/>
        </w:rPr>
        <w:t xml:space="preserve"> javne obravnave in hkrati prv</w:t>
      </w:r>
      <w:r>
        <w:rPr>
          <w:rFonts w:cs="Arial"/>
          <w:szCs w:val="20"/>
          <w:lang w:val="sl-SI"/>
        </w:rPr>
        <w:t>im</w:t>
      </w:r>
      <w:r w:rsidRPr="00D31B7E">
        <w:rPr>
          <w:rFonts w:cs="Arial"/>
          <w:szCs w:val="20"/>
          <w:lang w:val="sl-SI"/>
        </w:rPr>
        <w:t xml:space="preserve"> krog</w:t>
      </w:r>
      <w:r>
        <w:rPr>
          <w:rFonts w:cs="Arial"/>
          <w:szCs w:val="20"/>
          <w:lang w:val="sl-SI"/>
        </w:rPr>
        <w:t>om</w:t>
      </w:r>
      <w:r w:rsidRPr="00D31B7E">
        <w:rPr>
          <w:rFonts w:cs="Arial"/>
          <w:szCs w:val="20"/>
          <w:lang w:val="sl-SI"/>
        </w:rPr>
        <w:t xml:space="preserve"> medresorskega usklajevanja poslal v mnenje z vidika njihovih pristojnosti</w:t>
      </w:r>
      <w:r w:rsidRPr="00D31B7E">
        <w:rPr>
          <w:rFonts w:cs="Arial"/>
          <w:b/>
          <w:bCs/>
          <w:szCs w:val="20"/>
          <w:lang w:val="sl-SI"/>
        </w:rPr>
        <w:t xml:space="preserve"> </w:t>
      </w:r>
      <w:r w:rsidRPr="00D31B7E">
        <w:rPr>
          <w:rFonts w:cs="Arial"/>
          <w:szCs w:val="20"/>
          <w:lang w:val="sl-SI"/>
        </w:rPr>
        <w:t xml:space="preserve">osnutek predloga ZInfV-1 s prošnjo za odziv do 31. 5. 2024. IP je v svojem odzivu </w:t>
      </w:r>
      <w:r>
        <w:rPr>
          <w:rFonts w:cs="Arial"/>
          <w:szCs w:val="20"/>
          <w:lang w:val="sl-SI"/>
        </w:rPr>
        <w:t>poudaril</w:t>
      </w:r>
      <w:r w:rsidRPr="00D31B7E">
        <w:rPr>
          <w:rFonts w:cs="Arial"/>
          <w:szCs w:val="20"/>
          <w:lang w:val="sl-SI"/>
        </w:rPr>
        <w:t xml:space="preserve"> predvsem prepletanje vsebine predloga ZInfV-1 s pristojnostmi IP glede: opredelitve novih izjem glede prostega dostopa do informacij javnega značaja, urejanja obdelav osebnih podatkov, ureditve prenosa osebnih podatkov v tretje države, nekaterih </w:t>
      </w:r>
      <w:r w:rsidRPr="00D31B7E">
        <w:rPr>
          <w:rFonts w:cs="Arial"/>
          <w:szCs w:val="20"/>
          <w:lang w:val="sl-SI"/>
        </w:rPr>
        <w:lastRenderedPageBreak/>
        <w:t>vprašanj</w:t>
      </w:r>
      <w:r>
        <w:rPr>
          <w:rFonts w:cs="Arial"/>
          <w:szCs w:val="20"/>
          <w:lang w:val="sl-SI"/>
        </w:rPr>
        <w:t>,</w:t>
      </w:r>
      <w:r w:rsidRPr="00D31B7E">
        <w:rPr>
          <w:rFonts w:cs="Arial"/>
          <w:szCs w:val="20"/>
          <w:lang w:val="sl-SI"/>
        </w:rPr>
        <w:t xml:space="preserve"> povezanih z varnostjo osebnih podatkov, pristojnosti in sankcioniranja kršitev varstva osebnih podatkov, ki so hkrati lahko kršitve</w:t>
      </w:r>
      <w:r>
        <w:rPr>
          <w:rFonts w:cs="Arial"/>
          <w:szCs w:val="20"/>
          <w:lang w:val="sl-SI"/>
        </w:rPr>
        <w:t>,</w:t>
      </w:r>
      <w:r w:rsidRPr="00D31B7E">
        <w:rPr>
          <w:rFonts w:cs="Arial"/>
          <w:szCs w:val="20"/>
          <w:lang w:val="sl-SI"/>
        </w:rPr>
        <w:t xml:space="preserve"> ter sodelovanja med različnimi pristojnimi organi po ZInfV-1. URSIV je podane pripombe IP upošteval v največji možni meri. Nadalje je URSIV na IP 5. 9. 2024 poslal še prenovljen in dopolnjen osnutek predloga ZInfV-1 s prošnjo za odziv oziroma dopolnilno mnenje do 20. 9. 2024. IP se je 5. 11. 2024 odzval z dopisom oziroma dopolnilnim mnenjem, v katerem </w:t>
      </w:r>
      <w:r>
        <w:rPr>
          <w:rFonts w:cs="Arial"/>
          <w:szCs w:val="20"/>
          <w:lang w:val="sl-SI"/>
        </w:rPr>
        <w:t xml:space="preserve">se </w:t>
      </w:r>
      <w:r w:rsidRPr="00D31B7E">
        <w:rPr>
          <w:rFonts w:cs="Arial"/>
          <w:szCs w:val="20"/>
          <w:lang w:val="sl-SI"/>
        </w:rPr>
        <w:t xml:space="preserve">je </w:t>
      </w:r>
      <w:r>
        <w:rPr>
          <w:rFonts w:cs="Arial"/>
          <w:szCs w:val="20"/>
          <w:lang w:val="sl-SI"/>
        </w:rPr>
        <w:t>strinjal s</w:t>
      </w:r>
      <w:r w:rsidRPr="00D31B7E">
        <w:rPr>
          <w:rFonts w:cs="Arial"/>
          <w:szCs w:val="20"/>
          <w:lang w:val="sl-SI"/>
        </w:rPr>
        <w:t xml:space="preserve"> sprejet</w:t>
      </w:r>
      <w:r>
        <w:rPr>
          <w:rFonts w:cs="Arial"/>
          <w:szCs w:val="20"/>
          <w:lang w:val="sl-SI"/>
        </w:rPr>
        <w:t>imi</w:t>
      </w:r>
      <w:r w:rsidRPr="00D31B7E">
        <w:rPr>
          <w:rFonts w:cs="Arial"/>
          <w:szCs w:val="20"/>
          <w:lang w:val="sl-SI"/>
        </w:rPr>
        <w:t xml:space="preserve"> pripomb</w:t>
      </w:r>
      <w:r>
        <w:rPr>
          <w:rFonts w:cs="Arial"/>
          <w:szCs w:val="20"/>
          <w:lang w:val="sl-SI"/>
        </w:rPr>
        <w:t>ami</w:t>
      </w:r>
      <w:r w:rsidRPr="00D31B7E">
        <w:rPr>
          <w:rFonts w:cs="Arial"/>
          <w:szCs w:val="20"/>
          <w:lang w:val="sl-SI"/>
        </w:rPr>
        <w:t xml:space="preserve"> in opozoril na pripombe, ki niso bile sprejete. Glede obsega usklajenosti: </w:t>
      </w:r>
    </w:p>
    <w:p w14:paraId="2449225C"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bookmarkStart w:id="32" w:name="_Hlk192591246"/>
      <w:r w:rsidRPr="00D31B7E">
        <w:rPr>
          <w:rFonts w:cs="Arial"/>
          <w:szCs w:val="20"/>
          <w:lang w:val="sl-SI"/>
        </w:rPr>
        <w:t xml:space="preserve">pripomba glede (ne)ustreznosti opredelitve dodatne izjeme od prosto dostopnih informacij javnega značaja, izven sistemske ureditve Zakona o dostopu do informacij javnega značaja (ZDIJZ), je bila upoštevana na način, da se je opustilo prej predvideno urejanje v vsebinskem delu predloga ZInfV-1, s prehodno določbo 66. člena (dopolnitev Zakona o dostopu do informacij javnega značaja) </w:t>
      </w:r>
      <w:r>
        <w:rPr>
          <w:rFonts w:cs="Arial"/>
          <w:szCs w:val="20"/>
          <w:lang w:val="sl-SI"/>
        </w:rPr>
        <w:t xml:space="preserve">pa se </w:t>
      </w:r>
      <w:r w:rsidRPr="00D31B7E">
        <w:rPr>
          <w:rFonts w:cs="Arial"/>
          <w:szCs w:val="20"/>
          <w:lang w:val="sl-SI"/>
        </w:rPr>
        <w:t xml:space="preserve">predlaga poseg v ZDIJZ tako, da se </w:t>
      </w:r>
      <w:r>
        <w:rPr>
          <w:rFonts w:cs="Arial"/>
          <w:szCs w:val="20"/>
          <w:lang w:val="sl-SI"/>
        </w:rPr>
        <w:t xml:space="preserve">v </w:t>
      </w:r>
      <w:r w:rsidRPr="00D31B7E">
        <w:rPr>
          <w:rFonts w:cs="Arial"/>
          <w:szCs w:val="20"/>
          <w:lang w:val="sl-SI"/>
        </w:rPr>
        <w:t>prvem odstavku 6. člena k tam določenim izjemam doda še »podatek, ki je opredeljen kot varovani podatek pristojnega nacionalnega organa v skladu z zakonom, ki ureja informacijsko varnost.«. Pri tem je predlog ZInfV-1 usklajen tudi s stvarno pristojnim organom za ZDIJZ, ki je Ministrstvo za javno upravo</w:t>
      </w:r>
      <w:r>
        <w:rPr>
          <w:rFonts w:cs="Arial"/>
          <w:szCs w:val="20"/>
          <w:lang w:val="sl-SI"/>
        </w:rPr>
        <w:t>,</w:t>
      </w:r>
      <w:r w:rsidRPr="00D31B7E">
        <w:rPr>
          <w:rFonts w:cs="Arial"/>
          <w:szCs w:val="20"/>
          <w:lang w:val="sl-SI"/>
        </w:rPr>
        <w:t xml:space="preserve"> in s Službo Vlade Republike Slovenije za zakonodajo;</w:t>
      </w:r>
    </w:p>
    <w:bookmarkEnd w:id="32"/>
    <w:p w14:paraId="24B7E24A"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r w:rsidRPr="00D31B7E">
        <w:rPr>
          <w:rFonts w:cs="Arial"/>
          <w:szCs w:val="20"/>
          <w:lang w:val="sl-SI"/>
        </w:rPr>
        <w:t>ni bila v celoti upoštevana pripomba na določbe o predvidenih izmenjavah (tudi osebnih) podatkov, ki vključujejo prenose osebnih podatkov v tretje države, saj je Uredba (EU) 2016/679 Evropskega parlamenta in Sveta z dne 27. aprila 2016 o varstvu posameznikov pri obdelavi osebnih podatkov in o prostem pretoku takih podatkov ter razveljavitvi Direktive 95/46/ES neposredno uporabljiva in morajo zaščitni ukrepi za varstvo osebnih podatkov zadostiti vsem zahtevam citirane uredbe, kar pa ni treba posebej navajati;</w:t>
      </w:r>
    </w:p>
    <w:p w14:paraId="3D70F392" w14:textId="77777777" w:rsidR="000A51A5" w:rsidRPr="00D31B7E" w:rsidRDefault="000A51A5" w:rsidP="000A51A5">
      <w:pPr>
        <w:pStyle w:val="Odstavekseznama"/>
        <w:widowControl w:val="0"/>
        <w:numPr>
          <w:ilvl w:val="0"/>
          <w:numId w:val="50"/>
        </w:numPr>
        <w:overflowPunct w:val="0"/>
        <w:autoSpaceDE w:val="0"/>
        <w:autoSpaceDN w:val="0"/>
        <w:adjustRightInd w:val="0"/>
        <w:spacing w:after="240" w:line="276" w:lineRule="auto"/>
        <w:jc w:val="both"/>
        <w:textAlignment w:val="baseline"/>
        <w:rPr>
          <w:rFonts w:cs="Arial"/>
          <w:szCs w:val="20"/>
          <w:lang w:val="sl-SI"/>
        </w:rPr>
      </w:pPr>
      <w:bookmarkStart w:id="33" w:name="_Hlk192591273"/>
      <w:r w:rsidRPr="00D31B7E">
        <w:rPr>
          <w:rFonts w:cs="Arial"/>
          <w:szCs w:val="20"/>
          <w:lang w:val="sl-SI"/>
        </w:rPr>
        <w:t xml:space="preserve">dodatno je bil pojasnjen poseg v Zakon o varstvu osebnih podatkov, pri čemer gre </w:t>
      </w:r>
      <w:r>
        <w:rPr>
          <w:rFonts w:cs="Arial"/>
          <w:szCs w:val="20"/>
          <w:lang w:val="sl-SI"/>
        </w:rPr>
        <w:t>zdaj</w:t>
      </w:r>
      <w:r w:rsidRPr="00D31B7E">
        <w:rPr>
          <w:rFonts w:cs="Arial"/>
          <w:szCs w:val="20"/>
          <w:lang w:val="sl-SI"/>
        </w:rPr>
        <w:t xml:space="preserve"> za prehodno določbo 67. člena predloga ZInfV-1, kjer je bila edina sprememba, da se besedna zveza »izvajalce bistvenih storitev« nadomesti z »bistvene subjekte«, saj se pojem izvajalec bistvene storitve ne uporablja več v predlaganem ZInfV-1.</w:t>
      </w:r>
    </w:p>
    <w:bookmarkEnd w:id="33"/>
    <w:p w14:paraId="0A89BCEB" w14:textId="77777777" w:rsidR="000A51A5" w:rsidRPr="00D31B7E" w:rsidRDefault="000A51A5" w:rsidP="000A51A5">
      <w:pPr>
        <w:spacing w:after="240" w:line="276" w:lineRule="auto"/>
        <w:jc w:val="both"/>
        <w:rPr>
          <w:rFonts w:cs="Arial"/>
          <w:szCs w:val="20"/>
          <w:lang w:val="sl-SI"/>
        </w:rPr>
      </w:pPr>
      <w:r w:rsidRPr="00D31B7E">
        <w:rPr>
          <w:rFonts w:cs="Arial"/>
          <w:szCs w:val="20"/>
          <w:lang w:val="sl-SI"/>
        </w:rPr>
        <w:t>Za različne deležnike je URSIV izvedel tudi predstavitve takrat aktualnih osnutkov predlogov ZInfV-1 oziroma predvidenih novosti</w:t>
      </w:r>
      <w:r>
        <w:rPr>
          <w:rFonts w:cs="Arial"/>
          <w:szCs w:val="20"/>
          <w:lang w:val="sl-SI"/>
        </w:rPr>
        <w:t>,</w:t>
      </w:r>
      <w:r w:rsidRPr="00D31B7E">
        <w:rPr>
          <w:rFonts w:cs="Arial"/>
          <w:szCs w:val="20"/>
          <w:lang w:val="sl-SI"/>
        </w:rPr>
        <w:t xml:space="preserve"> in sicer: </w:t>
      </w:r>
    </w:p>
    <w:p w14:paraId="61212A8F" w14:textId="77777777" w:rsidR="000A51A5" w:rsidRPr="00627CB9" w:rsidRDefault="000A51A5" w:rsidP="007B4338">
      <w:pPr>
        <w:numPr>
          <w:ilvl w:val="0"/>
          <w:numId w:val="17"/>
        </w:numPr>
        <w:spacing w:after="60" w:line="276" w:lineRule="auto"/>
        <w:ind w:left="782" w:hanging="357"/>
        <w:jc w:val="both"/>
        <w:rPr>
          <w:i/>
          <w:lang w:val="sl-SI"/>
        </w:rPr>
      </w:pPr>
      <w:r w:rsidRPr="00D31B7E">
        <w:rPr>
          <w:rFonts w:cs="Arial"/>
          <w:szCs w:val="20"/>
          <w:lang w:val="sl-SI"/>
        </w:rPr>
        <w:t xml:space="preserve">10. 10. 2023 v okviru dogodka pri ZIT-GZS </w:t>
      </w:r>
      <w:r w:rsidRPr="00627CB9">
        <w:rPr>
          <w:i/>
          <w:lang w:val="sl-SI"/>
        </w:rPr>
        <w:t>Kaj podjetjem prinaša NIS2 in kako se nanjo pripraviti</w:t>
      </w:r>
      <w:r w:rsidRPr="00DA120C">
        <w:rPr>
          <w:rFonts w:cs="Arial"/>
          <w:i/>
          <w:iCs/>
          <w:szCs w:val="20"/>
          <w:lang w:val="sl-SI"/>
        </w:rPr>
        <w:t>?;</w:t>
      </w:r>
    </w:p>
    <w:p w14:paraId="506A89B6" w14:textId="77777777" w:rsidR="000A51A5" w:rsidRPr="00D31B7E" w:rsidRDefault="000A51A5" w:rsidP="007B4338">
      <w:pPr>
        <w:numPr>
          <w:ilvl w:val="0"/>
          <w:numId w:val="17"/>
        </w:numPr>
        <w:spacing w:after="60" w:line="276" w:lineRule="auto"/>
        <w:ind w:left="782" w:hanging="357"/>
        <w:jc w:val="both"/>
        <w:rPr>
          <w:rFonts w:cs="Arial"/>
          <w:szCs w:val="20"/>
          <w:lang w:val="sl-SI"/>
        </w:rPr>
      </w:pPr>
      <w:r w:rsidRPr="00D31B7E">
        <w:rPr>
          <w:rFonts w:cs="Arial"/>
          <w:szCs w:val="20"/>
          <w:lang w:val="sl-SI"/>
        </w:rPr>
        <w:t>5. 11. 2023 v okviru konference Informacijska varnost: zaupanje v človeka in tehnologijo, Portorož;</w:t>
      </w:r>
    </w:p>
    <w:p w14:paraId="2231FC30" w14:textId="77777777" w:rsidR="000A51A5" w:rsidRPr="00D31B7E" w:rsidRDefault="000A51A5" w:rsidP="007B4338">
      <w:pPr>
        <w:numPr>
          <w:ilvl w:val="0"/>
          <w:numId w:val="17"/>
        </w:numPr>
        <w:spacing w:after="60" w:line="276" w:lineRule="auto"/>
        <w:ind w:left="782" w:hanging="357"/>
        <w:jc w:val="both"/>
        <w:rPr>
          <w:rFonts w:cs="Arial"/>
          <w:szCs w:val="20"/>
          <w:lang w:val="sl-SI"/>
        </w:rPr>
      </w:pPr>
      <w:r w:rsidRPr="00D31B7E">
        <w:rPr>
          <w:rFonts w:cs="Arial"/>
          <w:szCs w:val="20"/>
          <w:lang w:val="sl-SI"/>
        </w:rPr>
        <w:t xml:space="preserve">14. 12. 2023 v okviru srečanja Klub IT managerjev in Klub KIRVI, Jable, Ljubljana; </w:t>
      </w:r>
    </w:p>
    <w:p w14:paraId="72A47495" w14:textId="77777777" w:rsidR="000A51A5" w:rsidRPr="00D31B7E" w:rsidRDefault="000A51A5" w:rsidP="007B4338">
      <w:pPr>
        <w:numPr>
          <w:ilvl w:val="0"/>
          <w:numId w:val="17"/>
        </w:numPr>
        <w:spacing w:after="60" w:line="276" w:lineRule="auto"/>
        <w:ind w:left="782" w:hanging="357"/>
        <w:jc w:val="both"/>
        <w:rPr>
          <w:rFonts w:cs="Arial"/>
          <w:szCs w:val="20"/>
          <w:lang w:val="sl-SI"/>
        </w:rPr>
      </w:pPr>
      <w:r w:rsidRPr="00D31B7E">
        <w:rPr>
          <w:rFonts w:cs="Arial"/>
          <w:szCs w:val="20"/>
          <w:lang w:val="sl-SI"/>
        </w:rPr>
        <w:t>11. 1. 2024 v okviru AmCham Ready 4D Future komisije, Ljubljana;</w:t>
      </w:r>
    </w:p>
    <w:p w14:paraId="2A196C58" w14:textId="77777777" w:rsidR="000A51A5" w:rsidRPr="00D31B7E" w:rsidRDefault="000A51A5" w:rsidP="007B4338">
      <w:pPr>
        <w:numPr>
          <w:ilvl w:val="0"/>
          <w:numId w:val="17"/>
        </w:numPr>
        <w:spacing w:after="60" w:line="276" w:lineRule="auto"/>
        <w:ind w:left="782" w:hanging="357"/>
        <w:jc w:val="both"/>
        <w:rPr>
          <w:rFonts w:cs="Arial"/>
          <w:szCs w:val="20"/>
          <w:lang w:val="sl-SI"/>
        </w:rPr>
      </w:pPr>
      <w:r w:rsidRPr="00D31B7E">
        <w:rPr>
          <w:rFonts w:cs="Arial"/>
          <w:szCs w:val="20"/>
          <w:lang w:val="sl-SI"/>
        </w:rPr>
        <w:t>5. 2. 2024 v okviru Izobraževalnega centra Združenja bank Slovenije v Ljubljani;</w:t>
      </w:r>
    </w:p>
    <w:p w14:paraId="2C5E3B52"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6. 3. 2024 in 7. 3. 2024 v okviru Posveta kibernetske varnosti za izvajalce bistvenih storitev in za organe državne uprave (v obeh primerih gre za dosedanje zavezance po veljavnem ZInfV) v Ljubljani;</w:t>
      </w:r>
    </w:p>
    <w:p w14:paraId="361679FA"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10. 4. 2024 v okviru letne konference ADD v Ljubljani;</w:t>
      </w:r>
    </w:p>
    <w:p w14:paraId="175246B6"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 xml:space="preserve">4. 5. 2024 v okviru konference Infosek Networking v Ljubljani; </w:t>
      </w:r>
    </w:p>
    <w:p w14:paraId="4A6F7441"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 xml:space="preserve">9. 5. 2024 v okviru 5. konference Prava informacijske varnosti v Portorožu s temo </w:t>
      </w:r>
      <w:r w:rsidRPr="00627CB9">
        <w:rPr>
          <w:i/>
          <w:lang w:val="sl-SI"/>
        </w:rPr>
        <w:t>Povečanje kibernetske varnosti z novim zakonom o informacijski varnosti</w:t>
      </w:r>
      <w:r w:rsidRPr="00DA120C">
        <w:rPr>
          <w:rFonts w:cs="Arial"/>
          <w:i/>
          <w:iCs/>
          <w:szCs w:val="20"/>
          <w:lang w:val="sl-SI"/>
        </w:rPr>
        <w:t>;</w:t>
      </w:r>
    </w:p>
    <w:p w14:paraId="30CBCE09"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 xml:space="preserve">13. 5. 2024 v okviru 15. mednarodne konference Dnevi korporativne varnosti s temo </w:t>
      </w:r>
      <w:r w:rsidRPr="00627CB9">
        <w:rPr>
          <w:i/>
          <w:lang w:val="sl-SI"/>
        </w:rPr>
        <w:t>Strateški koraki uveljavitve novega Zakona o informacijski varnosti</w:t>
      </w:r>
      <w:r w:rsidRPr="00D31B7E">
        <w:rPr>
          <w:rFonts w:cs="Arial"/>
          <w:szCs w:val="20"/>
          <w:lang w:val="sl-SI"/>
        </w:rPr>
        <w:t>;</w:t>
      </w:r>
    </w:p>
    <w:p w14:paraId="15AC02BE"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 xml:space="preserve">22. 5. 2024 v okviru delavnice </w:t>
      </w:r>
      <w:r w:rsidRPr="00627CB9">
        <w:rPr>
          <w:i/>
          <w:lang w:val="sl-SI"/>
        </w:rPr>
        <w:t>Priprava podjetij na NIS 2</w:t>
      </w:r>
      <w:r>
        <w:rPr>
          <w:rFonts w:cs="Arial"/>
          <w:i/>
          <w:iCs/>
          <w:szCs w:val="20"/>
          <w:lang w:val="sl-SI"/>
        </w:rPr>
        <w:t>.</w:t>
      </w:r>
      <w:r w:rsidRPr="00627CB9">
        <w:rPr>
          <w:i/>
          <w:lang w:val="sl-SI"/>
        </w:rPr>
        <w:t xml:space="preserve"> direktivo</w:t>
      </w:r>
      <w:r w:rsidRPr="00D31B7E">
        <w:rPr>
          <w:rFonts w:cs="Arial"/>
          <w:szCs w:val="20"/>
          <w:lang w:val="sl-SI"/>
        </w:rPr>
        <w:t xml:space="preserve"> pri Sekciji za kibernetsko varnost ZIT-GZS v Ljubljani;</w:t>
      </w:r>
    </w:p>
    <w:p w14:paraId="02F1F3D7"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lastRenderedPageBreak/>
        <w:t>22. 5. 2024 na seji Odbora Združenja mestnih občin Slovenije (ZMOS) za digitalizacijo in pametna mesta;</w:t>
      </w:r>
    </w:p>
    <w:p w14:paraId="17243728"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11. 6. 2024 na seminarju Skupnosti občin Slovenije (SOS);</w:t>
      </w:r>
    </w:p>
    <w:p w14:paraId="6364A7EA"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20. 6. 2024 članom koordinacije vodij računalniških centrov Univerze v Ljubljani;</w:t>
      </w:r>
    </w:p>
    <w:p w14:paraId="278A9733" w14:textId="77777777" w:rsidR="000A51A5" w:rsidRPr="00D31B7E" w:rsidRDefault="000A51A5" w:rsidP="007B4338">
      <w:pPr>
        <w:pStyle w:val="Odstavekseznama"/>
        <w:numPr>
          <w:ilvl w:val="0"/>
          <w:numId w:val="17"/>
        </w:numPr>
        <w:spacing w:after="60" w:line="276" w:lineRule="auto"/>
        <w:ind w:left="782" w:hanging="357"/>
        <w:contextualSpacing w:val="0"/>
        <w:rPr>
          <w:rFonts w:cs="Arial"/>
          <w:szCs w:val="20"/>
          <w:lang w:val="sl-SI"/>
        </w:rPr>
      </w:pPr>
      <w:r w:rsidRPr="00D31B7E">
        <w:rPr>
          <w:rFonts w:cs="Arial"/>
          <w:szCs w:val="20"/>
          <w:lang w:val="it-IT"/>
        </w:rPr>
        <w:t xml:space="preserve">5. 9. 2024 v </w:t>
      </w:r>
      <w:r w:rsidRPr="00D31B7E">
        <w:rPr>
          <w:rFonts w:cs="Arial"/>
          <w:szCs w:val="20"/>
          <w:lang w:val="sl-SI"/>
        </w:rPr>
        <w:t>okviru konference INFOSEK v Novi Gorici</w:t>
      </w:r>
      <w:r w:rsidRPr="00D31B7E">
        <w:rPr>
          <w:rFonts w:cs="Arial"/>
          <w:szCs w:val="20"/>
          <w:lang w:val="it-IT"/>
        </w:rPr>
        <w:t>;</w:t>
      </w:r>
    </w:p>
    <w:p w14:paraId="0AD7352E"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12. 9. 2024 Združenju občin Slovenije (ZOS);</w:t>
      </w:r>
    </w:p>
    <w:p w14:paraId="7D1FDB48"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19. 9. 2024 na 13. konferenci komunalnega gospodarstva v Podčetrtku;</w:t>
      </w:r>
    </w:p>
    <w:p w14:paraId="4A2C547D"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3. 10. 2024 na konferenci Akademija Finance v Ljubljani;</w:t>
      </w:r>
    </w:p>
    <w:p w14:paraId="21B218A7"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 xml:space="preserve">7. 10. 2024 </w:t>
      </w:r>
      <w:r>
        <w:rPr>
          <w:rFonts w:cs="Arial"/>
          <w:szCs w:val="20"/>
          <w:lang w:val="sl-SI"/>
        </w:rPr>
        <w:t xml:space="preserve">na </w:t>
      </w:r>
      <w:r w:rsidRPr="00D31B7E">
        <w:rPr>
          <w:rFonts w:cs="Arial"/>
          <w:szCs w:val="20"/>
          <w:lang w:val="sl-SI"/>
        </w:rPr>
        <w:t>Združenju zdravstvenih zavodov Slovenije;</w:t>
      </w:r>
    </w:p>
    <w:p w14:paraId="48687EF5" w14:textId="77777777" w:rsidR="000A51A5" w:rsidRPr="00D31B7E" w:rsidRDefault="000A51A5" w:rsidP="007B4338">
      <w:pPr>
        <w:pStyle w:val="Odstavekseznama"/>
        <w:numPr>
          <w:ilvl w:val="0"/>
          <w:numId w:val="17"/>
        </w:numPr>
        <w:spacing w:after="60" w:line="276" w:lineRule="auto"/>
        <w:ind w:left="782" w:hanging="357"/>
        <w:contextualSpacing w:val="0"/>
        <w:jc w:val="both"/>
        <w:rPr>
          <w:rFonts w:cs="Arial"/>
          <w:szCs w:val="20"/>
          <w:lang w:val="sl-SI"/>
        </w:rPr>
      </w:pPr>
      <w:r w:rsidRPr="00D31B7E">
        <w:rPr>
          <w:rFonts w:cs="Arial"/>
          <w:szCs w:val="20"/>
          <w:lang w:val="sl-SI"/>
        </w:rPr>
        <w:t>9. 10. 2024 na srečanju članov Inštituta za korporativne varnostne študije;</w:t>
      </w:r>
    </w:p>
    <w:p w14:paraId="6BDB50FF"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16. 10. 2024 na 32. Mednarodni konferenci o revidiranju in kontroli informacijskih sistemov na Ptuju;</w:t>
      </w:r>
    </w:p>
    <w:p w14:paraId="57BF383A"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 xml:space="preserve">18. 10. 2024 na konferenci </w:t>
      </w:r>
      <w:r w:rsidRPr="00627CB9">
        <w:rPr>
          <w:i/>
          <w:lang w:val="sl-SI"/>
        </w:rPr>
        <w:t>Kibernetski cunami</w:t>
      </w:r>
      <w:r w:rsidRPr="00D31B7E">
        <w:rPr>
          <w:rFonts w:cs="Arial"/>
          <w:iCs/>
          <w:szCs w:val="20"/>
          <w:lang w:val="sl-SI" w:eastAsia="sl-SI"/>
        </w:rPr>
        <w:t xml:space="preserve"> (ali smo pripravljeni na spremembe ZInfV), ki je bila pri GZS;</w:t>
      </w:r>
    </w:p>
    <w:p w14:paraId="5DDCF0FF"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 xml:space="preserve">5. 11. 2024 na 8. konferenci o e-identifikaciji in e-storitvah zaupanja </w:t>
      </w:r>
      <w:r>
        <w:rPr>
          <w:rFonts w:cs="Arial"/>
          <w:iCs/>
          <w:szCs w:val="20"/>
          <w:lang w:val="sl-SI" w:eastAsia="sl-SI"/>
        </w:rPr>
        <w:t>‒</w:t>
      </w:r>
      <w:r w:rsidRPr="00D31B7E">
        <w:rPr>
          <w:rFonts w:cs="Arial"/>
          <w:iCs/>
          <w:szCs w:val="20"/>
          <w:lang w:val="sl-SI" w:eastAsia="sl-SI"/>
        </w:rPr>
        <w:t xml:space="preserve"> ZEIDES 2024 na Brdu pri Kranju;</w:t>
      </w:r>
    </w:p>
    <w:p w14:paraId="00163E02" w14:textId="77777777" w:rsidR="000A51A5" w:rsidRPr="00D31B7E" w:rsidRDefault="000A51A5" w:rsidP="007B4338">
      <w:pPr>
        <w:pStyle w:val="Odstavekseznama"/>
        <w:numPr>
          <w:ilvl w:val="0"/>
          <w:numId w:val="17"/>
        </w:numPr>
        <w:spacing w:after="60" w:line="276" w:lineRule="auto"/>
        <w:ind w:left="782" w:hanging="357"/>
        <w:contextualSpacing w:val="0"/>
        <w:rPr>
          <w:rFonts w:cs="Arial"/>
          <w:szCs w:val="20"/>
          <w:lang w:val="sl-SI"/>
        </w:rPr>
      </w:pPr>
      <w:r w:rsidRPr="00D31B7E">
        <w:rPr>
          <w:rFonts w:cs="Arial"/>
          <w:szCs w:val="20"/>
          <w:lang w:val="it-IT"/>
        </w:rPr>
        <w:t xml:space="preserve">5. 11. </w:t>
      </w:r>
      <w:r w:rsidRPr="00D31B7E">
        <w:rPr>
          <w:rFonts w:cs="Arial"/>
          <w:szCs w:val="20"/>
          <w:lang w:val="sl-SI"/>
        </w:rPr>
        <w:t xml:space="preserve">2024 na konferenci </w:t>
      </w:r>
      <w:r w:rsidRPr="00627CB9">
        <w:rPr>
          <w:i/>
          <w:lang w:val="sl-SI"/>
        </w:rPr>
        <w:t>Informacijska varnost: zaupanje v človeka in tehnologijo (Kako se pripraviti na nov zakon o informacijski varnosti</w:t>
      </w:r>
      <w:r w:rsidRPr="00D31B7E">
        <w:rPr>
          <w:rFonts w:cs="Arial"/>
          <w:szCs w:val="20"/>
          <w:lang w:val="sl-SI"/>
        </w:rPr>
        <w:t>) v Portorožu;</w:t>
      </w:r>
    </w:p>
    <w:p w14:paraId="70557E42" w14:textId="77777777" w:rsidR="000A51A5" w:rsidRPr="00D31B7E" w:rsidRDefault="000A51A5" w:rsidP="007B4338">
      <w:pPr>
        <w:pStyle w:val="Odstavekseznama"/>
        <w:numPr>
          <w:ilvl w:val="0"/>
          <w:numId w:val="17"/>
        </w:numPr>
        <w:spacing w:after="60" w:line="276" w:lineRule="auto"/>
        <w:ind w:left="782" w:hanging="357"/>
        <w:contextualSpacing w:val="0"/>
        <w:rPr>
          <w:rFonts w:cs="Arial"/>
          <w:szCs w:val="20"/>
          <w:lang w:val="sl-SI"/>
        </w:rPr>
      </w:pPr>
      <w:r w:rsidRPr="00D31B7E">
        <w:rPr>
          <w:rFonts w:cs="Arial"/>
          <w:szCs w:val="20"/>
          <w:lang w:val="sl-SI"/>
        </w:rPr>
        <w:t xml:space="preserve">15. 11. 2024 na posvetu pravnikov v okviru Združenja zavodov bank Slovenije z naslovom </w:t>
      </w:r>
      <w:r w:rsidRPr="00627CB9">
        <w:rPr>
          <w:i/>
          <w:lang w:val="sl-SI"/>
        </w:rPr>
        <w:t>Zakon o informacijski varnosti (NIS2) in DORA</w:t>
      </w:r>
      <w:r w:rsidRPr="00D31B7E">
        <w:rPr>
          <w:rFonts w:cs="Arial"/>
          <w:szCs w:val="20"/>
          <w:lang w:val="sl-SI"/>
        </w:rPr>
        <w:t>;</w:t>
      </w:r>
    </w:p>
    <w:p w14:paraId="1AD99846" w14:textId="77777777" w:rsidR="000A51A5" w:rsidRPr="00D31B7E" w:rsidRDefault="000A51A5" w:rsidP="007B4338">
      <w:pPr>
        <w:pStyle w:val="Odstavekseznama"/>
        <w:widowControl w:val="0"/>
        <w:numPr>
          <w:ilvl w:val="0"/>
          <w:numId w:val="17"/>
        </w:numPr>
        <w:overflowPunct w:val="0"/>
        <w:autoSpaceDE w:val="0"/>
        <w:autoSpaceDN w:val="0"/>
        <w:adjustRightInd w:val="0"/>
        <w:spacing w:after="60" w:line="276" w:lineRule="auto"/>
        <w:ind w:left="782" w:hanging="357"/>
        <w:jc w:val="both"/>
        <w:textAlignment w:val="baseline"/>
        <w:rPr>
          <w:rFonts w:cs="Arial"/>
          <w:iCs/>
          <w:szCs w:val="20"/>
          <w:lang w:val="sl-SI" w:eastAsia="sl-SI"/>
        </w:rPr>
      </w:pPr>
      <w:r w:rsidRPr="00D31B7E">
        <w:rPr>
          <w:rFonts w:cs="Arial"/>
          <w:iCs/>
          <w:szCs w:val="20"/>
          <w:lang w:val="sl-SI" w:eastAsia="sl-SI"/>
        </w:rPr>
        <w:t>4. 12. 2024 na izobraževalnem srečanju slovenskega združenja ISACA</w:t>
      </w:r>
      <w:r>
        <w:rPr>
          <w:rFonts w:cs="Arial"/>
          <w:iCs/>
          <w:szCs w:val="20"/>
          <w:lang w:val="sl-SI" w:eastAsia="sl-SI"/>
        </w:rPr>
        <w:t xml:space="preserve"> </w:t>
      </w:r>
      <w:r w:rsidRPr="00D31B7E">
        <w:rPr>
          <w:rFonts w:cs="Arial"/>
          <w:iCs/>
          <w:szCs w:val="20"/>
          <w:lang w:val="sl-SI" w:eastAsia="sl-SI"/>
        </w:rPr>
        <w:t>(glede novosti, ki jih bo prinesla implementacija NIS 2 direktive z novim ZInfV-1, s poudarkom na področju delovanja revizorjev);</w:t>
      </w:r>
    </w:p>
    <w:p w14:paraId="28B38515" w14:textId="77777777" w:rsidR="000A51A5" w:rsidRPr="00D31B7E" w:rsidRDefault="000A51A5" w:rsidP="007B4338">
      <w:pPr>
        <w:numPr>
          <w:ilvl w:val="0"/>
          <w:numId w:val="17"/>
        </w:numPr>
        <w:spacing w:after="60" w:line="276" w:lineRule="auto"/>
        <w:ind w:left="782" w:hanging="357"/>
        <w:rPr>
          <w:rFonts w:cs="Arial"/>
          <w:szCs w:val="20"/>
          <w:lang w:val="sl-SI"/>
        </w:rPr>
      </w:pPr>
      <w:r w:rsidRPr="00D31B7E">
        <w:rPr>
          <w:rFonts w:cs="Arial"/>
          <w:szCs w:val="20"/>
          <w:lang w:val="sl-SI"/>
        </w:rPr>
        <w:t>24. 1. 2025, predstavitev članom Rektorske konference Republike Slovenije v Vipavi;</w:t>
      </w:r>
    </w:p>
    <w:p w14:paraId="0A052D55" w14:textId="77777777" w:rsidR="000A51A5" w:rsidRPr="00D31B7E" w:rsidRDefault="000A51A5" w:rsidP="007B4338">
      <w:pPr>
        <w:numPr>
          <w:ilvl w:val="0"/>
          <w:numId w:val="17"/>
        </w:numPr>
        <w:spacing w:after="60" w:line="276" w:lineRule="auto"/>
        <w:ind w:left="782" w:hanging="357"/>
        <w:rPr>
          <w:rFonts w:cs="Arial"/>
          <w:szCs w:val="20"/>
          <w:lang w:val="sl-SI"/>
        </w:rPr>
      </w:pPr>
      <w:r w:rsidRPr="00D31B7E">
        <w:rPr>
          <w:rFonts w:cs="Arial"/>
          <w:szCs w:val="20"/>
          <w:lang w:val="sl-SI"/>
        </w:rPr>
        <w:t xml:space="preserve">30. 1. 2025, predstavitev glavnih rešitev na </w:t>
      </w:r>
      <w:r>
        <w:rPr>
          <w:rFonts w:cs="Arial"/>
          <w:szCs w:val="20"/>
          <w:lang w:val="sl-SI"/>
        </w:rPr>
        <w:t>s</w:t>
      </w:r>
      <w:r w:rsidRPr="00D31B7E">
        <w:rPr>
          <w:rFonts w:cs="Arial"/>
          <w:szCs w:val="20"/>
          <w:lang w:val="sl-SI"/>
        </w:rPr>
        <w:t>trokovnem posvetu v Ljubljani</w:t>
      </w:r>
      <w:r w:rsidRPr="00D31B7E" w:rsidDel="00F742F2">
        <w:rPr>
          <w:rFonts w:cs="Arial"/>
          <w:szCs w:val="20"/>
          <w:lang w:val="sl-SI"/>
        </w:rPr>
        <w:t xml:space="preserve"> </w:t>
      </w:r>
      <w:r w:rsidRPr="00627CB9">
        <w:rPr>
          <w:i/>
          <w:lang w:val="sl-SI"/>
        </w:rPr>
        <w:t xml:space="preserve">Kibernetska varnost v elektroenergetiki </w:t>
      </w:r>
      <w:r>
        <w:rPr>
          <w:rFonts w:cs="Arial"/>
          <w:i/>
          <w:iCs/>
          <w:szCs w:val="20"/>
          <w:lang w:val="sl-SI"/>
        </w:rPr>
        <w:t>‒</w:t>
      </w:r>
      <w:r w:rsidRPr="00627CB9">
        <w:rPr>
          <w:i/>
          <w:lang w:val="sl-SI"/>
        </w:rPr>
        <w:t xml:space="preserve"> izzivi sodobnega časa</w:t>
      </w:r>
      <w:r w:rsidRPr="00D31B7E">
        <w:rPr>
          <w:rFonts w:cs="Arial"/>
          <w:szCs w:val="20"/>
          <w:lang w:val="sl-SI"/>
        </w:rPr>
        <w:t>.</w:t>
      </w:r>
    </w:p>
    <w:p w14:paraId="173E9ED9" w14:textId="77777777" w:rsidR="000A51A5" w:rsidRDefault="000A51A5" w:rsidP="000A51A5">
      <w:pPr>
        <w:spacing w:line="276" w:lineRule="auto"/>
        <w:jc w:val="both"/>
        <w:rPr>
          <w:rFonts w:cs="Arial"/>
          <w:iCs/>
          <w:szCs w:val="20"/>
          <w:lang w:val="sl-SI" w:eastAsia="sl-SI"/>
        </w:rPr>
      </w:pPr>
    </w:p>
    <w:p w14:paraId="5A4D71C6" w14:textId="77777777" w:rsidR="007B4338" w:rsidRDefault="007B4338" w:rsidP="000A51A5">
      <w:pPr>
        <w:spacing w:line="276" w:lineRule="auto"/>
        <w:jc w:val="both"/>
        <w:rPr>
          <w:rFonts w:cs="Arial"/>
          <w:iCs/>
          <w:szCs w:val="20"/>
          <w:lang w:val="sl-SI" w:eastAsia="sl-SI"/>
        </w:rPr>
      </w:pPr>
    </w:p>
    <w:p w14:paraId="5860B8AE" w14:textId="77777777" w:rsidR="000A51A5" w:rsidRPr="0038250F" w:rsidRDefault="000A51A5" w:rsidP="000A51A5">
      <w:pPr>
        <w:spacing w:line="276" w:lineRule="auto"/>
        <w:rPr>
          <w:rFonts w:cs="Arial"/>
          <w:b/>
          <w:szCs w:val="20"/>
          <w:lang w:val="sl-SI"/>
        </w:rPr>
      </w:pPr>
      <w:r w:rsidRPr="0038250F">
        <w:rPr>
          <w:rFonts w:cs="Arial"/>
          <w:b/>
          <w:szCs w:val="20"/>
          <w:lang w:val="sl-SI"/>
        </w:rPr>
        <w:t>8. PODATEK O ZUNANJEM STROKOVNJAKU OZIROMA PRAVNI OSEBI, KI JE SODELOVALA PRI PRIPRAVI PREDLOGA ZAKONA, IN ZNESKU PLAČILA ZA TA NAMEN</w:t>
      </w:r>
    </w:p>
    <w:p w14:paraId="1199E0DA" w14:textId="77777777" w:rsidR="000A51A5" w:rsidRPr="0038250F" w:rsidRDefault="000A51A5" w:rsidP="000A51A5">
      <w:pPr>
        <w:spacing w:line="276" w:lineRule="auto"/>
        <w:rPr>
          <w:rFonts w:cs="Arial"/>
          <w:szCs w:val="20"/>
          <w:lang w:val="sl-SI"/>
        </w:rPr>
      </w:pPr>
    </w:p>
    <w:p w14:paraId="5753C56A" w14:textId="77777777" w:rsidR="000A51A5" w:rsidRPr="0038250F" w:rsidRDefault="000A51A5" w:rsidP="000A51A5">
      <w:pPr>
        <w:spacing w:line="276" w:lineRule="auto"/>
        <w:rPr>
          <w:rFonts w:cs="Arial"/>
          <w:szCs w:val="20"/>
          <w:lang w:val="sl-SI"/>
        </w:rPr>
      </w:pPr>
      <w:r w:rsidRPr="0038250F">
        <w:rPr>
          <w:rFonts w:cs="Arial"/>
          <w:szCs w:val="20"/>
          <w:lang w:val="sl-SI"/>
        </w:rPr>
        <w:t>Pri pripravi zakona niso sodelovali zunanji strokovnjaki ali pravne osebe.</w:t>
      </w:r>
    </w:p>
    <w:p w14:paraId="43C95284" w14:textId="77777777" w:rsidR="000A51A5" w:rsidRDefault="000A51A5" w:rsidP="000A51A5">
      <w:pPr>
        <w:spacing w:line="276" w:lineRule="auto"/>
        <w:rPr>
          <w:rFonts w:cs="Arial"/>
          <w:b/>
          <w:szCs w:val="20"/>
          <w:lang w:val="sl-SI"/>
        </w:rPr>
      </w:pPr>
    </w:p>
    <w:p w14:paraId="2D5E6CAD" w14:textId="77777777" w:rsidR="007B4338" w:rsidRPr="0038250F" w:rsidRDefault="007B4338" w:rsidP="000A51A5">
      <w:pPr>
        <w:spacing w:line="276" w:lineRule="auto"/>
        <w:rPr>
          <w:rFonts w:cs="Arial"/>
          <w:b/>
          <w:szCs w:val="20"/>
          <w:lang w:val="sl-SI"/>
        </w:rPr>
      </w:pPr>
    </w:p>
    <w:p w14:paraId="1D6F7815"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b/>
          <w:szCs w:val="20"/>
          <w:lang w:val="sl-SI"/>
        </w:rPr>
      </w:pPr>
      <w:r w:rsidRPr="0038250F">
        <w:rPr>
          <w:rFonts w:cs="Arial"/>
          <w:b/>
          <w:szCs w:val="20"/>
          <w:lang w:val="sl-SI"/>
        </w:rPr>
        <w:t>9. NAVEDBA, KATERI PREDSTAVNIKI PREDLAGATELJA BODO SODELOVALI PRI DELU DRŽAVNEGA ZBORA IN DELOVNIH TELES</w:t>
      </w:r>
    </w:p>
    <w:p w14:paraId="585E8735" w14:textId="77777777" w:rsidR="000A51A5" w:rsidRPr="0038250F" w:rsidRDefault="000A51A5" w:rsidP="000A51A5">
      <w:pPr>
        <w:suppressAutoHyphens/>
        <w:overflowPunct w:val="0"/>
        <w:autoSpaceDE w:val="0"/>
        <w:autoSpaceDN w:val="0"/>
        <w:adjustRightInd w:val="0"/>
        <w:spacing w:line="276" w:lineRule="auto"/>
        <w:jc w:val="both"/>
        <w:textAlignment w:val="baseline"/>
        <w:outlineLvl w:val="3"/>
        <w:rPr>
          <w:rFonts w:cs="Arial"/>
          <w:b/>
          <w:szCs w:val="20"/>
          <w:lang w:val="sl-SI"/>
        </w:rPr>
      </w:pPr>
    </w:p>
    <w:p w14:paraId="3D75E454" w14:textId="77777777" w:rsidR="000A51A5" w:rsidRPr="0038250F" w:rsidRDefault="000A51A5" w:rsidP="000A51A5">
      <w:pPr>
        <w:pStyle w:val="Odstavekseznama"/>
        <w:numPr>
          <w:ilvl w:val="0"/>
          <w:numId w:val="2"/>
        </w:numPr>
        <w:overflowPunct w:val="0"/>
        <w:autoSpaceDE w:val="0"/>
        <w:autoSpaceDN w:val="0"/>
        <w:adjustRightInd w:val="0"/>
        <w:spacing w:line="276" w:lineRule="auto"/>
        <w:ind w:left="738" w:hanging="425"/>
        <w:jc w:val="both"/>
        <w:textAlignment w:val="baseline"/>
        <w:rPr>
          <w:rFonts w:cs="Arial"/>
          <w:szCs w:val="20"/>
          <w:lang w:val="sl-SI" w:eastAsia="sl-SI"/>
        </w:rPr>
      </w:pPr>
      <w:r w:rsidRPr="0038250F">
        <w:rPr>
          <w:rFonts w:cs="Arial"/>
          <w:szCs w:val="20"/>
          <w:lang w:val="sl-SI" w:eastAsia="sl-SI"/>
        </w:rPr>
        <w:t>dr. Uroš Svete, direktor URSIV</w:t>
      </w:r>
      <w:r>
        <w:rPr>
          <w:rFonts w:cs="Arial"/>
          <w:szCs w:val="20"/>
          <w:lang w:val="sl-SI" w:eastAsia="sl-SI"/>
        </w:rPr>
        <w:t>,</w:t>
      </w:r>
    </w:p>
    <w:p w14:paraId="6EC54FD1" w14:textId="77777777" w:rsidR="000A51A5" w:rsidRPr="0038250F" w:rsidRDefault="000A51A5" w:rsidP="000A51A5">
      <w:pPr>
        <w:pStyle w:val="Odstavekseznama"/>
        <w:numPr>
          <w:ilvl w:val="0"/>
          <w:numId w:val="2"/>
        </w:numPr>
        <w:overflowPunct w:val="0"/>
        <w:autoSpaceDE w:val="0"/>
        <w:autoSpaceDN w:val="0"/>
        <w:adjustRightInd w:val="0"/>
        <w:spacing w:line="276" w:lineRule="auto"/>
        <w:ind w:left="738" w:hanging="425"/>
        <w:jc w:val="both"/>
        <w:textAlignment w:val="baseline"/>
        <w:rPr>
          <w:rFonts w:cs="Arial"/>
          <w:szCs w:val="20"/>
          <w:lang w:val="sl-SI" w:eastAsia="sl-SI"/>
        </w:rPr>
      </w:pPr>
      <w:r w:rsidRPr="0038250F">
        <w:rPr>
          <w:rFonts w:cs="Arial"/>
          <w:szCs w:val="20"/>
          <w:lang w:val="sl-SI" w:eastAsia="sl-SI"/>
        </w:rPr>
        <w:t>Kory Golob, pomočnik direktorja URSIV</w:t>
      </w:r>
      <w:r>
        <w:rPr>
          <w:rFonts w:cs="Arial"/>
          <w:szCs w:val="20"/>
          <w:lang w:val="sl-SI" w:eastAsia="sl-SI"/>
        </w:rPr>
        <w:t>,</w:t>
      </w:r>
    </w:p>
    <w:p w14:paraId="2293F4F2" w14:textId="77777777" w:rsidR="000A51A5" w:rsidRDefault="000A51A5" w:rsidP="000A51A5">
      <w:pPr>
        <w:pStyle w:val="Odstavekseznama"/>
        <w:numPr>
          <w:ilvl w:val="0"/>
          <w:numId w:val="2"/>
        </w:numPr>
        <w:overflowPunct w:val="0"/>
        <w:autoSpaceDE w:val="0"/>
        <w:autoSpaceDN w:val="0"/>
        <w:adjustRightInd w:val="0"/>
        <w:spacing w:line="276" w:lineRule="auto"/>
        <w:ind w:left="738" w:hanging="425"/>
        <w:jc w:val="both"/>
        <w:textAlignment w:val="baseline"/>
        <w:rPr>
          <w:rFonts w:cs="Arial"/>
          <w:szCs w:val="20"/>
          <w:lang w:val="sl-SI" w:eastAsia="sl-SI"/>
        </w:rPr>
      </w:pPr>
      <w:r>
        <w:rPr>
          <w:rFonts w:cs="Arial"/>
          <w:szCs w:val="20"/>
          <w:lang w:val="sl-SI" w:eastAsia="sl-SI"/>
        </w:rPr>
        <w:t>m</w:t>
      </w:r>
      <w:r w:rsidRPr="000F762B">
        <w:rPr>
          <w:rFonts w:cs="Arial"/>
          <w:szCs w:val="20"/>
          <w:lang w:val="sl-SI" w:eastAsia="sl-SI"/>
        </w:rPr>
        <w:t>ag. Melita Šinkovec, vodja Sektorja za informacijsko in kibernetsko varnost, URSIV</w:t>
      </w:r>
      <w:r>
        <w:rPr>
          <w:rFonts w:cs="Arial"/>
          <w:szCs w:val="20"/>
          <w:lang w:val="sl-SI" w:eastAsia="sl-SI"/>
        </w:rPr>
        <w:t>,</w:t>
      </w:r>
    </w:p>
    <w:p w14:paraId="2128B0AC" w14:textId="77777777" w:rsidR="000A51A5" w:rsidRPr="000F762B" w:rsidRDefault="000A51A5" w:rsidP="000A51A5">
      <w:pPr>
        <w:pStyle w:val="Odstavekseznama"/>
        <w:numPr>
          <w:ilvl w:val="0"/>
          <w:numId w:val="2"/>
        </w:numPr>
        <w:overflowPunct w:val="0"/>
        <w:autoSpaceDE w:val="0"/>
        <w:autoSpaceDN w:val="0"/>
        <w:adjustRightInd w:val="0"/>
        <w:spacing w:line="276" w:lineRule="auto"/>
        <w:ind w:left="738" w:hanging="425"/>
        <w:jc w:val="both"/>
        <w:textAlignment w:val="baseline"/>
        <w:rPr>
          <w:rFonts w:cs="Arial"/>
          <w:szCs w:val="20"/>
          <w:lang w:val="sl-SI" w:eastAsia="sl-SI"/>
        </w:rPr>
      </w:pPr>
      <w:r w:rsidRPr="000F762B">
        <w:rPr>
          <w:rFonts w:cs="Arial"/>
          <w:szCs w:val="20"/>
          <w:lang w:val="sl-SI" w:eastAsia="sl-SI"/>
        </w:rPr>
        <w:t>Barbara Pernuš Grošelj, sekretarka, Sektor za informacijsko in kibernetsko varnost, URSIV.</w:t>
      </w:r>
    </w:p>
    <w:p w14:paraId="0AED9325" w14:textId="77777777" w:rsidR="009954BB" w:rsidRPr="00C50F53" w:rsidRDefault="009954BB" w:rsidP="009954BB">
      <w:pPr>
        <w:spacing w:line="276" w:lineRule="auto"/>
        <w:rPr>
          <w:rFonts w:cs="Arial"/>
          <w:lang w:val="sl-SI"/>
        </w:rPr>
      </w:pPr>
    </w:p>
    <w:p w14:paraId="618341B9" w14:textId="77777777" w:rsidR="009954BB" w:rsidRPr="00C50F53" w:rsidRDefault="009954BB" w:rsidP="009954BB">
      <w:pPr>
        <w:spacing w:line="276" w:lineRule="auto"/>
        <w:rPr>
          <w:rFonts w:cs="Arial"/>
          <w:lang w:val="sl-SI"/>
        </w:rPr>
      </w:pPr>
    </w:p>
    <w:p w14:paraId="02D77062" w14:textId="77777777" w:rsidR="009954BB" w:rsidRPr="00C50F53" w:rsidRDefault="009954BB">
      <w:pPr>
        <w:spacing w:line="240" w:lineRule="auto"/>
        <w:rPr>
          <w:rFonts w:cs="Arial"/>
          <w:b/>
          <w:szCs w:val="20"/>
          <w:lang w:val="sl-SI" w:eastAsia="sl-SI"/>
        </w:rPr>
      </w:pPr>
      <w:r w:rsidRPr="00C50F53">
        <w:rPr>
          <w:rFonts w:cs="Arial"/>
          <w:b/>
          <w:szCs w:val="20"/>
          <w:lang w:val="sl-SI" w:eastAsia="sl-SI"/>
        </w:rPr>
        <w:br w:type="page"/>
      </w:r>
    </w:p>
    <w:p w14:paraId="3BC0DFAD" w14:textId="5E4A693F" w:rsidR="009954BB" w:rsidRPr="00C50F53"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lastRenderedPageBreak/>
        <w:t>II. BESEDILO ČLENOV</w:t>
      </w:r>
    </w:p>
    <w:p w14:paraId="2BC7FBD3" w14:textId="77777777" w:rsidR="00C50F53" w:rsidRPr="00C50F53" w:rsidRDefault="00C50F53">
      <w:pPr>
        <w:spacing w:line="240" w:lineRule="auto"/>
        <w:rPr>
          <w:rFonts w:cs="Arial"/>
          <w:b/>
          <w:szCs w:val="20"/>
          <w:lang w:val="sl-SI" w:eastAsia="sl-SI"/>
        </w:rPr>
      </w:pPr>
    </w:p>
    <w:p w14:paraId="680E3225" w14:textId="77777777" w:rsidR="00C50F53" w:rsidRPr="00C50F53" w:rsidRDefault="00C50F53" w:rsidP="00C50F53">
      <w:pPr>
        <w:pStyle w:val="Vrstapredpisa"/>
        <w:spacing w:before="0" w:line="260" w:lineRule="atLeast"/>
        <w:jc w:val="right"/>
        <w:rPr>
          <w:sz w:val="20"/>
          <w:szCs w:val="20"/>
        </w:rPr>
      </w:pPr>
      <w:r w:rsidRPr="00C50F53">
        <w:rPr>
          <w:sz w:val="20"/>
          <w:szCs w:val="20"/>
        </w:rPr>
        <w:t>EVA 2023-1544-0005</w:t>
      </w:r>
    </w:p>
    <w:p w14:paraId="03A697D4" w14:textId="77777777" w:rsidR="00C50F53" w:rsidRPr="00C50F53" w:rsidRDefault="00C50F53" w:rsidP="00C50F53">
      <w:pPr>
        <w:pStyle w:val="Vrstapredpisa"/>
        <w:spacing w:before="0" w:line="260" w:lineRule="atLeast"/>
        <w:jc w:val="right"/>
        <w:rPr>
          <w:sz w:val="20"/>
          <w:szCs w:val="20"/>
        </w:rPr>
      </w:pPr>
    </w:p>
    <w:p w14:paraId="291B4016" w14:textId="77777777" w:rsidR="00C50F53" w:rsidRPr="004752FD" w:rsidRDefault="00C50F53" w:rsidP="004752FD">
      <w:pPr>
        <w:pStyle w:val="Vrstapredpisa"/>
        <w:spacing w:before="0" w:line="260" w:lineRule="atLeast"/>
        <w:jc w:val="right"/>
        <w:rPr>
          <w:sz w:val="20"/>
          <w:szCs w:val="20"/>
        </w:rPr>
      </w:pPr>
    </w:p>
    <w:p w14:paraId="14129171" w14:textId="77777777" w:rsidR="00C50F53" w:rsidRPr="004752FD" w:rsidRDefault="00C50F53" w:rsidP="004752FD">
      <w:pPr>
        <w:pStyle w:val="Vrstapredpisa"/>
        <w:spacing w:before="0" w:line="260" w:lineRule="atLeast"/>
        <w:rPr>
          <w:sz w:val="20"/>
          <w:szCs w:val="20"/>
        </w:rPr>
      </w:pPr>
    </w:p>
    <w:p w14:paraId="276245F0" w14:textId="77777777" w:rsidR="00C50F53" w:rsidRPr="004752FD" w:rsidRDefault="00C50F53" w:rsidP="004752FD">
      <w:pPr>
        <w:pStyle w:val="Vrstapredpisa"/>
        <w:spacing w:before="0" w:line="260" w:lineRule="atLeast"/>
        <w:rPr>
          <w:sz w:val="20"/>
          <w:szCs w:val="20"/>
        </w:rPr>
      </w:pPr>
    </w:p>
    <w:p w14:paraId="0021D046" w14:textId="77777777" w:rsidR="00C50F53" w:rsidRPr="004752FD" w:rsidRDefault="00C50F53" w:rsidP="004752FD">
      <w:pPr>
        <w:pStyle w:val="Vrstapredpisa"/>
        <w:spacing w:before="0" w:line="260" w:lineRule="atLeast"/>
        <w:rPr>
          <w:sz w:val="20"/>
          <w:szCs w:val="20"/>
        </w:rPr>
      </w:pPr>
      <w:r w:rsidRPr="004752FD">
        <w:rPr>
          <w:sz w:val="20"/>
          <w:szCs w:val="20"/>
        </w:rPr>
        <w:t>ZAKON</w:t>
      </w:r>
    </w:p>
    <w:p w14:paraId="2C3FB6DE" w14:textId="77777777" w:rsidR="00C50F53" w:rsidRPr="004752FD" w:rsidRDefault="00C50F53" w:rsidP="004752FD">
      <w:pPr>
        <w:pStyle w:val="Naslovpredpisa"/>
        <w:spacing w:before="0" w:after="0" w:line="260" w:lineRule="atLeast"/>
        <w:rPr>
          <w:rFonts w:cs="Arial"/>
          <w:sz w:val="20"/>
          <w:szCs w:val="20"/>
        </w:rPr>
      </w:pPr>
      <w:r w:rsidRPr="004752FD">
        <w:rPr>
          <w:rFonts w:cs="Arial"/>
          <w:sz w:val="20"/>
          <w:szCs w:val="20"/>
        </w:rPr>
        <w:t>O INFORMACIJSKI VARNOSTI</w:t>
      </w:r>
    </w:p>
    <w:p w14:paraId="23572749" w14:textId="77777777" w:rsidR="00C50F53" w:rsidRPr="004752FD" w:rsidRDefault="00C50F53" w:rsidP="004752FD">
      <w:pPr>
        <w:pStyle w:val="NPB"/>
        <w:spacing w:before="0" w:line="260" w:lineRule="atLeast"/>
        <w:rPr>
          <w:sz w:val="20"/>
          <w:szCs w:val="20"/>
        </w:rPr>
      </w:pPr>
    </w:p>
    <w:p w14:paraId="618AEC11" w14:textId="77777777" w:rsidR="00C50F53" w:rsidRPr="004752FD" w:rsidRDefault="00C50F53" w:rsidP="004752FD">
      <w:pPr>
        <w:pStyle w:val="NPB"/>
        <w:spacing w:before="0" w:line="260" w:lineRule="atLeast"/>
        <w:rPr>
          <w:sz w:val="20"/>
          <w:szCs w:val="20"/>
        </w:rPr>
      </w:pPr>
    </w:p>
    <w:p w14:paraId="298F2C22" w14:textId="77777777" w:rsidR="00C50F53" w:rsidRPr="004752FD" w:rsidRDefault="00C50F53" w:rsidP="00E20E87">
      <w:pPr>
        <w:pStyle w:val="NPB"/>
        <w:numPr>
          <w:ilvl w:val="0"/>
          <w:numId w:val="64"/>
        </w:numPr>
        <w:spacing w:before="0" w:line="260" w:lineRule="atLeast"/>
        <w:rPr>
          <w:sz w:val="20"/>
          <w:szCs w:val="20"/>
        </w:rPr>
      </w:pPr>
      <w:bookmarkStart w:id="34" w:name="_Hlk148371628"/>
      <w:r w:rsidRPr="004752FD">
        <w:rPr>
          <w:sz w:val="20"/>
          <w:szCs w:val="20"/>
        </w:rPr>
        <w:t>Splošne določbe</w:t>
      </w:r>
    </w:p>
    <w:bookmarkEnd w:id="34"/>
    <w:p w14:paraId="749CD3AA" w14:textId="77777777" w:rsidR="00C50F53" w:rsidRPr="004752FD" w:rsidRDefault="00C50F53" w:rsidP="004752FD">
      <w:pPr>
        <w:pStyle w:val="Poglavje"/>
        <w:spacing w:before="0" w:after="0" w:line="260" w:lineRule="atLeast"/>
        <w:jc w:val="both"/>
        <w:rPr>
          <w:sz w:val="20"/>
          <w:szCs w:val="20"/>
        </w:rPr>
      </w:pPr>
    </w:p>
    <w:p w14:paraId="3F710D41" w14:textId="77777777" w:rsidR="00C50F53" w:rsidRPr="004752FD" w:rsidRDefault="00C50F53" w:rsidP="004752FD">
      <w:pPr>
        <w:pStyle w:val="Poglavje"/>
        <w:spacing w:before="0" w:after="0" w:line="260" w:lineRule="atLeast"/>
        <w:jc w:val="both"/>
        <w:rPr>
          <w:sz w:val="20"/>
          <w:szCs w:val="20"/>
        </w:rPr>
      </w:pPr>
    </w:p>
    <w:p w14:paraId="6F16510D"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63042C7" w14:textId="77777777" w:rsidR="00C50F53" w:rsidRPr="004752FD" w:rsidRDefault="00C50F53" w:rsidP="004752FD">
      <w:pPr>
        <w:pStyle w:val="lennaslov0"/>
        <w:spacing w:line="260" w:lineRule="atLeast"/>
        <w:rPr>
          <w:rFonts w:cs="Arial"/>
          <w:sz w:val="20"/>
          <w:szCs w:val="20"/>
        </w:rPr>
      </w:pPr>
      <w:r w:rsidRPr="004752FD">
        <w:rPr>
          <w:rFonts w:cs="Arial"/>
          <w:sz w:val="20"/>
          <w:szCs w:val="20"/>
        </w:rPr>
        <w:t>(vsebina zakona)</w:t>
      </w:r>
    </w:p>
    <w:p w14:paraId="447EAB3A" w14:textId="77777777" w:rsidR="00C50F53" w:rsidRPr="004752FD" w:rsidRDefault="00C50F53" w:rsidP="004752FD">
      <w:pPr>
        <w:pStyle w:val="lennaslov0"/>
        <w:spacing w:line="260" w:lineRule="atLeast"/>
        <w:rPr>
          <w:rFonts w:cs="Arial"/>
          <w:b w:val="0"/>
          <w:bCs/>
          <w:sz w:val="20"/>
          <w:szCs w:val="20"/>
        </w:rPr>
      </w:pPr>
    </w:p>
    <w:p w14:paraId="4A7BAF3B" w14:textId="77777777" w:rsidR="00C50F53" w:rsidRPr="004752FD" w:rsidRDefault="00C50F53" w:rsidP="004752FD">
      <w:pPr>
        <w:pStyle w:val="lennaslov0"/>
        <w:spacing w:line="260" w:lineRule="atLeast"/>
        <w:jc w:val="both"/>
        <w:rPr>
          <w:rFonts w:cs="Arial"/>
          <w:b w:val="0"/>
          <w:bCs/>
          <w:sz w:val="20"/>
          <w:szCs w:val="20"/>
        </w:rPr>
      </w:pPr>
      <w:r w:rsidRPr="004752FD">
        <w:rPr>
          <w:rFonts w:cs="Arial"/>
          <w:b w:val="0"/>
          <w:bCs/>
          <w:sz w:val="20"/>
          <w:szCs w:val="20"/>
        </w:rPr>
        <w:t>(1) Ta zakon ureja področje informacijske in kibernetske varnosti ter določa nacionalni sistem informacijske varnosti v Republiki Sloveniji. Pri tem ureja pristojnosti, naloge, organizacijo in delovanje pristojnega nacionalnega organa za informacijsko varnost (v nadaljnjem besedilu: pristojni nacionalni organ), organa za obvladovanje incidentov velikih razsežnosti in kriz, enotne kontaktne točke za kibernetsko varnost (v nadaljnjem besedilu: enotna kontaktna točka) in skupin za odzivanje na incidente na področju računalniške varnosti (v nadaljnjem besedilu: skupine CSIRT), ureja sprejetje Strategije kibernetske varnosti Republike Slovenije, kibernetsko obrambo ter sodelovanje pristojnih državnih organov in skupin CSIRT.</w:t>
      </w:r>
    </w:p>
    <w:p w14:paraId="05FE3823" w14:textId="77777777" w:rsidR="00C50F53" w:rsidRPr="004752FD" w:rsidRDefault="00C50F53" w:rsidP="004752FD">
      <w:pPr>
        <w:pStyle w:val="lennaslov0"/>
        <w:spacing w:line="260" w:lineRule="atLeast"/>
        <w:jc w:val="both"/>
        <w:rPr>
          <w:rFonts w:cs="Arial"/>
          <w:b w:val="0"/>
          <w:bCs/>
          <w:sz w:val="20"/>
          <w:szCs w:val="20"/>
        </w:rPr>
      </w:pPr>
    </w:p>
    <w:p w14:paraId="04BC580E" w14:textId="77777777" w:rsidR="00C50F53" w:rsidRPr="004752FD" w:rsidRDefault="00C50F53" w:rsidP="004752FD">
      <w:pPr>
        <w:pStyle w:val="lennaslov0"/>
        <w:spacing w:line="260" w:lineRule="atLeast"/>
        <w:jc w:val="both"/>
        <w:rPr>
          <w:rFonts w:cs="Arial"/>
          <w:b w:val="0"/>
          <w:bCs/>
          <w:sz w:val="20"/>
          <w:szCs w:val="20"/>
        </w:rPr>
      </w:pPr>
      <w:r w:rsidRPr="004752FD">
        <w:rPr>
          <w:rFonts w:cs="Arial"/>
          <w:b w:val="0"/>
          <w:bCs/>
          <w:sz w:val="20"/>
          <w:szCs w:val="20"/>
        </w:rPr>
        <w:t>(2) Za ohranitev ključnih družbenih in gospodarskih dejavnosti v Republiki Sloveniji ta zakon določa tudi ukrepe za obvladovanje tveganj za informacijsko in kibernetsko varnost ter obveznost poročanja zavezancev po tem zakonu</w:t>
      </w:r>
      <w:r w:rsidRPr="004752FD">
        <w:rPr>
          <w:rFonts w:cs="Arial"/>
          <w:sz w:val="20"/>
          <w:szCs w:val="20"/>
        </w:rPr>
        <w:t xml:space="preserve"> </w:t>
      </w:r>
      <w:r w:rsidRPr="004752FD">
        <w:rPr>
          <w:rFonts w:cs="Arial"/>
          <w:b w:val="0"/>
          <w:bCs/>
          <w:sz w:val="20"/>
          <w:szCs w:val="20"/>
        </w:rPr>
        <w:t>in prostovoljno priglasitev incidentov. Ureja tudi pravila in obveznosti glede izmenjave informacij o kibernetski varnosti ter nadzor,</w:t>
      </w:r>
      <w:r w:rsidRPr="004752FD">
        <w:rPr>
          <w:rFonts w:cs="Arial"/>
          <w:sz w:val="20"/>
          <w:szCs w:val="20"/>
        </w:rPr>
        <w:t xml:space="preserve"> </w:t>
      </w:r>
      <w:r w:rsidRPr="004752FD">
        <w:rPr>
          <w:rFonts w:cs="Arial"/>
          <w:b w:val="0"/>
          <w:bCs/>
          <w:sz w:val="20"/>
          <w:szCs w:val="20"/>
        </w:rPr>
        <w:t>vključno za certificiranje za kibernetsko varnost.</w:t>
      </w:r>
    </w:p>
    <w:p w14:paraId="488AD38C" w14:textId="77777777" w:rsidR="00C50F53" w:rsidRPr="004752FD" w:rsidRDefault="00C50F53" w:rsidP="004752FD">
      <w:pPr>
        <w:pStyle w:val="lennaslov0"/>
        <w:spacing w:line="260" w:lineRule="atLeast"/>
        <w:jc w:val="both"/>
        <w:rPr>
          <w:rFonts w:cs="Arial"/>
          <w:b w:val="0"/>
          <w:bCs/>
          <w:sz w:val="20"/>
          <w:szCs w:val="20"/>
        </w:rPr>
      </w:pPr>
    </w:p>
    <w:p w14:paraId="10E2801F" w14:textId="77777777" w:rsidR="00C50F53" w:rsidRPr="004752FD" w:rsidRDefault="00C50F53" w:rsidP="004752FD">
      <w:pPr>
        <w:pStyle w:val="lennaslov0"/>
        <w:spacing w:line="260" w:lineRule="atLeast"/>
        <w:jc w:val="both"/>
        <w:rPr>
          <w:rFonts w:cs="Arial"/>
          <w:b w:val="0"/>
          <w:bCs/>
          <w:sz w:val="20"/>
          <w:szCs w:val="20"/>
        </w:rPr>
      </w:pPr>
    </w:p>
    <w:p w14:paraId="5C59EC11"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00C23AF8" w14:textId="77777777" w:rsidR="00C50F53" w:rsidRPr="004752FD" w:rsidRDefault="00C50F53" w:rsidP="004752FD">
      <w:pPr>
        <w:pStyle w:val="lennaslov0"/>
        <w:spacing w:line="260" w:lineRule="atLeast"/>
        <w:rPr>
          <w:rFonts w:cs="Arial"/>
          <w:sz w:val="20"/>
          <w:szCs w:val="20"/>
        </w:rPr>
      </w:pPr>
      <w:r w:rsidRPr="004752FD">
        <w:rPr>
          <w:rFonts w:cs="Arial"/>
          <w:sz w:val="20"/>
          <w:szCs w:val="20"/>
        </w:rPr>
        <w:t>(namen zakona)</w:t>
      </w:r>
    </w:p>
    <w:p w14:paraId="365CFA0F" w14:textId="77777777" w:rsidR="00C50F53" w:rsidRPr="004752FD" w:rsidRDefault="00C50F53" w:rsidP="004752FD">
      <w:pPr>
        <w:pStyle w:val="lennaslov0"/>
        <w:spacing w:line="260" w:lineRule="atLeast"/>
        <w:rPr>
          <w:rFonts w:cs="Arial"/>
          <w:b w:val="0"/>
          <w:bCs/>
          <w:sz w:val="20"/>
          <w:szCs w:val="20"/>
        </w:rPr>
      </w:pPr>
    </w:p>
    <w:p w14:paraId="27F1F39C" w14:textId="77777777" w:rsidR="00C50F53" w:rsidRPr="004752FD" w:rsidRDefault="00C50F53" w:rsidP="004752FD">
      <w:pPr>
        <w:pStyle w:val="Odstavek"/>
        <w:spacing w:after="0" w:line="260" w:lineRule="atLeast"/>
        <w:rPr>
          <w:strike/>
        </w:rPr>
      </w:pPr>
      <w:r w:rsidRPr="004752FD">
        <w:t xml:space="preserve">(1) Namena zakona sta sistemska ureditev področja informacijske in kibernetske varnosti in zagotovitev visoke ravni kibernetske varnosti, </w:t>
      </w:r>
      <w:bookmarkStart w:id="35" w:name="_Hlk164620630"/>
      <w:r w:rsidRPr="004752FD">
        <w:t xml:space="preserve">vključno s krepitvijo zaupanja v proizvode informacijsko-komunikacijske tehnologije (v nadaljnjem besedilu: IKT), storitve IKT in postopke IKT ter krepitvijo njihove varnosti </w:t>
      </w:r>
      <w:bookmarkEnd w:id="35"/>
      <w:r w:rsidRPr="004752FD">
        <w:t>v Republiki Sloveniji na področjih, ki so poglavitna za nemoteno delovanje države ter ohranitev zagotavljanja ključnih družbenih in gospodarskih dejavnosti.</w:t>
      </w:r>
    </w:p>
    <w:p w14:paraId="081B64AB" w14:textId="77777777" w:rsidR="00C50F53" w:rsidRPr="004752FD" w:rsidRDefault="00C50F53" w:rsidP="004752FD">
      <w:pPr>
        <w:pStyle w:val="Odstavek"/>
        <w:spacing w:after="0" w:line="260" w:lineRule="atLeast"/>
        <w:rPr>
          <w:strike/>
        </w:rPr>
      </w:pPr>
    </w:p>
    <w:p w14:paraId="1DF1A20E" w14:textId="77777777" w:rsidR="00C50F53" w:rsidRPr="004752FD" w:rsidRDefault="00C50F53" w:rsidP="004752FD">
      <w:pPr>
        <w:pStyle w:val="Odstavek"/>
        <w:spacing w:after="0" w:line="260" w:lineRule="atLeast"/>
      </w:pPr>
      <w:bookmarkStart w:id="36" w:name="_Hlk194484430"/>
      <w:r w:rsidRPr="004752FD">
        <w:t xml:space="preserve">(2) S tem zakonom se v pravni red Republike Slovenije prenaša </w:t>
      </w:r>
      <w:bookmarkStart w:id="37" w:name="_Hlk162638695"/>
      <w:r w:rsidRPr="004752FD">
        <w:t>Direktiva 2022/2555/EU Evropskega parlamenta in Sveta z dne 14. decembra 2022 o ukrepih za visoko skupno raven kibernetske varnosti v Uniji, spremembi Uredbe (EU) št. 910/2014 in Direktive (EU) 2018/1972 ter razveljavitvi Direktive (EU) 2016/1148 (direktiva NIS 2) (UL L št. 333 z dne 27. 12. 2022, str. 80), zadnjič popravljeno s Popravkom (UL L št. 90348 z dne 12. 6. 2024, str. 139), (v nadaljnjem besedilu: Direktiva 2022/2555/EU).</w:t>
      </w:r>
      <w:bookmarkEnd w:id="37"/>
    </w:p>
    <w:bookmarkEnd w:id="36"/>
    <w:p w14:paraId="59E2B3D3" w14:textId="77777777" w:rsidR="00C50F53" w:rsidRPr="004752FD" w:rsidRDefault="00C50F53" w:rsidP="004752FD">
      <w:pPr>
        <w:pStyle w:val="Odstavek"/>
        <w:spacing w:after="0" w:line="260" w:lineRule="atLeast"/>
      </w:pPr>
    </w:p>
    <w:p w14:paraId="69197D17" w14:textId="77777777" w:rsidR="00C50F53" w:rsidRPr="004752FD" w:rsidRDefault="00C50F53" w:rsidP="004752FD">
      <w:pPr>
        <w:pStyle w:val="Odstavek"/>
        <w:spacing w:after="0" w:line="260" w:lineRule="atLeast"/>
      </w:pPr>
      <w:bookmarkStart w:id="38" w:name="_Hlk168491880"/>
      <w:r w:rsidRPr="004752FD">
        <w:t xml:space="preserve">(3) S tem </w:t>
      </w:r>
      <w:bookmarkStart w:id="39" w:name="_Hlk164621064"/>
      <w:r w:rsidRPr="004752FD">
        <w:t xml:space="preserve">zakonom se ureja izvajanje Uredbe (EU) 2019/881 Evropskega parlamenta in Sveta z dne 17. aprila 2019 o Agenciji Evropske unije za kibernetsko varnost (ENISA) in o certificiranju informacijske in komunikacijske tehnologije na področju kibernetske varnosti ter razveljavitvi Uredbe (EU) št. 526/2013 (Akt o kibernetski varnosti) (UL L št. 151 z dne 7. 6. 2019, str. 15), </w:t>
      </w:r>
      <w:r w:rsidRPr="004752FD">
        <w:lastRenderedPageBreak/>
        <w:t xml:space="preserve">zadnjič spremenjeno z Uredbo (EU) 2025/37 Evropskega parlamenta in Sveta z dne 19. decembra 2024 o spremembi Uredbe (EU) 2019/881 glede upravljanih varnostnih storitev (UL L št. 2025/37 z dne 15. 1. 2025), </w:t>
      </w:r>
      <w:bookmarkStart w:id="40" w:name="_Hlk178240700"/>
      <w:r w:rsidRPr="004752FD">
        <w:t>(v nadaljnjem besedilu: Uredba 2019/881/EU).</w:t>
      </w:r>
      <w:bookmarkEnd w:id="40"/>
    </w:p>
    <w:bookmarkEnd w:id="38"/>
    <w:bookmarkEnd w:id="39"/>
    <w:p w14:paraId="11E0DA96" w14:textId="77777777" w:rsidR="00C50F53" w:rsidRPr="004752FD" w:rsidRDefault="00C50F53" w:rsidP="004752FD">
      <w:pPr>
        <w:pStyle w:val="lennaslov0"/>
        <w:spacing w:line="260" w:lineRule="atLeast"/>
        <w:jc w:val="both"/>
        <w:rPr>
          <w:rFonts w:cs="Arial"/>
          <w:bCs/>
          <w:sz w:val="20"/>
          <w:szCs w:val="20"/>
        </w:rPr>
      </w:pPr>
    </w:p>
    <w:p w14:paraId="7A2E704D" w14:textId="77777777" w:rsidR="00C50F53" w:rsidRPr="004752FD" w:rsidRDefault="00C50F53" w:rsidP="004752FD">
      <w:pPr>
        <w:pStyle w:val="lennaslov0"/>
        <w:spacing w:line="260" w:lineRule="atLeast"/>
        <w:jc w:val="both"/>
        <w:rPr>
          <w:rFonts w:cs="Arial"/>
          <w:bCs/>
          <w:sz w:val="20"/>
          <w:szCs w:val="20"/>
        </w:rPr>
      </w:pPr>
    </w:p>
    <w:p w14:paraId="62972292"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B162AC1" w14:textId="77777777" w:rsidR="00C50F53" w:rsidRPr="004752FD" w:rsidRDefault="00C50F53" w:rsidP="004752FD">
      <w:pPr>
        <w:pStyle w:val="lennaslov0"/>
        <w:spacing w:line="260" w:lineRule="atLeast"/>
        <w:rPr>
          <w:rFonts w:cs="Arial"/>
          <w:sz w:val="20"/>
          <w:szCs w:val="20"/>
        </w:rPr>
      </w:pPr>
      <w:r w:rsidRPr="004752FD">
        <w:rPr>
          <w:rFonts w:cs="Arial"/>
          <w:sz w:val="20"/>
          <w:szCs w:val="20"/>
        </w:rPr>
        <w:t>(izključitev uporabe zakona)</w:t>
      </w:r>
    </w:p>
    <w:p w14:paraId="7C7327A5" w14:textId="77777777" w:rsidR="00C50F53" w:rsidRPr="004752FD" w:rsidRDefault="00C50F53" w:rsidP="004752FD">
      <w:pPr>
        <w:pStyle w:val="Odstavek"/>
        <w:spacing w:after="0" w:line="276" w:lineRule="auto"/>
        <w:rPr>
          <w:strike/>
          <w:highlight w:val="yellow"/>
        </w:rPr>
      </w:pPr>
    </w:p>
    <w:p w14:paraId="68C4D69B" w14:textId="77777777" w:rsidR="00C50F53" w:rsidRPr="004752FD" w:rsidRDefault="00C50F53" w:rsidP="004752FD">
      <w:pPr>
        <w:pStyle w:val="Odstavek"/>
        <w:spacing w:after="0" w:line="276" w:lineRule="auto"/>
      </w:pPr>
      <w:r w:rsidRPr="004752FD">
        <w:t>(1) Za bistvene in pomembne subjekte v sektorjih bančništva in infrastrukture finančnega trga iz Priloge 1 tega zakona se IV. in IX. poglavje tega zakona ne uporabljata. Za navedene subjekte se za vsebine, ki jih urejata IV. in IX. poglavje tega zakona, uporablja Uredba (EU) 2022/2554 Evropskega parlamenta in Sveta z dne 14. decembra 2022 o digitalni operativni odpornosti za finančni sektor in spremembi uredb (ES) št. 1060/2009, (EU) št. 648/2012, (EU) št. 600/2014, (EU) št. 909/2014 in (EU) 2016/1011 (UL L št. 333 z dne 27. 12. 2022, str. 1), zadnjič spremenjena z Delegirano uredbo Komisije (EU) 2024/1774 z dne 13. marca 2024 o dopolnitvi Uredbe (EU) 2022/2554 Evropskega parlamenta in Sveta v zvezi z regulativnimi tehničnimi standardi, ki določajo orodja, metode, postopke in politike za obvladovanje tveganj na področju IKT ter poenostavljen okvir za obvladovanje tveganj na področju IKT (UL L št. 2024/1774 z dne 25. 6. 2024), (v nadaljnjem besedilu: Uredba 2022/2554/EU).</w:t>
      </w:r>
    </w:p>
    <w:p w14:paraId="6269E747" w14:textId="77777777" w:rsidR="00C50F53" w:rsidRPr="004752FD" w:rsidRDefault="00C50F53" w:rsidP="004752FD">
      <w:pPr>
        <w:pStyle w:val="Odstavek"/>
        <w:spacing w:after="0" w:line="276" w:lineRule="auto"/>
      </w:pPr>
    </w:p>
    <w:p w14:paraId="13DA6902" w14:textId="77777777" w:rsidR="00C50F53" w:rsidRPr="004752FD" w:rsidRDefault="00C50F53" w:rsidP="004752FD">
      <w:pPr>
        <w:pStyle w:val="Odstavek"/>
        <w:spacing w:after="0" w:line="276" w:lineRule="auto"/>
      </w:pPr>
      <w:r w:rsidRPr="004752FD">
        <w:t xml:space="preserve">(2) Ta zakon se ne uporablja za subjekte, ki jih Republika Slovenija izvzame s področja uporabe Uredbe 2022/2554/EU v skladu s četrtim odstavkom 2. člena navedene uredbe. </w:t>
      </w:r>
    </w:p>
    <w:p w14:paraId="3CFB3FE1" w14:textId="77777777" w:rsidR="00C50F53" w:rsidRPr="004752FD" w:rsidRDefault="00C50F53" w:rsidP="004752FD">
      <w:pPr>
        <w:pStyle w:val="Odstavek"/>
        <w:spacing w:after="0" w:line="276" w:lineRule="auto"/>
      </w:pPr>
    </w:p>
    <w:p w14:paraId="0DCE5F87" w14:textId="77777777" w:rsidR="00C50F53" w:rsidRPr="004752FD" w:rsidRDefault="00C50F53" w:rsidP="00A23D30">
      <w:pPr>
        <w:spacing w:line="276" w:lineRule="auto"/>
        <w:jc w:val="both"/>
        <w:rPr>
          <w:rFonts w:cs="Arial"/>
          <w:szCs w:val="20"/>
          <w:lang w:val="sl-SI"/>
        </w:rPr>
      </w:pPr>
      <w:r w:rsidRPr="004752FD">
        <w:rPr>
          <w:rFonts w:cs="Arial"/>
          <w:szCs w:val="20"/>
          <w:lang w:val="sl-SI"/>
        </w:rPr>
        <w:t>(3) Ta zakon se ne uporablja za tiste informacijsko-komunikacijske sisteme, v katerih se varujejo tajni podatki, za katere je nacionalni varnostni organ iz zakona, ki ureja tajne podatke, opravil varnostno vrednotenje in izdal varnostno dovoljenje za delovanje sistema v skladu z navedenim zakonom. Za te sisteme se uporabljajo predpisi s področja varovanja tajnih podatkov in pravila varovanja tajnih podatkov mednarodnih zvez ali organizacij, katerih članica je Republika Slovenije, ali mednarodni sporazumi s področja tajnih podatkov, ki jih je sklenila Republika Slovenija.</w:t>
      </w:r>
    </w:p>
    <w:p w14:paraId="413367C7" w14:textId="77777777" w:rsidR="00C50F53" w:rsidRPr="004752FD" w:rsidRDefault="00C50F53" w:rsidP="004752FD">
      <w:pPr>
        <w:pStyle w:val="Odstavek"/>
        <w:spacing w:after="0" w:line="276" w:lineRule="auto"/>
      </w:pPr>
    </w:p>
    <w:p w14:paraId="6C211DCC" w14:textId="77777777" w:rsidR="00C50F53" w:rsidRPr="004752FD" w:rsidRDefault="00C50F53" w:rsidP="004752FD">
      <w:pPr>
        <w:pStyle w:val="Odstavek"/>
        <w:spacing w:after="0" w:line="276" w:lineRule="auto"/>
      </w:pPr>
      <w:r w:rsidRPr="004752FD">
        <w:t>(4) Ne glede na prejšnji odstavek nacionalni varnostni organ iz zakona, ki ureja področje tajnih podatkov, priglaša incidente v informacijsko-komunikacijskih sistemih iz prejšnjega odstavka pristojnemu nacionalnemu organu po tem zakonu.</w:t>
      </w:r>
    </w:p>
    <w:p w14:paraId="4D811983" w14:textId="77777777" w:rsidR="00C50F53" w:rsidRPr="004752FD" w:rsidRDefault="00C50F53" w:rsidP="004752FD">
      <w:pPr>
        <w:pStyle w:val="Odstavek"/>
        <w:spacing w:after="0" w:line="276" w:lineRule="auto"/>
      </w:pPr>
    </w:p>
    <w:p w14:paraId="6CBCA0E9" w14:textId="77777777" w:rsidR="00C50F53" w:rsidRPr="004752FD" w:rsidRDefault="00C50F53" w:rsidP="004752FD">
      <w:pPr>
        <w:pStyle w:val="Odstavek"/>
        <w:spacing w:after="0" w:line="276" w:lineRule="auto"/>
      </w:pPr>
      <w:r w:rsidRPr="004752FD">
        <w:t>(5) Za avtonomni informacijski in telekomunikacijski sistem na področju obrambe, ki ni zajet v tretjem odstavku tega člena, se smiselno uporabljajo ukrepi za obvladovanje tveganj in priglasitve incidentov iz IV. poglavja tega zakona.</w:t>
      </w:r>
      <w:r w:rsidRPr="004752FD" w:rsidDel="00A852F4">
        <w:t xml:space="preserve"> </w:t>
      </w:r>
    </w:p>
    <w:p w14:paraId="1B76012F" w14:textId="77777777" w:rsidR="00C50F53" w:rsidRPr="004752FD" w:rsidRDefault="00C50F53" w:rsidP="004752FD">
      <w:pPr>
        <w:pStyle w:val="Odstavek"/>
        <w:spacing w:after="0" w:line="240" w:lineRule="auto"/>
      </w:pPr>
    </w:p>
    <w:p w14:paraId="19182957" w14:textId="77777777" w:rsidR="00C50F53" w:rsidRPr="004752FD" w:rsidRDefault="00C50F53" w:rsidP="004752FD">
      <w:pPr>
        <w:spacing w:line="240" w:lineRule="auto"/>
        <w:rPr>
          <w:rFonts w:cs="Arial"/>
          <w:szCs w:val="20"/>
          <w:lang w:val="sl-SI"/>
        </w:rPr>
      </w:pPr>
    </w:p>
    <w:p w14:paraId="4EF6AA19"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67E86376" w14:textId="77777777" w:rsidR="00C50F53" w:rsidRPr="004752FD" w:rsidRDefault="00C50F53" w:rsidP="004752FD">
      <w:pPr>
        <w:pStyle w:val="lennaslov0"/>
        <w:spacing w:line="260" w:lineRule="atLeast"/>
        <w:rPr>
          <w:rFonts w:cs="Arial"/>
          <w:sz w:val="20"/>
          <w:szCs w:val="20"/>
        </w:rPr>
      </w:pPr>
      <w:r w:rsidRPr="004752FD">
        <w:rPr>
          <w:rFonts w:cs="Arial"/>
          <w:sz w:val="20"/>
          <w:szCs w:val="20"/>
        </w:rPr>
        <w:t>(obdelava podatkov in informacij)</w:t>
      </w:r>
    </w:p>
    <w:p w14:paraId="593C92A9" w14:textId="77777777" w:rsidR="00C50F53" w:rsidRPr="004752FD" w:rsidRDefault="00C50F53" w:rsidP="004752FD">
      <w:pPr>
        <w:pStyle w:val="lennaslov0"/>
        <w:spacing w:line="260" w:lineRule="atLeast"/>
        <w:rPr>
          <w:rFonts w:cs="Arial"/>
          <w:sz w:val="20"/>
          <w:szCs w:val="20"/>
        </w:rPr>
      </w:pPr>
    </w:p>
    <w:p w14:paraId="03D353B6" w14:textId="77777777" w:rsidR="00C50F53" w:rsidRPr="004752FD" w:rsidRDefault="00C50F53" w:rsidP="004752FD">
      <w:pPr>
        <w:pStyle w:val="lennaslov0"/>
        <w:spacing w:line="260" w:lineRule="atLeast"/>
        <w:jc w:val="both"/>
        <w:rPr>
          <w:rFonts w:cs="Arial"/>
          <w:b w:val="0"/>
          <w:bCs/>
          <w:strike/>
          <w:sz w:val="20"/>
          <w:szCs w:val="20"/>
        </w:rPr>
      </w:pPr>
      <w:r w:rsidRPr="004752FD">
        <w:rPr>
          <w:rFonts w:cs="Arial"/>
          <w:b w:val="0"/>
          <w:bCs/>
          <w:sz w:val="20"/>
          <w:szCs w:val="20"/>
        </w:rPr>
        <w:t xml:space="preserve">(1) Obdelava osebnih podatkov na podlagi tega zakona se izvaja v skladu s predpisi, ki urejajo varstvo osebnih podatkov, ponudniki javnih elektronskih komunikacijskih omrežij ali javno dostopnih elektronskih komunikacijskih storitev pa obdelavo osebnih podatkov izvajajo tudi v skladu s predpisom, ki ureja zasebnost na področju elektronskih komunikacij. </w:t>
      </w:r>
    </w:p>
    <w:p w14:paraId="5D3F1953" w14:textId="77777777" w:rsidR="00C50F53" w:rsidRPr="004752FD" w:rsidRDefault="00C50F53" w:rsidP="004752FD">
      <w:pPr>
        <w:pStyle w:val="lennaslov0"/>
        <w:spacing w:line="260" w:lineRule="atLeast"/>
        <w:jc w:val="both"/>
        <w:rPr>
          <w:rFonts w:cs="Arial"/>
          <w:b w:val="0"/>
          <w:bCs/>
          <w:strike/>
          <w:sz w:val="20"/>
          <w:szCs w:val="20"/>
        </w:rPr>
      </w:pPr>
    </w:p>
    <w:p w14:paraId="58BB656F" w14:textId="77777777" w:rsidR="00C50F53" w:rsidRPr="004752FD" w:rsidRDefault="00C50F53" w:rsidP="004752FD">
      <w:pPr>
        <w:pStyle w:val="lennaslov0"/>
        <w:spacing w:line="260" w:lineRule="atLeast"/>
        <w:jc w:val="both"/>
        <w:rPr>
          <w:rFonts w:cs="Arial"/>
          <w:b w:val="0"/>
          <w:bCs/>
          <w:strike/>
          <w:sz w:val="20"/>
          <w:szCs w:val="20"/>
        </w:rPr>
      </w:pPr>
      <w:r w:rsidRPr="004752FD">
        <w:rPr>
          <w:rFonts w:cs="Arial"/>
          <w:b w:val="0"/>
          <w:bCs/>
          <w:sz w:val="20"/>
          <w:szCs w:val="20"/>
        </w:rPr>
        <w:t xml:space="preserve">(2) Podatki in informacije, ki se obdelujejo na podlagi tega zakona in so opredeljeni kot tajni, poslovna skrivnost ali varovani podatki, se obravnavajo v skladu s področnimi predpisi, ki urejajo njihovo obravnavo in varovanje. </w:t>
      </w:r>
    </w:p>
    <w:p w14:paraId="282F3CD3" w14:textId="77777777" w:rsidR="00C50F53" w:rsidRPr="004752FD" w:rsidRDefault="00C50F53" w:rsidP="004752FD">
      <w:pPr>
        <w:pStyle w:val="lennaslov0"/>
        <w:spacing w:line="260" w:lineRule="atLeast"/>
        <w:jc w:val="both"/>
        <w:rPr>
          <w:rFonts w:cs="Arial"/>
          <w:b w:val="0"/>
          <w:bCs/>
          <w:sz w:val="20"/>
          <w:szCs w:val="20"/>
        </w:rPr>
      </w:pPr>
    </w:p>
    <w:p w14:paraId="373D3AE7" w14:textId="77777777" w:rsidR="00C50F53" w:rsidRPr="004752FD" w:rsidRDefault="00C50F53" w:rsidP="004752FD">
      <w:pPr>
        <w:pStyle w:val="lennaslov0"/>
        <w:spacing w:line="260" w:lineRule="atLeast"/>
        <w:jc w:val="both"/>
        <w:rPr>
          <w:rFonts w:cs="Arial"/>
          <w:bCs/>
          <w:sz w:val="20"/>
          <w:szCs w:val="20"/>
        </w:rPr>
      </w:pPr>
      <w:bookmarkStart w:id="41" w:name="_Hlk135304491"/>
      <w:r w:rsidRPr="004752FD">
        <w:rPr>
          <w:rFonts w:cs="Arial"/>
          <w:b w:val="0"/>
          <w:sz w:val="20"/>
          <w:szCs w:val="20"/>
        </w:rPr>
        <w:lastRenderedPageBreak/>
        <w:t>(3) Izmenjava</w:t>
      </w:r>
      <w:r w:rsidRPr="004752FD">
        <w:rPr>
          <w:rFonts w:cs="Arial"/>
          <w:b w:val="0"/>
          <w:bCs/>
          <w:sz w:val="20"/>
          <w:szCs w:val="20"/>
        </w:rPr>
        <w:t xml:space="preserve"> podatkov in informacij, ki so opredeljeni kot varovani podatki pristojnega nacionalnega organa po tem zakonu, mora biti za potrebe izvajanja tega zakona omejena na obseg, ki je ustrezen in sorazmeren glede na namen takšne izmenjave, pri čemer se ohrani zaupnost zadevnih informacij in podatkov ter se zaščitita varnost in poslovni interes zadevnih subjektov. Podrobnejše organizacijske in logično-tehnične postopke ter ukrepe za določanje in varovanje varovanih podatkov pristojnega nacionalnega organa ter vodenje zbirk podatkov, katerih upravljavec je pristojni nacionalni organ, določi vlada. </w:t>
      </w:r>
    </w:p>
    <w:p w14:paraId="43097800" w14:textId="77777777" w:rsidR="00C50F53" w:rsidRPr="004752FD" w:rsidRDefault="00C50F53" w:rsidP="004752FD">
      <w:pPr>
        <w:pStyle w:val="lennaslov0"/>
        <w:spacing w:line="260" w:lineRule="atLeast"/>
        <w:jc w:val="both"/>
        <w:rPr>
          <w:rFonts w:cs="Arial"/>
          <w:bCs/>
          <w:sz w:val="20"/>
          <w:szCs w:val="20"/>
        </w:rPr>
      </w:pPr>
    </w:p>
    <w:p w14:paraId="5D4D67CC" w14:textId="77777777" w:rsidR="00C50F53" w:rsidRPr="004752FD" w:rsidRDefault="00C50F53" w:rsidP="004752FD">
      <w:pPr>
        <w:pStyle w:val="lennaslov0"/>
        <w:spacing w:line="260" w:lineRule="atLeast"/>
        <w:jc w:val="both"/>
        <w:rPr>
          <w:rFonts w:cs="Arial"/>
          <w:b w:val="0"/>
          <w:sz w:val="20"/>
          <w:szCs w:val="20"/>
        </w:rPr>
      </w:pPr>
      <w:r w:rsidRPr="004752FD">
        <w:rPr>
          <w:rFonts w:cs="Arial"/>
          <w:b w:val="0"/>
          <w:sz w:val="20"/>
          <w:szCs w:val="20"/>
        </w:rPr>
        <w:t>(4) Pri pošiljanju ali izmenjavi podatkov in informacij na podlagi tega zakona se upoštevajo tudi (neformalni) sporazumi o nerazkritju informacij, kot je semaforski protokol.</w:t>
      </w:r>
    </w:p>
    <w:p w14:paraId="7D93E81B" w14:textId="77777777" w:rsidR="00C50F53" w:rsidRPr="004752FD" w:rsidRDefault="00C50F53" w:rsidP="004752FD">
      <w:pPr>
        <w:pStyle w:val="lennaslov0"/>
        <w:spacing w:line="260" w:lineRule="atLeast"/>
        <w:jc w:val="both"/>
        <w:rPr>
          <w:rFonts w:cs="Arial"/>
          <w:b w:val="0"/>
          <w:sz w:val="20"/>
          <w:szCs w:val="20"/>
        </w:rPr>
      </w:pPr>
    </w:p>
    <w:p w14:paraId="2E3C3C56" w14:textId="77777777" w:rsidR="00C50F53" w:rsidRPr="004752FD" w:rsidRDefault="00C50F53" w:rsidP="004752FD">
      <w:pPr>
        <w:pStyle w:val="lennaslov0"/>
        <w:spacing w:line="260" w:lineRule="atLeast"/>
        <w:jc w:val="both"/>
        <w:rPr>
          <w:rFonts w:cs="Arial"/>
          <w:b w:val="0"/>
          <w:strike/>
          <w:sz w:val="20"/>
          <w:szCs w:val="20"/>
        </w:rPr>
      </w:pPr>
      <w:r w:rsidRPr="004752FD">
        <w:rPr>
          <w:rFonts w:cs="Arial"/>
          <w:b w:val="0"/>
          <w:sz w:val="20"/>
          <w:szCs w:val="20"/>
        </w:rPr>
        <w:t xml:space="preserve">(5) Obveznost izmenjave podatkov in informacij zunaj Republike Slovenije na podlagi tega zakona ne velja za subjekte javne uprave, ki izvajajo dejavnosti s področja nacionalne varnosti, pri čemer bi razkritje teh podatkov in informacij ogrozilo vitalne interese Republike Slovenije. </w:t>
      </w:r>
    </w:p>
    <w:p w14:paraId="57E371B4" w14:textId="77777777" w:rsidR="00C50F53" w:rsidRPr="004752FD" w:rsidRDefault="00C50F53" w:rsidP="004752FD">
      <w:pPr>
        <w:pStyle w:val="lennaslov0"/>
        <w:spacing w:line="260" w:lineRule="atLeast"/>
        <w:jc w:val="both"/>
        <w:rPr>
          <w:rFonts w:cs="Arial"/>
          <w:bCs/>
          <w:sz w:val="20"/>
          <w:szCs w:val="20"/>
        </w:rPr>
      </w:pPr>
    </w:p>
    <w:p w14:paraId="4B8DE4A6" w14:textId="77777777" w:rsidR="00C50F53" w:rsidRPr="004752FD" w:rsidRDefault="00C50F53" w:rsidP="004752FD">
      <w:pPr>
        <w:pStyle w:val="lennaslov0"/>
        <w:spacing w:line="260" w:lineRule="atLeast"/>
        <w:jc w:val="both"/>
        <w:rPr>
          <w:rFonts w:cs="Arial"/>
          <w:bCs/>
          <w:sz w:val="20"/>
          <w:szCs w:val="20"/>
        </w:rPr>
      </w:pPr>
    </w:p>
    <w:bookmarkEnd w:id="41"/>
    <w:p w14:paraId="1D89A17A"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40491BF" w14:textId="77777777" w:rsidR="00C50F53" w:rsidRPr="004752FD" w:rsidRDefault="00C50F53" w:rsidP="004752FD">
      <w:pPr>
        <w:pStyle w:val="lennaslov0"/>
        <w:spacing w:line="260" w:lineRule="atLeast"/>
        <w:rPr>
          <w:rFonts w:cs="Arial"/>
          <w:sz w:val="20"/>
          <w:szCs w:val="20"/>
        </w:rPr>
      </w:pPr>
      <w:r w:rsidRPr="004752FD">
        <w:rPr>
          <w:rFonts w:cs="Arial"/>
          <w:sz w:val="20"/>
          <w:szCs w:val="20"/>
        </w:rPr>
        <w:t>(pomen izrazov)</w:t>
      </w:r>
    </w:p>
    <w:p w14:paraId="7E5830B6" w14:textId="77777777" w:rsidR="00C50F53" w:rsidRPr="004752FD" w:rsidRDefault="00C50F53" w:rsidP="004752FD">
      <w:pPr>
        <w:pStyle w:val="lennaslov0"/>
        <w:spacing w:line="260" w:lineRule="atLeast"/>
        <w:jc w:val="both"/>
        <w:rPr>
          <w:rFonts w:cs="Arial"/>
          <w:b w:val="0"/>
          <w:bCs/>
          <w:sz w:val="20"/>
          <w:szCs w:val="20"/>
        </w:rPr>
      </w:pPr>
    </w:p>
    <w:p w14:paraId="1851BEA4" w14:textId="77777777" w:rsidR="00C50F53" w:rsidRPr="004752FD" w:rsidRDefault="00C50F53" w:rsidP="004752FD">
      <w:pPr>
        <w:pStyle w:val="lennaslov0"/>
        <w:spacing w:line="260" w:lineRule="atLeast"/>
        <w:jc w:val="both"/>
        <w:rPr>
          <w:rFonts w:cs="Arial"/>
          <w:b w:val="0"/>
          <w:bCs/>
          <w:sz w:val="20"/>
          <w:szCs w:val="20"/>
        </w:rPr>
      </w:pPr>
      <w:r w:rsidRPr="004752FD">
        <w:rPr>
          <w:rFonts w:cs="Arial"/>
          <w:b w:val="0"/>
          <w:bCs/>
          <w:color w:val="000000"/>
          <w:sz w:val="20"/>
          <w:szCs w:val="20"/>
        </w:rPr>
        <w:t>Izrazi, uporabljeni v tem zakonu, pomenijo:</w:t>
      </w:r>
    </w:p>
    <w:p w14:paraId="130B4B42" w14:textId="77777777" w:rsidR="00C50F53" w:rsidRPr="004752FD" w:rsidRDefault="00C50F53" w:rsidP="004752FD">
      <w:pPr>
        <w:pStyle w:val="lennaslov0"/>
        <w:spacing w:line="260" w:lineRule="atLeast"/>
        <w:jc w:val="both"/>
        <w:rPr>
          <w:rFonts w:cs="Arial"/>
          <w:b w:val="0"/>
          <w:bCs/>
          <w:sz w:val="20"/>
          <w:szCs w:val="20"/>
        </w:rPr>
      </w:pPr>
    </w:p>
    <w:p w14:paraId="3352E6DD" w14:textId="77777777" w:rsidR="00C50F53" w:rsidRPr="004752FD" w:rsidRDefault="00C50F53" w:rsidP="00E20E87">
      <w:pPr>
        <w:pStyle w:val="lennaslov0"/>
        <w:numPr>
          <w:ilvl w:val="0"/>
          <w:numId w:val="62"/>
        </w:numPr>
        <w:spacing w:line="260" w:lineRule="atLeast"/>
        <w:ind w:left="0" w:firstLine="0"/>
        <w:jc w:val="both"/>
        <w:rPr>
          <w:rFonts w:cs="Arial"/>
          <w:b w:val="0"/>
          <w:bCs/>
          <w:sz w:val="20"/>
          <w:szCs w:val="20"/>
        </w:rPr>
      </w:pPr>
      <w:r w:rsidRPr="004752FD">
        <w:rPr>
          <w:rFonts w:cs="Arial"/>
          <w:b w:val="0"/>
          <w:bCs/>
          <w:sz w:val="20"/>
          <w:szCs w:val="20"/>
        </w:rPr>
        <w:t>centralni državni informacijsko-komunikacijski sistem je osrednje državno informacijsko-komunikacijsko omrežje ali sistem v upravljanju ministrstva, pristojnega za upravljanje informacijsko-komunikacijskih sistemov, in je namenjeno povezovanju lokalnih omrežij organov državne uprave in drugih subjektov za namene izvrševanja njihovih zakonskih obveznosti ter dostopa do skupnih informacijskih rešitev in informacijsko-komunikacijske infrastrukture na podlagi centraliziranega upravljanja in nadzora;</w:t>
      </w:r>
    </w:p>
    <w:p w14:paraId="0E6F757E" w14:textId="77777777" w:rsidR="00C50F53" w:rsidRPr="004752FD" w:rsidRDefault="00C50F53" w:rsidP="004752FD">
      <w:pPr>
        <w:pStyle w:val="lennaslov0"/>
        <w:spacing w:line="260" w:lineRule="atLeast"/>
        <w:jc w:val="both"/>
        <w:rPr>
          <w:rFonts w:cs="Arial"/>
          <w:b w:val="0"/>
          <w:bCs/>
          <w:strike/>
          <w:sz w:val="20"/>
          <w:szCs w:val="20"/>
        </w:rPr>
      </w:pPr>
    </w:p>
    <w:p w14:paraId="64FB2801" w14:textId="77777777" w:rsidR="00C50F53" w:rsidRPr="004752FD" w:rsidRDefault="00C50F53" w:rsidP="00E20E87">
      <w:pPr>
        <w:pStyle w:val="lennaslov0"/>
        <w:numPr>
          <w:ilvl w:val="0"/>
          <w:numId w:val="62"/>
        </w:numPr>
        <w:spacing w:line="260" w:lineRule="atLeast"/>
        <w:ind w:left="0" w:firstLine="0"/>
        <w:jc w:val="both"/>
        <w:rPr>
          <w:rFonts w:cs="Arial"/>
          <w:b w:val="0"/>
          <w:bCs/>
          <w:sz w:val="20"/>
          <w:szCs w:val="20"/>
        </w:rPr>
      </w:pPr>
      <w:r w:rsidRPr="004752FD">
        <w:rPr>
          <w:rFonts w:cs="Arial"/>
          <w:b w:val="0"/>
          <w:bCs/>
          <w:sz w:val="20"/>
          <w:szCs w:val="20"/>
        </w:rPr>
        <w:t>CSIRT je skupina, ki se odziva na incidente na področju računalniške varnosti, sprejema prijave o kršitvah varnosti, izvaja analize in pomaga priglasiteljem pri obvladovanju incidentov;</w:t>
      </w:r>
    </w:p>
    <w:p w14:paraId="123AA846" w14:textId="77777777" w:rsidR="00C50F53" w:rsidRPr="004752FD" w:rsidRDefault="00C50F53" w:rsidP="004752FD">
      <w:pPr>
        <w:pStyle w:val="lennaslov0"/>
        <w:spacing w:line="260" w:lineRule="atLeast"/>
        <w:jc w:val="both"/>
        <w:rPr>
          <w:rFonts w:cs="Arial"/>
          <w:b w:val="0"/>
          <w:bCs/>
          <w:sz w:val="20"/>
          <w:szCs w:val="20"/>
        </w:rPr>
      </w:pPr>
    </w:p>
    <w:p w14:paraId="6F564D35" w14:textId="77777777" w:rsidR="00C50F53" w:rsidRPr="004752FD" w:rsidRDefault="00C50F53" w:rsidP="00E20E87">
      <w:pPr>
        <w:pStyle w:val="lennaslov0"/>
        <w:numPr>
          <w:ilvl w:val="0"/>
          <w:numId w:val="62"/>
        </w:numPr>
        <w:spacing w:line="260" w:lineRule="atLeast"/>
        <w:ind w:left="0" w:firstLine="0"/>
        <w:jc w:val="both"/>
        <w:rPr>
          <w:rFonts w:cs="Arial"/>
          <w:b w:val="0"/>
          <w:bCs/>
          <w:sz w:val="20"/>
          <w:szCs w:val="20"/>
        </w:rPr>
      </w:pPr>
      <w:r w:rsidRPr="004752FD">
        <w:rPr>
          <w:rFonts w:cs="Arial"/>
          <w:b w:val="0"/>
          <w:bCs/>
          <w:sz w:val="20"/>
          <w:szCs w:val="20"/>
        </w:rPr>
        <w:t>digitalna storitev je katera koli storitev informacijske družbe ali katera koli storitev, ki se običajno opravi odplačno, na daljavo, elektronsko in na posamezno zahtevo prejemnika storitev;</w:t>
      </w:r>
    </w:p>
    <w:p w14:paraId="5CDCEAE8" w14:textId="77777777" w:rsidR="00C50F53" w:rsidRPr="004752FD" w:rsidRDefault="00C50F53" w:rsidP="004752FD">
      <w:pPr>
        <w:pStyle w:val="lennaslov0"/>
        <w:spacing w:line="260" w:lineRule="atLeast"/>
        <w:jc w:val="both"/>
        <w:rPr>
          <w:rFonts w:cs="Arial"/>
          <w:b w:val="0"/>
          <w:bCs/>
          <w:sz w:val="20"/>
          <w:szCs w:val="20"/>
        </w:rPr>
      </w:pPr>
      <w:bookmarkStart w:id="42" w:name="_Hlk144127751"/>
    </w:p>
    <w:p w14:paraId="222C9B7A" w14:textId="77777777" w:rsidR="00C50F53" w:rsidRPr="004752FD" w:rsidRDefault="00C50F53" w:rsidP="00E20E87">
      <w:pPr>
        <w:pStyle w:val="lennaslov0"/>
        <w:numPr>
          <w:ilvl w:val="0"/>
          <w:numId w:val="62"/>
        </w:numPr>
        <w:spacing w:line="260" w:lineRule="atLeast"/>
        <w:ind w:left="0" w:firstLine="0"/>
        <w:jc w:val="both"/>
        <w:rPr>
          <w:rFonts w:cs="Arial"/>
          <w:b w:val="0"/>
          <w:bCs/>
          <w:sz w:val="20"/>
          <w:szCs w:val="20"/>
        </w:rPr>
      </w:pPr>
      <w:r w:rsidRPr="004752FD">
        <w:rPr>
          <w:rFonts w:cs="Arial"/>
          <w:b w:val="0"/>
          <w:bCs/>
          <w:sz w:val="20"/>
          <w:szCs w:val="20"/>
        </w:rPr>
        <w:t>dnevniški zapisi so strukturirani ali nestrukturirani zapisi dogodkov v omrežnih in informacijskih sistemih, ki omogočajo analizo in rekonstrukcijo incidentov ali skorajšnjih incidentov;</w:t>
      </w:r>
    </w:p>
    <w:p w14:paraId="24555EF4" w14:textId="77777777" w:rsidR="00C50F53" w:rsidRPr="004752FD" w:rsidRDefault="00C50F53" w:rsidP="004752FD">
      <w:pPr>
        <w:pStyle w:val="lennaslov0"/>
        <w:spacing w:line="260" w:lineRule="atLeast"/>
        <w:jc w:val="both"/>
        <w:rPr>
          <w:rFonts w:cs="Arial"/>
          <w:b w:val="0"/>
          <w:bCs/>
          <w:sz w:val="20"/>
          <w:szCs w:val="20"/>
        </w:rPr>
      </w:pPr>
    </w:p>
    <w:p w14:paraId="7A2882FD" w14:textId="77777777" w:rsidR="00C50F53" w:rsidRPr="004752FD" w:rsidRDefault="00C50F53" w:rsidP="00E20E87">
      <w:pPr>
        <w:pStyle w:val="lennaslov0"/>
        <w:numPr>
          <w:ilvl w:val="0"/>
          <w:numId w:val="62"/>
        </w:numPr>
        <w:spacing w:line="260" w:lineRule="atLeast"/>
        <w:ind w:left="0" w:firstLine="0"/>
        <w:jc w:val="both"/>
        <w:rPr>
          <w:rFonts w:cs="Arial"/>
          <w:b w:val="0"/>
          <w:bCs/>
          <w:sz w:val="20"/>
          <w:szCs w:val="20"/>
        </w:rPr>
      </w:pPr>
      <w:r w:rsidRPr="004752FD">
        <w:rPr>
          <w:rFonts w:cs="Arial"/>
          <w:b w:val="0"/>
          <w:bCs/>
          <w:sz w:val="20"/>
          <w:szCs w:val="20"/>
        </w:rPr>
        <w:t xml:space="preserve">elektronska komunikacijska storitev je storitev, ki se navadno izvaja za plačilo prek elektronskih komunikacijskih omrežij, razen storitev, s katerimi se zagotavljajo </w:t>
      </w:r>
      <w:bookmarkEnd w:id="42"/>
      <w:r w:rsidRPr="004752FD">
        <w:rPr>
          <w:rFonts w:cs="Arial"/>
          <w:b w:val="0"/>
          <w:bCs/>
          <w:sz w:val="20"/>
          <w:szCs w:val="20"/>
        </w:rPr>
        <w:t>vsebine ali se izvaja uredniški nadzor nad vsebinami, ki se pošiljajo po elektronskih komunikacijskih omrežjih in z elektronskimi komunikacijskimi storitvami, ter zajema naslednje storitve:</w:t>
      </w:r>
    </w:p>
    <w:p w14:paraId="7F3627A1" w14:textId="77777777" w:rsidR="00C50F53" w:rsidRPr="004752FD" w:rsidRDefault="00C50F53" w:rsidP="004752FD">
      <w:pPr>
        <w:pStyle w:val="lennaslov0"/>
        <w:spacing w:line="260" w:lineRule="atLeast"/>
        <w:ind w:left="1134"/>
        <w:jc w:val="both"/>
        <w:rPr>
          <w:rFonts w:cs="Arial"/>
          <w:b w:val="0"/>
          <w:bCs/>
          <w:sz w:val="20"/>
          <w:szCs w:val="20"/>
        </w:rPr>
      </w:pPr>
      <w:r w:rsidRPr="004752FD">
        <w:rPr>
          <w:rFonts w:cs="Arial"/>
          <w:b w:val="0"/>
          <w:bCs/>
          <w:sz w:val="20"/>
          <w:szCs w:val="20"/>
        </w:rPr>
        <w:t>‒ storitev dostopa do interneta: ki je javno dostopna elektronska komunikacijska storitev, ki omogoča dostop do interneta in s tem povezljivost s tako rekoč vsemi končnimi točkami interneta, ne glede na uporabljeno omrežno tehnologijo in terminalsko opremo,</w:t>
      </w:r>
    </w:p>
    <w:p w14:paraId="5B9B5847" w14:textId="77777777" w:rsidR="00C50F53" w:rsidRPr="004752FD" w:rsidRDefault="00C50F53" w:rsidP="004752FD">
      <w:pPr>
        <w:pStyle w:val="lennaslov0"/>
        <w:spacing w:line="260" w:lineRule="atLeast"/>
        <w:ind w:left="1134" w:firstLine="2"/>
        <w:jc w:val="both"/>
        <w:rPr>
          <w:rFonts w:cs="Arial"/>
          <w:b w:val="0"/>
          <w:bCs/>
          <w:sz w:val="20"/>
          <w:szCs w:val="20"/>
        </w:rPr>
      </w:pPr>
      <w:r w:rsidRPr="004752FD">
        <w:rPr>
          <w:rFonts w:cs="Arial"/>
          <w:b w:val="0"/>
          <w:bCs/>
          <w:sz w:val="20"/>
          <w:szCs w:val="20"/>
        </w:rPr>
        <w:t>‒ medosebno komunikacijsko storitev in</w:t>
      </w:r>
    </w:p>
    <w:p w14:paraId="71968151" w14:textId="77777777" w:rsidR="00C50F53" w:rsidRPr="004752FD" w:rsidRDefault="00C50F53" w:rsidP="004752FD">
      <w:pPr>
        <w:pStyle w:val="lennaslov0"/>
        <w:spacing w:line="260" w:lineRule="atLeast"/>
        <w:ind w:left="1134" w:firstLine="2"/>
        <w:jc w:val="both"/>
        <w:rPr>
          <w:rFonts w:cs="Arial"/>
          <w:b w:val="0"/>
          <w:bCs/>
          <w:sz w:val="20"/>
          <w:szCs w:val="20"/>
        </w:rPr>
      </w:pPr>
      <w:r w:rsidRPr="004752FD">
        <w:rPr>
          <w:rFonts w:cs="Arial"/>
          <w:b w:val="0"/>
          <w:bCs/>
          <w:sz w:val="20"/>
          <w:szCs w:val="20"/>
        </w:rPr>
        <w:t>‒ storitve, ki so v celoti ali pretežno sestavljene iz prenosa signalov, kot so storitve prenosa, ki se uporabljajo za opravljanje storitev stroj–stroj in za radiodifuzijo;</w:t>
      </w:r>
    </w:p>
    <w:p w14:paraId="35EC0559" w14:textId="77777777" w:rsidR="00C50F53" w:rsidRPr="00C50F53" w:rsidRDefault="00C50F53" w:rsidP="00C50F53">
      <w:pPr>
        <w:pStyle w:val="lennaslov0"/>
        <w:spacing w:line="260" w:lineRule="atLeast"/>
        <w:jc w:val="both"/>
        <w:rPr>
          <w:rFonts w:cs="Arial"/>
          <w:b w:val="0"/>
          <w:bCs/>
          <w:sz w:val="20"/>
          <w:szCs w:val="20"/>
        </w:rPr>
      </w:pPr>
      <w:bookmarkStart w:id="43" w:name="_Hlk169189217"/>
    </w:p>
    <w:bookmarkEnd w:id="43"/>
    <w:p w14:paraId="3A960A2A"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 xml:space="preserve">Evropska organizacijska mreža za povezovanje v kibernetski krizi (v nadaljnjem besedilu: mreža EU-CyCLONe) je skupnost, ki podpira usklajeno obvladovanje kibernetskih incidentov velikih razsežnosti in kriz na operativni ravni in zagotavlja redno izmenjavo relevantnih informacij </w:t>
      </w:r>
      <w:r w:rsidRPr="00C50F53">
        <w:rPr>
          <w:rFonts w:cs="Arial"/>
          <w:b w:val="0"/>
          <w:bCs/>
          <w:sz w:val="20"/>
          <w:szCs w:val="20"/>
        </w:rPr>
        <w:lastRenderedPageBreak/>
        <w:t>med državami članicami Evropske unije ter institucijami, organi, uradi in agencijami Evropske unije ter je sestavljena iz predstavnikov organov članic za obvladovanje kibernetskih kriz in v nekaterih primerih tudi predstavnikov Evropske komisije, ki sodeluje kot opazovalka;</w:t>
      </w:r>
    </w:p>
    <w:p w14:paraId="2910B724" w14:textId="77777777" w:rsidR="00C50F53" w:rsidRPr="00C50F53" w:rsidRDefault="00C50F53" w:rsidP="00C50F53">
      <w:pPr>
        <w:pStyle w:val="lennaslov0"/>
        <w:spacing w:line="260" w:lineRule="atLeast"/>
        <w:jc w:val="both"/>
        <w:rPr>
          <w:rFonts w:cs="Arial"/>
          <w:b w:val="0"/>
          <w:bCs/>
          <w:sz w:val="20"/>
          <w:szCs w:val="20"/>
        </w:rPr>
      </w:pPr>
    </w:p>
    <w:p w14:paraId="014E974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evropski certifikat kibernetske varnosti je dokument, ki potrjuje, da je bil zadevni proizvod IKT, storitev IKT ali postopek IKT ocenjen glede skladnosti s specifičnimi varnostnimi zahtevami, določenimi v evropski certifikacijski shemi za kibernetsko varnost;</w:t>
      </w:r>
    </w:p>
    <w:p w14:paraId="3F0F39CB" w14:textId="77777777" w:rsidR="00C50F53" w:rsidRPr="00C50F53" w:rsidRDefault="00C50F53" w:rsidP="00C50F53">
      <w:pPr>
        <w:pStyle w:val="lennaslov0"/>
        <w:spacing w:line="260" w:lineRule="atLeast"/>
        <w:jc w:val="both"/>
        <w:rPr>
          <w:rFonts w:cs="Arial"/>
          <w:b w:val="0"/>
          <w:bCs/>
          <w:sz w:val="20"/>
          <w:szCs w:val="20"/>
        </w:rPr>
      </w:pPr>
    </w:p>
    <w:p w14:paraId="4628EBE6"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finančna spodbuda je izvajanje financiranja v obliki nepovratnih sredstev, kritje stroškov za dobavo blaga ali storitev oziroma sofinanciranje stroškov za dobavo blaga ali storitev za zvišanje ravni kibernetske varnosti;</w:t>
      </w:r>
    </w:p>
    <w:p w14:paraId="2AEEC2FA" w14:textId="77777777" w:rsidR="00C50F53" w:rsidRPr="00C50F53" w:rsidRDefault="00C50F53" w:rsidP="00C50F53">
      <w:pPr>
        <w:pStyle w:val="lennaslov0"/>
        <w:spacing w:line="260" w:lineRule="atLeast"/>
        <w:jc w:val="both"/>
        <w:rPr>
          <w:rFonts w:cs="Arial"/>
          <w:b w:val="0"/>
          <w:bCs/>
          <w:sz w:val="20"/>
          <w:szCs w:val="20"/>
        </w:rPr>
      </w:pPr>
    </w:p>
    <w:p w14:paraId="24BAC44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incident je dogodek, ki je ogrozil razpoložljivost, avtentičnost, celovitost ali zaupnost shranjenih, prenesenih ali obdelanih podatkov ali storitev, ki jih omrežni in informacijski sistemi zagotavljajo ali so prek njih dostopni;</w:t>
      </w:r>
    </w:p>
    <w:p w14:paraId="2C093210" w14:textId="77777777" w:rsidR="00C50F53" w:rsidRPr="00C50F53" w:rsidRDefault="00C50F53" w:rsidP="00C50F53">
      <w:pPr>
        <w:pStyle w:val="lennaslov0"/>
        <w:spacing w:line="260" w:lineRule="atLeast"/>
        <w:jc w:val="both"/>
        <w:rPr>
          <w:rFonts w:cs="Arial"/>
          <w:b w:val="0"/>
          <w:bCs/>
          <w:sz w:val="20"/>
          <w:szCs w:val="20"/>
        </w:rPr>
      </w:pPr>
    </w:p>
    <w:p w14:paraId="77D247D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informacijska varnost pomeni zaščito in varovanje omrežnih in informacijskih sistemov ter pripadajočih podatkov pred nedovoljenim dostopom, uporabo, razkritjem, motenjem, spreminjanjem ali uničenjem, in sicer za zagotavljanje zaupnosti, avtentičnosti, celovitosti in razpoložljivosti navedenih sistemov in podatkov;</w:t>
      </w:r>
    </w:p>
    <w:p w14:paraId="591B97AA" w14:textId="77777777" w:rsidR="00C50F53" w:rsidRPr="00C50F53" w:rsidRDefault="00C50F53" w:rsidP="00C50F53">
      <w:pPr>
        <w:pStyle w:val="lennaslov0"/>
        <w:spacing w:line="260" w:lineRule="atLeast"/>
        <w:jc w:val="both"/>
        <w:rPr>
          <w:rFonts w:cs="Arial"/>
          <w:b w:val="0"/>
          <w:bCs/>
          <w:sz w:val="20"/>
          <w:szCs w:val="20"/>
        </w:rPr>
      </w:pPr>
    </w:p>
    <w:p w14:paraId="12963F62" w14:textId="1A075D32" w:rsidR="00C50F53" w:rsidRPr="00876DB9" w:rsidRDefault="00C50F53" w:rsidP="00B57C2C">
      <w:pPr>
        <w:pStyle w:val="lennaslov0"/>
        <w:numPr>
          <w:ilvl w:val="0"/>
          <w:numId w:val="62"/>
        </w:numPr>
        <w:spacing w:line="260" w:lineRule="atLeast"/>
        <w:ind w:left="0" w:firstLine="0"/>
        <w:jc w:val="both"/>
        <w:rPr>
          <w:rFonts w:cs="Arial"/>
          <w:b w:val="0"/>
          <w:bCs/>
          <w:sz w:val="20"/>
          <w:szCs w:val="20"/>
        </w:rPr>
      </w:pPr>
      <w:r w:rsidRPr="00876DB9">
        <w:rPr>
          <w:rFonts w:cs="Arial"/>
          <w:b w:val="0"/>
          <w:bCs/>
          <w:sz w:val="20"/>
          <w:szCs w:val="20"/>
        </w:rPr>
        <w:t xml:space="preserve">inšpekcijski varnostni pregled je postopek, v katerem inšpektor </w:t>
      </w:r>
      <w:r w:rsidR="00876DB9" w:rsidRPr="00876DB9">
        <w:rPr>
          <w:rFonts w:cs="Arial"/>
          <w:b w:val="0"/>
          <w:sz w:val="20"/>
          <w:szCs w:val="20"/>
        </w:rPr>
        <w:t xml:space="preserve">oziroma inšpektorica (v nadaljnjem besedilu: inšpektor) </w:t>
      </w:r>
      <w:r w:rsidRPr="00876DB9">
        <w:rPr>
          <w:rFonts w:cs="Arial"/>
          <w:b w:val="0"/>
          <w:sz w:val="20"/>
          <w:szCs w:val="20"/>
        </w:rPr>
        <w:t>pri zaveza</w:t>
      </w:r>
      <w:r w:rsidRPr="00876DB9">
        <w:rPr>
          <w:rFonts w:cs="Arial"/>
          <w:b w:val="0"/>
          <w:bCs/>
          <w:sz w:val="20"/>
          <w:szCs w:val="20"/>
        </w:rPr>
        <w:t>ncu v postopku inšpekcijskega nadzora izvede identifikacijo in oceno morebitnih ranljivosti v omrežnih in informacijskih sistemih ter preizkus učinkovitosti varnostnih ukrepov oziroma mehanizmov in izpostavljenosti kibernetskim grožnjam, poleg tega preveri ustreznost učinkovitega zaznavanja in obravnavanja kibernetskih incidentov;</w:t>
      </w:r>
    </w:p>
    <w:p w14:paraId="290A5849" w14:textId="77777777" w:rsidR="00C50F53" w:rsidRPr="00C50F53" w:rsidRDefault="00C50F53" w:rsidP="00C50F53">
      <w:pPr>
        <w:pStyle w:val="lennaslov0"/>
        <w:spacing w:line="260" w:lineRule="atLeast"/>
        <w:jc w:val="both"/>
        <w:rPr>
          <w:rFonts w:cs="Arial"/>
          <w:b w:val="0"/>
          <w:bCs/>
          <w:sz w:val="20"/>
          <w:szCs w:val="20"/>
        </w:rPr>
      </w:pPr>
    </w:p>
    <w:p w14:paraId="0CE9BF84"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javno elektronsko komunikacijsko omrežje je elektronsko komunikacijsko omrežje, ki se v celoti ali pretežno uporablja za zagotavljanje javno dostopnih elektronskih komunikacijskih storitev, ki podpirajo prenos informacij med omrežnimi priključnimi točkami;</w:t>
      </w:r>
    </w:p>
    <w:p w14:paraId="7E64DA01" w14:textId="77777777" w:rsidR="00C50F53" w:rsidRPr="00C50F53" w:rsidRDefault="00C50F53" w:rsidP="00C50F53">
      <w:pPr>
        <w:pStyle w:val="lennaslov0"/>
        <w:spacing w:line="260" w:lineRule="atLeast"/>
        <w:jc w:val="both"/>
        <w:rPr>
          <w:rFonts w:cs="Arial"/>
          <w:b w:val="0"/>
          <w:bCs/>
          <w:sz w:val="20"/>
          <w:szCs w:val="20"/>
        </w:rPr>
      </w:pPr>
    </w:p>
    <w:p w14:paraId="7E0C5B42"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kibernetska grožnja je vsaka potencialna okoliščina, dogodek ali dejanje, ki bi lahko poškodovalo, prekinilo ali drugače škodljivo vplivalo na omrežja in informacijske sisteme, uporabnike takih sistemov in druge osebe;</w:t>
      </w:r>
    </w:p>
    <w:p w14:paraId="3B15FFC4" w14:textId="77777777" w:rsidR="00C50F53" w:rsidRPr="00C50F53" w:rsidRDefault="00C50F53" w:rsidP="00C50F53">
      <w:pPr>
        <w:pStyle w:val="Odstavekseznama"/>
        <w:ind w:left="0"/>
        <w:rPr>
          <w:rFonts w:cs="Arial"/>
          <w:b/>
          <w:bCs/>
          <w:szCs w:val="20"/>
          <w:lang w:val="sl-SI"/>
        </w:rPr>
      </w:pPr>
    </w:p>
    <w:p w14:paraId="5601E7B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kibernetska higiena je dobra praksa ohranjanja varnosti in zaščite informacij v digitalnem okolju. To vključuje ukrepe in postopke, namenjene zaščiti računalniških sistemov, omrežij in podatkov pred varnostnimi grožnjami;</w:t>
      </w:r>
    </w:p>
    <w:p w14:paraId="2223CF7F" w14:textId="77777777" w:rsidR="00C50F53" w:rsidRPr="00C50F53" w:rsidRDefault="00C50F53" w:rsidP="00C50F53">
      <w:pPr>
        <w:pStyle w:val="Odstavekseznama"/>
        <w:ind w:left="0"/>
        <w:rPr>
          <w:rFonts w:cs="Arial"/>
          <w:b/>
          <w:bCs/>
          <w:szCs w:val="20"/>
          <w:lang w:val="sl-SI"/>
        </w:rPr>
      </w:pPr>
    </w:p>
    <w:p w14:paraId="52DBF774"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kibernetski incident velikih razsežnosti je incident, ki povzroči motnjo, ki presega zmožnost Republike Slovenije za odziv nanj, ali incident, ki pomembno vpliva na vsaj dve državi članici Evropske unije;</w:t>
      </w:r>
    </w:p>
    <w:p w14:paraId="5BB0FF72" w14:textId="77777777" w:rsidR="00C50F53" w:rsidRPr="00C50F53" w:rsidRDefault="00C50F53" w:rsidP="00C50F53">
      <w:pPr>
        <w:pStyle w:val="lennaslov0"/>
        <w:spacing w:line="260" w:lineRule="atLeast"/>
        <w:jc w:val="both"/>
        <w:rPr>
          <w:rFonts w:cs="Arial"/>
          <w:b w:val="0"/>
          <w:bCs/>
          <w:sz w:val="20"/>
          <w:szCs w:val="20"/>
        </w:rPr>
      </w:pPr>
    </w:p>
    <w:p w14:paraId="30449E3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kibernetska obramba je celota ukrepov, dejavnosti in zmogljivosti državnih organov, organov lokalne samouprave, gospodarskih družb, zavodov in drugih organizacij ter državljanov in državljank, ki so potrebni za zaščito in varovanje kibernetskega prostora pred kibernetskimi grožnjami in incidenti;</w:t>
      </w:r>
    </w:p>
    <w:p w14:paraId="53778498" w14:textId="77777777" w:rsidR="00C50F53" w:rsidRPr="00C50F53" w:rsidRDefault="00C50F53" w:rsidP="00C50F53">
      <w:pPr>
        <w:pStyle w:val="Odstavekseznama"/>
        <w:ind w:left="0"/>
        <w:rPr>
          <w:rFonts w:cs="Arial"/>
          <w:b/>
          <w:bCs/>
          <w:szCs w:val="20"/>
          <w:lang w:val="sl-SI"/>
        </w:rPr>
      </w:pPr>
    </w:p>
    <w:p w14:paraId="2B268D6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kibernetski prostor je globalno informacijsko okolje, ki ga tvorijo informacijski sistemi in omrežja, podatki, digitalne naprave in njihovi uporabniki;</w:t>
      </w:r>
    </w:p>
    <w:p w14:paraId="010BFF51" w14:textId="77777777" w:rsidR="00C50F53" w:rsidRPr="00C50F53" w:rsidRDefault="00C50F53" w:rsidP="00C50F53">
      <w:pPr>
        <w:pStyle w:val="lennaslov0"/>
        <w:spacing w:line="260" w:lineRule="atLeast"/>
        <w:jc w:val="both"/>
        <w:rPr>
          <w:rFonts w:cs="Arial"/>
          <w:b w:val="0"/>
          <w:bCs/>
          <w:sz w:val="20"/>
          <w:szCs w:val="20"/>
        </w:rPr>
      </w:pPr>
    </w:p>
    <w:p w14:paraId="444E77C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kibernetska varnost so dejavnosti, ki so potrebne za zaščito omrežnih in informacijskih sistemov, uporabnikov takih sistemov in drugih oseb, na katere vplivajo kibernetske grožnje;</w:t>
      </w:r>
    </w:p>
    <w:p w14:paraId="1156E837" w14:textId="77777777" w:rsidR="00C50F53" w:rsidRPr="00C50F53" w:rsidRDefault="00C50F53" w:rsidP="00C50F53">
      <w:pPr>
        <w:pStyle w:val="lennaslov0"/>
        <w:spacing w:line="260" w:lineRule="atLeast"/>
        <w:jc w:val="both"/>
        <w:rPr>
          <w:rFonts w:cs="Arial"/>
          <w:b w:val="0"/>
          <w:bCs/>
          <w:sz w:val="20"/>
          <w:szCs w:val="20"/>
        </w:rPr>
      </w:pPr>
    </w:p>
    <w:p w14:paraId="4E1744C5"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bookmarkStart w:id="44" w:name="_Hlk185521192"/>
      <w:r w:rsidRPr="00C50F53">
        <w:rPr>
          <w:rFonts w:cs="Arial"/>
          <w:b w:val="0"/>
          <w:bCs/>
          <w:sz w:val="20"/>
          <w:szCs w:val="20"/>
        </w:rPr>
        <w:t xml:space="preserve">ključni deli nacionalnega varnostnega sistema so sistemi obrambe, notranje varnosti, varstva pred naravnimi in drugimi nesrečami in podsistemi sistema nacionalne varnosti, ki vključuje tudi zunanjepolitične, gospodarske, informacijske in druge dejavnosti, ki neposredno vplivajo na nacionalno varnost; </w:t>
      </w:r>
    </w:p>
    <w:bookmarkEnd w:id="44"/>
    <w:p w14:paraId="6DB61BA5" w14:textId="77777777" w:rsidR="00C50F53" w:rsidRPr="00C50F53" w:rsidRDefault="00C50F53" w:rsidP="00C50F53">
      <w:pPr>
        <w:pStyle w:val="lennaslov0"/>
        <w:spacing w:line="260" w:lineRule="atLeast"/>
        <w:jc w:val="both"/>
        <w:rPr>
          <w:rFonts w:cs="Arial"/>
          <w:b w:val="0"/>
          <w:bCs/>
          <w:sz w:val="20"/>
          <w:szCs w:val="20"/>
        </w:rPr>
      </w:pPr>
    </w:p>
    <w:p w14:paraId="7E4F803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ključni informacijski sistemi so vsi omrežni in informacijski sistemi s pripadajočimi podatki zavezanca, brez katerih ta ne more neprekinjeno izvajati storitev iz Priloge 1 ali 2 tega zakona, katerih motnje bi lahko pomembno negativno vplivale na ključne družbene ali gospodarske dejavnosti;</w:t>
      </w:r>
    </w:p>
    <w:p w14:paraId="4AF71181" w14:textId="77777777" w:rsidR="00C50F53" w:rsidRPr="00C50F53" w:rsidRDefault="00C50F53" w:rsidP="00C50F53">
      <w:pPr>
        <w:pStyle w:val="Odstavekseznama"/>
        <w:ind w:left="0"/>
        <w:rPr>
          <w:rFonts w:cs="Arial"/>
          <w:b/>
          <w:bCs/>
          <w:szCs w:val="20"/>
          <w:lang w:val="sl-SI"/>
        </w:rPr>
      </w:pPr>
    </w:p>
    <w:p w14:paraId="03675304"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kriza je resna grožnja temeljnim vrednotam in družbenim normam, za katero so značilni časovni pritisk in negotove okoliščine, ki zahtevajo hitro odločanje in izvajanje ukrepov, ki odstopajo od običajnih in predpisanih institucionalnih poti ter zahtevajo uporabo mehanizmov kriznega upravljanja;</w:t>
      </w:r>
    </w:p>
    <w:p w14:paraId="2DE86911" w14:textId="77777777" w:rsidR="00C50F53" w:rsidRPr="00C50F53" w:rsidRDefault="00C50F53" w:rsidP="00C50F53">
      <w:pPr>
        <w:pStyle w:val="lennaslov0"/>
        <w:spacing w:line="260" w:lineRule="atLeast"/>
        <w:jc w:val="both"/>
        <w:rPr>
          <w:rFonts w:cs="Arial"/>
          <w:b w:val="0"/>
          <w:bCs/>
          <w:sz w:val="20"/>
          <w:szCs w:val="20"/>
        </w:rPr>
      </w:pPr>
    </w:p>
    <w:p w14:paraId="481375E3"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krmilni informacijski sistemi so informacijski sistemi, ki omogočajo nadzor, regulacijo, avtomatizacijo ali optimizacijo delovanja ključnih industrijskih, tehnoloških ali infrastrukturnih procesov subjekta;</w:t>
      </w:r>
    </w:p>
    <w:p w14:paraId="2D9E4E99" w14:textId="77777777" w:rsidR="00C50F53" w:rsidRPr="00C50F53" w:rsidRDefault="00C50F53" w:rsidP="00C50F53">
      <w:pPr>
        <w:pStyle w:val="lennaslov0"/>
        <w:spacing w:line="260" w:lineRule="atLeast"/>
        <w:jc w:val="both"/>
        <w:rPr>
          <w:rFonts w:cs="Arial"/>
          <w:b w:val="0"/>
          <w:bCs/>
          <w:strike/>
          <w:sz w:val="20"/>
          <w:szCs w:val="20"/>
        </w:rPr>
      </w:pPr>
    </w:p>
    <w:p w14:paraId="2D3A01D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kvalificirana storitev zaupanja je storitev zaupanja, ki izpolnjuje zadevne zahteve iz zakona, ki ureja elektronsko identifikacijo in storitve zaupanja;</w:t>
      </w:r>
    </w:p>
    <w:p w14:paraId="2565B980" w14:textId="77777777" w:rsidR="00C50F53" w:rsidRPr="00C50F53" w:rsidRDefault="00C50F53" w:rsidP="00C50F53">
      <w:pPr>
        <w:pStyle w:val="lennaslov0"/>
        <w:spacing w:line="260" w:lineRule="atLeast"/>
        <w:jc w:val="both"/>
        <w:rPr>
          <w:rFonts w:cs="Arial"/>
          <w:b w:val="0"/>
          <w:bCs/>
          <w:sz w:val="20"/>
          <w:szCs w:val="20"/>
        </w:rPr>
      </w:pPr>
    </w:p>
    <w:p w14:paraId="4A8A2AE8"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medsektorske skupnosti zavezancev so skupnosti zavezancev, ki presegajo delovanje sektorskih skupnosti zavezancev in vključujejo sodelovanje med njimi z namenom združevanja znanja in izkušenj, da bi rešili izzive, ki presegajo okvire posameznih sektorjev;</w:t>
      </w:r>
    </w:p>
    <w:p w14:paraId="319CE418" w14:textId="77777777" w:rsidR="00C50F53" w:rsidRPr="00C50F53" w:rsidRDefault="00C50F53" w:rsidP="00C50F53">
      <w:pPr>
        <w:pStyle w:val="lennaslov0"/>
        <w:spacing w:line="260" w:lineRule="atLeast"/>
        <w:jc w:val="both"/>
        <w:rPr>
          <w:rFonts w:cs="Arial"/>
          <w:b w:val="0"/>
          <w:bCs/>
          <w:sz w:val="20"/>
          <w:szCs w:val="20"/>
        </w:rPr>
      </w:pPr>
    </w:p>
    <w:p w14:paraId="6AE73014"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mreža skupin CSIRT je skupnost, ki prispeva h krepitvi zaupanja ter spodbuja hitro in učinkovito operativno sodelovanje med državami članicami Evropske unije, v kateri sodelujejo skupine CSIRT iz držav članic Evropske unije, skupina za odzivanje na računalniške grožnje za evropske institucije, organe in agencije Unije (CERT-EU) in Evropska komisija kot opazovalka;</w:t>
      </w:r>
    </w:p>
    <w:p w14:paraId="422C546B" w14:textId="77777777" w:rsidR="00C50F53" w:rsidRPr="00C50F53" w:rsidRDefault="00C50F53" w:rsidP="00C50F53">
      <w:pPr>
        <w:pStyle w:val="lennaslov0"/>
        <w:spacing w:line="260" w:lineRule="atLeast"/>
        <w:jc w:val="both"/>
        <w:rPr>
          <w:rFonts w:cs="Arial"/>
          <w:b w:val="0"/>
          <w:bCs/>
          <w:sz w:val="20"/>
          <w:szCs w:val="20"/>
        </w:rPr>
      </w:pPr>
    </w:p>
    <w:p w14:paraId="39AF6F1A"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nadzorni informacijski sistemi so informacijski sistemi, v katerih se izvajata upravljanje in nadzor delovanja omrežij in informacijskih sistemov subjekta, vključno z zaznavanjem varnostnih dogodkov, anomalij in groženj ter odzivanjem nanje;</w:t>
      </w:r>
    </w:p>
    <w:p w14:paraId="1A46174F" w14:textId="77777777" w:rsidR="00C50F53" w:rsidRPr="00C50F53" w:rsidRDefault="00C50F53" w:rsidP="00C50F53">
      <w:pPr>
        <w:pStyle w:val="lennaslov0"/>
        <w:spacing w:line="260" w:lineRule="atLeast"/>
        <w:jc w:val="both"/>
        <w:rPr>
          <w:rFonts w:cs="Arial"/>
          <w:b w:val="0"/>
          <w:bCs/>
          <w:sz w:val="20"/>
          <w:szCs w:val="20"/>
        </w:rPr>
      </w:pPr>
    </w:p>
    <w:p w14:paraId="0DF8E388" w14:textId="43308D45"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notranji revizor</w:t>
      </w:r>
      <w:r w:rsidR="00876DB9">
        <w:rPr>
          <w:rFonts w:cs="Arial"/>
          <w:b w:val="0"/>
          <w:bCs/>
          <w:sz w:val="20"/>
          <w:szCs w:val="20"/>
        </w:rPr>
        <w:t xml:space="preserve"> oziroma notranja revizorka (</w:t>
      </w:r>
      <w:r w:rsidR="00876DB9" w:rsidRPr="00876DB9">
        <w:rPr>
          <w:rFonts w:cs="Arial"/>
          <w:b w:val="0"/>
          <w:bCs/>
          <w:sz w:val="20"/>
          <w:szCs w:val="20"/>
        </w:rPr>
        <w:t>v nadaljnjem besedilu:</w:t>
      </w:r>
      <w:r w:rsidR="00876DB9">
        <w:rPr>
          <w:rFonts w:cs="Arial"/>
          <w:b w:val="0"/>
          <w:bCs/>
          <w:sz w:val="20"/>
          <w:szCs w:val="20"/>
        </w:rPr>
        <w:t xml:space="preserve"> notranji revizor)</w:t>
      </w:r>
      <w:r w:rsidRPr="00C50F53">
        <w:rPr>
          <w:rFonts w:cs="Arial"/>
          <w:b w:val="0"/>
          <w:bCs/>
          <w:sz w:val="20"/>
          <w:szCs w:val="20"/>
        </w:rPr>
        <w:t xml:space="preserve"> je preizkušeni notranji revizor</w:t>
      </w:r>
      <w:r w:rsidR="00876DB9">
        <w:rPr>
          <w:rFonts w:cs="Arial"/>
          <w:b w:val="0"/>
          <w:bCs/>
          <w:sz w:val="20"/>
          <w:szCs w:val="20"/>
        </w:rPr>
        <w:t xml:space="preserve"> oziroma preizkušena notranja revizorka (v nadaljnjem besedilu: preizkušeni notranji revizor)</w:t>
      </w:r>
      <w:r w:rsidRPr="00C50F53">
        <w:rPr>
          <w:rFonts w:cs="Arial"/>
          <w:b w:val="0"/>
          <w:bCs/>
          <w:sz w:val="20"/>
          <w:szCs w:val="20"/>
        </w:rPr>
        <w:t>, ki je pridobil strokovni naziv pri Slovenskem inštitutu za revizijo in je vpisan v njegov register aktivnih preizkušenih notranjih revizorjev</w:t>
      </w:r>
      <w:r w:rsidRPr="00C50F53">
        <w:rPr>
          <w:rFonts w:cs="Arial"/>
          <w:sz w:val="20"/>
          <w:szCs w:val="20"/>
        </w:rPr>
        <w:t xml:space="preserve"> </w:t>
      </w:r>
      <w:r w:rsidRPr="00C50F53">
        <w:rPr>
          <w:rFonts w:cs="Arial"/>
          <w:b w:val="0"/>
          <w:bCs/>
          <w:sz w:val="20"/>
          <w:szCs w:val="20"/>
        </w:rPr>
        <w:t>ali oseba, ki je pridobila naziv državni notranji revizor ali preizkušeni državni notranji revizor;</w:t>
      </w:r>
    </w:p>
    <w:p w14:paraId="203D83DE" w14:textId="77777777" w:rsidR="00C50F53" w:rsidRPr="00C50F53" w:rsidRDefault="00C50F53" w:rsidP="00C50F53">
      <w:pPr>
        <w:pStyle w:val="lennaslov0"/>
        <w:spacing w:line="260" w:lineRule="atLeast"/>
        <w:jc w:val="both"/>
        <w:rPr>
          <w:rFonts w:cs="Arial"/>
          <w:b w:val="0"/>
          <w:bCs/>
          <w:sz w:val="20"/>
          <w:szCs w:val="20"/>
        </w:rPr>
      </w:pPr>
    </w:p>
    <w:p w14:paraId="72F89C9C"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obvladovanje incidentov so vsa dejanja in postopki, namenjeni preprečevanju, odkrivanju, analizi in zajezitvi incidentov ali odzivanju nanje ter okrevanju po njih;</w:t>
      </w:r>
    </w:p>
    <w:p w14:paraId="469CF905" w14:textId="77777777" w:rsidR="00C50F53" w:rsidRPr="00C50F53" w:rsidRDefault="00C50F53" w:rsidP="00C50F53">
      <w:pPr>
        <w:pStyle w:val="lennaslov0"/>
        <w:spacing w:line="260" w:lineRule="atLeast"/>
        <w:jc w:val="both"/>
        <w:rPr>
          <w:rFonts w:cs="Arial"/>
          <w:b w:val="0"/>
          <w:bCs/>
          <w:sz w:val="20"/>
          <w:szCs w:val="20"/>
        </w:rPr>
      </w:pPr>
    </w:p>
    <w:p w14:paraId="0F0A017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ogrožanje vitalnih interesov Republike Slovenije je ogrožanje njene ustavne ureditve, neodvisnosti, ozemeljske celovitosti, obrambne sposobnosti in javne varnosti;</w:t>
      </w:r>
    </w:p>
    <w:p w14:paraId="0DE72B78" w14:textId="77777777" w:rsidR="00C50F53" w:rsidRPr="00C50F53" w:rsidRDefault="00C50F53" w:rsidP="00C50F53">
      <w:pPr>
        <w:pStyle w:val="Odstavekseznama"/>
        <w:ind w:left="0"/>
        <w:rPr>
          <w:rFonts w:cs="Arial"/>
          <w:b/>
          <w:bCs/>
          <w:szCs w:val="20"/>
          <w:lang w:val="sl-SI"/>
        </w:rPr>
      </w:pPr>
    </w:p>
    <w:p w14:paraId="787B4A05"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omrežje za dostavo vsebin je mreža geografsko porazdeljenih strežnikov za zagotavljanje visoke razpoložljivosti, dostopnosti ali hitre dostave digitalnih vsebin in storitev uporabnikom interneta v imenu ponudnikov vsebin in storitev;</w:t>
      </w:r>
    </w:p>
    <w:p w14:paraId="2CD3A132" w14:textId="77777777" w:rsidR="00C50F53" w:rsidRPr="00C50F53" w:rsidRDefault="00C50F53" w:rsidP="00C50F53">
      <w:pPr>
        <w:pStyle w:val="lennaslov0"/>
        <w:spacing w:line="260" w:lineRule="atLeast"/>
        <w:jc w:val="both"/>
        <w:rPr>
          <w:rFonts w:cs="Arial"/>
          <w:b w:val="0"/>
          <w:bCs/>
          <w:sz w:val="20"/>
          <w:szCs w:val="20"/>
        </w:rPr>
      </w:pPr>
    </w:p>
    <w:p w14:paraId="4DDBCCE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omrežni in informacijski sistem:</w:t>
      </w:r>
    </w:p>
    <w:p w14:paraId="0450E702"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lastRenderedPageBreak/>
        <w:t>‒ je elektronsko komunikacijsko omrežje, kot je opredeljeno v zakonu, ki ureja elektronske komunikacije,</w:t>
      </w:r>
    </w:p>
    <w:p w14:paraId="2EBADB78"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je vsaka naprava ali skupina med seboj povezanih ali sorodnih naprav, od katerih ena ali več na podlagi programa opravlja samodejno obdelavo digitalnih podatkov, ali</w:t>
      </w:r>
    </w:p>
    <w:p w14:paraId="518256B8"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zajema digitalne podatke, ki jih elementi iz prve in druge alineje te točke shranjujejo, obdelujejo, pridobivajo ali prenašajo za namene njihovega delovanja, uporabe, varovanja in vzdrževanja;</w:t>
      </w:r>
    </w:p>
    <w:p w14:paraId="1045BFAA" w14:textId="77777777" w:rsidR="00C50F53" w:rsidRPr="00C50F53" w:rsidRDefault="00C50F53" w:rsidP="00C50F53">
      <w:pPr>
        <w:pStyle w:val="lennaslov0"/>
        <w:spacing w:line="260" w:lineRule="atLeast"/>
        <w:jc w:val="both"/>
        <w:rPr>
          <w:rFonts w:cs="Arial"/>
          <w:b w:val="0"/>
          <w:bCs/>
          <w:i/>
          <w:iCs/>
          <w:sz w:val="20"/>
          <w:szCs w:val="20"/>
        </w:rPr>
      </w:pPr>
    </w:p>
    <w:p w14:paraId="5ED6A90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organ za ugotavljanje skladnosti za potrebe tega zakona je organ za ugotavljanje skladnosti iz zakona, ki ureja tehnične zahteve za proizvode in ugotavljanje skladnosti, ki izpolnjuje dodatne zahteve iz priloge Uredbe 2019/881/EU;</w:t>
      </w:r>
    </w:p>
    <w:p w14:paraId="6C1F94A9" w14:textId="77777777" w:rsidR="00C50F53" w:rsidRPr="00C50F53" w:rsidRDefault="00C50F53" w:rsidP="00C50F53">
      <w:pPr>
        <w:pStyle w:val="lennaslov0"/>
        <w:spacing w:line="260" w:lineRule="atLeast"/>
        <w:jc w:val="both"/>
        <w:rPr>
          <w:rFonts w:cs="Arial"/>
          <w:b w:val="0"/>
          <w:bCs/>
          <w:i/>
          <w:iCs/>
          <w:sz w:val="20"/>
          <w:szCs w:val="20"/>
        </w:rPr>
      </w:pPr>
    </w:p>
    <w:p w14:paraId="129701CC"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platforma za storitve družbenega mreženja je platforma, ki končnim uporabnikom omogoča, da se povezujejo, si izmenjujejo vsebine, se spoznavajo in komunicirajo med seboj prek več naprav ter zlasti s klepeti, objavami videoposnetki in sporočili;</w:t>
      </w:r>
    </w:p>
    <w:p w14:paraId="462C9FE3" w14:textId="77777777" w:rsidR="00C50F53" w:rsidRPr="00C50F53" w:rsidRDefault="00C50F53" w:rsidP="00C50F53">
      <w:pPr>
        <w:pStyle w:val="lennaslov0"/>
        <w:spacing w:line="260" w:lineRule="atLeast"/>
        <w:jc w:val="both"/>
        <w:rPr>
          <w:rFonts w:cs="Arial"/>
          <w:b w:val="0"/>
          <w:bCs/>
          <w:sz w:val="20"/>
          <w:szCs w:val="20"/>
        </w:rPr>
      </w:pPr>
    </w:p>
    <w:p w14:paraId="38FEAAD2"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pomembna kibernetska grožnja je kibernetska grožnja, za katero se glede na njene tehnične značilnosti lahko domneva, da bi lahko resno negativno vplivala na omrežne in informacijske sisteme subjekta ali na uporabnike njegovih storitev, tako da bi povzročila znatno premoženjsko ali nepremoženjsko škodo;</w:t>
      </w:r>
    </w:p>
    <w:p w14:paraId="1CEC0E96" w14:textId="77777777" w:rsidR="00C50F53" w:rsidRPr="00C50F53" w:rsidRDefault="00C50F53" w:rsidP="00C50F53">
      <w:pPr>
        <w:pStyle w:val="lennaslov0"/>
        <w:spacing w:line="260" w:lineRule="atLeast"/>
        <w:jc w:val="both"/>
        <w:rPr>
          <w:rFonts w:cs="Arial"/>
          <w:b w:val="0"/>
          <w:bCs/>
          <w:sz w:val="20"/>
          <w:szCs w:val="20"/>
        </w:rPr>
      </w:pPr>
    </w:p>
    <w:p w14:paraId="26F8513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ponudnik kvalificiranih storitev zaupanja je ponudnik storitev zaupanja, ki zagotavlja eno ali več storitev zaupanja in mu nadzorni organ dodeli kvalificirani status;</w:t>
      </w:r>
    </w:p>
    <w:p w14:paraId="1F511BE1" w14:textId="77777777" w:rsidR="00C50F53" w:rsidRPr="00C50F53" w:rsidRDefault="00C50F53" w:rsidP="00C50F53">
      <w:pPr>
        <w:pStyle w:val="lennaslov0"/>
        <w:spacing w:line="260" w:lineRule="atLeast"/>
        <w:jc w:val="both"/>
        <w:rPr>
          <w:rFonts w:cs="Arial"/>
          <w:b w:val="0"/>
          <w:bCs/>
          <w:sz w:val="20"/>
          <w:szCs w:val="20"/>
        </w:rPr>
      </w:pPr>
    </w:p>
    <w:p w14:paraId="05A7393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ponudnik storitev sistema domenskih imen (v nadaljnjem besedilu: ponudnik storitev DNS) je subjekt, ki opravlja:</w:t>
      </w:r>
    </w:p>
    <w:p w14:paraId="7B4BC355"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javno dostopne storitve rekurzivnega razreševanja domenskih imen za končne uporabnike interneta ali</w:t>
      </w:r>
    </w:p>
    <w:p w14:paraId="24917C7B"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storitve avtoritativnega razreševanja domenskih imen za uporabo s strani tretjih oseb, razen za korenske imenske strežnike.</w:t>
      </w:r>
    </w:p>
    <w:p w14:paraId="7C614409" w14:textId="77777777" w:rsidR="00C50F53" w:rsidRPr="00C50F53" w:rsidRDefault="00C50F53" w:rsidP="00C50F53">
      <w:pPr>
        <w:pStyle w:val="lennaslov0"/>
        <w:spacing w:line="260" w:lineRule="atLeast"/>
        <w:jc w:val="both"/>
        <w:rPr>
          <w:rFonts w:cs="Arial"/>
          <w:b w:val="0"/>
          <w:bCs/>
          <w:sz w:val="20"/>
          <w:szCs w:val="20"/>
        </w:rPr>
      </w:pPr>
    </w:p>
    <w:p w14:paraId="3A7C06C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ponudnik storitev zaupanja je fizična ali pravna oseba, ki zagotavlja eno ali več storitev zaupanja, kot ponudnik kvalificiranih ali nekvalificiranih storitev zaupanja;</w:t>
      </w:r>
    </w:p>
    <w:p w14:paraId="431DD84A" w14:textId="77777777" w:rsidR="00C50F53" w:rsidRPr="00C50F53" w:rsidRDefault="00C50F53" w:rsidP="00C50F53">
      <w:pPr>
        <w:pStyle w:val="lennaslov0"/>
        <w:spacing w:line="260" w:lineRule="atLeast"/>
        <w:jc w:val="both"/>
        <w:rPr>
          <w:rFonts w:cs="Arial"/>
          <w:b w:val="0"/>
          <w:bCs/>
          <w:sz w:val="20"/>
          <w:szCs w:val="20"/>
        </w:rPr>
      </w:pPr>
    </w:p>
    <w:p w14:paraId="6AFF655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ponudnik upravljanih storitev je subjekt, ki opravlja storitve v zvezi z namestitvijo, upravljanjem, delovanjem ali vzdrževanjem proizvodov IKT, omrežij, infrastrukture, aplikacij ali katerih koli drugih omrežnih in informacijskih sistemov, in sicer s pomočjo ali aktivnim upravljanjem, ki se izvaja bodisi v prostorih strank bodisi na daljavo;</w:t>
      </w:r>
    </w:p>
    <w:p w14:paraId="62DFF8B2" w14:textId="77777777" w:rsidR="00C50F53" w:rsidRPr="00C50F53" w:rsidRDefault="00C50F53" w:rsidP="00C50F53">
      <w:pPr>
        <w:pStyle w:val="lennaslov0"/>
        <w:spacing w:line="260" w:lineRule="atLeast"/>
        <w:jc w:val="both"/>
        <w:rPr>
          <w:rFonts w:cs="Arial"/>
          <w:b w:val="0"/>
          <w:bCs/>
          <w:sz w:val="20"/>
          <w:szCs w:val="20"/>
        </w:rPr>
      </w:pPr>
    </w:p>
    <w:p w14:paraId="4554BE1F"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ponudnik upravljanih varnostnih storitev je ponudnik upravljanih storitev, ki izvaja ali opravlja pomoč za dejavnosti, povezane z obvladovanjem tveganj za kibernetsko varnost;</w:t>
      </w:r>
    </w:p>
    <w:p w14:paraId="5F0E95F5" w14:textId="77777777" w:rsidR="00C50F53" w:rsidRPr="00C50F53" w:rsidRDefault="00C50F53" w:rsidP="00C50F53">
      <w:pPr>
        <w:pStyle w:val="lennaslov0"/>
        <w:spacing w:line="260" w:lineRule="atLeast"/>
        <w:jc w:val="both"/>
        <w:rPr>
          <w:rFonts w:cs="Arial"/>
          <w:b w:val="0"/>
          <w:bCs/>
          <w:sz w:val="20"/>
          <w:szCs w:val="20"/>
        </w:rPr>
      </w:pPr>
    </w:p>
    <w:p w14:paraId="4D9BCB05"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postopek IKT je sklop dejavnosti, ki se izvaja za zasnovo, razvoj, dobavo ali vzdrževanje proizvoda ali storitve IKT;</w:t>
      </w:r>
    </w:p>
    <w:p w14:paraId="6CC851AF" w14:textId="77777777" w:rsidR="00C50F53" w:rsidRPr="00C50F53" w:rsidRDefault="00C50F53" w:rsidP="00C50F53">
      <w:pPr>
        <w:pStyle w:val="Odstavekseznama"/>
        <w:ind w:left="0"/>
        <w:rPr>
          <w:rFonts w:cs="Arial"/>
          <w:b/>
          <w:bCs/>
          <w:szCs w:val="20"/>
          <w:lang w:val="sl-SI"/>
        </w:rPr>
      </w:pPr>
    </w:p>
    <w:p w14:paraId="5BF2A2B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povezani subjekt je državni organ, organ lokalne skupnosti, javna agencija, nosilec javnih pooblastil in drugi subjekt, ki se povezuje s centralnim državnim informacijsko-komunikacijskim sistemom;</w:t>
      </w:r>
    </w:p>
    <w:p w14:paraId="0659B907" w14:textId="77777777" w:rsidR="00C50F53" w:rsidRPr="00C50F53" w:rsidRDefault="00C50F53" w:rsidP="00C50F53">
      <w:pPr>
        <w:pStyle w:val="Odstavekseznama"/>
        <w:ind w:left="0"/>
        <w:rPr>
          <w:rFonts w:cs="Arial"/>
          <w:b/>
          <w:bCs/>
          <w:szCs w:val="20"/>
          <w:lang w:val="sl-SI"/>
        </w:rPr>
      </w:pPr>
    </w:p>
    <w:p w14:paraId="3B1BF3E5"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proizvod IKT je element ali skupina elementov omrežja ali informacijskega sistema;</w:t>
      </w:r>
    </w:p>
    <w:p w14:paraId="3A68746E" w14:textId="77777777" w:rsidR="00C50F53" w:rsidRPr="00C50F53" w:rsidRDefault="00C50F53" w:rsidP="00C50F53">
      <w:pPr>
        <w:pStyle w:val="lennaslov0"/>
        <w:spacing w:line="260" w:lineRule="atLeast"/>
        <w:jc w:val="both"/>
        <w:rPr>
          <w:rFonts w:cs="Arial"/>
          <w:b w:val="0"/>
          <w:bCs/>
          <w:sz w:val="20"/>
          <w:szCs w:val="20"/>
        </w:rPr>
      </w:pPr>
    </w:p>
    <w:p w14:paraId="54476A70"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lastRenderedPageBreak/>
        <w:t>predstavnik iz V. poglavja tega zakona je fizična ali pravna oseba s sedežem v državi članici Evropske unije, pri čemer je ta oseba izrecno imenovana, da deluje v imenu ponudnika storitev DNS, registra vrhnjih domenskih (v nadaljnjem besedilu: TLD) imen, subjekta, ki opravlja storitve registracije domenskih imen, ponudnika storitev računalništva v oblaku, ponudnika storitev podatkovnega centra, ponudnika omrežja za dostavo vsebine, ponudnika upravljanih storitev, ponudnika upravljanih varnostnih storitev ali ponudnika spletne tržnice, spletnega iskalnika ali platforme za storitve družbenega mreženja, ki nima sedeža v državi članici Evropske unije, s katerim lahko pristojni organ ali skupina CSIRT vzpostavi stik namesto z zadevnim subjektom v zvezi z obveznostmi zadevnega subjekta na podlagi tega zakona;</w:t>
      </w:r>
    </w:p>
    <w:p w14:paraId="52CB39A8" w14:textId="77777777" w:rsidR="00C50F53" w:rsidRPr="00C50F53" w:rsidRDefault="00C50F53" w:rsidP="00C50F53">
      <w:pPr>
        <w:pStyle w:val="lennaslov0"/>
        <w:spacing w:line="260" w:lineRule="atLeast"/>
        <w:jc w:val="both"/>
        <w:rPr>
          <w:rFonts w:cs="Arial"/>
          <w:b w:val="0"/>
          <w:bCs/>
          <w:sz w:val="20"/>
          <w:szCs w:val="20"/>
        </w:rPr>
      </w:pPr>
    </w:p>
    <w:p w14:paraId="596FBC3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ranljivost je pomanjkljivost, dovzetnost ali napaka proizvoda ali storitve IKT, ki jo kibernetska grožnja lahko izkoristi;</w:t>
      </w:r>
    </w:p>
    <w:p w14:paraId="2E958B0A" w14:textId="77777777" w:rsidR="00C50F53" w:rsidRPr="00C50F53" w:rsidRDefault="00C50F53" w:rsidP="00C50F53">
      <w:pPr>
        <w:pStyle w:val="lennaslov0"/>
        <w:spacing w:line="260" w:lineRule="atLeast"/>
        <w:jc w:val="both"/>
        <w:rPr>
          <w:rFonts w:cs="Arial"/>
          <w:b w:val="0"/>
          <w:bCs/>
          <w:sz w:val="20"/>
          <w:szCs w:val="20"/>
        </w:rPr>
      </w:pPr>
    </w:p>
    <w:p w14:paraId="3A03C36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raziskovalna organizacija je, ne glede na zakon, ki ureja znanstvenoraziskovalno dejavnost, subjekt, ki poglavitni del svojih dejavnosti namenja izvajanju uporabnih raziskav ali eksperimentalnemu razvoju z namenom uporabe rezultatov teh raziskav v komercialne namene, vendar ne vključuje akademskih in drugih izobraževalnih ustanov;</w:t>
      </w:r>
    </w:p>
    <w:p w14:paraId="3D6CAFF8" w14:textId="77777777" w:rsidR="00C50F53" w:rsidRPr="00C50F53" w:rsidRDefault="00C50F53" w:rsidP="00C50F53">
      <w:pPr>
        <w:pStyle w:val="lennaslov0"/>
        <w:spacing w:line="260" w:lineRule="atLeast"/>
        <w:jc w:val="both"/>
        <w:rPr>
          <w:rFonts w:cs="Arial"/>
          <w:b w:val="0"/>
          <w:bCs/>
          <w:sz w:val="20"/>
          <w:szCs w:val="20"/>
        </w:rPr>
      </w:pPr>
    </w:p>
    <w:p w14:paraId="0DA79D9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register vrhnjih domenskih imen (v nadaljnjem besedilu: register TLD imen) je subjekt, ki mu je bila dodeljena določena vrhnja domena in je odgovoren za njeno upravljanje, vključno z registracijo domenskih imen pod vrhnjo domeno in tehničnim upravljanjem vrhnje domene, vključno z upravljanjem njenih imenskih strežnikov, vzdrževanjem njenih podatkovnih zbirk in porazdelitvijo datotek območij vrhnje domene po imenskih strežnikih, ne glede na to, ali katero od teh dejavnosti subjekt izvaja sam ali jo izvajajo zunanji izvajalci, izključeni pa so primeri, v katerih register TLD imen uporablja vrhnja domenska imena zgolj za lastne potrebe;</w:t>
      </w:r>
    </w:p>
    <w:p w14:paraId="7255F4FC" w14:textId="77777777" w:rsidR="00C50F53" w:rsidRPr="00C50F53" w:rsidRDefault="00C50F53" w:rsidP="00C50F53">
      <w:pPr>
        <w:pStyle w:val="lennaslov0"/>
        <w:spacing w:line="260" w:lineRule="atLeast"/>
        <w:jc w:val="both"/>
        <w:rPr>
          <w:rFonts w:cs="Arial"/>
          <w:b w:val="0"/>
          <w:bCs/>
          <w:sz w:val="20"/>
          <w:szCs w:val="20"/>
        </w:rPr>
      </w:pPr>
    </w:p>
    <w:p w14:paraId="66A451C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revizijska sled je nespremenljiva sled oziroma niz podatkov o dogodku, ki se je zgodil v informacijskem sistemu ali napravi, z natančnim časovnim zapisom;</w:t>
      </w:r>
    </w:p>
    <w:p w14:paraId="48E2C877" w14:textId="77777777" w:rsidR="00C50F53" w:rsidRPr="00C50F53" w:rsidRDefault="00C50F53" w:rsidP="00C50F53">
      <w:pPr>
        <w:pStyle w:val="Odstavekseznama"/>
        <w:ind w:left="0"/>
        <w:rPr>
          <w:rFonts w:cs="Arial"/>
          <w:b/>
          <w:bCs/>
          <w:szCs w:val="20"/>
          <w:lang w:val="sl-SI"/>
        </w:rPr>
      </w:pPr>
    </w:p>
    <w:p w14:paraId="3F315067" w14:textId="4A6B8F41"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 xml:space="preserve">revizor informacijskih sistemov je preizkušeni revizor informacijskih sistemov z ustreznim revizijskim znanjem, ki je strokovni naziv pridobil pri Slovenskem inštitutu za revizijo in je vpisan v njegov register aktivnih preizkušenih revizorjev informacijskih sistemov; </w:t>
      </w:r>
    </w:p>
    <w:p w14:paraId="61E64AB8" w14:textId="77777777" w:rsidR="00C50F53" w:rsidRPr="00C50F53" w:rsidRDefault="00C50F53" w:rsidP="00C50F53">
      <w:pPr>
        <w:pStyle w:val="lennaslov0"/>
        <w:spacing w:line="260" w:lineRule="atLeast"/>
        <w:jc w:val="both"/>
        <w:rPr>
          <w:rFonts w:cs="Arial"/>
          <w:b w:val="0"/>
          <w:bCs/>
          <w:sz w:val="20"/>
          <w:szCs w:val="20"/>
        </w:rPr>
      </w:pPr>
    </w:p>
    <w:p w14:paraId="5ACD63BC"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sektorske skupnosti zavezancev so skupine zavezancev, ki delujejo v istem sektorju in se osredotočajo na posamični sektor z namenom izmenjave informacij, sodelovanja in reševanja skupnih izzivov;</w:t>
      </w:r>
    </w:p>
    <w:p w14:paraId="14781CE9" w14:textId="77777777" w:rsidR="00C50F53" w:rsidRPr="00C50F53" w:rsidRDefault="00C50F53" w:rsidP="00C50F53">
      <w:pPr>
        <w:pStyle w:val="lennaslov0"/>
        <w:spacing w:line="260" w:lineRule="atLeast"/>
        <w:jc w:val="both"/>
        <w:rPr>
          <w:rFonts w:cs="Arial"/>
          <w:b w:val="0"/>
          <w:bCs/>
          <w:sz w:val="20"/>
          <w:szCs w:val="20"/>
        </w:rPr>
      </w:pPr>
    </w:p>
    <w:p w14:paraId="5EF9C28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semaforski protokol je skupek pravil in dogovorov o omejitvah v zvezi z nadaljnjim širjenjem prejetih ali deljenih informacij, kot ga uporabljajo pri izmenjavi informacij skupine CSIRT;</w:t>
      </w:r>
    </w:p>
    <w:p w14:paraId="2EA985FF" w14:textId="77777777" w:rsidR="00C50F53" w:rsidRPr="00C50F53" w:rsidRDefault="00C50F53" w:rsidP="00C50F53">
      <w:pPr>
        <w:pStyle w:val="lennaslov0"/>
        <w:spacing w:line="260" w:lineRule="atLeast"/>
        <w:jc w:val="both"/>
        <w:rPr>
          <w:rFonts w:cs="Arial"/>
          <w:b w:val="0"/>
          <w:bCs/>
          <w:sz w:val="20"/>
          <w:szCs w:val="20"/>
        </w:rPr>
      </w:pPr>
    </w:p>
    <w:p w14:paraId="38865B42"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sistem domenskih imen (v nadaljnjem besedilu: DNS) je hierarhično porazdeljen sistem poimenovanja, ki omogoča identifikacijo internetnih storitev in virov ter napravam končnih uporabnikov omogoča, da z uporabo internetnih storitev usmerjanja in povezljivosti dostopajo do teh storitev in virov;</w:t>
      </w:r>
    </w:p>
    <w:p w14:paraId="1567C1BB" w14:textId="77777777" w:rsidR="00C50F53" w:rsidRPr="00C50F53" w:rsidRDefault="00C50F53" w:rsidP="00C50F53">
      <w:pPr>
        <w:pStyle w:val="lennaslov0"/>
        <w:spacing w:line="260" w:lineRule="atLeast"/>
        <w:jc w:val="both"/>
        <w:rPr>
          <w:rFonts w:cs="Arial"/>
          <w:b w:val="0"/>
          <w:bCs/>
          <w:sz w:val="20"/>
          <w:szCs w:val="20"/>
        </w:rPr>
      </w:pPr>
    </w:p>
    <w:p w14:paraId="487FD2B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skorajšnji incident je dogodek, ki bi lahko ogrozil razpoložljivost, avtentičnost, celovitost ali zaupnost shranjenih, prenesenih ali obdelanih podatkov ali storitev, ki jih omrežni in informacijski sistemi zagotavljajo ali so prek njih dostopni, vendar se je uspešno preprečilo, da bi se ta dogodek uresničil, ali se ni uresničil;</w:t>
      </w:r>
    </w:p>
    <w:p w14:paraId="6AC47227" w14:textId="77777777" w:rsidR="00C50F53" w:rsidRPr="00C50F53" w:rsidRDefault="00C50F53" w:rsidP="00C50F53">
      <w:pPr>
        <w:pStyle w:val="lennaslov0"/>
        <w:spacing w:line="260" w:lineRule="atLeast"/>
        <w:jc w:val="both"/>
        <w:rPr>
          <w:rFonts w:cs="Arial"/>
          <w:b w:val="0"/>
          <w:bCs/>
          <w:sz w:val="20"/>
          <w:szCs w:val="20"/>
        </w:rPr>
      </w:pPr>
    </w:p>
    <w:p w14:paraId="0D5C25A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skrbnik informacijsko-komunikacijskega sistema je oseba, odgovorna za upravljanje, vzdrževanje in zaščito informacijskega sistema v organizaciji;</w:t>
      </w:r>
    </w:p>
    <w:p w14:paraId="231E19B8" w14:textId="77777777" w:rsidR="00C50F53" w:rsidRPr="00C50F53" w:rsidRDefault="00C50F53" w:rsidP="00C50F53">
      <w:pPr>
        <w:pStyle w:val="lennaslov0"/>
        <w:spacing w:line="260" w:lineRule="atLeast"/>
        <w:jc w:val="both"/>
        <w:rPr>
          <w:rFonts w:cs="Arial"/>
          <w:b w:val="0"/>
          <w:bCs/>
          <w:sz w:val="20"/>
          <w:szCs w:val="20"/>
        </w:rPr>
      </w:pPr>
    </w:p>
    <w:p w14:paraId="54CD6057"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lastRenderedPageBreak/>
        <w:t>Skupina za sodelovanje je skupina, ki podpira in olajšuje strateško sodelovanje in izmenjavo informacij med državami članicami Evropske unije ter krepi zaupanje med njimi in jo sestavljajo predstavniki držav članic Evropske unije, Evropske komisije in Agencije Evropske unije za kibernetsko varnost (ENISA) ter Evropske službe za zunanje delovanje kot opazovalke;</w:t>
      </w:r>
    </w:p>
    <w:p w14:paraId="65F5C1CB" w14:textId="77777777" w:rsidR="00C50F53" w:rsidRPr="00C50F53" w:rsidRDefault="00C50F53" w:rsidP="00C50F53">
      <w:pPr>
        <w:pStyle w:val="lennaslov0"/>
        <w:spacing w:line="260" w:lineRule="atLeast"/>
        <w:jc w:val="both"/>
        <w:rPr>
          <w:rFonts w:cs="Arial"/>
          <w:b w:val="0"/>
          <w:bCs/>
          <w:sz w:val="20"/>
          <w:szCs w:val="20"/>
        </w:rPr>
      </w:pPr>
    </w:p>
    <w:p w14:paraId="201880EF"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spletni iskalnik je digitalna storitev, ki uporabnikom omogoča vnos poizvedb za izvedbo iskanja po vseh spletiščih ali vseh spletiščih v določenem jeziku, na podlagi poizvedbe na katero koli temo v obliki ključne besede, glasovne zahteve, fraze ali drugega vnosa, poda pa rezultate v katerem koli formatu z informacijami o zahtevani vsebini;</w:t>
      </w:r>
    </w:p>
    <w:p w14:paraId="671711C9" w14:textId="77777777" w:rsidR="00C50F53" w:rsidRPr="00C50F53" w:rsidRDefault="00C50F53" w:rsidP="00C50F53">
      <w:pPr>
        <w:pStyle w:val="lennaslov0"/>
        <w:spacing w:line="260" w:lineRule="atLeast"/>
        <w:jc w:val="both"/>
        <w:rPr>
          <w:rFonts w:cs="Arial"/>
          <w:b w:val="0"/>
          <w:bCs/>
          <w:sz w:val="20"/>
          <w:szCs w:val="20"/>
        </w:rPr>
      </w:pPr>
    </w:p>
    <w:p w14:paraId="7B12385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spletna tržnica je storitev, ki uporablja programsko opremo, vključno s spletno stranjo, delom spletne strani ali aplikacije, ki jo upravlja trgovec ali nekdo v njegovem imenu, in ki potrošnikom omogoča, da sklepajo pogodbe na daljavo z drugimi trgovci ali potrošniki;</w:t>
      </w:r>
    </w:p>
    <w:p w14:paraId="05093AA7" w14:textId="77777777" w:rsidR="00C50F53" w:rsidRPr="00C50F53" w:rsidRDefault="00C50F53" w:rsidP="00C50F53">
      <w:pPr>
        <w:pStyle w:val="lennaslov0"/>
        <w:spacing w:line="260" w:lineRule="atLeast"/>
        <w:jc w:val="both"/>
        <w:rPr>
          <w:rFonts w:cs="Arial"/>
          <w:b w:val="0"/>
          <w:bCs/>
          <w:sz w:val="20"/>
          <w:szCs w:val="20"/>
        </w:rPr>
      </w:pPr>
    </w:p>
    <w:p w14:paraId="4E1BDDA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standard je tehnična specifikacija, ki jo je sprejel priznani organ za standardizacijo za večkratno ali stalno uporabo, s katero ni obvezna skladnost in spada v eno izmed naslednjih kategorij:</w:t>
      </w:r>
    </w:p>
    <w:p w14:paraId="1E141ADA"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mednarodni standard pomeni standard, ki ga je sprejel mednarodni organ za standardizacijo,</w:t>
      </w:r>
    </w:p>
    <w:p w14:paraId="0456F158"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evropski standard pomeni standard, ki ga je sprejela evropska organizacija za standardizacijo,</w:t>
      </w:r>
    </w:p>
    <w:p w14:paraId="16756FC6"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harmonizirani standard pomeni evropski standard, sprejet na podlagi zahteve Evropske komisije za uporabo usklajevalne zakonodaje Evropske unije,</w:t>
      </w:r>
    </w:p>
    <w:p w14:paraId="324DB840"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nacionalni standard pomeni standard, ki ga je sprejel nacionalni organ za standardizacijo;</w:t>
      </w:r>
    </w:p>
    <w:p w14:paraId="6AA2475D" w14:textId="77777777" w:rsidR="00C50F53" w:rsidRPr="00C50F53" w:rsidRDefault="00C50F53" w:rsidP="00C50F53">
      <w:pPr>
        <w:pStyle w:val="lennaslov0"/>
        <w:spacing w:line="260" w:lineRule="atLeast"/>
        <w:jc w:val="both"/>
        <w:rPr>
          <w:rFonts w:cs="Arial"/>
          <w:b w:val="0"/>
          <w:bCs/>
          <w:sz w:val="20"/>
          <w:szCs w:val="20"/>
        </w:rPr>
      </w:pPr>
    </w:p>
    <w:p w14:paraId="6E98AC00"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stičišče omrežij je omrežna zmogljivost, ki omogoča medsebojno povezavo več kot dveh neodvisnih omrežij (avtonomnih sistemov), predvsem zaradi izmenjave internetnega prometa, ter ki zagotavlja medsebojno povezavo zgolj avtonomnim sistemom, ne zahteva, da izmenjava internetnega prometa med katerima koli sodelujočima avtonomnima sistemoma prehaja prek tretjega avtonomnega sistema, in ne spreminja takšnega prometa ali kako drugače posega vanj;</w:t>
      </w:r>
    </w:p>
    <w:p w14:paraId="720B6772" w14:textId="77777777" w:rsidR="00C50F53" w:rsidRPr="00C50F53" w:rsidRDefault="00C50F53" w:rsidP="00C50F53">
      <w:pPr>
        <w:pStyle w:val="lennaslov0"/>
        <w:spacing w:line="260" w:lineRule="atLeast"/>
        <w:jc w:val="both"/>
        <w:rPr>
          <w:rFonts w:cs="Arial"/>
          <w:b w:val="0"/>
          <w:bCs/>
          <w:sz w:val="20"/>
          <w:szCs w:val="20"/>
        </w:rPr>
      </w:pPr>
    </w:p>
    <w:p w14:paraId="3A8C6C8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storitev IKT je storitev, ki v celoti ali pretežno zajema prenos, shranjevanje, priklic ali obdelavo informacij prek omrežij in informacijskih sistemov;</w:t>
      </w:r>
    </w:p>
    <w:p w14:paraId="382CA1CE" w14:textId="77777777" w:rsidR="00C50F53" w:rsidRPr="00C50F53" w:rsidRDefault="00C50F53" w:rsidP="00C50F53">
      <w:pPr>
        <w:pStyle w:val="lennaslov0"/>
        <w:spacing w:line="260" w:lineRule="atLeast"/>
        <w:jc w:val="both"/>
        <w:rPr>
          <w:rFonts w:cs="Arial"/>
          <w:b w:val="0"/>
          <w:bCs/>
          <w:sz w:val="20"/>
          <w:szCs w:val="20"/>
        </w:rPr>
      </w:pPr>
    </w:p>
    <w:p w14:paraId="2348341B"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storitev podatkovnega centra je storitev, ki vključuje strukture ali skupine struktur, namenjene centralizirani namestitvi, medsebojnemu povezovanju in delovanju opreme za informacijsko tehnologijo in omrežne opreme, za storitve shranjevanja, obdelave in prenosa podatkov, skupaj z vsemi zmogljivostmi in infrastrukturami za zagotavljanje nemotene dobave električne energije in zagotavljanje zahtevanih okoljskih razmer v podatkovnem centru;</w:t>
      </w:r>
    </w:p>
    <w:p w14:paraId="2403A23D" w14:textId="77777777" w:rsidR="00C50F53" w:rsidRPr="00C50F53" w:rsidRDefault="00C50F53" w:rsidP="00C50F53">
      <w:pPr>
        <w:pStyle w:val="lennaslov0"/>
        <w:spacing w:line="260" w:lineRule="atLeast"/>
        <w:jc w:val="both"/>
        <w:rPr>
          <w:rFonts w:cs="Arial"/>
          <w:b w:val="0"/>
          <w:bCs/>
          <w:sz w:val="20"/>
          <w:szCs w:val="20"/>
        </w:rPr>
      </w:pPr>
    </w:p>
    <w:p w14:paraId="3A73BB01"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storitev v oblaku je digitalna storitev, ki omogoča upravljanje na zahtevo in širok oddaljeni dostop do prožnega in po obsegu prilagodljivega nabora deljivih računalniških virov, tudi kadar so ti viri porazdeljeni na več lokacijah;</w:t>
      </w:r>
    </w:p>
    <w:p w14:paraId="04D9DBBA" w14:textId="77777777" w:rsidR="00C50F53" w:rsidRPr="00C50F53" w:rsidRDefault="00C50F53" w:rsidP="00C50F53">
      <w:pPr>
        <w:pStyle w:val="lennaslov0"/>
        <w:spacing w:line="260" w:lineRule="atLeast"/>
        <w:jc w:val="both"/>
        <w:rPr>
          <w:rFonts w:cs="Arial"/>
          <w:b w:val="0"/>
          <w:bCs/>
          <w:sz w:val="20"/>
          <w:szCs w:val="20"/>
        </w:rPr>
      </w:pPr>
    </w:p>
    <w:p w14:paraId="34CF1130"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storitev zaupanja je elektronska storitev, ki se praviloma opravlja za plačilo in vključuje:</w:t>
      </w:r>
    </w:p>
    <w:p w14:paraId="06D33522"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ustvarjanje, preverjanje in potrjevanje veljavnosti elektronskih podpisov, elektronskih žigov ali elektronskih časovnih žigov, storitev elektronske priporočene dostave in potrdil, povezanih s temi storitvami, ali</w:t>
      </w:r>
    </w:p>
    <w:p w14:paraId="6FAA12E5"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ustvarjanje, preverjanje in potrjevanje veljavnosti potrdil za avtentikacijo spletišč ali</w:t>
      </w:r>
    </w:p>
    <w:p w14:paraId="6AA3C836" w14:textId="77777777" w:rsidR="00C50F53" w:rsidRPr="00C50F53" w:rsidRDefault="00C50F53" w:rsidP="00C50F53">
      <w:pPr>
        <w:pStyle w:val="lennaslov0"/>
        <w:spacing w:line="260" w:lineRule="atLeast"/>
        <w:ind w:left="1134"/>
        <w:jc w:val="both"/>
        <w:rPr>
          <w:rFonts w:cs="Arial"/>
          <w:b w:val="0"/>
          <w:bCs/>
          <w:sz w:val="20"/>
          <w:szCs w:val="20"/>
        </w:rPr>
      </w:pPr>
      <w:r w:rsidRPr="00C50F53">
        <w:rPr>
          <w:rFonts w:cs="Arial"/>
          <w:b w:val="0"/>
          <w:bCs/>
          <w:sz w:val="20"/>
          <w:szCs w:val="20"/>
        </w:rPr>
        <w:t>‒ hrambo elektronskih podpisov, žigov ali potrdil, povezanih s temi storitvami;</w:t>
      </w:r>
    </w:p>
    <w:p w14:paraId="2844A48C" w14:textId="77777777" w:rsidR="00C50F53" w:rsidRPr="00C50F53" w:rsidRDefault="00C50F53" w:rsidP="00C50F53">
      <w:pPr>
        <w:pStyle w:val="lennaslov0"/>
        <w:spacing w:line="260" w:lineRule="atLeast"/>
        <w:jc w:val="both"/>
        <w:rPr>
          <w:rFonts w:cs="Arial"/>
          <w:b w:val="0"/>
          <w:bCs/>
          <w:sz w:val="20"/>
          <w:szCs w:val="20"/>
        </w:rPr>
      </w:pPr>
    </w:p>
    <w:p w14:paraId="6C695C08"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lastRenderedPageBreak/>
        <w:t>subjekt, ki opravlja storitve registracije domenskih imen, je registrar ali zastopnik, ki deluje v imenu registrarja, kot je ponudnik storitev registracije za zasebnost ali pooblaščenec ali preprodajalec;</w:t>
      </w:r>
    </w:p>
    <w:p w14:paraId="20FCA28F" w14:textId="77777777" w:rsidR="00C50F53" w:rsidRPr="00C50F53" w:rsidRDefault="00C50F53" w:rsidP="00C50F53">
      <w:pPr>
        <w:pStyle w:val="lennaslov0"/>
        <w:spacing w:line="260" w:lineRule="atLeast"/>
        <w:jc w:val="both"/>
        <w:rPr>
          <w:rFonts w:cs="Arial"/>
          <w:b w:val="0"/>
          <w:bCs/>
          <w:sz w:val="20"/>
          <w:szCs w:val="20"/>
        </w:rPr>
      </w:pPr>
    </w:p>
    <w:p w14:paraId="16F500F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subjekt je oseba javnega ali zasebnega prava;</w:t>
      </w:r>
    </w:p>
    <w:p w14:paraId="50330CB3" w14:textId="77777777" w:rsidR="00C50F53" w:rsidRPr="00C50F53" w:rsidRDefault="00C50F53" w:rsidP="00C50F53">
      <w:pPr>
        <w:pStyle w:val="lennaslov0"/>
        <w:spacing w:line="260" w:lineRule="atLeast"/>
        <w:jc w:val="both"/>
        <w:rPr>
          <w:rFonts w:cs="Arial"/>
          <w:b w:val="0"/>
          <w:bCs/>
          <w:sz w:val="20"/>
          <w:szCs w:val="20"/>
        </w:rPr>
      </w:pPr>
    </w:p>
    <w:p w14:paraId="517B0A5D"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subjekti javne uprave so subjekti javne uprave na državni in lokalni ravni, ki so ustanovljeni z javnopravnim aktom, razen pravosodnega sistema (vključno s sistemom državnega tožilstva in Ustavnim sodiščem Republike Slovenije), Državnega zbora Republike Slovenije, Državnega sveta Republike Slovenije in Banke Slovenije;</w:t>
      </w:r>
    </w:p>
    <w:p w14:paraId="78497BBB" w14:textId="77777777" w:rsidR="00C50F53" w:rsidRPr="00C50F53" w:rsidRDefault="00C50F53" w:rsidP="00C50F53">
      <w:pPr>
        <w:pStyle w:val="lennaslov0"/>
        <w:spacing w:line="260" w:lineRule="atLeast"/>
        <w:jc w:val="both"/>
        <w:rPr>
          <w:rFonts w:cs="Arial"/>
          <w:b w:val="0"/>
          <w:bCs/>
          <w:sz w:val="20"/>
          <w:szCs w:val="20"/>
        </w:rPr>
      </w:pPr>
    </w:p>
    <w:p w14:paraId="361CAEFE"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bookmarkStart w:id="45" w:name="_Hlk187846628"/>
      <w:r w:rsidRPr="00C50F53">
        <w:rPr>
          <w:rFonts w:cs="Arial"/>
          <w:b w:val="0"/>
          <w:bCs/>
          <w:sz w:val="20"/>
          <w:szCs w:val="20"/>
        </w:rPr>
        <w:t xml:space="preserve">subjekti javne uprave na državni ravni so ministrstva, organi v njihovi sestavi, vladne službe in upravne enote ter tisti javni infrastrukturni zavodi, ki so ustanovljeni v skladu z zakonom, ki ureja znanstvenoraziskovalno in inovacijsko dejavnost. Mednje spadajo tudi drugi subjekti javne uprave, ki izvajajo naloge na državni ravni in je njihova ustanoviteljica Republika Slovenija iz Priloge 3, ki je kot Priloga sestavni del tega zakona; </w:t>
      </w:r>
    </w:p>
    <w:bookmarkEnd w:id="45"/>
    <w:p w14:paraId="05721C12" w14:textId="77777777" w:rsidR="00C50F53" w:rsidRPr="00C50F53" w:rsidRDefault="00C50F53" w:rsidP="00C50F53">
      <w:pPr>
        <w:pStyle w:val="lennaslov0"/>
        <w:spacing w:line="260" w:lineRule="atLeast"/>
        <w:jc w:val="both"/>
        <w:rPr>
          <w:rFonts w:cs="Arial"/>
          <w:b w:val="0"/>
          <w:bCs/>
          <w:sz w:val="20"/>
          <w:szCs w:val="20"/>
        </w:rPr>
      </w:pPr>
    </w:p>
    <w:p w14:paraId="05AB9132"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subjekti javne uprave na lokalni ravni so občine;</w:t>
      </w:r>
    </w:p>
    <w:p w14:paraId="21EDD68D" w14:textId="77777777" w:rsidR="00C50F53" w:rsidRPr="00C50F53" w:rsidRDefault="00C50F53" w:rsidP="00C50F53">
      <w:pPr>
        <w:pStyle w:val="lennaslov0"/>
        <w:spacing w:line="260" w:lineRule="atLeast"/>
        <w:jc w:val="both"/>
        <w:rPr>
          <w:rFonts w:cs="Arial"/>
          <w:b w:val="0"/>
          <w:bCs/>
          <w:sz w:val="20"/>
          <w:szCs w:val="20"/>
        </w:rPr>
      </w:pPr>
    </w:p>
    <w:p w14:paraId="3C4C9938"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tehnična specifikacija je tehnična specifikacija za informacijsko-komunikacijsko tehnologijo;</w:t>
      </w:r>
    </w:p>
    <w:p w14:paraId="619EC372" w14:textId="77777777" w:rsidR="00C50F53" w:rsidRPr="00C50F53" w:rsidRDefault="00C50F53" w:rsidP="00C50F53">
      <w:pPr>
        <w:pStyle w:val="Odstavekseznama"/>
        <w:ind w:left="0"/>
        <w:rPr>
          <w:rFonts w:cs="Arial"/>
          <w:b/>
          <w:bCs/>
          <w:szCs w:val="20"/>
          <w:lang w:val="sl-SI"/>
        </w:rPr>
      </w:pPr>
    </w:p>
    <w:p w14:paraId="22BCDEE8"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tretja država je država, ki ni članica Evropske unije, ali država, ki ni podpisnica Sporazuma o ustanovitvi Evropskega gospodarskega prostora (UL L št. 1 z dne 3. 1. 1994, str. 3);</w:t>
      </w:r>
    </w:p>
    <w:p w14:paraId="42C032BD" w14:textId="77777777" w:rsidR="00C50F53" w:rsidRPr="00C50F53" w:rsidRDefault="00C50F53" w:rsidP="00C50F53">
      <w:pPr>
        <w:pStyle w:val="lennaslov0"/>
        <w:spacing w:line="260" w:lineRule="atLeast"/>
        <w:jc w:val="both"/>
        <w:rPr>
          <w:rFonts w:cs="Arial"/>
          <w:b w:val="0"/>
          <w:bCs/>
          <w:sz w:val="20"/>
          <w:szCs w:val="20"/>
        </w:rPr>
      </w:pPr>
    </w:p>
    <w:p w14:paraId="626748EF"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tveganje je možnost izgube ali motnje zaradi incidenta ter je izraženo kot kombinacija razsežnosti izgube ali motnje in verjetnosti, da bi se incident zgodil;</w:t>
      </w:r>
    </w:p>
    <w:p w14:paraId="2F65F595" w14:textId="77777777" w:rsidR="00C50F53" w:rsidRPr="00C50F53" w:rsidRDefault="00C50F53" w:rsidP="00C50F53">
      <w:pPr>
        <w:pStyle w:val="Odstavekseznama"/>
        <w:ind w:left="0"/>
        <w:rPr>
          <w:rFonts w:cs="Arial"/>
          <w:b/>
          <w:bCs/>
          <w:szCs w:val="20"/>
          <w:lang w:val="sl-SI"/>
        </w:rPr>
      </w:pPr>
    </w:p>
    <w:p w14:paraId="758B192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varni kraj je lokacija, odporna proti okoljskim vplivom, podnebnim spremembam in drugim tveganjem, ki bi lahko ogrozili varno obravnavo incidentov ter zaščito informacij in sistemskih virov;</w:t>
      </w:r>
    </w:p>
    <w:p w14:paraId="74513766" w14:textId="77777777" w:rsidR="00C50F53" w:rsidRPr="00C50F53" w:rsidRDefault="00C50F53" w:rsidP="00C50F53">
      <w:pPr>
        <w:pStyle w:val="Odstavekseznama"/>
        <w:ind w:left="0"/>
        <w:rPr>
          <w:rFonts w:cs="Arial"/>
          <w:b/>
          <w:bCs/>
          <w:strike/>
          <w:szCs w:val="20"/>
          <w:lang w:val="sl-SI"/>
        </w:rPr>
      </w:pPr>
    </w:p>
    <w:p w14:paraId="6AC7277B" w14:textId="562D8584" w:rsidR="00C50F53" w:rsidRPr="00C50F53" w:rsidRDefault="00A60E02" w:rsidP="00E20E87">
      <w:pPr>
        <w:pStyle w:val="lennaslov0"/>
        <w:numPr>
          <w:ilvl w:val="0"/>
          <w:numId w:val="62"/>
        </w:numPr>
        <w:spacing w:line="260" w:lineRule="atLeast"/>
        <w:ind w:left="0" w:firstLine="0"/>
        <w:jc w:val="both"/>
        <w:rPr>
          <w:rFonts w:cs="Arial"/>
          <w:b w:val="0"/>
          <w:bCs/>
          <w:sz w:val="20"/>
          <w:szCs w:val="20"/>
        </w:rPr>
      </w:pPr>
      <w:r>
        <w:rPr>
          <w:rFonts w:cs="Arial"/>
          <w:b w:val="0"/>
          <w:bCs/>
          <w:sz w:val="20"/>
          <w:szCs w:val="20"/>
        </w:rPr>
        <w:t>v</w:t>
      </w:r>
      <w:r w:rsidR="00C50F53" w:rsidRPr="00C50F53">
        <w:rPr>
          <w:rFonts w:cs="Arial"/>
          <w:b w:val="0"/>
          <w:bCs/>
          <w:sz w:val="20"/>
          <w:szCs w:val="20"/>
        </w:rPr>
        <w:t>arnost omrežnih in informacijskih sistemov je zmožnost omrežnih in informacijskih sistemov, da na določeni ravni zaupanja preprečijo vsak dogodek, ki lahko ogrozi razpoložljivost, avtentičnost, celovitost ali zaupnost shranjenih, prenesenih ali obdelanih podatkov ali storitev, ki jih ti omrežni in informacijski sistemi zagotavljajo ali so prek njih dostopni;</w:t>
      </w:r>
    </w:p>
    <w:p w14:paraId="75429B62" w14:textId="77777777" w:rsidR="00C50F53" w:rsidRPr="00C50F53" w:rsidRDefault="00C50F53" w:rsidP="00C50F53">
      <w:pPr>
        <w:pStyle w:val="lennaslov0"/>
        <w:spacing w:line="260" w:lineRule="atLeast"/>
        <w:jc w:val="both"/>
        <w:rPr>
          <w:rFonts w:cs="Arial"/>
          <w:b w:val="0"/>
          <w:bCs/>
          <w:sz w:val="20"/>
          <w:szCs w:val="20"/>
        </w:rPr>
      </w:pPr>
    </w:p>
    <w:p w14:paraId="174FE8A1"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varnostno-operativni center organa državne uprave je notranja organizacijska enota posameznega organa državne uprave, ki se odziva na incidente na področju informacijske varnosti in izpolnjuje pogoje iz tega zakona;</w:t>
      </w:r>
    </w:p>
    <w:p w14:paraId="6F9C1CDC" w14:textId="77777777" w:rsidR="00C50F53" w:rsidRPr="00C50F53" w:rsidRDefault="00C50F53" w:rsidP="00C50F53">
      <w:pPr>
        <w:pStyle w:val="lennaslov0"/>
        <w:spacing w:line="260" w:lineRule="atLeast"/>
        <w:jc w:val="both"/>
        <w:rPr>
          <w:rFonts w:cs="Arial"/>
          <w:b w:val="0"/>
          <w:bCs/>
          <w:sz w:val="20"/>
          <w:szCs w:val="20"/>
        </w:rPr>
      </w:pPr>
    </w:p>
    <w:p w14:paraId="530C22D9" w14:textId="77777777"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varovani podatek pristojnega nacionalnega organa je podatek o ranljivostih ali stanju informacijskih sistemov in omrežij zavezancev ter njihovi identiteti, ki ni tajen ali poslovna skrivnost, njegovo razkritje nepoklicanim osebam pa bi lahko pristojnemu nacionalnemu organu povzročilo motnje pri delovanju in izvajanju nalog oziroma bi lahko škodovalo zavezancem;</w:t>
      </w:r>
    </w:p>
    <w:p w14:paraId="13A1D3A6" w14:textId="77777777" w:rsidR="00C50F53" w:rsidRPr="00C50F53" w:rsidRDefault="00C50F53" w:rsidP="00C50F53">
      <w:pPr>
        <w:pStyle w:val="Odstavekseznama"/>
        <w:ind w:left="0"/>
        <w:rPr>
          <w:rFonts w:cs="Arial"/>
          <w:b/>
          <w:bCs/>
          <w:szCs w:val="20"/>
          <w:lang w:val="sl-SI"/>
        </w:rPr>
      </w:pPr>
    </w:p>
    <w:p w14:paraId="42414199" w14:textId="07FCD7F6" w:rsidR="00C50F53" w:rsidRPr="00C50F53" w:rsidRDefault="00C50F53" w:rsidP="00E20E87">
      <w:pPr>
        <w:pStyle w:val="lennaslov0"/>
        <w:numPr>
          <w:ilvl w:val="0"/>
          <w:numId w:val="62"/>
        </w:numPr>
        <w:spacing w:line="260" w:lineRule="atLeast"/>
        <w:ind w:left="0" w:firstLine="0"/>
        <w:jc w:val="both"/>
        <w:rPr>
          <w:rFonts w:cs="Arial"/>
          <w:b w:val="0"/>
          <w:bCs/>
          <w:sz w:val="20"/>
          <w:szCs w:val="20"/>
        </w:rPr>
      </w:pPr>
      <w:r w:rsidRPr="00C50F53">
        <w:rPr>
          <w:rFonts w:cs="Arial"/>
          <w:b w:val="0"/>
          <w:bCs/>
          <w:sz w:val="20"/>
          <w:szCs w:val="20"/>
        </w:rPr>
        <w:t>veščak za informacijsko varnost je posameznik</w:t>
      </w:r>
      <w:r w:rsidR="00A60E02">
        <w:rPr>
          <w:rFonts w:cs="Arial"/>
          <w:b w:val="0"/>
          <w:bCs/>
          <w:sz w:val="20"/>
          <w:szCs w:val="20"/>
        </w:rPr>
        <w:t xml:space="preserve"> oziroma posameznica </w:t>
      </w:r>
      <w:r w:rsidRPr="00C50F53">
        <w:rPr>
          <w:rFonts w:cs="Arial"/>
          <w:b w:val="0"/>
          <w:bCs/>
          <w:sz w:val="20"/>
          <w:szCs w:val="20"/>
        </w:rPr>
        <w:t>ali organizacija, ki ima izkazano poglobljeno strokovno znanje na področju informacijsko-komunikacijskih tehnologij, katerega ali katere delo revizor uporabi kot strokovno pomoč pri pridobivanju zadostnih in ustreznih revizijskih dokazov.</w:t>
      </w:r>
    </w:p>
    <w:p w14:paraId="5C7E708F" w14:textId="77777777" w:rsidR="00C50F53" w:rsidRPr="00C50F53" w:rsidRDefault="00C50F53" w:rsidP="00C50F53">
      <w:pPr>
        <w:pStyle w:val="lennaslov0"/>
        <w:spacing w:line="260" w:lineRule="atLeast"/>
        <w:jc w:val="both"/>
        <w:rPr>
          <w:rFonts w:cs="Arial"/>
          <w:b w:val="0"/>
          <w:bCs/>
          <w:sz w:val="20"/>
          <w:szCs w:val="20"/>
        </w:rPr>
      </w:pPr>
    </w:p>
    <w:p w14:paraId="79B0FFF4" w14:textId="77777777" w:rsidR="00C50F53" w:rsidRPr="00C50F53" w:rsidRDefault="00C50F53" w:rsidP="00C50F53">
      <w:pPr>
        <w:pStyle w:val="lennaslov0"/>
        <w:spacing w:line="260" w:lineRule="atLeast"/>
        <w:jc w:val="both"/>
        <w:rPr>
          <w:rFonts w:cs="Arial"/>
          <w:b w:val="0"/>
          <w:bCs/>
          <w:sz w:val="20"/>
          <w:szCs w:val="20"/>
        </w:rPr>
      </w:pPr>
    </w:p>
    <w:p w14:paraId="165823F6" w14:textId="77777777" w:rsidR="00C50F53" w:rsidRPr="00C50F53" w:rsidRDefault="00C50F53" w:rsidP="00E20E87">
      <w:pPr>
        <w:pStyle w:val="NPB"/>
        <w:numPr>
          <w:ilvl w:val="0"/>
          <w:numId w:val="64"/>
        </w:numPr>
        <w:spacing w:before="0" w:line="260" w:lineRule="atLeast"/>
        <w:rPr>
          <w:sz w:val="20"/>
          <w:szCs w:val="20"/>
        </w:rPr>
      </w:pPr>
      <w:bookmarkStart w:id="46" w:name="_Hlk148371813"/>
      <w:r w:rsidRPr="00C50F53">
        <w:rPr>
          <w:sz w:val="20"/>
          <w:szCs w:val="20"/>
        </w:rPr>
        <w:lastRenderedPageBreak/>
        <w:t>Zavezanci</w:t>
      </w:r>
    </w:p>
    <w:bookmarkEnd w:id="46"/>
    <w:p w14:paraId="4E6852A2" w14:textId="77777777" w:rsidR="00C50F53" w:rsidRPr="00C50F53" w:rsidRDefault="00C50F53" w:rsidP="00C50F53">
      <w:pPr>
        <w:pStyle w:val="NIS2naslovpoglavja"/>
        <w:numPr>
          <w:ilvl w:val="0"/>
          <w:numId w:val="0"/>
        </w:numPr>
        <w:jc w:val="both"/>
        <w:rPr>
          <w:sz w:val="20"/>
          <w:szCs w:val="20"/>
        </w:rPr>
      </w:pPr>
    </w:p>
    <w:p w14:paraId="1336E885" w14:textId="77777777" w:rsidR="00C50F53" w:rsidRPr="00C50F53" w:rsidRDefault="00C50F53" w:rsidP="00C50F53">
      <w:pPr>
        <w:pStyle w:val="NIS2naslovpoglavja"/>
        <w:numPr>
          <w:ilvl w:val="0"/>
          <w:numId w:val="0"/>
        </w:numPr>
        <w:jc w:val="both"/>
        <w:rPr>
          <w:sz w:val="20"/>
          <w:szCs w:val="20"/>
        </w:rPr>
      </w:pPr>
    </w:p>
    <w:p w14:paraId="3C82FDB9" w14:textId="77777777" w:rsidR="00C50F53" w:rsidRPr="00C50F53" w:rsidRDefault="00C50F53" w:rsidP="00C50F53">
      <w:pPr>
        <w:pStyle w:val="NIS2len"/>
        <w:spacing w:before="0" w:line="260" w:lineRule="atLeast"/>
        <w:ind w:left="0" w:firstLine="0"/>
        <w:rPr>
          <w:sz w:val="20"/>
          <w:szCs w:val="20"/>
        </w:rPr>
      </w:pPr>
      <w:r w:rsidRPr="00C50F53">
        <w:rPr>
          <w:sz w:val="20"/>
          <w:szCs w:val="20"/>
        </w:rPr>
        <w:t>člen</w:t>
      </w:r>
    </w:p>
    <w:p w14:paraId="084C8005" w14:textId="77777777" w:rsidR="00C50F53" w:rsidRPr="00C50F53" w:rsidRDefault="00C50F53" w:rsidP="00C50F53">
      <w:pPr>
        <w:pStyle w:val="lennaslov0"/>
        <w:spacing w:line="260" w:lineRule="atLeast"/>
        <w:rPr>
          <w:rFonts w:cs="Arial"/>
          <w:sz w:val="20"/>
          <w:szCs w:val="20"/>
        </w:rPr>
      </w:pPr>
      <w:r w:rsidRPr="00C50F53">
        <w:rPr>
          <w:rFonts w:cs="Arial"/>
          <w:sz w:val="20"/>
          <w:szCs w:val="20"/>
        </w:rPr>
        <w:t>(zavezanci)</w:t>
      </w:r>
    </w:p>
    <w:p w14:paraId="79D8032C" w14:textId="77777777" w:rsidR="00C50F53" w:rsidRPr="00C50F53" w:rsidRDefault="00C50F53" w:rsidP="004752FD">
      <w:pPr>
        <w:pStyle w:val="lennaslov0"/>
        <w:spacing w:line="260" w:lineRule="atLeast"/>
        <w:jc w:val="left"/>
        <w:rPr>
          <w:rFonts w:cs="Arial"/>
          <w:sz w:val="20"/>
          <w:szCs w:val="20"/>
        </w:rPr>
      </w:pPr>
    </w:p>
    <w:p w14:paraId="6EFEBA80" w14:textId="77777777" w:rsidR="00C50F53" w:rsidRPr="00C50F53" w:rsidRDefault="00C50F53" w:rsidP="00C50F53">
      <w:pPr>
        <w:pStyle w:val="Odstavek"/>
        <w:spacing w:line="260" w:lineRule="atLeast"/>
      </w:pPr>
      <w:r w:rsidRPr="00C50F53">
        <w:t>(1) Zavezanci po tem zakonu so subjekti, ki spadajo med vrste subjektov iz Prilog 1 ali Priloge 2, ki sta kot Prilogi sestavni del tega zakona (v nadaljnjem besedilu: Priloga 1 ali 2 tega zakona), če imajo:</w:t>
      </w:r>
    </w:p>
    <w:p w14:paraId="3D45A2BB" w14:textId="77777777" w:rsidR="00C50F53" w:rsidRPr="00C50F53" w:rsidRDefault="00C50F53" w:rsidP="00E20E87">
      <w:pPr>
        <w:pStyle w:val="Odstavek"/>
        <w:numPr>
          <w:ilvl w:val="0"/>
          <w:numId w:val="69"/>
        </w:numPr>
        <w:overflowPunct w:val="0"/>
        <w:autoSpaceDE w:val="0"/>
        <w:autoSpaceDN w:val="0"/>
        <w:adjustRightInd w:val="0"/>
        <w:spacing w:after="0" w:line="260" w:lineRule="atLeast"/>
        <w:ind w:left="1418"/>
        <w:textAlignment w:val="baseline"/>
      </w:pPr>
      <w:r w:rsidRPr="00C50F53">
        <w:t xml:space="preserve">vsaj 50 zaposlenih in </w:t>
      </w:r>
    </w:p>
    <w:p w14:paraId="3380BEDE" w14:textId="77777777" w:rsidR="00C50F53" w:rsidRPr="00C50F53" w:rsidRDefault="00C50F53" w:rsidP="00E20E87">
      <w:pPr>
        <w:pStyle w:val="Odstavek"/>
        <w:numPr>
          <w:ilvl w:val="0"/>
          <w:numId w:val="69"/>
        </w:numPr>
        <w:overflowPunct w:val="0"/>
        <w:autoSpaceDE w:val="0"/>
        <w:autoSpaceDN w:val="0"/>
        <w:adjustRightInd w:val="0"/>
        <w:spacing w:after="0" w:line="260" w:lineRule="atLeast"/>
        <w:ind w:left="1418"/>
        <w:textAlignment w:val="baseline"/>
      </w:pPr>
      <w:r w:rsidRPr="00C50F53">
        <w:t>letni promet ali letno bilančno vsoto vsaj 10 milijonov eurov.</w:t>
      </w:r>
    </w:p>
    <w:p w14:paraId="6D2729CE" w14:textId="77777777" w:rsidR="00C50F53" w:rsidRPr="00EF4CF1" w:rsidRDefault="00C50F53" w:rsidP="00EF4CF1">
      <w:pPr>
        <w:pStyle w:val="NIS2tokavodstavku"/>
        <w:rPr>
          <w:sz w:val="20"/>
          <w:szCs w:val="20"/>
        </w:rPr>
      </w:pPr>
    </w:p>
    <w:p w14:paraId="127BB7E7" w14:textId="77777777" w:rsidR="00C50F53" w:rsidRPr="00C50F53" w:rsidRDefault="00C50F53" w:rsidP="00C50F53">
      <w:pPr>
        <w:pStyle w:val="Odstavek"/>
        <w:spacing w:line="260" w:lineRule="atLeast"/>
      </w:pPr>
      <w:r w:rsidRPr="00C50F53">
        <w:t>(2) Subjekti iz prejšnjega odstavka so zavezanci po tem zakonu ne glede na število zaposlenih ali letni promet ali letno bilančno vsoto, če:</w:t>
      </w:r>
    </w:p>
    <w:p w14:paraId="2F4ADA55" w14:textId="03AE57F2" w:rsidR="00C50F53" w:rsidRPr="00C50F53" w:rsidRDefault="00EF4CF1" w:rsidP="00C50F53">
      <w:pPr>
        <w:pStyle w:val="NIS2tokavodstavku"/>
        <w:ind w:left="720" w:hanging="360"/>
        <w:rPr>
          <w:sz w:val="20"/>
          <w:szCs w:val="20"/>
        </w:rPr>
      </w:pPr>
      <w:r>
        <w:rPr>
          <w:sz w:val="20"/>
          <w:szCs w:val="20"/>
        </w:rPr>
        <w:t xml:space="preserve">1. </w:t>
      </w:r>
      <w:r w:rsidR="00C50F53" w:rsidRPr="00C50F53">
        <w:rPr>
          <w:sz w:val="20"/>
          <w:szCs w:val="20"/>
        </w:rPr>
        <w:t xml:space="preserve">storitev opravljajo: </w:t>
      </w:r>
    </w:p>
    <w:p w14:paraId="65A6B84F" w14:textId="77777777" w:rsidR="00C50F53" w:rsidRPr="00C50F53" w:rsidRDefault="00C50F53" w:rsidP="00E20E87">
      <w:pPr>
        <w:pStyle w:val="NIS2tokavodstavku"/>
        <w:numPr>
          <w:ilvl w:val="1"/>
          <w:numId w:val="68"/>
        </w:numPr>
        <w:ind w:left="1417" w:hanging="357"/>
        <w:rPr>
          <w:sz w:val="20"/>
          <w:szCs w:val="20"/>
        </w:rPr>
      </w:pPr>
      <w:r w:rsidRPr="00C50F53">
        <w:rPr>
          <w:sz w:val="20"/>
          <w:szCs w:val="20"/>
        </w:rPr>
        <w:t>ponudniki javnih elektronskih komunikacijskih omrežij ali javno dostopnih elektronskih komunikacijskih storitev,</w:t>
      </w:r>
    </w:p>
    <w:p w14:paraId="47F988D6" w14:textId="77777777" w:rsidR="00C50F53" w:rsidRPr="00C50F53" w:rsidRDefault="00C50F53" w:rsidP="00E20E87">
      <w:pPr>
        <w:pStyle w:val="NIS2tokavodstavku"/>
        <w:numPr>
          <w:ilvl w:val="1"/>
          <w:numId w:val="68"/>
        </w:numPr>
        <w:ind w:left="1417" w:hanging="357"/>
        <w:rPr>
          <w:sz w:val="20"/>
          <w:szCs w:val="20"/>
        </w:rPr>
      </w:pPr>
      <w:r w:rsidRPr="00C50F53">
        <w:rPr>
          <w:sz w:val="20"/>
          <w:szCs w:val="20"/>
        </w:rPr>
        <w:t>ponudniki storitev zaupanja,</w:t>
      </w:r>
    </w:p>
    <w:p w14:paraId="4B036749" w14:textId="77777777" w:rsidR="00C50F53" w:rsidRPr="00C50F53" w:rsidRDefault="00C50F53" w:rsidP="00E20E87">
      <w:pPr>
        <w:pStyle w:val="NIS2tokavodstavku"/>
        <w:numPr>
          <w:ilvl w:val="1"/>
          <w:numId w:val="68"/>
        </w:numPr>
        <w:ind w:left="1417" w:hanging="357"/>
        <w:rPr>
          <w:sz w:val="20"/>
          <w:szCs w:val="20"/>
        </w:rPr>
      </w:pPr>
      <w:r w:rsidRPr="00C50F53">
        <w:rPr>
          <w:sz w:val="20"/>
          <w:szCs w:val="20"/>
        </w:rPr>
        <w:t>registri vrhnjih domenskih imen in ponudniki storitev sistema domenskih imen;</w:t>
      </w:r>
    </w:p>
    <w:p w14:paraId="5C9E4AC9" w14:textId="3E14B859" w:rsidR="00C50F53" w:rsidRPr="00C50F53" w:rsidRDefault="00EF4CF1" w:rsidP="00C50F53">
      <w:pPr>
        <w:pStyle w:val="NIS2tokavodstavku"/>
        <w:ind w:left="720" w:hanging="360"/>
        <w:rPr>
          <w:sz w:val="20"/>
          <w:szCs w:val="20"/>
        </w:rPr>
      </w:pPr>
      <w:r>
        <w:rPr>
          <w:sz w:val="20"/>
          <w:szCs w:val="20"/>
        </w:rPr>
        <w:t xml:space="preserve">2. </w:t>
      </w:r>
      <w:r w:rsidR="00C50F53" w:rsidRPr="00C50F53">
        <w:rPr>
          <w:sz w:val="20"/>
          <w:szCs w:val="20"/>
        </w:rPr>
        <w:t>je subjekt edini ponudnik storitve, ki je poglavitna za ohranjanje kritičnih družbenih ali gospodarskih dejavnosti v Republiki Sloveniji;</w:t>
      </w:r>
    </w:p>
    <w:p w14:paraId="3FA7F71B" w14:textId="4E0F9087" w:rsidR="00C50F53" w:rsidRPr="00C50F53" w:rsidRDefault="00EF4CF1" w:rsidP="00C50F53">
      <w:pPr>
        <w:pStyle w:val="NIS2tokavodstavku"/>
        <w:ind w:left="720" w:hanging="360"/>
        <w:rPr>
          <w:sz w:val="20"/>
          <w:szCs w:val="20"/>
        </w:rPr>
      </w:pPr>
      <w:r>
        <w:rPr>
          <w:sz w:val="20"/>
          <w:szCs w:val="20"/>
        </w:rPr>
        <w:t xml:space="preserve">3. </w:t>
      </w:r>
      <w:r w:rsidR="00C50F53" w:rsidRPr="00C50F53">
        <w:rPr>
          <w:sz w:val="20"/>
          <w:szCs w:val="20"/>
        </w:rPr>
        <w:t>bi motnja pri opravljanju storitve subjekta lahko pomembno vplivala na javni red, javno varnost ali javno zdravje;</w:t>
      </w:r>
    </w:p>
    <w:p w14:paraId="29BFAAD7" w14:textId="3571D8D2" w:rsidR="00C50F53" w:rsidRPr="00C50F53" w:rsidRDefault="00EF4CF1" w:rsidP="00C50F53">
      <w:pPr>
        <w:pStyle w:val="NIS2tokavodstavku"/>
        <w:ind w:left="720" w:hanging="360"/>
        <w:rPr>
          <w:sz w:val="20"/>
          <w:szCs w:val="20"/>
        </w:rPr>
      </w:pPr>
      <w:r>
        <w:rPr>
          <w:sz w:val="20"/>
          <w:szCs w:val="20"/>
        </w:rPr>
        <w:t xml:space="preserve">4. </w:t>
      </w:r>
      <w:r w:rsidR="00C50F53" w:rsidRPr="00C50F53">
        <w:rPr>
          <w:sz w:val="20"/>
          <w:szCs w:val="20"/>
        </w:rPr>
        <w:t>bi motnja pri opravljanju storitve subjekta lahko povzročila pomembno sistemsko tveganje, zlasti za sektorje, v katerih bi lahko taka motnja imela čezmejni vpliv;</w:t>
      </w:r>
    </w:p>
    <w:p w14:paraId="3909C064" w14:textId="7B3BAF4F" w:rsidR="00C50F53" w:rsidRPr="00C50F53" w:rsidRDefault="00EF4CF1" w:rsidP="00C50F53">
      <w:pPr>
        <w:pStyle w:val="NIS2tokavodstavku"/>
        <w:ind w:left="720" w:hanging="360"/>
        <w:rPr>
          <w:sz w:val="20"/>
          <w:szCs w:val="20"/>
        </w:rPr>
      </w:pPr>
      <w:r>
        <w:rPr>
          <w:sz w:val="20"/>
          <w:szCs w:val="20"/>
        </w:rPr>
        <w:t xml:space="preserve">5. </w:t>
      </w:r>
      <w:r w:rsidR="00C50F53" w:rsidRPr="00C50F53">
        <w:rPr>
          <w:sz w:val="20"/>
          <w:szCs w:val="20"/>
        </w:rPr>
        <w:t>je subjekt kritičen zaradi svojega posebnega pomena na državni ali lokalni ravni za zadevni sektor ali vrsto storitve ali za druge medsebojno odvisne sektorje v Republiki Sloveniji;</w:t>
      </w:r>
    </w:p>
    <w:p w14:paraId="46267E57" w14:textId="2211B009" w:rsidR="00C50F53" w:rsidRPr="00C50F53" w:rsidRDefault="00EF4CF1" w:rsidP="00C50F53">
      <w:pPr>
        <w:pStyle w:val="NIS2tokavodstavku"/>
        <w:ind w:left="720" w:hanging="360"/>
        <w:rPr>
          <w:sz w:val="20"/>
          <w:szCs w:val="20"/>
        </w:rPr>
      </w:pPr>
      <w:r>
        <w:rPr>
          <w:sz w:val="20"/>
          <w:szCs w:val="20"/>
        </w:rPr>
        <w:t xml:space="preserve">6. </w:t>
      </w:r>
      <w:r w:rsidR="00C50F53" w:rsidRPr="00C50F53">
        <w:rPr>
          <w:sz w:val="20"/>
          <w:szCs w:val="20"/>
        </w:rPr>
        <w:t>gre za subjekt javne uprave na državni ravni.</w:t>
      </w:r>
    </w:p>
    <w:p w14:paraId="4DC9AA6B" w14:textId="77777777" w:rsidR="00C50F53" w:rsidRPr="00C50F53" w:rsidRDefault="00C50F53" w:rsidP="00C50F53">
      <w:pPr>
        <w:pStyle w:val="NIS2tokavodstavku"/>
        <w:rPr>
          <w:sz w:val="20"/>
          <w:szCs w:val="20"/>
        </w:rPr>
      </w:pPr>
    </w:p>
    <w:p w14:paraId="4C9BAA67" w14:textId="77777777" w:rsidR="00C50F53" w:rsidRPr="00C50F53" w:rsidRDefault="00C50F53" w:rsidP="00C50F53">
      <w:pPr>
        <w:pStyle w:val="Odstavek"/>
        <w:spacing w:line="260" w:lineRule="atLeast"/>
      </w:pPr>
      <w:r w:rsidRPr="00C50F53">
        <w:t>(3) Ne glede na prvi in prejšnji odstavek tega člena so zavezanci po tem zakonu tudi:</w:t>
      </w:r>
    </w:p>
    <w:p w14:paraId="0AE521F7" w14:textId="77777777" w:rsidR="00C50F53" w:rsidRPr="00C50F53" w:rsidRDefault="00C50F53" w:rsidP="00E20E87">
      <w:pPr>
        <w:pStyle w:val="NIS2tokavodstavku"/>
        <w:numPr>
          <w:ilvl w:val="0"/>
          <w:numId w:val="74"/>
        </w:numPr>
        <w:rPr>
          <w:sz w:val="20"/>
          <w:szCs w:val="20"/>
        </w:rPr>
      </w:pPr>
      <w:r w:rsidRPr="00C50F53">
        <w:rPr>
          <w:sz w:val="20"/>
          <w:szCs w:val="20"/>
        </w:rPr>
        <w:t>subjekti, ki so določeni kot kritični na podlagi zakona, ki ureja področje kritične infrastrukture;</w:t>
      </w:r>
    </w:p>
    <w:p w14:paraId="1354AD77" w14:textId="77777777" w:rsidR="00C50F53" w:rsidRPr="00C50F53" w:rsidRDefault="00C50F53" w:rsidP="00E20E87">
      <w:pPr>
        <w:pStyle w:val="NIS2tokavodstavku"/>
        <w:numPr>
          <w:ilvl w:val="0"/>
          <w:numId w:val="74"/>
        </w:numPr>
        <w:rPr>
          <w:sz w:val="20"/>
          <w:szCs w:val="20"/>
        </w:rPr>
      </w:pPr>
      <w:r w:rsidRPr="00C50F53">
        <w:rPr>
          <w:sz w:val="20"/>
          <w:szCs w:val="20"/>
        </w:rPr>
        <w:t>subjekti, ki opravljajo storitve registracije domenskih imen, ne glede na njihovo velikost;</w:t>
      </w:r>
    </w:p>
    <w:p w14:paraId="328F7291" w14:textId="77777777" w:rsidR="00C50F53" w:rsidRPr="00C50F53" w:rsidRDefault="00C50F53" w:rsidP="00E20E87">
      <w:pPr>
        <w:pStyle w:val="NIS2tokavodstavku"/>
        <w:numPr>
          <w:ilvl w:val="0"/>
          <w:numId w:val="74"/>
        </w:numPr>
        <w:rPr>
          <w:sz w:val="20"/>
          <w:szCs w:val="20"/>
        </w:rPr>
      </w:pPr>
      <w:r w:rsidRPr="00C50F53">
        <w:rPr>
          <w:sz w:val="20"/>
          <w:szCs w:val="20"/>
        </w:rPr>
        <w:t xml:space="preserve">subjekti, ki so v državnih načrtih zaščite in reševanja opredeljeni kot službe državnega pomena, če bi nedelovanje njihovih omrežnih in informacijskih sistemov ogrozilo izvajanje nalog zaščite in reševanja iz prej navedenih načrtov, in </w:t>
      </w:r>
    </w:p>
    <w:p w14:paraId="442AF154" w14:textId="77777777" w:rsidR="00C50F53" w:rsidRPr="00C50F53" w:rsidRDefault="00C50F53" w:rsidP="00E20E87">
      <w:pPr>
        <w:pStyle w:val="NIS2tokavodstavku"/>
        <w:numPr>
          <w:ilvl w:val="0"/>
          <w:numId w:val="74"/>
        </w:numPr>
        <w:rPr>
          <w:sz w:val="20"/>
          <w:szCs w:val="20"/>
        </w:rPr>
      </w:pPr>
      <w:r w:rsidRPr="00C50F53">
        <w:rPr>
          <w:sz w:val="20"/>
          <w:szCs w:val="20"/>
        </w:rPr>
        <w:t xml:space="preserve">mestne občine kot subjekti javne uprave na lokalni ravni. </w:t>
      </w:r>
    </w:p>
    <w:p w14:paraId="3E78F663" w14:textId="77777777" w:rsidR="00C50F53" w:rsidRPr="00EF4CF1" w:rsidRDefault="00C50F53" w:rsidP="00EF4CF1">
      <w:pPr>
        <w:pStyle w:val="NIS2tokavodstavku"/>
        <w:rPr>
          <w:sz w:val="20"/>
          <w:szCs w:val="20"/>
        </w:rPr>
      </w:pPr>
    </w:p>
    <w:p w14:paraId="419109C2" w14:textId="77777777" w:rsidR="00C50F53" w:rsidRPr="00C50F53" w:rsidRDefault="00C50F53" w:rsidP="00C50F53">
      <w:pPr>
        <w:pStyle w:val="Odstavek"/>
        <w:spacing w:line="260" w:lineRule="atLeast"/>
      </w:pPr>
      <w:r w:rsidRPr="00C50F53">
        <w:t>(4) Ne glede na prejšnje odstavke tega člena so za izvajanje dela tega zakona, ki se nanaša na certificiranje za kibernetsko varnost, zavezane tudi druge fizične in pravne osebe, ki spadajo na področje uporabe Uredbe 2019/881/EU, in sicer v delu navedene uredbe, ki ureja certifikacijski okvir za kibernetsko varnost.</w:t>
      </w:r>
    </w:p>
    <w:p w14:paraId="7430307D" w14:textId="77777777" w:rsidR="00C50F53" w:rsidRPr="00EF4CF1" w:rsidRDefault="00C50F53" w:rsidP="00EF4CF1">
      <w:pPr>
        <w:pStyle w:val="NIS2tokavodstavku"/>
        <w:rPr>
          <w:sz w:val="20"/>
          <w:szCs w:val="20"/>
        </w:rPr>
      </w:pPr>
    </w:p>
    <w:p w14:paraId="77C12384" w14:textId="77777777" w:rsidR="00C50F53" w:rsidRPr="00C50F53" w:rsidRDefault="00C50F53" w:rsidP="00C50F53">
      <w:pPr>
        <w:pStyle w:val="Odstavek"/>
        <w:spacing w:line="260" w:lineRule="atLeast"/>
      </w:pPr>
      <w:r w:rsidRPr="00C50F53">
        <w:t>(5) Ne glede na prejšnje odstavke tega člena Banka Slovenije ni zavezanec po tem zakonu.</w:t>
      </w:r>
    </w:p>
    <w:p w14:paraId="477C85C0" w14:textId="77777777" w:rsidR="00C50F53" w:rsidRPr="004752FD" w:rsidRDefault="00C50F53" w:rsidP="004752FD">
      <w:pPr>
        <w:pStyle w:val="lennaslov0"/>
        <w:spacing w:line="260" w:lineRule="atLeast"/>
        <w:jc w:val="both"/>
        <w:rPr>
          <w:rFonts w:cs="Arial"/>
          <w:b w:val="0"/>
          <w:bCs/>
          <w:sz w:val="20"/>
          <w:szCs w:val="20"/>
        </w:rPr>
      </w:pPr>
    </w:p>
    <w:p w14:paraId="0F23E7E7" w14:textId="77777777" w:rsidR="00C50F53" w:rsidRPr="004752FD" w:rsidRDefault="00C50F53" w:rsidP="004752FD">
      <w:pPr>
        <w:pStyle w:val="lennaslov0"/>
        <w:spacing w:line="260" w:lineRule="atLeast"/>
        <w:jc w:val="both"/>
        <w:rPr>
          <w:rFonts w:cs="Arial"/>
          <w:b w:val="0"/>
          <w:bCs/>
          <w:sz w:val="20"/>
          <w:szCs w:val="20"/>
        </w:rPr>
      </w:pPr>
    </w:p>
    <w:p w14:paraId="0FF9E495" w14:textId="77777777" w:rsidR="004752FD" w:rsidRDefault="004752FD">
      <w:pPr>
        <w:spacing w:line="240" w:lineRule="auto"/>
        <w:rPr>
          <w:rFonts w:cs="Arial"/>
          <w:b/>
          <w:szCs w:val="20"/>
          <w:lang w:val="sl-SI" w:eastAsia="sl-SI"/>
        </w:rPr>
      </w:pPr>
      <w:r w:rsidRPr="00750A2E">
        <w:rPr>
          <w:szCs w:val="20"/>
          <w:lang w:val="it-IT"/>
        </w:rPr>
        <w:br w:type="page"/>
      </w:r>
    </w:p>
    <w:p w14:paraId="6F843187" w14:textId="1B5B1323" w:rsidR="00C50F53" w:rsidRPr="00C50F53" w:rsidRDefault="00C50F53" w:rsidP="00C50F53">
      <w:pPr>
        <w:pStyle w:val="NIS2len"/>
        <w:spacing w:before="0" w:line="260" w:lineRule="atLeast"/>
        <w:ind w:left="0" w:firstLine="0"/>
        <w:rPr>
          <w:sz w:val="20"/>
          <w:szCs w:val="20"/>
        </w:rPr>
      </w:pPr>
      <w:r w:rsidRPr="00C50F53">
        <w:rPr>
          <w:sz w:val="20"/>
          <w:szCs w:val="20"/>
        </w:rPr>
        <w:lastRenderedPageBreak/>
        <w:t xml:space="preserve"> člen</w:t>
      </w:r>
    </w:p>
    <w:p w14:paraId="3D6CF31E" w14:textId="77777777" w:rsidR="00C50F53" w:rsidRPr="00C50F53" w:rsidRDefault="00C50F53" w:rsidP="00C50F53">
      <w:pPr>
        <w:pStyle w:val="lennaslov0"/>
        <w:spacing w:line="260" w:lineRule="atLeast"/>
        <w:rPr>
          <w:rFonts w:cs="Arial"/>
          <w:sz w:val="20"/>
          <w:szCs w:val="20"/>
        </w:rPr>
      </w:pPr>
      <w:r w:rsidRPr="00C50F53">
        <w:rPr>
          <w:rFonts w:cs="Arial"/>
          <w:sz w:val="20"/>
          <w:szCs w:val="20"/>
        </w:rPr>
        <w:t>(bistveni in pomembni subjekti)</w:t>
      </w:r>
    </w:p>
    <w:p w14:paraId="17B78F1B" w14:textId="77777777" w:rsidR="00C50F53" w:rsidRPr="004752FD" w:rsidRDefault="00C50F53" w:rsidP="004752FD">
      <w:pPr>
        <w:pStyle w:val="lennaslov0"/>
        <w:spacing w:line="260" w:lineRule="atLeast"/>
        <w:jc w:val="both"/>
        <w:rPr>
          <w:rFonts w:cs="Arial"/>
          <w:b w:val="0"/>
          <w:bCs/>
          <w:sz w:val="20"/>
          <w:szCs w:val="20"/>
        </w:rPr>
      </w:pPr>
    </w:p>
    <w:p w14:paraId="77F9C40A" w14:textId="449C39B3" w:rsidR="00C50F53" w:rsidRPr="00C50F53" w:rsidRDefault="001D70C0" w:rsidP="001D70C0">
      <w:pPr>
        <w:pStyle w:val="Odstavek"/>
        <w:overflowPunct w:val="0"/>
        <w:autoSpaceDE w:val="0"/>
        <w:autoSpaceDN w:val="0"/>
        <w:adjustRightInd w:val="0"/>
        <w:spacing w:after="0" w:line="260" w:lineRule="atLeast"/>
        <w:textAlignment w:val="baseline"/>
      </w:pPr>
      <w:r>
        <w:t xml:space="preserve">(1) </w:t>
      </w:r>
      <w:r w:rsidR="00C50F53" w:rsidRPr="00C50F53">
        <w:t xml:space="preserve">Zavezanci iz prejšnjega člena, razen subjektov iz 2. točke tretjega odstavka in četrtega odstavka, se delijo na bistvene in pomembne subjekte. </w:t>
      </w:r>
    </w:p>
    <w:p w14:paraId="43E2AD8B" w14:textId="77777777" w:rsidR="00C50F53" w:rsidRPr="00C50F53" w:rsidRDefault="00C50F53" w:rsidP="004752FD">
      <w:pPr>
        <w:pStyle w:val="Odstavek"/>
        <w:spacing w:after="0" w:line="260" w:lineRule="atLeast"/>
      </w:pPr>
    </w:p>
    <w:p w14:paraId="6A28755A" w14:textId="03AF5BB1" w:rsidR="00C50F53" w:rsidRPr="00C50F53" w:rsidRDefault="001D70C0" w:rsidP="001D70C0">
      <w:pPr>
        <w:pStyle w:val="Odstavek"/>
        <w:overflowPunct w:val="0"/>
        <w:autoSpaceDE w:val="0"/>
        <w:autoSpaceDN w:val="0"/>
        <w:adjustRightInd w:val="0"/>
        <w:spacing w:after="0" w:line="260" w:lineRule="atLeast"/>
        <w:textAlignment w:val="baseline"/>
      </w:pPr>
      <w:r>
        <w:t>(2)</w:t>
      </w:r>
      <w:r w:rsidR="00C50F53" w:rsidRPr="00C50F53">
        <w:t xml:space="preserve"> Bistveni subjekti so:</w:t>
      </w:r>
    </w:p>
    <w:p w14:paraId="2D2ADEF4" w14:textId="2A9E3B47" w:rsidR="00C50F53" w:rsidRPr="00C50F53" w:rsidRDefault="00C50F53" w:rsidP="00EF3EFC">
      <w:pPr>
        <w:pStyle w:val="Odstavek"/>
        <w:numPr>
          <w:ilvl w:val="1"/>
          <w:numId w:val="64"/>
        </w:numPr>
        <w:spacing w:after="0" w:line="260" w:lineRule="atLeast"/>
      </w:pPr>
      <w:r w:rsidRPr="00C50F53">
        <w:t xml:space="preserve">subjekti vrste iz Priloge 1, ki imajo vsaj 250 zaposlenih </w:t>
      </w:r>
      <w:r w:rsidR="009E400C">
        <w:t>ali</w:t>
      </w:r>
      <w:r w:rsidRPr="00C50F53">
        <w:t xml:space="preserve"> letni promet vsaj 50 milijonov eurov ali letno bilančno vsoto vsaj 43 milijonov eurov,</w:t>
      </w:r>
    </w:p>
    <w:p w14:paraId="60B807A3" w14:textId="70643317" w:rsidR="00C50F53" w:rsidRPr="00C50F53" w:rsidRDefault="00C50F53" w:rsidP="00EF3EFC">
      <w:pPr>
        <w:pStyle w:val="Odstavek"/>
        <w:numPr>
          <w:ilvl w:val="1"/>
          <w:numId w:val="64"/>
        </w:numPr>
        <w:spacing w:after="0" w:line="260" w:lineRule="atLeast"/>
      </w:pPr>
      <w:r w:rsidRPr="00C50F53">
        <w:t>ponudniki kvalificiranih storitev zaupanja in registri vrhnjih domenskih imen ter ponudniki storitev DNS, ne glede na njihovo velikost,</w:t>
      </w:r>
    </w:p>
    <w:p w14:paraId="0F09DF9F" w14:textId="4F08F00B" w:rsidR="00C50F53" w:rsidRPr="00C50F53" w:rsidRDefault="00C50F53" w:rsidP="00EF3EFC">
      <w:pPr>
        <w:pStyle w:val="Odstavek"/>
        <w:numPr>
          <w:ilvl w:val="1"/>
          <w:numId w:val="64"/>
        </w:numPr>
        <w:spacing w:after="0" w:line="260" w:lineRule="atLeast"/>
      </w:pPr>
      <w:r w:rsidRPr="00C50F53">
        <w:t>ponudniki javnih elektronskih komunikacijskih omrežij ali javno dostopnih elektronskih komunikacijskih storitev, ki imajo vsaj 50 zaposlenih in letni promet ali letno bilančno vsoto vsaj 10 milijonov eurov,</w:t>
      </w:r>
    </w:p>
    <w:p w14:paraId="08D47D5A" w14:textId="24EDA50C" w:rsidR="00C50F53" w:rsidRPr="00C50F53" w:rsidRDefault="00C50F53" w:rsidP="00EF3EFC">
      <w:pPr>
        <w:pStyle w:val="Odstavek"/>
        <w:numPr>
          <w:ilvl w:val="1"/>
          <w:numId w:val="64"/>
        </w:numPr>
        <w:spacing w:after="0" w:line="260" w:lineRule="atLeast"/>
      </w:pPr>
      <w:r w:rsidRPr="00C50F53">
        <w:t>subjekti javne uprave na državni ravni,</w:t>
      </w:r>
    </w:p>
    <w:p w14:paraId="5AD9AE13" w14:textId="4BE18909" w:rsidR="00C50F53" w:rsidRPr="00C50F53" w:rsidRDefault="00C50F53" w:rsidP="00EF3EFC">
      <w:pPr>
        <w:pStyle w:val="Odstavek"/>
        <w:numPr>
          <w:ilvl w:val="1"/>
          <w:numId w:val="64"/>
        </w:numPr>
        <w:spacing w:after="0" w:line="260" w:lineRule="atLeast"/>
      </w:pPr>
      <w:r w:rsidRPr="00C50F53">
        <w:t>vsi drugi subjekti vrste iz Priloge 1 ali 2 tega zakona, ki jih na podlagi 2. do 5. točke drugega odstavka prejšnjega člena tega zakona in na predlog pristojnega nacionalnega organa določi vlada,</w:t>
      </w:r>
    </w:p>
    <w:p w14:paraId="6BF7FA92" w14:textId="265309A5" w:rsidR="00C50F53" w:rsidRPr="00C50F53" w:rsidRDefault="00C50F53" w:rsidP="00EF3EFC">
      <w:pPr>
        <w:pStyle w:val="Odstavek"/>
        <w:numPr>
          <w:ilvl w:val="1"/>
          <w:numId w:val="64"/>
        </w:numPr>
        <w:spacing w:after="0" w:line="260" w:lineRule="atLeast"/>
      </w:pPr>
      <w:r w:rsidRPr="00C50F53">
        <w:t>subjekti, ki so določeni kot kritični na podlagi zakona, ki ureja področje kritične infrastrukture;</w:t>
      </w:r>
    </w:p>
    <w:p w14:paraId="2354B3EB" w14:textId="5AA5BD95" w:rsidR="00C50F53" w:rsidRPr="00C50F53" w:rsidRDefault="00C50F53" w:rsidP="00EF3EFC">
      <w:pPr>
        <w:pStyle w:val="Odstavek"/>
        <w:numPr>
          <w:ilvl w:val="1"/>
          <w:numId w:val="64"/>
        </w:numPr>
        <w:spacing w:after="0" w:line="260" w:lineRule="atLeast"/>
      </w:pPr>
      <w:r w:rsidRPr="00C50F53">
        <w:t xml:space="preserve">subjekti iz sektorja 9. Upravljanje storitev IKT iz Priloge 1 in niso subjekti iz 1. do 6. točke tega odstavka, ki jih na predlog pristojnega nacionalnega organa določi vlada. </w:t>
      </w:r>
    </w:p>
    <w:p w14:paraId="03870209" w14:textId="77777777" w:rsidR="00C50F53" w:rsidRPr="00C50F53" w:rsidRDefault="00C50F53" w:rsidP="004752FD">
      <w:pPr>
        <w:pStyle w:val="Odstavek"/>
        <w:spacing w:after="0" w:line="260" w:lineRule="atLeast"/>
        <w:ind w:left="1134"/>
      </w:pPr>
    </w:p>
    <w:p w14:paraId="6D65C791" w14:textId="5AADE4CC" w:rsidR="00C50F53" w:rsidRPr="00C50F53" w:rsidRDefault="001D70C0" w:rsidP="001D70C0">
      <w:pPr>
        <w:pStyle w:val="Odstavek"/>
        <w:overflowPunct w:val="0"/>
        <w:autoSpaceDE w:val="0"/>
        <w:autoSpaceDN w:val="0"/>
        <w:adjustRightInd w:val="0"/>
        <w:spacing w:after="0" w:line="260" w:lineRule="atLeast"/>
        <w:textAlignment w:val="baseline"/>
      </w:pPr>
      <w:r>
        <w:t>(3)</w:t>
      </w:r>
      <w:r w:rsidR="00C50F53" w:rsidRPr="00C50F53">
        <w:t xml:space="preserve"> Pomembni subjekti so:</w:t>
      </w:r>
    </w:p>
    <w:p w14:paraId="74A5FDA2" w14:textId="77777777" w:rsidR="00C50F53" w:rsidRPr="00C50F53" w:rsidRDefault="00C50F53" w:rsidP="004752FD">
      <w:pPr>
        <w:pStyle w:val="Odstavek"/>
        <w:spacing w:after="0" w:line="260" w:lineRule="atLeast"/>
        <w:ind w:left="1134"/>
      </w:pPr>
      <w:r w:rsidRPr="00C50F53">
        <w:t>‒ vrste subjektov iz Priloge 1 ali 2 tega zakona, vključno s tistimi, ki jih na podlagi 2. do 5. točke drugega odstavka prejšnjega člena in na predlog pristojnega nacionalnega organa določi vlada z odločbo,</w:t>
      </w:r>
    </w:p>
    <w:p w14:paraId="1F0028B7" w14:textId="77777777" w:rsidR="00C50F53" w:rsidRPr="00C50F53" w:rsidRDefault="00C50F53" w:rsidP="004752FD">
      <w:pPr>
        <w:pStyle w:val="Odstavek"/>
        <w:spacing w:after="0" w:line="260" w:lineRule="atLeast"/>
        <w:ind w:left="1134"/>
      </w:pPr>
      <w:r w:rsidRPr="00C50F53">
        <w:t xml:space="preserve">‒ subjekti iz 3. točke tretjega odstavka prejšnjega člena, ki jih na predlog pristojnega nacionalnega organa določi vlada z odločbo. Pristojni nacionalni organ pripravi predlog na podlagi pobude Uprave Republike Slovenije za zaščito in reševanje, ki vsebuje poimenski seznam zadevnih subjektov, in </w:t>
      </w:r>
    </w:p>
    <w:p w14:paraId="6426A781" w14:textId="77777777" w:rsidR="00C50F53" w:rsidRPr="00C50F53" w:rsidRDefault="00C50F53" w:rsidP="004752FD">
      <w:pPr>
        <w:pStyle w:val="Odstavek"/>
        <w:spacing w:after="0" w:line="260" w:lineRule="atLeast"/>
        <w:ind w:left="1134"/>
      </w:pPr>
      <w:r w:rsidRPr="00C50F53">
        <w:t>‒ drugi subjekti ali organi iz prejšnjega člena tega zakona, ki niso bistveni subjekti na podlagi prejšnjega odstavka.</w:t>
      </w:r>
    </w:p>
    <w:p w14:paraId="39F4F474" w14:textId="77777777" w:rsidR="00C50F53" w:rsidRPr="00C50F53" w:rsidRDefault="00C50F53" w:rsidP="004752FD">
      <w:pPr>
        <w:pStyle w:val="Odstavek"/>
        <w:spacing w:after="0" w:line="260" w:lineRule="atLeast"/>
      </w:pPr>
    </w:p>
    <w:p w14:paraId="0552D1E6" w14:textId="77777777" w:rsidR="00C50F53" w:rsidRPr="00C50F53" w:rsidRDefault="00C50F53" w:rsidP="004752FD">
      <w:pPr>
        <w:pStyle w:val="Odstavek"/>
        <w:spacing w:after="0" w:line="260" w:lineRule="atLeast"/>
      </w:pPr>
      <w:r w:rsidRPr="00C50F53">
        <w:t>(4) Za izvajanje 7. točke drugega odstavka tega člena Banka Slovenije, Agencija za trg vrednostnih papirjev in Agencija za zavarovalni nadzor pošljejo pristojnemu nacionalnemu organu poimenski seznam subjektov, ki izvajajo zadevne storitve na področju sektorja 3. Bančništvo ali 4. Infrastrukture finančnega trga iz Priloge 1.</w:t>
      </w:r>
    </w:p>
    <w:p w14:paraId="554B0A2B" w14:textId="77777777" w:rsidR="00C50F53" w:rsidRDefault="00C50F53" w:rsidP="004752FD">
      <w:pPr>
        <w:pStyle w:val="Odstavek"/>
        <w:spacing w:after="0" w:line="260" w:lineRule="atLeast"/>
      </w:pPr>
    </w:p>
    <w:p w14:paraId="20C948FD" w14:textId="77777777" w:rsidR="004752FD" w:rsidRPr="00C50F53" w:rsidRDefault="004752FD" w:rsidP="004752FD">
      <w:pPr>
        <w:pStyle w:val="Odstavek"/>
        <w:spacing w:after="0" w:line="260" w:lineRule="atLeast"/>
      </w:pPr>
    </w:p>
    <w:p w14:paraId="3AD1F481" w14:textId="77777777" w:rsidR="00C50F53" w:rsidRPr="00C50F53" w:rsidRDefault="00C50F53" w:rsidP="00C50F53">
      <w:pPr>
        <w:pStyle w:val="NIS2len"/>
        <w:spacing w:before="0" w:line="260" w:lineRule="atLeast"/>
        <w:ind w:left="0" w:firstLine="0"/>
        <w:rPr>
          <w:sz w:val="20"/>
          <w:szCs w:val="20"/>
        </w:rPr>
      </w:pPr>
      <w:bookmarkStart w:id="47" w:name="_Hlk136517147"/>
      <w:r w:rsidRPr="00C50F53">
        <w:rPr>
          <w:sz w:val="20"/>
          <w:szCs w:val="20"/>
        </w:rPr>
        <w:t>člen</w:t>
      </w:r>
    </w:p>
    <w:p w14:paraId="239DCD62" w14:textId="77777777" w:rsidR="00C50F53" w:rsidRPr="00C50F53" w:rsidRDefault="00C50F53" w:rsidP="00C50F53">
      <w:pPr>
        <w:pStyle w:val="lennaslov0"/>
        <w:spacing w:line="260" w:lineRule="atLeast"/>
        <w:rPr>
          <w:rFonts w:cs="Arial"/>
          <w:sz w:val="20"/>
          <w:szCs w:val="20"/>
        </w:rPr>
      </w:pPr>
      <w:r w:rsidRPr="00C50F53">
        <w:rPr>
          <w:rFonts w:cs="Arial"/>
          <w:sz w:val="20"/>
          <w:szCs w:val="20"/>
        </w:rPr>
        <w:t>(samoregistracija in seznam zavezancev)</w:t>
      </w:r>
    </w:p>
    <w:p w14:paraId="77DCFE3E" w14:textId="77777777" w:rsidR="00C50F53" w:rsidRPr="00C50F53" w:rsidRDefault="00C50F53" w:rsidP="004752FD">
      <w:pPr>
        <w:pStyle w:val="Odstavek"/>
        <w:spacing w:after="0" w:line="260" w:lineRule="atLeast"/>
      </w:pPr>
    </w:p>
    <w:p w14:paraId="741281F6" w14:textId="77777777" w:rsidR="00C50F53" w:rsidRPr="00C50F53" w:rsidRDefault="00C50F53" w:rsidP="004752FD">
      <w:pPr>
        <w:pStyle w:val="Odstavek"/>
        <w:spacing w:after="0" w:line="260" w:lineRule="atLeast"/>
      </w:pPr>
      <w:r w:rsidRPr="00C50F53">
        <w:t xml:space="preserve">(1) Pristojni nacionalni organ vzpostavi mehanizem za samoregistracijo zavezancev iz 6. člena tega zakona. </w:t>
      </w:r>
    </w:p>
    <w:p w14:paraId="0510BAE0" w14:textId="77777777" w:rsidR="00C50F53" w:rsidRPr="00C50F53" w:rsidRDefault="00C50F53" w:rsidP="004752FD">
      <w:pPr>
        <w:pStyle w:val="Odstavek"/>
        <w:spacing w:after="0" w:line="260" w:lineRule="atLeast"/>
      </w:pPr>
    </w:p>
    <w:p w14:paraId="6DDDC444" w14:textId="77777777" w:rsidR="00C50F53" w:rsidRPr="00C50F53" w:rsidRDefault="00C50F53" w:rsidP="004752FD">
      <w:pPr>
        <w:pStyle w:val="Odstavek"/>
        <w:spacing w:after="0" w:line="260" w:lineRule="atLeast"/>
      </w:pPr>
      <w:r w:rsidRPr="00C50F53">
        <w:t>(2) Zavezanci iz prejšnjega odstavka, razen zavezancev iz četrtega odstavka 6. člena tega zakona in subjektov iz prvega odstavka 3. člena tega zakona, se morajo prek mehanizma za samoregistracijo iz prejšnjega odstavka registrirati v tridesetih dneh od dneva, ko so nastopile okoliščine, na podlagi katerih izpolnjujejo merila iz 6. člena in iz prejšnjega člena. Ob tem podajo vsaj naslednje informacije:</w:t>
      </w:r>
    </w:p>
    <w:p w14:paraId="6FBF5AF0" w14:textId="77777777" w:rsidR="00C50F53" w:rsidRPr="00C50F53" w:rsidRDefault="00C50F53" w:rsidP="00E20E87">
      <w:pPr>
        <w:pStyle w:val="Odstavek"/>
        <w:numPr>
          <w:ilvl w:val="0"/>
          <w:numId w:val="67"/>
        </w:numPr>
        <w:overflowPunct w:val="0"/>
        <w:autoSpaceDE w:val="0"/>
        <w:autoSpaceDN w:val="0"/>
        <w:adjustRightInd w:val="0"/>
        <w:spacing w:after="0" w:line="260" w:lineRule="atLeast"/>
        <w:textAlignment w:val="baseline"/>
      </w:pPr>
      <w:r w:rsidRPr="00C50F53">
        <w:lastRenderedPageBreak/>
        <w:t>o imenu in naslovu, kontaktnih podatkih, matični številki in elektronskem naslovu zavezanca za vročanje,</w:t>
      </w:r>
    </w:p>
    <w:p w14:paraId="1B109B4E" w14:textId="38623193" w:rsidR="00C50F53" w:rsidRPr="00C50F53" w:rsidRDefault="00C50F53" w:rsidP="00E20E87">
      <w:pPr>
        <w:numPr>
          <w:ilvl w:val="0"/>
          <w:numId w:val="67"/>
        </w:numPr>
        <w:overflowPunct w:val="0"/>
        <w:autoSpaceDE w:val="0"/>
        <w:autoSpaceDN w:val="0"/>
        <w:adjustRightInd w:val="0"/>
        <w:spacing w:line="240" w:lineRule="auto"/>
        <w:jc w:val="both"/>
        <w:textAlignment w:val="baseline"/>
        <w:rPr>
          <w:rFonts w:cs="Arial"/>
          <w:szCs w:val="20"/>
          <w:lang w:val="sl-SI"/>
        </w:rPr>
      </w:pPr>
      <w:r w:rsidRPr="00C50F53">
        <w:rPr>
          <w:rFonts w:cs="Arial"/>
          <w:szCs w:val="20"/>
          <w:lang w:val="sl-SI"/>
        </w:rPr>
        <w:t xml:space="preserve">o ustreznem sektorju in podsektorju iz Priloge 1 ali 2 tega zakona, v katerem zavezanec izvaja vrste storitev iz teh prilog, ali kategorijo zavezancev, ki niso vključeni v navedenih prilogah, so pa zavezanci na podlagi tretjega odstavka </w:t>
      </w:r>
      <w:r w:rsidR="00EF4CF1">
        <w:rPr>
          <w:rFonts w:cs="Arial"/>
          <w:szCs w:val="20"/>
          <w:lang w:val="sl-SI"/>
        </w:rPr>
        <w:t xml:space="preserve">6. </w:t>
      </w:r>
      <w:r w:rsidRPr="00C50F53">
        <w:rPr>
          <w:rFonts w:cs="Arial"/>
          <w:szCs w:val="20"/>
          <w:lang w:val="sl-SI"/>
        </w:rPr>
        <w:t>člena tega zakona,</w:t>
      </w:r>
    </w:p>
    <w:p w14:paraId="6722CB63" w14:textId="77777777" w:rsidR="00C50F53" w:rsidRPr="00C50F53" w:rsidRDefault="00C50F53" w:rsidP="00E20E87">
      <w:pPr>
        <w:numPr>
          <w:ilvl w:val="0"/>
          <w:numId w:val="67"/>
        </w:numPr>
        <w:overflowPunct w:val="0"/>
        <w:autoSpaceDE w:val="0"/>
        <w:autoSpaceDN w:val="0"/>
        <w:adjustRightInd w:val="0"/>
        <w:spacing w:line="240" w:lineRule="auto"/>
        <w:jc w:val="both"/>
        <w:textAlignment w:val="baseline"/>
        <w:rPr>
          <w:rFonts w:cs="Arial"/>
          <w:szCs w:val="20"/>
          <w:lang w:val="sl-SI"/>
        </w:rPr>
      </w:pPr>
      <w:r w:rsidRPr="00C50F53">
        <w:rPr>
          <w:rFonts w:cs="Arial"/>
          <w:szCs w:val="20"/>
          <w:lang w:val="sl-SI"/>
        </w:rPr>
        <w:t>navedbo, ali ima subjekt vsaj 50 zaposlenih in letni promet ali bilančno vsoto vsaj 10.000.000,00 eura,</w:t>
      </w:r>
    </w:p>
    <w:p w14:paraId="3CE17CD1" w14:textId="1354E2D2" w:rsidR="00C50F53" w:rsidRPr="00C50F53" w:rsidRDefault="00C50F53" w:rsidP="00E20E87">
      <w:pPr>
        <w:numPr>
          <w:ilvl w:val="0"/>
          <w:numId w:val="67"/>
        </w:numPr>
        <w:overflowPunct w:val="0"/>
        <w:autoSpaceDE w:val="0"/>
        <w:autoSpaceDN w:val="0"/>
        <w:adjustRightInd w:val="0"/>
        <w:spacing w:line="240" w:lineRule="auto"/>
        <w:jc w:val="both"/>
        <w:textAlignment w:val="baseline"/>
        <w:rPr>
          <w:rFonts w:cs="Arial"/>
          <w:szCs w:val="20"/>
          <w:lang w:val="sl-SI"/>
        </w:rPr>
      </w:pPr>
      <w:r w:rsidRPr="00C50F53">
        <w:rPr>
          <w:rFonts w:cs="Arial"/>
          <w:szCs w:val="20"/>
          <w:lang w:val="sl-SI"/>
        </w:rPr>
        <w:t xml:space="preserve">navedbo, ali ima subjekt vsaj 250 zaposlenih </w:t>
      </w:r>
      <w:r w:rsidR="009E400C">
        <w:rPr>
          <w:rFonts w:cs="Arial"/>
          <w:szCs w:val="20"/>
          <w:lang w:val="sl-SI"/>
        </w:rPr>
        <w:t>ali</w:t>
      </w:r>
      <w:r w:rsidR="009E400C" w:rsidRPr="00C50F53">
        <w:rPr>
          <w:rFonts w:cs="Arial"/>
          <w:szCs w:val="20"/>
          <w:lang w:val="sl-SI"/>
        </w:rPr>
        <w:t xml:space="preserve"> </w:t>
      </w:r>
      <w:r w:rsidRPr="00C50F53">
        <w:rPr>
          <w:rFonts w:cs="Arial"/>
          <w:szCs w:val="20"/>
          <w:lang w:val="sl-SI"/>
        </w:rPr>
        <w:t>letni promet vsaj 50.000.000,00 eura ali letno bilančno vsoto vsaj 43.000.000,00 eura,</w:t>
      </w:r>
    </w:p>
    <w:p w14:paraId="317E2E53" w14:textId="77777777" w:rsidR="00C50F53" w:rsidRPr="00C50F53" w:rsidRDefault="00C50F53" w:rsidP="00E20E87">
      <w:pPr>
        <w:pStyle w:val="Odstavek"/>
        <w:numPr>
          <w:ilvl w:val="0"/>
          <w:numId w:val="67"/>
        </w:numPr>
        <w:overflowPunct w:val="0"/>
        <w:autoSpaceDE w:val="0"/>
        <w:autoSpaceDN w:val="0"/>
        <w:adjustRightInd w:val="0"/>
        <w:spacing w:after="0" w:line="260" w:lineRule="atLeast"/>
        <w:textAlignment w:val="baseline"/>
      </w:pPr>
      <w:r w:rsidRPr="00C50F53">
        <w:t>o kontaktni osebi za informacijsko varnost in njenem namestniku ter njune kontaktne podatke, vključno z elektronskimi naslovi in telefonskimi številkami,</w:t>
      </w:r>
    </w:p>
    <w:p w14:paraId="50C3FC2B" w14:textId="77777777" w:rsidR="00C50F53" w:rsidRPr="00C50F53" w:rsidRDefault="00C50F53" w:rsidP="00E20E87">
      <w:pPr>
        <w:pStyle w:val="Odstavek"/>
        <w:numPr>
          <w:ilvl w:val="0"/>
          <w:numId w:val="67"/>
        </w:numPr>
        <w:overflowPunct w:val="0"/>
        <w:autoSpaceDE w:val="0"/>
        <w:autoSpaceDN w:val="0"/>
        <w:adjustRightInd w:val="0"/>
        <w:spacing w:after="0" w:line="260" w:lineRule="atLeast"/>
        <w:textAlignment w:val="baseline"/>
      </w:pPr>
      <w:r w:rsidRPr="00C50F53">
        <w:t>o dodeljenih blokih javnih naslovov IP,</w:t>
      </w:r>
    </w:p>
    <w:p w14:paraId="09ADEB8B" w14:textId="77777777" w:rsidR="00C50F53" w:rsidRPr="00C50F53" w:rsidRDefault="00C50F53" w:rsidP="00E20E87">
      <w:pPr>
        <w:pStyle w:val="Odstavek"/>
        <w:numPr>
          <w:ilvl w:val="0"/>
          <w:numId w:val="67"/>
        </w:numPr>
        <w:overflowPunct w:val="0"/>
        <w:autoSpaceDE w:val="0"/>
        <w:autoSpaceDN w:val="0"/>
        <w:adjustRightInd w:val="0"/>
        <w:spacing w:after="0" w:line="240" w:lineRule="auto"/>
        <w:textAlignment w:val="baseline"/>
      </w:pPr>
      <w:r w:rsidRPr="00C50F53">
        <w:t>o seznamu držav članic Evropske unije, kjer opravljajo storitve, ki spadajo na področje uporabe tega zakona, ter</w:t>
      </w:r>
    </w:p>
    <w:p w14:paraId="7031F8E1" w14:textId="77777777" w:rsidR="00C50F53" w:rsidRPr="00C50F53" w:rsidRDefault="00C50F53" w:rsidP="00E20E87">
      <w:pPr>
        <w:pStyle w:val="Odstavek"/>
        <w:numPr>
          <w:ilvl w:val="0"/>
          <w:numId w:val="67"/>
        </w:numPr>
        <w:overflowPunct w:val="0"/>
        <w:autoSpaceDE w:val="0"/>
        <w:autoSpaceDN w:val="0"/>
        <w:adjustRightInd w:val="0"/>
        <w:spacing w:after="0" w:line="240" w:lineRule="auto"/>
        <w:textAlignment w:val="baseline"/>
      </w:pPr>
      <w:r w:rsidRPr="00C50F53">
        <w:t>o registriranih številkah avtonomnih sistemov in vseh domenskih imenih, ki jih zavezanec uporablja pri poslovanju.</w:t>
      </w:r>
      <w:r w:rsidRPr="00C50F53" w:rsidDel="001D4F82">
        <w:t xml:space="preserve"> </w:t>
      </w:r>
    </w:p>
    <w:p w14:paraId="4825B138" w14:textId="77777777" w:rsidR="00C50F53" w:rsidRPr="00C50F53" w:rsidRDefault="00C50F53" w:rsidP="004752FD">
      <w:pPr>
        <w:pStyle w:val="Odstavek"/>
        <w:spacing w:after="0"/>
        <w:ind w:left="1080"/>
      </w:pPr>
    </w:p>
    <w:p w14:paraId="690C9752" w14:textId="77777777" w:rsidR="00C50F53" w:rsidRPr="00C50F53" w:rsidRDefault="00C50F53" w:rsidP="004752FD">
      <w:pPr>
        <w:pStyle w:val="Odstavek"/>
        <w:spacing w:after="0" w:line="260" w:lineRule="atLeast"/>
      </w:pPr>
      <w:r w:rsidRPr="00C50F53">
        <w:t>(3) Ne glede na nabor informacij iz prejšnjega odstavka subjekti iz prvega odstavka 32. člena tega zakona ob samoregistraciji iz prejšnjega odstavka podajo v njem navedeni nabor informacij.</w:t>
      </w:r>
    </w:p>
    <w:p w14:paraId="231606CC" w14:textId="77777777" w:rsidR="00C50F53" w:rsidRPr="00C50F53" w:rsidRDefault="00C50F53" w:rsidP="004752FD">
      <w:pPr>
        <w:pStyle w:val="Odstavek"/>
        <w:spacing w:after="0" w:line="260" w:lineRule="atLeast"/>
      </w:pPr>
    </w:p>
    <w:p w14:paraId="1F0F8A11" w14:textId="77777777" w:rsidR="00C50F53" w:rsidRPr="00C50F53" w:rsidRDefault="00C50F53" w:rsidP="004752FD">
      <w:pPr>
        <w:pStyle w:val="Odstavek"/>
        <w:spacing w:after="0" w:line="260" w:lineRule="atLeast"/>
      </w:pPr>
      <w:r w:rsidRPr="00C50F53">
        <w:t xml:space="preserve">(4) Na podlagi informacij zavezancev iz drugega ali prejšnjega odstavka tega člena in ob upoštevanju drugega in tretjega odstavka prejšnjega člena pristojni nacionalni organ vzpostavi seznam bistvenih in pomembnih subjektov ter subjektov, ki opravljajo storitve registracije domenskih imen. Ta seznam je varovani podatek pristojnega nacionalnega organa in ga pristojni nacionalni organ redno ali vsaj vsaki dve leti pregleda in po potrebi posodobi. Pristojni nacionalni organ omogoči dostop do seznama v delu, ki se nanaša na zavezance iz njihove pristojnosti, tudi pristojnim skupinam CSIRT. </w:t>
      </w:r>
    </w:p>
    <w:p w14:paraId="32306C5E" w14:textId="77777777" w:rsidR="00C50F53" w:rsidRPr="00C50F53" w:rsidRDefault="00C50F53" w:rsidP="004752FD">
      <w:pPr>
        <w:pStyle w:val="Odstavek"/>
        <w:spacing w:after="0" w:line="260" w:lineRule="atLeast"/>
      </w:pPr>
    </w:p>
    <w:p w14:paraId="06BA22DA" w14:textId="77777777" w:rsidR="00C50F53" w:rsidRPr="00C50F53" w:rsidRDefault="00C50F53" w:rsidP="004752FD">
      <w:pPr>
        <w:pStyle w:val="Odstavek"/>
        <w:spacing w:after="0" w:line="260" w:lineRule="atLeast"/>
      </w:pPr>
      <w:r w:rsidRPr="00C50F53">
        <w:t xml:space="preserve">(5) Zavezanci iz drugega odstavka tega člena z uporabo mehanizma za samoregistracijo sporočijo morebitne spremembe podatkov, ki so jih predložili na podlagi drugega ali tretjega odstavka tega člena, najpozneje v desetih delovnih dneh od datuma spremembe. Na seznam iz prejšnjega odstavka se zadevne spremembe prenesejo nemudoma. </w:t>
      </w:r>
    </w:p>
    <w:p w14:paraId="2DD7AA5C" w14:textId="77777777" w:rsidR="00C50F53" w:rsidRPr="00C50F53" w:rsidRDefault="00C50F53" w:rsidP="004752FD">
      <w:pPr>
        <w:pStyle w:val="Odstavek"/>
        <w:spacing w:after="0" w:line="260" w:lineRule="atLeast"/>
      </w:pPr>
    </w:p>
    <w:p w14:paraId="45AF68DC" w14:textId="77777777" w:rsidR="00C50F53" w:rsidRPr="00C50F53" w:rsidRDefault="00C50F53" w:rsidP="004752FD">
      <w:pPr>
        <w:pStyle w:val="Odstavek"/>
        <w:spacing w:after="0" w:line="260" w:lineRule="atLeast"/>
      </w:pPr>
      <w:r w:rsidRPr="00C50F53">
        <w:t xml:space="preserve">(6) Ne glede na prejšnji odstavek subjekt iz drugega odstavka tega člena, ki presodi, da ne spada več med zavezance, o tem in razlogih za takšno presojo obvesti pristojni nacionalni organ, ki preveri njegove navedbe in ob potrditvi razlogov v mehanizmu za samoregistracijo in na seznamu iz četrtega odstavka tega člena pri zadevnem subjektu zaznamuje, da ta subjekt ni več zavezanec, in o tem obvesti zadevni subjekt. </w:t>
      </w:r>
    </w:p>
    <w:p w14:paraId="755686CD" w14:textId="77777777" w:rsidR="00C50F53" w:rsidRPr="00C50F53" w:rsidRDefault="00C50F53" w:rsidP="004752FD">
      <w:pPr>
        <w:pStyle w:val="Odstavek"/>
        <w:spacing w:after="0" w:line="260" w:lineRule="atLeast"/>
      </w:pPr>
    </w:p>
    <w:p w14:paraId="137E603C" w14:textId="77777777" w:rsidR="00C50F53" w:rsidRPr="00C50F53" w:rsidRDefault="00C50F53" w:rsidP="004752FD">
      <w:pPr>
        <w:pStyle w:val="Odstavek"/>
        <w:spacing w:after="0" w:line="260" w:lineRule="atLeast"/>
      </w:pPr>
      <w:r w:rsidRPr="00C50F53">
        <w:t xml:space="preserve">(7) Ne glede na drugi odstavek tega člena Banka Slovenije, Agencija za trg vrednostnih papirjev in Agencija za zavarovalni nadzor pošljejo pristojnemu nacionalnemu organu poimenski seznam finančnih subjektov iz Uredbe 2022/2554/EU, ki so subjekti iz prvega odstavka 3. člena tega zakona, v tridesetih dneh od njihove prepoznave. V enakem roku obvestijo pristojni nacionalni organ o spremembi seznama. </w:t>
      </w:r>
    </w:p>
    <w:p w14:paraId="723E97B7" w14:textId="77777777" w:rsidR="00C50F53" w:rsidRPr="00C50F53" w:rsidRDefault="00C50F53" w:rsidP="004752FD">
      <w:pPr>
        <w:pStyle w:val="Odstavek"/>
        <w:spacing w:after="0" w:line="260" w:lineRule="atLeast"/>
      </w:pPr>
    </w:p>
    <w:p w14:paraId="664F30FA" w14:textId="77777777" w:rsidR="00C50F53" w:rsidRPr="00C50F53" w:rsidRDefault="00C50F53" w:rsidP="004752FD">
      <w:pPr>
        <w:pStyle w:val="Odstavek"/>
        <w:spacing w:after="0" w:line="260" w:lineRule="atLeast"/>
      </w:pPr>
      <w:r w:rsidRPr="00C50F53">
        <w:t>(8) Pristojni nacionalni organ informacije iz prejšnjega odstavka nemudoma vključi na seznam iz četrtega odstavka tega člena.</w:t>
      </w:r>
    </w:p>
    <w:p w14:paraId="0716DD70" w14:textId="77777777" w:rsidR="00C50F53" w:rsidRPr="00C50F53" w:rsidRDefault="00C50F53" w:rsidP="004752FD">
      <w:pPr>
        <w:pStyle w:val="Odstavek"/>
        <w:spacing w:after="0" w:line="260" w:lineRule="atLeast"/>
      </w:pPr>
    </w:p>
    <w:p w14:paraId="1339B369" w14:textId="77777777" w:rsidR="00C50F53" w:rsidRPr="00C50F53" w:rsidRDefault="00C50F53" w:rsidP="004752FD">
      <w:pPr>
        <w:pStyle w:val="Odstavek"/>
        <w:spacing w:after="0" w:line="260" w:lineRule="atLeast"/>
      </w:pPr>
      <w:r w:rsidRPr="00C50F53">
        <w:t>(9) Za potrebe izvajanja tega člena pristojni nacionalni organ brezplačno pridobiva podatke zavezancev iz drugega odstavka tega člena iz zbirke podatkov Poslovni register Slovenije upravljavca Agencije Republike Slovenije za javnopravne evidence in storitve.</w:t>
      </w:r>
    </w:p>
    <w:p w14:paraId="27A46C95" w14:textId="77777777" w:rsidR="00C50F53" w:rsidRPr="00C50F53" w:rsidRDefault="00C50F53" w:rsidP="004752FD">
      <w:pPr>
        <w:pStyle w:val="Odstavek"/>
        <w:spacing w:after="0" w:line="260" w:lineRule="atLeast"/>
      </w:pPr>
    </w:p>
    <w:p w14:paraId="50B720BA" w14:textId="77777777" w:rsidR="004752FD" w:rsidRDefault="004752FD">
      <w:pPr>
        <w:spacing w:line="240" w:lineRule="auto"/>
        <w:rPr>
          <w:rFonts w:cs="Arial"/>
          <w:b/>
          <w:bCs/>
          <w:szCs w:val="20"/>
          <w:lang w:val="sl-SI" w:eastAsia="sl-SI"/>
        </w:rPr>
      </w:pPr>
      <w:bookmarkStart w:id="48" w:name="_Hlk148371856"/>
      <w:bookmarkEnd w:id="47"/>
      <w:r w:rsidRPr="00750A2E">
        <w:rPr>
          <w:szCs w:val="20"/>
          <w:lang w:val="sl-SI"/>
        </w:rPr>
        <w:br w:type="page"/>
      </w:r>
    </w:p>
    <w:p w14:paraId="444EA55D" w14:textId="00C2EAD2" w:rsidR="00C50F53" w:rsidRPr="00C50F53" w:rsidRDefault="00C50F53" w:rsidP="00E20E87">
      <w:pPr>
        <w:pStyle w:val="NIS2naslovpoglavja"/>
        <w:numPr>
          <w:ilvl w:val="0"/>
          <w:numId w:val="64"/>
        </w:numPr>
        <w:rPr>
          <w:sz w:val="20"/>
          <w:szCs w:val="20"/>
        </w:rPr>
      </w:pPr>
      <w:r w:rsidRPr="00C50F53">
        <w:rPr>
          <w:sz w:val="20"/>
          <w:szCs w:val="20"/>
        </w:rPr>
        <w:lastRenderedPageBreak/>
        <w:t>Organizacija nacionalnega sistema informacijske varnosti</w:t>
      </w:r>
      <w:bookmarkEnd w:id="48"/>
    </w:p>
    <w:p w14:paraId="182AC98A" w14:textId="77777777" w:rsidR="00C50F53" w:rsidRPr="00C50F53" w:rsidRDefault="00C50F53" w:rsidP="004752FD">
      <w:pPr>
        <w:pStyle w:val="Odstavek"/>
        <w:spacing w:after="0" w:line="260" w:lineRule="atLeast"/>
      </w:pPr>
    </w:p>
    <w:p w14:paraId="3C826410" w14:textId="77777777" w:rsidR="00C50F53" w:rsidRPr="00C50F53" w:rsidRDefault="00C50F53" w:rsidP="004752FD">
      <w:pPr>
        <w:pStyle w:val="Odstavek"/>
        <w:spacing w:after="0" w:line="260" w:lineRule="atLeast"/>
      </w:pPr>
    </w:p>
    <w:p w14:paraId="714584BD" w14:textId="77777777" w:rsidR="00C50F53" w:rsidRPr="00C50F53" w:rsidRDefault="00C50F53" w:rsidP="004752FD">
      <w:pPr>
        <w:pStyle w:val="NIS2len"/>
        <w:spacing w:before="0" w:line="260" w:lineRule="atLeast"/>
        <w:ind w:left="0" w:firstLine="0"/>
        <w:rPr>
          <w:sz w:val="20"/>
          <w:szCs w:val="20"/>
        </w:rPr>
      </w:pPr>
      <w:r w:rsidRPr="00C50F53">
        <w:rPr>
          <w:sz w:val="20"/>
          <w:szCs w:val="20"/>
        </w:rPr>
        <w:t>člen</w:t>
      </w:r>
    </w:p>
    <w:p w14:paraId="13023914" w14:textId="77777777" w:rsidR="00C50F53" w:rsidRPr="00C50F53" w:rsidRDefault="00C50F53" w:rsidP="004752FD">
      <w:pPr>
        <w:pStyle w:val="len0"/>
        <w:spacing w:before="0" w:line="260" w:lineRule="atLeast"/>
        <w:rPr>
          <w:sz w:val="20"/>
          <w:szCs w:val="20"/>
        </w:rPr>
      </w:pPr>
      <w:r w:rsidRPr="00C50F53">
        <w:rPr>
          <w:sz w:val="20"/>
          <w:szCs w:val="20"/>
        </w:rPr>
        <w:t>(strategija kibernetske varnosti)</w:t>
      </w:r>
    </w:p>
    <w:p w14:paraId="575475D4" w14:textId="77777777" w:rsidR="00C50F53" w:rsidRPr="00C50F53" w:rsidRDefault="00C50F53" w:rsidP="004752FD">
      <w:pPr>
        <w:pStyle w:val="len0"/>
        <w:spacing w:before="0" w:line="260" w:lineRule="atLeast"/>
        <w:rPr>
          <w:sz w:val="20"/>
          <w:szCs w:val="20"/>
        </w:rPr>
      </w:pPr>
    </w:p>
    <w:p w14:paraId="5E391D61" w14:textId="77777777" w:rsidR="00C50F53" w:rsidRPr="004752FD" w:rsidRDefault="00C50F53" w:rsidP="00E20E87">
      <w:pPr>
        <w:pStyle w:val="Odstavek"/>
        <w:numPr>
          <w:ilvl w:val="0"/>
          <w:numId w:val="55"/>
        </w:numPr>
        <w:overflowPunct w:val="0"/>
        <w:autoSpaceDE w:val="0"/>
        <w:autoSpaceDN w:val="0"/>
        <w:adjustRightInd w:val="0"/>
        <w:spacing w:after="0" w:line="260" w:lineRule="atLeast"/>
        <w:ind w:left="0" w:firstLine="0"/>
        <w:textAlignment w:val="baseline"/>
      </w:pPr>
      <w:r w:rsidRPr="004752FD">
        <w:t xml:space="preserve"> Vlada sprejme strategijo kibernetske varnosti (v nadaljnjem besedilu: strategija), ki je okvir za izvedbo ukrepov za vzpostavitev učinkovitega nacionalnega sistema zagotavljanja informacijske oziroma kibernetske varnosti. V strategiji so opredeljeni strateški cilji, </w:t>
      </w:r>
      <w:bookmarkStart w:id="49" w:name="_Hlk161919628"/>
      <w:r w:rsidRPr="004752FD">
        <w:t xml:space="preserve">potrebna sredstva za dosego teh ciljev </w:t>
      </w:r>
      <w:bookmarkEnd w:id="49"/>
      <w:r w:rsidRPr="004752FD">
        <w:t xml:space="preserve">ter ustrezni ukrepi politike in regulativni ukrepi za doseganje in ohranjanje visoke ravni kibernetske varnosti na področju uporabe tega zakona. </w:t>
      </w:r>
    </w:p>
    <w:p w14:paraId="50290A7F" w14:textId="77777777" w:rsidR="00C50F53" w:rsidRPr="004752FD" w:rsidRDefault="00C50F53" w:rsidP="004752FD">
      <w:pPr>
        <w:pStyle w:val="Odstavek"/>
        <w:spacing w:after="0" w:line="260" w:lineRule="atLeast"/>
      </w:pPr>
      <w:r w:rsidRPr="004752FD">
        <w:t>V strategijo se vključijo zlasti:</w:t>
      </w:r>
    </w:p>
    <w:p w14:paraId="5184986E"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cilji in prednostne naloge strategije;</w:t>
      </w:r>
    </w:p>
    <w:p w14:paraId="66D89C2F"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okvir upravljanja za dosego ciljev in izvedbo prednostnih nalog iz prejšnje točke, vključno s politikami iz naslednjega odstavka tega člena;</w:t>
      </w:r>
    </w:p>
    <w:p w14:paraId="1EECAA51"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okvir upravljanja, ki opredeljuje vloge in odgovornosti ustreznih zainteresiranih deležnikov kibernetske varnosti na državni ravni, podpira sodelovanje in usklajevanje na državni ravni med pristojnim nacionalnim organom, enotno kontaktno točko in skupinami CSIRT iz tega zakona ter podpira usklajevanje in sodelovanje med temi organi in pristojnimi organi na podlagi področnih pravnih aktov Evropske unije oziroma področne zakonodaje, ki te akte prenaša v slovenski pravni red;</w:t>
      </w:r>
    </w:p>
    <w:p w14:paraId="784EA6D6"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mehanizem za opredelitev ustreznih virov in oceno tveganj;</w:t>
      </w:r>
    </w:p>
    <w:p w14:paraId="7C634F88"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opredelitev ukrepov za zagotovitev pripravljenosti na odzivanje na incidente in okrevanje po njih, vključno s sodelovanjem med javnim in zasebnim sektorjem;</w:t>
      </w:r>
    </w:p>
    <w:p w14:paraId="08EF14E9"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seznam organov, organizacij in deležnikov, vključenih v izvajanje strategije;</w:t>
      </w:r>
    </w:p>
    <w:p w14:paraId="5701F5E6" w14:textId="39BAE58F"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okvir politike za okrepljeno usklajevanje med pristojnim nacionalnim organom iz tega zakona in pristojnim nacionalnim organom iz zakona, ki ureja področje</w:t>
      </w:r>
      <w:r w:rsidR="00DC43DE">
        <w:t xml:space="preserve"> </w:t>
      </w:r>
      <w:r w:rsidRPr="004752FD">
        <w:t>kritične infrastrukture za namene izmenjave informacij o tveganjih, kibernetskih grožnjah in incidentih ter o nekibernetskih tveganjih, grožnjah in incidentih ter izvajanju nadzornih nalog;</w:t>
      </w:r>
    </w:p>
    <w:p w14:paraId="01436ECC"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okvir politike za okrepljeno usklajevanje med pristojnim nacionalnim organom iz tega zakona in organom, ki je po odločitvi vlade osrednji organ za spremljanje in koordinacijo odzivanja na hibridne grožnje v Republiki Sloveniji (v nadaljnjem besedilu: osrednji organ za odzivanje na hibridne grožnje), za namene izmenjave informacij o tveganjih, kibernetskih grožnjah in incidentih ter o nekibernetskih tveganjih, grožnjah in incidentih, ki bi nakazovali hibridno delovanje;</w:t>
      </w:r>
    </w:p>
    <w:p w14:paraId="12FE2D5A" w14:textId="77777777" w:rsidR="00C50F53" w:rsidRPr="004752FD" w:rsidRDefault="00C50F53" w:rsidP="00E20E87">
      <w:pPr>
        <w:pStyle w:val="Odstavek"/>
        <w:numPr>
          <w:ilvl w:val="0"/>
          <w:numId w:val="54"/>
        </w:numPr>
        <w:overflowPunct w:val="0"/>
        <w:autoSpaceDE w:val="0"/>
        <w:autoSpaceDN w:val="0"/>
        <w:adjustRightInd w:val="0"/>
        <w:spacing w:after="0" w:line="260" w:lineRule="atLeast"/>
        <w:ind w:left="1134" w:firstLine="0"/>
        <w:textAlignment w:val="baseline"/>
      </w:pPr>
      <w:r w:rsidRPr="004752FD">
        <w:t>načrt, vključno s potrebnimi ukrepi, za povečanje splošne ozaveščenosti državljanov o kibernetski varnosti.</w:t>
      </w:r>
    </w:p>
    <w:p w14:paraId="3C1E93BD" w14:textId="77777777" w:rsidR="00C50F53" w:rsidRPr="004752FD" w:rsidRDefault="00C50F53" w:rsidP="004752FD">
      <w:pPr>
        <w:pStyle w:val="Odstavek"/>
        <w:spacing w:after="0" w:line="260" w:lineRule="atLeast"/>
      </w:pPr>
    </w:p>
    <w:p w14:paraId="7C1687EB" w14:textId="77777777" w:rsidR="00C50F53" w:rsidRPr="004752FD" w:rsidRDefault="00C50F53" w:rsidP="004752FD">
      <w:pPr>
        <w:pStyle w:val="Odstavek"/>
        <w:spacing w:after="0" w:line="260" w:lineRule="atLeast"/>
      </w:pPr>
      <w:r w:rsidRPr="004752FD">
        <w:t>(2) Strategija vključuje zlasti naslednje politike:</w:t>
      </w:r>
    </w:p>
    <w:p w14:paraId="07694B32" w14:textId="77777777" w:rsidR="00C50F53" w:rsidRPr="004752FD" w:rsidRDefault="00C50F53" w:rsidP="004752FD">
      <w:pPr>
        <w:pStyle w:val="Odstavek"/>
        <w:spacing w:after="0" w:line="260" w:lineRule="atLeast"/>
        <w:ind w:left="1134"/>
      </w:pPr>
      <w:r w:rsidRPr="004752FD">
        <w:t>1. o obravnavanju kibernetske varnosti v dobavni verigi proizvodov in storitev IKT, ki jih subjekti uporabljajo za opravljanje svojih storitev;</w:t>
      </w:r>
    </w:p>
    <w:p w14:paraId="6D766459" w14:textId="77777777" w:rsidR="00C50F53" w:rsidRPr="004752FD" w:rsidRDefault="00C50F53" w:rsidP="004752FD">
      <w:pPr>
        <w:pStyle w:val="Odstavek"/>
        <w:spacing w:after="0" w:line="260" w:lineRule="atLeast"/>
        <w:ind w:left="1134"/>
      </w:pPr>
      <w:r w:rsidRPr="004752FD">
        <w:t>2. o vključitvi in specifikaciji zahtev za proizvode in storitve IKT pri javnem naročanju, povezanih s kibernetsko varnostjo, vključno v zvezi s certificiranjem za kibernetsko varnost, šifriranjem in uporabo odprtokodnih proizvodov za kibernetsko varnost;</w:t>
      </w:r>
    </w:p>
    <w:p w14:paraId="71F4AA75" w14:textId="77777777" w:rsidR="00C50F53" w:rsidRPr="004752FD" w:rsidRDefault="00C50F53" w:rsidP="004752FD">
      <w:pPr>
        <w:pStyle w:val="Odstavek"/>
        <w:spacing w:after="0" w:line="260" w:lineRule="atLeast"/>
        <w:ind w:left="1134"/>
      </w:pPr>
      <w:r w:rsidRPr="004752FD">
        <w:t>3. o obvladovanju ranljivosti, vključno s spodbujanjem in omogočanjem usklajenega razkrivanja ranljivosti na podlagi prvega odstavka 17. člena tega zakona;</w:t>
      </w:r>
    </w:p>
    <w:p w14:paraId="523C3BB8" w14:textId="77777777" w:rsidR="00C50F53" w:rsidRPr="004752FD" w:rsidRDefault="00C50F53" w:rsidP="004752FD">
      <w:pPr>
        <w:pStyle w:val="Odstavek"/>
        <w:spacing w:after="0" w:line="260" w:lineRule="atLeast"/>
        <w:ind w:left="1134"/>
      </w:pPr>
      <w:r w:rsidRPr="004752FD">
        <w:t>4. povezane z ohranjanjem splošne razpoložljivosti, celovitosti in zaupnosti javnega jedra odprtega interneta, vključno s kibernetsko varnostjo podmorskih komunikacijskih kablov;</w:t>
      </w:r>
    </w:p>
    <w:p w14:paraId="6BCBED5D" w14:textId="77777777" w:rsidR="00C50F53" w:rsidRPr="004752FD" w:rsidRDefault="00C50F53" w:rsidP="004752FD">
      <w:pPr>
        <w:pStyle w:val="Odstavek"/>
        <w:spacing w:after="0" w:line="260" w:lineRule="atLeast"/>
        <w:ind w:left="1134"/>
      </w:pPr>
      <w:r w:rsidRPr="004752FD">
        <w:t>5. o spodbujanju razvoja in vključevanja ustreznih naprednih tehnologij za izvajanje najsodobnejših ukrepov za obvladovanje tveganj na področju kibernetske varnosti;</w:t>
      </w:r>
    </w:p>
    <w:p w14:paraId="095DFBBB" w14:textId="77777777" w:rsidR="00C50F53" w:rsidRPr="004752FD" w:rsidRDefault="00C50F53" w:rsidP="004752FD">
      <w:pPr>
        <w:pStyle w:val="Odstavek"/>
        <w:spacing w:after="0" w:line="260" w:lineRule="atLeast"/>
        <w:ind w:left="1134"/>
      </w:pPr>
      <w:r w:rsidRPr="004752FD">
        <w:lastRenderedPageBreak/>
        <w:t>6. o spodbujanju in razvoju izobraževanja in usposabljanja na področju kibernetske varnosti, spretnosti na področju kibernetske varnosti, okrepitve ozaveščanja, raziskovalnih in razvojnih pobud na področju kibernetske varnosti ter smernic o dobrih praksah in nadzoru kibernetske higiene, namenjenih državljanom, deležnikom in subjektom;</w:t>
      </w:r>
    </w:p>
    <w:p w14:paraId="758EDA9F" w14:textId="77777777" w:rsidR="00C50F53" w:rsidRPr="004752FD" w:rsidRDefault="00C50F53" w:rsidP="004752FD">
      <w:pPr>
        <w:pStyle w:val="Odstavek"/>
        <w:spacing w:after="0" w:line="260" w:lineRule="atLeast"/>
        <w:ind w:left="1134"/>
      </w:pPr>
      <w:r w:rsidRPr="004752FD">
        <w:t>7. o podpiranju akademskih in raziskovalnih institucij pri razvoju in izboljševanju orodij kibernetske varnosti in varne omrežne infrastrukture ter spodbujanju njihovega uvajanja;</w:t>
      </w:r>
    </w:p>
    <w:p w14:paraId="0465ED9E" w14:textId="77777777" w:rsidR="00C50F53" w:rsidRPr="004752FD" w:rsidRDefault="00C50F53" w:rsidP="004752FD">
      <w:pPr>
        <w:pStyle w:val="Odstavek"/>
        <w:spacing w:after="0" w:line="260" w:lineRule="atLeast"/>
        <w:ind w:left="1134"/>
      </w:pPr>
      <w:r w:rsidRPr="004752FD">
        <w:t>8. o vključevanju ustreznih postopkov in primernih orodij za podpiranje prostovoljne izmenjave informacij o kibernetski varnosti med subjekti v skladu s pravom Evropske unije;</w:t>
      </w:r>
    </w:p>
    <w:p w14:paraId="55597095" w14:textId="77777777" w:rsidR="00C50F53" w:rsidRPr="004752FD" w:rsidRDefault="00C50F53" w:rsidP="004752FD">
      <w:pPr>
        <w:pStyle w:val="Odstavek"/>
        <w:spacing w:after="0" w:line="260" w:lineRule="atLeast"/>
        <w:ind w:left="1134"/>
      </w:pPr>
      <w:r w:rsidRPr="004752FD">
        <w:t>9. o krepitvi kibernetske odpornosti in osnovne kibernetske higiene malih in srednjih podjetij, zlasti tistih, ki so izključena s področja uporabe tega zakona, z zagotavljanjem lahko dostopnih smernic in pomoči za njihove posebne potrebe;</w:t>
      </w:r>
    </w:p>
    <w:p w14:paraId="6340E815" w14:textId="77777777" w:rsidR="00C50F53" w:rsidRPr="004752FD" w:rsidRDefault="00C50F53" w:rsidP="004752FD">
      <w:pPr>
        <w:pStyle w:val="Odstavek"/>
        <w:spacing w:after="0" w:line="260" w:lineRule="atLeast"/>
        <w:ind w:left="1134"/>
      </w:pPr>
      <w:r w:rsidRPr="004752FD">
        <w:t>10. o spodbujanju aktivne kibernetske zaščite.</w:t>
      </w:r>
    </w:p>
    <w:p w14:paraId="4C14534E" w14:textId="77777777" w:rsidR="00C50F53" w:rsidRPr="004752FD" w:rsidRDefault="00C50F53" w:rsidP="004752FD">
      <w:pPr>
        <w:pStyle w:val="Odstavek"/>
        <w:spacing w:after="0" w:line="260" w:lineRule="atLeast"/>
        <w:ind w:left="1134"/>
      </w:pPr>
    </w:p>
    <w:p w14:paraId="42CCC3D5" w14:textId="77777777" w:rsidR="00C50F53" w:rsidRPr="004752FD" w:rsidRDefault="00C50F53" w:rsidP="004752FD">
      <w:pPr>
        <w:pStyle w:val="Odstavek"/>
        <w:spacing w:after="0" w:line="260" w:lineRule="atLeast"/>
      </w:pPr>
      <w:r w:rsidRPr="004752FD">
        <w:t>(3) Pristojni nacionalni organ v treh mesecih od sprejetja strategije iz tega člena o tem obvesti Evropsko komisijo. Pri tem lahko izključi informacije, ki so pomembne za nacionalno varnost.</w:t>
      </w:r>
    </w:p>
    <w:p w14:paraId="44819CD1" w14:textId="77777777" w:rsidR="00C50F53" w:rsidRPr="004752FD" w:rsidRDefault="00C50F53" w:rsidP="004752FD">
      <w:pPr>
        <w:pStyle w:val="Odstavek"/>
        <w:spacing w:after="0" w:line="260" w:lineRule="atLeast"/>
      </w:pPr>
    </w:p>
    <w:p w14:paraId="3B69E0FB" w14:textId="77777777" w:rsidR="00C50F53" w:rsidRPr="004752FD" w:rsidRDefault="00C50F53" w:rsidP="004752FD">
      <w:pPr>
        <w:pStyle w:val="Odstavek"/>
        <w:spacing w:after="0" w:line="260" w:lineRule="atLeast"/>
      </w:pPr>
      <w:r w:rsidRPr="004752FD">
        <w:t xml:space="preserve">(4) Pristojni nacionalni organ </w:t>
      </w:r>
      <w:bookmarkStart w:id="50" w:name="_Hlk184203197"/>
      <w:r w:rsidRPr="004752FD">
        <w:t xml:space="preserve">redno in vsaj vsakih pet let </w:t>
      </w:r>
      <w:bookmarkEnd w:id="50"/>
      <w:r w:rsidRPr="004752FD">
        <w:t>oceni strategijo na podlagi ključnih kazalnikov uspešnosti.</w:t>
      </w:r>
    </w:p>
    <w:p w14:paraId="67E8DBF7" w14:textId="77777777" w:rsidR="00C50F53" w:rsidRPr="004752FD" w:rsidRDefault="00C50F53" w:rsidP="004752FD">
      <w:pPr>
        <w:pStyle w:val="Odstavek"/>
        <w:spacing w:after="0" w:line="260" w:lineRule="atLeast"/>
      </w:pPr>
    </w:p>
    <w:p w14:paraId="6B4B8A50" w14:textId="77777777" w:rsidR="00C50F53" w:rsidRPr="004752FD" w:rsidRDefault="00C50F53" w:rsidP="004752FD">
      <w:pPr>
        <w:pStyle w:val="Odstavek"/>
        <w:spacing w:after="0" w:line="260" w:lineRule="atLeast"/>
      </w:pPr>
    </w:p>
    <w:p w14:paraId="4C061B5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154CC2D" w14:textId="77777777" w:rsidR="00C50F53" w:rsidRPr="004752FD" w:rsidRDefault="00C50F53" w:rsidP="004752FD">
      <w:pPr>
        <w:pStyle w:val="len0"/>
        <w:spacing w:before="0" w:line="260" w:lineRule="atLeast"/>
        <w:rPr>
          <w:sz w:val="20"/>
          <w:szCs w:val="20"/>
        </w:rPr>
      </w:pPr>
      <w:r w:rsidRPr="004752FD">
        <w:rPr>
          <w:sz w:val="20"/>
          <w:szCs w:val="20"/>
        </w:rPr>
        <w:t>(pristojni nacionalni organ)</w:t>
      </w:r>
    </w:p>
    <w:p w14:paraId="4D29AAD2" w14:textId="77777777" w:rsidR="00C50F53" w:rsidRPr="004752FD" w:rsidRDefault="00C50F53" w:rsidP="004752FD">
      <w:pPr>
        <w:pStyle w:val="Odstavek"/>
        <w:spacing w:after="0" w:line="260" w:lineRule="atLeast"/>
      </w:pPr>
    </w:p>
    <w:p w14:paraId="528B1746"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Pristojni nacionalni organ je Urad Vlade Republike Slovenije za informacijsko varnost.</w:t>
      </w:r>
    </w:p>
    <w:p w14:paraId="3D08C23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4101732"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Pristojni nacionalni organ izvaja naslednje naloge:</w:t>
      </w:r>
    </w:p>
    <w:p w14:paraId="485690C3"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koordinira delovanje nacionalnega sistema informacijske varnosti;</w:t>
      </w:r>
    </w:p>
    <w:p w14:paraId="3BFC5A23"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razvija zmogljivosti za izvajanje kibernetske obrambe;</w:t>
      </w:r>
    </w:p>
    <w:p w14:paraId="5B1ACDA0"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vsem zavezancem pri izvajanju njihovih nalog nudi strokovno podporo na področju informacijske varnosti;</w:t>
      </w:r>
    </w:p>
    <w:p w14:paraId="2E4F55F5"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zagotavlja analize, metodološko podporo in preventivno delovanje na področju informacijske varnosti ter daje mnenja s področja svojih pristojnosti;</w:t>
      </w:r>
    </w:p>
    <w:p w14:paraId="34A161E2"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sodeluje z organi in organizacijami, ki delujejo na področju informacijske varnosti, predvsem s skupinami CSIRT, z varnostno-operativnimi centri, z regulatorji ali nadzorniki sektorjev iz Prilog 1 in 2 tega zakona, z Informacijskim pooblaščencem, z organi kazenskega pregona in s ponudniki varnostnih rešitev;</w:t>
      </w:r>
    </w:p>
    <w:p w14:paraId="2E34F8B0"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zavezance ozavešča o pomembnosti prijave incidenta z vsemi znaki kaznivega dejanja, ki se preganja po uradni dolžnosti, organom kazenskega pregona, v skladu s Kazenskim zakonikom;</w:t>
      </w:r>
    </w:p>
    <w:p w14:paraId="41354CC2"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bookmarkStart w:id="51" w:name="_Hlk149818839"/>
      <w:r w:rsidRPr="004752FD">
        <w:rPr>
          <w:rFonts w:ascii="Arial" w:hAnsi="Arial" w:cs="Arial"/>
          <w:color w:val="000000"/>
          <w:sz w:val="20"/>
          <w:szCs w:val="20"/>
        </w:rPr>
        <w:t>koordinira usposabljanje, vaje in izobraževanje na področju informacijske varnosti ter skrbi za okrepitev zavedanja javnosti o informacijski varnosti,</w:t>
      </w:r>
      <w:r w:rsidRPr="004752FD">
        <w:rPr>
          <w:rFonts w:ascii="Arial" w:hAnsi="Arial" w:cs="Arial"/>
          <w:sz w:val="20"/>
          <w:szCs w:val="20"/>
        </w:rPr>
        <w:t xml:space="preserve"> </w:t>
      </w:r>
      <w:r w:rsidRPr="004752FD">
        <w:rPr>
          <w:rFonts w:ascii="Arial" w:hAnsi="Arial" w:cs="Arial"/>
          <w:color w:val="000000"/>
          <w:sz w:val="20"/>
          <w:szCs w:val="20"/>
        </w:rPr>
        <w:t>lahko pa tudi sam organizira in izvaja usposabljanja s področja informacijske in kibernetske varnosti;</w:t>
      </w:r>
    </w:p>
    <w:bookmarkEnd w:id="51"/>
    <w:p w14:paraId="34CE79A1"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spodbuja in podpira raziskave in razvoj na področju informacijske varnosti;</w:t>
      </w:r>
    </w:p>
    <w:p w14:paraId="701CF671"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skrbi za pripravo in izvajanje strategije;</w:t>
      </w:r>
    </w:p>
    <w:p w14:paraId="22274EE7"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izdela in vzdržuje nacionalni načrt odzivanja na kibernetske incidente, kibernetske incidente velikih razsežnosti in krize ob upoštevanju strategije, načrtov skupin CSIRT, drugih pristojnih organov in varnostne dokumentacije zavezancev;</w:t>
      </w:r>
    </w:p>
    <w:p w14:paraId="590AC584" w14:textId="5DF723F5"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pregleduje ustreznost določitve zavezancev iz 5. točke drugega odstavka</w:t>
      </w:r>
      <w:r w:rsidR="006643FC">
        <w:rPr>
          <w:rFonts w:ascii="Arial" w:hAnsi="Arial" w:cs="Arial"/>
          <w:color w:val="000000"/>
          <w:sz w:val="20"/>
          <w:szCs w:val="20"/>
        </w:rPr>
        <w:t xml:space="preserve"> in</w:t>
      </w:r>
      <w:r w:rsidR="00E90D5C">
        <w:rPr>
          <w:rFonts w:ascii="Arial" w:hAnsi="Arial" w:cs="Arial"/>
          <w:color w:val="000000"/>
          <w:sz w:val="20"/>
          <w:szCs w:val="20"/>
        </w:rPr>
        <w:t xml:space="preserve"> </w:t>
      </w:r>
      <w:r w:rsidR="00FE30FC">
        <w:rPr>
          <w:rFonts w:ascii="Arial" w:hAnsi="Arial" w:cs="Arial"/>
          <w:color w:val="000000"/>
          <w:sz w:val="20"/>
          <w:szCs w:val="20"/>
        </w:rPr>
        <w:t xml:space="preserve">prve </w:t>
      </w:r>
      <w:r w:rsidR="006643FC">
        <w:rPr>
          <w:rFonts w:ascii="Arial" w:hAnsi="Arial" w:cs="Arial"/>
          <w:color w:val="000000"/>
          <w:sz w:val="20"/>
          <w:szCs w:val="20"/>
        </w:rPr>
        <w:t>ter</w:t>
      </w:r>
      <w:r w:rsidR="00FE30FC">
        <w:rPr>
          <w:rFonts w:ascii="Arial" w:hAnsi="Arial" w:cs="Arial"/>
          <w:color w:val="000000"/>
          <w:sz w:val="20"/>
          <w:szCs w:val="20"/>
        </w:rPr>
        <w:t xml:space="preserve"> druge</w:t>
      </w:r>
      <w:r w:rsidR="00E90D5C">
        <w:rPr>
          <w:rFonts w:ascii="Arial" w:hAnsi="Arial" w:cs="Arial"/>
          <w:color w:val="000000"/>
          <w:sz w:val="20"/>
          <w:szCs w:val="20"/>
        </w:rPr>
        <w:t xml:space="preserve"> alineje tretjega odstavka </w:t>
      </w:r>
      <w:r w:rsidRPr="004752FD">
        <w:rPr>
          <w:rFonts w:ascii="Arial" w:hAnsi="Arial" w:cs="Arial"/>
          <w:color w:val="000000"/>
          <w:sz w:val="20"/>
          <w:szCs w:val="20"/>
        </w:rPr>
        <w:t>7. člena tega zakona vsaj vsaki dve leti in lahko vladi predlaga posodobitev seznama zavezancev;</w:t>
      </w:r>
    </w:p>
    <w:p w14:paraId="0D482B61" w14:textId="77777777" w:rsidR="00C50F53" w:rsidRPr="004752FD" w:rsidRDefault="00C50F53" w:rsidP="00E20E87">
      <w:pPr>
        <w:pStyle w:val="Odstavek"/>
        <w:numPr>
          <w:ilvl w:val="0"/>
          <w:numId w:val="63"/>
        </w:numPr>
        <w:overflowPunct w:val="0"/>
        <w:autoSpaceDE w:val="0"/>
        <w:autoSpaceDN w:val="0"/>
        <w:adjustRightInd w:val="0"/>
        <w:spacing w:after="0" w:line="260" w:lineRule="atLeast"/>
        <w:textAlignment w:val="baseline"/>
      </w:pPr>
      <w:r w:rsidRPr="004752FD">
        <w:t xml:space="preserve">za statistične namene in namene seznanjanja javnosti dvakrat letno pripravi anonimizirane informacije o priglašenih incidentih, te nato javno objavi </w:t>
      </w:r>
      <w:r w:rsidRPr="004752FD">
        <w:rPr>
          <w:color w:val="000000"/>
        </w:rPr>
        <w:t>na osrednjem spletnem mestu državne uprave</w:t>
      </w:r>
      <w:r w:rsidRPr="004752FD">
        <w:t>;</w:t>
      </w:r>
    </w:p>
    <w:p w14:paraId="24B4D439" w14:textId="7BC6664B"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bookmarkStart w:id="52" w:name="_Hlk132111577"/>
      <w:r w:rsidRPr="004752FD">
        <w:rPr>
          <w:rFonts w:cs="Arial"/>
          <w:color w:val="000000"/>
          <w:szCs w:val="20"/>
          <w:lang w:val="sl-SI"/>
        </w:rPr>
        <w:t>strokovne in svetovalne naloge in naloge koordinatorja na področju odnosov z javnostmi, ki zajemajo komunikacijo z zunanjimi in notranjimi javnostmi ter krizno komuniciranje v primeru incidenta;</w:t>
      </w:r>
    </w:p>
    <w:p w14:paraId="483E5A16" w14:textId="77777777"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r w:rsidRPr="004752FD">
        <w:rPr>
          <w:rFonts w:cs="Arial"/>
          <w:color w:val="000000"/>
          <w:szCs w:val="20"/>
          <w:lang w:val="sl-SI"/>
        </w:rPr>
        <w:t xml:space="preserve">v sodelovanju s službo vlade, pristojno za komuniciranje z javnostmi, izdela in vzdržuje nacionalni načrt komuniciranja v primeru incidentov; </w:t>
      </w:r>
    </w:p>
    <w:p w14:paraId="1B12CD7E"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je enotna kontaktna točka, ki ima na področju kibernetske varnosti in obrambe povezovalno vlogo za zagotavljanje čezmejnega sodelovanja z drugimi državami in mednarodnimi organizacijami;</w:t>
      </w:r>
    </w:p>
    <w:p w14:paraId="3B6229E6"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predstavlja in zastopa interese Republike Slovenije v delovnih skupinah na področju kibernetske varnosti in obrambe v okviru Sveta Evropske unije, Evropske komisije, agencije ENISA, zveze NATO in drugih mednarodnih organizacij;</w:t>
      </w:r>
    </w:p>
    <w:p w14:paraId="3FEE2F33"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imenuje in napotuje svoje predstavnike v delovne skupine, odbore in mreže na področju kibernetske varnosti in obrambe v okviru Sveta Evropske unije, Evropske komisije, agencije ENISA, zveze NATO in drugih mednarodnih organizacij;</w:t>
      </w:r>
    </w:p>
    <w:p w14:paraId="2F959EC8"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je član Skupine za sodelovanje, v katero imenuje svoje predstavnik</w:t>
      </w:r>
      <w:bookmarkEnd w:id="52"/>
      <w:r w:rsidRPr="004752FD">
        <w:rPr>
          <w:rFonts w:ascii="Arial" w:hAnsi="Arial" w:cs="Arial"/>
          <w:color w:val="000000"/>
          <w:sz w:val="20"/>
          <w:szCs w:val="20"/>
        </w:rPr>
        <w:t>e, in zagotovi razmere za njihovo učinkovito in uspešno delovanje;</w:t>
      </w:r>
    </w:p>
    <w:p w14:paraId="19F91DAC"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imenuje predstavnike v mrežo EU-CyCLONe;</w:t>
      </w:r>
    </w:p>
    <w:p w14:paraId="04F4201C"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sodeluje pri aktivaciji nudenja in sprejemanja pomoči za obvladovanje kriz v skladu z mednarodnimi pogodbami in dogovori;</w:t>
      </w:r>
    </w:p>
    <w:p w14:paraId="248096BC"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imenuje predstavnika v upravni odbor</w:t>
      </w:r>
      <w:r w:rsidRPr="004752FD">
        <w:rPr>
          <w:rFonts w:ascii="Arial" w:hAnsi="Arial" w:cs="Arial"/>
          <w:sz w:val="20"/>
          <w:szCs w:val="20"/>
        </w:rPr>
        <w:t xml:space="preserve"> </w:t>
      </w:r>
      <w:r w:rsidRPr="004752FD">
        <w:rPr>
          <w:rFonts w:ascii="Arial" w:hAnsi="Arial" w:cs="Arial"/>
          <w:color w:val="000000"/>
          <w:sz w:val="20"/>
          <w:szCs w:val="20"/>
        </w:rPr>
        <w:t>agencije ENISA in sodeluje pri njenem delu;</w:t>
      </w:r>
    </w:p>
    <w:p w14:paraId="7423657D"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izpolnjuje druge obveznosti iz neposredno uporabljivih aktov Evropske unije s področja kibernetske varnosti;</w:t>
      </w:r>
    </w:p>
    <w:p w14:paraId="0CF95949"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izpolnjuje obveznosti obveščanja Evropske komisije, agencije ENISA, zveze NATO in Skupine za sodelovanje ter obveznosti obveščanja preostalih mednarodnih organizacij;</w:t>
      </w:r>
    </w:p>
    <w:p w14:paraId="54E2F626"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vodi medresorsko koordinacijsko delovno skupino za mednarodno sodelovanje na področju kibernetske varnosti in obrambe;</w:t>
      </w:r>
    </w:p>
    <w:p w14:paraId="2209E53A"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druge naloge mednarodnega sodelovanja;</w:t>
      </w:r>
    </w:p>
    <w:p w14:paraId="70AB983E" w14:textId="77777777"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r w:rsidRPr="004752FD">
        <w:rPr>
          <w:rFonts w:cs="Arial"/>
          <w:color w:val="000000"/>
          <w:szCs w:val="20"/>
          <w:lang w:val="sl-SI"/>
        </w:rPr>
        <w:t xml:space="preserve">naloge inšpekcijskega nadzora po tem zakonu prek Inšpekcije za informacijsko varnost, ki je njegova notranja organizacijska enota; </w:t>
      </w:r>
    </w:p>
    <w:p w14:paraId="01FC68E1"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pripravlja predloge predpisov s področja informacijske in kibernetske varnosti;</w:t>
      </w:r>
    </w:p>
    <w:p w14:paraId="4B503802"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naloge nacionalnega certifikacijskega organa za kibernetsko varnost;</w:t>
      </w:r>
    </w:p>
    <w:p w14:paraId="5F818E60"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je Nacionalni koordinacijski center za kibernetsko varnost;</w:t>
      </w:r>
    </w:p>
    <w:p w14:paraId="083FEE11"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kot prejemnik ali dodeljevalec sredstev se vključuje v programe financiranja na nacionalni ravni in na ravni Evropske unije ter drugih mednarodnih povezav za področje informacijske in kibernetske varnosti;</w:t>
      </w:r>
    </w:p>
    <w:p w14:paraId="179CB8F3"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dodeljuje finančne spodbude za izvedbo izbranih projektov</w:t>
      </w:r>
      <w:r w:rsidRPr="004752FD">
        <w:rPr>
          <w:rFonts w:ascii="Arial" w:hAnsi="Arial" w:cs="Arial"/>
          <w:sz w:val="20"/>
          <w:szCs w:val="20"/>
        </w:rPr>
        <w:t xml:space="preserve"> </w:t>
      </w:r>
      <w:r w:rsidRPr="004752FD">
        <w:rPr>
          <w:rFonts w:ascii="Arial" w:hAnsi="Arial" w:cs="Arial"/>
          <w:color w:val="000000"/>
          <w:sz w:val="20"/>
          <w:szCs w:val="20"/>
        </w:rPr>
        <w:t>za področje informacijske in kibernetske varnosti;</w:t>
      </w:r>
    </w:p>
    <w:p w14:paraId="727013A6" w14:textId="77777777" w:rsidR="00C50F53" w:rsidRPr="004752FD" w:rsidRDefault="00C50F53" w:rsidP="00E20E87">
      <w:pPr>
        <w:pStyle w:val="tevilnatoka0"/>
        <w:numPr>
          <w:ilvl w:val="0"/>
          <w:numId w:val="63"/>
        </w:numPr>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financira kadrovske štipendije</w:t>
      </w:r>
      <w:r w:rsidRPr="004752FD">
        <w:rPr>
          <w:rFonts w:ascii="Arial" w:hAnsi="Arial" w:cs="Arial"/>
          <w:sz w:val="20"/>
          <w:szCs w:val="20"/>
        </w:rPr>
        <w:t xml:space="preserve"> </w:t>
      </w:r>
      <w:r w:rsidRPr="004752FD">
        <w:rPr>
          <w:rFonts w:ascii="Arial" w:hAnsi="Arial" w:cs="Arial"/>
          <w:color w:val="000000"/>
          <w:sz w:val="20"/>
          <w:szCs w:val="20"/>
        </w:rPr>
        <w:t>za delo v pristojnem nacionalnem organu, v skladu z zakonom, ki ureja področje štipendiranja;</w:t>
      </w:r>
    </w:p>
    <w:p w14:paraId="50AEAB2F" w14:textId="77777777"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r w:rsidRPr="004752FD">
        <w:rPr>
          <w:rFonts w:cs="Arial"/>
          <w:color w:val="000000"/>
          <w:szCs w:val="20"/>
          <w:lang w:val="sl-SI"/>
        </w:rPr>
        <w:t>odloča o sodelovanju pri medsebojnih strokovnih pregledih;</w:t>
      </w:r>
    </w:p>
    <w:p w14:paraId="57EA08DB" w14:textId="77777777"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r w:rsidRPr="004752FD">
        <w:rPr>
          <w:rFonts w:cs="Arial"/>
          <w:color w:val="000000"/>
          <w:szCs w:val="20"/>
          <w:lang w:val="sl-SI"/>
        </w:rPr>
        <w:t xml:space="preserve">določi enotno informacijsko varnostno politiko, razen za informacijsko-komunikacijske sisteme, namenjene področjem obrambe, varstva pred naravnimi in drugimi nesrečami, policije, internega informacijskega sistema notranjih zadev, obveščevalno-varnostne dejavnosti, zunanjih zadev, </w:t>
      </w:r>
      <w:r w:rsidRPr="004752FD">
        <w:rPr>
          <w:rFonts w:cs="Arial"/>
          <w:color w:val="000000"/>
          <w:szCs w:val="20"/>
          <w:lang w:val="sl-SI"/>
        </w:rPr>
        <w:lastRenderedPageBreak/>
        <w:t>preprečevanja in odkrivanja pranja denarja in financiranja terorizma ter opravljanja plačilnega prometa za proračunske uporabnike, in</w:t>
      </w:r>
    </w:p>
    <w:p w14:paraId="4862B125" w14:textId="77777777" w:rsidR="00C50F53" w:rsidRPr="004752FD" w:rsidRDefault="00C50F53" w:rsidP="00E20E87">
      <w:pPr>
        <w:numPr>
          <w:ilvl w:val="0"/>
          <w:numId w:val="63"/>
        </w:numPr>
        <w:overflowPunct w:val="0"/>
        <w:autoSpaceDE w:val="0"/>
        <w:autoSpaceDN w:val="0"/>
        <w:adjustRightInd w:val="0"/>
        <w:spacing w:line="240" w:lineRule="auto"/>
        <w:jc w:val="both"/>
        <w:textAlignment w:val="baseline"/>
        <w:rPr>
          <w:rFonts w:cs="Arial"/>
          <w:color w:val="000000"/>
          <w:szCs w:val="20"/>
          <w:lang w:val="sl-SI"/>
        </w:rPr>
      </w:pPr>
      <w:r w:rsidRPr="004752FD">
        <w:rPr>
          <w:rFonts w:cs="Arial"/>
          <w:color w:val="000000"/>
          <w:szCs w:val="20"/>
          <w:lang w:val="sl-SI"/>
        </w:rPr>
        <w:t>druge naloge, določene s tem zakonom ali z drugimi predpisi.</w:t>
      </w:r>
    </w:p>
    <w:p w14:paraId="0D32AE63" w14:textId="77777777" w:rsidR="00C50F53" w:rsidRPr="004752FD" w:rsidRDefault="00C50F53" w:rsidP="004752FD">
      <w:pPr>
        <w:pStyle w:val="Odstavek"/>
        <w:spacing w:after="0" w:line="260" w:lineRule="atLeast"/>
      </w:pPr>
      <w:bookmarkStart w:id="53" w:name="_Hlk175921138"/>
    </w:p>
    <w:p w14:paraId="6C58CC8D" w14:textId="77777777" w:rsidR="00C50F53" w:rsidRPr="004752FD" w:rsidRDefault="00C50F53" w:rsidP="004752FD">
      <w:pPr>
        <w:pStyle w:val="Odstavek"/>
        <w:spacing w:after="0" w:line="260" w:lineRule="atLeast"/>
      </w:pPr>
    </w:p>
    <w:bookmarkEnd w:id="53"/>
    <w:p w14:paraId="25AC2D18"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94AAC89" w14:textId="77777777" w:rsidR="00C50F53" w:rsidRPr="004752FD" w:rsidRDefault="00C50F53" w:rsidP="004752FD">
      <w:pPr>
        <w:pStyle w:val="Odstavek"/>
        <w:spacing w:after="0" w:line="260" w:lineRule="atLeast"/>
        <w:jc w:val="center"/>
        <w:rPr>
          <w:b/>
          <w:bCs/>
        </w:rPr>
      </w:pPr>
      <w:r w:rsidRPr="004752FD">
        <w:rPr>
          <w:b/>
          <w:bCs/>
        </w:rPr>
        <w:t>(nacionalni koordinacijski center za kibernetsko varnost)</w:t>
      </w:r>
    </w:p>
    <w:p w14:paraId="20C9F42A" w14:textId="77777777" w:rsidR="00C50F53" w:rsidRPr="004752FD" w:rsidRDefault="00C50F53" w:rsidP="004752FD">
      <w:pPr>
        <w:pStyle w:val="Odstavek"/>
        <w:spacing w:after="0" w:line="260" w:lineRule="atLeast"/>
        <w:jc w:val="left"/>
      </w:pPr>
    </w:p>
    <w:p w14:paraId="7EA8B46A" w14:textId="77777777" w:rsidR="00C50F53" w:rsidRPr="004752FD" w:rsidRDefault="00C50F53" w:rsidP="004752FD">
      <w:pPr>
        <w:pStyle w:val="Odstavek"/>
        <w:spacing w:after="0"/>
      </w:pPr>
      <w:r w:rsidRPr="004752FD">
        <w:t>(1) Pristojni nacionalni organ je Nacionalni koordinacijski center za kibernetsko varnost (v nadaljnjem besedilu: NCC-SI). V tej vlogi izvaja naloge iz Uredbe (EU) 2021/887 Evropskega parlamenta in Sveta z dne 20. maja 2021 o vzpostavitvi Evropskega industrijskega, tehnološkega in raziskovalnega kompetenčnega centra za kibernetsko varnost ter Mreže nacionalnih koordinacijskih centrov (UL L št. 202 z dne 8. 6. 2021, str. 1).</w:t>
      </w:r>
    </w:p>
    <w:p w14:paraId="291E3973" w14:textId="77777777" w:rsidR="00C50F53" w:rsidRPr="004752FD" w:rsidRDefault="00C50F53" w:rsidP="00E20E87">
      <w:pPr>
        <w:pStyle w:val="Odstavek"/>
        <w:spacing w:after="0"/>
      </w:pPr>
    </w:p>
    <w:p w14:paraId="078EBCD5" w14:textId="77777777" w:rsidR="00C50F53" w:rsidRPr="004752FD" w:rsidRDefault="00C50F53" w:rsidP="004752FD">
      <w:pPr>
        <w:pStyle w:val="Odstavek"/>
        <w:spacing w:after="0"/>
      </w:pPr>
      <w:r w:rsidRPr="004752FD">
        <w:t>(2) NCC-SI v skladu z uredbo EU iz prejšnjega odstavka izvaja naloge za krepitev kibernetske varnosti, vključno s spodbujanjem raziskav, tehnološkega razvoja in industrijske zmogljivosti na tem področju, ter sodeluje z Evropskim centrom za kibernetsko varnost in drugimi nacionalnimi koordinacijskimi centri za kibernetsko varnost držav članic Evropske unije.</w:t>
      </w:r>
    </w:p>
    <w:p w14:paraId="09EEF8DF" w14:textId="77777777" w:rsidR="00C50F53" w:rsidRPr="004752FD" w:rsidRDefault="00C50F53" w:rsidP="004752FD">
      <w:pPr>
        <w:pStyle w:val="Odstavek"/>
        <w:spacing w:after="0"/>
      </w:pPr>
    </w:p>
    <w:p w14:paraId="2FCE2D0C" w14:textId="77777777" w:rsidR="00C50F53" w:rsidRPr="004752FD" w:rsidRDefault="00C50F53" w:rsidP="004752FD">
      <w:pPr>
        <w:pStyle w:val="Odstavek"/>
        <w:spacing w:after="0"/>
      </w:pPr>
    </w:p>
    <w:p w14:paraId="13A2FB61" w14:textId="77777777" w:rsidR="00C50F53" w:rsidRPr="004752FD" w:rsidRDefault="00C50F53" w:rsidP="004752FD">
      <w:pPr>
        <w:pStyle w:val="NIS2len"/>
        <w:spacing w:before="0" w:line="260" w:lineRule="atLeast"/>
        <w:ind w:left="0" w:firstLine="0"/>
        <w:rPr>
          <w:sz w:val="20"/>
          <w:szCs w:val="20"/>
        </w:rPr>
      </w:pPr>
      <w:bookmarkStart w:id="54" w:name="_Hlk175822217"/>
      <w:r w:rsidRPr="004752FD">
        <w:rPr>
          <w:sz w:val="20"/>
          <w:szCs w:val="20"/>
        </w:rPr>
        <w:t>člen</w:t>
      </w:r>
    </w:p>
    <w:p w14:paraId="6E927FCB" w14:textId="77777777" w:rsidR="00C50F53" w:rsidRPr="004752FD" w:rsidRDefault="00C50F53" w:rsidP="004752FD">
      <w:pPr>
        <w:spacing w:line="260" w:lineRule="atLeast"/>
        <w:jc w:val="center"/>
        <w:rPr>
          <w:rFonts w:eastAsia="Calibri" w:cs="Arial"/>
          <w:b/>
          <w:bCs/>
          <w:szCs w:val="20"/>
          <w:lang w:val="sl-SI"/>
        </w:rPr>
      </w:pPr>
      <w:r w:rsidRPr="004752FD">
        <w:rPr>
          <w:rFonts w:eastAsia="Calibri" w:cs="Arial"/>
          <w:b/>
          <w:bCs/>
          <w:szCs w:val="20"/>
          <w:lang w:val="sl-SI"/>
        </w:rPr>
        <w:t>(organ za obvladovanje kibernetskih kriz)</w:t>
      </w:r>
    </w:p>
    <w:p w14:paraId="053D7A7F" w14:textId="77777777" w:rsidR="00C50F53" w:rsidRPr="004752FD" w:rsidRDefault="00C50F53" w:rsidP="004752FD">
      <w:pPr>
        <w:spacing w:line="260" w:lineRule="atLeast"/>
        <w:rPr>
          <w:rFonts w:eastAsia="Calibri" w:cs="Arial"/>
          <w:szCs w:val="20"/>
          <w:lang w:val="sl-SI"/>
        </w:rPr>
      </w:pPr>
    </w:p>
    <w:p w14:paraId="22911568"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 xml:space="preserve">(1) Pristojni organ za obvladovanje kibernetskih incidentov velikih razsežnosti in kriz (v nadaljnjem besedilu: </w:t>
      </w:r>
      <w:bookmarkStart w:id="55" w:name="_Hlk132116621"/>
      <w:r w:rsidRPr="004752FD">
        <w:rPr>
          <w:rFonts w:eastAsia="Calibri" w:cs="Arial"/>
          <w:szCs w:val="20"/>
          <w:lang w:val="sl-SI"/>
        </w:rPr>
        <w:t>organ za obvladovanje kibernetskih kriz</w:t>
      </w:r>
      <w:bookmarkEnd w:id="55"/>
      <w:r w:rsidRPr="004752FD">
        <w:rPr>
          <w:rFonts w:eastAsia="Calibri" w:cs="Arial"/>
          <w:szCs w:val="20"/>
          <w:lang w:val="sl-SI"/>
        </w:rPr>
        <w:t>) v Republiki Sloveniji je pristojni nacionalni organ, ki sodeluje v mreži EU-CyCLONe.</w:t>
      </w:r>
    </w:p>
    <w:p w14:paraId="32EF0442" w14:textId="77777777" w:rsidR="00C50F53" w:rsidRPr="004752FD" w:rsidRDefault="00C50F53" w:rsidP="00AE3D3C">
      <w:pPr>
        <w:spacing w:line="260" w:lineRule="atLeast"/>
        <w:jc w:val="both"/>
        <w:rPr>
          <w:rFonts w:eastAsia="Calibri" w:cs="Arial"/>
          <w:szCs w:val="20"/>
          <w:lang w:val="sl-SI"/>
        </w:rPr>
      </w:pPr>
    </w:p>
    <w:p w14:paraId="16832AC6"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(2) Organ za obvladovanje kibernetskih kriz izdela nacionalni načrt odzivanja na kibernetske incidente, kibernetske incidente velikih razsežnosti in krize (v nadaljnjem besedilu: nacionalni načrt odzivanja), ob upoštevanju strategije, načrtov skupin CSIRT, drugih pristojnih organov in varnostne dokumentacije zavezancev.</w:t>
      </w:r>
    </w:p>
    <w:p w14:paraId="410CBCC1" w14:textId="77777777" w:rsidR="00C50F53" w:rsidRPr="004752FD" w:rsidRDefault="00C50F53" w:rsidP="00AE3D3C">
      <w:pPr>
        <w:spacing w:line="260" w:lineRule="atLeast"/>
        <w:jc w:val="both"/>
        <w:rPr>
          <w:rFonts w:eastAsia="Calibri" w:cs="Arial"/>
          <w:szCs w:val="20"/>
          <w:lang w:val="sl-SI"/>
        </w:rPr>
      </w:pPr>
    </w:p>
    <w:p w14:paraId="20B21540"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(3) Vlada sprejme nacionalni načrt odzivanja, v katerem so opredeljeni cilji in ureditve obvladovanja kibernetskih incidentov, kibernetskih incidentov velikih razsežnosti in kriz. V tem načrtu se določijo zlasti:</w:t>
      </w:r>
    </w:p>
    <w:p w14:paraId="6AE6099F"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1. cilji nacionalnih ukrepov in dejavnosti za pripravljenost,</w:t>
      </w:r>
    </w:p>
    <w:p w14:paraId="160BFCA5"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2. naloge in odgovornosti organov za obvladovanje kibernetskih incidentov, kibernetskih incidentov velikih razsežnosti in kriz,</w:t>
      </w:r>
    </w:p>
    <w:p w14:paraId="64E7FE5C"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3. postopki za obvladovanje kibernetskih incidentov in kibernetskih incidentov velikih razsežnosti,</w:t>
      </w:r>
    </w:p>
    <w:p w14:paraId="33160702"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 xml:space="preserve">4. </w:t>
      </w:r>
      <w:bookmarkStart w:id="56" w:name="_Hlk194490183"/>
      <w:r w:rsidRPr="004752FD">
        <w:rPr>
          <w:rFonts w:eastAsia="Calibri" w:cs="Arial"/>
          <w:szCs w:val="20"/>
          <w:lang w:val="sl-SI"/>
        </w:rPr>
        <w:t>postopki za obvladovanje kibernetskih kriz na način, da se upošteva predpis s področja kriznega upravljanja in vodenja kriz,</w:t>
      </w:r>
      <w:bookmarkEnd w:id="56"/>
    </w:p>
    <w:p w14:paraId="6F17ADAB"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5. ukrepi za pripravljenost, vključno z vajami in usposabljanjem,</w:t>
      </w:r>
    </w:p>
    <w:p w14:paraId="7A6E6012"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6. ustrezni javni in zasebni deležniki ter vključena infrastruktura,</w:t>
      </w:r>
    </w:p>
    <w:p w14:paraId="7768828E"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7. postopki sodelovanja med organom za obvladovanje kibernetskih kriz in organi</w:t>
      </w:r>
      <w:r w:rsidRPr="004752FD">
        <w:rPr>
          <w:rFonts w:cs="Arial"/>
          <w:szCs w:val="20"/>
          <w:lang w:val="sl-SI"/>
        </w:rPr>
        <w:t xml:space="preserve"> iz </w:t>
      </w:r>
      <w:r w:rsidRPr="004752FD">
        <w:rPr>
          <w:rFonts w:eastAsia="Calibri" w:cs="Arial"/>
          <w:szCs w:val="20"/>
          <w:lang w:val="sl-SI"/>
        </w:rPr>
        <w:t xml:space="preserve">predpisa s področja kriznega upravljanja in vodenja kriz z namenom učinkovitega sodelovanja Republike Slovenije ter njene podpore pri usklajenem obvladovanju </w:t>
      </w:r>
      <w:bookmarkStart w:id="57" w:name="_Hlk194490502"/>
      <w:r w:rsidRPr="004752FD">
        <w:rPr>
          <w:rFonts w:eastAsia="Calibri" w:cs="Arial"/>
          <w:szCs w:val="20"/>
          <w:lang w:val="sl-SI"/>
        </w:rPr>
        <w:t xml:space="preserve">kibernetskih incidentov velikih razsežnosti in kriz na ravni Evropske unije </w:t>
      </w:r>
      <w:bookmarkEnd w:id="57"/>
      <w:r w:rsidRPr="004752FD">
        <w:rPr>
          <w:rFonts w:eastAsia="Calibri" w:cs="Arial"/>
          <w:szCs w:val="20"/>
          <w:lang w:val="sl-SI"/>
        </w:rPr>
        <w:t>in</w:t>
      </w:r>
    </w:p>
    <w:p w14:paraId="7F6570B3" w14:textId="77777777" w:rsidR="00C50F53" w:rsidRPr="004752FD" w:rsidRDefault="00C50F53" w:rsidP="004752FD">
      <w:pPr>
        <w:spacing w:line="260" w:lineRule="atLeast"/>
        <w:ind w:left="426"/>
        <w:rPr>
          <w:rFonts w:eastAsia="Calibri" w:cs="Arial"/>
          <w:szCs w:val="20"/>
          <w:lang w:val="sl-SI"/>
        </w:rPr>
      </w:pPr>
      <w:r w:rsidRPr="004752FD">
        <w:rPr>
          <w:rFonts w:eastAsia="Calibri" w:cs="Arial"/>
          <w:szCs w:val="20"/>
          <w:lang w:val="sl-SI"/>
        </w:rPr>
        <w:t>8. postopki sodelovanja med organom za obvladovanje kibernetskih kriz in osrednjim organom za odzivanje na hibridne grožnje z namenom učinkovitega usklajevanja pri odzivanju na hibridne grožnje.</w:t>
      </w:r>
    </w:p>
    <w:p w14:paraId="71A1919D" w14:textId="77777777" w:rsidR="00C50F53" w:rsidRPr="004752FD" w:rsidRDefault="00C50F53" w:rsidP="004752FD">
      <w:pPr>
        <w:spacing w:line="260" w:lineRule="atLeast"/>
        <w:ind w:left="426"/>
        <w:rPr>
          <w:rFonts w:eastAsia="Calibri" w:cs="Arial"/>
          <w:szCs w:val="20"/>
          <w:lang w:val="sl-SI"/>
        </w:rPr>
      </w:pPr>
    </w:p>
    <w:p w14:paraId="5E5C2759"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lastRenderedPageBreak/>
        <w:t>(4) Organ za obvladovanje kibernetskih kriz ob zaznavi kibernetskih incidentov, za katere presodi, da lahko povzročijo krizo, nemudoma obvesti Svet za nacionalno varnost (v nadaljnjem besedilu: SNAV)</w:t>
      </w:r>
      <w:r w:rsidRPr="004752FD">
        <w:rPr>
          <w:rFonts w:cs="Arial"/>
          <w:szCs w:val="20"/>
          <w:lang w:val="sl-SI"/>
        </w:rPr>
        <w:t xml:space="preserve"> </w:t>
      </w:r>
      <w:r w:rsidRPr="004752FD">
        <w:rPr>
          <w:rFonts w:eastAsia="Calibri" w:cs="Arial"/>
          <w:szCs w:val="20"/>
          <w:lang w:val="sl-SI"/>
        </w:rPr>
        <w:t>in osrednji organ za odzivanje na hibridne grožnje. V sodelovanju s prizadetimi zavezanci po tem zakonu, pristojnimi področnimi regulatorji in zadevnimi nosilci sektorjev kritične infrastrukture iz zakona, ki ureja področje kritične infrastrukture in osrednjim organom za odzivanje na hibridne grožnje analizira stanje ter z ugotovitvami seznanja SNAV in mu po potrebi predlaga ukrepe. SNAV na podlagi predpisa, ki ureja področje kriznega upravljanja in vodenja kriz, izdela oceno situacije. Na podlagi ocene svetuje vladi o nadaljnjih ukrepih.</w:t>
      </w:r>
    </w:p>
    <w:p w14:paraId="105E7027" w14:textId="77777777" w:rsidR="00C50F53" w:rsidRPr="004752FD" w:rsidRDefault="00C50F53" w:rsidP="00AE3D3C">
      <w:pPr>
        <w:spacing w:line="260" w:lineRule="atLeast"/>
        <w:jc w:val="both"/>
        <w:rPr>
          <w:rFonts w:eastAsia="Calibri" w:cs="Arial"/>
          <w:szCs w:val="20"/>
          <w:lang w:val="sl-SI"/>
        </w:rPr>
      </w:pPr>
    </w:p>
    <w:p w14:paraId="12015473"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(5) Vlada lahko na predlog SNAV sprejme odločitev o vključitvi drugih državnih zmogljivosti v obvladovanje krize, razglasi krizo ter po potrebi sprejme odločitev o izvajanju kriznega upravljanja in vodenja v kompleksni krizi.</w:t>
      </w:r>
    </w:p>
    <w:p w14:paraId="58116FCE" w14:textId="77777777" w:rsidR="00C50F53" w:rsidRPr="004752FD" w:rsidRDefault="00C50F53" w:rsidP="00AE3D3C">
      <w:pPr>
        <w:spacing w:line="260" w:lineRule="atLeast"/>
        <w:jc w:val="both"/>
        <w:rPr>
          <w:rFonts w:eastAsia="Calibri" w:cs="Arial"/>
          <w:szCs w:val="20"/>
          <w:lang w:val="sl-SI"/>
        </w:rPr>
      </w:pPr>
    </w:p>
    <w:p w14:paraId="2FFB1C3C" w14:textId="1C6F6062"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(6) Pristojni nacionalni organ o imenovanju</w:t>
      </w:r>
      <w:r w:rsidRPr="004752FD">
        <w:rPr>
          <w:rFonts w:cs="Arial"/>
          <w:szCs w:val="20"/>
          <w:lang w:val="sl-SI"/>
        </w:rPr>
        <w:t xml:space="preserve"> </w:t>
      </w:r>
      <w:r w:rsidRPr="004752FD">
        <w:rPr>
          <w:rFonts w:eastAsia="Calibri" w:cs="Arial"/>
          <w:szCs w:val="20"/>
          <w:lang w:val="sl-SI"/>
        </w:rPr>
        <w:t>organa za obvladovanje kibernetskih kriz</w:t>
      </w:r>
      <w:r w:rsidRPr="004752FD" w:rsidDel="00CB5F31">
        <w:rPr>
          <w:rFonts w:eastAsia="Calibri" w:cs="Arial"/>
          <w:szCs w:val="20"/>
          <w:lang w:val="sl-SI"/>
        </w:rPr>
        <w:t xml:space="preserve"> </w:t>
      </w:r>
      <w:r w:rsidRPr="004752FD">
        <w:rPr>
          <w:rFonts w:eastAsia="Calibri" w:cs="Arial"/>
          <w:szCs w:val="20"/>
          <w:lang w:val="sl-SI"/>
        </w:rPr>
        <w:t xml:space="preserve">in ob vsakokratnih spremembah o tem uradno obvesti Evropsko komisijo. Evropski komisiji in mreži EU-CyCLONe predloži ustrezne informacije o sprejetju nacionalnega načrta odzivanja v zvezi z zahtevami iz tretjega odstavka tega člena. Iz posredovanja se izključijo informacije, katerih razkritje bi bilo v nasprotju z interesi nacionalne varnosti, javne varnosti ali obrambe Republike Slovenije. </w:t>
      </w:r>
    </w:p>
    <w:p w14:paraId="4F7700F0" w14:textId="77777777" w:rsidR="00C50F53" w:rsidRPr="004752FD" w:rsidRDefault="00C50F53" w:rsidP="00AE3D3C">
      <w:pPr>
        <w:spacing w:line="260" w:lineRule="atLeast"/>
        <w:jc w:val="both"/>
        <w:rPr>
          <w:rFonts w:eastAsia="Calibri" w:cs="Arial"/>
          <w:szCs w:val="20"/>
          <w:lang w:val="sl-SI"/>
        </w:rPr>
      </w:pPr>
    </w:p>
    <w:p w14:paraId="236BDA8B" w14:textId="77777777" w:rsidR="00C50F53" w:rsidRPr="004752FD" w:rsidRDefault="00C50F53" w:rsidP="00AE3D3C">
      <w:pPr>
        <w:spacing w:line="260" w:lineRule="atLeast"/>
        <w:jc w:val="both"/>
        <w:rPr>
          <w:rFonts w:eastAsia="Calibri" w:cs="Arial"/>
          <w:szCs w:val="20"/>
          <w:lang w:val="sl-SI"/>
        </w:rPr>
      </w:pPr>
      <w:r w:rsidRPr="004752FD">
        <w:rPr>
          <w:rFonts w:eastAsia="Calibri" w:cs="Arial"/>
          <w:szCs w:val="20"/>
          <w:lang w:val="sl-SI"/>
        </w:rPr>
        <w:t>(7) Če je treba v zvezi z izvajanjem tega člena tudi obvestiti javnost, pristojni nacionalni organ skupaj s službo vlade, pristojno za komuniciranje z javnostjo, pripravi sporočilo za javno objavo, ki ga smejo mediji objaviti le v nespremenjeni obliki.</w:t>
      </w:r>
    </w:p>
    <w:bookmarkEnd w:id="54"/>
    <w:p w14:paraId="7BABDAC9" w14:textId="77777777" w:rsidR="00C50F53" w:rsidRPr="004752FD" w:rsidRDefault="00C50F53" w:rsidP="004752FD">
      <w:pPr>
        <w:spacing w:line="260" w:lineRule="atLeast"/>
        <w:rPr>
          <w:rFonts w:eastAsia="Calibri" w:cs="Arial"/>
          <w:b/>
          <w:bCs/>
          <w:szCs w:val="20"/>
          <w:lang w:val="sl-SI"/>
        </w:rPr>
      </w:pPr>
    </w:p>
    <w:p w14:paraId="0AF55E7D" w14:textId="77777777" w:rsidR="00C50F53" w:rsidRPr="004752FD" w:rsidRDefault="00C50F53" w:rsidP="004752FD">
      <w:pPr>
        <w:spacing w:line="260" w:lineRule="atLeast"/>
        <w:rPr>
          <w:rFonts w:eastAsia="Calibri" w:cs="Arial"/>
          <w:b/>
          <w:bCs/>
          <w:szCs w:val="20"/>
          <w:lang w:val="sl-SI"/>
        </w:rPr>
      </w:pPr>
    </w:p>
    <w:p w14:paraId="0236927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029E9E47" w14:textId="77777777" w:rsidR="00C50F53" w:rsidRPr="004752FD" w:rsidRDefault="00C50F53" w:rsidP="004752FD">
      <w:pPr>
        <w:pStyle w:val="Odstavek"/>
        <w:spacing w:after="0" w:line="260" w:lineRule="atLeast"/>
        <w:jc w:val="center"/>
        <w:rPr>
          <w:b/>
          <w:bCs/>
        </w:rPr>
      </w:pPr>
      <w:r w:rsidRPr="004752FD">
        <w:rPr>
          <w:b/>
          <w:bCs/>
        </w:rPr>
        <w:t>(skupine za odzivanje na incidente na področju računalniške varnosti)</w:t>
      </w:r>
    </w:p>
    <w:p w14:paraId="1A2ACD9C" w14:textId="77777777" w:rsidR="00C50F53" w:rsidRPr="004752FD" w:rsidRDefault="00C50F53" w:rsidP="004752FD">
      <w:pPr>
        <w:pStyle w:val="Odstavek"/>
        <w:spacing w:after="0" w:line="260" w:lineRule="atLeast"/>
        <w:jc w:val="center"/>
      </w:pPr>
    </w:p>
    <w:p w14:paraId="771E8C8A" w14:textId="77777777" w:rsidR="00C50F53" w:rsidRPr="004752FD" w:rsidRDefault="00C50F53" w:rsidP="004752FD">
      <w:pPr>
        <w:pStyle w:val="Odstavek"/>
        <w:spacing w:after="0" w:line="260" w:lineRule="atLeast"/>
      </w:pPr>
      <w:r w:rsidRPr="004752FD">
        <w:t>(1) Skupine CSIRT in njihove pristojnosti za obravnavo incidentov posameznih skupin zavezanih subjektov določi vlada. Med tako določenimi skupinami CSIRT vlada določi tudi skupino CSIRT, ki je koordinator za usklajeno razkrivanje ranljivosti v Republiki Sloveniji po 17. členu tega zakona.</w:t>
      </w:r>
    </w:p>
    <w:p w14:paraId="6A028F86" w14:textId="77777777" w:rsidR="00C50F53" w:rsidRPr="004752FD" w:rsidRDefault="00C50F53" w:rsidP="004752FD">
      <w:pPr>
        <w:pStyle w:val="Odstavek"/>
        <w:spacing w:after="0" w:line="260" w:lineRule="atLeast"/>
      </w:pPr>
    </w:p>
    <w:p w14:paraId="7F48E603" w14:textId="77777777" w:rsidR="00C50F53" w:rsidRPr="004752FD" w:rsidRDefault="00C50F53" w:rsidP="004752FD">
      <w:pPr>
        <w:pStyle w:val="Odstavek"/>
        <w:spacing w:after="0" w:line="260" w:lineRule="atLeast"/>
      </w:pPr>
      <w:r w:rsidRPr="004752FD">
        <w:t>(2) Skupine CSIRT morajo izpolnjevati zahteve iz 14. člena tega zakona in so pristojne za obravnavo incidentov v skladu s postopkom, določenim s tem zakonom.</w:t>
      </w:r>
    </w:p>
    <w:p w14:paraId="2AACF53B" w14:textId="77777777" w:rsidR="00C50F53" w:rsidRPr="004752FD" w:rsidRDefault="00C50F53" w:rsidP="004752FD">
      <w:pPr>
        <w:pStyle w:val="Odstavek"/>
        <w:spacing w:after="0" w:line="260" w:lineRule="atLeast"/>
      </w:pPr>
    </w:p>
    <w:p w14:paraId="4848A0E4" w14:textId="77777777" w:rsidR="00C50F53" w:rsidRPr="004752FD" w:rsidRDefault="00C50F53" w:rsidP="004752FD">
      <w:pPr>
        <w:pStyle w:val="Odstavek"/>
        <w:spacing w:after="0" w:line="260" w:lineRule="atLeast"/>
      </w:pPr>
      <w:r w:rsidRPr="004752FD">
        <w:t>(3) Skupine CSIRT izmenjujejo informacije z bistvenimi in pomembnimi subjekti ter drugimi ustreznimi deležniki z uporabo ustrezne, varne in odporne komunikacijske in informacijske infrastrukture, ki jo vzpostavi pristojni nacionalni organ, poleg tega sodelujejo s pristojnim nacionalnim organom</w:t>
      </w:r>
      <w:r w:rsidRPr="004752FD" w:rsidDel="00293E64">
        <w:t xml:space="preserve"> </w:t>
      </w:r>
      <w:r w:rsidRPr="004752FD">
        <w:t>pri uvajanju in uporabi orodij za varno izmenjavo informacij.</w:t>
      </w:r>
    </w:p>
    <w:p w14:paraId="2551171B" w14:textId="77777777" w:rsidR="00C50F53" w:rsidRPr="004752FD" w:rsidRDefault="00C50F53" w:rsidP="004752FD">
      <w:pPr>
        <w:pStyle w:val="Odstavek"/>
        <w:spacing w:after="0" w:line="260" w:lineRule="atLeast"/>
      </w:pPr>
    </w:p>
    <w:p w14:paraId="32F03D34" w14:textId="77777777" w:rsidR="00C50F53" w:rsidRPr="004752FD" w:rsidRDefault="00C50F53" w:rsidP="004752FD">
      <w:pPr>
        <w:pStyle w:val="Odstavek"/>
        <w:spacing w:after="0" w:line="260" w:lineRule="atLeast"/>
      </w:pPr>
      <w:r w:rsidRPr="004752FD">
        <w:t>(4) Skupine CSIRT medsebojno sodelujejo in si v skladu s 34. členom tega zakona izmenjujejo ustrezne informacije s sektorskimi ali medsektorskimi skupnostmi zavezancev.</w:t>
      </w:r>
    </w:p>
    <w:p w14:paraId="4568B7ED" w14:textId="77777777" w:rsidR="00C50F53" w:rsidRPr="004752FD" w:rsidRDefault="00C50F53" w:rsidP="004752FD">
      <w:pPr>
        <w:pStyle w:val="Odstavek"/>
        <w:spacing w:after="0" w:line="260" w:lineRule="atLeast"/>
      </w:pPr>
    </w:p>
    <w:p w14:paraId="5D64D63D" w14:textId="77777777" w:rsidR="00C50F53" w:rsidRPr="004752FD" w:rsidRDefault="00C50F53" w:rsidP="004752FD">
      <w:pPr>
        <w:pStyle w:val="Odstavek"/>
        <w:spacing w:after="0" w:line="260" w:lineRule="atLeast"/>
      </w:pPr>
      <w:r w:rsidRPr="004752FD">
        <w:t>(5) Skupine CSIRT sodelujejo pri medsebojnih strokovnih pregledih v skladu z 19. členom tega zakona.</w:t>
      </w:r>
    </w:p>
    <w:p w14:paraId="007BC585" w14:textId="77777777" w:rsidR="00C50F53" w:rsidRPr="004752FD" w:rsidRDefault="00C50F53" w:rsidP="004752FD">
      <w:pPr>
        <w:pStyle w:val="Odstavek"/>
        <w:spacing w:after="0" w:line="260" w:lineRule="atLeast"/>
      </w:pPr>
    </w:p>
    <w:p w14:paraId="27552D40" w14:textId="77777777" w:rsidR="00C50F53" w:rsidRPr="004752FD" w:rsidRDefault="00C50F53" w:rsidP="004752FD">
      <w:pPr>
        <w:pStyle w:val="Odstavek"/>
        <w:spacing w:after="0" w:line="260" w:lineRule="atLeast"/>
      </w:pPr>
      <w:r w:rsidRPr="004752FD">
        <w:t>(6) Skupine CSIRT sodelujejo v mreži skupin CSIRT, lahko pa tudi v drugih mrežah za mednarodno sodelovanje.</w:t>
      </w:r>
    </w:p>
    <w:p w14:paraId="09B5B0FE" w14:textId="77777777" w:rsidR="00C50F53" w:rsidRPr="004752FD" w:rsidRDefault="00C50F53" w:rsidP="004752FD">
      <w:pPr>
        <w:pStyle w:val="Odstavek"/>
        <w:spacing w:after="0" w:line="260" w:lineRule="atLeast"/>
      </w:pPr>
    </w:p>
    <w:p w14:paraId="1A53BCDB" w14:textId="77777777" w:rsidR="00C50F53" w:rsidRPr="004752FD" w:rsidRDefault="00C50F53" w:rsidP="004752FD">
      <w:pPr>
        <w:pStyle w:val="Odstavek"/>
        <w:spacing w:after="0" w:line="260" w:lineRule="atLeast"/>
        <w:rPr>
          <w:strike/>
        </w:rPr>
      </w:pPr>
      <w:r w:rsidRPr="004752FD">
        <w:t xml:space="preserve">(7) Skupine CSIRT lahko sodelujejo s skupinami CSIRT iz tretjih držav. Pri tem s temi skupinami iz tretjih držav lahko izmenjujejo informacije z uporabo ustreznih protokolov, vključno s semaforskim protokolom, da se zagotovi uspešen, učinkovit in varen način izmenjave informacij. Skupine CSIRT si lahko izmenjujejo ustrezne informacije s skupinami CSIRT iz tretjih držav, </w:t>
      </w:r>
      <w:r w:rsidRPr="004752FD">
        <w:lastRenderedPageBreak/>
        <w:t xml:space="preserve">vključno z osebnimi podatki, v skladu z določbami 10. poglavja Zakona o varstvu osebnih podatkov (Uradni list RS, št. 163/22). </w:t>
      </w:r>
    </w:p>
    <w:p w14:paraId="1980DEB6" w14:textId="77777777" w:rsidR="00C50F53" w:rsidRPr="004752FD" w:rsidRDefault="00C50F53" w:rsidP="004752FD">
      <w:pPr>
        <w:pStyle w:val="Odstavek"/>
        <w:spacing w:after="0" w:line="260" w:lineRule="atLeast"/>
      </w:pPr>
    </w:p>
    <w:p w14:paraId="7FECB056" w14:textId="77777777" w:rsidR="00C50F53" w:rsidRPr="004752FD" w:rsidRDefault="00C50F53" w:rsidP="004752FD">
      <w:pPr>
        <w:pStyle w:val="Odstavek"/>
        <w:spacing w:after="0" w:line="260" w:lineRule="atLeast"/>
      </w:pPr>
      <w:r w:rsidRPr="004752FD">
        <w:t>(8) Skupine CSIRT lahko sodelujejo s skupinami CSIRT iz tretjih držav ali enakovrednimi organi tretjih držav, zlasti za zagotavljanje pomoči na področju kibernetske varnosti.</w:t>
      </w:r>
    </w:p>
    <w:p w14:paraId="3635CEFD" w14:textId="77777777" w:rsidR="00C50F53" w:rsidRPr="004752FD" w:rsidRDefault="00C50F53" w:rsidP="004752FD">
      <w:pPr>
        <w:pStyle w:val="Odstavek"/>
        <w:spacing w:after="0" w:line="260" w:lineRule="atLeast"/>
      </w:pPr>
    </w:p>
    <w:p w14:paraId="495285D1" w14:textId="77777777" w:rsidR="00C50F53" w:rsidRPr="004752FD" w:rsidRDefault="00C50F53" w:rsidP="004752FD">
      <w:pPr>
        <w:pStyle w:val="Odstavek"/>
        <w:spacing w:after="0" w:line="260" w:lineRule="atLeast"/>
      </w:pPr>
      <w:r w:rsidRPr="004752FD">
        <w:t xml:space="preserve">(9) Pristojni nacionalni organ o identiteti skupin CSIRT iz prvega odstavka tega člena ter pristojnosti iz drugega in tretjega odstavka tega člena in vsakokratnih spremembah identitet in pristojnosti glede bistvenih in pomembnih subjektov nemudoma obvesti Evropsko komisijo. Evropsko komisijo obvesti tudi o identiteti skupine CSIRT, ki je imenovana za koordinatorja iz prvega odstavka 17. člena tega zakona. </w:t>
      </w:r>
    </w:p>
    <w:p w14:paraId="7DE48ED2" w14:textId="77777777" w:rsidR="00C50F53" w:rsidRPr="004752FD" w:rsidRDefault="00C50F53" w:rsidP="004752FD">
      <w:pPr>
        <w:pStyle w:val="Odstavek"/>
        <w:spacing w:after="0" w:line="260" w:lineRule="atLeast"/>
      </w:pPr>
    </w:p>
    <w:p w14:paraId="4447FDB5" w14:textId="77777777" w:rsidR="00C50F53" w:rsidRPr="004752FD" w:rsidRDefault="00C50F53" w:rsidP="004752FD">
      <w:pPr>
        <w:pStyle w:val="Odstavek"/>
        <w:spacing w:after="0" w:line="260" w:lineRule="atLeast"/>
      </w:pPr>
    </w:p>
    <w:p w14:paraId="18DCE67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6D832C2A" w14:textId="77777777" w:rsidR="00C50F53" w:rsidRPr="004752FD" w:rsidRDefault="00C50F53" w:rsidP="004752FD">
      <w:pPr>
        <w:pStyle w:val="Odstavek"/>
        <w:spacing w:after="0" w:line="260" w:lineRule="atLeast"/>
        <w:jc w:val="center"/>
        <w:rPr>
          <w:b/>
          <w:bCs/>
        </w:rPr>
      </w:pPr>
      <w:r w:rsidRPr="004752FD">
        <w:rPr>
          <w:b/>
          <w:bCs/>
        </w:rPr>
        <w:t>(zahteve in tehnične zmogljivosti skupin CSIRT)</w:t>
      </w:r>
    </w:p>
    <w:p w14:paraId="5C423088" w14:textId="77777777" w:rsidR="00C50F53" w:rsidRPr="004752FD" w:rsidRDefault="00C50F53" w:rsidP="004752FD">
      <w:pPr>
        <w:pStyle w:val="Odstavek"/>
        <w:spacing w:after="0" w:line="260" w:lineRule="atLeast"/>
      </w:pPr>
    </w:p>
    <w:p w14:paraId="724CB32F" w14:textId="77777777" w:rsidR="00C50F53" w:rsidRPr="004752FD" w:rsidRDefault="00C50F53" w:rsidP="004752FD">
      <w:pPr>
        <w:pStyle w:val="Odstavek"/>
        <w:spacing w:after="0" w:line="260" w:lineRule="atLeast"/>
      </w:pPr>
      <w:r w:rsidRPr="004752FD">
        <w:t>Skupine CSIRT iz prvega odstavka prejšnjega člena morajo izpolnjevati naslednje zahteve:</w:t>
      </w:r>
    </w:p>
    <w:p w14:paraId="038313DB" w14:textId="77777777" w:rsidR="00C50F53" w:rsidRPr="004752FD" w:rsidRDefault="00C50F53" w:rsidP="004752FD">
      <w:pPr>
        <w:pStyle w:val="Odstavek"/>
        <w:spacing w:after="0" w:line="260" w:lineRule="atLeast"/>
        <w:ind w:left="567"/>
      </w:pPr>
      <w:r w:rsidRPr="004752FD">
        <w:t>1. zagotavljanje visoke stopnje razpoložljivosti lastnih komunikacijskih kanalov, tako da preprečujejo posamezne točke odpovedi in imajo na voljo več načinov, na katere se drugi lahko kadar koli obrnejo nanje in one obrnejo na druge. Pri tem jasno opredelijo komunikacijske kanale ter o njih obvestijo uporabnike in partnerje;</w:t>
      </w:r>
    </w:p>
    <w:p w14:paraId="569D5CBF" w14:textId="77777777" w:rsidR="00C50F53" w:rsidRPr="004752FD" w:rsidRDefault="00C50F53" w:rsidP="004752FD">
      <w:pPr>
        <w:pStyle w:val="Odstavek"/>
        <w:spacing w:after="0" w:line="260" w:lineRule="atLeast"/>
        <w:ind w:left="567"/>
      </w:pPr>
      <w:r w:rsidRPr="004752FD">
        <w:t>2. prostori in podporni informacijski sistemi so na varnih krajih;</w:t>
      </w:r>
    </w:p>
    <w:p w14:paraId="6DFC0152" w14:textId="77777777" w:rsidR="00C50F53" w:rsidRPr="004752FD" w:rsidRDefault="00C50F53" w:rsidP="004752FD">
      <w:pPr>
        <w:pStyle w:val="Odstavek"/>
        <w:spacing w:after="0" w:line="260" w:lineRule="atLeast"/>
        <w:ind w:left="567"/>
      </w:pPr>
      <w:r w:rsidRPr="004752FD">
        <w:t>3. imajo ustrezen sistem za upravljanje in usmerjanje zahtevkov, zlasti da se poenostavi njihova učinkovita in uspešna predaja;</w:t>
      </w:r>
    </w:p>
    <w:p w14:paraId="77CBA33E" w14:textId="77777777" w:rsidR="00C50F53" w:rsidRPr="004752FD" w:rsidRDefault="00C50F53" w:rsidP="004752FD">
      <w:pPr>
        <w:pStyle w:val="Odstavek"/>
        <w:spacing w:after="0" w:line="260" w:lineRule="atLeast"/>
        <w:ind w:left="567"/>
      </w:pPr>
      <w:r w:rsidRPr="004752FD">
        <w:t>4. zagotovijo zaupnost in zanesljivost svojih dejavnosti;</w:t>
      </w:r>
    </w:p>
    <w:p w14:paraId="5A42767C" w14:textId="77777777" w:rsidR="00C50F53" w:rsidRPr="004752FD" w:rsidRDefault="00C50F53" w:rsidP="004752FD">
      <w:pPr>
        <w:pStyle w:val="Odstavek"/>
        <w:spacing w:after="0" w:line="260" w:lineRule="atLeast"/>
        <w:ind w:left="567"/>
      </w:pPr>
      <w:r w:rsidRPr="004752FD">
        <w:t>5. imajo dovolj osebja za zagotavljanje neprekinjene razpoložljivosti storitev, pri čemer zagotavljajo, da je to osebje ustrezno usposobljeno, in</w:t>
      </w:r>
    </w:p>
    <w:p w14:paraId="42C861B7" w14:textId="77777777" w:rsidR="00C50F53" w:rsidRPr="004752FD" w:rsidRDefault="00C50F53" w:rsidP="004752FD">
      <w:pPr>
        <w:pStyle w:val="Odstavek"/>
        <w:spacing w:after="0" w:line="260" w:lineRule="atLeast"/>
        <w:ind w:left="567"/>
      </w:pPr>
      <w:r w:rsidRPr="004752FD">
        <w:t>6. imajo redundantne sisteme in nadomestni delovni prostor, da se zagotovi neprekinjeno izvajanje njihovih storitev.</w:t>
      </w:r>
    </w:p>
    <w:p w14:paraId="1C598E30" w14:textId="77777777" w:rsidR="00C50F53" w:rsidRPr="004752FD" w:rsidRDefault="00C50F53" w:rsidP="004752FD">
      <w:pPr>
        <w:pStyle w:val="Odstavek"/>
        <w:spacing w:after="0" w:line="260" w:lineRule="atLeast"/>
      </w:pPr>
    </w:p>
    <w:p w14:paraId="32B07FB6" w14:textId="77777777" w:rsidR="00C50F53" w:rsidRPr="004752FD" w:rsidRDefault="00C50F53" w:rsidP="004752FD">
      <w:pPr>
        <w:pStyle w:val="Odstavek"/>
        <w:spacing w:after="0" w:line="260" w:lineRule="atLeast"/>
      </w:pPr>
    </w:p>
    <w:p w14:paraId="38202C67" w14:textId="77D14240"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554499A" w14:textId="77777777" w:rsidR="00C50F53" w:rsidRPr="004752FD" w:rsidRDefault="00C50F53" w:rsidP="004752FD">
      <w:pPr>
        <w:pStyle w:val="Odstavek"/>
        <w:spacing w:after="0" w:line="260" w:lineRule="atLeast"/>
        <w:jc w:val="center"/>
        <w:rPr>
          <w:b/>
          <w:bCs/>
        </w:rPr>
      </w:pPr>
      <w:r w:rsidRPr="004752FD">
        <w:rPr>
          <w:b/>
          <w:bCs/>
        </w:rPr>
        <w:t>(naloge skupin CSIRT)</w:t>
      </w:r>
    </w:p>
    <w:p w14:paraId="4D987F26" w14:textId="77777777" w:rsidR="00C50F53" w:rsidRPr="004752FD" w:rsidRDefault="00C50F53" w:rsidP="004752FD">
      <w:pPr>
        <w:pStyle w:val="Odstavek"/>
        <w:spacing w:after="0" w:line="260" w:lineRule="atLeast"/>
      </w:pPr>
    </w:p>
    <w:p w14:paraId="6E52A55A" w14:textId="77777777" w:rsidR="00C50F53" w:rsidRPr="004752FD" w:rsidRDefault="00C50F53" w:rsidP="004752FD">
      <w:pPr>
        <w:pStyle w:val="Odstavek"/>
        <w:spacing w:after="0" w:line="260" w:lineRule="atLeast"/>
      </w:pPr>
      <w:r w:rsidRPr="004752FD">
        <w:t>(1) Skupine CSIRT iz prvega odstavka 13. člena tega zakona na področjih, za katera so pristojne, izvajajo naslednje naloge:</w:t>
      </w:r>
    </w:p>
    <w:p w14:paraId="739E51A6" w14:textId="77777777" w:rsidR="00C50F53" w:rsidRPr="004752FD" w:rsidRDefault="00C50F53" w:rsidP="00B5205E">
      <w:pPr>
        <w:pStyle w:val="Odstavek"/>
        <w:spacing w:after="0" w:line="260" w:lineRule="atLeast"/>
        <w:ind w:left="851"/>
      </w:pPr>
      <w:r w:rsidRPr="004752FD">
        <w:t>1. spremljanje in analiziranje kibernetskih groženj, ranljivosti in incidentov na državni ravni, na zahtevo bistvenih in pomembnih subjektov pa jim nudijo pomoč v zvezi s sprotnim spremljanjem njihovih omrežnih in informacijskih sistemov;</w:t>
      </w:r>
    </w:p>
    <w:p w14:paraId="1BAF3323" w14:textId="77777777" w:rsidR="00C50F53" w:rsidRPr="004752FD" w:rsidRDefault="00C50F53" w:rsidP="00B5205E">
      <w:pPr>
        <w:pStyle w:val="Odstavek"/>
        <w:spacing w:after="0" w:line="260" w:lineRule="atLeast"/>
        <w:ind w:left="851"/>
      </w:pPr>
      <w:r w:rsidRPr="004752FD">
        <w:t>2. zagotavljanje zgodnjega opozarjanja, opozoril, obvestil in razširjanja informacij o kibernetskih grožnjah, ranljivostih in incidentih zadevnim bistvenim in pomembnim subjektom, pristojnemu nacionalnemu organu in drugim pristojnim organom, osrednjim organom za odzivanje na hibridne grožnje in drugim ustreznim deležnikom, če je mogoče, takoj;</w:t>
      </w:r>
    </w:p>
    <w:p w14:paraId="2B49737F" w14:textId="77777777" w:rsidR="00C50F53" w:rsidRPr="004752FD" w:rsidRDefault="00C50F53" w:rsidP="00B5205E">
      <w:pPr>
        <w:pStyle w:val="Odstavek"/>
        <w:spacing w:after="0" w:line="260" w:lineRule="atLeast"/>
        <w:ind w:left="851"/>
      </w:pPr>
      <w:r w:rsidRPr="004752FD">
        <w:t>3. odzivanje na incidente in zagotavljanje pomoči zadevnim bistvenim in pomembnim subjektom;</w:t>
      </w:r>
    </w:p>
    <w:p w14:paraId="3BE0A84D" w14:textId="77777777" w:rsidR="00C50F53" w:rsidRPr="004752FD" w:rsidRDefault="00C50F53" w:rsidP="00B5205E">
      <w:pPr>
        <w:pStyle w:val="Odstavek"/>
        <w:spacing w:after="0" w:line="260" w:lineRule="atLeast"/>
        <w:ind w:left="851"/>
      </w:pPr>
      <w:r w:rsidRPr="004752FD">
        <w:t>4. zbiranje in analiziranje forenzičnih podatkov in opravljanje dinamičnih analiz tveganja in incidentov ter situacijsko zavedanje na področju kibernetske varnosti;</w:t>
      </w:r>
    </w:p>
    <w:p w14:paraId="34A571A8" w14:textId="77777777" w:rsidR="00C50F53" w:rsidRPr="004752FD" w:rsidRDefault="00C50F53" w:rsidP="00B5205E">
      <w:pPr>
        <w:pStyle w:val="Odstavek"/>
        <w:spacing w:after="0" w:line="260" w:lineRule="atLeast"/>
        <w:ind w:left="851"/>
      </w:pPr>
      <w:r w:rsidRPr="004752FD">
        <w:t>5. na zahtevo bistvenega ali pomembnega subjekta opravljanje proaktivnega pregleda omrežnih in informacijskih sistemov zadevnega subjekta, da se odkrijejo ranljivosti, ki bi lahko imele pomemben negativen vpliv;</w:t>
      </w:r>
    </w:p>
    <w:p w14:paraId="4A061226" w14:textId="77777777" w:rsidR="00C50F53" w:rsidRPr="004752FD" w:rsidRDefault="00C50F53" w:rsidP="00B5205E">
      <w:pPr>
        <w:pStyle w:val="Odstavek"/>
        <w:spacing w:after="0" w:line="260" w:lineRule="atLeast"/>
        <w:ind w:left="851"/>
      </w:pPr>
      <w:r w:rsidRPr="004752FD">
        <w:t>6. sodelovanje v mreži skupin CSIRT in zagotavljanje medsebojne pomoči v skladu z zmožnostmi in pristojnostmi drugim članicam mreže skupin CSIRT na njihovo zahtevo;</w:t>
      </w:r>
    </w:p>
    <w:p w14:paraId="65F306A8" w14:textId="77777777" w:rsidR="00C50F53" w:rsidRPr="004752FD" w:rsidRDefault="00C50F53" w:rsidP="00B5205E">
      <w:pPr>
        <w:pStyle w:val="Odstavek"/>
        <w:spacing w:after="0" w:line="260" w:lineRule="atLeast"/>
        <w:ind w:left="851"/>
      </w:pPr>
      <w:r w:rsidRPr="004752FD">
        <w:lastRenderedPageBreak/>
        <w:t>7. prispevanje k uporabi orodij za varno izmenjavo informacij na podlagi tretjega odstavka 13. člena tega zakona in</w:t>
      </w:r>
    </w:p>
    <w:p w14:paraId="3753467B" w14:textId="15C28688" w:rsidR="00C50F53" w:rsidRPr="004752FD" w:rsidRDefault="00C50F53" w:rsidP="00B5205E">
      <w:pPr>
        <w:pStyle w:val="Odstavek"/>
        <w:spacing w:after="0" w:line="260" w:lineRule="atLeast"/>
        <w:ind w:left="851"/>
      </w:pPr>
      <w:r w:rsidRPr="004752FD">
        <w:t>8. zagotavljanje medsebojne pomoči in sodelovanje z drugimi organi, ki so na podlagi predpisov pristojni za obravnavanje incidentov.</w:t>
      </w:r>
    </w:p>
    <w:p w14:paraId="10C3A24C" w14:textId="77777777" w:rsidR="00C50F53" w:rsidRPr="004752FD" w:rsidRDefault="00C50F53" w:rsidP="004752FD">
      <w:pPr>
        <w:pStyle w:val="Odstavek"/>
        <w:spacing w:after="0" w:line="260" w:lineRule="atLeast"/>
      </w:pPr>
    </w:p>
    <w:p w14:paraId="3C35E745" w14:textId="77777777" w:rsidR="00C50F53" w:rsidRPr="004752FD" w:rsidRDefault="00C50F53" w:rsidP="004752FD">
      <w:pPr>
        <w:pStyle w:val="Odstavek"/>
        <w:spacing w:after="0" w:line="260" w:lineRule="atLeast"/>
      </w:pPr>
      <w:r w:rsidRPr="004752FD">
        <w:t>(2) Skupine CSIRT lahko z namenom odkrivanja ranljivosti omrežnih in informacijskih sistemov, ki niso konfigurirani na varen način, ter za obveščanje zadevnih subjektov s ciljem odpravljanja varnostnih groženj izvajajo proaktivno in nevsiljivo pregledovanje javno dostopnih omrežnih in informacijskih sistemov bistvenih in pomembnih subjektov, za katere so pristojne. Takšno pregledovanje ne sme negativno vplivati na delovanje storitev teh subjektov.</w:t>
      </w:r>
    </w:p>
    <w:p w14:paraId="7AF61B9A" w14:textId="77777777" w:rsidR="00C50F53" w:rsidRPr="004752FD" w:rsidRDefault="00C50F53" w:rsidP="004752FD">
      <w:pPr>
        <w:pStyle w:val="Odstavek"/>
        <w:spacing w:after="0" w:line="260" w:lineRule="atLeast"/>
      </w:pPr>
    </w:p>
    <w:p w14:paraId="4E8DE578" w14:textId="77777777" w:rsidR="00C50F53" w:rsidRPr="004752FD" w:rsidRDefault="00C50F53" w:rsidP="004752FD">
      <w:pPr>
        <w:pStyle w:val="Odstavek"/>
        <w:spacing w:after="0" w:line="260" w:lineRule="atLeast"/>
      </w:pPr>
      <w:r w:rsidRPr="004752FD">
        <w:t>(3) Pri izvajanju nalog iz prvega odstavka tega člena lahko skupine CSIRT na podlagi pristopa, ki temelji na tveganjih, prednostno razvrstijo nekatere naloge.</w:t>
      </w:r>
    </w:p>
    <w:p w14:paraId="34A9169E" w14:textId="77777777" w:rsidR="00C50F53" w:rsidRPr="004752FD" w:rsidRDefault="00C50F53" w:rsidP="004752FD">
      <w:pPr>
        <w:pStyle w:val="Odstavek"/>
        <w:spacing w:after="0" w:line="260" w:lineRule="atLeast"/>
      </w:pPr>
    </w:p>
    <w:p w14:paraId="55D58610" w14:textId="77777777" w:rsidR="00C50F53" w:rsidRPr="004752FD" w:rsidRDefault="00C50F53" w:rsidP="004752FD">
      <w:pPr>
        <w:pStyle w:val="Odstavek"/>
        <w:spacing w:after="0" w:line="260" w:lineRule="atLeast"/>
      </w:pPr>
      <w:r w:rsidRPr="004752FD">
        <w:t>(4) Skupine CSIRT pristojnemu nacionalnemu organu pošljejo tedensko in četrtletno poročilo o izvajanju svojih nalog, v katero vključijo informacije o vseh priglašenih incidentih, ki so jih obravnavale.</w:t>
      </w:r>
    </w:p>
    <w:p w14:paraId="7B84E568" w14:textId="77777777" w:rsidR="00C50F53" w:rsidRPr="004752FD" w:rsidRDefault="00C50F53" w:rsidP="004752FD">
      <w:pPr>
        <w:pStyle w:val="Odstavek"/>
        <w:spacing w:after="0" w:line="260" w:lineRule="atLeast"/>
      </w:pPr>
    </w:p>
    <w:p w14:paraId="3461BF91" w14:textId="77777777" w:rsidR="00C50F53" w:rsidRPr="004752FD" w:rsidRDefault="00C50F53" w:rsidP="004752FD">
      <w:pPr>
        <w:pStyle w:val="Odstavek"/>
        <w:shd w:val="clear" w:color="auto" w:fill="FFFFFF"/>
        <w:spacing w:after="0" w:line="260" w:lineRule="atLeast"/>
      </w:pPr>
      <w:r w:rsidRPr="004752FD">
        <w:t>(5) Skupine CSIRT nemudoma obvestijo pristojni nacionalni organ o lastnem incidentu, ki bi lahko vplival ali vpliva na delovanje in razpoložljivost njihovih storitev, ki jih zagotavljajo zavezancem in prostovoljnim priglasiteljem.</w:t>
      </w:r>
    </w:p>
    <w:p w14:paraId="24FEF006" w14:textId="77777777" w:rsidR="00C50F53" w:rsidRPr="004752FD" w:rsidRDefault="00C50F53" w:rsidP="004752FD">
      <w:pPr>
        <w:pStyle w:val="Odstavek"/>
        <w:shd w:val="clear" w:color="auto" w:fill="FFFFFF"/>
        <w:spacing w:after="0" w:line="260" w:lineRule="atLeast"/>
      </w:pPr>
    </w:p>
    <w:p w14:paraId="634AE18E" w14:textId="24A6A91B" w:rsidR="00C50F53" w:rsidRPr="004752FD" w:rsidRDefault="00C50F53" w:rsidP="004752FD">
      <w:pPr>
        <w:pStyle w:val="Odstavek"/>
        <w:shd w:val="clear" w:color="auto" w:fill="FFFFFF"/>
        <w:spacing w:after="0" w:line="260" w:lineRule="atLeast"/>
      </w:pPr>
      <w:r w:rsidRPr="004752FD">
        <w:t>(6) V skladu z usmeritvami pristojnega nacionalnega organa skupina CSIRT v primeru razglasitve ocene ogroženosti visoko ali kritično izda varnostno obvestilo ali navodilo v skladu s petim in šestim odstavkom 3</w:t>
      </w:r>
      <w:r w:rsidR="00E36F3F">
        <w:t>7</w:t>
      </w:r>
      <w:r w:rsidRPr="004752FD">
        <w:t>. člena tega zakona.</w:t>
      </w:r>
    </w:p>
    <w:p w14:paraId="4ABBFA73" w14:textId="77777777" w:rsidR="00C50F53" w:rsidRPr="004752FD" w:rsidRDefault="00C50F53" w:rsidP="004752FD">
      <w:pPr>
        <w:pStyle w:val="Odstavek"/>
        <w:shd w:val="clear" w:color="auto" w:fill="FFFFFF"/>
        <w:spacing w:after="0" w:line="260" w:lineRule="atLeast"/>
      </w:pPr>
    </w:p>
    <w:p w14:paraId="2883DCE7" w14:textId="77777777" w:rsidR="00C50F53" w:rsidRPr="004752FD" w:rsidRDefault="00C50F53" w:rsidP="004752FD">
      <w:pPr>
        <w:pStyle w:val="Odstavek"/>
        <w:shd w:val="clear" w:color="auto" w:fill="FFFFFF"/>
        <w:spacing w:after="0" w:line="260" w:lineRule="atLeast"/>
      </w:pPr>
      <w:r w:rsidRPr="004752FD">
        <w:t>(7) Skupina CSIRT iz prvega odstavka 13. člena, ki je pristojna za obravnavo incidentov subjektov javne uprave na državni in lokalni ravni,</w:t>
      </w:r>
      <w:r w:rsidRPr="004752FD" w:rsidDel="005B72BE">
        <w:t xml:space="preserve"> </w:t>
      </w:r>
      <w:r w:rsidRPr="004752FD">
        <w:t>je za namen učinkovitega izvajanja nalog informacijske in kibernetske varnosti ter kibernetske obrambe pooblaščena za neposredni, nujni in sorazmerni vpogled v delovanje informacijske infrastrukture centralnega informacijsko-komunikacijskega sistema. Upravljavec centralnega informacijsko-komunikacijskega sistema mu mora to omogočiti.</w:t>
      </w:r>
    </w:p>
    <w:p w14:paraId="65BE5C90" w14:textId="77777777" w:rsidR="00C50F53" w:rsidRPr="004752FD" w:rsidRDefault="00C50F53" w:rsidP="004752FD">
      <w:pPr>
        <w:pStyle w:val="Odstavek"/>
        <w:shd w:val="clear" w:color="auto" w:fill="FFFFFF"/>
        <w:spacing w:after="0" w:line="260" w:lineRule="atLeast"/>
      </w:pPr>
    </w:p>
    <w:p w14:paraId="52F1E790" w14:textId="77777777" w:rsidR="00C50F53" w:rsidRPr="004752FD" w:rsidRDefault="00C50F53" w:rsidP="004752FD">
      <w:pPr>
        <w:pStyle w:val="Odstavek"/>
        <w:shd w:val="clear" w:color="auto" w:fill="FFFFFF"/>
        <w:spacing w:after="0" w:line="260" w:lineRule="atLeast"/>
      </w:pPr>
      <w:r w:rsidRPr="004752FD">
        <w:t xml:space="preserve">(8) Za namen pravočasnega odzivanja na kibernetske grožnje in preprečevanja škodljivih posledic morebitnega težjega ali kritičnega incidenta ter za izvajanje kibernetske obrambe je skupina CSIRT iz prejšnjega odstavka pooblaščena, da upravljavcu centralnega informacijsko-komunikacijskega sistema odredi ustrezne, nujne in sorazmerne ukrepe, ki jih mora ta nemudoma oziroma v postavljenem roku izvesti v svojem informacijsko-komunikacijskem sistemu. </w:t>
      </w:r>
    </w:p>
    <w:p w14:paraId="254D64B1" w14:textId="77777777" w:rsidR="00C50F53" w:rsidRPr="004752FD" w:rsidRDefault="00C50F53" w:rsidP="004752FD">
      <w:pPr>
        <w:pStyle w:val="Odstavek"/>
        <w:shd w:val="clear" w:color="auto" w:fill="FFFFFF"/>
        <w:spacing w:after="0" w:line="260" w:lineRule="atLeast"/>
      </w:pPr>
    </w:p>
    <w:p w14:paraId="251CAAED" w14:textId="77777777" w:rsidR="00C50F53" w:rsidRPr="004752FD" w:rsidRDefault="00C50F53" w:rsidP="004752FD">
      <w:pPr>
        <w:pStyle w:val="Odstavek"/>
        <w:shd w:val="clear" w:color="auto" w:fill="FFFFFF"/>
        <w:spacing w:after="0" w:line="260" w:lineRule="atLeast"/>
      </w:pPr>
      <w:r w:rsidRPr="004752FD">
        <w:t>(9) Skupine CSIRT iz prvega odstavka 13. člena tega zakona izvajajo tudi programe ozaveščanja v skladu s strategijo kibernetske varnosti.</w:t>
      </w:r>
    </w:p>
    <w:p w14:paraId="57D60AA8" w14:textId="77777777" w:rsidR="00C50F53" w:rsidRPr="004752FD" w:rsidRDefault="00C50F53" w:rsidP="004752FD">
      <w:pPr>
        <w:pStyle w:val="Odstavek"/>
        <w:spacing w:after="0" w:line="260" w:lineRule="atLeast"/>
      </w:pPr>
    </w:p>
    <w:p w14:paraId="4963B096" w14:textId="77777777" w:rsidR="00C50F53" w:rsidRPr="004752FD" w:rsidRDefault="00C50F53" w:rsidP="004752FD">
      <w:pPr>
        <w:pStyle w:val="Odstavek"/>
        <w:spacing w:after="0" w:line="260" w:lineRule="atLeast"/>
      </w:pPr>
    </w:p>
    <w:p w14:paraId="107A575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07661B4" w14:textId="77777777" w:rsidR="00C50F53" w:rsidRPr="004752FD" w:rsidRDefault="00C50F53" w:rsidP="004752FD">
      <w:pPr>
        <w:pStyle w:val="Odstavek"/>
        <w:spacing w:after="0" w:line="260" w:lineRule="atLeast"/>
        <w:jc w:val="center"/>
        <w:rPr>
          <w:b/>
          <w:bCs/>
        </w:rPr>
      </w:pPr>
      <w:r w:rsidRPr="004752FD">
        <w:rPr>
          <w:b/>
          <w:bCs/>
        </w:rPr>
        <w:t>(sodelovanje skupin CSIRT z deležniki iz zasebnega sektorja)</w:t>
      </w:r>
    </w:p>
    <w:p w14:paraId="188F04D8" w14:textId="77777777" w:rsidR="00C50F53" w:rsidRPr="004752FD" w:rsidRDefault="00C50F53" w:rsidP="004752FD">
      <w:pPr>
        <w:pStyle w:val="Odstavek"/>
        <w:spacing w:after="0" w:line="260" w:lineRule="atLeast"/>
      </w:pPr>
    </w:p>
    <w:p w14:paraId="41B98CC3" w14:textId="77777777" w:rsidR="00C50F53" w:rsidRPr="004752FD" w:rsidRDefault="00C50F53" w:rsidP="004752FD">
      <w:pPr>
        <w:pStyle w:val="Odstavek"/>
        <w:spacing w:after="0" w:line="260" w:lineRule="atLeast"/>
      </w:pPr>
      <w:r w:rsidRPr="004752FD">
        <w:t>(1) Skupine CSIRT iz prvega odstavka 13. člena tega zakona za dosego ciljev tega zakona sodelujejo s subjekti iz zasebnega sektorja. V ta namen lahko sklepajo tudi dogovore o sodelovanju.</w:t>
      </w:r>
    </w:p>
    <w:p w14:paraId="0659FAD2" w14:textId="77777777" w:rsidR="00C50F53" w:rsidRPr="004752FD" w:rsidRDefault="00C50F53" w:rsidP="004752FD">
      <w:pPr>
        <w:pStyle w:val="Odstavek"/>
        <w:spacing w:after="0" w:line="260" w:lineRule="atLeast"/>
      </w:pPr>
    </w:p>
    <w:p w14:paraId="44F805EF" w14:textId="77777777" w:rsidR="00C50F53" w:rsidRPr="004752FD" w:rsidRDefault="00C50F53" w:rsidP="004752FD">
      <w:pPr>
        <w:pStyle w:val="Odstavek"/>
        <w:spacing w:after="0" w:line="260" w:lineRule="atLeast"/>
      </w:pPr>
      <w:r w:rsidRPr="004752FD">
        <w:t>(2) Za olajšanje sodelovanja iz prejšnjega odstavka skupine CSIRT spodbujajo sprejetje in uporabo skupnih ali uveljavljenih praks, sistemov razvrščanja in taksonomij v zvezi s:</w:t>
      </w:r>
    </w:p>
    <w:p w14:paraId="7A086BC6" w14:textId="77777777" w:rsidR="00C50F53" w:rsidRPr="004752FD" w:rsidRDefault="00C50F53" w:rsidP="004752FD">
      <w:pPr>
        <w:pStyle w:val="Odstavek"/>
        <w:spacing w:after="0" w:line="260" w:lineRule="atLeast"/>
        <w:ind w:left="567"/>
      </w:pPr>
      <w:r w:rsidRPr="004752FD">
        <w:t>‒ postopki obvladovanja incidentov,</w:t>
      </w:r>
    </w:p>
    <w:p w14:paraId="301B95D9" w14:textId="77777777" w:rsidR="00C50F53" w:rsidRPr="004752FD" w:rsidRDefault="00C50F53" w:rsidP="004752FD">
      <w:pPr>
        <w:pStyle w:val="Odstavek"/>
        <w:spacing w:after="0" w:line="260" w:lineRule="atLeast"/>
        <w:ind w:left="567"/>
      </w:pPr>
      <w:r w:rsidRPr="004752FD">
        <w:t>‒ obvladovanjem kriz in</w:t>
      </w:r>
    </w:p>
    <w:p w14:paraId="2D5076AE" w14:textId="77777777" w:rsidR="00C50F53" w:rsidRPr="004752FD" w:rsidRDefault="00C50F53" w:rsidP="004752FD">
      <w:pPr>
        <w:pStyle w:val="Odstavek"/>
        <w:spacing w:after="0" w:line="260" w:lineRule="atLeast"/>
        <w:ind w:left="567"/>
        <w:rPr>
          <w:strike/>
        </w:rPr>
      </w:pPr>
      <w:r w:rsidRPr="004752FD">
        <w:lastRenderedPageBreak/>
        <w:t>‒ usklajenim razkrivanjem ranljivosti na podlagi prvega odstavka 17. člena tega zakona.</w:t>
      </w:r>
    </w:p>
    <w:p w14:paraId="02E5CAAE" w14:textId="77777777" w:rsidR="00C50F53" w:rsidRPr="004752FD" w:rsidRDefault="00C50F53" w:rsidP="004752FD">
      <w:pPr>
        <w:pStyle w:val="Odstavek"/>
        <w:spacing w:after="0" w:line="260" w:lineRule="atLeast"/>
      </w:pPr>
    </w:p>
    <w:p w14:paraId="449D240B" w14:textId="77777777" w:rsidR="00C50F53" w:rsidRPr="004752FD" w:rsidRDefault="00C50F53" w:rsidP="004752FD">
      <w:pPr>
        <w:pStyle w:val="Odstavek"/>
        <w:spacing w:after="0" w:line="260" w:lineRule="atLeast"/>
      </w:pPr>
      <w:r w:rsidRPr="004752FD">
        <w:t>(3) Skupina CSIRT, ki zazna ranljivost informacijsko-komunikacijskega sistema subjekta iz prvega odstavka tega člena, tega o tem nemudoma obvesti.</w:t>
      </w:r>
    </w:p>
    <w:p w14:paraId="5B7C81A1" w14:textId="77777777" w:rsidR="00C50F53" w:rsidRPr="004752FD" w:rsidRDefault="00C50F53" w:rsidP="004752FD">
      <w:pPr>
        <w:pStyle w:val="Odstavek"/>
        <w:spacing w:after="0" w:line="260" w:lineRule="atLeast"/>
      </w:pPr>
    </w:p>
    <w:p w14:paraId="5285E0D8" w14:textId="77777777" w:rsidR="00C50F53" w:rsidRPr="004752FD" w:rsidRDefault="00C50F53" w:rsidP="004752FD">
      <w:pPr>
        <w:pStyle w:val="Odstavek"/>
        <w:spacing w:after="0" w:line="260" w:lineRule="atLeast"/>
      </w:pPr>
    </w:p>
    <w:p w14:paraId="750F92C3"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717E29F0" w14:textId="77777777" w:rsidR="00C50F53" w:rsidRPr="004752FD" w:rsidRDefault="00C50F53" w:rsidP="004752FD">
      <w:pPr>
        <w:pStyle w:val="Odstavek"/>
        <w:spacing w:after="0" w:line="260" w:lineRule="atLeast"/>
        <w:jc w:val="center"/>
        <w:rPr>
          <w:b/>
          <w:bCs/>
        </w:rPr>
      </w:pPr>
      <w:r w:rsidRPr="004752FD">
        <w:rPr>
          <w:b/>
          <w:bCs/>
        </w:rPr>
        <w:t>(usklajeno razkrivanje ranljivosti in evropska podatkovna zbirka ranljivosti)</w:t>
      </w:r>
    </w:p>
    <w:p w14:paraId="101BD9FF" w14:textId="77777777" w:rsidR="00C50F53" w:rsidRPr="004752FD" w:rsidRDefault="00C50F53" w:rsidP="004752FD">
      <w:pPr>
        <w:pStyle w:val="Odstavek"/>
        <w:spacing w:after="0" w:line="260" w:lineRule="atLeast"/>
      </w:pPr>
    </w:p>
    <w:p w14:paraId="1786BE37" w14:textId="5C2F5D9E" w:rsidR="00C50F53" w:rsidRPr="004752FD" w:rsidRDefault="00C50F53" w:rsidP="004752FD">
      <w:pPr>
        <w:pStyle w:val="Odstavek"/>
        <w:spacing w:after="0" w:line="260" w:lineRule="atLeast"/>
      </w:pPr>
      <w:r w:rsidRPr="004752FD">
        <w:t>(1) Skupina CSIRT iz prvega odstavka 13. člena tega zakona, ki je določena za koordinatorja za usklajeno razkrivanje ranljivosti v Republiki Sloveniji (v nadaljnjem besedilu: koordinator), deluje kot zaupanja vreden posrednik in po potrebi olajšuje sodelovanje med fizično ali pravno osebo, ki poroča o ranljivostih, in proizvajalcem ali ponudnikom proizvodov ali storitev IKT, ki naj bi zajemali ranljivost, in sicer na pobudo katere koli stranke.</w:t>
      </w:r>
    </w:p>
    <w:p w14:paraId="273C0EC3" w14:textId="77777777" w:rsidR="00C50F53" w:rsidRPr="004752FD" w:rsidRDefault="00C50F53" w:rsidP="004752FD">
      <w:pPr>
        <w:pStyle w:val="Odstavek"/>
        <w:spacing w:after="0" w:line="260" w:lineRule="atLeast"/>
      </w:pPr>
    </w:p>
    <w:p w14:paraId="460F0CF5" w14:textId="77777777" w:rsidR="00C50F53" w:rsidRPr="004752FD" w:rsidRDefault="00C50F53" w:rsidP="004752FD">
      <w:pPr>
        <w:pStyle w:val="Odstavek"/>
        <w:spacing w:after="0" w:line="260" w:lineRule="atLeast"/>
      </w:pPr>
      <w:r w:rsidRPr="004752FD">
        <w:t>(2) Naloge koordinatorja vključujejo:</w:t>
      </w:r>
    </w:p>
    <w:p w14:paraId="4A70DCBC" w14:textId="77777777" w:rsidR="00C50F53" w:rsidRPr="004752FD" w:rsidRDefault="00C50F53" w:rsidP="004752FD">
      <w:pPr>
        <w:pStyle w:val="Odstavek"/>
        <w:spacing w:after="0" w:line="260" w:lineRule="atLeast"/>
        <w:ind w:left="567"/>
      </w:pPr>
      <w:r w:rsidRPr="004752FD">
        <w:t>‒ identifikacijo zadevnih subjektov in vzpostavitev stika z njimi,</w:t>
      </w:r>
    </w:p>
    <w:p w14:paraId="66D0E7F2" w14:textId="77777777" w:rsidR="00C50F53" w:rsidRPr="004752FD" w:rsidRDefault="00C50F53" w:rsidP="004752FD">
      <w:pPr>
        <w:pStyle w:val="Odstavek"/>
        <w:spacing w:after="0" w:line="260" w:lineRule="atLeast"/>
        <w:ind w:left="567"/>
      </w:pPr>
      <w:r w:rsidRPr="004752FD">
        <w:t>‒ podpiranje fizičnih ali pravnih oseb, ki poročajo o ranljivosti, in</w:t>
      </w:r>
    </w:p>
    <w:p w14:paraId="775F0BF9" w14:textId="77777777" w:rsidR="00C50F53" w:rsidRPr="004752FD" w:rsidRDefault="00C50F53" w:rsidP="004752FD">
      <w:pPr>
        <w:pStyle w:val="Odstavek"/>
        <w:spacing w:after="0" w:line="260" w:lineRule="atLeast"/>
        <w:ind w:left="567"/>
      </w:pPr>
      <w:r w:rsidRPr="004752FD">
        <w:t>‒ pogajanja o časovnicah razkrivanja in obvladovanju ranljivosti, ki vplivajo na več subjektov.</w:t>
      </w:r>
    </w:p>
    <w:p w14:paraId="145B403A" w14:textId="77777777" w:rsidR="00C50F53" w:rsidRPr="004752FD" w:rsidRDefault="00C50F53" w:rsidP="004752FD">
      <w:pPr>
        <w:pStyle w:val="Odstavek"/>
        <w:spacing w:after="0" w:line="260" w:lineRule="atLeast"/>
        <w:ind w:left="1134"/>
      </w:pPr>
    </w:p>
    <w:p w14:paraId="0BBBB2C9" w14:textId="77777777" w:rsidR="00C50F53" w:rsidRPr="004752FD" w:rsidRDefault="00C50F53" w:rsidP="004752FD">
      <w:pPr>
        <w:pStyle w:val="Odstavek"/>
        <w:spacing w:after="0" w:line="260" w:lineRule="atLeast"/>
      </w:pPr>
      <w:r w:rsidRPr="004752FD">
        <w:t>(3) Fizične ali pravne osebe iz prvega odstavka tega člena lahko koordinatorju o ranljivostih poročajo anonimno. Koordinator zagotovi skrbno nadaljnje ukrepanje v zvezi s sporočenimi ranljivostmi in anonimnost fizične ali pravne osebe, ki je o ranljivosti poročala. Kadar bi lahko sporočena ranljivost pomembno vplivala na subjekte tudi v drugih državah članicah Evropske unije, koordinator po potrebi sodeluje z drugimi skupinami CSIRT, ki so kot koordinatorke imenovane v okviru mreže skupin CSIRT.</w:t>
      </w:r>
    </w:p>
    <w:p w14:paraId="3AC687F6" w14:textId="77777777" w:rsidR="00C50F53" w:rsidRPr="004752FD" w:rsidRDefault="00C50F53" w:rsidP="004752FD">
      <w:pPr>
        <w:pStyle w:val="Odstavek"/>
        <w:spacing w:after="0" w:line="260" w:lineRule="atLeast"/>
      </w:pPr>
    </w:p>
    <w:p w14:paraId="6D5AB205" w14:textId="77777777" w:rsidR="00C50F53" w:rsidRPr="004752FD" w:rsidRDefault="00C50F53" w:rsidP="004752FD">
      <w:pPr>
        <w:pStyle w:val="Odstavek"/>
        <w:spacing w:after="0" w:line="260" w:lineRule="atLeast"/>
      </w:pPr>
      <w:r w:rsidRPr="004752FD">
        <w:t xml:space="preserve">(4) Koordinator v zvezi s sporočenimi ranljivostmi sodeluje tudi z agencijo ENISA. </w:t>
      </w:r>
    </w:p>
    <w:p w14:paraId="4B6C58DC" w14:textId="77777777" w:rsidR="00C50F53" w:rsidRPr="004752FD" w:rsidRDefault="00C50F53" w:rsidP="004752FD">
      <w:pPr>
        <w:pStyle w:val="Odstavekseznama"/>
        <w:ind w:left="0"/>
        <w:rPr>
          <w:rFonts w:cs="Arial"/>
          <w:szCs w:val="20"/>
          <w:lang w:val="sl-SI"/>
        </w:rPr>
      </w:pPr>
    </w:p>
    <w:p w14:paraId="1699D142" w14:textId="77777777" w:rsidR="00C50F53" w:rsidRPr="004752FD" w:rsidRDefault="00C50F53" w:rsidP="00E36F3F">
      <w:pPr>
        <w:jc w:val="both"/>
        <w:rPr>
          <w:rFonts w:cs="Arial"/>
          <w:szCs w:val="20"/>
          <w:lang w:val="sl-SI"/>
        </w:rPr>
      </w:pPr>
      <w:r w:rsidRPr="004752FD">
        <w:rPr>
          <w:rFonts w:cs="Arial"/>
          <w:szCs w:val="20"/>
          <w:lang w:val="sl-SI"/>
        </w:rPr>
        <w:t>(5) Koordinator pristojnemu nacionalnemu organu pošlje tedensko poročilo o izvajanju svojih nalog iz tega člena, v katero vključi informacije o vseh zaznanih ranljivostih iz prvega odstavka tega člena.</w:t>
      </w:r>
    </w:p>
    <w:p w14:paraId="25FD8295" w14:textId="77777777" w:rsidR="00C50F53" w:rsidRPr="004752FD" w:rsidRDefault="00C50F53" w:rsidP="004752FD">
      <w:pPr>
        <w:rPr>
          <w:rFonts w:cs="Arial"/>
          <w:szCs w:val="20"/>
          <w:lang w:val="sl-SI"/>
        </w:rPr>
      </w:pPr>
    </w:p>
    <w:p w14:paraId="09874B0D" w14:textId="77777777" w:rsidR="00C50F53" w:rsidRPr="004752FD" w:rsidRDefault="00C50F53" w:rsidP="004752FD">
      <w:pPr>
        <w:rPr>
          <w:rFonts w:cs="Arial"/>
          <w:szCs w:val="20"/>
          <w:lang w:val="sl-SI"/>
        </w:rPr>
      </w:pPr>
    </w:p>
    <w:p w14:paraId="2656D8B0" w14:textId="77777777" w:rsidR="00C50F53" w:rsidRPr="004752FD" w:rsidRDefault="00C50F53" w:rsidP="004752FD">
      <w:pPr>
        <w:pStyle w:val="NIS2len"/>
        <w:spacing w:before="0" w:line="260" w:lineRule="atLeast"/>
        <w:ind w:left="0" w:firstLine="0"/>
        <w:rPr>
          <w:sz w:val="20"/>
          <w:szCs w:val="20"/>
        </w:rPr>
      </w:pPr>
      <w:bookmarkStart w:id="58" w:name="_Hlk183636499"/>
      <w:r w:rsidRPr="004752FD">
        <w:rPr>
          <w:sz w:val="20"/>
          <w:szCs w:val="20"/>
        </w:rPr>
        <w:t>člen</w:t>
      </w:r>
    </w:p>
    <w:p w14:paraId="6CC39CCB" w14:textId="77777777" w:rsidR="00C50F53" w:rsidRPr="004752FD" w:rsidRDefault="00C50F53" w:rsidP="004752FD">
      <w:pPr>
        <w:pStyle w:val="Odstavek"/>
        <w:spacing w:after="0" w:line="260" w:lineRule="atLeast"/>
        <w:jc w:val="center"/>
        <w:rPr>
          <w:b/>
          <w:bCs/>
        </w:rPr>
      </w:pPr>
      <w:r w:rsidRPr="004752FD">
        <w:rPr>
          <w:b/>
          <w:bCs/>
        </w:rPr>
        <w:t>(sodelovanje na nacionalni ravni)</w:t>
      </w:r>
    </w:p>
    <w:bookmarkEnd w:id="58"/>
    <w:p w14:paraId="2763152E" w14:textId="77777777" w:rsidR="00C50F53" w:rsidRPr="004752FD" w:rsidRDefault="00C50F53" w:rsidP="004752FD">
      <w:pPr>
        <w:pStyle w:val="Odstavek"/>
        <w:spacing w:after="0" w:line="260" w:lineRule="atLeast"/>
      </w:pPr>
    </w:p>
    <w:p w14:paraId="1F303BE3" w14:textId="3191E6C0" w:rsidR="00C50F53" w:rsidRPr="004752FD" w:rsidRDefault="001D70C0" w:rsidP="001D70C0">
      <w:pPr>
        <w:pStyle w:val="Odstavek"/>
        <w:overflowPunct w:val="0"/>
        <w:autoSpaceDE w:val="0"/>
        <w:autoSpaceDN w:val="0"/>
        <w:adjustRightInd w:val="0"/>
        <w:spacing w:after="0" w:line="260" w:lineRule="atLeast"/>
        <w:textAlignment w:val="baseline"/>
      </w:pPr>
      <w:r>
        <w:t>(1)</w:t>
      </w:r>
      <w:r w:rsidR="00C50F53" w:rsidRPr="004752FD">
        <w:t xml:space="preserve"> Za zagotovitev učinkovitega opravljanja nalog in obveznosti pristojnega nacionalnega organa, enotne kontaktne točke in skupine CSIRT iz tega zakona pristojni nacionalni organ vzpostavi ustrezno sodelovanje na nacionalni ravni na način, da ti subjekti:</w:t>
      </w:r>
    </w:p>
    <w:p w14:paraId="18763375" w14:textId="2DDB6871" w:rsidR="00C50F53" w:rsidRPr="004752FD" w:rsidRDefault="00E36F3F"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t>m</w:t>
      </w:r>
      <w:r w:rsidR="00C50F53" w:rsidRPr="004752FD">
        <w:t>ed seboj sodelujejo pri izpolnjevanju obveznosti;</w:t>
      </w:r>
      <w:bookmarkStart w:id="59" w:name="_Hlk133319986"/>
    </w:p>
    <w:bookmarkEnd w:id="59"/>
    <w:p w14:paraId="09A0C7A1" w14:textId="77777777" w:rsidR="00C50F53" w:rsidRPr="004752FD" w:rsidRDefault="00C50F53"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rsidRPr="004752FD">
        <w:rPr>
          <w:color w:val="000000"/>
          <w:shd w:val="clear" w:color="auto" w:fill="FFFFFF"/>
        </w:rPr>
        <w:t>sodelujejo z Javno agencijo za civilno letalstvo Republike Slovenije, Upravo Republike Slovenije za jedrsko varnost, Inšpekcijo za informacijsko družbo, Banko Slovenije, Agencijo za komunikacijska omrežja in storitve Republike Slovenije in pristojnim nacionalnim organom iz zakona, ki ureja področje kritične infrastrukture ter pristojnimi organi oziroma sektorskimi regulatorji iz drugih področnih zakonov s področij, ki jim pripadajo zavezanci iz 6. člena tega zakona;</w:t>
      </w:r>
    </w:p>
    <w:p w14:paraId="781720D6" w14:textId="77777777" w:rsidR="00C50F53" w:rsidRPr="004752FD" w:rsidRDefault="00C50F53"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rsidRPr="004752FD">
        <w:rPr>
          <w:color w:val="000000"/>
          <w:shd w:val="clear" w:color="auto" w:fill="FFFFFF"/>
        </w:rPr>
        <w:t>sodelujejo z organi kazenskega pregona in Informacijskim pooblaščencem, če to ne škoduje izvajanju pristojnosti nadzora ali odločanja teh organov;</w:t>
      </w:r>
    </w:p>
    <w:p w14:paraId="2A53982C" w14:textId="77777777" w:rsidR="00C50F53" w:rsidRPr="004752FD" w:rsidRDefault="00C50F53"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rsidRPr="004752FD">
        <w:rPr>
          <w:color w:val="000000"/>
          <w:shd w:val="clear" w:color="auto" w:fill="FFFFFF"/>
        </w:rPr>
        <w:t xml:space="preserve">redno sodelujejo s </w:t>
      </w:r>
      <w:bookmarkStart w:id="60" w:name="_Hlk187745066"/>
      <w:r w:rsidRPr="004752FD">
        <w:rPr>
          <w:color w:val="000000"/>
          <w:shd w:val="clear" w:color="auto" w:fill="FFFFFF"/>
        </w:rPr>
        <w:t>pristojnim nacionalnim organom iz zakona, ki ureja področje kritične infrastrukture</w:t>
      </w:r>
      <w:bookmarkEnd w:id="60"/>
      <w:r w:rsidRPr="004752FD">
        <w:rPr>
          <w:color w:val="000000"/>
          <w:shd w:val="clear" w:color="auto" w:fill="FFFFFF"/>
        </w:rPr>
        <w:t xml:space="preserve">, in si izmenjujejo informacije o identifikaciji kritičnih subjektov, o tveganjih, kibernetskih grožnjah in incidentih ter o nekibernetskih tveganjih, </w:t>
      </w:r>
      <w:r w:rsidRPr="004752FD">
        <w:rPr>
          <w:color w:val="000000"/>
          <w:shd w:val="clear" w:color="auto" w:fill="FFFFFF"/>
        </w:rPr>
        <w:lastRenderedPageBreak/>
        <w:t>grožnjah in izrednih dogodkih na področju kritične infrastrukture, ki vplivajo na bistvene subjekte, opredeljene kot kritični subjekti na podlagi zakona, ki ureja področje kritične infrastrukture, ter o ukrepih, sprejetih v odziv na takšna tveganja, grožnje, incidente in izredne dogodke;</w:t>
      </w:r>
    </w:p>
    <w:p w14:paraId="64018F26" w14:textId="77777777" w:rsidR="00C50F53" w:rsidRPr="004752FD" w:rsidRDefault="00C50F53"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rsidRPr="004752FD">
        <w:rPr>
          <w:color w:val="000000"/>
          <w:shd w:val="clear" w:color="auto" w:fill="FFFFFF"/>
        </w:rPr>
        <w:t>redno sodelujejo z osrednjim organom za odzivanje na hibridne grožnje in si izmenjujejo informacije o tveganjih, kibernetskih grožnjah in incidentih ter o nekibernetskih tveganjih, grožnjah in incidentih, ki bi nakazovali hibridno delovanje, ter o ukrepih, sprejetih v odziv na takšna tveganja, grožnje in incidente, in</w:t>
      </w:r>
    </w:p>
    <w:p w14:paraId="2ADD835E" w14:textId="77777777" w:rsidR="00C50F53" w:rsidRPr="004752FD" w:rsidRDefault="00C50F53" w:rsidP="00E36F3F">
      <w:pPr>
        <w:pStyle w:val="Odstavek"/>
        <w:numPr>
          <w:ilvl w:val="0"/>
          <w:numId w:val="99"/>
        </w:numPr>
        <w:overflowPunct w:val="0"/>
        <w:autoSpaceDE w:val="0"/>
        <w:autoSpaceDN w:val="0"/>
        <w:adjustRightInd w:val="0"/>
        <w:spacing w:after="0" w:line="260" w:lineRule="atLeast"/>
        <w:ind w:left="1276"/>
        <w:textAlignment w:val="baseline"/>
        <w:rPr>
          <w:color w:val="000000"/>
          <w:shd w:val="clear" w:color="auto" w:fill="FFFFFF"/>
        </w:rPr>
      </w:pPr>
      <w:r w:rsidRPr="004752FD">
        <w:rPr>
          <w:color w:val="000000"/>
          <w:shd w:val="clear" w:color="auto" w:fill="FFFFFF"/>
        </w:rPr>
        <w:t>redno izmenjujejo informacije, tudi o relevantnih incidentih in kibernetskih grožnjah z Inšpekcijo za informacijsko družbo, Informacijskim pooblaščencem, Banko Slovenije, Javno agencijo za civilno letalstvo Republike Slovenije, Agencijo za komunikacijska omrežja in storitve Republike Slovenije, nacionalnim varnostnim organom za varovanje tajnih podatkov po Zakonu o tajnih podatkih in drugimi področnimi regulatorji.</w:t>
      </w:r>
    </w:p>
    <w:p w14:paraId="0F056978" w14:textId="77777777" w:rsidR="00C50F53" w:rsidRPr="004752FD" w:rsidRDefault="00C50F53" w:rsidP="004752FD">
      <w:pPr>
        <w:pStyle w:val="Odstavek"/>
        <w:spacing w:after="0" w:line="260" w:lineRule="atLeast"/>
        <w:ind w:left="1134"/>
        <w:rPr>
          <w:color w:val="000000"/>
          <w:shd w:val="clear" w:color="auto" w:fill="FFFFFF"/>
        </w:rPr>
      </w:pPr>
    </w:p>
    <w:p w14:paraId="5DABDC89" w14:textId="77777777" w:rsidR="00C50F53" w:rsidRPr="004752FD" w:rsidRDefault="00C50F53" w:rsidP="004752FD">
      <w:pPr>
        <w:pStyle w:val="Odstavek"/>
        <w:spacing w:after="0" w:line="260" w:lineRule="atLeast"/>
        <w:rPr>
          <w:color w:val="000000"/>
          <w:shd w:val="clear" w:color="auto" w:fill="FFFFFF"/>
        </w:rPr>
      </w:pPr>
      <w:bookmarkStart w:id="61" w:name="_Hlk148436418"/>
      <w:r w:rsidRPr="004752FD">
        <w:rPr>
          <w:color w:val="000000"/>
          <w:shd w:val="clear" w:color="auto" w:fill="FFFFFF"/>
        </w:rPr>
        <w:t>(2) Medsebojna</w:t>
      </w:r>
      <w:r w:rsidRPr="004752FD">
        <w:t xml:space="preserve"> </w:t>
      </w:r>
      <w:r w:rsidRPr="004752FD">
        <w:rPr>
          <w:color w:val="000000"/>
          <w:shd w:val="clear" w:color="auto" w:fill="FFFFFF"/>
        </w:rPr>
        <w:t>izmenjava informacij o incidentih, kibernetskih grožnjah in skorajšnjih incidentih iz 29. in 35. člena tega zakona med pristojnim nacionalnim organom, enotno kontaktno točko, skupinami CSIRT iz tega zakona in pristojnimi organi iz 4., 5. in 6. točke prejšnjega odstavka se izvaja z uporabo digitalne platforme pristojnega nacionalnega organa iz desetega odstavka 30. člena tega zakona.</w:t>
      </w:r>
    </w:p>
    <w:bookmarkEnd w:id="61"/>
    <w:p w14:paraId="25385999" w14:textId="77777777" w:rsidR="00C50F53" w:rsidRPr="004752FD" w:rsidRDefault="00C50F53" w:rsidP="004752FD">
      <w:pPr>
        <w:pStyle w:val="NIS2naslovpoglavja"/>
        <w:numPr>
          <w:ilvl w:val="0"/>
          <w:numId w:val="0"/>
        </w:numPr>
        <w:jc w:val="both"/>
        <w:rPr>
          <w:sz w:val="20"/>
          <w:szCs w:val="20"/>
        </w:rPr>
      </w:pPr>
    </w:p>
    <w:p w14:paraId="7DD216A6" w14:textId="77777777" w:rsidR="00C50F53" w:rsidRPr="004752FD" w:rsidRDefault="00C50F53" w:rsidP="004752FD">
      <w:pPr>
        <w:pStyle w:val="NIS2naslovpoglavja"/>
        <w:numPr>
          <w:ilvl w:val="0"/>
          <w:numId w:val="0"/>
        </w:numPr>
        <w:jc w:val="both"/>
        <w:rPr>
          <w:sz w:val="20"/>
          <w:szCs w:val="20"/>
        </w:rPr>
      </w:pPr>
    </w:p>
    <w:p w14:paraId="7FBBD6DC"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642EC02A" w14:textId="77777777" w:rsidR="00C50F53" w:rsidRPr="004752FD" w:rsidRDefault="00C50F53" w:rsidP="004752FD">
      <w:pPr>
        <w:pStyle w:val="Odstavek"/>
        <w:spacing w:after="0" w:line="260" w:lineRule="atLeast"/>
        <w:jc w:val="center"/>
        <w:rPr>
          <w:b/>
          <w:bCs/>
        </w:rPr>
      </w:pPr>
      <w:r w:rsidRPr="004752FD">
        <w:rPr>
          <w:b/>
          <w:bCs/>
        </w:rPr>
        <w:t>(medsebojni strokovni pregled)</w:t>
      </w:r>
    </w:p>
    <w:p w14:paraId="708EEA0A" w14:textId="77777777" w:rsidR="00C50F53" w:rsidRPr="004752FD" w:rsidRDefault="00C50F53" w:rsidP="004752FD">
      <w:pPr>
        <w:pStyle w:val="Odstavek"/>
        <w:spacing w:after="0" w:line="260" w:lineRule="atLeast"/>
      </w:pPr>
    </w:p>
    <w:p w14:paraId="35B57938" w14:textId="77777777" w:rsidR="00C50F53" w:rsidRPr="004752FD" w:rsidRDefault="00C50F53" w:rsidP="004752FD">
      <w:pPr>
        <w:pStyle w:val="Odstavek"/>
        <w:spacing w:after="0" w:line="260" w:lineRule="atLeast"/>
        <w:rPr>
          <w:strike/>
        </w:rPr>
      </w:pPr>
      <w:r w:rsidRPr="004752FD">
        <w:t xml:space="preserve">(1) Pristojni nacionalni organ lahko z namenom učenja iz skupnih izkušenj, okrepitve medsebojnega zaupanja, doseganja visoke skupne ravni kibernetske varnosti ter okrepitve zmogljivosti in politike na področju kibernetske varnosti pristopi k medsebojnim strokovnim pregledom, ki jih izvajajo imenovani strokovnjaki s področja kibernetske varnosti iz drugih držav članic Evropske unije. </w:t>
      </w:r>
    </w:p>
    <w:p w14:paraId="0DF82F4A" w14:textId="77777777" w:rsidR="00C50F53" w:rsidRPr="004752FD" w:rsidRDefault="00C50F53" w:rsidP="004752FD">
      <w:pPr>
        <w:pStyle w:val="Odstavek"/>
        <w:spacing w:after="0" w:line="260" w:lineRule="atLeast"/>
        <w:ind w:left="720"/>
      </w:pPr>
    </w:p>
    <w:p w14:paraId="053AEA7A" w14:textId="77777777" w:rsidR="00C50F53" w:rsidRPr="004752FD" w:rsidRDefault="00C50F53" w:rsidP="004752FD">
      <w:pPr>
        <w:pStyle w:val="Odstavek"/>
        <w:spacing w:after="0" w:line="260" w:lineRule="atLeast"/>
      </w:pPr>
      <w:r w:rsidRPr="004752FD">
        <w:t>(2) Medsebojni strokovni pregled iz prejšnjega odstavka vključuje vsaj eno izmed naslednjega:</w:t>
      </w:r>
    </w:p>
    <w:p w14:paraId="4041ED76" w14:textId="77777777" w:rsidR="00C50F53" w:rsidRPr="004752FD" w:rsidRDefault="00C50F53" w:rsidP="004752FD">
      <w:pPr>
        <w:pStyle w:val="Odstavek"/>
        <w:spacing w:after="0" w:line="260" w:lineRule="atLeast"/>
        <w:ind w:left="567"/>
      </w:pPr>
      <w:r w:rsidRPr="004752FD">
        <w:t>1. raven izvajanja zahtev glede obvladovanja tveganj za kibernetsko varnost in obveznosti poročanja iz 21., 22., 29. in 30. člena tega zakona,</w:t>
      </w:r>
    </w:p>
    <w:p w14:paraId="3C3FA8FA" w14:textId="77777777" w:rsidR="00C50F53" w:rsidRPr="004752FD" w:rsidRDefault="00C50F53" w:rsidP="004752FD">
      <w:pPr>
        <w:pStyle w:val="Odstavek"/>
        <w:spacing w:after="0" w:line="260" w:lineRule="atLeast"/>
        <w:ind w:left="567"/>
      </w:pPr>
      <w:r w:rsidRPr="004752FD">
        <w:t>2. raven zmogljivosti, vključno z razpoložljivimi finančnimi, tehničnimi in človeškimi viri, in učinkovitost opravljanja nalog pristojnega nacionalnega organa,</w:t>
      </w:r>
    </w:p>
    <w:p w14:paraId="714241E1" w14:textId="77777777" w:rsidR="00C50F53" w:rsidRPr="004752FD" w:rsidRDefault="00C50F53" w:rsidP="004752FD">
      <w:pPr>
        <w:pStyle w:val="Odstavek"/>
        <w:spacing w:after="0" w:line="260" w:lineRule="atLeast"/>
        <w:ind w:left="567"/>
      </w:pPr>
      <w:r w:rsidRPr="004752FD">
        <w:t>3. operativne zmogljivosti skupin CSIRT,</w:t>
      </w:r>
    </w:p>
    <w:p w14:paraId="15E64462" w14:textId="77777777" w:rsidR="00C50F53" w:rsidRPr="004752FD" w:rsidRDefault="00C50F53" w:rsidP="004752FD">
      <w:pPr>
        <w:pStyle w:val="Odstavek"/>
        <w:spacing w:after="0" w:line="260" w:lineRule="atLeast"/>
        <w:ind w:left="567"/>
      </w:pPr>
      <w:r w:rsidRPr="004752FD">
        <w:t>4. raven izvajanja medsebojne pomoči iz 51. člena tega zakona,</w:t>
      </w:r>
    </w:p>
    <w:p w14:paraId="3DDA2FF4" w14:textId="77777777" w:rsidR="00C50F53" w:rsidRPr="004752FD" w:rsidRDefault="00C50F53" w:rsidP="004752FD">
      <w:pPr>
        <w:pStyle w:val="Odstavek"/>
        <w:spacing w:after="0" w:line="260" w:lineRule="atLeast"/>
        <w:ind w:left="567"/>
      </w:pPr>
      <w:r w:rsidRPr="004752FD">
        <w:t>5. raven izvajanja dogovorov o izmenjavi informacij o kibernetski varnosti iz 34. člena tega zakona in</w:t>
      </w:r>
    </w:p>
    <w:p w14:paraId="766E8100" w14:textId="77777777" w:rsidR="00C50F53" w:rsidRPr="004752FD" w:rsidRDefault="00C50F53" w:rsidP="004752FD">
      <w:pPr>
        <w:pStyle w:val="Odstavek"/>
        <w:spacing w:after="0" w:line="260" w:lineRule="atLeast"/>
        <w:ind w:left="567"/>
      </w:pPr>
      <w:r w:rsidRPr="004752FD">
        <w:t>6. posebni čezmejni ali medsektorski vidiki, ki jih opredeli pristojni nacionalni organ.</w:t>
      </w:r>
    </w:p>
    <w:p w14:paraId="0857C348" w14:textId="77777777" w:rsidR="00C50F53" w:rsidRPr="004752FD" w:rsidRDefault="00C50F53" w:rsidP="004752FD">
      <w:pPr>
        <w:pStyle w:val="Odstavek"/>
        <w:spacing w:after="0" w:line="260" w:lineRule="atLeast"/>
        <w:ind w:left="1136"/>
      </w:pPr>
    </w:p>
    <w:p w14:paraId="29EB5263" w14:textId="77777777" w:rsidR="00C50F53" w:rsidRPr="004752FD" w:rsidRDefault="00C50F53" w:rsidP="004752FD">
      <w:pPr>
        <w:pStyle w:val="Odstavek"/>
        <w:spacing w:after="0" w:line="260" w:lineRule="atLeast"/>
        <w:rPr>
          <w:strike/>
        </w:rPr>
      </w:pPr>
      <w:r w:rsidRPr="004752FD">
        <w:t xml:space="preserve">(3) Za izvajanje medsebojnih strokovnih pregledov iz prvega odstavka tega člena se uporablja metodologija Skupine za sodelovanje, pri čemer pristojni nacionalni organ to metodologijo objavi </w:t>
      </w:r>
      <w:r w:rsidRPr="004752FD">
        <w:rPr>
          <w:color w:val="000000"/>
        </w:rPr>
        <w:t>na osrednjem spletnem mestu državne uprave.</w:t>
      </w:r>
      <w:r w:rsidRPr="004752FD">
        <w:t xml:space="preserve"> </w:t>
      </w:r>
    </w:p>
    <w:p w14:paraId="43C46067" w14:textId="77777777" w:rsidR="00C50F53" w:rsidRPr="004752FD" w:rsidRDefault="00C50F53" w:rsidP="004752FD">
      <w:pPr>
        <w:pStyle w:val="Odstavek"/>
        <w:spacing w:after="0" w:line="260" w:lineRule="atLeast"/>
      </w:pPr>
    </w:p>
    <w:p w14:paraId="5FB33159" w14:textId="77777777" w:rsidR="00C50F53" w:rsidRPr="004752FD" w:rsidRDefault="00C50F53" w:rsidP="004752FD">
      <w:pPr>
        <w:pStyle w:val="Odstavek"/>
        <w:spacing w:after="0" w:line="260" w:lineRule="atLeast"/>
      </w:pPr>
      <w:r w:rsidRPr="004752FD">
        <w:t xml:space="preserve">(4) Pristojni nacionalni organ pred začetkom medsebojnega strokovnega pregleda iz prvega odstavka tega člena prek enotne kontaktne točke sodelujočim enotnim kontaktnim točkam drugih držav članic Evropske unije sporoči obseg pregleda, vključno z vidiki, opredeljenimi iz drugega odstavka tega člena. </w:t>
      </w:r>
    </w:p>
    <w:p w14:paraId="78790CAE" w14:textId="77777777" w:rsidR="00C50F53" w:rsidRPr="004752FD" w:rsidRDefault="00C50F53" w:rsidP="004752FD">
      <w:pPr>
        <w:pStyle w:val="Odstavek"/>
        <w:spacing w:after="0" w:line="260" w:lineRule="atLeast"/>
      </w:pPr>
    </w:p>
    <w:p w14:paraId="56E857E2" w14:textId="77777777" w:rsidR="00C50F53" w:rsidRPr="004752FD" w:rsidRDefault="00C50F53" w:rsidP="004752FD">
      <w:pPr>
        <w:pStyle w:val="Odstavek"/>
        <w:spacing w:after="0" w:line="260" w:lineRule="atLeast"/>
      </w:pPr>
      <w:r w:rsidRPr="004752FD">
        <w:t xml:space="preserve">(5) Pristojni nacionalni organ lahko pred začetkom medsebojnega strokovnega pregleda izvede samooceno vidikov, ki bodo pregledani ob upoštevanju metodologije za samoocenjevanje držav </w:t>
      </w:r>
      <w:r w:rsidRPr="004752FD">
        <w:lastRenderedPageBreak/>
        <w:t xml:space="preserve">članic Evropske unije, ki jo Skupina za sodelovanje določi ob pomoči Evropske komisije in agencije ENISA. Rezultate samoocene nato pošlje imenovanim strokovnjakom za kibernetsko varnost. </w:t>
      </w:r>
    </w:p>
    <w:p w14:paraId="2A806FDD" w14:textId="77777777" w:rsidR="00C50F53" w:rsidRPr="004752FD" w:rsidRDefault="00C50F53" w:rsidP="004752FD">
      <w:pPr>
        <w:pStyle w:val="Odstavek"/>
        <w:spacing w:after="0" w:line="260" w:lineRule="atLeast"/>
      </w:pPr>
    </w:p>
    <w:p w14:paraId="1C50474E" w14:textId="77777777" w:rsidR="00C50F53" w:rsidRPr="004752FD" w:rsidRDefault="00C50F53" w:rsidP="004752FD">
      <w:pPr>
        <w:pStyle w:val="Odstavek"/>
        <w:spacing w:after="0" w:line="260" w:lineRule="atLeast"/>
      </w:pPr>
      <w:r w:rsidRPr="004752FD">
        <w:t xml:space="preserve">(6) Medsebojni strokovni pregledi obsegajo fizične ali virtualne obiske na kraju samem in izmenjave na daljavo. V primerih iz prvega odstavka tega člena pristojni nacionalni organ ne glede na 4. člen tega zakona in v zaščito temeljnih državnih funkcij, kot je nacionalna varnost, ob upoštevanju načela dobrega sodelovanja imenovanim strokovnjakom za kibernetsko varnost zagotovi informacije, potrebne za njihovo oceno. </w:t>
      </w:r>
    </w:p>
    <w:p w14:paraId="4ECC42E4" w14:textId="77777777" w:rsidR="00C50F53" w:rsidRPr="004752FD" w:rsidRDefault="00C50F53" w:rsidP="004752FD">
      <w:pPr>
        <w:pStyle w:val="Odstavek"/>
        <w:spacing w:after="0" w:line="260" w:lineRule="atLeast"/>
      </w:pPr>
    </w:p>
    <w:p w14:paraId="0D2F1094" w14:textId="77777777" w:rsidR="00C50F53" w:rsidRPr="004752FD" w:rsidRDefault="00C50F53" w:rsidP="004752FD">
      <w:pPr>
        <w:pStyle w:val="Odstavek"/>
        <w:spacing w:after="0" w:line="260" w:lineRule="atLeast"/>
      </w:pPr>
      <w:r w:rsidRPr="004752FD">
        <w:t xml:space="preserve">(7) Vse informacije, pridobljene v okviru medsebojnega strokovnega pregleda, se uporabljajo izključno v ta namen. Strokovnjaki za kibernetsko varnost, ki sodelujejo pri medsebojnem strokovnem pregledu, občutljivih ali zaupnih informacij, pridobljenih med zadevnim pregledom, ne smejo razkriti tretjim osebam. Kot podlago za delovne metode strokovnjakov za kibernetsko varnost upoštevajo tudi kodekse ravnanja, ki jih je pripravila Skupina za sodelovanje in jih je pristojni nacionalni organ objavil </w:t>
      </w:r>
      <w:r w:rsidRPr="004752FD">
        <w:rPr>
          <w:color w:val="000000"/>
        </w:rPr>
        <w:t>na osrednjem spletnem mestu državne uprave.</w:t>
      </w:r>
    </w:p>
    <w:p w14:paraId="619BB8E2" w14:textId="77777777" w:rsidR="00C50F53" w:rsidRPr="004752FD" w:rsidRDefault="00C50F53" w:rsidP="004752FD">
      <w:pPr>
        <w:pStyle w:val="Odstavek"/>
        <w:spacing w:after="0" w:line="260" w:lineRule="atLeast"/>
      </w:pPr>
    </w:p>
    <w:p w14:paraId="2E109C01" w14:textId="77777777" w:rsidR="00C50F53" w:rsidRPr="004752FD" w:rsidRDefault="00C50F53" w:rsidP="004752FD">
      <w:pPr>
        <w:pStyle w:val="Odstavek"/>
        <w:spacing w:after="0" w:line="260" w:lineRule="atLeast"/>
      </w:pPr>
      <w:r w:rsidRPr="004752FD">
        <w:t xml:space="preserve">(8) Pristojni nacionalni organ z namenom sodelovanja pri izvajanju medsebojnih strokovnih pregledov v drugih državah članicah Evropske unije imenuje strokovnjake za kibernetsko varnost na podlagi meril iz metodologije iz tretjega odstavka tega člena. V zvezi z imenovanimi strokovnjaki za kibernetsko varnost državam članicam Evropske unije, skupini za sodelovanje, Evropski komisiji in agenciji ENISA pred začetkom postopka medsebojnega strokovnega pregleda razkrije vsa tveganja nasprotja interesov v zvezi s strokovnjaki za kibernetsko varnost na način iz četrtega odstavka tega člena. </w:t>
      </w:r>
    </w:p>
    <w:p w14:paraId="4E3DAD67" w14:textId="77777777" w:rsidR="00C50F53" w:rsidRPr="004752FD" w:rsidRDefault="00C50F53" w:rsidP="004752FD">
      <w:pPr>
        <w:pStyle w:val="Odstavek"/>
        <w:spacing w:after="0" w:line="260" w:lineRule="atLeast"/>
      </w:pPr>
    </w:p>
    <w:p w14:paraId="2F32167F" w14:textId="77777777" w:rsidR="00C50F53" w:rsidRPr="004752FD" w:rsidRDefault="00C50F53" w:rsidP="004752FD">
      <w:pPr>
        <w:pStyle w:val="Odstavek"/>
        <w:spacing w:after="0" w:line="260" w:lineRule="atLeast"/>
      </w:pPr>
      <w:r w:rsidRPr="004752FD">
        <w:t>(9) V primerih iz prvega odstavka tega člena pristojni nacionalni organ lahko nasprotuje imenovanju posameznih strokovnjakov za kibernetsko varnost iz druge države članice Evropske unije in jo o tem obvesti na način iz prejšnjega odstavka. Pri tem pristojni nacionalni organ sporoči razloge za nasprotovanje imenovanju posameznih strokovnjakov, razen če so razlogi povezani z nacionalno varnostjo.</w:t>
      </w:r>
    </w:p>
    <w:p w14:paraId="2F95C3F4" w14:textId="77777777" w:rsidR="00C50F53" w:rsidRPr="004752FD" w:rsidRDefault="00C50F53" w:rsidP="004752FD">
      <w:pPr>
        <w:pStyle w:val="Odstavek"/>
        <w:spacing w:after="0" w:line="260" w:lineRule="atLeast"/>
      </w:pPr>
    </w:p>
    <w:p w14:paraId="1F8B3BDD" w14:textId="77777777" w:rsidR="00C50F53" w:rsidRPr="004752FD" w:rsidRDefault="00C50F53" w:rsidP="004752FD">
      <w:pPr>
        <w:pStyle w:val="Odstavek"/>
        <w:spacing w:after="0" w:line="260" w:lineRule="atLeast"/>
      </w:pPr>
      <w:r w:rsidRPr="004752FD">
        <w:t>(10) Strokovnjaki za kibernetsko varnost, ki sodelujejo v medsebojnih strokovnih pregledih, pripravijo poročila o ugotovitvah in sklepih medsebojnih strokovnih pregledov. Poročila vsebujejo priporočila za izboljšanje vidikov, vključenih v medsebojni strokovni pregled. Poročila se predložijo Skupini za sodelovanje in po potrebi mreži skupin CSIRT.</w:t>
      </w:r>
    </w:p>
    <w:p w14:paraId="3B84470E" w14:textId="77777777" w:rsidR="00C50F53" w:rsidRPr="004752FD" w:rsidRDefault="00C50F53" w:rsidP="004752FD">
      <w:pPr>
        <w:pStyle w:val="Odstavek"/>
        <w:spacing w:after="0" w:line="260" w:lineRule="atLeast"/>
      </w:pPr>
    </w:p>
    <w:p w14:paraId="5CA6BFA6" w14:textId="77777777" w:rsidR="00C50F53" w:rsidRPr="004752FD" w:rsidRDefault="00C50F53" w:rsidP="004752FD">
      <w:pPr>
        <w:pStyle w:val="Odstavek"/>
        <w:spacing w:after="0" w:line="260" w:lineRule="atLeast"/>
      </w:pPr>
      <w:r w:rsidRPr="004752FD">
        <w:t xml:space="preserve">(11) Pristojni nacionalni organ lahko predloži pripombe na osnutek poročila, ki se nanaša na primere iz prvega odstavka tega člena. Pristojni nacionalni organ se v primerih iz prvega odstavka tega člena lahko odloči, da poročilo na </w:t>
      </w:r>
      <w:r w:rsidRPr="004752FD">
        <w:rPr>
          <w:color w:val="000000"/>
        </w:rPr>
        <w:t>osrednjem spletnem mestu državne uprave</w:t>
      </w:r>
      <w:r w:rsidRPr="004752FD">
        <w:t xml:space="preserve"> objavi v celoti ali njegovo redigirano različico</w:t>
      </w:r>
      <w:r w:rsidRPr="004752FD">
        <w:rPr>
          <w:color w:val="000000"/>
        </w:rPr>
        <w:t>.</w:t>
      </w:r>
    </w:p>
    <w:p w14:paraId="04131BC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C1E287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C024DE4" w14:textId="77777777" w:rsidR="00C50F53" w:rsidRPr="004752FD" w:rsidRDefault="00C50F53" w:rsidP="00E20E87">
      <w:pPr>
        <w:pStyle w:val="NIS2naslovpoglavja"/>
        <w:numPr>
          <w:ilvl w:val="0"/>
          <w:numId w:val="64"/>
        </w:numPr>
        <w:ind w:left="0" w:hanging="11"/>
        <w:rPr>
          <w:sz w:val="20"/>
          <w:szCs w:val="20"/>
        </w:rPr>
      </w:pPr>
      <w:bookmarkStart w:id="62" w:name="_Hlk144985510"/>
      <w:bookmarkStart w:id="63" w:name="_Hlk148371929"/>
      <w:r w:rsidRPr="004752FD">
        <w:rPr>
          <w:sz w:val="20"/>
          <w:szCs w:val="20"/>
        </w:rPr>
        <w:t xml:space="preserve"> </w:t>
      </w:r>
      <w:bookmarkStart w:id="64" w:name="_Hlk148628840"/>
      <w:r w:rsidRPr="004752FD">
        <w:rPr>
          <w:sz w:val="20"/>
          <w:szCs w:val="20"/>
        </w:rPr>
        <w:t xml:space="preserve">Ukrepi za obvladovanje tveganj in </w:t>
      </w:r>
      <w:bookmarkEnd w:id="62"/>
      <w:bookmarkEnd w:id="63"/>
      <w:r w:rsidRPr="004752FD">
        <w:rPr>
          <w:sz w:val="20"/>
          <w:szCs w:val="20"/>
        </w:rPr>
        <w:t>priglasitve incidentov</w:t>
      </w:r>
      <w:bookmarkEnd w:id="64"/>
    </w:p>
    <w:p w14:paraId="5F7311BF" w14:textId="77777777" w:rsidR="00C50F53" w:rsidRPr="004752FD" w:rsidRDefault="00C50F53" w:rsidP="004752FD">
      <w:pPr>
        <w:pStyle w:val="NIS2naslovpoglavja"/>
        <w:numPr>
          <w:ilvl w:val="0"/>
          <w:numId w:val="0"/>
        </w:numPr>
        <w:jc w:val="both"/>
        <w:rPr>
          <w:sz w:val="20"/>
          <w:szCs w:val="20"/>
        </w:rPr>
      </w:pPr>
    </w:p>
    <w:p w14:paraId="5C7CB822" w14:textId="77777777" w:rsidR="00C50F53" w:rsidRPr="004752FD" w:rsidRDefault="00C50F53" w:rsidP="004752FD">
      <w:pPr>
        <w:pStyle w:val="NIS2naslovpoglavja"/>
        <w:numPr>
          <w:ilvl w:val="0"/>
          <w:numId w:val="0"/>
        </w:numPr>
        <w:jc w:val="both"/>
        <w:rPr>
          <w:sz w:val="20"/>
          <w:szCs w:val="20"/>
        </w:rPr>
      </w:pPr>
    </w:p>
    <w:p w14:paraId="37B0D1D6" w14:textId="77777777" w:rsidR="00C50F53" w:rsidRPr="004752FD" w:rsidRDefault="00C50F53" w:rsidP="004752FD">
      <w:pPr>
        <w:pStyle w:val="NIS2len"/>
        <w:spacing w:before="0" w:line="260" w:lineRule="atLeast"/>
        <w:ind w:left="0" w:firstLine="0"/>
        <w:rPr>
          <w:sz w:val="20"/>
          <w:szCs w:val="20"/>
        </w:rPr>
      </w:pPr>
      <w:bookmarkStart w:id="65" w:name="_Hlk148346018"/>
      <w:bookmarkStart w:id="66" w:name="_Hlk149819106"/>
      <w:r w:rsidRPr="004752FD">
        <w:rPr>
          <w:sz w:val="20"/>
          <w:szCs w:val="20"/>
        </w:rPr>
        <w:t>člen</w:t>
      </w:r>
    </w:p>
    <w:p w14:paraId="156EBE49" w14:textId="77777777" w:rsidR="00C50F53" w:rsidRPr="004752FD" w:rsidRDefault="00C50F53" w:rsidP="004752FD">
      <w:pPr>
        <w:pStyle w:val="Odstavek"/>
        <w:spacing w:after="0" w:line="260" w:lineRule="atLeast"/>
        <w:jc w:val="center"/>
        <w:rPr>
          <w:b/>
          <w:bCs/>
        </w:rPr>
      </w:pPr>
      <w:r w:rsidRPr="004752FD">
        <w:rPr>
          <w:b/>
          <w:bCs/>
        </w:rPr>
        <w:t>(upravljanje)</w:t>
      </w:r>
    </w:p>
    <w:bookmarkEnd w:id="65"/>
    <w:p w14:paraId="5486AB31" w14:textId="77777777" w:rsidR="00C50F53" w:rsidRPr="004752FD" w:rsidRDefault="00C50F53" w:rsidP="004752FD">
      <w:pPr>
        <w:pStyle w:val="NIS2naslovpoglavja"/>
        <w:numPr>
          <w:ilvl w:val="0"/>
          <w:numId w:val="0"/>
        </w:numPr>
        <w:jc w:val="both"/>
        <w:rPr>
          <w:sz w:val="20"/>
          <w:szCs w:val="20"/>
        </w:rPr>
      </w:pPr>
    </w:p>
    <w:p w14:paraId="4D626B3D" w14:textId="77777777" w:rsidR="00C50F53" w:rsidRPr="004752FD" w:rsidRDefault="00C50F53" w:rsidP="004752FD">
      <w:pPr>
        <w:pStyle w:val="Odstavek"/>
        <w:spacing w:after="0" w:line="260" w:lineRule="atLeast"/>
      </w:pPr>
      <w:r w:rsidRPr="004752FD">
        <w:t>(1) Za izvajanje ukrepov iz 21. in 22. člena tega zakona so odgovorni predstojniki subjektov javne uprave, odgovorne osebe pravnih oseb ali člani poslovodnih organov (v nadaljnjem besedilu: odgovorne osebe) bistvenih ali pomembnih subjektov.</w:t>
      </w:r>
    </w:p>
    <w:p w14:paraId="53B8E757" w14:textId="77777777" w:rsidR="00C50F53" w:rsidRPr="004752FD" w:rsidRDefault="00C50F53" w:rsidP="004752FD">
      <w:pPr>
        <w:pStyle w:val="Odstavek"/>
        <w:spacing w:after="0" w:line="260" w:lineRule="atLeast"/>
      </w:pPr>
    </w:p>
    <w:p w14:paraId="778FC8D2" w14:textId="77777777" w:rsidR="00C50F53" w:rsidRPr="004752FD" w:rsidRDefault="00C50F53" w:rsidP="004752FD">
      <w:pPr>
        <w:pStyle w:val="Odstavek"/>
        <w:spacing w:after="0" w:line="260" w:lineRule="atLeast"/>
      </w:pPr>
      <w:r w:rsidRPr="004752FD">
        <w:lastRenderedPageBreak/>
        <w:t>(2) Odgovorne osebe iz prejšnjega odstavka odobrijo ukrepe za obvladovanje tveganj iz 22. člena tega zakona, ki jih subjekt izvaja zaradi izpolnjevanja obveznosti, določenih s tem zakonom, in nadzirajo njihovo izvajanje.</w:t>
      </w:r>
    </w:p>
    <w:p w14:paraId="621826C9" w14:textId="77777777" w:rsidR="00C50F53" w:rsidRPr="004752FD" w:rsidRDefault="00C50F53" w:rsidP="004752FD">
      <w:pPr>
        <w:pStyle w:val="Odstavek"/>
        <w:spacing w:after="0" w:line="260" w:lineRule="atLeast"/>
      </w:pPr>
    </w:p>
    <w:p w14:paraId="5394C8A8" w14:textId="77777777" w:rsidR="00C50F53" w:rsidRPr="004752FD" w:rsidRDefault="00C50F53" w:rsidP="004752FD">
      <w:pPr>
        <w:pStyle w:val="Odstavek"/>
        <w:spacing w:after="0" w:line="260" w:lineRule="atLeast"/>
      </w:pPr>
      <w:r w:rsidRPr="004752FD">
        <w:t xml:space="preserve">(3) Odgovorne osebe iz prvega odstavka tega člena se najmanj vsake štiri leta izobražujejo oziroma usposabljajo na področju obvladovanja tveganj informacijske in kibernetske varnosti ter njihovega vpliva na dejavnosti ali storitve, ki jih izvaja subjekt. </w:t>
      </w:r>
    </w:p>
    <w:p w14:paraId="0DE2B47E" w14:textId="77777777" w:rsidR="00C50F53" w:rsidRPr="004752FD" w:rsidRDefault="00C50F53" w:rsidP="004752FD">
      <w:pPr>
        <w:pStyle w:val="Odstavek"/>
        <w:spacing w:after="0" w:line="260" w:lineRule="atLeast"/>
      </w:pPr>
    </w:p>
    <w:p w14:paraId="4D3308FC" w14:textId="77777777" w:rsidR="00C50F53" w:rsidRPr="004752FD" w:rsidRDefault="00C50F53" w:rsidP="004752FD">
      <w:pPr>
        <w:pStyle w:val="Odstavek"/>
        <w:spacing w:after="0" w:line="260" w:lineRule="atLeast"/>
      </w:pPr>
      <w:r w:rsidRPr="004752FD">
        <w:t xml:space="preserve">(4) Odgovorne osebe zagotavljajo redno usposabljanje zaposlenim, da pridobijo dovolj znanj in spretnosti, s katerimi se usposobijo za prepoznavanje tveganj za informacijsko in kibernetsko varnost ter njihovega vpliva na storitve, ki jih opravlja subjekt. Pristojni nacionalni organ </w:t>
      </w:r>
      <w:r w:rsidRPr="004752FD">
        <w:rPr>
          <w:color w:val="000000"/>
        </w:rPr>
        <w:t xml:space="preserve">objavi na osrednjem spletnem mestu državne uprave </w:t>
      </w:r>
      <w:r w:rsidRPr="004752FD">
        <w:t>priporočene vsebine rednega usposabljanja zaposlenih.</w:t>
      </w:r>
    </w:p>
    <w:p w14:paraId="39EC82C4" w14:textId="77777777" w:rsidR="00C50F53" w:rsidRPr="004752FD" w:rsidRDefault="00C50F53" w:rsidP="004752FD">
      <w:pPr>
        <w:pStyle w:val="Odstavek"/>
        <w:spacing w:after="0" w:line="260" w:lineRule="atLeast"/>
      </w:pPr>
    </w:p>
    <w:p w14:paraId="41615D2A" w14:textId="77777777" w:rsidR="00C50F53" w:rsidRPr="004752FD" w:rsidRDefault="00C50F53" w:rsidP="004752FD">
      <w:pPr>
        <w:pStyle w:val="Odstavek"/>
        <w:spacing w:after="0" w:line="260" w:lineRule="atLeast"/>
      </w:pPr>
      <w:r w:rsidRPr="004752FD">
        <w:t>(5) Ne glede na prejšnji odstavek odgovorne osebe zagotavljajo, da vsi skrbniki informacijsko-komunikacijskih sistemov zavezanca opravijo redno letno usposabljanje, da pridobijo in ohranijo raven znanj in spretnosti ter so usposobljeni za prepoznavanje in ocenjevanje tveganj ter za oceno praks obvladovanja tveganj za informacijsko in kibernetsko varnost ter njihovega vpliva na storitve, ki jih opravlja subjekt.</w:t>
      </w:r>
    </w:p>
    <w:p w14:paraId="4F3FE46E" w14:textId="77777777" w:rsidR="00C50F53" w:rsidRPr="004752FD" w:rsidRDefault="00C50F53" w:rsidP="004752FD">
      <w:pPr>
        <w:pStyle w:val="Odstavek"/>
        <w:spacing w:after="0" w:line="260" w:lineRule="atLeast"/>
      </w:pPr>
    </w:p>
    <w:p w14:paraId="612B376F" w14:textId="77777777" w:rsidR="00C50F53" w:rsidRPr="004752FD" w:rsidRDefault="00C50F53" w:rsidP="004752FD">
      <w:pPr>
        <w:pStyle w:val="Odstavek"/>
        <w:spacing w:after="0" w:line="260" w:lineRule="atLeast"/>
      </w:pPr>
      <w:r w:rsidRPr="004752FD">
        <w:t xml:space="preserve">(6) Pristojni </w:t>
      </w:r>
      <w:bookmarkEnd w:id="66"/>
      <w:r w:rsidRPr="004752FD">
        <w:t>nacionalni organ je pristojen za organiziranje usposabljanja odgovornih oseb iz prvega odstavka tega člena. Program in način izvajanja usposabljanja odgovornih oseb na področju informacijske in kibernetske varnosti določi vlada na predlog pristojnega nacionalnega organa.</w:t>
      </w:r>
    </w:p>
    <w:p w14:paraId="51FA979B" w14:textId="77777777" w:rsidR="00C50F53" w:rsidRPr="004752FD" w:rsidRDefault="00C50F53" w:rsidP="004752FD">
      <w:pPr>
        <w:pStyle w:val="Odstavek"/>
        <w:spacing w:after="0" w:line="260" w:lineRule="atLeast"/>
      </w:pPr>
    </w:p>
    <w:p w14:paraId="1596FFEF" w14:textId="77777777" w:rsidR="00C50F53" w:rsidRPr="004752FD" w:rsidRDefault="00C50F53" w:rsidP="004752FD">
      <w:pPr>
        <w:pStyle w:val="Odstavek"/>
        <w:spacing w:after="0" w:line="260" w:lineRule="atLeast"/>
      </w:pPr>
      <w:r w:rsidRPr="004752FD">
        <w:t>(7) Pristojni nacionalni organ vodi seznam odgovornih oseb iz prvega odstavka tega člena, ki so opravile usposabljanje iz prejšnjega odstavka. Seznam obsega ime in priimek osebe, enotno matično številko občana in datum opravljenega usposabljanja.</w:t>
      </w:r>
    </w:p>
    <w:p w14:paraId="5CE53982" w14:textId="77777777" w:rsidR="00C50F53" w:rsidRPr="004752FD" w:rsidRDefault="00C50F53" w:rsidP="004752FD">
      <w:pPr>
        <w:pStyle w:val="Odstavek"/>
        <w:spacing w:after="0" w:line="260" w:lineRule="atLeast"/>
      </w:pPr>
    </w:p>
    <w:p w14:paraId="60DC0737" w14:textId="77777777" w:rsidR="00C50F53" w:rsidRPr="004752FD" w:rsidRDefault="00C50F53" w:rsidP="004752FD">
      <w:pPr>
        <w:pStyle w:val="Odstavek"/>
        <w:spacing w:after="0" w:line="260" w:lineRule="atLeast"/>
      </w:pPr>
    </w:p>
    <w:p w14:paraId="740DC4C2" w14:textId="77777777" w:rsidR="00C50F53" w:rsidRPr="004752FD" w:rsidRDefault="00C50F53" w:rsidP="004752FD">
      <w:pPr>
        <w:pStyle w:val="NIS2len"/>
        <w:spacing w:before="0" w:line="260" w:lineRule="atLeast"/>
        <w:ind w:left="0" w:firstLine="0"/>
        <w:rPr>
          <w:sz w:val="20"/>
          <w:szCs w:val="20"/>
        </w:rPr>
      </w:pPr>
      <w:bookmarkStart w:id="67" w:name="_Hlk179913264"/>
      <w:bookmarkStart w:id="68" w:name="_Hlk134011948"/>
      <w:r w:rsidRPr="004752FD">
        <w:rPr>
          <w:sz w:val="20"/>
          <w:szCs w:val="20"/>
        </w:rPr>
        <w:t>člen</w:t>
      </w:r>
    </w:p>
    <w:p w14:paraId="4F424960" w14:textId="77777777" w:rsidR="00C50F53" w:rsidRPr="004752FD" w:rsidRDefault="00C50F53" w:rsidP="004752FD">
      <w:pPr>
        <w:pStyle w:val="Odstavek"/>
        <w:spacing w:after="0" w:line="260" w:lineRule="atLeast"/>
        <w:jc w:val="center"/>
        <w:rPr>
          <w:b/>
          <w:bCs/>
        </w:rPr>
      </w:pPr>
      <w:r w:rsidRPr="004752FD">
        <w:rPr>
          <w:b/>
          <w:bCs/>
        </w:rPr>
        <w:t>(varnostna dokumentacija)</w:t>
      </w:r>
    </w:p>
    <w:bookmarkEnd w:id="67"/>
    <w:p w14:paraId="3D05CE4D" w14:textId="77777777" w:rsidR="00C50F53" w:rsidRPr="004752FD" w:rsidRDefault="00C50F53" w:rsidP="004752FD">
      <w:pPr>
        <w:pStyle w:val="Odstavek"/>
        <w:spacing w:after="0" w:line="260" w:lineRule="atLeast"/>
        <w:rPr>
          <w:b/>
          <w:bCs/>
        </w:rPr>
      </w:pPr>
    </w:p>
    <w:p w14:paraId="22C8456D" w14:textId="77777777" w:rsidR="00C50F53" w:rsidRPr="004752FD" w:rsidRDefault="00C50F53" w:rsidP="004752FD">
      <w:pPr>
        <w:pStyle w:val="Odstavek"/>
        <w:spacing w:after="0" w:line="260" w:lineRule="atLeast"/>
      </w:pPr>
      <w:r w:rsidRPr="004752FD">
        <w:t>(1) Bistveni in pomembni subjekti za z</w:t>
      </w:r>
      <w:bookmarkStart w:id="69" w:name="_Hlk162725490"/>
      <w:r w:rsidRPr="004752FD">
        <w:t>agotavljanje visoke ravni informacijske in kibernetske varnosti ter odpornosti svojih omrežnih in informacijskih sistemov vzpostavijo in vzdržujejo dokumentirani sistem upravljanja varovanja informacij in sistem upravljanja neprekinjenega poslovanja, ki temeljita na pristopu upoštevanja vseh nevarnosti</w:t>
      </w:r>
      <w:bookmarkEnd w:id="69"/>
      <w:r w:rsidRPr="004752FD">
        <w:t xml:space="preserve"> in morata obsegati najmanj:</w:t>
      </w:r>
    </w:p>
    <w:p w14:paraId="781C3E30" w14:textId="77777777" w:rsidR="00C50F53" w:rsidRPr="004752FD" w:rsidRDefault="00C50F53" w:rsidP="004752FD">
      <w:pPr>
        <w:pStyle w:val="Odstavek"/>
        <w:spacing w:after="0" w:line="260" w:lineRule="atLeast"/>
        <w:ind w:left="567"/>
      </w:pPr>
      <w:r w:rsidRPr="004752FD">
        <w:t>1. politiko ali področne politike o varnosti omrežnih in informacijskih sistemov,</w:t>
      </w:r>
    </w:p>
    <w:p w14:paraId="6E8A9E3D" w14:textId="77777777" w:rsidR="00C50F53" w:rsidRPr="004752FD" w:rsidRDefault="00C50F53" w:rsidP="004752FD">
      <w:pPr>
        <w:pStyle w:val="Odstavek"/>
        <w:spacing w:after="0" w:line="260" w:lineRule="atLeast"/>
        <w:ind w:left="567"/>
      </w:pPr>
      <w:r w:rsidRPr="004752FD">
        <w:t>2. natančen in posodobljen popis informacijskih in drugih sredstev in podatkov, potrebnih za nemoteno delovanje omrežnih in informacijskih sistemov, ki jih uporabljajo za svoje delovanje ali opravljanje storitev, ter njihove upravljavce;</w:t>
      </w:r>
    </w:p>
    <w:p w14:paraId="56E56C17" w14:textId="77777777" w:rsidR="00C50F53" w:rsidRPr="004752FD" w:rsidRDefault="00C50F53" w:rsidP="004752FD">
      <w:pPr>
        <w:pStyle w:val="Odstavek"/>
        <w:spacing w:after="0" w:line="260" w:lineRule="atLeast"/>
        <w:ind w:left="567"/>
      </w:pPr>
      <w:r w:rsidRPr="004752FD">
        <w:t>3. analizo obvladovanja tveganj, vključno z določitvijo sprejemljive ravni tveganja in opisom uporabljene metodologije;</w:t>
      </w:r>
    </w:p>
    <w:p w14:paraId="3A7097C8" w14:textId="77777777" w:rsidR="00C50F53" w:rsidRPr="004752FD" w:rsidRDefault="00C50F53" w:rsidP="004752FD">
      <w:pPr>
        <w:pStyle w:val="Odstavek"/>
        <w:spacing w:after="0" w:line="260" w:lineRule="atLeast"/>
        <w:ind w:left="567"/>
      </w:pPr>
      <w:r w:rsidRPr="004752FD">
        <w:t>4. politiko in načrt neprekinjenega poslovanja, vključno z oceno vpliva na poslovanje, navedbo postopkov zagotavljanja neprekinjenega poslovanja, določitvijo minimalne ravni poslovanja, upravljanjem varnostnih kopij ter določitvijo vlog in odgovornosti;</w:t>
      </w:r>
    </w:p>
    <w:p w14:paraId="0C7B9CF1" w14:textId="77777777" w:rsidR="00C50F53" w:rsidRPr="004752FD" w:rsidRDefault="00C50F53" w:rsidP="004752FD">
      <w:pPr>
        <w:pStyle w:val="Odstavek"/>
        <w:spacing w:after="0" w:line="260" w:lineRule="atLeast"/>
        <w:ind w:left="567"/>
      </w:pPr>
      <w:r w:rsidRPr="004752FD">
        <w:t>5. načrt obnovitve in ponovne vzpostavitve delovanja omrežnih in informacijskih sistemov, ki jih potrebujejo za svoje delovanje ali opravljanje storitev, vključno z opisom odgovornosti in postopkov za obnovitev delovanja teh sistemov po dogodku, ki povzroči prekinitev njihovega delovanja;</w:t>
      </w:r>
    </w:p>
    <w:p w14:paraId="7D406F63" w14:textId="77777777" w:rsidR="00C50F53" w:rsidRPr="004752FD" w:rsidRDefault="00C50F53" w:rsidP="004752FD">
      <w:pPr>
        <w:pStyle w:val="Odstavek"/>
        <w:spacing w:after="0" w:line="260" w:lineRule="atLeast"/>
        <w:ind w:left="567"/>
      </w:pPr>
      <w:r w:rsidRPr="004752FD">
        <w:t>6. načrt odzivanja na incidente s protokolom obveščanja pristojne skupine CSIRT, vključno z opisom sistema za zaznavo in odziv na incidente ter opisom vlog in odgovornosti za odzivanje na incidente;</w:t>
      </w:r>
    </w:p>
    <w:p w14:paraId="2BFE1EC1" w14:textId="77777777" w:rsidR="00C50F53" w:rsidRPr="004752FD" w:rsidRDefault="00C50F53" w:rsidP="004752FD">
      <w:pPr>
        <w:pStyle w:val="Odstavek"/>
        <w:spacing w:after="0" w:line="260" w:lineRule="atLeast"/>
        <w:ind w:left="567"/>
      </w:pPr>
      <w:r w:rsidRPr="004752FD">
        <w:lastRenderedPageBreak/>
        <w:t>7. načrt varnostnih ukrepov za zagotavljanje celovitosti, avtentičnosti, zaupnosti in razpoložljivosti omrežnih in informacijskih sistemov oziroma za obvladovanje tveganj za informacijsko in kibernetsko varnost, pri čemer ta načrt upošteva tveganja in področne posebnosti bistvenega ali pomembnega subjekta in</w:t>
      </w:r>
    </w:p>
    <w:p w14:paraId="4EEE9A45" w14:textId="77777777" w:rsidR="00C50F53" w:rsidRPr="004752FD" w:rsidRDefault="00C50F53" w:rsidP="004752FD">
      <w:pPr>
        <w:pStyle w:val="Odstavek"/>
        <w:spacing w:after="0" w:line="260" w:lineRule="atLeast"/>
        <w:ind w:left="567"/>
      </w:pPr>
      <w:r w:rsidRPr="004752FD">
        <w:t>8. politiko s postopki za presojo učinkovitosti varnostnih ukrepov za obvladovanje tveganj za informacijsko in kibernetsko varnost, vključno z določitvijo kazalnikov učinkovitosti in izvedeno analizo zbranih podatkov.</w:t>
      </w:r>
    </w:p>
    <w:p w14:paraId="32A11FD6" w14:textId="77777777" w:rsidR="00C50F53" w:rsidRPr="004752FD" w:rsidRDefault="00C50F53" w:rsidP="004752FD">
      <w:pPr>
        <w:pStyle w:val="Odstavek"/>
        <w:spacing w:after="0" w:line="260" w:lineRule="atLeast"/>
      </w:pPr>
    </w:p>
    <w:p w14:paraId="6A4F1541" w14:textId="77777777" w:rsidR="00C50F53" w:rsidRPr="004752FD" w:rsidRDefault="00C50F53" w:rsidP="004752FD">
      <w:pPr>
        <w:pStyle w:val="Odstavek"/>
        <w:spacing w:after="0" w:line="260" w:lineRule="atLeast"/>
      </w:pPr>
      <w:r w:rsidRPr="004752FD">
        <w:t>(2) Bistveni in pomembni subjekti določijo obseg sistema upravljanja in varovanja informacij ter neprekinjenega poslovanja ob upoštevanju rezultatov analize vpliva na poslovanje, pri čemer mora ta sistem obsegati najmanj tista informacijska, komunikacijska in druga sredstva, podatke in procese, ki so potrebni za njihovo delovanje ali opravljanje storitev.</w:t>
      </w:r>
    </w:p>
    <w:p w14:paraId="76EF4783" w14:textId="77777777" w:rsidR="00C50F53" w:rsidRPr="004752FD" w:rsidRDefault="00C50F53" w:rsidP="004752FD">
      <w:pPr>
        <w:pStyle w:val="Odstavek"/>
        <w:spacing w:after="0" w:line="260" w:lineRule="atLeast"/>
      </w:pPr>
    </w:p>
    <w:p w14:paraId="549751D1" w14:textId="77777777" w:rsidR="00C50F53" w:rsidRPr="004752FD" w:rsidRDefault="00C50F53" w:rsidP="004752FD">
      <w:pPr>
        <w:pStyle w:val="Odstavek"/>
        <w:spacing w:after="0" w:line="260" w:lineRule="atLeast"/>
      </w:pPr>
      <w:r w:rsidRPr="004752FD">
        <w:t>(3) Če ima bistveni ali pomembni subjekt za zagotavljanje varnosti svojih omrežij in informacijskih sistemov že izdelano varnostno dokumentacijo na podlagi drugih predpisov, jo za potrebe izvajanja tega zakona dopolni, kot je to potrebno.</w:t>
      </w:r>
    </w:p>
    <w:p w14:paraId="4C2AA80D" w14:textId="77777777" w:rsidR="00C50F53" w:rsidRPr="004752FD" w:rsidRDefault="00C50F53" w:rsidP="004752FD">
      <w:pPr>
        <w:pStyle w:val="Odstavek"/>
        <w:spacing w:after="0" w:line="260" w:lineRule="atLeast"/>
      </w:pPr>
    </w:p>
    <w:p w14:paraId="1B7DCE7F" w14:textId="77777777" w:rsidR="00C50F53" w:rsidRPr="004752FD" w:rsidRDefault="00C50F53" w:rsidP="004752FD">
      <w:pPr>
        <w:pStyle w:val="Odstavek"/>
        <w:spacing w:after="0" w:line="260" w:lineRule="atLeast"/>
      </w:pPr>
      <w:r w:rsidRPr="004752FD">
        <w:t>(4) Bistveni subjekt, ki je povezani subjekt po tem zakonu in zanj ministrstvo, pristojno za upravljanje informacijsko-komunikacijskih sistemov, na podlagi prvega odstavka v povezavi z drugim odstavkom 74.a člena Zakona o državni upravi (Uradni list RS, št. 113/05 – uradno prečiščeno besedilo, 89/07 – odl. US, 126/07 – ZUP-E, 48/09, 8/10 – ZUP-G, 8/12 – ZVRS-F, 21/12, 47/13, 12/14, 90/14, 51/16, 36/21, 82/21, 189/21, 153/22 in 18/23; v nadaljnjem besedilu: ZDU-1) izvaja naloge iz prvega odstavka 74.a člena ZDU-1, izvede popis informacijskih sredstev iz 1. točke prvega odstavka tega člena in vanj vključi najmanj tista informacijska sredstva, ki podpirajo njegove glavne ali pomembne storitve in procese za zagotovitev povezave s centralnim državnim informacijsko-komunikacijskim omrežjem ali sistemom. Bistveni subjekt izvede popis v sodelovanju z ministrstvom, pristojnim za upravljanje informacijsko-komunikacijskih sistemov, ki mu mora na zahtevo poslati ustrezne podatke, s katerimi razpolaga, in sicer v tridesetih dneh od prejema posamičnega zahtevka.</w:t>
      </w:r>
    </w:p>
    <w:p w14:paraId="44679476" w14:textId="77777777" w:rsidR="00C50F53" w:rsidRPr="004752FD" w:rsidRDefault="00C50F53" w:rsidP="004752FD">
      <w:pPr>
        <w:pStyle w:val="Odstavek"/>
        <w:spacing w:after="0"/>
      </w:pPr>
    </w:p>
    <w:p w14:paraId="54B740CB" w14:textId="77777777" w:rsidR="00C50F53" w:rsidRPr="004752FD" w:rsidRDefault="00C50F53" w:rsidP="004752FD">
      <w:pPr>
        <w:pStyle w:val="Odstavek"/>
        <w:spacing w:after="0"/>
        <w:rPr>
          <w:strike/>
        </w:rPr>
      </w:pPr>
      <w:r w:rsidRPr="004752FD">
        <w:t xml:space="preserve">(5) Vlada lahko podrobneje določi način izvajanja obveznosti iz tega člena. </w:t>
      </w:r>
    </w:p>
    <w:bookmarkEnd w:id="68"/>
    <w:p w14:paraId="153D81FE" w14:textId="77777777" w:rsidR="00C50F53" w:rsidRPr="004752FD" w:rsidRDefault="00C50F53" w:rsidP="004752FD">
      <w:pPr>
        <w:pStyle w:val="Odstavek"/>
        <w:spacing w:after="0" w:line="260" w:lineRule="atLeast"/>
      </w:pPr>
    </w:p>
    <w:p w14:paraId="73B0A35E" w14:textId="77777777" w:rsidR="00C50F53" w:rsidRPr="004752FD" w:rsidRDefault="00C50F53" w:rsidP="004752FD">
      <w:pPr>
        <w:pStyle w:val="Odstavek"/>
        <w:spacing w:after="0"/>
      </w:pPr>
      <w:r w:rsidRPr="004752FD">
        <w:t>(6) Ne glede na določbe tega člena bistveni in pomembni subjekti, na katere se nanašajo izvedbeni akti Evropske komisije iz prvega pododstavka petega odstavka 21. člena Direktive 2022/2555/EU ali iz drugega pododstavka petega odstavka 21. člena Direktive 2022/2555/EU, uporabljajo določbe izvedbenega akta glede varnostne dokumentacije zadevnih subjektov.</w:t>
      </w:r>
    </w:p>
    <w:p w14:paraId="5A7852E5" w14:textId="77777777" w:rsidR="00C50F53" w:rsidRPr="004752FD" w:rsidRDefault="00C50F53" w:rsidP="004752FD">
      <w:pPr>
        <w:pStyle w:val="Odstavek"/>
        <w:spacing w:after="0" w:line="260" w:lineRule="atLeast"/>
      </w:pPr>
    </w:p>
    <w:p w14:paraId="5510FDDF" w14:textId="77777777" w:rsidR="00C50F53" w:rsidRPr="004752FD" w:rsidRDefault="00C50F53" w:rsidP="004752FD">
      <w:pPr>
        <w:pStyle w:val="Odstavek"/>
        <w:spacing w:after="0" w:line="260" w:lineRule="atLeast"/>
      </w:pPr>
    </w:p>
    <w:p w14:paraId="07E83652" w14:textId="77777777" w:rsidR="00C50F53" w:rsidRPr="004752FD" w:rsidRDefault="00C50F53" w:rsidP="004752FD">
      <w:pPr>
        <w:pStyle w:val="NIS2len"/>
        <w:spacing w:before="0" w:line="260" w:lineRule="atLeast"/>
        <w:ind w:left="0" w:firstLine="0"/>
        <w:rPr>
          <w:sz w:val="20"/>
          <w:szCs w:val="20"/>
        </w:rPr>
      </w:pPr>
      <w:bookmarkStart w:id="70" w:name="_Hlk179913300"/>
      <w:r w:rsidRPr="004752FD">
        <w:rPr>
          <w:sz w:val="20"/>
          <w:szCs w:val="20"/>
        </w:rPr>
        <w:t>člen</w:t>
      </w:r>
    </w:p>
    <w:p w14:paraId="7278A740"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w:t>
      </w:r>
      <w:bookmarkStart w:id="71" w:name="_Hlk162725542"/>
      <w:r w:rsidRPr="004752FD">
        <w:rPr>
          <w:sz w:val="20"/>
          <w:szCs w:val="20"/>
        </w:rPr>
        <w:t>ukrepi za obvladovanje tveganj</w:t>
      </w:r>
      <w:bookmarkEnd w:id="71"/>
      <w:r w:rsidRPr="004752FD">
        <w:rPr>
          <w:sz w:val="20"/>
          <w:szCs w:val="20"/>
        </w:rPr>
        <w:t>)</w:t>
      </w:r>
    </w:p>
    <w:bookmarkEnd w:id="70"/>
    <w:p w14:paraId="19B53CAF" w14:textId="77777777" w:rsidR="00C50F53" w:rsidRPr="004752FD" w:rsidRDefault="00C50F53" w:rsidP="004752FD">
      <w:pPr>
        <w:pStyle w:val="NIS2len"/>
        <w:numPr>
          <w:ilvl w:val="0"/>
          <w:numId w:val="0"/>
        </w:numPr>
        <w:spacing w:before="0" w:line="260" w:lineRule="atLeast"/>
        <w:jc w:val="left"/>
        <w:rPr>
          <w:sz w:val="20"/>
          <w:szCs w:val="20"/>
        </w:rPr>
      </w:pPr>
    </w:p>
    <w:p w14:paraId="58E5D7EB" w14:textId="77777777" w:rsidR="00C50F53" w:rsidRPr="004752FD" w:rsidRDefault="00C50F53" w:rsidP="004752FD">
      <w:pPr>
        <w:pStyle w:val="Odstavek"/>
        <w:spacing w:after="0" w:line="260" w:lineRule="atLeast"/>
      </w:pPr>
      <w:r w:rsidRPr="004752FD">
        <w:t>(1) Bistveni in pomembni subjekti morajo sprejeti ustrezne, učinkovite in sorazmerne tehnične, operativne in organizacijske ukrepe za zagotavljanje celovitosti, avtentičnosti, zaupnosti in razpoložljivosti omrežnih in informacijskih sistemov oziroma za obvladovanje tveganj za varnost omrežnih in informacijskih sistemov, ki jih uporabljajo za svoje delovanje ali opravljanje storitev ter za preprečevanje ali zmanjšanje vpliva incidentov na prejemnike svojih storitev in druge storitve (v nadaljnjem besedilu: varnostni ukrepi).</w:t>
      </w:r>
    </w:p>
    <w:p w14:paraId="0499441E" w14:textId="77777777" w:rsidR="00C50F53" w:rsidRPr="004752FD" w:rsidRDefault="00C50F53" w:rsidP="004752FD">
      <w:pPr>
        <w:pStyle w:val="Odstavek"/>
        <w:spacing w:after="0" w:line="260" w:lineRule="atLeast"/>
      </w:pPr>
    </w:p>
    <w:p w14:paraId="06D6DC0A" w14:textId="77777777" w:rsidR="00C50F53" w:rsidRPr="004752FD" w:rsidRDefault="00C50F53" w:rsidP="004752FD">
      <w:pPr>
        <w:pStyle w:val="Odstavek"/>
        <w:spacing w:after="0" w:line="260" w:lineRule="atLeast"/>
      </w:pPr>
      <w:r w:rsidRPr="004752FD">
        <w:t>(2) Varnostni ukrepi morajo temeljiti na pristopu upoštevanja vseh nevarnosti, katerega namen je zaščita omrežnih in informacijskih sistemov ter njihovega fizičnega okolja pred incidenti, in morajo obsegati najmanj:</w:t>
      </w:r>
    </w:p>
    <w:p w14:paraId="7BC41464" w14:textId="77777777" w:rsidR="00C50F53" w:rsidRPr="004752FD" w:rsidRDefault="00C50F53" w:rsidP="004752FD">
      <w:pPr>
        <w:pStyle w:val="Odstavek"/>
        <w:spacing w:after="0" w:line="260" w:lineRule="atLeast"/>
        <w:ind w:left="567"/>
      </w:pPr>
      <w:r w:rsidRPr="004752FD">
        <w:lastRenderedPageBreak/>
        <w:t>1. podporo vodstva subjekta pri zagotavljanju informacijske in kibernetske varnosti ter vključitev področja informacijske in kibernetske varnosti v letni načrt poslovanja ali letni program dela,</w:t>
      </w:r>
    </w:p>
    <w:p w14:paraId="2C4F3957" w14:textId="77777777" w:rsidR="00C50F53" w:rsidRPr="004752FD" w:rsidRDefault="00C50F53" w:rsidP="004752FD">
      <w:pPr>
        <w:pStyle w:val="Odstavek"/>
        <w:spacing w:after="0" w:line="260" w:lineRule="atLeast"/>
        <w:ind w:left="567"/>
      </w:pPr>
      <w:r w:rsidRPr="004752FD">
        <w:t>2. zagotavljanje integritete kadrov v povezavi z informacijsko in kibernetsko varnostjo pred zaposlitvijo, med zaposlitvijo in ob prenehanju ali spremembi zaposlitve v skladu s 23. členom tega zakona,</w:t>
      </w:r>
    </w:p>
    <w:p w14:paraId="76577F91" w14:textId="77777777" w:rsidR="00C50F53" w:rsidRPr="004752FD" w:rsidRDefault="00C50F53" w:rsidP="004752FD">
      <w:pPr>
        <w:pStyle w:val="Odstavek"/>
        <w:spacing w:after="0" w:line="260" w:lineRule="atLeast"/>
        <w:ind w:left="567"/>
      </w:pPr>
      <w:r w:rsidRPr="004752FD">
        <w:t>3. osnovne prakse kibernetske higiene in usposabljanje na področju informacijske in kibernetske varnosti,</w:t>
      </w:r>
    </w:p>
    <w:p w14:paraId="15C5CA06" w14:textId="77777777" w:rsidR="00C50F53" w:rsidRPr="004752FD" w:rsidRDefault="00C50F53" w:rsidP="004752FD">
      <w:pPr>
        <w:pStyle w:val="Odstavek"/>
        <w:spacing w:after="0" w:line="260" w:lineRule="atLeast"/>
        <w:ind w:left="567"/>
      </w:pPr>
      <w:r w:rsidRPr="004752FD">
        <w:t>4. varnost človeških virov, preverjanje identitete uporabnikov, zagotavljanje ravni dostopnosti informacij in upravljanje pooblastil za dostop,</w:t>
      </w:r>
    </w:p>
    <w:p w14:paraId="5FE414D4" w14:textId="77777777" w:rsidR="00C50F53" w:rsidRPr="004752FD" w:rsidRDefault="00C50F53" w:rsidP="004752FD">
      <w:pPr>
        <w:pStyle w:val="Odstavek"/>
        <w:spacing w:after="0" w:line="260" w:lineRule="atLeast"/>
        <w:ind w:left="567"/>
      </w:pPr>
      <w:r w:rsidRPr="004752FD">
        <w:t>5. izvajanje in upravljanje varnostnih kopij podatkov,</w:t>
      </w:r>
    </w:p>
    <w:p w14:paraId="4C000240" w14:textId="77777777" w:rsidR="00C50F53" w:rsidRPr="004752FD" w:rsidRDefault="00C50F53" w:rsidP="004752FD">
      <w:pPr>
        <w:pStyle w:val="Odstavek"/>
        <w:spacing w:after="0" w:line="260" w:lineRule="atLeast"/>
        <w:ind w:left="567"/>
      </w:pPr>
      <w:bookmarkStart w:id="72" w:name="_Hlk166577862"/>
      <w:r w:rsidRPr="004752FD">
        <w:t>6. zagotavljanje in ohranjanje dnevniških zapisov o delovanju omrežnih in informacijskih sistemov v skladu s 24. členom tega zakona,</w:t>
      </w:r>
    </w:p>
    <w:bookmarkEnd w:id="72"/>
    <w:p w14:paraId="3763270B" w14:textId="77777777" w:rsidR="00C50F53" w:rsidRPr="004752FD" w:rsidRDefault="00C50F53" w:rsidP="004752FD">
      <w:pPr>
        <w:pStyle w:val="Odstavek"/>
        <w:spacing w:after="0" w:line="260" w:lineRule="atLeast"/>
        <w:ind w:left="567"/>
      </w:pPr>
      <w:r w:rsidRPr="004752FD">
        <w:t>7. upravljanje omrežnih in informacijskih sistemov, ki jih uporabljajo za svoje delovanje ali opravljanje storitev, z določitvijo ustrezne odgovornosti za njihovo zaščito,</w:t>
      </w:r>
    </w:p>
    <w:p w14:paraId="71DDAA02" w14:textId="77777777" w:rsidR="00C50F53" w:rsidRPr="004752FD" w:rsidRDefault="00C50F53" w:rsidP="004752FD">
      <w:pPr>
        <w:pStyle w:val="Odstavek"/>
        <w:spacing w:after="0" w:line="260" w:lineRule="atLeast"/>
        <w:ind w:left="567"/>
      </w:pPr>
      <w:r w:rsidRPr="004752FD">
        <w:t>8. politike in postopke v zvezi z uporabo kriptografije in po potrebi s šifriranjem,</w:t>
      </w:r>
    </w:p>
    <w:p w14:paraId="5FD006D6" w14:textId="77777777" w:rsidR="00C50F53" w:rsidRPr="004752FD" w:rsidRDefault="00C50F53" w:rsidP="004752FD">
      <w:pPr>
        <w:pStyle w:val="Odstavek"/>
        <w:spacing w:after="0" w:line="260" w:lineRule="atLeast"/>
        <w:ind w:left="567"/>
      </w:pPr>
      <w:r w:rsidRPr="004752FD">
        <w:t>9. upravljanje prometa in komunikacij,</w:t>
      </w:r>
    </w:p>
    <w:p w14:paraId="4AA3202D" w14:textId="77777777" w:rsidR="00C50F53" w:rsidRPr="004752FD" w:rsidRDefault="00C50F53" w:rsidP="004752FD">
      <w:pPr>
        <w:pStyle w:val="Odstavek"/>
        <w:spacing w:after="0" w:line="260" w:lineRule="atLeast"/>
        <w:ind w:left="567"/>
      </w:pPr>
      <w:bookmarkStart w:id="73" w:name="_Hlk166581531"/>
      <w:r w:rsidRPr="004752FD">
        <w:t>10. varnost dobavne verige z določitvijo ustreznih minimalnih zahtev, povezanih z informacijsko in kibernetsko varnostjo, za ključne dobavitelje ali ponudnike storitev, pri čemer se zahteve nanašajo na odnose med posameznim subjektom in njegovimi neposrednimi dobavitelji ali ponudniki storitev, in to v skladu s četrtim odstavkom tega člena,</w:t>
      </w:r>
    </w:p>
    <w:bookmarkEnd w:id="73"/>
    <w:p w14:paraId="6F162F6B" w14:textId="77777777" w:rsidR="00C50F53" w:rsidRPr="004752FD" w:rsidRDefault="00C50F53" w:rsidP="004752FD">
      <w:pPr>
        <w:pStyle w:val="Odstavek"/>
        <w:spacing w:after="0" w:line="260" w:lineRule="atLeast"/>
        <w:ind w:left="567"/>
      </w:pPr>
      <w:r w:rsidRPr="004752FD">
        <w:t>11. fizično in tehnično varovanje prostorov ter dostopov do prostorov, kjer so ključni deli omrežnih in informacijskih sistemov, ki jih uporabljajo za svoje delovanje ali opravljanje storitev,</w:t>
      </w:r>
    </w:p>
    <w:p w14:paraId="41260A3E" w14:textId="77777777" w:rsidR="00C50F53" w:rsidRPr="004752FD" w:rsidRDefault="00C50F53" w:rsidP="004752FD">
      <w:pPr>
        <w:pStyle w:val="Odstavek"/>
        <w:spacing w:after="0" w:line="260" w:lineRule="atLeast"/>
        <w:ind w:left="567"/>
      </w:pPr>
      <w:r w:rsidRPr="004752FD">
        <w:t>12. varnostne mehanizme v posamezni aplikativni programski opremi za izvajanje dejavnosti, vključno z varnostjo pri pridobivanju, razvoju in vzdrževanju omrežnih in informacijskih sistemov ter obravnavanjem in razkrivanjem ranljivosti,</w:t>
      </w:r>
    </w:p>
    <w:p w14:paraId="6B63B56D" w14:textId="77777777" w:rsidR="00C50F53" w:rsidRPr="004752FD" w:rsidRDefault="00C50F53" w:rsidP="004752FD">
      <w:pPr>
        <w:pStyle w:val="Odstavek"/>
        <w:spacing w:after="0" w:line="260" w:lineRule="atLeast"/>
        <w:ind w:left="567"/>
      </w:pPr>
      <w:r w:rsidRPr="004752FD">
        <w:t>13. upravljanje in preprečevanje izrab tehničnih ranljivosti,</w:t>
      </w:r>
    </w:p>
    <w:p w14:paraId="6B340CAF" w14:textId="77777777" w:rsidR="00C50F53" w:rsidRPr="004752FD" w:rsidRDefault="00C50F53" w:rsidP="004752FD">
      <w:pPr>
        <w:pStyle w:val="Odstavek"/>
        <w:spacing w:after="0" w:line="260" w:lineRule="atLeast"/>
        <w:ind w:left="567"/>
      </w:pPr>
      <w:r w:rsidRPr="004752FD">
        <w:t>14. zaščito pred zlonamerno programsko kodo ter način zaznavanja poskusov vdorov in preprečevanja incidentov,</w:t>
      </w:r>
    </w:p>
    <w:p w14:paraId="46D7799A" w14:textId="77777777" w:rsidR="00C50F53" w:rsidRPr="004752FD" w:rsidRDefault="00C50F53" w:rsidP="004752FD">
      <w:pPr>
        <w:pStyle w:val="Odstavek"/>
        <w:spacing w:after="0" w:line="260" w:lineRule="atLeast"/>
        <w:ind w:left="567"/>
      </w:pPr>
      <w:r w:rsidRPr="004752FD">
        <w:t>15. uporabo večfaktorske avtentikacije ali rešitev neprekinjene avtentikacije, kadar je to potrebno zaradi obvladovanja tveganj,</w:t>
      </w:r>
    </w:p>
    <w:p w14:paraId="5360F5AA" w14:textId="77777777" w:rsidR="00C50F53" w:rsidRPr="004752FD" w:rsidRDefault="00C50F53" w:rsidP="004752FD">
      <w:pPr>
        <w:pStyle w:val="Odstavek"/>
        <w:spacing w:after="0" w:line="260" w:lineRule="atLeast"/>
        <w:ind w:left="567"/>
      </w:pPr>
      <w:r w:rsidRPr="004752FD">
        <w:t>16. uporabo varovanih glasovnih, video in besedilnih komunikacij in varnih sistemov za komunikacije v sili v subjektu, kadar je to glede na dejavnost subjekta primerno, in</w:t>
      </w:r>
    </w:p>
    <w:p w14:paraId="49BD6A1A" w14:textId="77777777" w:rsidR="00C50F53" w:rsidRPr="004752FD" w:rsidRDefault="00C50F53" w:rsidP="004752FD">
      <w:pPr>
        <w:pStyle w:val="Odstavek"/>
        <w:spacing w:after="0" w:line="260" w:lineRule="atLeast"/>
        <w:ind w:left="567"/>
      </w:pPr>
      <w:r w:rsidRPr="004752FD">
        <w:t>17. politike in postopke v zvezi z uporabo oblačnih storitev, ki jih uporabljajo za svoje delovanje ali opravljanje storitev.</w:t>
      </w:r>
    </w:p>
    <w:p w14:paraId="029C3E24" w14:textId="77777777" w:rsidR="00C50F53" w:rsidRPr="004752FD" w:rsidRDefault="00C50F53" w:rsidP="004752FD">
      <w:pPr>
        <w:pStyle w:val="Odstavek"/>
        <w:spacing w:after="0" w:line="260" w:lineRule="atLeast"/>
      </w:pPr>
    </w:p>
    <w:p w14:paraId="3F08A4A0" w14:textId="77777777" w:rsidR="00C50F53" w:rsidRPr="004752FD" w:rsidRDefault="00C50F53" w:rsidP="004752FD">
      <w:pPr>
        <w:pStyle w:val="Odstavek"/>
        <w:spacing w:after="0" w:line="260" w:lineRule="atLeast"/>
      </w:pPr>
      <w:r w:rsidRPr="004752FD">
        <w:t>(3) Varnostni ukrepi iz prejšnjega odstavka morajo ob upoštevanju najsodobnejših in ustreznih evropskih in mednarodnih standardov ter stroškov izvajanja zagotavljati raven varnosti omrežnih in informacijskih sistemov, ki ustreza obstoječim ali prepoznanim tveganjem. Pri ocenjevanju sorazmernosti varnostnih ukrepov bistveni in pomembni subjekti ustrezno upoštevajo:</w:t>
      </w:r>
    </w:p>
    <w:p w14:paraId="49A054C9" w14:textId="77777777" w:rsidR="00C50F53" w:rsidRPr="004752FD" w:rsidRDefault="00C50F53" w:rsidP="00E20E87">
      <w:pPr>
        <w:pStyle w:val="Odstavek"/>
        <w:numPr>
          <w:ilvl w:val="0"/>
          <w:numId w:val="76"/>
        </w:numPr>
        <w:overflowPunct w:val="0"/>
        <w:autoSpaceDE w:val="0"/>
        <w:autoSpaceDN w:val="0"/>
        <w:adjustRightInd w:val="0"/>
        <w:spacing w:after="0" w:line="240" w:lineRule="auto"/>
        <w:ind w:left="924" w:hanging="357"/>
        <w:textAlignment w:val="baseline"/>
      </w:pPr>
      <w:r w:rsidRPr="004752FD">
        <w:t>stopnjo izpostavljenosti tveganjem,</w:t>
      </w:r>
    </w:p>
    <w:p w14:paraId="26E17884" w14:textId="77777777" w:rsidR="00C50F53" w:rsidRPr="004752FD" w:rsidRDefault="00C50F53" w:rsidP="00E20E87">
      <w:pPr>
        <w:pStyle w:val="Odstavek"/>
        <w:numPr>
          <w:ilvl w:val="0"/>
          <w:numId w:val="76"/>
        </w:numPr>
        <w:overflowPunct w:val="0"/>
        <w:autoSpaceDE w:val="0"/>
        <w:autoSpaceDN w:val="0"/>
        <w:adjustRightInd w:val="0"/>
        <w:spacing w:after="0" w:line="240" w:lineRule="auto"/>
        <w:ind w:left="924" w:hanging="357"/>
        <w:textAlignment w:val="baseline"/>
      </w:pPr>
      <w:r w:rsidRPr="004752FD">
        <w:t>velikost subjekta,</w:t>
      </w:r>
    </w:p>
    <w:p w14:paraId="32D91D19" w14:textId="77777777" w:rsidR="00C50F53" w:rsidRPr="004752FD" w:rsidRDefault="00C50F53" w:rsidP="00E20E87">
      <w:pPr>
        <w:pStyle w:val="Odstavek"/>
        <w:numPr>
          <w:ilvl w:val="0"/>
          <w:numId w:val="76"/>
        </w:numPr>
        <w:overflowPunct w:val="0"/>
        <w:autoSpaceDE w:val="0"/>
        <w:autoSpaceDN w:val="0"/>
        <w:adjustRightInd w:val="0"/>
        <w:spacing w:after="0" w:line="240" w:lineRule="auto"/>
        <w:ind w:left="924" w:hanging="357"/>
        <w:textAlignment w:val="baseline"/>
      </w:pPr>
      <w:r w:rsidRPr="004752FD">
        <w:t xml:space="preserve">verjetnost pojava incidentov in </w:t>
      </w:r>
    </w:p>
    <w:p w14:paraId="4E3E03F3" w14:textId="77777777" w:rsidR="00C50F53" w:rsidRPr="004752FD" w:rsidRDefault="00C50F53" w:rsidP="00E20E87">
      <w:pPr>
        <w:pStyle w:val="Odstavek"/>
        <w:numPr>
          <w:ilvl w:val="0"/>
          <w:numId w:val="76"/>
        </w:numPr>
        <w:overflowPunct w:val="0"/>
        <w:autoSpaceDE w:val="0"/>
        <w:autoSpaceDN w:val="0"/>
        <w:adjustRightInd w:val="0"/>
        <w:spacing w:after="0" w:line="240" w:lineRule="auto"/>
        <w:ind w:left="924" w:hanging="357"/>
        <w:textAlignment w:val="baseline"/>
      </w:pPr>
      <w:r w:rsidRPr="004752FD">
        <w:t>resnost morebitnih incidentov, vključno z njihovim družbenim in gospodarskim vplivom.</w:t>
      </w:r>
    </w:p>
    <w:p w14:paraId="3C2A6023" w14:textId="77777777" w:rsidR="00C50F53" w:rsidRPr="004752FD" w:rsidRDefault="00C50F53" w:rsidP="004752FD">
      <w:pPr>
        <w:pStyle w:val="Odstavek"/>
        <w:spacing w:after="0" w:line="260" w:lineRule="atLeast"/>
      </w:pPr>
      <w:bookmarkStart w:id="74" w:name="_Hlk166583130"/>
    </w:p>
    <w:p w14:paraId="40B6F6E8" w14:textId="77777777" w:rsidR="00C50F53" w:rsidRPr="004752FD" w:rsidRDefault="00C50F53" w:rsidP="004752FD">
      <w:pPr>
        <w:pStyle w:val="Odstavek"/>
        <w:spacing w:after="0" w:line="260" w:lineRule="atLeast"/>
      </w:pPr>
      <w:r w:rsidRPr="004752FD">
        <w:t xml:space="preserve">(4) Bistveni in pomembni subjekti morajo pri presoji in izvedbi ustreznih varnostnih ukrepov za varnost dobavne verige upoštevati ranljivosti, ki so specifične za posameznega neposrednega dobavitelja in ponudnika storitev, ter splošno kakovost proizvodov in praks svojih dobaviteljev in ponudnikov storitev na področju kibernetske varnosti, vključno z njihovimi varnimi razvojnimi postopki. Ugotavljati morajo, kateri varnostni ukrepi so ustrezni in primerni za zagotovitev varnosti dobavne verige, poleg tega lahko preverjajo njihovo izvajanje pri dobaviteljih in ponudnikih storitev. Pri tem upoštevajo rezultate morebitnih usklajenih ocen tveganja za kritične dobavne </w:t>
      </w:r>
      <w:r w:rsidRPr="004752FD">
        <w:lastRenderedPageBreak/>
        <w:t>verige, ki jih Skupina za sodelovanje pripravi v sodelovanju z Evropsko komisijo in agencijo ENISA v skladu s prvim odstavkom 22. člena Direktive 2022/2555/EU.</w:t>
      </w:r>
    </w:p>
    <w:p w14:paraId="462AF41A" w14:textId="77777777" w:rsidR="00C50F53" w:rsidRPr="004752FD" w:rsidRDefault="00C50F53" w:rsidP="004752FD">
      <w:pPr>
        <w:pStyle w:val="Odstavek"/>
        <w:spacing w:after="0" w:line="260" w:lineRule="atLeast"/>
      </w:pPr>
    </w:p>
    <w:bookmarkEnd w:id="74"/>
    <w:p w14:paraId="78E370C5" w14:textId="77777777" w:rsidR="00C50F53" w:rsidRPr="004752FD" w:rsidRDefault="00C50F53" w:rsidP="004752FD">
      <w:pPr>
        <w:pStyle w:val="Odstavek"/>
        <w:spacing w:after="0" w:line="260" w:lineRule="atLeast"/>
      </w:pPr>
      <w:r w:rsidRPr="004752FD">
        <w:t xml:space="preserve">(5) Bistveni ali pomembni subjekti morajo najmanj enkrat letno ali v rednih obdobjih, ki jih opredelijo v politiki in postopkih za presojo učinkovitosti ukrepov za obvladovanje tveganj za kibernetsko varnost, in ob zaznanih ranljivostih preverjati izpolnjevanje varnostnih ukrepov iz tretjega odstavka tega člena. V primeru ugotovljenega pomanjkljivega ali neustreznega izvajanja varnostnih ukrepov morajo nemudoma sprejeti vse potrebne, ustrezne in sorazmerne popravne ukrepe. </w:t>
      </w:r>
    </w:p>
    <w:p w14:paraId="486A21EA" w14:textId="77777777" w:rsidR="00C50F53" w:rsidRPr="004752FD" w:rsidRDefault="00C50F53" w:rsidP="004752FD">
      <w:pPr>
        <w:pStyle w:val="Odstavek"/>
        <w:spacing w:after="0" w:line="260" w:lineRule="atLeast"/>
      </w:pPr>
    </w:p>
    <w:p w14:paraId="2AA3DAA9" w14:textId="77777777" w:rsidR="00C50F53" w:rsidRPr="004752FD" w:rsidRDefault="00C50F53" w:rsidP="004752FD">
      <w:pPr>
        <w:pStyle w:val="Odstavek"/>
        <w:spacing w:after="0" w:line="260" w:lineRule="atLeast"/>
      </w:pPr>
      <w:r w:rsidRPr="004752FD">
        <w:t>(6) Ponudniki storitev DNS, registri TLD imen, ponudniki storitev računalništva v oblaku, ponudniki storitev podatkovnih centrov, ponudniki omrežij za dostavo vsebine, ponudniki upravljanih storitev, ponudniki upravljanih varnostnih storitev, ponudniki spletnih tržnic, spletnih iskalnikov in platform za storitve družbenega mreženja in ponudniki storitev zaupanja pri sprejetju varnostnih ukrepov iz tretjega odstavka tega člena upoštevajo izvedbene akte Evropske komisije iz prvega pododstavka petega odstavka 21. člena Direktive 2022/2555/EU.</w:t>
      </w:r>
    </w:p>
    <w:p w14:paraId="6B085843" w14:textId="77777777" w:rsidR="00C50F53" w:rsidRPr="004752FD" w:rsidRDefault="00C50F53" w:rsidP="004752FD">
      <w:pPr>
        <w:pStyle w:val="Odstavek"/>
        <w:spacing w:after="0" w:line="260" w:lineRule="atLeast"/>
      </w:pPr>
    </w:p>
    <w:p w14:paraId="3A2EFE7F" w14:textId="77777777" w:rsidR="00C50F53" w:rsidRPr="004752FD" w:rsidRDefault="00C50F53" w:rsidP="004752FD">
      <w:pPr>
        <w:pStyle w:val="Odstavek"/>
        <w:spacing w:after="0" w:line="260" w:lineRule="atLeast"/>
      </w:pPr>
      <w:r w:rsidRPr="004752FD">
        <w:t>(7) Bistveni in pomembni subjekti, ki niso navedeni v prejšnjem odstavku, pri sprejetju varnostnih ukrepov iz tretjega odstavka tega člena upoštevajo izvedbene akte Evropske komisije, s katerimi ta določi tehnične, metodološke in sektorske zahteve za varnostne ukrepe iz drugega pododstavka petega odstavka 21. člena Direktive 2022/2555/EU.</w:t>
      </w:r>
    </w:p>
    <w:p w14:paraId="37E6273A" w14:textId="77777777" w:rsidR="00C50F53" w:rsidRPr="004752FD" w:rsidRDefault="00C50F53" w:rsidP="004752FD">
      <w:pPr>
        <w:pStyle w:val="Odstavek"/>
        <w:spacing w:after="0" w:line="260" w:lineRule="atLeast"/>
      </w:pPr>
    </w:p>
    <w:p w14:paraId="137BB4CA" w14:textId="77777777" w:rsidR="00C50F53" w:rsidRPr="004752FD" w:rsidRDefault="00C50F53" w:rsidP="004752FD">
      <w:pPr>
        <w:pStyle w:val="Odstavek"/>
        <w:spacing w:after="0" w:line="260" w:lineRule="atLeast"/>
      </w:pPr>
      <w:r w:rsidRPr="004752FD">
        <w:t>(8) Bistveni in pomembni subjekti ne smejo uporabljati informacijsko-komunikacijskih rešitev, v katerih so zaznane aktivno izkoriščane ranljivosti brez dodatne izvedbe ocene tveganja in uvedenih ustreznih dodatnih varnostnih ukrepov, ki znižajo stopnjo tveganja na sprejemljivo raven.</w:t>
      </w:r>
    </w:p>
    <w:p w14:paraId="0BD35F43" w14:textId="77777777" w:rsidR="00C50F53" w:rsidRPr="004752FD" w:rsidRDefault="00C50F53" w:rsidP="004752FD">
      <w:pPr>
        <w:pStyle w:val="Odstavek"/>
        <w:spacing w:after="0" w:line="260" w:lineRule="atLeast"/>
      </w:pPr>
    </w:p>
    <w:p w14:paraId="46FA3175" w14:textId="77777777" w:rsidR="00C50F53" w:rsidRPr="004752FD" w:rsidRDefault="00C50F53" w:rsidP="004752FD">
      <w:pPr>
        <w:pStyle w:val="Odstavek"/>
        <w:spacing w:after="0" w:line="260" w:lineRule="atLeast"/>
      </w:pPr>
      <w:r w:rsidRPr="004752FD">
        <w:t>(9) Če bistveni ali pomembni subjekti za opravljanje svoje dejavnosti črpajo vhodne podatke in informacije iz ključnih delov nacionalnovarnostnega sistema, vzpostavijo vse potrebne varnostne zahteve ob soglasju pristojnega ministrstva ali vladne službe, pristojne za posamezni ključni del nacionalnovarnostnega sistema.</w:t>
      </w:r>
    </w:p>
    <w:p w14:paraId="07481E1D" w14:textId="77777777" w:rsidR="00C50F53" w:rsidRPr="004752FD" w:rsidRDefault="00C50F53" w:rsidP="004752FD">
      <w:pPr>
        <w:pStyle w:val="Odstavek"/>
        <w:spacing w:after="0" w:line="260" w:lineRule="atLeast"/>
      </w:pPr>
    </w:p>
    <w:p w14:paraId="74B7F262" w14:textId="77777777" w:rsidR="00C50F53" w:rsidRPr="004752FD" w:rsidRDefault="00C50F53" w:rsidP="004752FD">
      <w:pPr>
        <w:pStyle w:val="Odstavek"/>
        <w:spacing w:after="0" w:line="260" w:lineRule="atLeast"/>
      </w:pPr>
      <w:r w:rsidRPr="004752FD">
        <w:t>(10) Upravljavec centralnega informacijsko-komunikacijskega sistema mora povezanim subjektom določiti minimalne varnostne zahteve informacijske in kibernetske varnosti. Za pravočasno odzivanje na kibernetske grožnje in preprečevanje škodljivih posledic morebitnega težjega ali kritičnega incidenta ter za izvajanje kibernetske obrambe je upravljavec centralnega informacijsko-komunikacijskega sistema pooblaščen, da izvede ustrezne, nujne in sorazmerne ukrepe za zaščito centralnega informacijsko-komunikacijskega sistema. Ukrepi vključujejo tudi začasni odklop posameznega povezanega subjekta iz centralnega informacijsko-komunikacijskega sistema, dokler ugotovljena tveganja niso odpravljena.</w:t>
      </w:r>
      <w:r w:rsidRPr="004752FD" w:rsidDel="008667F4">
        <w:t xml:space="preserve"> </w:t>
      </w:r>
    </w:p>
    <w:p w14:paraId="4FDA8E1D" w14:textId="77777777" w:rsidR="00C50F53" w:rsidRPr="004752FD" w:rsidRDefault="00C50F53" w:rsidP="004752FD">
      <w:pPr>
        <w:pStyle w:val="Odstavek"/>
        <w:spacing w:after="0" w:line="260" w:lineRule="atLeast"/>
      </w:pPr>
    </w:p>
    <w:p w14:paraId="0E8AD9C3" w14:textId="77777777" w:rsidR="00C50F53" w:rsidRPr="004752FD" w:rsidRDefault="00C50F53" w:rsidP="004752FD">
      <w:pPr>
        <w:pStyle w:val="Odstavek"/>
        <w:spacing w:after="0" w:line="260" w:lineRule="atLeast"/>
      </w:pPr>
      <w:r w:rsidRPr="004752FD">
        <w:t>(11) Bistveni subjekt iz četrtega odstavka prejšnjega člena sprejme ukrepe iz 1. do 4. točke drugega odstavka tega člena. Preostale ukrepe iz drugega odstavka tega člena pa sprejme le za morebitne informacijsko-komunikacijske sisteme, ki jih upravlja. Pri tem mora upoštevati tudi minimalne varnostne zahteve za povezane subjekte upravljavca centralnega informacijsko-komunikacijskega sistema iz prejšnjega odstavka.</w:t>
      </w:r>
    </w:p>
    <w:p w14:paraId="7FD0BE8A" w14:textId="77777777" w:rsidR="00C50F53" w:rsidRPr="004752FD" w:rsidRDefault="00C50F53" w:rsidP="004752FD">
      <w:pPr>
        <w:pStyle w:val="Odstavek"/>
        <w:spacing w:after="0" w:line="260" w:lineRule="atLeast"/>
      </w:pPr>
    </w:p>
    <w:p w14:paraId="062AB6E3" w14:textId="77777777" w:rsidR="00C50F53" w:rsidRPr="004752FD" w:rsidRDefault="00C50F53" w:rsidP="004752FD">
      <w:pPr>
        <w:pStyle w:val="Odstavek"/>
        <w:spacing w:after="0" w:line="260" w:lineRule="atLeast"/>
      </w:pPr>
      <w:r w:rsidRPr="004752FD">
        <w:t xml:space="preserve">(12) Bistveni subjekti, ki so na podlagi zakona, ki ureja področje kritične infrastrukture določeni kot kritični subjekti in spadajo med vrste subjektov iz sektorja 8. Digitalna infrastruktura iz Priloge 1 tega zakona, se za zagotovitev varnostnih ukrepov varovanja iz 11. točke drugega odstavka tega člena na predlog nosilca sektorja kritične infrastrukture za digitalno infrastrukturo v skladu </w:t>
      </w:r>
      <w:bookmarkStart w:id="75" w:name="_Hlk189746924"/>
      <w:r w:rsidRPr="004752FD">
        <w:t>s predpisi, ki urejajo področje zasebnega varovanja</w:t>
      </w:r>
      <w:bookmarkEnd w:id="75"/>
      <w:r w:rsidRPr="004752FD">
        <w:t xml:space="preserve">, določijo za zavezance obveznega organiziranja varovanja, </w:t>
      </w:r>
      <w:bookmarkStart w:id="76" w:name="_Hlk189746706"/>
      <w:r w:rsidRPr="004752FD">
        <w:t>ki morajo kritično infrastrukturo varovati v skladu z navedenimi predpisi.</w:t>
      </w:r>
    </w:p>
    <w:bookmarkEnd w:id="76"/>
    <w:p w14:paraId="2FB6D498" w14:textId="77777777" w:rsidR="00C50F53" w:rsidRPr="004752FD" w:rsidRDefault="00C50F53" w:rsidP="004752FD">
      <w:pPr>
        <w:pStyle w:val="Odstavek"/>
        <w:spacing w:after="0" w:line="260" w:lineRule="atLeast"/>
      </w:pPr>
    </w:p>
    <w:p w14:paraId="1406928E" w14:textId="77777777" w:rsidR="00C50F53" w:rsidRPr="004752FD" w:rsidRDefault="00C50F53" w:rsidP="004752FD">
      <w:pPr>
        <w:pStyle w:val="Odstavek"/>
        <w:spacing w:after="0" w:line="260" w:lineRule="atLeast"/>
      </w:pPr>
      <w:r w:rsidRPr="004752FD">
        <w:t xml:space="preserve">(13) Za obvladovanje tveganj za informacijsko in kibernetsko varnost bistvenih in pomembnih subjektov lahko vlada podrobneje določi način izvajanja obveznosti iz tega člena. </w:t>
      </w:r>
    </w:p>
    <w:p w14:paraId="5B310210" w14:textId="77777777" w:rsidR="00C50F53" w:rsidRPr="004752FD" w:rsidRDefault="00C50F53" w:rsidP="004752FD">
      <w:pPr>
        <w:pStyle w:val="Odstavek"/>
        <w:spacing w:after="0" w:line="260" w:lineRule="atLeast"/>
      </w:pPr>
    </w:p>
    <w:p w14:paraId="02290DA9" w14:textId="77777777" w:rsidR="00C50F53" w:rsidRPr="004752FD" w:rsidRDefault="00C50F53" w:rsidP="004752FD">
      <w:pPr>
        <w:pStyle w:val="Odstavek"/>
        <w:spacing w:after="0" w:line="260" w:lineRule="atLeast"/>
      </w:pPr>
    </w:p>
    <w:p w14:paraId="7BFDCAC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členom</w:t>
      </w:r>
    </w:p>
    <w:p w14:paraId="525A4CCE"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(preverjanje preteklosti)</w:t>
      </w:r>
    </w:p>
    <w:p w14:paraId="6D415113" w14:textId="77777777" w:rsidR="00C50F53" w:rsidRPr="004752FD" w:rsidRDefault="00C50F53" w:rsidP="004752FD">
      <w:pPr>
        <w:pStyle w:val="NIS2len"/>
        <w:numPr>
          <w:ilvl w:val="0"/>
          <w:numId w:val="0"/>
        </w:numPr>
        <w:spacing w:before="0" w:line="260" w:lineRule="atLeast"/>
        <w:rPr>
          <w:sz w:val="20"/>
          <w:szCs w:val="20"/>
        </w:rPr>
      </w:pPr>
    </w:p>
    <w:p w14:paraId="7DD048B9" w14:textId="77777777" w:rsidR="00C50F53" w:rsidRPr="004752FD" w:rsidRDefault="00C50F53" w:rsidP="004752FD">
      <w:pPr>
        <w:pStyle w:val="Odstavek"/>
        <w:spacing w:after="0" w:line="260" w:lineRule="atLeast"/>
      </w:pPr>
      <w:r w:rsidRPr="004752FD">
        <w:t>(1) Bistveni ali pomembni subjekt lahko ob upoštevanju ocene tveganja preveri preteklost zaposlenih in kandidatov za zaposlitev na delovnih mestih, pomembnih za opravljanje storitev subjekta, ki imajo ali bodo imeli pooblastilo za neposredni ali oddaljeni dostop do njegovih ključnih informacijskih sistemov. V skladu z oceno tveganja lahko preveri preteklost tudi za zaposlene pri pogodbenih izvajalcih. Preverjanje preteklosti se opravi za zadnjih pet let.</w:t>
      </w:r>
    </w:p>
    <w:p w14:paraId="3A82E71B" w14:textId="77777777" w:rsidR="00C50F53" w:rsidRPr="004752FD" w:rsidRDefault="00C50F53" w:rsidP="004752FD">
      <w:pPr>
        <w:pStyle w:val="Odstavek"/>
        <w:spacing w:after="0" w:line="260" w:lineRule="atLeast"/>
      </w:pPr>
    </w:p>
    <w:p w14:paraId="4AE8C110" w14:textId="77777777" w:rsidR="00C50F53" w:rsidRPr="004752FD" w:rsidRDefault="00C50F53" w:rsidP="004752FD">
      <w:pPr>
        <w:pStyle w:val="Odstavek"/>
        <w:spacing w:after="0" w:line="260" w:lineRule="atLeast"/>
      </w:pPr>
      <w:r w:rsidRPr="004752FD">
        <w:t>(2) Preverjanje preteklosti osebe iz prejšnjega odstavka se po njenem predhodnem soglasju opravi tako, da se:</w:t>
      </w:r>
    </w:p>
    <w:p w14:paraId="5E435CE0" w14:textId="77777777" w:rsidR="00C50F53" w:rsidRPr="004752FD" w:rsidRDefault="00C50F53" w:rsidP="004752FD">
      <w:pPr>
        <w:pStyle w:val="Odstavek"/>
        <w:spacing w:after="0" w:line="260" w:lineRule="atLeast"/>
        <w:ind w:left="907" w:hanging="340"/>
      </w:pPr>
      <w:r w:rsidRPr="004752FD">
        <w:t>–</w:t>
      </w:r>
      <w:r w:rsidRPr="004752FD">
        <w:tab/>
        <w:t>potrdi identiteta osebe, katere preteklost se preverja, in</w:t>
      </w:r>
    </w:p>
    <w:p w14:paraId="594EE3F3" w14:textId="77777777" w:rsidR="00C50F53" w:rsidRPr="004752FD" w:rsidRDefault="00C50F53" w:rsidP="004752FD">
      <w:pPr>
        <w:pStyle w:val="Odstavek"/>
        <w:spacing w:after="0" w:line="260" w:lineRule="atLeast"/>
        <w:ind w:left="907" w:hanging="340"/>
      </w:pPr>
      <w:r w:rsidRPr="004752FD">
        <w:t>–</w:t>
      </w:r>
      <w:r w:rsidRPr="004752FD">
        <w:tab/>
        <w:t>preverijo kazenske evidence Republike Slovenije, držav članic Evropske unije</w:t>
      </w:r>
      <w:r w:rsidRPr="004752FD" w:rsidDel="005C73E1">
        <w:t xml:space="preserve"> </w:t>
      </w:r>
      <w:r w:rsidRPr="004752FD">
        <w:t>in tretjih držav glede zapisov pravnomočnih kazenskih obsodb za kazniva dejanja, ki se preganjajo po uradni dolžnosti in ki so po presoji bistvenega ali pomembnega subjekta sporna z vidika opravljanja nalog na zadevnem delovnem mestu ali za izvedbo pogodbenih obveznosti, in sicer s področja terorizma ter kršitev zoper življenje in telo, človekove pravice in svoboščine, človekovo zdravje, delovno razmerje in socialno varnost, premoženje, gospodarstvo, pravni promet, uradno dolžnost, javna pooblastila in javna sredstva, javni red in mir, splošno varnost ljudi in premoženja, varnost javnega prometa, okolje, prostor in naravne dobrine, suverenost Republike Slovenije, njeno obrambno moč in mednarodno pravo ter z drugih področij, razen če z zakonom, ki ureja preverjanje preteklosti za posamezni sektor iz Prilog 1 in 2 tega zakona, ni določeno drugače.</w:t>
      </w:r>
    </w:p>
    <w:p w14:paraId="428BD4AB" w14:textId="77777777" w:rsidR="00C50F53" w:rsidRPr="004752FD" w:rsidRDefault="00C50F53" w:rsidP="004752FD">
      <w:pPr>
        <w:pStyle w:val="Odstavek"/>
        <w:spacing w:after="0" w:line="260" w:lineRule="atLeast"/>
      </w:pPr>
    </w:p>
    <w:p w14:paraId="096A7379" w14:textId="77777777" w:rsidR="00C50F53" w:rsidRPr="004752FD" w:rsidRDefault="00C50F53" w:rsidP="004752FD">
      <w:pPr>
        <w:pStyle w:val="Odstavek"/>
        <w:spacing w:after="0" w:line="260" w:lineRule="atLeast"/>
      </w:pPr>
      <w:r w:rsidRPr="004752FD">
        <w:t>(3) Če oseba iz prejšnjega odstavka ne da soglasja za preverjanje preteklosti, se ji delo na delovnih mestih in v prostorih iz prvega odstavka tega člena ne dovoli oziroma se pogodba ne sklene.</w:t>
      </w:r>
    </w:p>
    <w:p w14:paraId="53DCAA25" w14:textId="77777777" w:rsidR="00C50F53" w:rsidRPr="004752FD" w:rsidRDefault="00C50F53" w:rsidP="004752FD">
      <w:pPr>
        <w:pStyle w:val="Odstavek"/>
        <w:spacing w:after="0" w:line="260" w:lineRule="atLeast"/>
      </w:pPr>
    </w:p>
    <w:p w14:paraId="53782854" w14:textId="77777777" w:rsidR="00C50F53" w:rsidRPr="004752FD" w:rsidRDefault="00C50F53" w:rsidP="004752FD">
      <w:pPr>
        <w:pStyle w:val="Odstavek"/>
        <w:spacing w:after="0" w:line="260" w:lineRule="atLeast"/>
      </w:pPr>
      <w:r w:rsidRPr="004752FD">
        <w:t>(4) Če bistveni ali pomembni subjekt pri preverjanju preteklosti osebe zbira osebne in druge podatke o preverjani osebi iz obstoječih zbirk podatkov, mu morajo organi, organizacije in drugi subjekti, ki na podlagi zakona vodijo zbirke podatkov, na podlagi pisne ali s pisno obliko izenačene zahteve, v kateri je navedena ustrezna pravna podlaga za predložitev podatkov in ustrezna številka ali druga oznaka zahteve, brezplačno poslati zahtevane osebne in druge podatke.</w:t>
      </w:r>
    </w:p>
    <w:p w14:paraId="43B00505" w14:textId="77777777" w:rsidR="00C50F53" w:rsidRPr="004752FD" w:rsidRDefault="00C50F53" w:rsidP="004752FD">
      <w:pPr>
        <w:pStyle w:val="Odstavek"/>
        <w:spacing w:after="0" w:line="260" w:lineRule="atLeast"/>
      </w:pPr>
    </w:p>
    <w:p w14:paraId="52BD56E0" w14:textId="77777777" w:rsidR="00C50F53" w:rsidRPr="004752FD" w:rsidRDefault="00C50F53" w:rsidP="004752FD">
      <w:pPr>
        <w:pStyle w:val="Odstavek"/>
        <w:spacing w:after="0" w:line="260" w:lineRule="atLeast"/>
      </w:pPr>
    </w:p>
    <w:p w14:paraId="44BAA2D8" w14:textId="77777777" w:rsidR="00C50F53" w:rsidRPr="004752FD" w:rsidRDefault="00C50F53" w:rsidP="004752FD">
      <w:pPr>
        <w:pStyle w:val="NIS2len"/>
        <w:spacing w:before="0"/>
        <w:ind w:left="0" w:firstLine="0"/>
        <w:rPr>
          <w:sz w:val="20"/>
          <w:szCs w:val="20"/>
        </w:rPr>
      </w:pPr>
      <w:bookmarkStart w:id="77" w:name="_Hlk179913403"/>
      <w:r w:rsidRPr="004752FD">
        <w:rPr>
          <w:sz w:val="20"/>
          <w:szCs w:val="20"/>
        </w:rPr>
        <w:t>člen</w:t>
      </w:r>
    </w:p>
    <w:p w14:paraId="47061FA5" w14:textId="77777777" w:rsidR="00C50F53" w:rsidRPr="004752FD" w:rsidRDefault="00C50F53" w:rsidP="004752FD">
      <w:pPr>
        <w:pStyle w:val="Odstavek"/>
        <w:spacing w:after="0"/>
        <w:jc w:val="center"/>
        <w:rPr>
          <w:b/>
        </w:rPr>
      </w:pPr>
      <w:r w:rsidRPr="004752FD">
        <w:rPr>
          <w:b/>
        </w:rPr>
        <w:t>(dnevniški zapisi)</w:t>
      </w:r>
    </w:p>
    <w:bookmarkEnd w:id="77"/>
    <w:p w14:paraId="50F8DB5A" w14:textId="77777777" w:rsidR="00C50F53" w:rsidRPr="004752FD" w:rsidRDefault="00C50F53" w:rsidP="004752FD">
      <w:pPr>
        <w:pStyle w:val="Odstavek"/>
        <w:spacing w:after="0"/>
        <w:jc w:val="center"/>
        <w:rPr>
          <w:b/>
        </w:rPr>
      </w:pPr>
    </w:p>
    <w:p w14:paraId="7603E070" w14:textId="77777777" w:rsidR="00C50F53" w:rsidRPr="004752FD" w:rsidRDefault="00C50F53" w:rsidP="004752FD">
      <w:pPr>
        <w:pStyle w:val="Odstavek"/>
        <w:spacing w:after="0" w:line="260" w:lineRule="atLeast"/>
      </w:pPr>
      <w:r w:rsidRPr="004752FD">
        <w:t xml:space="preserve">(1) Bistveni in pomembni subjekti določijo postopke in ustrezna orodja za spremljanje in beleženje dogodkov v svojih omrežjih in informacijskih sistemih oziroma zagotovijo zbiranje in ohranjanje dnevniških zapisov, da bi zaznali ali odkrili dogodke, ki bi se lahko šteli za incidente ali skorajšnje incidente, in se ustrezno odzvali za ublažitev njihovega negativnega učinka. Dnevniški zapisi morajo biti zbrani in ohranjeni v obsegu in na način, ki omogoča rekonstrukcijo in analizo incidentov ali skorajšnjih incidentov. </w:t>
      </w:r>
    </w:p>
    <w:p w14:paraId="0DC6133D" w14:textId="77777777" w:rsidR="00C50F53" w:rsidRPr="004752FD" w:rsidRDefault="00C50F53" w:rsidP="004752FD">
      <w:pPr>
        <w:pStyle w:val="Odstavek"/>
        <w:spacing w:after="0"/>
      </w:pPr>
    </w:p>
    <w:p w14:paraId="02DCCA07" w14:textId="77777777" w:rsidR="00C50F53" w:rsidRPr="004752FD" w:rsidRDefault="00C50F53" w:rsidP="004752FD">
      <w:pPr>
        <w:pStyle w:val="Odstavek"/>
        <w:spacing w:after="0"/>
      </w:pPr>
      <w:r w:rsidRPr="004752FD">
        <w:t>(2) Dnevniški zapisi iz prejšnjega odstavka obsegajo vsaj:</w:t>
      </w:r>
    </w:p>
    <w:p w14:paraId="6B3F313A"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izhodni in vhodni omrežni promet,</w:t>
      </w:r>
    </w:p>
    <w:p w14:paraId="7250713C"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lastRenderedPageBreak/>
        <w:t>ustvarjanje, spreminjanje ali brisanje uporabnikov omrežnih in informacijskih sistemov zadevnih subjektov ter razširitev dovoljenj,</w:t>
      </w:r>
    </w:p>
    <w:p w14:paraId="1315029C"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dostop do sistemov, aplikacij in baz podatkov,</w:t>
      </w:r>
    </w:p>
    <w:p w14:paraId="2811DF3C"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dogodke, povezane z avtentikacijo,</w:t>
      </w:r>
    </w:p>
    <w:p w14:paraId="50ADBBFD"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vse privilegirane dostope do sistemov in aplikacij ter dejavnosti, ki jih izvajajo upraviteljski računi,</w:t>
      </w:r>
    </w:p>
    <w:p w14:paraId="3411C5C8"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dostop ali spremembe kritičnih konfiguracijskih in varnostnih datotek,</w:t>
      </w:r>
    </w:p>
    <w:p w14:paraId="28DD6093"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zapise dogodkov in zapise iz varnostnih orodij, kot so protivirusni programi, sistemi za odkrivanje vdorov ali požarni zidovi,</w:t>
      </w:r>
    </w:p>
    <w:p w14:paraId="4FCEB5DA"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uporabo sistemskih virov in njihovo zmogljivost,</w:t>
      </w:r>
    </w:p>
    <w:p w14:paraId="48234CDA"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dostop do omrežne opreme in naprav ter njihovo uporabo in</w:t>
      </w:r>
    </w:p>
    <w:p w14:paraId="0D482D2D" w14:textId="77777777" w:rsidR="00C50F53" w:rsidRPr="004752FD" w:rsidRDefault="00C50F53" w:rsidP="00E20E87">
      <w:pPr>
        <w:pStyle w:val="Odstavek"/>
        <w:numPr>
          <w:ilvl w:val="1"/>
          <w:numId w:val="64"/>
        </w:numPr>
        <w:overflowPunct w:val="0"/>
        <w:autoSpaceDE w:val="0"/>
        <w:autoSpaceDN w:val="0"/>
        <w:adjustRightInd w:val="0"/>
        <w:spacing w:after="0" w:line="240" w:lineRule="auto"/>
        <w:ind w:left="924" w:hanging="357"/>
        <w:textAlignment w:val="baseline"/>
      </w:pPr>
      <w:r w:rsidRPr="004752FD">
        <w:t>aktiviranje, zaustavitev in prekinitev sistemskih storitev in beleženja  zapisov.</w:t>
      </w:r>
    </w:p>
    <w:p w14:paraId="24F9D2FE" w14:textId="77777777" w:rsidR="00C50F53" w:rsidRPr="004752FD" w:rsidRDefault="00C50F53" w:rsidP="004752FD">
      <w:pPr>
        <w:pStyle w:val="Odstavek"/>
        <w:spacing w:after="0"/>
        <w:ind w:left="1440"/>
      </w:pPr>
    </w:p>
    <w:p w14:paraId="1F20243B" w14:textId="77777777" w:rsidR="00C50F53" w:rsidRPr="004752FD" w:rsidRDefault="00C50F53" w:rsidP="004752FD">
      <w:pPr>
        <w:pStyle w:val="Odstavek"/>
        <w:spacing w:after="0" w:line="260" w:lineRule="atLeast"/>
      </w:pPr>
      <w:r w:rsidRPr="004752FD">
        <w:t>(3) Dnevniški zapisi iz prejšnjega odstavka morajo biti hranjeni na način, ki zagotavlja njihovo avtentičnost, celovitost, razpoložljivost in zaupnost. Bistveni in pomembni subjekti zagotovijo, da imajo vsi sistemi sinhronizirane časovne vire, da se za presojo dogodkov lahko izvede korelacija dnevniških zapisov med sistemi.</w:t>
      </w:r>
    </w:p>
    <w:p w14:paraId="2F1AA9A0" w14:textId="77777777" w:rsidR="00C50F53" w:rsidRPr="004752FD" w:rsidRDefault="00C50F53" w:rsidP="004752FD">
      <w:pPr>
        <w:pStyle w:val="Odstavek"/>
        <w:spacing w:after="0" w:line="260" w:lineRule="atLeast"/>
      </w:pPr>
    </w:p>
    <w:p w14:paraId="2CEA2FD3" w14:textId="77777777" w:rsidR="00C50F53" w:rsidRPr="004752FD" w:rsidRDefault="00C50F53" w:rsidP="004752FD">
      <w:pPr>
        <w:pStyle w:val="Odstavek"/>
        <w:spacing w:after="0" w:line="260" w:lineRule="atLeast"/>
      </w:pPr>
      <w:r w:rsidRPr="004752FD">
        <w:t>(4) Bistveni in pomembni subjekti zagotavljajo ohranjanje dnevniških zapisov iz prvega odstavka tega člena za najmanj šest mesecev, lahko pa tudi za daljše obdobje, kadar iz analize obvladovanja tveganj in ocene sprejemljive ravni tveganj izhaja, da bi bilo tveganja ustrezno obvladovati z daljšo hrambo dnevniških zapisov.</w:t>
      </w:r>
    </w:p>
    <w:p w14:paraId="2F397D2E" w14:textId="77777777" w:rsidR="00C50F53" w:rsidRPr="004752FD" w:rsidRDefault="00C50F53" w:rsidP="004752FD">
      <w:pPr>
        <w:pStyle w:val="Odstavek"/>
        <w:spacing w:after="0" w:line="260" w:lineRule="atLeast"/>
      </w:pPr>
    </w:p>
    <w:p w14:paraId="4B842B25" w14:textId="77777777" w:rsidR="00C50F53" w:rsidRPr="004752FD" w:rsidRDefault="00C50F53" w:rsidP="004752FD">
      <w:pPr>
        <w:pStyle w:val="Odstavek"/>
        <w:spacing w:after="0" w:line="260" w:lineRule="atLeast"/>
      </w:pPr>
      <w:r w:rsidRPr="004752FD">
        <w:t>(5) Ohranjanje dnevniških zapisov bistvenih subjektov, ki so na podlagi zakona, ki ureja področje kritične infrastrukture, določeni kot kritični subjekti, se zagotavlja predvsem na ozemlju Republike Slovenije, drugotno pa se lahko zagotavlja na ozemlju Evropske unije.</w:t>
      </w:r>
    </w:p>
    <w:p w14:paraId="287817B0" w14:textId="77777777" w:rsidR="00C50F53" w:rsidRPr="004752FD" w:rsidRDefault="00C50F53" w:rsidP="004752FD">
      <w:pPr>
        <w:pStyle w:val="Odstavek"/>
        <w:spacing w:after="0" w:line="260" w:lineRule="atLeast"/>
      </w:pPr>
    </w:p>
    <w:p w14:paraId="22318E56" w14:textId="77777777" w:rsidR="00C50F53" w:rsidRPr="004752FD" w:rsidRDefault="00C50F53" w:rsidP="004752FD">
      <w:pPr>
        <w:pStyle w:val="Odstavek"/>
        <w:spacing w:after="0" w:line="260" w:lineRule="atLeast"/>
        <w:rPr>
          <w:strike/>
        </w:rPr>
      </w:pPr>
      <w:r w:rsidRPr="004752FD">
        <w:t>(6) Ne glede na prejšnji odstavek lahko subjekti s področja sektorjev digitalne infrastrukture, bančništva in infrastrukture finančnega trga zagotovijo ohranjanje dnevniških zapisov v celoti na ozemlju Evropske unije, ob upoštevanju predpisov s področja varstva osebnih podatkov ter na podlagi ocene tveganj opredeljenih in uvedenih sorazmernih varnostnih kontrol pa tudi zunaj Evropske unije.</w:t>
      </w:r>
      <w:r w:rsidRPr="004752FD">
        <w:rPr>
          <w:strike/>
        </w:rPr>
        <w:t xml:space="preserve"> </w:t>
      </w:r>
    </w:p>
    <w:p w14:paraId="622E3316" w14:textId="77777777" w:rsidR="00C50F53" w:rsidRPr="004752FD" w:rsidRDefault="00C50F53" w:rsidP="004752FD">
      <w:pPr>
        <w:pStyle w:val="Odstavek"/>
        <w:spacing w:after="0" w:line="260" w:lineRule="atLeast"/>
      </w:pPr>
    </w:p>
    <w:p w14:paraId="216AB586" w14:textId="77777777" w:rsidR="00C50F53" w:rsidRPr="004752FD" w:rsidRDefault="00C50F53" w:rsidP="004752FD">
      <w:pPr>
        <w:pStyle w:val="Odstavek"/>
        <w:spacing w:after="0" w:line="260" w:lineRule="atLeast"/>
      </w:pPr>
      <w:r w:rsidRPr="004752FD">
        <w:t xml:space="preserve">(7) Ne glede na peti odstavek tega člena se dnevniški zapisi ključnih delov nacionalnega varnostnega sistema hranijo le na ozemlju Republike Slovenije. </w:t>
      </w:r>
    </w:p>
    <w:p w14:paraId="15C2AA0D" w14:textId="77777777" w:rsidR="00C50F53" w:rsidRPr="004752FD" w:rsidRDefault="00C50F53" w:rsidP="004752FD">
      <w:pPr>
        <w:pStyle w:val="Odstavek"/>
        <w:spacing w:after="0" w:line="260" w:lineRule="atLeast"/>
      </w:pPr>
    </w:p>
    <w:p w14:paraId="68027C6D" w14:textId="77777777" w:rsidR="00C50F53" w:rsidRPr="004752FD" w:rsidRDefault="00C50F53" w:rsidP="004752FD">
      <w:pPr>
        <w:pStyle w:val="Odstavek"/>
        <w:spacing w:after="0" w:line="260" w:lineRule="atLeast"/>
      </w:pPr>
      <w:r w:rsidRPr="004752FD">
        <w:t>(8) Ne glede na prejšnji odstavek lahko ministrstvo, pristojno za zunanje zadeve, hranjenje dnevniških zapisov zagotavlja tudi na diplomatskih predstavništvih in konzulatih Republike Slovenije v tujini.</w:t>
      </w:r>
    </w:p>
    <w:p w14:paraId="426C5B48" w14:textId="77777777" w:rsidR="00C50F53" w:rsidRPr="004752FD" w:rsidRDefault="00C50F53" w:rsidP="004752FD">
      <w:pPr>
        <w:pStyle w:val="Odstavek"/>
        <w:spacing w:after="0" w:line="260" w:lineRule="atLeast"/>
      </w:pPr>
    </w:p>
    <w:p w14:paraId="51F6B265" w14:textId="77777777" w:rsidR="00C50F53" w:rsidRPr="004752FD" w:rsidRDefault="00C50F53" w:rsidP="004752FD">
      <w:pPr>
        <w:pStyle w:val="Odstavek"/>
        <w:spacing w:after="0" w:line="260" w:lineRule="atLeast"/>
      </w:pPr>
      <w:r w:rsidRPr="004752FD">
        <w:t>(9) Ne glede na drugi odstavek tega člena bistveni in pomembni subjekti, ki so ponudniki storitev DNS, registri TLD imen, ponudniki storitev računalništva v oblaku, ponudniki storitev podatkovnih centrov, ponudniki omrežij za dostavo vsebine, ponudniki upravljanih storitev, ponudniki upravljanih varnostnih storitev, ponudniki spletnih tržnic, spletnih iskalnikov in platform za storitve družbenega mreženja in ponudniki storitev zaupanja, glede obsega dnevniških zapisov upoštevajo določbe o spremljanju in vodenju dnevnikov iz izvedbenega akta Evropske komisije iz prvega pododstavka petega odstavka 21. člena Direktive 2022/2555/EU.</w:t>
      </w:r>
    </w:p>
    <w:p w14:paraId="0026B359" w14:textId="77777777" w:rsidR="00C50F53" w:rsidRPr="004752FD" w:rsidRDefault="00C50F53" w:rsidP="004752FD">
      <w:pPr>
        <w:pStyle w:val="Odstavek"/>
        <w:spacing w:after="0" w:line="260" w:lineRule="atLeast"/>
      </w:pPr>
    </w:p>
    <w:p w14:paraId="67BB0AF6" w14:textId="77777777" w:rsidR="00C50F53" w:rsidRPr="004752FD" w:rsidRDefault="00C50F53" w:rsidP="004752FD">
      <w:pPr>
        <w:pStyle w:val="Odstavek"/>
        <w:spacing w:after="0" w:line="260" w:lineRule="atLeast"/>
      </w:pPr>
    </w:p>
    <w:p w14:paraId="0DA070F7" w14:textId="77777777" w:rsidR="00C50F53" w:rsidRPr="004752FD" w:rsidRDefault="00C50F53" w:rsidP="004752FD">
      <w:pPr>
        <w:pStyle w:val="NIS2len"/>
        <w:spacing w:before="0" w:line="260" w:lineRule="atLeast"/>
        <w:ind w:left="0" w:firstLine="0"/>
        <w:rPr>
          <w:bCs/>
          <w:sz w:val="20"/>
          <w:szCs w:val="20"/>
        </w:rPr>
      </w:pPr>
      <w:bookmarkStart w:id="78" w:name="_Hlk179913438"/>
      <w:r w:rsidRPr="004752FD">
        <w:rPr>
          <w:bCs/>
          <w:sz w:val="20"/>
          <w:szCs w:val="20"/>
        </w:rPr>
        <w:t>člen</w:t>
      </w:r>
    </w:p>
    <w:p w14:paraId="5F1A5D50" w14:textId="77777777" w:rsidR="00C50F53" w:rsidRPr="004752FD" w:rsidRDefault="00C50F53" w:rsidP="004752FD">
      <w:pPr>
        <w:shd w:val="clear" w:color="auto" w:fill="FFFFFF"/>
        <w:spacing w:line="260" w:lineRule="atLeast"/>
        <w:ind w:hanging="284"/>
        <w:jc w:val="center"/>
        <w:rPr>
          <w:rFonts w:cs="Arial"/>
          <w:b/>
          <w:bCs/>
          <w:color w:val="000000"/>
          <w:szCs w:val="20"/>
          <w:lang w:val="sl-SI"/>
        </w:rPr>
      </w:pPr>
      <w:r w:rsidRPr="004752FD">
        <w:rPr>
          <w:rFonts w:cs="Arial"/>
          <w:b/>
          <w:bCs/>
          <w:color w:val="000000"/>
          <w:szCs w:val="20"/>
          <w:lang w:val="sl-SI"/>
        </w:rPr>
        <w:t>(ocena in samoocena skladnosti)</w:t>
      </w:r>
    </w:p>
    <w:bookmarkEnd w:id="78"/>
    <w:p w14:paraId="117ABF00" w14:textId="77777777" w:rsidR="00C50F53" w:rsidRPr="004752FD" w:rsidRDefault="00C50F53" w:rsidP="004752FD">
      <w:pPr>
        <w:shd w:val="clear" w:color="auto" w:fill="FFFFFF"/>
        <w:spacing w:line="260" w:lineRule="atLeast"/>
        <w:rPr>
          <w:rFonts w:cs="Arial"/>
          <w:szCs w:val="20"/>
          <w:lang w:val="sl-SI"/>
        </w:rPr>
      </w:pPr>
    </w:p>
    <w:p w14:paraId="2CFE1CEC" w14:textId="77777777" w:rsidR="00C50F53" w:rsidRPr="004752FD" w:rsidRDefault="00C50F53" w:rsidP="001D70C0">
      <w:pPr>
        <w:spacing w:line="260" w:lineRule="atLeast"/>
        <w:jc w:val="both"/>
        <w:rPr>
          <w:rFonts w:cs="Arial"/>
          <w:szCs w:val="20"/>
          <w:lang w:val="sl-SI"/>
        </w:rPr>
      </w:pPr>
      <w:r w:rsidRPr="004752FD">
        <w:rPr>
          <w:rFonts w:cs="Arial"/>
          <w:szCs w:val="20"/>
          <w:lang w:val="sl-SI"/>
        </w:rPr>
        <w:t xml:space="preserve">(1) Bistveni subjekti morajo oceno skladnosti izvajati najmanj enkrat na dve leti ali v primeru pojava pomembnega incidenta. Ocena skladnosti se izvaja kot revizija skladnosti s predpisi s področja informacijske varnosti ali v okviru notranje revizije, ki se izvaja na podlagi drugih </w:t>
      </w:r>
      <w:r w:rsidRPr="004752FD">
        <w:rPr>
          <w:rFonts w:cs="Arial"/>
          <w:szCs w:val="20"/>
          <w:lang w:val="sl-SI"/>
        </w:rPr>
        <w:lastRenderedPageBreak/>
        <w:t>predpisov in vključuje področje informacijske varnosti iz tega zakona in na podlagi tega zakona izdanih podzakonskih predpisov ali izvedbenih aktov Evropske komisije. Oceno skladnosti lahko v okviru notranje revizije poleg revizorjev informacijskih sistemov izvajajo tudi notranji revizorji v sodelovanju z veščakom za informacijsko tehnologijo. Revizor informacijskih sistemov ali notranji revizor pripravi poročilo o izvedeni oceni skladnosti.</w:t>
      </w:r>
    </w:p>
    <w:p w14:paraId="2BA84CDF" w14:textId="77777777" w:rsidR="00C50F53" w:rsidRPr="004752FD" w:rsidRDefault="00C50F53" w:rsidP="001D70C0">
      <w:pPr>
        <w:spacing w:line="260" w:lineRule="atLeast"/>
        <w:jc w:val="both"/>
        <w:rPr>
          <w:rFonts w:cs="Arial"/>
          <w:szCs w:val="20"/>
          <w:lang w:val="sl-SI"/>
        </w:rPr>
      </w:pPr>
    </w:p>
    <w:p w14:paraId="7299D742" w14:textId="77777777" w:rsidR="00C50F53" w:rsidRPr="004752FD" w:rsidRDefault="00C50F53" w:rsidP="001D70C0">
      <w:pPr>
        <w:jc w:val="both"/>
        <w:rPr>
          <w:rFonts w:cs="Arial"/>
          <w:szCs w:val="20"/>
          <w:lang w:val="sl-SI"/>
        </w:rPr>
      </w:pPr>
      <w:r w:rsidRPr="004752FD">
        <w:rPr>
          <w:rFonts w:cs="Arial"/>
          <w:szCs w:val="20"/>
          <w:lang w:val="sl-SI"/>
        </w:rPr>
        <w:t>(2) Če poročilo o izvedeni oceni skladnosti iz prejšnjega odstavka vsebuje ugotovitve neskladnosti in priporočila revizorja informacijskih sistemov za njihovo odpravo, bistveni subjekt pripravi načrt za odpravo ugotovljenih neskladnosti, določi način njihove odprave in roke za izvedbo.</w:t>
      </w:r>
    </w:p>
    <w:p w14:paraId="12E3ED6D" w14:textId="77777777" w:rsidR="00C50F53" w:rsidRPr="004752FD" w:rsidRDefault="00C50F53" w:rsidP="001D70C0">
      <w:pPr>
        <w:spacing w:line="260" w:lineRule="atLeast"/>
        <w:jc w:val="both"/>
        <w:rPr>
          <w:rFonts w:cs="Arial"/>
          <w:szCs w:val="20"/>
          <w:lang w:val="sl-SI"/>
        </w:rPr>
      </w:pPr>
    </w:p>
    <w:p w14:paraId="4D18182F" w14:textId="77777777" w:rsidR="00C50F53" w:rsidRPr="004752FD" w:rsidRDefault="00C50F53" w:rsidP="001D70C0">
      <w:pPr>
        <w:jc w:val="both"/>
        <w:rPr>
          <w:rFonts w:cs="Arial"/>
          <w:szCs w:val="20"/>
          <w:lang w:val="sl-SI"/>
        </w:rPr>
      </w:pPr>
      <w:r w:rsidRPr="004752FD">
        <w:rPr>
          <w:rFonts w:cs="Arial"/>
          <w:szCs w:val="20"/>
          <w:lang w:val="sl-SI"/>
        </w:rPr>
        <w:t xml:space="preserve">(3) Pomembni subjekti izvedejo samooceno skladnosti najmanj enkrat na dve leti ali v primeru pojava pomembnega incidenta. Samoocena skladnosti se izvede na način, da se dokumentirano preverita skladnost pomembnega subjekta z njegovo varnostno dokumentacijo in izvajanje ukrepov za obvladovanje tveganj za kibernetsko varnost. Samoocena skladnosti se lahko izvede tudi v okviru notranje revizije. </w:t>
      </w:r>
    </w:p>
    <w:p w14:paraId="306495A5" w14:textId="77777777" w:rsidR="00C50F53" w:rsidRPr="004752FD" w:rsidRDefault="00C50F53" w:rsidP="001D70C0">
      <w:pPr>
        <w:jc w:val="both"/>
        <w:rPr>
          <w:rFonts w:cs="Arial"/>
          <w:szCs w:val="20"/>
          <w:lang w:val="sl-SI"/>
        </w:rPr>
      </w:pPr>
    </w:p>
    <w:p w14:paraId="1DCDBB3A" w14:textId="77777777" w:rsidR="00C50F53" w:rsidRPr="004752FD" w:rsidRDefault="00C50F53" w:rsidP="001D70C0">
      <w:pPr>
        <w:jc w:val="both"/>
        <w:rPr>
          <w:rFonts w:cs="Arial"/>
          <w:szCs w:val="20"/>
          <w:lang w:val="sl-SI"/>
        </w:rPr>
      </w:pPr>
      <w:r w:rsidRPr="004752FD">
        <w:rPr>
          <w:rFonts w:cs="Arial"/>
          <w:szCs w:val="20"/>
          <w:lang w:val="sl-SI"/>
        </w:rPr>
        <w:t>(4) Če je iz rezultatov opravljene samoocene skladnosti razvidno, da pomembni subjekt izpolnjuje zahteve, predpisane s tem zakonom, ta sestavi izjavo o skladnosti, pri čemer ta vsebuje potrebne elemente samoocenjevanja skladnosti, ki omogočajo izvedbo ponovljivosti opravljene ocene.</w:t>
      </w:r>
    </w:p>
    <w:p w14:paraId="78946334" w14:textId="77777777" w:rsidR="00C50F53" w:rsidRPr="004752FD" w:rsidRDefault="00C50F53" w:rsidP="001D70C0">
      <w:pPr>
        <w:pStyle w:val="Odstavek"/>
        <w:spacing w:after="0" w:line="260" w:lineRule="atLeast"/>
      </w:pPr>
    </w:p>
    <w:p w14:paraId="6FAEB880" w14:textId="77777777" w:rsidR="00C50F53" w:rsidRPr="004752FD" w:rsidRDefault="00C50F53" w:rsidP="001D70C0">
      <w:pPr>
        <w:pStyle w:val="Odstavek"/>
        <w:spacing w:after="0" w:line="260" w:lineRule="atLeast"/>
      </w:pPr>
      <w:r w:rsidRPr="004752FD">
        <w:t>(5) Če je iz rezultatov opravljene samoocene skladnosti razvidno, da pomembni subjekt ne izpolnjuje predpisanih zahtev, ta sestavi izjavo o ugotavljanju neskladnosti, v kateri navede ugotovljene neskladnosti in način njihove odprave z roki za izvedbo.</w:t>
      </w:r>
    </w:p>
    <w:p w14:paraId="1CE8F506" w14:textId="77777777" w:rsidR="00C50F53" w:rsidRPr="004752FD" w:rsidRDefault="00C50F53" w:rsidP="004752FD">
      <w:pPr>
        <w:pStyle w:val="Odstavek"/>
        <w:spacing w:after="0" w:line="260" w:lineRule="atLeast"/>
      </w:pPr>
    </w:p>
    <w:p w14:paraId="300C97A9" w14:textId="77777777" w:rsidR="00C50F53" w:rsidRPr="004752FD" w:rsidRDefault="00C50F53" w:rsidP="004752FD">
      <w:pPr>
        <w:pStyle w:val="Odstavek"/>
        <w:spacing w:after="0" w:line="260" w:lineRule="atLeast"/>
      </w:pPr>
    </w:p>
    <w:p w14:paraId="6E22F5E0"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E3F7727" w14:textId="77777777" w:rsidR="00C50F53" w:rsidRPr="004752FD" w:rsidRDefault="00C50F53" w:rsidP="004752FD">
      <w:pPr>
        <w:pStyle w:val="Odstavek"/>
        <w:spacing w:after="0" w:line="260" w:lineRule="atLeast"/>
        <w:jc w:val="center"/>
        <w:rPr>
          <w:b/>
          <w:bCs/>
        </w:rPr>
      </w:pPr>
      <w:r w:rsidRPr="004752FD">
        <w:rPr>
          <w:b/>
          <w:bCs/>
        </w:rPr>
        <w:t>(obveza predložitve podatkov in informacij)</w:t>
      </w:r>
    </w:p>
    <w:p w14:paraId="73CAF8D8" w14:textId="77777777" w:rsidR="00C50F53" w:rsidRPr="004752FD" w:rsidRDefault="00C50F53" w:rsidP="004752FD">
      <w:pPr>
        <w:pStyle w:val="Odstavek"/>
        <w:spacing w:after="0" w:line="260" w:lineRule="atLeast"/>
        <w:rPr>
          <w:strike/>
        </w:rPr>
      </w:pPr>
    </w:p>
    <w:p w14:paraId="4CB962F7" w14:textId="77777777" w:rsidR="00C50F53" w:rsidRPr="004752FD" w:rsidRDefault="00C50F53" w:rsidP="004752FD">
      <w:pPr>
        <w:pStyle w:val="Odstavek"/>
        <w:spacing w:after="0" w:line="260" w:lineRule="atLeast"/>
      </w:pPr>
      <w:r w:rsidRPr="004752FD">
        <w:t>(1) Bistveni in pomembni subjekti morajo pristojnemu nacionalnemu organu na podlagi pisne zahteve predložiti podatke in informacije, ki jih ta potrebuje za izvajanje svojih pristojnosti po tem zakonu, in sicer v roku, ki ga določi v svoji pisni zahtevi.</w:t>
      </w:r>
    </w:p>
    <w:p w14:paraId="7F16782A" w14:textId="77777777" w:rsidR="00C50F53" w:rsidRPr="004752FD" w:rsidRDefault="00C50F53" w:rsidP="004752FD">
      <w:pPr>
        <w:pStyle w:val="Odstavek"/>
        <w:spacing w:after="0" w:line="260" w:lineRule="atLeast"/>
      </w:pPr>
    </w:p>
    <w:p w14:paraId="1C0CECAE" w14:textId="77777777" w:rsidR="00C50F53" w:rsidRPr="004752FD" w:rsidRDefault="00C50F53" w:rsidP="004752FD">
      <w:pPr>
        <w:pStyle w:val="Odstavek"/>
        <w:spacing w:after="0" w:line="260" w:lineRule="atLeast"/>
      </w:pPr>
      <w:r w:rsidRPr="004752FD">
        <w:t>(2) Zahtevani podatki in informacije morajo biti sorazmerni namenu, za katerega bodo uporabljeni. Pristojni nacionalni organ mora v zahtevi navesti namen uporabe zahtevanih podatkov in informacij.</w:t>
      </w:r>
    </w:p>
    <w:p w14:paraId="36E087C8" w14:textId="77777777" w:rsidR="00C50F53" w:rsidRPr="004752FD" w:rsidRDefault="00C50F53" w:rsidP="004752FD">
      <w:pPr>
        <w:pStyle w:val="Odstavek"/>
        <w:spacing w:after="0" w:line="260" w:lineRule="atLeast"/>
      </w:pPr>
    </w:p>
    <w:p w14:paraId="5EC5E2D0" w14:textId="77777777" w:rsidR="00C50F53" w:rsidRPr="004752FD" w:rsidRDefault="00C50F53" w:rsidP="004752FD">
      <w:pPr>
        <w:pStyle w:val="Odstavek"/>
        <w:spacing w:after="0"/>
      </w:pPr>
      <w:r w:rsidRPr="004752FD">
        <w:t xml:space="preserve">(3) Če pristojni nacionalni organ zahteva podatke in informacije, ki so pri subjektih iz prvega odstavka tega člena opredeljeni kot tajni ali kot poslovna skrivnost ali druga oblika varovanih podatkov, se za predložitev takšnih podatkov in informacij pristojnemu nacionalnemu organu uporabljajo izključno varne komunikacijske poti. </w:t>
      </w:r>
    </w:p>
    <w:p w14:paraId="689B39A0" w14:textId="77777777" w:rsidR="00C50F53" w:rsidRPr="004752FD" w:rsidRDefault="00C50F53" w:rsidP="004752FD">
      <w:pPr>
        <w:pStyle w:val="Odstavek"/>
        <w:spacing w:after="0" w:line="260" w:lineRule="atLeast"/>
      </w:pPr>
    </w:p>
    <w:p w14:paraId="25FE96D4" w14:textId="77777777" w:rsidR="00C50F53" w:rsidRPr="004752FD" w:rsidRDefault="00C50F53" w:rsidP="004752FD">
      <w:pPr>
        <w:pStyle w:val="Odstavek"/>
        <w:spacing w:after="0" w:line="260" w:lineRule="atLeast"/>
      </w:pPr>
    </w:p>
    <w:p w14:paraId="32ED057A"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9F7F794"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(certificiranje)</w:t>
      </w:r>
    </w:p>
    <w:p w14:paraId="48E1D5F0" w14:textId="77777777" w:rsidR="00C50F53" w:rsidRPr="004752FD" w:rsidRDefault="00C50F53" w:rsidP="004752FD">
      <w:pPr>
        <w:pStyle w:val="Odstavek"/>
        <w:spacing w:after="0" w:line="260" w:lineRule="atLeast"/>
      </w:pPr>
    </w:p>
    <w:p w14:paraId="1AD9249E" w14:textId="77777777" w:rsidR="00C50F53" w:rsidRPr="004752FD" w:rsidRDefault="00C50F53" w:rsidP="004752FD">
      <w:pPr>
        <w:pStyle w:val="Odstavek"/>
        <w:spacing w:after="0"/>
      </w:pPr>
      <w:r w:rsidRPr="004752FD">
        <w:t>(1) Certificiranje za kibernetsko varnost pomeni potrditev, da so bili proizvodi, storitve in postopki IKT ocenjeni v skladu z veljavnimi evropskimi certifikacijskimi shemami za kibernetsko varnost iz izvedbenih aktov Evropske komisije, sprejetimi na podlagi 49. člena Uredbe 2019/881/EU (v nadaljnjem besedilu: evropske certifikacijske sheme za kibernetsko varnost), in da izpolnjujejo v teh shemah določene varnostne zahteve.</w:t>
      </w:r>
    </w:p>
    <w:p w14:paraId="175E7F5E" w14:textId="77777777" w:rsidR="00C50F53" w:rsidRPr="004752FD" w:rsidRDefault="00C50F53" w:rsidP="004752FD">
      <w:pPr>
        <w:pStyle w:val="Odstavek"/>
        <w:spacing w:after="0"/>
      </w:pPr>
    </w:p>
    <w:p w14:paraId="1F48F4F2" w14:textId="77777777" w:rsidR="00C50F53" w:rsidRPr="004752FD" w:rsidRDefault="00C50F53" w:rsidP="004752FD">
      <w:pPr>
        <w:pStyle w:val="Odstavek"/>
        <w:spacing w:after="0"/>
      </w:pPr>
      <w:r w:rsidRPr="004752FD">
        <w:lastRenderedPageBreak/>
        <w:t xml:space="preserve">(2) </w:t>
      </w:r>
      <w:bookmarkStart w:id="79" w:name="_Hlk161314836"/>
      <w:r w:rsidRPr="004752FD">
        <w:t>Certificiranje za kibernetsko varnost se izvaja v skladu z Uredbo 2019/881/EU in evropskimi certifikacijskimi shemami za kibernetsko varnost.</w:t>
      </w:r>
      <w:bookmarkEnd w:id="79"/>
    </w:p>
    <w:p w14:paraId="4CE99971" w14:textId="77777777" w:rsidR="00C50F53" w:rsidRPr="004752FD" w:rsidRDefault="00C50F53" w:rsidP="004752FD">
      <w:pPr>
        <w:pStyle w:val="Odstavek"/>
        <w:spacing w:after="0"/>
      </w:pPr>
    </w:p>
    <w:p w14:paraId="38B0605D" w14:textId="77777777" w:rsidR="00C50F53" w:rsidRPr="004752FD" w:rsidRDefault="00C50F53" w:rsidP="004752FD">
      <w:pPr>
        <w:pStyle w:val="Odstavek"/>
        <w:spacing w:after="0"/>
      </w:pPr>
      <w:r w:rsidRPr="004752FD">
        <w:t>(3) Pristojni nacionalni certifikacijski organ za kibernetsko varnost iz prvega odstavka 58. člena Uredbe 2019/881/EU v Republiki Sloveniji je Urad Vlade Republike Slovenije za informacijsko varnost.</w:t>
      </w:r>
    </w:p>
    <w:p w14:paraId="616DA13B" w14:textId="77777777" w:rsidR="00C50F53" w:rsidRPr="004752FD" w:rsidRDefault="00C50F53" w:rsidP="004752FD">
      <w:pPr>
        <w:pStyle w:val="Odstavek"/>
        <w:spacing w:after="0"/>
        <w:rPr>
          <w:strike/>
        </w:rPr>
      </w:pPr>
    </w:p>
    <w:p w14:paraId="45CF3F48" w14:textId="77777777" w:rsidR="00C50F53" w:rsidRPr="004752FD" w:rsidRDefault="00C50F53" w:rsidP="004752FD">
      <w:pPr>
        <w:pStyle w:val="Odstavek"/>
        <w:spacing w:after="0"/>
        <w:rPr>
          <w:strike/>
        </w:rPr>
      </w:pPr>
      <w:r w:rsidRPr="004752FD">
        <w:t xml:space="preserve">(4) Samoocenjevanje skladnosti, za katero je v celoti odgovoren proizvajalec ali ponudnik proizvodov, storitev ali postopkov IKT, in izdaja izjave EU o skladnosti se izvajata v skladu s 53. členom Uredbe 2019/881/EU. </w:t>
      </w:r>
    </w:p>
    <w:p w14:paraId="3ABB87BF" w14:textId="77777777" w:rsidR="00C50F53" w:rsidRPr="004752FD" w:rsidRDefault="00C50F53" w:rsidP="004752FD">
      <w:pPr>
        <w:pStyle w:val="Odstavek"/>
        <w:spacing w:after="0"/>
      </w:pPr>
    </w:p>
    <w:p w14:paraId="47537504" w14:textId="77777777" w:rsidR="00C50F53" w:rsidRDefault="00C50F53" w:rsidP="004752FD">
      <w:pPr>
        <w:pStyle w:val="Odstavek"/>
        <w:spacing w:after="0"/>
      </w:pPr>
      <w:r w:rsidRPr="004752FD">
        <w:t xml:space="preserve">(5) Naloge nacionalnega akreditacijskega organa iz Uredbe 2019/881/EU v Republiki Sloveniji opravlja javni zavod Slovenska akreditacija, ta tudi akreditira organe za ugotavljanje skladnosti, ki izpolnjujejo pogoje iz navedene uredbe. </w:t>
      </w:r>
    </w:p>
    <w:p w14:paraId="549F98E0" w14:textId="77777777" w:rsidR="00E20E87" w:rsidRPr="004752FD" w:rsidRDefault="00E20E87" w:rsidP="004752FD">
      <w:pPr>
        <w:pStyle w:val="Odstavek"/>
        <w:spacing w:after="0"/>
      </w:pPr>
    </w:p>
    <w:p w14:paraId="67BCF0FE" w14:textId="77777777" w:rsidR="00C50F53" w:rsidRPr="004752FD" w:rsidRDefault="00C50F53" w:rsidP="004752FD">
      <w:pPr>
        <w:pStyle w:val="Odstavek"/>
        <w:spacing w:after="0"/>
      </w:pPr>
      <w:bookmarkStart w:id="80" w:name="_Hlk161150828"/>
      <w:r w:rsidRPr="004752FD">
        <w:t>(6) Organ za ugotavljanje skladnosti v Republiki Sloveniji se določi po postopku in na način iz IV. poglavja Zakona o tehničnih zahtevah za proizvode in o ugotavljanju skladnosti (Uradni list RS, št. 17/11 in 29/23), pri čemer ta organ izpolnjuje zahteve po prej navedenem zakonu in dodatne zahteve iz priloge Uredbe 2019/881/EU.</w:t>
      </w:r>
    </w:p>
    <w:bookmarkEnd w:id="80"/>
    <w:p w14:paraId="5676389B" w14:textId="77777777" w:rsidR="00C50F53" w:rsidRPr="004752FD" w:rsidRDefault="00C50F53" w:rsidP="004752FD">
      <w:pPr>
        <w:pStyle w:val="Odstavek"/>
        <w:spacing w:after="0"/>
      </w:pPr>
    </w:p>
    <w:p w14:paraId="10668793" w14:textId="77777777" w:rsidR="00C50F53" w:rsidRPr="004752FD" w:rsidRDefault="00C50F53" w:rsidP="004752FD">
      <w:pPr>
        <w:pStyle w:val="Odstavek"/>
        <w:spacing w:after="0"/>
      </w:pPr>
      <w:r w:rsidRPr="004752FD">
        <w:t xml:space="preserve">(7) Organ za ugotavljanje skladnosti iz prejšnjega odstavka lahko na podlagi Uredbe 2019/881/EU izda evropski certifikat kibernetske varnosti, ki se nanaša na osnovno ali znatno raven zanesljivosti, in to na podlagi meril, vključenih v evropsko certifikacijsko shemo za kibernetsko varnost. </w:t>
      </w:r>
    </w:p>
    <w:p w14:paraId="486BD025" w14:textId="77777777" w:rsidR="00C50F53" w:rsidRPr="004752FD" w:rsidRDefault="00C50F53" w:rsidP="004752FD">
      <w:pPr>
        <w:pStyle w:val="Odstavek"/>
        <w:spacing w:after="0"/>
      </w:pPr>
    </w:p>
    <w:p w14:paraId="6B1CE8B1" w14:textId="77777777" w:rsidR="00C50F53" w:rsidRPr="004752FD" w:rsidRDefault="00C50F53" w:rsidP="004752FD">
      <w:pPr>
        <w:pStyle w:val="Odstavek"/>
        <w:spacing w:after="0"/>
      </w:pPr>
      <w:r w:rsidRPr="004752FD">
        <w:t>(8) Ne glede na prejšnji odstavek, kadar evropska certifikacijska shema za kibernetsko varnost</w:t>
      </w:r>
      <w:r w:rsidRPr="004752FD" w:rsidDel="004D208C">
        <w:t xml:space="preserve"> </w:t>
      </w:r>
      <w:r w:rsidRPr="004752FD">
        <w:t>določa, da evropske certifikate kibernetske varnosti, ki izhajajo iz te sheme, izdajajo le javni organi, je v Republiki Sloveniji pristojen organ za ugotavljanje skladnosti iz šestega odstavka tega člena, ki izpolnjuje dodatni pogoj, da gre za subjekt javnega prava. Kadar takšnega organa ni, je za izdajo takšnega evropskega certifikata kibernetske varnosti pristojen nacionalni certifikacijski organ za kibernetsko varnost.</w:t>
      </w:r>
    </w:p>
    <w:p w14:paraId="4F17B28E" w14:textId="77777777" w:rsidR="00C50F53" w:rsidRPr="004752FD" w:rsidRDefault="00C50F53" w:rsidP="004752FD">
      <w:pPr>
        <w:pStyle w:val="Odstavek"/>
        <w:spacing w:after="0"/>
      </w:pPr>
    </w:p>
    <w:p w14:paraId="5B29CCEC" w14:textId="77777777" w:rsidR="00C50F53" w:rsidRPr="004752FD" w:rsidRDefault="00C50F53" w:rsidP="004752FD">
      <w:pPr>
        <w:pStyle w:val="Odstavek"/>
        <w:spacing w:after="0"/>
      </w:pPr>
      <w:r w:rsidRPr="004752FD">
        <w:t>(9) Kadar evropska certifikacijska shema za kibernetsko varnost</w:t>
      </w:r>
      <w:r w:rsidRPr="004752FD" w:rsidDel="003F28B7">
        <w:t xml:space="preserve"> </w:t>
      </w:r>
      <w:r w:rsidRPr="004752FD">
        <w:t>zahteva visoko raven zanesljivosti, lahko v Republiki Sloveniji evropski certifikat kibernetske varnosti na podlagi te sheme izda nacionalni certifikacijski organ za kibernetsko varnost.</w:t>
      </w:r>
    </w:p>
    <w:p w14:paraId="6DA763AE" w14:textId="77777777" w:rsidR="00C50F53" w:rsidRPr="004752FD" w:rsidRDefault="00C50F53" w:rsidP="004752FD">
      <w:pPr>
        <w:pStyle w:val="Odstavek"/>
        <w:spacing w:after="0"/>
      </w:pPr>
    </w:p>
    <w:p w14:paraId="49A80445" w14:textId="77777777" w:rsidR="00C50F53" w:rsidRPr="004752FD" w:rsidRDefault="00C50F53" w:rsidP="004752FD">
      <w:pPr>
        <w:pStyle w:val="Odstavek"/>
        <w:spacing w:after="0"/>
      </w:pPr>
      <w:r w:rsidRPr="004752FD">
        <w:t>(10) Ne glede na osmi odstavek tega člena in na prejšnji odstavek lahko evropski certifikat kibernetske varnosti izda organ za ugotavljanje skladnosti, če nacionalni certifikacijski organ za kibernetsko varnost to predhodno odobri za vsak posamezni evropski certifikat kibernetske varnosti posebej ali na podlagi splošnega prenosa naloge izdajanja takih evropskih certifikatov kibernetske varnosti na organ za ugotavljanje skladnosti.</w:t>
      </w:r>
    </w:p>
    <w:p w14:paraId="4DB8A0DC" w14:textId="77777777" w:rsidR="00C50F53" w:rsidRPr="004752FD" w:rsidRDefault="00C50F53" w:rsidP="004752FD">
      <w:pPr>
        <w:pStyle w:val="Odstavek"/>
        <w:spacing w:after="0"/>
      </w:pPr>
    </w:p>
    <w:p w14:paraId="3EFFF0F0" w14:textId="77777777" w:rsidR="00C50F53" w:rsidRPr="004752FD" w:rsidRDefault="00C50F53" w:rsidP="004752FD">
      <w:pPr>
        <w:pStyle w:val="Odstavek"/>
        <w:spacing w:after="0"/>
      </w:pPr>
      <w:r w:rsidRPr="004752FD">
        <w:t xml:space="preserve">(11) Nacionalni certifikacijski organ za kibernetsko varnost lahko na podlagi predhodnega soglasja vlade prenese pooblastilo za izdajanje evropskih certifikatov kibernetske varnosti za visoko raven zanesljivosti iz svoje pristojnosti tudi na pristojni nacionalni certifikacijski organ za kibernetsko varnost druge države članice Evropske unije. V tem primeru nacionalni certifikacijski organ odloči o priznanju tako izdanega evropskega certifikata kibernetske varnosti za visoko raven zanesljivosti. </w:t>
      </w:r>
    </w:p>
    <w:p w14:paraId="7BCAF8EE" w14:textId="77777777" w:rsidR="00C50F53" w:rsidRPr="004752FD" w:rsidRDefault="00C50F53" w:rsidP="004752FD">
      <w:pPr>
        <w:pStyle w:val="Odstavek"/>
        <w:spacing w:after="0"/>
      </w:pPr>
    </w:p>
    <w:p w14:paraId="34BCC92F" w14:textId="51F4D312" w:rsidR="00C50F53" w:rsidRPr="004752FD" w:rsidRDefault="00C50F53" w:rsidP="004752FD">
      <w:pPr>
        <w:pStyle w:val="Odstavek"/>
        <w:spacing w:after="0"/>
      </w:pPr>
      <w:r w:rsidRPr="004752FD">
        <w:lastRenderedPageBreak/>
        <w:t>(12) Nacionalni certifikacijski organ za kibernetsko varnost odloča o vlogah za priznanje evropskega certifikata kibernetske varnosti, ki ga imajo fizične ali pravne osebe in so podale vlogo za takšno priznanje v Republiki Sloveniji. Poleg tega lahko z odločbo prekliče evropski certifikat kibernetsk</w:t>
      </w:r>
      <w:r w:rsidR="00676406">
        <w:t>e</w:t>
      </w:r>
      <w:r w:rsidRPr="004752FD">
        <w:t xml:space="preserve"> varnost</w:t>
      </w:r>
      <w:r w:rsidR="00676406">
        <w:t>i</w:t>
      </w:r>
      <w:r w:rsidRPr="004752FD">
        <w:t>, ki ga izda pristojni organ iz sedmega, osmega ali prejšnjega odstavka tega člena, kadar tak certifikat ni v skladu z Uredbo 2019/881/EU ali z evropskimi certifikacijskimi shemami za kibernetsko varnost, sprejetimi na podlagi 49. člena Uredbe 2019/881/EU.</w:t>
      </w:r>
    </w:p>
    <w:p w14:paraId="497EDA54" w14:textId="77777777" w:rsidR="00C50F53" w:rsidRPr="004752FD" w:rsidRDefault="00C50F53" w:rsidP="004752FD">
      <w:pPr>
        <w:pStyle w:val="Odstavek"/>
        <w:spacing w:after="0"/>
      </w:pPr>
    </w:p>
    <w:p w14:paraId="228AA295" w14:textId="77777777" w:rsidR="00C50F53" w:rsidRPr="004752FD" w:rsidRDefault="00C50F53" w:rsidP="004752FD">
      <w:pPr>
        <w:pStyle w:val="Odstavek"/>
        <w:spacing w:after="0"/>
        <w:rPr>
          <w:strike/>
        </w:rPr>
      </w:pPr>
      <w:r w:rsidRPr="004752FD">
        <w:t xml:space="preserve">(13) Fizične in pravne osebe, ki so stranke ali stranski udeleženci postopka iz sedmega, osmega ali devetega odstavka tega člena, lahko pri organu, pristojnem za izdajo evropskega certifikata kibernetske varnosti, vložijo pritožbo zoper evropski certifikat kibernetske varnosti ali zoper molk organa. Kadar se pritožba nanaša na evropski certifikat kibernetske varnosti, ki ga je izdal organ za ugotavljanje skladnosti v skladu z osmim odstavkom tega člena, se takšna pritožba vloži pri nacionalnem certifikacijskem organu za kibernetsko varnost. </w:t>
      </w:r>
    </w:p>
    <w:p w14:paraId="3B8BEE58" w14:textId="77777777" w:rsidR="00C50F53" w:rsidRPr="004752FD" w:rsidRDefault="00C50F53" w:rsidP="004752FD">
      <w:pPr>
        <w:pStyle w:val="Odstavek"/>
        <w:spacing w:after="0"/>
      </w:pPr>
    </w:p>
    <w:p w14:paraId="02437300" w14:textId="77777777" w:rsidR="00C50F53" w:rsidRPr="004752FD" w:rsidRDefault="00C50F53" w:rsidP="004752FD">
      <w:pPr>
        <w:pStyle w:val="Odstavek"/>
        <w:spacing w:after="0"/>
      </w:pPr>
      <w:r w:rsidRPr="004752FD">
        <w:t xml:space="preserve">(14) Organ, pri katerem je bila vložena pritožba, preizkusi vsebino pritožbe in obvesti pritožnika o poteku postopka ali o odstopu pritožbe v reševanje nacionalnemu certifikacijskemu organu za kibernetsko varnost, ki odloči o pritožbi. Zoper odločbo pritožbenega organa je dovoljen upravni spor. </w:t>
      </w:r>
    </w:p>
    <w:p w14:paraId="709F6FFC" w14:textId="77777777" w:rsidR="00C50F53" w:rsidRPr="004752FD" w:rsidRDefault="00C50F53" w:rsidP="004752FD">
      <w:pPr>
        <w:pStyle w:val="Odstavek"/>
        <w:spacing w:after="0"/>
        <w:rPr>
          <w:strike/>
        </w:rPr>
      </w:pPr>
    </w:p>
    <w:p w14:paraId="2F97FE1A" w14:textId="77777777" w:rsidR="00C50F53" w:rsidRPr="004752FD" w:rsidRDefault="00C50F53" w:rsidP="004752FD">
      <w:pPr>
        <w:pStyle w:val="Odstavek"/>
        <w:spacing w:after="0"/>
      </w:pPr>
      <w:r w:rsidRPr="004752FD">
        <w:t>(15) Kadar na podlagi osmega ali devetega odstavka tega člena o izdaji evropskega certifikata kibernetske varnosti odloča nacionalni certifikacijski organ za kibernetsko varnost, je zoper evropski certifikat kibernetske varnosti ali zoper molk organa dovoljen upravni spor.</w:t>
      </w:r>
    </w:p>
    <w:p w14:paraId="74FBF70C" w14:textId="77777777" w:rsidR="00C50F53" w:rsidRPr="004752FD" w:rsidRDefault="00C50F53" w:rsidP="004752FD">
      <w:pPr>
        <w:pStyle w:val="Odstavek"/>
        <w:spacing w:after="0"/>
      </w:pPr>
    </w:p>
    <w:p w14:paraId="01416BC4" w14:textId="77777777" w:rsidR="00C50F53" w:rsidRPr="004752FD" w:rsidRDefault="00C50F53" w:rsidP="004752FD">
      <w:pPr>
        <w:pStyle w:val="Odstavek"/>
        <w:spacing w:after="0"/>
      </w:pPr>
      <w:r w:rsidRPr="004752FD">
        <w:t>(16) Sodno varstvo iz desetega, enajstega, dvanajstega in prejšnjega odstavka tega člena vključuje tudi nepravilno izdajo, opustitev izdaje ali priznanje evropskega certifikata kibernetske varnosti, ki ga imajo fizične ali pravne osebe, ki so stranke ali stranski udeleženci postopka, in molk organa.</w:t>
      </w:r>
    </w:p>
    <w:p w14:paraId="45D000F7" w14:textId="77777777" w:rsidR="00C50F53" w:rsidRPr="004752FD" w:rsidRDefault="00C50F53" w:rsidP="004752FD">
      <w:pPr>
        <w:pStyle w:val="Odstavek"/>
        <w:spacing w:after="0"/>
      </w:pPr>
    </w:p>
    <w:p w14:paraId="57C1D780" w14:textId="77777777" w:rsidR="00C50F53" w:rsidRPr="00E20E87" w:rsidRDefault="00C50F53" w:rsidP="00E20E87">
      <w:pPr>
        <w:pStyle w:val="Odstavek"/>
        <w:spacing w:after="0"/>
      </w:pPr>
      <w:r w:rsidRPr="00E20E87">
        <w:t xml:space="preserve">(17) Za obvladovanje tveganj za varnost omrežij in informacijskih sistemov bistveni in pomembni subjekti pri izvajanju ukrepov iz 22. člena tega zakona prednostno uporabljajo kvalificirane storitve zaupanja in tiste proizvode, storitve ali postopke IKT, ki so jih razvili bistveni ali pomembni subjekti ali so bili kupljeni pri drugih subjektih in so certificirani na podlagi evropskih certifikacijskih shem za kibernetsko varnost, sprejetih na podlagi 49. člena Uredbe 2019/881/EU. </w:t>
      </w:r>
    </w:p>
    <w:p w14:paraId="427531A7"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4FE999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656884C"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0B7BB07"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(standardizacija)</w:t>
      </w:r>
    </w:p>
    <w:p w14:paraId="338ED934"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color w:val="000000"/>
          <w:sz w:val="20"/>
          <w:szCs w:val="20"/>
        </w:rPr>
      </w:pPr>
    </w:p>
    <w:p w14:paraId="0A2F7BA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Bistveni in pomembni subjekti za zagotovitev skladnega izvajanja ukrepov iz 21. in 22. člena tega zakona v čim večji meri uporabljajo evropske in mednarodne standarde in tehnične specifikacije, ki obravnavajo varnost omrežnih in informacijskih sistemov. Pri tem upoštevajo tudi priporočila in smernice agencije ENISA.</w:t>
      </w:r>
    </w:p>
    <w:p w14:paraId="5AA8893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EA5F0D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w:t>
      </w:r>
      <w:r w:rsidRPr="004752FD">
        <w:rPr>
          <w:rFonts w:ascii="Arial" w:hAnsi="Arial" w:cs="Arial"/>
          <w:sz w:val="20"/>
          <w:szCs w:val="20"/>
        </w:rPr>
        <w:t xml:space="preserve"> </w:t>
      </w:r>
      <w:r w:rsidRPr="004752FD">
        <w:rPr>
          <w:rFonts w:ascii="Arial" w:hAnsi="Arial" w:cs="Arial"/>
          <w:color w:val="000000"/>
          <w:sz w:val="20"/>
          <w:szCs w:val="20"/>
        </w:rPr>
        <w:t>Pristojni nacionalni organ na osrednjem spletnem mestu državne uprave objavlja ustrezne informacije o</w:t>
      </w:r>
      <w:r w:rsidRPr="004752FD">
        <w:rPr>
          <w:rFonts w:ascii="Arial" w:hAnsi="Arial" w:cs="Arial"/>
          <w:sz w:val="20"/>
          <w:szCs w:val="20"/>
        </w:rPr>
        <w:t xml:space="preserve"> </w:t>
      </w:r>
      <w:r w:rsidRPr="004752FD">
        <w:rPr>
          <w:rFonts w:ascii="Arial" w:hAnsi="Arial" w:cs="Arial"/>
          <w:color w:val="000000"/>
          <w:sz w:val="20"/>
          <w:szCs w:val="20"/>
        </w:rPr>
        <w:t>evropskih in mednarodnih standardih in tehničnih specifikacijah, ki obravnavajo varnost omrežnih in informacijskih sistemov iz prejšnjega odstavka, ter ozavešča zavezance glede njihove uporabe.</w:t>
      </w:r>
    </w:p>
    <w:p w14:paraId="0F15D987"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446CCF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(3) Regulativni organi ali nadzorniki, ki so pristojni za sektorje iz Prilog 1 in 2 tega zakona, lahko za nadgradnjo ravni kibernetske varnosti bistvenih in pomembnih subjektov na osrednjem </w:t>
      </w:r>
      <w:r w:rsidRPr="004752FD">
        <w:rPr>
          <w:rFonts w:ascii="Arial" w:hAnsi="Arial" w:cs="Arial"/>
          <w:color w:val="000000"/>
          <w:sz w:val="20"/>
          <w:szCs w:val="20"/>
        </w:rPr>
        <w:lastRenderedPageBreak/>
        <w:t>spletnem mestu državne uprave objavljajo tehnično specifične industrijske standarde in tehnične specifikacije.</w:t>
      </w:r>
    </w:p>
    <w:p w14:paraId="3B31C6B2"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color w:val="000000"/>
          <w:sz w:val="20"/>
          <w:szCs w:val="20"/>
        </w:rPr>
      </w:pPr>
    </w:p>
    <w:p w14:paraId="7FA05F85"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color w:val="000000"/>
          <w:sz w:val="20"/>
          <w:szCs w:val="20"/>
        </w:rPr>
      </w:pPr>
    </w:p>
    <w:p w14:paraId="467D6EBF"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50E71EC" w14:textId="77777777" w:rsidR="00C50F53" w:rsidRPr="004752FD" w:rsidRDefault="00C50F53" w:rsidP="004752FD">
      <w:pPr>
        <w:pStyle w:val="Odstavek"/>
        <w:spacing w:after="0" w:line="260" w:lineRule="atLeast"/>
        <w:jc w:val="center"/>
        <w:rPr>
          <w:b/>
          <w:bCs/>
        </w:rPr>
      </w:pPr>
      <w:r w:rsidRPr="004752FD">
        <w:rPr>
          <w:b/>
          <w:bCs/>
        </w:rPr>
        <w:t>(obveznost priglašanja in obveščanja)</w:t>
      </w:r>
    </w:p>
    <w:p w14:paraId="26355117" w14:textId="77777777" w:rsidR="00C50F53" w:rsidRPr="004752FD" w:rsidRDefault="00C50F53" w:rsidP="004752FD">
      <w:pPr>
        <w:pStyle w:val="Odstavek"/>
        <w:spacing w:after="0" w:line="260" w:lineRule="atLeast"/>
        <w:jc w:val="left"/>
      </w:pPr>
    </w:p>
    <w:p w14:paraId="6674977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Bistveni in pomembni subjekti pristojni skupini CSIRT nemudoma v skladu s prvim in drugim odstavkom 30. člena tega zakona in nacionalnim načrtom odzivanja iz drugega odstavka 12. člena tega zakona priglasijo vse incidente, ki imajo pomemben vpliv na zagotavljanje njihovih storitev. Pri tem se incident šteje za pomembnega (v nadaljnjem besedilu: pomemben incident), če:</w:t>
      </w:r>
    </w:p>
    <w:p w14:paraId="21E3FF09" w14:textId="77777777" w:rsidR="00C50F53" w:rsidRPr="004752FD" w:rsidRDefault="00C50F53" w:rsidP="00E20E87">
      <w:pPr>
        <w:pStyle w:val="poglavje0"/>
        <w:numPr>
          <w:ilvl w:val="0"/>
          <w:numId w:val="58"/>
        </w:numPr>
        <w:shd w:val="clear" w:color="auto" w:fill="FFFFFF"/>
        <w:spacing w:before="0" w:beforeAutospacing="0" w:after="0" w:afterAutospacing="0" w:line="260" w:lineRule="atLeast"/>
        <w:ind w:left="567" w:firstLine="0"/>
        <w:rPr>
          <w:rFonts w:ascii="Arial" w:hAnsi="Arial" w:cs="Arial"/>
          <w:color w:val="000000"/>
          <w:sz w:val="20"/>
          <w:szCs w:val="20"/>
        </w:rPr>
      </w:pPr>
      <w:r w:rsidRPr="004752FD">
        <w:rPr>
          <w:rFonts w:ascii="Arial" w:hAnsi="Arial" w:cs="Arial"/>
          <w:color w:val="000000"/>
          <w:sz w:val="20"/>
          <w:szCs w:val="20"/>
        </w:rPr>
        <w:t>je zadevnemu subjektu povzročil ali bi mu lahko povzročil resne operativne motnje pri opravljanju storitev ali finančne izgube ali</w:t>
      </w:r>
    </w:p>
    <w:p w14:paraId="42BBBC55" w14:textId="77777777" w:rsidR="00C50F53" w:rsidRPr="004752FD" w:rsidRDefault="00C50F53" w:rsidP="00E20E87">
      <w:pPr>
        <w:pStyle w:val="poglavje0"/>
        <w:numPr>
          <w:ilvl w:val="0"/>
          <w:numId w:val="58"/>
        </w:numPr>
        <w:shd w:val="clear" w:color="auto" w:fill="FFFFFF"/>
        <w:spacing w:before="0" w:beforeAutospacing="0" w:after="0" w:afterAutospacing="0" w:line="260" w:lineRule="atLeast"/>
        <w:ind w:left="567" w:firstLine="0"/>
        <w:rPr>
          <w:rFonts w:ascii="Arial" w:hAnsi="Arial" w:cs="Arial"/>
          <w:color w:val="000000"/>
          <w:sz w:val="20"/>
          <w:szCs w:val="20"/>
        </w:rPr>
      </w:pPr>
      <w:r w:rsidRPr="004752FD">
        <w:rPr>
          <w:rFonts w:ascii="Arial" w:hAnsi="Arial" w:cs="Arial"/>
          <w:color w:val="000000"/>
          <w:sz w:val="20"/>
          <w:szCs w:val="20"/>
        </w:rPr>
        <w:t>je vplival ali bi lahko vplival na druge fizične ali pravne osebe s povzročitvijo precejšnje premoženjske ali nepremoženjske škode.</w:t>
      </w:r>
    </w:p>
    <w:p w14:paraId="3734EE5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4A80A7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Bistveni in pomembni subjekti pri vrednotenju pomembnosti incidenta upoštevajo prizadetost omrežnih in informacijskih sistemov, zlasti njihov pomen pri zagotavljanju storitev subjekta, resnost in tehnične značilnosti kibernetske grožnje in njenega vpliva na uporabnike, ranljivosti, ki se izkoriščajo, in izkušnje subjekta s podobnimi incidenti. Pri priglašanju iz prejšnjega odstavka upoštevajo izvedbene akte Evropske komisije iz prvega pododstavka enajstega odstavka 23. člena Direktive 2022/2555/EU, s katerimi ta podrobneje določi vrsto informacij, obliko in postopek priglasitve ter prostovoljne priglasitve in obvestila.</w:t>
      </w:r>
    </w:p>
    <w:p w14:paraId="3DA6846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831F8A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Ponudniki storitev DNS, registri TLD imen, ponudniki storitev računalništva v oblaku, ponudniki storitev podatkovnih centrov, ponudniki omrežij za dostavo vsebine, ponudniki upravljanih storitev, ponudniki upravljanih varnostnih storitev in ponudniki spletnih tržnic, spletnih iskalnikov in platform za storitve družbenega mreženja pri priglašanju iz prejšnjega odstavka upoštevajo izvedbene akte Evropske komisije iz drugega pododstavka enajstega odstavka 23. člena Direktive 2022/2555/EU, v katerih so zanje podrobneje določeni posamezni primeri, ko se incident šteje za pomembnega.</w:t>
      </w:r>
    </w:p>
    <w:p w14:paraId="701BD51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6CB7BD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Bistveni in pomembni subjekti iz prvega odstavka tega člena, ki niso subjekti iz prejšnjega odstavka, upoštevajo izvedbene akte Evropske komisije iz drugega pododstavka enajstega odstavka 23. člena Direktive 2022/2555/EU. Če Evropska komisija takšnih izvedbenih aktov ne sprejme, se za te subjekte upošteva metodologija za določitev pomembnosti incidenta, kot je opredeljena v nacionalnem načrtu odzivanja.</w:t>
      </w:r>
    </w:p>
    <w:p w14:paraId="775B043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9BE218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(5) Bistveni in pomembni subjekti pristojni skupini CSIRT sporočijo vse potrebne informacije, da ta ugotovi čezmejni vpliv pomembnega incidenta. V primeru pomembnega čezmejnega ali medsektorskega pomembnega incidenta se ustrezna informacija pravočasno sporoči enotni kontaktni točki v skladu s 30. členom tega zakona.</w:t>
      </w:r>
    </w:p>
    <w:p w14:paraId="0E1906A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strike/>
          <w:color w:val="000000"/>
          <w:sz w:val="20"/>
          <w:szCs w:val="20"/>
        </w:rPr>
      </w:pPr>
    </w:p>
    <w:p w14:paraId="7120B03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(6) Bistveni in pomembni subjekti uporabnike svojih storitev nemudoma obvestijo o pomembnih incidentih iz prvega odstavka tega člena, ki bodo verjetno negativno vplivali na zagotavljanje teh storitev. </w:t>
      </w:r>
    </w:p>
    <w:p w14:paraId="0E16459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778907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(7) Bistveni in pomembni subjekti nemudoma uporabnikom svojih storitev, ki bi jih pomembna kibernetska grožnja lahko prizadela, sporočijo vse ukrepe ali sredstva, ki jih lahko ti uporabniki sprejmejo v odziv na to grožnjo. Zadevne uporabnike obvestijo tudi o zadevni pomembni kibernetski grožnji.</w:t>
      </w:r>
    </w:p>
    <w:p w14:paraId="374BF50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8051EA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(8) Ne glede na prejšnji in šesti odstavek tega člena bistveni in pomembni subjekti ne obveščajo uporabnikov svojih storitev v primerih, v katerih bi bilo takšno obveščanje v nasprotju z drugim ali tretjim odstavkom 4. člena tega zakona, in v primerih, v katerih jim takšno navodilo dá pristojna skupina CSIRT ali pristojni nacionalni organ, ker bi razkritje podatkov lahko škodilo preiskavi incidenta ali nacionalni varnosti.</w:t>
      </w:r>
    </w:p>
    <w:p w14:paraId="7775130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168D0A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(9) Bistveni in pomembni subjekti, ki delujejo v sistemih, ki spadajo med ključne dele nacionalnega varnostnega sistema, izvajajo obveznosti iz tega člena ob upoštevanju obdelave informacij in podatkov, ki so predmet nacionalne varnosti v skladu s področnimi predpisi. </w:t>
      </w:r>
    </w:p>
    <w:p w14:paraId="0D18BAE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8C63663" w14:textId="77777777" w:rsidR="00C50F53" w:rsidRPr="004752FD" w:rsidRDefault="00C50F53" w:rsidP="00861BD8">
      <w:pPr>
        <w:jc w:val="both"/>
        <w:rPr>
          <w:rFonts w:cs="Arial"/>
          <w:color w:val="000000"/>
          <w:szCs w:val="20"/>
          <w:lang w:val="sl-SI"/>
        </w:rPr>
      </w:pPr>
      <w:bookmarkStart w:id="81" w:name="_Hlk184740826"/>
      <w:r w:rsidRPr="004752FD">
        <w:rPr>
          <w:rFonts w:cs="Arial"/>
          <w:color w:val="000000"/>
          <w:szCs w:val="20"/>
          <w:lang w:val="sl-SI"/>
        </w:rPr>
        <w:t>(10) Incidenti v informacijsko-komunikacijskih sistemih, določenih s predpisi, ki urejajo področje tajnih podatkov, se štejejo za pomembne incidente po tem zakonu in jih nacionalni varnostni organ iz zakona, ki ureja področje tajnih podatkov, na način iz prvega odstavka 30. člena tega zakona priglasi pristojnemu nacionalnemu organu.</w:t>
      </w:r>
    </w:p>
    <w:bookmarkEnd w:id="81"/>
    <w:p w14:paraId="372135F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02092A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CA63062" w14:textId="77777777" w:rsidR="00C50F53" w:rsidRPr="004752FD" w:rsidRDefault="00C50F53" w:rsidP="004752FD">
      <w:pPr>
        <w:pStyle w:val="NIS2len"/>
        <w:spacing w:before="0" w:line="260" w:lineRule="atLeast"/>
        <w:ind w:left="0" w:firstLine="0"/>
        <w:rPr>
          <w:sz w:val="20"/>
          <w:szCs w:val="20"/>
        </w:rPr>
      </w:pPr>
      <w:bookmarkStart w:id="82" w:name="_Hlk183636647"/>
      <w:bookmarkStart w:id="83" w:name="_Hlk181628990"/>
      <w:r w:rsidRPr="004752FD">
        <w:rPr>
          <w:sz w:val="20"/>
          <w:szCs w:val="20"/>
        </w:rPr>
        <w:t>člen</w:t>
      </w:r>
    </w:p>
    <w:p w14:paraId="1E9B1025"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(postopek priglasitve pomembnih incidentov)</w:t>
      </w:r>
    </w:p>
    <w:bookmarkEnd w:id="82"/>
    <w:p w14:paraId="3DC72E8A"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p>
    <w:p w14:paraId="1D51287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Bistveni in pomembni subjekti za priglasitev pomembnih incidentov iz prvega in drugega odstavka prejšnjega člena pristojni skupini CSIRT predložijo:</w:t>
      </w:r>
    </w:p>
    <w:p w14:paraId="4D8A503F" w14:textId="7B5FDCA1" w:rsidR="00C50F53" w:rsidRPr="004752FD" w:rsidRDefault="00F9157E" w:rsidP="00855BD2">
      <w:pPr>
        <w:pStyle w:val="poglavje0"/>
        <w:shd w:val="clear" w:color="auto" w:fill="FFFFFF"/>
        <w:spacing w:before="0" w:beforeAutospacing="0" w:after="0" w:afterAutospacing="0" w:line="260" w:lineRule="atLeast"/>
        <w:ind w:left="851"/>
        <w:jc w:val="both"/>
        <w:rPr>
          <w:rFonts w:ascii="Arial" w:hAnsi="Arial" w:cs="Arial"/>
          <w:color w:val="000000"/>
          <w:sz w:val="20"/>
          <w:szCs w:val="20"/>
        </w:rPr>
      </w:pPr>
      <w:r>
        <w:rPr>
          <w:rFonts w:ascii="Arial" w:hAnsi="Arial" w:cs="Arial"/>
          <w:color w:val="000000"/>
          <w:sz w:val="20"/>
          <w:szCs w:val="20"/>
        </w:rPr>
        <w:t xml:space="preserve">1. </w:t>
      </w:r>
      <w:r w:rsidR="00C50F53" w:rsidRPr="004752FD">
        <w:rPr>
          <w:rFonts w:ascii="Arial" w:hAnsi="Arial" w:cs="Arial"/>
          <w:color w:val="000000"/>
          <w:sz w:val="20"/>
          <w:szCs w:val="20"/>
        </w:rPr>
        <w:t>nemudoma, najpozneje pa v 24 urah po zaznavi pomembnega incidenta, zgodnje sporočilo, iz katerega je po potrebi razvidno, ali je bil pomemben incident domnevno povzročen z nezakonitim ali zlonamernim dejanjem in ali bi lahko imel čezmejni vpliv;</w:t>
      </w:r>
    </w:p>
    <w:p w14:paraId="4E3553C2" w14:textId="46F335B3" w:rsidR="00C50F53" w:rsidRPr="004752FD" w:rsidRDefault="00F9157E" w:rsidP="00855BD2">
      <w:pPr>
        <w:pStyle w:val="poglavje0"/>
        <w:shd w:val="clear" w:color="auto" w:fill="FFFFFF"/>
        <w:spacing w:before="0" w:beforeAutospacing="0" w:after="0" w:afterAutospacing="0" w:line="260" w:lineRule="atLeast"/>
        <w:ind w:left="851"/>
        <w:jc w:val="both"/>
        <w:rPr>
          <w:rFonts w:ascii="Arial" w:hAnsi="Arial" w:cs="Arial"/>
          <w:color w:val="000000"/>
          <w:sz w:val="20"/>
          <w:szCs w:val="20"/>
        </w:rPr>
      </w:pPr>
      <w:r>
        <w:rPr>
          <w:rFonts w:ascii="Arial" w:hAnsi="Arial" w:cs="Arial"/>
          <w:color w:val="000000"/>
          <w:sz w:val="20"/>
          <w:szCs w:val="20"/>
        </w:rPr>
        <w:t xml:space="preserve">2. </w:t>
      </w:r>
      <w:r w:rsidR="00C50F53" w:rsidRPr="004752FD">
        <w:rPr>
          <w:rFonts w:ascii="Arial" w:hAnsi="Arial" w:cs="Arial"/>
          <w:color w:val="000000"/>
          <w:sz w:val="20"/>
          <w:szCs w:val="20"/>
        </w:rPr>
        <w:t>nemudoma, najpozneje pa v 72 urah po zaznavi pomembnega incidenta, priglasitev incidenta, s katero se po potrebi posodobijo informacije iz prejšnje točke in se navede začetna ocena pomembnega incidenta, vključno z njegovo resnostjo in vplivom, ter kadar so na voljo, kazalniki ogroženosti;</w:t>
      </w:r>
    </w:p>
    <w:p w14:paraId="6EDB0F44" w14:textId="524BF497" w:rsidR="00C50F53" w:rsidRPr="004752FD" w:rsidRDefault="00F9157E" w:rsidP="00855BD2">
      <w:pPr>
        <w:pStyle w:val="poglavje0"/>
        <w:shd w:val="clear" w:color="auto" w:fill="FFFFFF"/>
        <w:spacing w:before="0" w:beforeAutospacing="0" w:after="0" w:afterAutospacing="0" w:line="260" w:lineRule="atLeast"/>
        <w:ind w:left="851"/>
        <w:jc w:val="both"/>
        <w:rPr>
          <w:rFonts w:ascii="Arial" w:hAnsi="Arial" w:cs="Arial"/>
          <w:color w:val="000000"/>
          <w:sz w:val="20"/>
          <w:szCs w:val="20"/>
        </w:rPr>
      </w:pPr>
      <w:r>
        <w:rPr>
          <w:rFonts w:ascii="Arial" w:hAnsi="Arial" w:cs="Arial"/>
          <w:color w:val="000000"/>
          <w:sz w:val="20"/>
          <w:szCs w:val="20"/>
        </w:rPr>
        <w:t xml:space="preserve">3. </w:t>
      </w:r>
      <w:r w:rsidR="00C50F53" w:rsidRPr="004752FD">
        <w:rPr>
          <w:rFonts w:ascii="Arial" w:hAnsi="Arial" w:cs="Arial"/>
          <w:color w:val="000000"/>
          <w:sz w:val="20"/>
          <w:szCs w:val="20"/>
        </w:rPr>
        <w:t>na zahtevo skupine CSIRT vmesno poročilo o ustreznih posodobitvah stanja;</w:t>
      </w:r>
    </w:p>
    <w:p w14:paraId="64E5A314" w14:textId="4063DE17" w:rsidR="00C50F53" w:rsidRPr="004752FD" w:rsidRDefault="00F9157E" w:rsidP="00855BD2">
      <w:pPr>
        <w:pStyle w:val="poglavje0"/>
        <w:shd w:val="clear" w:color="auto" w:fill="FFFFFF"/>
        <w:spacing w:before="0" w:beforeAutospacing="0" w:after="0" w:afterAutospacing="0" w:line="260" w:lineRule="atLeast"/>
        <w:ind w:left="851"/>
        <w:jc w:val="both"/>
        <w:rPr>
          <w:rFonts w:ascii="Arial" w:hAnsi="Arial" w:cs="Arial"/>
          <w:color w:val="000000"/>
          <w:sz w:val="20"/>
          <w:szCs w:val="20"/>
        </w:rPr>
      </w:pPr>
      <w:r>
        <w:rPr>
          <w:rFonts w:ascii="Arial" w:hAnsi="Arial" w:cs="Arial"/>
          <w:color w:val="000000"/>
          <w:sz w:val="20"/>
          <w:szCs w:val="20"/>
        </w:rPr>
        <w:t xml:space="preserve">4. </w:t>
      </w:r>
      <w:r w:rsidR="00C50F53" w:rsidRPr="004752FD">
        <w:rPr>
          <w:rFonts w:ascii="Arial" w:hAnsi="Arial" w:cs="Arial"/>
          <w:color w:val="000000"/>
          <w:sz w:val="20"/>
          <w:szCs w:val="20"/>
        </w:rPr>
        <w:t>končno poročilo, in to najpozneje v enem mesecu po predložitvi priglasitve incidenta iz 2. točke tega odstavka, ki vključuje:</w:t>
      </w:r>
    </w:p>
    <w:p w14:paraId="58AE2E60" w14:textId="77777777" w:rsidR="00C50F53" w:rsidRPr="004752FD" w:rsidRDefault="00C50F53" w:rsidP="00855BD2">
      <w:pPr>
        <w:pStyle w:val="poglavje0"/>
        <w:numPr>
          <w:ilvl w:val="3"/>
          <w:numId w:val="60"/>
        </w:numPr>
        <w:shd w:val="clear" w:color="auto" w:fill="FFFFFF"/>
        <w:spacing w:before="0" w:beforeAutospacing="0" w:after="0" w:afterAutospacing="0" w:line="260" w:lineRule="atLeast"/>
        <w:ind w:left="1418" w:firstLine="0"/>
        <w:rPr>
          <w:rFonts w:ascii="Arial" w:hAnsi="Arial" w:cs="Arial"/>
          <w:color w:val="000000"/>
          <w:sz w:val="20"/>
          <w:szCs w:val="20"/>
        </w:rPr>
      </w:pPr>
      <w:r w:rsidRPr="004752FD">
        <w:rPr>
          <w:rFonts w:ascii="Arial" w:hAnsi="Arial" w:cs="Arial"/>
          <w:color w:val="000000"/>
          <w:sz w:val="20"/>
          <w:szCs w:val="20"/>
        </w:rPr>
        <w:t>podroben opis incidenta, vključno z njegovo resnostjo in vplivom,</w:t>
      </w:r>
    </w:p>
    <w:p w14:paraId="2D35F93C" w14:textId="77777777" w:rsidR="00C50F53" w:rsidRPr="004752FD" w:rsidRDefault="00C50F53" w:rsidP="00855BD2">
      <w:pPr>
        <w:pStyle w:val="poglavje0"/>
        <w:numPr>
          <w:ilvl w:val="3"/>
          <w:numId w:val="60"/>
        </w:numPr>
        <w:shd w:val="clear" w:color="auto" w:fill="FFFFFF"/>
        <w:spacing w:before="0" w:beforeAutospacing="0" w:after="0" w:afterAutospacing="0" w:line="260" w:lineRule="atLeast"/>
        <w:ind w:left="1418" w:firstLine="0"/>
        <w:rPr>
          <w:rFonts w:ascii="Arial" w:hAnsi="Arial" w:cs="Arial"/>
          <w:color w:val="000000"/>
          <w:sz w:val="20"/>
          <w:szCs w:val="20"/>
        </w:rPr>
      </w:pPr>
      <w:r w:rsidRPr="004752FD">
        <w:rPr>
          <w:rFonts w:ascii="Arial" w:hAnsi="Arial" w:cs="Arial"/>
          <w:color w:val="000000"/>
          <w:sz w:val="20"/>
          <w:szCs w:val="20"/>
        </w:rPr>
        <w:t>vrsto grožnje ali temeljnega vzroka, ki je verjetno povzročil incident,</w:t>
      </w:r>
    </w:p>
    <w:p w14:paraId="0AA73CE8" w14:textId="77777777" w:rsidR="00C50F53" w:rsidRPr="004752FD" w:rsidRDefault="00C50F53" w:rsidP="00855BD2">
      <w:pPr>
        <w:pStyle w:val="poglavje0"/>
        <w:numPr>
          <w:ilvl w:val="3"/>
          <w:numId w:val="60"/>
        </w:numPr>
        <w:shd w:val="clear" w:color="auto" w:fill="FFFFFF"/>
        <w:spacing w:before="0" w:beforeAutospacing="0" w:after="0" w:afterAutospacing="0" w:line="260" w:lineRule="atLeast"/>
        <w:ind w:left="1418" w:firstLine="0"/>
        <w:rPr>
          <w:rFonts w:ascii="Arial" w:hAnsi="Arial" w:cs="Arial"/>
          <w:color w:val="000000"/>
          <w:sz w:val="20"/>
          <w:szCs w:val="20"/>
        </w:rPr>
      </w:pPr>
      <w:r w:rsidRPr="004752FD">
        <w:rPr>
          <w:rFonts w:ascii="Arial" w:hAnsi="Arial" w:cs="Arial"/>
          <w:color w:val="000000"/>
          <w:sz w:val="20"/>
          <w:szCs w:val="20"/>
        </w:rPr>
        <w:t>izvedene blažilne ukrepe in take ukrepe, ki se izvajajo, in</w:t>
      </w:r>
    </w:p>
    <w:p w14:paraId="4CD8360B" w14:textId="77777777" w:rsidR="00C50F53" w:rsidRPr="004752FD" w:rsidRDefault="00C50F53" w:rsidP="00855BD2">
      <w:pPr>
        <w:pStyle w:val="poglavje0"/>
        <w:numPr>
          <w:ilvl w:val="3"/>
          <w:numId w:val="60"/>
        </w:numPr>
        <w:shd w:val="clear" w:color="auto" w:fill="FFFFFF"/>
        <w:spacing w:before="0" w:beforeAutospacing="0" w:after="0" w:afterAutospacing="0" w:line="260" w:lineRule="atLeast"/>
        <w:ind w:left="1418" w:firstLine="0"/>
        <w:rPr>
          <w:rFonts w:ascii="Arial" w:hAnsi="Arial" w:cs="Arial"/>
          <w:color w:val="000000"/>
          <w:sz w:val="20"/>
          <w:szCs w:val="20"/>
        </w:rPr>
      </w:pPr>
      <w:r w:rsidRPr="004752FD">
        <w:rPr>
          <w:rFonts w:ascii="Arial" w:hAnsi="Arial" w:cs="Arial"/>
          <w:color w:val="000000"/>
          <w:sz w:val="20"/>
          <w:szCs w:val="20"/>
        </w:rPr>
        <w:t>po potrebi čezmejni vpliv incidenta;</w:t>
      </w:r>
    </w:p>
    <w:p w14:paraId="1D9E32D1" w14:textId="27A00D11" w:rsidR="00C50F53" w:rsidRPr="004752FD" w:rsidRDefault="00F9157E" w:rsidP="00855BD2">
      <w:pPr>
        <w:pStyle w:val="poglavje0"/>
        <w:shd w:val="clear" w:color="auto" w:fill="FFFFFF"/>
        <w:spacing w:before="0" w:beforeAutospacing="0" w:after="0" w:afterAutospacing="0" w:line="260" w:lineRule="atLeast"/>
        <w:ind w:left="851"/>
        <w:jc w:val="both"/>
        <w:rPr>
          <w:rFonts w:ascii="Arial" w:hAnsi="Arial" w:cs="Arial"/>
          <w:color w:val="000000"/>
          <w:sz w:val="20"/>
          <w:szCs w:val="20"/>
        </w:rPr>
      </w:pPr>
      <w:r>
        <w:rPr>
          <w:rFonts w:ascii="Arial" w:hAnsi="Arial" w:cs="Arial"/>
          <w:color w:val="000000"/>
          <w:sz w:val="20"/>
          <w:szCs w:val="20"/>
        </w:rPr>
        <w:t xml:space="preserve">5. </w:t>
      </w:r>
      <w:r w:rsidR="00C50F53" w:rsidRPr="004752FD">
        <w:rPr>
          <w:rFonts w:ascii="Arial" w:hAnsi="Arial" w:cs="Arial"/>
          <w:color w:val="000000"/>
          <w:sz w:val="20"/>
          <w:szCs w:val="20"/>
        </w:rPr>
        <w:t>v primeru pomembnega incidenta, ki ob predložitvi končnega poročila iz prejšnje točke še vedno poteka, priglasitveni subjekt predloži poročilo o napredku, končno poročilo pa najpozneje en mesec po rešitvi incidenta.</w:t>
      </w:r>
    </w:p>
    <w:p w14:paraId="5910483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0AEC94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Ne glede na 2. točko prejšnjega odstavka mora ponudnik storitev zaupanja v zvezi s pomembnimi incidenti, ki vplivajo na zagotavljanje njegovih storitev, o tem nemudoma, najpozneje pa v 24 urah po zaznavi pomembnega incidenta, uradno obvestiti pristojno skupino CSIRT.</w:t>
      </w:r>
    </w:p>
    <w:p w14:paraId="2C6CB98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21753BA" w14:textId="191B4DA9"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(3) Pristojna skupina CSIRT nemudoma in po možnosti v 24 urah po prejemu zgodnjega </w:t>
      </w:r>
      <w:r w:rsidR="009441EB">
        <w:rPr>
          <w:rFonts w:ascii="Arial" w:hAnsi="Arial" w:cs="Arial"/>
          <w:color w:val="000000"/>
          <w:sz w:val="20"/>
          <w:szCs w:val="20"/>
        </w:rPr>
        <w:t>s</w:t>
      </w:r>
      <w:r w:rsidRPr="004752FD">
        <w:rPr>
          <w:rFonts w:ascii="Arial" w:hAnsi="Arial" w:cs="Arial"/>
          <w:color w:val="000000"/>
          <w:sz w:val="20"/>
          <w:szCs w:val="20"/>
        </w:rPr>
        <w:t>poročila iz 1. točke prvega odstavka tega člena odgovori priglasitvenemu subjektu, vključno z začetnimi povratnimi informacijami o pomembnem incidentu in na zahtevo priglasitvenega subjekta z usmeritvami ali operativnim nasvetom glede izvajanja morebitnih blažilnih ukrepov. Ob tem brez nepotrebnega odlašanja s priglasitvijo seznani pristojni nacionalni organ in ga obvešča o opravljenih aktivnostih. Na zahtevo zadevnega subjekta zagotovi dodatno tehnično podporo. Kadar obstajajo razlogi za sum, da ima incident znake kaznivega dejanja, zagotovi tudi usmeritve o poročanju o pomembnih incidentih organom kazenskega pregona.</w:t>
      </w:r>
    </w:p>
    <w:p w14:paraId="33F3E9E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F61FD6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(4) V primeru pomembnega čezmejnega ali medsektorskega pomembnega incidenta pristojna skupina CSIRT nemudoma zagotovi pristojnemu nacionalnemu organu priglašene informacije o incidentu iz prvega odstavka tega člena. Kadar pristojni nacionalni organ ali skupina CSIRT meni, da je to potrebno, zlasti kadar pomemben incident zadeva dve ali več držav članic Evropske unije, enotna kontaktna točka na zahtevo nemudoma o pomembnem incidentu obvesti enotne kontaktne točke drugih prizadetih držav članic in agencijo ENISA. To obvestilo vključuje vrsto informacij, prejetih v skladu s prvim odstavkom tega člena. Pri tem enotna kontaktna točka</w:t>
      </w:r>
      <w:r w:rsidRPr="004752FD">
        <w:rPr>
          <w:rFonts w:ascii="Arial" w:hAnsi="Arial" w:cs="Arial"/>
          <w:sz w:val="20"/>
          <w:szCs w:val="20"/>
        </w:rPr>
        <w:t xml:space="preserve"> </w:t>
      </w:r>
      <w:r w:rsidRPr="004752FD">
        <w:rPr>
          <w:rFonts w:ascii="Arial" w:hAnsi="Arial" w:cs="Arial"/>
          <w:color w:val="000000"/>
          <w:sz w:val="20"/>
          <w:szCs w:val="20"/>
        </w:rPr>
        <w:t>zaščiti varnost in poslovne interese zavezanca ter zaupnost predloženih informacij, ki jih ta zagotovi v svoji priglasitvi.</w:t>
      </w:r>
    </w:p>
    <w:p w14:paraId="5D42CC6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6A96F6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84" w:name="_Hlk149135186"/>
      <w:r w:rsidRPr="004752FD">
        <w:rPr>
          <w:rFonts w:ascii="Arial" w:hAnsi="Arial" w:cs="Arial"/>
          <w:color w:val="000000"/>
          <w:sz w:val="20"/>
          <w:szCs w:val="20"/>
        </w:rPr>
        <w:t xml:space="preserve">(5) Enotna kontaktna točka vsake tri mesece predloži zbirno poročilo agenciji ENISA, vključno z anonimiziranimi in zbirnimi podatki o incidentih, pomembnih kibernetskih grožnjah in skorajšnjih incidentih, priglašenih v skladu s prvim odstavkom tega člena in 35. členom tega zakona. </w:t>
      </w:r>
    </w:p>
    <w:bookmarkEnd w:id="84"/>
    <w:p w14:paraId="0D239B4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A09035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(6) Kadar je ozaveščenost javnosti potrebna za preprečitev pomembnega incidenta ali obravnavo pomembnega incidenta, ki še poteka, ali kadar je razkritje pomembnega incidenta kako drugače v javnem interesu, pristojni nacionalni organ po posvetovanju z zadevnim zavezancem obvesti javnost o pomembnem incidentu ali zahteva, da to stori zavezanec.</w:t>
      </w:r>
      <w:r w:rsidRPr="004752FD">
        <w:rPr>
          <w:rFonts w:ascii="Arial" w:hAnsi="Arial" w:cs="Arial"/>
          <w:sz w:val="20"/>
          <w:szCs w:val="20"/>
        </w:rPr>
        <w:t xml:space="preserve"> </w:t>
      </w:r>
      <w:r w:rsidRPr="004752FD">
        <w:rPr>
          <w:rFonts w:ascii="Arial" w:hAnsi="Arial" w:cs="Arial"/>
          <w:color w:val="000000"/>
          <w:sz w:val="20"/>
          <w:szCs w:val="20"/>
        </w:rPr>
        <w:t>Predlog za takšno obveščanje lahko pristojnemu nacionalnemu organu poda tudi pristojna skupina CSIRT.</w:t>
      </w:r>
    </w:p>
    <w:p w14:paraId="36D1961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178C64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(7) Kadar je pristojni nacionalni organ prek enotne kontaktne točke obveščen o pomembnem čezmejnem ali medsektorsko pomembnem incidentu, ki ima vpliv tudi v Republiki Sloveniji, lahko </w:t>
      </w:r>
      <w:bookmarkStart w:id="85" w:name="_Hlk134445242"/>
      <w:r w:rsidRPr="004752FD">
        <w:rPr>
          <w:rFonts w:ascii="Arial" w:hAnsi="Arial" w:cs="Arial"/>
          <w:color w:val="000000"/>
          <w:sz w:val="20"/>
          <w:szCs w:val="20"/>
        </w:rPr>
        <w:t>po posvetovanju s subjektom, ki je priglasil incident, obvesti javnost o pomembnem incidentu ali zahteva, da to stori zavezanec, tudi kadar je bil incident priglašen v drugi državi članici Evropske unije.</w:t>
      </w:r>
    </w:p>
    <w:bookmarkEnd w:id="85"/>
    <w:p w14:paraId="315A7EC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7BEB05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86" w:name="_Hlk183636732"/>
      <w:r w:rsidRPr="004752FD">
        <w:rPr>
          <w:rFonts w:ascii="Arial" w:hAnsi="Arial" w:cs="Arial"/>
          <w:color w:val="000000"/>
          <w:sz w:val="20"/>
          <w:szCs w:val="20"/>
        </w:rPr>
        <w:t xml:space="preserve">(8) Pristojni nacionalni organ zagotovi pristojnemu nacionalnemu organu iz zakona, ki ureja kritično infrastrukturo, </w:t>
      </w:r>
      <w:bookmarkStart w:id="87" w:name="_Hlk189677763"/>
      <w:r w:rsidRPr="004752FD">
        <w:rPr>
          <w:rFonts w:ascii="Arial" w:hAnsi="Arial" w:cs="Arial"/>
          <w:color w:val="000000"/>
          <w:sz w:val="20"/>
          <w:szCs w:val="20"/>
        </w:rPr>
        <w:t>in zadevnemu nosilcu sektorja kritične infrastrukture iz navedenega zakona</w:t>
      </w:r>
      <w:bookmarkEnd w:id="87"/>
      <w:r w:rsidRPr="004752FD">
        <w:rPr>
          <w:rFonts w:ascii="Arial" w:hAnsi="Arial" w:cs="Arial"/>
          <w:color w:val="000000"/>
          <w:sz w:val="20"/>
          <w:szCs w:val="20"/>
        </w:rPr>
        <w:t xml:space="preserve"> informacije o pomembnih incidentih, incidentih, kibernetskih grožnjah in skorajšnjih incidentih, ki so jih v skladu prvim odstavkom 29. člena tega zakona ali pri prostovoljni priglasitvi iz 35. člena tega zakona priglasili bistveni subjekti, ki so identificirani kot kritični subjekti na podlagi predpisov, ki urejajo področje kritične infrastrukture.</w:t>
      </w:r>
    </w:p>
    <w:bookmarkEnd w:id="86"/>
    <w:p w14:paraId="697F28A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E4894D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88" w:name="_Hlk183636808"/>
      <w:r w:rsidRPr="004752FD">
        <w:rPr>
          <w:rFonts w:ascii="Arial" w:hAnsi="Arial" w:cs="Arial"/>
          <w:color w:val="000000"/>
          <w:sz w:val="20"/>
          <w:szCs w:val="20"/>
        </w:rPr>
        <w:t>(9) Pristojna skupina CSIRT o pomembnem incidentu nemudoma obvesti pristojni nacionalni organ. Pristojni nacionalni organ o incidentu, ki bi lahko imel večji medsektorski vpliv oziroma bi lahko ob daljšem trajanju poslabšal stabilnost nacionalne varnosti Republike Slovenije, obvesti Nacionalni center za krizno upravljanje, določen v predpisu, ki ureja organizacijo in delovanje nacionalnega centra za krizno upravljanje, in osrednji organ za odzivanje na hibridne grožnje,</w:t>
      </w:r>
      <w:r w:rsidRPr="004752FD" w:rsidDel="00D34653">
        <w:rPr>
          <w:rFonts w:ascii="Arial" w:hAnsi="Arial" w:cs="Arial"/>
          <w:color w:val="000000"/>
          <w:sz w:val="20"/>
          <w:szCs w:val="20"/>
        </w:rPr>
        <w:t xml:space="preserve"> </w:t>
      </w:r>
      <w:r w:rsidRPr="004752FD">
        <w:rPr>
          <w:rFonts w:ascii="Arial" w:hAnsi="Arial" w:cs="Arial"/>
          <w:color w:val="000000"/>
          <w:sz w:val="20"/>
          <w:szCs w:val="20"/>
        </w:rPr>
        <w:t>ob tem lahko obvesti tudi druge pristojne organe, s katerimi sodeluje na nacionalni ravni, v skladu z 18. členom tega zakona.</w:t>
      </w:r>
    </w:p>
    <w:bookmarkEnd w:id="88"/>
    <w:p w14:paraId="51820E8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5756EBA" w14:textId="6AB31F53" w:rsidR="00C50F53" w:rsidRPr="004752FD" w:rsidRDefault="00C50F53" w:rsidP="004752FD">
      <w:pPr>
        <w:pStyle w:val="Odstavek"/>
        <w:spacing w:after="0" w:line="260" w:lineRule="atLeast"/>
        <w:rPr>
          <w:color w:val="000000"/>
          <w:shd w:val="clear" w:color="auto" w:fill="FFFFFF"/>
        </w:rPr>
      </w:pPr>
      <w:bookmarkStart w:id="89" w:name="_Hlk148437628"/>
      <w:r w:rsidRPr="004752FD">
        <w:rPr>
          <w:color w:val="000000"/>
          <w:shd w:val="clear" w:color="auto" w:fill="FFFFFF"/>
        </w:rPr>
        <w:t>(10) Priglasitve pomembnih incidentov in medsebojno sodelovanje iz tega člena se izvajajo tudi po namenski digitalni platformi, ki jo vzpostavi pristojni nacionalni organ in po kateri poteka tudi izmenjava informacij med sodelujočimi organi na podlagi drugega odstavka 18.</w:t>
      </w:r>
      <w:r w:rsidR="004055E0">
        <w:rPr>
          <w:color w:val="000000"/>
          <w:shd w:val="clear" w:color="auto" w:fill="FFFFFF"/>
        </w:rPr>
        <w:t xml:space="preserve"> </w:t>
      </w:r>
      <w:r w:rsidRPr="004752FD">
        <w:rPr>
          <w:color w:val="000000"/>
          <w:shd w:val="clear" w:color="auto" w:fill="FFFFFF"/>
        </w:rPr>
        <w:t>člena tega zakona. Sodelujoči organi imajo dostop do informacij o priglasitvah subjektov, ki so povezane z njihovim področjem dela.</w:t>
      </w:r>
    </w:p>
    <w:bookmarkEnd w:id="89"/>
    <w:p w14:paraId="052582D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B18CDC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90" w:name="_Hlk184740675"/>
      <w:r w:rsidRPr="004752FD">
        <w:rPr>
          <w:rFonts w:ascii="Arial" w:hAnsi="Arial" w:cs="Arial"/>
          <w:color w:val="000000"/>
          <w:sz w:val="20"/>
          <w:szCs w:val="20"/>
        </w:rPr>
        <w:t>(11) V postopku priglašanja incidentov iz desetega odstavka prejšnjega člena se smiselno uporablja prvi odstavek tega člena.</w:t>
      </w:r>
    </w:p>
    <w:bookmarkEnd w:id="90"/>
    <w:p w14:paraId="519AAE5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620480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(12) Pristojni nacionalni organ za namen izvajanja nalog iz tega zakona vodi tudi:</w:t>
      </w:r>
    </w:p>
    <w:p w14:paraId="0F7731DF" w14:textId="77777777" w:rsidR="00C50F53" w:rsidRPr="004752FD" w:rsidRDefault="00C50F53" w:rsidP="00E20E87">
      <w:pPr>
        <w:pStyle w:val="poglavje0"/>
        <w:numPr>
          <w:ilvl w:val="0"/>
          <w:numId w:val="77"/>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skupen seznam pomembnih incidentov, ki vsebuje podatke iz končnih poročil o incidentih iz tega člena, in</w:t>
      </w:r>
    </w:p>
    <w:p w14:paraId="6AC0F3E1" w14:textId="77777777" w:rsidR="00C50F53" w:rsidRPr="004752FD" w:rsidRDefault="00C50F53" w:rsidP="00E20E87">
      <w:pPr>
        <w:pStyle w:val="poglavje0"/>
        <w:numPr>
          <w:ilvl w:val="0"/>
          <w:numId w:val="77"/>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lastRenderedPageBreak/>
        <w:t xml:space="preserve">seznam omrežnih in informacijskih sistemov, delov omrežja in digitalnih oziroma elektronskih komunikacijskih storitev zavezancev, nujnih za nemoteno delovanje države ali za zagotavljanje nacionalne varnosti, ki je varovani podatek pristojnega nacionalnega organa. </w:t>
      </w:r>
    </w:p>
    <w:bookmarkEnd w:id="83"/>
    <w:p w14:paraId="0758DD9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73A0EC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(13) Če pristojni nacionalni organ za izvajanje nalog iz prejšnjega odstavka obdeluje tudi osebne podatke, to pomeni zakoniti interes upravljavca iz točke f) prvega odstavka 6. člena v skladu z uvodno določbo 49 Uredbe (EU) 2016/679 Evropskega parlamenta in Sveta z dne 27. aprila 2016 o varstvu posameznikov pri obdelavi osebnih podatkov in o prostem pretoku takih podatkov ter o razveljavitvi Direktive 95/46/ES (Splošna uredba o varstvu podatkov) (UL L št. 119 z dne 4. 5. 2016, str. 1). Tako pridobljeni osebni podatki se hranijo največ tri leta po preteku koledarskega leta, v katerem so bili pridobljeni, po preteku tega roka pa se izbrišejo. Za izvajanje nalog iz prejšnjega odstavka se seznam lahko povezuje s seznamom iz četrtega odstavka 8. člena tega zakona.</w:t>
      </w:r>
    </w:p>
    <w:p w14:paraId="3312141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799093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504A8C1" w14:textId="77777777" w:rsidR="00C50F53" w:rsidRPr="004752FD" w:rsidRDefault="00C50F53" w:rsidP="00E20E87">
      <w:pPr>
        <w:pStyle w:val="NIS2naslovpoglavja"/>
        <w:numPr>
          <w:ilvl w:val="0"/>
          <w:numId w:val="64"/>
        </w:numPr>
        <w:rPr>
          <w:sz w:val="20"/>
          <w:szCs w:val="20"/>
        </w:rPr>
      </w:pPr>
      <w:bookmarkStart w:id="91" w:name="_Hlk144985574"/>
      <w:bookmarkStart w:id="92" w:name="_Hlk148372060"/>
      <w:r w:rsidRPr="004752FD">
        <w:rPr>
          <w:sz w:val="20"/>
          <w:szCs w:val="20"/>
        </w:rPr>
        <w:t>Pristojnost in registracija</w:t>
      </w:r>
      <w:bookmarkEnd w:id="91"/>
      <w:bookmarkEnd w:id="92"/>
    </w:p>
    <w:p w14:paraId="3ECAB90C" w14:textId="77777777" w:rsidR="00C50F53" w:rsidRPr="004752FD" w:rsidRDefault="00C50F53" w:rsidP="004752FD">
      <w:pPr>
        <w:pStyle w:val="NIS2len"/>
        <w:numPr>
          <w:ilvl w:val="0"/>
          <w:numId w:val="0"/>
        </w:numPr>
        <w:spacing w:before="0" w:line="260" w:lineRule="atLeast"/>
        <w:jc w:val="both"/>
        <w:rPr>
          <w:sz w:val="20"/>
          <w:szCs w:val="20"/>
        </w:rPr>
      </w:pPr>
    </w:p>
    <w:p w14:paraId="0229DF66" w14:textId="77777777" w:rsidR="00C50F53" w:rsidRPr="004752FD" w:rsidRDefault="00C50F53" w:rsidP="004752FD">
      <w:pPr>
        <w:pStyle w:val="NIS2len"/>
        <w:numPr>
          <w:ilvl w:val="0"/>
          <w:numId w:val="0"/>
        </w:numPr>
        <w:spacing w:before="0" w:line="260" w:lineRule="atLeast"/>
        <w:jc w:val="both"/>
        <w:rPr>
          <w:sz w:val="20"/>
          <w:szCs w:val="20"/>
        </w:rPr>
      </w:pPr>
    </w:p>
    <w:p w14:paraId="1B6BFDF6"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18FA78CD"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(pristojnost in teritorialnost)</w:t>
      </w:r>
    </w:p>
    <w:p w14:paraId="5BF8FDF4"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7A335D4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Zavezanci iz 6. člena tega zakona, ki jih je ustanovila Republika Slovenija ali imajo sedež v Republiki Sloveniji, spadajo v pristojnost pristojnega nacionalnega organa in pristojnih skupin CSIRT v skladu s tem zakonom, razen:</w:t>
      </w:r>
    </w:p>
    <w:p w14:paraId="1F8EF66B" w14:textId="77777777" w:rsidR="00C50F53" w:rsidRPr="004752FD" w:rsidRDefault="00C50F53" w:rsidP="00E20E87">
      <w:pPr>
        <w:pStyle w:val="poglavje0"/>
        <w:numPr>
          <w:ilvl w:val="3"/>
          <w:numId w:val="60"/>
        </w:numPr>
        <w:shd w:val="clear" w:color="auto" w:fill="FFFFFF"/>
        <w:spacing w:before="0" w:beforeAutospacing="0" w:after="0" w:afterAutospacing="0" w:line="260" w:lineRule="atLeast"/>
        <w:ind w:left="907" w:hanging="340"/>
        <w:jc w:val="both"/>
        <w:rPr>
          <w:rFonts w:ascii="Arial" w:hAnsi="Arial" w:cs="Arial"/>
          <w:color w:val="000000"/>
          <w:sz w:val="20"/>
          <w:szCs w:val="20"/>
        </w:rPr>
      </w:pPr>
      <w:r w:rsidRPr="004752FD">
        <w:rPr>
          <w:rFonts w:ascii="Arial" w:hAnsi="Arial" w:cs="Arial"/>
          <w:color w:val="000000"/>
          <w:sz w:val="20"/>
          <w:szCs w:val="20"/>
        </w:rPr>
        <w:t>ponudnikov javnih elektronskih komunikacijskih omrežij ali ponudnikov javno dostopnih elektronskih komunikacijskih storitev, ki spadajo v pristojnost pristojnih organov države članice Evropske unije, v kateri zagotavljajo svoje storitve, in</w:t>
      </w:r>
    </w:p>
    <w:p w14:paraId="4A901733" w14:textId="77777777" w:rsidR="00C50F53" w:rsidRPr="004752FD" w:rsidRDefault="00C50F53" w:rsidP="00E20E87">
      <w:pPr>
        <w:pStyle w:val="poglavje0"/>
        <w:numPr>
          <w:ilvl w:val="3"/>
          <w:numId w:val="60"/>
        </w:numPr>
        <w:shd w:val="clear" w:color="auto" w:fill="FFFFFF"/>
        <w:spacing w:before="0" w:beforeAutospacing="0" w:after="0" w:afterAutospacing="0" w:line="260" w:lineRule="atLeast"/>
        <w:ind w:left="907" w:hanging="340"/>
        <w:jc w:val="both"/>
        <w:rPr>
          <w:rFonts w:ascii="Arial" w:hAnsi="Arial" w:cs="Arial"/>
          <w:color w:val="000000"/>
          <w:sz w:val="20"/>
          <w:szCs w:val="20"/>
        </w:rPr>
      </w:pPr>
      <w:r w:rsidRPr="004752FD">
        <w:rPr>
          <w:rFonts w:ascii="Arial" w:hAnsi="Arial" w:cs="Arial"/>
          <w:color w:val="000000"/>
          <w:sz w:val="20"/>
          <w:szCs w:val="20"/>
        </w:rPr>
        <w:t xml:space="preserve">ponudnikov storitev DNS, registrov TLD imen, subjektov, ki opravljajo storitve registracije domenskih imen, ponudnikov storitev računalništva v oblaku, ponudnikov storitev podatkovnih </w:t>
      </w:r>
      <w:r w:rsidRPr="004752FD">
        <w:rPr>
          <w:rFonts w:ascii="Arial" w:hAnsi="Arial" w:cs="Arial"/>
          <w:sz w:val="20"/>
          <w:szCs w:val="20"/>
        </w:rPr>
        <w:t>centrov</w:t>
      </w:r>
      <w:r w:rsidRPr="004752FD">
        <w:rPr>
          <w:rFonts w:ascii="Arial" w:hAnsi="Arial" w:cs="Arial"/>
          <w:color w:val="000000"/>
          <w:sz w:val="20"/>
          <w:szCs w:val="20"/>
        </w:rPr>
        <w:t>, ponudnikov omrežij za dostavo vsebine, ponudnikov upravljanih storitev, ponudnikov upravljanih varnostnih storitev ter ponudnikov spletnih tržnic, spletnih iskalnikov in platform za storitve družbenega mreženja, ki spadajo v pristojnost pristojnih organov države članice Evropske unije, v kateri imajo glavni sedež v Evropski uniji, v skladu z drugim odstavkom tega člena.</w:t>
      </w:r>
    </w:p>
    <w:p w14:paraId="14D6DF7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246925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Za namene tega zakona se za subjekte iz druge alineje prejšnjega odstavka šteje, da imajo glavni sedež v državi članici Evropske unije, kjer se sprejme večina odločitev v zvezi z ukrepi za obvladovanje tveganj za kibernetsko varnost. Če te države članice Evropske unije ni mogoče določiti ali če se te odločitve ne sprejemajo v Evropski uniji, se šteje, da je glavni sedež v državi članici Evropske unije, kjer se izvajajo operacije v zvezi s kibernetsko varnostjo. Če te države članice Evropske unije ni mogoče določiti, se šteje, da je glavni sedež v državi članici Evropske unije, kjer ima zadevni subjekt sedež z največjim številom zaposlenih v Evropski uniji.</w:t>
      </w:r>
    </w:p>
    <w:p w14:paraId="38691ED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3D04AD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(3) Če subjekt iz druge alineje prvega odstavka tega člena, ki nima sedeža v Evropski uniji, v njej pa zagotavlja takšne storitve, določi sedež svojega predstavnika za Evropsko unijo v Republiki Sloveniji, kjer tudi zagotavlja takšne storitve, spada v pristojnost pristojnega nacionalnega organa in pristojne skupine CSIRT. Predstavnik zastopa subjekt v zvezi z obveznostmi na podlagi tega zakona. </w:t>
      </w:r>
    </w:p>
    <w:p w14:paraId="58D4BB5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423647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To, da subjekt imenuje predstavnika iz druge alineje prvega odstavka tega člena, ne izključuje možnosti uvedbe sodnih postopkov, ki se v Republiki Sloveniji lahko uvedejo proti subjektu.</w:t>
      </w:r>
    </w:p>
    <w:p w14:paraId="0CD16EF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999BB0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(5) Če pristojni nacionalni organ prejme zahtevek za medsebojno pomoč na podlagi 51. člena tega zakona v zvezi s subjektom iz druge alineje prvega odstavka tega člena, lahko inšpektor za informacijsko varnost v mejah zahtevka sprejme ustrezne nadzorne in izvršilne ukrepe v zvezi z zadevnim subjektom, ki opravlja storitve ali ima omrežni in informacijski sistem na ozemlju Republike Slovenije.</w:t>
      </w:r>
      <w:r w:rsidRPr="004752FD" w:rsidDel="00EA3199">
        <w:rPr>
          <w:rFonts w:ascii="Arial" w:hAnsi="Arial" w:cs="Arial"/>
          <w:color w:val="000000"/>
          <w:sz w:val="20"/>
          <w:szCs w:val="20"/>
        </w:rPr>
        <w:t xml:space="preserve"> </w:t>
      </w:r>
    </w:p>
    <w:p w14:paraId="79A93DE7"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CB8CDDD"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color w:val="000000"/>
          <w:sz w:val="20"/>
          <w:szCs w:val="20"/>
        </w:rPr>
      </w:pPr>
    </w:p>
    <w:p w14:paraId="08BE765F"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0DCFE153"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(zbiranje informacij za register ponudnikov storitev pri agenciji ENISA)</w:t>
      </w:r>
    </w:p>
    <w:p w14:paraId="7B03D336"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p>
    <w:p w14:paraId="5CCAC94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Subjekti, ki spadajo v pristojnost pristojnega nacionalnega organa v skladu s prvim odstavkom prejšnjega člena in so ponudniki storitev DNS, registrov TLD imen, registracije domenskih imen ali storitev računalništva v oblaku, storitev podatkovnih centrov, omrežij za dostavo vsebine, upravljanih storitev, upravljanih varnostnih storitev ter spletnih tržnic, spletnih iskalnikov in platform za storitve družbenega mreženja, pristojnemu nacionalnemu organu za olajšanje sodelovanja zavezanih ponudnikov teh storitev s pristojnimi organi pri obvladovanju skorajšnjega incidenta, incidenta ali pomembnega incidenta podajo naslednje informacije:</w:t>
      </w:r>
    </w:p>
    <w:p w14:paraId="6A99BDEE" w14:textId="77777777" w:rsidR="00C50F53" w:rsidRPr="004752FD" w:rsidRDefault="00C50F53" w:rsidP="004752FD">
      <w:pPr>
        <w:pStyle w:val="poglavje0"/>
        <w:shd w:val="clear" w:color="auto" w:fill="FFFFFF"/>
        <w:spacing w:before="0" w:beforeAutospacing="0" w:after="0" w:afterAutospacing="0" w:line="260" w:lineRule="atLeast"/>
        <w:ind w:left="567"/>
        <w:rPr>
          <w:rFonts w:ascii="Arial" w:hAnsi="Arial" w:cs="Arial"/>
          <w:color w:val="000000"/>
          <w:sz w:val="20"/>
          <w:szCs w:val="20"/>
        </w:rPr>
      </w:pPr>
      <w:r w:rsidRPr="004752FD">
        <w:rPr>
          <w:rFonts w:ascii="Arial" w:hAnsi="Arial" w:cs="Arial"/>
          <w:color w:val="000000"/>
          <w:sz w:val="20"/>
          <w:szCs w:val="20"/>
        </w:rPr>
        <w:t>1. ime subjekta,</w:t>
      </w:r>
    </w:p>
    <w:p w14:paraId="27183252" w14:textId="22304072" w:rsidR="00C50F53" w:rsidRPr="004752FD" w:rsidRDefault="00C50F53" w:rsidP="004752FD">
      <w:pPr>
        <w:pStyle w:val="poglavje0"/>
        <w:shd w:val="clear" w:color="auto" w:fill="FFFFFF"/>
        <w:spacing w:before="0" w:beforeAutospacing="0" w:after="0" w:afterAutospacing="0" w:line="260" w:lineRule="atLeast"/>
        <w:ind w:left="567"/>
        <w:jc w:val="both"/>
        <w:rPr>
          <w:rFonts w:ascii="Arial" w:hAnsi="Arial" w:cs="Arial"/>
          <w:color w:val="000000"/>
          <w:sz w:val="20"/>
          <w:szCs w:val="20"/>
        </w:rPr>
      </w:pPr>
      <w:r w:rsidRPr="004752FD">
        <w:rPr>
          <w:rFonts w:ascii="Arial" w:hAnsi="Arial" w:cs="Arial"/>
          <w:color w:val="000000"/>
          <w:sz w:val="20"/>
          <w:szCs w:val="20"/>
        </w:rPr>
        <w:t>2. ustrezni sektor, podsektor in vrsto subjekta iz Priloge 1 ali 2 tega zakona,</w:t>
      </w:r>
    </w:p>
    <w:p w14:paraId="664F4BFA" w14:textId="74C5B094" w:rsidR="00C50F53" w:rsidRPr="004752FD" w:rsidRDefault="00C50F53" w:rsidP="004752FD">
      <w:pPr>
        <w:pStyle w:val="poglavje0"/>
        <w:shd w:val="clear" w:color="auto" w:fill="FFFFFF"/>
        <w:spacing w:before="0" w:beforeAutospacing="0" w:after="0" w:afterAutospacing="0" w:line="260" w:lineRule="atLeast"/>
        <w:ind w:left="567"/>
        <w:jc w:val="both"/>
        <w:rPr>
          <w:rFonts w:ascii="Arial" w:hAnsi="Arial" w:cs="Arial"/>
          <w:color w:val="000000"/>
          <w:sz w:val="20"/>
          <w:szCs w:val="20"/>
        </w:rPr>
      </w:pPr>
      <w:r w:rsidRPr="004752FD">
        <w:rPr>
          <w:rFonts w:ascii="Arial" w:hAnsi="Arial" w:cs="Arial"/>
          <w:color w:val="000000"/>
          <w:sz w:val="20"/>
          <w:szCs w:val="20"/>
        </w:rPr>
        <w:t>3. naslov njegovega glavnega sedeža in njegovih drugih zakonitih sedežev v Evropski uniji ali, če nima sedeža v Evropski uniji, njegovega predstavnika, imenovanega v skladu s tretjim odstavkom prejšnjega člena tega zakona</w:t>
      </w:r>
      <w:r w:rsidR="004055E0">
        <w:rPr>
          <w:rFonts w:ascii="Arial" w:hAnsi="Arial" w:cs="Arial"/>
          <w:color w:val="000000"/>
          <w:sz w:val="20"/>
          <w:szCs w:val="20"/>
        </w:rPr>
        <w:t>,</w:t>
      </w:r>
    </w:p>
    <w:p w14:paraId="0B22AE02" w14:textId="5F142084" w:rsidR="00C50F53" w:rsidRPr="004752FD" w:rsidRDefault="00C50F53" w:rsidP="004752FD">
      <w:pPr>
        <w:pStyle w:val="poglavje0"/>
        <w:shd w:val="clear" w:color="auto" w:fill="FFFFFF"/>
        <w:spacing w:before="0" w:beforeAutospacing="0" w:after="0" w:afterAutospacing="0" w:line="260" w:lineRule="atLeast"/>
        <w:ind w:left="567"/>
        <w:jc w:val="both"/>
        <w:rPr>
          <w:rFonts w:ascii="Arial" w:hAnsi="Arial" w:cs="Arial"/>
          <w:color w:val="000000"/>
          <w:sz w:val="20"/>
          <w:szCs w:val="20"/>
        </w:rPr>
      </w:pPr>
      <w:r w:rsidRPr="004752FD">
        <w:rPr>
          <w:rFonts w:ascii="Arial" w:hAnsi="Arial" w:cs="Arial"/>
          <w:color w:val="000000"/>
          <w:sz w:val="20"/>
          <w:szCs w:val="20"/>
        </w:rPr>
        <w:t>4. posodobljene kontaktne podatke, vključno z elektronskimi naslovi in telefonskimi številkami subjekta in po potrebi njegovega zastopnika, imenovanega v skladu s tretjim odstavkom prejšnjega člena tega zakona,</w:t>
      </w:r>
    </w:p>
    <w:p w14:paraId="4C7A43B0" w14:textId="77777777" w:rsidR="00C50F53" w:rsidRPr="004752FD" w:rsidRDefault="00C50F53" w:rsidP="004752FD">
      <w:pPr>
        <w:pStyle w:val="poglavje0"/>
        <w:shd w:val="clear" w:color="auto" w:fill="FFFFFF"/>
        <w:spacing w:before="0" w:beforeAutospacing="0" w:after="0" w:afterAutospacing="0" w:line="260" w:lineRule="atLeast"/>
        <w:ind w:left="567"/>
        <w:rPr>
          <w:rFonts w:ascii="Arial" w:hAnsi="Arial" w:cs="Arial"/>
          <w:color w:val="000000"/>
          <w:sz w:val="20"/>
          <w:szCs w:val="20"/>
        </w:rPr>
      </w:pPr>
      <w:r w:rsidRPr="004752FD">
        <w:rPr>
          <w:rFonts w:ascii="Arial" w:hAnsi="Arial" w:cs="Arial"/>
          <w:color w:val="000000"/>
          <w:sz w:val="20"/>
          <w:szCs w:val="20"/>
        </w:rPr>
        <w:t>5. države članice Evropske unije, v katerih subjekt opravlja storitve, ter</w:t>
      </w:r>
    </w:p>
    <w:p w14:paraId="0983A34A" w14:textId="77777777" w:rsidR="00C50F53" w:rsidRPr="004752FD" w:rsidRDefault="00C50F53" w:rsidP="004752FD">
      <w:pPr>
        <w:pStyle w:val="poglavje0"/>
        <w:shd w:val="clear" w:color="auto" w:fill="FFFFFF"/>
        <w:spacing w:before="0" w:beforeAutospacing="0" w:after="0" w:afterAutospacing="0" w:line="260" w:lineRule="atLeast"/>
        <w:ind w:left="567"/>
        <w:rPr>
          <w:rFonts w:ascii="Arial" w:hAnsi="Arial" w:cs="Arial"/>
          <w:color w:val="000000"/>
          <w:sz w:val="20"/>
          <w:szCs w:val="20"/>
        </w:rPr>
      </w:pPr>
      <w:r w:rsidRPr="004752FD">
        <w:rPr>
          <w:rFonts w:ascii="Arial" w:hAnsi="Arial" w:cs="Arial"/>
          <w:color w:val="000000"/>
          <w:sz w:val="20"/>
          <w:szCs w:val="20"/>
        </w:rPr>
        <w:t>6. bloke subjektu dodeljenih številk avtonomnih sistemov in javnih naslovov IP.</w:t>
      </w:r>
    </w:p>
    <w:p w14:paraId="1A1BF40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D6D4F1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Subjekti iz prejšnjega odstavka pristojni nacionalni organ obvestijo o vsaki spremembi informacij, ki so jih predložili v skladu s prejšnjim odstavkom. Obvestilo o spremembi predložijo nemudoma ali najpozneje v treh mesecih od datuma spremembe informacij.</w:t>
      </w:r>
    </w:p>
    <w:p w14:paraId="2580E99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D8D5E4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strike/>
          <w:color w:val="000000"/>
          <w:sz w:val="20"/>
          <w:szCs w:val="20"/>
        </w:rPr>
      </w:pPr>
      <w:r w:rsidRPr="004752FD">
        <w:rPr>
          <w:rFonts w:ascii="Arial" w:hAnsi="Arial" w:cs="Arial"/>
          <w:color w:val="000000"/>
          <w:sz w:val="20"/>
          <w:szCs w:val="20"/>
        </w:rPr>
        <w:t xml:space="preserve">(3) Subjekti iz prvega odstavka predložijo informacije iz prvega in drugega odstavka tega člena pristojnemu nacionalnemu organu prek mehanizma za samoregistracijo zavezancev iz prvega odstavka 8. člena tega zakona. </w:t>
      </w:r>
    </w:p>
    <w:p w14:paraId="1367AF2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BB641D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Pristojni nacionalni organ v vlogi enotne kontaktne točke po prejemu informacij iz prvega in drugega odstavka tega člena, razen informacij iz 6. točke prvega odstavka tega člena, te informacije nemudoma predloži agenciji ENISA.</w:t>
      </w:r>
    </w:p>
    <w:p w14:paraId="6A084EB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BC171A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7317746"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FB971FA"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(podatkovna zbirka o registraciji domenskih imen)</w:t>
      </w:r>
    </w:p>
    <w:p w14:paraId="78564A7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1740F2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Registri TLD imen in subjekti, ki opravljajo storitve registracije domenskih imen, za zagotovitev varnosti, stabilnosti in odpornosti DNS z ustrezno skrbnostjo zbirajo ter vzdržujejo točne in popolne podatke o registraciji domenskih imen v posebni podatkovni zbirki, pri čemer z zbranimi osebnimi podatki ravnajo v skladu s predpisi, ki urejajo varstvo osebnih podatkov.</w:t>
      </w:r>
    </w:p>
    <w:p w14:paraId="7C76F7B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B09A3B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Podatkovna zbirka iz prejšnjega odstavka mora vsebovati informacije o registraciji domenskih imen, ki zajemajo informacije za identifikacijo imetnikov domenskih imen in kontaktnih točk, ki upravljajo domenska imena v okviru vrhnjih domenskih imen, in navezavo stika z njimi. Take informacije vključujejo:</w:t>
      </w:r>
    </w:p>
    <w:p w14:paraId="3BDB3A24" w14:textId="77777777" w:rsidR="00C50F53" w:rsidRPr="004752FD" w:rsidRDefault="00C50F53" w:rsidP="004055E0">
      <w:pPr>
        <w:pStyle w:val="poglavje0"/>
        <w:numPr>
          <w:ilvl w:val="0"/>
          <w:numId w:val="101"/>
        </w:numPr>
        <w:shd w:val="clear" w:color="auto" w:fill="FFFFFF"/>
        <w:spacing w:before="0" w:beforeAutospacing="0" w:after="0" w:afterAutospacing="0" w:line="260" w:lineRule="atLeast"/>
        <w:ind w:left="1418"/>
        <w:rPr>
          <w:rFonts w:ascii="Arial" w:hAnsi="Arial" w:cs="Arial"/>
          <w:color w:val="000000"/>
          <w:sz w:val="20"/>
          <w:szCs w:val="20"/>
        </w:rPr>
      </w:pPr>
      <w:r w:rsidRPr="004752FD">
        <w:rPr>
          <w:rFonts w:ascii="Arial" w:hAnsi="Arial" w:cs="Arial"/>
          <w:color w:val="000000"/>
          <w:sz w:val="20"/>
          <w:szCs w:val="20"/>
        </w:rPr>
        <w:lastRenderedPageBreak/>
        <w:t>domensko ime,</w:t>
      </w:r>
    </w:p>
    <w:p w14:paraId="64523EA2" w14:textId="77777777" w:rsidR="00C50F53" w:rsidRPr="004752FD" w:rsidRDefault="00C50F53" w:rsidP="004055E0">
      <w:pPr>
        <w:pStyle w:val="poglavje0"/>
        <w:numPr>
          <w:ilvl w:val="0"/>
          <w:numId w:val="101"/>
        </w:numPr>
        <w:shd w:val="clear" w:color="auto" w:fill="FFFFFF"/>
        <w:spacing w:before="0" w:beforeAutospacing="0" w:after="0" w:afterAutospacing="0" w:line="260" w:lineRule="atLeast"/>
        <w:ind w:left="1418"/>
        <w:rPr>
          <w:rFonts w:ascii="Arial" w:hAnsi="Arial" w:cs="Arial"/>
          <w:color w:val="000000"/>
          <w:sz w:val="20"/>
          <w:szCs w:val="20"/>
        </w:rPr>
      </w:pPr>
      <w:r w:rsidRPr="004752FD">
        <w:rPr>
          <w:rFonts w:ascii="Arial" w:hAnsi="Arial" w:cs="Arial"/>
          <w:color w:val="000000"/>
          <w:sz w:val="20"/>
          <w:szCs w:val="20"/>
        </w:rPr>
        <w:t>datum registracije,</w:t>
      </w:r>
    </w:p>
    <w:p w14:paraId="4239B899" w14:textId="77777777" w:rsidR="00C50F53" w:rsidRPr="004752FD" w:rsidRDefault="00C50F53" w:rsidP="004055E0">
      <w:pPr>
        <w:pStyle w:val="poglavje0"/>
        <w:numPr>
          <w:ilvl w:val="0"/>
          <w:numId w:val="101"/>
        </w:numPr>
        <w:shd w:val="clear" w:color="auto" w:fill="FFFFFF"/>
        <w:spacing w:before="0" w:beforeAutospacing="0" w:after="0" w:afterAutospacing="0" w:line="260" w:lineRule="atLeast"/>
        <w:ind w:left="1418"/>
        <w:rPr>
          <w:rFonts w:ascii="Arial" w:hAnsi="Arial" w:cs="Arial"/>
          <w:color w:val="000000"/>
          <w:sz w:val="20"/>
          <w:szCs w:val="20"/>
        </w:rPr>
      </w:pPr>
      <w:r w:rsidRPr="004752FD">
        <w:rPr>
          <w:rFonts w:ascii="Arial" w:hAnsi="Arial" w:cs="Arial"/>
          <w:color w:val="000000"/>
          <w:sz w:val="20"/>
          <w:szCs w:val="20"/>
        </w:rPr>
        <w:t xml:space="preserve">ime </w:t>
      </w:r>
      <w:bookmarkStart w:id="93" w:name="_Hlk155860920"/>
      <w:r w:rsidRPr="004752FD">
        <w:rPr>
          <w:rFonts w:ascii="Arial" w:hAnsi="Arial" w:cs="Arial"/>
          <w:color w:val="000000"/>
          <w:sz w:val="20"/>
          <w:szCs w:val="20"/>
        </w:rPr>
        <w:t>imetnika domenskega imena</w:t>
      </w:r>
      <w:bookmarkEnd w:id="93"/>
      <w:r w:rsidRPr="004752FD">
        <w:rPr>
          <w:rFonts w:ascii="Arial" w:hAnsi="Arial" w:cs="Arial"/>
          <w:color w:val="000000"/>
          <w:sz w:val="20"/>
          <w:szCs w:val="20"/>
        </w:rPr>
        <w:t>, njegov kontaktni elektronski naslov in telefonsko številko in</w:t>
      </w:r>
    </w:p>
    <w:p w14:paraId="3B6BA710" w14:textId="77777777" w:rsidR="00C50F53" w:rsidRPr="004752FD" w:rsidRDefault="00C50F53" w:rsidP="004055E0">
      <w:pPr>
        <w:pStyle w:val="poglavje0"/>
        <w:numPr>
          <w:ilvl w:val="0"/>
          <w:numId w:val="101"/>
        </w:numPr>
        <w:shd w:val="clear" w:color="auto" w:fill="FFFFFF"/>
        <w:spacing w:before="0" w:beforeAutospacing="0" w:after="0" w:afterAutospacing="0" w:line="260" w:lineRule="atLeast"/>
        <w:ind w:left="1418"/>
        <w:rPr>
          <w:rFonts w:ascii="Arial" w:hAnsi="Arial" w:cs="Arial"/>
          <w:color w:val="000000"/>
          <w:sz w:val="20"/>
          <w:szCs w:val="20"/>
        </w:rPr>
      </w:pPr>
      <w:r w:rsidRPr="004752FD">
        <w:rPr>
          <w:rFonts w:ascii="Arial" w:hAnsi="Arial" w:cs="Arial"/>
          <w:color w:val="000000"/>
          <w:sz w:val="20"/>
          <w:szCs w:val="20"/>
        </w:rPr>
        <w:t>kontaktni elektronski naslov in telefonsko številko kontaktne točke, ki upravlja domensko ime, če se razlikuje od naslova imetnika domenskega imena.</w:t>
      </w:r>
    </w:p>
    <w:p w14:paraId="2BF4F6B7"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FA9A58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Registri TLD imen in subjekti, ki opravljajo storitve registracije domenskih imen, vzpostavijo politike in postopke, vključno s postopki preverjanja, ki zagotavljajo, da podatkovne zbirke iz prvega odstavka tega člena vsebujejo točne in popolne informacije, pri čemer se v politiki in postopkih upošteva, da morajo preveriti po vsaj en kontaktni podatek iz tretje in četrte alineje prejšnjega odstavka in določiti obdobja preverbe. Te politike in postopki morajo biti javno dostopni.</w:t>
      </w:r>
    </w:p>
    <w:p w14:paraId="5A3FAD6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7EBB9A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(4) Subjekti iz prvega odstavka tega člena po registraciji domenskega imena nemudoma omogočijo javno dostopnost podatkov o registraciji, ki niso osebni podatki. Takšne podatke objavijo na svojem spletnem mestu ali objavijo povezavo do spletnega mesta, kjer so ti podatki dostopni. </w:t>
      </w:r>
    </w:p>
    <w:p w14:paraId="093E443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4CABD5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(5) Subjekti iz prvega odstavka tega člena omogočijo dostop do podatkov o registraciji posameznih domenskih imen na podlagi zakonitih in ustrezno utemeljenih zahtevkov oseb, ki imajo upravičen razlog za dostop, v skladu s predpisom s področja varstva osebnih podatkov. Subjekti iz prvega odstavka tega člena odgovorijo nemudoma, v vsakem primeru pa v 72 urah od prejema kakršnih koli zahtevkov za dostop. Politike in postopki v zvezi z razkritjem teh podatkov morajo biti javno dostopni.</w:t>
      </w:r>
    </w:p>
    <w:p w14:paraId="60CE1BD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E0E657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(6) Izpolnjevanje obveznosti iz prvega do petega odstavka tega člena ne sme povzročiti podvajanja zbiranja podatkov o registraciji domenskih imen. V ta namen morajo registri TLD imen in subjekti, ki opravljajo storitve registracije domenskih imen, med seboj sodelovati z izmenjavo relevantnih informacij.</w:t>
      </w:r>
    </w:p>
    <w:p w14:paraId="69574AB6"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54DA2911"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5066622B" w14:textId="77777777" w:rsidR="00C50F53" w:rsidRPr="004752FD" w:rsidRDefault="00C50F53" w:rsidP="00E20E87">
      <w:pPr>
        <w:pStyle w:val="NIS2naslovpoglavja"/>
        <w:numPr>
          <w:ilvl w:val="0"/>
          <w:numId w:val="64"/>
        </w:numPr>
        <w:rPr>
          <w:sz w:val="20"/>
          <w:szCs w:val="20"/>
        </w:rPr>
      </w:pPr>
      <w:bookmarkStart w:id="94" w:name="_Hlk144985610"/>
      <w:r w:rsidRPr="004752FD">
        <w:rPr>
          <w:sz w:val="20"/>
          <w:szCs w:val="20"/>
        </w:rPr>
        <w:t>Izmenjava informacij</w:t>
      </w:r>
    </w:p>
    <w:bookmarkEnd w:id="94"/>
    <w:p w14:paraId="02D0E22B" w14:textId="77777777" w:rsidR="00C50F53" w:rsidRPr="004752FD" w:rsidRDefault="00C50F53" w:rsidP="004752FD">
      <w:pPr>
        <w:pStyle w:val="NIS2len"/>
        <w:numPr>
          <w:ilvl w:val="0"/>
          <w:numId w:val="0"/>
        </w:numPr>
        <w:spacing w:before="0" w:line="260" w:lineRule="atLeast"/>
        <w:rPr>
          <w:sz w:val="20"/>
          <w:szCs w:val="20"/>
        </w:rPr>
      </w:pPr>
    </w:p>
    <w:p w14:paraId="2281373B" w14:textId="77777777" w:rsidR="00C50F53" w:rsidRPr="004752FD" w:rsidRDefault="00C50F53" w:rsidP="004752FD">
      <w:pPr>
        <w:pStyle w:val="NIS2len"/>
        <w:numPr>
          <w:ilvl w:val="0"/>
          <w:numId w:val="0"/>
        </w:numPr>
        <w:spacing w:before="0" w:line="260" w:lineRule="atLeast"/>
        <w:rPr>
          <w:sz w:val="20"/>
          <w:szCs w:val="20"/>
        </w:rPr>
      </w:pPr>
    </w:p>
    <w:p w14:paraId="5230A156"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EAA34FD"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(dogovori o izmenjavi informacij o kibernetski varnosti)</w:t>
      </w:r>
    </w:p>
    <w:p w14:paraId="52BF9218" w14:textId="77777777" w:rsidR="00C50F53" w:rsidRPr="004752FD" w:rsidRDefault="00C50F53" w:rsidP="004752FD">
      <w:pPr>
        <w:pStyle w:val="NIS2len"/>
        <w:numPr>
          <w:ilvl w:val="0"/>
          <w:numId w:val="0"/>
        </w:numPr>
        <w:spacing w:before="0" w:line="260" w:lineRule="atLeast"/>
        <w:rPr>
          <w:sz w:val="20"/>
          <w:szCs w:val="20"/>
        </w:rPr>
      </w:pPr>
    </w:p>
    <w:p w14:paraId="1A5487C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Zavezanci na podlagi tega zakona in drugi subjekti si lahko</w:t>
      </w:r>
      <w:r w:rsidRPr="004752FD">
        <w:rPr>
          <w:rFonts w:ascii="Arial" w:hAnsi="Arial" w:cs="Arial"/>
          <w:sz w:val="20"/>
          <w:szCs w:val="20"/>
        </w:rPr>
        <w:t xml:space="preserve"> </w:t>
      </w:r>
      <w:r w:rsidRPr="004752FD">
        <w:rPr>
          <w:rFonts w:ascii="Arial" w:hAnsi="Arial" w:cs="Arial"/>
          <w:color w:val="000000"/>
          <w:sz w:val="20"/>
          <w:szCs w:val="20"/>
        </w:rPr>
        <w:t>prostovoljno izmenjujejo ustrezne informacije o kibernetski varnosti, vključno z informacijami, ki se nanašajo na kibernetske grožnje, skorajšnje incidente, ranljivosti, tehnike in postopke, kazalnike ogroženosti, sovražne taktike, specifične informacije o grožnji in akterju, opozorila glede kibernetske varnosti in priporočila glede konfiguracije orodij za kibernetsko varnost za zaznavo zlonamernih kibernetskih aktivnosti, kadar taka izmenjava informacij:</w:t>
      </w:r>
    </w:p>
    <w:p w14:paraId="37EA7839" w14:textId="77777777" w:rsidR="00C50F53" w:rsidRPr="004752FD" w:rsidRDefault="00C50F53" w:rsidP="00E20E87">
      <w:pPr>
        <w:pStyle w:val="poglavje0"/>
        <w:numPr>
          <w:ilvl w:val="0"/>
          <w:numId w:val="78"/>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pripomore k preprečevanju in odkrivanju incidentov, odzivanju nanje ali okrevanju po njih ali k ublažitvi njihovega vpliva ali</w:t>
      </w:r>
    </w:p>
    <w:p w14:paraId="3912F7C0" w14:textId="77777777" w:rsidR="00C50F53" w:rsidRPr="004752FD" w:rsidRDefault="00C50F53" w:rsidP="00E20E87">
      <w:pPr>
        <w:pStyle w:val="poglavje0"/>
        <w:numPr>
          <w:ilvl w:val="0"/>
          <w:numId w:val="78"/>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zvišuje raven kibernetske varnosti, zlasti z ozaveščanjem v zvezi s kibernetskimi grožnjami, omejevanjem ali oviranjem zmožnosti širjenja takih groženj, podpiranjem vrste obrambnih zmogljivosti, odpravljanjem in razkrivanjem ranljivosti, tehnikami odkrivanja, omejevanja in preprečevanja groženj, strategijami za zmanjšanje tveganja ali fazami odzivanja in okrevanja ali s spodbujanjem sodelovanja med javnimi in zasebnimi subjekti pri raziskovanju kibernetskih groženj.</w:t>
      </w:r>
    </w:p>
    <w:p w14:paraId="27B760C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109B9C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(2) Izmenjava informacij iz prejšnjega odstavka poteka v sektorskih ali medsektorskih skupnostih zavezancev, lahko pa tudi z njihovimi dobavitelji ali ponudniki storitev. Taka izmenjava se izvaja na podlagi dogovorov o izmenjavi informacij o kibernetski varnosti, ob upoštevanju morebitne občutljive narave informacij, ki se izmenjujejo. Podatki, ki so predmet izmenjave, morajo biti ustrezno označeni s semaforskim protokolom. Pri sklenitvi dogovorov o izmenjavi informacij se upoštevajo dobre prakse in smernice agencije ENISA.</w:t>
      </w:r>
    </w:p>
    <w:p w14:paraId="2D297D5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BBAF96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Dogovori o izmenjavi informacij o kibernetski varnosti iz prejšnjega odstavka vsebujejo vsebine in pogoje za takšne dogovore ter lahko vključujejo tudi operativne elemente, vključno glede uporabe namenskih digitalnih platform in orodij za avtomatizacijo. Pristojni nacionalni organ spodbuja sklenitev takšnih dogovorov z ozaveščanjem zavezancev in z metodološko podporo pri sklenitvi dogovorov.</w:t>
      </w:r>
    </w:p>
    <w:p w14:paraId="3EFDD89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B6B680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Bistveni in pomembni subjekti morajo pristojni nacionalni organ in za njih pristojno skupino CSIRT obvestiti o svojem sodelovanju pri dogovorih o izmenjavi informacij o kibernetski varnosti iz drugega odstavka tega člena, in to po sklenitvi takih dogovorov ali o odstopu od dogovora, ko odstop začne veljati. Skrbnik takšnega dogovora pošlje obvestilo pristojnemu nacionalnemu organu in</w:t>
      </w:r>
      <w:r w:rsidRPr="004752FD">
        <w:rPr>
          <w:rFonts w:ascii="Arial" w:hAnsi="Arial" w:cs="Arial"/>
          <w:sz w:val="20"/>
          <w:szCs w:val="20"/>
        </w:rPr>
        <w:t xml:space="preserve"> </w:t>
      </w:r>
      <w:r w:rsidRPr="004752FD">
        <w:rPr>
          <w:rFonts w:ascii="Arial" w:hAnsi="Arial" w:cs="Arial"/>
          <w:color w:val="000000"/>
          <w:sz w:val="20"/>
          <w:szCs w:val="20"/>
        </w:rPr>
        <w:t xml:space="preserve">pristojni skupini CSIRT v 15 dneh od nastanka dogodka. </w:t>
      </w:r>
    </w:p>
    <w:p w14:paraId="5282DDD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184456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(5) Na zaprosilo zavezancev iz tega zakona lahko pristojni nacionalni organ ali skupine CSIRT sodelujejo pri posamičnem dogovoru iz prejšnjega odstavka in pri tem določijo pogoje glede informaciji, ki jih dajo na voljo. </w:t>
      </w:r>
    </w:p>
    <w:p w14:paraId="4A67A69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56F83D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222AEBF"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79699B9"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(prostovoljna priglasitev)</w:t>
      </w:r>
    </w:p>
    <w:p w14:paraId="57941AD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7D73CC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(1) Zavezanci lahko poleg obvezne priglasitve iz 30. člena tega zakona pristojni skupini CSIRT prostovoljno priglasijo incidente, kibernetske grožnje in skorajšnje incidente in jim predložijo ustrezne informacije. </w:t>
      </w:r>
    </w:p>
    <w:p w14:paraId="47440D8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8C8402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Subjekti, ki niso zavezanci po tem zakonu, lahko, ne glede na to, ali spadajo na področje uporabe tega zakona, skupini CSIRT iz prvega odstavka 13. člena tega zakona prostovoljno priglasijo pomembne incidente, kibernetske grožnje in skorajšnje incidente in ji predložijo ustrezne informacije.</w:t>
      </w:r>
    </w:p>
    <w:p w14:paraId="5551C38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CC7D89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Prostovoljno priglasitev iz prvega in prejšnjega odstavka tega člena skupine CSIRT obravnavajo v skladu s postopkom iz 30. člena tega zakona. Pri prostovoljnem poročanju za priglasitveni subjekt ne nastanejo dodatne obveznosti.</w:t>
      </w:r>
    </w:p>
    <w:p w14:paraId="59CC963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8AC47E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(4) Pristojne skupine CSIRT po potrebi informacije o priglasitvah, prejetih v skladu s tem členom, pošljejo pristojnemu nacionalnemu organu v vlogi enotne kontaktne točke, pri čemer poskrbijo za zaupnost in ustrezno varstvo informacij, ki jih je poslal priglasitveni subjekt. </w:t>
      </w:r>
    </w:p>
    <w:p w14:paraId="2450178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FA46ED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(5) Pristojne skupine CSIRT lahko pred prostovoljnimi priglasitvami prednostno obravnavajo obvezne priglasitve. Pri določanju vrstnega reda obdelave prostovoljnih priglasitev upoštevajo vpliv prostovoljno priglašenih incidentov na neprekinjeno izvajanje storitev zavezanih subjektov in morebitni čezmejni vpliv.</w:t>
      </w:r>
    </w:p>
    <w:p w14:paraId="523DEAA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C60D93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(6) Prostovoljne priglasitve, ki nimajo vpliva ali imajo zanemarljiv vpliv na izvajanje storitev zavezancev in imajo zanemarljiv čezmejni vpliv, se obdelajo le, kadar takšna obdelava skupinam CSIRT ne pomeni nesorazmernega ali neupravičenega bremena.</w:t>
      </w:r>
    </w:p>
    <w:p w14:paraId="1A7B1D0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01578E7" w14:textId="77777777" w:rsidR="00C50F53" w:rsidRPr="004752FD" w:rsidRDefault="00C50F53" w:rsidP="004752FD">
      <w:pPr>
        <w:pStyle w:val="Odstavek"/>
        <w:spacing w:after="0" w:line="260" w:lineRule="atLeast"/>
        <w:rPr>
          <w:color w:val="000000"/>
          <w:shd w:val="clear" w:color="auto" w:fill="FFFFFF"/>
        </w:rPr>
      </w:pPr>
      <w:r w:rsidRPr="004752FD">
        <w:rPr>
          <w:color w:val="000000"/>
          <w:shd w:val="clear" w:color="auto" w:fill="FFFFFF"/>
        </w:rPr>
        <w:lastRenderedPageBreak/>
        <w:t>(7) Prostovoljna priglasitev ustreznih informacij iz tega člena se lahko izvaja tudi po namenski digitalni platformi iz desetega odstavka 30. člena tega zakona,</w:t>
      </w:r>
      <w:r w:rsidRPr="004752FD">
        <w:t xml:space="preserve"> </w:t>
      </w:r>
      <w:r w:rsidRPr="004752FD">
        <w:rPr>
          <w:color w:val="000000"/>
          <w:shd w:val="clear" w:color="auto" w:fill="FFFFFF"/>
        </w:rPr>
        <w:t>po kateri poteka tudi izmenjava informacij med sodelujočimi organi na podlagi drugega odstavka 18. člena tega zakona. Sodelujoči organi imajo dostop do informacij o priglasitvah subjektov, ki so povezane z njihovim področjem dela.</w:t>
      </w:r>
    </w:p>
    <w:p w14:paraId="1E3ECFE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ABAAC1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66963D3" w14:textId="77777777" w:rsidR="00C50F53" w:rsidRPr="004752FD" w:rsidRDefault="00C50F53" w:rsidP="00E20E87">
      <w:pPr>
        <w:pStyle w:val="NIS2naslovpoglavja"/>
        <w:numPr>
          <w:ilvl w:val="0"/>
          <w:numId w:val="64"/>
        </w:numPr>
        <w:rPr>
          <w:sz w:val="20"/>
          <w:szCs w:val="20"/>
        </w:rPr>
      </w:pPr>
      <w:bookmarkStart w:id="95" w:name="_Hlk144985629"/>
      <w:r w:rsidRPr="004752FD">
        <w:rPr>
          <w:sz w:val="20"/>
          <w:szCs w:val="20"/>
        </w:rPr>
        <w:t>Vrednotenje incidenta, ocena ogroženosti in ukrepanje</w:t>
      </w:r>
      <w:bookmarkEnd w:id="95"/>
    </w:p>
    <w:p w14:paraId="64274B39"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527DC50A"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3DFCE9B9"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A9F36EC"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(vrednotenje incidenta in ukrepanje)</w:t>
      </w:r>
    </w:p>
    <w:p w14:paraId="390AD7F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00C35E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Priglašene incidente ob njihovem reševanju vrednoti pristojna skupina CSIRT, ki poleg določb tega člena pri tem upošteva tudi nacionalni načrt odzivanja iz drugega odstavka 12. člena tega zakona. Če ima organ državne uprave zagotovljene zmogljivosti vsaj na ravni varnostno-operativnega centra, pristojna skupina CSIRT opravi vrednotenje po predhodnem posvetu z varnostno-operativnim centrom organa državne uprave. Če pristojni nacionalni organ ugotovi, da ocena pristojne skupine CSIRT ne izraža realnega stanja ali so bila ugotovljena nova dejstva, lahko incident prevrednoti. Varnostni dogodki in incidenti se vrednotijo v naslednje stopnje s poimenovanjem:</w:t>
      </w:r>
    </w:p>
    <w:p w14:paraId="1F7E00CC"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eastAsia="Calibri" w:hAnsi="Arial" w:cs="Arial"/>
          <w:color w:val="000000"/>
          <w:sz w:val="20"/>
          <w:szCs w:val="20"/>
        </w:rPr>
      </w:pPr>
      <w:r w:rsidRPr="004752FD">
        <w:rPr>
          <w:rFonts w:ascii="Arial" w:hAnsi="Arial" w:cs="Arial"/>
          <w:color w:val="000000"/>
          <w:sz w:val="20"/>
          <w:szCs w:val="20"/>
        </w:rPr>
        <w:t>C6 dogodek ‒ zaznane kibernetske aktivnosti, ki nimajo negativnega vpliva na omrežja in informacijske sisteme ali informacijske storitve zavezancev. Zaznan ali možen vpliv na posamezne fizične osebe ali posamezna podjetja v državi, ki niso zavezanci;</w:t>
      </w:r>
    </w:p>
    <w:p w14:paraId="3FF14609"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hAnsi="Arial" w:cs="Arial"/>
          <w:color w:val="000000"/>
          <w:sz w:val="20"/>
          <w:szCs w:val="20"/>
        </w:rPr>
      </w:pPr>
      <w:r w:rsidRPr="004752FD">
        <w:rPr>
          <w:rFonts w:ascii="Arial" w:hAnsi="Arial" w:cs="Arial"/>
          <w:color w:val="000000"/>
          <w:sz w:val="20"/>
          <w:szCs w:val="20"/>
        </w:rPr>
        <w:t>C5 skorajšnji incident ‒ pomeni dogodek, ki bi lahko ogrozil razpoložljivost, avtentičnost, celovitost ali zaupnost shranjenih, prenesenih ali obdelanih podatkov ali storitev, ki jih omrežni in informacijski sistemi zagotavljajo ali so prek njih dostopni, vendar se je preprečilo, da bi se ta dogodek uresničil, ali se ni uresničil;</w:t>
      </w:r>
    </w:p>
    <w:p w14:paraId="26189C64"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hAnsi="Arial" w:cs="Arial"/>
          <w:color w:val="000000"/>
          <w:sz w:val="20"/>
          <w:szCs w:val="20"/>
        </w:rPr>
      </w:pPr>
      <w:r w:rsidRPr="004752FD">
        <w:rPr>
          <w:rFonts w:ascii="Arial" w:hAnsi="Arial" w:cs="Arial"/>
          <w:color w:val="000000"/>
          <w:sz w:val="20"/>
          <w:szCs w:val="20"/>
        </w:rPr>
        <w:t>C4 lažji incident ‒ enkraten incident, ki glede na parametre določitve pomembnosti vpliva incidenta zadevnemu subjektu ni povzročil in ne more povzročiti znatne operativne motnje pri opravljanju storitev ali finančne izgube ter ni vplival in ne more vplivati na druge fizične ali pravne osebe s povzročitvijo precejšnje premoženjske ali nepremoženjske škode. Takšen incident ne sme imeti negativnega medsektorskega vpliva ali negativnega vpliva na delovanje informacijskih sistemov obrambe, notranje varnosti ter sistema zaščite in reševanja;</w:t>
      </w:r>
    </w:p>
    <w:p w14:paraId="193468FE"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hAnsi="Arial" w:cs="Arial"/>
          <w:color w:val="000000"/>
          <w:sz w:val="20"/>
          <w:szCs w:val="20"/>
        </w:rPr>
      </w:pPr>
      <w:bookmarkStart w:id="96" w:name="_Hlk138074142"/>
      <w:r w:rsidRPr="004752FD">
        <w:rPr>
          <w:rFonts w:ascii="Arial" w:hAnsi="Arial" w:cs="Arial"/>
          <w:color w:val="000000"/>
          <w:sz w:val="20"/>
          <w:szCs w:val="20"/>
        </w:rPr>
        <w:t xml:space="preserve">C3 težji incident </w:t>
      </w:r>
      <w:bookmarkEnd w:id="96"/>
      <w:r w:rsidRPr="004752FD">
        <w:rPr>
          <w:rFonts w:ascii="Arial" w:hAnsi="Arial" w:cs="Arial"/>
          <w:color w:val="000000"/>
          <w:sz w:val="20"/>
          <w:szCs w:val="20"/>
        </w:rPr>
        <w:t>‒ enkraten pomemben incident ali zaporedje več različnih incidentov v kratkem obdobju, ki je glede na parametre določitve pomembnosti vpliva incidenta zadevnemu subjektu povzročil(-o) ali bi mu lahko povzročil(-o) znatne operativne motnje pri opravljanju storitev ali finančne izgube, je vplival(-o) ali bi lahko vplival(-o) na druge fizične ali pravne osebe s povzročitvijo precejšnje premoženjske ali nepremoženjske škode ali ima negativen medsektorski vpliv ali negativen vpliv na delovanje informacijskih sistemov obrambe, notranje varnosti ter sistema zaščite in reševanja;</w:t>
      </w:r>
    </w:p>
    <w:p w14:paraId="0AACA8C0"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hAnsi="Arial" w:cs="Arial"/>
          <w:color w:val="000000"/>
          <w:sz w:val="20"/>
          <w:szCs w:val="20"/>
        </w:rPr>
      </w:pPr>
      <w:r w:rsidRPr="004752FD">
        <w:rPr>
          <w:rFonts w:ascii="Arial" w:hAnsi="Arial" w:cs="Arial"/>
          <w:color w:val="000000"/>
          <w:sz w:val="20"/>
          <w:szCs w:val="20"/>
        </w:rPr>
        <w:t>C2 težji incident ‒ enkraten pomemben incident ali zaporedje več različnih incidentov v kratkem obdobju, kadar obstaja možnost, da preraste v kritični incident, in</w:t>
      </w:r>
    </w:p>
    <w:p w14:paraId="1CD28460" w14:textId="77777777" w:rsidR="00C50F53" w:rsidRPr="004752FD" w:rsidRDefault="00C50F53" w:rsidP="00E20E87">
      <w:pPr>
        <w:pStyle w:val="alineazaodstavkom0"/>
        <w:numPr>
          <w:ilvl w:val="0"/>
          <w:numId w:val="70"/>
        </w:numPr>
        <w:shd w:val="clear" w:color="auto" w:fill="FFFFFF"/>
        <w:spacing w:before="0" w:beforeAutospacing="0" w:after="0" w:afterAutospacing="0" w:line="260" w:lineRule="atLeast"/>
        <w:ind w:left="1134"/>
        <w:jc w:val="both"/>
        <w:rPr>
          <w:rFonts w:ascii="Arial" w:hAnsi="Arial" w:cs="Arial"/>
          <w:color w:val="000000"/>
          <w:sz w:val="20"/>
          <w:szCs w:val="20"/>
        </w:rPr>
      </w:pPr>
      <w:r w:rsidRPr="004752FD">
        <w:rPr>
          <w:rFonts w:ascii="Arial" w:hAnsi="Arial" w:cs="Arial"/>
          <w:color w:val="000000"/>
          <w:sz w:val="20"/>
          <w:szCs w:val="20"/>
        </w:rPr>
        <w:t>C1 kritični incident ‒ pomemben incident, ki poleg vplivov iz 4. točke tega odstavka povzroči tudi oteženo delovanje države, še posebej izvajanje nalog obrambe, notranje varnosti ter zaščite in reševanja, ali delno onemogoči delovanje vsaj treh visoko kritičnih sektorjev iz Priloge 1 ali enega v celoti.</w:t>
      </w:r>
    </w:p>
    <w:p w14:paraId="532D1A4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45734D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lastRenderedPageBreak/>
        <w:t>(2) Pristojni nacionalni organ na podlagi podatkov in stopnje incidenta iz prejšnjega odstavka, ki mu jih sproti sporočajo skupine CSIRT, presodi, ali gre hkrati tudi za kibernetski incident velikih razsežnosti ali krizo.</w:t>
      </w:r>
    </w:p>
    <w:p w14:paraId="20923A4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4D17A8D"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sz w:val="20"/>
          <w:szCs w:val="20"/>
        </w:rPr>
      </w:pPr>
      <w:r w:rsidRPr="004752FD">
        <w:rPr>
          <w:rFonts w:ascii="Arial" w:hAnsi="Arial" w:cs="Arial"/>
          <w:color w:val="000000"/>
          <w:sz w:val="20"/>
          <w:szCs w:val="20"/>
        </w:rPr>
        <w:t>(3) Pristojni nacionalni organ mora o kritičnem incidentu nemudoma obvestiti vlado, SNAV in osrednji organ za odzivanje na hibridne grožnje, lahko pa jih glede na presojo relevantnih okoliščin obvesti tudi o težjem incidentu, kadar obstaja možnost, da preraste v kritični incident.</w:t>
      </w:r>
      <w:r w:rsidRPr="004752FD">
        <w:rPr>
          <w:rFonts w:ascii="Arial" w:hAnsi="Arial" w:cs="Arial"/>
          <w:sz w:val="20"/>
          <w:szCs w:val="20"/>
        </w:rPr>
        <w:t xml:space="preserve"> </w:t>
      </w:r>
    </w:p>
    <w:p w14:paraId="135729C6"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1EA4D66"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Pristojni nacionalni organ o težjih kibernetskih incidentih C3 in C2 obvešča osrednji organ za odzivanje na hibridne grožnje.</w:t>
      </w:r>
    </w:p>
    <w:p w14:paraId="64A80BE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DDEAD6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(5) Pristojni nacionalni organ lahko zavezancu v primeru težjega incidenta C3 ali C2 ali kritičnega incidenta C1 s pisno odločbo </w:t>
      </w:r>
      <w:bookmarkStart w:id="97" w:name="_Hlk168560190"/>
      <w:r w:rsidRPr="004752FD">
        <w:rPr>
          <w:rFonts w:ascii="Arial" w:hAnsi="Arial" w:cs="Arial"/>
          <w:color w:val="000000"/>
          <w:sz w:val="20"/>
          <w:szCs w:val="20"/>
        </w:rPr>
        <w:t>določi takšne primerne in sorazmerne ukrepe</w:t>
      </w:r>
      <w:bookmarkEnd w:id="97"/>
      <w:r w:rsidRPr="004752FD">
        <w:rPr>
          <w:rFonts w:ascii="Arial" w:hAnsi="Arial" w:cs="Arial"/>
          <w:color w:val="000000"/>
          <w:sz w:val="20"/>
          <w:szCs w:val="20"/>
        </w:rPr>
        <w:t>, kot je potrebno za zaustavitev incidenta, ki že poteka, ali za odpravo njegovih posledic. V nujnih primerih, ko bi izdaja pisne odločbe zaradi poteka časa lahko negativno vplivala na učinkovitost takšnih ukrepov, lahko pristojni nacionalni organ zavezancu določi zadevne ukrepe tudi z ustno odločbo. V tem primeru se zavezancu pisni odpravek ustne odločbe vroči najpozneje v 48 urah po ustni odločbi.</w:t>
      </w:r>
    </w:p>
    <w:p w14:paraId="02AF69F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E80F3E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(6) Če pristojna skupina CSIRT presodi, da nima vseh nujno potrebnih dejstev za opredelitev incidenta in za preprečitev nadaljnjih škodljivih posledic takšnega incidenta, za ugotovitev dejanskega stanja od zavezanca s pisnim pozivom zahteva podatke in pojasnila ali v nujnih primerih z ustnim pozivom, ko bi pisni poziv zaradi poteka časa lahko negativno vplival na učinkovitost reševanja zadevnega incidenta. Pri tem pristojna skupina CSIRT določi tudi rok za predložitev takšnih podatkov in pojasnil.</w:t>
      </w:r>
    </w:p>
    <w:p w14:paraId="5419060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F0A5FF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(7) Če zavezanec v postavljenem roku iz prejšnjega odstavka pristojni skupini CSIRT ne pošlje zahtevanih podatkov in pojasnil, lahko pristojni nacionalni organ na predlog pristojne skupine CSIRT s pisno odločbo zahteva predložitev podatkov in pojasnil ter določi rok za njihovo predložitev. V nujnih primerih, ko bi izdaja pisne odločbe zaradi poteka časa lahko negativno vplivala na učinkovitost reševanja zadevnega incidenta, lahko pristojni nacionalni organi o tem odloči tudi z ustno odločbo. V tem primeru se zavezancu pisni odpravek ustne odločbe vroči najpozneje v 48 urah po ustni odločbi.</w:t>
      </w:r>
    </w:p>
    <w:p w14:paraId="2C0F6902" w14:textId="77777777" w:rsidR="00C50F53" w:rsidRPr="004752FD" w:rsidRDefault="00C50F53" w:rsidP="004752FD">
      <w:pPr>
        <w:pStyle w:val="Odstavek"/>
        <w:spacing w:after="0"/>
        <w:rPr>
          <w:color w:val="000000"/>
        </w:rPr>
      </w:pPr>
    </w:p>
    <w:p w14:paraId="663C3E00" w14:textId="77777777" w:rsidR="00C50F53" w:rsidRPr="004752FD" w:rsidRDefault="00C50F53" w:rsidP="004752FD">
      <w:pPr>
        <w:pStyle w:val="Odstavek"/>
        <w:spacing w:after="0"/>
        <w:rPr>
          <w:strike/>
        </w:rPr>
      </w:pPr>
      <w:r w:rsidRPr="004752FD">
        <w:rPr>
          <w:color w:val="000000"/>
        </w:rPr>
        <w:t>(8) Ukrepi, izdani na podlagi petega, šestega in sedmega odstavka tega člena, se določijo v takšnem obsegu in za toliko časa, kot je nujno potrebno za dosego namena iz četrtega odstavka tega člena. Podatki in informacije, zahtevani na podlagi prejšnjega odstavka, se zahtevajo v obsegu in roku, kot je to nujno potrebno za dosego namena iz prejšnjega odstavka. Zoper odločbi iz četrtega in prejšnjega odstavka tega člena ni dovoljena pritožba, dovoljen pa je upravni spor.</w:t>
      </w:r>
    </w:p>
    <w:p w14:paraId="302382C2"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D5C108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bookmarkStart w:id="98" w:name="_Hlk141708529"/>
      <w:r w:rsidRPr="004752FD">
        <w:rPr>
          <w:rFonts w:ascii="Arial" w:hAnsi="Arial" w:cs="Arial"/>
          <w:color w:val="000000"/>
          <w:sz w:val="20"/>
          <w:szCs w:val="20"/>
        </w:rPr>
        <w:t>(9) Pristojni nacionalni organ lahko za preprečitev nastanka krize ali za njeno obvladovanje ali za hitrejše obvladovanje razmer in omejevanje nadaljnjih škodljivih posledic težjega incidenta C2 ali kritičnega incidenta C1 izda pisno odredbo, s katero pri zavezancih odredi izvedbo nujnih ukrepov. Pri tem določi zlasti vrsto in obseg del, ki jih je treba opraviti pri zavezancu, ter rok za njihovo izvedbo. V nujnih primerih, ko bi izdaja pisne odredbe zaradi poteka časa lahko negativno vplivala na preprečitev nastanka krize ali njenega obvladovanja, lahko pristojni nacionalni organ o tem odloči tudi z ustno odredbo. V tem primeru se zavezancu pisni odpravek ustne odredbe vroči najpozneje v 48 urah po ustni odredbi.</w:t>
      </w:r>
    </w:p>
    <w:p w14:paraId="2FF248BC"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CDD1149" w14:textId="77777777" w:rsidR="00C50F53"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(10) Pristojni nacionalni organ o ukrepih iz petega in osmega odstavka tega člena obvesti vlado in SNAV</w:t>
      </w:r>
      <w:r w:rsidRPr="004752FD">
        <w:rPr>
          <w:rFonts w:ascii="Arial" w:hAnsi="Arial" w:cs="Arial"/>
          <w:sz w:val="20"/>
          <w:szCs w:val="20"/>
        </w:rPr>
        <w:t xml:space="preserve"> </w:t>
      </w:r>
      <w:r w:rsidRPr="004752FD">
        <w:rPr>
          <w:rFonts w:ascii="Arial" w:hAnsi="Arial" w:cs="Arial"/>
          <w:color w:val="000000"/>
          <w:sz w:val="20"/>
          <w:szCs w:val="20"/>
        </w:rPr>
        <w:t>ter osrednji organ za odzivanje na hibridne grožnje.</w:t>
      </w:r>
    </w:p>
    <w:p w14:paraId="6572BC3F" w14:textId="77777777" w:rsidR="00F91E4D" w:rsidRDefault="00F91E4D"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401EE01" w14:textId="391484E4" w:rsidR="00F91E4D" w:rsidRDefault="00F91E4D">
      <w:pPr>
        <w:spacing w:line="240" w:lineRule="auto"/>
        <w:rPr>
          <w:rFonts w:cs="Arial"/>
          <w:color w:val="000000"/>
          <w:szCs w:val="20"/>
          <w:lang w:val="sl-SI" w:eastAsia="sl-SI"/>
        </w:rPr>
      </w:pPr>
      <w:r w:rsidRPr="00A23D30">
        <w:rPr>
          <w:rFonts w:cs="Arial"/>
          <w:color w:val="000000"/>
          <w:szCs w:val="20"/>
          <w:lang w:val="sl-SI"/>
        </w:rPr>
        <w:br w:type="page"/>
      </w:r>
    </w:p>
    <w:p w14:paraId="633AE136" w14:textId="77777777" w:rsidR="00F91E4D" w:rsidRPr="004752FD" w:rsidRDefault="00F91E4D"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47A1BC17"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bookmarkEnd w:id="98"/>
    <w:p w14:paraId="22B9931A"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(ocena ogroženosti)</w:t>
      </w:r>
    </w:p>
    <w:p w14:paraId="444D10A1" w14:textId="77777777" w:rsidR="00C50F53" w:rsidRPr="004752FD" w:rsidRDefault="00C50F53" w:rsidP="004752FD">
      <w:pPr>
        <w:shd w:val="clear" w:color="auto" w:fill="FFFFFF"/>
        <w:spacing w:line="260" w:lineRule="atLeast"/>
        <w:ind w:left="425" w:hanging="425"/>
        <w:rPr>
          <w:rFonts w:cs="Arial"/>
          <w:color w:val="000000"/>
          <w:szCs w:val="20"/>
          <w:lang w:val="sl-SI"/>
        </w:rPr>
      </w:pPr>
    </w:p>
    <w:p w14:paraId="5B83D591"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(1) Pristojni nacionalni organ izdela na podlagi podatkov in informacij, ki se nanašajo na varnost omrežij in informacijskih sistemov, oceno ogroženosti kibernetske varnosti v Republiki Sloveniji (v nadaljnjem besedilu: ocena ogroženosti). Za izdelavo ocene ogroženosti od organov, ki spadajo med ključne dele nacionalnega varnostnega sistema, na podlagi zaprosila pridobi tudi druge podatke, ki bi lahko vplivali na to oceno ogroženosti, in sicer v obsegu, kot je to nujno potrebno za izdelavo ocene ogroženosti. Pristojni nacionalni organ oceno ogroženosti preverja in po potrebi posodablja mesečno ali ob nenadni spremembi varnostnih razmer tudi prej. Pri tem ogroženost vrednoti kot:</w:t>
      </w:r>
    </w:p>
    <w:p w14:paraId="6BA4F6C9"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 nizka ogroženost,</w:t>
      </w:r>
    </w:p>
    <w:p w14:paraId="329C786D"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 srednja ogroženost,</w:t>
      </w:r>
    </w:p>
    <w:p w14:paraId="37C4CDBB"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 visoka ogroženost,</w:t>
      </w:r>
    </w:p>
    <w:p w14:paraId="14155A80"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 kritična ogroženost.</w:t>
      </w:r>
    </w:p>
    <w:p w14:paraId="123D92A1" w14:textId="77777777" w:rsidR="00C50F53" w:rsidRPr="004752FD" w:rsidRDefault="00C50F53" w:rsidP="004752FD">
      <w:pPr>
        <w:shd w:val="clear" w:color="auto" w:fill="FFFFFF"/>
        <w:spacing w:line="260" w:lineRule="atLeast"/>
        <w:rPr>
          <w:rFonts w:cs="Arial"/>
          <w:color w:val="000000"/>
          <w:szCs w:val="20"/>
          <w:lang w:val="sl-SI"/>
        </w:rPr>
      </w:pPr>
    </w:p>
    <w:p w14:paraId="5F2EF1D2"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 xml:space="preserve">(2) Ne glede na oceno ogroženosti iz prejšnjega odstavka zavezanci izvajajo najmanj ukrepe iz 21. in 22. člena tega zakona. </w:t>
      </w:r>
    </w:p>
    <w:p w14:paraId="26FFDC22" w14:textId="77777777" w:rsidR="00C50F53" w:rsidRPr="004752FD" w:rsidRDefault="00C50F53" w:rsidP="00F91E4D">
      <w:pPr>
        <w:shd w:val="clear" w:color="auto" w:fill="FFFFFF"/>
        <w:spacing w:line="260" w:lineRule="atLeast"/>
        <w:jc w:val="both"/>
        <w:rPr>
          <w:rFonts w:cs="Arial"/>
          <w:color w:val="000000"/>
          <w:szCs w:val="20"/>
          <w:lang w:val="sl-SI"/>
        </w:rPr>
      </w:pPr>
    </w:p>
    <w:p w14:paraId="40ACCBD5"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(3) Če je ocena ogroženosti ovrednotena kot srednja, pristojni nacionalni organ o tem obvesti zavezance, pri tem jim lahko priporoči izvedbo dodatnih ukrepov</w:t>
      </w:r>
      <w:r w:rsidRPr="004752FD">
        <w:rPr>
          <w:rFonts w:cs="Arial"/>
          <w:szCs w:val="20"/>
          <w:lang w:val="sl-SI"/>
        </w:rPr>
        <w:t xml:space="preserve"> za </w:t>
      </w:r>
      <w:r w:rsidRPr="004752FD">
        <w:rPr>
          <w:rFonts w:cs="Arial"/>
          <w:color w:val="000000"/>
          <w:szCs w:val="20"/>
          <w:lang w:val="sl-SI"/>
        </w:rPr>
        <w:t>varnost omrežij ali informacijskih sistemov. Pristojni nacionalni organ lahko o tem obvesti tudi splošno javnost na svojem spletnem mestu in v sredstvih javnega obveščanja ter lahko hkrati priporoči tudi ustrezne ukrepe.</w:t>
      </w:r>
    </w:p>
    <w:p w14:paraId="40148F28" w14:textId="77777777" w:rsidR="00C50F53" w:rsidRPr="004752FD" w:rsidRDefault="00C50F53" w:rsidP="00F91E4D">
      <w:pPr>
        <w:shd w:val="clear" w:color="auto" w:fill="FFFFFF"/>
        <w:spacing w:line="260" w:lineRule="atLeast"/>
        <w:jc w:val="both"/>
        <w:rPr>
          <w:rFonts w:cs="Arial"/>
          <w:color w:val="000000"/>
          <w:szCs w:val="20"/>
          <w:lang w:val="sl-SI"/>
        </w:rPr>
      </w:pPr>
    </w:p>
    <w:p w14:paraId="6FC4D722"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(4) Kadar je ocena ogroženosti ovrednotena kot kritična, pristojni nacionalni organ o tem nemudoma obvesti vlado, SNAV in osrednji organ za odzivanje na hibridne grožnje, lahko pa jih glede na presojo relevantnih okoliščin in informacij obvesti tudi, kadar je ogroženost ovrednotena kot visoka.</w:t>
      </w:r>
      <w:r w:rsidRPr="004752FD">
        <w:rPr>
          <w:rFonts w:cs="Arial"/>
          <w:szCs w:val="20"/>
          <w:lang w:val="sl-SI"/>
        </w:rPr>
        <w:t xml:space="preserve"> </w:t>
      </w:r>
      <w:r w:rsidRPr="004752FD">
        <w:rPr>
          <w:rFonts w:cs="Arial"/>
          <w:color w:val="000000"/>
          <w:szCs w:val="20"/>
          <w:lang w:val="sl-SI"/>
        </w:rPr>
        <w:t>O oceni ogroženosti visoka ali kritična pristojni nacionalni organ obvesti zavezance, lahko pa obvesti tudi splošno javnost na svojem spletnem mestu in v sredstvih javnega obveščanja</w:t>
      </w:r>
      <w:r w:rsidRPr="004752FD">
        <w:rPr>
          <w:rFonts w:cs="Arial"/>
          <w:szCs w:val="20"/>
          <w:lang w:val="sl-SI"/>
        </w:rPr>
        <w:t xml:space="preserve"> </w:t>
      </w:r>
      <w:r w:rsidRPr="004752FD">
        <w:rPr>
          <w:rFonts w:cs="Arial"/>
          <w:color w:val="000000"/>
          <w:szCs w:val="20"/>
          <w:lang w:val="sl-SI"/>
        </w:rPr>
        <w:t>ter lahko hkrati priporoči tudi ustrezne ukrepe. Pristojni nacionalni organ o preklicu ali spremembi ocene ogroženosti kritična ali visoka obvesti predhodno obveščene deležnike iz tega odstavka.</w:t>
      </w:r>
    </w:p>
    <w:p w14:paraId="6D7E18E1" w14:textId="77777777" w:rsidR="00C50F53" w:rsidRPr="004752FD" w:rsidRDefault="00C50F53" w:rsidP="00F91E4D">
      <w:pPr>
        <w:shd w:val="clear" w:color="auto" w:fill="FFFFFF"/>
        <w:spacing w:line="260" w:lineRule="atLeast"/>
        <w:jc w:val="both"/>
        <w:rPr>
          <w:rFonts w:cs="Arial"/>
          <w:color w:val="000000"/>
          <w:szCs w:val="20"/>
          <w:lang w:val="sl-SI"/>
        </w:rPr>
      </w:pPr>
    </w:p>
    <w:p w14:paraId="198D4E60"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(5) V primerih ocene ogroženosti visoka morajo zavezanci nemudoma začeti izvajati vsaj naslednje dodatne varnostne ukrepe in jih izvajajo do preklica takšne ogroženosti:</w:t>
      </w:r>
    </w:p>
    <w:p w14:paraId="5D047C3C" w14:textId="77777777" w:rsidR="00C50F53" w:rsidRPr="004752FD" w:rsidRDefault="00C50F53" w:rsidP="00F91E4D">
      <w:pPr>
        <w:numPr>
          <w:ilvl w:val="0"/>
          <w:numId w:val="79"/>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spremljanje varnostnih obvestil pristojne skupine CSIRT ali pristojnega nacionalnega organa, ki se nanašajo na razglašeno ogroženost visoka,</w:t>
      </w:r>
    </w:p>
    <w:p w14:paraId="101EEEF4" w14:textId="77777777" w:rsidR="00C50F53" w:rsidRPr="004752FD" w:rsidRDefault="00C50F53" w:rsidP="00F91E4D">
      <w:pPr>
        <w:numPr>
          <w:ilvl w:val="0"/>
          <w:numId w:val="79"/>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preverjanje ustreznega ohranjanja dnevniških zapisov o delovanju svojih ključnih, krmilnih in nadzornih informacijskih sistemov in delov omrežja,</w:t>
      </w:r>
    </w:p>
    <w:p w14:paraId="0DC1C25D" w14:textId="77777777" w:rsidR="00C50F53" w:rsidRPr="004752FD" w:rsidRDefault="00C50F53" w:rsidP="00F91E4D">
      <w:pPr>
        <w:numPr>
          <w:ilvl w:val="0"/>
          <w:numId w:val="79"/>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takojšnje izvajanje varnostnih navodil</w:t>
      </w:r>
      <w:r w:rsidRPr="004752FD">
        <w:rPr>
          <w:rFonts w:cs="Arial"/>
          <w:szCs w:val="20"/>
          <w:lang w:val="sl-SI"/>
        </w:rPr>
        <w:t xml:space="preserve"> </w:t>
      </w:r>
      <w:r w:rsidRPr="004752FD">
        <w:rPr>
          <w:rFonts w:cs="Arial"/>
          <w:color w:val="000000"/>
          <w:szCs w:val="20"/>
          <w:lang w:val="sl-SI"/>
        </w:rPr>
        <w:t>skupine CSIRT ali pristojnega nacionalnega organa, ki se nanašajo na razglašeno ogroženost visoka, in</w:t>
      </w:r>
    </w:p>
    <w:p w14:paraId="5D4A1458" w14:textId="77777777" w:rsidR="00C50F53" w:rsidRPr="004752FD" w:rsidRDefault="00C50F53" w:rsidP="00F91E4D">
      <w:pPr>
        <w:numPr>
          <w:ilvl w:val="0"/>
          <w:numId w:val="79"/>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poročanje o stanju varnosti svojih omrežij in informacijskih sistemov in o izvajanju ukrepov na način, kot to izhaja iz varnostnega navodila iz prejšnje alineje.</w:t>
      </w:r>
    </w:p>
    <w:p w14:paraId="7DFB5466" w14:textId="77777777" w:rsidR="00C50F53" w:rsidRPr="004752FD" w:rsidRDefault="00C50F53" w:rsidP="00F91E4D">
      <w:pPr>
        <w:shd w:val="clear" w:color="auto" w:fill="FFFFFF"/>
        <w:spacing w:line="260" w:lineRule="atLeast"/>
        <w:jc w:val="both"/>
        <w:rPr>
          <w:rFonts w:cs="Arial"/>
          <w:color w:val="000000"/>
          <w:szCs w:val="20"/>
          <w:lang w:val="sl-SI"/>
        </w:rPr>
      </w:pPr>
    </w:p>
    <w:p w14:paraId="2DE1C47E"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(6) V primerih ocene ogroženosti kritična morajo zavezanci poleg ukrepov iz prejšnjega odstavka nemudoma začeti izvajati tudi naslednje dodatne varnostne ukrepe in jih izvajajo do preklica takšne ogroženosti:</w:t>
      </w:r>
    </w:p>
    <w:p w14:paraId="493BDDEE"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stalno spremljanje varnostnih obvestil pristojne skupine CSIRT ali pristojnega nacionalnega organa, ki se nanašajo na razglašeno ogroženost kritična,</w:t>
      </w:r>
    </w:p>
    <w:p w14:paraId="18BDCA3B" w14:textId="77777777" w:rsidR="00C50F53" w:rsidRPr="004752FD" w:rsidRDefault="00C50F53" w:rsidP="00E20E87">
      <w:pPr>
        <w:numPr>
          <w:ilvl w:val="0"/>
          <w:numId w:val="71"/>
        </w:numPr>
        <w:shd w:val="clear" w:color="auto" w:fill="FFFFFF"/>
        <w:spacing w:line="260" w:lineRule="atLeast"/>
        <w:ind w:left="993"/>
        <w:jc w:val="both"/>
        <w:rPr>
          <w:rFonts w:cs="Arial"/>
          <w:color w:val="000000"/>
          <w:szCs w:val="20"/>
          <w:lang w:val="sl-SI"/>
        </w:rPr>
      </w:pPr>
      <w:r w:rsidRPr="004752FD">
        <w:rPr>
          <w:rFonts w:cs="Arial"/>
          <w:color w:val="000000"/>
          <w:szCs w:val="20"/>
          <w:lang w:val="sl-SI"/>
        </w:rPr>
        <w:lastRenderedPageBreak/>
        <w:t>preverjanje ustreznega delovanja beleženja in ohranjanja dnevniških zapisov iz 24. člena tega zakona ter poročanje o tem in morebitnih izvedenih aktivnostih v skladu s šesto točko tega odstavka,</w:t>
      </w:r>
    </w:p>
    <w:p w14:paraId="4403F9F2"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spremljanje celotnega prometa na svojem omrežju za ugotavljanje anomalij in poročanje o tem ter morebitnih izvedenih aktivnostih v skladu s šesto točko tega odstavka,</w:t>
      </w:r>
    </w:p>
    <w:p w14:paraId="6798A1D0"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takojšnje izvajanje morebitnih varnostnih navodil skupine CSIRT ali pristojnega nacionalnega organa, ki se nanašajo na razglašeno ogroženost kritična,</w:t>
      </w:r>
    </w:p>
    <w:p w14:paraId="65848DCA"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takojšnja priglasitev incidentov ne glede na roke iz 30. člena tega zakona,</w:t>
      </w:r>
    </w:p>
    <w:p w14:paraId="2940676F"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vsaj tedensko poročanje pristojni skupini CSIRT o stanju varnosti svojih omrežij in informacijskih sistemov, tudi glede zaznav varnostnih dogodkov in s tem povezanih aktivnosti, ter o izvajanju varnostnih navodil iz prve točke tega odstavka in</w:t>
      </w:r>
    </w:p>
    <w:p w14:paraId="26CCDA21" w14:textId="77777777" w:rsidR="00C50F53" w:rsidRPr="004752FD" w:rsidRDefault="00C50F53" w:rsidP="00E20E87">
      <w:pPr>
        <w:numPr>
          <w:ilvl w:val="0"/>
          <w:numId w:val="71"/>
        </w:numPr>
        <w:shd w:val="clear" w:color="auto" w:fill="FFFFFF"/>
        <w:spacing w:line="260" w:lineRule="atLeast"/>
        <w:ind w:left="941" w:hanging="374"/>
        <w:jc w:val="both"/>
        <w:rPr>
          <w:rFonts w:cs="Arial"/>
          <w:color w:val="000000"/>
          <w:szCs w:val="20"/>
          <w:lang w:val="sl-SI"/>
        </w:rPr>
      </w:pPr>
      <w:r w:rsidRPr="004752FD">
        <w:rPr>
          <w:rFonts w:cs="Arial"/>
          <w:color w:val="000000"/>
          <w:szCs w:val="20"/>
          <w:lang w:val="sl-SI"/>
        </w:rPr>
        <w:t>pogostejše poročanje</w:t>
      </w:r>
      <w:r w:rsidRPr="004752FD">
        <w:rPr>
          <w:rFonts w:cs="Arial"/>
          <w:szCs w:val="20"/>
          <w:lang w:val="sl-SI"/>
        </w:rPr>
        <w:t xml:space="preserve"> </w:t>
      </w:r>
      <w:r w:rsidRPr="004752FD">
        <w:rPr>
          <w:rFonts w:cs="Arial"/>
          <w:color w:val="000000"/>
          <w:szCs w:val="20"/>
          <w:lang w:val="sl-SI"/>
        </w:rPr>
        <w:t>pristojni skupini CSIRT</w:t>
      </w:r>
      <w:r w:rsidRPr="004752FD">
        <w:rPr>
          <w:rFonts w:cs="Arial"/>
          <w:szCs w:val="20"/>
          <w:lang w:val="sl-SI"/>
        </w:rPr>
        <w:t xml:space="preserve"> o vsebinah iz prejšnje točke</w:t>
      </w:r>
      <w:r w:rsidRPr="004752FD">
        <w:rPr>
          <w:rFonts w:cs="Arial"/>
          <w:color w:val="000000"/>
          <w:szCs w:val="20"/>
          <w:lang w:val="sl-SI"/>
        </w:rPr>
        <w:t>, če tako izhaja iz varnostnega navodila iz prve točke tega odstavka.</w:t>
      </w:r>
    </w:p>
    <w:p w14:paraId="1BD8DE6F" w14:textId="77777777" w:rsidR="00C50F53" w:rsidRPr="004752FD" w:rsidRDefault="00C50F53" w:rsidP="004752FD">
      <w:pPr>
        <w:shd w:val="clear" w:color="auto" w:fill="FFFFFF"/>
        <w:spacing w:line="260" w:lineRule="atLeast"/>
        <w:rPr>
          <w:rFonts w:cs="Arial"/>
          <w:color w:val="000000"/>
          <w:szCs w:val="20"/>
          <w:lang w:val="sl-SI"/>
        </w:rPr>
      </w:pPr>
    </w:p>
    <w:p w14:paraId="69DA15DF"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(7) Ne glede na peti in prejšnji odstavek tega člena lahko pristojni nacionalni organ zavezancu s pisno odločbo določi takšne primerne in sorazmerne ukrepe, kot je to nujno potrebno za zmanjšanje ogroženost. V nujnih primerih, ko bi lahko izdaja pisne odločbe zaradi poteka časa negativno vplivala na učinkovitost ukrepov za zmanjšanje ogroženosti, lahko pristojni nacionalni organ zavezancu določi zadevne ukrepe tudi z ustno odločbo. V tem primeru se zavezancu pisni odpravek ustne odločbe vroči najpozneje v 48 urah po ustni odločbi.</w:t>
      </w:r>
    </w:p>
    <w:p w14:paraId="6E860C23" w14:textId="77777777" w:rsidR="00C50F53" w:rsidRPr="004752FD" w:rsidRDefault="00C50F53" w:rsidP="00F91E4D">
      <w:pPr>
        <w:shd w:val="clear" w:color="auto" w:fill="FFFFFF"/>
        <w:spacing w:line="260" w:lineRule="atLeast"/>
        <w:jc w:val="both"/>
        <w:rPr>
          <w:rFonts w:cs="Arial"/>
          <w:color w:val="000000"/>
          <w:szCs w:val="20"/>
          <w:lang w:val="sl-SI"/>
        </w:rPr>
      </w:pPr>
    </w:p>
    <w:p w14:paraId="278C8BC9"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 xml:space="preserve">(8) Ukrepi, izdani na podlagi prejšnjega odstavka, se določijo v takšnem obsegu in za toliko časa, kot je to nujno potrebno za dosego namena iz prejšnjega odstavka. Zoper odločbo iz prejšnjega odstavka ni dovoljena pritožba, dovoljen pa je upravni spor. </w:t>
      </w:r>
    </w:p>
    <w:p w14:paraId="55DB553E" w14:textId="77777777" w:rsidR="00C50F53" w:rsidRPr="004752FD" w:rsidRDefault="00C50F53" w:rsidP="00F91E4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A620057" w14:textId="77777777" w:rsidR="00C50F53" w:rsidRPr="004752FD" w:rsidRDefault="00C50F53" w:rsidP="00F91E4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(9) Pristojni nacionalni organ lahko za nižanje ocene ogroženosti visoka ali kritična ter posledično zaradi preprečitve nastanka krize ali njenega obvladovanja izda pisno odredbo, s katero odredi izvedbo nujnih ukrepov pri zavezancih, varnostno-operativnih centrih organov državne uprave ali pri skupinah CSIRT. V odredbi se navedejo zlasti vrsta in obseg del, ki jih je treba opraviti pri prej navedenih subjektih, ter rok za njihovo izvedbo. Če bi lahko izdaja pisne odredbe zaradi poteka časa negativno vplivala na učinkovitost ukrepov za nižanje zadevne ocene ogroženosti, lahko pristojni nacionalni organ o tem odloči tudi z ustno odredbo. V tem primeru se zavezancu pisni odpravek ustne odredbe vroči najpozneje v 48 urah po ustni odredbi.</w:t>
      </w:r>
    </w:p>
    <w:p w14:paraId="7CB3FB1E" w14:textId="77777777" w:rsidR="00C50F53" w:rsidRPr="004752FD" w:rsidRDefault="00C50F53" w:rsidP="00F91E4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FB5B539" w14:textId="77777777" w:rsidR="00C50F53" w:rsidRPr="004752FD" w:rsidRDefault="00C50F53" w:rsidP="00F91E4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(10) Pristojni nacionalni organ o ukrepih iz sedmega in devetega odstavka tega člena obvesti vlado in SNAV</w:t>
      </w:r>
      <w:r w:rsidRPr="004752FD">
        <w:rPr>
          <w:rFonts w:ascii="Arial" w:hAnsi="Arial" w:cs="Arial"/>
          <w:sz w:val="20"/>
          <w:szCs w:val="20"/>
        </w:rPr>
        <w:t xml:space="preserve"> </w:t>
      </w:r>
      <w:r w:rsidRPr="004752FD">
        <w:rPr>
          <w:rFonts w:ascii="Arial" w:hAnsi="Arial" w:cs="Arial"/>
          <w:color w:val="000000"/>
          <w:sz w:val="20"/>
          <w:szCs w:val="20"/>
        </w:rPr>
        <w:t>ter osrednji organ za odzivanje na hibridne grožnje.</w:t>
      </w:r>
    </w:p>
    <w:p w14:paraId="18F600FC" w14:textId="77777777" w:rsidR="00C50F53" w:rsidRPr="004752FD" w:rsidRDefault="00C50F53" w:rsidP="004752FD">
      <w:pPr>
        <w:pStyle w:val="NIS2naslovpoglavja"/>
        <w:numPr>
          <w:ilvl w:val="0"/>
          <w:numId w:val="0"/>
        </w:numPr>
        <w:jc w:val="both"/>
        <w:rPr>
          <w:sz w:val="20"/>
          <w:szCs w:val="20"/>
        </w:rPr>
      </w:pPr>
      <w:bookmarkStart w:id="99" w:name="_Hlk148372258"/>
      <w:bookmarkStart w:id="100" w:name="_Hlk144985673"/>
    </w:p>
    <w:p w14:paraId="30907CA5" w14:textId="77777777" w:rsidR="00C50F53" w:rsidRPr="004752FD" w:rsidRDefault="00C50F53" w:rsidP="004752FD">
      <w:pPr>
        <w:pStyle w:val="NIS2naslovpoglavja"/>
        <w:numPr>
          <w:ilvl w:val="0"/>
          <w:numId w:val="0"/>
        </w:numPr>
        <w:jc w:val="both"/>
        <w:rPr>
          <w:sz w:val="20"/>
          <w:szCs w:val="20"/>
        </w:rPr>
      </w:pPr>
    </w:p>
    <w:p w14:paraId="320A8927" w14:textId="77777777" w:rsidR="00C50F53" w:rsidRPr="004752FD" w:rsidRDefault="00C50F53" w:rsidP="00E20E87">
      <w:pPr>
        <w:pStyle w:val="NIS2naslovpoglavja"/>
        <w:numPr>
          <w:ilvl w:val="0"/>
          <w:numId w:val="64"/>
        </w:numPr>
        <w:rPr>
          <w:sz w:val="20"/>
          <w:szCs w:val="20"/>
        </w:rPr>
      </w:pPr>
      <w:r w:rsidRPr="004752FD">
        <w:rPr>
          <w:sz w:val="20"/>
          <w:szCs w:val="20"/>
        </w:rPr>
        <w:t>Kibernetska obramba</w:t>
      </w:r>
      <w:bookmarkEnd w:id="99"/>
    </w:p>
    <w:bookmarkEnd w:id="100"/>
    <w:p w14:paraId="593C746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F49BDE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B07FD45"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0C8C27B2"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(kibernetska obramba)</w:t>
      </w:r>
    </w:p>
    <w:p w14:paraId="77DB9327"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3DA947E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Za preprečevanje kibernetskih groženj in incidentov v kibernetskem prostoru in za ublažitev njihovih vplivov se izvaja kibernetska obramba, ki vključuje vse plasti kibernetskega prostora, in sicer družbeno, logično-tehnično in fizično. Pri tem:</w:t>
      </w:r>
    </w:p>
    <w:p w14:paraId="2238A284" w14:textId="77777777" w:rsidR="00C50F53" w:rsidRPr="004752FD" w:rsidRDefault="00C50F53" w:rsidP="00E20E87">
      <w:pPr>
        <w:pStyle w:val="odstavek0"/>
        <w:numPr>
          <w:ilvl w:val="0"/>
          <w:numId w:val="80"/>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družbena plast zajema uporabnike medsebojno povezanih komunikacij, ki so lahko fizične ali pravne osebe in njihove virtualne identitete,</w:t>
      </w:r>
    </w:p>
    <w:p w14:paraId="71BF78DE" w14:textId="77777777" w:rsidR="00C50F53" w:rsidRPr="004752FD" w:rsidRDefault="00C50F53" w:rsidP="00E20E87">
      <w:pPr>
        <w:pStyle w:val="odstavek0"/>
        <w:numPr>
          <w:ilvl w:val="0"/>
          <w:numId w:val="80"/>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logično-tehnična plast zajema digitalne podatke iz tretje alineje 31. točke 5. člena tega zakona in</w:t>
      </w:r>
    </w:p>
    <w:p w14:paraId="598CD176" w14:textId="77777777" w:rsidR="00C50F53" w:rsidRPr="004752FD" w:rsidRDefault="00C50F53" w:rsidP="00E20E87">
      <w:pPr>
        <w:pStyle w:val="odstavek0"/>
        <w:numPr>
          <w:ilvl w:val="0"/>
          <w:numId w:val="80"/>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lastRenderedPageBreak/>
        <w:t>fizična plast zajema omrežja in naprave iz prve in druge alineje 31. točke 5. člena tega zakona.</w:t>
      </w:r>
    </w:p>
    <w:p w14:paraId="0A4C7C9A" w14:textId="77777777" w:rsidR="00C50F53" w:rsidRDefault="00C50F53" w:rsidP="00E20E87">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01BCC73" w14:textId="77777777" w:rsidR="00E20E87" w:rsidRPr="004752FD" w:rsidRDefault="00E20E87"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B1CA6ED" w14:textId="5A29D303"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753CC2C9" w14:textId="77777777" w:rsidR="00C50F53" w:rsidRPr="004752FD" w:rsidRDefault="00C50F53" w:rsidP="004752FD">
      <w:pPr>
        <w:pStyle w:val="lennaslov"/>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(kibernetska obramba na ravni državnih organov)</w:t>
      </w:r>
    </w:p>
    <w:p w14:paraId="3709A06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75BE50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(1) Ukrepe in dejavnosti kibernetske obrambe na ravni državnih organov usklajujejo in izvajajo pristojni nacionalni organ, skupine CSIRT ter ministrstvo, pristojno za obrambo, ministrstvo, </w:t>
      </w:r>
      <w:bookmarkStart w:id="101" w:name="_Hlk162728592"/>
      <w:r w:rsidRPr="004752FD">
        <w:rPr>
          <w:rFonts w:ascii="Arial" w:hAnsi="Arial" w:cs="Arial"/>
          <w:color w:val="000000"/>
          <w:sz w:val="20"/>
          <w:szCs w:val="20"/>
        </w:rPr>
        <w:t>pristojno za upravljanje informacijsko-komunikacijskih sistemov</w:t>
      </w:r>
      <w:bookmarkEnd w:id="101"/>
      <w:r w:rsidRPr="004752FD">
        <w:rPr>
          <w:rFonts w:ascii="Arial" w:hAnsi="Arial" w:cs="Arial"/>
          <w:color w:val="000000"/>
          <w:sz w:val="20"/>
          <w:szCs w:val="20"/>
        </w:rPr>
        <w:t xml:space="preserve">, ministrstvo, pristojno za zunanje zadeve, ministrstvo, pristojno za notranje zadeve, Policija, Slovenska obveščevalno-varnostna agencija in drugi nacionalni organi v skladu s svojimi pristojnostmi pri zagotavljanju nacionalne varnosti. Na različnih ravneh izvajajo usklajene organizacijske, logično-tehnične, tehnične in administrativne ukrepe ter dejavnosti za zagotavljanje celovite kibernetske varnosti v skladu s svojimi pristojnostmi. Koordinacijo kibernetske obrambe na ravni državnih organov izvaja pristojni nacionalni organ, ki v ta namen vzpostavi koordinacijsko skupino. </w:t>
      </w:r>
    </w:p>
    <w:p w14:paraId="6B6E850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9F13F1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Organi iz prejšnjega odstavka zagotavljajo ustrezne zmogljivosti za kibernetsko obrambo na področjih, za katera so pristojni. V ta namen lahko vzpostavijo svoje varnostno-operativne centre organov državne uprave, ki izpolnjujejo vsaj minimalni obseg zahtev:</w:t>
      </w:r>
    </w:p>
    <w:p w14:paraId="070D68F0" w14:textId="77777777" w:rsidR="00C50F53" w:rsidRPr="004752FD" w:rsidRDefault="00C50F53" w:rsidP="00E20E87">
      <w:pPr>
        <w:pStyle w:val="Odstavek"/>
        <w:numPr>
          <w:ilvl w:val="0"/>
          <w:numId w:val="81"/>
        </w:numPr>
        <w:overflowPunct w:val="0"/>
        <w:autoSpaceDE w:val="0"/>
        <w:autoSpaceDN w:val="0"/>
        <w:adjustRightInd w:val="0"/>
        <w:spacing w:after="0" w:line="260" w:lineRule="atLeast"/>
        <w:ind w:left="924" w:hanging="357"/>
        <w:textAlignment w:val="baseline"/>
      </w:pPr>
      <w:r w:rsidRPr="004752FD">
        <w:t>stalno zagotavljanje razpoložljivosti svojih komunikacijskih kanalov,</w:t>
      </w:r>
    </w:p>
    <w:p w14:paraId="287F7909" w14:textId="77777777" w:rsidR="00C50F53" w:rsidRPr="004752FD" w:rsidRDefault="00C50F53" w:rsidP="00E20E87">
      <w:pPr>
        <w:pStyle w:val="Odstavek"/>
        <w:numPr>
          <w:ilvl w:val="0"/>
          <w:numId w:val="81"/>
        </w:numPr>
        <w:overflowPunct w:val="0"/>
        <w:autoSpaceDE w:val="0"/>
        <w:autoSpaceDN w:val="0"/>
        <w:adjustRightInd w:val="0"/>
        <w:spacing w:after="0" w:line="260" w:lineRule="atLeast"/>
        <w:ind w:left="924" w:hanging="357"/>
        <w:textAlignment w:val="baseline"/>
      </w:pPr>
      <w:r w:rsidRPr="004752FD">
        <w:t>prostori in podporni informacijski sistemi so na varnih krajih,</w:t>
      </w:r>
    </w:p>
    <w:p w14:paraId="3D530A70" w14:textId="77777777" w:rsidR="00C50F53" w:rsidRPr="004752FD" w:rsidRDefault="00C50F53" w:rsidP="00E20E87">
      <w:pPr>
        <w:pStyle w:val="Odstavek"/>
        <w:numPr>
          <w:ilvl w:val="0"/>
          <w:numId w:val="81"/>
        </w:numPr>
        <w:overflowPunct w:val="0"/>
        <w:autoSpaceDE w:val="0"/>
        <w:autoSpaceDN w:val="0"/>
        <w:adjustRightInd w:val="0"/>
        <w:spacing w:after="0" w:line="260" w:lineRule="atLeast"/>
        <w:ind w:left="924" w:hanging="357"/>
        <w:textAlignment w:val="baseline"/>
      </w:pPr>
      <w:r w:rsidRPr="004752FD">
        <w:t>zagotovijo zaupnost in zanesljivost svojih dejavnosti,</w:t>
      </w:r>
    </w:p>
    <w:p w14:paraId="35C43F0F" w14:textId="77777777" w:rsidR="00C50F53" w:rsidRPr="004752FD" w:rsidRDefault="00C50F53" w:rsidP="00E20E87">
      <w:pPr>
        <w:pStyle w:val="Odstavek"/>
        <w:numPr>
          <w:ilvl w:val="0"/>
          <w:numId w:val="81"/>
        </w:numPr>
        <w:overflowPunct w:val="0"/>
        <w:autoSpaceDE w:val="0"/>
        <w:autoSpaceDN w:val="0"/>
        <w:adjustRightInd w:val="0"/>
        <w:spacing w:after="0" w:line="260" w:lineRule="atLeast"/>
        <w:ind w:left="924" w:hanging="357"/>
        <w:textAlignment w:val="baseline"/>
      </w:pPr>
      <w:r w:rsidRPr="004752FD">
        <w:t>imajo dovolj osebja za zagotavljanje neprekinjene razpoložljivosti storitev, pri čemer zagotavljajo, da je to osebje ustrezno usposobljeno, in</w:t>
      </w:r>
    </w:p>
    <w:p w14:paraId="44B3EA28" w14:textId="77777777" w:rsidR="00C50F53" w:rsidRPr="004752FD" w:rsidRDefault="00C50F53" w:rsidP="00E20E87">
      <w:pPr>
        <w:pStyle w:val="Odstavek"/>
        <w:numPr>
          <w:ilvl w:val="0"/>
          <w:numId w:val="81"/>
        </w:numPr>
        <w:overflowPunct w:val="0"/>
        <w:autoSpaceDE w:val="0"/>
        <w:autoSpaceDN w:val="0"/>
        <w:adjustRightInd w:val="0"/>
        <w:spacing w:after="0" w:line="260" w:lineRule="atLeast"/>
        <w:ind w:left="924" w:hanging="357"/>
        <w:textAlignment w:val="baseline"/>
      </w:pPr>
      <w:r w:rsidRPr="004752FD">
        <w:t>imajo redundantne sisteme in nadomestni delovni prostor, da se zagotovi neprekinjeno izvajanje njihovih storitev.</w:t>
      </w:r>
    </w:p>
    <w:p w14:paraId="452AD3D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70E2B7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Pristojni nacionalni organ, ministrstvo, pristojno za upravljanje informacijsko-komunikacijskih sistemov, ministrstvo, pristojno za obrambo, ministrstvo, pristojno za zunanje zadeve, ter Policija in Slovenska obveščevalno-varnostna agencija</w:t>
      </w:r>
      <w:r w:rsidRPr="004752FD" w:rsidDel="007B4A25">
        <w:rPr>
          <w:rFonts w:ascii="Arial" w:hAnsi="Arial" w:cs="Arial"/>
          <w:color w:val="000000"/>
          <w:sz w:val="20"/>
          <w:szCs w:val="20"/>
        </w:rPr>
        <w:t xml:space="preserve"> </w:t>
      </w:r>
      <w:r w:rsidRPr="004752FD">
        <w:rPr>
          <w:rFonts w:ascii="Arial" w:hAnsi="Arial" w:cs="Arial"/>
          <w:color w:val="000000"/>
          <w:sz w:val="20"/>
          <w:szCs w:val="20"/>
        </w:rPr>
        <w:t>stalno spremljajo stanje in odzive na dogodke v kibernetskem prostoru na področju svojega delovanja.</w:t>
      </w:r>
    </w:p>
    <w:p w14:paraId="15A527F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BFB75D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(4) Pristojni nacionalni organ za izvajanje 2. točke drugega odstavka 10. člena tega zakona za zgodnje zaznavanje kibernetskih groženj </w:t>
      </w:r>
      <w:bookmarkStart w:id="102" w:name="_Hlk175903607"/>
      <w:r w:rsidRPr="004752FD">
        <w:rPr>
          <w:rFonts w:ascii="Arial" w:hAnsi="Arial" w:cs="Arial"/>
          <w:color w:val="000000"/>
          <w:sz w:val="20"/>
          <w:szCs w:val="20"/>
        </w:rPr>
        <w:t>vzpostavi situacijski center kibernetske obrambe</w:t>
      </w:r>
      <w:bookmarkEnd w:id="102"/>
      <w:r w:rsidRPr="004752FD">
        <w:rPr>
          <w:rFonts w:ascii="Arial" w:hAnsi="Arial" w:cs="Arial"/>
          <w:color w:val="000000"/>
          <w:sz w:val="20"/>
          <w:szCs w:val="20"/>
        </w:rPr>
        <w:t>, ki je namenjen zaznavanju in spremljanju kibernetskih groženj ter izvajanju postopkov za zamejitev posledic kibernetskih groženj. Nosilci obrambnega načrtovanja iz 3. člena Uredbe o obrambnem načrtovanju (Uradni list RS, št. 51/13 in 11/22) se lahko vključijo v situacijski center kibernetske obrambe, ki v primeru njihove vključitve pristojnemu nacionalnemu organu omogoči neposreden, nujen in sorazmeren vpogled v delovanje njihovega omrežnega in informacijskega sistema.</w:t>
      </w:r>
    </w:p>
    <w:p w14:paraId="78E39E27"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4F37261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(5) Pristojni nacionalni organ lahko zmogljivost situacijskega centra kibernetske obrambe ponudi tudi bistvenim in pomembnim subjektom, ki niso nosilci obrambnega načrtovanja iz prejšnjega odstavka. Pri tem vključeni subjekti za zgodnje zaznavanje kibernetskih groženj omogočijo pristojnemu nacionalnemu organu neposreden, nujen in sorazmeren vpogled v delovanje svojega omrežnega in informacijskega sistema</w:t>
      </w:r>
      <w:r w:rsidRPr="004752FD">
        <w:rPr>
          <w:rFonts w:ascii="Arial" w:hAnsi="Arial" w:cs="Arial"/>
          <w:sz w:val="20"/>
          <w:szCs w:val="20"/>
        </w:rPr>
        <w:t>.</w:t>
      </w:r>
    </w:p>
    <w:p w14:paraId="11BD3E2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40683C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(6) Pristojni organi iz prvega odstavka tega člena priglasijo vzpostavitev varnostno-operativnega centra organa državne uprave pristojnemu nacionalnem organu v 30 dneh od njegove vzpostavitve in hkrati predložijo izjavo o izpolnjevanju zahtev iz drugega odstavka tega člena. </w:t>
      </w:r>
    </w:p>
    <w:p w14:paraId="28F993A7"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9A22FE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(7) Izvajanje kibernetske obrambe iz prvega odstavka tega člena se dopolnjuje z vključevanjem organov in skupin CSIRT iz tega člena v mednarodne povezave in njihovim aktivnim </w:t>
      </w:r>
      <w:r w:rsidRPr="004752FD">
        <w:rPr>
          <w:rFonts w:ascii="Arial" w:hAnsi="Arial" w:cs="Arial"/>
          <w:color w:val="000000"/>
          <w:sz w:val="20"/>
          <w:szCs w:val="20"/>
        </w:rPr>
        <w:lastRenderedPageBreak/>
        <w:t>sodelovanjem v teh povezavah ter z drugimi oblikami večstranskega in dvostranskega sodelovanja.</w:t>
      </w:r>
    </w:p>
    <w:p w14:paraId="2E14A0A3" w14:textId="77777777" w:rsidR="00C50F53" w:rsidRPr="004752FD" w:rsidRDefault="00C50F53" w:rsidP="004752FD">
      <w:pPr>
        <w:pStyle w:val="odstavek0"/>
        <w:shd w:val="clear" w:color="auto" w:fill="FFFFFF"/>
        <w:spacing w:before="0" w:beforeAutospacing="0" w:after="0" w:afterAutospacing="0" w:line="260" w:lineRule="atLeast"/>
        <w:rPr>
          <w:rFonts w:ascii="Arial" w:hAnsi="Arial" w:cs="Arial"/>
          <w:color w:val="000000"/>
          <w:sz w:val="20"/>
          <w:szCs w:val="20"/>
        </w:rPr>
      </w:pPr>
    </w:p>
    <w:p w14:paraId="68636062" w14:textId="77777777" w:rsidR="00C50F53" w:rsidRPr="004752FD" w:rsidRDefault="00C50F53" w:rsidP="004752FD">
      <w:pPr>
        <w:pStyle w:val="Odstavek"/>
        <w:spacing w:after="0" w:line="260" w:lineRule="atLeast"/>
      </w:pPr>
      <w:r w:rsidRPr="004752FD">
        <w:t xml:space="preserve">(8) Varnostno-operativni centri organov državne uprave pristojnemu nacionalnemu organu predložijo tedensko in letno poročilo o izvajanju svojih nalog. Poročilo obsega informacijo o pomembnih incidentih, ki so jih priglasili pristojni skupini CSIRT, in o drugih incidentih, ki so jih zaznali. </w:t>
      </w:r>
    </w:p>
    <w:p w14:paraId="47758145" w14:textId="77777777" w:rsidR="00C50F53" w:rsidRPr="004752FD" w:rsidRDefault="00C50F53" w:rsidP="004752FD">
      <w:pPr>
        <w:pStyle w:val="Odstavek"/>
        <w:spacing w:after="0" w:line="260" w:lineRule="atLeast"/>
      </w:pPr>
    </w:p>
    <w:p w14:paraId="01ECFC9A" w14:textId="77777777" w:rsidR="00C50F53" w:rsidRPr="004752FD" w:rsidRDefault="00C50F53" w:rsidP="004752FD">
      <w:pPr>
        <w:pStyle w:val="Odstavek"/>
        <w:spacing w:after="0" w:line="260" w:lineRule="atLeast"/>
      </w:pPr>
    </w:p>
    <w:p w14:paraId="7BA34CD3"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2C7334A" w14:textId="77777777" w:rsidR="00C50F53" w:rsidRPr="004752FD" w:rsidRDefault="00C50F53" w:rsidP="004752FD">
      <w:pPr>
        <w:pStyle w:val="odstavek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(sodelovanje na področju kibernetske obrambe)</w:t>
      </w:r>
    </w:p>
    <w:p w14:paraId="6F07795E"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CC8030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Za kibernetsko obrambo lahko pristojni nacionalni organ sodeluje s subjekti javne uprave, gospodarstva, z raziskovalno-razvojnimi organizacijami, znanstvenimi institucijami, interesnimi združenji in posamezniki.</w:t>
      </w:r>
    </w:p>
    <w:p w14:paraId="70293BB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8E4FEAC"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Pristojni nacionalni organ lahko za izvajanje kibernetske obrambe k sodelovanju povabi tudi posameznike:</w:t>
      </w:r>
    </w:p>
    <w:p w14:paraId="040AFE01" w14:textId="77777777" w:rsidR="00C50F53" w:rsidRPr="004752FD" w:rsidRDefault="00C50F53" w:rsidP="00E20E87">
      <w:pPr>
        <w:pStyle w:val="odstavek0"/>
        <w:numPr>
          <w:ilvl w:val="0"/>
          <w:numId w:val="8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ki</w:t>
      </w:r>
      <w:r w:rsidRPr="004752FD" w:rsidDel="007B4A25">
        <w:rPr>
          <w:rFonts w:ascii="Arial" w:hAnsi="Arial" w:cs="Arial"/>
          <w:color w:val="000000"/>
          <w:sz w:val="20"/>
          <w:szCs w:val="20"/>
        </w:rPr>
        <w:t xml:space="preserve"> </w:t>
      </w:r>
      <w:r w:rsidRPr="004752FD">
        <w:rPr>
          <w:rFonts w:ascii="Arial" w:hAnsi="Arial" w:cs="Arial"/>
          <w:color w:val="000000"/>
          <w:sz w:val="20"/>
          <w:szCs w:val="20"/>
        </w:rPr>
        <w:t>so državljani Republike Slovenije,</w:t>
      </w:r>
    </w:p>
    <w:p w14:paraId="34BF2708" w14:textId="77777777" w:rsidR="00C50F53" w:rsidRPr="004752FD" w:rsidRDefault="00C50F53" w:rsidP="00E20E87">
      <w:pPr>
        <w:pStyle w:val="odstavek0"/>
        <w:numPr>
          <w:ilvl w:val="0"/>
          <w:numId w:val="8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ki</w:t>
      </w:r>
      <w:r w:rsidRPr="004752FD" w:rsidDel="007B4A25">
        <w:rPr>
          <w:rFonts w:ascii="Arial" w:hAnsi="Arial" w:cs="Arial"/>
          <w:color w:val="000000"/>
          <w:sz w:val="20"/>
          <w:szCs w:val="20"/>
        </w:rPr>
        <w:t xml:space="preserve"> </w:t>
      </w:r>
      <w:r w:rsidRPr="004752FD">
        <w:rPr>
          <w:rFonts w:ascii="Arial" w:hAnsi="Arial" w:cs="Arial"/>
          <w:color w:val="000000"/>
          <w:sz w:val="20"/>
          <w:szCs w:val="20"/>
        </w:rPr>
        <w:t>so poslovno sposobni,</w:t>
      </w:r>
    </w:p>
    <w:p w14:paraId="2449405D" w14:textId="77777777" w:rsidR="00C50F53" w:rsidRPr="004752FD" w:rsidRDefault="00C50F53" w:rsidP="00E20E87">
      <w:pPr>
        <w:pStyle w:val="odstavek0"/>
        <w:numPr>
          <w:ilvl w:val="0"/>
          <w:numId w:val="8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ki</w:t>
      </w:r>
      <w:r w:rsidRPr="004752FD" w:rsidDel="007B4A25">
        <w:rPr>
          <w:rFonts w:ascii="Arial" w:hAnsi="Arial" w:cs="Arial"/>
          <w:color w:val="000000"/>
          <w:sz w:val="20"/>
          <w:szCs w:val="20"/>
        </w:rPr>
        <w:t xml:space="preserve"> </w:t>
      </w:r>
      <w:r w:rsidRPr="004752FD">
        <w:rPr>
          <w:rFonts w:ascii="Arial" w:hAnsi="Arial" w:cs="Arial"/>
          <w:color w:val="000000"/>
          <w:sz w:val="20"/>
          <w:szCs w:val="20"/>
        </w:rPr>
        <w:t>so stari najmanj 18 let,</w:t>
      </w:r>
    </w:p>
    <w:p w14:paraId="2936FD30" w14:textId="77777777" w:rsidR="00C50F53" w:rsidRPr="004752FD" w:rsidRDefault="00C50F53" w:rsidP="00E20E87">
      <w:pPr>
        <w:pStyle w:val="odstavek0"/>
        <w:numPr>
          <w:ilvl w:val="0"/>
          <w:numId w:val="8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ki</w:t>
      </w:r>
      <w:r w:rsidRPr="004752FD" w:rsidDel="007B4A25">
        <w:rPr>
          <w:rFonts w:ascii="Arial" w:hAnsi="Arial" w:cs="Arial"/>
          <w:color w:val="000000"/>
          <w:sz w:val="20"/>
          <w:szCs w:val="20"/>
        </w:rPr>
        <w:t xml:space="preserve"> </w:t>
      </w:r>
      <w:r w:rsidRPr="004752FD">
        <w:rPr>
          <w:rFonts w:ascii="Arial" w:hAnsi="Arial" w:cs="Arial"/>
          <w:color w:val="000000"/>
          <w:sz w:val="20"/>
          <w:szCs w:val="20"/>
        </w:rPr>
        <w:t>niso pravnomočno obsojeni zaradi naklepnega kaznivega dejanja, ki se preganja po uradni dolžnosti, in niso obsojeni na nepogojno kazen zapora v trajanju več kot šest mesecev oziroma niso pravnomočno obsojeni za kazniva dejanja iz 221. in 237. člena Kazenskega zakonika (Uradni list RS, št. 50/12 – uradno prečiščeno besedilo, 6/16 – popr., 54/15, 38/16, 27/17, 23/20, 91/20, 95/21, 186/21, 105/22 – ZZNŠPP in 16/23; v nadaljnjem besedilu KZ-1),</w:t>
      </w:r>
    </w:p>
    <w:p w14:paraId="3D9BE644" w14:textId="77777777" w:rsidR="00C50F53" w:rsidRPr="004752FD" w:rsidRDefault="00C50F53" w:rsidP="00E20E87">
      <w:pPr>
        <w:pStyle w:val="odstavek0"/>
        <w:numPr>
          <w:ilvl w:val="0"/>
          <w:numId w:val="83"/>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 xml:space="preserve">zoper katere ni vložena pravnomočna obtožnica zaradi naklepnega kaznivega dejanja, ki se preganja po uradni dolžnosti, oziroma ni bil uveden kazenski postopek zaradi suma storitve kaznivega dejanja iz 221. in 237. člena KZ-1, </w:t>
      </w:r>
    </w:p>
    <w:p w14:paraId="20DD91A7" w14:textId="77777777" w:rsidR="00C50F53" w:rsidRPr="004752FD" w:rsidRDefault="00C50F53" w:rsidP="00E20E87">
      <w:pPr>
        <w:pStyle w:val="odstavek0"/>
        <w:numPr>
          <w:ilvl w:val="0"/>
          <w:numId w:val="83"/>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imajo soglasje delodajalca, če so v delovnem razmerju,</w:t>
      </w:r>
    </w:p>
    <w:p w14:paraId="6F296A10" w14:textId="77777777" w:rsidR="00C50F53" w:rsidRPr="004752FD" w:rsidRDefault="00C50F53" w:rsidP="00E20E87">
      <w:pPr>
        <w:pStyle w:val="odstavek0"/>
        <w:numPr>
          <w:ilvl w:val="0"/>
          <w:numId w:val="83"/>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imajo ustrezna znanja in kompetence za izvajanje nalog s področja informacijske in kibernetske varnosti ter</w:t>
      </w:r>
    </w:p>
    <w:p w14:paraId="22D6E312" w14:textId="77777777" w:rsidR="00C50F53" w:rsidRPr="004752FD" w:rsidRDefault="00C50F53" w:rsidP="00E20E87">
      <w:pPr>
        <w:pStyle w:val="odstavek0"/>
        <w:numPr>
          <w:ilvl w:val="0"/>
          <w:numId w:val="83"/>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 xml:space="preserve">se strinjajo s psihološkim testiranjem in varnostnim preverjanjem po 99. členu Zakona o nalogah in pooblastilih policije (Uradni list RS, št. 15/13, 23/15 – popr., 10/17, 46/19 – odl. US, 47/19 in 153/21 – odl. US). </w:t>
      </w:r>
    </w:p>
    <w:p w14:paraId="28D1FBBD"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AB33F1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Pristojni nacionalni organ povabilo k sodelovanju iz prejšnjega odstavka objavi na osrednjem spletnem mestu državne uprave.</w:t>
      </w:r>
    </w:p>
    <w:p w14:paraId="6988A02F" w14:textId="77777777" w:rsidR="00C50F53" w:rsidRPr="004752FD" w:rsidRDefault="00C50F53" w:rsidP="004752FD">
      <w:pPr>
        <w:pStyle w:val="odstavek0"/>
        <w:shd w:val="clear" w:color="auto" w:fill="FFFFFF"/>
        <w:spacing w:before="0" w:beforeAutospacing="0" w:after="0" w:afterAutospacing="0" w:line="260" w:lineRule="atLeast"/>
        <w:ind w:left="1134"/>
        <w:jc w:val="both"/>
        <w:rPr>
          <w:rFonts w:ascii="Arial" w:hAnsi="Arial" w:cs="Arial"/>
          <w:color w:val="000000"/>
          <w:sz w:val="20"/>
          <w:szCs w:val="20"/>
        </w:rPr>
      </w:pPr>
    </w:p>
    <w:p w14:paraId="39761FD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Pristojni nacionalni organ opravi izbor kandidatov za sodelovanje pri kibernetski obrambi iz prejšnjega odstavka ter zanje začne postopka psihološkega testiranja in varnostnega preverjanja iz zadnje alineje prejšnjega odstavka. Po uspešno opravljenem varnostnem preverjanju jih uvrstitvi na seznam posameznikov, ki sodelujejo pri kibernetski obrambi. Ta seznam vsebuje:</w:t>
      </w:r>
    </w:p>
    <w:p w14:paraId="03AF4841"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ime, priimek in rojstne podatke,</w:t>
      </w:r>
    </w:p>
    <w:p w14:paraId="7673A958"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davčno številko,</w:t>
      </w:r>
    </w:p>
    <w:p w14:paraId="4E349CF7"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naziv, naslov, telefonsko številko in elektronski naslov,</w:t>
      </w:r>
    </w:p>
    <w:p w14:paraId="53767D48"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doseženo izobrazbo,</w:t>
      </w:r>
    </w:p>
    <w:p w14:paraId="03B10CED"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morebitno zaposlitev in</w:t>
      </w:r>
    </w:p>
    <w:p w14:paraId="3A498470" w14:textId="77777777" w:rsidR="00C50F53" w:rsidRPr="004752FD" w:rsidRDefault="00C50F53" w:rsidP="00E20E87">
      <w:pPr>
        <w:pStyle w:val="odstavek0"/>
        <w:numPr>
          <w:ilvl w:val="0"/>
          <w:numId w:val="84"/>
        </w:numPr>
        <w:shd w:val="clear" w:color="auto" w:fill="FFFFFF"/>
        <w:spacing w:before="0" w:beforeAutospacing="0" w:after="0" w:afterAutospacing="0" w:line="260" w:lineRule="atLeast"/>
        <w:ind w:left="924" w:hanging="357"/>
        <w:rPr>
          <w:rFonts w:ascii="Arial" w:hAnsi="Arial" w:cs="Arial"/>
          <w:color w:val="000000"/>
          <w:sz w:val="20"/>
          <w:szCs w:val="20"/>
        </w:rPr>
      </w:pPr>
      <w:r w:rsidRPr="004752FD">
        <w:rPr>
          <w:rFonts w:ascii="Arial" w:hAnsi="Arial" w:cs="Arial"/>
          <w:color w:val="000000"/>
          <w:sz w:val="20"/>
          <w:szCs w:val="20"/>
        </w:rPr>
        <w:t>znanja in kompetence.</w:t>
      </w:r>
    </w:p>
    <w:p w14:paraId="316A9A3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1AA646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(5) Pristojni nacionalni organ ponudi posamezniku s seznama iz prejšnjega odstavka sklenitev pogodbenega razmerja, v katerem se uredijo status, medsebojne pravice in dolžnosti ter nagrada.</w:t>
      </w:r>
      <w:r w:rsidRPr="004752FD">
        <w:rPr>
          <w:rFonts w:ascii="Arial" w:hAnsi="Arial" w:cs="Arial"/>
          <w:sz w:val="20"/>
          <w:szCs w:val="20"/>
        </w:rPr>
        <w:t xml:space="preserve"> </w:t>
      </w:r>
      <w:r w:rsidRPr="004752FD">
        <w:rPr>
          <w:rFonts w:ascii="Arial" w:hAnsi="Arial" w:cs="Arial"/>
          <w:color w:val="000000"/>
          <w:sz w:val="20"/>
          <w:szCs w:val="20"/>
        </w:rPr>
        <w:lastRenderedPageBreak/>
        <w:t>Če je posameznik v delovnem razmerju, se za ureditev njegovih pravic in dolžnosti upošteva 147. člen Zakona o delovnih razmerjih (Uradni list RS, št. 21/13, 78/13 – popr., 47/15 – ZZSDT, 33/16 – PZ-F, 52/16, 15/17 – odl. US, 22/19 – ZPosS, 81/19, 203/20 – ZIUPOPDVE, 119/21 – ZČmIS-A, 202/21 – odl. US, 15/22, 54/22 – ZUPŠ-1, 114/23 in 136/23 – ZIUZDS).</w:t>
      </w:r>
      <w:r w:rsidRPr="004752FD">
        <w:rPr>
          <w:rFonts w:ascii="Arial" w:hAnsi="Arial" w:cs="Arial"/>
          <w:sz w:val="20"/>
          <w:szCs w:val="20"/>
        </w:rPr>
        <w:t xml:space="preserve"> </w:t>
      </w:r>
      <w:r w:rsidRPr="004752FD">
        <w:rPr>
          <w:rFonts w:ascii="Arial" w:hAnsi="Arial" w:cs="Arial"/>
          <w:color w:val="000000"/>
          <w:sz w:val="20"/>
          <w:szCs w:val="20"/>
        </w:rPr>
        <w:t>Pristojni nacionalni organ po sklenitvi pogodbenega razmerja za posameznika organizira priprave, dodatna usposabljanja in vaje za delovanje na področju kibernetske obrambe.</w:t>
      </w:r>
    </w:p>
    <w:p w14:paraId="60D9AC8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9BBFE2D"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(6) </w:t>
      </w:r>
      <w:bookmarkStart w:id="103" w:name="_Hlk177727054"/>
      <w:r w:rsidRPr="004752FD">
        <w:rPr>
          <w:rFonts w:ascii="Arial" w:hAnsi="Arial" w:cs="Arial"/>
          <w:color w:val="000000"/>
          <w:sz w:val="20"/>
          <w:szCs w:val="20"/>
        </w:rPr>
        <w:t xml:space="preserve">Pristojni nacionalni organ glede na potrebe in stanje ogroženosti kibernetske varnosti oblikuje eno ali več operativnih skupin za kibernetsko obrambo, v katere vključi posameznike, s katerimi ima sklenjeno pogodbo iz prejšnjega odstavka tega člena, in predstavnike državnih organov, organov lokalne samouprave, gospodarskih družb, zavodov in drugih organizacij, ki so svoje sodelovanje izrazili s sporazumom iz prvega odstavka tega člena in izkazujejo, da so varnostno preverjeni. Pri oblikovanju operativnih skupin se upoštevajo tudi morebitna nasprotja interesov posameznikov do zavezancev. </w:t>
      </w:r>
      <w:bookmarkEnd w:id="103"/>
    </w:p>
    <w:p w14:paraId="5C12BCFE"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5E94266"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(7) Direktor pristojnega nacionalnega organa imenuje vodjo in namestnika posamezne operativne skupine iz prejšnjega odstavka. Kadar se za vodjo ali namestnika imenuje osebo državnega organa, ki ni uslužbenec pristojnega nacionalnega organa, se zagotovi soglasje njegovega predstojnika. Administrativno-tehnične pogoje za delovanje operativnih skupin iz prejšnjega odstavka zagotovi pristojni nacionalni organ. </w:t>
      </w:r>
    </w:p>
    <w:p w14:paraId="70A532F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CA248B7"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(8) Sodelovanje javnih uslužbencev v operativni skupini iz petega in prejšnjega odstavka je v interesu delodajalca v skladu s prvim odstavkom 97. člen</w:t>
      </w:r>
      <w:r w:rsidRPr="004752FD">
        <w:rPr>
          <w:rFonts w:ascii="Arial" w:hAnsi="Arial" w:cs="Arial"/>
          <w:sz w:val="20"/>
          <w:szCs w:val="20"/>
        </w:rPr>
        <w:t xml:space="preserve"> </w:t>
      </w:r>
      <w:r w:rsidRPr="004752FD">
        <w:rPr>
          <w:rFonts w:ascii="Arial" w:hAnsi="Arial" w:cs="Arial"/>
          <w:color w:val="000000"/>
          <w:sz w:val="20"/>
          <w:szCs w:val="20"/>
        </w:rPr>
        <w:t>Zakona o javnih uslužbencih (Uradni list RS, št. 63/07 – uradno prečiščeno besedilo, 65/08, 69/08 – ZTFI-A, 69/08 – ZZavar-E, 40/12 – ZUJF, 158/20 – ZIntPK-C, 203/20 – ZIUPOPDVE, 202/21 – odl. US in 3/22 – ZDeb).</w:t>
      </w:r>
    </w:p>
    <w:p w14:paraId="48CC537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1ABFFC2"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E7FA067"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1394A9D" w14:textId="77777777" w:rsidR="00C50F53" w:rsidRPr="004752FD" w:rsidRDefault="00C50F53" w:rsidP="004752FD">
      <w:pPr>
        <w:pStyle w:val="odstavek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(pomoč na področju kibernetske obrambe)</w:t>
      </w:r>
    </w:p>
    <w:p w14:paraId="2DF02F8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25CBE6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Pristojni nacionalni organ lahko nudi zavezancem dodatno pomoč na področju kibernetske obrambe v primeru kibernetskih groženj in incidentov, o katerih pristojni nacionalni organ obvešča vlado in SNAV v skladu s tem zakonom, ter v primeru kibernetskih incidentov velikih razsežnosti ali kriz.</w:t>
      </w:r>
    </w:p>
    <w:p w14:paraId="6B01B6F5"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3BD4B5BD"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Zavezanec ali pristojna skupina CSIRT lahko pristojni nacionalni organ zaprosi za dodatno pomoč iz prejšnjega odstavka, pri čemer se v prošnji navedejo okoliščine, zaradi katerih se prosi za pomoč. Nudenje dodatne pomoči v vsakem posamičnem primeru odobri direktor pristojnega nacionalnega organa, pri čemer upošteva vidike nujnosti obvladovanja stanja ali dogodkov iz prejšnjega odstavka, razpoložljivosti operativnih skupin in drugih zmogljivosti za izvajanje kibernetske obrambe ter aktualno oceno kibernetske varnosti v državi. O načinu in pravilih nudenja dodatne pomoči in možnosti vključitve operativnih skupin iz prejšnjega člena se uskladijo pristojni nacionalni organ, pristojna skupina CSIRT in zavezanec, pri čemer upoštevajo tudi pravila, ki jih določa nacionalni načrt odzivanja.</w:t>
      </w:r>
    </w:p>
    <w:p w14:paraId="6A4CDA51"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1603A4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Če pomoč iz prejšnjega odstavka ni odobrena, pristojni nacionalni organ s tem seznani prosilca iz prejšnjega odstavka, ki lahko v primeru spremenjenih okoliščin znova zaprosi za pomoč.</w:t>
      </w:r>
    </w:p>
    <w:p w14:paraId="03A8A25E" w14:textId="77777777" w:rsidR="00C50F53" w:rsidRPr="004752FD" w:rsidRDefault="00C50F53" w:rsidP="004752FD">
      <w:pPr>
        <w:pStyle w:val="odstavek0"/>
        <w:shd w:val="clear" w:color="auto" w:fill="FFFFFF"/>
        <w:spacing w:before="0" w:beforeAutospacing="0" w:after="0" w:afterAutospacing="0" w:line="260" w:lineRule="atLeast"/>
        <w:rPr>
          <w:rFonts w:ascii="Arial" w:hAnsi="Arial" w:cs="Arial"/>
          <w:b/>
          <w:bCs/>
          <w:color w:val="000000"/>
          <w:sz w:val="20"/>
          <w:szCs w:val="20"/>
        </w:rPr>
      </w:pPr>
    </w:p>
    <w:p w14:paraId="36FD0964" w14:textId="77777777" w:rsidR="00F91E4D" w:rsidRDefault="00F91E4D">
      <w:pPr>
        <w:spacing w:line="240" w:lineRule="auto"/>
        <w:rPr>
          <w:rFonts w:cs="Arial"/>
          <w:b/>
          <w:szCs w:val="20"/>
          <w:lang w:val="sl-SI" w:eastAsia="sl-SI"/>
        </w:rPr>
      </w:pPr>
      <w:r w:rsidRPr="00A23D30">
        <w:rPr>
          <w:szCs w:val="20"/>
          <w:lang w:val="sl-SI"/>
        </w:rPr>
        <w:br w:type="page"/>
      </w:r>
    </w:p>
    <w:p w14:paraId="7769AB30" w14:textId="288FFD81"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2BD955BD" w14:textId="77777777" w:rsidR="00C50F53" w:rsidRPr="004752FD" w:rsidRDefault="00C50F53" w:rsidP="004752FD">
      <w:pPr>
        <w:pStyle w:val="odstavek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(pomoč pri kibernetski obrambi v Evropski uniji)</w:t>
      </w:r>
    </w:p>
    <w:p w14:paraId="4BBAEC8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D10F21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Republika Slovenija lahko za pomoč pri izvajanju kibernetske obrambe zaprosi druge države članice Evropske unije oziroma ustrezne institucije, organe, urade in agencije Evropske unije. Poleg tega lahko navedenim subjektom nudi pomoč pri izvajanju kibernetske obrambe.</w:t>
      </w:r>
    </w:p>
    <w:p w14:paraId="6E23A67B"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8B6A5E1"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Če pristojni nacionalni organ za obvladovanje stanja ali dogodkov iz prvega odstavka prejšnjega člena tega zakona presodi, da zavezanci iz tega zakona ali pristojna skupina CSIRT potrebuje pomoč druge države ali držav članic Evropske unije pri kibernetski obrambi Republike Slovenije, o tem nemudoma obvesti SNAV, ki o predlogu zaprosila oblikuje stališče in ga pošlje vladi v odločanje. Medsebojni dogovor o pomoči določi tudi kritje morebitnih stroškov obeh strani, pri čemer morebitne stroške Republike Slovenije krije prejemnik pomoči.</w:t>
      </w:r>
    </w:p>
    <w:p w14:paraId="4206A9D7"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4AE75AC"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O prejemu zaprosila pristojnih institucij ali organov druge države ali držav članic Evropske unije za nudenje pomoči pri kibernetski obrambi pristojni nacionalni organ obvesti SNAV, ki o predlogu odziva na takšno zaprosilo oblikuje stališče in ga pošlje v odločanje vladi. Pri odzivu na zaprosilo se upoštevata razpoložljivost zmogljivosti za kibernetsko obrambo in aktualna ocena kibernetske varnosti v državi. Medsebojni dogovor o pomoči določi tudi kritje stroškov obeh strani, pri čemer stroške Republike Slovenije zagotovi organ, iz katerega izhaja napotena oseba.</w:t>
      </w:r>
    </w:p>
    <w:p w14:paraId="03E515CA"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68192B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33E74AE1"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B307AFF" w14:textId="77777777" w:rsidR="00C50F53" w:rsidRPr="004752FD" w:rsidRDefault="00C50F53" w:rsidP="004752FD">
      <w:pPr>
        <w:pStyle w:val="odstavek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(pomoč pri kibernetski obrambi na mednarodni ravni)</w:t>
      </w:r>
    </w:p>
    <w:p w14:paraId="1DEB59A3"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8DA834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Republika Slovenija lahko za pomoč pri izvajanju kibernetske obrambe zaprosi tudi tretje države ali mednarodne organizacije, s katerimi ima sklenjene mednarodne sporazume. Poleg tega lahko navedenim subjektom nudi pomoč pri izvajanju kibernetske obrambe.</w:t>
      </w:r>
    </w:p>
    <w:p w14:paraId="21EA2191"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E16800F"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Za nudenje in prejem pomoči se smiselno uporablja prejšnji člen.</w:t>
      </w:r>
    </w:p>
    <w:p w14:paraId="303B84C2"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7660E0FD"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Republika Slovenija lahko sodeluje v skupnih enotah za kibernetsko obrambo, ki jih vzpostavijo mednarodne organizacije, katerih članica je. Odločitev o takšnem sodelovanju na predlog SNAV sprejme vlada.</w:t>
      </w:r>
    </w:p>
    <w:p w14:paraId="7DA433EE"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1F69329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21C596F4"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343CE3E9" w14:textId="77777777" w:rsidR="00C50F53" w:rsidRPr="004752FD" w:rsidRDefault="00C50F53" w:rsidP="004752FD">
      <w:pPr>
        <w:pStyle w:val="Odstavek"/>
        <w:spacing w:after="0" w:line="260" w:lineRule="atLeast"/>
        <w:jc w:val="center"/>
        <w:rPr>
          <w:b/>
          <w:bCs/>
        </w:rPr>
      </w:pPr>
      <w:r w:rsidRPr="004752FD">
        <w:rPr>
          <w:b/>
          <w:bCs/>
        </w:rPr>
        <w:t>(delo v manj ugodnem delovnem času)</w:t>
      </w:r>
    </w:p>
    <w:p w14:paraId="1F00303F" w14:textId="77777777" w:rsidR="00C50F53" w:rsidRPr="004752FD" w:rsidRDefault="00C50F53" w:rsidP="004752FD">
      <w:pPr>
        <w:pStyle w:val="Odstavek"/>
        <w:spacing w:after="0" w:line="260" w:lineRule="atLeast"/>
        <w:jc w:val="center"/>
        <w:rPr>
          <w:b/>
          <w:bCs/>
        </w:rPr>
      </w:pPr>
    </w:p>
    <w:p w14:paraId="6547A91E" w14:textId="77777777" w:rsidR="00C50F53" w:rsidRPr="004752FD" w:rsidRDefault="00C50F53" w:rsidP="004752FD">
      <w:pPr>
        <w:pStyle w:val="Odstavek"/>
        <w:spacing w:after="0" w:line="240" w:lineRule="atLeast"/>
      </w:pPr>
      <w:r w:rsidRPr="004752FD">
        <w:t>(1) Uslužbenci organov, ki izvajajo kibernetsko obrambo, morajo opravljati delo tudi v manj ugodnem delovnem času, kadar je to potrebno za izvajanje s tem zakonom določenih nalog, o čemer odloči njihov predstojnik.</w:t>
      </w:r>
    </w:p>
    <w:p w14:paraId="092FC1A3" w14:textId="77777777" w:rsidR="00C50F53" w:rsidRPr="004752FD" w:rsidRDefault="00C50F53" w:rsidP="004752FD">
      <w:pPr>
        <w:pStyle w:val="Odstavek"/>
        <w:spacing w:after="0" w:line="240" w:lineRule="atLeast"/>
      </w:pPr>
    </w:p>
    <w:p w14:paraId="0824469C" w14:textId="77777777" w:rsidR="00C50F53" w:rsidRPr="004752FD" w:rsidRDefault="00C50F53" w:rsidP="004752FD">
      <w:pPr>
        <w:pStyle w:val="Odstavek"/>
        <w:spacing w:after="0" w:line="240" w:lineRule="atLeast"/>
      </w:pPr>
      <w:r w:rsidRPr="004752FD">
        <w:t>(2) Delo v manj ugodnem delovnem času je:</w:t>
      </w:r>
    </w:p>
    <w:p w14:paraId="72B59194"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delo v neenakomerno razporejenem delovnem času,</w:t>
      </w:r>
    </w:p>
    <w:p w14:paraId="3A9EE2D6"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delo v izmenah,</w:t>
      </w:r>
    </w:p>
    <w:p w14:paraId="7C71002F"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delo ob sobotah, nedeljah, praznikih in drugih dela prostih dnevih,</w:t>
      </w:r>
    </w:p>
    <w:p w14:paraId="1621001D"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delo prek polnega delovnega časa,</w:t>
      </w:r>
    </w:p>
    <w:p w14:paraId="0B0E27E3"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popoldansko in nočno delo in</w:t>
      </w:r>
    </w:p>
    <w:p w14:paraId="391CF0A7" w14:textId="77777777" w:rsidR="00C50F53" w:rsidRPr="004752FD" w:rsidRDefault="00C50F53" w:rsidP="00E20E87">
      <w:pPr>
        <w:pStyle w:val="tevilnatoka0"/>
        <w:numPr>
          <w:ilvl w:val="0"/>
          <w:numId w:val="66"/>
        </w:numPr>
        <w:shd w:val="clear" w:color="auto" w:fill="FFFFFF"/>
        <w:spacing w:before="0" w:beforeAutospacing="0" w:after="0" w:afterAutospacing="0" w:line="240" w:lineRule="atLeast"/>
        <w:jc w:val="both"/>
        <w:rPr>
          <w:rFonts w:ascii="Arial" w:hAnsi="Arial" w:cs="Arial"/>
          <w:color w:val="000000"/>
          <w:sz w:val="20"/>
          <w:szCs w:val="20"/>
        </w:rPr>
      </w:pPr>
      <w:r w:rsidRPr="004752FD">
        <w:rPr>
          <w:rFonts w:ascii="Arial" w:hAnsi="Arial" w:cs="Arial"/>
          <w:color w:val="000000"/>
          <w:sz w:val="20"/>
          <w:szCs w:val="20"/>
        </w:rPr>
        <w:t>delo v deljenem delovnem času.</w:t>
      </w:r>
    </w:p>
    <w:p w14:paraId="2649118F" w14:textId="77777777" w:rsidR="00C50F53" w:rsidRPr="004752FD" w:rsidRDefault="00C50F53" w:rsidP="004752FD">
      <w:pPr>
        <w:pStyle w:val="Odstavek"/>
        <w:spacing w:after="0" w:line="240" w:lineRule="atLeast"/>
      </w:pPr>
    </w:p>
    <w:p w14:paraId="5C335B16" w14:textId="77777777" w:rsidR="00C50F53" w:rsidRPr="004752FD" w:rsidRDefault="00C50F53" w:rsidP="004752FD">
      <w:pPr>
        <w:pStyle w:val="Odstavek"/>
        <w:spacing w:after="0" w:line="240" w:lineRule="atLeast"/>
      </w:pPr>
      <w:r w:rsidRPr="004752FD">
        <w:t>(3) Delo v manj ugodnem delovnem času se izvaja s prerazporeditvijo delovnega časa v okviru določene redne mesečne ali letne delovne obveznosti razen v primeru dela preko polnega delovnega časa.</w:t>
      </w:r>
    </w:p>
    <w:p w14:paraId="393A476A" w14:textId="77777777" w:rsidR="00C50F53" w:rsidRPr="004752FD" w:rsidRDefault="00C50F53" w:rsidP="004752FD">
      <w:pPr>
        <w:pStyle w:val="Odstavek"/>
        <w:spacing w:after="0" w:line="240" w:lineRule="atLeast"/>
      </w:pPr>
    </w:p>
    <w:p w14:paraId="0BD280FB" w14:textId="77777777" w:rsidR="00C50F53" w:rsidRPr="004752FD" w:rsidRDefault="00C50F53" w:rsidP="004752FD">
      <w:pPr>
        <w:pStyle w:val="Odstavek"/>
        <w:spacing w:after="0" w:line="240" w:lineRule="atLeast"/>
      </w:pPr>
      <w:r w:rsidRPr="004752FD">
        <w:lastRenderedPageBreak/>
        <w:t>(4) Delovna mesta, na katerih poteka delo v skladu s prejšnjim odstavkom, se določijo v aktu o organizaciji in sistemizaciji.</w:t>
      </w:r>
    </w:p>
    <w:p w14:paraId="25AADE00" w14:textId="77777777" w:rsidR="00C50F53" w:rsidRPr="004752FD" w:rsidRDefault="00C50F53" w:rsidP="004752FD">
      <w:pPr>
        <w:pStyle w:val="Odstavek"/>
        <w:spacing w:after="0" w:line="240" w:lineRule="atLeast"/>
      </w:pPr>
    </w:p>
    <w:p w14:paraId="27135E0C" w14:textId="77777777" w:rsidR="00C50F53" w:rsidRPr="004752FD" w:rsidRDefault="00C50F53" w:rsidP="004752FD">
      <w:pPr>
        <w:pStyle w:val="Odstavek"/>
        <w:spacing w:after="0" w:line="240" w:lineRule="atLeast"/>
      </w:pPr>
      <w:r w:rsidRPr="004752FD">
        <w:t>(5) Predstojnik organa lahko uslužbencu iz prvega odstavka tega člena odredi delo v manj ugodnem delovnem času, kot to določa drugi odstavek tega člena, če to terjajo varnostne razmere ali če je samo tako mogoče opraviti določene naloge, ki jih ni mogoče odlagati ali morajo biti opravljene v določenem roku.</w:t>
      </w:r>
    </w:p>
    <w:p w14:paraId="2D0BC71B" w14:textId="77777777" w:rsidR="00C50F53" w:rsidRPr="004752FD" w:rsidRDefault="00C50F53" w:rsidP="004752FD">
      <w:pPr>
        <w:pStyle w:val="Odstavek"/>
        <w:spacing w:after="0" w:line="240" w:lineRule="atLeast"/>
      </w:pPr>
    </w:p>
    <w:p w14:paraId="37E21AFF" w14:textId="77777777" w:rsidR="00C50F53" w:rsidRPr="004752FD" w:rsidRDefault="00C50F53" w:rsidP="004752FD">
      <w:pPr>
        <w:pStyle w:val="Odstavek"/>
        <w:spacing w:after="0" w:line="240" w:lineRule="atLeast"/>
      </w:pPr>
      <w:r w:rsidRPr="004752FD">
        <w:t>(6) Predstojnik organa iz prvega odstavka tega člena določi primere, v katerih je dovoljeno odrediti delo iz prejšnjega odstavka, in osebe, ki ga lahko odredijo.</w:t>
      </w:r>
    </w:p>
    <w:p w14:paraId="78326759" w14:textId="77777777" w:rsidR="00C50F53" w:rsidRPr="004752FD" w:rsidRDefault="00C50F53" w:rsidP="004752FD">
      <w:pPr>
        <w:pStyle w:val="Odstavek"/>
        <w:spacing w:after="0" w:line="240" w:lineRule="atLeast"/>
      </w:pPr>
    </w:p>
    <w:p w14:paraId="4B136CDA" w14:textId="3A74D77E" w:rsidR="00902BFF" w:rsidRDefault="00C50F53" w:rsidP="004752FD">
      <w:pPr>
        <w:pStyle w:val="Odstavek"/>
        <w:spacing w:after="0" w:line="240" w:lineRule="atLeast"/>
      </w:pPr>
      <w:r w:rsidRPr="004752FD">
        <w:t>(7) Ne glede na drugi do šesti odstavek tega člena se za delo v manj ugodnem delovnem času</w:t>
      </w:r>
      <w:r w:rsidR="00902BFF">
        <w:t>:</w:t>
      </w:r>
      <w:r w:rsidRPr="004752FD">
        <w:t xml:space="preserve"> </w:t>
      </w:r>
    </w:p>
    <w:p w14:paraId="67E94BCB" w14:textId="2079FFA0" w:rsidR="00C31D50" w:rsidRPr="00401F0F" w:rsidRDefault="00C31D50" w:rsidP="00B533F9">
      <w:pPr>
        <w:pStyle w:val="Odstavek"/>
        <w:numPr>
          <w:ilvl w:val="0"/>
          <w:numId w:val="102"/>
        </w:numPr>
        <w:spacing w:after="0" w:line="240" w:lineRule="atLeast"/>
        <w:ind w:left="993"/>
      </w:pPr>
      <w:r w:rsidRPr="00401F0F">
        <w:t>na Ministrstvu za obrambo in v Slovenski vojski uporabljajo določbe, ki urejajo delo v manj ugodnih delovnih pogojih in v manj ugodnem delovnem času v zakonu, ki ureja obrambo, in v zakonu, ki ureja službo v Slovenski vojsk</w:t>
      </w:r>
      <w:r>
        <w:t>i</w:t>
      </w:r>
      <w:r w:rsidR="00B533F9">
        <w:t>,</w:t>
      </w:r>
    </w:p>
    <w:p w14:paraId="4B40ACC6" w14:textId="3DEB7631" w:rsidR="00401F0F" w:rsidRPr="00401F0F" w:rsidRDefault="00401F0F" w:rsidP="00B533F9">
      <w:pPr>
        <w:pStyle w:val="Odstavek"/>
        <w:numPr>
          <w:ilvl w:val="0"/>
          <w:numId w:val="102"/>
        </w:numPr>
        <w:spacing w:after="0" w:line="240" w:lineRule="atLeast"/>
        <w:ind w:left="993"/>
      </w:pPr>
      <w:r w:rsidRPr="00401F0F">
        <w:t>v Policiji uporabljajo določbe, ki urejajo delo v manj ugodnih delovnih pogojih in v manj ugodnem delovnem času v zakonu, ki ureja organiziranost in delo v Policiji</w:t>
      </w:r>
      <w:r w:rsidR="00B533F9">
        <w:t>,</w:t>
      </w:r>
    </w:p>
    <w:p w14:paraId="0B30FB8E" w14:textId="241938F4" w:rsidR="00401F0F" w:rsidRPr="00401F0F" w:rsidRDefault="00401F0F" w:rsidP="00B533F9">
      <w:pPr>
        <w:pStyle w:val="Odstavek"/>
        <w:numPr>
          <w:ilvl w:val="0"/>
          <w:numId w:val="102"/>
        </w:numPr>
        <w:spacing w:after="0" w:line="240" w:lineRule="atLeast"/>
        <w:ind w:left="993"/>
      </w:pPr>
      <w:r w:rsidRPr="00401F0F">
        <w:t>v Slovenski obveščevalno-varnostni agenciji uporabljajo določbe, ki urejajo delo v manj ugodnih delovnih pogojih in v manj ugodnem delovnem času v zakonu, ki ureja delovanje Slovenske obveščevalno-varnostne agencije</w:t>
      </w:r>
      <w:r w:rsidR="00C31D50">
        <w:t xml:space="preserve"> in</w:t>
      </w:r>
    </w:p>
    <w:p w14:paraId="4C841BBC" w14:textId="76AAB477" w:rsidR="00902BFF" w:rsidRPr="00401F0F" w:rsidRDefault="00401F0F" w:rsidP="00B533F9">
      <w:pPr>
        <w:pStyle w:val="Odstavek"/>
        <w:numPr>
          <w:ilvl w:val="0"/>
          <w:numId w:val="102"/>
        </w:numPr>
        <w:spacing w:after="0" w:line="240" w:lineRule="atLeast"/>
        <w:ind w:left="993"/>
      </w:pPr>
      <w:r w:rsidRPr="00401F0F">
        <w:t xml:space="preserve">v Upravi Republike Slovenije za </w:t>
      </w:r>
      <w:r w:rsidR="00C31D50">
        <w:t>zaščito in reševanje</w:t>
      </w:r>
      <w:r w:rsidRPr="00401F0F">
        <w:t xml:space="preserve"> uporabljajo določbe, ki urejajo delo v manj ugodnih delovnih pogojih in v manj ugodnem delovnem času v zakonu, ki ureja varstvo pred naravnimi in drugimi nesrečami.</w:t>
      </w:r>
    </w:p>
    <w:p w14:paraId="3D5A22ED" w14:textId="77777777" w:rsidR="00C31D50" w:rsidRDefault="00C31D50" w:rsidP="00902BFF">
      <w:pPr>
        <w:pStyle w:val="Odstavek"/>
        <w:spacing w:after="0" w:line="240" w:lineRule="atLeast"/>
        <w:ind w:left="567"/>
        <w:rPr>
          <w:color w:val="000000"/>
        </w:rPr>
      </w:pPr>
    </w:p>
    <w:p w14:paraId="640AA31C" w14:textId="77777777" w:rsidR="00401F0F" w:rsidRDefault="00401F0F" w:rsidP="00902BFF">
      <w:pPr>
        <w:pStyle w:val="Odstavek"/>
        <w:spacing w:after="0" w:line="240" w:lineRule="atLeast"/>
        <w:ind w:left="567"/>
        <w:rPr>
          <w:color w:val="000000"/>
        </w:rPr>
      </w:pPr>
    </w:p>
    <w:p w14:paraId="30DF5EB9" w14:textId="77777777" w:rsidR="00C50F53" w:rsidRPr="004752FD" w:rsidRDefault="00C50F53" w:rsidP="00E20E87">
      <w:pPr>
        <w:pStyle w:val="NIS2naslovpoglavja"/>
        <w:numPr>
          <w:ilvl w:val="0"/>
          <w:numId w:val="64"/>
        </w:numPr>
        <w:rPr>
          <w:sz w:val="20"/>
          <w:szCs w:val="20"/>
        </w:rPr>
      </w:pPr>
      <w:bookmarkStart w:id="104" w:name="_Hlk148372351"/>
      <w:bookmarkStart w:id="105" w:name="_Hlk144985737"/>
      <w:r w:rsidRPr="004752FD">
        <w:rPr>
          <w:sz w:val="20"/>
          <w:szCs w:val="20"/>
        </w:rPr>
        <w:t>Nadzor</w:t>
      </w:r>
      <w:bookmarkEnd w:id="104"/>
    </w:p>
    <w:bookmarkEnd w:id="105"/>
    <w:p w14:paraId="0441BBD3"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68CF2E3E"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6F2E013F"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2F2D056"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(splošne določbe)</w:t>
      </w:r>
    </w:p>
    <w:p w14:paraId="482F563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5B0BA086" w14:textId="191D3E5B"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Za nadzor nad izvajanjem določb tega zakona, na njegovi podlagi sprejetih predpisov in nad izvršitvijo upravnih odločb, izdanih na podlagi petega</w:t>
      </w:r>
      <w:r w:rsidR="00B533F9">
        <w:rPr>
          <w:rFonts w:ascii="Arial" w:hAnsi="Arial" w:cs="Arial"/>
          <w:color w:val="000000"/>
          <w:sz w:val="20"/>
          <w:szCs w:val="20"/>
        </w:rPr>
        <w:t xml:space="preserve"> ali sedmega</w:t>
      </w:r>
      <w:r w:rsidRPr="004752FD">
        <w:rPr>
          <w:rFonts w:ascii="Arial" w:hAnsi="Arial" w:cs="Arial"/>
          <w:color w:val="000000"/>
          <w:sz w:val="20"/>
          <w:szCs w:val="20"/>
        </w:rPr>
        <w:t xml:space="preserve"> odstavka 36. člena, sedmega odstavka 37. člena tega zakona, nad izvršitvijo odredb, izdanih na podlagi </w:t>
      </w:r>
      <w:r w:rsidR="00B533F9">
        <w:rPr>
          <w:rFonts w:ascii="Arial" w:hAnsi="Arial" w:cs="Arial"/>
          <w:color w:val="000000"/>
          <w:sz w:val="20"/>
          <w:szCs w:val="20"/>
        </w:rPr>
        <w:t>devetega</w:t>
      </w:r>
      <w:r w:rsidRPr="004752FD">
        <w:rPr>
          <w:rFonts w:ascii="Arial" w:hAnsi="Arial" w:cs="Arial"/>
          <w:color w:val="000000"/>
          <w:sz w:val="20"/>
          <w:szCs w:val="20"/>
        </w:rPr>
        <w:t xml:space="preserve"> odstavka 36. člena in devetega odstavka 37. člena tega zakona, so pristojni inšpektorji za informacijsko varnost pristojnega nacionalnega organa (v nadaljnjem besedilu: inšpektor), razen na obrambnem področju, kjer ta nadzor izvaja Inšpektorat Republike Slovenije za obrambo</w:t>
      </w:r>
      <w:r w:rsidRPr="004752FD">
        <w:rPr>
          <w:rFonts w:ascii="Arial" w:hAnsi="Arial" w:cs="Arial"/>
          <w:sz w:val="20"/>
          <w:szCs w:val="20"/>
        </w:rPr>
        <w:t xml:space="preserve"> </w:t>
      </w:r>
      <w:r w:rsidRPr="004752FD">
        <w:rPr>
          <w:rFonts w:ascii="Arial" w:hAnsi="Arial" w:cs="Arial"/>
          <w:color w:val="000000"/>
          <w:sz w:val="20"/>
          <w:szCs w:val="20"/>
        </w:rPr>
        <w:t>ter na področju obveščevalno-varnostne dejavnosti, kjer ta nadzor izvaja Inšpektorat Republike Slovenije za notranje zadeve. Inšpektor izvaja tudi nadzor nad tistimi ukrepi za odpornost kritičnih subjektov iz sektorja digitalne infrastrukture, ki jih sprejme vlada na podlagi zakona, ki ureja področje kritične infrastrukture.</w:t>
      </w:r>
    </w:p>
    <w:p w14:paraId="681A0A05"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49FF5DBF" w14:textId="0ECBD69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Inšpektor je pristojen tudi za nadzor nad izvajanjem določb Uredbe 2019/881/EU</w:t>
      </w:r>
      <w:r w:rsidRPr="004752FD">
        <w:rPr>
          <w:rFonts w:ascii="Arial" w:hAnsi="Arial" w:cs="Arial"/>
          <w:sz w:val="20"/>
          <w:szCs w:val="20"/>
        </w:rPr>
        <w:t xml:space="preserve"> </w:t>
      </w:r>
      <w:r w:rsidRPr="004752FD">
        <w:rPr>
          <w:rFonts w:ascii="Arial" w:hAnsi="Arial" w:cs="Arial"/>
          <w:color w:val="000000"/>
          <w:sz w:val="20"/>
          <w:szCs w:val="20"/>
        </w:rPr>
        <w:t>in izvajanjem evropskih certifikacijskih shem ter nad izvršitvijo upravnih odločb, ki jih nacionalni certifikacijski organ za kibernetsko varnost izda na podlagi osmega</w:t>
      </w:r>
      <w:r w:rsidR="00622EC9">
        <w:rPr>
          <w:rFonts w:ascii="Arial" w:hAnsi="Arial" w:cs="Arial"/>
          <w:color w:val="000000"/>
          <w:sz w:val="20"/>
          <w:szCs w:val="20"/>
        </w:rPr>
        <w:t xml:space="preserve"> ali devetega</w:t>
      </w:r>
      <w:r w:rsidRPr="004752FD">
        <w:rPr>
          <w:rFonts w:ascii="Arial" w:hAnsi="Arial" w:cs="Arial"/>
          <w:color w:val="000000"/>
          <w:sz w:val="20"/>
          <w:szCs w:val="20"/>
        </w:rPr>
        <w:t xml:space="preserve"> odstavka 27. člena tega zakona.</w:t>
      </w:r>
    </w:p>
    <w:p w14:paraId="64BC52DC"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27C3A009"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Inšpektor nadzira tudi izvajanje izvedbenih aktov Evropske komisije, sprejetih na podlagi Direktive 2022/2555/EU, ki imajo neposredni učinek v pravnem redu Republike Slovenije.</w:t>
      </w:r>
    </w:p>
    <w:p w14:paraId="16DF3225"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0B9363C0"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V postopku nadzora po tem zakonu se uporabljajo določbe zakon, ki ureja inšpekcijski nadzor, če s tem zakonom ni določeno drugače.</w:t>
      </w:r>
    </w:p>
    <w:p w14:paraId="306679F8" w14:textId="77777777" w:rsidR="00C50F53" w:rsidRPr="004752FD" w:rsidRDefault="00C50F53" w:rsidP="004752FD">
      <w:pPr>
        <w:pStyle w:val="odstavek0"/>
        <w:shd w:val="clear" w:color="auto" w:fill="FFFFFF"/>
        <w:spacing w:before="0" w:beforeAutospacing="0" w:after="0" w:afterAutospacing="0" w:line="260" w:lineRule="atLeast"/>
        <w:jc w:val="both"/>
        <w:rPr>
          <w:rFonts w:ascii="Arial" w:hAnsi="Arial" w:cs="Arial"/>
          <w:color w:val="000000"/>
          <w:sz w:val="20"/>
          <w:szCs w:val="20"/>
        </w:rPr>
      </w:pPr>
    </w:p>
    <w:p w14:paraId="6661E1EE" w14:textId="77777777" w:rsidR="00C50F53" w:rsidRPr="004752FD" w:rsidRDefault="00C50F53" w:rsidP="004752FD">
      <w:pPr>
        <w:rPr>
          <w:rFonts w:cs="Arial"/>
          <w:color w:val="000000"/>
          <w:szCs w:val="20"/>
          <w:lang w:val="sl-SI"/>
        </w:rPr>
      </w:pPr>
      <w:r w:rsidRPr="004752FD">
        <w:rPr>
          <w:rFonts w:cs="Arial"/>
          <w:color w:val="000000"/>
          <w:szCs w:val="20"/>
          <w:lang w:val="sl-SI"/>
        </w:rPr>
        <w:t>(5) Pri opravljanju nalog inšpekcijskega nadzora pri zavezancu iz tega zakona ima inšpektor poleg pravic iz zakona, ki ureja inšpekcijski nadzor, tudi pravico:</w:t>
      </w:r>
    </w:p>
    <w:p w14:paraId="54254233" w14:textId="77777777" w:rsidR="00C50F53" w:rsidRPr="004752FD" w:rsidRDefault="00C50F53" w:rsidP="004752FD">
      <w:pPr>
        <w:ind w:left="567"/>
        <w:rPr>
          <w:rFonts w:cs="Arial"/>
          <w:color w:val="000000"/>
          <w:szCs w:val="20"/>
          <w:lang w:val="sl-SI"/>
        </w:rPr>
      </w:pPr>
      <w:r w:rsidRPr="004752FD">
        <w:rPr>
          <w:rFonts w:cs="Arial"/>
          <w:color w:val="000000"/>
          <w:szCs w:val="20"/>
          <w:lang w:val="sl-SI"/>
        </w:rPr>
        <w:lastRenderedPageBreak/>
        <w:t>1. opraviti inšpekcijski pregled na kraju samem in nadzor na daljavo, ki ju lahko izvede skupaj z usposobljenimi strokovnjaki;</w:t>
      </w:r>
    </w:p>
    <w:p w14:paraId="34697718"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2. opraviti inšpekcijski varnostni pregled, ki temelji na objektivnih, nediskriminatornih, poštenih in preglednih merilih za oceno tveganj;</w:t>
      </w:r>
    </w:p>
    <w:p w14:paraId="4D0AA205"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3. opraviti neposreden vpogled v podatke, dokumentacijo ter v omrežne in informacijske sisteme;</w:t>
      </w:r>
    </w:p>
    <w:p w14:paraId="2BF66C8A"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 xml:space="preserve">4. preveriti pogoje in način izvajanja ukrepov za obvladovanje tveganj kibernetske varnosti; </w:t>
      </w:r>
    </w:p>
    <w:p w14:paraId="27AEB1FE"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5. pregledati območja, objekte in prostore zavezancev, kjer so ključni, krmilni in nadzorni informacijski sistemi in podatki;</w:t>
      </w:r>
    </w:p>
    <w:p w14:paraId="73EF182A"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 xml:space="preserve">6. pregledati dokumentacijo o izvrševanju predpisanih obveznosti obveščanja o kibernetskih incidentih in drugih obveznostih na podlagi zahtev pristojnih organov iz tega zakona; </w:t>
      </w:r>
    </w:p>
    <w:p w14:paraId="367EFA9F"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 xml:space="preserve">7. pregledati poročila o izvedbi revizije informacijskih sistemov ter izvedbi varnostnih pregledov omrežja in informacijskih sistemov in </w:t>
      </w:r>
    </w:p>
    <w:p w14:paraId="406166E0" w14:textId="77777777" w:rsidR="00C50F53" w:rsidRPr="004752FD" w:rsidRDefault="00C50F53" w:rsidP="004752FD">
      <w:pPr>
        <w:ind w:left="567"/>
        <w:rPr>
          <w:rFonts w:cs="Arial"/>
          <w:color w:val="000000"/>
          <w:szCs w:val="20"/>
          <w:lang w:val="sl-SI"/>
        </w:rPr>
      </w:pPr>
      <w:r w:rsidRPr="004752FD">
        <w:rPr>
          <w:rFonts w:cs="Arial"/>
          <w:color w:val="000000"/>
          <w:szCs w:val="20"/>
          <w:lang w:val="sl-SI"/>
        </w:rPr>
        <w:t>8. pregledati drugo dokumentacijo, potrebno za izvedbo nadzora.</w:t>
      </w:r>
    </w:p>
    <w:p w14:paraId="73B4734B" w14:textId="77777777" w:rsidR="00C50F53" w:rsidRPr="004752FD" w:rsidRDefault="00C50F53" w:rsidP="004752FD">
      <w:pPr>
        <w:rPr>
          <w:rFonts w:cs="Arial"/>
          <w:color w:val="000000"/>
          <w:szCs w:val="20"/>
          <w:lang w:val="sl-SI"/>
        </w:rPr>
      </w:pPr>
    </w:p>
    <w:p w14:paraId="6CB7EEDE" w14:textId="77777777" w:rsidR="00C50F53" w:rsidRPr="004752FD" w:rsidRDefault="00C50F53" w:rsidP="00F91E4D">
      <w:pPr>
        <w:jc w:val="both"/>
        <w:rPr>
          <w:rFonts w:cs="Arial"/>
          <w:color w:val="000000"/>
          <w:szCs w:val="20"/>
          <w:lang w:val="sl-SI"/>
        </w:rPr>
      </w:pPr>
      <w:r w:rsidRPr="004752FD">
        <w:rPr>
          <w:rFonts w:cs="Arial"/>
          <w:color w:val="000000"/>
          <w:szCs w:val="20"/>
          <w:lang w:val="sl-SI"/>
        </w:rPr>
        <w:t>(6) Zavezanci morajo inšpektorju</w:t>
      </w:r>
      <w:r w:rsidRPr="004752FD" w:rsidDel="002D0224">
        <w:rPr>
          <w:rFonts w:cs="Arial"/>
          <w:color w:val="000000"/>
          <w:szCs w:val="20"/>
          <w:lang w:val="sl-SI"/>
        </w:rPr>
        <w:t xml:space="preserve"> </w:t>
      </w:r>
      <w:r w:rsidRPr="004752FD">
        <w:rPr>
          <w:rFonts w:cs="Arial"/>
          <w:color w:val="000000"/>
          <w:szCs w:val="20"/>
          <w:lang w:val="sl-SI"/>
        </w:rPr>
        <w:t>pri izvajanju inšpekcijskega nadzora brez odlašanja predložiti zahtevane informacije in podatke ter omogočiti dostop do sistemov, območij, objektov in prostorov.</w:t>
      </w:r>
    </w:p>
    <w:p w14:paraId="6753A6C5" w14:textId="77777777" w:rsidR="00C50F53" w:rsidRPr="004752FD" w:rsidRDefault="00C50F53" w:rsidP="00F91E4D">
      <w:pPr>
        <w:jc w:val="both"/>
        <w:rPr>
          <w:rFonts w:cs="Arial"/>
          <w:color w:val="000000"/>
          <w:szCs w:val="20"/>
          <w:lang w:val="sl-SI"/>
        </w:rPr>
      </w:pPr>
    </w:p>
    <w:p w14:paraId="0F31B19B" w14:textId="77777777" w:rsidR="00C50F53" w:rsidRPr="004752FD" w:rsidRDefault="00C50F53" w:rsidP="00F91E4D">
      <w:pPr>
        <w:jc w:val="both"/>
        <w:rPr>
          <w:rFonts w:cs="Arial"/>
          <w:color w:val="000000"/>
          <w:szCs w:val="20"/>
          <w:lang w:val="sl-SI"/>
        </w:rPr>
      </w:pPr>
      <w:r w:rsidRPr="004752FD">
        <w:rPr>
          <w:rFonts w:cs="Arial"/>
          <w:color w:val="000000"/>
          <w:szCs w:val="20"/>
          <w:lang w:val="sl-SI"/>
        </w:rPr>
        <w:t xml:space="preserve">(7) Zoper odločbo, izdano v postopkih nadzora po tem zakonu, ni dovoljena pritožba, dovoljen pa je upravni spor. </w:t>
      </w:r>
    </w:p>
    <w:p w14:paraId="00773937" w14:textId="77777777" w:rsidR="00C50F53" w:rsidRPr="004752FD" w:rsidRDefault="00C50F53" w:rsidP="00F91E4D">
      <w:pPr>
        <w:jc w:val="both"/>
        <w:rPr>
          <w:rFonts w:cs="Arial"/>
          <w:color w:val="000000"/>
          <w:szCs w:val="20"/>
          <w:lang w:val="sl-SI"/>
        </w:rPr>
      </w:pPr>
    </w:p>
    <w:p w14:paraId="78DAA567" w14:textId="77777777" w:rsidR="00C50F53" w:rsidRPr="004752FD" w:rsidRDefault="00C50F53" w:rsidP="00F91E4D">
      <w:pPr>
        <w:jc w:val="both"/>
        <w:rPr>
          <w:rFonts w:cs="Arial"/>
          <w:color w:val="000000"/>
          <w:szCs w:val="20"/>
          <w:lang w:val="sl-SI"/>
        </w:rPr>
      </w:pPr>
      <w:r w:rsidRPr="004752FD">
        <w:rPr>
          <w:rFonts w:cs="Arial"/>
          <w:color w:val="000000"/>
          <w:szCs w:val="20"/>
          <w:lang w:val="sl-SI"/>
        </w:rPr>
        <w:t>(8) Inšpektor lahko v inšpekcijskem postopku na podlagi obrazloženega predloga zavezanca za podaljšanje rokov za odpravo nepravilnosti in pomanjkljivosti, ki je podan pred potekom roka za izvedbo odrejenih ukrepov, podaljša roke za odpravo nepravilnosti in pomanjkljivosti oziroma izvedbo odrejenih ukrepov, pri tem pa upošteva že izvedene aktivnosti zavezanca za odpravo nepravilnosti in pomanjkljivosti, objektivne okoliščine za zamudo in posledice za javni interes.</w:t>
      </w:r>
    </w:p>
    <w:p w14:paraId="770869FC" w14:textId="77777777" w:rsidR="00C50F53" w:rsidRPr="004752FD" w:rsidRDefault="00C50F53" w:rsidP="00F91E4D">
      <w:pPr>
        <w:jc w:val="both"/>
        <w:rPr>
          <w:rFonts w:cs="Arial"/>
          <w:color w:val="000000"/>
          <w:szCs w:val="20"/>
          <w:lang w:val="sl-SI"/>
        </w:rPr>
      </w:pPr>
    </w:p>
    <w:p w14:paraId="18D6E0CF" w14:textId="77777777" w:rsidR="00C50F53" w:rsidRPr="004752FD" w:rsidRDefault="00C50F53" w:rsidP="00F91E4D">
      <w:pPr>
        <w:jc w:val="both"/>
        <w:rPr>
          <w:rFonts w:cs="Arial"/>
          <w:color w:val="000000"/>
          <w:szCs w:val="20"/>
          <w:shd w:val="clear" w:color="auto" w:fill="FFFFFF"/>
          <w:lang w:val="sl-SI"/>
        </w:rPr>
      </w:pPr>
      <w:r w:rsidRPr="004752FD">
        <w:rPr>
          <w:rFonts w:cs="Arial"/>
          <w:color w:val="000000"/>
          <w:szCs w:val="20"/>
          <w:shd w:val="clear" w:color="auto" w:fill="FFFFFF"/>
          <w:lang w:val="sl-SI"/>
        </w:rPr>
        <w:t xml:space="preserve">(9) Inšpektor lahko poleg ukrepov, določenih z zakonom, ki ureja inšpekcijski nadzor, odredi tudi ukrepe, določene s tem zakonom, ali ukrepe, določene z </w:t>
      </w:r>
      <w:r w:rsidRPr="004752FD">
        <w:rPr>
          <w:rFonts w:cs="Arial"/>
          <w:color w:val="000000"/>
          <w:szCs w:val="20"/>
          <w:lang w:val="sl-SI"/>
        </w:rPr>
        <w:t>Uredbo 2019/881/EU.</w:t>
      </w:r>
      <w:r w:rsidRPr="004752FD">
        <w:rPr>
          <w:rFonts w:cs="Arial"/>
          <w:color w:val="000000"/>
          <w:szCs w:val="20"/>
          <w:shd w:val="clear" w:color="auto" w:fill="FFFFFF"/>
          <w:lang w:val="sl-SI"/>
        </w:rPr>
        <w:t xml:space="preserve"> </w:t>
      </w:r>
    </w:p>
    <w:p w14:paraId="067B2D36" w14:textId="77777777" w:rsidR="00C50F53" w:rsidRPr="004752FD" w:rsidRDefault="00C50F53" w:rsidP="004752FD">
      <w:pPr>
        <w:rPr>
          <w:rFonts w:cs="Arial"/>
          <w:color w:val="000000"/>
          <w:szCs w:val="20"/>
          <w:shd w:val="clear" w:color="auto" w:fill="FFFFFF"/>
          <w:lang w:val="sl-SI"/>
        </w:rPr>
      </w:pPr>
    </w:p>
    <w:p w14:paraId="3E821316" w14:textId="77777777" w:rsidR="00C50F53" w:rsidRPr="004752FD" w:rsidRDefault="00C50F53" w:rsidP="004752FD">
      <w:pPr>
        <w:rPr>
          <w:rFonts w:cs="Arial"/>
          <w:color w:val="000000"/>
          <w:szCs w:val="20"/>
          <w:shd w:val="clear" w:color="auto" w:fill="FFFFFF"/>
          <w:lang w:val="sl-SI"/>
        </w:rPr>
      </w:pPr>
    </w:p>
    <w:p w14:paraId="1F22FBC0"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1C20B68A"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(nadzor bistvenih subjektov)</w:t>
      </w:r>
    </w:p>
    <w:p w14:paraId="2E07920B" w14:textId="77777777" w:rsidR="00C50F53" w:rsidRPr="004752FD" w:rsidRDefault="00C50F53" w:rsidP="004752FD">
      <w:pPr>
        <w:rPr>
          <w:rFonts w:cs="Arial"/>
          <w:color w:val="000000"/>
          <w:szCs w:val="20"/>
          <w:lang w:val="sl-SI"/>
        </w:rPr>
      </w:pPr>
    </w:p>
    <w:p w14:paraId="737A7587" w14:textId="77777777" w:rsidR="00C50F53" w:rsidRPr="004752FD" w:rsidRDefault="00C50F53" w:rsidP="004752FD">
      <w:pPr>
        <w:shd w:val="clear" w:color="auto" w:fill="FFFFFF"/>
        <w:spacing w:line="260" w:lineRule="atLeast"/>
        <w:rPr>
          <w:rFonts w:cs="Arial"/>
          <w:color w:val="000000"/>
          <w:szCs w:val="20"/>
          <w:lang w:val="sl-SI"/>
        </w:rPr>
      </w:pPr>
      <w:r w:rsidRPr="004752FD">
        <w:rPr>
          <w:rFonts w:cs="Arial"/>
          <w:color w:val="000000"/>
          <w:szCs w:val="20"/>
          <w:lang w:val="sl-SI"/>
        </w:rPr>
        <w:t>(1) Inšpektor lahko pri izvajanju svojih nadzornih nalog pri bistvenih subjektih izvaja naključne inšpekcijske nadzore.</w:t>
      </w:r>
    </w:p>
    <w:p w14:paraId="3BFBAB76" w14:textId="77777777" w:rsidR="00C50F53" w:rsidRPr="004752FD" w:rsidRDefault="00C50F53" w:rsidP="004752FD">
      <w:pPr>
        <w:shd w:val="clear" w:color="auto" w:fill="FFFFFF"/>
        <w:spacing w:line="260" w:lineRule="atLeast"/>
        <w:rPr>
          <w:rFonts w:cs="Arial"/>
          <w:szCs w:val="20"/>
          <w:lang w:val="sl-SI"/>
        </w:rPr>
      </w:pPr>
    </w:p>
    <w:p w14:paraId="40EDAB9A" w14:textId="77777777" w:rsidR="00C50F53" w:rsidRPr="004752FD" w:rsidRDefault="00C50F53" w:rsidP="004752FD">
      <w:pPr>
        <w:shd w:val="clear" w:color="auto" w:fill="FFFFFF"/>
        <w:spacing w:line="260" w:lineRule="atLeast"/>
        <w:rPr>
          <w:rFonts w:cs="Arial"/>
          <w:szCs w:val="20"/>
          <w:lang w:val="sl-SI"/>
        </w:rPr>
      </w:pPr>
      <w:r w:rsidRPr="004752FD">
        <w:rPr>
          <w:rFonts w:cs="Arial"/>
          <w:szCs w:val="20"/>
          <w:lang w:val="sl-SI"/>
        </w:rPr>
        <w:t xml:space="preserve">(2) Če inšpektor pri opravljanju nalog inšpekcijskega nadzora ugotovi, da je bistveni subjekt kršil ta zakon, drug predpis ali drug akt, katerega izvajanje nadzoruje, ima poleg pravic in dolžnosti iz zakona, ki ureja inšpekcijski nadzor, tudi pravico in dolžnost: </w:t>
      </w:r>
    </w:p>
    <w:p w14:paraId="78DD15B3"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t xml:space="preserve">1. odrediti izvedbo redne in ciljno usmerjene revizije skladnosti s predpisi s področja informacijske in kibernetske varnosti, ki jo izvede revizor informacijskih sistemov; </w:t>
      </w:r>
    </w:p>
    <w:p w14:paraId="54965D4D"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t xml:space="preserve">2. odrediti izvedbo izredne revizije skladnosti, ki jo izvede revizor informacijskih sistemov, ko je to utemeljeno zaradi pomembnega incidenta ali ker je bistveni subjekt očitno kršil ta zakon; </w:t>
      </w:r>
    </w:p>
    <w:p w14:paraId="278634C2"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t>3. zavezancu odrediti, da obvesti fizične ali pravne osebe, v zvezi s katerimi opravlja storitve ali izvaja dejavnost in na katere bi lahko vplivala pomembna kibernetska grožnja, o naravi grožnje in o zaščitnih ali popravnih ukrepih, ki jih lahko te fizične ali pravne osebe sprejmejo v odziv na to grožnjo;</w:t>
      </w:r>
    </w:p>
    <w:p w14:paraId="62A2AB86"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lastRenderedPageBreak/>
        <w:t>4. odrediti, da zavezanec v razumnem roku izvede priporočila, dana na podlagi izvedene revizije skladnosti;</w:t>
      </w:r>
    </w:p>
    <w:p w14:paraId="159B2499"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t xml:space="preserve">5. imenovati pooblaščeno osebo z natančno opredeljenimi nalogami v določenem obdobju, ki spremlja, ali bistveni subjekt izpolnjuje 21., 22., 29. in 30. člen tega zakona, in </w:t>
      </w:r>
    </w:p>
    <w:p w14:paraId="7BD7D127" w14:textId="77777777" w:rsidR="00C50F53" w:rsidRPr="004752FD" w:rsidRDefault="00C50F53" w:rsidP="004752FD">
      <w:pPr>
        <w:shd w:val="clear" w:color="auto" w:fill="FFFFFF"/>
        <w:spacing w:line="260" w:lineRule="atLeast"/>
        <w:ind w:left="567"/>
        <w:rPr>
          <w:rFonts w:cs="Arial"/>
          <w:szCs w:val="20"/>
          <w:lang w:val="sl-SI"/>
        </w:rPr>
      </w:pPr>
      <w:r w:rsidRPr="004752FD">
        <w:rPr>
          <w:rFonts w:cs="Arial"/>
          <w:szCs w:val="20"/>
          <w:lang w:val="sl-SI"/>
        </w:rPr>
        <w:t>6. zavezancu odrediti, da na določen način objavi kršitve tega zakona.</w:t>
      </w:r>
    </w:p>
    <w:p w14:paraId="217FC1A0" w14:textId="77777777" w:rsidR="00C50F53" w:rsidRPr="004752FD" w:rsidRDefault="00C50F53" w:rsidP="004752FD">
      <w:pPr>
        <w:rPr>
          <w:rFonts w:cs="Arial"/>
          <w:color w:val="000000"/>
          <w:szCs w:val="20"/>
          <w:lang w:val="sl-SI"/>
        </w:rPr>
      </w:pPr>
    </w:p>
    <w:p w14:paraId="3D33E5BA" w14:textId="77777777" w:rsidR="00C50F53" w:rsidRPr="004752FD" w:rsidRDefault="00C50F53" w:rsidP="004752FD">
      <w:pPr>
        <w:shd w:val="clear" w:color="auto" w:fill="FFFFFF"/>
        <w:spacing w:line="260" w:lineRule="atLeast"/>
        <w:rPr>
          <w:rFonts w:cs="Arial"/>
          <w:color w:val="000000"/>
          <w:szCs w:val="20"/>
          <w:lang w:val="sl-SI"/>
        </w:rPr>
      </w:pPr>
      <w:r w:rsidRPr="004752FD">
        <w:rPr>
          <w:rFonts w:cs="Arial"/>
          <w:color w:val="000000"/>
          <w:szCs w:val="20"/>
          <w:lang w:val="sl-SI"/>
        </w:rPr>
        <w:t>(3) Če inšpektor ugotovi, da odrejeni ukrepi za odpravo nepravilnosti ali pomanjkljivosti niso bili učinkoviti, bistvenemu subjektu, ki ga takšni ukrepi zadevajo, določi rok, v katerem mora sprejeti potrebne ukrepe za odpravo nepravilnosti ali pomanjkljivosti ali izpolnitev zahtev inšpektorja. Če bistveni subjekt ukrepov ne sprejme v določenem roku, lahko inšpektor z odločbo:</w:t>
      </w:r>
    </w:p>
    <w:p w14:paraId="0B00D8CE"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1. začasno prepove izvajanje dela storitev ali dejavnosti ali začasno prepove izvajanje vseh storitev ali dejavnosti, ki jih opravlja bistveni subjekt, in</w:t>
      </w:r>
    </w:p>
    <w:p w14:paraId="3A8A0E35"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2. zahteva začasno prepoved opravljanja vodstvenih funkcij vsem osebam, ki za bistveni subjekt opravljajo poslovodne naloge na ravni glavnega izvršnega direktorja ali pravnega zastopnika.</w:t>
      </w:r>
    </w:p>
    <w:p w14:paraId="5D4FEA02" w14:textId="77777777" w:rsidR="00C50F53" w:rsidRPr="004752FD" w:rsidRDefault="00C50F53" w:rsidP="004752FD">
      <w:pPr>
        <w:shd w:val="clear" w:color="auto" w:fill="FFFFFF"/>
        <w:spacing w:line="260" w:lineRule="atLeast"/>
        <w:rPr>
          <w:rFonts w:cs="Arial"/>
          <w:color w:val="000000"/>
          <w:szCs w:val="20"/>
          <w:lang w:val="sl-SI"/>
        </w:rPr>
      </w:pPr>
    </w:p>
    <w:p w14:paraId="5DD13800" w14:textId="77777777" w:rsidR="00C50F53" w:rsidRPr="004752FD" w:rsidRDefault="00C50F53" w:rsidP="004752FD">
      <w:pPr>
        <w:shd w:val="clear" w:color="auto" w:fill="FFFFFF"/>
        <w:spacing w:line="260" w:lineRule="atLeast"/>
        <w:rPr>
          <w:rFonts w:cs="Arial"/>
          <w:color w:val="000000"/>
          <w:szCs w:val="20"/>
          <w:lang w:val="sl-SI"/>
        </w:rPr>
      </w:pPr>
      <w:r w:rsidRPr="004752FD">
        <w:rPr>
          <w:rFonts w:cs="Arial"/>
          <w:color w:val="000000"/>
          <w:szCs w:val="20"/>
          <w:lang w:val="sl-SI"/>
        </w:rPr>
        <w:t xml:space="preserve">(4) Začasni preklic ali prepoved, naložena na podlagi prejšnjega odstavka, se uporablja samo, dokler zadevni bistveni subjekt ne sprejme potrebnih ukrepov za odpravo pomanjkljivosti ali ne izpolni zahtev inšpektorja, zaradi katerih je bil tak ukrep uporabljen. </w:t>
      </w:r>
    </w:p>
    <w:p w14:paraId="3E5E39B5" w14:textId="77777777" w:rsidR="00C50F53" w:rsidRPr="004752FD" w:rsidRDefault="00C50F53" w:rsidP="004752FD">
      <w:pPr>
        <w:shd w:val="clear" w:color="auto" w:fill="FFFFFF"/>
        <w:spacing w:line="260" w:lineRule="atLeast"/>
        <w:rPr>
          <w:rFonts w:cs="Arial"/>
          <w:color w:val="000000"/>
          <w:szCs w:val="20"/>
          <w:lang w:val="sl-SI"/>
        </w:rPr>
      </w:pPr>
    </w:p>
    <w:p w14:paraId="3FD8A933" w14:textId="77777777" w:rsidR="00C50F53" w:rsidRPr="004752FD" w:rsidRDefault="00C50F53" w:rsidP="004752FD">
      <w:pPr>
        <w:shd w:val="clear" w:color="auto" w:fill="FFFFFF"/>
        <w:spacing w:line="260" w:lineRule="atLeast"/>
        <w:rPr>
          <w:rFonts w:cs="Arial"/>
          <w:color w:val="000000"/>
          <w:szCs w:val="20"/>
          <w:lang w:val="sl-SI"/>
        </w:rPr>
      </w:pPr>
      <w:r w:rsidRPr="004752FD">
        <w:rPr>
          <w:rFonts w:cs="Arial"/>
          <w:color w:val="000000"/>
          <w:szCs w:val="20"/>
          <w:lang w:val="sl-SI"/>
        </w:rPr>
        <w:t>(5) Ukrepi iz tretjega odstavka tega člena se ne uporabljajo za subjekte javne uprave na državni ravni.</w:t>
      </w:r>
    </w:p>
    <w:p w14:paraId="75DFD833" w14:textId="77777777" w:rsidR="00C50F53" w:rsidRPr="004752FD" w:rsidRDefault="00C50F53" w:rsidP="004752FD">
      <w:pPr>
        <w:shd w:val="clear" w:color="auto" w:fill="FFFFFF"/>
        <w:spacing w:line="260" w:lineRule="atLeast"/>
        <w:rPr>
          <w:rFonts w:cs="Arial"/>
          <w:color w:val="000000"/>
          <w:szCs w:val="20"/>
          <w:lang w:val="sl-SI"/>
        </w:rPr>
      </w:pPr>
    </w:p>
    <w:p w14:paraId="27761217"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(6) Inšpektor pri sprejemanju ukrepov iz drugega in tretjega odstavka tega člena upošteva okoliščine vsakega posameznega primera, pri čemer ustrezno upošteva:</w:t>
      </w:r>
    </w:p>
    <w:p w14:paraId="77A0D60B"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1. resnost kršitve in pomembnost kršenih določb, pri čemer se za resne kršitve v vsakem primeru štejejo:</w:t>
      </w:r>
    </w:p>
    <w:p w14:paraId="70404E18" w14:textId="77777777" w:rsidR="00C50F53" w:rsidRPr="004752FD" w:rsidRDefault="00C50F53" w:rsidP="00E20E87">
      <w:pPr>
        <w:numPr>
          <w:ilvl w:val="0"/>
          <w:numId w:val="85"/>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ponavljajoče se kršitve,</w:t>
      </w:r>
    </w:p>
    <w:p w14:paraId="6E00D059" w14:textId="77777777" w:rsidR="00C50F53" w:rsidRPr="004752FD" w:rsidRDefault="00C50F53" w:rsidP="00E20E87">
      <w:pPr>
        <w:numPr>
          <w:ilvl w:val="0"/>
          <w:numId w:val="85"/>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nepriglasitev ali neodprava pomembnih incidentov,</w:t>
      </w:r>
    </w:p>
    <w:p w14:paraId="3045DA3F" w14:textId="77777777" w:rsidR="00C50F53" w:rsidRPr="004752FD" w:rsidRDefault="00C50F53" w:rsidP="00E20E87">
      <w:pPr>
        <w:numPr>
          <w:ilvl w:val="0"/>
          <w:numId w:val="85"/>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neodprava pomanjkljivosti v skladu z zavezujočimi navodili inšpektorja,</w:t>
      </w:r>
    </w:p>
    <w:p w14:paraId="02D27CBB" w14:textId="77777777" w:rsidR="00C50F53" w:rsidRPr="004752FD" w:rsidRDefault="00C50F53" w:rsidP="00E20E87">
      <w:pPr>
        <w:numPr>
          <w:ilvl w:val="0"/>
          <w:numId w:val="85"/>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oviranje revizij ali dejavnosti spremljanja, ki jih je odredil inšpektor po ugotovitvi kršitve,</w:t>
      </w:r>
    </w:p>
    <w:p w14:paraId="6007BD3E" w14:textId="77777777" w:rsidR="00C50F53" w:rsidRPr="004752FD" w:rsidRDefault="00C50F53" w:rsidP="00E20E87">
      <w:pPr>
        <w:numPr>
          <w:ilvl w:val="0"/>
          <w:numId w:val="85"/>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predložitev napačnih ali zelo netočnih informacij v zvezi z ukrepi za obvladovanje tveganj za kibernetsko varnost ali obveznostmi poročanja iz 21., 22., 29. ali 30. člena tega zakona;</w:t>
      </w:r>
    </w:p>
    <w:p w14:paraId="23F3CCEB"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2. trajanje kršitve;</w:t>
      </w:r>
    </w:p>
    <w:p w14:paraId="5B09123C"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3. vse relevantne prejšnje kršitve zadevnega bistvenega subjekta;</w:t>
      </w:r>
    </w:p>
    <w:p w14:paraId="060D70DA"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4. morebitno povzročeno premoženjsko ali nepremoženjsko škodo, vključno s finančnimi ali gospodarskimi izgubami, učinki na druge storitve in številom prizadetih uporabnikov;</w:t>
      </w:r>
    </w:p>
    <w:p w14:paraId="4CAF01A2"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5. naklep ali malomarnost storilca kršitve;</w:t>
      </w:r>
    </w:p>
    <w:p w14:paraId="70DE84A8"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6. ukrepe, ki jih je bistveni subjekt sprejel za preprečevanje ali zmanjšanje premoženjske ali nepremoženjske škode;</w:t>
      </w:r>
    </w:p>
    <w:p w14:paraId="239414F3"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 xml:space="preserve">7. upoštevanje odobrenih kodeksov ravnanja ali odobrenih mehanizmov certificiranja in </w:t>
      </w:r>
    </w:p>
    <w:p w14:paraId="02F461C2" w14:textId="77777777" w:rsidR="00C50F53" w:rsidRPr="004752FD" w:rsidRDefault="00C50F53" w:rsidP="004752FD">
      <w:pPr>
        <w:shd w:val="clear" w:color="auto" w:fill="FFFFFF"/>
        <w:spacing w:line="260" w:lineRule="atLeast"/>
        <w:ind w:left="567"/>
        <w:rPr>
          <w:rFonts w:cs="Arial"/>
          <w:color w:val="000000"/>
          <w:szCs w:val="20"/>
          <w:lang w:val="sl-SI"/>
        </w:rPr>
      </w:pPr>
      <w:r w:rsidRPr="004752FD">
        <w:rPr>
          <w:rFonts w:cs="Arial"/>
          <w:color w:val="000000"/>
          <w:szCs w:val="20"/>
          <w:lang w:val="sl-SI"/>
        </w:rPr>
        <w:t>8. raven sodelovanja odgovornih fizičnih ali pravnih oseb z inšpektorjem.</w:t>
      </w:r>
    </w:p>
    <w:p w14:paraId="7456FAC8" w14:textId="77777777" w:rsidR="00C50F53" w:rsidRPr="004752FD" w:rsidRDefault="00C50F53" w:rsidP="004752FD">
      <w:pPr>
        <w:shd w:val="clear" w:color="auto" w:fill="FFFFFF"/>
        <w:spacing w:line="260" w:lineRule="atLeast"/>
        <w:rPr>
          <w:rFonts w:cs="Arial"/>
          <w:color w:val="000000"/>
          <w:szCs w:val="20"/>
          <w:lang w:val="sl-SI"/>
        </w:rPr>
      </w:pPr>
    </w:p>
    <w:p w14:paraId="47DFCA69" w14:textId="77777777" w:rsidR="00C50F53" w:rsidRPr="004752FD" w:rsidRDefault="00C50F53" w:rsidP="00F91E4D">
      <w:pPr>
        <w:jc w:val="both"/>
        <w:rPr>
          <w:rFonts w:cs="Arial"/>
          <w:color w:val="000000"/>
          <w:szCs w:val="20"/>
          <w:lang w:val="sl-SI"/>
        </w:rPr>
      </w:pPr>
      <w:r w:rsidRPr="004752FD">
        <w:rPr>
          <w:rFonts w:cs="Arial"/>
          <w:color w:val="000000"/>
          <w:szCs w:val="20"/>
          <w:lang w:val="sl-SI"/>
        </w:rPr>
        <w:t xml:space="preserve">(7) Ukrepi, ki jih inšpektor naloži bistvenim subjektom v zvezi z obveznostmi iz tega zakona, morajo biti </w:t>
      </w:r>
      <w:bookmarkStart w:id="106" w:name="_Hlk166665463"/>
      <w:r w:rsidRPr="004752FD">
        <w:rPr>
          <w:rFonts w:cs="Arial"/>
          <w:color w:val="000000"/>
          <w:szCs w:val="20"/>
          <w:lang w:val="sl-SI"/>
        </w:rPr>
        <w:t>učinkoviti, sorazmerni in odvračilni</w:t>
      </w:r>
      <w:bookmarkEnd w:id="106"/>
      <w:r w:rsidRPr="004752FD">
        <w:rPr>
          <w:rFonts w:cs="Arial"/>
          <w:color w:val="000000"/>
          <w:szCs w:val="20"/>
          <w:lang w:val="sl-SI"/>
        </w:rPr>
        <w:t>, pri čemer se upoštevajo okoliščine posameznega primera.</w:t>
      </w:r>
    </w:p>
    <w:p w14:paraId="6F65035F" w14:textId="77777777" w:rsidR="00C50F53" w:rsidRPr="004752FD" w:rsidRDefault="00C50F53" w:rsidP="00F91E4D">
      <w:pPr>
        <w:shd w:val="clear" w:color="auto" w:fill="FFFFFF"/>
        <w:spacing w:line="260" w:lineRule="atLeast"/>
        <w:jc w:val="both"/>
        <w:rPr>
          <w:rFonts w:cs="Arial"/>
          <w:color w:val="000000"/>
          <w:szCs w:val="20"/>
          <w:lang w:val="sl-SI"/>
        </w:rPr>
      </w:pPr>
    </w:p>
    <w:p w14:paraId="113F3C90" w14:textId="77777777" w:rsidR="00C50F53" w:rsidRPr="004752FD" w:rsidRDefault="00C50F53" w:rsidP="00F91E4D">
      <w:pPr>
        <w:jc w:val="both"/>
        <w:rPr>
          <w:rFonts w:cs="Arial"/>
          <w:color w:val="000000"/>
          <w:szCs w:val="20"/>
          <w:lang w:val="sl-SI"/>
        </w:rPr>
      </w:pPr>
      <w:r w:rsidRPr="004752FD">
        <w:rPr>
          <w:rFonts w:cs="Arial"/>
          <w:color w:val="000000"/>
          <w:szCs w:val="20"/>
          <w:lang w:val="sl-SI"/>
        </w:rPr>
        <w:t>(8) Redne in ciljno usmerjene revizije skladnosti iz 1. točke drugega odstavka tega člena temeljijo na ocenah tveganj, ki jih izvedejo pristojni nacionalni organi ali bistveni subjekt, ki je predmet presoje, ali na drugih razpoložljivih informacijah o tveganju. Poročilo o izvedeni ciljno usmerjeni reviziji varnosti se da na voljo inšpektorju.</w:t>
      </w:r>
    </w:p>
    <w:p w14:paraId="42032D44" w14:textId="77777777" w:rsidR="00C50F53" w:rsidRPr="004752FD" w:rsidRDefault="00C50F53" w:rsidP="00F91E4D">
      <w:pPr>
        <w:jc w:val="both"/>
        <w:rPr>
          <w:rFonts w:cs="Arial"/>
          <w:color w:val="000000"/>
          <w:szCs w:val="20"/>
          <w:lang w:val="sl-SI"/>
        </w:rPr>
      </w:pPr>
    </w:p>
    <w:p w14:paraId="0EEC5216" w14:textId="77777777" w:rsidR="00C50F53" w:rsidRPr="004752FD" w:rsidRDefault="00C50F53" w:rsidP="00F91E4D">
      <w:pPr>
        <w:jc w:val="both"/>
        <w:rPr>
          <w:rFonts w:cs="Arial"/>
          <w:color w:val="000000"/>
          <w:szCs w:val="20"/>
          <w:lang w:val="sl-SI"/>
        </w:rPr>
      </w:pPr>
      <w:r w:rsidRPr="004752FD">
        <w:rPr>
          <w:rFonts w:cs="Arial"/>
          <w:color w:val="000000"/>
          <w:szCs w:val="20"/>
          <w:lang w:val="sl-SI"/>
        </w:rPr>
        <w:t>(9) Stroške redne, izredne ali ciljno usmerjene revizije skladnosti, ki jo opravi revizor informacijskih sistemov, krije bistveni subjekt, razen v ustrezno utemeljenih primerih, ko pristojni organ odloči drugače.</w:t>
      </w:r>
    </w:p>
    <w:p w14:paraId="1B15DB4E" w14:textId="77777777" w:rsidR="00C50F53" w:rsidRPr="004752FD" w:rsidRDefault="00C50F53" w:rsidP="004752FD">
      <w:pPr>
        <w:rPr>
          <w:rFonts w:cs="Arial"/>
          <w:color w:val="000000"/>
          <w:szCs w:val="20"/>
          <w:lang w:val="sl-SI"/>
        </w:rPr>
      </w:pPr>
    </w:p>
    <w:p w14:paraId="308AF37D" w14:textId="649AA89C" w:rsidR="00C50F53" w:rsidRPr="004752FD" w:rsidRDefault="00C50F53" w:rsidP="00F91E4D">
      <w:pPr>
        <w:shd w:val="clear" w:color="auto" w:fill="FFFFFF"/>
        <w:spacing w:line="260" w:lineRule="atLeast"/>
        <w:jc w:val="both"/>
        <w:rPr>
          <w:rFonts w:cs="Arial"/>
          <w:szCs w:val="20"/>
          <w:lang w:val="sl-SI"/>
        </w:rPr>
      </w:pPr>
      <w:r w:rsidRPr="004752FD">
        <w:rPr>
          <w:rFonts w:cs="Arial"/>
          <w:szCs w:val="20"/>
          <w:lang w:val="sl-SI"/>
        </w:rPr>
        <w:t xml:space="preserve">(10) Inšpektor pri izvajanju svojih pooblastil navede namen zahteve in opredeli zahtevane informacije. Pri odreditvi izredne revizije skladnosti iz </w:t>
      </w:r>
      <w:r w:rsidR="007578AE">
        <w:rPr>
          <w:rFonts w:cs="Arial"/>
          <w:szCs w:val="20"/>
          <w:lang w:val="sl-SI"/>
        </w:rPr>
        <w:t>2</w:t>
      </w:r>
      <w:r w:rsidRPr="004752FD">
        <w:rPr>
          <w:rFonts w:cs="Arial"/>
          <w:szCs w:val="20"/>
          <w:lang w:val="sl-SI"/>
        </w:rPr>
        <w:t>. točke drugega odstavka tega člena inšpektor določi obseg revizije.</w:t>
      </w:r>
    </w:p>
    <w:p w14:paraId="5DABC612" w14:textId="77777777" w:rsidR="00C50F53" w:rsidRPr="004752FD" w:rsidRDefault="00C50F53" w:rsidP="00F91E4D">
      <w:pPr>
        <w:jc w:val="both"/>
        <w:rPr>
          <w:rFonts w:cs="Arial"/>
          <w:color w:val="000000"/>
          <w:szCs w:val="20"/>
          <w:lang w:val="sl-SI"/>
        </w:rPr>
      </w:pPr>
    </w:p>
    <w:p w14:paraId="21DA7B34" w14:textId="77777777" w:rsidR="00C50F53" w:rsidRPr="004752FD" w:rsidRDefault="00C50F53" w:rsidP="00F91E4D">
      <w:pPr>
        <w:jc w:val="both"/>
        <w:rPr>
          <w:rFonts w:cs="Arial"/>
          <w:color w:val="000000"/>
          <w:szCs w:val="20"/>
          <w:lang w:val="sl-SI"/>
        </w:rPr>
      </w:pPr>
      <w:r w:rsidRPr="004752FD">
        <w:rPr>
          <w:rFonts w:cs="Arial"/>
          <w:color w:val="000000"/>
          <w:szCs w:val="20"/>
          <w:lang w:val="sl-SI"/>
        </w:rPr>
        <w:t xml:space="preserve">(11) </w:t>
      </w:r>
      <w:bookmarkStart w:id="107" w:name="_Hlk166665675"/>
      <w:r w:rsidRPr="004752FD">
        <w:rPr>
          <w:rFonts w:cs="Arial"/>
          <w:color w:val="000000"/>
          <w:szCs w:val="20"/>
          <w:lang w:val="sl-SI"/>
        </w:rPr>
        <w:t>Kadar izvaja nadzor nad bistvenim subjektom, ki je na podlagi zakona, ki ureja področje kritične infrastrukture, določen kot kritičen, inšpektor obvesti pristojno inšpekcijo za področje kritične infrastrukture. I</w:t>
      </w:r>
      <w:bookmarkEnd w:id="107"/>
      <w:r w:rsidRPr="004752FD">
        <w:rPr>
          <w:rFonts w:cs="Arial"/>
          <w:color w:val="000000"/>
          <w:szCs w:val="20"/>
          <w:lang w:val="sl-SI"/>
        </w:rPr>
        <w:t>nšpektor za področje kritične infrastrukture lahko Inšpekciji za informacijsko varnost tudi sam poda obrazloženo pobudo, da izvede nadzor v zvezi s subjektom, ki je na podlagi zakona, ki ureja področje kritične infrastrukture, določen kot kritičen.</w:t>
      </w:r>
    </w:p>
    <w:p w14:paraId="55B54B7D" w14:textId="77777777" w:rsidR="00C50F53" w:rsidRPr="004752FD" w:rsidRDefault="00C50F53" w:rsidP="00F91E4D">
      <w:pPr>
        <w:jc w:val="both"/>
        <w:rPr>
          <w:rFonts w:cs="Arial"/>
          <w:color w:val="000000"/>
          <w:szCs w:val="20"/>
          <w:lang w:val="sl-SI"/>
        </w:rPr>
      </w:pPr>
    </w:p>
    <w:p w14:paraId="271DCCD5" w14:textId="77777777" w:rsidR="00C50F53" w:rsidRPr="004752FD" w:rsidRDefault="00C50F53" w:rsidP="00F91E4D">
      <w:pPr>
        <w:jc w:val="both"/>
        <w:rPr>
          <w:rFonts w:cs="Arial"/>
          <w:szCs w:val="20"/>
          <w:lang w:val="sl-SI"/>
        </w:rPr>
      </w:pPr>
      <w:r w:rsidRPr="004752FD">
        <w:rPr>
          <w:rFonts w:cs="Arial"/>
          <w:color w:val="000000"/>
          <w:szCs w:val="20"/>
          <w:lang w:val="sl-SI"/>
        </w:rPr>
        <w:t xml:space="preserve">(12) Inšpektor sodeluje </w:t>
      </w:r>
      <w:bookmarkStart w:id="108" w:name="_Hlk170826147"/>
      <w:r w:rsidRPr="004752FD">
        <w:rPr>
          <w:rFonts w:cs="Arial"/>
          <w:color w:val="000000"/>
          <w:szCs w:val="20"/>
          <w:lang w:val="sl-SI"/>
        </w:rPr>
        <w:t>z nadzornimi organi, ki so določeni z zakonom, ki ureja izvajanje Uredbe 2022/2554/EU o digitalni operativni odpornosti za finančni sektor</w:t>
      </w:r>
      <w:bookmarkEnd w:id="108"/>
      <w:r w:rsidRPr="004752FD">
        <w:rPr>
          <w:rFonts w:cs="Arial"/>
          <w:color w:val="000000"/>
          <w:szCs w:val="20"/>
          <w:lang w:val="sl-SI"/>
        </w:rPr>
        <w:t xml:space="preserve">. Pri tem inšpektor zagotovi, da o nadzoru bistvenega subjekta, ki je imenovan za ključnega tretjega ponudnika storitev IKT na podlagi 31. člena Uredbe </w:t>
      </w:r>
      <w:r w:rsidRPr="004752FD">
        <w:rPr>
          <w:rFonts w:cs="Arial"/>
          <w:szCs w:val="20"/>
          <w:lang w:val="sl-SI"/>
        </w:rPr>
        <w:t>2022/2554/EU, o tem obvesti nadzorniški forum, ustanovljen na podlagi prvega odstavka 32. člena Uredbe 2022/2554/EU.</w:t>
      </w:r>
    </w:p>
    <w:p w14:paraId="3D47D9BA" w14:textId="77777777" w:rsidR="00C50F53" w:rsidRPr="004752FD" w:rsidRDefault="00C50F53" w:rsidP="00F91E4D">
      <w:pPr>
        <w:jc w:val="both"/>
        <w:rPr>
          <w:rFonts w:cs="Arial"/>
          <w:szCs w:val="20"/>
          <w:lang w:val="sl-SI"/>
        </w:rPr>
      </w:pPr>
    </w:p>
    <w:p w14:paraId="08787FF4" w14:textId="77777777" w:rsidR="00C50F53" w:rsidRPr="004752FD" w:rsidRDefault="00C50F53" w:rsidP="00F91E4D">
      <w:pPr>
        <w:jc w:val="both"/>
        <w:rPr>
          <w:rFonts w:cs="Arial"/>
          <w:color w:val="000000"/>
          <w:szCs w:val="20"/>
          <w:lang w:val="sl-SI"/>
        </w:rPr>
      </w:pPr>
      <w:r w:rsidRPr="004752FD">
        <w:rPr>
          <w:rFonts w:cs="Arial"/>
          <w:szCs w:val="20"/>
          <w:lang w:val="sl-SI"/>
        </w:rPr>
        <w:t>(13) Kadar</w:t>
      </w:r>
      <w:r w:rsidRPr="004752FD">
        <w:rPr>
          <w:rFonts w:cs="Arial"/>
          <w:color w:val="000000"/>
          <w:szCs w:val="20"/>
          <w:lang w:val="sl-SI"/>
        </w:rPr>
        <w:t xml:space="preserve"> inšpektor opravlja upravno izvršbo izvršljivih odločb, ki jih je izdal v postopku nadzora bistvenih subjektov in pri tem uporablja prisilne ukrepe z izrekanjem denarnih kazni, pri tem prva denarna kazen ne glede na zakon, ki ureja splošni upravni postopek, ne sme presegati 10.000 eurov. Vsaka poznejša denarna kazen za prisilitev je lahko znova izrečena do tega zneska. </w:t>
      </w:r>
    </w:p>
    <w:p w14:paraId="11D15CC8" w14:textId="77777777" w:rsidR="00C50F53" w:rsidRPr="004752FD" w:rsidRDefault="00C50F53" w:rsidP="00F91E4D">
      <w:pPr>
        <w:jc w:val="both"/>
        <w:rPr>
          <w:rFonts w:cs="Arial"/>
          <w:color w:val="000000"/>
          <w:szCs w:val="20"/>
          <w:lang w:val="sl-SI"/>
        </w:rPr>
      </w:pPr>
    </w:p>
    <w:p w14:paraId="27E10D6B" w14:textId="77777777" w:rsidR="00C50F53" w:rsidRPr="004752FD" w:rsidRDefault="00C50F53" w:rsidP="00F91E4D">
      <w:pPr>
        <w:jc w:val="both"/>
        <w:rPr>
          <w:rFonts w:cs="Arial"/>
          <w:strike/>
          <w:color w:val="000000"/>
          <w:szCs w:val="20"/>
          <w:lang w:val="sl-SI"/>
        </w:rPr>
      </w:pPr>
      <w:r w:rsidRPr="004752FD">
        <w:rPr>
          <w:rFonts w:cs="Arial"/>
          <w:color w:val="000000"/>
          <w:szCs w:val="20"/>
          <w:lang w:val="sl-SI"/>
        </w:rPr>
        <w:t>(14) Prejšnji odstavek se ne uporablja za pravne osebe javnega prava.</w:t>
      </w:r>
    </w:p>
    <w:p w14:paraId="7FCC9483" w14:textId="77777777" w:rsidR="00C50F53" w:rsidRPr="004752FD" w:rsidRDefault="00C50F53" w:rsidP="00F91E4D">
      <w:pPr>
        <w:jc w:val="both"/>
        <w:rPr>
          <w:rFonts w:cs="Arial"/>
          <w:color w:val="000000"/>
          <w:szCs w:val="20"/>
          <w:lang w:val="sl-SI"/>
        </w:rPr>
      </w:pPr>
    </w:p>
    <w:p w14:paraId="666A7334"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(15) Predstojnik organa subjekta javne uprave ali odgovorna oseba pravne osebe, ki je bistveni subjekt, ali deluje kot njen zastopnik na podlagi pooblastila za njegovo zastopanje oziroma odločanje v njegovem imenu, je odgovorna oseba za zagotavljanje skladnosti delovanja bistvenega subjekta po tem zakonu (v nadaljnjem besedilu: odgovorna oseba bistvenega subjekta) in odgovarja za kršitve svojih dolžnosti v skladu s tem zakonom.</w:t>
      </w:r>
    </w:p>
    <w:p w14:paraId="1CD2776C" w14:textId="77777777" w:rsidR="00C50F53" w:rsidRPr="004752FD" w:rsidRDefault="00C50F53" w:rsidP="004752FD">
      <w:pPr>
        <w:rPr>
          <w:rFonts w:cs="Arial"/>
          <w:szCs w:val="20"/>
          <w:lang w:val="sl-SI"/>
        </w:rPr>
      </w:pPr>
    </w:p>
    <w:p w14:paraId="513C226E" w14:textId="77777777" w:rsidR="00C50F53" w:rsidRPr="004752FD" w:rsidRDefault="00C50F53" w:rsidP="004752FD">
      <w:pPr>
        <w:rPr>
          <w:rFonts w:cs="Arial"/>
          <w:szCs w:val="20"/>
          <w:lang w:val="sl-SI"/>
        </w:rPr>
      </w:pPr>
    </w:p>
    <w:p w14:paraId="0B01B8A5"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C154DE2"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(nadzor pomembnih subjektov)</w:t>
      </w:r>
    </w:p>
    <w:p w14:paraId="3859BCEE" w14:textId="77777777" w:rsidR="00C50F53" w:rsidRPr="004752FD" w:rsidRDefault="00C50F53" w:rsidP="004752FD">
      <w:pPr>
        <w:shd w:val="clear" w:color="auto" w:fill="FFFFFF"/>
        <w:rPr>
          <w:rFonts w:cs="Arial"/>
          <w:color w:val="000000"/>
          <w:szCs w:val="20"/>
          <w:lang w:val="sl-SI"/>
        </w:rPr>
      </w:pPr>
    </w:p>
    <w:p w14:paraId="65B1CA87"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(1) Inšpekcijski nadzor pomembnega subjekta se izvede, če inšpektor prejme dokaze, indice ali informacije, da pomembni subjekt ne izvaja ukrepov za obvladovanje tveganj kibernetske varnosti v skladu s predpisanimi obveznostmi iz tega zakona, ali da ne izpolnjuje obveznosti v zvezi z obveščanjem o kibernetskih incidentih na predpisani način in v predpisanih rokih, ali da ne ravna po zahtevah pristojnega nacionalnega organa iz tega zakona.</w:t>
      </w:r>
    </w:p>
    <w:p w14:paraId="70B3959A" w14:textId="77777777" w:rsidR="00C50F53" w:rsidRPr="004752FD" w:rsidRDefault="00C50F53" w:rsidP="00F91E4D">
      <w:pPr>
        <w:shd w:val="clear" w:color="auto" w:fill="FFFFFF"/>
        <w:spacing w:line="260" w:lineRule="atLeast"/>
        <w:jc w:val="both"/>
        <w:rPr>
          <w:rFonts w:cs="Arial"/>
          <w:color w:val="000000"/>
          <w:szCs w:val="20"/>
          <w:lang w:val="sl-SI"/>
        </w:rPr>
      </w:pPr>
    </w:p>
    <w:p w14:paraId="347F18C0" w14:textId="77777777" w:rsidR="00C50F53" w:rsidRPr="004752FD" w:rsidRDefault="00C50F53" w:rsidP="00F91E4D">
      <w:pPr>
        <w:shd w:val="clear" w:color="auto" w:fill="FFFFFF"/>
        <w:spacing w:line="260" w:lineRule="atLeast"/>
        <w:jc w:val="both"/>
        <w:rPr>
          <w:rFonts w:cs="Arial"/>
          <w:szCs w:val="20"/>
          <w:lang w:val="sl-SI"/>
        </w:rPr>
      </w:pPr>
      <w:r w:rsidRPr="004752FD">
        <w:rPr>
          <w:rFonts w:cs="Arial"/>
          <w:szCs w:val="20"/>
          <w:lang w:val="sl-SI"/>
        </w:rPr>
        <w:t xml:space="preserve">(2) Če inšpektor pri opravljanju nalog inšpekcijskega nadzora ugotovi, da je pomembni subjekt kršil ta zakon ali drug predpis ali drug akt, katerega izvajanje nadzoruje, ima poleg pravic in dolžnosti iz zakona, ki ureja inšpekcijski nadzor, tudi pravico in dolžnost: </w:t>
      </w:r>
    </w:p>
    <w:p w14:paraId="0AE5557F" w14:textId="77777777" w:rsidR="00C50F53" w:rsidRPr="004752FD" w:rsidRDefault="00C50F53" w:rsidP="00F91E4D">
      <w:pPr>
        <w:shd w:val="clear" w:color="auto" w:fill="FFFFFF"/>
        <w:spacing w:line="260" w:lineRule="atLeast"/>
        <w:ind w:left="567"/>
        <w:jc w:val="both"/>
        <w:rPr>
          <w:rFonts w:cs="Arial"/>
          <w:szCs w:val="20"/>
          <w:lang w:val="sl-SI"/>
        </w:rPr>
      </w:pPr>
      <w:r w:rsidRPr="004752FD">
        <w:rPr>
          <w:rFonts w:cs="Arial"/>
          <w:szCs w:val="20"/>
          <w:lang w:val="sl-SI"/>
        </w:rPr>
        <w:t>1. odrediti izvedbo ciljno usmerjene revizije skladnosti s predpisi s področja informacijske in kibernetske varnosti, ki jo izvede revizor informacijskih sistemov,</w:t>
      </w:r>
    </w:p>
    <w:p w14:paraId="1B0D9127" w14:textId="77777777" w:rsidR="00C50F53" w:rsidRPr="004752FD" w:rsidRDefault="00C50F53" w:rsidP="00F91E4D">
      <w:pPr>
        <w:shd w:val="clear" w:color="auto" w:fill="FFFFFF"/>
        <w:spacing w:line="260" w:lineRule="atLeast"/>
        <w:ind w:left="567"/>
        <w:jc w:val="both"/>
        <w:rPr>
          <w:rFonts w:cs="Arial"/>
          <w:szCs w:val="20"/>
          <w:lang w:val="sl-SI"/>
        </w:rPr>
      </w:pPr>
      <w:r w:rsidRPr="004752FD">
        <w:rPr>
          <w:rFonts w:cs="Arial"/>
          <w:szCs w:val="20"/>
          <w:lang w:val="sl-SI"/>
        </w:rPr>
        <w:t>2. odrediti, da zavezanec obvesti fizične ali pravne osebe, za katere opravlja storitve ali izvaja dejavnosti in na katere bi lahko vplivala pomembna kibernetska grožnja, o naravi grožnje in o zaščitnih ali popravnih ukrepih, ki jih lahko te fizične ali pravne osebe izvedejo v odziv na to grožnjo,</w:t>
      </w:r>
    </w:p>
    <w:p w14:paraId="7286387E" w14:textId="77777777" w:rsidR="00C50F53" w:rsidRPr="004752FD" w:rsidRDefault="00C50F53" w:rsidP="00F91E4D">
      <w:pPr>
        <w:shd w:val="clear" w:color="auto" w:fill="FFFFFF"/>
        <w:spacing w:line="260" w:lineRule="atLeast"/>
        <w:ind w:left="567"/>
        <w:jc w:val="both"/>
        <w:rPr>
          <w:rFonts w:cs="Arial"/>
          <w:szCs w:val="20"/>
          <w:lang w:val="sl-SI"/>
        </w:rPr>
      </w:pPr>
      <w:r w:rsidRPr="004752FD">
        <w:rPr>
          <w:rFonts w:cs="Arial"/>
          <w:szCs w:val="20"/>
          <w:lang w:val="sl-SI"/>
        </w:rPr>
        <w:lastRenderedPageBreak/>
        <w:t xml:space="preserve">3. odrediti, da zavezanec v razumnem roku izvede priporočila, dana na podlagi ciljno usmerjene revizije skladnosti, in </w:t>
      </w:r>
    </w:p>
    <w:p w14:paraId="223223E0" w14:textId="77777777" w:rsidR="00C50F53" w:rsidRPr="004752FD" w:rsidRDefault="00C50F53" w:rsidP="00F91E4D">
      <w:pPr>
        <w:shd w:val="clear" w:color="auto" w:fill="FFFFFF"/>
        <w:spacing w:line="260" w:lineRule="atLeast"/>
        <w:ind w:left="567"/>
        <w:jc w:val="both"/>
        <w:rPr>
          <w:rFonts w:cs="Arial"/>
          <w:szCs w:val="20"/>
          <w:lang w:val="sl-SI"/>
        </w:rPr>
      </w:pPr>
      <w:r w:rsidRPr="004752FD">
        <w:rPr>
          <w:rFonts w:cs="Arial"/>
          <w:szCs w:val="20"/>
          <w:lang w:val="sl-SI"/>
        </w:rPr>
        <w:t>4. odrediti, da zavezanec na določen način objavi kršitve tega zakona.</w:t>
      </w:r>
    </w:p>
    <w:p w14:paraId="789703A4" w14:textId="77777777" w:rsidR="00C50F53" w:rsidRPr="004752FD" w:rsidRDefault="00C50F53" w:rsidP="004752FD">
      <w:pPr>
        <w:shd w:val="clear" w:color="auto" w:fill="FFFFFF"/>
        <w:spacing w:line="260" w:lineRule="atLeast"/>
        <w:ind w:left="1136"/>
        <w:rPr>
          <w:rFonts w:cs="Arial"/>
          <w:strike/>
          <w:szCs w:val="20"/>
          <w:lang w:val="sl-SI"/>
        </w:rPr>
      </w:pPr>
    </w:p>
    <w:p w14:paraId="54739E6B"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(3) Inšpektor pri odreditvi ukrepov iz prejšnjega odstavka spoštuje postopkovne pravice pomembnega subjekta v postopku nadzora in upošteva okoliščine vsakega posameznega primera, pri čemer upošteva:</w:t>
      </w:r>
    </w:p>
    <w:p w14:paraId="729141D0"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1. resnost kršitve in pomembnost kršenih določb, pri čemer se za resne kršitve med drugim v vsakem primeru štejejo:</w:t>
      </w:r>
    </w:p>
    <w:p w14:paraId="4996CBB0" w14:textId="77777777" w:rsidR="00C50F53" w:rsidRPr="004752FD" w:rsidRDefault="00C50F53" w:rsidP="00F91E4D">
      <w:pPr>
        <w:numPr>
          <w:ilvl w:val="0"/>
          <w:numId w:val="86"/>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ponavljajoče se kršitve,</w:t>
      </w:r>
    </w:p>
    <w:p w14:paraId="3910F3FB" w14:textId="77777777" w:rsidR="00C50F53" w:rsidRPr="004752FD" w:rsidRDefault="00C50F53" w:rsidP="00F91E4D">
      <w:pPr>
        <w:numPr>
          <w:ilvl w:val="0"/>
          <w:numId w:val="86"/>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nepriglasitev ali neodprava pomembnih incidentov,</w:t>
      </w:r>
    </w:p>
    <w:p w14:paraId="5A6CC43E" w14:textId="77777777" w:rsidR="00C50F53" w:rsidRPr="004752FD" w:rsidRDefault="00C50F53" w:rsidP="00F91E4D">
      <w:pPr>
        <w:numPr>
          <w:ilvl w:val="0"/>
          <w:numId w:val="86"/>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neodprava pomanjkljivosti v skladu z zavezujočimi navodili inšpektorja,</w:t>
      </w:r>
    </w:p>
    <w:p w14:paraId="19B1531F" w14:textId="77777777" w:rsidR="00C50F53" w:rsidRPr="004752FD" w:rsidRDefault="00C50F53" w:rsidP="00F91E4D">
      <w:pPr>
        <w:numPr>
          <w:ilvl w:val="0"/>
          <w:numId w:val="86"/>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oviranje revizij ali dejavnosti spremljanja, ki jih je inšpektor odredil po ugotovitvi kršitve,</w:t>
      </w:r>
    </w:p>
    <w:p w14:paraId="42CE8283" w14:textId="77777777" w:rsidR="00C50F53" w:rsidRPr="004752FD" w:rsidRDefault="00C50F53" w:rsidP="00F91E4D">
      <w:pPr>
        <w:numPr>
          <w:ilvl w:val="0"/>
          <w:numId w:val="86"/>
        </w:numPr>
        <w:shd w:val="clear" w:color="auto" w:fill="FFFFFF"/>
        <w:spacing w:line="260" w:lineRule="atLeast"/>
        <w:ind w:left="1208" w:hanging="357"/>
        <w:jc w:val="both"/>
        <w:rPr>
          <w:rFonts w:cs="Arial"/>
          <w:color w:val="000000"/>
          <w:szCs w:val="20"/>
          <w:lang w:val="sl-SI"/>
        </w:rPr>
      </w:pPr>
      <w:r w:rsidRPr="004752FD">
        <w:rPr>
          <w:rFonts w:cs="Arial"/>
          <w:color w:val="000000"/>
          <w:szCs w:val="20"/>
          <w:lang w:val="sl-SI"/>
        </w:rPr>
        <w:t>predložitev napačnih ali zelo netočnih informacij v zvezi z ukrepi za obvladovanje tveganj za kibernetsko varnost ali obveznostmi poročanja iz 21., 22., 29. in 30. člena tega zakona;</w:t>
      </w:r>
    </w:p>
    <w:p w14:paraId="0771A28D"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2. trajanje kršitve;</w:t>
      </w:r>
    </w:p>
    <w:p w14:paraId="2D75AF39"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3. vse relevantne prejšnje kršitve zadevnega pomembnega subjekta;</w:t>
      </w:r>
    </w:p>
    <w:p w14:paraId="16CFF9CC"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4. morebitno povzročeno premoženjsko ali nepremoženjsko škodo, vključno s finančnimi ali gospodarskimi izgubami, učinki na druge storitve in številom prizadetih uporabnikov;</w:t>
      </w:r>
    </w:p>
    <w:p w14:paraId="43AEC3A7"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5. morebitni naklep ali malomarnost storilca kršitve;</w:t>
      </w:r>
    </w:p>
    <w:p w14:paraId="2294AE85"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6. morebitne ukrepe, ki jih je pomembni subjekt sprejel za preprečevanje ali zmanjšanje premoženjske ali nepremoženjske škode;</w:t>
      </w:r>
    </w:p>
    <w:p w14:paraId="3CF7D76B"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 xml:space="preserve">7. morebitno upoštevanje odobrenih kodeksov ravnanja ali odobrenih mehanizmov certificiranja in </w:t>
      </w:r>
    </w:p>
    <w:p w14:paraId="0B0FF911" w14:textId="77777777" w:rsidR="00C50F53" w:rsidRPr="004752FD" w:rsidRDefault="00C50F53" w:rsidP="00F91E4D">
      <w:pPr>
        <w:shd w:val="clear" w:color="auto" w:fill="FFFFFF"/>
        <w:spacing w:line="260" w:lineRule="atLeast"/>
        <w:ind w:left="567"/>
        <w:jc w:val="both"/>
        <w:rPr>
          <w:rFonts w:cs="Arial"/>
          <w:color w:val="000000"/>
          <w:szCs w:val="20"/>
          <w:lang w:val="sl-SI"/>
        </w:rPr>
      </w:pPr>
      <w:r w:rsidRPr="004752FD">
        <w:rPr>
          <w:rFonts w:cs="Arial"/>
          <w:color w:val="000000"/>
          <w:szCs w:val="20"/>
          <w:lang w:val="sl-SI"/>
        </w:rPr>
        <w:t>8. raven sodelovanja odgovornih fizičnih ali pravnih oseb z inšpektorjem.</w:t>
      </w:r>
    </w:p>
    <w:p w14:paraId="7ED2C8CE" w14:textId="77777777" w:rsidR="00C50F53" w:rsidRPr="004752FD" w:rsidRDefault="00C50F53" w:rsidP="00F91E4D">
      <w:pPr>
        <w:shd w:val="clear" w:color="auto" w:fill="FFFFFF"/>
        <w:spacing w:line="260" w:lineRule="atLeast"/>
        <w:jc w:val="both"/>
        <w:rPr>
          <w:rFonts w:cs="Arial"/>
          <w:szCs w:val="20"/>
          <w:lang w:val="sl-SI"/>
        </w:rPr>
      </w:pPr>
    </w:p>
    <w:p w14:paraId="776E798C" w14:textId="77777777" w:rsidR="00C50F53" w:rsidRPr="004752FD" w:rsidRDefault="00C50F53" w:rsidP="00F91E4D">
      <w:pPr>
        <w:shd w:val="clear" w:color="auto" w:fill="FFFFFF"/>
        <w:spacing w:line="260" w:lineRule="atLeast"/>
        <w:jc w:val="both"/>
        <w:rPr>
          <w:rFonts w:cs="Arial"/>
          <w:szCs w:val="20"/>
          <w:lang w:val="sl-SI"/>
        </w:rPr>
      </w:pPr>
      <w:r w:rsidRPr="004752FD">
        <w:rPr>
          <w:rFonts w:cs="Arial"/>
          <w:szCs w:val="20"/>
          <w:lang w:val="sl-SI"/>
        </w:rPr>
        <w:t xml:space="preserve">(4) </w:t>
      </w:r>
      <w:bookmarkStart w:id="109" w:name="_Hlk166666360"/>
      <w:r w:rsidRPr="004752FD">
        <w:rPr>
          <w:rFonts w:cs="Arial"/>
          <w:szCs w:val="20"/>
          <w:lang w:val="sl-SI"/>
        </w:rPr>
        <w:t xml:space="preserve">Ciljno usmerjene revizije </w:t>
      </w:r>
      <w:bookmarkEnd w:id="109"/>
      <w:r w:rsidRPr="004752FD">
        <w:rPr>
          <w:rFonts w:cs="Arial"/>
          <w:szCs w:val="20"/>
          <w:lang w:val="sl-SI"/>
        </w:rPr>
        <w:t xml:space="preserve">skladnosti iz 1. točke drugega odstavka tega člena temeljijo na ocenah tveganj, ki jih izvedejo pristojni nacionalni organi ali pomembni subjekt, ki je predmet presoje, ali na drugih razpoložljivih informacijah o tveganju. Poročilo o izvedeni ciljno usmerjeni reviziji skladnosti se da na voljo inšpektorju. </w:t>
      </w:r>
    </w:p>
    <w:p w14:paraId="6439F3A8" w14:textId="77777777" w:rsidR="00C50F53" w:rsidRPr="004752FD" w:rsidRDefault="00C50F53" w:rsidP="00F91E4D">
      <w:pPr>
        <w:shd w:val="clear" w:color="auto" w:fill="FFFFFF"/>
        <w:spacing w:line="260" w:lineRule="atLeast"/>
        <w:jc w:val="both"/>
        <w:rPr>
          <w:rFonts w:cs="Arial"/>
          <w:szCs w:val="20"/>
          <w:lang w:val="sl-SI"/>
        </w:rPr>
      </w:pPr>
    </w:p>
    <w:p w14:paraId="1E45615B" w14:textId="77777777" w:rsidR="00C50F53" w:rsidRPr="004752FD" w:rsidRDefault="00C50F53" w:rsidP="00F91E4D">
      <w:pPr>
        <w:shd w:val="clear" w:color="auto" w:fill="FFFFFF"/>
        <w:spacing w:line="260" w:lineRule="atLeast"/>
        <w:jc w:val="both"/>
        <w:rPr>
          <w:rFonts w:cs="Arial"/>
          <w:szCs w:val="20"/>
          <w:lang w:val="sl-SI"/>
        </w:rPr>
      </w:pPr>
      <w:r w:rsidRPr="004752FD">
        <w:rPr>
          <w:rFonts w:cs="Arial"/>
          <w:szCs w:val="20"/>
          <w:lang w:val="sl-SI"/>
        </w:rPr>
        <w:t>(5) Stroške ciljno usmerjene revizije skladnosti, ki jo opravi revizor informacijskih sistemov, krije pomembni subjekt, razen v ustrezno utemeljenih primerih, ko pristojni organ odloči drugače.</w:t>
      </w:r>
    </w:p>
    <w:p w14:paraId="66B4940F" w14:textId="77777777" w:rsidR="00C50F53" w:rsidRPr="004752FD" w:rsidRDefault="00C50F53" w:rsidP="00F91E4D">
      <w:pPr>
        <w:shd w:val="clear" w:color="auto" w:fill="FFFFFF"/>
        <w:spacing w:line="260" w:lineRule="atLeast"/>
        <w:jc w:val="both"/>
        <w:rPr>
          <w:rFonts w:cs="Arial"/>
          <w:szCs w:val="20"/>
          <w:lang w:val="sl-SI"/>
        </w:rPr>
      </w:pPr>
    </w:p>
    <w:p w14:paraId="38A0DF89" w14:textId="77777777" w:rsidR="00C50F53" w:rsidRPr="004752FD" w:rsidRDefault="00C50F53" w:rsidP="00F91E4D">
      <w:pPr>
        <w:shd w:val="clear" w:color="auto" w:fill="FFFFFF"/>
        <w:spacing w:line="260" w:lineRule="atLeast"/>
        <w:jc w:val="both"/>
        <w:rPr>
          <w:rFonts w:cs="Arial"/>
          <w:color w:val="000000"/>
          <w:szCs w:val="20"/>
          <w:lang w:val="sl-SI"/>
        </w:rPr>
      </w:pPr>
      <w:r w:rsidRPr="004752FD">
        <w:rPr>
          <w:rFonts w:cs="Arial"/>
          <w:color w:val="000000"/>
          <w:szCs w:val="20"/>
          <w:lang w:val="sl-SI"/>
        </w:rPr>
        <w:t xml:space="preserve">(6) Predstojnik organa subjekta javne uprave ali odgovorna oseba pravne osebe, ki je pomembni subjekt, ali deluje kot njen zastopnik na podlagi pooblastila za njegovo zastopanje oziroma odločanje v njegovem imenu, je odgovorna oseba </w:t>
      </w:r>
      <w:bookmarkStart w:id="110" w:name="_Hlk166666446"/>
      <w:r w:rsidRPr="004752FD">
        <w:rPr>
          <w:rFonts w:cs="Arial"/>
          <w:color w:val="000000"/>
          <w:szCs w:val="20"/>
          <w:lang w:val="sl-SI"/>
        </w:rPr>
        <w:t>za zagotavljanje skladnosti delovanja pomembnega subjekta</w:t>
      </w:r>
      <w:bookmarkEnd w:id="110"/>
      <w:r w:rsidRPr="004752FD">
        <w:rPr>
          <w:rFonts w:cs="Arial"/>
          <w:color w:val="000000"/>
          <w:szCs w:val="20"/>
          <w:lang w:val="sl-SI"/>
        </w:rPr>
        <w:t xml:space="preserve"> po tem zakonu (v nadaljnjem besedilu: odgovorna oseba pomembnega subjekta) in odgovarja za kršitve svojih dolžnosti v skladu s tem zakonom.</w:t>
      </w:r>
    </w:p>
    <w:p w14:paraId="0EAC6DAE" w14:textId="77777777" w:rsidR="00C50F53" w:rsidRPr="004752FD" w:rsidRDefault="00C50F53" w:rsidP="00F91E4D">
      <w:pPr>
        <w:shd w:val="clear" w:color="auto" w:fill="FFFFFF"/>
        <w:spacing w:line="260" w:lineRule="atLeast"/>
        <w:jc w:val="both"/>
        <w:rPr>
          <w:rFonts w:cs="Arial"/>
          <w:szCs w:val="20"/>
          <w:lang w:val="sl-SI"/>
        </w:rPr>
      </w:pPr>
    </w:p>
    <w:p w14:paraId="07F856B3" w14:textId="77777777" w:rsidR="00C50F53" w:rsidRPr="004752FD" w:rsidRDefault="00C50F53" w:rsidP="00F91E4D">
      <w:pPr>
        <w:pStyle w:val="odstavek0"/>
        <w:shd w:val="clear" w:color="auto" w:fill="FFFFFF"/>
        <w:spacing w:before="0" w:beforeAutospacing="0" w:after="0" w:afterAutospacing="0"/>
        <w:jc w:val="both"/>
        <w:rPr>
          <w:rFonts w:ascii="Arial" w:hAnsi="Arial" w:cs="Arial"/>
          <w:color w:val="000000"/>
          <w:sz w:val="20"/>
          <w:szCs w:val="20"/>
        </w:rPr>
      </w:pPr>
      <w:r w:rsidRPr="004752FD">
        <w:rPr>
          <w:rFonts w:ascii="Arial" w:hAnsi="Arial" w:cs="Arial"/>
          <w:color w:val="000000"/>
          <w:sz w:val="20"/>
          <w:szCs w:val="20"/>
        </w:rPr>
        <w:t xml:space="preserve">(7) Kadar inšpektor opravlja upravno izvršbo izvršljivih odločb, ki jih je izdal v postopku nadzora pomembnih subjektov in pri tem uporablja prisilne ukrepe z izrekanjem denarnih kazni, prva denarna kazen ne glede na zakon, ki ureja splošni upravni postopek, ne sme presegati 7.000 eurov. Vsaka poznejša denarna kazen za prisilitev je lahko znova izrečena do tega zneska. </w:t>
      </w:r>
    </w:p>
    <w:p w14:paraId="5D22C421" w14:textId="77777777" w:rsidR="00C50F53" w:rsidRPr="004752FD" w:rsidRDefault="00C50F53" w:rsidP="00F91E4D">
      <w:pPr>
        <w:pStyle w:val="odstavek0"/>
        <w:shd w:val="clear" w:color="auto" w:fill="FFFFFF"/>
        <w:spacing w:before="0" w:beforeAutospacing="0" w:after="0" w:afterAutospacing="0"/>
        <w:jc w:val="both"/>
        <w:rPr>
          <w:rFonts w:ascii="Arial" w:hAnsi="Arial" w:cs="Arial"/>
          <w:color w:val="000000"/>
          <w:sz w:val="20"/>
          <w:szCs w:val="20"/>
        </w:rPr>
      </w:pPr>
    </w:p>
    <w:p w14:paraId="19CAFB2F" w14:textId="77777777" w:rsidR="00C50F53" w:rsidRPr="004752FD" w:rsidRDefault="00C50F53" w:rsidP="00F91E4D">
      <w:pPr>
        <w:pStyle w:val="odstavek0"/>
        <w:shd w:val="clear" w:color="auto" w:fill="FFFFFF"/>
        <w:spacing w:before="0" w:beforeAutospacing="0" w:after="0" w:afterAutospacing="0"/>
        <w:jc w:val="both"/>
        <w:rPr>
          <w:rFonts w:ascii="Arial" w:hAnsi="Arial" w:cs="Arial"/>
          <w:strike/>
          <w:color w:val="000000"/>
          <w:sz w:val="20"/>
          <w:szCs w:val="20"/>
        </w:rPr>
      </w:pPr>
      <w:r w:rsidRPr="004752FD">
        <w:rPr>
          <w:rFonts w:ascii="Arial" w:hAnsi="Arial" w:cs="Arial"/>
          <w:color w:val="000000"/>
          <w:sz w:val="20"/>
          <w:szCs w:val="20"/>
        </w:rPr>
        <w:t>(8) Prejšnji odstavek se ne uporablja za pravne osebe javnega prava.</w:t>
      </w:r>
    </w:p>
    <w:p w14:paraId="1B1301B5" w14:textId="77777777" w:rsidR="00C50F53" w:rsidRPr="004752FD" w:rsidRDefault="00C50F53" w:rsidP="00F91E4D">
      <w:pPr>
        <w:pStyle w:val="odstavek0"/>
        <w:shd w:val="clear" w:color="auto" w:fill="FFFFFF"/>
        <w:spacing w:before="0" w:beforeAutospacing="0" w:after="0" w:afterAutospacing="0"/>
        <w:jc w:val="both"/>
        <w:rPr>
          <w:rFonts w:ascii="Arial" w:hAnsi="Arial" w:cs="Arial"/>
          <w:color w:val="000000"/>
          <w:sz w:val="20"/>
          <w:szCs w:val="20"/>
        </w:rPr>
      </w:pPr>
    </w:p>
    <w:p w14:paraId="4335491B" w14:textId="77777777" w:rsidR="00C50F53" w:rsidRPr="004752FD" w:rsidRDefault="00C50F53" w:rsidP="00F91E4D">
      <w:pPr>
        <w:shd w:val="clear" w:color="auto" w:fill="FFFFFF"/>
        <w:spacing w:line="260" w:lineRule="atLeast"/>
        <w:jc w:val="both"/>
        <w:rPr>
          <w:rFonts w:cs="Arial"/>
          <w:szCs w:val="20"/>
          <w:lang w:val="sl-SI"/>
        </w:rPr>
      </w:pPr>
      <w:r w:rsidRPr="004752FD">
        <w:rPr>
          <w:rFonts w:cs="Arial"/>
          <w:szCs w:val="20"/>
          <w:lang w:val="sl-SI"/>
        </w:rPr>
        <w:t xml:space="preserve">(9) Inšpektor sodeluje z nadzornimi organi, ki so določeni z zakonom, ki ureja izvajanje Uredbe 2022/2554/EU o digitalni operativni odpornosti za finančni sektor. Pri tem inšpektor zagotovi, da o nadzoru pomembnega subjekta, ki je imenovan za ključnega tretjega ponudnika storitev IKT na podlagi 31. člena Uredbe 2022/2554/EU, o tem obvesti nadzorniški forum, ustanovljen na podlagi prvega odstavka 32. člena Uredbe 2022/2554/EU. </w:t>
      </w:r>
    </w:p>
    <w:p w14:paraId="7F7E4824" w14:textId="64CC7E3B"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2AA29A3F"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w:t>
      </w:r>
      <w:bookmarkStart w:id="111" w:name="_Hlk164622729"/>
      <w:r w:rsidRPr="004752FD">
        <w:rPr>
          <w:rFonts w:cs="Arial"/>
          <w:b/>
          <w:bCs/>
          <w:color w:val="000000"/>
          <w:szCs w:val="20"/>
          <w:lang w:val="sl-SI"/>
        </w:rPr>
        <w:t>nadzor subjektov po Uredbi 2019/881</w:t>
      </w:r>
      <w:bookmarkEnd w:id="111"/>
      <w:r w:rsidRPr="004752FD">
        <w:rPr>
          <w:rFonts w:cs="Arial"/>
          <w:b/>
          <w:bCs/>
          <w:color w:val="000000"/>
          <w:szCs w:val="20"/>
          <w:lang w:val="sl-SI"/>
        </w:rPr>
        <w:t>/EU)</w:t>
      </w:r>
    </w:p>
    <w:p w14:paraId="3B041E75" w14:textId="77777777" w:rsidR="00C50F53" w:rsidRPr="004752FD" w:rsidRDefault="00C50F53" w:rsidP="004752FD">
      <w:pPr>
        <w:shd w:val="clear" w:color="auto" w:fill="FFFFFF"/>
        <w:spacing w:line="260" w:lineRule="atLeast"/>
        <w:rPr>
          <w:rFonts w:cs="Arial"/>
          <w:color w:val="000000"/>
          <w:szCs w:val="20"/>
          <w:lang w:val="sl-SI"/>
        </w:rPr>
      </w:pPr>
    </w:p>
    <w:p w14:paraId="2811317E"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(1) Inšpekcijski nadzor subjektov po Uredbi 2019/881/EU se izvede, če inšpektor prejme dokaze, indice ali informacije, da organ za ugotavljanje skladnosti, imetnik evropskih certifikatov kibernetske varnosti ali izdajatelj izjav EU o skladnosti ne izpolnjuje zahtev iz Uredbe 2019/881/EU ali evropske certifikacijske sheme.</w:t>
      </w:r>
    </w:p>
    <w:p w14:paraId="36A47116" w14:textId="77777777" w:rsidR="00C50F53" w:rsidRPr="004752FD" w:rsidRDefault="00C50F53" w:rsidP="0034269C">
      <w:pPr>
        <w:shd w:val="clear" w:color="auto" w:fill="FFFFFF"/>
        <w:spacing w:line="260" w:lineRule="atLeast"/>
        <w:jc w:val="both"/>
        <w:rPr>
          <w:rFonts w:cs="Arial"/>
          <w:szCs w:val="20"/>
          <w:lang w:val="sl-SI"/>
        </w:rPr>
      </w:pPr>
    </w:p>
    <w:p w14:paraId="5D932950"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(2) Inšpektor pri izvajanju svojih pooblastil navede namen zahteve in opredeli zahtevane informacije. Pri odreditvi ciljno usmerjene revizije skladnosti inšpektor določi obseg revizije.</w:t>
      </w:r>
    </w:p>
    <w:p w14:paraId="71A4D779" w14:textId="77777777" w:rsidR="00C50F53" w:rsidRPr="004752FD" w:rsidRDefault="00C50F53" w:rsidP="0034269C">
      <w:pPr>
        <w:shd w:val="clear" w:color="auto" w:fill="FFFFFF"/>
        <w:spacing w:line="260" w:lineRule="atLeast"/>
        <w:jc w:val="both"/>
        <w:rPr>
          <w:rFonts w:cs="Arial"/>
          <w:color w:val="000000"/>
          <w:szCs w:val="20"/>
          <w:lang w:val="sl-SI"/>
        </w:rPr>
      </w:pPr>
    </w:p>
    <w:p w14:paraId="5BEB2EFF"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(3) Pri opravljanju nalog inšpekcijskega nadzora pri zavezancu iz Uredbe 2019/881/EU ima inšpektor poleg pravic iz zakona, ki ureja inšpekcijski nadzor, tudi pravico, da opravi inšpekcijski pregled na kraju samem in nadzor na daljavo, ki ju lahko izvede skupaj z usposobljenimi strokovnjaki.</w:t>
      </w:r>
    </w:p>
    <w:p w14:paraId="6876D828" w14:textId="77777777" w:rsidR="00C50F53" w:rsidRPr="004752FD" w:rsidRDefault="00C50F53" w:rsidP="0034269C">
      <w:pPr>
        <w:shd w:val="clear" w:color="auto" w:fill="FFFFFF"/>
        <w:spacing w:line="260" w:lineRule="atLeast"/>
        <w:jc w:val="both"/>
        <w:rPr>
          <w:rFonts w:cs="Arial"/>
          <w:color w:val="000000"/>
          <w:szCs w:val="20"/>
          <w:lang w:val="sl-SI"/>
        </w:rPr>
      </w:pPr>
    </w:p>
    <w:p w14:paraId="324F6979"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(4) Če inšpektor pri opravljanju nalog inšpekcijskega nadzora ugotovi, da je zavezanec iz Uredbe 2019/881/EU kršil ta zakon ali drug predpis ali drug akt, katerega izvajanje nadzoruje, ima poleg pravic in dolžnosti iz zakona, ki ureja inšpekcijski nadzor, tudi pravico in dolžnost:</w:t>
      </w:r>
    </w:p>
    <w:p w14:paraId="2B8E12DC" w14:textId="77777777" w:rsidR="00C50F53" w:rsidRPr="004752FD" w:rsidRDefault="00C50F53" w:rsidP="0034269C">
      <w:pPr>
        <w:shd w:val="clear" w:color="auto" w:fill="FFFFFF"/>
        <w:spacing w:line="260" w:lineRule="atLeast"/>
        <w:ind w:left="567"/>
        <w:jc w:val="both"/>
        <w:rPr>
          <w:rFonts w:cs="Arial"/>
          <w:szCs w:val="20"/>
          <w:lang w:val="sl-SI"/>
        </w:rPr>
      </w:pPr>
      <w:r w:rsidRPr="004752FD">
        <w:rPr>
          <w:rFonts w:cs="Arial"/>
          <w:szCs w:val="20"/>
          <w:lang w:val="sl-SI"/>
        </w:rPr>
        <w:t xml:space="preserve">1. odrediti izvedbo ciljno usmerjene revizije skladnosti z Uredbo 2019/881/EU, ki jo izvede revizor informacijskih sistemov, in </w:t>
      </w:r>
    </w:p>
    <w:p w14:paraId="04765BD7" w14:textId="77777777" w:rsidR="00C50F53" w:rsidRPr="004752FD" w:rsidRDefault="00C50F53" w:rsidP="0034269C">
      <w:pPr>
        <w:shd w:val="clear" w:color="auto" w:fill="FFFFFF"/>
        <w:spacing w:line="260" w:lineRule="atLeast"/>
        <w:ind w:left="567"/>
        <w:jc w:val="both"/>
        <w:rPr>
          <w:rFonts w:cs="Arial"/>
          <w:szCs w:val="20"/>
          <w:lang w:val="sl-SI"/>
        </w:rPr>
      </w:pPr>
      <w:r w:rsidRPr="004752FD">
        <w:rPr>
          <w:rFonts w:cs="Arial"/>
          <w:szCs w:val="20"/>
          <w:lang w:val="sl-SI"/>
        </w:rPr>
        <w:t>2. odrediti izvedbo ustreznih ukrepov, da se zagotovi izpolnjevanje zahtev iz Uredbe 2019/881/EU ali evropske certifikacijske sheme.</w:t>
      </w:r>
    </w:p>
    <w:p w14:paraId="4BADF962" w14:textId="77777777" w:rsidR="00C50F53" w:rsidRPr="004752FD" w:rsidRDefault="00C50F53" w:rsidP="0034269C">
      <w:pPr>
        <w:shd w:val="clear" w:color="auto" w:fill="FFFFFF"/>
        <w:spacing w:line="260" w:lineRule="atLeast"/>
        <w:jc w:val="both"/>
        <w:rPr>
          <w:rFonts w:cs="Arial"/>
          <w:szCs w:val="20"/>
          <w:lang w:val="sl-SI"/>
        </w:rPr>
      </w:pPr>
    </w:p>
    <w:p w14:paraId="6C44F9DE"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(5) Inšpektor lahko nacionalnemu certifikacijskemu organu za kibernetsko varnost predlaga preklic evropskega certifikata kibernetske varnosti, kadar tak certifikat ni skladen z Uredbo 2019/881/EU ali z evropsko certifikacijsko shemo.</w:t>
      </w:r>
    </w:p>
    <w:p w14:paraId="2D32AE9D" w14:textId="77777777" w:rsidR="00C50F53" w:rsidRPr="004752FD" w:rsidRDefault="00C50F53" w:rsidP="0034269C">
      <w:pPr>
        <w:shd w:val="clear" w:color="auto" w:fill="FFFFFF"/>
        <w:spacing w:line="260" w:lineRule="atLeast"/>
        <w:jc w:val="both"/>
        <w:rPr>
          <w:rFonts w:cs="Arial"/>
          <w:szCs w:val="20"/>
          <w:lang w:val="sl-SI"/>
        </w:rPr>
      </w:pPr>
    </w:p>
    <w:p w14:paraId="0C618558"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 xml:space="preserve">(6) Poročilo o izvedeni ciljno usmerjeni reviziji skladnosti iz 1. točke četrtega odstavka tega člena se predloži inšpektorju. </w:t>
      </w:r>
    </w:p>
    <w:p w14:paraId="14453F50" w14:textId="77777777" w:rsidR="00C50F53" w:rsidRPr="004752FD" w:rsidRDefault="00C50F53" w:rsidP="0034269C">
      <w:pPr>
        <w:shd w:val="clear" w:color="auto" w:fill="FFFFFF"/>
        <w:spacing w:line="260" w:lineRule="atLeast"/>
        <w:jc w:val="both"/>
        <w:rPr>
          <w:rFonts w:cs="Arial"/>
          <w:szCs w:val="20"/>
          <w:lang w:val="sl-SI"/>
        </w:rPr>
      </w:pPr>
    </w:p>
    <w:p w14:paraId="3F9A9856"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(7) Stroške ciljno usmerjene revizije skladnosti, ki jo opravi revizor informacijskih sistemov, krije subjekt iz prvega odstavka tega člena.</w:t>
      </w:r>
    </w:p>
    <w:p w14:paraId="28D2DE88" w14:textId="77777777" w:rsidR="00C50F53" w:rsidRPr="004752FD" w:rsidRDefault="00C50F53" w:rsidP="004752FD">
      <w:pPr>
        <w:shd w:val="clear" w:color="auto" w:fill="FFFFFF"/>
        <w:spacing w:line="260" w:lineRule="atLeast"/>
        <w:rPr>
          <w:rFonts w:cs="Arial"/>
          <w:color w:val="000000"/>
          <w:szCs w:val="20"/>
          <w:lang w:val="sl-SI"/>
        </w:rPr>
      </w:pPr>
    </w:p>
    <w:p w14:paraId="3CAFBF3A" w14:textId="77777777" w:rsidR="00C50F53" w:rsidRPr="004752FD" w:rsidRDefault="00C50F53" w:rsidP="004752FD">
      <w:pPr>
        <w:shd w:val="clear" w:color="auto" w:fill="FFFFFF"/>
        <w:spacing w:line="260" w:lineRule="atLeast"/>
        <w:rPr>
          <w:rFonts w:cs="Arial"/>
          <w:color w:val="000000"/>
          <w:szCs w:val="20"/>
          <w:lang w:val="sl-SI"/>
        </w:rPr>
      </w:pPr>
    </w:p>
    <w:p w14:paraId="3D47FA46"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0D591FFB" w14:textId="77777777" w:rsidR="00C50F53" w:rsidRPr="004752FD" w:rsidRDefault="00C50F53" w:rsidP="004752FD">
      <w:pPr>
        <w:pStyle w:val="lennaslov"/>
        <w:shd w:val="clear" w:color="auto" w:fill="FFFFFF"/>
        <w:spacing w:before="0" w:beforeAutospacing="0" w:after="0" w:afterAutospacing="0"/>
        <w:jc w:val="center"/>
        <w:rPr>
          <w:rFonts w:ascii="Arial" w:hAnsi="Arial" w:cs="Arial"/>
          <w:b/>
          <w:bCs/>
          <w:sz w:val="20"/>
          <w:szCs w:val="20"/>
        </w:rPr>
      </w:pPr>
      <w:r w:rsidRPr="004752FD">
        <w:rPr>
          <w:rFonts w:ascii="Arial" w:hAnsi="Arial" w:cs="Arial"/>
          <w:b/>
          <w:bCs/>
          <w:sz w:val="20"/>
          <w:szCs w:val="20"/>
        </w:rPr>
        <w:t>(določitev revizorja informacijskih sistemov)</w:t>
      </w:r>
    </w:p>
    <w:p w14:paraId="2F2C9DC7"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5DAD9A9B"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r w:rsidRPr="004752FD">
        <w:rPr>
          <w:rFonts w:ascii="Arial" w:hAnsi="Arial" w:cs="Arial"/>
          <w:sz w:val="20"/>
          <w:szCs w:val="20"/>
        </w:rPr>
        <w:t>(1) Bistveni ali pomembni subjekt za izvedbo revizije skladnosti, ki jo zahteva inšpektor po tem zakonu, izbere revizorja informacijskih sistemov. O svoji izbiri in začetku postopka revizije skladnosti s predpisi s področja informacijske varnosti obvesti inšpektorja v 30 dneh od podane zahteve inšpektorja.</w:t>
      </w:r>
    </w:p>
    <w:p w14:paraId="681118CD"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72F17146"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r w:rsidRPr="004752FD">
        <w:rPr>
          <w:rFonts w:ascii="Arial" w:hAnsi="Arial" w:cs="Arial"/>
          <w:sz w:val="20"/>
          <w:szCs w:val="20"/>
        </w:rPr>
        <w:t>(2) Ne glede na prejšnji odstavek lahko bistveni ali pomembni subjekt, ki ima med svojimi zaposlenimi osebo, ki ima status aktivnega preizkušenega revizorja informacijskih sistemov, za zadevno revizijo izbere tudi to svojo zaposleno osebo, če lahko zagotovi nepristranskost in neodvisnost revizorja.</w:t>
      </w:r>
    </w:p>
    <w:p w14:paraId="33936D7C"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39DC0CFB"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r w:rsidRPr="004752FD">
        <w:rPr>
          <w:rFonts w:ascii="Arial" w:hAnsi="Arial" w:cs="Arial"/>
          <w:sz w:val="20"/>
          <w:szCs w:val="20"/>
        </w:rPr>
        <w:t>(3) Če bistveni ali pomembni subjekt ne izbere revizorja informacijskih sistemov v skladu s prvim ali prejšnjim odstavkom tega člena, revizorja informacijskih sistemov s sklepom določi inšpektor.</w:t>
      </w:r>
    </w:p>
    <w:p w14:paraId="49EAD858"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517A75AB"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b/>
          <w:bCs/>
          <w:sz w:val="20"/>
          <w:szCs w:val="20"/>
        </w:rPr>
      </w:pPr>
    </w:p>
    <w:p w14:paraId="1BF4E320" w14:textId="77777777" w:rsidR="0034269C" w:rsidRDefault="0034269C">
      <w:pPr>
        <w:spacing w:line="240" w:lineRule="auto"/>
        <w:rPr>
          <w:rFonts w:cs="Arial"/>
          <w:b/>
          <w:szCs w:val="20"/>
          <w:lang w:val="sl-SI" w:eastAsia="sl-SI"/>
        </w:rPr>
      </w:pPr>
      <w:r w:rsidRPr="00A23D30">
        <w:rPr>
          <w:szCs w:val="20"/>
          <w:lang w:val="sl-SI"/>
        </w:rPr>
        <w:br w:type="page"/>
      </w:r>
    </w:p>
    <w:p w14:paraId="620108D2" w14:textId="4BA53526"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5CBC491D"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(kršitve, ki pomenijo kršitev varstva osebnih podatkov)</w:t>
      </w:r>
    </w:p>
    <w:p w14:paraId="3E4DBBCC"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472A47EB"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r w:rsidRPr="004752FD">
        <w:rPr>
          <w:rFonts w:ascii="Arial" w:hAnsi="Arial" w:cs="Arial"/>
          <w:color w:val="000000"/>
          <w:sz w:val="20"/>
          <w:szCs w:val="20"/>
        </w:rPr>
        <w:t>(1) Inšpektor o obravnavi zadev iz prvega odstavka 45. člena tega zakona, katerih posledica je kršitev varstva osebnih podatkov, obvesti Informacijskega pooblaščenca. Informacijskega pooblaščenca obvesti tudi v primerih suma kršitve varstva osebnih podatkov. O obravnavi takšnih zadev, ki se nanašajo na operaterje po zakonu, ki ureja elektronske komunikacije, inšpektor obvesti tudi Agencijo za komunikacijska omrežja in storitve Republike Slovenije.</w:t>
      </w:r>
    </w:p>
    <w:p w14:paraId="3C15CECC"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p>
    <w:p w14:paraId="2BAB4C71"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r w:rsidRPr="004752FD">
        <w:rPr>
          <w:rFonts w:ascii="Arial" w:hAnsi="Arial" w:cs="Arial"/>
          <w:color w:val="000000"/>
          <w:sz w:val="20"/>
          <w:szCs w:val="20"/>
        </w:rPr>
        <w:t xml:space="preserve">(2) Kadar Informacijski pooblaščenec zaradi kršitve varstva osebnih podatkov iz prejšnjega odstavka naloži globo na podlagi zakona, ki ureja varstvo osebnih podatkov, inšpektor zaradi istega ravnanja ne naloži globe. Lahko pa inšpektor naloži ukrepe po tem zakonu. </w:t>
      </w:r>
    </w:p>
    <w:p w14:paraId="65A046D7"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p>
    <w:p w14:paraId="50CAA45C"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r w:rsidRPr="004752FD">
        <w:rPr>
          <w:rFonts w:ascii="Arial" w:hAnsi="Arial" w:cs="Arial"/>
          <w:color w:val="000000"/>
          <w:sz w:val="20"/>
          <w:szCs w:val="20"/>
        </w:rPr>
        <w:t xml:space="preserve">(3) Kadar ima nadzorni organ, ki je pristojen v skladu z Uredbo (EU) 2016/679 Evropskega parlamenta in Sveta z dne 27. aprila 2016 o varstvu posameznikov pri obdelavi osebnih podatkov in o prostem pretoku takih podatkov ter o razveljavitvi Direktive 95/46/ES (Splošna uredba o varstvu podatkov) (UL L 119, 4. 5. 2016, str. 1), sedež v drugi državi članici Evropske unije kot inšpektor, inšpektor obvesti Informacijskega pooblaščenca o možni kršitvi varstva osebnih podatkov iz prvega </w:t>
      </w:r>
      <w:r w:rsidRPr="004752FD">
        <w:rPr>
          <w:rFonts w:ascii="Arial" w:hAnsi="Arial" w:cs="Arial"/>
          <w:sz w:val="20"/>
          <w:szCs w:val="20"/>
        </w:rPr>
        <w:t>odstavka tega člena.</w:t>
      </w:r>
    </w:p>
    <w:p w14:paraId="091039BD"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4E83B2BE" w14:textId="77777777" w:rsidR="00C50F53" w:rsidRPr="004752FD" w:rsidRDefault="00C50F53" w:rsidP="004752FD">
      <w:pPr>
        <w:pStyle w:val="odstavek0"/>
        <w:shd w:val="clear" w:color="auto" w:fill="FFFFFF"/>
        <w:spacing w:before="0" w:beforeAutospacing="0" w:after="0" w:afterAutospacing="0"/>
        <w:jc w:val="both"/>
        <w:rPr>
          <w:rFonts w:ascii="Arial" w:hAnsi="Arial" w:cs="Arial"/>
          <w:sz w:val="20"/>
          <w:szCs w:val="20"/>
        </w:rPr>
      </w:pPr>
    </w:p>
    <w:p w14:paraId="2D6D0DDF"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4BB9FE9A" w14:textId="77777777" w:rsidR="00C50F53" w:rsidRPr="004752FD" w:rsidRDefault="00C50F53" w:rsidP="004752FD">
      <w:pPr>
        <w:shd w:val="clear" w:color="auto" w:fill="FFFFFF"/>
        <w:spacing w:line="260" w:lineRule="atLeast"/>
        <w:jc w:val="center"/>
        <w:rPr>
          <w:rFonts w:cs="Arial"/>
          <w:b/>
          <w:bCs/>
          <w:szCs w:val="20"/>
          <w:lang w:val="sl-SI"/>
        </w:rPr>
      </w:pPr>
      <w:r w:rsidRPr="004752FD">
        <w:rPr>
          <w:rFonts w:cs="Arial"/>
          <w:b/>
          <w:bCs/>
          <w:szCs w:val="20"/>
          <w:lang w:val="sl-SI"/>
        </w:rPr>
        <w:t>(medsebojna pomoč in čezmejni nadzor)</w:t>
      </w:r>
    </w:p>
    <w:p w14:paraId="39692493" w14:textId="77777777" w:rsidR="00C50F53" w:rsidRPr="004752FD" w:rsidRDefault="00C50F53" w:rsidP="004752FD">
      <w:pPr>
        <w:shd w:val="clear" w:color="auto" w:fill="FFFFFF"/>
        <w:spacing w:line="260" w:lineRule="atLeast"/>
        <w:jc w:val="center"/>
        <w:rPr>
          <w:rFonts w:cs="Arial"/>
          <w:szCs w:val="20"/>
          <w:lang w:val="sl-SI"/>
        </w:rPr>
      </w:pPr>
    </w:p>
    <w:p w14:paraId="11ACF1F3" w14:textId="77777777" w:rsidR="00C50F53" w:rsidRPr="004752FD" w:rsidRDefault="00C50F53" w:rsidP="0034269C">
      <w:pPr>
        <w:shd w:val="clear" w:color="auto" w:fill="FFFFFF"/>
        <w:spacing w:line="260" w:lineRule="atLeast"/>
        <w:jc w:val="both"/>
        <w:rPr>
          <w:rFonts w:cs="Arial"/>
          <w:szCs w:val="20"/>
          <w:lang w:val="sl-SI"/>
        </w:rPr>
      </w:pPr>
      <w:r w:rsidRPr="004752FD">
        <w:rPr>
          <w:rFonts w:cs="Arial"/>
          <w:szCs w:val="20"/>
          <w:lang w:val="sl-SI"/>
        </w:rPr>
        <w:t>(1) Kadar bistveni ali pomembni subjekt spada v pristojnost pristojnega nacionalnega organa v skladu z 31. členom tega zakona, vendar opravlja storitve:</w:t>
      </w:r>
    </w:p>
    <w:p w14:paraId="32CAA2E3" w14:textId="4369754A" w:rsidR="00C50F53" w:rsidRPr="007578AE" w:rsidRDefault="00C50F53" w:rsidP="007578AE">
      <w:pPr>
        <w:pStyle w:val="Odstavekseznama"/>
        <w:numPr>
          <w:ilvl w:val="0"/>
          <w:numId w:val="103"/>
        </w:numPr>
        <w:shd w:val="clear" w:color="auto" w:fill="FFFFFF"/>
        <w:spacing w:line="260" w:lineRule="atLeast"/>
        <w:ind w:left="851"/>
        <w:jc w:val="both"/>
        <w:rPr>
          <w:rFonts w:cs="Arial"/>
          <w:szCs w:val="20"/>
          <w:lang w:val="sl-SI"/>
        </w:rPr>
      </w:pPr>
      <w:r w:rsidRPr="007578AE">
        <w:rPr>
          <w:rFonts w:cs="Arial"/>
          <w:szCs w:val="20"/>
          <w:lang w:val="sl-SI"/>
        </w:rPr>
        <w:t xml:space="preserve">v več kot eni državi članici Evropske unije ali </w:t>
      </w:r>
    </w:p>
    <w:p w14:paraId="22D7AD5E" w14:textId="04483DA3" w:rsidR="00C50F53" w:rsidRPr="007578AE" w:rsidRDefault="00C50F53" w:rsidP="007578AE">
      <w:pPr>
        <w:pStyle w:val="Odstavekseznama"/>
        <w:numPr>
          <w:ilvl w:val="0"/>
          <w:numId w:val="103"/>
        </w:numPr>
        <w:shd w:val="clear" w:color="auto" w:fill="FFFFFF"/>
        <w:spacing w:line="260" w:lineRule="atLeast"/>
        <w:ind w:left="851"/>
        <w:jc w:val="both"/>
        <w:rPr>
          <w:rFonts w:cs="Arial"/>
          <w:szCs w:val="20"/>
          <w:lang w:val="sl-SI"/>
        </w:rPr>
      </w:pPr>
      <w:r w:rsidRPr="007578AE">
        <w:rPr>
          <w:rFonts w:cs="Arial"/>
          <w:szCs w:val="20"/>
          <w:lang w:val="sl-SI"/>
        </w:rPr>
        <w:t xml:space="preserve">v eni ali več državah članicah Evropske unije in so njegovi omrežni in informacijski sistemi v drugi državi članici Evropske unije ali v več kot eni državi članici Evropske unije, </w:t>
      </w:r>
    </w:p>
    <w:p w14:paraId="4722ACE4"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szCs w:val="20"/>
          <w:lang w:val="sl-SI"/>
        </w:rPr>
        <w:t>lahko inšpektor izvaja inšpekcijski nadzor nad temi subjekti v sodelovanju</w:t>
      </w:r>
      <w:r w:rsidRPr="004752FD">
        <w:rPr>
          <w:rFonts w:cs="Arial"/>
          <w:color w:val="000000"/>
          <w:szCs w:val="20"/>
          <w:lang w:val="sl-SI"/>
        </w:rPr>
        <w:t xml:space="preserve"> s pristojnimi organi nadzora zadevnih drugih držav članic Evropske unije. Inšpektor in pristojni organi nadzora drugih držav članic Evropske unije si med seboj pomagajo pri izvajanju takega nadzora.</w:t>
      </w:r>
    </w:p>
    <w:p w14:paraId="184F7415" w14:textId="77777777" w:rsidR="00C50F53" w:rsidRPr="004752FD" w:rsidRDefault="00C50F53" w:rsidP="0034269C">
      <w:pPr>
        <w:shd w:val="clear" w:color="auto" w:fill="FFFFFF"/>
        <w:spacing w:line="260" w:lineRule="atLeast"/>
        <w:jc w:val="both"/>
        <w:rPr>
          <w:rFonts w:cs="Arial"/>
          <w:color w:val="000000"/>
          <w:szCs w:val="20"/>
          <w:lang w:val="sl-SI"/>
        </w:rPr>
      </w:pPr>
    </w:p>
    <w:p w14:paraId="3B250785"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(2) Za izvajanje medsebojne pomoči iz prejšnjega odstavka inšpektor prek enotne kontaktne točke:</w:t>
      </w:r>
    </w:p>
    <w:p w14:paraId="169E5482" w14:textId="77777777" w:rsidR="00C50F53" w:rsidRPr="004752FD" w:rsidRDefault="00C50F53" w:rsidP="0034269C">
      <w:pPr>
        <w:numPr>
          <w:ilvl w:val="0"/>
          <w:numId w:val="87"/>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obvešča pristojne organe nadzora v drugih državah članicah Evropske unije o svojih sprejetih nadzornih ukrepih in izrečenih ukrepih za odpravo nepravilnosti,</w:t>
      </w:r>
    </w:p>
    <w:p w14:paraId="531CB4E0" w14:textId="77777777" w:rsidR="00C50F53" w:rsidRPr="004752FD" w:rsidRDefault="00C50F53" w:rsidP="0034269C">
      <w:pPr>
        <w:numPr>
          <w:ilvl w:val="0"/>
          <w:numId w:val="87"/>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 xml:space="preserve">lahko od pristojnega organa nadzora v drugi državi članici Evropske unije zahteva izvedbo nadzornih ukrepov ali izrek ukrepov za odpravo nepravilnosti in </w:t>
      </w:r>
    </w:p>
    <w:p w14:paraId="0F53D151" w14:textId="77777777" w:rsidR="00C50F53" w:rsidRPr="007578AE" w:rsidRDefault="00C50F53" w:rsidP="007578AE">
      <w:pPr>
        <w:numPr>
          <w:ilvl w:val="0"/>
          <w:numId w:val="87"/>
        </w:numPr>
        <w:shd w:val="clear" w:color="auto" w:fill="FFFFFF"/>
        <w:spacing w:line="260" w:lineRule="atLeast"/>
        <w:ind w:left="924" w:hanging="357"/>
        <w:jc w:val="both"/>
        <w:rPr>
          <w:rFonts w:cs="Arial"/>
          <w:color w:val="000000"/>
          <w:szCs w:val="20"/>
          <w:lang w:val="sl-SI"/>
        </w:rPr>
      </w:pPr>
      <w:r w:rsidRPr="0034269C">
        <w:rPr>
          <w:rFonts w:cs="Arial"/>
          <w:color w:val="000000"/>
          <w:szCs w:val="20"/>
          <w:lang w:val="sl-SI"/>
        </w:rPr>
        <w:t>zahteva od pristojnega organa nadzora v drugi državi članici Evropske unije</w:t>
      </w:r>
      <w:r w:rsidRPr="004752FD">
        <w:rPr>
          <w:rFonts w:cs="Arial"/>
          <w:color w:val="000000"/>
          <w:szCs w:val="20"/>
          <w:lang w:val="sl-SI"/>
        </w:rPr>
        <w:t xml:space="preserve"> sorazmerno medsebojno pomoč ali mu na obrazloženo zahtevo zagotovi tako pomoč. </w:t>
      </w:r>
    </w:p>
    <w:p w14:paraId="1D91BF09" w14:textId="77777777" w:rsidR="00C50F53" w:rsidRPr="004752FD" w:rsidRDefault="00C50F53" w:rsidP="0034269C">
      <w:pPr>
        <w:shd w:val="clear" w:color="auto" w:fill="FFFFFF"/>
        <w:spacing w:line="260" w:lineRule="atLeast"/>
        <w:jc w:val="both"/>
        <w:rPr>
          <w:rFonts w:cs="Arial"/>
          <w:color w:val="000000"/>
          <w:szCs w:val="20"/>
          <w:lang w:val="sl-SI"/>
        </w:rPr>
      </w:pPr>
    </w:p>
    <w:p w14:paraId="7B5A6EFE"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(3) Zahteva za medsebojno pomoč iz zadnje alineje prejšnjega odstavka lahko vključuje zahtevke za predložitev ustreznih informacij in za izvajanje nadzornih ukrepov, vključno z zahtevki za izvajanje inšpekcijskih pregledov na kraju samem, nadzora na daljavo ali ciljno usmerjene varnostne presoje.</w:t>
      </w:r>
    </w:p>
    <w:p w14:paraId="5761055A" w14:textId="77777777" w:rsidR="00C50F53" w:rsidRPr="004752FD" w:rsidRDefault="00C50F53" w:rsidP="004752FD">
      <w:pPr>
        <w:shd w:val="clear" w:color="auto" w:fill="FFFFFF"/>
        <w:spacing w:line="260" w:lineRule="atLeast"/>
        <w:rPr>
          <w:rFonts w:cs="Arial"/>
          <w:color w:val="000000"/>
          <w:szCs w:val="20"/>
          <w:lang w:val="sl-SI"/>
        </w:rPr>
      </w:pPr>
    </w:p>
    <w:p w14:paraId="401729EF"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(4) Inšpektor, ki mu je bila poslana zahteva pristojnega organa nadzora iz druge države članice Evropske unije za medsebojno pomoč, pri izvajanju inšpekcijskega nadzora iz prvega odstavka tega člena takšne zahteve ne sme zavrniti, razen če ugotovi, da:</w:t>
      </w:r>
    </w:p>
    <w:p w14:paraId="53B0804D" w14:textId="77777777" w:rsidR="00C50F53" w:rsidRPr="004752FD" w:rsidRDefault="00C50F53" w:rsidP="00E20E87">
      <w:pPr>
        <w:numPr>
          <w:ilvl w:val="0"/>
          <w:numId w:val="88"/>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ni pristojen za zagotavljanje zahtevane medsebojne pomoči,</w:t>
      </w:r>
    </w:p>
    <w:p w14:paraId="3536F8F1" w14:textId="77777777" w:rsidR="00C50F53" w:rsidRPr="004752FD" w:rsidRDefault="00C50F53" w:rsidP="00E20E87">
      <w:pPr>
        <w:numPr>
          <w:ilvl w:val="0"/>
          <w:numId w:val="88"/>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zahtevana medsebojna pomoč ni skladna s pristojnostmi inšpektorja po tem zakonu in</w:t>
      </w:r>
    </w:p>
    <w:p w14:paraId="18F90FC4" w14:textId="77777777" w:rsidR="00C50F53" w:rsidRPr="004752FD" w:rsidRDefault="00C50F53" w:rsidP="00E20E87">
      <w:pPr>
        <w:numPr>
          <w:ilvl w:val="0"/>
          <w:numId w:val="88"/>
        </w:numPr>
        <w:shd w:val="clear" w:color="auto" w:fill="FFFFFF"/>
        <w:spacing w:line="260" w:lineRule="atLeast"/>
        <w:ind w:left="924" w:hanging="357"/>
        <w:jc w:val="both"/>
        <w:rPr>
          <w:rFonts w:cs="Arial"/>
          <w:color w:val="000000"/>
          <w:szCs w:val="20"/>
          <w:lang w:val="sl-SI"/>
        </w:rPr>
      </w:pPr>
      <w:r w:rsidRPr="004752FD">
        <w:rPr>
          <w:rFonts w:cs="Arial"/>
          <w:color w:val="000000"/>
          <w:szCs w:val="20"/>
          <w:lang w:val="sl-SI"/>
        </w:rPr>
        <w:t>se zahteva nanaša na podatke ali dejavnosti, ki bi bile v primeru njihovega razkritja ali izvajanja v nasprotju z interesi nacionalne varnosti, javne varnosti ali obrambe.</w:t>
      </w:r>
    </w:p>
    <w:p w14:paraId="25DEA05B" w14:textId="77777777" w:rsidR="00C50F53" w:rsidRPr="004752FD" w:rsidRDefault="00C50F53" w:rsidP="004752FD">
      <w:pPr>
        <w:shd w:val="clear" w:color="auto" w:fill="FFFFFF"/>
        <w:spacing w:line="260" w:lineRule="atLeast"/>
        <w:rPr>
          <w:rFonts w:cs="Arial"/>
          <w:color w:val="000000"/>
          <w:szCs w:val="20"/>
          <w:lang w:val="sl-SI"/>
        </w:rPr>
      </w:pPr>
    </w:p>
    <w:p w14:paraId="68BA87D7"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(5) Pred zavrnitvijo zahteve iz prejšnjega odstavka se inšpektor posvetuje z drugimi pristojnimi organi nadzora držav članic Evropske unije, ki so tudi pristojne za obravnavo nadzora v konkretnem primeru. Če druga država članica Evropske unije, v katere pristojnost tudi spada obravnava zadevnega postopka nadzora, tako zahteva, se mora inšpektor pred zavrnitvijo zahteve za medsebojno pomoč predhodno posvetovati tudi z Evropsko komisijo in agencijo ENISA.</w:t>
      </w:r>
    </w:p>
    <w:p w14:paraId="56FA3991" w14:textId="77777777" w:rsidR="00C50F53" w:rsidRPr="004752FD" w:rsidRDefault="00C50F53" w:rsidP="0034269C">
      <w:pPr>
        <w:jc w:val="both"/>
        <w:rPr>
          <w:rFonts w:cs="Arial"/>
          <w:color w:val="000000"/>
          <w:szCs w:val="20"/>
          <w:lang w:val="sl-SI"/>
        </w:rPr>
      </w:pPr>
    </w:p>
    <w:p w14:paraId="587F502F" w14:textId="77777777" w:rsidR="00C50F53" w:rsidRPr="004752FD" w:rsidRDefault="00C50F53" w:rsidP="0034269C">
      <w:pPr>
        <w:jc w:val="both"/>
        <w:rPr>
          <w:rFonts w:cs="Arial"/>
          <w:b/>
          <w:bCs/>
          <w:szCs w:val="20"/>
          <w:lang w:val="sl-SI"/>
        </w:rPr>
      </w:pPr>
      <w:r w:rsidRPr="004752FD">
        <w:rPr>
          <w:rFonts w:cs="Arial"/>
          <w:color w:val="000000"/>
          <w:szCs w:val="20"/>
          <w:lang w:val="sl-SI"/>
        </w:rPr>
        <w:t>(6) V primerih iz prvega odstavka tega člena se na podlagi in v okviru skupnega dogovora inšpektorja z za takšen nadzor pristojnimi organi drugih držav članic Evropske unije lahko izvaja skupni inšpekcijski nadzor.</w:t>
      </w:r>
    </w:p>
    <w:p w14:paraId="2733F31E" w14:textId="77777777" w:rsidR="00C50F53" w:rsidRPr="004752FD" w:rsidRDefault="00C50F53" w:rsidP="004752FD">
      <w:pPr>
        <w:pStyle w:val="NIS2len"/>
        <w:numPr>
          <w:ilvl w:val="0"/>
          <w:numId w:val="0"/>
        </w:numPr>
        <w:spacing w:before="0" w:line="260" w:lineRule="atLeast"/>
        <w:jc w:val="both"/>
        <w:rPr>
          <w:color w:val="000000"/>
          <w:sz w:val="20"/>
          <w:szCs w:val="20"/>
        </w:rPr>
      </w:pPr>
    </w:p>
    <w:p w14:paraId="0F0289C9" w14:textId="77777777" w:rsidR="00C50F53" w:rsidRPr="004752FD" w:rsidRDefault="00C50F53" w:rsidP="004752FD">
      <w:pPr>
        <w:pStyle w:val="poglavje0"/>
        <w:shd w:val="clear" w:color="auto" w:fill="FFFFFF"/>
        <w:spacing w:before="0" w:beforeAutospacing="0" w:after="0" w:afterAutospacing="0" w:line="260" w:lineRule="atLeast"/>
        <w:rPr>
          <w:rFonts w:ascii="Arial" w:hAnsi="Arial" w:cs="Arial"/>
          <w:color w:val="000000"/>
          <w:sz w:val="20"/>
          <w:szCs w:val="20"/>
        </w:rPr>
      </w:pPr>
    </w:p>
    <w:p w14:paraId="6F6CAD39" w14:textId="77777777" w:rsidR="00C50F53" w:rsidRPr="004752FD" w:rsidRDefault="00C50F53" w:rsidP="00E20E87">
      <w:pPr>
        <w:pStyle w:val="NIS2naslovpoglavja"/>
        <w:numPr>
          <w:ilvl w:val="0"/>
          <w:numId w:val="64"/>
        </w:numPr>
        <w:rPr>
          <w:sz w:val="20"/>
          <w:szCs w:val="20"/>
        </w:rPr>
      </w:pPr>
      <w:r w:rsidRPr="004752FD">
        <w:rPr>
          <w:sz w:val="20"/>
          <w:szCs w:val="20"/>
        </w:rPr>
        <w:t>Kazenske določbe</w:t>
      </w:r>
    </w:p>
    <w:p w14:paraId="373E4F4E" w14:textId="77777777" w:rsidR="00C50F53" w:rsidRPr="004752FD" w:rsidRDefault="00C50F53" w:rsidP="004752FD">
      <w:pPr>
        <w:shd w:val="clear" w:color="auto" w:fill="FFFFFF"/>
        <w:spacing w:line="260" w:lineRule="atLeast"/>
        <w:rPr>
          <w:rFonts w:cs="Arial"/>
          <w:b/>
          <w:bCs/>
          <w:color w:val="000000"/>
          <w:szCs w:val="20"/>
          <w:lang w:val="sl-SI"/>
        </w:rPr>
      </w:pPr>
    </w:p>
    <w:p w14:paraId="6C7536E1" w14:textId="77777777" w:rsidR="00C50F53" w:rsidRPr="004752FD" w:rsidRDefault="00C50F53" w:rsidP="004752FD">
      <w:pPr>
        <w:shd w:val="clear" w:color="auto" w:fill="FFFFFF"/>
        <w:spacing w:line="260" w:lineRule="atLeast"/>
        <w:rPr>
          <w:rFonts w:cs="Arial"/>
          <w:b/>
          <w:bCs/>
          <w:color w:val="000000"/>
          <w:szCs w:val="20"/>
          <w:lang w:val="sl-SI"/>
        </w:rPr>
      </w:pPr>
    </w:p>
    <w:p w14:paraId="67C743E1"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62840F8A"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(prekrški bistvenih subjektov)</w:t>
      </w:r>
    </w:p>
    <w:p w14:paraId="7F55042F" w14:textId="77777777" w:rsidR="00C50F53" w:rsidRPr="004752FD" w:rsidRDefault="00C50F53" w:rsidP="004752FD">
      <w:pPr>
        <w:suppressAutoHyphens/>
        <w:spacing w:line="260" w:lineRule="atLeast"/>
        <w:rPr>
          <w:rFonts w:cs="Arial"/>
          <w:color w:val="000000"/>
          <w:szCs w:val="20"/>
          <w:lang w:val="sl-SI"/>
        </w:rPr>
      </w:pPr>
    </w:p>
    <w:p w14:paraId="7B8E8438" w14:textId="77777777" w:rsidR="00C50F53" w:rsidRPr="004752FD" w:rsidRDefault="00C50F53" w:rsidP="0034269C">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(1) Z globo v višini od 0,5 odstotka do 2 odstotka skupnega letnega prometa pravne osebe, doseženega v preteklem poslovnem letu, vendar ne manj kot 10.000 eurov in ne več kot 10.000.000 eurov, odvisno od tega, kateri znesek je višji, se kaznuje pravna oseba, če:</w:t>
      </w:r>
    </w:p>
    <w:p w14:paraId="25735002" w14:textId="77777777" w:rsidR="00C50F53" w:rsidRPr="004752FD" w:rsidRDefault="00C50F53" w:rsidP="00E20E87">
      <w:pPr>
        <w:pStyle w:val="odstavek0"/>
        <w:numPr>
          <w:ilvl w:val="0"/>
          <w:numId w:val="89"/>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ali šestega odstavka 21. člena tega zakona,</w:t>
      </w:r>
    </w:p>
    <w:p w14:paraId="53D11359" w14:textId="77777777" w:rsidR="00C50F53" w:rsidRPr="004752FD" w:rsidRDefault="00C50F53" w:rsidP="00E20E87">
      <w:pPr>
        <w:pStyle w:val="odstavek0"/>
        <w:numPr>
          <w:ilvl w:val="0"/>
          <w:numId w:val="89"/>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petega, šestega, sedmega, osmega, devetega in enajstega odstavka 22. člena tega zakona,</w:t>
      </w:r>
    </w:p>
    <w:p w14:paraId="16E02722" w14:textId="77777777" w:rsidR="00C50F53" w:rsidRPr="004752FD" w:rsidRDefault="00C50F53" w:rsidP="00E20E87">
      <w:pPr>
        <w:pStyle w:val="odstavek0"/>
        <w:numPr>
          <w:ilvl w:val="0"/>
          <w:numId w:val="89"/>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petega, šestega, sedmega ali devetega odstavka 24. člena tega zakona,</w:t>
      </w:r>
    </w:p>
    <w:p w14:paraId="304A091C" w14:textId="77777777" w:rsidR="00C50F53" w:rsidRPr="004752FD" w:rsidRDefault="00C50F53" w:rsidP="00E20E87">
      <w:pPr>
        <w:pStyle w:val="odstavek0"/>
        <w:numPr>
          <w:ilvl w:val="0"/>
          <w:numId w:val="89"/>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petega, šestega in sedmega odstavka 29. člena tega zakona ali</w:t>
      </w:r>
    </w:p>
    <w:p w14:paraId="234C5522" w14:textId="77777777" w:rsidR="00C50F53" w:rsidRPr="004752FD" w:rsidRDefault="00C50F53" w:rsidP="00E20E87">
      <w:pPr>
        <w:pStyle w:val="odstavek0"/>
        <w:numPr>
          <w:ilvl w:val="0"/>
          <w:numId w:val="89"/>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ali drugega odstavka 30. člena tega zakona.</w:t>
      </w:r>
    </w:p>
    <w:p w14:paraId="426ACAA6" w14:textId="77777777" w:rsidR="00C50F53" w:rsidRPr="004752FD" w:rsidRDefault="00C50F53" w:rsidP="0034269C">
      <w:pPr>
        <w:pStyle w:val="odstavek0"/>
        <w:spacing w:before="0" w:beforeAutospacing="0" w:after="0" w:afterAutospacing="0"/>
        <w:jc w:val="both"/>
        <w:rPr>
          <w:rFonts w:ascii="Arial" w:hAnsi="Arial" w:cs="Arial"/>
          <w:sz w:val="20"/>
          <w:szCs w:val="20"/>
        </w:rPr>
      </w:pPr>
    </w:p>
    <w:p w14:paraId="15ED1F38" w14:textId="77777777" w:rsidR="00C50F53" w:rsidRPr="004752FD" w:rsidRDefault="00C50F53" w:rsidP="0034269C">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(2) Z globo od 5.000 eurov do 25.000 eurov se kaznuje samostojni podjetnik posameznik ali posameznik, ki samostojno opravlja dejavnost, če stori prekršek iz prejšnjega odstavka.</w:t>
      </w:r>
    </w:p>
    <w:p w14:paraId="44D363D0" w14:textId="77777777" w:rsidR="00C50F53" w:rsidRPr="004752FD" w:rsidRDefault="00C50F53" w:rsidP="0034269C">
      <w:pPr>
        <w:pStyle w:val="odstavek0"/>
        <w:spacing w:before="0" w:beforeAutospacing="0" w:after="0" w:afterAutospacing="0"/>
        <w:jc w:val="both"/>
        <w:rPr>
          <w:rFonts w:ascii="Arial" w:hAnsi="Arial" w:cs="Arial"/>
          <w:sz w:val="20"/>
          <w:szCs w:val="20"/>
        </w:rPr>
      </w:pPr>
    </w:p>
    <w:p w14:paraId="7CA8EC70" w14:textId="77777777" w:rsidR="00C50F53" w:rsidRPr="004752FD" w:rsidRDefault="00C50F53" w:rsidP="0034269C">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(3) Z globo od 1.000 eurov do 10.000 eurov se kaznuje odgovorna oseba pravne osebe ali odgovorna oseba samostojnega podjetnika posameznika, odgovorna oseba posameznika, ki samostojno opravlja dejavnost, ter odgovorna oseba v državnem organu, samoupravni lokalni skupnosti, če stori prekršek iz prvega odstavka tega člena.</w:t>
      </w:r>
    </w:p>
    <w:p w14:paraId="778388A2" w14:textId="77777777" w:rsidR="00C50F53" w:rsidRPr="004752FD" w:rsidRDefault="00C50F53" w:rsidP="004752FD">
      <w:pPr>
        <w:pStyle w:val="odstavek0"/>
        <w:spacing w:before="0" w:beforeAutospacing="0" w:after="0" w:afterAutospacing="0"/>
        <w:rPr>
          <w:rFonts w:ascii="Arial" w:hAnsi="Arial" w:cs="Arial"/>
          <w:sz w:val="20"/>
          <w:szCs w:val="20"/>
        </w:rPr>
      </w:pPr>
    </w:p>
    <w:p w14:paraId="0C1DAA1D"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 xml:space="preserve">(4) </w:t>
      </w:r>
      <w:bookmarkStart w:id="112" w:name="_Hlk180478758"/>
      <w:r w:rsidRPr="004752FD">
        <w:rPr>
          <w:rFonts w:ascii="Arial" w:hAnsi="Arial" w:cs="Arial"/>
          <w:sz w:val="20"/>
          <w:szCs w:val="20"/>
        </w:rPr>
        <w:t>Z globo od 3.000 eurov do 15.000 eurov se kaznuje pravna oseba, če:</w:t>
      </w:r>
    </w:p>
    <w:p w14:paraId="6913C65E" w14:textId="77777777" w:rsidR="00C50F53" w:rsidRPr="004752FD" w:rsidRDefault="00C50F53" w:rsidP="00E20E87">
      <w:pPr>
        <w:pStyle w:val="odstavek0"/>
        <w:numPr>
          <w:ilvl w:val="0"/>
          <w:numId w:val="72"/>
        </w:numPr>
        <w:spacing w:before="0" w:beforeAutospacing="0" w:after="0" w:afterAutospacing="0"/>
        <w:ind w:left="941" w:hanging="374"/>
        <w:jc w:val="both"/>
        <w:rPr>
          <w:rFonts w:ascii="Arial" w:hAnsi="Arial" w:cs="Arial"/>
          <w:sz w:val="20"/>
          <w:szCs w:val="20"/>
        </w:rPr>
      </w:pPr>
      <w:r w:rsidRPr="004752FD">
        <w:rPr>
          <w:rFonts w:ascii="Arial" w:hAnsi="Arial" w:cs="Arial"/>
          <w:sz w:val="20"/>
          <w:szCs w:val="20"/>
        </w:rPr>
        <w:t>ne izpolni obveznosti iz drugega ali petega odstavka 8. člena tega zakona,</w:t>
      </w:r>
    </w:p>
    <w:p w14:paraId="36ADE7F4"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drugega, tretjega, četrtega ali petega odstavka 20. člena tega zakona,</w:t>
      </w:r>
    </w:p>
    <w:p w14:paraId="48A85362"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ali drugega odstavka 25. člena tega zakona,</w:t>
      </w:r>
    </w:p>
    <w:p w14:paraId="7C93A4F9"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26. člena tega zakona,</w:t>
      </w:r>
    </w:p>
    <w:p w14:paraId="472CE482"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sedemnajstega odstavka 27. člena tega zakona,</w:t>
      </w:r>
    </w:p>
    <w:p w14:paraId="20473967"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28. člena tega zakona,</w:t>
      </w:r>
    </w:p>
    <w:p w14:paraId="6771E6A7"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drugega ali tretjega odstavka 32. člena tega zakona,</w:t>
      </w:r>
    </w:p>
    <w:p w14:paraId="17AA8464"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drugega, tretjega, četrtega ali petega odstavka 33. člena tega zakona,</w:t>
      </w:r>
    </w:p>
    <w:p w14:paraId="03A59D24"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petega ali šestega odstavka 37. člena tega zakona,</w:t>
      </w:r>
    </w:p>
    <w:p w14:paraId="038A1306"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odločbe, izdane na podlagi sedmega ali devetega odstavka 37. člena tega zakona, ali</w:t>
      </w:r>
    </w:p>
    <w:p w14:paraId="63086F58" w14:textId="77777777" w:rsidR="00C50F53" w:rsidRPr="004752FD" w:rsidRDefault="00C50F53" w:rsidP="00E20E87">
      <w:pPr>
        <w:pStyle w:val="odstavek0"/>
        <w:numPr>
          <w:ilvl w:val="0"/>
          <w:numId w:val="72"/>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49. člena tega zakona.</w:t>
      </w:r>
    </w:p>
    <w:bookmarkEnd w:id="112"/>
    <w:p w14:paraId="55A47C94" w14:textId="77777777" w:rsidR="00C50F53" w:rsidRPr="004752FD" w:rsidRDefault="00C50F53" w:rsidP="004752FD">
      <w:pPr>
        <w:pStyle w:val="odstavek0"/>
        <w:spacing w:before="0" w:beforeAutospacing="0" w:after="0" w:afterAutospacing="0"/>
        <w:rPr>
          <w:rFonts w:ascii="Arial" w:hAnsi="Arial" w:cs="Arial"/>
          <w:sz w:val="20"/>
          <w:szCs w:val="20"/>
        </w:rPr>
      </w:pPr>
    </w:p>
    <w:p w14:paraId="224C0C0A"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lastRenderedPageBreak/>
        <w:t>(5) Z globo od 1.000 eurov do 10.000 eurov se kaznuje samostojni podjetnik posameznik ali posameznik, ki samostojno opravlja dejavnost, če ne izpolni obveznosti iz prejšnjega odstavka tega člena.</w:t>
      </w:r>
    </w:p>
    <w:p w14:paraId="5A76A00B"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13E6999E"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 xml:space="preserve">(6) Z globo od 500 eurov do 3.000 eurov se kaznuje odgovorna oseba pravne osebe ali odgovorna oseba samostojnega podjetnika posameznika, odgovorna oseba posameznika, ki samostojno opravlja dejavnost, ter odgovorna oseba v državnem organu ali samoupravni lokalni skupnosti, </w:t>
      </w:r>
      <w:bookmarkStart w:id="113" w:name="_Hlk149134987"/>
      <w:r w:rsidRPr="004752FD">
        <w:rPr>
          <w:rFonts w:ascii="Arial" w:hAnsi="Arial" w:cs="Arial"/>
          <w:sz w:val="20"/>
          <w:szCs w:val="20"/>
        </w:rPr>
        <w:t>če ne izpolni obveznosti iz četrtega odstavka tega člena.</w:t>
      </w:r>
    </w:p>
    <w:bookmarkEnd w:id="113"/>
    <w:p w14:paraId="10A01127" w14:textId="77777777" w:rsidR="00C50F53" w:rsidRPr="004752FD" w:rsidRDefault="00C50F53" w:rsidP="004752FD">
      <w:pPr>
        <w:suppressAutoHyphens/>
        <w:rPr>
          <w:rFonts w:cs="Arial"/>
          <w:color w:val="000000"/>
          <w:szCs w:val="20"/>
          <w:lang w:val="sl-SI"/>
        </w:rPr>
      </w:pPr>
    </w:p>
    <w:p w14:paraId="67BEB4F8" w14:textId="77777777" w:rsidR="00C50F53" w:rsidRPr="004752FD" w:rsidRDefault="00C50F53" w:rsidP="004752FD">
      <w:pPr>
        <w:suppressAutoHyphens/>
        <w:spacing w:line="260" w:lineRule="atLeast"/>
        <w:rPr>
          <w:rFonts w:cs="Arial"/>
          <w:color w:val="000000"/>
          <w:szCs w:val="20"/>
          <w:lang w:val="sl-SI"/>
        </w:rPr>
      </w:pPr>
    </w:p>
    <w:p w14:paraId="1A3189F4"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798612C7"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(prekrški pomembnih subjektov)</w:t>
      </w:r>
    </w:p>
    <w:p w14:paraId="278B64E4" w14:textId="77777777" w:rsidR="00C50F53" w:rsidRPr="004752FD" w:rsidRDefault="00C50F53" w:rsidP="004752FD">
      <w:pPr>
        <w:suppressAutoHyphens/>
        <w:rPr>
          <w:rFonts w:cs="Arial"/>
          <w:color w:val="000000"/>
          <w:szCs w:val="20"/>
          <w:lang w:val="sl-SI"/>
        </w:rPr>
      </w:pPr>
    </w:p>
    <w:p w14:paraId="29AA3767"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(1) Z globo v višini od 0,3 odstotka do 1,4 odstotka skupnega letnega prometa pravne osebe, doseženega v preteklem poslovnem letu, vendar ne manj kot 7.000 eurov in ne več kot 7.000.000 eurov, odvisno od tega, kateri znesek je višji, se kaznuje pravna oseba, če:</w:t>
      </w:r>
    </w:p>
    <w:p w14:paraId="021C2338" w14:textId="77777777" w:rsidR="00C50F53" w:rsidRPr="004752FD" w:rsidRDefault="00C50F53" w:rsidP="00E20E87">
      <w:pPr>
        <w:pStyle w:val="odstavek0"/>
        <w:numPr>
          <w:ilvl w:val="0"/>
          <w:numId w:val="90"/>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ali šestega odstavka 21. člena tega zakona,</w:t>
      </w:r>
    </w:p>
    <w:p w14:paraId="0C7FC2AF" w14:textId="77777777" w:rsidR="00C50F53" w:rsidRPr="004752FD" w:rsidRDefault="00C50F53" w:rsidP="00E20E87">
      <w:pPr>
        <w:pStyle w:val="odstavek0"/>
        <w:numPr>
          <w:ilvl w:val="0"/>
          <w:numId w:val="90"/>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petega, šestega, sedmega, osmega ali devetega odstavka 22. člena tega zakona,</w:t>
      </w:r>
    </w:p>
    <w:p w14:paraId="1C5C74EB" w14:textId="77777777" w:rsidR="00C50F53" w:rsidRPr="004752FD" w:rsidRDefault="00C50F53" w:rsidP="00E20E87">
      <w:pPr>
        <w:pStyle w:val="odstavek0"/>
        <w:numPr>
          <w:ilvl w:val="0"/>
          <w:numId w:val="90"/>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šestega, sedmega ali devetega odstavka 24. člena tega zakona,</w:t>
      </w:r>
    </w:p>
    <w:p w14:paraId="21FE0E77" w14:textId="77777777" w:rsidR="00C50F53" w:rsidRPr="004752FD" w:rsidRDefault="00C50F53" w:rsidP="00E20E87">
      <w:pPr>
        <w:pStyle w:val="odstavek0"/>
        <w:numPr>
          <w:ilvl w:val="0"/>
          <w:numId w:val="90"/>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drugega, tretjega, četrtega, petega, šestega ali sedmega odstavka 29. člena tega zakona ali</w:t>
      </w:r>
    </w:p>
    <w:p w14:paraId="2A7DB12D" w14:textId="77777777" w:rsidR="00C50F53" w:rsidRPr="004752FD" w:rsidRDefault="00C50F53" w:rsidP="00E20E87">
      <w:pPr>
        <w:pStyle w:val="odstavek0"/>
        <w:numPr>
          <w:ilvl w:val="0"/>
          <w:numId w:val="90"/>
        </w:numPr>
        <w:spacing w:before="0" w:beforeAutospacing="0" w:after="0" w:afterAutospacing="0"/>
        <w:ind w:left="924" w:hanging="357"/>
        <w:rPr>
          <w:rFonts w:ascii="Arial" w:hAnsi="Arial" w:cs="Arial"/>
          <w:sz w:val="20"/>
          <w:szCs w:val="20"/>
        </w:rPr>
      </w:pPr>
      <w:r w:rsidRPr="004752FD">
        <w:rPr>
          <w:rFonts w:ascii="Arial" w:hAnsi="Arial" w:cs="Arial"/>
          <w:sz w:val="20"/>
          <w:szCs w:val="20"/>
        </w:rPr>
        <w:t>ne izpolni obveznosti iz prvega ali drugega odstavka 30. člena tega zakona.</w:t>
      </w:r>
    </w:p>
    <w:p w14:paraId="3302E78C"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1179C00A"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(2) Z globo od 3.000 eurov do 20.000 eurov se kaznuje samostojni podjetnik posameznik ali posameznik, ki samostojno opravlja dejavnost in je pomembni subjekt po tem zakonu, če stori prekršek iz prejšnjega odstavka.</w:t>
      </w:r>
    </w:p>
    <w:p w14:paraId="06C8F71F"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66BD13EC"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(3) Z globo od 1.000 eurov do 7.000 eurov se kaznuje odgovorna oseba pravne osebe ali odgovorna oseba samostojnega podjetnika posameznika, odgovorna oseba posameznika, ki samostojno opravlja dejavnost, ter odgovorna oseba v državnem organu, samoupravni lokalni skupnosti, ki je pomemben subjekt po tem zakonu, če stori prekršek iz prvega odstavka tega člena.</w:t>
      </w:r>
    </w:p>
    <w:p w14:paraId="7EB23B01" w14:textId="77777777" w:rsidR="00C50F53" w:rsidRPr="004752FD" w:rsidRDefault="00C50F53" w:rsidP="004752FD">
      <w:pPr>
        <w:pStyle w:val="odstavek0"/>
        <w:spacing w:before="0" w:beforeAutospacing="0" w:after="0" w:afterAutospacing="0"/>
        <w:rPr>
          <w:rFonts w:ascii="Arial" w:hAnsi="Arial" w:cs="Arial"/>
          <w:sz w:val="20"/>
          <w:szCs w:val="20"/>
        </w:rPr>
      </w:pPr>
    </w:p>
    <w:p w14:paraId="168E9E09" w14:textId="77777777" w:rsidR="00C50F53" w:rsidRPr="004752FD" w:rsidRDefault="00C50F53" w:rsidP="004752FD">
      <w:pPr>
        <w:pStyle w:val="odstavek0"/>
        <w:spacing w:before="0" w:beforeAutospacing="0" w:after="0" w:afterAutospacing="0"/>
        <w:rPr>
          <w:rFonts w:ascii="Arial" w:hAnsi="Arial" w:cs="Arial"/>
          <w:sz w:val="20"/>
          <w:szCs w:val="20"/>
        </w:rPr>
      </w:pPr>
      <w:r w:rsidRPr="004752FD">
        <w:rPr>
          <w:rFonts w:ascii="Arial" w:hAnsi="Arial" w:cs="Arial"/>
          <w:sz w:val="20"/>
          <w:szCs w:val="20"/>
        </w:rPr>
        <w:t>(4) Z globo od 1.000 eurov do 10.000 eurov, se kaznuje pravna oseba, če:</w:t>
      </w:r>
    </w:p>
    <w:p w14:paraId="78517EBB" w14:textId="77777777" w:rsidR="00C50F53" w:rsidRPr="004752FD" w:rsidRDefault="00C50F53" w:rsidP="00E20E87">
      <w:pPr>
        <w:pStyle w:val="odstavek0"/>
        <w:numPr>
          <w:ilvl w:val="0"/>
          <w:numId w:val="75"/>
        </w:numPr>
        <w:spacing w:before="0" w:beforeAutospacing="0" w:after="0" w:afterAutospacing="0"/>
        <w:ind w:left="941" w:hanging="374"/>
        <w:jc w:val="both"/>
        <w:rPr>
          <w:rFonts w:ascii="Arial" w:hAnsi="Arial" w:cs="Arial"/>
          <w:sz w:val="20"/>
          <w:szCs w:val="20"/>
        </w:rPr>
      </w:pPr>
      <w:r w:rsidRPr="004752FD">
        <w:rPr>
          <w:rFonts w:ascii="Arial" w:hAnsi="Arial" w:cs="Arial"/>
          <w:sz w:val="20"/>
          <w:szCs w:val="20"/>
        </w:rPr>
        <w:t>ne izpolni obveznosti iz drugega ali petega odstavka 8. člena tega zakona,</w:t>
      </w:r>
    </w:p>
    <w:p w14:paraId="6977C65D"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drugega, tretjega, četrtega ali petega odstavka 20. člena tega zakona,</w:t>
      </w:r>
    </w:p>
    <w:p w14:paraId="3301D67F"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tretjega, četrtega ali petega odstavka 25. člena tega zakona,</w:t>
      </w:r>
    </w:p>
    <w:p w14:paraId="688E9183"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26. člena tega zakona,</w:t>
      </w:r>
    </w:p>
    <w:p w14:paraId="40714474"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sedemnajstega odstavka 27. člena tega zakona,</w:t>
      </w:r>
    </w:p>
    <w:p w14:paraId="545BE544"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28. člena tega zakona,</w:t>
      </w:r>
    </w:p>
    <w:p w14:paraId="64773459"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drugega ali tretjega odstavka 32. člena tega zakona,</w:t>
      </w:r>
    </w:p>
    <w:p w14:paraId="4C202195"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petega ali šestega odstavka 37. člena tega zakona,</w:t>
      </w:r>
    </w:p>
    <w:p w14:paraId="07B53683"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odločbe, izdane na podlagi sedmega ali devetega odstavka 37. člena tega zakona,</w:t>
      </w:r>
    </w:p>
    <w:p w14:paraId="4DF8E9D9" w14:textId="77777777" w:rsidR="00C50F53" w:rsidRPr="004752FD" w:rsidRDefault="00C50F53" w:rsidP="00E20E87">
      <w:pPr>
        <w:pStyle w:val="odstavek0"/>
        <w:numPr>
          <w:ilvl w:val="0"/>
          <w:numId w:val="75"/>
        </w:numPr>
        <w:spacing w:before="0" w:beforeAutospacing="0" w:after="0" w:afterAutospacing="0"/>
        <w:ind w:left="941" w:hanging="374"/>
        <w:rPr>
          <w:rFonts w:ascii="Arial" w:hAnsi="Arial" w:cs="Arial"/>
          <w:sz w:val="20"/>
          <w:szCs w:val="20"/>
        </w:rPr>
      </w:pPr>
      <w:r w:rsidRPr="004752FD">
        <w:rPr>
          <w:rFonts w:ascii="Arial" w:hAnsi="Arial" w:cs="Arial"/>
          <w:sz w:val="20"/>
          <w:szCs w:val="20"/>
        </w:rPr>
        <w:t>ne izpolni obveznosti iz prvega odstavka 49. člena tega zakona.</w:t>
      </w:r>
    </w:p>
    <w:p w14:paraId="613014C1"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0C9911AC"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(5) Z globo od 500 eurov do 7.000 eurov se kaznuje samostojni podjetnik posameznik ali posameznik, ki samostojno opravlja dejavnost, če ne izpolni obveznosti iz prejšnjega odstavka tega člena.</w:t>
      </w:r>
    </w:p>
    <w:p w14:paraId="6747B9FD"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45B71C31"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(6) Z globo od 200 eurov do 2.000 eurov se kaznuje odgovorna oseba pravne osebe ali odgovorna oseba samostojnega podjetnika posameznika, odgovorna oseba posameznika, ki samostojno opravlja dejavnost, ter odgovorna oseba v državnem organu ali v samoupravni lokalni skupnosti, če ne izpolni obveznosti iz četrtega odstavka tega člena.</w:t>
      </w:r>
    </w:p>
    <w:p w14:paraId="1CC15241"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3F7D41E8" w14:textId="77777777" w:rsidR="00C50F53" w:rsidRPr="004752FD" w:rsidRDefault="00C50F53" w:rsidP="004752FD">
      <w:pPr>
        <w:suppressAutoHyphens/>
        <w:rPr>
          <w:rFonts w:cs="Arial"/>
          <w:color w:val="000000"/>
          <w:szCs w:val="20"/>
          <w:lang w:val="sl-SI"/>
        </w:rPr>
      </w:pPr>
    </w:p>
    <w:p w14:paraId="43564742" w14:textId="77777777" w:rsidR="00C50F53" w:rsidRPr="004752FD" w:rsidRDefault="00C50F53" w:rsidP="004752FD">
      <w:pPr>
        <w:pStyle w:val="NIS2len"/>
        <w:spacing w:before="0"/>
        <w:ind w:left="0" w:firstLine="0"/>
        <w:rPr>
          <w:sz w:val="20"/>
          <w:szCs w:val="20"/>
        </w:rPr>
      </w:pPr>
      <w:r w:rsidRPr="004752FD">
        <w:rPr>
          <w:sz w:val="20"/>
          <w:szCs w:val="20"/>
        </w:rPr>
        <w:t>člen</w:t>
      </w:r>
    </w:p>
    <w:p w14:paraId="5FF890FB" w14:textId="77777777" w:rsidR="00C50F53" w:rsidRPr="004752FD" w:rsidRDefault="00C50F53" w:rsidP="004752FD">
      <w:pPr>
        <w:pStyle w:val="lennaslov"/>
        <w:shd w:val="clear" w:color="auto" w:fill="FFFFFF"/>
        <w:spacing w:before="0" w:beforeAutospacing="0" w:after="0" w:afterAutospacing="0"/>
        <w:jc w:val="center"/>
        <w:rPr>
          <w:rFonts w:ascii="Arial" w:hAnsi="Arial" w:cs="Arial"/>
          <w:b/>
          <w:bCs/>
          <w:color w:val="000000"/>
          <w:sz w:val="20"/>
          <w:szCs w:val="20"/>
        </w:rPr>
      </w:pPr>
      <w:r w:rsidRPr="004752FD">
        <w:rPr>
          <w:rFonts w:ascii="Arial" w:hAnsi="Arial" w:cs="Arial"/>
          <w:b/>
          <w:bCs/>
          <w:color w:val="000000"/>
          <w:sz w:val="20"/>
          <w:szCs w:val="20"/>
        </w:rPr>
        <w:t>(prekrški upravljavca centralnega informacijsko-komunikacijskega sistema)</w:t>
      </w:r>
    </w:p>
    <w:p w14:paraId="5DDEDD80"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p>
    <w:p w14:paraId="49E45C0E"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r w:rsidRPr="004752FD">
        <w:rPr>
          <w:rFonts w:ascii="Arial" w:hAnsi="Arial" w:cs="Arial"/>
          <w:color w:val="000000"/>
          <w:sz w:val="20"/>
          <w:szCs w:val="20"/>
        </w:rPr>
        <w:t xml:space="preserve">Z globo od 200 </w:t>
      </w:r>
      <w:r w:rsidRPr="004752FD">
        <w:rPr>
          <w:rFonts w:ascii="Arial" w:hAnsi="Arial" w:cs="Arial"/>
          <w:sz w:val="20"/>
          <w:szCs w:val="20"/>
        </w:rPr>
        <w:t xml:space="preserve">eurov </w:t>
      </w:r>
      <w:r w:rsidRPr="004752FD">
        <w:rPr>
          <w:rFonts w:ascii="Arial" w:hAnsi="Arial" w:cs="Arial"/>
          <w:color w:val="000000"/>
          <w:sz w:val="20"/>
          <w:szCs w:val="20"/>
        </w:rPr>
        <w:t>do 2.000 eurov se za prekršek kaznuje odgovorna oseba upravljavca centralnega informacijsko-komunikacijskega sistema, če:</w:t>
      </w:r>
    </w:p>
    <w:p w14:paraId="58AC55C8" w14:textId="77777777" w:rsidR="00C50F53" w:rsidRPr="004752FD" w:rsidRDefault="00C50F53" w:rsidP="00E20E87">
      <w:pPr>
        <w:pStyle w:val="alineazaodstavkom0"/>
        <w:numPr>
          <w:ilvl w:val="0"/>
          <w:numId w:val="91"/>
        </w:numPr>
        <w:shd w:val="clear" w:color="auto" w:fill="FFFFFF"/>
        <w:spacing w:before="0" w:beforeAutospacing="0" w:after="0" w:afterAutospacing="0"/>
        <w:ind w:left="924" w:hanging="357"/>
        <w:jc w:val="both"/>
        <w:rPr>
          <w:rFonts w:ascii="Arial" w:hAnsi="Arial" w:cs="Arial"/>
          <w:color w:val="000000"/>
          <w:sz w:val="20"/>
          <w:szCs w:val="20"/>
        </w:rPr>
      </w:pPr>
      <w:r w:rsidRPr="004752FD">
        <w:rPr>
          <w:rFonts w:ascii="Arial" w:hAnsi="Arial" w:cs="Arial"/>
          <w:color w:val="000000"/>
          <w:sz w:val="20"/>
          <w:szCs w:val="20"/>
        </w:rPr>
        <w:t>pristojni skupini CSIRT iz prvega odstavka 13. člena</w:t>
      </w:r>
      <w:r w:rsidRPr="004752FD" w:rsidDel="00F51D81">
        <w:rPr>
          <w:rFonts w:ascii="Arial" w:hAnsi="Arial" w:cs="Arial"/>
          <w:color w:val="000000"/>
          <w:sz w:val="20"/>
          <w:szCs w:val="20"/>
        </w:rPr>
        <w:t xml:space="preserve"> </w:t>
      </w:r>
      <w:r w:rsidRPr="004752FD">
        <w:rPr>
          <w:rFonts w:ascii="Arial" w:hAnsi="Arial" w:cs="Arial"/>
          <w:color w:val="000000"/>
          <w:sz w:val="20"/>
          <w:szCs w:val="20"/>
        </w:rPr>
        <w:t>ne omogoči vpogleda v delovanje informacijske infrastrukture centralnega informacijsko-komunikacijskega sistema (sedmi odstavek 15. člena tega zakona),</w:t>
      </w:r>
    </w:p>
    <w:p w14:paraId="6663CB8C" w14:textId="77777777" w:rsidR="00C50F53" w:rsidRPr="004752FD" w:rsidRDefault="00C50F53" w:rsidP="00E20E87">
      <w:pPr>
        <w:pStyle w:val="alineazaodstavkom0"/>
        <w:numPr>
          <w:ilvl w:val="0"/>
          <w:numId w:val="91"/>
        </w:numPr>
        <w:shd w:val="clear" w:color="auto" w:fill="FFFFFF"/>
        <w:spacing w:before="0" w:beforeAutospacing="0" w:after="0" w:afterAutospacing="0"/>
        <w:ind w:left="924" w:hanging="357"/>
        <w:jc w:val="both"/>
        <w:rPr>
          <w:rFonts w:ascii="Arial" w:hAnsi="Arial" w:cs="Arial"/>
          <w:color w:val="000000"/>
          <w:sz w:val="20"/>
          <w:szCs w:val="20"/>
        </w:rPr>
      </w:pPr>
      <w:r w:rsidRPr="004752FD">
        <w:rPr>
          <w:rFonts w:ascii="Arial" w:hAnsi="Arial" w:cs="Arial"/>
          <w:color w:val="000000"/>
          <w:sz w:val="20"/>
          <w:szCs w:val="20"/>
        </w:rPr>
        <w:t>v svojem informacijsko-komunikacijskem sistemu</w:t>
      </w:r>
      <w:r w:rsidRPr="004752FD" w:rsidDel="00F51D81">
        <w:rPr>
          <w:rFonts w:ascii="Arial" w:hAnsi="Arial" w:cs="Arial"/>
          <w:color w:val="000000"/>
          <w:sz w:val="20"/>
          <w:szCs w:val="20"/>
        </w:rPr>
        <w:t xml:space="preserve"> </w:t>
      </w:r>
      <w:r w:rsidRPr="004752FD">
        <w:rPr>
          <w:rFonts w:ascii="Arial" w:hAnsi="Arial" w:cs="Arial"/>
          <w:color w:val="000000"/>
          <w:sz w:val="20"/>
          <w:szCs w:val="20"/>
        </w:rPr>
        <w:t>ne izvede odrejenih ukrepov pristojne skupine CSIRT iz prvega odstavka 13. člena (osmi odstavek 15. člena tega zakona).</w:t>
      </w:r>
    </w:p>
    <w:p w14:paraId="1D84974C"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02AD057F"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42B8862B" w14:textId="77777777" w:rsidR="00C50F53" w:rsidRPr="004752FD" w:rsidRDefault="00C50F53" w:rsidP="004752FD">
      <w:pPr>
        <w:pStyle w:val="NIS2len"/>
        <w:spacing w:before="0"/>
        <w:ind w:left="0" w:firstLine="0"/>
        <w:rPr>
          <w:sz w:val="20"/>
          <w:szCs w:val="20"/>
        </w:rPr>
      </w:pPr>
      <w:bookmarkStart w:id="114" w:name="_Hlk164622931"/>
      <w:r w:rsidRPr="004752FD">
        <w:rPr>
          <w:sz w:val="20"/>
          <w:szCs w:val="20"/>
        </w:rPr>
        <w:t>člen</w:t>
      </w:r>
    </w:p>
    <w:p w14:paraId="3BFFFFD5" w14:textId="77777777" w:rsidR="00C50F53" w:rsidRPr="004752FD" w:rsidRDefault="00C50F53" w:rsidP="004752FD">
      <w:pPr>
        <w:pStyle w:val="NIS2len"/>
        <w:numPr>
          <w:ilvl w:val="0"/>
          <w:numId w:val="0"/>
        </w:numPr>
        <w:spacing w:before="0" w:line="260" w:lineRule="atLeast"/>
        <w:rPr>
          <w:color w:val="000000"/>
          <w:sz w:val="20"/>
          <w:szCs w:val="20"/>
        </w:rPr>
      </w:pPr>
      <w:r w:rsidRPr="004752FD">
        <w:rPr>
          <w:color w:val="000000"/>
          <w:sz w:val="20"/>
          <w:szCs w:val="20"/>
        </w:rPr>
        <w:t xml:space="preserve">(prekrški za kršitev </w:t>
      </w:r>
      <w:bookmarkStart w:id="115" w:name="_Hlk161394321"/>
      <w:r w:rsidRPr="004752FD">
        <w:rPr>
          <w:color w:val="000000"/>
          <w:sz w:val="20"/>
          <w:szCs w:val="20"/>
        </w:rPr>
        <w:t>Uredbe 2019/881</w:t>
      </w:r>
      <w:bookmarkEnd w:id="115"/>
      <w:r w:rsidRPr="004752FD">
        <w:rPr>
          <w:color w:val="000000"/>
          <w:sz w:val="20"/>
          <w:szCs w:val="20"/>
        </w:rPr>
        <w:t>/EU)</w:t>
      </w:r>
    </w:p>
    <w:bookmarkEnd w:id="114"/>
    <w:p w14:paraId="6706618C"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7AD92986" w14:textId="77777777" w:rsidR="00C50F53" w:rsidRPr="004752FD" w:rsidRDefault="00C50F53" w:rsidP="004752FD">
      <w:pPr>
        <w:pStyle w:val="odstavek0"/>
        <w:shd w:val="clear" w:color="auto" w:fill="FFFFFF"/>
        <w:spacing w:before="0" w:beforeAutospacing="0" w:after="0" w:afterAutospacing="0"/>
        <w:jc w:val="both"/>
        <w:rPr>
          <w:rFonts w:ascii="Arial" w:hAnsi="Arial" w:cs="Arial"/>
          <w:color w:val="000000"/>
          <w:sz w:val="20"/>
          <w:szCs w:val="20"/>
        </w:rPr>
      </w:pPr>
      <w:r w:rsidRPr="004752FD">
        <w:rPr>
          <w:rFonts w:ascii="Arial" w:hAnsi="Arial" w:cs="Arial"/>
          <w:color w:val="000000"/>
          <w:sz w:val="20"/>
          <w:szCs w:val="20"/>
        </w:rPr>
        <w:t>(1) Z globo od 5.000 do 50.000 eurov se kaznuje za prekršek proizvajalec ali ponudnik proizvodov, storitev ali postopkov IKT, ki je pravna oseba, če v nasprotju s 53. členom Uredbe 2019/881/EU po izvedenem postopku samoocenjevanja skladnosti izda izjavo EU o skladnosti, ki ustreza osnovni ravni zanesljivosti, čeprav proizvod, storitev ali postopek IKT ne izpolnjuje zahteve iz certifikacijske sheme.</w:t>
      </w:r>
    </w:p>
    <w:p w14:paraId="781AE892"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3B5922A6"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 xml:space="preserve">(2) Z globo od 1.000 eurov do 10.000 eurov se kaznuje samostojni podjetnik posameznik ali posameznik, ki samostojno opravlja dejavnost, ki je </w:t>
      </w:r>
      <w:r w:rsidRPr="004752FD">
        <w:rPr>
          <w:rFonts w:ascii="Arial" w:hAnsi="Arial" w:cs="Arial"/>
          <w:color w:val="000000"/>
          <w:sz w:val="20"/>
          <w:szCs w:val="20"/>
        </w:rPr>
        <w:t>proizvajalec ali ponudnik proizvodov, storitev ali postopkov IKT iz 53. člena Uredbe 2019/881/EU</w:t>
      </w:r>
      <w:r w:rsidRPr="004752FD">
        <w:rPr>
          <w:rFonts w:ascii="Arial" w:hAnsi="Arial" w:cs="Arial"/>
          <w:sz w:val="20"/>
          <w:szCs w:val="20"/>
        </w:rPr>
        <w:t>, če stori prekršek iz prejšnjega odstavka.</w:t>
      </w:r>
    </w:p>
    <w:p w14:paraId="65930CA6"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55592E0B"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 xml:space="preserve">(3) Z globo od 500 eurov do 5.000 eurov se kaznuje odgovorna oseba pravne osebe ali odgovorna oseba samostojnega podjetnika posameznika, odgovorna oseba posameznika, ki samostojno opravlja dejavnost, ter odgovorna oseba v državnem organu, samoupravni lokalni skupnosti, ki je </w:t>
      </w:r>
      <w:r w:rsidRPr="004752FD">
        <w:rPr>
          <w:rFonts w:ascii="Arial" w:hAnsi="Arial" w:cs="Arial"/>
          <w:color w:val="000000"/>
          <w:sz w:val="20"/>
          <w:szCs w:val="20"/>
        </w:rPr>
        <w:t>proizvajalec ali ponudnik proizvodov IKT, storitev IKT ali postopkov IKT iz 53. člena Uredbe 2019/881/EU</w:t>
      </w:r>
      <w:r w:rsidRPr="004752FD">
        <w:rPr>
          <w:rFonts w:ascii="Arial" w:hAnsi="Arial" w:cs="Arial"/>
          <w:sz w:val="20"/>
          <w:szCs w:val="20"/>
        </w:rPr>
        <w:t>, če stori prekršek iz prvega odstavka tega člena.</w:t>
      </w:r>
    </w:p>
    <w:p w14:paraId="594851DB"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4679340C"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 xml:space="preserve">(4) Z globo od 3.000 do 20.000 eurov se kaznuje za prekršek proizvajalec ali ponudnik, ki je pravna oseba, certificiranih proizvodov, storitev in postopkov IKT ali proizvodov, storitev in postopkov IKT, za katere je bila izdana izjava EU o skladnosti iz 55. člena </w:t>
      </w:r>
      <w:bookmarkStart w:id="116" w:name="_Hlk161396073"/>
      <w:r w:rsidRPr="004752FD">
        <w:rPr>
          <w:rFonts w:ascii="Arial" w:hAnsi="Arial" w:cs="Arial"/>
          <w:sz w:val="20"/>
          <w:szCs w:val="20"/>
        </w:rPr>
        <w:t>Uredbe 2019/881</w:t>
      </w:r>
      <w:bookmarkEnd w:id="116"/>
      <w:r w:rsidRPr="004752FD">
        <w:rPr>
          <w:rFonts w:ascii="Arial" w:hAnsi="Arial" w:cs="Arial"/>
          <w:sz w:val="20"/>
          <w:szCs w:val="20"/>
        </w:rPr>
        <w:t xml:space="preserve">/EU, če: </w:t>
      </w:r>
    </w:p>
    <w:p w14:paraId="32CE8302" w14:textId="77777777" w:rsidR="00C50F53" w:rsidRPr="004752FD" w:rsidRDefault="00C50F53" w:rsidP="00E20E87">
      <w:pPr>
        <w:pStyle w:val="odstavek0"/>
        <w:numPr>
          <w:ilvl w:val="0"/>
          <w:numId w:val="65"/>
        </w:numPr>
        <w:spacing w:before="0" w:beforeAutospacing="0" w:after="0" w:afterAutospacing="0"/>
        <w:ind w:left="907" w:hanging="340"/>
        <w:jc w:val="both"/>
        <w:rPr>
          <w:rFonts w:ascii="Arial" w:hAnsi="Arial" w:cs="Arial"/>
          <w:sz w:val="20"/>
          <w:szCs w:val="20"/>
        </w:rPr>
      </w:pPr>
      <w:r w:rsidRPr="004752FD">
        <w:rPr>
          <w:rFonts w:ascii="Arial" w:hAnsi="Arial" w:cs="Arial"/>
          <w:sz w:val="20"/>
          <w:szCs w:val="20"/>
        </w:rPr>
        <w:t>ne da na voljo dodatnih informacij o kibernetski varnosti iz prvega odstavka 55. člena Uredbe 2019/881/EU ali so te informacije nepopolne ali zavajajoče ali</w:t>
      </w:r>
    </w:p>
    <w:p w14:paraId="3784A49E" w14:textId="77777777" w:rsidR="00C50F53" w:rsidRPr="004752FD" w:rsidRDefault="00C50F53" w:rsidP="00E20E87">
      <w:pPr>
        <w:pStyle w:val="odstavek0"/>
        <w:numPr>
          <w:ilvl w:val="0"/>
          <w:numId w:val="65"/>
        </w:numPr>
        <w:spacing w:before="0" w:beforeAutospacing="0" w:after="0" w:afterAutospacing="0"/>
        <w:ind w:left="907" w:hanging="340"/>
        <w:jc w:val="both"/>
        <w:rPr>
          <w:rFonts w:ascii="Arial" w:hAnsi="Arial" w:cs="Arial"/>
          <w:sz w:val="20"/>
          <w:szCs w:val="20"/>
        </w:rPr>
      </w:pPr>
      <w:r w:rsidRPr="004752FD">
        <w:rPr>
          <w:rFonts w:ascii="Arial" w:hAnsi="Arial" w:cs="Arial"/>
          <w:sz w:val="20"/>
          <w:szCs w:val="20"/>
        </w:rPr>
        <w:t>pred iztekom veljavnosti ustreznega evropskega certifikata kibernetske varnosti ali izjave EU o skladnosti v nasprotju z drugim odstavkom 55. člena Uredbe 2019/881/EU onemogoči dostop do dodatnih informacij o kibernetski varnosti ali informacij ne posodablja.</w:t>
      </w:r>
    </w:p>
    <w:p w14:paraId="76AC0069"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3F98B322"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(5) Z globo od 500 eurov do 7.000 eurov se kaznuje samostojni podjetnik posameznik ali posameznik, ki samostojno opravlja dejavnost, ki je proizvajalec ali ponudnik certificiranih proizvodov, storitev in postopkov IKT ali proizvodov, storitev in postopkov IKT, za katere je bila izdana izjava EU o skladnosti iz 55. člena Uredbe 2019/881/EU, če stori prekršek iz prejšnjega odstavka.</w:t>
      </w:r>
    </w:p>
    <w:p w14:paraId="601CE3E9" w14:textId="77777777" w:rsidR="00C50F53" w:rsidRPr="004752FD" w:rsidRDefault="00C50F53" w:rsidP="004752FD">
      <w:pPr>
        <w:pStyle w:val="odstavek0"/>
        <w:spacing w:before="0" w:beforeAutospacing="0" w:after="0" w:afterAutospacing="0"/>
        <w:jc w:val="both"/>
        <w:rPr>
          <w:rFonts w:ascii="Arial" w:hAnsi="Arial" w:cs="Arial"/>
          <w:sz w:val="20"/>
          <w:szCs w:val="20"/>
        </w:rPr>
      </w:pPr>
    </w:p>
    <w:p w14:paraId="4F604333" w14:textId="77777777" w:rsidR="00C50F53" w:rsidRPr="004752FD" w:rsidRDefault="00C50F53" w:rsidP="004752FD">
      <w:pPr>
        <w:pStyle w:val="odstavek0"/>
        <w:spacing w:before="0" w:beforeAutospacing="0" w:after="0" w:afterAutospacing="0"/>
        <w:jc w:val="both"/>
        <w:rPr>
          <w:rFonts w:ascii="Arial" w:hAnsi="Arial" w:cs="Arial"/>
          <w:sz w:val="20"/>
          <w:szCs w:val="20"/>
        </w:rPr>
      </w:pPr>
      <w:r w:rsidRPr="004752FD">
        <w:rPr>
          <w:rFonts w:ascii="Arial" w:hAnsi="Arial" w:cs="Arial"/>
          <w:sz w:val="20"/>
          <w:szCs w:val="20"/>
        </w:rPr>
        <w:t>(6) Z globo od 500 eurov do 2.000 eurov se kaznuje odgovorna oseba pravne osebe ali odgovorna oseba samostojnega podjetnika posameznika, odgovorna oseba posameznika, ki samostojno opravlja dejavnost, ter odgovorna oseba v državnem organu ali samoupravni lokalni skupnosti, ki je proizvajalec ali ponudnik certificiranih proizvodov, storitev in postopkov IKT ali proizvodov, storitev in postopkov IKT, za katere je bila izdana izjava EU o skladnosti iz 55. člena Uredbe 2019/881/EU, če stori prekršek iz četrtega odstavka tega člena.</w:t>
      </w:r>
    </w:p>
    <w:p w14:paraId="3AFEE866"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602667F8"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26BE22A0" w14:textId="77777777" w:rsidR="0034269C" w:rsidRDefault="0034269C">
      <w:pPr>
        <w:spacing w:line="240" w:lineRule="auto"/>
        <w:rPr>
          <w:rFonts w:cs="Arial"/>
          <w:b/>
          <w:szCs w:val="20"/>
          <w:lang w:val="sl-SI" w:eastAsia="sl-SI"/>
        </w:rPr>
      </w:pPr>
      <w:r w:rsidRPr="00A23D30">
        <w:rPr>
          <w:szCs w:val="20"/>
          <w:lang w:val="sl-SI"/>
        </w:rPr>
        <w:br w:type="page"/>
      </w:r>
    </w:p>
    <w:p w14:paraId="3C6F89E8" w14:textId="1CBA00D1"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1E0A69F1"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b/>
          <w:bCs/>
          <w:color w:val="000000"/>
          <w:sz w:val="20"/>
          <w:szCs w:val="20"/>
        </w:rPr>
      </w:pPr>
      <w:r w:rsidRPr="004752FD">
        <w:rPr>
          <w:rFonts w:ascii="Arial" w:hAnsi="Arial" w:cs="Arial"/>
          <w:b/>
          <w:bCs/>
          <w:color w:val="000000"/>
          <w:sz w:val="20"/>
          <w:szCs w:val="20"/>
        </w:rPr>
        <w:t>(odmerjanje sankcij za prekrške)</w:t>
      </w:r>
    </w:p>
    <w:p w14:paraId="108F022B"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color w:val="000000"/>
          <w:sz w:val="20"/>
          <w:szCs w:val="20"/>
        </w:rPr>
      </w:pPr>
    </w:p>
    <w:p w14:paraId="5952E743" w14:textId="77777777"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(1) Poleg splošnih pravil za odmero sankcije iz zakona, ki ureja prekrške, se pri odločanju o višini izrečene globe, če bistveni in pomembni subjekti kršijo 21., 22., 24., 29. ali 30. člen tega zakona, upošteva</w:t>
      </w:r>
      <w:r w:rsidRPr="004752FD">
        <w:rPr>
          <w:rFonts w:cs="Arial"/>
          <w:szCs w:val="20"/>
          <w:lang w:val="sl-SI"/>
        </w:rPr>
        <w:t xml:space="preserve"> </w:t>
      </w:r>
      <w:r w:rsidRPr="004752FD">
        <w:rPr>
          <w:rFonts w:cs="Arial"/>
          <w:color w:val="000000"/>
          <w:szCs w:val="20"/>
          <w:lang w:val="sl-SI"/>
        </w:rPr>
        <w:t>tudi letni promet ali letna bilančna vsota bistvenega ali pomembnega subjekta v predhodnem poslovnem letu.</w:t>
      </w:r>
    </w:p>
    <w:p w14:paraId="5C7EE5A8" w14:textId="77777777" w:rsidR="00C50F53" w:rsidRPr="004752FD" w:rsidRDefault="00C50F53" w:rsidP="0034269C">
      <w:pPr>
        <w:shd w:val="clear" w:color="auto" w:fill="FFFFFF"/>
        <w:spacing w:line="260" w:lineRule="atLeast"/>
        <w:jc w:val="both"/>
        <w:rPr>
          <w:rFonts w:cs="Arial"/>
          <w:strike/>
          <w:color w:val="000000"/>
          <w:szCs w:val="20"/>
          <w:lang w:val="sl-SI"/>
        </w:rPr>
      </w:pPr>
    </w:p>
    <w:p w14:paraId="0B3D4297" w14:textId="05D8210F" w:rsidR="00C50F53" w:rsidRPr="004752FD" w:rsidRDefault="00C50F53" w:rsidP="0034269C">
      <w:pPr>
        <w:shd w:val="clear" w:color="auto" w:fill="FFFFFF"/>
        <w:spacing w:line="260" w:lineRule="atLeast"/>
        <w:jc w:val="both"/>
        <w:rPr>
          <w:rFonts w:cs="Arial"/>
          <w:color w:val="000000"/>
          <w:szCs w:val="20"/>
          <w:lang w:val="sl-SI"/>
        </w:rPr>
      </w:pPr>
      <w:r w:rsidRPr="004752FD">
        <w:rPr>
          <w:rFonts w:cs="Arial"/>
          <w:color w:val="000000"/>
          <w:szCs w:val="20"/>
          <w:lang w:val="sl-SI"/>
        </w:rPr>
        <w:t xml:space="preserve">(2) Pri odločanju o naložitvi in višini višine globe iz tega člena se upoštevajo okoliščine posameznega primera in elementi iz </w:t>
      </w:r>
      <w:r w:rsidR="00EB5D6C">
        <w:rPr>
          <w:rFonts w:cs="Arial"/>
          <w:color w:val="000000"/>
          <w:szCs w:val="20"/>
          <w:lang w:val="sl-SI"/>
        </w:rPr>
        <w:t>šestega</w:t>
      </w:r>
      <w:r w:rsidRPr="004752FD">
        <w:rPr>
          <w:rFonts w:cs="Arial"/>
          <w:color w:val="000000"/>
          <w:szCs w:val="20"/>
          <w:lang w:val="sl-SI"/>
        </w:rPr>
        <w:t xml:space="preserve"> odstavka 46. člena oziroma tretjega odstavka 47. člena tega zakona. </w:t>
      </w:r>
    </w:p>
    <w:p w14:paraId="48304531"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7EDB3453"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3A7357F4" w14:textId="77777777" w:rsidR="00C50F53" w:rsidRPr="004752FD" w:rsidRDefault="00C50F53" w:rsidP="004752FD">
      <w:pPr>
        <w:pStyle w:val="NIS2len"/>
        <w:spacing w:before="0"/>
        <w:ind w:left="0" w:firstLine="0"/>
        <w:rPr>
          <w:sz w:val="20"/>
          <w:szCs w:val="20"/>
        </w:rPr>
      </w:pPr>
      <w:r w:rsidRPr="004752FD">
        <w:rPr>
          <w:sz w:val="20"/>
          <w:szCs w:val="20"/>
        </w:rPr>
        <w:t>člen</w:t>
      </w:r>
    </w:p>
    <w:p w14:paraId="7601F298"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(izrekanje globe v hitrem prekrškovnem postopku)</w:t>
      </w:r>
    </w:p>
    <w:p w14:paraId="43C4B1F2" w14:textId="77777777" w:rsidR="00C50F53" w:rsidRPr="004752FD" w:rsidRDefault="00C50F53" w:rsidP="004752FD">
      <w:pPr>
        <w:suppressAutoHyphens/>
        <w:spacing w:line="260" w:lineRule="atLeast"/>
        <w:rPr>
          <w:rFonts w:cs="Arial"/>
          <w:b/>
          <w:szCs w:val="20"/>
          <w:lang w:val="sl-SI"/>
        </w:rPr>
      </w:pPr>
    </w:p>
    <w:p w14:paraId="6BEB6D26" w14:textId="77777777" w:rsidR="00C50F53" w:rsidRPr="004752FD" w:rsidRDefault="00C50F53" w:rsidP="004752FD">
      <w:pPr>
        <w:suppressAutoHyphens/>
        <w:spacing w:line="260" w:lineRule="atLeast"/>
        <w:rPr>
          <w:rFonts w:cs="Arial"/>
          <w:color w:val="000000"/>
          <w:szCs w:val="20"/>
          <w:lang w:val="sl-SI"/>
        </w:rPr>
      </w:pPr>
      <w:r w:rsidRPr="004752FD">
        <w:rPr>
          <w:rFonts w:cs="Arial"/>
          <w:color w:val="000000"/>
          <w:szCs w:val="20"/>
          <w:lang w:val="sl-SI"/>
        </w:rPr>
        <w:t>Za prekrške iz tega zakona se sme v hitrem prekrškovnem postopku izreči globa tudi v znesku, ki je višji od najnižje predpisane globe, določene s tem zakonom.</w:t>
      </w:r>
    </w:p>
    <w:p w14:paraId="41C73BA6"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strike/>
          <w:color w:val="000000"/>
          <w:sz w:val="20"/>
          <w:szCs w:val="20"/>
        </w:rPr>
      </w:pPr>
    </w:p>
    <w:p w14:paraId="13481810" w14:textId="77777777" w:rsidR="00C50F53" w:rsidRPr="004752FD" w:rsidRDefault="00C50F53" w:rsidP="004752FD">
      <w:pPr>
        <w:pStyle w:val="poglavje0"/>
        <w:shd w:val="clear" w:color="auto" w:fill="FFFFFF"/>
        <w:spacing w:before="0" w:beforeAutospacing="0" w:after="0" w:afterAutospacing="0" w:line="260" w:lineRule="atLeast"/>
        <w:jc w:val="center"/>
        <w:rPr>
          <w:rFonts w:ascii="Arial" w:hAnsi="Arial" w:cs="Arial"/>
          <w:strike/>
          <w:color w:val="000000"/>
          <w:sz w:val="20"/>
          <w:szCs w:val="20"/>
        </w:rPr>
      </w:pPr>
    </w:p>
    <w:p w14:paraId="4FCFDF99" w14:textId="457F009D" w:rsidR="00C50F53" w:rsidRPr="004752FD" w:rsidRDefault="00C50F53" w:rsidP="004752FD">
      <w:pPr>
        <w:pStyle w:val="NIS2len"/>
        <w:spacing w:before="0"/>
        <w:ind w:left="0" w:firstLine="0"/>
        <w:rPr>
          <w:sz w:val="20"/>
          <w:szCs w:val="20"/>
        </w:rPr>
      </w:pPr>
      <w:r w:rsidRPr="004752FD">
        <w:rPr>
          <w:sz w:val="20"/>
          <w:szCs w:val="20"/>
        </w:rPr>
        <w:t>člen</w:t>
      </w:r>
    </w:p>
    <w:p w14:paraId="74C1DCDA"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(uporaba določb o prekrških)</w:t>
      </w:r>
    </w:p>
    <w:p w14:paraId="4C428317" w14:textId="77777777" w:rsidR="00C50F53" w:rsidRPr="004752FD" w:rsidRDefault="00C50F53" w:rsidP="004752FD">
      <w:pPr>
        <w:suppressAutoHyphens/>
        <w:spacing w:line="260" w:lineRule="atLeast"/>
        <w:rPr>
          <w:rFonts w:cs="Arial"/>
          <w:color w:val="000000"/>
          <w:szCs w:val="20"/>
          <w:lang w:val="sl-SI"/>
        </w:rPr>
      </w:pPr>
    </w:p>
    <w:p w14:paraId="2EABF8C6" w14:textId="77777777" w:rsidR="00C50F53" w:rsidRPr="004752FD" w:rsidRDefault="00C50F53" w:rsidP="004752FD">
      <w:pPr>
        <w:suppressAutoHyphens/>
        <w:spacing w:line="260" w:lineRule="atLeast"/>
        <w:rPr>
          <w:rFonts w:cs="Arial"/>
          <w:color w:val="000000"/>
          <w:szCs w:val="20"/>
          <w:lang w:val="sl-SI"/>
        </w:rPr>
      </w:pPr>
      <w:r w:rsidRPr="004752FD">
        <w:rPr>
          <w:rFonts w:cs="Arial"/>
          <w:color w:val="000000"/>
          <w:szCs w:val="20"/>
          <w:lang w:val="sl-SI"/>
        </w:rPr>
        <w:t xml:space="preserve">Višina in razponi glob, ki so določeni v 52. in 53. členu tega zakona, veljajo in se uporabljajo ne glede na določbe zakona, ki ureja prekrške. </w:t>
      </w:r>
    </w:p>
    <w:p w14:paraId="1673A198"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6D0AF9A4" w14:textId="77777777" w:rsidR="00C50F53" w:rsidRPr="004752FD" w:rsidRDefault="00C50F53" w:rsidP="004752FD">
      <w:pPr>
        <w:pStyle w:val="alineazaodstavkom0"/>
        <w:shd w:val="clear" w:color="auto" w:fill="FFFFFF"/>
        <w:spacing w:before="0" w:beforeAutospacing="0" w:after="0" w:afterAutospacing="0"/>
        <w:jc w:val="both"/>
        <w:rPr>
          <w:rFonts w:ascii="Arial" w:hAnsi="Arial" w:cs="Arial"/>
          <w:color w:val="000000"/>
          <w:sz w:val="20"/>
          <w:szCs w:val="20"/>
        </w:rPr>
      </w:pPr>
    </w:p>
    <w:p w14:paraId="5917F5F9" w14:textId="77777777" w:rsidR="00C50F53" w:rsidRPr="004752FD" w:rsidRDefault="00C50F53" w:rsidP="00E20E87">
      <w:pPr>
        <w:pStyle w:val="NIS2naslovpoglavja"/>
        <w:numPr>
          <w:ilvl w:val="0"/>
          <w:numId w:val="64"/>
        </w:numPr>
        <w:rPr>
          <w:sz w:val="20"/>
          <w:szCs w:val="20"/>
        </w:rPr>
      </w:pPr>
      <w:bookmarkStart w:id="117" w:name="_Hlk148372521"/>
      <w:r w:rsidRPr="004752FD">
        <w:rPr>
          <w:sz w:val="20"/>
          <w:szCs w:val="20"/>
        </w:rPr>
        <w:t>Prehodne določbe</w:t>
      </w:r>
    </w:p>
    <w:bookmarkEnd w:id="117"/>
    <w:p w14:paraId="074432CB" w14:textId="77777777" w:rsidR="00C50F53" w:rsidRPr="004752FD" w:rsidRDefault="00C50F53" w:rsidP="004752FD">
      <w:pPr>
        <w:pStyle w:val="NIS2naslovpoglavja"/>
        <w:numPr>
          <w:ilvl w:val="0"/>
          <w:numId w:val="0"/>
        </w:numPr>
        <w:jc w:val="both"/>
        <w:rPr>
          <w:sz w:val="20"/>
          <w:szCs w:val="20"/>
        </w:rPr>
      </w:pPr>
    </w:p>
    <w:p w14:paraId="5E5D4759" w14:textId="77777777" w:rsidR="00C50F53" w:rsidRPr="004752FD" w:rsidRDefault="00C50F53" w:rsidP="004752FD">
      <w:pPr>
        <w:shd w:val="clear" w:color="auto" w:fill="FFFFFF"/>
        <w:spacing w:line="260" w:lineRule="atLeast"/>
        <w:rPr>
          <w:rFonts w:cs="Arial"/>
          <w:b/>
          <w:bCs/>
          <w:color w:val="000000"/>
          <w:szCs w:val="20"/>
          <w:lang w:val="sl-SI"/>
        </w:rPr>
      </w:pPr>
    </w:p>
    <w:p w14:paraId="3B87049D" w14:textId="77777777" w:rsidR="00C50F53" w:rsidRPr="004752FD" w:rsidRDefault="00C50F53" w:rsidP="004752FD">
      <w:pPr>
        <w:pStyle w:val="NIS2len"/>
        <w:spacing w:before="0"/>
        <w:ind w:left="0" w:firstLine="0"/>
        <w:rPr>
          <w:sz w:val="20"/>
          <w:szCs w:val="20"/>
        </w:rPr>
      </w:pPr>
      <w:r w:rsidRPr="004752FD">
        <w:rPr>
          <w:sz w:val="20"/>
          <w:szCs w:val="20"/>
        </w:rPr>
        <w:t>člen</w:t>
      </w:r>
    </w:p>
    <w:p w14:paraId="45C8C85C"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(skupine CSIRT)</w:t>
      </w:r>
    </w:p>
    <w:p w14:paraId="42BB5CA5" w14:textId="77777777" w:rsidR="00C50F53" w:rsidRPr="004752FD" w:rsidRDefault="00C50F53" w:rsidP="004752FD">
      <w:pPr>
        <w:shd w:val="clear" w:color="auto" w:fill="FFFFFF"/>
        <w:spacing w:line="260" w:lineRule="atLeast"/>
        <w:rPr>
          <w:rFonts w:cs="Arial"/>
          <w:b/>
          <w:bCs/>
          <w:color w:val="000000"/>
          <w:szCs w:val="20"/>
          <w:lang w:val="sl-SI"/>
        </w:rPr>
      </w:pPr>
    </w:p>
    <w:p w14:paraId="28DDFD0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Do določitve skupin CSIRT iz prvega odstavka 13. člena tega zakona njihove naloge izvajata:</w:t>
      </w:r>
    </w:p>
    <w:p w14:paraId="6740121C" w14:textId="77777777" w:rsidR="00C50F53" w:rsidRPr="004752FD" w:rsidRDefault="00C50F53" w:rsidP="00E20E87">
      <w:pPr>
        <w:pStyle w:val="poglavje0"/>
        <w:numPr>
          <w:ilvl w:val="0"/>
          <w:numId w:val="9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SIGOV-CERT, ki deluje kot notranja organizacijska enota pri pristojnem nacionalnem organu in je pristojen za obravnavo incidentov subjektov javne uprave na državni in lokalni ravni ter ponudnikov storitev zaupanja, ki jih izvajajo subjekti državne uprave, ter</w:t>
      </w:r>
    </w:p>
    <w:p w14:paraId="2003BAF4" w14:textId="6B2F2492" w:rsidR="00C50F53" w:rsidRPr="004752FD" w:rsidRDefault="00C50F53" w:rsidP="00E20E87">
      <w:pPr>
        <w:pStyle w:val="poglavje0"/>
        <w:numPr>
          <w:ilvl w:val="0"/>
          <w:numId w:val="92"/>
        </w:numPr>
        <w:shd w:val="clear" w:color="auto" w:fill="FFFFFF"/>
        <w:spacing w:before="0" w:beforeAutospacing="0" w:after="0" w:afterAutospacing="0" w:line="260" w:lineRule="atLeast"/>
        <w:ind w:left="924" w:hanging="357"/>
        <w:jc w:val="both"/>
        <w:rPr>
          <w:rFonts w:ascii="Arial" w:hAnsi="Arial" w:cs="Arial"/>
          <w:color w:val="000000"/>
          <w:sz w:val="20"/>
          <w:szCs w:val="20"/>
        </w:rPr>
      </w:pPr>
      <w:r w:rsidRPr="004752FD">
        <w:rPr>
          <w:rFonts w:ascii="Arial" w:hAnsi="Arial" w:cs="Arial"/>
          <w:color w:val="000000"/>
          <w:sz w:val="20"/>
          <w:szCs w:val="20"/>
        </w:rPr>
        <w:t>SI-CERT, ki deluje kot notranja organizacijska enota pri javnem infrastrukturnem zavodu Akademska in raziskovalna mreža Slovenije in je pristojen za obravnavo incidentov, ki jih priglasijo drugi zavezanci iz prvega odstavka 6. člena tega zakona, ki niso zajeti v prejšnji alineji, ter deluje kot koordinator iz prvega odstavka 17. člena tega zakona. Pristojen je tudi za obravnavo prostovoljno priglašenih incidentov subjektov, ki niso zavezanci po tem zakonu v skladu z drugim odstavkom 3</w:t>
      </w:r>
      <w:r w:rsidR="00EB5D6C">
        <w:rPr>
          <w:rFonts w:ascii="Arial" w:hAnsi="Arial" w:cs="Arial"/>
          <w:color w:val="000000"/>
          <w:sz w:val="20"/>
          <w:szCs w:val="20"/>
        </w:rPr>
        <w:t>5</w:t>
      </w:r>
      <w:r w:rsidRPr="004752FD">
        <w:rPr>
          <w:rFonts w:ascii="Arial" w:hAnsi="Arial" w:cs="Arial"/>
          <w:color w:val="000000"/>
          <w:sz w:val="20"/>
          <w:szCs w:val="20"/>
        </w:rPr>
        <w:t>. člena tega zakona.</w:t>
      </w:r>
    </w:p>
    <w:p w14:paraId="4A27E301" w14:textId="77777777" w:rsidR="00C50F53" w:rsidRPr="004752FD" w:rsidRDefault="00C50F53" w:rsidP="004752FD">
      <w:pPr>
        <w:shd w:val="clear" w:color="auto" w:fill="FFFFFF"/>
        <w:spacing w:line="260" w:lineRule="atLeast"/>
        <w:rPr>
          <w:rFonts w:cs="Arial"/>
          <w:b/>
          <w:bCs/>
          <w:color w:val="000000"/>
          <w:szCs w:val="20"/>
          <w:lang w:val="sl-SI"/>
        </w:rPr>
      </w:pPr>
    </w:p>
    <w:p w14:paraId="773C7853" w14:textId="77777777" w:rsidR="00C50F53" w:rsidRPr="004752FD" w:rsidRDefault="00C50F53" w:rsidP="004752FD">
      <w:pPr>
        <w:shd w:val="clear" w:color="auto" w:fill="FFFFFF"/>
        <w:spacing w:line="260" w:lineRule="atLeast"/>
        <w:rPr>
          <w:rFonts w:cs="Arial"/>
          <w:b/>
          <w:bCs/>
          <w:color w:val="000000"/>
          <w:szCs w:val="20"/>
          <w:lang w:val="sl-SI"/>
        </w:rPr>
      </w:pPr>
    </w:p>
    <w:p w14:paraId="65E0F59F" w14:textId="77777777" w:rsidR="00C50F53" w:rsidRPr="004752FD" w:rsidRDefault="00C50F53" w:rsidP="004752FD">
      <w:pPr>
        <w:pStyle w:val="NIS2len"/>
        <w:spacing w:before="0" w:line="260" w:lineRule="atLeast"/>
        <w:ind w:left="0" w:firstLine="0"/>
        <w:rPr>
          <w:sz w:val="20"/>
          <w:szCs w:val="20"/>
        </w:rPr>
      </w:pPr>
      <w:bookmarkStart w:id="118" w:name="_Hlk183637270"/>
      <w:r w:rsidRPr="004752FD">
        <w:rPr>
          <w:sz w:val="20"/>
          <w:szCs w:val="20"/>
        </w:rPr>
        <w:t>člen</w:t>
      </w:r>
    </w:p>
    <w:p w14:paraId="023BBD24"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(vzpostavitev samoregistracije in seznamov ter obveščanje)</w:t>
      </w:r>
    </w:p>
    <w:bookmarkEnd w:id="118"/>
    <w:p w14:paraId="48D3C287" w14:textId="77777777" w:rsidR="00C50F53" w:rsidRPr="004752FD" w:rsidRDefault="00C50F53" w:rsidP="004752FD">
      <w:pPr>
        <w:shd w:val="clear" w:color="auto" w:fill="FFFFFF"/>
        <w:spacing w:line="260" w:lineRule="atLeast"/>
        <w:rPr>
          <w:rFonts w:cs="Arial"/>
          <w:b/>
          <w:bCs/>
          <w:color w:val="000000"/>
          <w:szCs w:val="20"/>
          <w:lang w:val="sl-SI"/>
        </w:rPr>
      </w:pPr>
    </w:p>
    <w:p w14:paraId="7EDA949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Pristojni nacionalni organ vzpostavi mehanizem za samoregistracijo zavezancev iz 6. člena tega zakona po prvem odstavku 8. člena tega zakona v štirih mesecih od uveljavitve tega zakona.</w:t>
      </w:r>
      <w:r w:rsidRPr="004752FD">
        <w:rPr>
          <w:rFonts w:ascii="Arial" w:hAnsi="Arial" w:cs="Arial"/>
          <w:sz w:val="20"/>
          <w:szCs w:val="20"/>
        </w:rPr>
        <w:t xml:space="preserve"> </w:t>
      </w:r>
    </w:p>
    <w:p w14:paraId="2282D2F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FE37E6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(2) Zavezanci, ki ob uveljavitvi tega zakona izpolnjujejo merila iz 6. in 7. člena tega zakona, opravijo prvo registracijo po mehanizmu za samoregistracijo v šestih mesecih od uveljavitve tega </w:t>
      </w:r>
      <w:r w:rsidRPr="004752FD">
        <w:rPr>
          <w:rFonts w:ascii="Arial" w:hAnsi="Arial" w:cs="Arial"/>
          <w:color w:val="000000"/>
          <w:sz w:val="20"/>
          <w:szCs w:val="20"/>
        </w:rPr>
        <w:lastRenderedPageBreak/>
        <w:t>zakona. Do vzpostavitve mehanizma za samoregistracijo se informacije pošljejo v digitalni obliki na elektronski naslov pristojnega nacionalnega organa.</w:t>
      </w:r>
    </w:p>
    <w:p w14:paraId="257441B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80A6B6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Organi iz sedmega odstavka 8. člena tega zakona prvič pošljejo poimenski seznam iz tega člena pristojnemu nacionalnemu organu v šestih mesecih od uveljavitve tega zakona.</w:t>
      </w:r>
    </w:p>
    <w:p w14:paraId="42C6A79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A18BBD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(4) Pristojni nacionalni organ vzpostavi prvi seznam iz četrtega odstavka 8. člena tega zakona v enem mesecu po izteku roka iz prejšnjega odstavka. </w:t>
      </w:r>
    </w:p>
    <w:p w14:paraId="01EB6C2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FA17C85" w14:textId="77777777" w:rsidR="00C50F53" w:rsidRPr="004752FD" w:rsidRDefault="00C50F53" w:rsidP="004752FD">
      <w:pPr>
        <w:rPr>
          <w:rFonts w:cs="Arial"/>
          <w:color w:val="000000"/>
          <w:szCs w:val="20"/>
          <w:lang w:val="sl-SI"/>
        </w:rPr>
      </w:pPr>
      <w:r w:rsidRPr="004752FD">
        <w:rPr>
          <w:rFonts w:cs="Arial"/>
          <w:color w:val="000000"/>
          <w:szCs w:val="20"/>
          <w:lang w:val="sl-SI"/>
        </w:rPr>
        <w:t>(5) Vlada sprejme program usposabljanja odgovornih oseb iz šestega odstavka 20. člena tega zakona v šestih mesecih od uveljavitve tega zakona.</w:t>
      </w:r>
    </w:p>
    <w:p w14:paraId="3132DE6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78BB97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119" w:name="_Hlk183637303"/>
      <w:r w:rsidRPr="004752FD">
        <w:rPr>
          <w:rFonts w:ascii="Arial" w:hAnsi="Arial" w:cs="Arial"/>
          <w:color w:val="000000"/>
          <w:sz w:val="20"/>
          <w:szCs w:val="20"/>
        </w:rPr>
        <w:t>(6) Pristojni nacionalni organ vzpostavi namensko digitalno platformo iz desetega odstavka 30. člena v enem letu od uveljavitve tega zakona. Do njene vzpostavitve zadevni subjekti priglasitve iz 29. in 35. člena iz tega zakona pošiljajo na elektronski naslov pristojne skupine CSIRT iz tega zakona. Do vzpostavitve te platforme tudi izmenjava informacij iz drugega odstavka 18. člena poteka v digitalni obliki prek elektronskih naslovov pristojnega nacionalnega organa in sodelujočih organov.</w:t>
      </w:r>
    </w:p>
    <w:bookmarkEnd w:id="119"/>
    <w:p w14:paraId="1657CB9A"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12A889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(7) Subjekti iz prvega odstavka 32. člena tega zakona o informacijah iz navedene določbe prvič obvestijo pristojni nacionalni organ v šestih mesecih od uveljavitve tega zakona.</w:t>
      </w:r>
    </w:p>
    <w:p w14:paraId="17C70B2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A03D28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(8) Registri TLD imen in subjekti, ki opravljajo storitve registracije domenskih imen, vzpostavijo politike in postopke iz tretjega in petega odstavka 33. člena tega zakona v šestih mesecih od uveljavitve tega zakona.</w:t>
      </w:r>
    </w:p>
    <w:p w14:paraId="0FAF519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3D9E692"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(9) Organi iz prvega odstavka 39. člena tega zakona obvestijo pristojni nacionalni organ o varnostno-operativnih centrih organov državne uprave, ki izpolnjujejo zahteve iz drugega odstavka 39. člena tega zakona, v tridesetih dneh od uveljavitve tega zakona.</w:t>
      </w:r>
    </w:p>
    <w:p w14:paraId="696F4B46" w14:textId="77777777" w:rsidR="00C50F53" w:rsidRPr="004752FD" w:rsidRDefault="00C50F53" w:rsidP="004752FD">
      <w:pPr>
        <w:rPr>
          <w:rFonts w:cs="Arial"/>
          <w:color w:val="000000"/>
          <w:szCs w:val="20"/>
          <w:lang w:val="sl-SI"/>
        </w:rPr>
      </w:pPr>
    </w:p>
    <w:p w14:paraId="6DA7AD45" w14:textId="77777777" w:rsidR="00C50F53" w:rsidRPr="004752FD" w:rsidRDefault="00C50F53" w:rsidP="004752FD">
      <w:pPr>
        <w:rPr>
          <w:rFonts w:cs="Arial"/>
          <w:color w:val="000000"/>
          <w:szCs w:val="20"/>
          <w:lang w:val="sl-SI"/>
        </w:rPr>
      </w:pPr>
      <w:r w:rsidRPr="004752FD">
        <w:rPr>
          <w:rFonts w:cs="Arial"/>
          <w:color w:val="000000"/>
          <w:szCs w:val="20"/>
          <w:lang w:val="sl-SI"/>
        </w:rPr>
        <w:t>(10) Organi iz prvega odstavka 39. člena tega zakona obvestijo pristojni nacionalni organ o varnostno-operativnih centrih organov državne uprave, ki ne izpolnjujejo zahtev iz drugega odstavka 39. člena, v tridesetih dneh od uveljavitve tega zakona in zagotovijo izpolnjevanje teh v enem letu od uveljavitve zakona.</w:t>
      </w:r>
    </w:p>
    <w:p w14:paraId="54AF1F0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5D46768F" w14:textId="77777777" w:rsidR="00C50F53" w:rsidRPr="004752FD" w:rsidRDefault="00C50F53" w:rsidP="004752FD">
      <w:pPr>
        <w:pStyle w:val="NIS2naslovpoglavja"/>
        <w:numPr>
          <w:ilvl w:val="0"/>
          <w:numId w:val="0"/>
        </w:numPr>
        <w:jc w:val="both"/>
        <w:rPr>
          <w:color w:val="000000"/>
          <w:sz w:val="20"/>
          <w:szCs w:val="20"/>
        </w:rPr>
      </w:pPr>
    </w:p>
    <w:p w14:paraId="733F2111" w14:textId="77777777" w:rsidR="00C50F53" w:rsidRPr="004752FD" w:rsidRDefault="00C50F53" w:rsidP="004752FD">
      <w:pPr>
        <w:pStyle w:val="NIS2len"/>
        <w:spacing w:before="0" w:line="260" w:lineRule="atLeast"/>
        <w:ind w:left="0" w:firstLine="0"/>
        <w:rPr>
          <w:sz w:val="20"/>
          <w:szCs w:val="20"/>
        </w:rPr>
      </w:pPr>
      <w:bookmarkStart w:id="120" w:name="_Hlk185524652"/>
      <w:r w:rsidRPr="004752FD">
        <w:rPr>
          <w:sz w:val="20"/>
          <w:szCs w:val="20"/>
        </w:rPr>
        <w:t>člen</w:t>
      </w:r>
    </w:p>
    <w:p w14:paraId="57E47033" w14:textId="77777777" w:rsidR="00C50F53" w:rsidRPr="004752FD" w:rsidRDefault="00C50F53" w:rsidP="004752FD">
      <w:pPr>
        <w:pStyle w:val="NIS2naslovpoglavja"/>
        <w:numPr>
          <w:ilvl w:val="0"/>
          <w:numId w:val="0"/>
        </w:numPr>
        <w:rPr>
          <w:sz w:val="20"/>
          <w:szCs w:val="20"/>
        </w:rPr>
      </w:pPr>
      <w:r w:rsidRPr="004752FD">
        <w:rPr>
          <w:color w:val="000000"/>
          <w:sz w:val="20"/>
          <w:szCs w:val="20"/>
        </w:rPr>
        <w:t>(status izvajalcev bistvenih storitev in organov državne uprave)</w:t>
      </w:r>
      <w:r w:rsidRPr="004752FD" w:rsidDel="00D64683">
        <w:rPr>
          <w:color w:val="000000"/>
          <w:sz w:val="20"/>
          <w:szCs w:val="20"/>
        </w:rPr>
        <w:t xml:space="preserve"> </w:t>
      </w:r>
    </w:p>
    <w:p w14:paraId="71B14B70" w14:textId="77777777" w:rsidR="00C50F53" w:rsidRPr="004752FD" w:rsidRDefault="00C50F53" w:rsidP="004752FD">
      <w:pPr>
        <w:pStyle w:val="NIS2tokavodstavku"/>
        <w:rPr>
          <w:sz w:val="20"/>
          <w:szCs w:val="20"/>
        </w:rPr>
      </w:pPr>
    </w:p>
    <w:p w14:paraId="39A7EBA4" w14:textId="77777777" w:rsidR="00C50F53" w:rsidRPr="004752FD" w:rsidRDefault="00C50F53" w:rsidP="004752FD">
      <w:pPr>
        <w:pStyle w:val="NIS2tokavodstavku"/>
        <w:rPr>
          <w:sz w:val="20"/>
          <w:szCs w:val="20"/>
        </w:rPr>
      </w:pPr>
      <w:r w:rsidRPr="004752FD">
        <w:rPr>
          <w:sz w:val="20"/>
          <w:szCs w:val="20"/>
        </w:rPr>
        <w:t>Subjekti, ki so bili na podlagi 6. člena Zakona o informacijski varnosti (Uradni list RS, št. 30/18, 95/21, 130/22 – ZEKom-2, 18/23 – ZDU-1O in 49/23; v nadaljnjem besedilu: ZInfV) kot izvajalci bistvenih storitev določeni pred 16. januarjem 2023, in organi državne uprave, ki upravljajo informacijske sisteme in dele omrežja ali izvajajo informacijske storitve, nujne za nemoteno delovanje države ali za zagotavljanje nacionalne varnosti (v nadaljnjem besedilu: organi državne uprave), in so bili kot zavezani organi državne uprave na podlagi 9. člena ZInfV določeni pred uveljavitvijo tega zakona, so še naprej zavezani kot bistveni subjekti po tem zakonu.</w:t>
      </w:r>
    </w:p>
    <w:p w14:paraId="7A07D867" w14:textId="77777777" w:rsidR="00C50F53" w:rsidRPr="004752FD" w:rsidRDefault="00C50F53" w:rsidP="004752FD">
      <w:pPr>
        <w:pStyle w:val="NIS2naslovpoglavja"/>
        <w:numPr>
          <w:ilvl w:val="0"/>
          <w:numId w:val="0"/>
        </w:numPr>
        <w:jc w:val="both"/>
        <w:rPr>
          <w:sz w:val="20"/>
          <w:szCs w:val="20"/>
        </w:rPr>
      </w:pPr>
    </w:p>
    <w:p w14:paraId="1A05E1DA" w14:textId="77777777" w:rsidR="00C50F53" w:rsidRPr="004752FD" w:rsidRDefault="00C50F53" w:rsidP="004752FD">
      <w:pPr>
        <w:pStyle w:val="NIS2naslovpoglavja"/>
        <w:numPr>
          <w:ilvl w:val="0"/>
          <w:numId w:val="0"/>
        </w:numPr>
        <w:jc w:val="both"/>
        <w:rPr>
          <w:sz w:val="20"/>
          <w:szCs w:val="20"/>
        </w:rPr>
      </w:pPr>
    </w:p>
    <w:p w14:paraId="1522271B" w14:textId="77777777" w:rsidR="0034269C" w:rsidRDefault="0034269C">
      <w:pPr>
        <w:spacing w:line="240" w:lineRule="auto"/>
        <w:rPr>
          <w:rFonts w:cs="Arial"/>
          <w:b/>
          <w:szCs w:val="20"/>
          <w:lang w:val="sl-SI" w:eastAsia="sl-SI"/>
        </w:rPr>
      </w:pPr>
      <w:r w:rsidRPr="00A23D30">
        <w:rPr>
          <w:szCs w:val="20"/>
          <w:lang w:val="sl-SI"/>
        </w:rPr>
        <w:br w:type="page"/>
      </w:r>
    </w:p>
    <w:p w14:paraId="6EB63A8A" w14:textId="67431FA7"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5FF0B1DF"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(sprejetje ukrepov za obvladovanje tveganj)</w:t>
      </w:r>
    </w:p>
    <w:p w14:paraId="2FE4AE0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2F4F93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(1) Bistveni in pomembni subjekti sprejmejo ukrepe za obvladovanje tveganj za informacijsko in kibernetsko varnost iz 21. in 22. člena tega zakona v osemnajstih mesecih od uveljavitve tega zakona.</w:t>
      </w:r>
    </w:p>
    <w:p w14:paraId="3B0A89E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1E5A312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(2) Ne glede na prejšnji odstavek bistveni subjekti, ki so bili določeni kot izvajalci bistvenih storitev na podlagi 6. člena ZInfV in organi državne uprave, ki so bili določeni na podlagi 9. člena ZInfV, sprejmejo ukrepe za obvladovanje tveganj za informacijsko in kibernetsko varnost iz 21. in 22. člena tega zakona v enem letu</w:t>
      </w:r>
      <w:r w:rsidRPr="004752FD">
        <w:rPr>
          <w:rFonts w:ascii="Arial" w:hAnsi="Arial" w:cs="Arial"/>
          <w:sz w:val="20"/>
          <w:szCs w:val="20"/>
        </w:rPr>
        <w:t xml:space="preserve"> </w:t>
      </w:r>
      <w:r w:rsidRPr="004752FD">
        <w:rPr>
          <w:rFonts w:ascii="Arial" w:hAnsi="Arial" w:cs="Arial"/>
          <w:color w:val="000000"/>
          <w:sz w:val="20"/>
          <w:szCs w:val="20"/>
        </w:rPr>
        <w:t>od uveljavitve tega zakona. Do izteka tega roka se zanje uporabljajo varnostne zahteve, varnostna dokumentacija, varnostni ukrepi in pripadajoče določbe o nadzoru ter kazenske določbe iz ZInfV in predpisa iz 2. ali 3. alineje drugega odstavka 69. člena tega zakona.</w:t>
      </w:r>
    </w:p>
    <w:p w14:paraId="051D4A4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FB7C28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Ne glede na prvi odstavek bistveni in pomembni subjekti, ki so operaterji po Zakonu o elektronskih komunikacijah (Uradni list RS, št. 130/22 in 18/23 – ZDU-1O), sprejmejo ukrepe za obvladovanje tveganj za informacijsko in kibernetsko varnost iz 21. in 22. člena tega zakona v enem letu</w:t>
      </w:r>
      <w:r w:rsidRPr="004752FD">
        <w:rPr>
          <w:rFonts w:ascii="Arial" w:hAnsi="Arial" w:cs="Arial"/>
          <w:sz w:val="20"/>
          <w:szCs w:val="20"/>
        </w:rPr>
        <w:t xml:space="preserve"> </w:t>
      </w:r>
      <w:r w:rsidRPr="004752FD">
        <w:rPr>
          <w:rFonts w:ascii="Arial" w:hAnsi="Arial" w:cs="Arial"/>
          <w:color w:val="000000"/>
          <w:sz w:val="20"/>
          <w:szCs w:val="20"/>
        </w:rPr>
        <w:t>od uveljavitve tega zakona. Do izteka tega roka se zanje uporabljajo varnostni ukrepi iz VII. poglavja Zakona o elektronskih komunikacijah (Uradni list RS, št. 130/22 in 18/23 – ZDU-1O)</w:t>
      </w:r>
      <w:r w:rsidRPr="004752FD">
        <w:rPr>
          <w:rFonts w:ascii="Arial" w:hAnsi="Arial" w:cs="Arial"/>
          <w:sz w:val="20"/>
          <w:szCs w:val="20"/>
        </w:rPr>
        <w:t xml:space="preserve"> </w:t>
      </w:r>
      <w:r w:rsidRPr="004752FD">
        <w:rPr>
          <w:rFonts w:ascii="Arial" w:hAnsi="Arial" w:cs="Arial"/>
          <w:color w:val="000000"/>
          <w:sz w:val="20"/>
          <w:szCs w:val="20"/>
        </w:rPr>
        <w:t>in splošni akt iz druge alineje četrtega odstavka 69. člena tega zakona.</w:t>
      </w:r>
    </w:p>
    <w:bookmarkEnd w:id="120"/>
    <w:p w14:paraId="57AEF0D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D593CBE" w14:textId="77777777" w:rsidR="00C50F53" w:rsidRPr="004752FD" w:rsidRDefault="00C50F53" w:rsidP="004752FD">
      <w:pPr>
        <w:pStyle w:val="NIS2naslovpoglavja"/>
        <w:numPr>
          <w:ilvl w:val="0"/>
          <w:numId w:val="0"/>
        </w:numPr>
        <w:jc w:val="both"/>
        <w:rPr>
          <w:sz w:val="20"/>
          <w:szCs w:val="20"/>
        </w:rPr>
      </w:pPr>
    </w:p>
    <w:p w14:paraId="137C356B"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1F1A0F08" w14:textId="77777777" w:rsidR="00C50F53" w:rsidRPr="004752FD" w:rsidRDefault="00C50F53" w:rsidP="004752FD">
      <w:pPr>
        <w:pStyle w:val="NIS2naslovpoglavja"/>
        <w:numPr>
          <w:ilvl w:val="0"/>
          <w:numId w:val="0"/>
        </w:numPr>
        <w:rPr>
          <w:sz w:val="20"/>
          <w:szCs w:val="20"/>
        </w:rPr>
      </w:pPr>
      <w:r w:rsidRPr="004752FD">
        <w:rPr>
          <w:sz w:val="20"/>
          <w:szCs w:val="20"/>
        </w:rPr>
        <w:t>(uskladitev podatkovne zbirke o registraciji domenskih imen)</w:t>
      </w:r>
    </w:p>
    <w:p w14:paraId="45BF727C" w14:textId="77777777" w:rsidR="00C50F53" w:rsidRPr="004752FD" w:rsidRDefault="00C50F53" w:rsidP="004752FD">
      <w:pPr>
        <w:pStyle w:val="NIS2naslovpoglavja"/>
        <w:numPr>
          <w:ilvl w:val="0"/>
          <w:numId w:val="0"/>
        </w:numPr>
        <w:jc w:val="both"/>
        <w:rPr>
          <w:sz w:val="20"/>
          <w:szCs w:val="20"/>
        </w:rPr>
      </w:pPr>
    </w:p>
    <w:p w14:paraId="5C97CAF3"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Registri TLD imen in subjekti, ki opravljajo storitve registracije domenskih imen, uskladijo podatkovne zbirke o registraciji domenskih imen z drugim in četrtim odstavkom 33. člena tega zakona za registracije, ki so bile izvedene do uveljavitve tega zakona, v osemnajstih mesecih od uveljavitve tega zakona.</w:t>
      </w:r>
    </w:p>
    <w:p w14:paraId="4651A63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5617E71"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483C8A52"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5933A63"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(izdaja podzakonskih predpisov in strategije)</w:t>
      </w:r>
    </w:p>
    <w:p w14:paraId="0C33D690" w14:textId="77777777" w:rsidR="00C50F53" w:rsidRPr="004752FD" w:rsidRDefault="00C50F53" w:rsidP="004752FD">
      <w:pPr>
        <w:shd w:val="clear" w:color="auto" w:fill="FFFFFF"/>
        <w:spacing w:line="260" w:lineRule="atLeast"/>
        <w:rPr>
          <w:rFonts w:cs="Arial"/>
          <w:b/>
          <w:bCs/>
          <w:color w:val="000000"/>
          <w:szCs w:val="20"/>
          <w:lang w:val="sl-SI"/>
        </w:rPr>
      </w:pPr>
    </w:p>
    <w:p w14:paraId="3BBB09AF"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bookmarkStart w:id="121" w:name="_Hlk185858477"/>
      <w:r w:rsidRPr="004752FD">
        <w:rPr>
          <w:rFonts w:ascii="Arial" w:hAnsi="Arial" w:cs="Arial"/>
          <w:color w:val="000000"/>
          <w:sz w:val="20"/>
          <w:szCs w:val="20"/>
        </w:rPr>
        <w:t xml:space="preserve">(1) Vlada izda predpisa iz tretjega odstavka 4. člena in šestega odstavka 20. člena tega zakona v šestih mesecih od uveljavitve tega zakona. </w:t>
      </w:r>
    </w:p>
    <w:p w14:paraId="116F615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78F5BCC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 xml:space="preserve">(2) </w:t>
      </w:r>
      <w:bookmarkStart w:id="122" w:name="_Hlk162728162"/>
      <w:r w:rsidRPr="004752FD">
        <w:rPr>
          <w:rFonts w:ascii="Arial" w:hAnsi="Arial" w:cs="Arial"/>
          <w:color w:val="000000"/>
          <w:sz w:val="20"/>
          <w:szCs w:val="20"/>
        </w:rPr>
        <w:t>Vlada uskladi Odlok o ustanovitvi, nalogah in organizaciji Urada Vlade Republike Slovenije za informacijsko varnost (Uradni list RS, št. </w:t>
      </w:r>
      <w:hyperlink r:id="rId10" w:tgtFrame="_blank" w:tooltip="Odlok o ustanovitvi, nalogah in organizaciji Urada Vlade Republike Slovenije za informacijsko varnost" w:history="1">
        <w:r w:rsidRPr="004752FD">
          <w:rPr>
            <w:rFonts w:ascii="Arial" w:hAnsi="Arial" w:cs="Arial"/>
            <w:color w:val="000000"/>
            <w:sz w:val="20"/>
            <w:szCs w:val="20"/>
          </w:rPr>
          <w:t>114/21</w:t>
        </w:r>
      </w:hyperlink>
      <w:r w:rsidRPr="004752FD">
        <w:rPr>
          <w:rFonts w:ascii="Arial" w:hAnsi="Arial" w:cs="Arial"/>
          <w:color w:val="000000"/>
          <w:sz w:val="20"/>
          <w:szCs w:val="20"/>
        </w:rPr>
        <w:t xml:space="preserve"> in </w:t>
      </w:r>
      <w:hyperlink r:id="rId11" w:tgtFrame="_blank" w:tooltip="Odlok o dopolnitvi Odloka o ustanovitvi, nalogah in organizaciji Urada Vlade Republike Slovenije za informacijsko varnost" w:history="1">
        <w:r w:rsidRPr="004752FD">
          <w:rPr>
            <w:rFonts w:ascii="Arial" w:hAnsi="Arial" w:cs="Arial"/>
            <w:color w:val="000000"/>
            <w:sz w:val="20"/>
            <w:szCs w:val="20"/>
          </w:rPr>
          <w:t>69/23</w:t>
        </w:r>
      </w:hyperlink>
      <w:r w:rsidRPr="004752FD">
        <w:rPr>
          <w:rFonts w:ascii="Arial" w:hAnsi="Arial" w:cs="Arial"/>
          <w:color w:val="000000"/>
          <w:sz w:val="20"/>
          <w:szCs w:val="20"/>
        </w:rPr>
        <w:t xml:space="preserve">) </w:t>
      </w:r>
      <w:bookmarkEnd w:id="122"/>
      <w:r w:rsidRPr="004752FD">
        <w:rPr>
          <w:rFonts w:ascii="Arial" w:hAnsi="Arial" w:cs="Arial"/>
          <w:color w:val="000000"/>
          <w:sz w:val="20"/>
          <w:szCs w:val="20"/>
        </w:rPr>
        <w:t>s tem zakonom v treh mesecih od njegove uveljavitve.</w:t>
      </w:r>
    </w:p>
    <w:p w14:paraId="06587318"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0A440DCE"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(3) Vlada sprejme strategijo iz 9. člena tega zakona v enem letu od uveljavitve tega zakona.</w:t>
      </w:r>
    </w:p>
    <w:p w14:paraId="6FD24025"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6FF3C100"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rPr>
        <w:t>(4) Vlada sprejme nacionalni načrt odzivanja iz tretjega odstavka 12. člena tega zakona v treh mesecih od uveljavitve tega zakona.</w:t>
      </w:r>
    </w:p>
    <w:bookmarkEnd w:id="121"/>
    <w:p w14:paraId="75401D0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p>
    <w:p w14:paraId="37A765E6" w14:textId="77777777" w:rsidR="00C50F53" w:rsidRPr="004752FD" w:rsidRDefault="00C50F53" w:rsidP="004752FD">
      <w:pPr>
        <w:pStyle w:val="NIS2len"/>
        <w:numPr>
          <w:ilvl w:val="0"/>
          <w:numId w:val="0"/>
        </w:numPr>
        <w:spacing w:before="0" w:line="260" w:lineRule="atLeast"/>
        <w:jc w:val="both"/>
        <w:rPr>
          <w:b w:val="0"/>
          <w:bCs/>
          <w:sz w:val="20"/>
          <w:szCs w:val="20"/>
        </w:rPr>
      </w:pPr>
      <w:bookmarkStart w:id="123" w:name="_Hlk158726041"/>
    </w:p>
    <w:p w14:paraId="2BFCEADE"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0CB16F9"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(spremembe in dopolnitve Zakona o elektronskih komunikacijah)</w:t>
      </w:r>
    </w:p>
    <w:bookmarkEnd w:id="123"/>
    <w:p w14:paraId="2A3D1D82" w14:textId="77777777" w:rsidR="00C50F53" w:rsidRPr="004752FD" w:rsidRDefault="00C50F53" w:rsidP="004752FD">
      <w:pPr>
        <w:pStyle w:val="NIS2len"/>
        <w:numPr>
          <w:ilvl w:val="0"/>
          <w:numId w:val="0"/>
        </w:numPr>
        <w:spacing w:before="0" w:line="260" w:lineRule="atLeast"/>
        <w:jc w:val="both"/>
        <w:rPr>
          <w:sz w:val="20"/>
          <w:szCs w:val="20"/>
        </w:rPr>
      </w:pPr>
    </w:p>
    <w:p w14:paraId="05A1CFE8" w14:textId="77777777" w:rsidR="00C50F53" w:rsidRPr="004752FD" w:rsidRDefault="00C50F53" w:rsidP="004752FD">
      <w:pPr>
        <w:pStyle w:val="NIS2len"/>
        <w:numPr>
          <w:ilvl w:val="0"/>
          <w:numId w:val="0"/>
        </w:numPr>
        <w:spacing w:before="0" w:line="260" w:lineRule="atLeast"/>
        <w:jc w:val="both"/>
        <w:rPr>
          <w:b w:val="0"/>
          <w:bCs/>
          <w:sz w:val="20"/>
          <w:szCs w:val="20"/>
        </w:rPr>
      </w:pPr>
      <w:r w:rsidRPr="004752FD">
        <w:rPr>
          <w:b w:val="0"/>
          <w:bCs/>
          <w:sz w:val="20"/>
          <w:szCs w:val="20"/>
        </w:rPr>
        <w:t>V Zakonu o elektronskih komunikacijah (Uradni list RS, št. 130/22 in 18/23 – ZDU-1O):</w:t>
      </w:r>
    </w:p>
    <w:p w14:paraId="2BB1BC4B" w14:textId="77777777" w:rsidR="00C50F53" w:rsidRPr="004752FD" w:rsidRDefault="00C50F53" w:rsidP="00E20E87">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 xml:space="preserve">se v 115. členu besedilo člena nadomesti z besedilom: </w:t>
      </w:r>
    </w:p>
    <w:p w14:paraId="5C9147E2" w14:textId="77777777" w:rsidR="00C50F53" w:rsidRPr="004752FD" w:rsidRDefault="00C50F53" w:rsidP="0034269C">
      <w:pPr>
        <w:ind w:left="709"/>
        <w:jc w:val="both"/>
        <w:rPr>
          <w:rFonts w:cs="Arial"/>
          <w:bCs/>
          <w:szCs w:val="20"/>
          <w:lang w:val="sl-SI"/>
        </w:rPr>
      </w:pPr>
      <w:r w:rsidRPr="004752FD">
        <w:rPr>
          <w:rFonts w:cs="Arial"/>
          <w:bCs/>
          <w:szCs w:val="20"/>
          <w:lang w:val="sl-SI"/>
        </w:rPr>
        <w:lastRenderedPageBreak/>
        <w:t xml:space="preserve">»(1) Operaterji morajo v skladu z zakonom, ki ureja informacijsko varnost, vzpostaviti in vzdrževati dokumentirana SUVI in SUNP ter pri tem sprejeti ustrezne, učinkovite in sorazmerne tehnične, operativne in organizacijske ukrepe za zagotavljanje celovitosti, avtentičnosti, zaupnosti in razpoložljivosti omrežnih in informacijskih sistemov oziroma za obvladovanje tveganj za varnost omrežnih in informacijskih sistemov, ki jih uporabljajo za svoje delovanje ali opravljanje storitev ter ukrepe za preprečevanje ali zmanjšanje vpliva incidentov na prejemnike svojih storitev in druge storitve. </w:t>
      </w:r>
    </w:p>
    <w:p w14:paraId="4C7FA39C" w14:textId="77777777" w:rsidR="00C50F53" w:rsidRPr="004752FD" w:rsidRDefault="00C50F53" w:rsidP="0034269C">
      <w:pPr>
        <w:ind w:left="709"/>
        <w:jc w:val="both"/>
        <w:rPr>
          <w:rFonts w:cs="Arial"/>
          <w:bCs/>
          <w:szCs w:val="20"/>
          <w:lang w:val="sl-SI"/>
        </w:rPr>
      </w:pPr>
      <w:r w:rsidRPr="004752FD">
        <w:rPr>
          <w:rFonts w:cs="Arial"/>
          <w:bCs/>
          <w:szCs w:val="20"/>
          <w:lang w:val="sl-SI"/>
        </w:rPr>
        <w:t>(2) Operater mora SUVI in SUNP določiti kot poslovno skrivnost.</w:t>
      </w:r>
    </w:p>
    <w:p w14:paraId="57B470D6" w14:textId="77777777" w:rsidR="00C50F53" w:rsidRPr="004752FD" w:rsidRDefault="00C50F53" w:rsidP="0034269C">
      <w:pPr>
        <w:ind w:left="709"/>
        <w:jc w:val="both"/>
        <w:rPr>
          <w:rFonts w:cs="Arial"/>
          <w:bCs/>
          <w:szCs w:val="20"/>
          <w:lang w:val="sl-SI"/>
        </w:rPr>
      </w:pPr>
      <w:r w:rsidRPr="004752FD">
        <w:rPr>
          <w:rFonts w:cs="Arial"/>
          <w:bCs/>
          <w:szCs w:val="20"/>
          <w:lang w:val="sl-SI"/>
        </w:rPr>
        <w:t>(3) V delu, v katerem se SUNP iz prvega odstavka nanaša na zagotavljanje komunikacije v sili, mora biti ta pregledan vsaj enkrat letno. Za njegovo sprejetje in morebitne spremembe ali posodobitve je potrebna predhodna odobritev pristojnih organov, odgovornih za delovanje centrov za sprejem komunikacije v sili.</w:t>
      </w:r>
    </w:p>
    <w:p w14:paraId="4059A16D" w14:textId="77777777" w:rsidR="00C50F53" w:rsidRPr="004752FD" w:rsidRDefault="00C50F53" w:rsidP="0034269C">
      <w:pPr>
        <w:ind w:left="709"/>
        <w:jc w:val="both"/>
        <w:rPr>
          <w:rFonts w:cs="Arial"/>
          <w:bCs/>
          <w:szCs w:val="20"/>
          <w:lang w:val="sl-SI"/>
        </w:rPr>
      </w:pPr>
      <w:r w:rsidRPr="004752FD">
        <w:rPr>
          <w:rFonts w:cs="Arial"/>
          <w:bCs/>
          <w:szCs w:val="20"/>
          <w:lang w:val="sl-SI"/>
        </w:rPr>
        <w:t>(4) Če so zaradi zagotovitve višje ravni kibernetske varnosti ob upoštevanju varnostnih tveganj potrebni tudi sektorsko specifični ukrepi za operaterje, agencija izda splošni akt, s katerim predpiše posebne tehnične usmeritve ter tehnične in organizacijske ukrepe, pri čemer upošteva tudi dokumente ali tehnična priporočila agencije ENISA ter smernice Evropske komisije. Pri sprejetju splošnega akta agencija sodeluje z organom, pristojnim za informacijsko varnost.«;</w:t>
      </w:r>
    </w:p>
    <w:p w14:paraId="4992AAB7"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116. členu v četrtem odstavku v prvem stavku besedilo »tretjega odstavka prejšnjega člena« nadomesti z besedilom »v skladu s prejšnjim členom«;</w:t>
      </w:r>
    </w:p>
    <w:p w14:paraId="1AABF956"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 xml:space="preserve">se v 123. členu v prvem odstavku za zaklepajem doda besedilo »po tem zakonu« in za prvim stavkom doda besedilo, ki se glasi: »Revizija varnosti po tem zakonu ne vključuje primerov iz prvega odstavka 115. člena tega zakona, ki poteka v skladu z zakonom, ki ureja informacijsko varnost. Agencija lahko pri </w:t>
      </w:r>
      <w:r w:rsidRPr="004752FD">
        <w:rPr>
          <w:rFonts w:cs="Arial"/>
          <w:szCs w:val="20"/>
          <w:lang w:val="sl-SI"/>
        </w:rPr>
        <w:t xml:space="preserve">zahtevi za revizijo in </w:t>
      </w:r>
      <w:r w:rsidRPr="004752FD">
        <w:rPr>
          <w:rFonts w:cs="Arial"/>
          <w:bCs/>
          <w:szCs w:val="20"/>
          <w:lang w:val="sl-SI"/>
        </w:rPr>
        <w:t>pregledu rezultatov revizije, ki jih zahteva, zaprosi za pomoč pristojni nacionalni organ iz zakona, ki ureja informacijsko varnost.«;</w:t>
      </w:r>
    </w:p>
    <w:p w14:paraId="52891D53"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124. členu v četrtem odstavku besedilo »se uporablja določba petega odstavka 115. člena tega zakona« nadomesti z besedilom »mora biti ta pregledan vsaj enkrat letno. Za njegovo sprejetje in spremembe ali posodobitve je potrebna predhodna odobritev pristojnih organov, odgovornih za delovanje centrov za sprejem komunikacije v sili.«;</w:t>
      </w:r>
    </w:p>
    <w:p w14:paraId="7136E51F"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128. členu besedilo »določb 120. in 121.« nadomesti z besedilom »razen prvega odstavka 115.«, poleg tega se na koncu doda nov stavek, ki se glasi: »Agencija nadzira tudi izvajanje odločbe iz prvega odstavka 117. člena tega zakona«;</w:t>
      </w:r>
    </w:p>
    <w:p w14:paraId="6200CCA6"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287. členu v prvem odstavku v prvem stavku črta besedilo »ali organa, pristojnega za informacijsko varnost na podlagi 128. člena tega zakona«, besedilo tretjega stavka pa se nadomesti z besedilom »Agencija izvaja tudi nadzor nad izvajanjem odločbe vlade iz prvega odstavka 117. člena tega zakona.«;</w:t>
      </w:r>
    </w:p>
    <w:p w14:paraId="53B7D5D8"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288. členu za besedilom »po tem zakonu« doda besedilo »in po zakonu, ki ureja informacijsko varnost«;</w:t>
      </w:r>
    </w:p>
    <w:p w14:paraId="4E939BA1"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289. členu črta tretji odstavek;</w:t>
      </w:r>
    </w:p>
    <w:p w14:paraId="0FC6595D"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298. členu doda nova prva točka, ki se glasi »ne izvede odločbe vlade iz prvega odstavka 117. člena tega zakona,«, dosedanje prva do deseta točka postanejo druga do enajsta točka;</w:t>
      </w:r>
    </w:p>
    <w:p w14:paraId="475F1183" w14:textId="77777777" w:rsidR="00C50F53" w:rsidRPr="004752FD" w:rsidRDefault="00C50F53" w:rsidP="0034269C">
      <w:pPr>
        <w:numPr>
          <w:ilvl w:val="0"/>
          <w:numId w:val="73"/>
        </w:numPr>
        <w:overflowPunct w:val="0"/>
        <w:autoSpaceDE w:val="0"/>
        <w:autoSpaceDN w:val="0"/>
        <w:adjustRightInd w:val="0"/>
        <w:spacing w:line="240" w:lineRule="auto"/>
        <w:ind w:hanging="294"/>
        <w:jc w:val="both"/>
        <w:textAlignment w:val="baseline"/>
        <w:rPr>
          <w:rFonts w:cs="Arial"/>
          <w:bCs/>
          <w:szCs w:val="20"/>
          <w:lang w:val="sl-SI"/>
        </w:rPr>
      </w:pPr>
      <w:r w:rsidRPr="004752FD">
        <w:rPr>
          <w:rFonts w:cs="Arial"/>
          <w:bCs/>
          <w:szCs w:val="20"/>
          <w:lang w:val="sl-SI"/>
        </w:rPr>
        <w:t>se v 299. členu:</w:t>
      </w:r>
    </w:p>
    <w:p w14:paraId="252FA86E" w14:textId="77777777" w:rsidR="00C50F53" w:rsidRPr="004752FD" w:rsidRDefault="00C50F53" w:rsidP="0034269C">
      <w:pPr>
        <w:numPr>
          <w:ilvl w:val="0"/>
          <w:numId w:val="93"/>
        </w:numPr>
        <w:overflowPunct w:val="0"/>
        <w:autoSpaceDE w:val="0"/>
        <w:autoSpaceDN w:val="0"/>
        <w:adjustRightInd w:val="0"/>
        <w:spacing w:line="240" w:lineRule="auto"/>
        <w:ind w:left="1208" w:hanging="357"/>
        <w:jc w:val="both"/>
        <w:textAlignment w:val="baseline"/>
        <w:rPr>
          <w:rFonts w:cs="Arial"/>
          <w:bCs/>
          <w:szCs w:val="20"/>
          <w:lang w:val="sl-SI"/>
        </w:rPr>
      </w:pPr>
      <w:r w:rsidRPr="004752FD">
        <w:rPr>
          <w:rFonts w:cs="Arial"/>
          <w:bCs/>
          <w:szCs w:val="20"/>
          <w:lang w:val="sl-SI"/>
        </w:rPr>
        <w:t>22. točka spremeni tako, da se glasi: »22. ne določi SUVI ali SUNP kot poslovno skrivnost v skladu z drugim odstavkom 115. člena tega zakona,«;</w:t>
      </w:r>
    </w:p>
    <w:p w14:paraId="305D55A2" w14:textId="77777777" w:rsidR="00C50F53" w:rsidRPr="004752FD" w:rsidRDefault="00C50F53" w:rsidP="0034269C">
      <w:pPr>
        <w:numPr>
          <w:ilvl w:val="0"/>
          <w:numId w:val="93"/>
        </w:numPr>
        <w:overflowPunct w:val="0"/>
        <w:autoSpaceDE w:val="0"/>
        <w:autoSpaceDN w:val="0"/>
        <w:adjustRightInd w:val="0"/>
        <w:spacing w:line="240" w:lineRule="auto"/>
        <w:ind w:left="1208" w:hanging="357"/>
        <w:jc w:val="both"/>
        <w:textAlignment w:val="baseline"/>
        <w:rPr>
          <w:rFonts w:cs="Arial"/>
          <w:bCs/>
          <w:szCs w:val="20"/>
          <w:lang w:val="sl-SI"/>
        </w:rPr>
      </w:pPr>
      <w:r w:rsidRPr="004752FD">
        <w:rPr>
          <w:rFonts w:cs="Arial"/>
          <w:bCs/>
          <w:szCs w:val="20"/>
          <w:lang w:val="sl-SI"/>
        </w:rPr>
        <w:t>23. točka spremeni tako, da se glasi: »23. ne sprejme, pregleduje ali posodobi SUNP v delu, ki se nanaša na komunikacije v sili, s predhodno odobritvijo pristojnih organov, ki so odgovorni za delovanje centrov za sprejem komunikacije v sili, v skladu s tretjim odstavkom 115. člena tega zakona,«;</w:t>
      </w:r>
    </w:p>
    <w:p w14:paraId="07AB013F" w14:textId="77777777" w:rsidR="00C50F53" w:rsidRPr="004752FD" w:rsidRDefault="00C50F53" w:rsidP="0034269C">
      <w:pPr>
        <w:numPr>
          <w:ilvl w:val="0"/>
          <w:numId w:val="93"/>
        </w:numPr>
        <w:overflowPunct w:val="0"/>
        <w:autoSpaceDE w:val="0"/>
        <w:autoSpaceDN w:val="0"/>
        <w:adjustRightInd w:val="0"/>
        <w:spacing w:line="240" w:lineRule="auto"/>
        <w:ind w:left="1208" w:hanging="357"/>
        <w:jc w:val="both"/>
        <w:textAlignment w:val="baseline"/>
        <w:rPr>
          <w:rFonts w:cs="Arial"/>
          <w:bCs/>
          <w:szCs w:val="20"/>
          <w:lang w:val="sl-SI"/>
        </w:rPr>
      </w:pPr>
      <w:r w:rsidRPr="004752FD">
        <w:rPr>
          <w:rFonts w:cs="Arial"/>
          <w:bCs/>
          <w:szCs w:val="20"/>
          <w:lang w:val="sl-SI"/>
        </w:rPr>
        <w:t>24. točka spremeni tako, da se glasi: »24. ne upošteva splošnega akta agencije iz četrtega odstavka 115. člena tega zakona.«;</w:t>
      </w:r>
    </w:p>
    <w:p w14:paraId="465B75C0" w14:textId="77777777" w:rsidR="00C50F53" w:rsidRPr="004752FD" w:rsidRDefault="00C50F53" w:rsidP="0034269C">
      <w:pPr>
        <w:numPr>
          <w:ilvl w:val="0"/>
          <w:numId w:val="93"/>
        </w:numPr>
        <w:overflowPunct w:val="0"/>
        <w:autoSpaceDE w:val="0"/>
        <w:autoSpaceDN w:val="0"/>
        <w:adjustRightInd w:val="0"/>
        <w:spacing w:line="240" w:lineRule="auto"/>
        <w:ind w:left="1208" w:hanging="357"/>
        <w:jc w:val="both"/>
        <w:textAlignment w:val="baseline"/>
        <w:rPr>
          <w:rFonts w:cs="Arial"/>
          <w:bCs/>
          <w:szCs w:val="20"/>
          <w:lang w:val="sl-SI"/>
        </w:rPr>
      </w:pPr>
      <w:r w:rsidRPr="004752FD">
        <w:rPr>
          <w:rFonts w:cs="Arial"/>
          <w:bCs/>
          <w:szCs w:val="20"/>
          <w:lang w:val="sl-SI"/>
        </w:rPr>
        <w:t>črtajo 26., 27., 28. in 29. točka, dosedanje 30. do 119. točka postanejo 26. do 115. točka.</w:t>
      </w:r>
    </w:p>
    <w:p w14:paraId="3DC11281" w14:textId="77777777" w:rsidR="00C50F53" w:rsidRPr="004752FD" w:rsidRDefault="00C50F53" w:rsidP="0034269C">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14:paraId="32EFAAD7" w14:textId="77777777" w:rsidR="00C50F53" w:rsidRPr="004752FD" w:rsidRDefault="00C50F53" w:rsidP="004752FD">
      <w:pPr>
        <w:rPr>
          <w:rFonts w:cs="Arial"/>
          <w:bCs/>
          <w:szCs w:val="20"/>
          <w:lang w:val="sl-SI"/>
        </w:rPr>
      </w:pPr>
    </w:p>
    <w:p w14:paraId="570B42B2" w14:textId="77777777" w:rsidR="0034269C" w:rsidRDefault="0034269C">
      <w:pPr>
        <w:spacing w:line="240" w:lineRule="auto"/>
        <w:rPr>
          <w:rFonts w:cs="Arial"/>
          <w:b/>
          <w:szCs w:val="20"/>
          <w:lang w:val="sl-SI" w:eastAsia="sl-SI"/>
        </w:rPr>
      </w:pPr>
      <w:r>
        <w:rPr>
          <w:szCs w:val="20"/>
        </w:rPr>
        <w:br w:type="page"/>
      </w:r>
    </w:p>
    <w:p w14:paraId="2F79DAFD" w14:textId="5A42FDB1" w:rsidR="00C50F53" w:rsidRPr="004752FD" w:rsidRDefault="00C50F53" w:rsidP="004752FD">
      <w:pPr>
        <w:pStyle w:val="NIS2len"/>
        <w:spacing w:before="0" w:line="260" w:lineRule="atLeast"/>
        <w:ind w:left="0" w:firstLine="0"/>
        <w:rPr>
          <w:sz w:val="20"/>
          <w:szCs w:val="20"/>
        </w:rPr>
      </w:pPr>
      <w:r w:rsidRPr="004752FD">
        <w:rPr>
          <w:sz w:val="20"/>
          <w:szCs w:val="20"/>
        </w:rPr>
        <w:lastRenderedPageBreak/>
        <w:t>člen</w:t>
      </w:r>
    </w:p>
    <w:p w14:paraId="70D2F06D"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(dopolnitev Zakona o dostopu do informacij javnega značaja)</w:t>
      </w:r>
    </w:p>
    <w:p w14:paraId="675E819A" w14:textId="77777777" w:rsidR="00C50F53" w:rsidRPr="004752FD" w:rsidRDefault="00C50F53" w:rsidP="004752FD">
      <w:pPr>
        <w:pStyle w:val="NIS2len"/>
        <w:numPr>
          <w:ilvl w:val="0"/>
          <w:numId w:val="0"/>
        </w:numPr>
        <w:spacing w:before="0" w:line="260" w:lineRule="atLeast"/>
        <w:jc w:val="both"/>
        <w:rPr>
          <w:sz w:val="20"/>
          <w:szCs w:val="20"/>
        </w:rPr>
      </w:pPr>
    </w:p>
    <w:p w14:paraId="2F9EE277" w14:textId="77777777" w:rsidR="00C50F53" w:rsidRPr="004752FD" w:rsidRDefault="00C50F53" w:rsidP="004752FD">
      <w:pPr>
        <w:pStyle w:val="lennaslov0"/>
        <w:spacing w:line="260" w:lineRule="atLeast"/>
        <w:jc w:val="both"/>
        <w:rPr>
          <w:rFonts w:cs="Arial"/>
          <w:b w:val="0"/>
          <w:sz w:val="20"/>
          <w:szCs w:val="20"/>
        </w:rPr>
      </w:pPr>
      <w:r w:rsidRPr="004752FD">
        <w:rPr>
          <w:rFonts w:cs="Arial"/>
          <w:b w:val="0"/>
          <w:sz w:val="20"/>
          <w:szCs w:val="20"/>
        </w:rPr>
        <w:t xml:space="preserve">V Zakonu o dostopu do informacij javnega značaja (Uradni list RS, št. 51/06 – uradno prečiščeno besedilo, 117/06 – ZDavP-2, 23/14, 50/14, 19/15 – odl. US, 102/15, 7/18 in 141/22) se v prvem odstavku 6. člena na koncu 11. točke pika nadomesti s podpičjem in se doda 12. točka, ki se glasi: </w:t>
      </w:r>
    </w:p>
    <w:p w14:paraId="7D62A9D2" w14:textId="77777777" w:rsidR="00C50F53" w:rsidRPr="004752FD" w:rsidRDefault="00C50F53" w:rsidP="004752FD">
      <w:pPr>
        <w:pStyle w:val="lennaslov0"/>
        <w:spacing w:line="260" w:lineRule="atLeast"/>
        <w:jc w:val="both"/>
        <w:rPr>
          <w:rFonts w:cs="Arial"/>
          <w:b w:val="0"/>
          <w:sz w:val="20"/>
          <w:szCs w:val="20"/>
        </w:rPr>
      </w:pPr>
      <w:r w:rsidRPr="004752FD">
        <w:rPr>
          <w:rFonts w:cs="Arial"/>
          <w:b w:val="0"/>
          <w:sz w:val="20"/>
          <w:szCs w:val="20"/>
        </w:rPr>
        <w:t>»12. podatek, ki je opredeljen kot varovani podatek pristojnega nacionalnega organa v skladu z zakonom, ki ureja informacijsko varnost.«.</w:t>
      </w:r>
    </w:p>
    <w:p w14:paraId="4D19DF24" w14:textId="77777777" w:rsidR="00C50F53" w:rsidRPr="004752FD" w:rsidRDefault="00C50F53" w:rsidP="004752FD">
      <w:pPr>
        <w:pStyle w:val="NIS2len"/>
        <w:numPr>
          <w:ilvl w:val="0"/>
          <w:numId w:val="0"/>
        </w:numPr>
        <w:spacing w:before="0" w:line="260" w:lineRule="atLeast"/>
        <w:jc w:val="both"/>
        <w:rPr>
          <w:sz w:val="20"/>
          <w:szCs w:val="20"/>
        </w:rPr>
      </w:pPr>
    </w:p>
    <w:p w14:paraId="22CB9A60" w14:textId="77777777" w:rsidR="00E20E87" w:rsidRPr="004752FD" w:rsidRDefault="00E20E87" w:rsidP="004752FD">
      <w:pPr>
        <w:pStyle w:val="NIS2len"/>
        <w:numPr>
          <w:ilvl w:val="0"/>
          <w:numId w:val="0"/>
        </w:numPr>
        <w:spacing w:before="0" w:line="260" w:lineRule="atLeast"/>
        <w:jc w:val="both"/>
        <w:rPr>
          <w:sz w:val="20"/>
          <w:szCs w:val="20"/>
        </w:rPr>
      </w:pPr>
    </w:p>
    <w:p w14:paraId="28BB7445" w14:textId="77777777" w:rsidR="00C50F53" w:rsidRPr="004752FD" w:rsidRDefault="00C50F53" w:rsidP="004752FD">
      <w:pPr>
        <w:pStyle w:val="NIS2len"/>
        <w:spacing w:before="0" w:line="260" w:lineRule="atLeast"/>
        <w:ind w:left="0" w:firstLine="0"/>
        <w:rPr>
          <w:sz w:val="20"/>
          <w:szCs w:val="20"/>
        </w:rPr>
      </w:pPr>
      <w:bookmarkStart w:id="124" w:name="_Hlk145438366"/>
      <w:r w:rsidRPr="004752FD">
        <w:rPr>
          <w:sz w:val="20"/>
          <w:szCs w:val="20"/>
        </w:rPr>
        <w:t>člen</w:t>
      </w:r>
    </w:p>
    <w:p w14:paraId="3A684D6A"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(sprememba Zakona o varstvu osebnih podatkov)</w:t>
      </w:r>
    </w:p>
    <w:p w14:paraId="4E6EA6E3" w14:textId="77777777" w:rsidR="00C50F53" w:rsidRPr="004752FD" w:rsidRDefault="00C50F53" w:rsidP="004752FD">
      <w:pPr>
        <w:pStyle w:val="NIS2len"/>
        <w:numPr>
          <w:ilvl w:val="0"/>
          <w:numId w:val="0"/>
        </w:numPr>
        <w:spacing w:before="0" w:line="260" w:lineRule="atLeast"/>
        <w:jc w:val="both"/>
        <w:rPr>
          <w:sz w:val="20"/>
          <w:szCs w:val="20"/>
        </w:rPr>
      </w:pPr>
    </w:p>
    <w:p w14:paraId="060521F8" w14:textId="77777777" w:rsidR="00C50F53" w:rsidRPr="004752FD" w:rsidRDefault="00C50F53" w:rsidP="004752FD">
      <w:pPr>
        <w:pStyle w:val="NIS2len"/>
        <w:numPr>
          <w:ilvl w:val="0"/>
          <w:numId w:val="0"/>
        </w:numPr>
        <w:spacing w:before="0" w:line="260" w:lineRule="atLeast"/>
        <w:jc w:val="both"/>
        <w:rPr>
          <w:b w:val="0"/>
          <w:bCs/>
          <w:sz w:val="20"/>
          <w:szCs w:val="20"/>
        </w:rPr>
      </w:pPr>
      <w:r w:rsidRPr="004752FD">
        <w:rPr>
          <w:b w:val="0"/>
          <w:bCs/>
          <w:sz w:val="20"/>
          <w:szCs w:val="20"/>
        </w:rPr>
        <w:t>V Zakonu o varstvu osebnih podatkov (Uradni list RS, št. 163/22) se v 23. členu v prvem odstavku besedilo »izvajalce bistvenih storitev« nadomesti z besedilom »bistvene subjekte«.</w:t>
      </w:r>
    </w:p>
    <w:p w14:paraId="0DF4CFDC" w14:textId="77777777" w:rsidR="00C50F53" w:rsidRPr="004752FD" w:rsidRDefault="00C50F53" w:rsidP="004752FD">
      <w:pPr>
        <w:pStyle w:val="NIS2len"/>
        <w:numPr>
          <w:ilvl w:val="0"/>
          <w:numId w:val="0"/>
        </w:numPr>
        <w:spacing w:before="0" w:line="260" w:lineRule="atLeast"/>
        <w:jc w:val="both"/>
        <w:rPr>
          <w:b w:val="0"/>
          <w:bCs/>
          <w:sz w:val="20"/>
          <w:szCs w:val="20"/>
        </w:rPr>
      </w:pPr>
    </w:p>
    <w:p w14:paraId="03D6D735" w14:textId="77777777" w:rsidR="00C50F53" w:rsidRPr="004752FD" w:rsidRDefault="00C50F53" w:rsidP="004752FD">
      <w:pPr>
        <w:rPr>
          <w:rFonts w:cs="Arial"/>
          <w:bCs/>
          <w:szCs w:val="20"/>
          <w:lang w:val="sl-SI"/>
        </w:rPr>
      </w:pPr>
    </w:p>
    <w:bookmarkEnd w:id="124"/>
    <w:p w14:paraId="640ACD24" w14:textId="77777777" w:rsidR="00C50F53" w:rsidRPr="004752FD" w:rsidRDefault="00C50F53" w:rsidP="004752FD">
      <w:pPr>
        <w:pStyle w:val="NIS2len"/>
        <w:spacing w:before="0" w:line="260" w:lineRule="atLeast"/>
        <w:ind w:left="0" w:firstLine="0"/>
        <w:rPr>
          <w:sz w:val="20"/>
          <w:szCs w:val="20"/>
        </w:rPr>
      </w:pPr>
      <w:r w:rsidRPr="004752FD">
        <w:rPr>
          <w:sz w:val="20"/>
          <w:szCs w:val="20"/>
        </w:rPr>
        <w:t xml:space="preserve"> člen</w:t>
      </w:r>
    </w:p>
    <w:p w14:paraId="0D6CC376" w14:textId="77777777" w:rsidR="00C50F53"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(dokončanje postopkov, začetih pred uporabo tega zakona)</w:t>
      </w:r>
    </w:p>
    <w:p w14:paraId="3CE4FB8B" w14:textId="77777777" w:rsidR="0034269C" w:rsidRPr="004752FD" w:rsidRDefault="0034269C" w:rsidP="004752FD">
      <w:pPr>
        <w:shd w:val="clear" w:color="auto" w:fill="FFFFFF"/>
        <w:spacing w:line="260" w:lineRule="atLeast"/>
        <w:jc w:val="center"/>
        <w:rPr>
          <w:rFonts w:cs="Arial"/>
          <w:b/>
          <w:bCs/>
          <w:color w:val="000000"/>
          <w:szCs w:val="20"/>
          <w:lang w:val="sl-SI"/>
        </w:rPr>
      </w:pPr>
    </w:p>
    <w:p w14:paraId="20933021" w14:textId="77777777" w:rsidR="00C50F53" w:rsidRPr="004752FD" w:rsidRDefault="00C50F53" w:rsidP="004752FD">
      <w:pPr>
        <w:spacing w:line="260" w:lineRule="atLeast"/>
        <w:rPr>
          <w:rFonts w:cs="Arial"/>
          <w:color w:val="000000"/>
          <w:szCs w:val="20"/>
          <w:lang w:val="sl-SI"/>
        </w:rPr>
      </w:pPr>
      <w:r w:rsidRPr="004752FD">
        <w:rPr>
          <w:rFonts w:cs="Arial"/>
          <w:color w:val="000000"/>
          <w:szCs w:val="20"/>
          <w:lang w:val="sl-SI"/>
        </w:rPr>
        <w:t>Upravni in inšpekcijski postopki, ki do začetka uporabe tega zakona še niso bili pravnomočno končani, se končajo v skladu z dosedanjimi predpisi.</w:t>
      </w:r>
    </w:p>
    <w:p w14:paraId="49AA268C" w14:textId="77777777" w:rsidR="00C50F53" w:rsidRPr="004752FD" w:rsidRDefault="00C50F53" w:rsidP="004752FD">
      <w:pPr>
        <w:rPr>
          <w:rFonts w:cs="Arial"/>
          <w:bCs/>
          <w:szCs w:val="20"/>
          <w:lang w:val="sl-SI"/>
        </w:rPr>
      </w:pPr>
    </w:p>
    <w:p w14:paraId="1F95AA6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14:paraId="4BB79161" w14:textId="77777777" w:rsidR="00C50F53" w:rsidRPr="004752FD" w:rsidRDefault="00C50F53" w:rsidP="00E20E87">
      <w:pPr>
        <w:pStyle w:val="NIS2naslovpoglavja"/>
        <w:numPr>
          <w:ilvl w:val="0"/>
          <w:numId w:val="64"/>
        </w:numPr>
        <w:rPr>
          <w:sz w:val="20"/>
          <w:szCs w:val="20"/>
        </w:rPr>
      </w:pPr>
      <w:bookmarkStart w:id="125" w:name="_Hlk185523733"/>
      <w:r w:rsidRPr="004752FD">
        <w:rPr>
          <w:sz w:val="20"/>
          <w:szCs w:val="20"/>
        </w:rPr>
        <w:t>Končni določbi</w:t>
      </w:r>
    </w:p>
    <w:p w14:paraId="5C510D27" w14:textId="77777777" w:rsidR="00C50F53" w:rsidRPr="004752FD" w:rsidRDefault="00C50F53" w:rsidP="004752FD">
      <w:pPr>
        <w:pStyle w:val="NIS2naslovpoglavja"/>
        <w:numPr>
          <w:ilvl w:val="0"/>
          <w:numId w:val="0"/>
        </w:numPr>
        <w:jc w:val="both"/>
        <w:rPr>
          <w:sz w:val="20"/>
          <w:szCs w:val="20"/>
        </w:rPr>
      </w:pPr>
    </w:p>
    <w:p w14:paraId="2C7285FC" w14:textId="77777777" w:rsidR="00C50F53" w:rsidRPr="004752FD" w:rsidRDefault="00C50F53" w:rsidP="004752FD">
      <w:pPr>
        <w:pStyle w:val="NIS2naslovpoglavja"/>
        <w:numPr>
          <w:ilvl w:val="0"/>
          <w:numId w:val="0"/>
        </w:numPr>
        <w:jc w:val="both"/>
        <w:rPr>
          <w:sz w:val="20"/>
          <w:szCs w:val="20"/>
        </w:rPr>
      </w:pPr>
    </w:p>
    <w:p w14:paraId="408ACED7"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282DF416" w14:textId="77777777" w:rsidR="00C50F53" w:rsidRPr="004752FD" w:rsidRDefault="00C50F53" w:rsidP="004752FD">
      <w:pPr>
        <w:pStyle w:val="NIS2len"/>
        <w:numPr>
          <w:ilvl w:val="0"/>
          <w:numId w:val="0"/>
        </w:numPr>
        <w:spacing w:before="0" w:line="260" w:lineRule="atLeast"/>
        <w:rPr>
          <w:sz w:val="20"/>
          <w:szCs w:val="20"/>
        </w:rPr>
      </w:pPr>
      <w:r w:rsidRPr="004752FD">
        <w:rPr>
          <w:sz w:val="20"/>
          <w:szCs w:val="20"/>
        </w:rPr>
        <w:t>(prenehanje veljavnosti in podaljšanje uporabe)</w:t>
      </w:r>
    </w:p>
    <w:p w14:paraId="05F9ABA4"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14:paraId="563A562B"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 xml:space="preserve">(1) Z dnem uveljavitve tega zakona preneha veljati </w:t>
      </w:r>
      <w:r w:rsidRPr="004752FD">
        <w:rPr>
          <w:rFonts w:ascii="Arial" w:hAnsi="Arial" w:cs="Arial"/>
          <w:color w:val="000000"/>
          <w:sz w:val="20"/>
          <w:szCs w:val="20"/>
        </w:rPr>
        <w:t>Zakon o informacijski varnosti (Uradni list RS, št. </w:t>
      </w:r>
      <w:hyperlink r:id="rId12" w:tgtFrame="_blank" w:tooltip="Zakon o informacijski varnosti (ZInfV)" w:history="1">
        <w:r w:rsidRPr="004752FD">
          <w:rPr>
            <w:rFonts w:ascii="Arial" w:hAnsi="Arial" w:cs="Arial"/>
            <w:color w:val="000000"/>
            <w:sz w:val="20"/>
            <w:szCs w:val="20"/>
          </w:rPr>
          <w:t>30/18</w:t>
        </w:r>
      </w:hyperlink>
      <w:r w:rsidRPr="004752FD">
        <w:rPr>
          <w:rFonts w:ascii="Arial" w:hAnsi="Arial" w:cs="Arial"/>
          <w:color w:val="000000"/>
          <w:sz w:val="20"/>
          <w:szCs w:val="20"/>
        </w:rPr>
        <w:t>, </w:t>
      </w:r>
      <w:hyperlink r:id="rId13" w:tgtFrame="_blank" w:tooltip="Zakon o spremembah in dopolnitvi Zakona o informacijski varnosti" w:history="1">
        <w:r w:rsidRPr="004752FD">
          <w:rPr>
            <w:rFonts w:ascii="Arial" w:hAnsi="Arial" w:cs="Arial"/>
            <w:color w:val="000000"/>
            <w:sz w:val="20"/>
            <w:szCs w:val="20"/>
          </w:rPr>
          <w:t>95/21</w:t>
        </w:r>
      </w:hyperlink>
      <w:r w:rsidRPr="004752FD">
        <w:rPr>
          <w:rFonts w:ascii="Arial" w:hAnsi="Arial" w:cs="Arial"/>
          <w:color w:val="000000"/>
          <w:sz w:val="20"/>
          <w:szCs w:val="20"/>
        </w:rPr>
        <w:t>, </w:t>
      </w:r>
      <w:hyperlink r:id="rId14" w:tgtFrame="_blank" w:tooltip="Zakon o elektronskih komunikacijah" w:history="1">
        <w:r w:rsidRPr="004752FD">
          <w:rPr>
            <w:rFonts w:ascii="Arial" w:hAnsi="Arial" w:cs="Arial"/>
            <w:color w:val="000000"/>
            <w:sz w:val="20"/>
            <w:szCs w:val="20"/>
          </w:rPr>
          <w:t>130/22</w:t>
        </w:r>
      </w:hyperlink>
      <w:r w:rsidRPr="004752FD">
        <w:rPr>
          <w:rFonts w:ascii="Arial" w:hAnsi="Arial" w:cs="Arial"/>
          <w:color w:val="000000"/>
          <w:sz w:val="20"/>
          <w:szCs w:val="20"/>
        </w:rPr>
        <w:t> – ZEKom-2, </w:t>
      </w:r>
      <w:hyperlink r:id="rId15" w:tgtFrame="_blank" w:tooltip="Zakon o spremembah in dopolnitvah Zakona o državni upravi" w:history="1">
        <w:r w:rsidRPr="004752FD">
          <w:rPr>
            <w:rFonts w:ascii="Arial" w:hAnsi="Arial" w:cs="Arial"/>
            <w:color w:val="000000"/>
            <w:sz w:val="20"/>
            <w:szCs w:val="20"/>
          </w:rPr>
          <w:t>18/23</w:t>
        </w:r>
      </w:hyperlink>
      <w:r w:rsidRPr="004752FD">
        <w:rPr>
          <w:rFonts w:ascii="Arial" w:hAnsi="Arial" w:cs="Arial"/>
          <w:color w:val="000000"/>
          <w:sz w:val="20"/>
          <w:szCs w:val="20"/>
        </w:rPr>
        <w:t> – ZDU-1O in </w:t>
      </w:r>
      <w:hyperlink r:id="rId16" w:tgtFrame="_blank" w:tooltip="Zakon o spremembah in dopolnitvah Zakona o informacijski varnosti" w:history="1">
        <w:r w:rsidRPr="004752FD">
          <w:rPr>
            <w:rFonts w:ascii="Arial" w:hAnsi="Arial" w:cs="Arial"/>
            <w:color w:val="000000"/>
            <w:sz w:val="20"/>
            <w:szCs w:val="20"/>
          </w:rPr>
          <w:t>49/23</w:t>
        </w:r>
      </w:hyperlink>
      <w:r w:rsidRPr="004752FD">
        <w:rPr>
          <w:rFonts w:ascii="Arial" w:hAnsi="Arial" w:cs="Arial"/>
          <w:color w:val="000000"/>
          <w:sz w:val="20"/>
          <w:szCs w:val="20"/>
        </w:rPr>
        <w:t xml:space="preserve">). </w:t>
      </w:r>
    </w:p>
    <w:p w14:paraId="1708942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14:paraId="3F29530C"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rPr>
      </w:pPr>
      <w:r w:rsidRPr="004752FD">
        <w:rPr>
          <w:rFonts w:ascii="Arial" w:hAnsi="Arial" w:cs="Arial"/>
          <w:color w:val="000000"/>
          <w:sz w:val="20"/>
          <w:szCs w:val="20"/>
          <w:shd w:val="clear" w:color="auto" w:fill="FFFFFF"/>
        </w:rPr>
        <w:t>(2) Z dnem uveljavitve tega zakona prenehajo veljati:</w:t>
      </w:r>
    </w:p>
    <w:p w14:paraId="2F63BEE3"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firstLine="0"/>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Uredba o določitvi bistvenih storitev in podrobnejši metodologiji za določitev izvajalcev bistvenih storitev (Uradni list RS, št. 39/19),</w:t>
      </w:r>
    </w:p>
    <w:p w14:paraId="209EE7E7"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firstLine="0"/>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Uredba o varnostni dokumentaciji in varnostnih ukrepih izvajalcev bistvenih storitev (Uradni list RS, št. </w:t>
      </w:r>
      <w:hyperlink r:id="rId17" w:tgtFrame="_blank" w:tooltip="Uredba o varnostni dokumentaciji in varnostnih ukrepih izvajalcev bistvenih storitev" w:history="1">
        <w:r w:rsidRPr="004752FD">
          <w:rPr>
            <w:rFonts w:ascii="Arial" w:hAnsi="Arial" w:cs="Arial"/>
            <w:color w:val="000000"/>
            <w:sz w:val="20"/>
            <w:szCs w:val="20"/>
            <w:shd w:val="clear" w:color="auto" w:fill="FFFFFF"/>
          </w:rPr>
          <w:t>8/23</w:t>
        </w:r>
      </w:hyperlink>
      <w:r w:rsidRPr="004752FD">
        <w:rPr>
          <w:rFonts w:ascii="Arial" w:hAnsi="Arial" w:cs="Arial"/>
          <w:color w:val="000000"/>
          <w:sz w:val="20"/>
          <w:szCs w:val="20"/>
          <w:shd w:val="clear" w:color="auto" w:fill="FFFFFF"/>
        </w:rPr>
        <w:t>),</w:t>
      </w:r>
    </w:p>
    <w:p w14:paraId="0B334FCE"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firstLine="0"/>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Uredba o varnostni dokumentaciji in varnostnih ukrepih organov državne uprave (Uradni list RS, št. </w:t>
      </w:r>
      <w:hyperlink r:id="rId18" w:tgtFrame="_blank" w:tooltip="Uredba o varnostni dokumentaciji in varnostnih ukrepih organov državne uprave" w:history="1">
        <w:r w:rsidRPr="004752FD">
          <w:rPr>
            <w:rFonts w:ascii="Arial" w:hAnsi="Arial" w:cs="Arial"/>
            <w:color w:val="000000"/>
            <w:sz w:val="20"/>
            <w:szCs w:val="20"/>
            <w:shd w:val="clear" w:color="auto" w:fill="FFFFFF"/>
          </w:rPr>
          <w:t>98/23</w:t>
        </w:r>
      </w:hyperlink>
      <w:r w:rsidRPr="004752FD">
        <w:rPr>
          <w:rFonts w:ascii="Arial" w:hAnsi="Arial" w:cs="Arial"/>
          <w:color w:val="000000"/>
          <w:sz w:val="20"/>
          <w:szCs w:val="20"/>
          <w:shd w:val="clear" w:color="auto" w:fill="FFFFFF"/>
        </w:rPr>
        <w:t>),</w:t>
      </w:r>
    </w:p>
    <w:p w14:paraId="4A893EDE"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firstLine="0"/>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Uredba o varnostni dokumentaciji in minimalnih varnostnih ukrepih povezanih subjektov (Uradni list RS, št. 118/23).</w:t>
      </w:r>
    </w:p>
    <w:p w14:paraId="0E3DAADC" w14:textId="77777777" w:rsidR="00C50F53" w:rsidRPr="004752FD" w:rsidRDefault="00C50F53" w:rsidP="004752FD">
      <w:pPr>
        <w:pStyle w:val="poglavje0"/>
        <w:shd w:val="clear" w:color="auto" w:fill="FFFFFF"/>
        <w:spacing w:before="0" w:beforeAutospacing="0" w:after="0" w:afterAutospacing="0" w:line="260" w:lineRule="atLeast"/>
        <w:ind w:left="1494"/>
        <w:jc w:val="both"/>
        <w:rPr>
          <w:rFonts w:ascii="Arial" w:hAnsi="Arial" w:cs="Arial"/>
          <w:color w:val="000000"/>
          <w:sz w:val="20"/>
          <w:szCs w:val="20"/>
        </w:rPr>
      </w:pPr>
    </w:p>
    <w:bookmarkEnd w:id="125"/>
    <w:p w14:paraId="6ED07616"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(3) Z dnem uveljavitve tega zakona prenehajo veljati 118., 119., 120., 121. in 122. člen Zakona o elektronskih komunikacijah (Uradni list RS, št. 130/22 in 18/23 – ZDU-1O).</w:t>
      </w:r>
    </w:p>
    <w:p w14:paraId="4E4F24B9"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14:paraId="4D40BB6D" w14:textId="77777777" w:rsidR="00C50F53" w:rsidRPr="004752FD" w:rsidRDefault="00C50F53" w:rsidP="004752FD">
      <w:pPr>
        <w:pStyle w:val="poglavje0"/>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 xml:space="preserve">(4) Z dnem uveljavitve tega zakona prenehata veljati: </w:t>
      </w:r>
    </w:p>
    <w:p w14:paraId="476325DB"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hanging="283"/>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 xml:space="preserve">Splošni akt o obveščanju in vrednotenju varnostnih incidentov ter o najavi omejitev ali prekinitev (Uradni list RS, št. 74/23), ki se še naprej uporablja v delu, ki se nanaša na najavo omejitev ali prekinitev, in </w:t>
      </w:r>
    </w:p>
    <w:p w14:paraId="41B0138E" w14:textId="77777777" w:rsidR="00C50F53" w:rsidRPr="004752FD" w:rsidRDefault="00C50F53" w:rsidP="00E20E87">
      <w:pPr>
        <w:pStyle w:val="poglavje0"/>
        <w:numPr>
          <w:ilvl w:val="0"/>
          <w:numId w:val="61"/>
        </w:numPr>
        <w:shd w:val="clear" w:color="auto" w:fill="FFFFFF"/>
        <w:spacing w:before="0" w:beforeAutospacing="0" w:after="0" w:afterAutospacing="0" w:line="260" w:lineRule="atLeast"/>
        <w:ind w:left="1134" w:hanging="283"/>
        <w:jc w:val="both"/>
        <w:rPr>
          <w:rFonts w:ascii="Arial" w:hAnsi="Arial" w:cs="Arial"/>
          <w:color w:val="000000"/>
          <w:sz w:val="20"/>
          <w:szCs w:val="20"/>
          <w:shd w:val="clear" w:color="auto" w:fill="FFFFFF"/>
        </w:rPr>
      </w:pPr>
      <w:r w:rsidRPr="004752FD">
        <w:rPr>
          <w:rFonts w:ascii="Arial" w:hAnsi="Arial" w:cs="Arial"/>
          <w:color w:val="000000"/>
          <w:sz w:val="20"/>
          <w:szCs w:val="20"/>
          <w:shd w:val="clear" w:color="auto" w:fill="FFFFFF"/>
        </w:rPr>
        <w:t>Splošni akt o varnosti omrežij, storitev in podatkov (Uradni list, št. 106/23).</w:t>
      </w:r>
    </w:p>
    <w:p w14:paraId="1AEB15FD" w14:textId="77777777" w:rsidR="00C50F53" w:rsidRPr="004752FD" w:rsidRDefault="00C50F53" w:rsidP="004752FD">
      <w:pPr>
        <w:pStyle w:val="NIS2naslovpoglavja"/>
        <w:numPr>
          <w:ilvl w:val="0"/>
          <w:numId w:val="0"/>
        </w:numPr>
        <w:jc w:val="both"/>
        <w:rPr>
          <w:sz w:val="20"/>
          <w:szCs w:val="20"/>
        </w:rPr>
      </w:pPr>
    </w:p>
    <w:p w14:paraId="47B757DD" w14:textId="77777777" w:rsidR="00C50F53" w:rsidRPr="004752FD" w:rsidRDefault="00C50F53" w:rsidP="004752FD">
      <w:pPr>
        <w:pStyle w:val="NIS2naslovpoglavja"/>
        <w:numPr>
          <w:ilvl w:val="0"/>
          <w:numId w:val="0"/>
        </w:numPr>
        <w:jc w:val="both"/>
        <w:rPr>
          <w:sz w:val="20"/>
          <w:szCs w:val="20"/>
        </w:rPr>
      </w:pPr>
    </w:p>
    <w:p w14:paraId="5FB281AA" w14:textId="77777777" w:rsidR="00C50F53" w:rsidRPr="004752FD" w:rsidRDefault="00C50F53" w:rsidP="004752FD">
      <w:pPr>
        <w:pStyle w:val="NIS2len"/>
        <w:spacing w:before="0" w:line="260" w:lineRule="atLeast"/>
        <w:ind w:left="0" w:firstLine="0"/>
        <w:rPr>
          <w:sz w:val="20"/>
          <w:szCs w:val="20"/>
        </w:rPr>
      </w:pPr>
      <w:r w:rsidRPr="004752FD">
        <w:rPr>
          <w:sz w:val="20"/>
          <w:szCs w:val="20"/>
        </w:rPr>
        <w:t>člen</w:t>
      </w:r>
    </w:p>
    <w:p w14:paraId="5E25426E" w14:textId="77777777" w:rsidR="00C50F53" w:rsidRPr="004752FD" w:rsidRDefault="00C50F53" w:rsidP="004752FD">
      <w:pPr>
        <w:shd w:val="clear" w:color="auto" w:fill="FFFFFF"/>
        <w:spacing w:line="260" w:lineRule="atLeast"/>
        <w:jc w:val="center"/>
        <w:rPr>
          <w:rFonts w:cs="Arial"/>
          <w:b/>
          <w:bCs/>
          <w:color w:val="000000"/>
          <w:szCs w:val="20"/>
          <w:lang w:val="sl-SI"/>
        </w:rPr>
      </w:pPr>
      <w:r w:rsidRPr="004752FD">
        <w:rPr>
          <w:rFonts w:cs="Arial"/>
          <w:b/>
          <w:bCs/>
          <w:color w:val="000000"/>
          <w:szCs w:val="20"/>
          <w:lang w:val="sl-SI"/>
        </w:rPr>
        <w:t>(začetek veljavnosti)</w:t>
      </w:r>
    </w:p>
    <w:p w14:paraId="56725079" w14:textId="77777777" w:rsidR="00C50F53" w:rsidRPr="004752FD" w:rsidRDefault="00C50F53" w:rsidP="004752FD">
      <w:pPr>
        <w:shd w:val="clear" w:color="auto" w:fill="FFFFFF"/>
        <w:spacing w:line="260" w:lineRule="atLeast"/>
        <w:jc w:val="center"/>
        <w:rPr>
          <w:rFonts w:cs="Arial"/>
          <w:b/>
          <w:bCs/>
          <w:color w:val="000000"/>
          <w:szCs w:val="20"/>
          <w:lang w:val="sl-SI"/>
        </w:rPr>
      </w:pPr>
    </w:p>
    <w:p w14:paraId="7A861BFA" w14:textId="77777777" w:rsidR="00C50F53" w:rsidRPr="004752FD" w:rsidRDefault="00C50F53" w:rsidP="004752FD">
      <w:pPr>
        <w:shd w:val="clear" w:color="auto" w:fill="FFFFFF"/>
        <w:spacing w:line="260" w:lineRule="atLeast"/>
        <w:rPr>
          <w:rFonts w:cs="Arial"/>
          <w:color w:val="000000"/>
          <w:szCs w:val="20"/>
          <w:lang w:val="sl-SI"/>
        </w:rPr>
      </w:pPr>
      <w:r w:rsidRPr="004752FD">
        <w:rPr>
          <w:rFonts w:cs="Arial"/>
          <w:color w:val="000000"/>
          <w:szCs w:val="20"/>
          <w:lang w:val="sl-SI"/>
        </w:rPr>
        <w:t>Ta zakon začne veljati petnajsti dan po objavi v Uradnem listu Republike Slovenije.</w:t>
      </w:r>
    </w:p>
    <w:p w14:paraId="05EC46DA" w14:textId="77777777" w:rsidR="00C50F53" w:rsidRPr="004752FD" w:rsidRDefault="00C50F53" w:rsidP="004752FD">
      <w:pPr>
        <w:pStyle w:val="NIS2naslovpoglavja"/>
        <w:numPr>
          <w:ilvl w:val="0"/>
          <w:numId w:val="0"/>
        </w:numPr>
        <w:jc w:val="both"/>
        <w:rPr>
          <w:sz w:val="20"/>
          <w:szCs w:val="20"/>
        </w:rPr>
      </w:pPr>
    </w:p>
    <w:p w14:paraId="5466C494" w14:textId="224183BD" w:rsidR="00C50F53" w:rsidRPr="007660B3" w:rsidRDefault="00C50F53" w:rsidP="00C50F53">
      <w:pPr>
        <w:pStyle w:val="Poglavje"/>
        <w:spacing w:before="0" w:line="260" w:lineRule="exact"/>
        <w:jc w:val="left"/>
        <w:rPr>
          <w:color w:val="000000"/>
          <w:sz w:val="20"/>
          <w:szCs w:val="20"/>
        </w:rPr>
      </w:pPr>
      <w:r w:rsidRPr="00C50F53">
        <w:br w:type="page"/>
      </w:r>
      <w:r w:rsidRPr="007660B3">
        <w:rPr>
          <w:color w:val="000000"/>
          <w:sz w:val="20"/>
          <w:szCs w:val="20"/>
        </w:rPr>
        <w:lastRenderedPageBreak/>
        <w:t>PRILOG</w:t>
      </w:r>
      <w:r w:rsidR="007660B3" w:rsidRPr="007660B3">
        <w:rPr>
          <w:color w:val="000000"/>
          <w:sz w:val="20"/>
          <w:szCs w:val="20"/>
        </w:rPr>
        <w:t>E</w:t>
      </w:r>
      <w:r w:rsidRPr="007660B3">
        <w:rPr>
          <w:color w:val="000000"/>
          <w:sz w:val="20"/>
          <w:szCs w:val="20"/>
        </w:rPr>
        <w:t>1</w:t>
      </w:r>
      <w:r w:rsidR="007660B3" w:rsidRPr="007660B3">
        <w:rPr>
          <w:color w:val="000000"/>
          <w:sz w:val="20"/>
          <w:szCs w:val="20"/>
        </w:rPr>
        <w:t xml:space="preserve">, </w:t>
      </w:r>
      <w:r w:rsidRPr="007660B3">
        <w:rPr>
          <w:color w:val="000000"/>
          <w:sz w:val="20"/>
          <w:szCs w:val="20"/>
        </w:rPr>
        <w:t xml:space="preserve">2 </w:t>
      </w:r>
      <w:r w:rsidR="007660B3" w:rsidRPr="007660B3">
        <w:rPr>
          <w:color w:val="000000"/>
          <w:sz w:val="20"/>
          <w:szCs w:val="20"/>
        </w:rPr>
        <w:t xml:space="preserve">IN 3 </w:t>
      </w:r>
      <w:r w:rsidRPr="007660B3">
        <w:rPr>
          <w:color w:val="000000"/>
          <w:sz w:val="20"/>
          <w:szCs w:val="20"/>
        </w:rPr>
        <w:t>K BESEDILU ČLENOV</w:t>
      </w:r>
    </w:p>
    <w:p w14:paraId="05904221" w14:textId="77777777" w:rsidR="00C50F53" w:rsidRPr="00E20E87" w:rsidRDefault="00C50F53" w:rsidP="00E20E87">
      <w:pPr>
        <w:shd w:val="clear" w:color="auto" w:fill="FFFFFF"/>
        <w:spacing w:before="240" w:after="120"/>
        <w:ind w:left="7230"/>
        <w:rPr>
          <w:rFonts w:cs="Arial"/>
          <w:b/>
          <w:bCs/>
          <w:color w:val="000000"/>
          <w:szCs w:val="20"/>
          <w:lang w:val="sl-SI"/>
        </w:rPr>
      </w:pPr>
      <w:bookmarkStart w:id="126" w:name="_Hlk179380262"/>
      <w:r w:rsidRPr="00E20E87">
        <w:rPr>
          <w:rFonts w:cs="Arial"/>
          <w:b/>
          <w:bCs/>
          <w:color w:val="000000"/>
          <w:szCs w:val="20"/>
          <w:lang w:val="sl-SI"/>
        </w:rPr>
        <w:t>PRILOGA 1</w:t>
      </w:r>
    </w:p>
    <w:p w14:paraId="0A458FBC" w14:textId="77777777" w:rsidR="00C50F53" w:rsidRPr="00E20E87" w:rsidRDefault="00C50F53" w:rsidP="00C50F53">
      <w:pPr>
        <w:shd w:val="clear" w:color="auto" w:fill="FFFFFF"/>
        <w:spacing w:before="240" w:after="120"/>
        <w:jc w:val="center"/>
        <w:rPr>
          <w:rFonts w:cs="Arial"/>
          <w:b/>
          <w:bCs/>
          <w:color w:val="000000"/>
          <w:szCs w:val="20"/>
          <w:lang w:val="sl-SI"/>
        </w:rPr>
      </w:pPr>
      <w:r w:rsidRPr="00E20E87">
        <w:rPr>
          <w:rFonts w:cs="Arial"/>
          <w:b/>
          <w:bCs/>
          <w:color w:val="000000"/>
          <w:szCs w:val="20"/>
          <w:lang w:val="sl-SI"/>
        </w:rPr>
        <w:t>VISOKO KRITIČNI SEKTORJI</w:t>
      </w:r>
    </w:p>
    <w:p w14:paraId="29A7C510" w14:textId="77777777" w:rsidR="00C50F53" w:rsidRPr="00C50F53" w:rsidRDefault="00C50F53" w:rsidP="00C50F53">
      <w:pPr>
        <w:shd w:val="clear" w:color="auto" w:fill="FFFFFF"/>
        <w:spacing w:before="240" w:after="120"/>
        <w:jc w:val="center"/>
        <w:rPr>
          <w:rFonts w:cs="Arial"/>
          <w:b/>
          <w:bCs/>
          <w:color w:val="000000"/>
          <w:szCs w:val="22"/>
          <w:lang w:val="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80"/>
        <w:gridCol w:w="1449"/>
        <w:gridCol w:w="5259"/>
      </w:tblGrid>
      <w:tr w:rsidR="00C50F53" w:rsidRPr="00C50F53" w14:paraId="36EB17D2" w14:textId="77777777" w:rsidTr="00871886">
        <w:tc>
          <w:tcPr>
            <w:tcW w:w="1931" w:type="dxa"/>
            <w:shd w:val="clear" w:color="auto" w:fill="auto"/>
          </w:tcPr>
          <w:p w14:paraId="243FBF45" w14:textId="77777777" w:rsidR="00C50F53" w:rsidRPr="00C50F53" w:rsidRDefault="00C50F53" w:rsidP="007660B3">
            <w:pPr>
              <w:spacing w:before="120" w:after="120" w:line="276" w:lineRule="auto"/>
              <w:jc w:val="center"/>
              <w:rPr>
                <w:rFonts w:cs="Arial"/>
                <w:b/>
                <w:bCs/>
                <w:color w:val="000000"/>
                <w:szCs w:val="20"/>
                <w:lang w:val="sl-SI"/>
              </w:rPr>
            </w:pPr>
            <w:r w:rsidRPr="00C50F53">
              <w:rPr>
                <w:rFonts w:cs="Arial"/>
                <w:b/>
                <w:bCs/>
                <w:color w:val="000000"/>
                <w:szCs w:val="20"/>
                <w:lang w:val="sl-SI"/>
              </w:rPr>
              <w:t>Sektor</w:t>
            </w:r>
          </w:p>
        </w:tc>
        <w:tc>
          <w:tcPr>
            <w:tcW w:w="1549" w:type="dxa"/>
            <w:shd w:val="clear" w:color="auto" w:fill="auto"/>
          </w:tcPr>
          <w:p w14:paraId="3C998658" w14:textId="77777777" w:rsidR="00C50F53" w:rsidRPr="00C50F53" w:rsidRDefault="00C50F53" w:rsidP="007660B3">
            <w:pPr>
              <w:spacing w:before="120" w:after="120" w:line="276" w:lineRule="auto"/>
              <w:jc w:val="center"/>
              <w:rPr>
                <w:rFonts w:cs="Arial"/>
                <w:b/>
                <w:bCs/>
                <w:color w:val="000000"/>
                <w:szCs w:val="20"/>
                <w:lang w:val="sl-SI"/>
              </w:rPr>
            </w:pPr>
            <w:r w:rsidRPr="00C50F53">
              <w:rPr>
                <w:rFonts w:cs="Arial"/>
                <w:b/>
                <w:bCs/>
                <w:color w:val="000000"/>
                <w:szCs w:val="20"/>
                <w:lang w:val="sl-SI"/>
              </w:rPr>
              <w:t>Podsektor</w:t>
            </w:r>
          </w:p>
        </w:tc>
        <w:tc>
          <w:tcPr>
            <w:tcW w:w="5809" w:type="dxa"/>
            <w:shd w:val="clear" w:color="auto" w:fill="auto"/>
          </w:tcPr>
          <w:p w14:paraId="68C3B45C" w14:textId="77777777" w:rsidR="00C50F53" w:rsidRPr="00C50F53" w:rsidRDefault="00C50F53" w:rsidP="007660B3">
            <w:pPr>
              <w:spacing w:before="120" w:after="120" w:line="276" w:lineRule="auto"/>
              <w:jc w:val="center"/>
              <w:rPr>
                <w:rFonts w:cs="Arial"/>
                <w:b/>
                <w:bCs/>
                <w:color w:val="000000"/>
                <w:szCs w:val="20"/>
                <w:lang w:val="sl-SI"/>
              </w:rPr>
            </w:pPr>
            <w:r w:rsidRPr="00C50F53">
              <w:rPr>
                <w:rFonts w:cs="Arial"/>
                <w:b/>
                <w:bCs/>
                <w:color w:val="000000"/>
                <w:szCs w:val="20"/>
                <w:lang w:val="sl-SI"/>
              </w:rPr>
              <w:t>Vrsta subjekta</w:t>
            </w:r>
          </w:p>
        </w:tc>
      </w:tr>
      <w:tr w:rsidR="00C50F53" w:rsidRPr="00C50F53" w14:paraId="10E0DDB1" w14:textId="77777777" w:rsidTr="00871886">
        <w:tc>
          <w:tcPr>
            <w:tcW w:w="1931" w:type="dxa"/>
            <w:vMerge w:val="restart"/>
            <w:shd w:val="clear" w:color="auto" w:fill="auto"/>
          </w:tcPr>
          <w:p w14:paraId="73FDAA6E"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1. Energija</w:t>
            </w:r>
          </w:p>
        </w:tc>
        <w:tc>
          <w:tcPr>
            <w:tcW w:w="1549" w:type="dxa"/>
            <w:vMerge w:val="restart"/>
            <w:shd w:val="clear" w:color="auto" w:fill="auto"/>
          </w:tcPr>
          <w:p w14:paraId="65802150"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(a) elektrika</w:t>
            </w:r>
          </w:p>
        </w:tc>
        <w:tc>
          <w:tcPr>
            <w:tcW w:w="5809" w:type="dxa"/>
            <w:shd w:val="clear" w:color="auto" w:fill="auto"/>
          </w:tcPr>
          <w:p w14:paraId="7F8AF4DE"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elektroenergetska podjetja, kot so opredeljena v 16. točki 4. člena Zakona o oskrbi z električno energijo (Uradni list RS, št. </w:t>
            </w:r>
            <w:hyperlink r:id="rId19" w:tgtFrame="_blank" w:tooltip="Zakon o oskrbi z električno energijo (ZOEE)" w:history="1">
              <w:r w:rsidRPr="00C50F53">
                <w:rPr>
                  <w:rFonts w:cs="Arial"/>
                  <w:color w:val="000000"/>
                  <w:szCs w:val="20"/>
                  <w:lang w:val="sl-SI"/>
                </w:rPr>
                <w:t>172/21</w:t>
              </w:r>
            </w:hyperlink>
            <w:r w:rsidRPr="00C50F53">
              <w:rPr>
                <w:rFonts w:cs="Arial"/>
                <w:color w:val="000000"/>
                <w:szCs w:val="20"/>
                <w:lang w:val="sl-SI"/>
              </w:rPr>
              <w:t>; v nadaljnjem besedilu: ZOEE) in ki opravljajo dejavnosti dobave, kot je opredeljena v 13. točki četrtega člena ZOEE</w:t>
            </w:r>
          </w:p>
        </w:tc>
      </w:tr>
      <w:tr w:rsidR="00C50F53" w:rsidRPr="00864C5E" w14:paraId="08DD652E" w14:textId="77777777" w:rsidTr="00871886">
        <w:tc>
          <w:tcPr>
            <w:tcW w:w="1931" w:type="dxa"/>
            <w:vMerge/>
            <w:shd w:val="clear" w:color="auto" w:fill="auto"/>
          </w:tcPr>
          <w:p w14:paraId="1DA5784A"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004701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754C3D6D"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distribucijski operaterji, kot so opredeljeni v 12. točki 4. člena ZOEE</w:t>
            </w:r>
          </w:p>
        </w:tc>
      </w:tr>
      <w:tr w:rsidR="00C50F53" w:rsidRPr="00864C5E" w14:paraId="1BB9E712" w14:textId="77777777" w:rsidTr="00871886">
        <w:tc>
          <w:tcPr>
            <w:tcW w:w="1931" w:type="dxa"/>
            <w:vMerge/>
            <w:shd w:val="clear" w:color="auto" w:fill="auto"/>
          </w:tcPr>
          <w:p w14:paraId="307F3C73"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1C3EDE19"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32DB2226"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sistemski operaterji, kot so opredeljeni v 76. točki 4. člena ZOEE; sistemski operater izvaja naloge operaterja prenosnega sistema, kot jih določa Uredba 2019/943/EU</w:t>
            </w:r>
          </w:p>
        </w:tc>
      </w:tr>
      <w:tr w:rsidR="00C50F53" w:rsidRPr="00864C5E" w14:paraId="0B8E296B" w14:textId="77777777" w:rsidTr="00871886">
        <w:tc>
          <w:tcPr>
            <w:tcW w:w="1931" w:type="dxa"/>
            <w:vMerge/>
            <w:shd w:val="clear" w:color="auto" w:fill="auto"/>
          </w:tcPr>
          <w:p w14:paraId="45E25A28"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17A9885A"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DE093AD"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proizvajalci, kot so opredeljeni v 62. točki 4. člena ZOEE</w:t>
            </w:r>
          </w:p>
        </w:tc>
      </w:tr>
      <w:tr w:rsidR="00C50F53" w:rsidRPr="00864C5E" w14:paraId="57F9775A" w14:textId="77777777" w:rsidTr="00871886">
        <w:tc>
          <w:tcPr>
            <w:tcW w:w="1931" w:type="dxa"/>
            <w:vMerge/>
            <w:shd w:val="clear" w:color="auto" w:fill="auto"/>
          </w:tcPr>
          <w:p w14:paraId="67D7B1FB"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8D3C84B"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FB7C47B"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imenovani operaterji trga električne energije, kot so opredeljeni v 8. točki 2. člena Uredbe 2019/943/EU</w:t>
            </w:r>
            <w:r w:rsidRPr="00C50F53">
              <w:rPr>
                <w:rStyle w:val="Sprotnaopomba-sklic"/>
                <w:rFonts w:cs="Arial"/>
                <w:szCs w:val="20"/>
                <w:lang w:val="sl-SI"/>
              </w:rPr>
              <w:footnoteReference w:id="2"/>
            </w:r>
          </w:p>
        </w:tc>
      </w:tr>
      <w:tr w:rsidR="00C50F53" w:rsidRPr="00864C5E" w14:paraId="6E82D5A2" w14:textId="77777777" w:rsidTr="00871886">
        <w:tc>
          <w:tcPr>
            <w:tcW w:w="1931" w:type="dxa"/>
            <w:vMerge/>
            <w:shd w:val="clear" w:color="auto" w:fill="auto"/>
          </w:tcPr>
          <w:p w14:paraId="18649B47"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66A5B5A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7E35BC39"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 udeleženci na trgu, kot so opredeljeni v 25. točki 2. člena Uredbe 2019/943/EU, ki opravljajo storitve agregiranja, prilagajanja odjema ali shranjevanja energije, kot je opredeljeno v 4., 67. in 73. točki 4. člena ZOEE</w:t>
            </w:r>
          </w:p>
        </w:tc>
      </w:tr>
      <w:tr w:rsidR="00C50F53" w:rsidRPr="00864C5E" w14:paraId="2B6E3EF2" w14:textId="77777777" w:rsidTr="00871886">
        <w:tc>
          <w:tcPr>
            <w:tcW w:w="1931" w:type="dxa"/>
            <w:vMerge/>
            <w:shd w:val="clear" w:color="auto" w:fill="auto"/>
          </w:tcPr>
          <w:p w14:paraId="2C4A9CAB"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4569067D"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692AD65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polnilnega mesta, odgovorni za upravljanje in delovanje polnilnega mesta, ki končnim uporabnikom zagotavlja storitev polnjenja, tudi v imenu in za račun ponudnika mobilnostnih storitev</w:t>
            </w:r>
          </w:p>
        </w:tc>
      </w:tr>
      <w:tr w:rsidR="00C50F53" w:rsidRPr="00864C5E" w14:paraId="34B25C66" w14:textId="77777777" w:rsidTr="00871886">
        <w:tc>
          <w:tcPr>
            <w:tcW w:w="1931" w:type="dxa"/>
            <w:vMerge/>
            <w:shd w:val="clear" w:color="auto" w:fill="auto"/>
          </w:tcPr>
          <w:p w14:paraId="3F71943E" w14:textId="77777777" w:rsidR="00C50F53" w:rsidRPr="00C50F53" w:rsidRDefault="00C50F53" w:rsidP="007660B3">
            <w:pPr>
              <w:spacing w:before="120" w:after="120" w:line="276" w:lineRule="auto"/>
              <w:rPr>
                <w:rFonts w:cs="Arial"/>
                <w:color w:val="000000"/>
                <w:szCs w:val="20"/>
                <w:lang w:val="sl-SI"/>
              </w:rPr>
            </w:pPr>
          </w:p>
        </w:tc>
        <w:tc>
          <w:tcPr>
            <w:tcW w:w="1549" w:type="dxa"/>
            <w:shd w:val="clear" w:color="auto" w:fill="auto"/>
          </w:tcPr>
          <w:p w14:paraId="0350EF8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xml:space="preserve">(b) daljinsko ogrevanje in hlajenje </w:t>
            </w:r>
          </w:p>
        </w:tc>
        <w:tc>
          <w:tcPr>
            <w:tcW w:w="5809" w:type="dxa"/>
            <w:shd w:val="clear" w:color="auto" w:fill="auto"/>
          </w:tcPr>
          <w:p w14:paraId="5302FD0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daljinskega ogrevanja ali daljinskega hlajenja, kot je opredeljeno v 2. točki 4. člena Zakona o učinkoviti rabi energije (Uradni list, RS, št. 158/20; ZURE)</w:t>
            </w:r>
          </w:p>
        </w:tc>
      </w:tr>
      <w:tr w:rsidR="00C50F53" w:rsidRPr="00C50F53" w14:paraId="2C228668" w14:textId="77777777" w:rsidTr="00871886">
        <w:tc>
          <w:tcPr>
            <w:tcW w:w="1931" w:type="dxa"/>
            <w:vMerge/>
            <w:shd w:val="clear" w:color="auto" w:fill="auto"/>
          </w:tcPr>
          <w:p w14:paraId="398F97E3" w14:textId="77777777" w:rsidR="00C50F53" w:rsidRPr="00C50F53" w:rsidRDefault="00C50F53" w:rsidP="007660B3">
            <w:pPr>
              <w:spacing w:before="120" w:after="120" w:line="276" w:lineRule="auto"/>
              <w:rPr>
                <w:rFonts w:cs="Arial"/>
                <w:color w:val="000000"/>
                <w:szCs w:val="20"/>
                <w:lang w:val="sl-SI"/>
              </w:rPr>
            </w:pPr>
          </w:p>
        </w:tc>
        <w:tc>
          <w:tcPr>
            <w:tcW w:w="1549" w:type="dxa"/>
            <w:vMerge w:val="restart"/>
            <w:shd w:val="clear" w:color="auto" w:fill="auto"/>
          </w:tcPr>
          <w:p w14:paraId="54C2A958"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(c) nafta</w:t>
            </w:r>
          </w:p>
        </w:tc>
        <w:tc>
          <w:tcPr>
            <w:tcW w:w="5809" w:type="dxa"/>
            <w:shd w:val="clear" w:color="auto" w:fill="auto"/>
          </w:tcPr>
          <w:p w14:paraId="4AE7728E"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naftovodov</w:t>
            </w:r>
          </w:p>
        </w:tc>
      </w:tr>
      <w:tr w:rsidR="00C50F53" w:rsidRPr="00864C5E" w14:paraId="2EA89FF7" w14:textId="77777777" w:rsidTr="00871886">
        <w:tc>
          <w:tcPr>
            <w:tcW w:w="1931" w:type="dxa"/>
            <w:vMerge/>
            <w:shd w:val="clear" w:color="auto" w:fill="auto"/>
          </w:tcPr>
          <w:p w14:paraId="438B0EEF"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48C8C7C8"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9A51F2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obratov za proizvodnjo, rafiniranje in predelavo nafte ter upravljavci skladišč in transporta nafte</w:t>
            </w:r>
          </w:p>
        </w:tc>
      </w:tr>
      <w:tr w:rsidR="00C50F53" w:rsidRPr="00864C5E" w14:paraId="20FD4786" w14:textId="77777777" w:rsidTr="00871886">
        <w:tc>
          <w:tcPr>
            <w:tcW w:w="1931" w:type="dxa"/>
            <w:vMerge/>
            <w:shd w:val="clear" w:color="auto" w:fill="auto"/>
          </w:tcPr>
          <w:p w14:paraId="160D9230"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21ADEB8B"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831FE80"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osrednji organi za vzdrževanje varnostnih zalog, kot so opredeljeni v 16. točki 3. člena Zakona o državnih blagovnih rezervah (Uradni list RS, št. 23/24; ZBR-1)</w:t>
            </w:r>
          </w:p>
        </w:tc>
      </w:tr>
      <w:tr w:rsidR="00C50F53" w:rsidRPr="00864C5E" w14:paraId="3CD9B626" w14:textId="77777777" w:rsidTr="00871886">
        <w:tc>
          <w:tcPr>
            <w:tcW w:w="1931" w:type="dxa"/>
            <w:vMerge/>
            <w:shd w:val="clear" w:color="auto" w:fill="auto"/>
          </w:tcPr>
          <w:p w14:paraId="2FAD9D0C" w14:textId="77777777" w:rsidR="00C50F53" w:rsidRPr="00C50F53" w:rsidRDefault="00C50F53" w:rsidP="007660B3">
            <w:pPr>
              <w:spacing w:before="120" w:after="120" w:line="276" w:lineRule="auto"/>
              <w:rPr>
                <w:rFonts w:cs="Arial"/>
                <w:color w:val="000000"/>
                <w:szCs w:val="20"/>
                <w:lang w:val="sl-SI"/>
              </w:rPr>
            </w:pPr>
          </w:p>
        </w:tc>
        <w:tc>
          <w:tcPr>
            <w:tcW w:w="1549" w:type="dxa"/>
            <w:vMerge w:val="restart"/>
            <w:shd w:val="clear" w:color="auto" w:fill="auto"/>
          </w:tcPr>
          <w:p w14:paraId="326EA62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(č) plin</w:t>
            </w:r>
          </w:p>
        </w:tc>
        <w:tc>
          <w:tcPr>
            <w:tcW w:w="5809" w:type="dxa"/>
            <w:shd w:val="clear" w:color="auto" w:fill="auto"/>
          </w:tcPr>
          <w:p w14:paraId="59E838D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dobavitelji, kot so opredeljeni v 10. točki 3. člena Zakona o oskrbi s plini (Uradni list RS, št. 204/21 in 121/22; v nadaljnjem besedilu: ZOP)</w:t>
            </w:r>
          </w:p>
        </w:tc>
      </w:tr>
      <w:tr w:rsidR="00C50F53" w:rsidRPr="00864C5E" w14:paraId="03ABC19E" w14:textId="77777777" w:rsidTr="00871886">
        <w:tc>
          <w:tcPr>
            <w:tcW w:w="1931" w:type="dxa"/>
            <w:vMerge/>
            <w:shd w:val="clear" w:color="auto" w:fill="auto"/>
          </w:tcPr>
          <w:p w14:paraId="072D9711"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B0910AF"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5D1FB8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operaterji distribucijskega sistema, kot so opredeljeni v 34. točki 3. člena ZOP</w:t>
            </w:r>
          </w:p>
        </w:tc>
      </w:tr>
      <w:tr w:rsidR="00C50F53" w:rsidRPr="00864C5E" w14:paraId="16FD3541" w14:textId="77777777" w:rsidTr="00871886">
        <w:tc>
          <w:tcPr>
            <w:tcW w:w="1931" w:type="dxa"/>
            <w:vMerge/>
            <w:shd w:val="clear" w:color="auto" w:fill="auto"/>
          </w:tcPr>
          <w:p w14:paraId="6F2F6DC3"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0992C7DB"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F09D35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operaterji prenosnega sistema, kot so opredeljeni v 35. točki 3. člena ZOP</w:t>
            </w:r>
          </w:p>
        </w:tc>
      </w:tr>
      <w:tr w:rsidR="00C50F53" w:rsidRPr="00864C5E" w14:paraId="2EE9A939" w14:textId="77777777" w:rsidTr="00871886">
        <w:tc>
          <w:tcPr>
            <w:tcW w:w="1931" w:type="dxa"/>
            <w:vMerge/>
            <w:shd w:val="clear" w:color="auto" w:fill="auto"/>
          </w:tcPr>
          <w:p w14:paraId="0AF0BC22"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06E1CB2"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B4FC948"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operaterji skladiščnega sistema, kot so opredeljeni v 38. točki 3. člena ZOP</w:t>
            </w:r>
          </w:p>
        </w:tc>
      </w:tr>
      <w:tr w:rsidR="00C50F53" w:rsidRPr="00864C5E" w14:paraId="0B5865FE" w14:textId="77777777" w:rsidTr="00871886">
        <w:tc>
          <w:tcPr>
            <w:tcW w:w="1931" w:type="dxa"/>
            <w:vMerge/>
            <w:shd w:val="clear" w:color="auto" w:fill="auto"/>
          </w:tcPr>
          <w:p w14:paraId="550DAFEB"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0922BDC4"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4D6B13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operaterji sistema za UZP, kot so opredeljeni v 37. točki 3. člena ZOP</w:t>
            </w:r>
          </w:p>
        </w:tc>
      </w:tr>
      <w:tr w:rsidR="00C50F53" w:rsidRPr="00864C5E" w14:paraId="0052E631" w14:textId="77777777" w:rsidTr="00871886">
        <w:tc>
          <w:tcPr>
            <w:tcW w:w="1931" w:type="dxa"/>
            <w:vMerge/>
            <w:shd w:val="clear" w:color="auto" w:fill="auto"/>
          </w:tcPr>
          <w:p w14:paraId="594D75CC"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0BACF99D"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05F0C21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podjetja plinskega gospodarstva, kot so opredeljena v 40. točki 3. člena ZOP</w:t>
            </w:r>
          </w:p>
        </w:tc>
      </w:tr>
      <w:tr w:rsidR="00C50F53" w:rsidRPr="00864C5E" w14:paraId="51550150" w14:textId="77777777" w:rsidTr="00871886">
        <w:tc>
          <w:tcPr>
            <w:tcW w:w="1931" w:type="dxa"/>
            <w:vMerge/>
            <w:shd w:val="clear" w:color="auto" w:fill="auto"/>
          </w:tcPr>
          <w:p w14:paraId="0755A69E"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BE5B37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3621FF8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obratov za rafiniranje in predelavo zemeljskega plina</w:t>
            </w:r>
          </w:p>
        </w:tc>
      </w:tr>
      <w:tr w:rsidR="00C50F53" w:rsidRPr="00864C5E" w14:paraId="1972D1D3" w14:textId="77777777" w:rsidTr="00871886">
        <w:tc>
          <w:tcPr>
            <w:tcW w:w="1931" w:type="dxa"/>
            <w:vMerge/>
            <w:shd w:val="clear" w:color="auto" w:fill="auto"/>
          </w:tcPr>
          <w:p w14:paraId="45202C09" w14:textId="77777777" w:rsidR="00C50F53" w:rsidRPr="00C50F53" w:rsidRDefault="00C50F53" w:rsidP="007660B3">
            <w:pPr>
              <w:spacing w:before="120" w:after="120" w:line="276" w:lineRule="auto"/>
              <w:rPr>
                <w:rFonts w:cs="Arial"/>
                <w:color w:val="000000"/>
                <w:szCs w:val="20"/>
                <w:lang w:val="sl-SI"/>
              </w:rPr>
            </w:pPr>
          </w:p>
        </w:tc>
        <w:tc>
          <w:tcPr>
            <w:tcW w:w="1549" w:type="dxa"/>
            <w:shd w:val="clear" w:color="auto" w:fill="auto"/>
          </w:tcPr>
          <w:p w14:paraId="7E46242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xml:space="preserve">(d) vodik </w:t>
            </w:r>
          </w:p>
        </w:tc>
        <w:tc>
          <w:tcPr>
            <w:tcW w:w="5809" w:type="dxa"/>
            <w:shd w:val="clear" w:color="auto" w:fill="auto"/>
          </w:tcPr>
          <w:p w14:paraId="63E669B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proizvodnje, shranjevanja in prenosa vodika</w:t>
            </w:r>
          </w:p>
        </w:tc>
      </w:tr>
      <w:tr w:rsidR="00C50F53" w:rsidRPr="00864C5E" w14:paraId="1EAACB6E" w14:textId="77777777" w:rsidTr="00871886">
        <w:tc>
          <w:tcPr>
            <w:tcW w:w="1931" w:type="dxa"/>
            <w:vMerge w:val="restart"/>
            <w:shd w:val="clear" w:color="auto" w:fill="auto"/>
          </w:tcPr>
          <w:p w14:paraId="64E8498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2. Promet</w:t>
            </w:r>
          </w:p>
        </w:tc>
        <w:tc>
          <w:tcPr>
            <w:tcW w:w="1549" w:type="dxa"/>
            <w:vMerge w:val="restart"/>
            <w:shd w:val="clear" w:color="auto" w:fill="auto"/>
          </w:tcPr>
          <w:p w14:paraId="3E5A34A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(a) zračni</w:t>
            </w:r>
          </w:p>
        </w:tc>
        <w:tc>
          <w:tcPr>
            <w:tcW w:w="5809" w:type="dxa"/>
            <w:shd w:val="clear" w:color="auto" w:fill="auto"/>
          </w:tcPr>
          <w:p w14:paraId="25A3F997"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letalski prevozniki, kot so opredeljeni v 4. točki 3. člena Uredbe št. 300/2008/ES in ki se uporabljajo v komercialne namene</w:t>
            </w:r>
          </w:p>
        </w:tc>
      </w:tr>
      <w:tr w:rsidR="00C50F53" w:rsidRPr="00864C5E" w14:paraId="677B6E6C" w14:textId="77777777" w:rsidTr="00871886">
        <w:tc>
          <w:tcPr>
            <w:tcW w:w="1931" w:type="dxa"/>
            <w:vMerge/>
            <w:shd w:val="clear" w:color="auto" w:fill="auto"/>
          </w:tcPr>
          <w:p w14:paraId="194B0FEF"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6FAEF68C"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63557F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letališča, kot so opredeljena v 20. točki 17. člena Zakona o letalstvu (Uradni list RS, št. 81/10 – uradno prečiščeno besedilo, 46/16, 47/19 in 18/23 – ZDU-1O; Zlet)</w:t>
            </w:r>
          </w:p>
        </w:tc>
      </w:tr>
      <w:tr w:rsidR="00C50F53" w:rsidRPr="00864C5E" w14:paraId="45093D38" w14:textId="77777777" w:rsidTr="00871886">
        <w:tc>
          <w:tcPr>
            <w:tcW w:w="1931" w:type="dxa"/>
            <w:vMerge/>
            <w:shd w:val="clear" w:color="auto" w:fill="auto"/>
          </w:tcPr>
          <w:p w14:paraId="05481615"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3983C5DF"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0F4AD63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kontrolorji upravljanja prometa, ki zagotavljajo kontrolo zračnega prometa (ATC), kot je opredeljena v 1. točki 2. člena Uredbe št. 549/2004/ES</w:t>
            </w:r>
            <w:r w:rsidRPr="00C50F53">
              <w:rPr>
                <w:rStyle w:val="Sprotnaopomba-sklic"/>
                <w:rFonts w:cs="Arial"/>
                <w:color w:val="000000"/>
                <w:szCs w:val="20"/>
                <w:lang w:val="sl-SI"/>
              </w:rPr>
              <w:footnoteReference w:id="3"/>
            </w:r>
            <w:r w:rsidRPr="00C50F53">
              <w:rPr>
                <w:rFonts w:cs="Arial"/>
                <w:color w:val="000000"/>
                <w:szCs w:val="20"/>
                <w:lang w:val="sl-SI"/>
              </w:rPr>
              <w:t xml:space="preserve"> </w:t>
            </w:r>
          </w:p>
        </w:tc>
      </w:tr>
      <w:tr w:rsidR="00C50F53" w:rsidRPr="00C50F53" w14:paraId="01633EC7" w14:textId="77777777" w:rsidTr="00871886">
        <w:tc>
          <w:tcPr>
            <w:tcW w:w="1931" w:type="dxa"/>
            <w:vMerge/>
            <w:shd w:val="clear" w:color="auto" w:fill="auto"/>
          </w:tcPr>
          <w:p w14:paraId="0E7E787F" w14:textId="77777777" w:rsidR="00C50F53" w:rsidRPr="00C50F53" w:rsidRDefault="00C50F53" w:rsidP="007660B3">
            <w:pPr>
              <w:spacing w:before="120" w:after="120" w:line="276" w:lineRule="auto"/>
              <w:rPr>
                <w:rFonts w:cs="Arial"/>
                <w:color w:val="000000"/>
                <w:szCs w:val="20"/>
                <w:lang w:val="sl-SI"/>
              </w:rPr>
            </w:pPr>
          </w:p>
        </w:tc>
        <w:tc>
          <w:tcPr>
            <w:tcW w:w="1549" w:type="dxa"/>
            <w:vMerge w:val="restart"/>
            <w:shd w:val="clear" w:color="auto" w:fill="auto"/>
          </w:tcPr>
          <w:tbl>
            <w:tblPr>
              <w:tblW w:w="5000" w:type="pct"/>
              <w:tblCellMar>
                <w:left w:w="0" w:type="dxa"/>
                <w:right w:w="0" w:type="dxa"/>
              </w:tblCellMar>
              <w:tblLook w:val="04A0" w:firstRow="1" w:lastRow="0" w:firstColumn="1" w:lastColumn="0" w:noHBand="0" w:noVBand="1"/>
            </w:tblPr>
            <w:tblGrid>
              <w:gridCol w:w="1233"/>
            </w:tblGrid>
            <w:tr w:rsidR="00C50F53" w:rsidRPr="00C50F53" w14:paraId="71DBD084" w14:textId="77777777" w:rsidTr="00871886">
              <w:tc>
                <w:tcPr>
                  <w:tcW w:w="0" w:type="auto"/>
                  <w:shd w:val="clear" w:color="auto" w:fill="auto"/>
                  <w:hideMark/>
                </w:tcPr>
                <w:p w14:paraId="24E149E0"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(b) železniški</w:t>
                  </w:r>
                </w:p>
              </w:tc>
            </w:tr>
          </w:tbl>
          <w:p w14:paraId="18DB565C"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318CCB6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javne infrastrukture, kot so opredeljeni v 27. točki 2. člena Zakona o železniškem prometu (Uradni list RS, št. </w:t>
            </w:r>
            <w:hyperlink r:id="rId20" w:tgtFrame="_blank" w:tooltip="Zakon o železniškem prometu (uradno prečiščeno besedilo) (ZZelP-UPB8)" w:history="1">
              <w:r w:rsidRPr="00C50F53">
                <w:rPr>
                  <w:rFonts w:cs="Arial"/>
                  <w:color w:val="000000"/>
                  <w:szCs w:val="20"/>
                  <w:lang w:val="sl-SI"/>
                </w:rPr>
                <w:t>99/15</w:t>
              </w:r>
            </w:hyperlink>
            <w:r w:rsidRPr="00C50F53">
              <w:rPr>
                <w:rFonts w:cs="Arial"/>
                <w:color w:val="000000"/>
                <w:szCs w:val="20"/>
                <w:lang w:val="sl-SI"/>
              </w:rPr>
              <w:t> – uradno prečiščeno besedilo, </w:t>
            </w:r>
            <w:hyperlink r:id="rId21" w:tgtFrame="_blank" w:tooltip="Zakon o spremembah in dopolnitvah Zakona o železniškem prometu (ZZelP-K)" w:history="1">
              <w:r w:rsidRPr="00C50F53">
                <w:rPr>
                  <w:rFonts w:cs="Arial"/>
                  <w:color w:val="000000"/>
                  <w:szCs w:val="20"/>
                  <w:lang w:val="sl-SI"/>
                </w:rPr>
                <w:t>30/18</w:t>
              </w:r>
            </w:hyperlink>
            <w:r w:rsidRPr="00C50F53">
              <w:rPr>
                <w:rFonts w:cs="Arial"/>
                <w:color w:val="000000"/>
                <w:szCs w:val="20"/>
                <w:lang w:val="sl-SI"/>
              </w:rPr>
              <w:t>, </w:t>
            </w:r>
            <w:hyperlink r:id="rId22" w:tgtFrame="_blank" w:tooltip="Zakon o spremembah in dopolnitvah Zakona o železniškem prometu (ZZelP-L)" w:history="1">
              <w:r w:rsidRPr="00C50F53">
                <w:rPr>
                  <w:rFonts w:cs="Arial"/>
                  <w:color w:val="000000"/>
                  <w:szCs w:val="20"/>
                  <w:lang w:val="sl-SI"/>
                </w:rPr>
                <w:t>82/21</w:t>
              </w:r>
            </w:hyperlink>
            <w:r w:rsidRPr="00C50F53">
              <w:rPr>
                <w:rFonts w:cs="Arial"/>
                <w:color w:val="000000"/>
                <w:szCs w:val="20"/>
                <w:lang w:val="sl-SI"/>
              </w:rPr>
              <w:t>, </w:t>
            </w:r>
            <w:hyperlink r:id="rId23" w:tgtFrame="_blank" w:tooltip="Zakon o upravljanju javnega potniškega prometa (ZUJPP)" w:history="1">
              <w:r w:rsidRPr="00C50F53">
                <w:rPr>
                  <w:rFonts w:cs="Arial"/>
                  <w:color w:val="000000"/>
                  <w:szCs w:val="20"/>
                  <w:lang w:val="sl-SI"/>
                </w:rPr>
                <w:t>54/22</w:t>
              </w:r>
            </w:hyperlink>
            <w:r w:rsidRPr="00C50F53">
              <w:rPr>
                <w:rFonts w:cs="Arial"/>
                <w:color w:val="000000"/>
                <w:szCs w:val="20"/>
                <w:lang w:val="sl-SI"/>
              </w:rPr>
              <w:t> – ZUJPP in </w:t>
            </w:r>
            <w:hyperlink r:id="rId24" w:tgtFrame="_blank" w:tooltip="Zakon o spremembah in dopolnitvah Zakona o državni upravi (ZDU-1O)" w:history="1">
              <w:r w:rsidRPr="00C50F53">
                <w:rPr>
                  <w:rFonts w:cs="Arial"/>
                  <w:color w:val="000000"/>
                  <w:szCs w:val="20"/>
                  <w:lang w:val="sl-SI"/>
                </w:rPr>
                <w:t>18/23</w:t>
              </w:r>
            </w:hyperlink>
            <w:r w:rsidRPr="00C50F53">
              <w:rPr>
                <w:rFonts w:cs="Arial"/>
                <w:color w:val="000000"/>
                <w:szCs w:val="20"/>
                <w:lang w:val="sl-SI"/>
              </w:rPr>
              <w:t> – ZDU-1O; v nadaljnjem besedilu: ZZelP)</w:t>
            </w:r>
          </w:p>
        </w:tc>
      </w:tr>
      <w:tr w:rsidR="00C50F53" w:rsidRPr="00864C5E" w14:paraId="3DD32F91" w14:textId="77777777" w:rsidTr="00871886">
        <w:tc>
          <w:tcPr>
            <w:tcW w:w="1931" w:type="dxa"/>
            <w:vMerge/>
            <w:shd w:val="clear" w:color="auto" w:fill="auto"/>
          </w:tcPr>
          <w:p w14:paraId="576C1968"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69177EB3"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5648F1D"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xml:space="preserve">‒ prevozniki v železniškem prometu, kot so opredeljeni v 18. točki 2. člena ZZelP, vključno z upravljavci objektov </w:t>
            </w:r>
            <w:r w:rsidRPr="00C50F53">
              <w:rPr>
                <w:rFonts w:cs="Arial"/>
                <w:color w:val="000000"/>
                <w:szCs w:val="20"/>
                <w:lang w:val="sl-SI"/>
              </w:rPr>
              <w:lastRenderedPageBreak/>
              <w:t>za izvajanje železniških storitev, kot so opredeljeni v 28. točki 2. člena navedenega zakona</w:t>
            </w:r>
          </w:p>
        </w:tc>
      </w:tr>
      <w:tr w:rsidR="00C50F53" w:rsidRPr="00864C5E" w14:paraId="6F31DC41" w14:textId="77777777" w:rsidTr="00871886">
        <w:tc>
          <w:tcPr>
            <w:tcW w:w="1931" w:type="dxa"/>
            <w:vMerge/>
            <w:shd w:val="clear" w:color="auto" w:fill="auto"/>
          </w:tcPr>
          <w:p w14:paraId="69D493F5" w14:textId="77777777" w:rsidR="00C50F53" w:rsidRPr="00C50F53" w:rsidRDefault="00C50F53" w:rsidP="007660B3">
            <w:pPr>
              <w:spacing w:before="120" w:after="120" w:line="276" w:lineRule="auto"/>
              <w:rPr>
                <w:rFonts w:cs="Arial"/>
                <w:color w:val="000000"/>
                <w:szCs w:val="20"/>
                <w:lang w:val="sl-SI"/>
              </w:rPr>
            </w:pPr>
          </w:p>
        </w:tc>
        <w:tc>
          <w:tcPr>
            <w:tcW w:w="1549" w:type="dxa"/>
            <w:vMerge w:val="restart"/>
            <w:shd w:val="clear" w:color="auto" w:fill="auto"/>
          </w:tcPr>
          <w:p w14:paraId="1B3D066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(c) vodni</w:t>
            </w:r>
          </w:p>
        </w:tc>
        <w:tc>
          <w:tcPr>
            <w:tcW w:w="5809" w:type="dxa"/>
            <w:shd w:val="clear" w:color="auto" w:fill="auto"/>
          </w:tcPr>
          <w:p w14:paraId="0F2A920E"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prevozna podjetja za potniški in tovorni promet po kopenskih vodah, morju in obalnih vodah, kot so za področje vodnega prometa opredeljena v Prilogi I Uredbe št. 725/2004/ES</w:t>
            </w:r>
            <w:r w:rsidRPr="00C50F53">
              <w:rPr>
                <w:rStyle w:val="Sprotnaopomba-sklic"/>
                <w:rFonts w:cs="Arial"/>
                <w:color w:val="000000"/>
                <w:szCs w:val="20"/>
                <w:lang w:val="sl-SI"/>
              </w:rPr>
              <w:footnoteReference w:id="4"/>
            </w:r>
            <w:r w:rsidRPr="00C50F53">
              <w:rPr>
                <w:rFonts w:cs="Arial"/>
                <w:color w:val="000000"/>
                <w:szCs w:val="20"/>
                <w:lang w:val="sl-SI"/>
              </w:rPr>
              <w:t>, brez posameznih plovil, ki jih upravljajo ta podjetja</w:t>
            </w:r>
          </w:p>
        </w:tc>
      </w:tr>
      <w:tr w:rsidR="00C50F53" w:rsidRPr="00C50F53" w14:paraId="63A52E15" w14:textId="77777777" w:rsidTr="00871886">
        <w:tc>
          <w:tcPr>
            <w:tcW w:w="1931" w:type="dxa"/>
            <w:vMerge/>
            <w:shd w:val="clear" w:color="auto" w:fill="auto"/>
          </w:tcPr>
          <w:p w14:paraId="66DB9A27"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11B5C3C8"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05247B9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upravni organi pristanišč, kot so opredeljena v 32. členu Pomorskega zakonika (Uradni list RS, št. </w:t>
            </w:r>
            <w:hyperlink r:id="rId25" w:tgtFrame="_blank" w:tooltip="Zakon o železniškem prometu (uradno prečiščeno besedilo) (ZZelP-UPB8)" w:history="1">
              <w:r w:rsidRPr="00C50F53">
                <w:rPr>
                  <w:rFonts w:cs="Arial"/>
                  <w:color w:val="000000"/>
                  <w:szCs w:val="20"/>
                  <w:lang w:val="sl-SI"/>
                </w:rPr>
                <w:t>99/15</w:t>
              </w:r>
            </w:hyperlink>
            <w:r w:rsidRPr="00C50F53">
              <w:rPr>
                <w:rFonts w:cs="Arial"/>
                <w:color w:val="000000"/>
                <w:szCs w:val="20"/>
                <w:lang w:val="sl-SI"/>
              </w:rPr>
              <w:t> – uradno prečiščeno besedilo, </w:t>
            </w:r>
            <w:hyperlink r:id="rId26" w:tgtFrame="_blank" w:tooltip="Zakon o spremembah in dopolnitvah Zakona o železniškem prometu (ZZelP-K)" w:history="1">
              <w:r w:rsidRPr="00C50F53">
                <w:rPr>
                  <w:rFonts w:cs="Arial"/>
                  <w:color w:val="000000"/>
                  <w:szCs w:val="20"/>
                  <w:lang w:val="sl-SI"/>
                </w:rPr>
                <w:t>30/18</w:t>
              </w:r>
            </w:hyperlink>
            <w:r w:rsidRPr="00C50F53">
              <w:rPr>
                <w:rFonts w:cs="Arial"/>
                <w:color w:val="000000"/>
                <w:szCs w:val="20"/>
                <w:lang w:val="sl-SI"/>
              </w:rPr>
              <w:t>, </w:t>
            </w:r>
            <w:hyperlink r:id="rId27" w:tgtFrame="_blank" w:tooltip="Zakon o spremembah in dopolnitvah Zakona o železniškem prometu (ZZelP-L)" w:history="1">
              <w:r w:rsidRPr="00C50F53">
                <w:rPr>
                  <w:rFonts w:cs="Arial"/>
                  <w:color w:val="000000"/>
                  <w:szCs w:val="20"/>
                  <w:lang w:val="sl-SI"/>
                </w:rPr>
                <w:t>82/21</w:t>
              </w:r>
            </w:hyperlink>
            <w:r w:rsidRPr="00C50F53">
              <w:rPr>
                <w:rFonts w:cs="Arial"/>
                <w:color w:val="000000"/>
                <w:szCs w:val="20"/>
                <w:lang w:val="sl-SI"/>
              </w:rPr>
              <w:t>, </w:t>
            </w:r>
            <w:hyperlink r:id="rId28" w:tgtFrame="_blank" w:tooltip="Zakon o upravljanju javnega potniškega prometa (ZUJPP)" w:history="1">
              <w:r w:rsidRPr="00C50F53">
                <w:rPr>
                  <w:rFonts w:cs="Arial"/>
                  <w:color w:val="000000"/>
                  <w:szCs w:val="20"/>
                  <w:lang w:val="sl-SI"/>
                </w:rPr>
                <w:t>54/22</w:t>
              </w:r>
            </w:hyperlink>
            <w:r w:rsidRPr="00C50F53">
              <w:rPr>
                <w:rFonts w:cs="Arial"/>
                <w:color w:val="000000"/>
                <w:szCs w:val="20"/>
                <w:lang w:val="sl-SI"/>
              </w:rPr>
              <w:t> – ZUJPP in </w:t>
            </w:r>
            <w:hyperlink r:id="rId29" w:tgtFrame="_blank" w:tooltip="Zakon o spremembah in dopolnitvah Zakona o državni upravi (ZDU-1O)" w:history="1">
              <w:r w:rsidRPr="00C50F53">
                <w:rPr>
                  <w:rFonts w:cs="Arial"/>
                  <w:color w:val="000000"/>
                  <w:szCs w:val="20"/>
                  <w:lang w:val="sl-SI"/>
                </w:rPr>
                <w:t>18/23</w:t>
              </w:r>
            </w:hyperlink>
            <w:r w:rsidRPr="00C50F53">
              <w:rPr>
                <w:rFonts w:cs="Arial"/>
                <w:color w:val="000000"/>
                <w:szCs w:val="20"/>
                <w:lang w:val="sl-SI"/>
              </w:rPr>
              <w:t> – ZDU-1O; PZ), ter subjekti, ki izvajajo dela in upravljajo opremo v pristaniščih</w:t>
            </w:r>
          </w:p>
        </w:tc>
      </w:tr>
      <w:tr w:rsidR="00C50F53" w:rsidRPr="00C50F53" w14:paraId="2339EDEF" w14:textId="77777777" w:rsidTr="00871886">
        <w:tc>
          <w:tcPr>
            <w:tcW w:w="1931" w:type="dxa"/>
            <w:vMerge/>
            <w:shd w:val="clear" w:color="auto" w:fill="auto"/>
          </w:tcPr>
          <w:p w14:paraId="52E5D59D"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640B6C9"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0BB1133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sistemov za nadzor plovbe (VTS), kot so opredeljeni v 17. točki 3. člena Uredbe o nadzoru pomorskega prometa (Uradni list RS, št. </w:t>
            </w:r>
            <w:hyperlink r:id="rId30" w:tgtFrame="_blank" w:tooltip="Uredba o nadzoru pomorskega prometa" w:history="1">
              <w:r w:rsidRPr="00C50F53">
                <w:rPr>
                  <w:rFonts w:cs="Arial"/>
                  <w:color w:val="000000"/>
                  <w:szCs w:val="20"/>
                  <w:lang w:val="sl-SI"/>
                </w:rPr>
                <w:t>94/10</w:t>
              </w:r>
            </w:hyperlink>
            <w:r w:rsidRPr="00C50F53">
              <w:rPr>
                <w:rFonts w:cs="Arial"/>
                <w:color w:val="000000"/>
                <w:szCs w:val="20"/>
                <w:lang w:val="sl-SI"/>
              </w:rPr>
              <w:t>, </w:t>
            </w:r>
            <w:hyperlink r:id="rId31" w:tgtFrame="_blank" w:tooltip="Uredba o spremembah in dopolnitvah Uredbe o nadzoru pomorskega prometa" w:history="1">
              <w:r w:rsidRPr="00C50F53">
                <w:rPr>
                  <w:rFonts w:cs="Arial"/>
                  <w:color w:val="000000"/>
                  <w:szCs w:val="20"/>
                  <w:lang w:val="sl-SI"/>
                </w:rPr>
                <w:t>26/12</w:t>
              </w:r>
            </w:hyperlink>
            <w:r w:rsidRPr="00C50F53">
              <w:rPr>
                <w:rFonts w:cs="Arial"/>
                <w:color w:val="000000"/>
                <w:szCs w:val="20"/>
                <w:lang w:val="sl-SI"/>
              </w:rPr>
              <w:t> in </w:t>
            </w:r>
            <w:hyperlink r:id="rId32" w:tgtFrame="_blank" w:tooltip="Uredba o spremembah in dopolnitvah Uredbe o nadzoru pomorskega prometa" w:history="1">
              <w:r w:rsidRPr="00C50F53">
                <w:rPr>
                  <w:rFonts w:cs="Arial"/>
                  <w:color w:val="000000"/>
                  <w:szCs w:val="20"/>
                  <w:lang w:val="sl-SI"/>
                </w:rPr>
                <w:t>84/15</w:t>
              </w:r>
            </w:hyperlink>
            <w:r w:rsidRPr="00C50F53">
              <w:rPr>
                <w:rFonts w:cs="Arial"/>
                <w:color w:val="000000"/>
                <w:szCs w:val="20"/>
                <w:lang w:val="sl-SI"/>
              </w:rPr>
              <w:t>)</w:t>
            </w:r>
            <w:r w:rsidRPr="00C50F53">
              <w:rPr>
                <w:lang w:val="sl-SI"/>
              </w:rPr>
              <w:t xml:space="preserve"> </w:t>
            </w:r>
          </w:p>
        </w:tc>
      </w:tr>
      <w:tr w:rsidR="00C50F53" w:rsidRPr="00864C5E" w14:paraId="470CEEA6" w14:textId="77777777" w:rsidTr="00871886">
        <w:tc>
          <w:tcPr>
            <w:tcW w:w="1931" w:type="dxa"/>
            <w:vMerge/>
            <w:shd w:val="clear" w:color="auto" w:fill="auto"/>
          </w:tcPr>
          <w:p w14:paraId="0069A6F8" w14:textId="77777777" w:rsidR="00C50F53" w:rsidRPr="00C50F53" w:rsidRDefault="00C50F53" w:rsidP="007660B3">
            <w:pPr>
              <w:spacing w:before="120" w:after="120" w:line="276" w:lineRule="auto"/>
              <w:rPr>
                <w:rFonts w:cs="Arial"/>
                <w:color w:val="000000"/>
                <w:szCs w:val="20"/>
                <w:lang w:val="sl-SI"/>
              </w:rPr>
            </w:pPr>
          </w:p>
        </w:tc>
        <w:tc>
          <w:tcPr>
            <w:tcW w:w="1549" w:type="dxa"/>
            <w:vMerge w:val="restart"/>
            <w:shd w:val="clear" w:color="auto" w:fill="auto"/>
          </w:tcPr>
          <w:p w14:paraId="703733F5"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(č) cestni</w:t>
            </w:r>
          </w:p>
        </w:tc>
        <w:tc>
          <w:tcPr>
            <w:tcW w:w="5809" w:type="dxa"/>
            <w:shd w:val="clear" w:color="auto" w:fill="auto"/>
          </w:tcPr>
          <w:p w14:paraId="10D1433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cestni organi, kot so opredeljeni v 12. točki 2. člena Delegirane uredbe Komisije 2015/962/EU</w:t>
            </w:r>
            <w:r w:rsidRPr="00C50F53">
              <w:rPr>
                <w:rStyle w:val="Sprotnaopomba-sklic"/>
                <w:rFonts w:cs="Arial"/>
                <w:color w:val="000000"/>
                <w:szCs w:val="20"/>
                <w:lang w:val="sl-SI"/>
              </w:rPr>
              <w:footnoteReference w:id="5"/>
            </w:r>
            <w:r w:rsidRPr="00C50F53">
              <w:rPr>
                <w:rFonts w:cs="Arial"/>
                <w:color w:val="000000"/>
                <w:szCs w:val="20"/>
                <w:lang w:val="sl-SI"/>
              </w:rPr>
              <w:t xml:space="preserve"> in ki so odgovorni za nadzor upravljanja prometa, razen javnih subjektov, za katere je upravljanje prometa ali upravljanje inteligentnih prometnih sistemov le nebistveni del splošne dejavnosti</w:t>
            </w:r>
          </w:p>
        </w:tc>
      </w:tr>
      <w:tr w:rsidR="00C50F53" w:rsidRPr="00C50F53" w14:paraId="412C81CD" w14:textId="77777777" w:rsidTr="00871886">
        <w:tc>
          <w:tcPr>
            <w:tcW w:w="1931" w:type="dxa"/>
            <w:vMerge/>
            <w:shd w:val="clear" w:color="auto" w:fill="auto"/>
          </w:tcPr>
          <w:p w14:paraId="562C2354"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654433A"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9A3EFA0"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inteligentnih prometnih sistemov, kot so opredeljeni v 24. točki 2. člena Zakona o cestah (Uradni list RS, št. </w:t>
            </w:r>
            <w:hyperlink r:id="rId33" w:tgtFrame="_blank" w:tooltip="Zakon o cestah (ZCes-2)" w:history="1">
              <w:r w:rsidRPr="00C50F53">
                <w:rPr>
                  <w:rFonts w:cs="Arial"/>
                  <w:color w:val="000000"/>
                  <w:szCs w:val="20"/>
                  <w:lang w:val="sl-SI"/>
                </w:rPr>
                <w:t>132/22</w:t>
              </w:r>
            </w:hyperlink>
            <w:r w:rsidRPr="00C50F53">
              <w:rPr>
                <w:rFonts w:cs="Arial"/>
                <w:color w:val="000000"/>
                <w:szCs w:val="20"/>
                <w:lang w:val="sl-SI"/>
              </w:rPr>
              <w:t xml:space="preserve">, </w:t>
            </w:r>
            <w:hyperlink r:id="rId34" w:tgtFrame="_blank" w:tooltip="Zakon o spremembah in dopolnitvah Zakona o Slovenskem državnem holdingu (ZSDH-1A)" w:history="1">
              <w:r w:rsidRPr="00C50F53">
                <w:rPr>
                  <w:rFonts w:cs="Arial"/>
                  <w:color w:val="000000"/>
                  <w:szCs w:val="20"/>
                  <w:lang w:val="sl-SI"/>
                </w:rPr>
                <w:t>140/22</w:t>
              </w:r>
            </w:hyperlink>
            <w:r w:rsidRPr="00C50F53">
              <w:rPr>
                <w:rFonts w:cs="Arial"/>
                <w:color w:val="000000"/>
                <w:szCs w:val="20"/>
                <w:lang w:val="sl-SI"/>
              </w:rPr>
              <w:t xml:space="preserve"> – ZSDH-1A, </w:t>
            </w:r>
            <w:hyperlink r:id="rId35" w:tgtFrame="_blank" w:tooltip="Zakon o spremembah in dopolnitvah Zakona o cestah (ZCes-2A)" w:history="1">
              <w:r w:rsidRPr="00C50F53">
                <w:rPr>
                  <w:rFonts w:cs="Arial"/>
                  <w:color w:val="000000"/>
                  <w:szCs w:val="20"/>
                  <w:lang w:val="sl-SI"/>
                </w:rPr>
                <w:t>29/23</w:t>
              </w:r>
            </w:hyperlink>
            <w:r w:rsidRPr="00C50F53">
              <w:rPr>
                <w:rFonts w:cs="Arial"/>
                <w:color w:val="000000"/>
                <w:szCs w:val="20"/>
                <w:lang w:val="sl-SI"/>
              </w:rPr>
              <w:t xml:space="preserve"> in </w:t>
            </w:r>
            <w:hyperlink r:id="rId36" w:tgtFrame="_blank" w:tooltip="Zakon o uvajanju naprav za proizvodnjo električne energije iz obnovljivih virov energije (ZUNPEOVE)" w:history="1">
              <w:r w:rsidRPr="00C50F53">
                <w:rPr>
                  <w:rFonts w:cs="Arial"/>
                  <w:color w:val="000000"/>
                  <w:szCs w:val="20"/>
                  <w:lang w:val="sl-SI"/>
                </w:rPr>
                <w:t>78/23</w:t>
              </w:r>
            </w:hyperlink>
            <w:r w:rsidRPr="00C50F53">
              <w:rPr>
                <w:rFonts w:cs="Arial"/>
                <w:color w:val="000000"/>
                <w:szCs w:val="20"/>
                <w:lang w:val="sl-SI"/>
              </w:rPr>
              <w:t xml:space="preserve"> – ZUNPEOVE; ZCES-2)</w:t>
            </w:r>
          </w:p>
        </w:tc>
      </w:tr>
      <w:tr w:rsidR="00C50F53" w:rsidRPr="00C50F53" w14:paraId="77B4B853" w14:textId="77777777" w:rsidTr="00871886">
        <w:tc>
          <w:tcPr>
            <w:tcW w:w="1931" w:type="dxa"/>
            <w:shd w:val="clear" w:color="auto" w:fill="auto"/>
          </w:tcPr>
          <w:p w14:paraId="637C638C"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3. Bančništvo</w:t>
            </w:r>
          </w:p>
        </w:tc>
        <w:tc>
          <w:tcPr>
            <w:tcW w:w="1549" w:type="dxa"/>
            <w:shd w:val="clear" w:color="auto" w:fill="auto"/>
          </w:tcPr>
          <w:p w14:paraId="3603D60A"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C3711D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kreditne institucije, kot so opredeljene v 1. točki 4. člena Uredbe št. 575/2013/EU</w:t>
            </w:r>
            <w:r w:rsidRPr="00C50F53">
              <w:rPr>
                <w:rStyle w:val="Sprotnaopomba-sklic"/>
                <w:rFonts w:cs="Arial"/>
                <w:color w:val="000000"/>
                <w:szCs w:val="20"/>
                <w:lang w:val="sl-SI"/>
              </w:rPr>
              <w:footnoteReference w:id="6"/>
            </w:r>
          </w:p>
        </w:tc>
      </w:tr>
      <w:tr w:rsidR="00C50F53" w:rsidRPr="00C50F53" w14:paraId="3571A5C5" w14:textId="77777777" w:rsidTr="00871886">
        <w:tc>
          <w:tcPr>
            <w:tcW w:w="1931" w:type="dxa"/>
            <w:vMerge w:val="restart"/>
            <w:shd w:val="clear" w:color="auto" w:fill="auto"/>
          </w:tcPr>
          <w:p w14:paraId="6B104A13"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4. Infrastruktura finančnega trga</w:t>
            </w:r>
          </w:p>
        </w:tc>
        <w:tc>
          <w:tcPr>
            <w:tcW w:w="1549" w:type="dxa"/>
            <w:vMerge w:val="restart"/>
            <w:shd w:val="clear" w:color="auto" w:fill="auto"/>
          </w:tcPr>
          <w:p w14:paraId="6AF6B9E7"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646CEA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mest trgovanja, kot so opredeljena v 26. členu Zakona o trgu finančnih instrumentov (Uradni list RS, št. </w:t>
            </w:r>
            <w:hyperlink r:id="rId37" w:tgtFrame="_blank" w:tooltip="Zakon o trgu finančnih instrumentov (ZTFI-1)" w:history="1">
              <w:r w:rsidRPr="00C50F53">
                <w:rPr>
                  <w:rFonts w:cs="Arial"/>
                  <w:color w:val="000000"/>
                  <w:szCs w:val="20"/>
                  <w:lang w:val="sl-SI"/>
                </w:rPr>
                <w:t>77/18</w:t>
              </w:r>
            </w:hyperlink>
            <w:r w:rsidRPr="00C50F53">
              <w:rPr>
                <w:rFonts w:cs="Arial"/>
                <w:color w:val="000000"/>
                <w:szCs w:val="20"/>
                <w:lang w:val="sl-SI"/>
              </w:rPr>
              <w:t>, </w:t>
            </w:r>
            <w:hyperlink r:id="rId38" w:tgtFrame="_blank" w:tooltip="Popravek Zakona o trgu finančnih instrumentov (ZTFI-1)" w:history="1">
              <w:r w:rsidRPr="00C50F53">
                <w:rPr>
                  <w:rFonts w:cs="Arial"/>
                  <w:color w:val="000000"/>
                  <w:szCs w:val="20"/>
                  <w:lang w:val="sl-SI"/>
                </w:rPr>
                <w:t>17/19</w:t>
              </w:r>
            </w:hyperlink>
            <w:r w:rsidRPr="00C50F53">
              <w:rPr>
                <w:rFonts w:cs="Arial"/>
                <w:color w:val="000000"/>
                <w:szCs w:val="20"/>
                <w:lang w:val="sl-SI"/>
              </w:rPr>
              <w:t> – popr., </w:t>
            </w:r>
            <w:hyperlink r:id="rId39" w:tgtFrame="_blank" w:tooltip="Zakon o spremembah in dopolnitvah Zakona o trgu finančnih instrumentov (ZTFI-1A)" w:history="1">
              <w:r w:rsidRPr="00C50F53">
                <w:rPr>
                  <w:rFonts w:cs="Arial"/>
                  <w:color w:val="000000"/>
                  <w:szCs w:val="20"/>
                  <w:lang w:val="sl-SI"/>
                </w:rPr>
                <w:t>66/19</w:t>
              </w:r>
            </w:hyperlink>
            <w:r w:rsidRPr="00C50F53">
              <w:rPr>
                <w:rFonts w:cs="Arial"/>
                <w:color w:val="000000"/>
                <w:szCs w:val="20"/>
                <w:lang w:val="sl-SI"/>
              </w:rPr>
              <w:t>, </w:t>
            </w:r>
            <w:hyperlink r:id="rId40" w:tgtFrame="_blank" w:tooltip="Zakon o spremembah in dopolnitvah Zakona o trgu finančnih instrumentov (ZTFI-1B)" w:history="1">
              <w:r w:rsidRPr="00C50F53">
                <w:rPr>
                  <w:rFonts w:cs="Arial"/>
                  <w:color w:val="000000"/>
                  <w:szCs w:val="20"/>
                  <w:lang w:val="sl-SI"/>
                </w:rPr>
                <w:t>123/21</w:t>
              </w:r>
            </w:hyperlink>
            <w:r w:rsidRPr="00C50F53">
              <w:rPr>
                <w:rFonts w:cs="Arial"/>
                <w:color w:val="000000"/>
                <w:szCs w:val="20"/>
                <w:lang w:val="sl-SI"/>
              </w:rPr>
              <w:t> in </w:t>
            </w:r>
            <w:hyperlink r:id="rId41" w:tgtFrame="_blank" w:tooltip="Zakon o spremembah in dopolnitvah Zakona o trgu finančnih instrumentov (ZTFI-1C)" w:history="1">
              <w:r w:rsidRPr="00C50F53">
                <w:rPr>
                  <w:rFonts w:cs="Arial"/>
                  <w:color w:val="000000"/>
                  <w:szCs w:val="20"/>
                  <w:lang w:val="sl-SI"/>
                </w:rPr>
                <w:t>45/24</w:t>
              </w:r>
            </w:hyperlink>
            <w:r w:rsidRPr="00C50F53">
              <w:rPr>
                <w:rFonts w:cs="Arial"/>
                <w:color w:val="000000"/>
                <w:szCs w:val="20"/>
                <w:lang w:val="sl-SI"/>
              </w:rPr>
              <w:t>; ZTFI-1)</w:t>
            </w:r>
          </w:p>
        </w:tc>
      </w:tr>
      <w:tr w:rsidR="00C50F53" w:rsidRPr="00C50F53" w14:paraId="6CB355AF" w14:textId="77777777" w:rsidTr="00871886">
        <w:tc>
          <w:tcPr>
            <w:tcW w:w="1931" w:type="dxa"/>
            <w:vMerge/>
            <w:shd w:val="clear" w:color="auto" w:fill="auto"/>
          </w:tcPr>
          <w:p w14:paraId="63F141A5"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397030EE"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011FA1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centralne nasprotne stranke, kot so opredeljene v 1. točki 2. člena Uredbe št. 648/2012/EU</w:t>
            </w:r>
            <w:r w:rsidRPr="00C50F53">
              <w:rPr>
                <w:rStyle w:val="Sprotnaopomba-sklic"/>
                <w:rFonts w:cs="Arial"/>
                <w:color w:val="000000"/>
                <w:szCs w:val="20"/>
                <w:lang w:val="sl-SI"/>
              </w:rPr>
              <w:footnoteReference w:id="7"/>
            </w:r>
          </w:p>
        </w:tc>
      </w:tr>
      <w:tr w:rsidR="00C50F53" w:rsidRPr="00864C5E" w14:paraId="7A08A004" w14:textId="77777777" w:rsidTr="00871886">
        <w:tc>
          <w:tcPr>
            <w:tcW w:w="1931" w:type="dxa"/>
            <w:vMerge w:val="restart"/>
            <w:shd w:val="clear" w:color="auto" w:fill="auto"/>
          </w:tcPr>
          <w:p w14:paraId="36EB0FE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5. Zdravje</w:t>
            </w:r>
          </w:p>
        </w:tc>
        <w:tc>
          <w:tcPr>
            <w:tcW w:w="1549" w:type="dxa"/>
            <w:vMerge w:val="restart"/>
            <w:shd w:val="clear" w:color="auto" w:fill="auto"/>
          </w:tcPr>
          <w:p w14:paraId="72CE48DD"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6ECE43B6"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xml:space="preserve">‒ izvajalci zdravstvene dejavnosti, kot so opredeljeni v tretjem členu Zakona o zdravstveni dejavnosti (Uradni </w:t>
            </w:r>
            <w:r w:rsidRPr="00C50F53">
              <w:rPr>
                <w:rFonts w:cs="Arial"/>
                <w:color w:val="000000"/>
                <w:szCs w:val="20"/>
                <w:lang w:val="sl-SI"/>
              </w:rPr>
              <w:lastRenderedPageBreak/>
              <w:t>list RS, št. </w:t>
            </w:r>
            <w:hyperlink r:id="rId42" w:tgtFrame="_blank" w:tooltip="Zakon o zdravstveni dejavnosti (uradno prečiščeno besedilo) (ZZDej-UPB2)" w:history="1">
              <w:r w:rsidRPr="00C50F53">
                <w:rPr>
                  <w:rFonts w:cs="Arial"/>
                  <w:color w:val="000000"/>
                  <w:szCs w:val="20"/>
                  <w:lang w:val="sl-SI"/>
                </w:rPr>
                <w:t>23/05</w:t>
              </w:r>
            </w:hyperlink>
            <w:r w:rsidRPr="00C50F53">
              <w:rPr>
                <w:rFonts w:cs="Arial"/>
                <w:color w:val="000000"/>
                <w:szCs w:val="20"/>
                <w:lang w:val="sl-SI"/>
              </w:rPr>
              <w:t xml:space="preserve"> – uradno prečiščeno besedilo, </w:t>
            </w:r>
            <w:hyperlink r:id="rId43" w:tgtFrame="_blank" w:tooltip="Zakon o pacientovih pravicah (ZPacP)" w:history="1">
              <w:r w:rsidRPr="00C50F53">
                <w:rPr>
                  <w:rFonts w:cs="Arial"/>
                  <w:color w:val="000000"/>
                  <w:szCs w:val="20"/>
                  <w:lang w:val="sl-SI"/>
                </w:rPr>
                <w:t>15/08</w:t>
              </w:r>
            </w:hyperlink>
            <w:r w:rsidRPr="00C50F53">
              <w:rPr>
                <w:rFonts w:cs="Arial"/>
                <w:color w:val="000000"/>
                <w:szCs w:val="20"/>
                <w:lang w:val="sl-SI"/>
              </w:rPr>
              <w:t xml:space="preserve"> – ZPacP, </w:t>
            </w:r>
            <w:hyperlink r:id="rId44" w:tgtFrame="_blank" w:tooltip="Zakon o spremembah in dopolnitvah Zakona o zdravstveni dejavnosti (ZZDej-I)" w:history="1">
              <w:r w:rsidRPr="00C50F53">
                <w:rPr>
                  <w:rFonts w:cs="Arial"/>
                  <w:color w:val="000000"/>
                  <w:szCs w:val="20"/>
                  <w:lang w:val="sl-SI"/>
                </w:rPr>
                <w:t>23/08</w:t>
              </w:r>
            </w:hyperlink>
            <w:r w:rsidRPr="00C50F53">
              <w:rPr>
                <w:rFonts w:cs="Arial"/>
                <w:color w:val="000000"/>
                <w:szCs w:val="20"/>
                <w:lang w:val="sl-SI"/>
              </w:rPr>
              <w:t>, </w:t>
            </w:r>
            <w:hyperlink r:id="rId45" w:tgtFrame="_blank" w:tooltip="Zakon o spremembah in dopolnitvah Zakona o zdravniški službi (ZZdrS-E)" w:history="1">
              <w:r w:rsidRPr="00C50F53">
                <w:rPr>
                  <w:rFonts w:cs="Arial"/>
                  <w:color w:val="000000"/>
                  <w:szCs w:val="20"/>
                  <w:lang w:val="sl-SI"/>
                </w:rPr>
                <w:t>58/08</w:t>
              </w:r>
            </w:hyperlink>
            <w:r w:rsidRPr="00C50F53">
              <w:rPr>
                <w:rFonts w:cs="Arial"/>
                <w:color w:val="000000"/>
                <w:szCs w:val="20"/>
                <w:lang w:val="sl-SI"/>
              </w:rPr>
              <w:t> – ZZdrS-E, </w:t>
            </w:r>
            <w:hyperlink r:id="rId46" w:tgtFrame="_blank" w:tooltip="Zakon o duševnem zdravju (ZDZdr)" w:history="1">
              <w:r w:rsidRPr="00C50F53">
                <w:rPr>
                  <w:rFonts w:cs="Arial"/>
                  <w:color w:val="000000"/>
                  <w:szCs w:val="20"/>
                  <w:lang w:val="sl-SI"/>
                </w:rPr>
                <w:t>77/08</w:t>
              </w:r>
            </w:hyperlink>
            <w:r w:rsidRPr="00C50F53">
              <w:rPr>
                <w:rFonts w:cs="Arial"/>
                <w:color w:val="000000"/>
                <w:szCs w:val="20"/>
                <w:lang w:val="sl-SI"/>
              </w:rPr>
              <w:t> – ZDZdr, </w:t>
            </w:r>
            <w:hyperlink r:id="rId47" w:tgtFrame="_blank" w:tooltip="Zakon za uravnoteženje javnih financ (ZUJF)" w:history="1">
              <w:r w:rsidRPr="00C50F53">
                <w:rPr>
                  <w:rFonts w:cs="Arial"/>
                  <w:color w:val="000000"/>
                  <w:szCs w:val="20"/>
                  <w:lang w:val="sl-SI"/>
                </w:rPr>
                <w:t>40/12</w:t>
              </w:r>
            </w:hyperlink>
            <w:r w:rsidRPr="00C50F53">
              <w:rPr>
                <w:rFonts w:cs="Arial"/>
                <w:color w:val="000000"/>
                <w:szCs w:val="20"/>
                <w:lang w:val="sl-SI"/>
              </w:rPr>
              <w:t> – ZUJF, </w:t>
            </w:r>
            <w:hyperlink r:id="rId48" w:tgtFrame="_blank" w:tooltip="Zakon o spremembah in dopolnitvah Zakona o zdravstveni dejavnosti (ZZDej-J)" w:history="1">
              <w:r w:rsidRPr="00C50F53">
                <w:rPr>
                  <w:rFonts w:cs="Arial"/>
                  <w:color w:val="000000"/>
                  <w:szCs w:val="20"/>
                  <w:lang w:val="sl-SI"/>
                </w:rPr>
                <w:t>14/13</w:t>
              </w:r>
            </w:hyperlink>
            <w:r w:rsidRPr="00C50F53">
              <w:rPr>
                <w:rFonts w:cs="Arial"/>
                <w:color w:val="000000"/>
                <w:szCs w:val="20"/>
                <w:lang w:val="sl-SI"/>
              </w:rPr>
              <w:t>, </w:t>
            </w:r>
            <w:hyperlink r:id="rId49" w:tgtFrame="_blank" w:tooltip="Zakon o spremembah in dopolnitvah določenih zakonov s področja zdravstvene dejavnosti (ZdZPZD)" w:history="1">
              <w:r w:rsidRPr="00C50F53">
                <w:rPr>
                  <w:rFonts w:cs="Arial"/>
                  <w:color w:val="000000"/>
                  <w:szCs w:val="20"/>
                  <w:lang w:val="sl-SI"/>
                </w:rPr>
                <w:t>88/16</w:t>
              </w:r>
            </w:hyperlink>
            <w:r w:rsidRPr="00C50F53">
              <w:rPr>
                <w:rFonts w:cs="Arial"/>
                <w:color w:val="000000"/>
                <w:szCs w:val="20"/>
                <w:lang w:val="sl-SI"/>
              </w:rPr>
              <w:t> – ZdZPZD, </w:t>
            </w:r>
            <w:hyperlink r:id="rId50" w:tgtFrame="_blank" w:tooltip="Zakon o spremembah in dopolnitvah Zakona o zdravstveni dejavnosti (ZZDej-K)" w:history="1">
              <w:r w:rsidRPr="00C50F53">
                <w:rPr>
                  <w:rFonts w:cs="Arial"/>
                  <w:color w:val="000000"/>
                  <w:szCs w:val="20"/>
                  <w:lang w:val="sl-SI"/>
                </w:rPr>
                <w:t>64/17</w:t>
              </w:r>
            </w:hyperlink>
            <w:r w:rsidRPr="00C50F53">
              <w:rPr>
                <w:rFonts w:cs="Arial"/>
                <w:color w:val="000000"/>
                <w:szCs w:val="20"/>
                <w:lang w:val="sl-SI"/>
              </w:rPr>
              <w:t>, </w:t>
            </w:r>
            <w:hyperlink r:id="rId51" w:tgtFrame="_blank" w:tooltip="Odločba o delni razveljavitvi druge povedi drugega odstavka 3. člena Zakona o zdravstveni dejavnosti, Odločba o ugotovitvi, da prvi in tretji odstavek 42. člena Zakona o zdravstveni dejavnosti nista v neskladju z Ustavo" w:history="1">
              <w:r w:rsidRPr="00C50F53">
                <w:rPr>
                  <w:rFonts w:cs="Arial"/>
                  <w:color w:val="000000"/>
                  <w:szCs w:val="20"/>
                  <w:lang w:val="sl-SI"/>
                </w:rPr>
                <w:t>1/19</w:t>
              </w:r>
            </w:hyperlink>
            <w:r w:rsidRPr="00C50F53">
              <w:rPr>
                <w:rFonts w:cs="Arial"/>
                <w:color w:val="000000"/>
                <w:szCs w:val="20"/>
                <w:lang w:val="sl-SI"/>
              </w:rPr>
              <w:t> – odl. US, </w:t>
            </w:r>
            <w:hyperlink r:id="rId52" w:tgtFrame="_blank" w:tooltip="Zakon o spremembah in dopolnitvah Zakona o zdravstveni dejavnosti (ZZDej-L)" w:history="1">
              <w:r w:rsidRPr="00C50F53">
                <w:rPr>
                  <w:rFonts w:cs="Arial"/>
                  <w:color w:val="000000"/>
                  <w:szCs w:val="20"/>
                  <w:lang w:val="sl-SI"/>
                </w:rPr>
                <w:t>73/19</w:t>
              </w:r>
            </w:hyperlink>
            <w:r w:rsidRPr="00C50F53">
              <w:rPr>
                <w:rFonts w:cs="Arial"/>
                <w:color w:val="000000"/>
                <w:szCs w:val="20"/>
                <w:lang w:val="sl-SI"/>
              </w:rPr>
              <w:t>, </w:t>
            </w:r>
            <w:hyperlink r:id="rId53" w:tgtFrame="_blank" w:tooltip="Zakon o dopolnitvi Zakona o zdravstveni dejavnosti (ZZDej-M)" w:history="1">
              <w:r w:rsidRPr="00C50F53">
                <w:rPr>
                  <w:rFonts w:cs="Arial"/>
                  <w:color w:val="000000"/>
                  <w:szCs w:val="20"/>
                  <w:lang w:val="sl-SI"/>
                </w:rPr>
                <w:t>82/20</w:t>
              </w:r>
            </w:hyperlink>
            <w:r w:rsidRPr="00C50F53">
              <w:rPr>
                <w:rFonts w:cs="Arial"/>
                <w:color w:val="000000"/>
                <w:szCs w:val="20"/>
                <w:lang w:val="sl-SI"/>
              </w:rPr>
              <w:t>, </w:t>
            </w:r>
            <w:hyperlink r:id="rId54" w:tgtFrame="_blank" w:tooltip="Zakon o začasnih ukrepih za omilitev in odpravo posledic COVID-19 (ZZUOOP)" w:history="1">
              <w:r w:rsidRPr="00C50F53">
                <w:rPr>
                  <w:rFonts w:cs="Arial"/>
                  <w:color w:val="000000"/>
                  <w:szCs w:val="20"/>
                  <w:lang w:val="sl-SI"/>
                </w:rPr>
                <w:t>152/20</w:t>
              </w:r>
            </w:hyperlink>
            <w:r w:rsidRPr="00C50F53">
              <w:rPr>
                <w:rFonts w:cs="Arial"/>
                <w:color w:val="000000"/>
                <w:szCs w:val="20"/>
                <w:lang w:val="sl-SI"/>
              </w:rPr>
              <w:t> – ZZUOOP, </w:t>
            </w:r>
            <w:hyperlink r:id="rId55" w:tgtFrame="_blank" w:tooltip="Zakon o interventnih ukrepih za pomoč pri omilitvi posledic drugega vala epidemije COVID-19 (ZIUPOPDVE)" w:history="1">
              <w:r w:rsidRPr="00C50F53">
                <w:rPr>
                  <w:rFonts w:cs="Arial"/>
                  <w:color w:val="000000"/>
                  <w:szCs w:val="20"/>
                  <w:lang w:val="sl-SI"/>
                </w:rPr>
                <w:t>203/20</w:t>
              </w:r>
            </w:hyperlink>
            <w:r w:rsidRPr="00C50F53">
              <w:rPr>
                <w:rFonts w:cs="Arial"/>
                <w:color w:val="000000"/>
                <w:szCs w:val="20"/>
                <w:lang w:val="sl-SI"/>
              </w:rPr>
              <w:t> – ZIUPOPDVE, </w:t>
            </w:r>
            <w:hyperlink r:id="rId56" w:tgtFrame="_blank" w:tooltip="Zakon o nujnih ukrepih na področju zdravstva (ZNUPZ)" w:history="1">
              <w:r w:rsidRPr="00C50F53">
                <w:rPr>
                  <w:rFonts w:cs="Arial"/>
                  <w:color w:val="000000"/>
                  <w:szCs w:val="20"/>
                  <w:lang w:val="sl-SI"/>
                </w:rPr>
                <w:t>112/21</w:t>
              </w:r>
            </w:hyperlink>
            <w:r w:rsidRPr="00C50F53">
              <w:rPr>
                <w:rFonts w:cs="Arial"/>
                <w:color w:val="000000"/>
                <w:szCs w:val="20"/>
                <w:lang w:val="sl-SI"/>
              </w:rPr>
              <w:t> – ZNUPZ, </w:t>
            </w:r>
            <w:hyperlink r:id="rId57" w:tgtFrame="_blank" w:tooltip="Zakon o dolgotrajni oskrbi (ZDOsk)" w:history="1">
              <w:r w:rsidRPr="00C50F53">
                <w:rPr>
                  <w:rFonts w:cs="Arial"/>
                  <w:color w:val="000000"/>
                  <w:szCs w:val="20"/>
                  <w:lang w:val="sl-SI"/>
                </w:rPr>
                <w:t>196/21</w:t>
              </w:r>
            </w:hyperlink>
            <w:r w:rsidRPr="00C50F53">
              <w:rPr>
                <w:rFonts w:cs="Arial"/>
                <w:color w:val="000000"/>
                <w:szCs w:val="20"/>
                <w:lang w:val="sl-SI"/>
              </w:rPr>
              <w:t> – ZDOsk, </w:t>
            </w:r>
            <w:hyperlink r:id="rId58" w:tgtFrame="_blank" w:tooltip="Zakon o nujnih ukrepih za zagotovitev stabilnosti zdravstvenega sistema (ZNUZSZS)" w:history="1">
              <w:r w:rsidRPr="00C50F53">
                <w:rPr>
                  <w:rFonts w:cs="Arial"/>
                  <w:color w:val="000000"/>
                  <w:szCs w:val="20"/>
                  <w:lang w:val="sl-SI"/>
                </w:rPr>
                <w:t>100/22</w:t>
              </w:r>
            </w:hyperlink>
            <w:r w:rsidRPr="00C50F53">
              <w:rPr>
                <w:rFonts w:cs="Arial"/>
                <w:color w:val="000000"/>
                <w:szCs w:val="20"/>
                <w:lang w:val="sl-SI"/>
              </w:rPr>
              <w:t> – ZNUZSZS, </w:t>
            </w:r>
            <w:hyperlink r:id="rId59" w:tgtFrame="_blank" w:tooltip="Odločba o delni razveljavitvi druge povedi drugega odstavka 3. člena Zakona o zdravstveni dejavnosti" w:history="1">
              <w:r w:rsidRPr="00C50F53">
                <w:rPr>
                  <w:rFonts w:cs="Arial"/>
                  <w:color w:val="000000"/>
                  <w:szCs w:val="20"/>
                  <w:lang w:val="sl-SI"/>
                </w:rPr>
                <w:t>132/22</w:t>
              </w:r>
            </w:hyperlink>
            <w:r w:rsidRPr="00C50F53">
              <w:rPr>
                <w:rFonts w:cs="Arial"/>
                <w:color w:val="000000"/>
                <w:szCs w:val="20"/>
                <w:lang w:val="sl-SI"/>
              </w:rPr>
              <w:t> – odl. US, </w:t>
            </w:r>
            <w:hyperlink r:id="rId60" w:tgtFrame="_blank" w:tooltip="Zakon o nujnih ukrepih za zajezitev širjenja in blaženja posledic nalezljive bolezni COVID-19 na področju zdravstva (ZNUNBZ)" w:history="1">
              <w:r w:rsidRPr="00C50F53">
                <w:rPr>
                  <w:rFonts w:cs="Arial"/>
                  <w:color w:val="000000"/>
                  <w:szCs w:val="20"/>
                  <w:lang w:val="sl-SI"/>
                </w:rPr>
                <w:t>141/22</w:t>
              </w:r>
            </w:hyperlink>
            <w:r w:rsidRPr="00C50F53">
              <w:rPr>
                <w:rFonts w:cs="Arial"/>
                <w:color w:val="000000"/>
                <w:szCs w:val="20"/>
                <w:lang w:val="sl-SI"/>
              </w:rPr>
              <w:t> – ZNUNBZ, </w:t>
            </w:r>
            <w:hyperlink r:id="rId61"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C50F53">
                <w:rPr>
                  <w:rFonts w:cs="Arial"/>
                  <w:color w:val="000000"/>
                  <w:szCs w:val="20"/>
                  <w:lang w:val="sl-SI"/>
                </w:rPr>
                <w:t>14/23</w:t>
              </w:r>
            </w:hyperlink>
            <w:r w:rsidRPr="00C50F53">
              <w:rPr>
                <w:rFonts w:cs="Arial"/>
                <w:color w:val="000000"/>
                <w:szCs w:val="20"/>
                <w:lang w:val="sl-SI"/>
              </w:rPr>
              <w:t> – odl. US in </w:t>
            </w:r>
            <w:hyperlink r:id="rId62" w:tgtFrame="_blank" w:tooltip="Zakon o dolgotrajni oskrbi (ZDOsk-1)" w:history="1">
              <w:r w:rsidRPr="00C50F53">
                <w:rPr>
                  <w:rFonts w:cs="Arial"/>
                  <w:color w:val="000000"/>
                  <w:szCs w:val="20"/>
                  <w:lang w:val="sl-SI"/>
                </w:rPr>
                <w:t>84/23</w:t>
              </w:r>
            </w:hyperlink>
            <w:r w:rsidRPr="00C50F53">
              <w:rPr>
                <w:rFonts w:cs="Arial"/>
                <w:color w:val="000000"/>
                <w:szCs w:val="20"/>
                <w:lang w:val="sl-SI"/>
              </w:rPr>
              <w:t> – ZDOsk-1; ZZDej)</w:t>
            </w:r>
          </w:p>
        </w:tc>
      </w:tr>
      <w:tr w:rsidR="00C50F53" w:rsidRPr="00864C5E" w14:paraId="1C19C02C" w14:textId="77777777" w:rsidTr="00871886">
        <w:tc>
          <w:tcPr>
            <w:tcW w:w="1931" w:type="dxa"/>
            <w:vMerge/>
            <w:shd w:val="clear" w:color="auto" w:fill="auto"/>
          </w:tcPr>
          <w:p w14:paraId="37EF9FE2"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ED56043"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ADAEF43"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referenčni laboratoriji EU iz 15. člena Uredbe 2022/2371/EU</w:t>
            </w:r>
            <w:r w:rsidRPr="00C50F53">
              <w:rPr>
                <w:rStyle w:val="Sprotnaopomba-sklic"/>
                <w:rFonts w:cs="Arial"/>
                <w:color w:val="000000"/>
                <w:szCs w:val="20"/>
                <w:lang w:val="sl-SI"/>
              </w:rPr>
              <w:footnoteReference w:id="8"/>
            </w:r>
          </w:p>
        </w:tc>
      </w:tr>
      <w:tr w:rsidR="00C50F53" w:rsidRPr="00C50F53" w14:paraId="522B5188" w14:textId="77777777" w:rsidTr="00871886">
        <w:tc>
          <w:tcPr>
            <w:tcW w:w="1931" w:type="dxa"/>
            <w:vMerge/>
            <w:shd w:val="clear" w:color="auto" w:fill="auto"/>
          </w:tcPr>
          <w:p w14:paraId="22EE21DE"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2495F8DF"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87957D5"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subjekti, ki izvajajo raziskovalne in razvojne dejavnosti na področju zdravil, kot so opredeljena v 5. členu Zakona o zdravilih (Uradni list RS, št. </w:t>
            </w:r>
            <w:hyperlink r:id="rId63" w:tgtFrame="_blank" w:tooltip="Zakon o zdravilih (ZZdr-2)" w:history="1">
              <w:r w:rsidRPr="00C50F53">
                <w:rPr>
                  <w:rFonts w:cs="Arial"/>
                  <w:color w:val="000000"/>
                  <w:szCs w:val="20"/>
                  <w:lang w:val="sl-SI"/>
                </w:rPr>
                <w:t>17/14</w:t>
              </w:r>
            </w:hyperlink>
            <w:r w:rsidRPr="00C50F53">
              <w:rPr>
                <w:rFonts w:cs="Arial"/>
                <w:color w:val="000000"/>
                <w:szCs w:val="20"/>
                <w:lang w:val="sl-SI"/>
              </w:rPr>
              <w:t> in </w:t>
            </w:r>
            <w:hyperlink r:id="rId64" w:tgtFrame="_blank" w:tooltip="Zakon o spremembah in dopolnitvah Zakona o zdravilih (ZZdr-2A)" w:history="1">
              <w:r w:rsidRPr="00C50F53">
                <w:rPr>
                  <w:rFonts w:cs="Arial"/>
                  <w:color w:val="000000"/>
                  <w:szCs w:val="20"/>
                  <w:lang w:val="sl-SI"/>
                </w:rPr>
                <w:t>66/19</w:t>
              </w:r>
            </w:hyperlink>
            <w:r w:rsidRPr="00C50F53">
              <w:rPr>
                <w:rFonts w:cs="Arial"/>
                <w:color w:val="000000"/>
                <w:szCs w:val="20"/>
                <w:lang w:val="sl-SI"/>
              </w:rPr>
              <w:t>; v nadaljnjem besedilu: ZZdr-2)</w:t>
            </w:r>
          </w:p>
        </w:tc>
      </w:tr>
      <w:tr w:rsidR="00C50F53" w:rsidRPr="00C50F53" w14:paraId="794F8017" w14:textId="77777777" w:rsidTr="00871886">
        <w:tc>
          <w:tcPr>
            <w:tcW w:w="1931" w:type="dxa"/>
            <w:vMerge/>
            <w:shd w:val="clear" w:color="auto" w:fill="auto"/>
          </w:tcPr>
          <w:p w14:paraId="62E3AF5D"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3CB5E46"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3BEC74F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subjekti, ki proizvajajo farmacevtske surovine in preparate s področja C oddelka 21 Uredbe 1893/2006/ES (v nadaljnjem besedilu: NACE Rev. 2)</w:t>
            </w:r>
            <w:r w:rsidRPr="00C50F53">
              <w:rPr>
                <w:rStyle w:val="Sprotnaopomba-sklic"/>
                <w:rFonts w:cs="Arial"/>
                <w:color w:val="000000"/>
                <w:szCs w:val="20"/>
                <w:lang w:val="sl-SI"/>
              </w:rPr>
              <w:footnoteReference w:id="9"/>
            </w:r>
          </w:p>
        </w:tc>
      </w:tr>
      <w:tr w:rsidR="00C50F53" w:rsidRPr="00864C5E" w14:paraId="25694AEC" w14:textId="77777777" w:rsidTr="00871886">
        <w:trPr>
          <w:trHeight w:val="522"/>
        </w:trPr>
        <w:tc>
          <w:tcPr>
            <w:tcW w:w="1931" w:type="dxa"/>
            <w:vMerge/>
            <w:shd w:val="clear" w:color="auto" w:fill="auto"/>
          </w:tcPr>
          <w:p w14:paraId="79F1EF2F"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171CF97"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635B4E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subjekti, ki proizvajajo medicinske pripomočke, ki se štejejo za kritične v času izrednih razmer v javnem zdravju (seznam kritičnih pripomočkov v izrednih razmerah v javnem zdravju) v smislu 22. člena Uredbe 2022/123/EU</w:t>
            </w:r>
            <w:r w:rsidRPr="00C50F53">
              <w:rPr>
                <w:rStyle w:val="Sprotnaopomba-sklic"/>
                <w:rFonts w:cs="Arial"/>
                <w:color w:val="000000"/>
                <w:szCs w:val="20"/>
                <w:lang w:val="sl-SI"/>
              </w:rPr>
              <w:footnoteReference w:id="10"/>
            </w:r>
          </w:p>
        </w:tc>
      </w:tr>
      <w:tr w:rsidR="00C50F53" w:rsidRPr="00864C5E" w14:paraId="3FF191E3" w14:textId="77777777" w:rsidTr="00871886">
        <w:trPr>
          <w:trHeight w:val="521"/>
        </w:trPr>
        <w:tc>
          <w:tcPr>
            <w:tcW w:w="1931" w:type="dxa"/>
            <w:vMerge/>
            <w:shd w:val="clear" w:color="auto" w:fill="auto"/>
          </w:tcPr>
          <w:p w14:paraId="536C0D22"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7340C38A"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69A7E7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subjekti, ki imajo dovoljenje za promet z zdravili na debelo iz 107. člena ZZdr-2</w:t>
            </w:r>
          </w:p>
        </w:tc>
      </w:tr>
      <w:tr w:rsidR="00C50F53" w:rsidRPr="00864C5E" w14:paraId="3CA95999" w14:textId="77777777" w:rsidTr="00871886">
        <w:tc>
          <w:tcPr>
            <w:tcW w:w="1931" w:type="dxa"/>
            <w:shd w:val="clear" w:color="auto" w:fill="auto"/>
          </w:tcPr>
          <w:p w14:paraId="31768D5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6. Pitna voda</w:t>
            </w:r>
          </w:p>
        </w:tc>
        <w:tc>
          <w:tcPr>
            <w:tcW w:w="1549" w:type="dxa"/>
            <w:shd w:val="clear" w:color="auto" w:fill="auto"/>
          </w:tcPr>
          <w:p w14:paraId="2C189D84"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75FAE2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dobavitelji in distributerji pitne vode, kot je opredeljena v 13. točki 2. člena Uredbe o pitni vodi (Uradni list RS, št. </w:t>
            </w:r>
            <w:hyperlink r:id="rId65" w:tgtFrame="_blank" w:tooltip="Uredba o pitni vodi" w:history="1">
              <w:r w:rsidRPr="00C50F53">
                <w:rPr>
                  <w:rFonts w:cs="Arial"/>
                  <w:color w:val="000000"/>
                  <w:szCs w:val="20"/>
                  <w:lang w:val="sl-SI"/>
                </w:rPr>
                <w:t>61/23</w:t>
              </w:r>
            </w:hyperlink>
            <w:r w:rsidRPr="00C50F53">
              <w:rPr>
                <w:rFonts w:cs="Arial"/>
                <w:color w:val="000000"/>
                <w:szCs w:val="20"/>
                <w:lang w:val="sl-SI"/>
              </w:rPr>
              <w:t>), razen distributerjev, za katere je distribucija vode za prehrano ljudi le nebistveni del splošne dejavnosti distribucije drugih dobrin in blaga</w:t>
            </w:r>
          </w:p>
        </w:tc>
      </w:tr>
      <w:tr w:rsidR="00C50F53" w:rsidRPr="00C50F53" w14:paraId="0D4DE9BB" w14:textId="77777777" w:rsidTr="00871886">
        <w:tc>
          <w:tcPr>
            <w:tcW w:w="1931" w:type="dxa"/>
            <w:shd w:val="clear" w:color="auto" w:fill="auto"/>
          </w:tcPr>
          <w:p w14:paraId="47DF2257"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7. Odpadna voda</w:t>
            </w:r>
          </w:p>
        </w:tc>
        <w:tc>
          <w:tcPr>
            <w:tcW w:w="1549" w:type="dxa"/>
            <w:shd w:val="clear" w:color="auto" w:fill="auto"/>
          </w:tcPr>
          <w:p w14:paraId="563542B0"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44C4708" w14:textId="77777777" w:rsidR="00C50F53" w:rsidRPr="00C50F53" w:rsidRDefault="00C50F53" w:rsidP="007660B3">
            <w:pPr>
              <w:tabs>
                <w:tab w:val="left" w:pos="601"/>
              </w:tabs>
              <w:spacing w:before="120" w:after="120" w:line="276" w:lineRule="auto"/>
              <w:rPr>
                <w:rFonts w:cs="Arial"/>
                <w:color w:val="000000"/>
                <w:szCs w:val="20"/>
                <w:lang w:val="sl-SI"/>
              </w:rPr>
            </w:pPr>
            <w:r w:rsidRPr="00C50F53">
              <w:rPr>
                <w:rFonts w:cs="Arial"/>
                <w:color w:val="000000"/>
                <w:szCs w:val="20"/>
                <w:lang w:val="sl-SI"/>
              </w:rPr>
              <w:t>‒ podjetja, ki zbirajo, odvajajo ali čistijo komunalno odpadno vodo, kot je opredeljena v 19. točki 4. člena Uredbe o odvajanju in čiščenju komunalne odpadne vode (Uradni list RS, št. </w:t>
            </w:r>
            <w:hyperlink r:id="rId66" w:tgtFrame="_blank" w:tooltip="Uredba o odvajanju in čiščenju komunalne odpadne vode" w:history="1">
              <w:r w:rsidRPr="00C50F53">
                <w:rPr>
                  <w:rFonts w:cs="Arial"/>
                  <w:color w:val="000000"/>
                  <w:szCs w:val="20"/>
                  <w:lang w:val="sl-SI"/>
                </w:rPr>
                <w:t>98/15</w:t>
              </w:r>
            </w:hyperlink>
            <w:r w:rsidRPr="00C50F53">
              <w:rPr>
                <w:rFonts w:cs="Arial"/>
                <w:color w:val="000000"/>
                <w:szCs w:val="20"/>
                <w:lang w:val="sl-SI"/>
              </w:rPr>
              <w:t>, </w:t>
            </w:r>
            <w:hyperlink r:id="rId67" w:tgtFrame="_blank" w:tooltip="Uredba o dopolnitvi Uredbe o odvajanju in čiščenju komunalne odpadne vode" w:history="1">
              <w:r w:rsidRPr="00C50F53">
                <w:rPr>
                  <w:rFonts w:cs="Arial"/>
                  <w:color w:val="000000"/>
                  <w:szCs w:val="20"/>
                  <w:lang w:val="sl-SI"/>
                </w:rPr>
                <w:t>76/17</w:t>
              </w:r>
            </w:hyperlink>
            <w:r w:rsidRPr="00C50F53">
              <w:rPr>
                <w:rFonts w:cs="Arial"/>
                <w:color w:val="000000"/>
                <w:szCs w:val="20"/>
                <w:lang w:val="sl-SI"/>
              </w:rPr>
              <w:t>, </w:t>
            </w:r>
            <w:hyperlink r:id="rId68" w:tgtFrame="_blank" w:tooltip="Uredba o spremembah in dopolnitvah Uredbe o odvajanju in čiščenju komunalne odpadne vode" w:history="1">
              <w:r w:rsidRPr="00C50F53">
                <w:rPr>
                  <w:rFonts w:cs="Arial"/>
                  <w:color w:val="000000"/>
                  <w:szCs w:val="20"/>
                  <w:lang w:val="sl-SI"/>
                </w:rPr>
                <w:t>81/19</w:t>
              </w:r>
            </w:hyperlink>
            <w:r w:rsidRPr="00C50F53">
              <w:rPr>
                <w:rFonts w:cs="Arial"/>
                <w:color w:val="000000"/>
                <w:szCs w:val="20"/>
                <w:lang w:val="sl-SI"/>
              </w:rPr>
              <w:t>, </w:t>
            </w:r>
            <w:hyperlink r:id="rId69" w:tgtFrame="_blank" w:tooltip="Uredba o spremembah Uredbe o odvajanju in čiščenju komunalne odpadne vode" w:history="1">
              <w:r w:rsidRPr="00C50F53">
                <w:rPr>
                  <w:rFonts w:cs="Arial"/>
                  <w:color w:val="000000"/>
                  <w:szCs w:val="20"/>
                  <w:lang w:val="sl-SI"/>
                </w:rPr>
                <w:t>194/21</w:t>
              </w:r>
            </w:hyperlink>
            <w:r w:rsidRPr="00C50F53">
              <w:rPr>
                <w:rFonts w:cs="Arial"/>
                <w:color w:val="000000"/>
                <w:szCs w:val="20"/>
                <w:lang w:val="sl-SI"/>
              </w:rPr>
              <w:t> in </w:t>
            </w:r>
            <w:hyperlink r:id="rId70" w:tgtFrame="_blank" w:tooltip="Zakon o varstvu okolja (ZVO-2)" w:history="1">
              <w:r w:rsidRPr="00C50F53">
                <w:rPr>
                  <w:rFonts w:cs="Arial"/>
                  <w:color w:val="000000"/>
                  <w:szCs w:val="20"/>
                  <w:lang w:val="sl-SI"/>
                </w:rPr>
                <w:t>44/22</w:t>
              </w:r>
            </w:hyperlink>
            <w:r w:rsidRPr="00C50F53">
              <w:rPr>
                <w:rFonts w:cs="Arial"/>
                <w:color w:val="000000"/>
                <w:szCs w:val="20"/>
                <w:lang w:val="sl-SI"/>
              </w:rPr>
              <w:t> – ZVO-2), razen podjetij, za katera je zbiranje, odvajanje ali čiščenje komunalne odpadne vode nebistveni del splošne dejavnosti.</w:t>
            </w:r>
          </w:p>
        </w:tc>
      </w:tr>
      <w:tr w:rsidR="00C50F53" w:rsidRPr="00C50F53" w14:paraId="44D93EA8" w14:textId="77777777" w:rsidTr="00871886">
        <w:tc>
          <w:tcPr>
            <w:tcW w:w="1931" w:type="dxa"/>
            <w:vMerge w:val="restart"/>
            <w:shd w:val="clear" w:color="auto" w:fill="auto"/>
          </w:tcPr>
          <w:p w14:paraId="010C6D06"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8. Digitalna infrastruktura</w:t>
            </w:r>
          </w:p>
        </w:tc>
        <w:tc>
          <w:tcPr>
            <w:tcW w:w="1549" w:type="dxa"/>
            <w:vMerge w:val="restart"/>
            <w:shd w:val="clear" w:color="auto" w:fill="auto"/>
          </w:tcPr>
          <w:p w14:paraId="54BF3A99"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737DAF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stičišča omrežij</w:t>
            </w:r>
          </w:p>
        </w:tc>
      </w:tr>
      <w:tr w:rsidR="00C50F53" w:rsidRPr="00864C5E" w14:paraId="69A7C27A" w14:textId="77777777" w:rsidTr="00871886">
        <w:tc>
          <w:tcPr>
            <w:tcW w:w="1931" w:type="dxa"/>
            <w:vMerge/>
            <w:shd w:val="clear" w:color="auto" w:fill="auto"/>
          </w:tcPr>
          <w:p w14:paraId="5D457A96"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4D7CB83D"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44B4DDA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storitev DNS, razen upravljavcev korenskih imenskih strežnikov</w:t>
            </w:r>
          </w:p>
        </w:tc>
      </w:tr>
      <w:tr w:rsidR="00C50F53" w:rsidRPr="00C50F53" w14:paraId="12ACBB77" w14:textId="77777777" w:rsidTr="00871886">
        <w:tc>
          <w:tcPr>
            <w:tcW w:w="1931" w:type="dxa"/>
            <w:vMerge/>
            <w:shd w:val="clear" w:color="auto" w:fill="auto"/>
          </w:tcPr>
          <w:p w14:paraId="63DCC3B8"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274D5E49"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E26D455"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registri TLD imen</w:t>
            </w:r>
          </w:p>
        </w:tc>
      </w:tr>
      <w:tr w:rsidR="00C50F53" w:rsidRPr="00864C5E" w14:paraId="150E4B2C" w14:textId="77777777" w:rsidTr="00871886">
        <w:tc>
          <w:tcPr>
            <w:tcW w:w="1931" w:type="dxa"/>
            <w:vMerge/>
            <w:shd w:val="clear" w:color="auto" w:fill="auto"/>
          </w:tcPr>
          <w:p w14:paraId="07A07E01"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330EA190"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5358E9CD"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storitev računalništva v oblaku</w:t>
            </w:r>
          </w:p>
        </w:tc>
      </w:tr>
      <w:tr w:rsidR="00C50F53" w:rsidRPr="00C50F53" w14:paraId="77AF97CB" w14:textId="77777777" w:rsidTr="00871886">
        <w:tc>
          <w:tcPr>
            <w:tcW w:w="1931" w:type="dxa"/>
            <w:vMerge/>
            <w:shd w:val="clear" w:color="auto" w:fill="auto"/>
          </w:tcPr>
          <w:p w14:paraId="60668776"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5867A7B6"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B99D5E6"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storitev podatkovnih centrov</w:t>
            </w:r>
          </w:p>
        </w:tc>
      </w:tr>
      <w:tr w:rsidR="00C50F53" w:rsidRPr="00864C5E" w14:paraId="3BE7580D" w14:textId="77777777" w:rsidTr="00871886">
        <w:tc>
          <w:tcPr>
            <w:tcW w:w="1931" w:type="dxa"/>
            <w:vMerge/>
            <w:shd w:val="clear" w:color="auto" w:fill="auto"/>
          </w:tcPr>
          <w:p w14:paraId="265F2C47"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2C32581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2694777"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omrežij za dostavo vsebin</w:t>
            </w:r>
          </w:p>
        </w:tc>
      </w:tr>
      <w:tr w:rsidR="00C50F53" w:rsidRPr="00C50F53" w14:paraId="646E43DE" w14:textId="77777777" w:rsidTr="00871886">
        <w:tc>
          <w:tcPr>
            <w:tcW w:w="1931" w:type="dxa"/>
            <w:vMerge/>
            <w:shd w:val="clear" w:color="auto" w:fill="auto"/>
          </w:tcPr>
          <w:p w14:paraId="3529D0ED"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2040E4A6"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749071E5"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storitev zaupanja</w:t>
            </w:r>
          </w:p>
        </w:tc>
      </w:tr>
      <w:tr w:rsidR="00C50F53" w:rsidRPr="00864C5E" w14:paraId="566C81BB" w14:textId="77777777" w:rsidTr="00871886">
        <w:tc>
          <w:tcPr>
            <w:tcW w:w="1931" w:type="dxa"/>
            <w:vMerge/>
            <w:shd w:val="clear" w:color="auto" w:fill="auto"/>
          </w:tcPr>
          <w:p w14:paraId="752E8837"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152CADC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6E127DA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javnih elektronskih komunikacijskih omrežij</w:t>
            </w:r>
          </w:p>
        </w:tc>
      </w:tr>
      <w:tr w:rsidR="00C50F53" w:rsidRPr="00864C5E" w14:paraId="6468E2D7" w14:textId="77777777" w:rsidTr="00871886">
        <w:tc>
          <w:tcPr>
            <w:tcW w:w="1931" w:type="dxa"/>
            <w:vMerge/>
            <w:shd w:val="clear" w:color="auto" w:fill="auto"/>
          </w:tcPr>
          <w:p w14:paraId="1BB9D726"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437F9C14"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1938BD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javno dostopnih elektronskih komunikacijskih storitev</w:t>
            </w:r>
          </w:p>
        </w:tc>
      </w:tr>
      <w:tr w:rsidR="00C50F53" w:rsidRPr="00C50F53" w14:paraId="3FFB8895" w14:textId="77777777" w:rsidTr="00871886">
        <w:tc>
          <w:tcPr>
            <w:tcW w:w="1931" w:type="dxa"/>
            <w:vMerge w:val="restart"/>
            <w:shd w:val="clear" w:color="auto" w:fill="auto"/>
          </w:tcPr>
          <w:p w14:paraId="26D3383C"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9. Upravljanje storitev IKT (med podjetji)</w:t>
            </w:r>
          </w:p>
        </w:tc>
        <w:tc>
          <w:tcPr>
            <w:tcW w:w="1549" w:type="dxa"/>
            <w:vMerge w:val="restart"/>
            <w:shd w:val="clear" w:color="auto" w:fill="auto"/>
          </w:tcPr>
          <w:p w14:paraId="10211F61"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61BD8DF3"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upravljanih storitev</w:t>
            </w:r>
          </w:p>
        </w:tc>
      </w:tr>
      <w:tr w:rsidR="00C50F53" w:rsidRPr="00C50F53" w14:paraId="04DD3DA6" w14:textId="77777777" w:rsidTr="00871886">
        <w:tc>
          <w:tcPr>
            <w:tcW w:w="1931" w:type="dxa"/>
            <w:vMerge/>
            <w:shd w:val="clear" w:color="auto" w:fill="auto"/>
          </w:tcPr>
          <w:p w14:paraId="2FB385C9" w14:textId="77777777" w:rsidR="00C50F53" w:rsidRPr="00C50F53" w:rsidRDefault="00C50F53" w:rsidP="007660B3">
            <w:pPr>
              <w:spacing w:before="120" w:after="120" w:line="276" w:lineRule="auto"/>
              <w:rPr>
                <w:rFonts w:cs="Arial"/>
                <w:color w:val="000000"/>
                <w:szCs w:val="20"/>
                <w:lang w:val="sl-SI"/>
              </w:rPr>
            </w:pPr>
          </w:p>
        </w:tc>
        <w:tc>
          <w:tcPr>
            <w:tcW w:w="1549" w:type="dxa"/>
            <w:vMerge/>
            <w:shd w:val="clear" w:color="auto" w:fill="auto"/>
          </w:tcPr>
          <w:p w14:paraId="152038B4"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102C0C36"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upravljanih varnostnih storitev</w:t>
            </w:r>
          </w:p>
        </w:tc>
      </w:tr>
      <w:tr w:rsidR="00C50F53" w:rsidRPr="00864C5E" w14:paraId="0DB91B5D" w14:textId="77777777" w:rsidTr="00871886">
        <w:trPr>
          <w:trHeight w:val="950"/>
        </w:trPr>
        <w:tc>
          <w:tcPr>
            <w:tcW w:w="1931" w:type="dxa"/>
            <w:shd w:val="clear" w:color="auto" w:fill="auto"/>
          </w:tcPr>
          <w:p w14:paraId="3692CE77"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10. Javna uprava</w:t>
            </w:r>
          </w:p>
        </w:tc>
        <w:tc>
          <w:tcPr>
            <w:tcW w:w="1549" w:type="dxa"/>
            <w:shd w:val="clear" w:color="auto" w:fill="auto"/>
          </w:tcPr>
          <w:p w14:paraId="390777CF"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6E8C0C1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subjekti javne uprave na državni ravni v skladu s 66. točko 5. člena tega zakona</w:t>
            </w:r>
          </w:p>
        </w:tc>
      </w:tr>
      <w:tr w:rsidR="00C50F53" w:rsidRPr="00864C5E" w14:paraId="3AAECBBD" w14:textId="77777777" w:rsidTr="00871886">
        <w:tc>
          <w:tcPr>
            <w:tcW w:w="1931" w:type="dxa"/>
            <w:shd w:val="clear" w:color="auto" w:fill="auto"/>
          </w:tcPr>
          <w:p w14:paraId="115B7111"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11. Vesolje</w:t>
            </w:r>
          </w:p>
        </w:tc>
        <w:tc>
          <w:tcPr>
            <w:tcW w:w="1549" w:type="dxa"/>
            <w:shd w:val="clear" w:color="auto" w:fill="auto"/>
          </w:tcPr>
          <w:p w14:paraId="7C0D4814" w14:textId="77777777" w:rsidR="00C50F53" w:rsidRPr="00C50F53" w:rsidRDefault="00C50F53" w:rsidP="007660B3">
            <w:pPr>
              <w:spacing w:before="120" w:after="120" w:line="276" w:lineRule="auto"/>
              <w:rPr>
                <w:rFonts w:cs="Arial"/>
                <w:color w:val="000000"/>
                <w:szCs w:val="20"/>
                <w:lang w:val="sl-SI"/>
              </w:rPr>
            </w:pPr>
          </w:p>
        </w:tc>
        <w:tc>
          <w:tcPr>
            <w:tcW w:w="5809" w:type="dxa"/>
            <w:shd w:val="clear" w:color="auto" w:fill="auto"/>
          </w:tcPr>
          <w:p w14:paraId="24931C3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upravljavci talne infrastrukture, ki jo imajo v lasti, vodijo in upravljajo države članice Evropske unije ali zasebne stranke, ki podpirajo opravljanje vesoljskih storitev, brez ponudnikov javnih elektronskih komunikacijskih omrežij</w:t>
            </w:r>
          </w:p>
        </w:tc>
      </w:tr>
      <w:bookmarkEnd w:id="126"/>
    </w:tbl>
    <w:p w14:paraId="5ECAF65D" w14:textId="77777777" w:rsidR="00C50F53" w:rsidRPr="00C50F53" w:rsidRDefault="00C50F53" w:rsidP="00C50F53">
      <w:pPr>
        <w:pStyle w:val="Poglavje"/>
        <w:spacing w:before="0" w:line="260" w:lineRule="exact"/>
        <w:jc w:val="both"/>
        <w:rPr>
          <w:sz w:val="20"/>
          <w:szCs w:val="20"/>
        </w:rPr>
      </w:pPr>
    </w:p>
    <w:p w14:paraId="2B5A2C6C" w14:textId="77777777" w:rsidR="00C50F53" w:rsidRPr="00C50F53" w:rsidRDefault="00C50F53" w:rsidP="00C50F53">
      <w:pPr>
        <w:pStyle w:val="Poglavje"/>
        <w:spacing w:before="0" w:line="260" w:lineRule="exact"/>
        <w:jc w:val="both"/>
        <w:rPr>
          <w:b w:val="0"/>
          <w:bCs/>
          <w:color w:val="000000"/>
          <w:sz w:val="20"/>
          <w:szCs w:val="20"/>
        </w:rPr>
      </w:pPr>
      <w:r w:rsidRPr="00C50F53">
        <w:rPr>
          <w:sz w:val="20"/>
          <w:szCs w:val="20"/>
        </w:rPr>
        <w:br w:type="page"/>
      </w:r>
    </w:p>
    <w:p w14:paraId="3D66EE85" w14:textId="77777777" w:rsidR="00C50F53" w:rsidRPr="00C50F53" w:rsidRDefault="00C50F53" w:rsidP="00C50F53">
      <w:pPr>
        <w:shd w:val="clear" w:color="auto" w:fill="FFFFFF"/>
        <w:spacing w:before="240" w:after="120"/>
        <w:ind w:left="7080"/>
        <w:rPr>
          <w:rFonts w:cs="Arial"/>
          <w:b/>
          <w:bCs/>
          <w:color w:val="000000"/>
          <w:szCs w:val="22"/>
          <w:lang w:val="sl-SI"/>
        </w:rPr>
      </w:pPr>
      <w:r w:rsidRPr="00C50F53">
        <w:rPr>
          <w:rFonts w:cs="Arial"/>
          <w:b/>
          <w:bCs/>
          <w:color w:val="000000"/>
          <w:szCs w:val="22"/>
          <w:lang w:val="sl-SI"/>
        </w:rPr>
        <w:lastRenderedPageBreak/>
        <w:t>PRILOGA 2</w:t>
      </w:r>
    </w:p>
    <w:p w14:paraId="30D94281" w14:textId="77777777" w:rsidR="00C50F53" w:rsidRPr="00C50F53" w:rsidRDefault="00C50F53" w:rsidP="00C50F53">
      <w:pPr>
        <w:shd w:val="clear" w:color="auto" w:fill="FFFFFF"/>
        <w:spacing w:before="240" w:after="120"/>
        <w:jc w:val="center"/>
        <w:rPr>
          <w:rFonts w:cs="Arial"/>
          <w:b/>
          <w:bCs/>
          <w:color w:val="000000"/>
          <w:szCs w:val="22"/>
          <w:lang w:val="sl-SI"/>
        </w:rPr>
      </w:pPr>
      <w:r w:rsidRPr="00C50F53">
        <w:rPr>
          <w:rFonts w:cs="Arial"/>
          <w:b/>
          <w:bCs/>
          <w:color w:val="000000"/>
          <w:szCs w:val="22"/>
          <w:lang w:val="sl-SI"/>
        </w:rPr>
        <w:t>DRUGI KRITIČNI SEKTORJI</w:t>
      </w:r>
    </w:p>
    <w:p w14:paraId="19D90EB4" w14:textId="77777777" w:rsidR="00C50F53" w:rsidRPr="00C50F53" w:rsidRDefault="00C50F53" w:rsidP="00C50F53">
      <w:pPr>
        <w:shd w:val="clear" w:color="auto" w:fill="FFFFFF"/>
        <w:spacing w:before="240" w:after="120"/>
        <w:rPr>
          <w:rFonts w:cs="Arial"/>
          <w:b/>
          <w:bCs/>
          <w:color w:val="000000"/>
          <w:szCs w:val="22"/>
          <w:lang w:val="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6"/>
        <w:gridCol w:w="1510"/>
        <w:gridCol w:w="5052"/>
      </w:tblGrid>
      <w:tr w:rsidR="00C50F53" w:rsidRPr="00C50F53" w14:paraId="6E7B089B" w14:textId="77777777" w:rsidTr="00871886">
        <w:tc>
          <w:tcPr>
            <w:tcW w:w="2081" w:type="dxa"/>
            <w:shd w:val="clear" w:color="auto" w:fill="auto"/>
          </w:tcPr>
          <w:p w14:paraId="3715DFF0" w14:textId="77777777" w:rsidR="00C50F53" w:rsidRPr="00C50F53" w:rsidRDefault="00C50F53" w:rsidP="007660B3">
            <w:pPr>
              <w:spacing w:before="120" w:after="120" w:line="276" w:lineRule="auto"/>
              <w:rPr>
                <w:rFonts w:cs="Arial"/>
                <w:b/>
                <w:bCs/>
                <w:color w:val="000000"/>
                <w:szCs w:val="20"/>
                <w:lang w:val="sl-SI"/>
              </w:rPr>
            </w:pPr>
            <w:r w:rsidRPr="00C50F53">
              <w:rPr>
                <w:rFonts w:cs="Arial"/>
                <w:b/>
                <w:bCs/>
                <w:color w:val="000000"/>
                <w:szCs w:val="20"/>
                <w:lang w:val="sl-SI"/>
              </w:rPr>
              <w:t>Sektor</w:t>
            </w:r>
          </w:p>
        </w:tc>
        <w:tc>
          <w:tcPr>
            <w:tcW w:w="1537" w:type="dxa"/>
            <w:shd w:val="clear" w:color="auto" w:fill="auto"/>
          </w:tcPr>
          <w:p w14:paraId="5D3CDE24" w14:textId="77777777" w:rsidR="00C50F53" w:rsidRPr="00C50F53" w:rsidRDefault="00C50F53" w:rsidP="007660B3">
            <w:pPr>
              <w:spacing w:before="120" w:after="120" w:line="276" w:lineRule="auto"/>
              <w:rPr>
                <w:rFonts w:cs="Arial"/>
                <w:b/>
                <w:bCs/>
                <w:color w:val="000000"/>
                <w:szCs w:val="20"/>
                <w:lang w:val="sl-SI"/>
              </w:rPr>
            </w:pPr>
            <w:r w:rsidRPr="00C50F53">
              <w:rPr>
                <w:rFonts w:cs="Arial"/>
                <w:b/>
                <w:bCs/>
                <w:color w:val="000000"/>
                <w:szCs w:val="20"/>
                <w:lang w:val="sl-SI"/>
              </w:rPr>
              <w:t>Podsektor</w:t>
            </w:r>
          </w:p>
        </w:tc>
        <w:tc>
          <w:tcPr>
            <w:tcW w:w="5671" w:type="dxa"/>
            <w:shd w:val="clear" w:color="auto" w:fill="auto"/>
          </w:tcPr>
          <w:p w14:paraId="0322F0C3" w14:textId="77777777" w:rsidR="00C50F53" w:rsidRPr="00C50F53" w:rsidRDefault="00C50F53" w:rsidP="007660B3">
            <w:pPr>
              <w:spacing w:before="120" w:after="120" w:line="276" w:lineRule="auto"/>
              <w:rPr>
                <w:rFonts w:cs="Arial"/>
                <w:b/>
                <w:bCs/>
                <w:color w:val="000000"/>
                <w:szCs w:val="20"/>
                <w:lang w:val="sl-SI"/>
              </w:rPr>
            </w:pPr>
            <w:r w:rsidRPr="00C50F53">
              <w:rPr>
                <w:rFonts w:cs="Arial"/>
                <w:b/>
                <w:bCs/>
                <w:color w:val="000000"/>
                <w:szCs w:val="20"/>
                <w:lang w:val="sl-SI"/>
              </w:rPr>
              <w:t>Vrsta subjekta</w:t>
            </w:r>
          </w:p>
        </w:tc>
      </w:tr>
      <w:tr w:rsidR="00C50F53" w:rsidRPr="00C50F53" w14:paraId="150EC9AE" w14:textId="77777777" w:rsidTr="00871886">
        <w:tc>
          <w:tcPr>
            <w:tcW w:w="2081" w:type="dxa"/>
            <w:shd w:val="clear" w:color="auto" w:fill="auto"/>
          </w:tcPr>
          <w:p w14:paraId="0106231E"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1. Poštne in kurirske storitve</w:t>
            </w:r>
          </w:p>
        </w:tc>
        <w:tc>
          <w:tcPr>
            <w:tcW w:w="1537" w:type="dxa"/>
            <w:shd w:val="clear" w:color="auto" w:fill="auto"/>
          </w:tcPr>
          <w:p w14:paraId="637DE33A" w14:textId="77777777" w:rsidR="00C50F53" w:rsidRPr="00C50F53" w:rsidRDefault="00C50F53" w:rsidP="007660B3">
            <w:pPr>
              <w:spacing w:before="120" w:after="120" w:line="276" w:lineRule="auto"/>
              <w:rPr>
                <w:rFonts w:cs="Arial"/>
                <w:color w:val="000000"/>
                <w:szCs w:val="20"/>
                <w:lang w:val="sl-SI"/>
              </w:rPr>
            </w:pPr>
          </w:p>
        </w:tc>
        <w:tc>
          <w:tcPr>
            <w:tcW w:w="5671" w:type="dxa"/>
            <w:shd w:val="clear" w:color="auto" w:fill="auto"/>
          </w:tcPr>
          <w:p w14:paraId="6F832426"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izvajalci poštnih storitev, kot so opredeljeni v 8. točki 2. člena Zakona o poštnih storitvah (Uradni list RS, št. </w:t>
            </w:r>
            <w:hyperlink r:id="rId71" w:tgtFrame="_blank" w:tooltip="Zakon o poštnih storitvah (ZPSto-2)" w:history="1">
              <w:r w:rsidRPr="00C50F53">
                <w:rPr>
                  <w:rFonts w:cs="Arial"/>
                  <w:color w:val="000000"/>
                  <w:szCs w:val="20"/>
                  <w:lang w:val="sl-SI"/>
                </w:rPr>
                <w:t>51/09</w:t>
              </w:r>
            </w:hyperlink>
            <w:r w:rsidRPr="00C50F53">
              <w:rPr>
                <w:rFonts w:cs="Arial"/>
                <w:color w:val="000000"/>
                <w:szCs w:val="20"/>
                <w:lang w:val="sl-SI"/>
              </w:rPr>
              <w:t>, </w:t>
            </w:r>
            <w:hyperlink r:id="rId72" w:tgtFrame="_blank" w:tooltip="Zakon o spremembah Zakona o poštnih storitvah (ZPSto-2A)" w:history="1">
              <w:r w:rsidRPr="00C50F53">
                <w:rPr>
                  <w:rFonts w:cs="Arial"/>
                  <w:color w:val="000000"/>
                  <w:szCs w:val="20"/>
                  <w:lang w:val="sl-SI"/>
                </w:rPr>
                <w:t>77/10</w:t>
              </w:r>
            </w:hyperlink>
            <w:r w:rsidRPr="00C50F53">
              <w:rPr>
                <w:rFonts w:cs="Arial"/>
                <w:color w:val="000000"/>
                <w:szCs w:val="20"/>
                <w:lang w:val="sl-SI"/>
              </w:rPr>
              <w:t>, </w:t>
            </w:r>
            <w:hyperlink r:id="rId73" w:tgtFrame="_blank" w:tooltip="Zakon o spremembah in dopolnitvah Zakona o inšpekcijskem nadzoru (ZIN-B)" w:history="1">
              <w:r w:rsidRPr="00C50F53">
                <w:rPr>
                  <w:rFonts w:cs="Arial"/>
                  <w:color w:val="000000"/>
                  <w:szCs w:val="20"/>
                  <w:lang w:val="sl-SI"/>
                </w:rPr>
                <w:t>40/14</w:t>
              </w:r>
            </w:hyperlink>
            <w:r w:rsidRPr="00C50F53">
              <w:rPr>
                <w:rFonts w:cs="Arial"/>
                <w:color w:val="000000"/>
                <w:szCs w:val="20"/>
                <w:lang w:val="sl-SI"/>
              </w:rPr>
              <w:t> – ZIN-B in </w:t>
            </w:r>
            <w:hyperlink r:id="rId74" w:tgtFrame="_blank" w:tooltip="Zakon o spremembah in dopolnitvah Zakona o poštnih storitvah (ZPSto-2B)" w:history="1">
              <w:r w:rsidRPr="00C50F53">
                <w:rPr>
                  <w:rFonts w:cs="Arial"/>
                  <w:color w:val="000000"/>
                  <w:szCs w:val="20"/>
                  <w:lang w:val="sl-SI"/>
                </w:rPr>
                <w:t>81/15</w:t>
              </w:r>
            </w:hyperlink>
            <w:r w:rsidRPr="00C50F53">
              <w:rPr>
                <w:rFonts w:cs="Arial"/>
                <w:color w:val="000000"/>
                <w:szCs w:val="20"/>
                <w:lang w:val="sl-SI"/>
              </w:rPr>
              <w:t>; ZPSto-2), vključno z izvajalci storitev dostave paketov v smislu 3. točke 2. člena Uredbe 2018/644/EU</w:t>
            </w:r>
            <w:r w:rsidRPr="00C50F53">
              <w:rPr>
                <w:rStyle w:val="Sprotnaopomba-sklic"/>
                <w:rFonts w:cs="Arial"/>
                <w:color w:val="000000"/>
                <w:szCs w:val="20"/>
                <w:lang w:val="sl-SI"/>
              </w:rPr>
              <w:footnoteReference w:id="11"/>
            </w:r>
            <w:r w:rsidRPr="00C50F53">
              <w:rPr>
                <w:rFonts w:cs="Arial"/>
                <w:color w:val="000000"/>
                <w:szCs w:val="20"/>
                <w:lang w:val="sl-SI"/>
              </w:rPr>
              <w:t xml:space="preserve"> </w:t>
            </w:r>
          </w:p>
        </w:tc>
      </w:tr>
      <w:tr w:rsidR="00C50F53" w:rsidRPr="00C50F53" w14:paraId="791DBD26" w14:textId="77777777" w:rsidTr="00871886">
        <w:tc>
          <w:tcPr>
            <w:tcW w:w="2081" w:type="dxa"/>
            <w:shd w:val="clear" w:color="auto" w:fill="auto"/>
          </w:tcPr>
          <w:p w14:paraId="735BE60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2. Ravnanje z odpadki</w:t>
            </w:r>
          </w:p>
        </w:tc>
        <w:tc>
          <w:tcPr>
            <w:tcW w:w="1537" w:type="dxa"/>
            <w:shd w:val="clear" w:color="auto" w:fill="auto"/>
          </w:tcPr>
          <w:p w14:paraId="2795C317" w14:textId="77777777" w:rsidR="00C50F53" w:rsidRPr="00C50F53" w:rsidRDefault="00C50F53" w:rsidP="007660B3">
            <w:pPr>
              <w:spacing w:before="120" w:after="120" w:line="276" w:lineRule="auto"/>
              <w:rPr>
                <w:rFonts w:cs="Arial"/>
                <w:color w:val="000000"/>
                <w:szCs w:val="20"/>
                <w:lang w:val="sl-SI"/>
              </w:rPr>
            </w:pPr>
          </w:p>
        </w:tc>
        <w:tc>
          <w:tcPr>
            <w:tcW w:w="5671" w:type="dxa"/>
            <w:shd w:val="clear" w:color="auto" w:fill="auto"/>
          </w:tcPr>
          <w:p w14:paraId="376A03BA"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izvajajo postopke ravnanja z odpadki, kot je opredeljeno v 7.12. točki 3. člena Zakona o varstvu okolja (Uradni list RS, št. </w:t>
            </w:r>
            <w:hyperlink r:id="rId75" w:tgtFrame="_blank" w:tooltip="Zakon o varstvu okolja (ZVO-2)" w:history="1">
              <w:r w:rsidRPr="00C50F53">
                <w:rPr>
                  <w:rFonts w:cs="Arial"/>
                  <w:color w:val="000000"/>
                  <w:szCs w:val="20"/>
                  <w:lang w:val="sl-SI"/>
                </w:rPr>
                <w:t>44/22</w:t>
              </w:r>
            </w:hyperlink>
            <w:r w:rsidRPr="00C50F53">
              <w:rPr>
                <w:rFonts w:cs="Arial"/>
                <w:color w:val="000000"/>
                <w:szCs w:val="20"/>
                <w:lang w:val="sl-SI"/>
              </w:rPr>
              <w:t>, </w:t>
            </w:r>
            <w:hyperlink r:id="rId76" w:tgtFrame="_blank" w:tooltip="Zakon o spremembah in dopolnitvah Zakona o državni upravi (ZDU-1O)" w:history="1">
              <w:r w:rsidRPr="00C50F53">
                <w:rPr>
                  <w:rFonts w:cs="Arial"/>
                  <w:color w:val="000000"/>
                  <w:szCs w:val="20"/>
                  <w:lang w:val="sl-SI"/>
                </w:rPr>
                <w:t>18/23</w:t>
              </w:r>
            </w:hyperlink>
            <w:r w:rsidRPr="00C50F53">
              <w:rPr>
                <w:rFonts w:cs="Arial"/>
                <w:color w:val="000000"/>
                <w:szCs w:val="20"/>
                <w:lang w:val="sl-SI"/>
              </w:rPr>
              <w:t> – ZDU-1O, </w:t>
            </w:r>
            <w:hyperlink r:id="rId77" w:tgtFrame="_blank" w:tooltip="Zakon o uvajanju naprav za proizvodnjo električne energije iz obnovljivih virov energije (ZUNPEOVE)" w:history="1">
              <w:r w:rsidRPr="00C50F53">
                <w:rPr>
                  <w:rFonts w:cs="Arial"/>
                  <w:color w:val="000000"/>
                  <w:szCs w:val="20"/>
                  <w:lang w:val="sl-SI"/>
                </w:rPr>
                <w:t>78/23</w:t>
              </w:r>
            </w:hyperlink>
            <w:r w:rsidRPr="00C50F53">
              <w:rPr>
                <w:rFonts w:cs="Arial"/>
                <w:color w:val="000000"/>
                <w:szCs w:val="20"/>
                <w:lang w:val="sl-SI"/>
              </w:rPr>
              <w:t xml:space="preserve"> – ZUNPEOVE in </w:t>
            </w:r>
            <w:hyperlink r:id="rId78" w:tgtFrame="_blank" w:tooltip="Zakon o spremembah in dopolnitvah Zakona o varstvu okolja (ZVO-2A)" w:history="1">
              <w:r w:rsidRPr="00C50F53">
                <w:rPr>
                  <w:rFonts w:cs="Arial"/>
                  <w:color w:val="000000"/>
                  <w:szCs w:val="20"/>
                  <w:lang w:val="sl-SI"/>
                </w:rPr>
                <w:t>23/24</w:t>
              </w:r>
            </w:hyperlink>
            <w:r w:rsidRPr="00C50F53">
              <w:rPr>
                <w:rFonts w:cs="Arial"/>
                <w:color w:val="000000"/>
                <w:szCs w:val="20"/>
                <w:lang w:val="sl-SI"/>
              </w:rPr>
              <w:t>; ZVO-2)</w:t>
            </w:r>
          </w:p>
        </w:tc>
      </w:tr>
      <w:tr w:rsidR="00C50F53" w:rsidRPr="00864C5E" w14:paraId="60F3E77A" w14:textId="77777777" w:rsidTr="00871886">
        <w:tc>
          <w:tcPr>
            <w:tcW w:w="2081" w:type="dxa"/>
            <w:shd w:val="clear" w:color="auto" w:fill="auto"/>
          </w:tcPr>
          <w:p w14:paraId="04EE5F0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3. Izdelava, proizvodnja in distribucija kemikalij</w:t>
            </w:r>
          </w:p>
        </w:tc>
        <w:tc>
          <w:tcPr>
            <w:tcW w:w="1537" w:type="dxa"/>
            <w:shd w:val="clear" w:color="auto" w:fill="auto"/>
          </w:tcPr>
          <w:p w14:paraId="47C1667D" w14:textId="77777777" w:rsidR="00C50F53" w:rsidRPr="00C50F53" w:rsidRDefault="00C50F53" w:rsidP="007660B3">
            <w:pPr>
              <w:spacing w:before="120" w:after="120" w:line="276" w:lineRule="auto"/>
              <w:rPr>
                <w:rFonts w:cs="Arial"/>
                <w:color w:val="000000"/>
                <w:szCs w:val="20"/>
                <w:lang w:val="sl-SI"/>
              </w:rPr>
            </w:pPr>
          </w:p>
        </w:tc>
        <w:tc>
          <w:tcPr>
            <w:tcW w:w="5671" w:type="dxa"/>
            <w:shd w:val="clear" w:color="auto" w:fill="auto"/>
          </w:tcPr>
          <w:p w14:paraId="6185B169"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proizvajajo snovi in distribuirajo snovi ali zmesi iz 9. in 14. točke 3. člena Uredbe 1907/2006/ES</w:t>
            </w:r>
            <w:r w:rsidRPr="00C50F53">
              <w:rPr>
                <w:rStyle w:val="Sprotnaopomba-sklic"/>
                <w:rFonts w:cs="Arial"/>
                <w:color w:val="000000"/>
                <w:szCs w:val="20"/>
                <w:lang w:val="sl-SI"/>
              </w:rPr>
              <w:footnoteReference w:id="12"/>
            </w:r>
            <w:r w:rsidRPr="00C50F53">
              <w:rPr>
                <w:rFonts w:cs="Arial"/>
                <w:color w:val="000000"/>
                <w:szCs w:val="20"/>
                <w:lang w:val="sl-SI"/>
              </w:rPr>
              <w:t>,</w:t>
            </w:r>
            <w:r w:rsidRPr="00C50F53">
              <w:rPr>
                <w:rFonts w:cs="Arial"/>
                <w:color w:val="000000"/>
                <w:szCs w:val="20"/>
                <w:vertAlign w:val="superscript"/>
                <w:lang w:val="sl-SI"/>
              </w:rPr>
              <w:t xml:space="preserve"> </w:t>
            </w:r>
            <w:r w:rsidRPr="00C50F53">
              <w:rPr>
                <w:rFonts w:cs="Arial"/>
                <w:color w:val="000000"/>
                <w:szCs w:val="20"/>
                <w:lang w:val="sl-SI"/>
              </w:rPr>
              <w:t>in podjetja, ki iz snovi in zmesi proizvajajo izdelke, kot so opredeljeni v 3. točki 3. člena navedene uredbe</w:t>
            </w:r>
          </w:p>
        </w:tc>
      </w:tr>
      <w:tr w:rsidR="00C50F53" w:rsidRPr="00864C5E" w14:paraId="72F67C92" w14:textId="77777777" w:rsidTr="00871886">
        <w:tc>
          <w:tcPr>
            <w:tcW w:w="2081" w:type="dxa"/>
            <w:shd w:val="clear" w:color="auto" w:fill="auto"/>
          </w:tcPr>
          <w:p w14:paraId="08042777"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4. Pridelava, predelava in distribucija živil</w:t>
            </w:r>
          </w:p>
        </w:tc>
        <w:tc>
          <w:tcPr>
            <w:tcW w:w="1537" w:type="dxa"/>
            <w:shd w:val="clear" w:color="auto" w:fill="auto"/>
          </w:tcPr>
          <w:p w14:paraId="226AA22D" w14:textId="77777777" w:rsidR="00C50F53" w:rsidRPr="00C50F53" w:rsidRDefault="00C50F53" w:rsidP="007660B3">
            <w:pPr>
              <w:spacing w:before="120" w:after="120" w:line="276" w:lineRule="auto"/>
              <w:rPr>
                <w:rFonts w:cs="Arial"/>
                <w:color w:val="000000"/>
                <w:szCs w:val="20"/>
                <w:lang w:val="sl-SI"/>
              </w:rPr>
            </w:pPr>
          </w:p>
        </w:tc>
        <w:tc>
          <w:tcPr>
            <w:tcW w:w="5671" w:type="dxa"/>
            <w:shd w:val="clear" w:color="auto" w:fill="auto"/>
          </w:tcPr>
          <w:p w14:paraId="6FDC56AF"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živilske dejavnosti, kot so opredeljene v 2. točki 3. člena Uredbe 178/2002/ES</w:t>
            </w:r>
            <w:r w:rsidRPr="00C50F53">
              <w:rPr>
                <w:rStyle w:val="Sprotnaopomba-sklic"/>
                <w:rFonts w:cs="Arial"/>
                <w:color w:val="000000"/>
                <w:szCs w:val="20"/>
                <w:lang w:val="sl-SI"/>
              </w:rPr>
              <w:footnoteReference w:id="13"/>
            </w:r>
            <w:r w:rsidRPr="00C50F53">
              <w:rPr>
                <w:rFonts w:cs="Arial"/>
                <w:color w:val="000000"/>
                <w:szCs w:val="20"/>
                <w:lang w:val="sl-SI"/>
              </w:rPr>
              <w:t xml:space="preserve"> in ki se ukvarjajo s prodajo na debelo ter industrijsko pridelavo in predelavo</w:t>
            </w:r>
          </w:p>
        </w:tc>
      </w:tr>
      <w:tr w:rsidR="00C50F53" w:rsidRPr="00864C5E" w14:paraId="43E89ABE" w14:textId="77777777" w:rsidTr="00871886">
        <w:tc>
          <w:tcPr>
            <w:tcW w:w="2081" w:type="dxa"/>
            <w:vMerge w:val="restart"/>
            <w:shd w:val="clear" w:color="auto" w:fill="auto"/>
          </w:tcPr>
          <w:p w14:paraId="7515D6C3"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5. Proizvodnja</w:t>
            </w:r>
          </w:p>
        </w:tc>
        <w:tc>
          <w:tcPr>
            <w:tcW w:w="1537" w:type="dxa"/>
            <w:shd w:val="clear" w:color="auto" w:fill="auto"/>
          </w:tcPr>
          <w:p w14:paraId="61DCDC11"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(a) proizvodnja medicinskih pripomočkov ter in vitro diagnostičnih medicinskih pripomočkov</w:t>
            </w:r>
          </w:p>
        </w:tc>
        <w:tc>
          <w:tcPr>
            <w:tcW w:w="5671" w:type="dxa"/>
            <w:shd w:val="clear" w:color="auto" w:fill="auto"/>
          </w:tcPr>
          <w:p w14:paraId="70F3614C"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subjekti, ki proizvajajo medicinske pripomočke, kot so opredeljeni v 1. točki 2. člena Uredbe 2017/745/EU</w:t>
            </w:r>
            <w:r w:rsidRPr="00C50F53">
              <w:rPr>
                <w:rStyle w:val="Sprotnaopomba-sklic"/>
                <w:rFonts w:cs="Arial"/>
                <w:color w:val="000000"/>
                <w:szCs w:val="20"/>
                <w:lang w:val="sl-SI"/>
              </w:rPr>
              <w:footnoteReference w:id="14"/>
            </w:r>
            <w:r w:rsidRPr="00C50F53">
              <w:rPr>
                <w:rFonts w:cs="Arial"/>
                <w:color w:val="000000"/>
                <w:szCs w:val="20"/>
                <w:lang w:val="sl-SI"/>
              </w:rPr>
              <w:t>, in subjekti, ki proizvajajo in vitro diagnostične medicinske pripomočke, kot so opredeljeni v 2. točki 2. člena Uredbe 2017/746/EU</w:t>
            </w:r>
            <w:r w:rsidRPr="00C50F53">
              <w:rPr>
                <w:rStyle w:val="Sprotnaopomba-sklic"/>
                <w:rFonts w:cs="Arial"/>
                <w:color w:val="000000"/>
                <w:szCs w:val="20"/>
                <w:lang w:val="sl-SI"/>
              </w:rPr>
              <w:footnoteReference w:id="15"/>
            </w:r>
            <w:r w:rsidRPr="00C50F53">
              <w:rPr>
                <w:rFonts w:cs="Arial"/>
                <w:color w:val="000000"/>
                <w:szCs w:val="20"/>
                <w:lang w:val="sl-SI"/>
              </w:rPr>
              <w:t>, razen subjektov, ki proizvajajo medicinske pripomočke iz pete alineje 5. točke Priloge 1 tega zakona</w:t>
            </w:r>
          </w:p>
        </w:tc>
      </w:tr>
      <w:tr w:rsidR="00C50F53" w:rsidRPr="00864C5E" w14:paraId="19A7C408" w14:textId="77777777" w:rsidTr="00871886">
        <w:tc>
          <w:tcPr>
            <w:tcW w:w="2081" w:type="dxa"/>
            <w:vMerge/>
            <w:shd w:val="clear" w:color="auto" w:fill="auto"/>
          </w:tcPr>
          <w:p w14:paraId="4D8547DC" w14:textId="77777777" w:rsidR="00C50F53" w:rsidRPr="00C50F53" w:rsidRDefault="00C50F53" w:rsidP="007660B3">
            <w:pPr>
              <w:spacing w:before="120" w:after="120" w:line="276" w:lineRule="auto"/>
              <w:rPr>
                <w:rFonts w:cs="Arial"/>
                <w:color w:val="000000"/>
                <w:szCs w:val="20"/>
                <w:lang w:val="sl-SI"/>
              </w:rPr>
            </w:pPr>
          </w:p>
        </w:tc>
        <w:tc>
          <w:tcPr>
            <w:tcW w:w="1537" w:type="dxa"/>
            <w:shd w:val="clear" w:color="auto" w:fill="auto"/>
          </w:tcPr>
          <w:p w14:paraId="0D229ECA"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(b) proizvodnja računalnikov, elektronskih in optičnih izdelkov</w:t>
            </w:r>
          </w:p>
        </w:tc>
        <w:tc>
          <w:tcPr>
            <w:tcW w:w="5671" w:type="dxa"/>
            <w:shd w:val="clear" w:color="auto" w:fill="auto"/>
          </w:tcPr>
          <w:p w14:paraId="04325306"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opravljajo katero koli gospodarsko dejavnost s področja C oddelka 26 NACE Rev. 2</w:t>
            </w:r>
          </w:p>
        </w:tc>
      </w:tr>
      <w:tr w:rsidR="00C50F53" w:rsidRPr="00864C5E" w14:paraId="64120B75" w14:textId="77777777" w:rsidTr="00871886">
        <w:tc>
          <w:tcPr>
            <w:tcW w:w="2081" w:type="dxa"/>
            <w:vMerge/>
            <w:shd w:val="clear" w:color="auto" w:fill="auto"/>
          </w:tcPr>
          <w:p w14:paraId="541818E2" w14:textId="77777777" w:rsidR="00C50F53" w:rsidRPr="00C50F53" w:rsidRDefault="00C50F53" w:rsidP="007660B3">
            <w:pPr>
              <w:spacing w:before="120" w:after="120" w:line="276" w:lineRule="auto"/>
              <w:rPr>
                <w:rFonts w:cs="Arial"/>
                <w:color w:val="000000"/>
                <w:szCs w:val="20"/>
                <w:lang w:val="sl-SI"/>
              </w:rPr>
            </w:pPr>
          </w:p>
        </w:tc>
        <w:tc>
          <w:tcPr>
            <w:tcW w:w="1537" w:type="dxa"/>
            <w:shd w:val="clear" w:color="auto" w:fill="auto"/>
          </w:tcPr>
          <w:p w14:paraId="3B7F75DC"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(c) proizvodnja električnih naprav</w:t>
            </w:r>
          </w:p>
        </w:tc>
        <w:tc>
          <w:tcPr>
            <w:tcW w:w="5671" w:type="dxa"/>
            <w:shd w:val="clear" w:color="auto" w:fill="auto"/>
          </w:tcPr>
          <w:p w14:paraId="23D95802"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opravljajo katero koli gospodarsko dejavnost s področja C oddelka 27 NACE Rev. 2</w:t>
            </w:r>
          </w:p>
        </w:tc>
      </w:tr>
      <w:tr w:rsidR="00C50F53" w:rsidRPr="00864C5E" w14:paraId="35D512FC" w14:textId="77777777" w:rsidTr="00871886">
        <w:tc>
          <w:tcPr>
            <w:tcW w:w="2081" w:type="dxa"/>
            <w:vMerge/>
            <w:shd w:val="clear" w:color="auto" w:fill="auto"/>
          </w:tcPr>
          <w:p w14:paraId="234E7354" w14:textId="77777777" w:rsidR="00C50F53" w:rsidRPr="00C50F53" w:rsidRDefault="00C50F53" w:rsidP="007660B3">
            <w:pPr>
              <w:spacing w:before="120" w:after="120" w:line="276" w:lineRule="auto"/>
              <w:rPr>
                <w:rFonts w:cs="Arial"/>
                <w:color w:val="000000"/>
                <w:szCs w:val="20"/>
                <w:lang w:val="sl-SI"/>
              </w:rPr>
            </w:pPr>
          </w:p>
        </w:tc>
        <w:tc>
          <w:tcPr>
            <w:tcW w:w="1537" w:type="dxa"/>
            <w:shd w:val="clear" w:color="auto" w:fill="auto"/>
          </w:tcPr>
          <w:p w14:paraId="13AB1F9B"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(č) proizvodnja drugih strojev in naprav</w:t>
            </w:r>
          </w:p>
        </w:tc>
        <w:tc>
          <w:tcPr>
            <w:tcW w:w="5671" w:type="dxa"/>
            <w:shd w:val="clear" w:color="auto" w:fill="auto"/>
          </w:tcPr>
          <w:p w14:paraId="26E838B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opravljajo katero koli gospodarsko dejavnost s področja C oddelka 28 NACE Rev. 2</w:t>
            </w:r>
          </w:p>
        </w:tc>
      </w:tr>
      <w:tr w:rsidR="00C50F53" w:rsidRPr="00864C5E" w14:paraId="121A6F3F" w14:textId="77777777" w:rsidTr="00871886">
        <w:tc>
          <w:tcPr>
            <w:tcW w:w="2081" w:type="dxa"/>
            <w:vMerge/>
            <w:shd w:val="clear" w:color="auto" w:fill="auto"/>
          </w:tcPr>
          <w:p w14:paraId="4A46181A" w14:textId="77777777" w:rsidR="00C50F53" w:rsidRPr="00C50F53" w:rsidRDefault="00C50F53" w:rsidP="007660B3">
            <w:pPr>
              <w:spacing w:before="120" w:after="120" w:line="276" w:lineRule="auto"/>
              <w:rPr>
                <w:rFonts w:cs="Arial"/>
                <w:color w:val="000000"/>
                <w:szCs w:val="20"/>
                <w:lang w:val="sl-SI"/>
              </w:rPr>
            </w:pPr>
          </w:p>
        </w:tc>
        <w:tc>
          <w:tcPr>
            <w:tcW w:w="1537" w:type="dxa"/>
            <w:shd w:val="clear" w:color="auto" w:fill="auto"/>
          </w:tcPr>
          <w:p w14:paraId="7E176D04"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(d) proizvodnja motornih vozil, prikolic in polprikolic</w:t>
            </w:r>
          </w:p>
        </w:tc>
        <w:tc>
          <w:tcPr>
            <w:tcW w:w="5671" w:type="dxa"/>
            <w:shd w:val="clear" w:color="auto" w:fill="auto"/>
          </w:tcPr>
          <w:p w14:paraId="63BE2EE8"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opravljajo katero koli gospodarsko dejavnost s področja C oddelka 29 NACE Rev. 2</w:t>
            </w:r>
          </w:p>
        </w:tc>
      </w:tr>
      <w:tr w:rsidR="00C50F53" w:rsidRPr="00864C5E" w14:paraId="5A7C0095" w14:textId="77777777" w:rsidTr="00871886">
        <w:tc>
          <w:tcPr>
            <w:tcW w:w="2081" w:type="dxa"/>
            <w:vMerge/>
            <w:shd w:val="clear" w:color="auto" w:fill="auto"/>
          </w:tcPr>
          <w:p w14:paraId="1B2A8C1F" w14:textId="77777777" w:rsidR="00C50F53" w:rsidRPr="00C50F53" w:rsidRDefault="00C50F53" w:rsidP="007660B3">
            <w:pPr>
              <w:spacing w:before="120" w:after="120" w:line="276" w:lineRule="auto"/>
              <w:rPr>
                <w:rFonts w:cs="Arial"/>
                <w:color w:val="000000"/>
                <w:szCs w:val="20"/>
                <w:lang w:val="sl-SI"/>
              </w:rPr>
            </w:pPr>
          </w:p>
        </w:tc>
        <w:tc>
          <w:tcPr>
            <w:tcW w:w="1537" w:type="dxa"/>
            <w:shd w:val="clear" w:color="auto" w:fill="auto"/>
          </w:tcPr>
          <w:p w14:paraId="4A4E38A2" w14:textId="77777777" w:rsidR="00C50F53" w:rsidRPr="00C50F53" w:rsidRDefault="00C50F53" w:rsidP="007660B3">
            <w:pPr>
              <w:spacing w:before="120" w:after="120" w:line="276" w:lineRule="auto"/>
              <w:rPr>
                <w:rFonts w:cs="Arial"/>
                <w:b/>
                <w:bCs/>
                <w:color w:val="000000"/>
                <w:szCs w:val="20"/>
                <w:lang w:val="sl-SI"/>
              </w:rPr>
            </w:pPr>
            <w:r w:rsidRPr="00C50F53">
              <w:rPr>
                <w:rFonts w:cs="Arial"/>
                <w:color w:val="000000"/>
                <w:szCs w:val="20"/>
                <w:lang w:val="sl-SI"/>
              </w:rPr>
              <w:t>(e) proizvodnja drugih vozil in plovil</w:t>
            </w:r>
          </w:p>
        </w:tc>
        <w:tc>
          <w:tcPr>
            <w:tcW w:w="5671" w:type="dxa"/>
            <w:shd w:val="clear" w:color="auto" w:fill="auto"/>
          </w:tcPr>
          <w:p w14:paraId="35DF819C"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podjetja, ki opravljajo katero koli gospodarsko dejavnost s področja C oddelka 30 NACE Rev. 2</w:t>
            </w:r>
          </w:p>
        </w:tc>
      </w:tr>
      <w:tr w:rsidR="00C50F53" w:rsidRPr="00C50F53" w14:paraId="7AB7C6BB" w14:textId="77777777" w:rsidTr="00871886">
        <w:tc>
          <w:tcPr>
            <w:tcW w:w="2081" w:type="dxa"/>
            <w:vMerge w:val="restart"/>
            <w:shd w:val="clear" w:color="auto" w:fill="auto"/>
          </w:tcPr>
          <w:p w14:paraId="622F35D5"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6. Digitalni ponudniki</w:t>
            </w:r>
          </w:p>
        </w:tc>
        <w:tc>
          <w:tcPr>
            <w:tcW w:w="1537" w:type="dxa"/>
            <w:vMerge w:val="restart"/>
            <w:shd w:val="clear" w:color="auto" w:fill="auto"/>
          </w:tcPr>
          <w:p w14:paraId="48312730" w14:textId="77777777" w:rsidR="00C50F53" w:rsidRPr="00C50F53" w:rsidRDefault="00C50F53" w:rsidP="007660B3">
            <w:pPr>
              <w:spacing w:before="120" w:after="120" w:line="276" w:lineRule="auto"/>
              <w:rPr>
                <w:rFonts w:cs="Arial"/>
                <w:b/>
                <w:bCs/>
                <w:color w:val="000000"/>
                <w:szCs w:val="20"/>
                <w:lang w:val="sl-SI"/>
              </w:rPr>
            </w:pPr>
          </w:p>
        </w:tc>
        <w:tc>
          <w:tcPr>
            <w:tcW w:w="5671" w:type="dxa"/>
            <w:shd w:val="clear" w:color="auto" w:fill="auto"/>
          </w:tcPr>
          <w:p w14:paraId="20B92B1D"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spletnih tržnic</w:t>
            </w:r>
          </w:p>
        </w:tc>
      </w:tr>
      <w:tr w:rsidR="00C50F53" w:rsidRPr="00C50F53" w14:paraId="746F478B" w14:textId="77777777" w:rsidTr="00871886">
        <w:tc>
          <w:tcPr>
            <w:tcW w:w="2081" w:type="dxa"/>
            <w:vMerge/>
            <w:shd w:val="clear" w:color="auto" w:fill="auto"/>
          </w:tcPr>
          <w:p w14:paraId="774FF3E8" w14:textId="77777777" w:rsidR="00C50F53" w:rsidRPr="00C50F53" w:rsidRDefault="00C50F53" w:rsidP="007660B3">
            <w:pPr>
              <w:spacing w:before="120" w:after="120" w:line="276" w:lineRule="auto"/>
              <w:rPr>
                <w:rFonts w:cs="Arial"/>
                <w:color w:val="000000"/>
                <w:szCs w:val="20"/>
                <w:lang w:val="sl-SI"/>
              </w:rPr>
            </w:pPr>
          </w:p>
        </w:tc>
        <w:tc>
          <w:tcPr>
            <w:tcW w:w="1537" w:type="dxa"/>
            <w:vMerge/>
            <w:shd w:val="clear" w:color="auto" w:fill="auto"/>
          </w:tcPr>
          <w:p w14:paraId="514D14C6" w14:textId="77777777" w:rsidR="00C50F53" w:rsidRPr="00C50F53" w:rsidRDefault="00C50F53" w:rsidP="007660B3">
            <w:pPr>
              <w:spacing w:before="120" w:after="120" w:line="276" w:lineRule="auto"/>
              <w:rPr>
                <w:rFonts w:cs="Arial"/>
                <w:b/>
                <w:bCs/>
                <w:color w:val="000000"/>
                <w:szCs w:val="20"/>
                <w:lang w:val="sl-SI"/>
              </w:rPr>
            </w:pPr>
          </w:p>
        </w:tc>
        <w:tc>
          <w:tcPr>
            <w:tcW w:w="5671" w:type="dxa"/>
            <w:shd w:val="clear" w:color="auto" w:fill="auto"/>
          </w:tcPr>
          <w:p w14:paraId="1522D5C3"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spletnih iskalnikov</w:t>
            </w:r>
          </w:p>
        </w:tc>
      </w:tr>
      <w:tr w:rsidR="00C50F53" w:rsidRPr="00864C5E" w14:paraId="51D6872D" w14:textId="77777777" w:rsidTr="00871886">
        <w:tc>
          <w:tcPr>
            <w:tcW w:w="2081" w:type="dxa"/>
            <w:vMerge/>
            <w:shd w:val="clear" w:color="auto" w:fill="auto"/>
          </w:tcPr>
          <w:p w14:paraId="6C18980E" w14:textId="77777777" w:rsidR="00C50F53" w:rsidRPr="00C50F53" w:rsidRDefault="00C50F53" w:rsidP="007660B3">
            <w:pPr>
              <w:spacing w:before="120" w:after="120" w:line="276" w:lineRule="auto"/>
              <w:rPr>
                <w:rFonts w:cs="Arial"/>
                <w:color w:val="000000"/>
                <w:szCs w:val="20"/>
                <w:lang w:val="sl-SI"/>
              </w:rPr>
            </w:pPr>
          </w:p>
        </w:tc>
        <w:tc>
          <w:tcPr>
            <w:tcW w:w="1537" w:type="dxa"/>
            <w:vMerge/>
            <w:shd w:val="clear" w:color="auto" w:fill="auto"/>
          </w:tcPr>
          <w:p w14:paraId="068E34F8" w14:textId="77777777" w:rsidR="00C50F53" w:rsidRPr="00C50F53" w:rsidRDefault="00C50F53" w:rsidP="007660B3">
            <w:pPr>
              <w:spacing w:before="120" w:after="120" w:line="276" w:lineRule="auto"/>
              <w:rPr>
                <w:rFonts w:cs="Arial"/>
                <w:b/>
                <w:bCs/>
                <w:color w:val="000000"/>
                <w:szCs w:val="20"/>
                <w:lang w:val="sl-SI"/>
              </w:rPr>
            </w:pPr>
          </w:p>
        </w:tc>
        <w:tc>
          <w:tcPr>
            <w:tcW w:w="5671" w:type="dxa"/>
            <w:shd w:val="clear" w:color="auto" w:fill="auto"/>
          </w:tcPr>
          <w:p w14:paraId="1892C684"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 ponudniki platform za storitve družbenega mreženja</w:t>
            </w:r>
          </w:p>
        </w:tc>
      </w:tr>
      <w:tr w:rsidR="00C50F53" w:rsidRPr="00C50F53" w14:paraId="30F9A0FF" w14:textId="77777777" w:rsidTr="00871886">
        <w:tc>
          <w:tcPr>
            <w:tcW w:w="2081" w:type="dxa"/>
            <w:shd w:val="clear" w:color="auto" w:fill="auto"/>
          </w:tcPr>
          <w:p w14:paraId="2E0C9F4B"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7. Raziskave</w:t>
            </w:r>
          </w:p>
        </w:tc>
        <w:tc>
          <w:tcPr>
            <w:tcW w:w="1537" w:type="dxa"/>
            <w:shd w:val="clear" w:color="auto" w:fill="auto"/>
          </w:tcPr>
          <w:p w14:paraId="3547C0D6" w14:textId="77777777" w:rsidR="00C50F53" w:rsidRPr="00C50F53" w:rsidRDefault="00C50F53" w:rsidP="007660B3">
            <w:pPr>
              <w:spacing w:before="120" w:after="120" w:line="276" w:lineRule="auto"/>
              <w:rPr>
                <w:rFonts w:cs="Arial"/>
                <w:b/>
                <w:bCs/>
                <w:color w:val="000000"/>
                <w:szCs w:val="20"/>
                <w:lang w:val="sl-SI"/>
              </w:rPr>
            </w:pPr>
          </w:p>
        </w:tc>
        <w:tc>
          <w:tcPr>
            <w:tcW w:w="5671" w:type="dxa"/>
            <w:shd w:val="clear" w:color="auto" w:fill="auto"/>
          </w:tcPr>
          <w:p w14:paraId="1CBD9B40" w14:textId="77777777" w:rsidR="00C50F53" w:rsidRPr="00C50F53" w:rsidRDefault="00C50F53" w:rsidP="007660B3">
            <w:pPr>
              <w:spacing w:before="120" w:after="120" w:line="276" w:lineRule="auto"/>
              <w:rPr>
                <w:rFonts w:cs="Arial"/>
                <w:color w:val="000000"/>
                <w:szCs w:val="20"/>
                <w:lang w:val="sl-SI"/>
              </w:rPr>
            </w:pPr>
            <w:r w:rsidRPr="00C50F53">
              <w:rPr>
                <w:rFonts w:cs="Arial"/>
                <w:color w:val="000000"/>
                <w:szCs w:val="20"/>
                <w:lang w:val="sl-SI"/>
              </w:rPr>
              <w:t>raziskovalne organizacije</w:t>
            </w:r>
          </w:p>
        </w:tc>
      </w:tr>
      <w:tr w:rsidR="00C50F53" w:rsidRPr="00C50F53" w14:paraId="102C0016" w14:textId="77777777" w:rsidTr="00871886">
        <w:tc>
          <w:tcPr>
            <w:tcW w:w="2081" w:type="dxa"/>
            <w:shd w:val="clear" w:color="auto" w:fill="auto"/>
          </w:tcPr>
          <w:p w14:paraId="73A219B2" w14:textId="77777777" w:rsidR="00C50F53" w:rsidRPr="00C50F53" w:rsidRDefault="00C50F53" w:rsidP="007660B3">
            <w:pPr>
              <w:spacing w:before="120" w:after="120" w:line="276" w:lineRule="auto"/>
              <w:rPr>
                <w:rFonts w:cs="Arial"/>
                <w:color w:val="000000"/>
                <w:szCs w:val="20"/>
                <w:lang w:val="sl-SI"/>
              </w:rPr>
            </w:pPr>
            <w:r w:rsidRPr="00C50F53">
              <w:rPr>
                <w:rFonts w:cs="Arial"/>
                <w:szCs w:val="20"/>
                <w:lang w:val="sl-SI"/>
              </w:rPr>
              <w:t>8. Javna uprava</w:t>
            </w:r>
          </w:p>
        </w:tc>
        <w:tc>
          <w:tcPr>
            <w:tcW w:w="1537" w:type="dxa"/>
            <w:shd w:val="clear" w:color="auto" w:fill="auto"/>
          </w:tcPr>
          <w:p w14:paraId="2CC0B14F" w14:textId="77777777" w:rsidR="00C50F53" w:rsidRPr="00C50F53" w:rsidRDefault="00C50F53" w:rsidP="007660B3">
            <w:pPr>
              <w:spacing w:before="120" w:after="120" w:line="276" w:lineRule="auto"/>
              <w:rPr>
                <w:rFonts w:cs="Arial"/>
                <w:b/>
                <w:bCs/>
                <w:color w:val="000000"/>
                <w:szCs w:val="20"/>
                <w:lang w:val="sl-SI"/>
              </w:rPr>
            </w:pPr>
            <w:r w:rsidRPr="00C50F53">
              <w:rPr>
                <w:rFonts w:cs="Arial"/>
                <w:szCs w:val="20"/>
                <w:lang w:val="sl-SI"/>
              </w:rPr>
              <w:t>lokalna samouprava</w:t>
            </w:r>
          </w:p>
        </w:tc>
        <w:tc>
          <w:tcPr>
            <w:tcW w:w="5671" w:type="dxa"/>
            <w:shd w:val="clear" w:color="auto" w:fill="auto"/>
          </w:tcPr>
          <w:p w14:paraId="775EF00C" w14:textId="77777777" w:rsidR="00C50F53" w:rsidRPr="00C50F53" w:rsidRDefault="00C50F53" w:rsidP="007660B3">
            <w:pPr>
              <w:spacing w:before="120" w:after="120" w:line="276" w:lineRule="auto"/>
              <w:rPr>
                <w:rFonts w:cs="Arial"/>
                <w:color w:val="000000"/>
                <w:szCs w:val="20"/>
                <w:lang w:val="sl-SI"/>
              </w:rPr>
            </w:pPr>
            <w:r w:rsidRPr="00C50F53">
              <w:rPr>
                <w:rFonts w:cs="Arial"/>
                <w:szCs w:val="20"/>
                <w:lang w:val="sl-SI"/>
              </w:rPr>
              <w:t>mestne občine</w:t>
            </w:r>
          </w:p>
        </w:tc>
      </w:tr>
    </w:tbl>
    <w:p w14:paraId="030C0C0F" w14:textId="77777777" w:rsidR="00C50F53" w:rsidRPr="00C50F53" w:rsidRDefault="00C50F53" w:rsidP="00C50F53">
      <w:pPr>
        <w:pStyle w:val="Poglavje"/>
        <w:spacing w:before="0" w:line="260" w:lineRule="exact"/>
        <w:jc w:val="both"/>
        <w:rPr>
          <w:sz w:val="20"/>
          <w:szCs w:val="20"/>
        </w:rPr>
      </w:pPr>
    </w:p>
    <w:p w14:paraId="00375A8B" w14:textId="78FCDA09" w:rsidR="00C50F53" w:rsidRPr="00C50F53" w:rsidRDefault="00C50F53" w:rsidP="00E20E87">
      <w:pPr>
        <w:shd w:val="clear" w:color="auto" w:fill="FFFFFF"/>
        <w:spacing w:before="240" w:after="120"/>
        <w:ind w:left="7655" w:hanging="142"/>
        <w:rPr>
          <w:rFonts w:cs="Arial"/>
          <w:b/>
          <w:bCs/>
          <w:color w:val="000000"/>
          <w:szCs w:val="22"/>
          <w:lang w:val="sl-SI"/>
        </w:rPr>
      </w:pPr>
      <w:r w:rsidRPr="00C50F53">
        <w:rPr>
          <w:rFonts w:cs="Arial"/>
          <w:b/>
          <w:bCs/>
          <w:lang w:val="sl-SI"/>
        </w:rPr>
        <w:br w:type="page"/>
      </w:r>
    </w:p>
    <w:p w14:paraId="60FEDE65" w14:textId="716FFE04" w:rsidR="00E20E87" w:rsidRDefault="00E20E87" w:rsidP="00E20E87">
      <w:pPr>
        <w:shd w:val="clear" w:color="auto" w:fill="FFFFFF"/>
        <w:spacing w:before="240" w:after="120"/>
        <w:jc w:val="right"/>
        <w:rPr>
          <w:rFonts w:cs="Arial"/>
          <w:b/>
          <w:bCs/>
          <w:color w:val="000000"/>
          <w:szCs w:val="22"/>
          <w:lang w:val="sl-SI"/>
        </w:rPr>
      </w:pPr>
      <w:r>
        <w:rPr>
          <w:rFonts w:cs="Arial"/>
          <w:b/>
          <w:bCs/>
          <w:color w:val="000000"/>
          <w:szCs w:val="22"/>
          <w:lang w:val="sl-SI"/>
        </w:rPr>
        <w:lastRenderedPageBreak/>
        <w:t>PRILOGA 3</w:t>
      </w:r>
    </w:p>
    <w:p w14:paraId="1419FA84" w14:textId="77777777" w:rsidR="00E20E87" w:rsidRDefault="00E20E87" w:rsidP="00C50F53">
      <w:pPr>
        <w:shd w:val="clear" w:color="auto" w:fill="FFFFFF"/>
        <w:spacing w:before="240" w:after="120"/>
        <w:jc w:val="center"/>
        <w:rPr>
          <w:rFonts w:cs="Arial"/>
          <w:b/>
          <w:bCs/>
          <w:color w:val="000000"/>
          <w:szCs w:val="22"/>
          <w:lang w:val="sl-SI"/>
        </w:rPr>
      </w:pPr>
    </w:p>
    <w:p w14:paraId="669937B9" w14:textId="2CA6BFD4" w:rsidR="00C50F53" w:rsidRPr="00C50F53" w:rsidRDefault="00C50F53" w:rsidP="00C50F53">
      <w:pPr>
        <w:shd w:val="clear" w:color="auto" w:fill="FFFFFF"/>
        <w:spacing w:before="240" w:after="120"/>
        <w:jc w:val="center"/>
        <w:rPr>
          <w:rFonts w:cs="Arial"/>
          <w:b/>
          <w:bCs/>
          <w:color w:val="000000"/>
          <w:szCs w:val="22"/>
          <w:lang w:val="sl-SI"/>
        </w:rPr>
      </w:pPr>
      <w:r w:rsidRPr="00C50F53">
        <w:rPr>
          <w:rFonts w:cs="Arial"/>
          <w:b/>
          <w:bCs/>
          <w:color w:val="000000"/>
          <w:szCs w:val="22"/>
          <w:lang w:val="sl-SI"/>
        </w:rPr>
        <w:t>DRUGI SUBJEKTI JAVNE UPRAVE NA DRŽAVNI RAVNI</w:t>
      </w:r>
    </w:p>
    <w:p w14:paraId="1EFBB202" w14:textId="77777777" w:rsidR="00C50F53" w:rsidRPr="00C50F53" w:rsidRDefault="00C50F53" w:rsidP="00C50F53">
      <w:pPr>
        <w:shd w:val="clear" w:color="auto" w:fill="FFFFFF"/>
        <w:spacing w:before="240" w:after="120"/>
        <w:jc w:val="center"/>
        <w:rPr>
          <w:rFonts w:cs="Arial"/>
          <w:b/>
          <w:bCs/>
          <w:color w:val="000000"/>
          <w:szCs w:val="22"/>
          <w:lang w:val="sl-SI"/>
        </w:rPr>
      </w:pPr>
    </w:p>
    <w:tbl>
      <w:tblPr>
        <w:tblW w:w="9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6"/>
        <w:gridCol w:w="7373"/>
      </w:tblGrid>
      <w:tr w:rsidR="00C50F53" w:rsidRPr="00C50F53" w14:paraId="448738DE" w14:textId="77777777" w:rsidTr="00871886">
        <w:tc>
          <w:tcPr>
            <w:tcW w:w="1916" w:type="dxa"/>
            <w:shd w:val="clear" w:color="auto" w:fill="auto"/>
          </w:tcPr>
          <w:p w14:paraId="38E8BF55" w14:textId="77777777" w:rsidR="00C50F53" w:rsidRPr="00C50F53" w:rsidRDefault="00C50F53" w:rsidP="00E20E87">
            <w:pPr>
              <w:spacing w:line="360" w:lineRule="auto"/>
              <w:jc w:val="center"/>
              <w:rPr>
                <w:rFonts w:cs="Arial"/>
                <w:b/>
                <w:bCs/>
                <w:color w:val="000000"/>
                <w:szCs w:val="20"/>
                <w:lang w:val="sl-SI"/>
              </w:rPr>
            </w:pPr>
            <w:bookmarkStart w:id="127" w:name="_Hlk187846758"/>
          </w:p>
        </w:tc>
        <w:tc>
          <w:tcPr>
            <w:tcW w:w="7373" w:type="dxa"/>
            <w:shd w:val="clear" w:color="auto" w:fill="auto"/>
          </w:tcPr>
          <w:p w14:paraId="5400FA17" w14:textId="77777777" w:rsidR="00C50F53" w:rsidRPr="00C50F53" w:rsidRDefault="00C50F53" w:rsidP="00E20E87">
            <w:pPr>
              <w:spacing w:line="360" w:lineRule="auto"/>
              <w:jc w:val="center"/>
              <w:rPr>
                <w:rFonts w:cs="Arial"/>
                <w:b/>
                <w:bCs/>
                <w:color w:val="000000"/>
                <w:szCs w:val="20"/>
                <w:lang w:val="sl-SI"/>
              </w:rPr>
            </w:pPr>
            <w:r w:rsidRPr="00C50F53">
              <w:rPr>
                <w:rFonts w:cs="Arial"/>
                <w:b/>
                <w:bCs/>
                <w:color w:val="000000"/>
                <w:szCs w:val="20"/>
                <w:lang w:val="sl-SI"/>
              </w:rPr>
              <w:t>Subjekt</w:t>
            </w:r>
          </w:p>
        </w:tc>
      </w:tr>
      <w:tr w:rsidR="00C50F53" w:rsidRPr="00C50F53" w14:paraId="381C7776" w14:textId="77777777" w:rsidTr="00871886">
        <w:tc>
          <w:tcPr>
            <w:tcW w:w="1916" w:type="dxa"/>
            <w:shd w:val="clear" w:color="auto" w:fill="auto"/>
          </w:tcPr>
          <w:p w14:paraId="129D87CD" w14:textId="77777777" w:rsidR="00C50F53" w:rsidRPr="00C50F53" w:rsidRDefault="00C50F53" w:rsidP="00E20E87">
            <w:pPr>
              <w:pStyle w:val="Odstavekseznama"/>
              <w:spacing w:line="360" w:lineRule="auto"/>
              <w:ind w:left="0"/>
              <w:jc w:val="center"/>
              <w:rPr>
                <w:rFonts w:cs="Arial"/>
                <w:color w:val="000000"/>
                <w:szCs w:val="20"/>
                <w:lang w:val="sl-SI"/>
              </w:rPr>
            </w:pPr>
            <w:r w:rsidRPr="00C50F53">
              <w:rPr>
                <w:rFonts w:cs="Arial"/>
                <w:color w:val="000000"/>
                <w:szCs w:val="20"/>
                <w:lang w:val="sl-SI"/>
              </w:rPr>
              <w:t>Javne agencije</w:t>
            </w:r>
          </w:p>
        </w:tc>
        <w:tc>
          <w:tcPr>
            <w:tcW w:w="7373" w:type="dxa"/>
            <w:shd w:val="clear" w:color="auto" w:fill="auto"/>
          </w:tcPr>
          <w:p w14:paraId="406F6D35"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Agencija Republike Slovenije za javnopravne evidence in storitve</w:t>
            </w:r>
          </w:p>
          <w:p w14:paraId="0DBD6AC4"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Agencija za energijo</w:t>
            </w:r>
          </w:p>
          <w:p w14:paraId="36B592E2"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Agencija za javni nadzor nad revidiranjem</w:t>
            </w:r>
          </w:p>
          <w:p w14:paraId="6ED0ABFC" w14:textId="77777777" w:rsidR="00C50F53" w:rsidRPr="00C50F53" w:rsidRDefault="00C50F53" w:rsidP="00E20E87">
            <w:pPr>
              <w:spacing w:line="360" w:lineRule="auto"/>
              <w:rPr>
                <w:rFonts w:cs="Arial"/>
                <w:color w:val="000000"/>
                <w:szCs w:val="20"/>
                <w:lang w:val="sl-SI"/>
              </w:rPr>
            </w:pPr>
            <w:r w:rsidRPr="00C50F53">
              <w:rPr>
                <w:rFonts w:cs="Arial"/>
                <w:color w:val="000000"/>
                <w:szCs w:val="20"/>
                <w:lang w:val="sl-SI"/>
              </w:rPr>
              <w:t>Agencija za komunikacijska omrežja in storitve Republike Slovenije</w:t>
            </w:r>
          </w:p>
          <w:p w14:paraId="5662D21D"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Agencija za trg vrednostnih papirjev</w:t>
            </w:r>
          </w:p>
          <w:p w14:paraId="28238E35"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Agencija za zavarovalni nadzor</w:t>
            </w:r>
          </w:p>
          <w:p w14:paraId="771361C4"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Republike Slovenije za spodbujanje investicij, podjetništva in internacionalizacije</w:t>
            </w:r>
          </w:p>
          <w:p w14:paraId="3D9A863A"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Republike Slovenije za varnost prometa</w:t>
            </w:r>
          </w:p>
          <w:p w14:paraId="6C1C39CE"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Republike Slovenije za varstvo konkurence</w:t>
            </w:r>
          </w:p>
          <w:p w14:paraId="11E292C5"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Republike Slovenije za zdravila in medicinske pripomočke</w:t>
            </w:r>
          </w:p>
          <w:p w14:paraId="3C2537A7"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za civilno letalstvo Republike Slovenije</w:t>
            </w:r>
          </w:p>
          <w:p w14:paraId="7AD4E252"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za knjigo Republike Slovenije</w:t>
            </w:r>
          </w:p>
          <w:p w14:paraId="53FB7021"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za znanstvenoraziskovalno in inovacijsko dejavnost Republike Slovenije</w:t>
            </w:r>
          </w:p>
          <w:p w14:paraId="70098411"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Javna agencija za železniški promet Republike Slovenije</w:t>
            </w:r>
          </w:p>
        </w:tc>
      </w:tr>
      <w:tr w:rsidR="00C50F53" w:rsidRPr="00C50F53" w14:paraId="178E6340" w14:textId="77777777" w:rsidTr="00871886">
        <w:tc>
          <w:tcPr>
            <w:tcW w:w="1916" w:type="dxa"/>
            <w:shd w:val="clear" w:color="auto" w:fill="auto"/>
          </w:tcPr>
          <w:p w14:paraId="371FCA4D" w14:textId="77777777" w:rsidR="00C50F53" w:rsidRPr="00C50F53" w:rsidRDefault="00C50F53" w:rsidP="00E20E87">
            <w:pPr>
              <w:pStyle w:val="Odstavekseznama"/>
              <w:spacing w:line="360" w:lineRule="auto"/>
              <w:ind w:left="0"/>
              <w:jc w:val="center"/>
              <w:rPr>
                <w:rFonts w:cs="Arial"/>
                <w:color w:val="000000"/>
                <w:szCs w:val="20"/>
                <w:lang w:val="sl-SI"/>
              </w:rPr>
            </w:pPr>
            <w:r w:rsidRPr="00C50F53">
              <w:rPr>
                <w:rFonts w:cs="Arial"/>
                <w:color w:val="000000"/>
                <w:szCs w:val="20"/>
                <w:lang w:val="sl-SI"/>
              </w:rPr>
              <w:t>Javni skladi</w:t>
            </w:r>
          </w:p>
        </w:tc>
        <w:tc>
          <w:tcPr>
            <w:tcW w:w="7373" w:type="dxa"/>
            <w:shd w:val="clear" w:color="auto" w:fill="auto"/>
          </w:tcPr>
          <w:p w14:paraId="59A0BD0B"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Eko sklad, Slovenski okoljski javni sklad</w:t>
            </w:r>
          </w:p>
          <w:p w14:paraId="06813D5F"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Javni sklad Republike Slovenije za podjetništvo</w:t>
            </w:r>
          </w:p>
          <w:p w14:paraId="271C07FB"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Javni sklad Republike Slovenije za regionalni razvoj in razvoj podeželja</w:t>
            </w:r>
          </w:p>
          <w:p w14:paraId="796AF0F0" w14:textId="77777777" w:rsidR="00C50F53" w:rsidRPr="00C50F53" w:rsidRDefault="00C50F53" w:rsidP="00E20E87">
            <w:pPr>
              <w:shd w:val="clear" w:color="auto" w:fill="FFFFFF"/>
              <w:spacing w:line="360" w:lineRule="auto"/>
              <w:rPr>
                <w:rFonts w:cs="Arial"/>
                <w:color w:val="000000"/>
                <w:szCs w:val="20"/>
                <w:lang w:val="sl-SI"/>
              </w:rPr>
            </w:pPr>
            <w:r w:rsidRPr="00C50F53">
              <w:rPr>
                <w:rFonts w:cs="Arial"/>
                <w:color w:val="000000"/>
                <w:szCs w:val="20"/>
                <w:lang w:val="sl-SI"/>
              </w:rPr>
              <w:t>Javni štipendijski, razvojni, invalidski in preživninski sklad Republike Slovenije</w:t>
            </w:r>
          </w:p>
          <w:p w14:paraId="16AA0F57"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Sklad kmetijskih zemljišč in gozdov Republike Slovenije</w:t>
            </w:r>
          </w:p>
          <w:p w14:paraId="151B42AB"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 xml:space="preserve">Sklad Republike Slovenije za nasledstvo, javni sklad </w:t>
            </w:r>
          </w:p>
          <w:p w14:paraId="51D9473A"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Stanovanjski sklad Republike Slovenije, javni sklad</w:t>
            </w:r>
          </w:p>
        </w:tc>
      </w:tr>
      <w:tr w:rsidR="00C50F53" w:rsidRPr="00864C5E" w14:paraId="58599CD7" w14:textId="77777777" w:rsidTr="00871886">
        <w:tc>
          <w:tcPr>
            <w:tcW w:w="1916" w:type="dxa"/>
            <w:shd w:val="clear" w:color="auto" w:fill="auto"/>
          </w:tcPr>
          <w:p w14:paraId="4C82464C" w14:textId="77777777" w:rsidR="00C50F53" w:rsidRPr="00C50F53" w:rsidRDefault="00C50F53" w:rsidP="00E20E87">
            <w:pPr>
              <w:pStyle w:val="Odstavekseznama"/>
              <w:spacing w:line="360" w:lineRule="auto"/>
              <w:ind w:left="0"/>
              <w:jc w:val="center"/>
              <w:rPr>
                <w:rFonts w:cs="Arial"/>
                <w:color w:val="000000"/>
                <w:szCs w:val="20"/>
                <w:lang w:val="sl-SI"/>
              </w:rPr>
            </w:pPr>
            <w:r w:rsidRPr="00C50F53">
              <w:rPr>
                <w:rFonts w:cs="Arial"/>
                <w:color w:val="000000"/>
                <w:szCs w:val="20"/>
                <w:lang w:val="sl-SI"/>
              </w:rPr>
              <w:t>Javni zavodi</w:t>
            </w:r>
          </w:p>
        </w:tc>
        <w:tc>
          <w:tcPr>
            <w:tcW w:w="7373" w:type="dxa"/>
            <w:shd w:val="clear" w:color="auto" w:fill="auto"/>
          </w:tcPr>
          <w:p w14:paraId="3CCFA65B"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Andragoški center Republike Slovenije</w:t>
            </w:r>
          </w:p>
          <w:p w14:paraId="052DB53F"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Državni izpitni center</w:t>
            </w:r>
          </w:p>
          <w:p w14:paraId="458EF09A"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Javni zavod Republike Slovenije za varstvo kulturne dediščine</w:t>
            </w:r>
          </w:p>
          <w:p w14:paraId="17B11F10"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Narodna in univerzitetna knjižnica</w:t>
            </w:r>
          </w:p>
          <w:p w14:paraId="0101577F"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Radiotelevizija Slovenija javni zavod, Ljubljana</w:t>
            </w:r>
          </w:p>
          <w:p w14:paraId="2B865CD5"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Slovenska akreditacija</w:t>
            </w:r>
          </w:p>
          <w:p w14:paraId="5CA42BF9"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Slovenski inštitut za standardizacijo</w:t>
            </w:r>
          </w:p>
          <w:p w14:paraId="2137D792"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Zavod Republike Slovenije za šolstvo</w:t>
            </w:r>
          </w:p>
          <w:p w14:paraId="7655D19B"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Zavod Republike Slovenije za varstvo narave</w:t>
            </w:r>
          </w:p>
          <w:p w14:paraId="555711C8"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Zavod Republike Slovenije za zaposlovanje</w:t>
            </w:r>
          </w:p>
          <w:p w14:paraId="085203D8"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Zavod za gozdove</w:t>
            </w:r>
          </w:p>
          <w:p w14:paraId="4D6A354F"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lastRenderedPageBreak/>
              <w:t>Zavod za pokojninsko in invalidsko zavarovanje Slovenije</w:t>
            </w:r>
          </w:p>
          <w:p w14:paraId="7E8BE83E"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Zavod za zdravstveno zavarovanje Slovenije</w:t>
            </w:r>
          </w:p>
        </w:tc>
      </w:tr>
      <w:tr w:rsidR="00C50F53" w:rsidRPr="00C50F53" w14:paraId="7322EF82" w14:textId="77777777" w:rsidTr="00871886">
        <w:tc>
          <w:tcPr>
            <w:tcW w:w="1916" w:type="dxa"/>
            <w:shd w:val="clear" w:color="auto" w:fill="auto"/>
          </w:tcPr>
          <w:p w14:paraId="00E2C9F0" w14:textId="77777777" w:rsidR="00C50F53" w:rsidRPr="00C50F53" w:rsidRDefault="00C50F53" w:rsidP="00E20E87">
            <w:pPr>
              <w:pStyle w:val="Odstavekseznama"/>
              <w:spacing w:line="360" w:lineRule="auto"/>
              <w:ind w:left="0"/>
              <w:jc w:val="center"/>
              <w:rPr>
                <w:rFonts w:cs="Arial"/>
                <w:color w:val="000000"/>
                <w:szCs w:val="20"/>
                <w:lang w:val="sl-SI"/>
              </w:rPr>
            </w:pPr>
            <w:r w:rsidRPr="00C50F53">
              <w:rPr>
                <w:rFonts w:cs="Arial"/>
                <w:color w:val="000000"/>
                <w:szCs w:val="20"/>
                <w:lang w:val="sl-SI"/>
              </w:rPr>
              <w:lastRenderedPageBreak/>
              <w:t>Druge osebe javnega prava oziroma neodvisni državni organi</w:t>
            </w:r>
          </w:p>
        </w:tc>
        <w:tc>
          <w:tcPr>
            <w:tcW w:w="7373" w:type="dxa"/>
            <w:shd w:val="clear" w:color="auto" w:fill="auto"/>
          </w:tcPr>
          <w:p w14:paraId="1769A9E6"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Državna revizijska komisija za revizijo postopkov oddaje javnih naročil</w:t>
            </w:r>
          </w:p>
          <w:p w14:paraId="4BA78863"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Državna volilna komisija</w:t>
            </w:r>
          </w:p>
          <w:p w14:paraId="75282D45"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Informacijski pooblaščenec</w:t>
            </w:r>
          </w:p>
          <w:p w14:paraId="215D966C"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Komisija za preprečevanje korupcije</w:t>
            </w:r>
          </w:p>
          <w:p w14:paraId="1E606582" w14:textId="77777777" w:rsidR="00C50F53" w:rsidRPr="00C50F53" w:rsidRDefault="00C50F53" w:rsidP="00E20E87">
            <w:pPr>
              <w:pStyle w:val="Odstavekseznama"/>
              <w:spacing w:line="360" w:lineRule="auto"/>
              <w:ind w:left="0"/>
              <w:rPr>
                <w:rFonts w:cs="Arial"/>
                <w:color w:val="000000"/>
                <w:szCs w:val="20"/>
                <w:lang w:val="sl-SI"/>
              </w:rPr>
            </w:pPr>
            <w:r w:rsidRPr="00C50F53">
              <w:rPr>
                <w:rFonts w:cs="Arial"/>
                <w:color w:val="000000"/>
                <w:szCs w:val="20"/>
                <w:lang w:val="sl-SI"/>
              </w:rPr>
              <w:t>Nacionalna agencija Republike Slovenije za kakovost v visokem šolstvu</w:t>
            </w:r>
          </w:p>
        </w:tc>
      </w:tr>
      <w:bookmarkEnd w:id="127"/>
    </w:tbl>
    <w:p w14:paraId="1E4B52C7" w14:textId="77777777" w:rsidR="00C50F53" w:rsidRPr="00C50F53" w:rsidRDefault="00C50F53" w:rsidP="00C50F53">
      <w:pPr>
        <w:spacing w:after="160" w:line="259" w:lineRule="auto"/>
        <w:rPr>
          <w:b/>
          <w:bCs/>
          <w:szCs w:val="20"/>
          <w:lang w:val="sl-SI"/>
        </w:rPr>
      </w:pPr>
    </w:p>
    <w:p w14:paraId="5DE782D2" w14:textId="77777777" w:rsidR="00C50F53" w:rsidRPr="00C50F53" w:rsidRDefault="00C50F53">
      <w:pPr>
        <w:spacing w:line="240" w:lineRule="auto"/>
        <w:rPr>
          <w:rFonts w:cs="Arial"/>
          <w:b/>
          <w:szCs w:val="20"/>
          <w:lang w:val="sl-SI" w:eastAsia="sl-SI"/>
        </w:rPr>
      </w:pPr>
    </w:p>
    <w:p w14:paraId="631BF922" w14:textId="77777777" w:rsidR="00C50F53" w:rsidRPr="00C50F53" w:rsidRDefault="00C50F53">
      <w:pPr>
        <w:spacing w:line="240" w:lineRule="auto"/>
        <w:rPr>
          <w:rFonts w:cs="Arial"/>
          <w:b/>
          <w:szCs w:val="20"/>
          <w:lang w:val="sl-SI" w:eastAsia="sl-SI"/>
        </w:rPr>
      </w:pPr>
    </w:p>
    <w:p w14:paraId="67B480BB" w14:textId="004145B6" w:rsidR="009954BB" w:rsidRPr="00C50F53" w:rsidRDefault="009954BB">
      <w:pPr>
        <w:spacing w:line="240" w:lineRule="auto"/>
        <w:rPr>
          <w:rFonts w:cs="Arial"/>
          <w:b/>
          <w:szCs w:val="20"/>
          <w:lang w:val="sl-SI" w:eastAsia="sl-SI"/>
        </w:rPr>
      </w:pPr>
      <w:r w:rsidRPr="00C50F53">
        <w:rPr>
          <w:rFonts w:cs="Arial"/>
          <w:b/>
          <w:szCs w:val="20"/>
          <w:lang w:val="sl-SI" w:eastAsia="sl-SI"/>
        </w:rPr>
        <w:br w:type="page"/>
      </w:r>
    </w:p>
    <w:p w14:paraId="112375E0" w14:textId="155A0A62" w:rsidR="009954BB" w:rsidRPr="00C50F53"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lastRenderedPageBreak/>
        <w:t>III. OBRAZLOŽITEV</w:t>
      </w:r>
    </w:p>
    <w:p w14:paraId="55A587E0" w14:textId="77777777" w:rsidR="003077CA" w:rsidRPr="00C50F53" w:rsidRDefault="003077CA" w:rsidP="009954BB">
      <w:pPr>
        <w:suppressAutoHyphens/>
        <w:overflowPunct w:val="0"/>
        <w:autoSpaceDE w:val="0"/>
        <w:autoSpaceDN w:val="0"/>
        <w:adjustRightInd w:val="0"/>
        <w:spacing w:line="276" w:lineRule="auto"/>
        <w:textAlignment w:val="baseline"/>
        <w:outlineLvl w:val="3"/>
        <w:rPr>
          <w:rFonts w:cs="Arial"/>
          <w:b/>
          <w:szCs w:val="20"/>
          <w:lang w:val="sl-SI" w:eastAsia="sl-SI"/>
        </w:rPr>
      </w:pPr>
    </w:p>
    <w:p w14:paraId="0C37B377" w14:textId="77777777" w:rsidR="003077CA" w:rsidRPr="00C50F53" w:rsidRDefault="003077CA" w:rsidP="003077CA">
      <w:pPr>
        <w:spacing w:line="276" w:lineRule="auto"/>
        <w:contextualSpacing/>
        <w:rPr>
          <w:rFonts w:cs="Arial"/>
          <w:b/>
          <w:bCs/>
          <w:szCs w:val="20"/>
          <w:lang w:val="sl-SI"/>
        </w:rPr>
      </w:pPr>
      <w:bookmarkStart w:id="128" w:name="_Hlk158990611"/>
      <w:bookmarkStart w:id="129" w:name="_Hlk158990359"/>
    </w:p>
    <w:bookmarkEnd w:id="128"/>
    <w:bookmarkEnd w:id="129"/>
    <w:p w14:paraId="350883F3" w14:textId="77777777" w:rsidR="000A51A5" w:rsidRPr="003077CA" w:rsidRDefault="000A51A5" w:rsidP="000A51A5">
      <w:pPr>
        <w:spacing w:line="276" w:lineRule="auto"/>
        <w:contextualSpacing/>
        <w:rPr>
          <w:rFonts w:cs="Arial"/>
          <w:b/>
          <w:bCs/>
          <w:szCs w:val="20"/>
          <w:lang w:val="sl-SI"/>
        </w:rPr>
      </w:pPr>
      <w:r w:rsidRPr="003077CA">
        <w:rPr>
          <w:rFonts w:cs="Arial"/>
          <w:b/>
          <w:bCs/>
          <w:szCs w:val="20"/>
          <w:lang w:val="sl-SI"/>
        </w:rPr>
        <w:t>PREDSTAVITEV ČLENOV</w:t>
      </w:r>
    </w:p>
    <w:p w14:paraId="22BACE9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394D52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I. Splošne določbe</w:t>
      </w:r>
    </w:p>
    <w:p w14:paraId="2FC2A9B0"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9F4A17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poglavju o splošnih določbah predlog zakona določa vsebino zakona in njegov namen, konkretizira izključitev uporabe tega zakona ali dela njegovih določb v določenih primerih, vsebuje tudi določbe glede obdelave podatkov in informacij ter opredeljuje pomen izrazov.</w:t>
      </w:r>
    </w:p>
    <w:p w14:paraId="18E38550"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6B7E062E"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 členu</w:t>
      </w:r>
    </w:p>
    <w:p w14:paraId="5CC014C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opredeljuje vsebino zakona, ki predstavlja sistemsko osnovo za ureditev informacijske in kibernetske varnosti na določenih ključnih področjih v Republiki Sloveniji. </w:t>
      </w:r>
    </w:p>
    <w:p w14:paraId="4FEA497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zakona tako ureja področje informacijske in kibernetske varnosti ter opredeljuje nacionalni sistem informacijske varnosti v Republiki Sloveniji. Nacionalni sistem informacijske varnosti je sicer vzpostavil že veljavni Zakon o informacijski varnosti (Uradni list RS, št. 30/18, 95/21, 130/22 – ZEKom-2, 18/23 – ZDU-1O in 49/23; v nadaljnjem besedilu: ZInfV), kar se ureja tudi v predlaganem zakonu, je pa urejanje te vsebine zaradi njegovega pomena posebej izpostavljeno tudi v prvem odstavku predlaganega člena. Prvi odstavek predlaganega člena pri tem izpostavlja urejanje pristojnosti, naloge, organizacijo in delovanje pristojnega nacionalnega organa za informacijsko varnost (v nadaljnjem besedilu: pristojni nacionalni organ), organa za obvladovanje incidentov velikih razsežnosti in kriz, enotne kontaktne točke za kibernetsko varnost (v nadaljnjem besedilu: enotna kontaktna točka), skupin za odzivanje na incidente na področju računalniške varnosti (v nadaljnjem besedilu: skupine CSIRT); ureja sprejem Strategije kibernetske varnosti Republike Slovenije in določa kibernetsko obrambo ter sodelovanje pristojnih državnih organov in skupin CSIRT.</w:t>
      </w:r>
    </w:p>
    <w:p w14:paraId="6A107FD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drugi odstavek pojasnjuje, da zakon za ohranitev ključnih družbenih in gospodarskih dejavnosti v Republiki Sloveniji določa tudi ukrepe za obvladovanje tveganj za informacijsko in kibernetsko varnost ter obveznost poročanja zavezancev po tem zakonu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prostovoljno priglasitev incidentov. Ureja tudi pravila in obveznosti glede izmenjave informacij o kibernetski varnosti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nadzor po tem zakonu, vključno za področje certificiranja kibernetske varnosti. Predlagana določba pa </w:t>
      </w:r>
      <w:r>
        <w:rPr>
          <w:rFonts w:cs="Arial"/>
          <w:color w:val="000000"/>
          <w:szCs w:val="20"/>
          <w:shd w:val="clear" w:color="auto" w:fill="FFFFFF"/>
          <w:lang w:val="sl-SI"/>
        </w:rPr>
        <w:t>v nasprotju z</w:t>
      </w:r>
      <w:r w:rsidRPr="003077CA">
        <w:rPr>
          <w:rFonts w:cs="Arial"/>
          <w:color w:val="000000"/>
          <w:szCs w:val="20"/>
          <w:shd w:val="clear" w:color="auto" w:fill="FFFFFF"/>
          <w:lang w:val="sl-SI"/>
        </w:rPr>
        <w:t xml:space="preserve"> ZInfV v prvem členu ne navaja več razloga urejanja »nemotenega delovanja države v vseh varnostnih razmerah«</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zaradi jasnejše razmejitve s področjem urejanja zakona, ki ureja obrambo.</w:t>
      </w:r>
    </w:p>
    <w:p w14:paraId="16063F3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Predlagana določba pri tem vključuje tudi vsebine iz 1. člena (Predmet urejanja) Direktive (EU) 2022/2555 Evropskega parlamenta in Sveta z dne 14. decembra 2022 o ukrepih za visoko skupno raven kibernetske varnosti v Uniji, spremembi Uredbe (EU) št. 910/2014 in Direktive (EU) 2018/1972 ter razveljavitvi Direktive (EU) 2016/1148 (Direktiva NIS 2) (UL L št. 333/142 z dne 27. 12. 2022, str.</w:t>
      </w:r>
      <w:r>
        <w:rPr>
          <w:rFonts w:cs="Arial"/>
          <w:color w:val="000000"/>
          <w:szCs w:val="20"/>
          <w:shd w:val="clear" w:color="auto" w:fill="FFFFFF"/>
          <w:lang w:val="sl-SI"/>
        </w:rPr>
        <w:t xml:space="preserve"> </w:t>
      </w:r>
      <w:r w:rsidRPr="003077CA">
        <w:rPr>
          <w:rFonts w:cs="Arial"/>
          <w:color w:val="000000"/>
          <w:szCs w:val="20"/>
          <w:shd w:val="clear" w:color="auto" w:fill="FFFFFF"/>
          <w:lang w:val="sl-SI"/>
        </w:rPr>
        <w:t>80), zadnjič popravljen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s Popravkom (UL L št. </w:t>
      </w:r>
      <w:r w:rsidRPr="006C346B">
        <w:rPr>
          <w:rFonts w:cs="Arial"/>
          <w:color w:val="000000"/>
          <w:szCs w:val="20"/>
          <w:shd w:val="clear" w:color="auto" w:fill="FFFFFF"/>
          <w:lang w:val="sl-SI"/>
        </w:rPr>
        <w:t>90348</w:t>
      </w:r>
      <w:r w:rsidRPr="003077CA">
        <w:rPr>
          <w:rFonts w:cs="Arial"/>
          <w:color w:val="000000"/>
          <w:szCs w:val="20"/>
          <w:shd w:val="clear" w:color="auto" w:fill="FFFFFF"/>
          <w:lang w:val="sl-SI"/>
        </w:rPr>
        <w:t xml:space="preserve"> z dne </w:t>
      </w:r>
      <w:r>
        <w:rPr>
          <w:rFonts w:cs="Arial"/>
          <w:color w:val="000000"/>
          <w:szCs w:val="20"/>
          <w:shd w:val="clear" w:color="auto" w:fill="FFFFFF"/>
          <w:lang w:val="sl-SI"/>
        </w:rPr>
        <w:t>1</w:t>
      </w:r>
      <w:r w:rsidRPr="003077CA">
        <w:rPr>
          <w:rFonts w:cs="Arial"/>
          <w:color w:val="000000"/>
          <w:szCs w:val="20"/>
          <w:shd w:val="clear" w:color="auto" w:fill="FFFFFF"/>
          <w:lang w:val="sl-SI"/>
        </w:rPr>
        <w:t xml:space="preserve">2. </w:t>
      </w:r>
      <w:r>
        <w:rPr>
          <w:rFonts w:cs="Arial"/>
          <w:color w:val="000000"/>
          <w:szCs w:val="20"/>
          <w:shd w:val="clear" w:color="auto" w:fill="FFFFFF"/>
          <w:lang w:val="sl-SI"/>
        </w:rPr>
        <w:t>6</w:t>
      </w:r>
      <w:r w:rsidRPr="003077CA">
        <w:rPr>
          <w:rFonts w:cs="Arial"/>
          <w:color w:val="000000"/>
          <w:szCs w:val="20"/>
          <w:shd w:val="clear" w:color="auto" w:fill="FFFFFF"/>
          <w:lang w:val="sl-SI"/>
        </w:rPr>
        <w:t>. 202</w:t>
      </w:r>
      <w:r>
        <w:rPr>
          <w:rFonts w:cs="Arial"/>
          <w:color w:val="000000"/>
          <w:szCs w:val="20"/>
          <w:shd w:val="clear" w:color="auto" w:fill="FFFFFF"/>
          <w:lang w:val="sl-SI"/>
        </w:rPr>
        <w:t>4</w:t>
      </w:r>
      <w:r w:rsidRPr="003077CA">
        <w:rPr>
          <w:rFonts w:cs="Arial"/>
          <w:color w:val="000000"/>
          <w:szCs w:val="20"/>
          <w:shd w:val="clear" w:color="auto" w:fill="FFFFFF"/>
          <w:lang w:val="sl-SI"/>
        </w:rPr>
        <w:t xml:space="preserve">, str. </w:t>
      </w:r>
      <w:r>
        <w:rPr>
          <w:rFonts w:cs="Arial"/>
          <w:color w:val="000000"/>
          <w:szCs w:val="20"/>
          <w:shd w:val="clear" w:color="auto" w:fill="FFFFFF"/>
          <w:lang w:val="sl-SI"/>
        </w:rPr>
        <w:t>139</w:t>
      </w:r>
      <w:r w:rsidRPr="003077CA">
        <w:rPr>
          <w:rFonts w:cs="Arial"/>
          <w:color w:val="000000"/>
          <w:szCs w:val="20"/>
          <w:shd w:val="clear" w:color="auto" w:fill="FFFFFF"/>
          <w:lang w:val="sl-SI"/>
        </w:rPr>
        <w:t>), (v nadaljnjem besedilu: Direktiva 2022/2555/EU).</w:t>
      </w:r>
    </w:p>
    <w:p w14:paraId="08B4EDF7"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2019D84D"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 členu</w:t>
      </w:r>
    </w:p>
    <w:p w14:paraId="1A8BC4F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v prvem odstavku pojasnjuje namen predloga zakona, ki je sistemska ureditev področja informacijske in kibernetske varnosti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zagotovitev visoke ravni kibernetske varnosti vključno s krepitvijo zaupanja v proizvode informacijsk</w:t>
      </w:r>
      <w:r>
        <w:rPr>
          <w:rFonts w:cs="Arial"/>
          <w:color w:val="000000"/>
          <w:szCs w:val="20"/>
          <w:shd w:val="clear" w:color="auto" w:fill="FFFFFF"/>
          <w:lang w:val="sl-SI"/>
        </w:rPr>
        <w:t>o</w:t>
      </w:r>
      <w:r w:rsidRPr="003077CA">
        <w:rPr>
          <w:rFonts w:cs="Arial"/>
          <w:color w:val="000000"/>
          <w:szCs w:val="20"/>
          <w:shd w:val="clear" w:color="auto" w:fill="FFFFFF"/>
          <w:lang w:val="sl-SI"/>
        </w:rPr>
        <w:t xml:space="preserve">-komunikacijske tehnologije (v nadaljnjem besedilu: IKT), storitve IKT in postopke IKT ter njihove varnosti v Republiki Sloveniji na področjih, </w:t>
      </w:r>
      <w:r w:rsidRPr="003077CA">
        <w:rPr>
          <w:rFonts w:cs="Arial"/>
          <w:color w:val="000000"/>
          <w:szCs w:val="20"/>
          <w:shd w:val="clear" w:color="auto" w:fill="FFFFFF"/>
          <w:lang w:val="sl-SI"/>
        </w:rPr>
        <w:lastRenderedPageBreak/>
        <w:t xml:space="preserve">ki so </w:t>
      </w:r>
      <w:r>
        <w:rPr>
          <w:rFonts w:cs="Arial"/>
          <w:color w:val="000000"/>
          <w:szCs w:val="20"/>
          <w:shd w:val="clear" w:color="auto" w:fill="FFFFFF"/>
          <w:lang w:val="sl-SI"/>
        </w:rPr>
        <w:t>poglavitna</w:t>
      </w:r>
      <w:r w:rsidRPr="003077CA">
        <w:rPr>
          <w:rFonts w:cs="Arial"/>
          <w:color w:val="000000"/>
          <w:szCs w:val="20"/>
          <w:shd w:val="clear" w:color="auto" w:fill="FFFFFF"/>
          <w:lang w:val="sl-SI"/>
        </w:rPr>
        <w:t xml:space="preserve"> za nemoteno delovanje države ter ohranitev zagotavljanja ključnih družbenih in gospodarskih dejavnosti.</w:t>
      </w:r>
    </w:p>
    <w:p w14:paraId="7F0FD3A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predlaganega člena določa, da se s tem zakonom v pravni red Republike Slovenije prenaša Direktiv</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2022/2555/EU. </w:t>
      </w:r>
    </w:p>
    <w:p w14:paraId="1D388A8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predlaganega člena še določa, da ta zakon ureja izvajanje Uredbe (EU) 2019/881 Evropskega parlamenta in Sveta z dne 17. aprila 2019 o Agenciji Evropske unije za kibernetsko varnost (ENISA)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o certificiranju informacijske in komunikacijske tehnologije na področju kibernetske varnosti ter razveljavitvi Uredbe (EU) št. 526/2013 (Akt o kibernetski varnosti) (UL L št. 151 z dne 7. 6. 2019, str. 15), zadnjič spremenjen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z Uredbo (EU) 2025/37 Evropskega parlamenta in Sveta z dne 19. decembra 2024 o spremembi Uredbe (EU) 2019/881 glede upravljanih varnostnih storitev (UL L št. 2025/37 z dne 15. 1. 2025), (v nadaljnjem besedilu: Uredba 2019/881/EU). Ob tem pojasnjujemo, da je že Zakon o spremembah in dopolnitvi Zakona o informacijski varnosti (Uradni list RS, št. 95/21; v nadaljnjem besedilu: ZInfV-A), ki je s 5. členom posegel v 27. člen dotedanjega ZInfV, v luči Uredbe 2019/881/EU pristojnemu nacionalnemu organu v drugem odstavku prej navedenega člena ZInfV pristojnemu nacionalnemu organu dodal tudi nalogo pod točko 18 </w:t>
      </w:r>
      <w:r>
        <w:rPr>
          <w:rFonts w:cs="Arial"/>
          <w:color w:val="000000"/>
          <w:szCs w:val="20"/>
          <w:shd w:val="clear" w:color="auto" w:fill="FFFFFF"/>
          <w:lang w:val="sl-SI"/>
        </w:rPr>
        <w:t>»</w:t>
      </w:r>
      <w:r w:rsidRPr="003077CA">
        <w:rPr>
          <w:rFonts w:cs="Arial"/>
          <w:color w:val="000000"/>
          <w:szCs w:val="20"/>
          <w:shd w:val="clear" w:color="auto" w:fill="FFFFFF"/>
          <w:lang w:val="sl-SI"/>
        </w:rPr>
        <w:t>izvaja naloge nacionalnega certifikacijskega organa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Ugotavljamo, da je za izvajanje sicer neposredno uporabljive Uredbe 2019/881/EU treba s predlaganim zakonom urediti še nekatere dodatne vsebine, kar se tudi udejanja s predlaganim zakonom. </w:t>
      </w:r>
    </w:p>
    <w:p w14:paraId="1D2778D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Ob tem je treba pojasniti, da predlagani zakon ob upoštevanju njegovega namena iz prvega odstavka predlaganega člena poleg prenosa Direktive 2022/2555/EU sistemsko ureja področje informacijske in kibernetske varnosti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zagotovitev visoke ravni kibernetske varnosti v Republiki Sloveniji tudi na področjih, ki niso zajeta z Direktivo 2022/2555/EU (ki je direktiva notranjega trga ter direktiva minimalne harmonizacije), so pa </w:t>
      </w:r>
      <w:r>
        <w:rPr>
          <w:rFonts w:cs="Arial"/>
          <w:color w:val="000000"/>
          <w:szCs w:val="20"/>
          <w:shd w:val="clear" w:color="auto" w:fill="FFFFFF"/>
          <w:lang w:val="sl-SI"/>
        </w:rPr>
        <w:t>poglavitna</w:t>
      </w:r>
      <w:r w:rsidRPr="003077CA">
        <w:rPr>
          <w:rFonts w:cs="Arial"/>
          <w:color w:val="000000"/>
          <w:szCs w:val="20"/>
          <w:shd w:val="clear" w:color="auto" w:fill="FFFFFF"/>
          <w:lang w:val="sl-SI"/>
        </w:rPr>
        <w:t xml:space="preserve"> za nemoteno delovanje države ter ohranitev zagotavljanja ključnih družbenih in gospodarskih dejavnosti. V tem smislu predlagani zakon pretežno sledi sistemskemu načinu urejanja iz ZInfV, ki ga nadomešča. Predlagani zakon vsebuje torej tudi nacionalne določbe, ki so potrebne za zagotovitev namena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predstavljenega v prvem odstavku tega člena.</w:t>
      </w:r>
    </w:p>
    <w:p w14:paraId="0E52DBF8" w14:textId="77777777" w:rsidR="000A51A5" w:rsidRPr="003077CA" w:rsidRDefault="000A51A5" w:rsidP="000A51A5">
      <w:pPr>
        <w:spacing w:after="160" w:line="276" w:lineRule="auto"/>
        <w:rPr>
          <w:rFonts w:cs="Arial"/>
          <w:b/>
          <w:bCs/>
          <w:color w:val="000000"/>
          <w:szCs w:val="20"/>
          <w:shd w:val="clear" w:color="auto" w:fill="FFFFFF"/>
          <w:lang w:val="sl-SI"/>
        </w:rPr>
      </w:pPr>
    </w:p>
    <w:p w14:paraId="1BCD7E1B" w14:textId="77777777" w:rsidR="000A51A5" w:rsidRPr="003077CA" w:rsidRDefault="000A51A5" w:rsidP="000A51A5">
      <w:pPr>
        <w:spacing w:after="160" w:line="276" w:lineRule="auto"/>
        <w:rPr>
          <w:rFonts w:cs="Arial"/>
          <w:b/>
          <w:bCs/>
          <w:color w:val="000000"/>
          <w:szCs w:val="20"/>
          <w:shd w:val="clear" w:color="auto" w:fill="FFFFFF"/>
          <w:lang w:val="sl-SI"/>
        </w:rPr>
      </w:pPr>
      <w:r w:rsidRPr="003077CA">
        <w:rPr>
          <w:rFonts w:cs="Arial"/>
          <w:b/>
          <w:bCs/>
          <w:color w:val="000000"/>
          <w:szCs w:val="20"/>
          <w:shd w:val="clear" w:color="auto" w:fill="FFFFFF"/>
          <w:lang w:val="sl-SI"/>
        </w:rPr>
        <w:t>K 3. členu</w:t>
      </w:r>
    </w:p>
    <w:p w14:paraId="356B907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 predlogom tega člena se določa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področja izključitve uporabe predlaganega zakona. </w:t>
      </w:r>
    </w:p>
    <w:p w14:paraId="7A915FE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Pri prvem odstavku predlaganega člena gre za konkretiziran prenos 4. člena (Sektorski pravni akti Unije) Direktive 2022/2555/EU, ki v prvem odstavku določa pravila in pogoje za izključitev iz uporabe zadevnih določb te direktive za bistvene ali pomembne subjekte, ki bi sicer spadali v njeno področje uporabe, pa sektorski pravni akti Unije za njih vsebujejo po učinku vsaj enakovredne zahteve bodisi za obvladovanje tveganj za kibernetsko varnost bodisi za priglasitev incidentov. Drugi odstavek 4. člena Direktive 2022/2555/EU določa kriterije, po katerih se predmetne zahteve sektorskih pravnih aktov štejejo za enakovredne zahtevam te direktive. Tretji odstavek 4. člena Direktive 2022/2555/EU se sklicuje na Smernice Evropske komisije o uporabi prvega in drugega odstavka istega člena te direktive, ki so bile med</w:t>
      </w:r>
      <w:r>
        <w:rPr>
          <w:rFonts w:cs="Arial"/>
          <w:color w:val="000000"/>
          <w:szCs w:val="20"/>
          <w:shd w:val="clear" w:color="auto" w:fill="FFFFFF"/>
          <w:lang w:val="sl-SI"/>
        </w:rPr>
        <w:t>t</w:t>
      </w:r>
      <w:r w:rsidRPr="003077CA">
        <w:rPr>
          <w:rFonts w:cs="Arial"/>
          <w:color w:val="000000"/>
          <w:szCs w:val="20"/>
          <w:shd w:val="clear" w:color="auto" w:fill="FFFFFF"/>
          <w:lang w:val="sl-SI"/>
        </w:rPr>
        <w:t>em tudi že sprejete</w:t>
      </w:r>
      <w:r w:rsidRPr="003077CA">
        <w:rPr>
          <w:rFonts w:cs="Arial"/>
          <w:szCs w:val="20"/>
          <w:vertAlign w:val="superscript"/>
          <w:lang w:val="sl-SI"/>
        </w:rPr>
        <w:footnoteReference w:id="16"/>
      </w:r>
      <w:r w:rsidRPr="003077CA">
        <w:rPr>
          <w:rFonts w:cs="Arial"/>
          <w:color w:val="000000"/>
          <w:szCs w:val="20"/>
          <w:shd w:val="clear" w:color="auto" w:fill="FFFFFF"/>
          <w:lang w:val="sl-SI"/>
        </w:rPr>
        <w:t xml:space="preserve"> in jih je pri ugotavljanju enakovrednosti učinka področnih predpisov obveznostim iz tega zakona treba upoštevati. </w:t>
      </w:r>
    </w:p>
    <w:p w14:paraId="3619B9E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Nadalje že uvodna izjava 28 Direktive 2022/2555/EU glede takšne po učinku enakovredne sektorske zakonodaje podaja primer Uredbe 2022/2554/EU</w:t>
      </w:r>
      <w:r w:rsidRPr="003077CA">
        <w:rPr>
          <w:rFonts w:cs="Arial"/>
          <w:szCs w:val="20"/>
          <w:vertAlign w:val="superscript"/>
          <w:lang w:val="sl-SI"/>
        </w:rPr>
        <w:footnoteReference w:id="17"/>
      </w:r>
      <w:r w:rsidRPr="003077CA">
        <w:rPr>
          <w:rFonts w:cs="Arial"/>
          <w:color w:val="000000"/>
          <w:szCs w:val="20"/>
          <w:shd w:val="clear" w:color="auto" w:fill="FFFFFF"/>
          <w:lang w:val="sl-SI"/>
        </w:rPr>
        <w:t xml:space="preserve">, ki se nanaša na finančni sektor. </w:t>
      </w:r>
    </w:p>
    <w:p w14:paraId="13FD8C6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Uvodna izjava 28 Direktive 2022/2555/EU se namreč glasi: </w:t>
      </w:r>
    </w:p>
    <w:p w14:paraId="00FF980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»(28) Uredba 2022/2554/EU Evropskega parlamenta in Sveta </w:t>
      </w:r>
      <w:hyperlink r:id="rId79" w:anchor="ntr10-L_2022333SL.01008001-E0010" w:history="1">
        <w:r w:rsidRPr="003077CA">
          <w:rPr>
            <w:rFonts w:cs="Arial"/>
            <w:color w:val="000000"/>
            <w:szCs w:val="20"/>
            <w:lang w:val="sl-SI"/>
          </w:rPr>
          <w:t>(</w:t>
        </w:r>
        <w:r>
          <w:rPr>
            <w:rStyle w:val="Sprotnaopomba-sklic"/>
            <w:rFonts w:cs="Arial"/>
            <w:color w:val="000000"/>
            <w:szCs w:val="20"/>
            <w:lang w:val="sl-SI"/>
          </w:rPr>
          <w:footnoteReference w:id="18"/>
        </w:r>
        <w:r w:rsidRPr="003077CA">
          <w:rPr>
            <w:rFonts w:cs="Arial"/>
            <w:color w:val="000000"/>
            <w:szCs w:val="20"/>
            <w:lang w:val="sl-SI"/>
          </w:rPr>
          <w:t>)</w:t>
        </w:r>
      </w:hyperlink>
      <w:r w:rsidRPr="003077CA">
        <w:rPr>
          <w:rFonts w:cs="Arial"/>
          <w:color w:val="000000"/>
          <w:szCs w:val="20"/>
          <w:shd w:val="clear" w:color="auto" w:fill="FFFFFF"/>
          <w:lang w:val="sl-SI"/>
        </w:rPr>
        <w:t xml:space="preserve"> bi se morala šteti za sektorski pravni akt Unije v zvezi s to direktivo, kar zadeva finančne subjekte. Določbe Uredbe 2022/2554/EU v zvezi z ukrepi za obvladovanje tveganj na področju informacijske in komunikacijske tehnologije (IKT), obvladovanjem incidentov, povezanih z IKT, in zlasti poročanjem o večjih incidentih, povezanih z IKT, kot tudi testiranjem digitalne operativne odpornosti, dogovori o izmenjavi informacij in tveganjem tretjih oseb na področju IKT bi se morale uporabljati namesto določb te direktive. Države članice zato ne bi smele uporabljati določb te direktive o obvladovanju tveganj za kibernetsko varnost in obveznostih poročanja ter nadzoru in izvrševanju za finančne subjekte, zajete z Uredbo 2022/2554/EU. Hkrati je pomembno ohranjati tesno povezavo in izmenjavo informacij s finančnim sektorjem na podlagi te direktive. V ta namen Uredba 2022/2554/EU evropskim nadzornim organom in pristojnim organom iz navedene uredbe omogoča, da sodelujejo pri dejavnostih skupine za sodelovanje ter si izmenjujejo informacije in sodelujejo z enotnimi kontaktnimi točkami, kot tudi s skupinami CSIRT in pristojnimi organi iz te direktive. Pristojni organi iz Uredbe 2022/2554/EU bi morali podrobnosti o večjih incidentih, povezanih z IKT, in po potrebi pomembnih kibernetskih grožnjah posredovati tudi skupinam CSIRT</w:t>
      </w:r>
      <w:r w:rsidRPr="003077CA">
        <w:rPr>
          <w:rFonts w:cs="Arial"/>
          <w:szCs w:val="20"/>
          <w:lang w:val="sl-SI"/>
        </w:rPr>
        <w:t>,</w:t>
      </w:r>
      <w:r w:rsidRPr="003077CA">
        <w:rPr>
          <w:rFonts w:cs="Arial"/>
          <w:color w:val="000000"/>
          <w:szCs w:val="20"/>
          <w:shd w:val="clear" w:color="auto" w:fill="FFFFFF"/>
          <w:lang w:val="sl-SI"/>
        </w:rPr>
        <w:t xml:space="preserve"> pristojnim organom ali enotnim kontaktnim točkam iz te direktive. To je mogoče doseči z zagotovitvijo takojšnjega dostopa do priglasitev incidentov in njihovega posredovanja neposredno ali prek enotne vstopne točke. Poleg tega bi morale države članice še naprej vključevati finančni sektor v svoje strategije za kibernetsko varnost, skupine CSIRT pa lahko vključijo finančni sektor v svoje dejavnosti.</w:t>
      </w:r>
      <w:r>
        <w:rPr>
          <w:rFonts w:cs="Arial"/>
          <w:color w:val="000000"/>
          <w:szCs w:val="20"/>
          <w:shd w:val="clear" w:color="auto" w:fill="FFFFFF"/>
          <w:lang w:val="sl-SI"/>
        </w:rPr>
        <w:t>«</w:t>
      </w:r>
    </w:p>
    <w:p w14:paraId="6877BA6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 drugi strani v primeru letalskega sektorja uvodna izjava 29</w:t>
      </w:r>
      <w:r w:rsidRPr="003077CA">
        <w:rPr>
          <w:rFonts w:cs="Arial"/>
          <w:color w:val="000000"/>
          <w:szCs w:val="20"/>
          <w:shd w:val="clear" w:color="auto" w:fill="FFFFFF"/>
          <w:vertAlign w:val="superscript"/>
          <w:lang w:val="sl-SI"/>
        </w:rPr>
        <w:footnoteReference w:id="19"/>
      </w:r>
      <w:r w:rsidRPr="003077CA">
        <w:rPr>
          <w:rFonts w:cs="Arial"/>
          <w:color w:val="000000"/>
          <w:szCs w:val="20"/>
          <w:shd w:val="clear" w:color="auto" w:fill="FFFFFF"/>
          <w:lang w:val="sl-SI"/>
        </w:rPr>
        <w:t xml:space="preserve"> Direktive 2022/2555/EU v izogib vrzelim in podvajanja obveznosti izpostavlja predvsem sodelovanje med nacionalnimi organi iz sektorskih predpisov v letalskem sektorju in pristojnimi organi iz te direktive (torej Direktive 2022/2555/EU) pri (samem) izvajanju ukrepov za obvladovanje tveganj za kibernetsko varnost in nadzoru spoštovanja teh ukrepov na nacionalni ravni. Pristojni organi po tej direktivi (torej po Direktivi 2022/2555/EU) bi (pri tem) </w:t>
      </w:r>
      <w:r w:rsidRPr="003077CA">
        <w:rPr>
          <w:rFonts w:cs="Arial"/>
          <w:i/>
          <w:iCs/>
          <w:color w:val="000000"/>
          <w:szCs w:val="20"/>
          <w:shd w:val="clear" w:color="auto" w:fill="FFFFFF"/>
          <w:lang w:val="sl-SI"/>
        </w:rPr>
        <w:t xml:space="preserve">lahko </w:t>
      </w:r>
      <w:r w:rsidRPr="003077CA">
        <w:rPr>
          <w:rFonts w:cs="Arial"/>
          <w:color w:val="000000"/>
          <w:szCs w:val="20"/>
          <w:shd w:val="clear" w:color="auto" w:fill="FFFFFF"/>
          <w:lang w:val="sl-SI"/>
        </w:rPr>
        <w:t>skladnost subjekta z varnostnimi zahtevami iz sektorske zakonodaje (v letalskem sektorju) šteli za skladnost z ustreznimi zahtevami iz te direktive (torej iz Direktive 2022/2555/EU). Naveden</w:t>
      </w:r>
      <w:r>
        <w:rPr>
          <w:rFonts w:cs="Arial"/>
          <w:color w:val="000000"/>
          <w:szCs w:val="20"/>
          <w:shd w:val="clear" w:color="auto" w:fill="FFFFFF"/>
          <w:lang w:val="sl-SI"/>
        </w:rPr>
        <w:t>ega</w:t>
      </w:r>
      <w:r w:rsidRPr="003077CA">
        <w:rPr>
          <w:rFonts w:cs="Arial"/>
          <w:color w:val="000000"/>
          <w:szCs w:val="20"/>
          <w:shd w:val="clear" w:color="auto" w:fill="FFFFFF"/>
          <w:lang w:val="sl-SI"/>
        </w:rPr>
        <w:t xml:space="preserve"> v uvodni izjavi 29 pa v povezavi s 4. členom Direktive 2022/2555/EU nismo ocenili za podlago, ki bi omogočala vnaprejšnjo izključitev zadevnih določb predlagan</w:t>
      </w:r>
      <w:r>
        <w:rPr>
          <w:rFonts w:cs="Arial"/>
          <w:color w:val="000000"/>
          <w:szCs w:val="20"/>
          <w:shd w:val="clear" w:color="auto" w:fill="FFFFFF"/>
          <w:lang w:val="sl-SI"/>
        </w:rPr>
        <w:t>eg</w:t>
      </w:r>
      <w:r w:rsidRPr="003077CA">
        <w:rPr>
          <w:rFonts w:cs="Arial"/>
          <w:color w:val="000000"/>
          <w:szCs w:val="20"/>
          <w:shd w:val="clear" w:color="auto" w:fill="FFFFFF"/>
          <w:lang w:val="sl-SI"/>
        </w:rPr>
        <w:t>a zakona za bistvene in pomembne subjekte iz letalskega sektorja.</w:t>
      </w:r>
    </w:p>
    <w:p w14:paraId="5437D3C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Zaradi upoštevanja pripomb Službe Vlade Republike Slovenije za zakonodajo (v nadaljnjem besedilu: SVZ), da je treba z vidika jasnosti in predvidljivosti že na zakonsk</w:t>
      </w:r>
      <w:r>
        <w:rPr>
          <w:rFonts w:cs="Arial"/>
          <w:color w:val="000000"/>
          <w:szCs w:val="20"/>
          <w:shd w:val="clear" w:color="auto" w:fill="FFFFFF"/>
          <w:lang w:val="sl-SI"/>
        </w:rPr>
        <w:t>i ravni</w:t>
      </w:r>
      <w:r w:rsidRPr="003077CA">
        <w:rPr>
          <w:rFonts w:cs="Arial"/>
          <w:color w:val="000000"/>
          <w:szCs w:val="20"/>
          <w:shd w:val="clear" w:color="auto" w:fill="FFFFFF"/>
          <w:lang w:val="sl-SI"/>
        </w:rPr>
        <w:t xml:space="preserve"> določiti tiste primere, za katere naj takšna izključitev uporabe velja, smo 4. člen Direktive 2022/2555/EU prenesli na način, da smo v predlaganem prvem odstavku tega člena izključili uporabo IV. in IX. poglavja tega zakona za bistvene in pomemb</w:t>
      </w:r>
      <w:r>
        <w:rPr>
          <w:rFonts w:cs="Arial"/>
          <w:color w:val="000000"/>
          <w:szCs w:val="20"/>
          <w:shd w:val="clear" w:color="auto" w:fill="FFFFFF"/>
          <w:lang w:val="sl-SI"/>
        </w:rPr>
        <w:t>ne</w:t>
      </w:r>
      <w:r w:rsidRPr="003077CA">
        <w:rPr>
          <w:rFonts w:cs="Arial"/>
          <w:color w:val="000000"/>
          <w:szCs w:val="20"/>
          <w:shd w:val="clear" w:color="auto" w:fill="FFFFFF"/>
          <w:lang w:val="sl-SI"/>
        </w:rPr>
        <w:t xml:space="preserve"> subjekte v sektorjih bančništva in infrastrukture finančnega trga iz Priloge 1 tega zakona. Hkrati smo določili, da se za te bistvene in pomembne subjekte za prej navedene vsebine uporablja Uredba 2022/2554/EU. </w:t>
      </w:r>
    </w:p>
    <w:p w14:paraId="7CC5032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Za </w:t>
      </w:r>
      <w:r>
        <w:rPr>
          <w:rFonts w:cs="Arial"/>
          <w:color w:val="000000"/>
          <w:szCs w:val="20"/>
          <w:shd w:val="clear" w:color="auto" w:fill="FFFFFF"/>
          <w:lang w:val="sl-SI"/>
        </w:rPr>
        <w:t>poz</w:t>
      </w:r>
      <w:r w:rsidRPr="003077CA">
        <w:rPr>
          <w:rFonts w:cs="Arial"/>
          <w:color w:val="000000"/>
          <w:szCs w:val="20"/>
          <w:shd w:val="clear" w:color="auto" w:fill="FFFFFF"/>
          <w:lang w:val="sl-SI"/>
        </w:rPr>
        <w:t xml:space="preserve">nejše morebitne podobne primere iz drugih sektorjev iz Prilog 1 ali 2 tega zakona pa bo glede na stališče SVZ potrebna zakonska novela, ki bo takrat dopolnila predlagani člen ob predhodni preverbi pogojev in meril iz 4. člena Direktive 2022/2555/EU. </w:t>
      </w:r>
    </w:p>
    <w:p w14:paraId="2D16413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predlaganega člena določa, da se ta zakon ne uporablja za subjekte, ki jih Republika Slovenija izvzame s področja uporabe Uredbe 2022/2554/EU v skladu s četrtim odstavkom 2. člena prej navedene uredbe. Z navedenim se prenaša deseti odstavek 2. člena Direktive 2022/2555/EU, po katerem se ta direktiva ne uporablja za subjekte, ki so jih države članice izvzele s področja uporabe Uredbe 2022/2554/EU v skladu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četrtim odstavkom 2. člena navedene uredbe. Za Uredbo 2022/2554/EU resorno pristojno ministrstvo, to je Ministrstvo za finance, je s tem v zvezi na posebno vprašanje pripravljavca tega predpisa pojasnilo, da takšnih subjektov trenutno ni oziroma niso bili izvzeti iz uporabe Uredbe 2022/2554/EU, vendar bi za primer, da bo to </w:t>
      </w:r>
      <w:r>
        <w:rPr>
          <w:rFonts w:cs="Arial"/>
          <w:color w:val="000000"/>
          <w:szCs w:val="20"/>
          <w:shd w:val="clear" w:color="auto" w:fill="FFFFFF"/>
          <w:lang w:val="sl-SI"/>
        </w:rPr>
        <w:t>poz</w:t>
      </w:r>
      <w:r w:rsidRPr="003077CA">
        <w:rPr>
          <w:rFonts w:cs="Arial"/>
          <w:color w:val="000000"/>
          <w:szCs w:val="20"/>
          <w:shd w:val="clear" w:color="auto" w:fill="FFFFFF"/>
          <w:lang w:val="sl-SI"/>
        </w:rPr>
        <w:t xml:space="preserve">neje potrebno, želeli ohraniti ustrezno podlago oziroma sklic v predlaganem zakonu. </w:t>
      </w:r>
    </w:p>
    <w:p w14:paraId="49D18DD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Nadalje predlagani člen glede izključitve uporabe delno sledi 2. členu (Področje uporabe) Direktive 2022/2555/EU, saj upošteva nacionalne pristojnosti urejanja na področjih, ki niso bila pogodbeno prenesena na Evropsko </w:t>
      </w:r>
      <w:r>
        <w:rPr>
          <w:rFonts w:cs="Arial"/>
          <w:color w:val="000000"/>
          <w:szCs w:val="20"/>
          <w:shd w:val="clear" w:color="auto" w:fill="FFFFFF"/>
          <w:lang w:val="sl-SI"/>
        </w:rPr>
        <w:t>u</w:t>
      </w:r>
      <w:r w:rsidRPr="003077CA">
        <w:rPr>
          <w:rFonts w:cs="Arial"/>
          <w:color w:val="000000"/>
          <w:szCs w:val="20"/>
          <w:shd w:val="clear" w:color="auto" w:fill="FFFFFF"/>
          <w:lang w:val="sl-SI"/>
        </w:rPr>
        <w:t xml:space="preserve">nijo (v nadaljnjem besedilu: Unija) in jih predmetna direktiva (ki je direktiva notranjega trga) zato izključuje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področja svoje uporabe, saj vanje ne sme posegati. Zato predlagani zakon ne izključuje v celoti njegove uporabe za subjekte javne uprave, ki izvajajo svoje dejavnosti na področju nacionalne varnosti, javne varnosti, obrambe ali kazenskega pregona, vključno s preprečevanjem, preiskovanjem, odkrivanjem in pregonom kaznivih dejanj, kot to izhaja iz sedmega odstavka Direktive 2022/2555/EU. </w:t>
      </w:r>
    </w:p>
    <w:p w14:paraId="073A377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Pri (dovoljenem) nacionalnem urejanju področja iz sedmega odstavka 2. člena Direktive 2022/2555/EU predlagani člen upošteva šesti odstavek 2. člena Direktive 2022/2555/EU, po katerem ta direktiva ne posega v pristojnosti držav članic, da zaščitijo nacionalno varnost, in v njihova pooblastila za zaščito drugih bistvenih državnih funkcij, vključno z zagotavljanjem ozemeljske celovitosti države ter vzdrževanjem javnega reda in miru. Pri tem uvodna izjava 13 Direktive 2022/2555/EU pojasnjuje: »Glede na okrepitev in večjo izpopolnjenost kibernetskih groženj bi si morale države članice prizadevati zagotoviti, da subjekti, ki so izključeni s področja uporabe te direktive, dosežejo visoko raven kibernetske varnosti, in podpirati izvajanje enakovrednih ukrepov za obvladovanje tveganj za kibernetsko varnost, ki odražajo občutljivo naravo teh subjektov.«.</w:t>
      </w:r>
    </w:p>
    <w:p w14:paraId="5F6D731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Zgoraj navedeno predlagani člen upošteva </w:t>
      </w:r>
      <w:r>
        <w:rPr>
          <w:rFonts w:cs="Arial"/>
          <w:color w:val="000000"/>
          <w:szCs w:val="20"/>
          <w:shd w:val="clear" w:color="auto" w:fill="FFFFFF"/>
          <w:lang w:val="sl-SI"/>
        </w:rPr>
        <w:t xml:space="preserve">predvsem </w:t>
      </w:r>
      <w:r w:rsidRPr="003077CA">
        <w:rPr>
          <w:rFonts w:cs="Arial"/>
          <w:color w:val="000000"/>
          <w:szCs w:val="20"/>
          <w:shd w:val="clear" w:color="auto" w:fill="FFFFFF"/>
          <w:lang w:val="sl-SI"/>
        </w:rPr>
        <w:t>na način, kot to določata njegov tretji in četrti odstavek. Po predlaganem tretjem odstavku se ta zakon ne uporablja za tiste informacijsk</w:t>
      </w:r>
      <w:r>
        <w:rPr>
          <w:rFonts w:cs="Arial"/>
          <w:color w:val="000000"/>
          <w:szCs w:val="20"/>
          <w:shd w:val="clear" w:color="auto" w:fill="FFFFFF"/>
          <w:lang w:val="sl-SI"/>
        </w:rPr>
        <w:t>o-komunikacijske</w:t>
      </w:r>
      <w:r w:rsidRPr="003077CA">
        <w:rPr>
          <w:rFonts w:cs="Arial"/>
          <w:color w:val="000000"/>
          <w:szCs w:val="20"/>
          <w:shd w:val="clear" w:color="auto" w:fill="FFFFFF"/>
          <w:lang w:val="sl-SI"/>
        </w:rPr>
        <w:t xml:space="preserve"> sisteme, v katerih se varujejo tajni podatki, za katere je </w:t>
      </w:r>
      <w:r>
        <w:rPr>
          <w:rFonts w:cs="Arial"/>
          <w:color w:val="000000"/>
          <w:szCs w:val="20"/>
          <w:shd w:val="clear" w:color="auto" w:fill="FFFFFF"/>
          <w:lang w:val="sl-SI"/>
        </w:rPr>
        <w:t>N</w:t>
      </w:r>
      <w:r w:rsidRPr="003077CA">
        <w:rPr>
          <w:rFonts w:cs="Arial"/>
          <w:color w:val="000000"/>
          <w:szCs w:val="20"/>
          <w:shd w:val="clear" w:color="auto" w:fill="FFFFFF"/>
          <w:lang w:val="sl-SI"/>
        </w:rPr>
        <w:t>acionalni varnostni organ iz zakona, ki ureja tajne podatke, opravil varnostno vrednotenje in izdal varnostno dovoljenje za delovanje sistema</w:t>
      </w:r>
      <w:r w:rsidRPr="003077CA">
        <w:rPr>
          <w:rFonts w:cs="Arial"/>
          <w:szCs w:val="20"/>
          <w:lang w:val="sl-SI" w:eastAsia="sl-SI"/>
        </w:rPr>
        <w:t xml:space="preserve"> </w:t>
      </w:r>
      <w:r w:rsidRPr="003077CA">
        <w:rPr>
          <w:rFonts w:cs="Arial"/>
          <w:color w:val="000000"/>
          <w:szCs w:val="20"/>
          <w:shd w:val="clear" w:color="auto" w:fill="FFFFFF"/>
          <w:lang w:val="sl-SI"/>
        </w:rPr>
        <w:t>v skladu s prej navedenim zakonom. Za te komunikacijsko</w:t>
      </w:r>
      <w:r>
        <w:rPr>
          <w:rFonts w:cs="Arial"/>
          <w:color w:val="000000"/>
          <w:szCs w:val="20"/>
          <w:shd w:val="clear" w:color="auto" w:fill="FFFFFF"/>
          <w:lang w:val="sl-SI"/>
        </w:rPr>
        <w:t>-</w:t>
      </w:r>
      <w:r w:rsidRPr="003077CA">
        <w:rPr>
          <w:rFonts w:cs="Arial"/>
          <w:color w:val="000000"/>
          <w:szCs w:val="20"/>
          <w:shd w:val="clear" w:color="auto" w:fill="FFFFFF"/>
          <w:lang w:val="sl-SI"/>
        </w:rPr>
        <w:t>informacijske sisteme se uporabljajo predpisi s področja varovanja tajnih podatkov in pravila varovanja tajnih podatkov mednarodnih zvez ali organizacij, katerih članica je Republika Slovenij</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ali mednarodni sporazumi s področja tajnih podatkov, </w:t>
      </w:r>
      <w:r>
        <w:rPr>
          <w:rFonts w:cs="Arial"/>
          <w:color w:val="000000"/>
          <w:szCs w:val="20"/>
          <w:shd w:val="clear" w:color="auto" w:fill="FFFFFF"/>
          <w:lang w:val="sl-SI"/>
        </w:rPr>
        <w:t>ki jih</w:t>
      </w:r>
      <w:r w:rsidRPr="003077CA">
        <w:rPr>
          <w:rFonts w:cs="Arial"/>
          <w:color w:val="000000"/>
          <w:szCs w:val="20"/>
          <w:shd w:val="clear" w:color="auto" w:fill="FFFFFF"/>
          <w:lang w:val="sl-SI"/>
        </w:rPr>
        <w:t xml:space="preserve"> je sklenila Republika Slovenija. Ob tem še pojasnjujemo, da Zakon o tajnih podatkih (Uradni list RS, št.</w:t>
      </w:r>
      <w:r>
        <w:rPr>
          <w:rFonts w:cs="Arial"/>
          <w:color w:val="000000"/>
          <w:szCs w:val="20"/>
          <w:shd w:val="clear" w:color="auto" w:fill="FFFFFF"/>
          <w:lang w:val="sl-SI"/>
        </w:rPr>
        <w:t xml:space="preserve"> </w:t>
      </w:r>
      <w:hyperlink r:id="rId80" w:tgtFrame="_blank" w:tooltip="Zakon o tajnih podatkih (uradno prečiščeno besedilo) (ZTP-UPB2)" w:history="1">
        <w:r w:rsidRPr="003077CA">
          <w:rPr>
            <w:rFonts w:cs="Arial"/>
            <w:color w:val="000000"/>
            <w:szCs w:val="20"/>
            <w:shd w:val="clear" w:color="auto" w:fill="FFFFFF"/>
            <w:lang w:val="sl-SI"/>
          </w:rPr>
          <w:t>50/06</w:t>
        </w:r>
      </w:hyperlink>
      <w:r>
        <w:rPr>
          <w:rFonts w:cs="Arial"/>
          <w:color w:val="000000"/>
          <w:szCs w:val="20"/>
          <w:shd w:val="clear" w:color="auto" w:fill="FFFFFF"/>
          <w:lang w:val="sl-SI"/>
        </w:rPr>
        <w:t xml:space="preserve"> </w:t>
      </w:r>
      <w:r w:rsidRPr="003077CA">
        <w:rPr>
          <w:rFonts w:cs="Arial"/>
          <w:color w:val="000000"/>
          <w:szCs w:val="20"/>
          <w:shd w:val="clear" w:color="auto" w:fill="FFFFFF"/>
          <w:lang w:val="sl-SI"/>
        </w:rPr>
        <w:t>– uradno prečiščeno besedilo, </w:t>
      </w:r>
      <w:hyperlink r:id="rId81" w:tgtFrame="_blank" w:tooltip="Zakon o spremembah Zakona o tajnih podatkih (ZTP-C)" w:history="1">
        <w:r w:rsidRPr="003077CA">
          <w:rPr>
            <w:rFonts w:cs="Arial"/>
            <w:color w:val="000000"/>
            <w:szCs w:val="20"/>
            <w:shd w:val="clear" w:color="auto" w:fill="FFFFFF"/>
            <w:lang w:val="sl-SI"/>
          </w:rPr>
          <w:t>9/10</w:t>
        </w:r>
      </w:hyperlink>
      <w:r w:rsidRPr="003077CA">
        <w:rPr>
          <w:rFonts w:cs="Arial"/>
          <w:color w:val="000000"/>
          <w:szCs w:val="20"/>
          <w:shd w:val="clear" w:color="auto" w:fill="FFFFFF"/>
          <w:lang w:val="sl-SI"/>
        </w:rPr>
        <w:t>, </w:t>
      </w:r>
      <w:hyperlink r:id="rId82" w:tgtFrame="_blank" w:tooltip="Zakon o dopolnitvi Zakona o tajnih podatkih (ZTP-D)" w:history="1">
        <w:r w:rsidRPr="003077CA">
          <w:rPr>
            <w:rFonts w:cs="Arial"/>
            <w:color w:val="000000"/>
            <w:szCs w:val="20"/>
            <w:shd w:val="clear" w:color="auto" w:fill="FFFFFF"/>
            <w:lang w:val="sl-SI"/>
          </w:rPr>
          <w:t>60/11</w:t>
        </w:r>
      </w:hyperlink>
      <w:r w:rsidRPr="003077CA">
        <w:rPr>
          <w:rFonts w:cs="Arial"/>
          <w:color w:val="000000"/>
          <w:szCs w:val="20"/>
          <w:shd w:val="clear" w:color="auto" w:fill="FFFFFF"/>
          <w:lang w:val="sl-SI"/>
        </w:rPr>
        <w:t>, </w:t>
      </w:r>
      <w:hyperlink r:id="rId83" w:tgtFrame="_blank" w:tooltip="Zakon o spremembah in dopolnitvah Zakona o tajnih podatkih (ZTP-E)" w:history="1">
        <w:r w:rsidRPr="003077CA">
          <w:rPr>
            <w:rFonts w:cs="Arial"/>
            <w:color w:val="000000"/>
            <w:szCs w:val="20"/>
            <w:shd w:val="clear" w:color="auto" w:fill="FFFFFF"/>
            <w:lang w:val="sl-SI"/>
          </w:rPr>
          <w:t>8/20</w:t>
        </w:r>
      </w:hyperlink>
      <w:r w:rsidRPr="003077CA">
        <w:rPr>
          <w:rFonts w:cs="Arial"/>
          <w:color w:val="000000"/>
          <w:szCs w:val="20"/>
          <w:shd w:val="clear" w:color="auto" w:fill="FFFFFF"/>
          <w:lang w:val="sl-SI"/>
        </w:rPr>
        <w:t> in </w:t>
      </w:r>
      <w:hyperlink r:id="rId84" w:tgtFrame="_blank" w:tooltip="Zakon o spremembah in dopolnitvah Zakona o državni upravi (ZDU-1O)" w:history="1">
        <w:r w:rsidRPr="003077CA">
          <w:rPr>
            <w:rFonts w:cs="Arial"/>
            <w:color w:val="000000"/>
            <w:szCs w:val="20"/>
            <w:shd w:val="clear" w:color="auto" w:fill="FFFFFF"/>
            <w:lang w:val="sl-SI"/>
          </w:rPr>
          <w:t>18/23</w:t>
        </w:r>
      </w:hyperlink>
      <w:r w:rsidRPr="003077CA">
        <w:rPr>
          <w:rFonts w:cs="Arial"/>
          <w:color w:val="000000"/>
          <w:szCs w:val="20"/>
          <w:shd w:val="clear" w:color="auto" w:fill="FFFFFF"/>
          <w:lang w:val="sl-SI"/>
        </w:rPr>
        <w:t> – ZDU-1O; v nadaljnjem besedilu: ZTP) v 14. točki 2. člena opredeljuje varovanje tajnih podatkov, ki je uporaba ukrepov in postopkov za obravnavanje, hrambo, arhiviranje in nadzor nad tajnimi podatki v njihovem življenjskem ciklu, ki pripomorejo k odvračanju in odkrivanju namernega in naključnega nepooblaščenega razkritja ali izgube takih podatkov. Nacionalni varnostni organ iz ZTP pa je v skladu z Odlokom o ustanovitvi, nalogah in organizaciji Urada Vlade Republike Slovenije za varovanje tajnih podatkov (Uradni list RS, št. 14/2020; v nadaljnjem besedilu: Odlok) Urad Vlade Republike Slovenije za varovanje tajnih podatkov (v nadaljnjem besedilu: UVTP). Med drugim</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njegovimi nalogami UVTP tudi pripravlja predloge predpisov, ki se nanašajo na varovanje tajnih podatkov (glej 5. točko 2. člena Odloka). Posledično je UVTP tisti, ki za po tretjem odstavku izključne komunikacijsko</w:t>
      </w:r>
      <w:r>
        <w:rPr>
          <w:rFonts w:cs="Arial"/>
          <w:color w:val="000000"/>
          <w:szCs w:val="20"/>
          <w:shd w:val="clear" w:color="auto" w:fill="FFFFFF"/>
          <w:lang w:val="sl-SI"/>
        </w:rPr>
        <w:t>-</w:t>
      </w:r>
      <w:r w:rsidRPr="003077CA">
        <w:rPr>
          <w:rFonts w:cs="Arial"/>
          <w:color w:val="000000"/>
          <w:szCs w:val="20"/>
          <w:shd w:val="clear" w:color="auto" w:fill="FFFFFF"/>
          <w:lang w:val="sl-SI"/>
        </w:rPr>
        <w:t xml:space="preserve">informacijsko sisteme prek predlogov ustreznih predpisov s področja varovanja tajnih podatkov </w:t>
      </w:r>
      <w:r w:rsidRPr="003077CA">
        <w:rPr>
          <w:rFonts w:cs="Arial"/>
          <w:color w:val="000000"/>
          <w:szCs w:val="20"/>
          <w:shd w:val="clear" w:color="auto" w:fill="FFFFFF"/>
          <w:lang w:val="sl-SI"/>
        </w:rPr>
        <w:lastRenderedPageBreak/>
        <w:t xml:space="preserve">zagotavlja, da so predpisani enakovredni ukrepi za obvladovanje tveganj za informacijsko in kibernetsko varnost (kot v predlaganem zakonu), ki sicer odražajo občutljivo naravo izključenih sistemov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subjektov, ki jih uporabljajo. Pri tem se upošteva tudi namen, da subjekti, ki izključene sisteme uporabljajo, dosežejo visoko raven informacijske in kibernetske varnosti (glej smiselno uvodno izjavo 13 Direktive 2022/2555/EU).</w:t>
      </w:r>
    </w:p>
    <w:p w14:paraId="04E61EE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četrti odstavek nadalje določa, da ne glede na prejšnji odstavek </w:t>
      </w:r>
      <w:r>
        <w:rPr>
          <w:rFonts w:cs="Arial"/>
          <w:color w:val="000000"/>
          <w:szCs w:val="20"/>
          <w:shd w:val="clear" w:color="auto" w:fill="FFFFFF"/>
          <w:lang w:val="sl-SI"/>
        </w:rPr>
        <w:t>N</w:t>
      </w:r>
      <w:r w:rsidRPr="003077CA">
        <w:rPr>
          <w:rFonts w:cs="Arial"/>
          <w:color w:val="000000"/>
          <w:szCs w:val="20"/>
          <w:shd w:val="clear" w:color="auto" w:fill="FFFFFF"/>
          <w:lang w:val="sl-SI"/>
        </w:rPr>
        <w:t>acionalni varnostni organ iz zakona, ki ureja področje tajnih podatkov (torej UVTP)</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priglaša incidente v informacijsk</w:t>
      </w:r>
      <w:r>
        <w:rPr>
          <w:rFonts w:cs="Arial"/>
          <w:color w:val="000000"/>
          <w:szCs w:val="20"/>
          <w:shd w:val="clear" w:color="auto" w:fill="FFFFFF"/>
          <w:lang w:val="sl-SI"/>
        </w:rPr>
        <w:t xml:space="preserve">o-komunikacijskih </w:t>
      </w:r>
      <w:r w:rsidRPr="003077CA">
        <w:rPr>
          <w:rFonts w:cs="Arial"/>
          <w:color w:val="000000"/>
          <w:szCs w:val="20"/>
          <w:shd w:val="clear" w:color="auto" w:fill="FFFFFF"/>
          <w:lang w:val="sl-SI"/>
        </w:rPr>
        <w:t xml:space="preserve">sistemih iz prejšnjega odstavka pristojnemu nacionalnemu organu po tem zakonu. </w:t>
      </w:r>
      <w:r>
        <w:rPr>
          <w:rFonts w:cs="Arial"/>
          <w:color w:val="000000"/>
          <w:szCs w:val="20"/>
          <w:shd w:val="clear" w:color="auto" w:fill="FFFFFF"/>
          <w:lang w:val="sl-SI"/>
        </w:rPr>
        <w:t>Tako</w:t>
      </w:r>
      <w:r w:rsidRPr="003077CA">
        <w:rPr>
          <w:rFonts w:cs="Arial"/>
          <w:color w:val="000000"/>
          <w:szCs w:val="20"/>
          <w:shd w:val="clear" w:color="auto" w:fill="FFFFFF"/>
          <w:lang w:val="sl-SI"/>
        </w:rPr>
        <w:t xml:space="preserve"> bo pristojni nacionalni organ po predlaganem zakonu še vedno obveščen o incidentih, ki bi se primerili v po tretjem odstavku predlaganega člena izvzetih komunikacijsko</w:t>
      </w:r>
      <w:r>
        <w:rPr>
          <w:rFonts w:cs="Arial"/>
          <w:color w:val="000000"/>
          <w:szCs w:val="20"/>
          <w:shd w:val="clear" w:color="auto" w:fill="FFFFFF"/>
          <w:lang w:val="sl-SI"/>
        </w:rPr>
        <w:t>-</w:t>
      </w:r>
      <w:r w:rsidRPr="003077CA">
        <w:rPr>
          <w:rFonts w:cs="Arial"/>
          <w:color w:val="000000"/>
          <w:szCs w:val="20"/>
          <w:shd w:val="clear" w:color="auto" w:fill="FFFFFF"/>
          <w:lang w:val="sl-SI"/>
        </w:rPr>
        <w:t xml:space="preserve">informacijskih sistemih, kar je potrebno z vidika delovanja nacionalnega sistema informacijske varnosti. Med nalogami pristojnega nacionalnega organa po predlaganem zakonu namreč ostaja njegova naloga glede na veljavni ZInfV, da koordinira delovanje nacionalnega sistema informacijske varnosti (glej 1. točko drugega odstavka 10. člena predlaganega zakona). </w:t>
      </w:r>
    </w:p>
    <w:p w14:paraId="0B3CC8C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Peti odstavek predlaganega člena vsebuje nadaljnjo omejitev uporabe tega zakona, in sicer za avtonomen informacijski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telekomunikacijski sistem na področju obrambe, ki ni zajet v tretjem odstavku tega člena. V tem primeru se smiselno uporablja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ukrep</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za obvladovanje tveganj in priglasitve incidentov iz IV. poglavja tega zakona. Zakon o obrambi (Uradni list RS, št. 103/04 – uradno prečiščeno besedilo, 95/15 in 139/20; v nadaljnjem besedilu: ZObr) v prvem odstavku 102. člena (informacijski in telekomunikacijski sistem) določa, da za opravljanje upravnih in strokovnih zadev ministrstvo (torej Ministrstvo za obrambo) organizira enoten in avtonomen informacijski ter telekomunikacijski sistem, ki obsega tudi potrebe vojske. V tem delu bo Ministrstvo za obrambo za te informacijske in telekomunikacijske sisteme zagotavljalo enakovredne ukrepe za obvladovanje tveganj za informacijsko in kibernetsko varnost (kot v predlaganem zakonu), ki sicer odražajo občutljivo naravo izključenega sistema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subjektov, ki ga uporabljajo. Pri tem se upošteva tudi namen, da subjekti, ki izključeni sistem uporabljajo, dosegajo visoko raven informacijske in kibernetske varnosti (glej smiselno uvodno izjavo 13 Direktive 2022/2555/EU).</w:t>
      </w:r>
    </w:p>
    <w:p w14:paraId="35EE7479"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7F7101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 členu</w:t>
      </w:r>
    </w:p>
    <w:p w14:paraId="7C3001F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Določba štirinajstega odstavka 2. člena Direktive 2022/2555/EU določa, da subjekti, pristojni organi, enotne kontaktne točke in skupine CSIRT obdelujejo osebne podatke v obsegu, ki je potreben za namene te direktive, in v skladu z Uredbo 2016/679/EU</w:t>
      </w:r>
      <w:r w:rsidRPr="003077CA">
        <w:rPr>
          <w:rFonts w:cs="Arial"/>
          <w:szCs w:val="20"/>
          <w:vertAlign w:val="superscript"/>
          <w:lang w:val="sl-SI"/>
        </w:rPr>
        <w:footnoteReference w:id="20"/>
      </w:r>
      <w:r w:rsidRPr="003077CA">
        <w:rPr>
          <w:rFonts w:cs="Arial"/>
          <w:color w:val="000000"/>
          <w:szCs w:val="20"/>
          <w:shd w:val="clear" w:color="auto" w:fill="FFFFFF"/>
          <w:lang w:val="sl-SI"/>
        </w:rPr>
        <w:t xml:space="preserve"> (v nadaljnjem besedilu: Splošna uredba o varstvu podatkov), pri čemer mora taka obdelava zlasti temeljiti na členu 6 (navedene) Uredbe. Kar zadeva obdelavo osebnih podatkov na podlagi te direktive (torej Direktive 2022/2555/EU), jo morajo ponudniki javnih elektronskih komunikacijskih omrežij ali ponudniki javno dostopnih elektronskih komunikacijskih storitev izvajati v skladu s pravom Unije o varstvu podatkov in pravom Unije o zasebnosti, zlasti z Direktivo 2002/58/ES (v nadaljnjem besedilu: Direktiva o zasebnosti in elektronskih komunikacijah)</w:t>
      </w:r>
      <w:r w:rsidRPr="003077CA">
        <w:rPr>
          <w:rFonts w:cs="Arial"/>
          <w:szCs w:val="20"/>
          <w:vertAlign w:val="superscript"/>
          <w:lang w:val="sl-SI"/>
        </w:rPr>
        <w:footnoteReference w:id="21"/>
      </w:r>
      <w:r w:rsidRPr="003077CA">
        <w:rPr>
          <w:rFonts w:cs="Arial"/>
          <w:color w:val="000000"/>
          <w:szCs w:val="20"/>
          <w:shd w:val="clear" w:color="auto" w:fill="FFFFFF"/>
          <w:lang w:val="sl-SI"/>
        </w:rPr>
        <w:t xml:space="preserve">. Uvodna izjava 14 Direktive 2022/2555/EU se pri tem glasi: </w:t>
      </w:r>
      <w:r w:rsidRPr="003077CA">
        <w:rPr>
          <w:rFonts w:cs="Arial"/>
          <w:i/>
          <w:iCs/>
          <w:color w:val="000000"/>
          <w:szCs w:val="20"/>
          <w:shd w:val="clear" w:color="auto" w:fill="FFFFFF"/>
          <w:lang w:val="sl-SI"/>
        </w:rPr>
        <w:t xml:space="preserve">»Pravo Unije o varstvu podatkov in pravo Unije o zasebnosti se uporablja za vsakršno obdelavo osebnih podatkov na podlagi te direktive. Ta direktiva zlasti ne posega v Uredbo (EU) 2016/679 Evropskega parlamenta in Sveta ter Direktivo 2002/58/ES Evropskega parlamenta in Sveta. Ta direktiva zato med drugim ne bi smela vplivati na naloge in </w:t>
      </w:r>
      <w:r w:rsidRPr="003077CA">
        <w:rPr>
          <w:rFonts w:cs="Arial"/>
          <w:i/>
          <w:iCs/>
          <w:color w:val="000000"/>
          <w:szCs w:val="20"/>
          <w:shd w:val="clear" w:color="auto" w:fill="FFFFFF"/>
          <w:lang w:val="sl-SI"/>
        </w:rPr>
        <w:lastRenderedPageBreak/>
        <w:t>pooblastila organov, pristojnih za spremljanje skladnosti z veljavnim pravom Unije o varstvu podatkov in pravom Unije o zasebnosti.«</w:t>
      </w:r>
    </w:p>
    <w:p w14:paraId="58C7430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Zato prvi odstavek predlaganega člena določa, da se obdelava osebnih podatkov na podlagi tega zakona izvaja skladno s predpisi, ki urejajo varstvo osebnih podatkov, ponudniki javnih elektronskih komunikacijskih omrežij ali ponudniki javno dostopnih elektronskih komunikacijskih storitev pa jo izvajajo tudi v skladu s predpisom, ki ureja zasebnost na področju elektronskih komunikacij. Pri tem pojasnjuj</w:t>
      </w:r>
      <w:r>
        <w:rPr>
          <w:rFonts w:cs="Arial"/>
          <w:color w:val="000000"/>
          <w:szCs w:val="20"/>
          <w:shd w:val="clear" w:color="auto" w:fill="FFFFFF"/>
          <w:lang w:val="sl-SI"/>
        </w:rPr>
        <w:t>e</w:t>
      </w:r>
      <w:r w:rsidRPr="003077CA">
        <w:rPr>
          <w:rFonts w:cs="Arial"/>
          <w:color w:val="000000"/>
          <w:szCs w:val="20"/>
          <w:shd w:val="clear" w:color="auto" w:fill="FFFFFF"/>
          <w:lang w:val="sl-SI"/>
        </w:rPr>
        <w:t xml:space="preserve">mo, da Direktivo o zasebnosti in elektronskih komunikacijah v slovenski pravni red prenaša zakon, ki ureja elektronske komunikacije. Trenutno je to Zakon o elektronskih komunikacijah (Uradni list RS, št. </w:t>
      </w:r>
      <w:hyperlink r:id="rId85" w:tgtFrame="_blank" w:tooltip="Zakon o elektronskih komunikacijah (ZEKom-2)" w:history="1">
        <w:r w:rsidRPr="003077CA">
          <w:rPr>
            <w:rFonts w:cs="Arial"/>
            <w:color w:val="000000"/>
            <w:szCs w:val="20"/>
            <w:lang w:val="sl-SI"/>
          </w:rPr>
          <w:t>130/22</w:t>
        </w:r>
      </w:hyperlink>
      <w:r w:rsidRPr="003077CA">
        <w:rPr>
          <w:rFonts w:cs="Arial"/>
          <w:color w:val="000000"/>
          <w:szCs w:val="20"/>
          <w:shd w:val="clear" w:color="auto" w:fill="FFFFFF"/>
          <w:lang w:val="sl-SI"/>
        </w:rPr>
        <w:t xml:space="preserve"> in </w:t>
      </w:r>
      <w:hyperlink r:id="rId86" w:tgtFrame="_blank" w:tooltip="Zakon o spremembah in dopolnitvah Zakona o državni upravi" w:history="1">
        <w:r w:rsidRPr="003077CA">
          <w:rPr>
            <w:rFonts w:cs="Arial"/>
            <w:color w:val="000000"/>
            <w:szCs w:val="20"/>
            <w:lang w:val="sl-SI"/>
          </w:rPr>
          <w:t>18/23</w:t>
        </w:r>
      </w:hyperlink>
      <w:r w:rsidRPr="003077CA">
        <w:rPr>
          <w:rFonts w:cs="Arial"/>
          <w:color w:val="000000"/>
          <w:szCs w:val="20"/>
          <w:shd w:val="clear" w:color="auto" w:fill="FFFFFF"/>
          <w:lang w:val="sl-SI"/>
        </w:rPr>
        <w:t xml:space="preserve"> – ZDU-1O; v nadaljnjem besedilu: ZEKom-2), ki zadevno vsebino ureja v svojem XII. poglavju z naslovom </w:t>
      </w:r>
      <w:r>
        <w:rPr>
          <w:rFonts w:cs="Arial"/>
          <w:i/>
          <w:iCs/>
          <w:color w:val="000000"/>
          <w:szCs w:val="20"/>
          <w:shd w:val="clear" w:color="auto" w:fill="FFFFFF"/>
          <w:lang w:val="sl-SI"/>
        </w:rPr>
        <w:t>O</w:t>
      </w:r>
      <w:r w:rsidRPr="00DA120C">
        <w:rPr>
          <w:rFonts w:cs="Arial"/>
          <w:i/>
          <w:iCs/>
          <w:color w:val="000000"/>
          <w:szCs w:val="20"/>
          <w:shd w:val="clear" w:color="auto" w:fill="FFFFFF"/>
          <w:lang w:val="sl-SI"/>
        </w:rPr>
        <w:t>bdelava osebnih podatkov in varst</w:t>
      </w:r>
      <w:r>
        <w:rPr>
          <w:rFonts w:cs="Arial"/>
          <w:i/>
          <w:iCs/>
          <w:color w:val="000000"/>
          <w:szCs w:val="20"/>
          <w:shd w:val="clear" w:color="auto" w:fill="FFFFFF"/>
          <w:lang w:val="sl-SI"/>
        </w:rPr>
        <w:t>v</w:t>
      </w:r>
      <w:r w:rsidRPr="004928C1">
        <w:rPr>
          <w:rFonts w:cs="Arial"/>
          <w:i/>
          <w:iCs/>
          <w:color w:val="000000"/>
          <w:szCs w:val="20"/>
          <w:shd w:val="clear" w:color="auto" w:fill="FFFFFF"/>
          <w:lang w:val="sl-SI"/>
        </w:rPr>
        <w:t>o zasebnosti elektronskih komunikacij</w:t>
      </w:r>
      <w:r w:rsidRPr="003077CA">
        <w:rPr>
          <w:rFonts w:cs="Arial"/>
          <w:color w:val="000000"/>
          <w:szCs w:val="20"/>
          <w:shd w:val="clear" w:color="auto" w:fill="FFFFFF"/>
          <w:lang w:val="sl-SI"/>
        </w:rPr>
        <w:t xml:space="preserve">. Pri tem že prvi člen tega poglavja (to je 211. člen ZEKom-2) v tretjem odstavku pojasni, da to poglavje ureja obdelavo osebnih podatkov v zvezi z zagotavljanjem javnih komunikacijskih storitev v javnih komunikacijskih omrežjih, vključno z javnimi komunikacijskimi omrežji, ki podpirajo zbiranje podatkov in identifikacijske naprave. Med predpise s področja varstva osebnih podatkov poleg Splošne uredbe o varstvu podatkov v slovenskem pravnem redu spada predvsem Zakon o varstvu osebnih podatkov (Uradni list RS, št. </w:t>
      </w:r>
      <w:hyperlink r:id="rId87" w:tgtFrame="_blank" w:tooltip="Zakon o varstvu osebnih podatkov (ZVOP-2)" w:history="1">
        <w:r w:rsidRPr="003077CA">
          <w:rPr>
            <w:rFonts w:cs="Arial"/>
            <w:color w:val="000000"/>
            <w:szCs w:val="20"/>
            <w:lang w:val="sl-SI"/>
          </w:rPr>
          <w:t>163/22</w:t>
        </w:r>
      </w:hyperlink>
      <w:r w:rsidRPr="003077CA">
        <w:rPr>
          <w:rFonts w:cs="Arial"/>
          <w:color w:val="000000"/>
          <w:szCs w:val="20"/>
          <w:shd w:val="clear" w:color="auto" w:fill="FFFFFF"/>
          <w:lang w:val="sl-SI"/>
        </w:rPr>
        <w:t xml:space="preserve">: v nadaljnjem besedilu: ZVOP-2). </w:t>
      </w:r>
    </w:p>
    <w:p w14:paraId="6F62701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drugem odstavku predlagani člen ob upoštevanju nacionalnih posebnosti prenaša trinajsti odstavek 2. člena Direktive 2022/2555/EU, ki določa: »Brez poseganja v člen 346 PDEU se informacije, ki so zaupne v skladu s predpisi Unije ali nacionalnimi predpisi, na primer o poslovni tajnosti, s Komisijo in drugimi ustreznimi organi v skladu s to direktivo izmenjajo le, kadar je takšna izmenjava potrebna za uporabo te direktive. Izmenjava informacij se omeji na obseg, ki je ustrezen in sorazmeren glede na namen takšne izmenjave. Pri izmenjavi informacij se ohrani zaupnost zadevnih informacij ter zaščitijo varnost in poslovni interesi zadevnih subjektov.«. </w:t>
      </w:r>
    </w:p>
    <w:p w14:paraId="2E728CA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Zato je v drugem odstavku predlaganega člena z vidika varstva zaupnosti podatkov in informacij, ki se obdelujejo na podlagi predlaganega zakona in so opredeljeni kot tajni ali kot poslovna skrivnost ali druge oblike varovanih podatkov, predlagano, da se ti obravnavajo v skladu s področnimi predpisi, ki urejajo njihovo obravnavo in varovanje. Pri tem gre zlasti za zakon, ki ureja varstvo tajnih podatkov in na njegovi podlagi sprejete predpise. Gre pa tudi za druge področne zakone, ki urejajo obravnavo in varovanje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na primer davčne ali bančne tajnosti, posebnosti predpisov na področju zunanjih zadev, urejanje poslovne skrivnosti v skladu z zakonom, ki ureja gospodarske družbe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podobno. </w:t>
      </w:r>
    </w:p>
    <w:p w14:paraId="7B89BC8C"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Novost (glede na ZInfV) je določba tretjega odstavka predlaganega člena, ki določa pravila za izmenjavo podatkov in informacij, ki so opredeljeni kot varovani podatek pristojnega nacionalnega organa po tem zakonu. Pri tem je v 5. členu (pomen izrazov) predlaganega zakona pojasnjeno, da je varovani podatek pristojnega nacionalnega organa podatek o ranljivostih ali stanju informacijskih sistemov in omrežij zavezancev ter njihova identiteta, ki ni tajen ali poslovna skrivnost, njegovo razkritje nepoklicanim osebam pa bi lahko povzročilo motnje pri delovanju in izvajanju nalog pristojnemu nacionalnemu organu oziroma bi lahko škodovalo zavezancem. Izmenjava podatkov in informacij, ki so varovani podatek pristojnega nacionalnega organa, mora biti zato za potrebe izvajanja tega zakona omejena na obseg, ki je ustrezen in sorazmeren glede na namen takšne izmenjave, pri čemer se ohrani zaupnost zadevnih informacij ter zaščiti</w:t>
      </w:r>
      <w:r>
        <w:rPr>
          <w:rFonts w:cs="Arial"/>
          <w:color w:val="000000"/>
          <w:szCs w:val="20"/>
          <w:shd w:val="clear" w:color="auto" w:fill="FFFFFF"/>
          <w:lang w:val="sl-SI"/>
        </w:rPr>
        <w:t>ta</w:t>
      </w:r>
      <w:r w:rsidRPr="003077CA">
        <w:rPr>
          <w:rFonts w:cs="Arial"/>
          <w:color w:val="000000"/>
          <w:szCs w:val="20"/>
          <w:shd w:val="clear" w:color="auto" w:fill="FFFFFF"/>
          <w:lang w:val="sl-SI"/>
        </w:rPr>
        <w:t xml:space="preserve"> varnost in poslovni interes zadevnih subjektov. </w:t>
      </w:r>
      <w:r w:rsidRPr="003077CA">
        <w:rPr>
          <w:rFonts w:cs="Arial"/>
          <w:bCs/>
          <w:szCs w:val="20"/>
          <w:lang w:val="sl-SI" w:eastAsia="sl-SI"/>
        </w:rPr>
        <w:t>Podrobnejše organizacijske in logično tehnične postopke ter ukrepe za določanje in varovanje varovanih podatkov pristojnega nacionalnega organa ter vodenja zbirk podatkov, katerih upravljavec je pristojni nacionalni organ, pa bo na podlagi tretjega odstavka predlagana člena določila Vlada Republike Slovenij</w:t>
      </w:r>
      <w:r>
        <w:rPr>
          <w:rFonts w:cs="Arial"/>
          <w:bCs/>
          <w:szCs w:val="20"/>
          <w:lang w:val="sl-SI" w:eastAsia="sl-SI"/>
        </w:rPr>
        <w:t>e</w:t>
      </w:r>
      <w:r w:rsidRPr="003077CA">
        <w:rPr>
          <w:rFonts w:cs="Arial"/>
          <w:bCs/>
          <w:szCs w:val="20"/>
          <w:lang w:val="sl-SI" w:eastAsia="sl-SI"/>
        </w:rPr>
        <w:t xml:space="preserve"> (v nadaljnjem besedilu</w:t>
      </w:r>
      <w:r w:rsidRPr="002D16FE">
        <w:rPr>
          <w:rFonts w:cs="Arial"/>
          <w:bCs/>
          <w:szCs w:val="20"/>
          <w:lang w:val="sl-SI" w:eastAsia="sl-SI"/>
        </w:rPr>
        <w:t>: vlada) z uredbo</w:t>
      </w:r>
      <w:r w:rsidRPr="003077CA">
        <w:rPr>
          <w:rFonts w:cs="Arial"/>
          <w:bCs/>
          <w:szCs w:val="20"/>
          <w:lang w:val="sl-SI" w:eastAsia="sl-SI"/>
        </w:rPr>
        <w:t xml:space="preserve">. </w:t>
      </w:r>
      <w:r w:rsidRPr="003077CA">
        <w:rPr>
          <w:rFonts w:cs="Arial"/>
          <w:color w:val="000000"/>
          <w:szCs w:val="20"/>
          <w:shd w:val="clear" w:color="auto" w:fill="FFFFFF"/>
          <w:lang w:val="sl-SI"/>
        </w:rPr>
        <w:t>Dodatno tudi pojasnjujemo, da so kot varovani podatki predvideni tisti podatki, ki so navedeni v četrtem odstavku 8. člena in v drugi alineji dvanajstega odstavka 30. člena predlaganega zakona.</w:t>
      </w:r>
    </w:p>
    <w:p w14:paraId="6E1352AC" w14:textId="77777777" w:rsidR="000A51A5" w:rsidRPr="003077CA" w:rsidRDefault="000A51A5" w:rsidP="000A51A5">
      <w:pPr>
        <w:suppressAutoHyphens/>
        <w:overflowPunct w:val="0"/>
        <w:autoSpaceDE w:val="0"/>
        <w:autoSpaceDN w:val="0"/>
        <w:adjustRightInd w:val="0"/>
        <w:spacing w:line="260" w:lineRule="atLeast"/>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Nadalje se s četrtim odstavkom predlaganega člena določa, da se pri po</w:t>
      </w:r>
      <w:r>
        <w:rPr>
          <w:rFonts w:cs="Arial"/>
          <w:color w:val="000000"/>
          <w:szCs w:val="20"/>
          <w:shd w:val="clear" w:color="auto" w:fill="FFFFFF"/>
          <w:lang w:val="sl-SI"/>
        </w:rPr>
        <w:t>šiljanju</w:t>
      </w:r>
      <w:r w:rsidRPr="003077CA">
        <w:rPr>
          <w:rFonts w:cs="Arial"/>
          <w:color w:val="000000"/>
          <w:szCs w:val="20"/>
          <w:shd w:val="clear" w:color="auto" w:fill="FFFFFF"/>
          <w:lang w:val="sl-SI"/>
        </w:rPr>
        <w:t xml:space="preserve"> ali izmenjavi podatkov in informacij na podlagi tega zakona upošteva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tudi sporazum</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o nerazkritju informacij </w:t>
      </w:r>
      <w:r w:rsidRPr="003077CA">
        <w:rPr>
          <w:rFonts w:cs="Arial"/>
          <w:color w:val="000000"/>
          <w:szCs w:val="20"/>
          <w:shd w:val="clear" w:color="auto" w:fill="FFFFFF"/>
          <w:lang w:val="sl-SI"/>
        </w:rPr>
        <w:lastRenderedPageBreak/>
        <w:t>in neformaln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sporazum</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o nerazkritju informacij, kot je semaforski protokol. Ta predlagana določba je novost glede na ZInfV, ki pa se v praksi, kot to navaja tudi uvodna izjava 9 Direktive 2022/2555/EU na koncu besedila, že uporablja v skoraj vseh skupinah za odzivanje na incidente na področju računalniške varnosti (v nadaljnjem besedilu: skupine CSIRT) ter v nekaterih centrih za analizo in izmenjavo informacij. Kot pojasnjuje navedena uvodna izjava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je pri tem semaforski protokol (angleško </w:t>
      </w:r>
      <w:r w:rsidRPr="003077CA">
        <w:rPr>
          <w:rFonts w:cs="Arial"/>
          <w:i/>
          <w:iCs/>
          <w:color w:val="000000"/>
          <w:szCs w:val="20"/>
          <w:shd w:val="clear" w:color="auto" w:fill="FFFFFF"/>
          <w:lang w:val="sl-SI"/>
        </w:rPr>
        <w:t>Traffic Light Protocol</w:t>
      </w:r>
      <w:r w:rsidRPr="003077CA">
        <w:rPr>
          <w:rFonts w:cs="Arial"/>
          <w:color w:val="000000"/>
          <w:szCs w:val="20"/>
          <w:shd w:val="clear" w:color="auto" w:fill="FFFFFF"/>
          <w:lang w:val="sl-SI"/>
        </w:rPr>
        <w:t>) treba razumeti kot sredstvo za zagotavljanje informacij o kakršnih koli omejitvah v zvezi z nadaljnjim širjenjem informacij. V 5. členu (pomen izrazov) predlaganega zakona je semaforski protokol opredeljen kot skupek pravil in dogovorov o omejitvah v zvezi z nadaljnjim širjenjem prejetih ali deljenih informacij, kot ga uporabljajo pri izmenjavi informacij skupine CSIRT.</w:t>
      </w:r>
    </w:p>
    <w:p w14:paraId="76578E96" w14:textId="77777777" w:rsidR="000A51A5" w:rsidRDefault="000A51A5" w:rsidP="000A51A5">
      <w:pPr>
        <w:suppressAutoHyphens/>
        <w:overflowPunct w:val="0"/>
        <w:autoSpaceDE w:val="0"/>
        <w:autoSpaceDN w:val="0"/>
        <w:adjustRightInd w:val="0"/>
        <w:spacing w:line="260" w:lineRule="atLeast"/>
        <w:jc w:val="both"/>
        <w:textAlignment w:val="baseline"/>
        <w:rPr>
          <w:rFonts w:cs="Arial"/>
          <w:color w:val="000000"/>
          <w:szCs w:val="20"/>
          <w:shd w:val="clear" w:color="auto" w:fill="FFFFFF"/>
          <w:lang w:val="sl-SI"/>
        </w:rPr>
      </w:pPr>
      <w:bookmarkStart w:id="130" w:name="_Hlk185425181"/>
    </w:p>
    <w:p w14:paraId="1806054F" w14:textId="77777777" w:rsidR="000A51A5" w:rsidRPr="003077CA" w:rsidRDefault="000A51A5" w:rsidP="000A51A5">
      <w:pPr>
        <w:suppressAutoHyphens/>
        <w:overflowPunct w:val="0"/>
        <w:autoSpaceDE w:val="0"/>
        <w:autoSpaceDN w:val="0"/>
        <w:adjustRightInd w:val="0"/>
        <w:spacing w:line="260" w:lineRule="atLeast"/>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Ob vseh zgoraj opisanih omejitvah pri posredovanju ali izmenjavi zaupnih informacij predlagani peti odstavek prinaša še izrecno varovalko, po kateri obveznost izmenjave podatkov na podlagi tega zakona ne v</w:t>
      </w:r>
      <w:r>
        <w:rPr>
          <w:rFonts w:cs="Arial"/>
          <w:color w:val="000000"/>
          <w:szCs w:val="20"/>
          <w:shd w:val="clear" w:color="auto" w:fill="FFFFFF"/>
          <w:lang w:val="sl-SI"/>
        </w:rPr>
        <w:t>elja za</w:t>
      </w:r>
      <w:r w:rsidRPr="003077CA">
        <w:rPr>
          <w:rFonts w:cs="Arial"/>
          <w:color w:val="000000"/>
          <w:szCs w:val="20"/>
          <w:shd w:val="clear" w:color="auto" w:fill="FFFFFF"/>
          <w:lang w:val="sl-SI"/>
        </w:rPr>
        <w:t xml:space="preserve"> podatk</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in informacij</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katerih razkritje bi bilo v nasprotju z vitalnimi interesi Republike Slovenije na področju nacionalne varnosti </w:t>
      </w:r>
      <w:r>
        <w:rPr>
          <w:rFonts w:cs="Arial"/>
          <w:color w:val="000000"/>
          <w:szCs w:val="20"/>
          <w:shd w:val="clear" w:color="auto" w:fill="FFFFFF"/>
          <w:lang w:val="sl-SI"/>
        </w:rPr>
        <w:t>zunaj</w:t>
      </w:r>
      <w:r w:rsidRPr="003077CA">
        <w:rPr>
          <w:rFonts w:cs="Arial"/>
          <w:color w:val="000000"/>
          <w:szCs w:val="20"/>
          <w:shd w:val="clear" w:color="auto" w:fill="FFFFFF"/>
          <w:lang w:val="sl-SI"/>
        </w:rPr>
        <w:t xml:space="preserve"> Republike Slovenije. Pri tem po 29. točki 5. člena (pomen izrazov) ogrožanje vitalnih interesov Republike Slovenije pomeni ogrožanje njene ustavne ureditve, neodvisnosti, ozemeljske celovitosti, obrambne sposobnosti in javne varnosti.</w:t>
      </w:r>
    </w:p>
    <w:p w14:paraId="3A066212" w14:textId="77777777" w:rsidR="000A51A5" w:rsidRPr="003077CA" w:rsidRDefault="000A51A5" w:rsidP="000A51A5">
      <w:pPr>
        <w:spacing w:after="120" w:line="276" w:lineRule="auto"/>
        <w:jc w:val="both"/>
        <w:rPr>
          <w:rFonts w:cs="Arial"/>
          <w:color w:val="000000"/>
          <w:szCs w:val="20"/>
          <w:shd w:val="clear" w:color="auto" w:fill="FFFFFF"/>
          <w:lang w:val="sl-SI"/>
        </w:rPr>
      </w:pPr>
      <w:bookmarkStart w:id="131" w:name="_Hlk185424499"/>
      <w:bookmarkEnd w:id="130"/>
    </w:p>
    <w:p w14:paraId="21ED132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 členu</w:t>
      </w:r>
    </w:p>
    <w:p w14:paraId="1F036A2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predlogu člena se pojasnjujejo uporabljeni izrazi. Opredelitve izrazov so večinoma povzete po Direktivi 2022/2555/EU (njen 6. člen) ali drugih akt</w:t>
      </w:r>
      <w:r>
        <w:rPr>
          <w:rFonts w:cs="Arial"/>
          <w:color w:val="000000"/>
          <w:szCs w:val="20"/>
          <w:shd w:val="clear" w:color="auto" w:fill="FFFFFF"/>
          <w:lang w:val="sl-SI"/>
        </w:rPr>
        <w:t>ih</w:t>
      </w:r>
      <w:r w:rsidRPr="003077CA">
        <w:rPr>
          <w:rFonts w:cs="Arial"/>
          <w:color w:val="000000"/>
          <w:szCs w:val="20"/>
          <w:shd w:val="clear" w:color="auto" w:fill="FFFFFF"/>
          <w:lang w:val="sl-SI"/>
        </w:rPr>
        <w:t xml:space="preserve"> EU, na katere se Direktiva 2022/2555/EU pri opredelitvah v 6. členu sklicuje oziroma se opredelitve izrazov deloma širijo zaradi načela minimalne harmonizacije iz 5. člena navedene direktive. V delu, ko gre za nacionalne določbe, se opredelitve pojmov zgledujejo po opredelitvah strokovnih pojmov s področja informacijske in kibernetske varnosti oziroma obramboslovja, pa tudi po opredelitvah pojmov nacionalne narave iz ZInfV, kjer nismo zaznali potrebe po spremembi takšnih opredelitev. </w:t>
      </w:r>
    </w:p>
    <w:p w14:paraId="610BFE22"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4213F6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II. Zavezanci</w:t>
      </w:r>
    </w:p>
    <w:p w14:paraId="2A89750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65C8DD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poglavju so navedeni zavezanci za izpolnjevanje obveznosti po predlaganem zakonu, opredeljuje</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se bistven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in pomembn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subjekt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ureja se mehanizem za njihovo samoregistracijo in daje podlaga za vodenje seznama zavezancev po tem zakonu. </w:t>
      </w:r>
    </w:p>
    <w:p w14:paraId="57BAB006"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FFFA92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 členu</w:t>
      </w:r>
    </w:p>
    <w:p w14:paraId="7E080D6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predlogu člena se določajo zavezanci za izpolnjevanje obveznosti po predlaganem zakonu. </w:t>
      </w:r>
    </w:p>
    <w:p w14:paraId="15F663D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pri tem ob upoštevanju člena 5 Direktive 2022/2055/EU (minimalna harmonizacija) v predlagani zakon prenaša 2. člen Direktive 2022/2555/EU (področje uporabe) v delu, ki se nanaša na subjekte, ki spadajo v področje uporabe te direktive. </w:t>
      </w:r>
    </w:p>
    <w:p w14:paraId="2861C11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Ob tem pa že Direktiva 2022/2555/EU v uvodni izjavi šest pojasni, da bi bilo z razveljavitvijo Direktive (EU) 2016/1148</w:t>
      </w:r>
      <w:r w:rsidRPr="003077CA">
        <w:rPr>
          <w:rFonts w:cs="Arial"/>
          <w:szCs w:val="20"/>
          <w:vertAlign w:val="superscript"/>
          <w:lang w:val="sl-SI"/>
        </w:rPr>
        <w:footnoteReference w:id="22"/>
      </w:r>
      <w:r w:rsidRPr="003077CA">
        <w:rPr>
          <w:rFonts w:cs="Arial"/>
          <w:color w:val="000000"/>
          <w:szCs w:val="20"/>
          <w:shd w:val="clear" w:color="auto" w:fill="FFFFFF"/>
          <w:lang w:val="sl-SI"/>
        </w:rPr>
        <w:t xml:space="preserve"> treba področje uporabe po sektorjih razširiti na večji del gospodarstva, da bi se zagotovila celovita pokritost sektorjev in storitev, ki so bistvenega pomena za ključne družbene in gospodarske dejavnosti na notranjem trgu. Ta širitev področja uporabe po sektorjih je razvidna iz Priloge I (Visoko kritični sektorji) in Priloge II (Drugi kritični sektorji) Direktive 2022/2555/EU, ki naštevata sektorje, v določenih primerih pa tudi podsektorje, znotraj katerih </w:t>
      </w:r>
      <w:r w:rsidRPr="003077CA">
        <w:rPr>
          <w:rFonts w:cs="Arial"/>
          <w:color w:val="000000"/>
          <w:szCs w:val="20"/>
          <w:shd w:val="clear" w:color="auto" w:fill="FFFFFF"/>
          <w:lang w:val="sl-SI"/>
        </w:rPr>
        <w:lastRenderedPageBreak/>
        <w:t>delujejo v obeh prilogah naštete vrste subjektov, kar je relevantno z vidika področja uporabe te direktive. Pri tem Direktiva 2022/2555/EU kot osnovno pravilo (od katerega v nekaterih primerih odstopa) postavlja pravilo velikosti. Glede prej navedenega uvodna izjava 7 Direktive 2022/2555/EU pojasnjuje: »Na podlagi Direktive (EU) 2016/1148 so bile države članice odgovorne za določitev subjektov, ki izpolnjujejo merila, na podlagi katerih se štejejo za izvajalce bistvenih storitev. Za odpravo velikih razlik med državami članicami v zvezi s tem in zagotovitev pravne varnosti v zvezi z ukrepi kibernetske varnosti za obvladovanje tveganja in obveznosti poročanja za vse ustrezne subjekte bi bilo treba določiti enotno merilo, ki bi določalo, kateri subjekti spadajo na področje uporabe te direktive. To merilo bi moralo vključevati uporabo pravila omejitve velikosti, v skladu s katerim na področje uporabe te direktive spadajo vsi subjekti, ki se na podlagi člena 2 Priloge k Priporočilu Komisije 2003/361/ES</w:t>
      </w:r>
      <w:r w:rsidRPr="003077CA">
        <w:rPr>
          <w:rFonts w:cs="Arial"/>
          <w:szCs w:val="20"/>
          <w:vertAlign w:val="superscript"/>
          <w:lang w:val="sl-SI"/>
        </w:rPr>
        <w:footnoteReference w:id="23"/>
      </w:r>
      <w:r w:rsidRPr="003077CA">
        <w:rPr>
          <w:rFonts w:cs="Arial"/>
          <w:color w:val="000000"/>
          <w:szCs w:val="20"/>
          <w:shd w:val="clear" w:color="auto" w:fill="FFFFFF"/>
          <w:lang w:val="sl-SI"/>
        </w:rPr>
        <w:t xml:space="preserve"> štejejo za srednja podjetja, ali presegajo zgornje meje za srednja podjetja iz odstavka 1 navedenega člena, in ki delujejo v sektorjih in opravljajo vrste storitev ali izvajajo dejavnosti, zajete s to direktivo. Države članice bi morale tudi zagotoviti, da na področje uporabe te direktive spadajo nekatera mala podjetja in mikro podjetja, kot so opredeljena v členu 2(2) in (3) navedene priloge, ki izpolnjujejo posebna merila, ki kažejo na ključno vlogo za družbo, gospodarstvo ali za določene sektorje ali vrste storitev.«.</w:t>
      </w:r>
    </w:p>
    <w:p w14:paraId="493A7FB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Določba prvega odstavka 2. člena Direktive 2022/2555/EU kot splošno pravilo njenega področja uporabe zato določa, da se ta direktiva uporablja za javne ali zasebne subjekte vrste iz Priloge I ali II navedene direktive, ki izpolnjujejo pogoje za srednja podjetja iz člena 2 Priloge Priporočil</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2003/361/ES, ali presegajo zgornje meje za srednja podjetja, določene v odstavku 1 navedenega člena, in ki opravljajo svoje storitve ali izvajajo svoje dejavnosti v Uniji. Člen 3(4) Priloge k navedenemu priporočilu pa se ne uporablja za namene te direktive. </w:t>
      </w:r>
    </w:p>
    <w:p w14:paraId="6441F42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Navedeno splošno pravilo področja uporabe se prenaša v predlagani zakon s prvim odstavkom predlaganega člena, po katerem so subjekti, ki spadajo med vrste subjektov iz Prilog 1 ali 2 predlaganega zakona, ki sta kot </w:t>
      </w:r>
      <w:r>
        <w:rPr>
          <w:rFonts w:cs="Arial"/>
          <w:color w:val="000000"/>
          <w:szCs w:val="20"/>
          <w:shd w:val="clear" w:color="auto" w:fill="FFFFFF"/>
          <w:lang w:val="sl-SI"/>
        </w:rPr>
        <w:t>p</w:t>
      </w:r>
      <w:r w:rsidRPr="003077CA">
        <w:rPr>
          <w:rFonts w:cs="Arial"/>
          <w:color w:val="000000"/>
          <w:szCs w:val="20"/>
          <w:shd w:val="clear" w:color="auto" w:fill="FFFFFF"/>
          <w:lang w:val="sl-SI"/>
        </w:rPr>
        <w:t>rilogi sestavni del tega zakona (v nadaljnjem besedilu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Priloga 1 ali 2</w:t>
      </w:r>
      <w:r>
        <w:rPr>
          <w:rFonts w:cs="Arial"/>
          <w:color w:val="000000"/>
          <w:szCs w:val="20"/>
          <w:shd w:val="clear" w:color="auto" w:fill="FFFFFF"/>
          <w:lang w:val="sl-SI"/>
        </w:rPr>
        <w:t xml:space="preserve"> tega zakona</w:t>
      </w:r>
      <w:r w:rsidRPr="003077CA">
        <w:rPr>
          <w:rFonts w:cs="Arial"/>
          <w:color w:val="000000"/>
          <w:szCs w:val="20"/>
          <w:shd w:val="clear" w:color="auto" w:fill="FFFFFF"/>
          <w:lang w:val="sl-SI"/>
        </w:rPr>
        <w:t xml:space="preserve">), zavezanci po tem zakonu, če imajo vsaj 50 zaposlenih in (gre torej za kumulativna pogoja) letni promet </w:t>
      </w:r>
      <w:r>
        <w:rPr>
          <w:rFonts w:cs="Arial"/>
          <w:color w:val="000000"/>
          <w:szCs w:val="20"/>
          <w:shd w:val="clear" w:color="auto" w:fill="FFFFFF"/>
          <w:lang w:val="sl-SI"/>
        </w:rPr>
        <w:t>ali</w:t>
      </w:r>
      <w:r w:rsidRPr="003077CA">
        <w:rPr>
          <w:rFonts w:cs="Arial"/>
          <w:color w:val="000000"/>
          <w:szCs w:val="20"/>
          <w:shd w:val="clear" w:color="auto" w:fill="FFFFFF"/>
          <w:lang w:val="sl-SI"/>
        </w:rPr>
        <w:t xml:space="preserve"> letno bilančno vsoto vsaj 10 milijonov e</w:t>
      </w:r>
      <w:bookmarkEnd w:id="131"/>
      <w:r w:rsidRPr="003077CA">
        <w:rPr>
          <w:rFonts w:cs="Arial"/>
          <w:color w:val="000000"/>
          <w:szCs w:val="20"/>
          <w:shd w:val="clear" w:color="auto" w:fill="FFFFFF"/>
          <w:lang w:val="sl-SI"/>
        </w:rPr>
        <w:t xml:space="preserve">urov. Navedeno ustreza kriterijem iz prvega odstavka 2. člena Direktive 2022/2555/EU in priporočila, na katerega se sklicuje. </w:t>
      </w:r>
    </w:p>
    <w:p w14:paraId="513F8AB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predlaganega člena določa primere, ko se predlagani zakon uporablja za subjekte iz prejšnjega odstavka (gre torej za subjekte vrste iz Priloge 1 ali 2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ne glede na njihovo število zaposlenih ali letni promet oziroma letno bilančno vsoto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če: 1. storitev opravljajo ponudniki javnih elektronskih komunikacijskih omrežij ali javno dostopnih elektronskih komunikacijskih storitev, ponudniki storitev zaupanja ali registra vrhnjih domenskih imen in ponudniki storitev sistema domenskih imen; 2. je subjekt edini ponudnik storitve, ki je </w:t>
      </w:r>
      <w:r>
        <w:rPr>
          <w:rFonts w:cs="Arial"/>
          <w:color w:val="000000"/>
          <w:szCs w:val="20"/>
          <w:shd w:val="clear" w:color="auto" w:fill="FFFFFF"/>
          <w:lang w:val="sl-SI"/>
        </w:rPr>
        <w:t>poglavitna</w:t>
      </w:r>
      <w:r w:rsidRPr="003077CA">
        <w:rPr>
          <w:rFonts w:cs="Arial"/>
          <w:color w:val="000000"/>
          <w:szCs w:val="20"/>
          <w:shd w:val="clear" w:color="auto" w:fill="FFFFFF"/>
          <w:lang w:val="sl-SI"/>
        </w:rPr>
        <w:t xml:space="preserve"> za ohranjanje kritičnih družbenih ali gospodarskih dejavnosti v Republiki Sloveniji; 3. bi motnja pri opravljanju storitve subjekta lahko pomembno vplivala na javni red, javno varnost ali javno zdravje; 4. bi motnja pri opravljanju storitve subjekta lahko povzročila pomembno sistemsko tveganje, zlasti za sektorje, v katerih bi lahko taka motnja imela čezmejni vpliv; 5. je subjekt kritičen zaradi njegovega posebnega pomena na državni ali lokalni ravni za določen sektor ali vrsto storitve ali za druge medsebojno odvisne sektorje v Republiki Sloveniji; 6. gre za subjekt javne uprave na državni ravni. </w:t>
      </w:r>
    </w:p>
    <w:p w14:paraId="0DB9DB4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Predlagana določba drugega odstavka tega člena pomeni prenos drugega odstavka 2. člena Direktive 2022/2555/EU. Republika Slovenija trenutno (še) nima regionalne oziroma v skladu z nacionalnim pravom pokrajinske ravni lokalne samouprave. V primeru vzpostavitve pokrajinske samouprave bo v skladu z Direktivo 2022/2555/EU z </w:t>
      </w:r>
      <w:r w:rsidRPr="00357992">
        <w:rPr>
          <w:rFonts w:cs="Arial"/>
          <w:color w:val="000000"/>
          <w:szCs w:val="20"/>
          <w:shd w:val="clear" w:color="auto" w:fill="FFFFFF"/>
          <w:lang w:val="sl-SI"/>
        </w:rPr>
        <w:t>novelo predlaganega zakona dopolni</w:t>
      </w:r>
      <w:r>
        <w:rPr>
          <w:rFonts w:cs="Arial"/>
          <w:color w:val="000000"/>
          <w:szCs w:val="20"/>
          <w:shd w:val="clear" w:color="auto" w:fill="FFFFFF"/>
          <w:lang w:val="sl-SI"/>
        </w:rPr>
        <w:t xml:space="preserve">la </w:t>
      </w:r>
      <w:r w:rsidRPr="00357992">
        <w:rPr>
          <w:rFonts w:cs="Arial"/>
          <w:color w:val="000000"/>
          <w:szCs w:val="20"/>
          <w:shd w:val="clear" w:color="auto" w:fill="FFFFFF"/>
          <w:lang w:val="sl-SI"/>
        </w:rPr>
        <w:t>zdaj predlagano zakonsko ureditev glede zavezancev po tem zakonu.</w:t>
      </w:r>
      <w:r w:rsidRPr="003077CA">
        <w:rPr>
          <w:rFonts w:cs="Arial"/>
          <w:color w:val="000000"/>
          <w:szCs w:val="20"/>
          <w:shd w:val="clear" w:color="auto" w:fill="FFFFFF"/>
          <w:lang w:val="sl-SI"/>
        </w:rPr>
        <w:t xml:space="preserve"> </w:t>
      </w:r>
    </w:p>
    <w:p w14:paraId="2E1D5D1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Tretji odstavek predlaganega člena nadalje določa tudi druge subjekte, ki so zavezanci po tem zakonu ne glede na prvi in drugi odstavek tega člena. Takšni zavezanci so: </w:t>
      </w:r>
    </w:p>
    <w:p w14:paraId="3788838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1. subjekti, ki so določeni kot kritični na podlagi zakona, ki ureja področje kritične infrastrukture. Pojasnjujemo, da gre za nov Zakon o kritični infrastrukturi (Uradni list RS, št. 102/24; v nadaljnjem besedilu: ZKI-1), ki prenaša Direktivo (EU) 2022/2557</w:t>
      </w:r>
      <w:r w:rsidRPr="003077CA">
        <w:rPr>
          <w:rFonts w:cs="Arial"/>
          <w:szCs w:val="20"/>
          <w:vertAlign w:val="superscript"/>
          <w:lang w:val="sl-SI"/>
        </w:rPr>
        <w:footnoteReference w:id="24"/>
      </w:r>
      <w:r w:rsidRPr="003077CA">
        <w:rPr>
          <w:rFonts w:cs="Arial"/>
          <w:color w:val="000000"/>
          <w:szCs w:val="20"/>
          <w:shd w:val="clear" w:color="auto" w:fill="FFFFFF"/>
          <w:lang w:val="sl-SI"/>
        </w:rPr>
        <w:t xml:space="preserve">. Tretji odstavek 2. člena Direktive 2022/2555/EU namreč določa, da se ta direktiva uporablja tudi za subjekte, ki so identificirani kot kritični na podlagi Direktive (EU) 2022/2557, ne glede na njihovo velikost; </w:t>
      </w:r>
    </w:p>
    <w:p w14:paraId="0B2AEC4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2. subjekti, ki opravljajo storitve registracije domenskih imen, ne glede na njihovo velikost. Navedeno pomeni prenos četrtega odstavka 2. člena Direktive 2022/2555/EU;</w:t>
      </w:r>
    </w:p>
    <w:p w14:paraId="08B5FFB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3. subjekti, ki so v državnih načrtih zaščite in reševanja opredeljeni kot službe državnega pomena, če bi nedelovanje njihovih omrežnih in informacijskih sistemov ogrozilo izvajanje nalog zaščite in reševanja iz prej navedenih načrtov. Gre za nacionalno določbo, ki upoštevaje 5. člen Direktive 2022/2555/EU (minimalna harmonizacija) širi področje uporabe predlaganega zakona in takšne subjekte določa za zavezance po tem zakonu. Državni načrti zaščite in reševanja, ki jih pripravi Uprava Republike Slovenije za zaščito in reševanje v sodelovanju z ministrstvi in drugimi državnimi organi ter ustreznimi strokovnimi organizacijami, namreč med subjekti, ki izvajajo naloge v skladu s temi načrti, lahko vsebujejo tudi subjekte, ki sicer ne</w:t>
      </w:r>
      <w:r>
        <w:rPr>
          <w:rFonts w:cs="Arial"/>
          <w:color w:val="000000"/>
          <w:szCs w:val="20"/>
          <w:shd w:val="clear" w:color="auto" w:fill="FFFFFF"/>
          <w:lang w:val="sl-SI"/>
        </w:rPr>
        <w:t xml:space="preserve"> bi</w:t>
      </w:r>
      <w:r w:rsidRPr="003077CA">
        <w:rPr>
          <w:rFonts w:cs="Arial"/>
          <w:color w:val="000000"/>
          <w:szCs w:val="20"/>
          <w:shd w:val="clear" w:color="auto" w:fill="FFFFFF"/>
          <w:lang w:val="sl-SI"/>
        </w:rPr>
        <w:t xml:space="preserve"> bili vključeni med subjekte, ki so zavezanci po tem zakonu, nedelovanje njihovih omrežnih in informacijskih sistemov pa bi lahko ogrozilo izvajanje nalog zaščite in reševanja iz prej navedenih načrtov. Ocenjujemo namreč, da je pomembno, da omrežni in informacijski sistemi teh subjektov delujejo oziroma so čim</w:t>
      </w:r>
      <w:r>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bolj odporni </w:t>
      </w:r>
      <w:r>
        <w:rPr>
          <w:rFonts w:cs="Arial"/>
          <w:color w:val="000000"/>
          <w:szCs w:val="20"/>
          <w:shd w:val="clear" w:color="auto" w:fill="FFFFFF"/>
          <w:lang w:val="sl-SI"/>
        </w:rPr>
        <w:t>proti</w:t>
      </w:r>
      <w:r w:rsidRPr="003077CA">
        <w:rPr>
          <w:rFonts w:cs="Arial"/>
          <w:color w:val="000000"/>
          <w:szCs w:val="20"/>
          <w:shd w:val="clear" w:color="auto" w:fill="FFFFFF"/>
          <w:lang w:val="sl-SI"/>
        </w:rPr>
        <w:t xml:space="preserve"> incident</w:t>
      </w:r>
      <w:r>
        <w:rPr>
          <w:rFonts w:cs="Arial"/>
          <w:color w:val="000000"/>
          <w:szCs w:val="20"/>
          <w:shd w:val="clear" w:color="auto" w:fill="FFFFFF"/>
          <w:lang w:val="sl-SI"/>
        </w:rPr>
        <w:t>om</w:t>
      </w:r>
      <w:r w:rsidRPr="003077CA">
        <w:rPr>
          <w:rFonts w:cs="Arial"/>
          <w:color w:val="000000"/>
          <w:szCs w:val="20"/>
          <w:shd w:val="clear" w:color="auto" w:fill="FFFFFF"/>
          <w:lang w:val="sl-SI"/>
        </w:rPr>
        <w:t xml:space="preserve"> in kibernetsk</w:t>
      </w:r>
      <w:r>
        <w:rPr>
          <w:rFonts w:cs="Arial"/>
          <w:color w:val="000000"/>
          <w:szCs w:val="20"/>
          <w:shd w:val="clear" w:color="auto" w:fill="FFFFFF"/>
          <w:lang w:val="sl-SI"/>
        </w:rPr>
        <w:t>im</w:t>
      </w:r>
      <w:r w:rsidRPr="003077CA">
        <w:rPr>
          <w:rFonts w:cs="Arial"/>
          <w:color w:val="000000"/>
          <w:szCs w:val="20"/>
          <w:shd w:val="clear" w:color="auto" w:fill="FFFFFF"/>
          <w:lang w:val="sl-SI"/>
        </w:rPr>
        <w:t xml:space="preserve"> grožnj</w:t>
      </w:r>
      <w:r>
        <w:rPr>
          <w:rFonts w:cs="Arial"/>
          <w:color w:val="000000"/>
          <w:szCs w:val="20"/>
          <w:shd w:val="clear" w:color="auto" w:fill="FFFFFF"/>
          <w:lang w:val="sl-SI"/>
        </w:rPr>
        <w:t>am</w:t>
      </w:r>
      <w:r w:rsidRPr="003077CA">
        <w:rPr>
          <w:rFonts w:cs="Arial"/>
          <w:color w:val="000000"/>
          <w:szCs w:val="20"/>
          <w:shd w:val="clear" w:color="auto" w:fill="FFFFFF"/>
          <w:lang w:val="sl-SI"/>
        </w:rPr>
        <w:t xml:space="preserve">, </w:t>
      </w:r>
      <w:r>
        <w:rPr>
          <w:rFonts w:cs="Arial"/>
          <w:color w:val="000000"/>
          <w:szCs w:val="20"/>
          <w:shd w:val="clear" w:color="auto" w:fill="FFFFFF"/>
          <w:lang w:val="sl-SI"/>
        </w:rPr>
        <w:t>če</w:t>
      </w:r>
      <w:r w:rsidRPr="003077CA">
        <w:rPr>
          <w:rFonts w:cs="Arial"/>
          <w:color w:val="000000"/>
          <w:szCs w:val="20"/>
          <w:shd w:val="clear" w:color="auto" w:fill="FFFFFF"/>
          <w:lang w:val="sl-SI"/>
        </w:rPr>
        <w:t xml:space="preserve"> bi nedelovanje njihovih sistemov ob večji nesreči ali krizi lahko vplivalo tudi na reševanje človeških življenj in premoženja večje vrednosti</w:t>
      </w:r>
      <w:r>
        <w:rPr>
          <w:rFonts w:cs="Arial"/>
          <w:color w:val="000000"/>
          <w:szCs w:val="20"/>
          <w:shd w:val="clear" w:color="auto" w:fill="FFFFFF"/>
          <w:lang w:val="sl-SI"/>
        </w:rPr>
        <w:t>;</w:t>
      </w:r>
    </w:p>
    <w:p w14:paraId="491EAB66" w14:textId="77777777" w:rsidR="000A51A5" w:rsidRPr="003077CA" w:rsidRDefault="000A51A5" w:rsidP="000A51A5">
      <w:pPr>
        <w:spacing w:after="120" w:line="276" w:lineRule="auto"/>
        <w:jc w:val="both"/>
        <w:rPr>
          <w:rFonts w:cs="Arial"/>
          <w:color w:val="000000"/>
          <w:szCs w:val="20"/>
          <w:shd w:val="clear" w:color="auto" w:fill="FFFFFF"/>
          <w:lang w:val="sl-SI"/>
        </w:rPr>
      </w:pPr>
      <w:r>
        <w:rPr>
          <w:rFonts w:cs="Arial"/>
          <w:color w:val="000000"/>
          <w:szCs w:val="20"/>
          <w:shd w:val="clear" w:color="auto" w:fill="FFFFFF"/>
          <w:lang w:val="sl-SI"/>
        </w:rPr>
        <w:t>4</w:t>
      </w:r>
      <w:r w:rsidRPr="003077CA">
        <w:rPr>
          <w:rFonts w:cs="Arial"/>
          <w:color w:val="000000"/>
          <w:szCs w:val="20"/>
          <w:shd w:val="clear" w:color="auto" w:fill="FFFFFF"/>
          <w:lang w:val="sl-SI"/>
        </w:rPr>
        <w:t>. mestne občine</w:t>
      </w:r>
      <w:r>
        <w:rPr>
          <w:rFonts w:cs="Arial"/>
          <w:color w:val="000000"/>
          <w:szCs w:val="20"/>
          <w:shd w:val="clear" w:color="auto" w:fill="FFFFFF"/>
          <w:lang w:val="sl-SI"/>
        </w:rPr>
        <w:t xml:space="preserve"> </w:t>
      </w:r>
      <w:r w:rsidRPr="003077CA">
        <w:rPr>
          <w:rFonts w:cs="Arial"/>
          <w:color w:val="000000"/>
          <w:szCs w:val="20"/>
          <w:shd w:val="clear" w:color="auto" w:fill="FFFFFF"/>
          <w:lang w:val="sl-SI"/>
        </w:rPr>
        <w:t>kot subjekti javne uprave na lokalni ravni. Pri tem predlog zakona upošteva točk</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(a) petega odstavka 2. člena Direktive 2022/2555/EU, po kateri države članice lahko določijo, da se ta direktiva uporablja tudi za subjekte javne uprave na lokalni ravni. Ob upoštevanju načela sorazmernosti so namreč mestne občine tiste, ki so glede na njihov pomen, velikost in naloge, ki jih opravljajo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tiste, ki jih je v tej fazi treba zavezati po predlaganem zakonu. </w:t>
      </w:r>
    </w:p>
    <w:p w14:paraId="38A24531" w14:textId="77777777" w:rsidR="000A51A5" w:rsidRPr="003077CA" w:rsidRDefault="000A51A5" w:rsidP="000A51A5">
      <w:pPr>
        <w:spacing w:after="120" w:line="276" w:lineRule="auto"/>
        <w:jc w:val="both"/>
        <w:rPr>
          <w:rFonts w:cs="Arial"/>
          <w:szCs w:val="20"/>
          <w:lang w:val="sl-SI"/>
        </w:rPr>
      </w:pPr>
      <w:r w:rsidRPr="003077CA">
        <w:rPr>
          <w:rFonts w:cs="Arial"/>
          <w:szCs w:val="20"/>
          <w:lang w:val="sl-SI"/>
        </w:rPr>
        <w:t xml:space="preserve">Četrti odstavek predlaganega člena ne prenaša Direktive 2022/2555/EU, temveč je potreben zaradi ureditve izvajanja Uredbe 2019/881/EU, kar izhaja že </w:t>
      </w:r>
      <w:r>
        <w:rPr>
          <w:rFonts w:cs="Arial"/>
          <w:szCs w:val="20"/>
          <w:lang w:val="sl-SI"/>
        </w:rPr>
        <w:t xml:space="preserve">iz </w:t>
      </w:r>
      <w:r w:rsidRPr="003077CA">
        <w:rPr>
          <w:rFonts w:cs="Arial"/>
          <w:szCs w:val="20"/>
          <w:lang w:val="sl-SI"/>
        </w:rPr>
        <w:t>namena predlaganega zakona, kot je to razvidno iz predlaganega tretjega odstavka 2. člena (namen zakona). Fizične in pravne osebe, ki jih naslavlja neposredno uporabljiva Uredba 2019/881/EU, niso v celoti zajete med subjekti, ki sicer spadajo v področje uporabe predlaganega zakona na podlagi prejšnjih odstavkov tega člena. Zato so ne glede na prejšnje odstavke tega člena za izvajanje dela predlaganega zakona, ki se nanaša na področje certificiranja kibernetske varnosti, zavezane tudi druge fizične in pravne osebe, ki spadajo v področje uporabe Uredbe 2019/881/EU</w:t>
      </w:r>
      <w:r>
        <w:rPr>
          <w:rFonts w:cs="Arial"/>
          <w:szCs w:val="20"/>
          <w:lang w:val="sl-SI"/>
        </w:rPr>
        <w:t>,</w:t>
      </w:r>
      <w:r w:rsidRPr="003077CA">
        <w:rPr>
          <w:rFonts w:cs="Arial"/>
          <w:szCs w:val="20"/>
          <w:lang w:val="sl-SI"/>
        </w:rPr>
        <w:t xml:space="preserve"> in sicer v delu te uredbe, ki ureja certifikacijski okvir za kibernetsko varnost. </w:t>
      </w:r>
    </w:p>
    <w:p w14:paraId="44453A2C" w14:textId="77777777" w:rsidR="000A51A5" w:rsidRPr="003077CA" w:rsidRDefault="000A51A5" w:rsidP="000A51A5">
      <w:pPr>
        <w:spacing w:after="120" w:line="276" w:lineRule="auto"/>
        <w:jc w:val="both"/>
        <w:rPr>
          <w:rFonts w:cs="Arial"/>
          <w:szCs w:val="20"/>
          <w:lang w:val="sl-SI"/>
        </w:rPr>
      </w:pPr>
      <w:r w:rsidRPr="003077CA">
        <w:rPr>
          <w:rFonts w:cs="Arial"/>
          <w:szCs w:val="20"/>
          <w:lang w:val="sl-SI"/>
        </w:rPr>
        <w:t>Peti odstavek z vidika jasnosti še izrecno določa, da Banka Slovenij</w:t>
      </w:r>
      <w:r>
        <w:rPr>
          <w:rFonts w:cs="Arial"/>
          <w:szCs w:val="20"/>
          <w:lang w:val="sl-SI"/>
        </w:rPr>
        <w:t>e</w:t>
      </w:r>
      <w:r w:rsidRPr="003077CA">
        <w:rPr>
          <w:rFonts w:cs="Arial"/>
          <w:szCs w:val="20"/>
          <w:lang w:val="sl-SI"/>
        </w:rPr>
        <w:t xml:space="preserve"> ni zavezanec po tem zakonu, kar sicer smiselno izhaja tako iz Direktive 2022/2555/EU kot iz </w:t>
      </w:r>
      <w:r w:rsidRPr="003077CA">
        <w:rPr>
          <w:rFonts w:cs="Arial"/>
          <w:color w:val="000000"/>
          <w:szCs w:val="20"/>
          <w:shd w:val="clear" w:color="auto" w:fill="FFFFFF"/>
          <w:lang w:val="sl-SI"/>
        </w:rPr>
        <w:t xml:space="preserve">Uredbe 2022/2554/EU. Gre pa za nadzornika in regulatorja na finančnem področju, s katerim pristojni nacionalni organ iz predlaganega zakona sodeluje pri svojem delu, kar je razvidno iz </w:t>
      </w:r>
      <w:r>
        <w:rPr>
          <w:rFonts w:cs="Arial"/>
          <w:color w:val="000000"/>
          <w:szCs w:val="20"/>
          <w:shd w:val="clear" w:color="auto" w:fill="FFFFFF"/>
          <w:lang w:val="sl-SI"/>
        </w:rPr>
        <w:t>poz</w:t>
      </w:r>
      <w:r w:rsidRPr="003077CA">
        <w:rPr>
          <w:rFonts w:cs="Arial"/>
          <w:color w:val="000000"/>
          <w:szCs w:val="20"/>
          <w:shd w:val="clear" w:color="auto" w:fill="FFFFFF"/>
          <w:lang w:val="sl-SI"/>
        </w:rPr>
        <w:t xml:space="preserve">nejših določb predlaganega zakona. </w:t>
      </w:r>
    </w:p>
    <w:p w14:paraId="2ED58DDD" w14:textId="77777777" w:rsidR="000A51A5" w:rsidRDefault="000A51A5" w:rsidP="000A51A5">
      <w:pPr>
        <w:spacing w:line="240" w:lineRule="auto"/>
        <w:rPr>
          <w:rFonts w:cs="Arial"/>
          <w:b/>
          <w:bCs/>
          <w:color w:val="000000"/>
          <w:szCs w:val="20"/>
          <w:shd w:val="clear" w:color="auto" w:fill="FFFFFF"/>
          <w:lang w:val="sl-SI"/>
        </w:rPr>
      </w:pPr>
    </w:p>
    <w:p w14:paraId="51B035FE"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7. členu</w:t>
      </w:r>
    </w:p>
    <w:p w14:paraId="701441E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ob upoštevanju </w:t>
      </w:r>
      <w:r>
        <w:rPr>
          <w:rFonts w:cs="Arial"/>
          <w:color w:val="000000"/>
          <w:szCs w:val="20"/>
          <w:shd w:val="clear" w:color="auto" w:fill="FFFFFF"/>
          <w:lang w:val="sl-SI"/>
        </w:rPr>
        <w:t xml:space="preserve">5. </w:t>
      </w:r>
      <w:r w:rsidRPr="003077CA">
        <w:rPr>
          <w:rFonts w:cs="Arial"/>
          <w:color w:val="000000"/>
          <w:szCs w:val="20"/>
          <w:shd w:val="clear" w:color="auto" w:fill="FFFFFF"/>
          <w:lang w:val="sl-SI"/>
        </w:rPr>
        <w:t>člena Direktive 2022/2055/EU (minimalna harmonizacija) v predlagani zakon prenaša 3. člen Direktive 2022/2555/EU (bistveni in pomembni subjekti).</w:t>
      </w:r>
    </w:p>
    <w:p w14:paraId="5430A1E4"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lastRenderedPageBreak/>
        <w:t>Prvi odstavek predlaganega člena določa, da se zavezanci, razen subjektov 2. točke tretjega in četrtega odstavka, delijo na bistvene in pomembne subjekte. Razlog za izvzetje subjektov, ki opravljajo storitve registracije domenskih imen, ne glede na njihovo velikost iz 2. točke tretjega odstavka prejšnjega člena izhaja iz Direktiv</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2022/2555/EU, ki za te zavezance ne predvideva uvrščanj</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med bistven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ali pomembne subjekte, temveč jim nalaga le za njih specifične obveznosti. Četrti odstavek prejšnjega člena (torej 6. člena predlaganega zakona) pa ne prenaša Direktive 2022/2555/EU, temveč je potreben zaradi ureditve izvajanja Uredbe 2019/881/EU, kar ni v povezavi z obveznostmi bistvenih in pomembnih subjektov po Direktivi 2022/2555/EU, zato se za njih po predlogu zakona ne predvideva uvrščanje med bistvene ali pomembne subjekte. </w:t>
      </w:r>
    </w:p>
    <w:p w14:paraId="68BF8E8D"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17CCB88D" w14:textId="0A541619"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najprej v drugem odstavku določa pogoje, ki posameznega zavezanca (iz prvega odstavka) tega člena uvrščajo med bistvene subjekte. Bistveni subjekti so tako: (1) subjekti vrste iz Priloge 1, ki imajo vsaj 250 zaposlenih </w:t>
      </w:r>
      <w:r w:rsidR="009E400C">
        <w:rPr>
          <w:rFonts w:cs="Arial"/>
          <w:color w:val="000000"/>
          <w:szCs w:val="20"/>
          <w:shd w:val="clear" w:color="auto" w:fill="FFFFFF"/>
          <w:lang w:val="sl-SI"/>
        </w:rPr>
        <w:t>ali</w:t>
      </w:r>
      <w:r w:rsidRPr="003077CA">
        <w:rPr>
          <w:rFonts w:cs="Arial"/>
          <w:color w:val="000000"/>
          <w:szCs w:val="20"/>
          <w:shd w:val="clear" w:color="auto" w:fill="FFFFFF"/>
          <w:lang w:val="sl-SI"/>
        </w:rPr>
        <w:t xml:space="preserve"> letni promet vsaj 50 milijonov eurov ali letno bilančno vsoto vsaj 43 milijonov eurov; (2) ponudniki kvalificiranih storitev zaupanja in registri vrhnjih domenskih imen ter ponudniki storitev DNS, ne glede na njihovo velikost; (3) ponudniki javnih elektronskih komunikacijskih omrežij ali javno dostopnih elektronskih komunikacijskih storitev, ki imajo vsaj 50 zaposlenih in letni promet oziroma letno bilančno vsoto vsaj 10 milijonov eurov; (4) subjekti javne uprave na državni ravni; (5) vsi drugi subjekti vrste iz </w:t>
      </w:r>
      <w:r>
        <w:rPr>
          <w:rFonts w:cs="Arial"/>
          <w:color w:val="000000"/>
          <w:szCs w:val="20"/>
          <w:shd w:val="clear" w:color="auto" w:fill="FFFFFF"/>
          <w:lang w:val="sl-SI"/>
        </w:rPr>
        <w:t>P</w:t>
      </w:r>
      <w:r w:rsidRPr="003077CA">
        <w:rPr>
          <w:rFonts w:cs="Arial"/>
          <w:color w:val="000000"/>
          <w:szCs w:val="20"/>
          <w:shd w:val="clear" w:color="auto" w:fill="FFFFFF"/>
          <w:lang w:val="sl-SI"/>
        </w:rPr>
        <w:t>rilog 1 ali 2</w:t>
      </w:r>
      <w:r>
        <w:rPr>
          <w:rFonts w:cs="Arial"/>
          <w:color w:val="000000"/>
          <w:szCs w:val="20"/>
          <w:shd w:val="clear" w:color="auto" w:fill="FFFFFF"/>
          <w:lang w:val="sl-SI"/>
        </w:rPr>
        <w:t xml:space="preserve"> tega zakona</w:t>
      </w:r>
      <w:r w:rsidRPr="003077CA">
        <w:rPr>
          <w:rFonts w:cs="Arial"/>
          <w:color w:val="000000"/>
          <w:szCs w:val="20"/>
          <w:shd w:val="clear" w:color="auto" w:fill="FFFFFF"/>
          <w:lang w:val="sl-SI"/>
        </w:rPr>
        <w:t xml:space="preserve">, ki jih na podlagi 2. do 5. točke drugega odstavka 6. člena tega zakona in na predlog pristojnega nacionalnega organa določi vlada; (6) subjekti, ki so določeni kot kritični na podlagi zakona, ki ureja področje kritične infrastrukture; (7) </w:t>
      </w:r>
      <w:r w:rsidRPr="00955462">
        <w:rPr>
          <w:rFonts w:cs="Arial"/>
          <w:color w:val="000000"/>
          <w:szCs w:val="20"/>
          <w:shd w:val="clear" w:color="auto" w:fill="FFFFFF"/>
          <w:lang w:val="sl-SI"/>
        </w:rPr>
        <w:t>subjekti iz sektorja 9. Upravljanje storitev IKT iz Priloge 1</w:t>
      </w:r>
      <w:r>
        <w:rPr>
          <w:rFonts w:cs="Arial"/>
          <w:color w:val="000000"/>
          <w:szCs w:val="20"/>
          <w:shd w:val="clear" w:color="auto" w:fill="FFFFFF"/>
          <w:lang w:val="sl-SI"/>
        </w:rPr>
        <w:t>, ki</w:t>
      </w:r>
      <w:r w:rsidRPr="00955462">
        <w:rPr>
          <w:rFonts w:cs="Arial"/>
          <w:color w:val="000000"/>
          <w:szCs w:val="20"/>
          <w:shd w:val="clear" w:color="auto" w:fill="FFFFFF"/>
          <w:lang w:val="sl-SI"/>
        </w:rPr>
        <w:t xml:space="preserve"> niso subjekti </w:t>
      </w:r>
      <w:r>
        <w:rPr>
          <w:rFonts w:cs="Arial"/>
          <w:color w:val="000000"/>
          <w:szCs w:val="20"/>
          <w:shd w:val="clear" w:color="auto" w:fill="FFFFFF"/>
          <w:lang w:val="sl-SI"/>
        </w:rPr>
        <w:t>i</w:t>
      </w:r>
      <w:r w:rsidRPr="00955462">
        <w:rPr>
          <w:rFonts w:cs="Arial"/>
          <w:color w:val="000000"/>
          <w:szCs w:val="20"/>
          <w:shd w:val="clear" w:color="auto" w:fill="FFFFFF"/>
          <w:lang w:val="sl-SI"/>
        </w:rPr>
        <w:t>z 1. do 6. točke</w:t>
      </w:r>
      <w:r>
        <w:rPr>
          <w:rFonts w:cs="Arial"/>
          <w:color w:val="000000"/>
          <w:szCs w:val="20"/>
          <w:shd w:val="clear" w:color="auto" w:fill="FFFFFF"/>
          <w:lang w:val="sl-SI"/>
        </w:rPr>
        <w:t xml:space="preserve"> </w:t>
      </w:r>
      <w:r w:rsidRPr="00955462">
        <w:rPr>
          <w:rFonts w:cs="Arial"/>
          <w:color w:val="000000"/>
          <w:szCs w:val="20"/>
          <w:shd w:val="clear" w:color="auto" w:fill="FFFFFF"/>
          <w:lang w:val="sl-SI"/>
        </w:rPr>
        <w:t>tega odstavka</w:t>
      </w:r>
      <w:r>
        <w:rPr>
          <w:rFonts w:cs="Arial"/>
          <w:color w:val="000000"/>
          <w:szCs w:val="20"/>
          <w:shd w:val="clear" w:color="auto" w:fill="FFFFFF"/>
          <w:lang w:val="sl-SI"/>
        </w:rPr>
        <w:t xml:space="preserve"> in</w:t>
      </w:r>
      <w:r w:rsidRPr="00955462">
        <w:rPr>
          <w:rFonts w:cs="Arial"/>
          <w:color w:val="000000"/>
          <w:szCs w:val="20"/>
          <w:shd w:val="clear" w:color="auto" w:fill="FFFFFF"/>
          <w:lang w:val="sl-SI"/>
        </w:rPr>
        <w:t xml:space="preserve"> ki jih na predlog</w:t>
      </w:r>
      <w:r w:rsidRPr="003077CA">
        <w:rPr>
          <w:rFonts w:cs="Arial"/>
          <w:color w:val="000000"/>
          <w:szCs w:val="20"/>
          <w:shd w:val="clear" w:color="auto" w:fill="FFFFFF"/>
          <w:lang w:val="sl-SI"/>
        </w:rPr>
        <w:t xml:space="preserve"> pristojnega nacionalnega organa določi vlada. </w:t>
      </w:r>
    </w:p>
    <w:p w14:paraId="23D0C055"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1A6F3ED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Pri točkah </w:t>
      </w:r>
      <w:r>
        <w:rPr>
          <w:rFonts w:cs="Arial"/>
          <w:color w:val="000000"/>
          <w:szCs w:val="20"/>
          <w:shd w:val="clear" w:color="auto" w:fill="FFFFFF"/>
          <w:lang w:val="sl-SI"/>
        </w:rPr>
        <w:t xml:space="preserve">od </w:t>
      </w:r>
      <w:r w:rsidRPr="003077CA">
        <w:rPr>
          <w:rFonts w:cs="Arial"/>
          <w:color w:val="000000"/>
          <w:szCs w:val="20"/>
          <w:shd w:val="clear" w:color="auto" w:fill="FFFFFF"/>
          <w:lang w:val="sl-SI"/>
        </w:rPr>
        <w:t>1 do 6 gre za prenos določb oziroma možnosti iz prvega odstavka 3. člena Direktive 2022/2555/EU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točk od (a) do (f), pri točki 7 pa gre v okviru možnosti iz člena 5 (minimalna harmonizacija) za dodatno nacionalno določbo, ki omogoča, da vlada na predlog pristojnega nacionalnega organa kot bistveni subjekt določi posamezni subjekt iz zadevnega sektorja 9. Priloge 1, ki sicer ne bi bil zajet med bistvenimi subjekti. Kot to izhaja iz četrtega odstavka predlaganega člena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pa za izvajanje 7. točke drugega odstavka tega člena Banka Slovenije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Agencija za trg vrednostnih papirjev in Agencija za zavarovalni nadzor pošljejo pristojnemu nacionalnemu organu poimenski seznam subjektov, ki izvajajo zadevne storitve na področju sektorjev 3. Bančništvo ali 4. Infrastrukture finančnega trga iz Priloge 1. Brez aktivnosti prej navedenih pristojnih organov iz finančnega področja za izvajanje Uredbe 2022/2554/EU takšnih dodatnih določitev bistvenih subjektov pristojni nacionalni organ ne bo izvajal. </w:t>
      </w:r>
    </w:p>
    <w:p w14:paraId="38C9ABC5"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2BCF883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color w:val="000000"/>
          <w:szCs w:val="20"/>
          <w:shd w:val="clear" w:color="auto" w:fill="FFFFFF"/>
          <w:lang w:val="sl-SI"/>
        </w:rPr>
        <w:t xml:space="preserve">Tretji odstavek predlaganega člena v skladu z drugim odstavkom 3. člena Direktive 2022/2555/EU določa pomembne subjekte. Pri tem gre za subjekte, ki so zavezanci iz prvega odstavka tega člena, niso pa opredeljeni kot bistveni subjekti po prejšnjem odstavku predlaganega člena. To so: (1) vrste subjektov iz Prilog 1 ali 2 </w:t>
      </w:r>
      <w:r>
        <w:rPr>
          <w:rFonts w:cs="Arial"/>
          <w:color w:val="000000"/>
          <w:szCs w:val="20"/>
          <w:shd w:val="clear" w:color="auto" w:fill="FFFFFF"/>
          <w:lang w:val="sl-SI"/>
        </w:rPr>
        <w:t xml:space="preserve">tega zakona </w:t>
      </w:r>
      <w:r w:rsidRPr="003077CA">
        <w:rPr>
          <w:rFonts w:cs="Arial"/>
          <w:color w:val="000000"/>
          <w:szCs w:val="20"/>
          <w:shd w:val="clear" w:color="auto" w:fill="FFFFFF"/>
          <w:lang w:val="sl-SI"/>
        </w:rPr>
        <w:t>vključno s tistimi, ki jih na podlagi 2. do 5. točke drugega odstavka prejšnjega člena in na predlog pristojnega nacionalnega organa določi vlada z odločbo; (2) subjekti iz 3. točke tretjega odstavka prejšnjega člena, ki jih na predlog pristojnega nacionalnega organa določi vlada z odločbo. Pristojni nacionalni organ pripravi predlog na podlagi pobude Uprave Republike Slovenije za zaščito in reševanje, ki vsebuje poimenski seznam zadevnih subjektov in; (3) drugi subjekti oziroma organi iz prejšnjega člena tega zakona.</w:t>
      </w:r>
    </w:p>
    <w:p w14:paraId="53A9BC83"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31B1C435"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8. členu</w:t>
      </w:r>
    </w:p>
    <w:p w14:paraId="0BC0FE3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prenaša določbe tretjega, četrtega in petega odstavka 3. člena Direktive 2022/2555/EU. Te določbe direktive v tretjem odstavku določajo dolžnost držav članic, da oblikujejo seznam bistvenih in pomembnih subjektov ter subjektov, ki opravljajo storitve </w:t>
      </w:r>
      <w:r w:rsidRPr="003077CA">
        <w:rPr>
          <w:rFonts w:cs="Arial"/>
          <w:color w:val="000000"/>
          <w:szCs w:val="20"/>
          <w:shd w:val="clear" w:color="auto" w:fill="FFFFFF"/>
          <w:lang w:val="sl-SI"/>
        </w:rPr>
        <w:lastRenderedPageBreak/>
        <w:t xml:space="preserve">registracije domenskih imen in ga redno (vsaj vsaki dve leti) pregledajo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po potrebi posodijo. Države članice za namene priprave takšnega seznama od teh subjektov zahtevajo vsaj informacije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naštete v četrtem odstavku prej navedene določbe, ki jih morajo subjekti tudi posodabljati po nastali spremembi, pri čemer države članice lahko vzpostavijo nacionalne mehanizme za samoregistracijo subjektov. Peti odstavek prej navedene določbe direktive pa pristojnim (nacionalnim) organom nalaga dolžnost in roke za obveščanje Evropske komisije o številu bistvenih in pomembnih subjektov, ki so na seznamu v posledici različnih določb navedene direktive. Šesti odstavek prej navedenega člena zadevne direktive pa daje možnost državam članicam, da lahko Evropsko komisijo na njeno zahtevo obveščajo tudi o imenih nekaterih takšnih subjektov, pri čemer takšna možnost v predlogu tega zakona ni bila uporabljena. </w:t>
      </w:r>
    </w:p>
    <w:p w14:paraId="05E48EF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tega č</w:t>
      </w:r>
      <w:r>
        <w:rPr>
          <w:rFonts w:cs="Arial"/>
          <w:color w:val="000000"/>
          <w:szCs w:val="20"/>
          <w:shd w:val="clear" w:color="auto" w:fill="FFFFFF"/>
          <w:lang w:val="sl-SI"/>
        </w:rPr>
        <w:t>le</w:t>
      </w:r>
      <w:r w:rsidRPr="003077CA">
        <w:rPr>
          <w:rFonts w:cs="Arial"/>
          <w:color w:val="000000"/>
          <w:szCs w:val="20"/>
          <w:shd w:val="clear" w:color="auto" w:fill="FFFFFF"/>
          <w:lang w:val="sl-SI"/>
        </w:rPr>
        <w:t>na prej navedene določbe Direktive 2022/2555/EU prenaša na način, da v prvem odstavku predlaganega člena najprej nalaga pristojnemu nacionalnemu organu, da vzpostavi mehanizem za samoregistracijo zavezancev iz 6. člena tega zakona.</w:t>
      </w:r>
    </w:p>
    <w:p w14:paraId="2C4C980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predlaganega člena nato nalaga zavezancem iz prejšnjega odstavka, razen zavezance</w:t>
      </w:r>
      <w:r>
        <w:rPr>
          <w:rFonts w:cs="Arial"/>
          <w:color w:val="000000"/>
          <w:szCs w:val="20"/>
          <w:shd w:val="clear" w:color="auto" w:fill="FFFFFF"/>
          <w:lang w:val="sl-SI"/>
        </w:rPr>
        <w:t>m</w:t>
      </w:r>
      <w:r w:rsidRPr="003077CA">
        <w:rPr>
          <w:rFonts w:cs="Arial"/>
          <w:color w:val="000000"/>
          <w:szCs w:val="20"/>
          <w:shd w:val="clear" w:color="auto" w:fill="FFFFFF"/>
          <w:lang w:val="sl-SI"/>
        </w:rPr>
        <w:t xml:space="preserve"> iz četrtega odstavka 6. člena tega zakona in subjekto</w:t>
      </w:r>
      <w:r>
        <w:rPr>
          <w:rFonts w:cs="Arial"/>
          <w:color w:val="000000"/>
          <w:szCs w:val="20"/>
          <w:shd w:val="clear" w:color="auto" w:fill="FFFFFF"/>
          <w:lang w:val="sl-SI"/>
        </w:rPr>
        <w:t>m</w:t>
      </w:r>
      <w:r w:rsidRPr="003077CA">
        <w:rPr>
          <w:rFonts w:cs="Arial"/>
          <w:color w:val="000000"/>
          <w:szCs w:val="20"/>
          <w:shd w:val="clear" w:color="auto" w:fill="FFFFFF"/>
          <w:lang w:val="sl-SI"/>
        </w:rPr>
        <w:t xml:space="preserve"> iz prvega odstavka 3. člena tega zakona, da se morajo registrirati prek mehanizma za samoregistracijo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določa, katere informacije morajo ob tem podati. Pri tem se ob upoštevanju načela minimalne harmonizacije iz 5. člena Direktive 2022/2555/EU v interesu učinkovitejšega sodelovanja med pristojnim nacionalnim organom in zavezanci ter višanja ravni zagotavljanja informacijske in kibernetske varnosti nekoliko širi nabor informacij, ki jih kot minimalne določa Direktiva 2022/2555/EU. Predlagan je tudi dovolj dolg rok za samoregistracijo zavezancev, ki je trideset dni od dneva, ko so nastopile okoliščine, na podlagi katerih izpolnjujejo merila iz 6. člena in iz prejšnjega člena. </w:t>
      </w:r>
    </w:p>
    <w:p w14:paraId="117134A4" w14:textId="77777777" w:rsidR="000A51A5" w:rsidRPr="003077CA" w:rsidRDefault="000A51A5" w:rsidP="000A51A5">
      <w:pPr>
        <w:shd w:val="clear" w:color="auto" w:fill="FFFFFF"/>
        <w:spacing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predlaganega člena ne glede na nabor informacij iz prejšnjega odstavka subjekte iz prvega odstavka 32. člena tega zakona napotuje na v njem določen drugačen oziroma ožji nabor informacij. Pojasnjujemo, da gre v skladu s prvim odstavkom 32. čl</w:t>
      </w:r>
      <w:r>
        <w:rPr>
          <w:rFonts w:cs="Arial"/>
          <w:color w:val="000000"/>
          <w:szCs w:val="20"/>
          <w:shd w:val="clear" w:color="auto" w:fill="FFFFFF"/>
          <w:lang w:val="sl-SI"/>
        </w:rPr>
        <w:t>e</w:t>
      </w:r>
      <w:r w:rsidRPr="003077CA">
        <w:rPr>
          <w:rFonts w:cs="Arial"/>
          <w:color w:val="000000"/>
          <w:szCs w:val="20"/>
          <w:shd w:val="clear" w:color="auto" w:fill="FFFFFF"/>
          <w:lang w:val="sl-SI"/>
        </w:rPr>
        <w:t>na za tiste subjekt</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ki </w:t>
      </w:r>
      <w:r>
        <w:rPr>
          <w:rFonts w:cs="Arial"/>
          <w:color w:val="000000"/>
          <w:szCs w:val="20"/>
          <w:shd w:val="clear" w:color="auto" w:fill="FFFFFF"/>
          <w:lang w:val="sl-SI"/>
        </w:rPr>
        <w:t>spadajo</w:t>
      </w:r>
      <w:r w:rsidRPr="003077CA">
        <w:rPr>
          <w:rFonts w:cs="Arial"/>
          <w:color w:val="000000"/>
          <w:szCs w:val="20"/>
          <w:shd w:val="clear" w:color="auto" w:fill="FFFFFF"/>
          <w:lang w:val="sl-SI"/>
        </w:rPr>
        <w:t xml:space="preserve"> v pristojnost pristojnega nacionalnega organa v skladu s prvim odstavkom prejšnjega člena in so ponudniki storitev DNS, registrov TLD imen, registracije domenskih imen ali so ponudniki storitev računalništva v oblaku, storitev podatkovnih centrov, omrežij za dostavo vsebine, upravljanih storitev, upravljanih varnostnih storitev, spletnih tržnic, spletnih iskalnikov in platform za storitve družbenega mreženja. Navedeni subjekti po tretjem odstavku predlaganega člena ob samoregistraciji podajo torej naslednje informacije iz prvega odstavka 32. člena tega zakona:</w:t>
      </w:r>
      <w:r>
        <w:rPr>
          <w:rFonts w:cs="Arial"/>
          <w:color w:val="000000"/>
          <w:szCs w:val="20"/>
          <w:shd w:val="clear" w:color="auto" w:fill="FFFFFF"/>
          <w:lang w:val="sl-SI"/>
        </w:rPr>
        <w:t xml:space="preserve"> </w:t>
      </w:r>
      <w:r w:rsidRPr="003077CA">
        <w:rPr>
          <w:rFonts w:cs="Arial"/>
          <w:color w:val="000000"/>
          <w:szCs w:val="20"/>
          <w:shd w:val="clear" w:color="auto" w:fill="FFFFFF"/>
          <w:lang w:val="sl-SI"/>
        </w:rPr>
        <w:t>1. ime subjekta; 2. ustrezni sektor, podsektor in vrsto subjekta iz Priloge 1 ali 2; 3. naslov njegovega glavnega sedeža in njegovih drugih zakonitih sedežev v Evropski uniji ali, če nima sedeža v Evropski uniji, njegovega predstavnika, imenovanega v skladu s tretjim odstavkom prejšnjega člena tega zakona; 4. posodobljene kontaktne podatke, vključno z elektronskimi naslovi in telefonskimi številkami subjekta in po potrebi njegovega zastopnika, imenovanega v skladu s tretjim odstavkom prejšnjega člena tega zakona; 5. države članice, v katerih subjekt opravlja storitve, ter 6. bloke subjektu dodeljenih številk avtonomnih sistemov in javnih naslovov IP.</w:t>
      </w:r>
    </w:p>
    <w:p w14:paraId="3EFD20DD"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0FE29B59"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predlaganega člena določa obveznosti pristojnega nacionalnega organa, da na podlagi informacij zavezancev ob upoštevanju določb drugega in tretjega odstavka prejšnjega člena vzpostavi seznam bistvenih in pomembnih subjektov ter subjektov, ki opravljajo storitve registracije domenskih imen. Ta seznam je varovani podatek pristojnega nacionalnega organa in ga pristojni nacionalni organ redno </w:t>
      </w:r>
      <w:r>
        <w:rPr>
          <w:rFonts w:cs="Arial"/>
          <w:color w:val="000000"/>
          <w:szCs w:val="20"/>
          <w:shd w:val="clear" w:color="auto" w:fill="FFFFFF"/>
          <w:lang w:val="sl-SI"/>
        </w:rPr>
        <w:t>ali</w:t>
      </w:r>
      <w:r w:rsidRPr="003077CA">
        <w:rPr>
          <w:rFonts w:cs="Arial"/>
          <w:color w:val="000000"/>
          <w:szCs w:val="20"/>
          <w:shd w:val="clear" w:color="auto" w:fill="FFFFFF"/>
          <w:lang w:val="sl-SI"/>
        </w:rPr>
        <w:t xml:space="preserve"> vsaj vsaki dve leti pregleda in po potrebi posodobi. Pristojni nacionalni organ omogoči dostop do seznama v delu, ki se nanaša na zavezance iz njihove pristojnosti, tudi pristojnim skupinam CSIRT. </w:t>
      </w:r>
    </w:p>
    <w:p w14:paraId="036E6FBD"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3EC1674C"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Po petem odstavku predlaganega člena morajo zavezanci iz drugega odstavka tega člena z uporabo mehanizma za samoregistracijo v deset</w:t>
      </w:r>
      <w:r>
        <w:rPr>
          <w:rFonts w:cs="Arial"/>
          <w:color w:val="000000"/>
          <w:szCs w:val="20"/>
          <w:shd w:val="clear" w:color="auto" w:fill="FFFFFF"/>
          <w:lang w:val="sl-SI"/>
        </w:rPr>
        <w:t>ih</w:t>
      </w:r>
      <w:r w:rsidRPr="003077CA">
        <w:rPr>
          <w:rFonts w:cs="Arial"/>
          <w:color w:val="000000"/>
          <w:szCs w:val="20"/>
          <w:shd w:val="clear" w:color="auto" w:fill="FFFFFF"/>
          <w:lang w:val="sl-SI"/>
        </w:rPr>
        <w:t xml:space="preserve"> delovnih dn</w:t>
      </w:r>
      <w:r>
        <w:rPr>
          <w:rFonts w:cs="Arial"/>
          <w:color w:val="000000"/>
          <w:szCs w:val="20"/>
          <w:shd w:val="clear" w:color="auto" w:fill="FFFFFF"/>
          <w:lang w:val="sl-SI"/>
        </w:rPr>
        <w:t>eh</w:t>
      </w:r>
      <w:r w:rsidRPr="003077CA">
        <w:rPr>
          <w:rFonts w:cs="Arial"/>
          <w:color w:val="000000"/>
          <w:szCs w:val="20"/>
          <w:shd w:val="clear" w:color="auto" w:fill="FFFFFF"/>
          <w:lang w:val="sl-SI"/>
        </w:rPr>
        <w:t xml:space="preserve"> od dneva sprememb</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prek mehanizma za samoregistracijo sporočiti tudi morebitne spremembe podatkov, ki so jih predložili </w:t>
      </w:r>
      <w:r w:rsidRPr="003077CA">
        <w:rPr>
          <w:rFonts w:cs="Arial"/>
          <w:color w:val="000000"/>
          <w:szCs w:val="20"/>
          <w:shd w:val="clear" w:color="auto" w:fill="FFFFFF"/>
          <w:lang w:val="sl-SI"/>
        </w:rPr>
        <w:lastRenderedPageBreak/>
        <w:t xml:space="preserve">na podlagi drugega ali tretjega odstavka tega člena. V seznam iz prejšnjega odstavka se nemudoma prenesejo zadevne spremembe. </w:t>
      </w:r>
    </w:p>
    <w:p w14:paraId="1CA4ACF2"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748B8DB0" w14:textId="77777777" w:rsidR="000A51A5"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Že določba drugega odstavka predlaganega člena sicer upošteva poseben položaj in ureditev za bistvene in pomemb</w:t>
      </w:r>
      <w:r>
        <w:rPr>
          <w:rFonts w:cs="Arial"/>
          <w:color w:val="000000"/>
          <w:szCs w:val="20"/>
          <w:shd w:val="clear" w:color="auto" w:fill="FFFFFF"/>
          <w:lang w:val="sl-SI"/>
        </w:rPr>
        <w:t>ne</w:t>
      </w:r>
      <w:r w:rsidRPr="003077CA">
        <w:rPr>
          <w:rFonts w:cs="Arial"/>
          <w:color w:val="000000"/>
          <w:szCs w:val="20"/>
          <w:shd w:val="clear" w:color="auto" w:fill="FFFFFF"/>
          <w:lang w:val="sl-SI"/>
        </w:rPr>
        <w:t xml:space="preserve"> subjekte iz sektorjev bančništva in infrastrukture finančnega trga iz Priloge 1 tega zakona, za katere se na podlagi prvega odstavka 3. člena tega zakona ne uporabljata njegov</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IV. in IX. Poglavj</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temveč Uredba 2022/2554/EU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zato zadevni subjekti nimajo obveznosti registracije prek samoregistracijskega mehanizma. Zato je treba zagotoviti primerno obveščenost pristojnega nacionalnega organa z vidika delovanja nacionalnega sistema informacijske varnosti, katerega koordinator je pristojni nacionalni organ. Navedeno pa se ureja na način, kot to izhaja </w:t>
      </w:r>
      <w:r>
        <w:rPr>
          <w:rFonts w:cs="Arial"/>
          <w:color w:val="000000"/>
          <w:szCs w:val="20"/>
          <w:shd w:val="clear" w:color="auto" w:fill="FFFFFF"/>
          <w:lang w:val="sl-SI"/>
        </w:rPr>
        <w:t xml:space="preserve">iz </w:t>
      </w:r>
      <w:r w:rsidRPr="003077CA">
        <w:rPr>
          <w:rFonts w:cs="Arial"/>
          <w:color w:val="000000"/>
          <w:szCs w:val="20"/>
          <w:shd w:val="clear" w:color="auto" w:fill="FFFFFF"/>
          <w:lang w:val="sl-SI"/>
        </w:rPr>
        <w:t>sedmega in osmega odstavka predlaganega člena. Predlagani sedmi odstavek namreč določa, da Banka Slovenij</w:t>
      </w:r>
      <w:r>
        <w:rPr>
          <w:rFonts w:cs="Arial"/>
          <w:color w:val="000000"/>
          <w:szCs w:val="20"/>
          <w:shd w:val="clear" w:color="auto" w:fill="FFFFFF"/>
          <w:lang w:val="sl-SI"/>
        </w:rPr>
        <w:t>e</w:t>
      </w:r>
      <w:r w:rsidRPr="003077CA">
        <w:rPr>
          <w:rFonts w:cs="Arial"/>
          <w:color w:val="000000"/>
          <w:szCs w:val="20"/>
          <w:shd w:val="clear" w:color="auto" w:fill="FFFFFF"/>
          <w:lang w:val="sl-SI"/>
        </w:rPr>
        <w:t>, Agencija za trg vrednostnih papirjev in Agencija za zavarovalni nadzor pošljejo pristojnemu nacionalnemu organu poimenski seznam finančnih subjektov iz Uredbe 2022/2554/EU, ki so subjekti iz prvega odstavka 3. člena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v tridesetih dneh od njihove prepoznave. V enakem roku obvestijo pristojni nacionalni organ o spremembi seznama. Po predlaganem osmem odstavku pa pristojni nacionalni organ nemudoma vključi informacije iz prejšnjega odstavka v seznam iz četrtega odstavka tega člena.</w:t>
      </w:r>
    </w:p>
    <w:p w14:paraId="28C7879C" w14:textId="77777777" w:rsidR="000A51A5"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09AA2A17"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A4618">
        <w:rPr>
          <w:rFonts w:cs="Arial"/>
          <w:color w:val="000000"/>
          <w:szCs w:val="20"/>
          <w:shd w:val="clear" w:color="auto" w:fill="FFFFFF"/>
          <w:lang w:val="sl-SI"/>
        </w:rPr>
        <w:t>Nadalje po predlaganem devetem odstavku pristojni nacionalni organ za potrebe izvajanja tega člena brezplačno pridobiva podatke zavezancev iz drugega odstavka tega člena iz zbirke podatkov Poslovni register Slovenije upravljavca Agencije Republike Slovenije za javnopravne evidence in storitve.</w:t>
      </w:r>
    </w:p>
    <w:p w14:paraId="601D7398" w14:textId="77777777" w:rsidR="000A51A5" w:rsidRPr="003077CA" w:rsidRDefault="000A51A5" w:rsidP="000A51A5">
      <w:pPr>
        <w:spacing w:after="160" w:line="276" w:lineRule="auto"/>
        <w:rPr>
          <w:rFonts w:cs="Arial"/>
          <w:b/>
          <w:bCs/>
          <w:color w:val="000000"/>
          <w:szCs w:val="20"/>
          <w:shd w:val="clear" w:color="auto" w:fill="FFFFFF"/>
          <w:lang w:val="sl-SI"/>
        </w:rPr>
      </w:pPr>
    </w:p>
    <w:p w14:paraId="64E873BF"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III. Organizacija nacionalnega sistema informacijske varnosti</w:t>
      </w:r>
    </w:p>
    <w:p w14:paraId="44AD44F2"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63ADA9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Poglavje vsebuje določbe glede strategije kibernetske varnosti, pristojnega nacionalnega organa (v nadaljnjem besedilu: PNO), </w:t>
      </w:r>
      <w:r w:rsidRPr="00802F74">
        <w:rPr>
          <w:rFonts w:cs="Arial"/>
          <w:color w:val="000000"/>
          <w:szCs w:val="20"/>
          <w:shd w:val="clear" w:color="auto" w:fill="FFFFFF"/>
          <w:lang w:val="sl-SI"/>
        </w:rPr>
        <w:t>nacionalnega koordinacijskega centra za kibernetsko</w:t>
      </w:r>
      <w:r>
        <w:rPr>
          <w:rFonts w:cs="Arial"/>
          <w:color w:val="000000"/>
          <w:szCs w:val="20"/>
          <w:shd w:val="clear" w:color="auto" w:fill="FFFFFF"/>
          <w:lang w:val="sl-SI"/>
        </w:rPr>
        <w:t xml:space="preserve"> varnost</w:t>
      </w:r>
      <w:r w:rsidRPr="003077CA">
        <w:rPr>
          <w:rFonts w:cs="Arial"/>
          <w:color w:val="000000"/>
          <w:szCs w:val="20"/>
          <w:shd w:val="clear" w:color="auto" w:fill="FFFFFF"/>
          <w:lang w:val="sl-SI"/>
        </w:rPr>
        <w:t>, nacionalnega okvira za obvladovanje kibernetskih kriz in skupin za odzivanje na incidente na področju računalniške varnosti (skupine CSIRT). Za slednje določa zahteve in tehnične zmogljivosti ter njihove naloge in sodelovanje z deležniki zasebnega sektorja. To poglavje vsebuje tudi določbe o usklajenem razkrivanju ranljivosti in evropski podatkovni zbirki ranljivosti, sodelovanju na nacionalni ravni ter o medsebojnem strokovnem pregledu.</w:t>
      </w:r>
    </w:p>
    <w:p w14:paraId="5AE0DB86"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F528981"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9. členu</w:t>
      </w:r>
    </w:p>
    <w:p w14:paraId="1C72144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prenaša določbo 7. člena Direktive 2022/2555/EU, ki določa, da vsaka država članica sprejme nacionalno strategijo kibernetske varnosti, v kateri so opredeljeni strateški cilji, potrebna sredstva za dosego teh ciljev ter ustrezn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ukrep</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politike in regulativn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ukrep</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za doseganje in ohranjanje visoke ravni kibernetske varnosti. Glede na navedeno so v predlogu člena določen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obveznost sprejetja strategije kibernetske varnosti, njena vsebina, namen in cilj. Elementi vsebine, ki jih mora strategija vsebovati, so taksativno našteti. S strategijo kibernetske varnosti se bo</w:t>
      </w:r>
      <w:r>
        <w:rPr>
          <w:rFonts w:cs="Arial"/>
          <w:color w:val="000000"/>
          <w:szCs w:val="20"/>
          <w:shd w:val="clear" w:color="auto" w:fill="FFFFFF"/>
          <w:lang w:val="sl-SI"/>
        </w:rPr>
        <w:t>do</w:t>
      </w:r>
      <w:r w:rsidRPr="003077CA">
        <w:rPr>
          <w:rFonts w:cs="Arial"/>
          <w:color w:val="000000"/>
          <w:szCs w:val="20"/>
          <w:shd w:val="clear" w:color="auto" w:fill="FFFFFF"/>
          <w:lang w:val="sl-SI"/>
        </w:rPr>
        <w:t xml:space="preserve"> spodbujal</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dejavnosti na področju raziskav in razvoja z namenom olajšati uporabo inovativnih tehnologij zlasti tistih, ki zadevajo avtomatizirana ali polavtomatizirana orodja za kibernetsko varnost, in po potrebi izmenjave podatkov, potrebnih za usposabljanje uporabnikov take tehnologije in za njeno izboljšanje. V strategiji kibernetske varnosti bodo obravnavane tudi posebne potrebe malih in srednjih podjetij na področju kibernetske varnosti</w:t>
      </w:r>
      <w:r>
        <w:rPr>
          <w:rFonts w:cs="Arial"/>
          <w:color w:val="000000"/>
          <w:szCs w:val="20"/>
          <w:shd w:val="clear" w:color="auto" w:fill="FFFFFF"/>
          <w:lang w:val="sl-SI"/>
        </w:rPr>
        <w:t>. T</w:t>
      </w:r>
      <w:r w:rsidRPr="003077CA">
        <w:rPr>
          <w:rFonts w:cs="Arial"/>
          <w:color w:val="000000"/>
          <w:szCs w:val="20"/>
          <w:shd w:val="clear" w:color="auto" w:fill="FFFFFF"/>
          <w:lang w:val="sl-SI"/>
        </w:rPr>
        <w:t xml:space="preserve">ako </w:t>
      </w:r>
      <w:r>
        <w:rPr>
          <w:rFonts w:cs="Arial"/>
          <w:color w:val="000000"/>
          <w:szCs w:val="20"/>
          <w:shd w:val="clear" w:color="auto" w:fill="FFFFFF"/>
          <w:lang w:val="sl-SI"/>
        </w:rPr>
        <w:t xml:space="preserve">se </w:t>
      </w:r>
      <w:r w:rsidRPr="003077CA">
        <w:rPr>
          <w:rFonts w:cs="Arial"/>
          <w:color w:val="000000"/>
          <w:szCs w:val="20"/>
          <w:shd w:val="clear" w:color="auto" w:fill="FFFFFF"/>
          <w:lang w:val="sl-SI"/>
        </w:rPr>
        <w:t>spoprijema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z izzivi, s katerimi se soočajo v svojih dobavnih verigah.</w:t>
      </w:r>
      <w:r w:rsidRPr="003077CA">
        <w:rPr>
          <w:rFonts w:cs="Arial"/>
          <w:szCs w:val="20"/>
          <w:lang w:val="sl-SI" w:eastAsia="sl-SI"/>
        </w:rPr>
        <w:t xml:space="preserve"> </w:t>
      </w:r>
      <w:r w:rsidRPr="003077CA">
        <w:rPr>
          <w:rFonts w:cs="Arial"/>
          <w:color w:val="000000"/>
          <w:szCs w:val="20"/>
          <w:shd w:val="clear" w:color="auto" w:fill="FFFFFF"/>
          <w:lang w:val="sl-SI"/>
        </w:rPr>
        <w:t xml:space="preserve">V strategiji bo morala biti sprejeta politika za spodbujanje aktivne kibernetske zaščite kot dela širše obrambne strategije. Republika Slovenija že ima izdelano Strategijo kibernetske varnosti Republike Slovenije, ki jo je </w:t>
      </w:r>
      <w:r>
        <w:rPr>
          <w:rFonts w:cs="Arial"/>
          <w:color w:val="000000"/>
          <w:szCs w:val="20"/>
          <w:shd w:val="clear" w:color="auto" w:fill="FFFFFF"/>
          <w:lang w:val="sl-SI"/>
        </w:rPr>
        <w:t>V</w:t>
      </w:r>
      <w:r w:rsidRPr="003077CA">
        <w:rPr>
          <w:rFonts w:cs="Arial"/>
          <w:color w:val="000000"/>
          <w:szCs w:val="20"/>
          <w:shd w:val="clear" w:color="auto" w:fill="FFFFFF"/>
          <w:lang w:val="sl-SI"/>
        </w:rPr>
        <w:t xml:space="preserve">lada sprejela 25. februarja 2016, bo pa po sprejetju predlaganega zakona to strategijo treba prilagoditi zakonskim zahtevam. Tudi sicer je v predlogu zakona v prehodni </w:t>
      </w:r>
      <w:r w:rsidRPr="003077CA">
        <w:rPr>
          <w:rFonts w:cs="Arial"/>
          <w:color w:val="000000"/>
          <w:szCs w:val="20"/>
          <w:shd w:val="clear" w:color="auto" w:fill="FFFFFF"/>
          <w:lang w:val="sl-SI"/>
        </w:rPr>
        <w:lastRenderedPageBreak/>
        <w:t>določbi tretjega odstavka 63. člena predviden časovni okvir za sprejem strategije oziroma prilagoditev strategije določbam tega zakona (naj</w:t>
      </w:r>
      <w:r>
        <w:rPr>
          <w:rFonts w:cs="Arial"/>
          <w:color w:val="000000"/>
          <w:szCs w:val="20"/>
          <w:shd w:val="clear" w:color="auto" w:fill="FFFFFF"/>
          <w:lang w:val="sl-SI"/>
        </w:rPr>
        <w:t>poz</w:t>
      </w:r>
      <w:r w:rsidRPr="003077CA">
        <w:rPr>
          <w:rFonts w:cs="Arial"/>
          <w:color w:val="000000"/>
          <w:szCs w:val="20"/>
          <w:shd w:val="clear" w:color="auto" w:fill="FFFFFF"/>
          <w:lang w:val="sl-SI"/>
        </w:rPr>
        <w:t>neje v ene</w:t>
      </w:r>
      <w:r>
        <w:rPr>
          <w:rFonts w:cs="Arial"/>
          <w:color w:val="000000"/>
          <w:szCs w:val="20"/>
          <w:shd w:val="clear" w:color="auto" w:fill="FFFFFF"/>
          <w:lang w:val="sl-SI"/>
        </w:rPr>
        <w:t>m</w:t>
      </w:r>
      <w:r w:rsidRPr="003077CA">
        <w:rPr>
          <w:rFonts w:cs="Arial"/>
          <w:color w:val="000000"/>
          <w:szCs w:val="20"/>
          <w:shd w:val="clear" w:color="auto" w:fill="FFFFFF"/>
          <w:lang w:val="sl-SI"/>
        </w:rPr>
        <w:t xml:space="preserve"> let</w:t>
      </w:r>
      <w:r>
        <w:rPr>
          <w:rFonts w:cs="Arial"/>
          <w:color w:val="000000"/>
          <w:szCs w:val="20"/>
          <w:shd w:val="clear" w:color="auto" w:fill="FFFFFF"/>
          <w:lang w:val="sl-SI"/>
        </w:rPr>
        <w:t>u</w:t>
      </w:r>
      <w:r w:rsidRPr="003077CA">
        <w:rPr>
          <w:rFonts w:cs="Arial"/>
          <w:color w:val="000000"/>
          <w:szCs w:val="20"/>
          <w:shd w:val="clear" w:color="auto" w:fill="FFFFFF"/>
          <w:lang w:val="sl-SI"/>
        </w:rPr>
        <w:t xml:space="preserve"> od uveljavitve tega zakona).</w:t>
      </w:r>
    </w:p>
    <w:p w14:paraId="5F8179F4"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530776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10. členu</w:t>
      </w:r>
    </w:p>
    <w:p w14:paraId="2F60BA1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Glede na zahteve 8. člena Direktive 2022/2555/EU je v predlaganem členu določen PNO. </w:t>
      </w:r>
    </w:p>
    <w:p w14:paraId="2CD0469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prvem odstavku je določeno, da je PNO Urad Vlade Republike Slovenije za informacijsko varnost.</w:t>
      </w:r>
    </w:p>
    <w:p w14:paraId="4D3021A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drugem odstavku je določeno, da PNO poleg nalog, določenih v posameznih členih tega predloga zakona, izvaja še druge naloge in jih taksativno našteva, pri čemer gre za naloge, ki izhajajo iz Direktive 2022/2555/EU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Pr>
          <w:rFonts w:cs="Arial"/>
          <w:color w:val="000000"/>
          <w:szCs w:val="20"/>
          <w:shd w:val="clear" w:color="auto" w:fill="FFFFFF"/>
          <w:lang w:val="sl-SI"/>
        </w:rPr>
        <w:t>in za takšne</w:t>
      </w:r>
      <w:r w:rsidRPr="003077CA">
        <w:rPr>
          <w:rFonts w:cs="Arial"/>
          <w:color w:val="000000"/>
          <w:szCs w:val="20"/>
          <w:shd w:val="clear" w:color="auto" w:fill="FFFFFF"/>
          <w:lang w:val="sl-SI"/>
        </w:rPr>
        <w:t xml:space="preserve">, ki so nacionalne narave. Pri tem na primer PNO koordinira delovanje nacionalnega sistema informacijske varnosti, razvija zmogljivosti za izvajanje kibernetske obrambe, vsem zavezancem pri izvajanju njihovih nalog </w:t>
      </w:r>
      <w:r>
        <w:rPr>
          <w:rFonts w:cs="Arial"/>
          <w:color w:val="000000"/>
          <w:szCs w:val="20"/>
          <w:shd w:val="clear" w:color="auto" w:fill="FFFFFF"/>
          <w:lang w:val="sl-SI"/>
        </w:rPr>
        <w:t>ponuja</w:t>
      </w:r>
      <w:r w:rsidRPr="003077CA">
        <w:rPr>
          <w:rFonts w:cs="Arial"/>
          <w:color w:val="000000"/>
          <w:szCs w:val="20"/>
          <w:shd w:val="clear" w:color="auto" w:fill="FFFFFF"/>
          <w:lang w:val="sl-SI"/>
        </w:rPr>
        <w:t xml:space="preserve"> strokovno podporo, sodeluje z organi in organizacijami, ki delujejo na področju informacijske varnosti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izvaja naloge mednarodnega sodelovanja</w:t>
      </w:r>
      <w:r>
        <w:rPr>
          <w:rFonts w:cs="Arial"/>
          <w:color w:val="000000"/>
          <w:szCs w:val="20"/>
          <w:shd w:val="clear" w:color="auto" w:fill="FFFFFF"/>
          <w:lang w:val="sl-SI"/>
        </w:rPr>
        <w:t xml:space="preserve"> in</w:t>
      </w:r>
      <w:r w:rsidRPr="003077CA">
        <w:rPr>
          <w:rFonts w:cs="Arial"/>
          <w:color w:val="000000"/>
          <w:szCs w:val="20"/>
          <w:shd w:val="clear" w:color="auto" w:fill="FFFFFF"/>
          <w:lang w:val="sl-SI"/>
        </w:rPr>
        <w:t xml:space="preserve"> naloge inšpekcijskega nadzora po tem zakonu prek Inšpekcije za informacijsko varnost, ki je njegova notranja organizacijska enota, je enotna kontaktna točka, ki ima povezovalno vlogo za zagotavljanje čezmejnega sodelovanja z ustreznimi organi drugih držav članic Evropske unije, Evropsko komisijo in ENISA ter</w:t>
      </w:r>
      <w:r w:rsidRPr="003077CA">
        <w:rPr>
          <w:rFonts w:cs="Arial"/>
          <w:szCs w:val="20"/>
          <w:lang w:val="sl-SI" w:eastAsia="sl-SI"/>
        </w:rPr>
        <w:t xml:space="preserve"> </w:t>
      </w:r>
      <w:r w:rsidRPr="003077CA">
        <w:rPr>
          <w:rFonts w:cs="Arial"/>
          <w:color w:val="000000"/>
          <w:szCs w:val="20"/>
          <w:shd w:val="clear" w:color="auto" w:fill="FFFFFF"/>
          <w:lang w:val="sl-SI"/>
        </w:rPr>
        <w:t>izvaja naloge nacionalnega koordinacijskega centr</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za kibernetsko varnost. </w:t>
      </w:r>
    </w:p>
    <w:p w14:paraId="4A891DD3"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094A0D09" w14:textId="77777777" w:rsidR="000A51A5" w:rsidRPr="003077CA" w:rsidRDefault="000A51A5" w:rsidP="000A51A5">
      <w:pPr>
        <w:spacing w:after="120" w:line="276" w:lineRule="auto"/>
        <w:jc w:val="both"/>
        <w:rPr>
          <w:rFonts w:cs="Arial"/>
          <w:b/>
          <w:bCs/>
          <w:szCs w:val="20"/>
          <w:shd w:val="clear" w:color="auto" w:fill="FFFFFF"/>
          <w:lang w:val="sl-SI"/>
        </w:rPr>
      </w:pPr>
      <w:r w:rsidRPr="003077CA">
        <w:rPr>
          <w:rFonts w:cs="Arial"/>
          <w:b/>
          <w:bCs/>
          <w:color w:val="000000"/>
          <w:szCs w:val="20"/>
          <w:shd w:val="clear" w:color="auto" w:fill="FFFFFF"/>
          <w:lang w:val="sl-SI"/>
        </w:rPr>
        <w:t>K 11. členu</w:t>
      </w:r>
    </w:p>
    <w:p w14:paraId="78E2BC8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szCs w:val="20"/>
          <w:lang w:val="sl-SI" w:eastAsia="sl-SI"/>
        </w:rPr>
        <w:t xml:space="preserve">Člen določa, da je pristojni nacionalni organ za kibernetsko varnost v Sloveniji Nacionalni koordinacijski center za kibernetsko varnost (NCC-SI), ki izvaja naloge v skladu z Uredbo (EU) 2021/887. Ta uredba se nanaša na ustanovitev Evropskega industrijskega, tehnološkega in raziskovalnega kompetenčnega centra za kibernetsko varnost ter mrežo nacionalnih koordinacijskih centrov. NCC-SI ima nalogo spodbujati raziskave, tehnološki razvoj in industrijske zmogljivosti na področju kibernetske varnosti, hkrati pa sodeluje z Evropskim centrom za kibernetsko varnost </w:t>
      </w:r>
      <w:r>
        <w:rPr>
          <w:szCs w:val="20"/>
          <w:lang w:val="sl-SI" w:eastAsia="sl-SI"/>
        </w:rPr>
        <w:t>in</w:t>
      </w:r>
      <w:r w:rsidRPr="003077CA">
        <w:rPr>
          <w:szCs w:val="20"/>
          <w:lang w:val="sl-SI" w:eastAsia="sl-SI"/>
        </w:rPr>
        <w:t xml:space="preserve"> drugimi nacionalnimi centri EU. </w:t>
      </w:r>
    </w:p>
    <w:p w14:paraId="2D6771F8" w14:textId="77777777" w:rsidR="000A51A5" w:rsidRDefault="000A51A5" w:rsidP="000A51A5">
      <w:pPr>
        <w:spacing w:after="120" w:line="276" w:lineRule="auto"/>
        <w:jc w:val="both"/>
        <w:rPr>
          <w:rFonts w:cs="Arial"/>
          <w:b/>
          <w:bCs/>
          <w:color w:val="000000"/>
          <w:szCs w:val="20"/>
          <w:shd w:val="clear" w:color="auto" w:fill="FFFFFF"/>
          <w:lang w:val="sl-SI"/>
        </w:rPr>
      </w:pPr>
    </w:p>
    <w:p w14:paraId="748BF25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12. členu</w:t>
      </w:r>
    </w:p>
    <w:p w14:paraId="37DDA74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Določbe 9. člena Direktive 2022/2555/EU zahtevajo, da vsaka država članica imenuje ali ustanovi enega ali več pristojnih organov, odgovornih za obvladovanje kibernetskih incidentov velikih razsežnosti in kriz (v nadaljnjem besedilu: organi za obvladovanje kibernetskih kriz). Člen obravnava vzpostavitev in delovanje organa za obvladovanje kibernetskih kriz v Republiki Sloveniji ter njegovo vlogo v obvladovanju kibernetskih incidentov, kibernetskih incidentov velikih razsežnosti in kriz.</w:t>
      </w:r>
    </w:p>
    <w:p w14:paraId="4D66884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člena določa, da je Urad Vlade Republike Slovenije za informacijsko varnost PNO za obvladovanje kibernetskih incidentov velikih razsežnosti in kriz. Določa obveznost, da urad sodeluje v Evropski mreži organizacij za zvezo za kibernetske krize (mreža EU-CyCLONe), kar poudarja povezanost z mednarodnim okoljem in pomembnost izmenjave informacij predvsem pri obvladovanju kibernetskih incidentov velikih razsežnosti in kriz.</w:t>
      </w:r>
    </w:p>
    <w:p w14:paraId="7187354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člena navaja, da organ za obvladovanje kibernetskih kriz izdela nacionalni načrt odzivanja na kibernetske incidente, kibernetske incidente velikih razsežnosti in krize. Ta načrt se uskladi s strategijo kibernetske varnosti, načrti skupin CSIRT in drugih pristojnih organov ter varnostno dokumentacijo zavezancev, kar zagotavlja celovit pristop k obvladovanju kibernetskih groženj.</w:t>
      </w:r>
    </w:p>
    <w:p w14:paraId="6B13E00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Tretji odstavek člena podrobno opredeljuje vsebino nacionalnega načrta odzivanja na kibernetske incidente, kibernetske incidente velikih razsežnosti in krize, vključno s cilji, nalogami, postopki, ukrepi za pripravljenost, sodelovanjem med organi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vključenimi deležniki. Ta načrt zagotavlja strukturo in usmeritve za učinkovito obvladovanje kibernetskih incidentov na nacionalni ravni ter podporo pri usklajenem obvladovanju kibernetskih incidentov velikih razsežnosti in kriz na ravni Evropske unije.</w:t>
      </w:r>
    </w:p>
    <w:p w14:paraId="748724E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člena določa, da organ za obvladovanje kibernetskih kriz ob zaznavi kibernetskih incidentov, ki lahko povzročijo krizo, nemudoma obvesti Svet za nacionalno varnost in osrednji organ za odzivanje na hibridne grožnje, ki deluje v okviru Ministrstva za obrambo. Sledi analiza situacije z vključenimi deležniki in predlog ukrepov vladi za obvladovanje situacije.</w:t>
      </w:r>
    </w:p>
    <w:p w14:paraId="7FA02F3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člena določa, da vlada lahko sprejme odločitev o vključitvi drugih državnih zmogljivosti v obvladovanje krize, razglasi krizo in izvaja krizno upravljanje v kompleksnih kriznih situacijah.</w:t>
      </w:r>
    </w:p>
    <w:p w14:paraId="3F41890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člena določa, da mora pristojni nacionalni organ obvestiti Evropsko komisijo o imenovanju organa za obvladovanje kibernetskih kriz ter predložiti informacije o nacionalnem načrtu odzivanja, pri čemer se izključijo informacije, ki bi lahko ogrozile interese nacionalne varnosti, javne varnosti ali obrambe Republike Slovenije.</w:t>
      </w:r>
    </w:p>
    <w:p w14:paraId="5032EF9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člena obravnava obveščanje javnosti v primeru potrebe, pri čemer pristojni nacionalni organ pripravi sporočilo za javno objavo v sodelovanju s službo vlade, pristojno za komuniciranje z javnostjo.</w:t>
      </w:r>
    </w:p>
    <w:p w14:paraId="4D1D6A9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 tem členom se vzpostavlja okvir za obvladovanje kibernetskih incidentov, kibernetskih incidentov velikih razsežnosti in kriz v Republiki Sloveniji, ki temelji na sodelovanju med različnimi organi, sektorji in mednarodnimi partnerji. Vključuje tudi jasne postopke za obveščanje in komuniciranje z javnostjo ter mednarodnimi partnerji, kar je ključno za učinkovito obvladovanje kibernetskih groženj in incidentov na </w:t>
      </w:r>
      <w:r>
        <w:rPr>
          <w:rFonts w:cs="Arial"/>
          <w:color w:val="000000"/>
          <w:szCs w:val="20"/>
          <w:shd w:val="clear" w:color="auto" w:fill="FFFFFF"/>
          <w:lang w:val="sl-SI"/>
        </w:rPr>
        <w:t>državni</w:t>
      </w:r>
      <w:r w:rsidRPr="003077CA">
        <w:rPr>
          <w:rFonts w:cs="Arial"/>
          <w:color w:val="000000"/>
          <w:szCs w:val="20"/>
          <w:shd w:val="clear" w:color="auto" w:fill="FFFFFF"/>
          <w:lang w:val="sl-SI"/>
        </w:rPr>
        <w:t xml:space="preserve"> in mednarodni ravni.</w:t>
      </w:r>
    </w:p>
    <w:p w14:paraId="7C8EDF52"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01A3D0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13. členu</w:t>
      </w:r>
    </w:p>
    <w:p w14:paraId="59A439A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10. člena Direktive 2022/2555/EU (skupine za odzivanje na incidente na področju računalniške varnosti (skupine CSIRT)), ki se pri nekaterih svojih določbah sklicuje tudi na prvi odstavek 11. člena (Zahteve, tehnične zmogljivosti in naloge skupin CSIRT), 19. člen (Medsebojni strokovni pregledi) in 29. člen (Dogovori o izmenjavi o kibernetski varnosti) Direktive 2022/2555/EU, kar je bilo upoštevano tudi v predlaganem členu, ki se na posamičnih mestih sklicuje na druge določbe predlaganega zakona, ki ustrezajo prenosu prej navedenih določb Direktive 2022/2555/EU</w:t>
      </w:r>
      <w:r>
        <w:rPr>
          <w:rFonts w:cs="Arial"/>
          <w:color w:val="000000"/>
          <w:szCs w:val="20"/>
          <w:shd w:val="clear" w:color="auto" w:fill="FFFFFF"/>
          <w:lang w:val="sl-SI"/>
        </w:rPr>
        <w:t>.</w:t>
      </w:r>
    </w:p>
    <w:p w14:paraId="0C442B5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prvem odstavku predloga tega člena je določen postopek določitve skupin CSIRT. Do izdaje vladnega akta naloge opravljata skupini CSIRT, ki sta SIGOV-CERT, ki deluje kot notranja organizacijska enota pri PNO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SI-CERT, ki deluje kot notranja organizacijska enota pri javnem infrastrukturnem zavodu Akademska in raziskovalna mreža Slovenije. Skupine CSIRT delujejo kot odzivni centri za obravnavo incidentov s področja varnosti elektronskih omrežij in informacij. Posledično opravljajo koordinacijo razreševanja incidentov, tehnično svetovanje ob vdorih, računalniških okužbah in drugih zlorabah, ter izdajajo opozorila za upravitelje omrežij in širšo javnost o trenutnih grožnjah na elektronskih omrežjih. </w:t>
      </w:r>
    </w:p>
    <w:p w14:paraId="2E3F452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Od drugega do osmega odstavka predloga je urejeno področje izmenjave informacij</w:t>
      </w:r>
      <w:r>
        <w:rPr>
          <w:rFonts w:cs="Arial"/>
          <w:color w:val="000000"/>
          <w:szCs w:val="20"/>
          <w:shd w:val="clear" w:color="auto" w:fill="FFFFFF"/>
          <w:lang w:val="sl-SI"/>
        </w:rPr>
        <w:t xml:space="preserve"> ter</w:t>
      </w:r>
      <w:r w:rsidRPr="003077CA">
        <w:rPr>
          <w:rFonts w:cs="Arial"/>
          <w:color w:val="000000"/>
          <w:szCs w:val="20"/>
          <w:shd w:val="clear" w:color="auto" w:fill="FFFFFF"/>
          <w:lang w:val="sl-SI"/>
        </w:rPr>
        <w:t xml:space="preserve"> medsebojnega in mednarodnega sodelovanja. Predvideno je sodelovanje s sektorskimi in medsektorskimi skupnostmi zavezancev, medsebojnimi strokovnimi pregledi, mrežami skupin CSIRT in skupinami CSIRT iz tretjih držav.</w:t>
      </w:r>
    </w:p>
    <w:p w14:paraId="4C4CCAE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Deveti odstavek uvaja dolžnost obveščanja Evropske komisije o identiteti skupin CSIRT iz prvega odstavka tega člena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njihovih nalogah</w:t>
      </w:r>
      <w:r>
        <w:rPr>
          <w:rFonts w:cs="Arial"/>
          <w:color w:val="000000"/>
          <w:szCs w:val="20"/>
          <w:shd w:val="clear" w:color="auto" w:fill="FFFFFF"/>
          <w:lang w:val="sl-SI"/>
        </w:rPr>
        <w:t xml:space="preserve"> ter</w:t>
      </w:r>
      <w:r w:rsidRPr="003077CA">
        <w:rPr>
          <w:rFonts w:cs="Arial"/>
          <w:color w:val="000000"/>
          <w:szCs w:val="20"/>
          <w:shd w:val="clear" w:color="auto" w:fill="FFFFFF"/>
          <w:lang w:val="sl-SI"/>
        </w:rPr>
        <w:t xml:space="preserve"> o vsakokratnih spremembah o tem, PNO </w:t>
      </w:r>
      <w:r>
        <w:rPr>
          <w:rFonts w:cs="Arial"/>
          <w:color w:val="000000"/>
          <w:szCs w:val="20"/>
          <w:shd w:val="clear" w:color="auto" w:fill="FFFFFF"/>
          <w:lang w:val="sl-SI"/>
        </w:rPr>
        <w:t xml:space="preserve">pa je </w:t>
      </w:r>
      <w:r w:rsidRPr="003077CA">
        <w:rPr>
          <w:rFonts w:cs="Arial"/>
          <w:color w:val="000000"/>
          <w:szCs w:val="20"/>
          <w:shd w:val="clear" w:color="auto" w:fill="FFFFFF"/>
          <w:lang w:val="sl-SI"/>
        </w:rPr>
        <w:t xml:space="preserve">tisti, ki </w:t>
      </w:r>
      <w:r w:rsidRPr="003077CA">
        <w:rPr>
          <w:rFonts w:cs="Arial"/>
          <w:color w:val="000000"/>
          <w:szCs w:val="20"/>
          <w:shd w:val="clear" w:color="auto" w:fill="FFFFFF"/>
          <w:lang w:val="sl-SI"/>
        </w:rPr>
        <w:lastRenderedPageBreak/>
        <w:t>obvešča. Prav tako PNO obvesti Evropsko komisijo o identiteti skupine CSIRT, ki je imenovana za koordinatorja iz prvega odstavka 17. člena tega zakona (usklajeno razkrivanje ranljivosti in evropska podatkovna zbirka ranljivosti).</w:t>
      </w:r>
    </w:p>
    <w:p w14:paraId="390FC7D2"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D7191F7"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14. členu</w:t>
      </w:r>
    </w:p>
    <w:p w14:paraId="78F97FE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tem predlogu člena gre za prenos določbe prvega odstavka 11. člena </w:t>
      </w:r>
      <w:bookmarkStart w:id="132" w:name="_Hlk174435191"/>
      <w:r w:rsidRPr="003077CA">
        <w:rPr>
          <w:rFonts w:cs="Arial"/>
          <w:color w:val="000000"/>
          <w:szCs w:val="20"/>
          <w:shd w:val="clear" w:color="auto" w:fill="FFFFFF"/>
          <w:lang w:val="sl-SI"/>
        </w:rPr>
        <w:t xml:space="preserve">Direktive </w:t>
      </w:r>
      <w:bookmarkEnd w:id="132"/>
      <w:r w:rsidRPr="003077CA">
        <w:rPr>
          <w:rFonts w:cs="Arial"/>
          <w:color w:val="000000"/>
          <w:szCs w:val="20"/>
          <w:shd w:val="clear" w:color="auto" w:fill="FFFFFF"/>
          <w:lang w:val="sl-SI"/>
        </w:rPr>
        <w:t xml:space="preserve">2022/2555/EU. Predlog člena tako ureja zahteve in tehnične zmogljivosti, ki jih morajo izpolnjevati skupine CSIRT. Tehnične zmogljivosti skupin CSIRT so ključne za zagotavljanje učinkovitega in usklajenega odziva na kibernetske grožnje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varovanje kritične infrastrukture. Zahteve iz tega člena imajo svoj namen in prispevajo k celoviti zaščiti kibernetskega prostora. </w:t>
      </w:r>
    </w:p>
    <w:p w14:paraId="16ADA71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Skupine CSIRT morajo imeti zagotovljeno visoko stopnjo razpoložljivosti svojih komunikacijskih kanalov, saj je treba incidente obravnavati nemudoma. To vključuje preprečevanje ene same točke odpovedi, saj bi ta lahko povzročila zastoje ali zamude pri odzivu na incidente. Pri tem se ne sme pozabiti, da so kanali jasno opredeljeni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da so uporabniki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subjekti, ki sodelujejo s skupino CSIRT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seznanjeni z njihovo uporabo. Celovit pristop omogoča hitro in učinkovito komunikacijo v primeru incidentov.</w:t>
      </w:r>
    </w:p>
    <w:p w14:paraId="1EEF670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Fizična varnost je osnovna zahteva za zaščito informacijskih sistemov in podatkov skupin CSIRT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zato morajo </w:t>
      </w:r>
      <w:r>
        <w:rPr>
          <w:rFonts w:cs="Arial"/>
          <w:color w:val="000000"/>
          <w:szCs w:val="20"/>
          <w:shd w:val="clear" w:color="auto" w:fill="FFFFFF"/>
          <w:lang w:val="sl-SI"/>
        </w:rPr>
        <w:t xml:space="preserve">biti </w:t>
      </w:r>
      <w:r w:rsidRPr="003077CA">
        <w:rPr>
          <w:rFonts w:cs="Arial"/>
          <w:color w:val="000000"/>
          <w:szCs w:val="20"/>
          <w:shd w:val="clear" w:color="auto" w:fill="FFFFFF"/>
          <w:lang w:val="sl-SI"/>
        </w:rPr>
        <w:t>prostori in informacijsko</w:t>
      </w:r>
      <w:r>
        <w:rPr>
          <w:rFonts w:cs="Arial"/>
          <w:color w:val="000000"/>
          <w:szCs w:val="20"/>
          <w:shd w:val="clear" w:color="auto" w:fill="FFFFFF"/>
          <w:lang w:val="sl-SI"/>
        </w:rPr>
        <w:t>-</w:t>
      </w:r>
      <w:r w:rsidRPr="003077CA">
        <w:rPr>
          <w:rFonts w:cs="Arial"/>
          <w:color w:val="000000"/>
          <w:szCs w:val="20"/>
          <w:shd w:val="clear" w:color="auto" w:fill="FFFFFF"/>
          <w:lang w:val="sl-SI"/>
        </w:rPr>
        <w:t>komunikacijski sistemi na varnih krajih. S pravilno izbrano lokacijo se zmanjšuje tveganje nepooblaščenega dostopa ali fizičnega ogrožanja. S tem se zagotavlja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zaupnost in celovitost podatkov ter delovanje skupin CSIRT v primeru fizičnih groženj.</w:t>
      </w:r>
    </w:p>
    <w:p w14:paraId="615083A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Ustrezen sistem za upravljanje in usmerjanje zahtevkov mora zagotavljati </w:t>
      </w:r>
      <w:r>
        <w:rPr>
          <w:rFonts w:cs="Arial"/>
          <w:color w:val="000000"/>
          <w:szCs w:val="20"/>
          <w:shd w:val="clear" w:color="auto" w:fill="FFFFFF"/>
          <w:lang w:val="sl-SI"/>
        </w:rPr>
        <w:t>preprosto</w:t>
      </w:r>
      <w:r w:rsidRPr="003077CA">
        <w:rPr>
          <w:rFonts w:cs="Arial"/>
          <w:color w:val="000000"/>
          <w:szCs w:val="20"/>
          <w:shd w:val="clear" w:color="auto" w:fill="FFFFFF"/>
          <w:lang w:val="sl-SI"/>
        </w:rPr>
        <w:t xml:space="preserve"> in učinkovito upravljanje zahtevkov. Slednje je ključno za hitro identifikacijo, analizo in odziv na incidente. Sistem za upravljanje zahtevkov mora omogočati učinkovito in transparentno predajo zahtevkov med različnimi člani skupine CSIRT ter zagotavljati sledljivost in preglednost vseh </w:t>
      </w:r>
      <w:r>
        <w:rPr>
          <w:rFonts w:cs="Arial"/>
          <w:color w:val="000000"/>
          <w:szCs w:val="20"/>
          <w:shd w:val="clear" w:color="auto" w:fill="FFFFFF"/>
          <w:lang w:val="sl-SI"/>
        </w:rPr>
        <w:t>deja</w:t>
      </w:r>
      <w:r w:rsidRPr="003077CA">
        <w:rPr>
          <w:rFonts w:cs="Arial"/>
          <w:color w:val="000000"/>
          <w:szCs w:val="20"/>
          <w:shd w:val="clear" w:color="auto" w:fill="FFFFFF"/>
          <w:lang w:val="sl-SI"/>
        </w:rPr>
        <w:t>vnosti.</w:t>
      </w:r>
    </w:p>
    <w:p w14:paraId="68D7B77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Skupine CSIRT morajo delovati v skladu z najvišjimi standardi zaupnosti in zanesljivosti, da zagotovijo zaupanje uporabnikov in subjektov, s katerimi sodelujejo. To naj vključuje uporabo ustrezne kriptografije, varnostnih postopkov in nadzornih mehanizmov za zaščito občutljivih podatkov ter preprečevanje morebitnih incidentov ali zlorab.</w:t>
      </w:r>
    </w:p>
    <w:p w14:paraId="36A7597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Za zagotavljanje neprekinjene razpoložljivosti storitev je bistvenega pomena, da </w:t>
      </w:r>
      <w:r>
        <w:rPr>
          <w:rFonts w:cs="Arial"/>
          <w:color w:val="000000"/>
          <w:szCs w:val="20"/>
          <w:shd w:val="clear" w:color="auto" w:fill="FFFFFF"/>
          <w:lang w:val="sl-SI"/>
        </w:rPr>
        <w:t xml:space="preserve">imajo </w:t>
      </w:r>
      <w:r w:rsidRPr="003077CA">
        <w:rPr>
          <w:rFonts w:cs="Arial"/>
          <w:color w:val="000000"/>
          <w:szCs w:val="20"/>
          <w:shd w:val="clear" w:color="auto" w:fill="FFFFFF"/>
          <w:lang w:val="sl-SI"/>
        </w:rPr>
        <w:t xml:space="preserve">skupine CSIRT </w:t>
      </w:r>
      <w:r>
        <w:rPr>
          <w:rFonts w:cs="Arial"/>
          <w:color w:val="000000"/>
          <w:szCs w:val="20"/>
          <w:shd w:val="clear" w:color="auto" w:fill="FFFFFF"/>
          <w:lang w:val="sl-SI"/>
        </w:rPr>
        <w:t>dovolj</w:t>
      </w:r>
      <w:r w:rsidRPr="003077CA">
        <w:rPr>
          <w:rFonts w:cs="Arial"/>
          <w:color w:val="000000"/>
          <w:szCs w:val="20"/>
          <w:shd w:val="clear" w:color="auto" w:fill="FFFFFF"/>
          <w:lang w:val="sl-SI"/>
        </w:rPr>
        <w:t xml:space="preserve"> usposobljenega kadra. P</w:t>
      </w:r>
      <w:r>
        <w:rPr>
          <w:rFonts w:cs="Arial"/>
          <w:color w:val="000000"/>
          <w:szCs w:val="20"/>
          <w:shd w:val="clear" w:color="auto" w:fill="FFFFFF"/>
          <w:lang w:val="sl-SI"/>
        </w:rPr>
        <w:t>oleg tega</w:t>
      </w:r>
      <w:r w:rsidRPr="003077CA">
        <w:rPr>
          <w:rFonts w:cs="Arial"/>
          <w:color w:val="000000"/>
          <w:szCs w:val="20"/>
          <w:shd w:val="clear" w:color="auto" w:fill="FFFFFF"/>
          <w:lang w:val="sl-SI"/>
        </w:rPr>
        <w:t xml:space="preserve"> je pomembno, da so uslužbenci ustrezno usposobljeni za obravnavo različnih vrst incidentov ter za uporabo in vzdrževanje specializirane varnostne opreme in tehnologij.</w:t>
      </w:r>
    </w:p>
    <w:p w14:paraId="4D1F9A9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Zaradi narave kibernetskih groženj in možnosti izpada ključnih sistemov je pomembno, da </w:t>
      </w:r>
      <w:r>
        <w:rPr>
          <w:rFonts w:cs="Arial"/>
          <w:color w:val="000000"/>
          <w:szCs w:val="20"/>
          <w:shd w:val="clear" w:color="auto" w:fill="FFFFFF"/>
          <w:lang w:val="sl-SI"/>
        </w:rPr>
        <w:t xml:space="preserve">imajo </w:t>
      </w:r>
      <w:r w:rsidRPr="003077CA">
        <w:rPr>
          <w:rFonts w:cs="Arial"/>
          <w:color w:val="000000"/>
          <w:szCs w:val="20"/>
          <w:shd w:val="clear" w:color="auto" w:fill="FFFFFF"/>
          <w:lang w:val="sl-SI"/>
        </w:rPr>
        <w:t>skupine CSIRT redundantn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sistem</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načrt</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za obnovitev dejavnosti v primeru izrednih dogodkov. Redundantni sistemi omogočajo nadaljevanje operacij tudi v primeru okvar ali izpadov, medtem ko nadomestni delovni prostor omogoča prehod na alternativne lokacije za izvajanje operativnih dejavnosti v primeru nepredvidenih situacij.</w:t>
      </w:r>
    </w:p>
    <w:p w14:paraId="5079AE4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Skladno s prenosom Direktive 2022/2555/EU je izpolnjevanje teh zahtev ključno za zagotavljanje učinkovitega odziva na kibernetske grožnje ter zaščito kritične infrastrukture in podatkovnih virov.</w:t>
      </w:r>
    </w:p>
    <w:p w14:paraId="6720A2F3" w14:textId="77777777" w:rsidR="000A51A5" w:rsidRPr="003077CA" w:rsidRDefault="000A51A5" w:rsidP="000A51A5">
      <w:pPr>
        <w:spacing w:after="16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Ob tem je treba opozoriti, da je le dosedanji nacionalni CSIRT, pri čemer gre</w:t>
      </w:r>
      <w:r w:rsidRPr="003077CA">
        <w:rPr>
          <w:rFonts w:cs="Arial"/>
          <w:szCs w:val="20"/>
          <w:lang w:val="sl-SI"/>
        </w:rPr>
        <w:t xml:space="preserve"> za </w:t>
      </w:r>
      <w:r w:rsidRPr="003077CA">
        <w:rPr>
          <w:rFonts w:cs="Arial"/>
          <w:color w:val="000000"/>
          <w:szCs w:val="20"/>
          <w:shd w:val="clear" w:color="auto" w:fill="FFFFFF"/>
          <w:lang w:val="sl-SI"/>
        </w:rPr>
        <w:t xml:space="preserve">odzivni center za obravnavo incidentov s področja varnosti elektronskih omrežij in informacij SI-CERT pri javnem zavodu Arnes, na podlagi tretjega odstavka 28. člena ZInfV že moral izpolnjevati zahteve glede visoke stopnje razpoložljivosti svojih storitev, varnosti svojih poslovnih prostorov ter </w:t>
      </w:r>
      <w:r w:rsidRPr="003077CA">
        <w:rPr>
          <w:rFonts w:cs="Arial"/>
          <w:color w:val="000000"/>
          <w:szCs w:val="20"/>
          <w:shd w:val="clear" w:color="auto" w:fill="FFFFFF"/>
          <w:lang w:val="sl-SI"/>
        </w:rPr>
        <w:lastRenderedPageBreak/>
        <w:t>neprekinjenega poslovanja skladno s takrat veljavno Direktivo 2016/1148/ES</w:t>
      </w:r>
      <w:r w:rsidRPr="003077CA">
        <w:rPr>
          <w:rFonts w:cs="Arial"/>
          <w:color w:val="000000"/>
          <w:szCs w:val="20"/>
          <w:shd w:val="clear" w:color="auto" w:fill="FFFFFF"/>
          <w:vertAlign w:val="superscript"/>
          <w:lang w:val="sl-SI"/>
        </w:rPr>
        <w:footnoteReference w:id="25"/>
      </w:r>
      <w:r>
        <w:rPr>
          <w:rFonts w:cs="Arial"/>
          <w:color w:val="000000"/>
          <w:szCs w:val="20"/>
          <w:shd w:val="clear" w:color="auto" w:fill="FFFFFF"/>
          <w:lang w:val="sl-SI"/>
        </w:rPr>
        <w:t>. P</w:t>
      </w:r>
      <w:r w:rsidRPr="003077CA">
        <w:rPr>
          <w:rFonts w:cs="Arial"/>
          <w:color w:val="000000"/>
          <w:szCs w:val="20"/>
          <w:shd w:val="clear" w:color="auto" w:fill="FFFFFF"/>
          <w:lang w:val="sl-SI"/>
        </w:rPr>
        <w:t xml:space="preserve">ojasnjujemo, da je takšne zahteve določala Priloga 1 prej navedene direktive. Zato se bodo le prilagodili glede na zahteve iz Direktive 2022/2555/EU, </w:t>
      </w:r>
      <w:r>
        <w:rPr>
          <w:rFonts w:cs="Arial"/>
          <w:color w:val="000000"/>
          <w:szCs w:val="20"/>
          <w:shd w:val="clear" w:color="auto" w:fill="FFFFFF"/>
          <w:lang w:val="sl-SI"/>
        </w:rPr>
        <w:t>če</w:t>
      </w:r>
      <w:r w:rsidRPr="003077CA">
        <w:rPr>
          <w:rFonts w:cs="Arial"/>
          <w:color w:val="000000"/>
          <w:szCs w:val="20"/>
          <w:shd w:val="clear" w:color="auto" w:fill="FFFFFF"/>
          <w:lang w:val="sl-SI"/>
        </w:rPr>
        <w:t xml:space="preserve"> takšne zahteve še niso v celoti izhajal</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iz Direktive 2016/1148/ES, na katero se sklicuje tretji odstavek 30. člena ZInfV.</w:t>
      </w:r>
    </w:p>
    <w:p w14:paraId="6A184274" w14:textId="77777777" w:rsidR="000A51A5" w:rsidRPr="003077CA" w:rsidRDefault="000A51A5" w:rsidP="000A51A5">
      <w:pPr>
        <w:spacing w:after="160" w:line="276" w:lineRule="auto"/>
        <w:jc w:val="both"/>
        <w:rPr>
          <w:rFonts w:cs="Arial"/>
          <w:color w:val="000000"/>
          <w:szCs w:val="20"/>
          <w:shd w:val="clear" w:color="auto" w:fill="FFFFFF"/>
          <w:lang w:val="sl-SI"/>
        </w:rPr>
      </w:pPr>
    </w:p>
    <w:p w14:paraId="3FBA57D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15. členu</w:t>
      </w:r>
    </w:p>
    <w:p w14:paraId="6AC8F56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določbe tretjega odstavka 11. člena Direktive 2022/2555/EU, ki določa naloge skupin CSIRT.</w:t>
      </w:r>
    </w:p>
    <w:p w14:paraId="3A7B348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predlaganega člena taksativno našteje naloge skupin CSIRT, ki jih morajo izvajati. </w:t>
      </w:r>
    </w:p>
    <w:p w14:paraId="239AFD3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drugem odstavku predlog določa pristojnost, da skupina CSIRT lahko,</w:t>
      </w:r>
      <w:r w:rsidRPr="003077CA">
        <w:rPr>
          <w:rFonts w:cs="Arial"/>
          <w:szCs w:val="20"/>
          <w:lang w:val="sl-SI" w:eastAsia="sl-SI"/>
        </w:rPr>
        <w:t xml:space="preserve"> </w:t>
      </w:r>
      <w:r w:rsidRPr="003077CA">
        <w:rPr>
          <w:rFonts w:cs="Arial"/>
          <w:color w:val="000000"/>
          <w:szCs w:val="20"/>
          <w:shd w:val="clear" w:color="auto" w:fill="FFFFFF"/>
          <w:lang w:val="sl-SI"/>
        </w:rPr>
        <w:t>z namenom odkrivanja ranljivosti omrežnih in informacijskih sistemov, ki niso konfigurirani na varen način ter za obveščanje zadevnih subjektov s ciljem odpravljanja varnostnih groženj, izvaja proaktivno in nevsiljivo pregledovanje javno dostopnih omrežnih in informacijskih sistemov bistvenih in pomembnih subjektov, za katere je pristojna.</w:t>
      </w:r>
    </w:p>
    <w:p w14:paraId="0BF1804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 predlaganim tretjim odstavkom se skupinam CSIRT omogoča, da lahko pri izvajanju nalog iz prvega odstavka predlaganega člena prednostno razvrstijo nekatere naloge na podlagi pristopa, ki temelji na tveganjih.</w:t>
      </w:r>
    </w:p>
    <w:p w14:paraId="4AD2CDF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četrtem odstavku predloga je navedena obveznost izdelave tedenskega in četrtletnega poročila o izvajanju svojih nalog, ki ga morajo skupine CSIRT posredovati PNO. Sestavni del poročila je tudi informacija o vseh priglašenih incidentih, ki jih je obravnavala skupina CSIRT.</w:t>
      </w:r>
    </w:p>
    <w:p w14:paraId="1434D3C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petem odstavku predloga je predvidena obveznost nacionalne narave, da skupina CSIRT nemudoma obvesti PNO o lastnem incidentu, ki bi lahko vplival ali vpliva na delovanje in razpoložljivost njihovih storitev, ki jih </w:t>
      </w:r>
      <w:r>
        <w:rPr>
          <w:rFonts w:cs="Arial"/>
          <w:color w:val="000000"/>
          <w:szCs w:val="20"/>
          <w:shd w:val="clear" w:color="auto" w:fill="FFFFFF"/>
          <w:lang w:val="sl-SI"/>
        </w:rPr>
        <w:t>ponujajo</w:t>
      </w:r>
      <w:r w:rsidRPr="003077CA">
        <w:rPr>
          <w:rFonts w:cs="Arial"/>
          <w:color w:val="000000"/>
          <w:szCs w:val="20"/>
          <w:shd w:val="clear" w:color="auto" w:fill="FFFFFF"/>
          <w:lang w:val="sl-SI"/>
        </w:rPr>
        <w:t xml:space="preserve"> zavezancem in prostovoljnim priglasiteljem.</w:t>
      </w:r>
    </w:p>
    <w:p w14:paraId="49AD389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 predlaganem šestem odstavku, ki je nacionalne narave, skupina CSIRT v skladu z usmeritvami pristojnega nacionalnega organa v primeru razglasitve ocene ogroženosti visoko ali kritično izda varnostno obvestilo ali navodilo v skladu s petim in šestim odstavkom 37. člena tega zakona.</w:t>
      </w:r>
    </w:p>
    <w:p w14:paraId="15617EC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Tudi predlagana sedmi in osmi odstavek sta nacionalne narave in </w:t>
      </w:r>
      <w:r>
        <w:rPr>
          <w:rFonts w:cs="Arial"/>
          <w:color w:val="000000"/>
          <w:szCs w:val="20"/>
          <w:shd w:val="clear" w:color="auto" w:fill="FFFFFF"/>
          <w:lang w:val="sl-SI"/>
        </w:rPr>
        <w:t>ponujata</w:t>
      </w:r>
      <w:r w:rsidRPr="003077CA">
        <w:rPr>
          <w:rFonts w:cs="Arial"/>
          <w:color w:val="000000"/>
          <w:szCs w:val="20"/>
          <w:shd w:val="clear" w:color="auto" w:fill="FFFFFF"/>
          <w:lang w:val="sl-SI"/>
        </w:rPr>
        <w:t xml:space="preserve"> dodatno potrebna pooblastila pristojni skupini CSIRT, pri čemer določbi vsebinsko ustrezata </w:t>
      </w:r>
      <w:r>
        <w:rPr>
          <w:rFonts w:cs="Arial"/>
          <w:color w:val="000000"/>
          <w:szCs w:val="20"/>
          <w:shd w:val="clear" w:color="auto" w:fill="FFFFFF"/>
          <w:lang w:val="sl-SI"/>
        </w:rPr>
        <w:t>veljavnim</w:t>
      </w:r>
      <w:r w:rsidRPr="003077CA">
        <w:rPr>
          <w:rFonts w:cs="Arial"/>
          <w:color w:val="000000"/>
          <w:szCs w:val="20"/>
          <w:shd w:val="clear" w:color="auto" w:fill="FFFFFF"/>
          <w:lang w:val="sl-SI"/>
        </w:rPr>
        <w:t xml:space="preserve"> določbam tretjega in četrtega odstavka 29. člena veljavnega ZInfV. Po navedenih določbah ZInfV je SIGOV-CERT že doslej in z enakimi nameni, kot je to ponovno določeno v tem predlogu, pooblaščen za neposredni, nujni in sorazmerni vpogled v delovanje informacijske infrastrukture centralnega informacijsko-komunikacijskega sistema, upravljavec centralnega informacijsko-komunikacijskega sistema pa mu mora to omogočiti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upravljavcu centralnega informacijsko-komunikacijskega sistema odredi ustrezne, nujne in sorazmerne ukrepe, ki jih morajo ti nemudoma oziroma v postavljenem roku izvesti v svojem informacijsko-komunikacijskem sistemu.</w:t>
      </w:r>
    </w:p>
    <w:p w14:paraId="584A7F4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Deveti odstavek predloga določa, da skupine CSIRT izvajajo tudi programe ozaveščanja v skladu s </w:t>
      </w:r>
      <w:r>
        <w:rPr>
          <w:rFonts w:cs="Arial"/>
          <w:color w:val="000000"/>
          <w:szCs w:val="20"/>
          <w:shd w:val="clear" w:color="auto" w:fill="FFFFFF"/>
          <w:lang w:val="sl-SI"/>
        </w:rPr>
        <w:t>s</w:t>
      </w:r>
      <w:r w:rsidRPr="003077CA">
        <w:rPr>
          <w:rFonts w:cs="Arial"/>
          <w:color w:val="000000"/>
          <w:szCs w:val="20"/>
          <w:shd w:val="clear" w:color="auto" w:fill="FFFFFF"/>
          <w:lang w:val="sl-SI"/>
        </w:rPr>
        <w:t>trategijo kibernetske varnosti. Čeprav Direktiva 2022/2555/EU skupinam CSIRT izrecno ne nalaga naloge izvajanja programov ozaveščanja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menimo, da lahko skupine CSIRT s svojim znanjem in izkušnjami pozitivno vplivajo na </w:t>
      </w:r>
      <w:r>
        <w:rPr>
          <w:rFonts w:cs="Arial"/>
          <w:color w:val="000000"/>
          <w:szCs w:val="20"/>
          <w:shd w:val="clear" w:color="auto" w:fill="FFFFFF"/>
          <w:lang w:val="sl-SI"/>
        </w:rPr>
        <w:t>izboljšanje</w:t>
      </w:r>
      <w:r w:rsidRPr="003077CA">
        <w:rPr>
          <w:rFonts w:cs="Arial"/>
          <w:color w:val="000000"/>
          <w:szCs w:val="20"/>
          <w:shd w:val="clear" w:color="auto" w:fill="FFFFFF"/>
          <w:lang w:val="sl-SI"/>
        </w:rPr>
        <w:t xml:space="preserve"> ozaveščenosti širše javnosti.</w:t>
      </w:r>
    </w:p>
    <w:p w14:paraId="3D01837C" w14:textId="77777777" w:rsidR="000A51A5" w:rsidRDefault="000A51A5" w:rsidP="000A51A5">
      <w:pPr>
        <w:spacing w:line="240" w:lineRule="auto"/>
        <w:rPr>
          <w:rFonts w:cs="Arial"/>
          <w:b/>
          <w:bCs/>
          <w:color w:val="000000"/>
          <w:szCs w:val="20"/>
          <w:shd w:val="clear" w:color="auto" w:fill="FFFFFF"/>
          <w:lang w:val="sl-SI"/>
        </w:rPr>
      </w:pPr>
    </w:p>
    <w:p w14:paraId="47A5D1AF" w14:textId="77777777" w:rsidR="001D3CA4" w:rsidRDefault="001D3CA4">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7E1E0AD4" w14:textId="27356D10"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16. členu</w:t>
      </w:r>
    </w:p>
    <w:p w14:paraId="61925E9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določbe četrtega in petega odstavka 11. člena Direktive 2022/2555/EU, ki za dosego ciljev določa vzpostavitev sodelovanj</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z ustreznimi deležniki iz zasebnega sektorja.</w:t>
      </w:r>
    </w:p>
    <w:p w14:paraId="47440FE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prvem odstavku predloga je predvideno sodelovanje skupin CSIRT z ustreznimi deležniki iz zasebnega sektorja, s katerimi se lahko sklepajo tudi dogovori o sodelovanj</w:t>
      </w:r>
      <w:r>
        <w:rPr>
          <w:rFonts w:cs="Arial"/>
          <w:color w:val="000000"/>
          <w:szCs w:val="20"/>
          <w:shd w:val="clear" w:color="auto" w:fill="FFFFFF"/>
          <w:lang w:val="sl-SI"/>
        </w:rPr>
        <w:t>u</w:t>
      </w:r>
      <w:r w:rsidRPr="003077CA">
        <w:rPr>
          <w:rFonts w:cs="Arial"/>
          <w:color w:val="000000"/>
          <w:szCs w:val="20"/>
          <w:shd w:val="clear" w:color="auto" w:fill="FFFFFF"/>
          <w:lang w:val="sl-SI"/>
        </w:rPr>
        <w:t>. Slednje prispeva k večji transparentnosti sodelovanja.</w:t>
      </w:r>
    </w:p>
    <w:p w14:paraId="19225E6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pa določa način in namen sodelovanja ter taksonomijo. </w:t>
      </w:r>
    </w:p>
    <w:p w14:paraId="568CF86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nalaga skupini CSIRT, ki zazna ranljivost informacijsko-komunikacijskega sistema, da mora o tem subjekt iz prvega odstavka nemudoma obvestiti.</w:t>
      </w:r>
    </w:p>
    <w:p w14:paraId="79215BF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FD2959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17. členu</w:t>
      </w:r>
    </w:p>
    <w:p w14:paraId="1CC24B0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določbe 12. člena Direktive 2022/2555/EU, ki vpeljuje rešitev usklajenega razkrivanja ranljivosti in evropsko podatkovno zbirko ranljivosti.</w:t>
      </w:r>
      <w:r w:rsidRPr="003077CA">
        <w:rPr>
          <w:rFonts w:cs="Arial"/>
          <w:szCs w:val="20"/>
          <w:lang w:val="sl-SI" w:eastAsia="sl-SI"/>
        </w:rPr>
        <w:t xml:space="preserve"> </w:t>
      </w:r>
      <w:r w:rsidRPr="003077CA">
        <w:rPr>
          <w:rFonts w:cs="Arial"/>
          <w:color w:val="000000"/>
          <w:szCs w:val="20"/>
          <w:shd w:val="clear" w:color="auto" w:fill="FFFFFF"/>
          <w:lang w:val="sl-SI"/>
        </w:rPr>
        <w:t>Dostop do točnih in pravočasnih informacij o ranljivostih, ki vplivajo na proizvode IKT in storitve IKT, prispeva k okrepljenemu obvladovanju tveganj za kibernetsko varnost. Viri javno dostopnih informacij o ranljivostih so pomembno orodje za subjekte in uporabnike njihovih storitev, pa tudi za pristojne organe in skupine CSIRT. Zato bo ENISA vzpostavila evropsko podatkovno zbirko ranljivosti, v kateri bodo subjekti</w:t>
      </w:r>
      <w:r>
        <w:rPr>
          <w:rFonts w:cs="Arial"/>
          <w:color w:val="000000"/>
          <w:szCs w:val="20"/>
          <w:shd w:val="clear" w:color="auto" w:fill="FFFFFF"/>
          <w:lang w:val="sl-SI"/>
        </w:rPr>
        <w:t xml:space="preserve"> ter</w:t>
      </w:r>
      <w:r w:rsidRPr="003077CA">
        <w:rPr>
          <w:rFonts w:cs="Arial"/>
          <w:color w:val="000000"/>
          <w:szCs w:val="20"/>
          <w:shd w:val="clear" w:color="auto" w:fill="FFFFFF"/>
          <w:lang w:val="sl-SI"/>
        </w:rPr>
        <w:t xml:space="preserve"> pristojni organi in skupine CSIRT lahko prostovoljno razkrivali in evidentirali javno znane ranljivosti z namenom, da se uporabnikom omogoči sprejetje ustreznih blažilnih ukrepov. </w:t>
      </w:r>
    </w:p>
    <w:p w14:paraId="64C51EB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postopek določitve koordinatorja za usklajeno razkrivanje ranljivosti v Republiki Sloveniji (v nadaljnjem besedilu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koordinator). Koordinator olajšuje sodelovanje med fizično ali pravno osebo, ki poroča o ranljivostih, in proizvajalcem ali ponudnikom proizvodov IKT ali storitev IKT, ki naj bi zajemali ranljivost, in sicer na pobudo katere koli stranke. Pojasnjujemo, da SI-CERT omenjeno nalogo že samoiniciativno opravlja od oktobra 2023. </w:t>
      </w:r>
    </w:p>
    <w:p w14:paraId="79381DC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določa naloge koordinatorja. Tretji odstavek predloga omogoča, da fizične ali pravne osebe lahko koordinatorju o ranljivostih poročajo anonimno. Koordinator po potrebi sodeluje z drugimi skupinami CSIRT, ki so imenovane za koordinatorke v okviru mreže skupin CSIRT. Četrti odstavek predloga nalaga koordinatorju sodelovanje z ENISO, ki vodi evropsko podatkovno zbirko ranljivosti. Peti odstavek pa določa, da koordinator posreduje PNO tedensko poročilo o izvajanju svojih nalog iz tega člena. </w:t>
      </w:r>
    </w:p>
    <w:p w14:paraId="78DB708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579A47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18. členu</w:t>
      </w:r>
    </w:p>
    <w:p w14:paraId="76A761F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členu gre za prenos določbe 13. člena Direktive 2022/2555/EU o sodelovanju na nacionalni ravni.</w:t>
      </w:r>
    </w:p>
    <w:p w14:paraId="0E6525E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določa, da PNO vzpostavi ustrezno sodelovanje med PNO, enotno kontaktno točko in skupinami CSIRT z namenom učinkovitega opravljanja nalog in obveznosti na nacionalni ravni. Oblike sodelovanja se izvajajo na način, da medsebojno sodelujejo pri izpolnjevanju obveznosti; da sodelujejo z Javno agencijo za civilno letalstvo Republike Slovenije, Upravo Republike Slovenije za jedrsko varnost, Inšpekcijo za informacijsko družbo, Banko Slovenije, Agencijo za komunikacijska omrežja in storitve Republike Slovenije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pristojnim organom iz zakona, ki ureja področje kritične infrastrukture</w:t>
      </w:r>
      <w:r>
        <w:rPr>
          <w:rFonts w:cs="Arial"/>
          <w:color w:val="000000"/>
          <w:szCs w:val="20"/>
          <w:shd w:val="clear" w:color="auto" w:fill="FFFFFF"/>
          <w:lang w:val="sl-SI"/>
        </w:rPr>
        <w:t xml:space="preserve">, in </w:t>
      </w:r>
      <w:r w:rsidRPr="003077CA">
        <w:rPr>
          <w:rFonts w:cs="Arial"/>
          <w:color w:val="000000"/>
          <w:szCs w:val="20"/>
          <w:shd w:val="clear" w:color="auto" w:fill="FFFFFF"/>
          <w:lang w:val="sl-SI"/>
        </w:rPr>
        <w:t xml:space="preserve">pristojnimi organi oziroma sektorskimi regulatorji iz drugih področnih zakonov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področij, ki jim pripadajo zavezanci iz 6. člena tega zakona, z organi kazenskega pregona in Informacijskim pooblaščencem, če to ne škoduje izvajanju pristojnosti nadzora ali odločanja organov; da redno sodelujejo s pristojnim organom iz zakona, ki ureja </w:t>
      </w:r>
      <w:r w:rsidRPr="003077CA">
        <w:rPr>
          <w:rFonts w:cs="Arial"/>
          <w:color w:val="000000"/>
          <w:szCs w:val="20"/>
          <w:shd w:val="clear" w:color="auto" w:fill="FFFFFF"/>
          <w:lang w:val="sl-SI"/>
        </w:rPr>
        <w:lastRenderedPageBreak/>
        <w:t>področje kritične infrastrukture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 izmenjujejo informacije o identifikaciji kritičnih subjektov, o tveganjih, kibernetskih grožnjah in incidentih, pa tudi o nekibernetskih tveganjih, grožnjah in izrednih dogodkih na področju kritične infrastrukture, ki vplivajo na bistvene subjekte, ki so opredeljeni kot kritični subjekti na podlagi zakona, ki ureja področje kritične infrastrukture, ter o ukrepih, sprejetih v odziv na takšna tveganja, grožnje, incidente in izredne dogodke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redno izmenjujejo informacije, tudi o relevantnih incidentih in kibernetskih grožnjah z Inšpekcijo za informacijsko družbo, Informacijskim pooblaščencem, Banko Slovenije, Javno agencijo za civilno letalstvo Republike Slovenije in Agencijo za komunikacijska omrežja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storitve Republike Slovenije, </w:t>
      </w:r>
      <w:r>
        <w:rPr>
          <w:rFonts w:cs="Arial"/>
          <w:color w:val="000000"/>
          <w:szCs w:val="20"/>
          <w:shd w:val="clear" w:color="auto" w:fill="FFFFFF"/>
          <w:lang w:val="sl-SI"/>
        </w:rPr>
        <w:t>N</w:t>
      </w:r>
      <w:r w:rsidRPr="003077CA">
        <w:rPr>
          <w:rFonts w:cs="Arial"/>
          <w:color w:val="000000"/>
          <w:szCs w:val="20"/>
          <w:shd w:val="clear" w:color="auto" w:fill="FFFFFF"/>
          <w:lang w:val="sl-SI"/>
        </w:rPr>
        <w:t>acionalnim varnostnim organom za varovanje tajnih podatkov po Zakonu o tajnih podatkih in drugimi področnimi regulatorji. Predvideno je tudi redno sodelovanje z osrednjim organom za odzivanje na hibridne grožnje, s katerim si izmenjujejo informacije o tveganjih, kibernetskih grožnjah in incidentih, pa tudi o nekibernetskih tveganjih, grožnjah in incidentih, ki bi nakazovali hibridno delovanje, ter o ukrepih, sprejetih v odziv na takšna tveganja, grožnje in incidente</w:t>
      </w:r>
      <w:r>
        <w:rPr>
          <w:rFonts w:cs="Arial"/>
          <w:color w:val="000000"/>
          <w:szCs w:val="20"/>
          <w:shd w:val="clear" w:color="auto" w:fill="FFFFFF"/>
          <w:lang w:val="sl-SI"/>
        </w:rPr>
        <w:t>.</w:t>
      </w:r>
    </w:p>
    <w:p w14:paraId="596CEB1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določa obveznost medsebojne izmenjave informacij o incidentih, kibernetskih grožnjah in skorajšnjih incidentih med deležniki. Za ta namen PNO vzpostavi digitalno platformo.</w:t>
      </w:r>
    </w:p>
    <w:p w14:paraId="42846E3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6D85BE3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19. členu</w:t>
      </w:r>
    </w:p>
    <w:p w14:paraId="3EDE928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določbe 19. člena Direktive 2022/2555/EU o medsebojnih strokovnih pregledih. Namen instituta medsebojnega strokovnega pregleda je, da bi se pripomoglo k učenju iz skupnih izkušenj, krepilo medsebojno zaupanje in dosegla visoko skupno raven kibernetske varnosti. Medsebojni strokovni pregledi lahko omogočijo pomembna spoznanja in priporočila, ki krepijo splošne zmogljivosti za kibernetsko varnost, ustvarijo dodatno funkcionalno pot za izmenjavo primerov dobre prakse med državami članicami in prispevajo k izboljšanju zrelosti držav članic na področju kibernetske varnosti. Medsebojni strokovni pregledi morajo upoštevati rezultate podobnih mehanizmov, kot je sistem medsebojnega strokovnega pregleda mreže skupin CSIRT, dodati vrednost in preprečiti podvajanje. Seveda pa izvajanje medsebojnih strokovnih pregledov ne sme posegati v pravo EU ali nacionalno pravo o varstvu osebnih ali tajnih podatkov</w:t>
      </w:r>
    </w:p>
    <w:p w14:paraId="7BA8236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da PNO lahko odloči, da z namenom učenja iz skupnih izkušenj, okrepitve medsebojnega zaupanja, doseganja visoke skupne ravni kibernetske varnosti ter okrepitve zmogljivosti in politike na področju kibernetske varnosti pristopi k medsebojnim strokovnim pregledom, ki jih izvajajo imenovani strokovnjaki s področja kibernetske varnosti drugih držav članic Evropske unije. Evropsk</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komisija in ENISA sodelujeta v medsebojnih strokovnih pregledih kot opazovalki. Drugi odstavek predloga določa področja medsebojnih strokovnih pregledov. Tretji odstavek predloga določa, da se uporablja metodologija, ki jo pripravi Skupina za sodelovanje. Četrti odstavek predloga določa postopke pred začetkom medsebojnega strokovnega pregleda. PNO lahko v skladu s petim odstavkom predloga pred začetkom medsebojnega strokovnega pregleda izvede samooceno vidikov, ki bodo pregledani. Šesti odstavek predloga določa obseg medsebojnih strokovnih pregledov, medtem ko sedmi odstavek predloga omejuje uporabo informacij</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pridobljenih v okviru medsebojnega strokovnega pregleda. Osmi odstavek predlog</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določa način izbire strokovnjakov. PNO lahko v skladu z devetim odstavkom predloga nasprotuje imenovanju posameznih strokovnjakov. V skladu z desetim odstavkom predloga strokovnjaki za kibernetsko varnost, ki sodelujejo v medsebojnih strokovnih pregledih, pripravijo poročila o ugotovitvah. PNO lahko v skladu z enajstim odstavkom predloga predloži pripombe na osnutek poročila ter se lahko odloči, da objavi poročilo v celoti ali njegovo redigirano različico na osrednjem spletnem mestu državne uprave.</w:t>
      </w:r>
    </w:p>
    <w:p w14:paraId="7C620E03" w14:textId="77777777" w:rsidR="000A51A5" w:rsidRDefault="000A51A5" w:rsidP="000A51A5">
      <w:pPr>
        <w:spacing w:line="240" w:lineRule="auto"/>
        <w:rPr>
          <w:rFonts w:cs="Arial"/>
          <w:b/>
          <w:bCs/>
          <w:color w:val="000000"/>
          <w:szCs w:val="20"/>
          <w:shd w:val="clear" w:color="auto" w:fill="FFFFFF"/>
          <w:lang w:val="sl-SI"/>
        </w:rPr>
      </w:pPr>
    </w:p>
    <w:p w14:paraId="58C077E8" w14:textId="77777777" w:rsidR="000A51A5" w:rsidRDefault="000A51A5" w:rsidP="000A51A5">
      <w:pPr>
        <w:spacing w:line="240" w:lineRule="auto"/>
        <w:rPr>
          <w:rFonts w:cs="Arial"/>
          <w:b/>
          <w:bCs/>
          <w:color w:val="000000"/>
          <w:szCs w:val="20"/>
          <w:shd w:val="clear" w:color="auto" w:fill="FFFFFF"/>
          <w:lang w:val="sl-SI"/>
        </w:rPr>
      </w:pPr>
    </w:p>
    <w:p w14:paraId="6AC4F1FF" w14:textId="77777777" w:rsidR="000A51A5" w:rsidRDefault="000A51A5" w:rsidP="000A51A5">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2084A10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IV. Ukrepi za obvladovanje tveganj in priglasitve incidentov</w:t>
      </w:r>
    </w:p>
    <w:p w14:paraId="1B213D11" w14:textId="77777777" w:rsidR="000A51A5" w:rsidRPr="003077CA" w:rsidRDefault="000A51A5" w:rsidP="000A51A5">
      <w:pPr>
        <w:spacing w:after="120" w:line="276" w:lineRule="auto"/>
        <w:jc w:val="both"/>
        <w:rPr>
          <w:rFonts w:cs="Arial"/>
          <w:color w:val="000000"/>
          <w:szCs w:val="20"/>
          <w:shd w:val="clear" w:color="auto" w:fill="FFFFFF"/>
          <w:lang w:val="sl-SI"/>
        </w:rPr>
      </w:pPr>
    </w:p>
    <w:p w14:paraId="6530744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Poglavje vsebuje določbe glede upravljanja, varnostne dokumentacije bistvenih in pomembnih subjektov, ukrepov za obvladovanje tveganj za kibernetsko varnost bistvenih in pomembnih subjektov, dnevniških zapisov, obvez posredovanja podatkov in informacij, certifikacijske sheme za kibernetsko varnost, standardizacije in obveznosti priglašanja incidentov ter obveščanja. Določa tudi postopek priglasitve pomembnih incidentov.</w:t>
      </w:r>
    </w:p>
    <w:p w14:paraId="0EE92C4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255200D"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 xml:space="preserve">K 20. členu </w:t>
      </w:r>
    </w:p>
    <w:p w14:paraId="36BB4E4B"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color w:val="000000"/>
          <w:szCs w:val="20"/>
          <w:shd w:val="clear" w:color="auto" w:fill="FFFFFF"/>
          <w:lang w:val="sl-SI"/>
        </w:rPr>
        <w:t xml:space="preserve">V tem predlogu člena gre za prenos določbe 20. člena Direktive 2022/2555/EU o upravljanju. </w:t>
      </w:r>
    </w:p>
    <w:p w14:paraId="4AB7563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da so odgovorne osebe pravnih oseb oziroma člani poslovodnih organov in predstojniki subjektov javne uprave bistvenega ali pomembnega subjekta, odgovorn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za izvajanje ukrepov za obvladovanje tveganj za kibernetsko varnost v skladu z določbami tega zakona.</w:t>
      </w:r>
    </w:p>
    <w:p w14:paraId="7673FE1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določa oziroma izrecno poudarja, da so odgovorne osebe tiste, ki so pristojne in odgovorne za informacijsko in kibernetsko varnost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morajo odobriti oziroma zagotavljati ukrepe za obvladovanje tveganj za kibernetsko varnost, ki jih subjekt izvaja zaradi izpolnjevanja obveznosti, določenih s tem zakonom</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izvajati dolžno nadzorstvo nad njihovim izvajanjem. </w:t>
      </w:r>
    </w:p>
    <w:p w14:paraId="5AE8487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nalaga odgovornim osebam, da se morajo izobraževati oziroma usposabljati na področju obvladovanja tveganj kibernetske varnosti in njihovega vpliva na dejavnosti oziroma storitve, ki jih izvaja zadevni subjekt. Navedeno </w:t>
      </w:r>
      <w:r>
        <w:rPr>
          <w:rFonts w:cs="Arial"/>
          <w:color w:val="000000"/>
          <w:szCs w:val="20"/>
          <w:shd w:val="clear" w:color="auto" w:fill="FFFFFF"/>
          <w:lang w:val="sl-SI"/>
        </w:rPr>
        <w:t>i</w:t>
      </w:r>
      <w:r w:rsidRPr="003077CA">
        <w:rPr>
          <w:rFonts w:cs="Arial"/>
          <w:color w:val="000000"/>
          <w:szCs w:val="20"/>
          <w:shd w:val="clear" w:color="auto" w:fill="FFFFFF"/>
          <w:lang w:val="sl-SI"/>
        </w:rPr>
        <w:t>zobraževanje oziroma usposabljanje morajo odgovorne osebe opraviti najmanj vsake štiri leta.</w:t>
      </w:r>
    </w:p>
    <w:p w14:paraId="1C31FF3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predloga nalaga odgovornim osebam dolžnost zagotavljanja rednega usposabljanja zaposlenim, da pridobijo dovolj znanj, spretnosti in sposobnosti za prepoznavanje in ocenjevanje tveganj in za oceno praks obvladovanja tveganj za kibernetsko varnost ter njihovega vpliva na storitve, ki jih opravlja zadevni subjekt, ki pa so lahko sektorsko specifične, odvisno od storitev, ki jih tak subjekt oziroma zavezanec izvaja. </w:t>
      </w:r>
    </w:p>
    <w:p w14:paraId="4517A01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določa, da mora odgovorna oseba zagotoviti, da imajo vsi skrbniki informacijsko</w:t>
      </w:r>
      <w:r>
        <w:rPr>
          <w:rFonts w:cs="Arial"/>
          <w:color w:val="000000"/>
          <w:szCs w:val="20"/>
          <w:shd w:val="clear" w:color="auto" w:fill="FFFFFF"/>
          <w:lang w:val="sl-SI"/>
        </w:rPr>
        <w:t>-</w:t>
      </w:r>
      <w:r w:rsidRPr="003077CA">
        <w:rPr>
          <w:rFonts w:cs="Arial"/>
          <w:color w:val="000000"/>
          <w:szCs w:val="20"/>
          <w:shd w:val="clear" w:color="auto" w:fill="FFFFFF"/>
          <w:lang w:val="sl-SI"/>
        </w:rPr>
        <w:t>komunikacijskih sistemov zavezanca obveznost rednega letnega usposabljanja, da pridobijo in ohranijo raven znanj in spretnosti, ki jih usposobi za prepoznavanje in ocenjevanje tveganj in za oceno praks obvladovanja tveganj za kibernetsko varnost ter njihovega vpliva na storitve, ki jih opravlja zadevni subjekt. Redna izobraževanja oziroma usposabljanja skrbnikov takih sistemov so zelo pomembna pri zagotavljanju informacijske oziroma kibernetske varnosti.</w:t>
      </w:r>
    </w:p>
    <w:p w14:paraId="366663E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color w:val="000000"/>
          <w:szCs w:val="20"/>
          <w:shd w:val="clear" w:color="auto" w:fill="FFFFFF"/>
          <w:lang w:val="sl-SI"/>
        </w:rPr>
        <w:t xml:space="preserve">Šesti odstavek predloga daje pristojnost na področju usposabljanja odgovornih oseb pravnih oseb oziroma članov poslovodnih organov in predstojnikom subjektov javne uprave bistvenega ali </w:t>
      </w:r>
      <w:r w:rsidRPr="00326F69">
        <w:rPr>
          <w:rFonts w:cs="Arial"/>
          <w:color w:val="000000"/>
          <w:szCs w:val="20"/>
          <w:shd w:val="clear" w:color="auto" w:fill="FFFFFF"/>
          <w:lang w:val="sl-SI"/>
        </w:rPr>
        <w:t>pomembnega subjekta, pristojnemu nacionalnemu organu za kibernetsko varnost</w:t>
      </w:r>
      <w:r w:rsidRPr="003077CA">
        <w:rPr>
          <w:rFonts w:cs="Arial"/>
          <w:color w:val="000000"/>
          <w:szCs w:val="20"/>
          <w:shd w:val="clear" w:color="auto" w:fill="FFFFFF"/>
          <w:lang w:val="sl-SI"/>
        </w:rPr>
        <w:t>. Program, način in izvajalc</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izvajanja usposabljanja ter način usposabljanja odgovornih oseb na področju informacijske varnosti bo</w:t>
      </w:r>
      <w:r>
        <w:rPr>
          <w:rFonts w:cs="Arial"/>
          <w:color w:val="000000"/>
          <w:szCs w:val="20"/>
          <w:shd w:val="clear" w:color="auto" w:fill="FFFFFF"/>
          <w:lang w:val="sl-SI"/>
        </w:rPr>
        <w:t>do</w:t>
      </w:r>
      <w:r w:rsidRPr="003077CA">
        <w:rPr>
          <w:rFonts w:cs="Arial"/>
          <w:color w:val="000000"/>
          <w:szCs w:val="20"/>
          <w:shd w:val="clear" w:color="auto" w:fill="FFFFFF"/>
          <w:lang w:val="sl-SI"/>
        </w:rPr>
        <w:t xml:space="preserve"> predpisan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z uredbo vlade.</w:t>
      </w:r>
    </w:p>
    <w:p w14:paraId="1113A04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color w:val="000000"/>
          <w:szCs w:val="20"/>
          <w:shd w:val="clear" w:color="auto" w:fill="FFFFFF"/>
          <w:lang w:val="sl-SI"/>
        </w:rPr>
        <w:t>Sedmi odstavek predloga zakona določa pristojnemu nacionalnemu organu pristojnost oziroma pravno podlago za vodenje seznama odgovornih oseb, ki so opravil</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predpisano izobraževanje oziroma usposabljanje na področju obvladovanja tveganj kibernetske varnosti</w:t>
      </w:r>
      <w:r>
        <w:rPr>
          <w:rFonts w:cs="Arial"/>
          <w:color w:val="000000"/>
          <w:szCs w:val="20"/>
          <w:shd w:val="clear" w:color="auto" w:fill="FFFFFF"/>
          <w:lang w:val="sl-SI"/>
        </w:rPr>
        <w:t>, ter</w:t>
      </w:r>
      <w:r w:rsidRPr="003077CA">
        <w:rPr>
          <w:rFonts w:cs="Arial"/>
          <w:color w:val="000000"/>
          <w:szCs w:val="20"/>
          <w:shd w:val="clear" w:color="auto" w:fill="FFFFFF"/>
          <w:lang w:val="sl-SI"/>
        </w:rPr>
        <w:t xml:space="preserve"> določa nabor potrebnih osebnih podatkov za vodenje navedene evidence.</w:t>
      </w:r>
    </w:p>
    <w:p w14:paraId="38F8E4A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21. členu</w:t>
      </w:r>
    </w:p>
    <w:p w14:paraId="3F6926E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Trenutno veljavni ZInfV zavezance deli na državne organe, izvajalce bistvenih storitev, ponudnike digitalnih storitev in povezane subjekte, pri čemer ima vsaka kategorija subjekta skupni člen, v </w:t>
      </w:r>
      <w:r w:rsidRPr="003077CA">
        <w:rPr>
          <w:rFonts w:cs="Arial"/>
          <w:color w:val="000000"/>
          <w:szCs w:val="20"/>
          <w:shd w:val="clear" w:color="auto" w:fill="FFFFFF"/>
          <w:lang w:val="sl-SI"/>
        </w:rPr>
        <w:lastRenderedPageBreak/>
        <w:t>katerem so opredeljeni varnostna dokumentacija in varnostni ukrepi. Predlog novega ZInfV v skladu z Direktivo 2022/2555/EU določa le dve kategoriji zavezancev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bistvene in pomembne subjekte. Dokumentacija in varnostni ukrepi sta razdeljena v dva člena, pri čemer 21. člen določa varnostno dokumentacijo (22. člen pa varnostne ukrepe). </w:t>
      </w:r>
    </w:p>
    <w:p w14:paraId="40070B6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določa obvezno varnostno dokumentacijo, ki jo morata imeti obe kategoriji subjektov, torej tako bistveni kot pomembni. Predlog jim nalaga obveznost vzpostavitve in vzdrževanja dokumentiranega sistema upravljanja varovanja informacij (SUVI), ki ima najmanj osem obveznih sestavin (točke </w:t>
      </w:r>
      <w:r>
        <w:rPr>
          <w:rFonts w:cs="Arial"/>
          <w:color w:val="000000"/>
          <w:szCs w:val="20"/>
          <w:shd w:val="clear" w:color="auto" w:fill="FFFFFF"/>
          <w:lang w:val="sl-SI"/>
        </w:rPr>
        <w:t xml:space="preserve">od </w:t>
      </w:r>
      <w:r w:rsidRPr="003077CA">
        <w:rPr>
          <w:rFonts w:cs="Arial"/>
          <w:color w:val="000000"/>
          <w:szCs w:val="20"/>
          <w:shd w:val="clear" w:color="auto" w:fill="FFFFFF"/>
          <w:lang w:val="sl-SI"/>
        </w:rPr>
        <w:t xml:space="preserve">1. do 8.). </w:t>
      </w:r>
      <w:r>
        <w:rPr>
          <w:rFonts w:cs="Arial"/>
          <w:color w:val="000000"/>
          <w:szCs w:val="20"/>
          <w:shd w:val="clear" w:color="auto" w:fill="FFFFFF"/>
          <w:lang w:val="sl-SI"/>
        </w:rPr>
        <w:t>Večinoma</w:t>
      </w:r>
      <w:r w:rsidRPr="003077CA">
        <w:rPr>
          <w:rFonts w:cs="Arial"/>
          <w:color w:val="000000"/>
          <w:szCs w:val="20"/>
          <w:shd w:val="clear" w:color="auto" w:fill="FFFFFF"/>
          <w:lang w:val="sl-SI"/>
        </w:rPr>
        <w:t xml:space="preserve"> je dokumentacija podobna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obvezni (12. in 17. člen veljavnega ZInfV), pri čemer so dodani še elementi iz 21. člena Direktive 2022/2555/EU. Novi sta tako 1. in 8. točka, sicer pa je predpisana dokumentacija skoraj popolnoma identična obvezni dokumentaciji, ki jo predpisuje</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veljavni Zakon o informacijski varnosti in oba predpisa, izdana na njegovi podlagi.</w:t>
      </w:r>
    </w:p>
    <w:p w14:paraId="694DDFF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zavezancem nalaga, da morajo določiti obseg sistema upravljanja in varovanja informacij ter neprekinjenega poslovanja na podlagi rezultatov analize vpliva na poslovanje (angl</w:t>
      </w:r>
      <w:r>
        <w:rPr>
          <w:rFonts w:cs="Arial"/>
          <w:color w:val="000000"/>
          <w:szCs w:val="20"/>
          <w:shd w:val="clear" w:color="auto" w:fill="FFFFFF"/>
          <w:lang w:val="sl-SI"/>
        </w:rPr>
        <w:t>eško</w:t>
      </w:r>
      <w:r w:rsidRPr="003077CA">
        <w:rPr>
          <w:rFonts w:cs="Arial"/>
          <w:color w:val="000000"/>
          <w:szCs w:val="20"/>
          <w:shd w:val="clear" w:color="auto" w:fill="FFFFFF"/>
          <w:lang w:val="sl-SI"/>
        </w:rPr>
        <w:t xml:space="preserve"> </w:t>
      </w:r>
      <w:r w:rsidRPr="000F762B">
        <w:rPr>
          <w:rFonts w:cs="Arial"/>
          <w:i/>
          <w:iCs/>
          <w:color w:val="000000"/>
          <w:szCs w:val="20"/>
          <w:shd w:val="clear" w:color="auto" w:fill="FFFFFF"/>
          <w:lang w:val="sl-SI"/>
        </w:rPr>
        <w:t>BIA –</w:t>
      </w:r>
      <w:r w:rsidRPr="003077CA">
        <w:rPr>
          <w:rFonts w:cs="Arial"/>
          <w:color w:val="000000"/>
          <w:szCs w:val="20"/>
          <w:shd w:val="clear" w:color="auto" w:fill="FFFFFF"/>
          <w:lang w:val="sl-SI"/>
        </w:rPr>
        <w:t xml:space="preserve"> </w:t>
      </w:r>
      <w:r w:rsidRPr="003077CA">
        <w:rPr>
          <w:rFonts w:cs="Arial"/>
          <w:i/>
          <w:iCs/>
          <w:color w:val="000000"/>
          <w:szCs w:val="20"/>
          <w:shd w:val="clear" w:color="auto" w:fill="FFFFFF"/>
          <w:lang w:val="sl-SI"/>
        </w:rPr>
        <w:t>Business Impact Analysis</w:t>
      </w:r>
      <w:r w:rsidRPr="003077CA">
        <w:rPr>
          <w:rFonts w:cs="Arial"/>
          <w:color w:val="000000"/>
          <w:szCs w:val="20"/>
          <w:shd w:val="clear" w:color="auto" w:fill="FFFFFF"/>
          <w:lang w:val="sl-SI"/>
        </w:rPr>
        <w:t>). Šele z opravljeno analizo vpliva na poslovanja (prepoznavo kritičnih procesov in potrebnih virov), ob upoštevanju izvajanja bistvenih in pomembnih storitev iz priloge 1 ali 2 predloga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lahko namreč subjekti realno ocenijo in določijo potreben obseg sistema upravljanja in varovanja informacij ter neprekinjenega poslovanja.</w:t>
      </w:r>
    </w:p>
    <w:p w14:paraId="6B96B7C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določa, da subjektom, ki že imajo izdelano dokumentacijo na podlagi drugih predpisov, ni </w:t>
      </w:r>
      <w:r>
        <w:rPr>
          <w:rFonts w:cs="Arial"/>
          <w:color w:val="000000"/>
          <w:szCs w:val="20"/>
          <w:shd w:val="clear" w:color="auto" w:fill="FFFFFF"/>
          <w:lang w:val="sl-SI"/>
        </w:rPr>
        <w:t>treba</w:t>
      </w:r>
      <w:r w:rsidRPr="003077CA">
        <w:rPr>
          <w:rFonts w:cs="Arial"/>
          <w:color w:val="000000"/>
          <w:szCs w:val="20"/>
          <w:shd w:val="clear" w:color="auto" w:fill="FFFFFF"/>
          <w:lang w:val="sl-SI"/>
        </w:rPr>
        <w:t xml:space="preserve"> izdelati celotne dokumentacije na novo, temveč le </w:t>
      </w:r>
      <w:r>
        <w:rPr>
          <w:rFonts w:cs="Arial"/>
          <w:color w:val="000000"/>
          <w:szCs w:val="20"/>
          <w:shd w:val="clear" w:color="auto" w:fill="FFFFFF"/>
          <w:lang w:val="sl-SI"/>
        </w:rPr>
        <w:t>veljavno</w:t>
      </w:r>
      <w:r w:rsidRPr="003077CA">
        <w:rPr>
          <w:rFonts w:cs="Arial"/>
          <w:color w:val="000000"/>
          <w:szCs w:val="20"/>
          <w:shd w:val="clear" w:color="auto" w:fill="FFFFFF"/>
          <w:lang w:val="sl-SI"/>
        </w:rPr>
        <w:t xml:space="preserve"> dopolnijo tako, da je skladna s predlogom tega zakona. Predpisana obvezna dokumentacija s tem predlogom zakona je skoraj popolnoma identična obvezni dokumentaciji, ki jo predpisuje</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veljavni Zakon o informacijski varnosti in oba predpisa, izdana na njegovi podlagi, kar bo zavezancem bistveno olajšalo potrebne prilagoditve novemu predpisu.</w:t>
      </w:r>
    </w:p>
    <w:p w14:paraId="10149F4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nalaga subjektom, ki s</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povezujejo s centralnim državnim informacijsko-komunikacijskim omrežjem oziroma sistemom in zanje izvaja naloge iz prvega odstavka 74.a člena ZDU-1 ministrstvo, pristojno za upravljanje informacijsko-komunikacijskih sistemov (upravljavec sistema), da izvedejo popis informacijskih sredstev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tistih informacijskih sredstev, ki podpirajo njegove glavne oziroma pomembne storitve in procese za zagotovitev povezave s centralnim državnim informacijsko-komunikacijskim omrežjem oziroma sistemov v sodelovanju z upravljavcem sistema. Upravlja</w:t>
      </w:r>
      <w:r>
        <w:rPr>
          <w:rFonts w:cs="Arial"/>
          <w:color w:val="000000"/>
          <w:szCs w:val="20"/>
          <w:shd w:val="clear" w:color="auto" w:fill="FFFFFF"/>
          <w:lang w:val="sl-SI"/>
        </w:rPr>
        <w:t>v</w:t>
      </w:r>
      <w:r w:rsidRPr="003077CA">
        <w:rPr>
          <w:rFonts w:cs="Arial"/>
          <w:color w:val="000000"/>
          <w:szCs w:val="20"/>
          <w:shd w:val="clear" w:color="auto" w:fill="FFFFFF"/>
          <w:lang w:val="sl-SI"/>
        </w:rPr>
        <w:t xml:space="preserve">ec sistema je takemu subjektu za izvedbo navedene obveznosti dolžan posredovati potrebne podatke v 15 dneh od prejema takega zahtevka. Točen in ažuren popis informacijskih virov je namreč temelj za obvladovanje tveganj informacijske varnosti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izvajanje vseh predpisanih postopkov in varnostnih ukrepov.</w:t>
      </w:r>
    </w:p>
    <w:p w14:paraId="022F9FA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daje Vladi Republike Slovenije možnost, da s podzakonskim aktom bolj podrobno uredi vsebino in strukturo varnostne dokumentacije, pri čemer upošteva tudi dokumente in priporočila ENISA.</w:t>
      </w:r>
    </w:p>
    <w:p w14:paraId="780C348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predloga zakona izrecno določa, da določeni bistveni in pomembni subjekti, ki so določeni z izvedbenimi akti Evropske komisije, pri pripravi varnostne dokumentacije </w:t>
      </w:r>
      <w:r>
        <w:rPr>
          <w:rFonts w:cs="Arial"/>
          <w:color w:val="000000"/>
          <w:szCs w:val="20"/>
          <w:shd w:val="clear" w:color="auto" w:fill="FFFFFF"/>
          <w:lang w:val="sl-SI"/>
        </w:rPr>
        <w:t>morajo</w:t>
      </w:r>
      <w:r w:rsidRPr="003077CA">
        <w:rPr>
          <w:rFonts w:cs="Arial"/>
          <w:color w:val="000000"/>
          <w:szCs w:val="20"/>
          <w:shd w:val="clear" w:color="auto" w:fill="FFFFFF"/>
          <w:lang w:val="sl-SI"/>
        </w:rPr>
        <w:t xml:space="preserve"> upoštevati veljavne izvedbene akte. Eden od takšnih aktov je izvedbena uredba Komisije (EU) 2024/2690</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 dne 17. oktobra 2024</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 določitvi pravil za uporabo Direktive (EU) 2022/2555 v zvezi s tehničnimi in metodološkimi zahtevami ukrepov za obvladovanje tveganj za kibernetsko varnost ter podrobnejšo opredelitvijo primerov, v katerih se incident šteje za pomembnega, kar zadeva ponudnike storitev DNS, registre TLD imen, ponudnike storitev računalništva v oblaku, ponudnike storitev podatkovnega centra, ponudnike omrežij za dostavo vsebin, ponudnike upravljanih storitev, ponudnike upravljanih varnostnih storitev, ponudnike spletnih tržnic, spletnih iskalnikov in platform za storitve družbenega mreženja ter ponudnike storitev zaupanja.</w:t>
      </w:r>
    </w:p>
    <w:p w14:paraId="07486370"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F1B66DF"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 xml:space="preserve">K 22. členu </w:t>
      </w:r>
    </w:p>
    <w:p w14:paraId="5946792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določa minimalni nabor predpisanih varnostnih ukrepov, ki jih zavezanec </w:t>
      </w:r>
      <w:r>
        <w:rPr>
          <w:rFonts w:cs="Arial"/>
          <w:color w:val="000000"/>
          <w:szCs w:val="20"/>
          <w:shd w:val="clear" w:color="auto" w:fill="FFFFFF"/>
          <w:lang w:val="sl-SI"/>
        </w:rPr>
        <w:t>mora</w:t>
      </w:r>
      <w:r w:rsidRPr="003077CA">
        <w:rPr>
          <w:rFonts w:cs="Arial"/>
          <w:color w:val="000000"/>
          <w:szCs w:val="20"/>
          <w:shd w:val="clear" w:color="auto" w:fill="FFFFFF"/>
          <w:lang w:val="sl-SI"/>
        </w:rPr>
        <w:t xml:space="preserve"> sprejeti in izvajati na podlagi vsebine dokumentacije iz 21. člena.</w:t>
      </w:r>
    </w:p>
    <w:p w14:paraId="7FA224E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obema kategorijama subjektom nalaga obveznost sprejetja ukrepov za zagotavljanje t. i. CIA triade (zaupnost, celovitost, razpoložljivost), s katerimi obvladujejo tveganja za varnost omrežij in informacijskih sistemov, ki jih uporabljajo pri svojem delovanju z namenom, da se čim </w:t>
      </w:r>
      <w:r>
        <w:rPr>
          <w:rFonts w:cs="Arial"/>
          <w:color w:val="000000"/>
          <w:szCs w:val="20"/>
          <w:shd w:val="clear" w:color="auto" w:fill="FFFFFF"/>
          <w:lang w:val="sl-SI"/>
        </w:rPr>
        <w:t>bolj</w:t>
      </w:r>
      <w:r w:rsidRPr="003077CA">
        <w:rPr>
          <w:rFonts w:cs="Arial"/>
          <w:color w:val="000000"/>
          <w:szCs w:val="20"/>
          <w:shd w:val="clear" w:color="auto" w:fill="FFFFFF"/>
          <w:lang w:val="sl-SI"/>
        </w:rPr>
        <w:t xml:space="preserve"> zmanjša možnost pojava oziroma vpliva morebitnih incidentov na uporabnike storitev.</w:t>
      </w:r>
    </w:p>
    <w:p w14:paraId="0A6FA9E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drugem odstavku predloga je naštetih 17 splošnih skupin ukrepov za zagotavljanje CIA, ki so delno povzeti iz Direktive 2022/2555/EU (drugi odstavek 21. člena), delno pa iz </w:t>
      </w:r>
      <w:r>
        <w:rPr>
          <w:rFonts w:cs="Arial"/>
          <w:color w:val="000000"/>
          <w:szCs w:val="20"/>
          <w:shd w:val="clear" w:color="auto" w:fill="FFFFFF"/>
          <w:lang w:val="sl-SI"/>
        </w:rPr>
        <w:t>veljavnega</w:t>
      </w:r>
      <w:r w:rsidRPr="003077CA">
        <w:rPr>
          <w:rFonts w:cs="Arial"/>
          <w:color w:val="000000"/>
          <w:szCs w:val="20"/>
          <w:shd w:val="clear" w:color="auto" w:fill="FFFFFF"/>
          <w:lang w:val="sl-SI"/>
        </w:rPr>
        <w:t xml:space="preserve"> ZInfV ter usklajeni tudi z izvedbeno uredbo Komisije (EU) 2024/2690</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 dne 17. oktobra 2024</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 določitvi pravil za uporabo Direktive (EU) 2022/2555, ki pa morajo temeljiti na pristopu upoštevanja vseh groženj oziroma nevarnosti (okoljske, fizične, kibernetske grožnje ipd.). Posamezni ukrepi oziroma kontrole iz navedenih točk se morajo skladati s prepoznanimi tveganji, drugimi elementi iz predpisane varnostne dokumentacije in specifikami področja, na katerem deluje posamezni subjekt.</w:t>
      </w:r>
    </w:p>
    <w:p w14:paraId="78D6156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določa, katere elemente morajo subjekti upoštevati pri izvedbi varnostnih ukrepov oziroma kontrol iz drugega odstavka in kako izvesti oceno sorazmernosti uvedbe potrebnih varnostnih ukrepov. </w:t>
      </w:r>
    </w:p>
    <w:p w14:paraId="47FFEE6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predloga bolj natančno opredeljuje kriterije, ki jih morajo subjekti upoštevati pri oceni in izvedbi ukrepov, ki se nanašajo na varnost dobavne verige (21. in 22. člen Direktive 2022/2555/EU), </w:t>
      </w:r>
      <w:r>
        <w:rPr>
          <w:rFonts w:cs="Arial"/>
          <w:color w:val="000000"/>
          <w:szCs w:val="20"/>
          <w:shd w:val="clear" w:color="auto" w:fill="FFFFFF"/>
          <w:lang w:val="sl-SI"/>
        </w:rPr>
        <w:t>ki jim</w:t>
      </w:r>
      <w:r w:rsidRPr="003077CA">
        <w:rPr>
          <w:rFonts w:cs="Arial"/>
          <w:color w:val="000000"/>
          <w:szCs w:val="20"/>
          <w:shd w:val="clear" w:color="auto" w:fill="FFFFFF"/>
          <w:lang w:val="sl-SI"/>
        </w:rPr>
        <w:t xml:space="preserve"> daje Direktiva 2022/2555/EU posebno pozornost in pomembnost. Pri tem je eden bistvenih elementov tudi možnost oziroma dolžnost preverjanja izvajanja predpisanih varnost</w:t>
      </w:r>
      <w:r>
        <w:rPr>
          <w:rFonts w:cs="Arial"/>
          <w:color w:val="000000"/>
          <w:szCs w:val="20"/>
          <w:shd w:val="clear" w:color="auto" w:fill="FFFFFF"/>
          <w:lang w:val="sl-SI"/>
        </w:rPr>
        <w:t>n</w:t>
      </w:r>
      <w:r w:rsidRPr="003077CA">
        <w:rPr>
          <w:rFonts w:cs="Arial"/>
          <w:color w:val="000000"/>
          <w:szCs w:val="20"/>
          <w:shd w:val="clear" w:color="auto" w:fill="FFFFFF"/>
          <w:lang w:val="sl-SI"/>
        </w:rPr>
        <w:t>ih ukrepov pri ključnih pogodbenih izvajalcih oziroma dobaviteljih (izvajanje dolžnega nadzorstva).</w:t>
      </w:r>
    </w:p>
    <w:p w14:paraId="4068D0B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subjekte zavezuje k rednemu periodičnemu preverjanju izpolnjevanja predpisanih varnostnih ukrepov in določa obveznosti v primeru odkritih pomanjkljivosti. Predpisano je najmanj enkrat letno preverjanje. Navedeno obdobje pa je lahko tudi krajše ali daljše, kadar to izhaja s posebnosti področja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na katerem deluje posamezni subjekt, kar pa mora biti posebej utemeljeno. Kadar so pri takem preverjanju ugotovljena neskladja ali bistvene spremembe, ki vplivajo na varnost, </w:t>
      </w:r>
      <w:r>
        <w:rPr>
          <w:rFonts w:cs="Arial"/>
          <w:color w:val="000000"/>
          <w:szCs w:val="20"/>
          <w:shd w:val="clear" w:color="auto" w:fill="FFFFFF"/>
          <w:lang w:val="sl-SI"/>
        </w:rPr>
        <w:t>morajo</w:t>
      </w:r>
      <w:r w:rsidRPr="003077CA">
        <w:rPr>
          <w:rFonts w:cs="Arial"/>
          <w:color w:val="000000"/>
          <w:szCs w:val="20"/>
          <w:shd w:val="clear" w:color="auto" w:fill="FFFFFF"/>
          <w:lang w:val="sl-SI"/>
        </w:rPr>
        <w:t xml:space="preserve"> subjekti sprejeti in izvesti potrebne popravne ukrepe.</w:t>
      </w:r>
    </w:p>
    <w:p w14:paraId="101AB46D" w14:textId="77777777" w:rsidR="000A51A5" w:rsidRPr="003077CA" w:rsidRDefault="000A51A5" w:rsidP="000A51A5">
      <w:pPr>
        <w:spacing w:after="120" w:line="276" w:lineRule="auto"/>
        <w:jc w:val="both"/>
        <w:rPr>
          <w:rFonts w:cs="Arial"/>
          <w:color w:val="000000"/>
          <w:szCs w:val="20"/>
          <w:shd w:val="clear" w:color="auto" w:fill="FFFFFF"/>
          <w:lang w:val="sl-SI"/>
        </w:rPr>
      </w:pPr>
      <w:r>
        <w:rPr>
          <w:rFonts w:cs="Arial"/>
          <w:color w:val="000000"/>
          <w:szCs w:val="20"/>
          <w:shd w:val="clear" w:color="auto" w:fill="FFFFFF"/>
          <w:lang w:val="sl-SI"/>
        </w:rPr>
        <w:t>Š</w:t>
      </w:r>
      <w:r w:rsidRPr="003077CA">
        <w:rPr>
          <w:rFonts w:cs="Arial"/>
          <w:color w:val="000000"/>
          <w:szCs w:val="20"/>
          <w:shd w:val="clear" w:color="auto" w:fill="FFFFFF"/>
          <w:lang w:val="sl-SI"/>
        </w:rPr>
        <w:t>esti odstavek predloga se nanaša na peti odstavek 21. člena Direktive 2022/2555/EU, ki zavezuje določene kategorije subjektov: na primer ponudnike digitalnih storitev in registrov, da pri sprejemu varnostnih ukrepov upoštevajo izvedbene akte Evropske komisije, ki so določeni v petem odstavku 21. člena Direktive 2022/2555/EU. Evropska komisija namreč lahko sprejme izvedbene akte, s katerimi določi tehnične in metodološke zahteve, ki jih bodo morale določene kategorije ponudnikov in registrov upoštevati. Eden od takšnih aktov, ki že velja, je izvedbena uredba Komisije (EU) 2024/2690, z dne 17. oktobra 2024, o določitvi pravil za uporabo Direktive 2022/2555/EU v zvezi s tehničnimi in metodološkimi zahtevami ukrepov za obvladovanje tveganj za kibernetsko varnost ter podrobnejšo opredelitvijo primerov, v katerih se incident šteje za pomembnega, kar zadeva ponudnike storitev DNS, registre TLD imen, ponudnike storitev računalništva v oblaku, ponudnike storitev podatkovnega centra, ponudnike omrežij za dostavo vsebin, ponudnike upravljanih storitev, ponudnike upravljanih varnostnih storitev, ponudnike spletnih tržnic, spletnih iskalnikov in platform za storitve družbenega mreženja ter ponudnike storitev zaupanja.</w:t>
      </w:r>
    </w:p>
    <w:p w14:paraId="6B886DD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Sedmi odstavek predloga zavezuje </w:t>
      </w:r>
      <w:r>
        <w:rPr>
          <w:rFonts w:cs="Arial"/>
          <w:color w:val="000000"/>
          <w:szCs w:val="20"/>
          <w:shd w:val="clear" w:color="auto" w:fill="FFFFFF"/>
          <w:lang w:val="sl-SI"/>
        </w:rPr>
        <w:t>pre</w:t>
      </w:r>
      <w:r w:rsidRPr="003077CA">
        <w:rPr>
          <w:rFonts w:cs="Arial"/>
          <w:color w:val="000000"/>
          <w:szCs w:val="20"/>
          <w:shd w:val="clear" w:color="auto" w:fill="FFFFFF"/>
          <w:lang w:val="sl-SI"/>
        </w:rPr>
        <w:t>ostale subjekte, ki niso navedeni v prejšnjem odstavku, da morajo v skladu s predlogom osmega odstavka tega člena upoštevati morebitne druge izvedbene akte Evropske komisije, s katerimi določi tehnične in metodološke zahteve za varnostne ukrepe.</w:t>
      </w:r>
    </w:p>
    <w:p w14:paraId="6BEA024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V predlogu osmega odstavka se uvaja prepoved, po kateri bistveni in pomembni subjekti ne smejo uporabljati informacijsko-komunikacijskih rešitev, ki imajo aktivno izkoriščane ranljivosti, brez dodatne izvedbe ocene tveganja in uvedb</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dodatnih ukrepov, ki znižajo stopnjo tveganja na sprejemljivo raven. Ažuriran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seznam aktivno izkoriščanih ranljivosti je dostopen na relevantnih spletnih straneh. </w:t>
      </w:r>
    </w:p>
    <w:p w14:paraId="0B665AB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predloga bistvenim in pomembnih subjektom nalaga dodatne obveznosti, če za opravljanje svoje dejavnosti črpajo vhodne podatke in informacije iz ključnih delov nacionaln</w:t>
      </w:r>
      <w:r>
        <w:rPr>
          <w:rFonts w:cs="Arial"/>
          <w:color w:val="000000"/>
          <w:szCs w:val="20"/>
          <w:shd w:val="clear" w:color="auto" w:fill="FFFFFF"/>
          <w:lang w:val="sl-SI"/>
        </w:rPr>
        <w:t>ega</w:t>
      </w:r>
      <w:r w:rsidRPr="003077CA">
        <w:rPr>
          <w:rFonts w:cs="Arial"/>
          <w:color w:val="000000"/>
          <w:szCs w:val="20"/>
          <w:shd w:val="clear" w:color="auto" w:fill="FFFFFF"/>
          <w:lang w:val="sl-SI"/>
        </w:rPr>
        <w:t xml:space="preserve"> varnostnega sistema. Za vzpostavitev zahtev v tem primeru s predlagano določbo potrebujejo soglasje pristojnega ministrstva ali vladne službe za posamezni ključni del nacionaln</w:t>
      </w:r>
      <w:r>
        <w:rPr>
          <w:rFonts w:cs="Arial"/>
          <w:color w:val="000000"/>
          <w:szCs w:val="20"/>
          <w:shd w:val="clear" w:color="auto" w:fill="FFFFFF"/>
          <w:lang w:val="sl-SI"/>
        </w:rPr>
        <w:t>ega</w:t>
      </w:r>
      <w:r w:rsidRPr="003077CA">
        <w:rPr>
          <w:rFonts w:cs="Arial"/>
          <w:color w:val="000000"/>
          <w:szCs w:val="20"/>
          <w:shd w:val="clear" w:color="auto" w:fill="FFFFFF"/>
          <w:lang w:val="sl-SI"/>
        </w:rPr>
        <w:t xml:space="preserve"> varnostnega sistema.</w:t>
      </w:r>
    </w:p>
    <w:p w14:paraId="70B2571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Deseti odstavek predloga se nanaša na zaščito centralnega informacijsko-komunikacijskega sistema (HKOM) in upravljavcu nalaga nekatere minimalne obveznosti, ki se nanašajo na subjekte, ki se povezujejo v HKOM (povezani subjekti)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upravljavcu tudi daje pooblastila za določitev varnostnih zahtev za priklop v omrežje in izvedbo nujnih ukrepov, ki se nanašajo na zaščito HKOM omrežja in infrastrukture (npr. začasni odklop subjekta iz HKOM v primeru nesprejemljivih ravnanj oziroma tveganj).</w:t>
      </w:r>
    </w:p>
    <w:p w14:paraId="04C349C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Enajsti odstavek predloga določa, da povezani subjekti (</w:t>
      </w:r>
      <w:r>
        <w:rPr>
          <w:rFonts w:cs="Arial"/>
          <w:color w:val="000000"/>
          <w:szCs w:val="20"/>
          <w:shd w:val="clear" w:color="auto" w:fill="FFFFFF"/>
          <w:lang w:val="sl-SI"/>
        </w:rPr>
        <w:t xml:space="preserve">ki </w:t>
      </w:r>
      <w:r w:rsidRPr="003077CA">
        <w:rPr>
          <w:rFonts w:cs="Arial"/>
          <w:color w:val="000000"/>
          <w:szCs w:val="20"/>
          <w:shd w:val="clear" w:color="auto" w:fill="FFFFFF"/>
          <w:lang w:val="sl-SI"/>
        </w:rPr>
        <w:t xml:space="preserve">se povezujejo s centralnim državnim informacijsko-komunikacijskim omrežjem oziroma sistemom) sprejmejo ukrepe iz točk 1 do 4 iz drugega odstavka tega člena. </w:t>
      </w:r>
      <w:r>
        <w:rPr>
          <w:rFonts w:cs="Arial"/>
          <w:color w:val="000000"/>
          <w:szCs w:val="20"/>
          <w:shd w:val="clear" w:color="auto" w:fill="FFFFFF"/>
          <w:lang w:val="sl-SI"/>
        </w:rPr>
        <w:t>Preo</w:t>
      </w:r>
      <w:r w:rsidRPr="003077CA">
        <w:rPr>
          <w:rFonts w:cs="Arial"/>
          <w:color w:val="000000"/>
          <w:szCs w:val="20"/>
          <w:shd w:val="clear" w:color="auto" w:fill="FFFFFF"/>
          <w:lang w:val="sl-SI"/>
        </w:rPr>
        <w:t>stale ukrepe iz drugega odstavka tega člena pa povezani subjekti sprejmejo le za informacijsko-komunikacijske sisteme, ki jih imajo v lastnem upravljanju, pri tem pa upoštevajo tudi minimalne varnostne zahteve za povezane subjekte, ki jih določi upravljavec centralnega informacijsko-komunikacijskega sistema.</w:t>
      </w:r>
    </w:p>
    <w:p w14:paraId="52F1EAB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ZKI-1 v tretjem odstavku 3. člena (področje uporabe) za kritične subjekte v sektorju digitalne infrastrukture določa, da se IV., V. in IX. poglavje tega zakona ne uporabljajo, saj se za te kritične subjekte za vsebine, ki jih urejajo prej navedena poglavja, uporablja zakon, ki ureja informacijsko varnost. Zato v dvanajstem odstavku predlaganega člena ob zgledovanju po osmem odstavku 15. člena ZKI-1 na primerljiv način predlagamo urejanje izvajanja varnostnih ukrepov varovanja iz 11. točke drugega odstavka predlaganega člena tudi za kritične subjekte, ki so določeni kot kritični subjekti na podlagi zakona, ki ureja področje kritične infrastrukture, spadajo pa hkrati med vrste subjektov iz </w:t>
      </w:r>
      <w:r>
        <w:rPr>
          <w:rFonts w:cs="Arial"/>
          <w:color w:val="000000"/>
          <w:szCs w:val="20"/>
          <w:shd w:val="clear" w:color="auto" w:fill="FFFFFF"/>
          <w:lang w:val="sl-SI"/>
        </w:rPr>
        <w:t>s</w:t>
      </w:r>
      <w:r w:rsidRPr="003077CA">
        <w:rPr>
          <w:rFonts w:cs="Arial"/>
          <w:color w:val="000000"/>
          <w:szCs w:val="20"/>
          <w:shd w:val="clear" w:color="auto" w:fill="FFFFFF"/>
          <w:lang w:val="sl-SI"/>
        </w:rPr>
        <w:t>ektorja 8. Digitalna infrastruktura iz Priloge 1 predlaganega zakona. Na navedeni način bodo takšni kritični subjekti zavezani k varovanju zgolj kritične infrastrukture v skladu s predpisi, ki urejajo področje zasebnega varovanja. Navedena nacionalna določb</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bo </w:t>
      </w:r>
      <w:r>
        <w:rPr>
          <w:rFonts w:cs="Arial"/>
          <w:color w:val="000000"/>
          <w:szCs w:val="20"/>
          <w:shd w:val="clear" w:color="auto" w:fill="FFFFFF"/>
          <w:lang w:val="sl-SI"/>
        </w:rPr>
        <w:t>prispevala</w:t>
      </w:r>
      <w:r w:rsidRPr="003077CA">
        <w:rPr>
          <w:rFonts w:cs="Arial"/>
          <w:color w:val="000000"/>
          <w:szCs w:val="20"/>
          <w:shd w:val="clear" w:color="auto" w:fill="FFFFFF"/>
          <w:lang w:val="sl-SI"/>
        </w:rPr>
        <w:t xml:space="preserve"> k jasnosti predlaganega zakona, hkrati pa tudi k medsebojni skladnosti ureditve po ZKI-1 in po predlaganem zakonu. </w:t>
      </w:r>
    </w:p>
    <w:p w14:paraId="25C5B09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Trinajsti odstav</w:t>
      </w:r>
      <w:r>
        <w:rPr>
          <w:rFonts w:cs="Arial"/>
          <w:color w:val="000000"/>
          <w:szCs w:val="20"/>
          <w:shd w:val="clear" w:color="auto" w:fill="FFFFFF"/>
          <w:lang w:val="sl-SI"/>
        </w:rPr>
        <w:t>ek</w:t>
      </w:r>
      <w:r w:rsidRPr="003077CA">
        <w:rPr>
          <w:rFonts w:cs="Arial"/>
          <w:color w:val="000000"/>
          <w:szCs w:val="20"/>
          <w:shd w:val="clear" w:color="auto" w:fill="FFFFFF"/>
          <w:lang w:val="sl-SI"/>
        </w:rPr>
        <w:t xml:space="preserve"> Vladi RS omogoča sprejem podzakonskega akta, s katerim lahko podrobneje določi način izvajanja obveznosti iz tega člena, pri čemer upošteva tudi morebitne dokumente in priporočila ENISA.</w:t>
      </w:r>
    </w:p>
    <w:p w14:paraId="2C146959"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61A42A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23. členu</w:t>
      </w:r>
    </w:p>
    <w:p w14:paraId="587C4A9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določa pogoje in način izvedbe preverjanja preteklosti oseb pri izvajanju kadrovskih postopkov za zaposlitev ali premestitev na določena delovna mesta, kjer bodo imeli zaposleni pooblastilo za neposredni dostop ključnih (kritičnih) omrežij ali informacijskih sistemov bistvenih ali pomembnih subjektov. Enako določbo vsebuje tudi sprejeti Zakon o kritični infrastrukturi (Uradni list RS, št. 102/2024), kjer pa bodo (in so </w:t>
      </w:r>
      <w:r>
        <w:rPr>
          <w:rFonts w:cs="Arial"/>
          <w:color w:val="000000"/>
          <w:szCs w:val="20"/>
          <w:shd w:val="clear" w:color="auto" w:fill="FFFFFF"/>
          <w:lang w:val="sl-SI"/>
        </w:rPr>
        <w:t>zdaj</w:t>
      </w:r>
      <w:r w:rsidRPr="003077CA">
        <w:rPr>
          <w:rFonts w:cs="Arial"/>
          <w:color w:val="000000"/>
          <w:szCs w:val="20"/>
          <w:shd w:val="clear" w:color="auto" w:fill="FFFFFF"/>
          <w:lang w:val="sl-SI"/>
        </w:rPr>
        <w:t>) zavezanci iz Zakona o kritični infrastrukturi tudi zavezanci iz predloga tega zakona.</w:t>
      </w:r>
    </w:p>
    <w:p w14:paraId="3346BD6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predlaganega člena določa, da lahko bistveni ali pomembni subjekti, ob upoštevanju rezultatov izvedene ocene tveganj, pri izvajanju kadrovskih postopkov za zaposlitev ali premestitev na določena delovna mesta, kjer bodo imeli zaposleni pooblastilo za neposredni dostop njegovih ključnih (kritičnih) omrežij ali informacijskih sistemov, izvedejo postopek </w:t>
      </w:r>
      <w:r w:rsidRPr="003077CA">
        <w:rPr>
          <w:rFonts w:cs="Arial"/>
          <w:color w:val="000000"/>
          <w:szCs w:val="20"/>
          <w:shd w:val="clear" w:color="auto" w:fill="FFFFFF"/>
          <w:lang w:val="sl-SI"/>
        </w:rPr>
        <w:lastRenderedPageBreak/>
        <w:t>preverjanja preteklosti kandidatov za zasedbo določenih delovnih mest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 čimer ugotavljajo morebitne varnostne zadržke za opravljanje del in nalog na določenih delovnih mestih. Takšen postopek lahko subjekti po enakih kriterijih izvedejo tudi za določene osebe pri pogodbenih izvajalcih, kar </w:t>
      </w:r>
      <w:r>
        <w:rPr>
          <w:rFonts w:cs="Arial"/>
          <w:color w:val="000000"/>
          <w:szCs w:val="20"/>
          <w:shd w:val="clear" w:color="auto" w:fill="FFFFFF"/>
          <w:lang w:val="sl-SI"/>
        </w:rPr>
        <w:t>morajo</w:t>
      </w:r>
      <w:r w:rsidRPr="003077CA">
        <w:rPr>
          <w:rFonts w:cs="Arial"/>
          <w:color w:val="000000"/>
          <w:szCs w:val="20"/>
          <w:shd w:val="clear" w:color="auto" w:fill="FFFFFF"/>
          <w:lang w:val="sl-SI"/>
        </w:rPr>
        <w:t xml:space="preserve"> subjekti upoštevati že pri sklepanju pogodb. Preverjanje preteklosti se izvaja za zadnjih pet let od podaje vloge oziroma nastopa okoliščine, zaradi katere se na podlagi določb tega zakona lahko izvede preverjanje preteklosti</w:t>
      </w:r>
      <w:r>
        <w:rPr>
          <w:rFonts w:cs="Arial"/>
          <w:color w:val="000000"/>
          <w:szCs w:val="20"/>
          <w:shd w:val="clear" w:color="auto" w:fill="FFFFFF"/>
          <w:lang w:val="sl-SI"/>
        </w:rPr>
        <w:t xml:space="preserve"> za zadnjih pet let</w:t>
      </w:r>
      <w:r w:rsidRPr="003077CA">
        <w:rPr>
          <w:rFonts w:cs="Arial"/>
          <w:color w:val="000000"/>
          <w:szCs w:val="20"/>
          <w:shd w:val="clear" w:color="auto" w:fill="FFFFFF"/>
          <w:lang w:val="sl-SI"/>
        </w:rPr>
        <w:t>.</w:t>
      </w:r>
    </w:p>
    <w:p w14:paraId="3BDDE36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člena določa, da je za izvedbo preverjanje preteklosti potrebno predhodno pisno soglasje preverjane osebe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Pr>
          <w:rFonts w:cs="Arial"/>
          <w:color w:val="000000"/>
          <w:szCs w:val="20"/>
          <w:shd w:val="clear" w:color="auto" w:fill="FFFFFF"/>
          <w:lang w:val="sl-SI"/>
        </w:rPr>
        <w:t>prav tako pa</w:t>
      </w:r>
      <w:r w:rsidRPr="003077CA">
        <w:rPr>
          <w:rFonts w:cs="Arial"/>
          <w:color w:val="000000"/>
          <w:szCs w:val="20"/>
          <w:shd w:val="clear" w:color="auto" w:fill="FFFFFF"/>
          <w:lang w:val="sl-SI"/>
        </w:rPr>
        <w:t xml:space="preserve"> določa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kateri elementi se preverjajo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s kakšnim namenom.</w:t>
      </w:r>
    </w:p>
    <w:p w14:paraId="4A68BF7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člena določa, da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preverjana oseba ne poda soglasja za izvedbo preverjanja preteklosti ali preverjanja preteklosti ne dovoli, taka oseba ne more opravljati dela na določenih delovnih mestih oziroma se pogodba s takšnim pogodbenim izvajalcem ne sklene. </w:t>
      </w:r>
    </w:p>
    <w:p w14:paraId="2F8690D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tega člena določa, da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organ ali organizacija za izvedbo preverjanja preteklosti po tem členu zbirata podatke iz zbirk podatkov, ki jih upravljajo drugi subjekti ali organi, </w:t>
      </w:r>
      <w:r>
        <w:rPr>
          <w:rFonts w:cs="Arial"/>
          <w:color w:val="000000"/>
          <w:szCs w:val="20"/>
          <w:shd w:val="clear" w:color="auto" w:fill="FFFFFF"/>
          <w:lang w:val="sl-SI"/>
        </w:rPr>
        <w:t>morajo</w:t>
      </w:r>
      <w:r w:rsidRPr="003077CA">
        <w:rPr>
          <w:rFonts w:cs="Arial"/>
          <w:color w:val="000000"/>
          <w:szCs w:val="20"/>
          <w:shd w:val="clear" w:color="auto" w:fill="FFFFFF"/>
          <w:lang w:val="sl-SI"/>
        </w:rPr>
        <w:t xml:space="preserve"> ti organi posredovati zahtevane osebne in druge podatke brezplačno. </w:t>
      </w:r>
    </w:p>
    <w:p w14:paraId="586FB364"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5041E602"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24. členu</w:t>
      </w:r>
    </w:p>
    <w:p w14:paraId="0B21BD0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natančneje določa vsebino, način, obseg in hrambo oziroma upravljanje zapisov dogodkov (dnevniških zapisov) v omrežjih in informacijskih sistemih bistvenih in pomembnih subjektov za namen zaznave in odkrivanja dogodkov, ki bi se lahko šteli za incidente ali skorajšnje incidente.</w:t>
      </w:r>
    </w:p>
    <w:p w14:paraId="285DC1B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nalaga zavezancem, da določijo postopke in ustrezna orodja, ki omogočajo spremljanje in beleženje dogodkov v svojih omrežnih in informacijskih sistemih za namen zaznave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odkrivanja incidentov in skorajšnjih incidentov ter izvedbo rekonstrukcije in analize incidentov in skorajšnjih incidentov.</w:t>
      </w:r>
    </w:p>
    <w:p w14:paraId="2FDE1D5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minimalni nabor oziroma obseg dnevniških zapisov, ki je določen v točkah od 1 do 10.</w:t>
      </w:r>
    </w:p>
    <w:p w14:paraId="7719715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določa hrambo dnevniških zapisov, ki morajo biti hranjeni na način, da je zagotovljena njihova avtentičnost, celovitost, razpoložljivost in zaupnost. Določena je tudi obveznost sinhronizacije časovnih virov, ki omogoča korelacijo dnevniških zapisov med sistemi, brez katere ustrezne korelacije oziroma analize ni možno izvesti.</w:t>
      </w:r>
    </w:p>
    <w:p w14:paraId="261E20C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zavezancem obveznost hrambe dnevniških zapisov za najmanj 6 mesecev, lahko pa tudi za daljše obdobje, kadar iz analize obvladovanja tveganj in ocene sprejemljive ravni tveganj izhaja, da bi bilo tveganja ustrezno obvladovati z daljšo hrambo dnevniških zapisov, kar je še posebej pomembno z vidika skladnosti s predpisi s področja varstva osebnih podatkov.</w:t>
      </w:r>
    </w:p>
    <w:p w14:paraId="6CDC23A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določa obveznost bistvenih subjektov, ki so določeni kot kritični subjekti na podlagi zakona, ki ureja področje kritične infrastrukture, da zagotavljajo hrambo dnevniških zapisov primarno na ozemlju Republike Slovenije (prva kopija), sekundarno pa se lahko zagotavlja na ozemlju Evropske unije (druga kopija).</w:t>
      </w:r>
    </w:p>
    <w:p w14:paraId="54514BD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predloga določa izjemo za subjekte s področja sektorjev digitalne infrastrukture, bančništva in infrastrukture finančnega trga, ki lahko zagotovijo ohranjanje dnevniških zapisov v celoti tudi na ozemlju </w:t>
      </w:r>
      <w:r>
        <w:rPr>
          <w:rFonts w:cs="Arial"/>
          <w:color w:val="000000"/>
          <w:szCs w:val="20"/>
          <w:shd w:val="clear" w:color="auto" w:fill="FFFFFF"/>
          <w:lang w:val="sl-SI"/>
        </w:rPr>
        <w:t>zunaj</w:t>
      </w:r>
      <w:r w:rsidRPr="003077CA">
        <w:rPr>
          <w:rFonts w:cs="Arial"/>
          <w:color w:val="000000"/>
          <w:szCs w:val="20"/>
          <w:shd w:val="clear" w:color="auto" w:fill="FFFFFF"/>
          <w:lang w:val="sl-SI"/>
        </w:rPr>
        <w:t xml:space="preserve"> Evropske unije, pri tem pa uvedejo sorazmerne varnostne kontrole, ob upoštevanju predpisov s področja varstva osebnih podatkov.</w:t>
      </w:r>
    </w:p>
    <w:p w14:paraId="4DD810C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Sedmi odstavek predloga določa, da se morajo dnevniški zapisi zavezancev, ki </w:t>
      </w:r>
      <w:r>
        <w:rPr>
          <w:rFonts w:cs="Arial"/>
          <w:color w:val="000000"/>
          <w:szCs w:val="20"/>
          <w:shd w:val="clear" w:color="auto" w:fill="FFFFFF"/>
          <w:lang w:val="sl-SI"/>
        </w:rPr>
        <w:t>s</w:t>
      </w:r>
      <w:r w:rsidRPr="003077CA">
        <w:rPr>
          <w:rFonts w:cs="Arial"/>
          <w:color w:val="000000"/>
          <w:szCs w:val="20"/>
          <w:shd w:val="clear" w:color="auto" w:fill="FFFFFF"/>
          <w:lang w:val="sl-SI"/>
        </w:rPr>
        <w:t>o del ključnega nacionalnega varnostnega sistema, hraniti izključno na ozemlju Republike Slovenije.</w:t>
      </w:r>
    </w:p>
    <w:p w14:paraId="7507DA8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Osmi odstavek predloga določa izjemo za ministrstvo, pristojno za zunanje zadeve, ki lahko hranjenje dnevniških zapisov zagotavlja tudi na diplomatskih predstavništvih in konzulatih Republike Slovenije v tujini, ki s</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sicer (</w:t>
      </w:r>
      <w:r w:rsidRPr="003077CA">
        <w:rPr>
          <w:rFonts w:cs="Arial"/>
          <w:i/>
          <w:iCs/>
          <w:color w:val="000000"/>
          <w:szCs w:val="20"/>
          <w:shd w:val="clear" w:color="auto" w:fill="FFFFFF"/>
          <w:lang w:val="sl-SI"/>
        </w:rPr>
        <w:t>de iure</w:t>
      </w:r>
      <w:r w:rsidRPr="003077CA">
        <w:rPr>
          <w:rFonts w:cs="Arial"/>
          <w:color w:val="000000"/>
          <w:szCs w:val="20"/>
          <w:shd w:val="clear" w:color="auto" w:fill="FFFFFF"/>
          <w:lang w:val="sl-SI"/>
        </w:rPr>
        <w:t>) štejejo za ozemlje Republike Slovenije.</w:t>
      </w:r>
    </w:p>
    <w:p w14:paraId="4956ACF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predloga člena določa, da se za določene bistvene in pomembne subjekte, ki so določeni z izvedbenimi akti Komisije, izdanimi na podlagi Direktive NIS 2, glede dnevniških zapisov upoštevajo določbe izvedbenih aktov Komisije. Tak akt je na primer izvedbena uredba Komisije (EU) 2024/2690, z dne 17. oktobra 2024, o določitvi pravil za uporabo Direktive (EU) 2022/2555 v zvezi s tehničnimi in metodološkimi zahtevami ukrepov za obvladovanje tveganj za kibernetsko varnost ter podrobnejšo opredelitvijo primerov, v katerih se incident šteje za pomembnega, kar zadeva ponudnike storitev DNS, registre TLD imen, ponudnike storitev računalništva v oblaku, ponudnike storitev podatkovnega centra, ponudnike omrežij za dostavo vsebin, ponudnike upravljanih storitev, ponudnike upravljanih varnostnih storitev, ponudnike spletnih tržnic, spletnih iskalnikov in platform za storitve družbenega mreženja ter ponudnike storitev zaupanja.</w:t>
      </w:r>
    </w:p>
    <w:p w14:paraId="1D36E77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E5B52C4"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25. členu</w:t>
      </w:r>
    </w:p>
    <w:p w14:paraId="7083176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Predlagani člen nalaga obveznost izvajanja preverjanja skladnosti bistvenih in pomembnih subjektov s tem zakonom, predpisi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izdanimi na njegovi podlagi, morebitnimi izvedbenimi akti Komisije in internimi dokumenti, ki jih predpisuje ta zakon. Obveznosti se za bistvene in pomembne subjekte razlikujejo.</w:t>
      </w:r>
    </w:p>
    <w:p w14:paraId="70266B7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predlaganega člena določa, da morajo bistveni subjekti izvesti oceno skladnosti najmanj enkrat na dve leti ali v primeru pojava pomembnega incidenta. Oceno skladnosti lahko bistveni subjekti izvedejo v obliki revizije, </w:t>
      </w:r>
      <w:r>
        <w:rPr>
          <w:rFonts w:cs="Arial"/>
          <w:color w:val="000000"/>
          <w:szCs w:val="20"/>
          <w:shd w:val="clear" w:color="auto" w:fill="FFFFFF"/>
          <w:lang w:val="sl-SI"/>
        </w:rPr>
        <w:t>ki jo</w:t>
      </w:r>
      <w:r w:rsidRPr="003077CA">
        <w:rPr>
          <w:rFonts w:cs="Arial"/>
          <w:color w:val="000000"/>
          <w:szCs w:val="20"/>
          <w:shd w:val="clear" w:color="auto" w:fill="FFFFFF"/>
          <w:lang w:val="sl-SI"/>
        </w:rPr>
        <w:t xml:space="preserve"> izvede aktivni preizkušeni revizor informacijskih sistemov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ali v obliki notranje revizije, ki obsega tudi vsa potrebna sodila s področja informacijske in kibernetske varnosti. Tako revizijo lahko izvede preizkušeni notranji revizor v sodelovanju z veščakom s področja informacijskih tehnologij ali informacijske varnosti. Rezultat ocene skladnosti je revizijsko poročilo, ki mora vsebovati vse potrebne elemente po predpisih s področja izvajanja revizij informacijskih sistemov.</w:t>
      </w:r>
    </w:p>
    <w:p w14:paraId="0CF691E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člena določa, da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so pri izvajanju ocene skladnosti ugotovljen</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neskladja s predpisi, </w:t>
      </w:r>
      <w:r>
        <w:rPr>
          <w:rFonts w:cs="Arial"/>
          <w:color w:val="000000"/>
          <w:szCs w:val="20"/>
          <w:shd w:val="clear" w:color="auto" w:fill="FFFFFF"/>
          <w:lang w:val="sl-SI"/>
        </w:rPr>
        <w:t>mora</w:t>
      </w:r>
      <w:r w:rsidRPr="003077CA">
        <w:rPr>
          <w:rFonts w:cs="Arial"/>
          <w:color w:val="000000"/>
          <w:szCs w:val="20"/>
          <w:shd w:val="clear" w:color="auto" w:fill="FFFFFF"/>
          <w:lang w:val="sl-SI"/>
        </w:rPr>
        <w:t xml:space="preserve"> bistveni subjekt pripraviti načrt za odpravo ugotovljenih neskladij in določiti način njihove odprave ter določiti roke za izvedbo.</w:t>
      </w:r>
    </w:p>
    <w:p w14:paraId="6A48D9C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tega člena določa, da morajo pomembni subjekti izvesti samooceno skladnosti najmanj enkrat na dve leti ali v primeru pojava pomembnega incidenta. Predlagani tretji odstavek podrobneje določa tudi način izvedbe samoocene skladnosti, postopek izvedbe pa mora biti dokumentiran. Samoocena skladnosti se lahko izvede tudi v obliki notranje revizije, kjer so vključena ustrezna sodila (ključne določbe tega zakona). </w:t>
      </w:r>
    </w:p>
    <w:p w14:paraId="07D7BFB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člena določa ravnanje pomembnega subjekta, ko je iz izvedene samoocene skladnosti razvidno, da pomembni subjekt izpolnjuje predpisane zahteve. V tem primeru se sestavi izjava o skladnosti, ki pa mora biti narejena na način, da omogoča izvedbo ponovljivosti postopka izvedbe samoocene skladnosti.</w:t>
      </w:r>
    </w:p>
    <w:p w14:paraId="7AE1FB0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člena določa ravnanje pomembnega subjekta, ko je iz izvedene samoocene skladnosti razvidno, da pomembni subjekt ne izpolnjuje predpisanih zahtev. V tem primeru se sestavi izjava o neskladnosti, ki pa mora vsebovati ugotovljena neskladja s predpisi ali internimi akti, način o</w:t>
      </w:r>
      <w:r>
        <w:rPr>
          <w:rFonts w:cs="Arial"/>
          <w:color w:val="000000"/>
          <w:szCs w:val="20"/>
          <w:shd w:val="clear" w:color="auto" w:fill="FFFFFF"/>
          <w:lang w:val="sl-SI"/>
        </w:rPr>
        <w:t>d</w:t>
      </w:r>
      <w:r w:rsidRPr="003077CA">
        <w:rPr>
          <w:rFonts w:cs="Arial"/>
          <w:color w:val="000000"/>
          <w:szCs w:val="20"/>
          <w:shd w:val="clear" w:color="auto" w:fill="FFFFFF"/>
          <w:lang w:val="sl-SI"/>
        </w:rPr>
        <w:t>prave ugotovljenih nepravilnosti in roke za izvedbo.</w:t>
      </w:r>
    </w:p>
    <w:p w14:paraId="4A686D46" w14:textId="77777777" w:rsidR="000A51A5" w:rsidRDefault="000A51A5" w:rsidP="000A51A5">
      <w:pPr>
        <w:spacing w:after="120" w:line="276" w:lineRule="auto"/>
        <w:jc w:val="both"/>
        <w:rPr>
          <w:rFonts w:cs="Arial"/>
          <w:b/>
          <w:bCs/>
          <w:color w:val="000000"/>
          <w:szCs w:val="20"/>
          <w:shd w:val="clear" w:color="auto" w:fill="FFFFFF"/>
          <w:lang w:val="sl-SI"/>
        </w:rPr>
      </w:pPr>
    </w:p>
    <w:p w14:paraId="2334EA94" w14:textId="77777777" w:rsidR="000A51A5" w:rsidRDefault="000A51A5" w:rsidP="000A51A5">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4017E291"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26. členu</w:t>
      </w:r>
    </w:p>
    <w:p w14:paraId="6F5BB45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nacionalno določbo, ki določa obvez</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posredovanja podatkov in informacij. Gre za rešitev iz </w:t>
      </w:r>
      <w:r>
        <w:rPr>
          <w:rFonts w:cs="Arial"/>
          <w:color w:val="000000"/>
          <w:szCs w:val="20"/>
          <w:shd w:val="clear" w:color="auto" w:fill="FFFFFF"/>
          <w:lang w:val="sl-SI"/>
        </w:rPr>
        <w:t>veljavnega</w:t>
      </w:r>
      <w:r w:rsidRPr="003077CA">
        <w:rPr>
          <w:rFonts w:cs="Arial"/>
          <w:color w:val="000000"/>
          <w:szCs w:val="20"/>
          <w:shd w:val="clear" w:color="auto" w:fill="FFFFFF"/>
          <w:lang w:val="sl-SI"/>
        </w:rPr>
        <w:t xml:space="preserve"> zakona, ki ureja področje informacijske varnosti in se je izkazala kot pomemben gradnik za </w:t>
      </w:r>
      <w:r>
        <w:rPr>
          <w:rFonts w:cs="Arial"/>
          <w:szCs w:val="20"/>
          <w:lang w:val="sl-SI" w:eastAsia="sl-SI"/>
        </w:rPr>
        <w:t>izboljšanje</w:t>
      </w:r>
      <w:r w:rsidRPr="003077CA" w:rsidDel="002779D0">
        <w:rPr>
          <w:rFonts w:cs="Arial"/>
          <w:color w:val="000000"/>
          <w:szCs w:val="20"/>
          <w:shd w:val="clear" w:color="auto" w:fill="FFFFFF"/>
          <w:lang w:val="sl-SI"/>
        </w:rPr>
        <w:t xml:space="preserve"> </w:t>
      </w:r>
      <w:r w:rsidRPr="003077CA">
        <w:rPr>
          <w:rFonts w:cs="Arial"/>
          <w:color w:val="000000"/>
          <w:szCs w:val="20"/>
          <w:shd w:val="clear" w:color="auto" w:fill="FFFFFF"/>
          <w:lang w:val="sl-SI"/>
        </w:rPr>
        <w:t>kibernetske varnosti zavezancev. Člen obravnava obveznosti bistvenih in pomembnih subjektov glede izmenjave informacij s pristojnim nacionalnim organom v kontekstu zakona. Poudarja pomen sodelovanja med subjekti in organom ter zagotavljanje učinkovitega izvajanja zakonskih pristojnosti.</w:t>
      </w:r>
    </w:p>
    <w:p w14:paraId="2C23058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člena jasno določa, da morajo bistveni in pomembni subjekti PNO posredovati potrebne podatke in informacije na podlagi pisne zahteve in v roku, ki ga določi PNO. To pomeni, da morajo subjekti aktivno sodelovati z organom, da omogočijo izvajanje pristojnosti organa v skladu z zakonom. Ta obveznost je ključna za zagotavljanje učinkovitega nadzora, upravljanja in izvajanja zakonskih določb v zvezi s kibernetsko varnostjo.</w:t>
      </w:r>
    </w:p>
    <w:p w14:paraId="569849F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člena postavlja pomembno omejitev glede vrste in obsega zahtevanih informacij. Sledi načelu sorazmernosti. Zahtevani podatki in informacije morajo biti sorazmerni namenu, za katerega bodo uporabljeni. To pomeni, da PNO ne sme zahtevati več informacij, kot je potrebno za izpolnitev svojih zakonskih pristojnosti. T</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načelo varuje subjekte pred nepotrebnim razkritjem občutljivih informacij in zagotavlja, da je izmenjava informacij uravnotežena in razumna.</w:t>
      </w:r>
    </w:p>
    <w:p w14:paraId="2B5B33F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PNO mora v svoji zahtevi natančno navesti namen uporabe zahtevanih podatkov in informacij. To zagotavlja, da subjekti jasno razumejo, zakaj so določene informacije potrebne, in lahko ocenijo, ali je zahteva upravičena in sorazmerna.</w:t>
      </w:r>
    </w:p>
    <w:p w14:paraId="64E6833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člena določa, da se za podatke in informacije, ki so pri subjektih iz prvega odstavka tega člena opredeljeni kot tajni ali kot poslovna skrivnost ali druga oblika varovanih podatkov, za posredovanje takšnih podatkov in informacij PNO uporabljajo izključno varne komunikacijske poti.</w:t>
      </w:r>
      <w:r w:rsidRPr="003077CA">
        <w:rPr>
          <w:sz w:val="22"/>
          <w:szCs w:val="16"/>
          <w:lang w:val="sl-SI" w:eastAsia="sl-SI"/>
        </w:rPr>
        <w:t xml:space="preserve"> </w:t>
      </w:r>
      <w:r w:rsidRPr="003077CA">
        <w:rPr>
          <w:rFonts w:cs="Arial"/>
          <w:color w:val="000000"/>
          <w:szCs w:val="20"/>
          <w:shd w:val="clear" w:color="auto" w:fill="FFFFFF"/>
          <w:lang w:val="sl-SI"/>
        </w:rPr>
        <w:t>Pri posredovanju tajnih podatkov se upoštevajo pogoji in zahteve za prenos oziroma posredovanje tajnih podatkov, določene s predpisi s področja varovanja tajnih podatkov.</w:t>
      </w:r>
    </w:p>
    <w:p w14:paraId="7A45D7E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Skupaj ta člen vzpostavlja jasna pravila in smernice za izmenjavo informacij med bistvenimi in pomembnimi subjekti ter pristojnim nacionalnim organom. Z obveznostjo sodelovanja, načelom sorazmernosti in zahtevo po jasnosti namena se zagotavlja uravnotežen pristop k zbiranju in uporabi informacij v kontekstu kibernetske varnosti.</w:t>
      </w:r>
    </w:p>
    <w:p w14:paraId="6478DF2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C16EA5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27. členu</w:t>
      </w:r>
    </w:p>
    <w:p w14:paraId="6627C98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določbe 24. člena Direktive 2022/2555/EU, ki naslavlja uporabo evropskih certifikacijskih shem za kibernetsko varnost, ki so del ukrepov za obvladovanje tveganja za kibernetsko varnost. Predlog obravnava uporabo evropskih certifikacijskih shem za kibernetsko varnost v skladu z Uredbo 2019/881/EU, določa pristojni nacionalni certifikacijski organ za kibernetsko varnost, ki je v Republiki Sloveniji Urad Vlade Republike Slovenije za informacijsko varnost (v nadaljnjem besedilu: URSIV)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nacionalni akreditacijski organ in njune naloge v zvezi z evropsko certifikacijsko shemo, določa način in postopek določitve ter zahteve organov za ugotavljanje skladnosti in pogoje za izdajo certifikatov kibernetske varnosti; opredeljuje postopek obravnavanja pritožb oziroma upravnega spora glede izdanih evropskih certifikatov kibernetske varnosti; zavezance na podlagi tega zakona z namenom zagotavljanja višje ravni varnosti napotuje k prednostni uporabi kvalificiranih storitev zaupanja ter proizvodov, storitev ali postopkov IKT, ki so certificirani in veljavni na podlagi evropskih certifikacijskih shem za kibernetsko varnost.</w:t>
      </w:r>
    </w:p>
    <w:p w14:paraId="1F6BA21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F3699A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Uporaba certificiranih proizvodov, storitev in postopkov IKT ali izjava EU o skladnosti je en</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od zagotovil, da proizvodi ali storitve IKT, ki so prestali presojo v skladu s posebnimi varnostnimi zahtevami, dosegajo določeno raven zaščite kibernetske varnosti oz</w:t>
      </w:r>
      <w:r>
        <w:rPr>
          <w:rFonts w:cs="Arial"/>
          <w:color w:val="000000"/>
          <w:szCs w:val="20"/>
          <w:shd w:val="clear" w:color="auto" w:fill="FFFFFF"/>
          <w:lang w:val="sl-SI"/>
        </w:rPr>
        <w:t>iroma</w:t>
      </w:r>
      <w:r w:rsidRPr="003077CA">
        <w:rPr>
          <w:rFonts w:cs="Arial"/>
          <w:color w:val="000000"/>
          <w:szCs w:val="20"/>
          <w:shd w:val="clear" w:color="auto" w:fill="FFFFFF"/>
          <w:lang w:val="sl-SI"/>
        </w:rPr>
        <w:t xml:space="preserve"> odpornosti </w:t>
      </w:r>
      <w:r>
        <w:rPr>
          <w:rFonts w:cs="Arial"/>
          <w:color w:val="000000"/>
          <w:szCs w:val="20"/>
          <w:shd w:val="clear" w:color="auto" w:fill="FFFFFF"/>
          <w:lang w:val="sl-SI"/>
        </w:rPr>
        <w:t>proti</w:t>
      </w:r>
      <w:r w:rsidRPr="003077CA">
        <w:rPr>
          <w:rFonts w:cs="Arial"/>
          <w:color w:val="000000"/>
          <w:szCs w:val="20"/>
          <w:shd w:val="clear" w:color="auto" w:fill="FFFFFF"/>
          <w:lang w:val="sl-SI"/>
        </w:rPr>
        <w:t xml:space="preserve"> </w:t>
      </w:r>
      <w:r w:rsidRPr="003077CA">
        <w:rPr>
          <w:rFonts w:cs="Arial"/>
          <w:color w:val="000000"/>
          <w:szCs w:val="20"/>
          <w:shd w:val="clear" w:color="auto" w:fill="FFFFFF"/>
          <w:lang w:val="sl-SI"/>
        </w:rPr>
        <w:lastRenderedPageBreak/>
        <w:t>napad</w:t>
      </w:r>
      <w:r>
        <w:rPr>
          <w:rFonts w:cs="Arial"/>
          <w:color w:val="000000"/>
          <w:szCs w:val="20"/>
          <w:shd w:val="clear" w:color="auto" w:fill="FFFFFF"/>
          <w:lang w:val="sl-SI"/>
        </w:rPr>
        <w:t>om</w:t>
      </w:r>
      <w:r w:rsidRPr="003077CA">
        <w:rPr>
          <w:rFonts w:cs="Arial"/>
          <w:color w:val="000000"/>
          <w:szCs w:val="20"/>
          <w:shd w:val="clear" w:color="auto" w:fill="FFFFFF"/>
          <w:lang w:val="sl-SI"/>
        </w:rPr>
        <w:t>, saj so bili preizkušeni v skladu z metodologijo, ki jo opredeljuje določena evropska certifikacijska shema za kibernetsko varnost. Organe za ugotavljanje skladnosti oz</w:t>
      </w:r>
      <w:r>
        <w:rPr>
          <w:rFonts w:cs="Arial"/>
          <w:color w:val="000000"/>
          <w:szCs w:val="20"/>
          <w:shd w:val="clear" w:color="auto" w:fill="FFFFFF"/>
          <w:lang w:val="sl-SI"/>
        </w:rPr>
        <w:t>iroma</w:t>
      </w:r>
      <w:r w:rsidRPr="003077CA">
        <w:rPr>
          <w:rFonts w:cs="Arial"/>
          <w:color w:val="000000"/>
          <w:szCs w:val="20"/>
          <w:shd w:val="clear" w:color="auto" w:fill="FFFFFF"/>
          <w:lang w:val="sl-SI"/>
        </w:rPr>
        <w:t xml:space="preserve"> certifikacijski organ, ki izvaja presojo skladnosti po določeni certifikacijski shemi za kibernetsko varnost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akreditira nacionalni akreditacijski organ.</w:t>
      </w:r>
    </w:p>
    <w:p w14:paraId="6CB1B68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Evropska certifikacijska shema za kibernetsko varnost lahko določa eno ali več naslednjih ravni zanesljivosti za proizvode, storitve in postopke IKT: osnovno, znatno ali visoko. Raven zanesljivosti, kot j</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opredeli vložnik za certificiranje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je podlaga za zaupanje, da proizvod, storitev ali postopek IKT izpolnjuje varnostne zahteve določene evropske certifikacijske sheme za kibernetsko varnost glede njegov</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predviden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rab</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in ravnjo tveganja, kot ji bo izpostavljen. Evropska certifikacijska shema za manj kompleksne proizvode IKT, storitve IKT in postopke IKT, ki </w:t>
      </w:r>
      <w:r>
        <w:rPr>
          <w:rFonts w:cs="Arial"/>
          <w:color w:val="000000"/>
          <w:szCs w:val="20"/>
          <w:shd w:val="clear" w:color="auto" w:fill="FFFFFF"/>
          <w:lang w:val="sl-SI"/>
        </w:rPr>
        <w:t>pomenijo majhno</w:t>
      </w:r>
      <w:r w:rsidRPr="003077CA">
        <w:rPr>
          <w:rFonts w:cs="Arial"/>
          <w:color w:val="000000"/>
          <w:szCs w:val="20"/>
          <w:shd w:val="clear" w:color="auto" w:fill="FFFFFF"/>
          <w:lang w:val="sl-SI"/>
        </w:rPr>
        <w:t xml:space="preserve"> tveganje za javni interes</w:t>
      </w:r>
      <w:r>
        <w:rPr>
          <w:rFonts w:cs="Arial"/>
          <w:color w:val="000000"/>
          <w:szCs w:val="20"/>
          <w:shd w:val="clear" w:color="auto" w:fill="FFFFFF"/>
          <w:lang w:val="sl-SI"/>
        </w:rPr>
        <w:t>,</w:t>
      </w:r>
      <w:r w:rsidRPr="003077CA">
        <w:rPr>
          <w:rFonts w:cs="Arial"/>
          <w:color w:val="000000"/>
          <w:szCs w:val="20"/>
          <w:shd w:val="clear" w:color="auto" w:fill="FFFFFF"/>
          <w:lang w:val="sl-SI"/>
        </w:rPr>
        <w:t xml:space="preserve"> dopušča tudi samoocenjevanje skladnosti. Samooceno izvede proizvajalec ali ponudnik proizvodov, storitev ali postopkov IKT sam, s čimer, s podpisom dokumenta </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izjave EU o skladnosti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prevzame odgovornost, da je proizvod, storitev ali postopek IKT skladen z zahtevami evropske certifikacijske sheme za kibernetsko varnost. Samoocenjevanje je praviloma dovoljeno le, kadar proizvodi, storitve ali postopki IKT ustrezajo osnovni ravni zanesljivosti.</w:t>
      </w:r>
    </w:p>
    <w:p w14:paraId="78B4DDB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zakona v skladu </w:t>
      </w:r>
      <w:r>
        <w:rPr>
          <w:rFonts w:cs="Arial"/>
          <w:color w:val="000000"/>
          <w:szCs w:val="20"/>
          <w:shd w:val="clear" w:color="auto" w:fill="FFFFFF"/>
          <w:lang w:val="sl-SI"/>
        </w:rPr>
        <w:t xml:space="preserve">z </w:t>
      </w:r>
      <w:r w:rsidRPr="003077CA">
        <w:rPr>
          <w:rFonts w:cs="Arial"/>
          <w:color w:val="000000"/>
          <w:szCs w:val="20"/>
          <w:shd w:val="clear" w:color="auto" w:fill="FFFFFF"/>
          <w:lang w:val="sl-SI"/>
        </w:rPr>
        <w:t xml:space="preserve">Uredbo 2019/881/EU določa, da izdajanje certifikata za visoko raven zanesljivosti lahko izda samo nacionalni certifikacijski organ za kibernetsko varnost oziroma javni organ za ugotavljanje skladnosti, na katerega je pristojni nacionalni organ prenesel pooblastilo izdajanja evropskih certifikatov kibernetske varnosti. </w:t>
      </w:r>
    </w:p>
    <w:p w14:paraId="4DAAB2F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zakona tudi dopušča, da nacionalni certifikacijski organ ob predhodnem soglasju vlade prenese pooblastilo za izdajanje evropskih certifikatov kibernetske varnosti za visoko raven zanesljivosti iz svoje pristojnosti na nacionalni certifikacijski organ za kibernetsko varnost druge države članice Evropske unije. Gre za primere, ko pristojni nacionalni organ za kibernetsko varnost ne izpolnjuje nekaterih posebnih ali dodatnih zahtev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določenih z Uredbo 2019/881/EU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oziroma nima ustreznih kompetenc in virov, kot jih zahteva certifikacijska shema.</w:t>
      </w:r>
    </w:p>
    <w:p w14:paraId="28A150F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predlogu zakona nalogo nacionalnega certifikacijskega organa za kibernetsko varnost ohranja Urad Vlade RS za informacijsko varnost, vlogo nacionalnega akreditacijskega organa pa Slovenska akreditacija, ki je v skladu z Zakonom o akreditaciji (Uradni list RS, št. 59/99) s pooblastilom države edina, neodvisna in nepridobitna institucija, ki opravlja naloge nacionalne akreditacijske službe v Sloveniji. Naloge nacionalnega certifikacijskega organa za kibernetsko varnost ter naloge in zahteve glede organov za ugotavljanje skladnost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že določa Uredba 2019/881/EU.</w:t>
      </w:r>
    </w:p>
    <w:p w14:paraId="4FAC621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zakona ureja tudi pritožbo, ki jo imajo fizične in pravne osebe, ki so stranke oziroma stranski udeleženci postopkov, v katerih na prvi stopnji ne odloča nacionalni certifikacijski organ za kibernetsko varnost, in sicer glede izdanih evropskih certifikatov kibernetske varnosti ali v primeru molka organa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za te primere ureja postopek obravnave pritožb. V teh primerih je pritožbeni organ nacionalni certifikacijski organ za kibernetsko varnost, zoper njegovo odločbo pa je dovoljen upravni spor. </w:t>
      </w:r>
    </w:p>
    <w:p w14:paraId="233BA29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Le v tistih primerih, ko na prvi stopnji, v skladu Uredbo 2019/881/EU, odloča pristojni nacionalni certifikacijski organ za kibernetsko varnost, ki je pri nas URSIV, je po petnajstem odstavku predlaganega člena zoper izdani evropski certifikat kibernetske varnosti ali zoper molk organa dovoljen le upravni spor. </w:t>
      </w:r>
    </w:p>
    <w:p w14:paraId="41DA127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zvezi </w:t>
      </w:r>
      <w:r>
        <w:rPr>
          <w:rFonts w:cs="Arial"/>
          <w:color w:val="000000"/>
          <w:szCs w:val="20"/>
          <w:shd w:val="clear" w:color="auto" w:fill="FFFFFF"/>
          <w:lang w:val="sl-SI"/>
        </w:rPr>
        <w:t xml:space="preserve">z </w:t>
      </w:r>
      <w:r w:rsidRPr="003077CA">
        <w:rPr>
          <w:rFonts w:cs="Arial"/>
          <w:color w:val="000000"/>
          <w:szCs w:val="20"/>
          <w:shd w:val="clear" w:color="auto" w:fill="FFFFFF"/>
          <w:lang w:val="sl-SI"/>
        </w:rPr>
        <w:t xml:space="preserve">zgoraj navedeno omejitvijo pritožbe pojasnjujemo, da že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veljavni ZInfV izrecno izključuje dovoljenost pritožbe zoper odločbe URSIV, ki je pristojni nacionalni organ za informacijsko varnost po ZInfV, dovoljuje pa upravni spor (glej peti odstavek 21. člena in peti odstav</w:t>
      </w:r>
      <w:r>
        <w:rPr>
          <w:rFonts w:cs="Arial"/>
          <w:color w:val="000000"/>
          <w:szCs w:val="20"/>
          <w:shd w:val="clear" w:color="auto" w:fill="FFFFFF"/>
          <w:lang w:val="sl-SI"/>
        </w:rPr>
        <w:t>ek</w:t>
      </w:r>
      <w:r w:rsidRPr="003077CA">
        <w:rPr>
          <w:rFonts w:cs="Arial"/>
          <w:color w:val="000000"/>
          <w:szCs w:val="20"/>
          <w:shd w:val="clear" w:color="auto" w:fill="FFFFFF"/>
          <w:lang w:val="sl-SI"/>
        </w:rPr>
        <w:t xml:space="preserve"> 22. člena ZInfV). Prav tako po četrtem odstavku 31. člena ZInfV ni dovoljena pritožba zoper odločbo, izdano v postopkih nadzora po tem zakonu, dovoljen pa je upravni spor. Po prvem odstavku 31. člena ZInfV namreč nadzor nad izvajanjem določb tega zakona na njegovi podlagi </w:t>
      </w:r>
      <w:r w:rsidRPr="003077CA">
        <w:rPr>
          <w:rFonts w:cs="Arial"/>
          <w:color w:val="000000"/>
          <w:szCs w:val="20"/>
          <w:shd w:val="clear" w:color="auto" w:fill="FFFFFF"/>
          <w:lang w:val="sl-SI"/>
        </w:rPr>
        <w:lastRenderedPageBreak/>
        <w:t>sprejetih predpisov in nad izvajanjem upravnih odločb, izdanih na podlagi četrtega odstavka 21. člena in četrtega odstavka 22. člena tega zakona, ter nad izvajanjem odrejenih ukrepov iz četrtega odstavka 29. člena tega zakona opravljajo inšpektorji za informacijsko varnost pristojnega nacionalnega organa (v nadaljnjem besedilu: inšpektor). Že z Zakonom o spremembah in dopolnitvi Zakona o informacijski varnosti (v nadaljnjem besedilu: ZInfV-A</w:t>
      </w:r>
      <w:r w:rsidRPr="003077CA">
        <w:rPr>
          <w:rFonts w:cs="Arial"/>
          <w:color w:val="000000"/>
          <w:szCs w:val="20"/>
          <w:shd w:val="clear" w:color="auto" w:fill="FFFFFF"/>
          <w:vertAlign w:val="superscript"/>
          <w:lang w:val="sl-SI"/>
        </w:rPr>
        <w:footnoteReference w:id="26"/>
      </w:r>
      <w:r w:rsidRPr="003077CA">
        <w:rPr>
          <w:rFonts w:cs="Arial"/>
          <w:color w:val="000000"/>
          <w:szCs w:val="20"/>
          <w:shd w:val="clear" w:color="auto" w:fill="FFFFFF"/>
          <w:lang w:val="sl-SI"/>
        </w:rPr>
        <w:t xml:space="preserve">) je </w:t>
      </w:r>
      <w:r w:rsidRPr="003077CA">
        <w:rPr>
          <w:sz w:val="22"/>
          <w:szCs w:val="16"/>
          <w:shd w:val="clear" w:color="auto" w:fill="FFFFFF"/>
          <w:lang w:val="sl-SI"/>
        </w:rPr>
        <w:t xml:space="preserve">bil </w:t>
      </w:r>
      <w:r w:rsidRPr="003077CA">
        <w:rPr>
          <w:rFonts w:cs="Arial"/>
          <w:color w:val="000000"/>
          <w:szCs w:val="20"/>
          <w:shd w:val="clear" w:color="auto" w:fill="FFFFFF"/>
          <w:lang w:val="sl-SI"/>
        </w:rPr>
        <w:t xml:space="preserve">namreč </w:t>
      </w:r>
      <w:r w:rsidRPr="003077CA">
        <w:rPr>
          <w:sz w:val="22"/>
          <w:szCs w:val="16"/>
          <w:shd w:val="clear" w:color="auto" w:fill="FFFFFF"/>
          <w:lang w:val="sl-SI"/>
        </w:rPr>
        <w:t xml:space="preserve">z namenom okrepitve strateške in operativne ravni delovanja </w:t>
      </w:r>
      <w:r w:rsidRPr="003077CA">
        <w:rPr>
          <w:rFonts w:cs="Arial"/>
          <w:color w:val="000000"/>
          <w:szCs w:val="20"/>
          <w:shd w:val="clear" w:color="auto" w:fill="FFFFFF"/>
          <w:lang w:val="sl-SI"/>
        </w:rPr>
        <w:t xml:space="preserve">pristojnega nacionalnega organa za informacijsko varnost (v nadaljnjem besedilu: pristojni nacionalni organ) namesto dotedanje </w:t>
      </w:r>
      <w:r w:rsidRPr="003077CA">
        <w:rPr>
          <w:sz w:val="22"/>
          <w:szCs w:val="16"/>
          <w:shd w:val="clear" w:color="auto" w:fill="FFFFFF"/>
          <w:lang w:val="sl-SI"/>
        </w:rPr>
        <w:t>Uprave Republike Slovenije za informacijsko varnost, ki je bila organ v sestavi tedanjega Ministrstva za javno upravo (v nadaljnjem besedilu: MJU), kot pristojni nacionalni organ določen URSIV</w:t>
      </w:r>
      <w:r w:rsidRPr="003077CA">
        <w:rPr>
          <w:szCs w:val="16"/>
          <w:shd w:val="clear" w:color="auto" w:fill="FFFFFF"/>
          <w:vertAlign w:val="superscript"/>
          <w:lang w:val="sl-SI"/>
        </w:rPr>
        <w:footnoteReference w:id="27"/>
      </w:r>
      <w:r w:rsidRPr="003077CA">
        <w:rPr>
          <w:sz w:val="22"/>
          <w:szCs w:val="16"/>
          <w:shd w:val="clear" w:color="auto" w:fill="FFFFFF"/>
          <w:lang w:val="sl-SI"/>
        </w:rPr>
        <w:t>, ki je sicer samostojna strokovna služba</w:t>
      </w:r>
      <w:r w:rsidRPr="003077CA">
        <w:rPr>
          <w:rFonts w:cs="Arial"/>
          <w:color w:val="000000"/>
          <w:szCs w:val="20"/>
          <w:shd w:val="clear" w:color="auto" w:fill="FFFFFF"/>
          <w:lang w:val="sl-SI"/>
        </w:rPr>
        <w:t xml:space="preserve"> </w:t>
      </w:r>
      <w:r w:rsidRPr="003077CA">
        <w:rPr>
          <w:sz w:val="22"/>
          <w:szCs w:val="16"/>
          <w:shd w:val="clear" w:color="auto" w:fill="FFFFFF"/>
          <w:lang w:val="sl-SI"/>
        </w:rPr>
        <w:t>Vlade Republike Slovenije</w:t>
      </w:r>
      <w:r w:rsidRPr="003077CA">
        <w:rPr>
          <w:rFonts w:cs="Arial"/>
          <w:color w:val="000000"/>
          <w:szCs w:val="20"/>
          <w:shd w:val="clear" w:color="auto" w:fill="FFFFFF"/>
          <w:lang w:val="sl-SI"/>
        </w:rPr>
        <w:t>, ki s</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ji podelil</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tudi upravne naloge – tako pristojnosti upravnega določanja kot tudi nadzora oziroma inšpekcijskih pooblastil inšpektorjem URSIV. Dovoljenost pritožbe zoper odločbe pristojnega nacionalnega organa in zoper odločbe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izdane s strani njegovih inšpektorjev v postopku nadzora po ZInfV, bi namreč pomenila (le) lažno devolutivnost in bi po nepotrebnem zgolj podaljševalo postopek pred dokončnostjo takšnih odločb. Posledično so že po ZInfV takšne odločbe v upravnem postopku dokončne, saj pritožba zoper njih ni dovoljena, dovoljen je le upravni spor. </w:t>
      </w:r>
    </w:p>
    <w:p w14:paraId="66041AC0"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Zgoraj navedeno se s predlogom ZInfV-1 ni spremenilo, saj tudi relevantne dejanske in pravne okoliščine glede možnosti pritožbe ostajajo enake. Po predlogu ZInfV-1 tako še vedno (glede na ZInfV) zoper odločbe pristojnega nacionalnega organa (ki je vladna služba) in zoper odločbe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izdane s strani njegovih inšpektorjev v postopku nadzora po predlogu ZInfV-1, pritožba ni dovoljena, dovoljen pa je upravni spor. Navedeno velja tudi glede nove pristojnost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(glede na ZInfV), ki jo ima pristojni nacionalni certifikacijski organ za kibernetsko varnost, ki je URSIV, po tretjem odstavku predlaganega člena. Ko torej URSIV, kot pristojni nacionalni certifikacijski organ za kibernetsko varnost, odloča na prvi stopnji v postopkih certificiranja, je zoper njegove odločbe ali molk organa po 15. odstavku predlaganega člena dovoljen (le) upravni spor. Glede na dejanske in pravne okoliščine ni razloga za razlikovanje pri določanju dovoljenih pravnih sredstev v zvezi z odločbami, ki jih na prvi stopnji izda isti organ – to je URSIV. Morebitna pritožba zoper odločbe URSIV ali njegov molk na Vlado Republike Slovenije bi namreč pomenila le navidezno devulotivnost in podaljševanje postopkov. Upravni spor je v teh primerih torej prvo učinkovito pravno sredstvo zoper odločbe ali molk URSIV. </w:t>
      </w:r>
    </w:p>
    <w:p w14:paraId="468333AE"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326284A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Zaradi zagotavljanja višje ravni kibernetske varnosti in z namenom zagotovitve skladnosti z nekaterimi zahtevami iz 22. člena predlog zakona spodbuja bistvene in pomembne subjekte, da uporabljajo kvalificirane storitve zaupanja ter uporabljajo proizvode, storitv</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in postopke IKT, ki so certificirani na podlagi evropskih certifikacijskih shem za kibernetsko varnost</w:t>
      </w:r>
      <w:r>
        <w:rPr>
          <w:rFonts w:cs="Arial"/>
          <w:color w:val="000000"/>
          <w:szCs w:val="20"/>
          <w:shd w:val="clear" w:color="auto" w:fill="FFFFFF"/>
          <w:lang w:val="sl-SI"/>
        </w:rPr>
        <w:t xml:space="preserve">, sprejetih na podlagi </w:t>
      </w:r>
      <w:r w:rsidRPr="003077CA">
        <w:rPr>
          <w:rFonts w:cs="Arial"/>
          <w:color w:val="000000"/>
          <w:szCs w:val="20"/>
          <w:shd w:val="clear" w:color="auto" w:fill="FFFFFF"/>
          <w:lang w:val="sl-SI"/>
        </w:rPr>
        <w:t>člena 49 Uredbe 2019/881/EU.</w:t>
      </w:r>
    </w:p>
    <w:p w14:paraId="08890BB0"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0C9217D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28. členu</w:t>
      </w:r>
    </w:p>
    <w:p w14:paraId="5BA834D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tem predlogu člena gre za prenos določbe 25. člena Direktive 2022/2555/EU, ki določa standardizacijo. Gre za rešitev, ki je že uveljavljena z 19. členom </w:t>
      </w:r>
      <w:r>
        <w:rPr>
          <w:rFonts w:cs="Arial"/>
          <w:color w:val="000000"/>
          <w:szCs w:val="20"/>
          <w:shd w:val="clear" w:color="auto" w:fill="FFFFFF"/>
          <w:lang w:val="sl-SI"/>
        </w:rPr>
        <w:t>veljavnega</w:t>
      </w:r>
      <w:r w:rsidRPr="003077CA">
        <w:rPr>
          <w:rFonts w:cs="Arial"/>
          <w:color w:val="000000"/>
          <w:szCs w:val="20"/>
          <w:shd w:val="clear" w:color="auto" w:fill="FFFFFF"/>
          <w:lang w:val="sl-SI"/>
        </w:rPr>
        <w:t xml:space="preserve"> zakona, ki ureja področje informacijske varnosti. Člen obravnava pomembnost standardizacije v kontekstu varnosti omrežnih in informacijskih sistemov. Standardizacija je ključni element za zagotavljanje skladnosti in učinkovitega izvajanja varnostnih ukrepov v informacijski tehnologiji.</w:t>
      </w:r>
    </w:p>
    <w:p w14:paraId="5F010C3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Bistveni in pomembni subjekti, ki so odgovorni za varnost omrežij in informacijskih sistemov, </w:t>
      </w:r>
      <w:r>
        <w:rPr>
          <w:rFonts w:cs="Arial"/>
          <w:color w:val="000000"/>
          <w:szCs w:val="20"/>
          <w:shd w:val="clear" w:color="auto" w:fill="FFFFFF"/>
          <w:lang w:val="sl-SI"/>
        </w:rPr>
        <w:t>morajo</w:t>
      </w:r>
      <w:r w:rsidRPr="003077CA">
        <w:rPr>
          <w:rFonts w:cs="Arial"/>
          <w:color w:val="000000"/>
          <w:szCs w:val="20"/>
          <w:shd w:val="clear" w:color="auto" w:fill="FFFFFF"/>
          <w:lang w:val="sl-SI"/>
        </w:rPr>
        <w:t xml:space="preserve"> uporabljati evropske in mednarodne standarde ter tehnične specifikacije. To pomeni, da </w:t>
      </w:r>
      <w:r w:rsidRPr="003077CA">
        <w:rPr>
          <w:rFonts w:cs="Arial"/>
          <w:color w:val="000000"/>
          <w:szCs w:val="20"/>
          <w:shd w:val="clear" w:color="auto" w:fill="FFFFFF"/>
          <w:lang w:val="sl-SI"/>
        </w:rPr>
        <w:lastRenderedPageBreak/>
        <w:t>morajo upoštevati uveljavljene industrijske standarde in najboljše prakse pri razvoju, implementaciji in vzdrževanju svojih sistemov. Standardi in tehnične specifikacije, ki obravnavajo varnost omrežij in informacijskih sistemov, so ključni za preprečevanje kibernetskih groženj, kot so napadi, zlorabe in kršitve podatkov. Z upoštevanjem teh standardov subjekti zagotavljajo, da so njihovi sistemi zaščiteni</w:t>
      </w:r>
      <w:r>
        <w:rPr>
          <w:rFonts w:cs="Arial"/>
          <w:color w:val="000000"/>
          <w:szCs w:val="20"/>
          <w:shd w:val="clear" w:color="auto" w:fill="FFFFFF"/>
          <w:lang w:val="sl-SI"/>
        </w:rPr>
        <w:t xml:space="preserve"> pred varnostnimi tveganji</w:t>
      </w:r>
      <w:r w:rsidRPr="003077CA">
        <w:rPr>
          <w:rFonts w:cs="Arial"/>
          <w:color w:val="000000"/>
          <w:szCs w:val="20"/>
          <w:shd w:val="clear" w:color="auto" w:fill="FFFFFF"/>
          <w:lang w:val="sl-SI"/>
        </w:rPr>
        <w:t xml:space="preserve"> in odporni proti </w:t>
      </w:r>
      <w:r>
        <w:rPr>
          <w:rFonts w:cs="Arial"/>
          <w:color w:val="000000"/>
          <w:szCs w:val="20"/>
          <w:shd w:val="clear" w:color="auto" w:fill="FFFFFF"/>
          <w:lang w:val="sl-SI"/>
        </w:rPr>
        <w:t>njim</w:t>
      </w:r>
      <w:r w:rsidRPr="003077CA">
        <w:rPr>
          <w:rFonts w:cs="Arial"/>
          <w:color w:val="000000"/>
          <w:szCs w:val="20"/>
          <w:shd w:val="clear" w:color="auto" w:fill="FFFFFF"/>
          <w:lang w:val="sl-SI"/>
        </w:rPr>
        <w:t>. Evropska agencija za kibernetsko varnost (ENISA) je pomembna institucija</w:t>
      </w:r>
      <w:r>
        <w:rPr>
          <w:rFonts w:cs="Arial"/>
          <w:color w:val="000000"/>
          <w:szCs w:val="20"/>
          <w:shd w:val="clear" w:color="auto" w:fill="FFFFFF"/>
          <w:lang w:val="sl-SI"/>
        </w:rPr>
        <w:t xml:space="preserve"> ter</w:t>
      </w:r>
      <w:r w:rsidRPr="003077CA">
        <w:rPr>
          <w:rFonts w:cs="Arial"/>
          <w:color w:val="000000"/>
          <w:szCs w:val="20"/>
          <w:shd w:val="clear" w:color="auto" w:fill="FFFFFF"/>
          <w:lang w:val="sl-SI"/>
        </w:rPr>
        <w:t xml:space="preserve"> izdaja smernice in nasvete glede varnosti omrežij in informacijskih sistemov. Upoštevanje njenih smernic je ključno za zagotavljanje skladnosti z evropskimi standardi in najboljšimi praksami na področju kibernetske varnosti. PNO ima vlogo pri o</w:t>
      </w:r>
      <w:r>
        <w:rPr>
          <w:rFonts w:cs="Arial"/>
          <w:color w:val="000000"/>
          <w:szCs w:val="20"/>
          <w:shd w:val="clear" w:color="auto" w:fill="FFFFFF"/>
          <w:lang w:val="sl-SI"/>
        </w:rPr>
        <w:t>za</w:t>
      </w:r>
      <w:r w:rsidRPr="003077CA">
        <w:rPr>
          <w:rFonts w:cs="Arial"/>
          <w:color w:val="000000"/>
          <w:szCs w:val="20"/>
          <w:shd w:val="clear" w:color="auto" w:fill="FFFFFF"/>
          <w:lang w:val="sl-SI"/>
        </w:rPr>
        <w:t>veščanju in informiranju zavezancev o uporabi ustreznih standardov in tehničnih specifikacij. PNO je odgovoren za zagotavljanje, da so subjekti seznanjeni z veljavnimi standardi in da jih ustrezno uporabljajo.</w:t>
      </w:r>
    </w:p>
    <w:p w14:paraId="463EF64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Skupaj ta člen poudarja pomen standardizacije kot sredstva za izboljšanje kibernetske varnosti in zagotavljanje skladnosti z zakonodajo na področju informacijske tehnologije. Standardi in tehnične specifikacije služijo kot temelj za razvoj varnih in zanesljivih informacijskih sistemov, medtem ko vloge ENISA in nacionalnih organov zagotavljajo, da so ti standardi ustrezno razumljeni, uporabljeni in upoštevani.</w:t>
      </w:r>
    </w:p>
    <w:p w14:paraId="787A8FC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Na področju informacijske oziroma kibernetske varnosti se uporabljajo različni standardi, ki določajo najboljše prakse in smernice za varovanje informacijskih sistemov, omrežij in podatkov. Nekateri izmed najbolj znanih standardov vključujejo:</w:t>
      </w:r>
    </w:p>
    <w:p w14:paraId="10EBAA6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ISO/IEC 27001, mednarodni standard za upravljanje informacijske varnosti, ki določa zahteve za vzpostavitev, izvajanje, vzdrževanje in izboljšanje sistema upravljanja informacijske varnosti v organizacijah;</w:t>
      </w:r>
    </w:p>
    <w:p w14:paraId="3BF4FFD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ISO/IEC 27002, standard ponuja smernice in najboljše prakse za izvajanje ukrepov iz ISO/IEC 27001. Pokriva širok spekter tem, vključno z varnostnimi politikami, organizacijsko varnostjo, upravljanjem sredstev, dostopom, kriptografijo, fizično varnostjo in drugimi;</w:t>
      </w:r>
    </w:p>
    <w:p w14:paraId="4108C84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 NIST Cybersecurity Framework, ki </w:t>
      </w:r>
      <w:r>
        <w:rPr>
          <w:rFonts w:cs="Arial"/>
          <w:color w:val="000000"/>
          <w:szCs w:val="20"/>
          <w:shd w:val="clear" w:color="auto" w:fill="FFFFFF"/>
          <w:lang w:val="sl-SI"/>
        </w:rPr>
        <w:t>ga je razvil</w:t>
      </w:r>
      <w:r w:rsidRPr="003077CA">
        <w:rPr>
          <w:rFonts w:cs="Arial"/>
          <w:color w:val="000000"/>
          <w:szCs w:val="20"/>
          <w:shd w:val="clear" w:color="auto" w:fill="FFFFFF"/>
          <w:lang w:val="sl-SI"/>
        </w:rPr>
        <w:t xml:space="preserve"> Nacionaln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inštitut za standarde in tehnologijo (NIST) v ZDA, ponuja prilagodljiv pristop k vzpostavitvi, izboljšanju in upravljanju kibernetske varnosti;</w:t>
      </w:r>
    </w:p>
    <w:p w14:paraId="08F93E5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CIS Controls (</w:t>
      </w:r>
      <w:r>
        <w:rPr>
          <w:rFonts w:cs="Arial"/>
          <w:color w:val="000000"/>
          <w:szCs w:val="20"/>
          <w:shd w:val="clear" w:color="auto" w:fill="FFFFFF"/>
          <w:lang w:val="sl-SI"/>
        </w:rPr>
        <w:t xml:space="preserve">angleško </w:t>
      </w:r>
      <w:r w:rsidRPr="00FC3306">
        <w:rPr>
          <w:rFonts w:cs="Arial"/>
          <w:i/>
          <w:iCs/>
          <w:color w:val="000000"/>
          <w:szCs w:val="20"/>
          <w:shd w:val="clear" w:color="auto" w:fill="FFFFFF"/>
          <w:lang w:val="sl-SI"/>
        </w:rPr>
        <w:t>Center for Internet Security Controls</w:t>
      </w:r>
      <w:r w:rsidRPr="003077CA">
        <w:rPr>
          <w:rFonts w:cs="Arial"/>
          <w:color w:val="000000"/>
          <w:szCs w:val="20"/>
          <w:shd w:val="clear" w:color="auto" w:fill="FFFFFF"/>
          <w:lang w:val="sl-SI"/>
        </w:rPr>
        <w:t>), nabor kontrol, ki so namenjene izboljšanju varnosti informacijskih sistemov. Kontrole so organizirane v obliki seznama najpomembnejših ukrepov za izboljšanje kibernetske varnosti;</w:t>
      </w:r>
    </w:p>
    <w:p w14:paraId="5CD8651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GDPR (Splošna uredba o varstvu podatkov), ki ni standard v klasičnem smislu, a določa zahteve za zaščito osebnih podatkov državljanov EU, kar je pomembno za informacijsko varnost.</w:t>
      </w:r>
    </w:p>
    <w:p w14:paraId="74AA2D7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Standarde in okvire pogosto uporabljajo organizacije za vzpostavitev in vzdrževanje učinkovitih varnostnih programov, ki zagotavljajo zaščito pred kibernetskimi grožnjami. Izbor ustreznih standardov pa je odvisen od vrste organizacije, njenih poslovnih potreb in sektorskih regulativnih zahtev, s katerimi se sooča.</w:t>
      </w:r>
    </w:p>
    <w:p w14:paraId="3FA01F54"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CDEAA5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29. členu</w:t>
      </w:r>
    </w:p>
    <w:p w14:paraId="053A8B4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členu gre za prenos določb prvega, drugega in tretjega odstavka 23. člena Direktive 2022/2555/EU, ki določa obveznost priglašanja in obveščanja.</w:t>
      </w:r>
    </w:p>
    <w:p w14:paraId="31FCEB9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določa, da morajo bistveni in pomembni subjekti pristojni skupini CSIRT brez nepotrebnega odlašanja priglasiti vse incidente, ki imajo pomemben vpliv na zagotavljanje njihovih storitev. Odstavek tudi definira, kaj se šteje za pomemben incident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če je zadevnemu subjektu povzročil ali bi mu lahko povzročil znatne operativne motnje pri opravljanju storitev ali finančne izgube ali pa je vplival ali bi lahko vplival na druge fizične ali pravne osebe s </w:t>
      </w:r>
      <w:r w:rsidRPr="003077CA">
        <w:rPr>
          <w:rFonts w:cs="Arial"/>
          <w:color w:val="000000"/>
          <w:szCs w:val="20"/>
          <w:shd w:val="clear" w:color="auto" w:fill="FFFFFF"/>
          <w:lang w:val="sl-SI"/>
        </w:rPr>
        <w:lastRenderedPageBreak/>
        <w:t>povzročitvijo precejšnje premoženjske ali nepremoženjske škode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Gre za dva pogoja, ki nista nujno kumulativno izpolnjena.</w:t>
      </w:r>
    </w:p>
    <w:p w14:paraId="4EE6FBC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navaja, kaj naj bistveni in pomembni subjekti upoštevajo pri vrednotenju pomembnosti incidenta. Gre za kazalnike, kot so obseg vpliva na delovanje storitve, trajanje incidenta ali število prizadetih prejemnikov storitev, ki imajo pomembno vlogo pri ugotavljanju, ali je operativna motnja storitve resna. Hkrati se morajo upoštevati morebitni izvedbeni akti Evropske komisije, s katerimi ta podrobneje določi vrsto informacij, obliko in postopek priglasitve ter prostovoljne priglasitve in obvestila.</w:t>
      </w:r>
    </w:p>
    <w:p w14:paraId="0E56387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določa, da ponudniki storitev DNS, registri TLD imen, ponudniki storitev računalništva v oblaku, ponudniki storitev podatkovnih centrov, ponudniki omrežij za dostavo vsebine, ponudniki upravljanih storitev, ponudniki upravljanih varnostnih storitev, ponudniki spletnih tržnic, spletnih iskalnikov in platform za storitve družbenega mreženja pri priglašanju upoštevajo izvedbene akte Evropske komisije, v katerih so zanje podrobneje določeni primeri, ko se incident šteje za pomembnega.</w:t>
      </w:r>
    </w:p>
    <w:p w14:paraId="1CC217E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za </w:t>
      </w:r>
      <w:r>
        <w:rPr>
          <w:rFonts w:cs="Arial"/>
          <w:color w:val="000000"/>
          <w:szCs w:val="20"/>
          <w:shd w:val="clear" w:color="auto" w:fill="FFFFFF"/>
          <w:lang w:val="sl-SI"/>
        </w:rPr>
        <w:t>pre</w:t>
      </w:r>
      <w:r w:rsidRPr="003077CA">
        <w:rPr>
          <w:rFonts w:cs="Arial"/>
          <w:color w:val="000000"/>
          <w:szCs w:val="20"/>
          <w:shd w:val="clear" w:color="auto" w:fill="FFFFFF"/>
          <w:lang w:val="sl-SI"/>
        </w:rPr>
        <w:t>ostale bistvene in pomembne subjekte določa, da upoštevajo izvedbene akte Evropske komisije. Če Evropska komisija takšnih izvedbenih aktov ne sprejme, se za te subjekte upošteva metodologija za določitev pomembnosti incidenta, kot je opredeljena v nacionalnem načrtu odzivanja.</w:t>
      </w:r>
    </w:p>
    <w:p w14:paraId="5D1B185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bistvenim in pomembnim subjektom nalaga, da morajo pristojni skupini CSIRT posredovati vse potrebne informacije, da bo ta lahko določila čezmejni vpliv pomembnega incidenta in prek enotne kontaktne točke obveščala enotne kontaktne točke drugih prizadetih držav članic in ENISA.</w:t>
      </w:r>
    </w:p>
    <w:p w14:paraId="73816FE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obvezuje bistvene in pomembne subjekte, da nemudoma uradno obvestijo prejemnike svojih storitev o pomembnih incidentih, ki bodo verjetno negativno vplivali na zagotavljanje teh storitev. </w:t>
      </w:r>
    </w:p>
    <w:p w14:paraId="47AF213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bistvene in pomembne subjekte zavezuje, da prejemnike svojih storitev nemudoma obvestijo o pomembni kibernetski grožnji, ki bi jih lahko prizadela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sporočijo vse ukrepe ali sredstva, ki jih lahko ti prejemniki sprejmejo v odziv na to grožnjo.</w:t>
      </w:r>
    </w:p>
    <w:p w14:paraId="249A70F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Osmi odstavek uvaja izjemo od šestega in sedmega odstavka tega člena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v primerih, </w:t>
      </w:r>
      <w:r>
        <w:rPr>
          <w:rFonts w:cs="Arial"/>
          <w:color w:val="000000"/>
          <w:szCs w:val="20"/>
          <w:shd w:val="clear" w:color="auto" w:fill="FFFFFF"/>
          <w:lang w:val="sl-SI"/>
        </w:rPr>
        <w:t>k</w:t>
      </w:r>
      <w:r w:rsidRPr="003077CA">
        <w:rPr>
          <w:rFonts w:cs="Arial"/>
          <w:color w:val="000000"/>
          <w:szCs w:val="20"/>
          <w:shd w:val="clear" w:color="auto" w:fill="FFFFFF"/>
          <w:lang w:val="sl-SI"/>
        </w:rPr>
        <w:t>o bi bilo obveščanje v nasprotju z zakonom, ki ureja tajne podatke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jim pristojni CSIRT ali pristojni nacionalni organ da takšno navodilo, ker bi razkritje podatkov lahko škodilo preiskavi incidenta ali nacionalni varnosti.</w:t>
      </w:r>
    </w:p>
    <w:p w14:paraId="53ED2EE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navaja, da bistveni in pomembni subjekti, ki delujejo znotraj sistemov, ki spadajo med ključne dele nacionalnega varnostnega sistema, izvajajo obveznosti iz tega člena ob upoštevanju obdelave informacij in podatkov, ki so predmet nacionalne varnosti v skladu s področnimi predpisi.</w:t>
      </w:r>
    </w:p>
    <w:p w14:paraId="4D2CB54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Deseti odstavek določa, da mora nacionalni varnostni organ </w:t>
      </w:r>
      <w:r w:rsidRPr="003077CA">
        <w:rPr>
          <w:rFonts w:cs="Arial"/>
          <w:color w:val="000000"/>
          <w:szCs w:val="20"/>
          <w:lang w:val="sl-SI" w:eastAsia="sl-SI"/>
        </w:rPr>
        <w:t>iz zakona, ki ureja področje tajnih podatkov</w:t>
      </w:r>
      <w:r w:rsidRPr="003077CA">
        <w:rPr>
          <w:rFonts w:cs="Arial"/>
          <w:color w:val="000000"/>
          <w:szCs w:val="20"/>
          <w:shd w:val="clear" w:color="auto" w:fill="FFFFFF"/>
          <w:lang w:val="sl-SI"/>
        </w:rPr>
        <w:t>, incidente, ki se zgodijo v komunikacijsko</w:t>
      </w:r>
      <w:r>
        <w:rPr>
          <w:rFonts w:cs="Arial"/>
          <w:color w:val="000000"/>
          <w:szCs w:val="20"/>
          <w:shd w:val="clear" w:color="auto" w:fill="FFFFFF"/>
          <w:lang w:val="sl-SI"/>
        </w:rPr>
        <w:t>-</w:t>
      </w:r>
      <w:r w:rsidRPr="003077CA">
        <w:rPr>
          <w:rFonts w:cs="Arial"/>
          <w:color w:val="000000"/>
          <w:szCs w:val="20"/>
          <w:shd w:val="clear" w:color="auto" w:fill="FFFFFF"/>
          <w:lang w:val="sl-SI"/>
        </w:rPr>
        <w:t>informacijskih sistemih, ki obdelujejo tajne podatke, in se štejejo za pomembne incidente po tem zakonu, priglasiti pristojnemu nacionalnemu organu po tem zakonu skladno s postopkom priglasitve pomembnega incidenta.</w:t>
      </w:r>
    </w:p>
    <w:p w14:paraId="47330D1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Priglasitev incidenta je pomemben večplastni dejavnik pri zagotavljanju preventivnega delovanja subjekta pred kibernetskimi incidenti. Pomaga ublažiti morebitno širjenje pomembnega incidenta, omogoča bistvenim in pomembnim subjektom, da zaprosijo za podporo, hkrati pa podrobno poročanje omogoča zaščito </w:t>
      </w:r>
      <w:r>
        <w:rPr>
          <w:rFonts w:cs="Arial"/>
          <w:color w:val="000000"/>
          <w:szCs w:val="20"/>
          <w:shd w:val="clear" w:color="auto" w:fill="FFFFFF"/>
          <w:lang w:val="sl-SI"/>
        </w:rPr>
        <w:t>pre</w:t>
      </w:r>
      <w:r w:rsidRPr="003077CA">
        <w:rPr>
          <w:rFonts w:cs="Arial"/>
          <w:color w:val="000000"/>
          <w:szCs w:val="20"/>
          <w:shd w:val="clear" w:color="auto" w:fill="FFFFFF"/>
          <w:lang w:val="sl-SI"/>
        </w:rPr>
        <w:t xml:space="preserve">ostalih subjektov in pridobivanje dragocenih izkušenj, s pomočjo katerih se sčasoma poveča odpornost posameznih subjektov in s tem celotnih sektorjev pred kibernetskimi grožnjami. </w:t>
      </w:r>
    </w:p>
    <w:p w14:paraId="0C8A9403"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B5CEA57"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30. členu</w:t>
      </w:r>
    </w:p>
    <w:p w14:paraId="7696EEB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členu gre za prenos določb četrtega odstavka 23. člena Direktive 2022/2555/EU, ki določa obveznost poročanja oziroma postopek priglasitve pomembnih incidentov. Prenašata se tudi tretji in šesti odstavek 13. člena Direktive 2022/2555/EU.</w:t>
      </w:r>
    </w:p>
    <w:p w14:paraId="1751880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določa, da morajo bistveni in pomembni subjekti za namen priglasitve pomembnih incidentov nemudoma, najpozneje pa v 24 urah po zaznavi pomembnega incidenta, pristojni skupini CSIRT predložiti zgodnje sporočilo, s katerim opozorijo oziroma obvestijo pristojne na dogajanje. Iz zgodnjega sporočila je po potrebi razvidno, ali je bil pomemben incident domnevno povzročen z nezakonitim ali zlonamernim dejanjem ali pa bi lahko imel čezmejni vpliv. Nadalje mora subjekt v 72 ur</w:t>
      </w:r>
      <w:r>
        <w:rPr>
          <w:rFonts w:cs="Arial"/>
          <w:color w:val="000000"/>
          <w:szCs w:val="20"/>
          <w:shd w:val="clear" w:color="auto" w:fill="FFFFFF"/>
          <w:lang w:val="sl-SI"/>
        </w:rPr>
        <w:t>ah</w:t>
      </w:r>
      <w:r w:rsidRPr="003077CA">
        <w:rPr>
          <w:rFonts w:cs="Arial"/>
          <w:color w:val="000000"/>
          <w:szCs w:val="20"/>
          <w:shd w:val="clear" w:color="auto" w:fill="FFFFFF"/>
          <w:lang w:val="sl-SI"/>
        </w:rPr>
        <w:t xml:space="preserve"> po zaznavi in poslanem zgodnjem sporočilu opraviti priglasitev incidenta, s katero se po potrebi posodobijo informacije in navede začetna ocena pomembnega incidenta, vključno z njegovo resnostjo in vplivom ter kazalniki ogroženosti, kadar so na voljo. Predložiti morajo tudi vmesno poročilo o ustreznih posodobitvah stanja, če to zahteva skupina CSIRT, in končno poročilo, najpozneje v enem mesecu po predložitvi priglasitve incidenta. Slednje mora vključevati podroben opis incidenta, vključno z njegovo resnostjo in vplivom; vrsto grožnje ali temeljni vzrok, ki je verjetno sprožil incident, izvedene blažilne ukrepe in ukrepe v teku, po potrebi čezmejni vpliv incidenta. V primeru pomembnega incidenta, ki je ob predložitvi končnega poročila še vedno v teku, priglasitveni subjekt predloži poročilo o napredku, končno poročilo pa najpozneje en mesec po razrešitvi incidenta.</w:t>
      </w:r>
    </w:p>
    <w:p w14:paraId="2DDD27F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določa posebno zahtevo za ponudnike storitev zaupanja, da morajo najpozneje v 24 urah po zaznavi pomembnega incidenta, ki vpliva na zagotavljanje njegovih storitev, le-tega priglasiti pristojni skupini CSIRT.</w:t>
      </w:r>
    </w:p>
    <w:p w14:paraId="18535FB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pristojni skupini CSIRT nalaga, da brez nepotrebnega odlašanja in po možnosti v 24 urah po prejemu zgodnjega opozorila odgovori priglasitvenemu subjektu, vključno z začetnimi povratnimi informacijami o pomembnem incidentu in na zahtevo priglasitvenega subjekta z usmeritvami ali operativnim nasvetom pomaga glede izvajanja morebitnih blažilnih ukrepov. Pristojna skupina CSIRT brez nepotrebnega odlašanja o priglasitvi seznani pristojni nacionalni organ ter ga obvešča o opravljenih </w:t>
      </w:r>
      <w:r>
        <w:rPr>
          <w:rFonts w:cs="Arial"/>
          <w:color w:val="000000"/>
          <w:szCs w:val="20"/>
          <w:shd w:val="clear" w:color="auto" w:fill="FFFFFF"/>
          <w:lang w:val="sl-SI"/>
        </w:rPr>
        <w:t>deja</w:t>
      </w:r>
      <w:r w:rsidRPr="003077CA">
        <w:rPr>
          <w:rFonts w:cs="Arial"/>
          <w:color w:val="000000"/>
          <w:szCs w:val="20"/>
          <w:shd w:val="clear" w:color="auto" w:fill="FFFFFF"/>
          <w:lang w:val="sl-SI"/>
        </w:rPr>
        <w:t>vnostih. Skupina CSIRT na zahtevo zadevnega subjekta zagotovi dodatno tehnično podporo. Kadar obstajajo razlogi za sum, da ima incident znake kaznivega dejanja, skupina CSIRT zagotovi tudi usmeritve o poročanju o pomembnih incidentih organom kazenskega pregona.</w:t>
      </w:r>
    </w:p>
    <w:p w14:paraId="518BA44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določa postopek v primeru pomembnega čezmejnega ali medsektorskega pomembnega incidenta. V takih primerih pristojna skupina CSIRT nemudoma zagotovi pristojnemu nacionalnemu organu priglašene informacije o pomembnem incidentu. Kadar pristojni nacionalni organ ali skupina CSIRT menita, da je to potrebno, zlasti kadar pomemben incident zadeva dve ali več držav članic, enotna kontaktna točka na zahtevo nemudoma o pomembnem incidentu obvesti enotne kontaktne točke drugih prizadetih držav članic in ENISA. To obvestilo vključuje vrsto informacij iz obvestila in prijave pomembnega incidenta, prejetih s strani prijavnega subjekta. Pri tem enotna kontaktna točka v skladu s pravom Evropske unije ali pravom Republike Slovenije zaščiti varnost in poslovne interese zavezanca, ki je priglasil incident, ter zaupnost predloženih informacij.</w:t>
      </w:r>
    </w:p>
    <w:p w14:paraId="752B205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Peti odstavek določa, da enotna kontaktna točka vsake tri mesece predloži zbirno poročilo na ENISA, ki vključuje anonimizirane in zbrane podatke o incidentih, pomembnih kibernetskih grožnjah in skorajšnjih incidentih, ki so bili priglašeni skupinam CSIRT. </w:t>
      </w:r>
    </w:p>
    <w:p w14:paraId="1284D24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ureja področje ozaveščanja javnosti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kadar je potrebno za preprečitev pomembnega incidenta ali obravnavo pomembnega incidenta, ki je v teku, ali kadar je razkritje pomembnega incidenta kako drugače v javnem interesu.</w:t>
      </w:r>
    </w:p>
    <w:p w14:paraId="0C83761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Sedmi odstavek določa, da kadar je PNO prek enotne kontaktne točke obveščen o pomembnem čezmejnem ali medsektorsko pomembnem incidentu, ki ima vpliv tudi v Republiki Sloveniji, lahko </w:t>
      </w:r>
      <w:r w:rsidRPr="003077CA">
        <w:rPr>
          <w:rFonts w:cs="Arial"/>
          <w:color w:val="000000"/>
          <w:szCs w:val="20"/>
          <w:shd w:val="clear" w:color="auto" w:fill="FFFFFF"/>
          <w:lang w:val="sl-SI"/>
        </w:rPr>
        <w:lastRenderedPageBreak/>
        <w:t>po posvetovanju s subjektom, ki je priglasil incident, obvesti javnost o pomembnem incidentu ali zahteva, da to stori zavezanec tudi, kadar je bil incident priglašen v drugi državi članici Evropske unije.</w:t>
      </w:r>
    </w:p>
    <w:p w14:paraId="2A56F03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Osmi odstavek določa, da mora PNO zagotoviti pristojnemu organu iz zakona, ki ureja področje kritične infrastrukture, </w:t>
      </w:r>
      <w:r w:rsidRPr="003077CA">
        <w:rPr>
          <w:rFonts w:cs="Arial"/>
          <w:color w:val="000000"/>
          <w:szCs w:val="20"/>
          <w:lang w:val="sl-SI" w:eastAsia="sl-SI"/>
        </w:rPr>
        <w:t>in zadevnemu nosilcu sektorja kritične infrastrukture iz prej navedenega zakona</w:t>
      </w:r>
      <w:r w:rsidRPr="003077CA">
        <w:rPr>
          <w:rFonts w:cs="Arial"/>
          <w:color w:val="000000"/>
          <w:szCs w:val="20"/>
          <w:shd w:val="clear" w:color="auto" w:fill="FFFFFF"/>
          <w:lang w:val="sl-SI"/>
        </w:rPr>
        <w:t xml:space="preserve"> informacije o pomembnih incidentih, incidentih, kibernetskih grožnjah in skorajšnjih incidentih, ki so jih priglasili bistveni subjekti, ki so identificirani kot kritični subjekti na podlagi predpisov, ki urejajo področje kritične infrastrukture.</w:t>
      </w:r>
    </w:p>
    <w:p w14:paraId="644ADC0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določa, da mora pristojna skupina CSIRT o pomembnem incidentu nemudoma obvestiti PNO, ki vodi seznam pomembnih incidentov. S tem se prenaša tudi tretji odstavek 13. člena Direktive 2022/2555/EU, ker je PNO hkrati enotna kontaktna točka. Pristojni nacionalni organ o incidentu, ki bi lahko imel večji medsektorski vpliv oziroma bi lahko ob daljšem trajanju povzročil slabšanje stabilnosti nacionalne varnosti Republike Slovenije, obvesti Nacionalni center za krizno upravljanje, lahko pa obvesti tudi druge pristojne organe, s katerimi sodeluje na nacionalni ravni v skladu z 18. členom tega zakona.</w:t>
      </w:r>
    </w:p>
    <w:p w14:paraId="26E7D52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Deseti odstavek predvideva izmenjavo informacij o priglašenih incidentih in sodelovanje med PNO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w:t>
      </w:r>
      <w:r>
        <w:rPr>
          <w:rFonts w:cs="Arial"/>
          <w:color w:val="000000"/>
          <w:szCs w:val="20"/>
          <w:shd w:val="clear" w:color="auto" w:fill="FFFFFF"/>
          <w:lang w:val="sl-SI"/>
        </w:rPr>
        <w:t>drugimi</w:t>
      </w:r>
      <w:r w:rsidRPr="003077CA">
        <w:rPr>
          <w:rFonts w:cs="Arial"/>
          <w:color w:val="000000"/>
          <w:szCs w:val="20"/>
          <w:shd w:val="clear" w:color="auto" w:fill="FFFFFF"/>
          <w:lang w:val="sl-SI"/>
        </w:rPr>
        <w:t xml:space="preserve"> deležniki o vsebini, ki je povezana z njihovim delovnim področjem prek namenske digitalne platforme za priglasitev, ki jo vzpostavi PNO. Gre za prenos šestega odstavka 13. člena Direktive 2022/2555/EU.</w:t>
      </w:r>
    </w:p>
    <w:p w14:paraId="26E9267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Enajsti odstavek napotuje pristojni organ po zakonu o tajnih podatkih, da incidente v komunikacijsko</w:t>
      </w:r>
      <w:r>
        <w:rPr>
          <w:rFonts w:cs="Arial"/>
          <w:color w:val="000000"/>
          <w:szCs w:val="20"/>
          <w:shd w:val="clear" w:color="auto" w:fill="FFFFFF"/>
          <w:lang w:val="sl-SI"/>
        </w:rPr>
        <w:t>-</w:t>
      </w:r>
      <w:r w:rsidRPr="003077CA">
        <w:rPr>
          <w:rFonts w:cs="Arial"/>
          <w:color w:val="000000"/>
          <w:szCs w:val="20"/>
          <w:shd w:val="clear" w:color="auto" w:fill="FFFFFF"/>
          <w:lang w:val="sl-SI"/>
        </w:rPr>
        <w:t>informacijskih sistemih, ki obravnavajo tajne podatke, priglasijo skladno s postopkom priglasitve pomembnih incidentov, ki je naveden v prvem odstavku tega člena.</w:t>
      </w:r>
    </w:p>
    <w:p w14:paraId="597663C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Dvanajsti odstavek ohranja ureditev iz </w:t>
      </w:r>
      <w:r>
        <w:rPr>
          <w:rFonts w:cs="Arial"/>
          <w:color w:val="000000"/>
          <w:szCs w:val="20"/>
          <w:shd w:val="clear" w:color="auto" w:fill="FFFFFF"/>
          <w:lang w:val="sl-SI"/>
        </w:rPr>
        <w:t>veljavnega</w:t>
      </w:r>
      <w:r w:rsidRPr="003077CA">
        <w:rPr>
          <w:rFonts w:cs="Arial"/>
          <w:color w:val="000000"/>
          <w:szCs w:val="20"/>
          <w:shd w:val="clear" w:color="auto" w:fill="FFFFFF"/>
          <w:lang w:val="sl-SI"/>
        </w:rPr>
        <w:t xml:space="preserve"> zakona, ki ureja področje informacijske varnosti, ki določa, da PNO vodi skupen seznam pomembnih incidentov, ki vsebuje podatke iz končnih poročil o incidentih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seznam omrežnih in informacijskih sistemov, delov omrežja in digitalnih oziroma elektronskih komunikacijskih storitev zavezancev, nujnih za nemoteno delovanje države ali za zagotavljanje nacionalne varnosti.</w:t>
      </w:r>
    </w:p>
    <w:p w14:paraId="2DDE7F05" w14:textId="77777777" w:rsidR="000A51A5" w:rsidRPr="004C205F" w:rsidRDefault="000A51A5" w:rsidP="000A51A5">
      <w:pPr>
        <w:spacing w:after="160" w:line="276" w:lineRule="auto"/>
        <w:jc w:val="both"/>
        <w:rPr>
          <w:rFonts w:cs="Arial"/>
          <w:color w:val="000000"/>
          <w:szCs w:val="20"/>
          <w:shd w:val="clear" w:color="auto" w:fill="FFFFFF"/>
          <w:lang w:val="sl-SI"/>
        </w:rPr>
      </w:pPr>
      <w:r w:rsidRPr="004C205F">
        <w:rPr>
          <w:rFonts w:cs="Arial"/>
          <w:color w:val="000000"/>
          <w:szCs w:val="20"/>
          <w:shd w:val="clear" w:color="auto" w:fill="FFFFFF"/>
          <w:lang w:val="sl-SI"/>
        </w:rPr>
        <w:t>Trinajsti odstavek določa pravno podlago za obdelavo osebnih podatkov za namen izvajanja nalog iz prejšnjega odstavka. Poročila in seznami lahko namreč vsebujejo tudi različne osebne podatke (IP</w:t>
      </w:r>
      <w:r>
        <w:rPr>
          <w:rFonts w:cs="Arial"/>
          <w:color w:val="000000"/>
          <w:szCs w:val="20"/>
          <w:shd w:val="clear" w:color="auto" w:fill="FFFFFF"/>
          <w:lang w:val="sl-SI"/>
        </w:rPr>
        <w:t>-</w:t>
      </w:r>
      <w:r w:rsidRPr="004C205F">
        <w:rPr>
          <w:rFonts w:cs="Arial"/>
          <w:color w:val="000000"/>
          <w:szCs w:val="20"/>
          <w:shd w:val="clear" w:color="auto" w:fill="FFFFFF"/>
          <w:lang w:val="sl-SI"/>
        </w:rPr>
        <w:t>je, imena in priimke kontaktnih oseb, prijaviteljev ipd.). V tem primeru zbiranje osebnih podatkov predstavlja zakoniti interes, kot ga določa točka f) prvega odstavka 6. člena Splošne uredbe in v skladu z uvodno določbo 49 Splošne uredbe, ki določa, da obdelava osebnih podatkov v obsegu, nujno potrebnem in sorazmernem za zagotovitev varnosti omrežja in informacij</w:t>
      </w:r>
      <w:r>
        <w:rPr>
          <w:rFonts w:cs="Arial"/>
          <w:color w:val="000000"/>
          <w:szCs w:val="20"/>
          <w:shd w:val="clear" w:color="auto" w:fill="FFFFFF"/>
          <w:lang w:val="sl-SI"/>
        </w:rPr>
        <w:t>,</w:t>
      </w:r>
      <w:r w:rsidRPr="004C205F">
        <w:rPr>
          <w:rFonts w:cs="Arial"/>
          <w:color w:val="000000"/>
          <w:szCs w:val="20"/>
          <w:shd w:val="clear" w:color="auto" w:fill="FFFFFF"/>
          <w:lang w:val="sl-SI"/>
        </w:rPr>
        <w:t xml:space="preserve"> pomeni zakoniti interes zadevnega upravljavca podatkov. Tako pridobljen</w:t>
      </w:r>
      <w:r>
        <w:rPr>
          <w:rFonts w:cs="Arial"/>
          <w:color w:val="000000"/>
          <w:szCs w:val="20"/>
          <w:shd w:val="clear" w:color="auto" w:fill="FFFFFF"/>
          <w:lang w:val="sl-SI"/>
        </w:rPr>
        <w:t>i</w:t>
      </w:r>
      <w:r w:rsidRPr="004C205F">
        <w:rPr>
          <w:rFonts w:cs="Arial"/>
          <w:color w:val="000000"/>
          <w:szCs w:val="20"/>
          <w:shd w:val="clear" w:color="auto" w:fill="FFFFFF"/>
          <w:lang w:val="sl-SI"/>
        </w:rPr>
        <w:t xml:space="preserve"> osebni podatki se smejo hraniti največ tri leta od konca koledarskega leta, v katerem so bili pridobljeni, nato se izbrišejo. Za namen izvajanja nalog iz prejšnjega odstavka je seznam iz prejšnjega odstavka dovoljeno povezovati s seznamom iz četrtega odstavka 8. člena tega zakona (seznam bistvenih in pomembnih subjektov ter subjektov, ki opravljajo storitve registracije domenskih imen, ki vsebuje osebne podatke kontaktnih oseb).</w:t>
      </w:r>
    </w:p>
    <w:p w14:paraId="4BBB9F5C" w14:textId="77777777" w:rsidR="000A51A5" w:rsidRPr="003077CA" w:rsidRDefault="000A51A5" w:rsidP="000A51A5">
      <w:pPr>
        <w:spacing w:after="160" w:line="276" w:lineRule="auto"/>
        <w:rPr>
          <w:rFonts w:cs="Arial"/>
          <w:b/>
          <w:bCs/>
          <w:color w:val="000000"/>
          <w:szCs w:val="20"/>
          <w:shd w:val="clear" w:color="auto" w:fill="FFFFFF"/>
          <w:lang w:val="sl-SI"/>
        </w:rPr>
      </w:pPr>
    </w:p>
    <w:p w14:paraId="77DD5D44" w14:textId="77777777" w:rsidR="000A51A5" w:rsidRDefault="000A51A5" w:rsidP="000A51A5">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024FF98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V. Pristojnost in registracija</w:t>
      </w:r>
    </w:p>
    <w:p w14:paraId="5124ABC0"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6DDBA5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Poglavje vsebuje določbe glede pristojnosti in teritorialnost</w:t>
      </w:r>
      <w:r>
        <w:rPr>
          <w:rFonts w:cs="Arial"/>
          <w:color w:val="000000"/>
          <w:szCs w:val="20"/>
          <w:shd w:val="clear" w:color="auto" w:fill="FFFFFF"/>
          <w:lang w:val="sl-SI"/>
        </w:rPr>
        <w:t>i</w:t>
      </w:r>
      <w:r w:rsidRPr="003077CA">
        <w:rPr>
          <w:rFonts w:cs="Arial"/>
          <w:color w:val="000000"/>
          <w:szCs w:val="20"/>
          <w:shd w:val="clear" w:color="auto" w:fill="FFFFFF"/>
          <w:lang w:val="sl-SI"/>
        </w:rPr>
        <w:t>, zbiranja informacij za register ponudnikov storitev pri ENISA in podatkovne zbirke o registraciji domenskih imen.</w:t>
      </w:r>
    </w:p>
    <w:p w14:paraId="0341B6E8"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B1290F7"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31. členu</w:t>
      </w:r>
    </w:p>
    <w:p w14:paraId="62500D6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26. člena Direktive 2022/2555/EU, ki določa pristojnost in teritorialnost.</w:t>
      </w:r>
    </w:p>
    <w:p w14:paraId="341FFA3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da zavezanci iz 6. člena tega zakona, ki jih je ustanovila Republika Slovenija ali imajo sedež v Republiki Sloveniji, spadajo v pristojnost nacionalnega organa in pristojnih skupin CSIRT v skladu s tem zakonom. Izjemi se nanašata na (1) ponudnike javnih elektronskih komunikacijskih omrežij ali ponudnike javno dostopnih elektronskih komunikacijskih storitev</w:t>
      </w:r>
      <w:r>
        <w:rPr>
          <w:rFonts w:cs="Arial"/>
          <w:color w:val="000000"/>
          <w:szCs w:val="20"/>
          <w:shd w:val="clear" w:color="auto" w:fill="FFFFFF"/>
          <w:lang w:val="sl-SI"/>
        </w:rPr>
        <w:t>, za katere se</w:t>
      </w:r>
      <w:r w:rsidRPr="003077CA">
        <w:rPr>
          <w:rFonts w:cs="Arial"/>
          <w:color w:val="000000"/>
          <w:szCs w:val="20"/>
          <w:shd w:val="clear" w:color="auto" w:fill="FFFFFF"/>
          <w:lang w:val="sl-SI"/>
        </w:rPr>
        <w:t xml:space="preserve"> šteje, da spadajo v pristojnost države članice Evropske unije, v kateri zagotavljajo svoje storitve in (2) ponudnike storitev DNS, registre TLD imen, subjekte, ki opravljajo storitve registracije domenskih imen, ponudnike storitev računalništva v oblaku, ponudnike storitev podatkovnih centrov, ponudnike omrežij za dostavo vsebine, ponudnike upravljanih storitev, ponudnike upravljanih varnostnih storitev ter ponudnike spletnih tržnic, spletnih iskalnikov in platform za storitve družbenega mreženja</w:t>
      </w:r>
      <w:r>
        <w:rPr>
          <w:rFonts w:cs="Arial"/>
          <w:color w:val="000000"/>
          <w:szCs w:val="20"/>
          <w:shd w:val="clear" w:color="auto" w:fill="FFFFFF"/>
          <w:lang w:val="sl-SI"/>
        </w:rPr>
        <w:t>, za katere se</w:t>
      </w:r>
      <w:r w:rsidRPr="003077CA">
        <w:rPr>
          <w:rFonts w:cs="Arial"/>
          <w:color w:val="000000"/>
          <w:szCs w:val="20"/>
          <w:shd w:val="clear" w:color="auto" w:fill="FFFFFF"/>
          <w:lang w:val="sl-SI"/>
        </w:rPr>
        <w:t xml:space="preserve"> šteje, da spadajo v pristojnost pristojnih organov države članice, v kateri imajo glavni sedež v Evropski uniji v skladu z drugim odstavkom tega člena. Za slednje drugi odstavek predloga določa, da imajo glavni sedež v Evropski uniji v državi članici Evropske unije, kjer se sprejme večina odločitev v zvezi z ukrepi za obvladovanje tveganj za kibernetsko varnost. Če te države članice Evropske unije ni mogoče določiti ali če se te odločitve ne sprejemajo v Evropski uniji, se šteje, da je glavni sedež v državi članici Evropske unije, kjer se izvajajo operacije v zvezi s kibernetsko varnostjo. Če te države članice Evropske unije ni mogoče določiti, se šteje, da je glavni sedež v državi članici, kjer ima zadevni subjekt sedež z največjim številom zaposlenih v Evropski uniji.</w:t>
      </w:r>
    </w:p>
    <w:p w14:paraId="49CDC7B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uvaja rešitev za subjekt, ki nima sedeža v Evropski uniji, v njej pa zagotavlja </w:t>
      </w:r>
      <w:r>
        <w:rPr>
          <w:rFonts w:cs="Arial"/>
          <w:color w:val="000000"/>
          <w:szCs w:val="20"/>
          <w:shd w:val="clear" w:color="auto" w:fill="FFFFFF"/>
          <w:lang w:val="sl-SI"/>
        </w:rPr>
        <w:t>zadevne</w:t>
      </w:r>
      <w:r w:rsidRPr="003077CA">
        <w:rPr>
          <w:rFonts w:cs="Arial"/>
          <w:color w:val="000000"/>
          <w:szCs w:val="20"/>
          <w:shd w:val="clear" w:color="auto" w:fill="FFFFFF"/>
          <w:lang w:val="sl-SI"/>
        </w:rPr>
        <w:t xml:space="preserve"> storitve</w:t>
      </w:r>
      <w:r>
        <w:rPr>
          <w:rFonts w:cs="Arial"/>
          <w:color w:val="000000"/>
          <w:szCs w:val="20"/>
          <w:shd w:val="clear" w:color="auto" w:fill="FFFFFF"/>
          <w:lang w:val="sl-SI"/>
        </w:rPr>
        <w:t xml:space="preserve">. Tak subjekt </w:t>
      </w:r>
      <w:r w:rsidRPr="003077CA">
        <w:rPr>
          <w:rFonts w:cs="Arial"/>
          <w:color w:val="000000"/>
          <w:szCs w:val="20"/>
          <w:shd w:val="clear" w:color="auto" w:fill="FFFFFF"/>
          <w:lang w:val="sl-SI"/>
        </w:rPr>
        <w:t xml:space="preserve">določi sedež svojega predstavnika za Evropsko unijo v Republiki Sloveniji, kjer tudi zagotavlja </w:t>
      </w:r>
      <w:r>
        <w:rPr>
          <w:rFonts w:cs="Arial"/>
          <w:color w:val="000000"/>
          <w:szCs w:val="20"/>
          <w:shd w:val="clear" w:color="auto" w:fill="FFFFFF"/>
          <w:lang w:val="sl-SI"/>
        </w:rPr>
        <w:t>zadevne</w:t>
      </w:r>
      <w:r w:rsidRPr="003077CA">
        <w:rPr>
          <w:rFonts w:cs="Arial"/>
          <w:color w:val="000000"/>
          <w:szCs w:val="20"/>
          <w:shd w:val="clear" w:color="auto" w:fill="FFFFFF"/>
          <w:lang w:val="sl-SI"/>
        </w:rPr>
        <w:t xml:space="preserve"> storitve</w:t>
      </w:r>
      <w:r>
        <w:rPr>
          <w:rFonts w:cs="Arial"/>
          <w:color w:val="000000"/>
          <w:szCs w:val="20"/>
          <w:shd w:val="clear" w:color="auto" w:fill="FFFFFF"/>
          <w:lang w:val="sl-SI"/>
        </w:rPr>
        <w:t xml:space="preserve"> in posledično</w:t>
      </w:r>
      <w:r w:rsidRPr="003077CA">
        <w:rPr>
          <w:rFonts w:cs="Arial"/>
          <w:color w:val="000000"/>
          <w:szCs w:val="20"/>
          <w:shd w:val="clear" w:color="auto" w:fill="FFFFFF"/>
          <w:lang w:val="sl-SI"/>
        </w:rPr>
        <w:t xml:space="preserve"> spada v pristojnost pristojnega nacionalnega organa in pristojne skupine CSIRT. Predstavnik zastopa subjekt v zvezi z obveznostmi na podlagi tega zakona. </w:t>
      </w:r>
    </w:p>
    <w:p w14:paraId="7672E3B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postopek, če subjekt ni imenoval predstavnika v Evropski uniji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opravlja pa storitve v Republiki Slovenije.</w:t>
      </w:r>
    </w:p>
    <w:p w14:paraId="3096941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določa postopek, če organ PNO prejme zahtevek za medsebojno pomoč na podlagi 51. člena tega zakona v zvezi s subjektom iz druge alineje prvega odstavka tega člena.</w:t>
      </w:r>
    </w:p>
    <w:p w14:paraId="1BBCCBA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4DE1C4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32. členu</w:t>
      </w:r>
    </w:p>
    <w:p w14:paraId="47EF189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tem predlogu člena gre za prenos določb 27. člena Direktive 2022/2555/EU, ki določa register subjektov oziroma zbiranje informacij za register ponudnikov storitev pri </w:t>
      </w:r>
      <w:r>
        <w:rPr>
          <w:rFonts w:cs="Arial"/>
          <w:color w:val="000000"/>
          <w:szCs w:val="20"/>
          <w:shd w:val="clear" w:color="auto" w:fill="FFFFFF"/>
          <w:lang w:val="sl-SI"/>
        </w:rPr>
        <w:t xml:space="preserve">agenciji </w:t>
      </w:r>
      <w:r w:rsidRPr="003077CA">
        <w:rPr>
          <w:rFonts w:cs="Arial"/>
          <w:color w:val="000000"/>
          <w:szCs w:val="20"/>
          <w:shd w:val="clear" w:color="auto" w:fill="FFFFFF"/>
          <w:lang w:val="sl-SI"/>
        </w:rPr>
        <w:t>ENISA.</w:t>
      </w:r>
    </w:p>
    <w:p w14:paraId="3A8E77E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določa, da morajo subjekti, ki </w:t>
      </w:r>
      <w:r>
        <w:rPr>
          <w:rFonts w:cs="Arial"/>
          <w:color w:val="000000"/>
          <w:szCs w:val="20"/>
          <w:shd w:val="clear" w:color="auto" w:fill="FFFFFF"/>
          <w:lang w:val="sl-SI"/>
        </w:rPr>
        <w:t>spadajo</w:t>
      </w:r>
      <w:r w:rsidRPr="003077CA">
        <w:rPr>
          <w:rFonts w:cs="Arial"/>
          <w:color w:val="000000"/>
          <w:szCs w:val="20"/>
          <w:shd w:val="clear" w:color="auto" w:fill="FFFFFF"/>
          <w:lang w:val="sl-SI"/>
        </w:rPr>
        <w:t xml:space="preserve"> v pristojnost PNO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podati informacije (1) ime subjekta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(2) ustrezni sektor, podsektor in vrsto subjekta iz Priloge 1 ali 2</w:t>
      </w:r>
      <w:r>
        <w:rPr>
          <w:rFonts w:cs="Arial"/>
          <w:color w:val="000000"/>
          <w:szCs w:val="20"/>
          <w:shd w:val="clear" w:color="auto" w:fill="FFFFFF"/>
          <w:lang w:val="sl-SI"/>
        </w:rPr>
        <w:t>,</w:t>
      </w:r>
      <w:r w:rsidRPr="003077CA">
        <w:rPr>
          <w:rFonts w:cs="Arial"/>
          <w:color w:val="000000"/>
          <w:szCs w:val="20"/>
          <w:shd w:val="clear" w:color="auto" w:fill="FFFFFF"/>
          <w:lang w:val="sl-SI"/>
        </w:rPr>
        <w:t xml:space="preserve"> (3) naslov njegovega glavnega sedeža in njegovih drugih zakonitih sedežev v Evropski uniji ali, če nima sedeža v Evropski uniji, njegovega predstavnika, imenovanega v skladu s tretjim odstavkom 29. člena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(4) posodobljene kontaktne podatke, vključno z elektronskimi naslovi in telefonskimi številkami subjekta in po potrebi njegovega zastopnika, imenovanega v skladu s tretjim odstavkom 29. člena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(5) države članice, v katerih subjekt opravlja storitve, ter (6) bloke subjektu dodeljenih številk avtonomnih sistemov in javnih naslovov IP.</w:t>
      </w:r>
    </w:p>
    <w:p w14:paraId="069A8AC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Drugi odstavek predloga določa, da morajo subjekti PNO obvestiti o vsaki spremembi informacij iz prvega odstavka.</w:t>
      </w:r>
    </w:p>
    <w:p w14:paraId="71C9933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določa, da subjekti predložijo informacije PNO prek mehanizma za samoregistracijo zavezancev iz prvega odstavka 8. člena predloga zakona.</w:t>
      </w:r>
    </w:p>
    <w:p w14:paraId="5D213F9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postopek posredovanja zbranih informacij ENISI, ki vzpostavi in vzdržuje regist</w:t>
      </w:r>
      <w:r>
        <w:rPr>
          <w:rFonts w:cs="Arial"/>
          <w:color w:val="000000"/>
          <w:szCs w:val="20"/>
          <w:shd w:val="clear" w:color="auto" w:fill="FFFFFF"/>
          <w:lang w:val="sl-SI"/>
        </w:rPr>
        <w:t>er</w:t>
      </w:r>
      <w:r w:rsidRPr="003077CA">
        <w:rPr>
          <w:rFonts w:cs="Arial"/>
          <w:color w:val="000000"/>
          <w:szCs w:val="20"/>
          <w:shd w:val="clear" w:color="auto" w:fill="FFFFFF"/>
          <w:lang w:val="sl-SI"/>
        </w:rPr>
        <w:t xml:space="preserve"> ponudnikov storitev iz prvega odstavka tega člena.</w:t>
      </w:r>
    </w:p>
    <w:p w14:paraId="5F90FD2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84DEDE8"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33. členu</w:t>
      </w:r>
    </w:p>
    <w:p w14:paraId="40ACC47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28. člena Direktive 2022/2555/EU, ki določa podatkovno zbirko o registraciji domenskih imen.</w:t>
      </w:r>
    </w:p>
    <w:p w14:paraId="3EF99AE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da registri TLD imen in subjekti, ki opravljajo storitve registracije domenskih imen</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zaradi zagotovitve varnosti, stabilnosti in odpornosti DNS z ustrezno skrbnostjo zbirajo ter vzdržujejo točne in popolne podatke o registraciji domenskih imen v posebni podatkovni zbirki, pri čemer za zbrane osebne podatke upoštevajo predpise s področja varstva osebnih podatkov.</w:t>
      </w:r>
    </w:p>
    <w:p w14:paraId="08B8D7C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da morajo podatkovn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zbirke vsebovati potrebne informacije o registraciji domenskih imen, ki vsebujejo potrebne informacije za identifikacijo imetnikov domenskih imen in kontaktnih točk, ki upravljajo domenska imena v okviru vrhnjih domenskih imen, in navezavo stika z njimi. </w:t>
      </w:r>
    </w:p>
    <w:p w14:paraId="3639CB4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nalaga vzpostavitev politike in postopke, vključno s postopki preverjanja, ki zagotavljajo, da podatkovne zbirke iz prvega odstavka tega člena vključujejo točne in popolne informacije. Te politike in postopki morajo biti javno dostopni.</w:t>
      </w:r>
    </w:p>
    <w:p w14:paraId="623907B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da subjekti po registraciji domenskega imena nemudoma omogočijo javno dostopnost podatkov o registraciji, ki niso osebni podatki. Odstavek določa tudi način objave.</w:t>
      </w:r>
    </w:p>
    <w:p w14:paraId="40E8C60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določa postopek dostopa do podatkov o registraciji posameznih domenskih imen na podlagi zakonitih in ustrezno utemeljenih zahtevkov oseb, ki imajo upravičen razlog za dostop, v skladu s predpis</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s področja varstva osebnih podatkov. </w:t>
      </w:r>
    </w:p>
    <w:p w14:paraId="3D02B5C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predloga pa uvaja varovalo pred podvajanjem zbiranja podatkov o registraciji domenskih imen. </w:t>
      </w:r>
    </w:p>
    <w:p w14:paraId="2C040043"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08ADEEF"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VI. Izmenjava informacij</w:t>
      </w:r>
    </w:p>
    <w:p w14:paraId="5A97536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A68B6A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Poglavje vsebuje določbi glede dogovorov o izmenjavi informacij o kibernetski varnosti in prostovoljne priglasitve.</w:t>
      </w:r>
    </w:p>
    <w:p w14:paraId="1E33B24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04C369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34. členu</w:t>
      </w:r>
    </w:p>
    <w:p w14:paraId="46D66FE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členu gre za prenos določb 29. člena Direktive 2022/2555/EU, ki določa dogovore o izmenjavi informacij o kibernetski varnost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Člen obravnava prostovoljno izmenjavo informacij med zavezanci, pristojnimi organi in drugimi subjekti v okviru kibernetske varnosti. Poudarja prostovoljno naravo izmenjave informacij, pravila in smernice za izmenjavo ter obveznosti zavezancev in organov. Namen izmenjave informacij je izboljšanje kibernetske varnosti, preprečevanje kibernetskih incidentov in spodbujanje sodelovanja med različnimi subjekti v kibernetskem prostoru, ne le zavezanci po tem zakonu. Prostovoljna izmenjava informacij o </w:t>
      </w:r>
      <w:r w:rsidRPr="003077CA">
        <w:rPr>
          <w:rFonts w:cs="Arial"/>
          <w:color w:val="000000"/>
          <w:szCs w:val="20"/>
          <w:shd w:val="clear" w:color="auto" w:fill="FFFFFF"/>
          <w:lang w:val="sl-SI"/>
        </w:rPr>
        <w:lastRenderedPageBreak/>
        <w:t>kibernetski varnosti, vključno z informacijami, ki se nanašajo na kibernetske grožnje, skorajšnje incidente, ranljivosti, tehnike in postopke, kazalnike ogroženosti, sovražne taktike, specifične informacije o grožnji in akterju, opozorila glede kibernetske varnosti in priporočila glede konfiguracije orodij za kibernetsko varnost za zaznavo zlonamernih kibernetskih aktivnosti med zavezanci in drugimi subjekti lahko poteka z namenom preprečevanja in odkrivanja incidentov, odzivanja nanje, okrevanja po njih ali ublažitve njihovega vpliva, zviševanja ravni kibernetske varnosti, zlasti z ozaveščanjem v zvezi s kibernetskimi grožnjami, omejevanjem ali oviranjem zmožnosti širjenja takih groženj, podpiranjem vrste obrambnih zmogljivosti, odpravljanjem in razkrivanjem ranljivosti, tehnikami odkrivanja, omejevanja in preprečevanja groženj, strategijami za zmanjšanje tveganja ali fazami odzivanja in okrevanja ali s spodbujanjem sodelovanja med javnimi in zasebnimi subjekti pri raziskovanju kibernetskih groženj. Izmenjava informacij na področju kibernetske varnosti prispeva k večji ozaveščenosti, krepi sposobnost subjektov za preprečevanje, da bi se kibernetske grožnje dejansko spremenile v incidente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omogoča omejevanje učinkov incidentov ter hitrejše oziroma učinkovitejše okrevanje po incidentu.</w:t>
      </w:r>
    </w:p>
    <w:p w14:paraId="2B8EF9B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tretji in peti odstavek člena določajo, da prostovoljna izmenjava informacij med zavezanci, njihovimi dobavitelji ali ponudniki storitev poteka na podlagi dogovorov o izmenjavi informacij o kibernetski varnosti, v katerih so opredeljeni pogoji izmenjave, da se med drugim zaščiti</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tudi morebitne občutljive informacije, ki se izmenjujejo. Tovrstni podatki in informacije morajo biti ustrezno označeni s semaforskim protokolom. Predmet izmenjave so lahko tudi operativni elementi, dogovor o uporabi namenskih platform in drugih orodij za avtomatizacijo. Pristojni nacionalni organ spodbuja tovrstne dogovore prek o</w:t>
      </w:r>
      <w:r>
        <w:rPr>
          <w:rFonts w:cs="Arial"/>
          <w:color w:val="000000"/>
          <w:szCs w:val="20"/>
          <w:shd w:val="clear" w:color="auto" w:fill="FFFFFF"/>
          <w:lang w:val="sl-SI"/>
        </w:rPr>
        <w:t>za</w:t>
      </w:r>
      <w:r w:rsidRPr="003077CA">
        <w:rPr>
          <w:rFonts w:cs="Arial"/>
          <w:color w:val="000000"/>
          <w:szCs w:val="20"/>
          <w:shd w:val="clear" w:color="auto" w:fill="FFFFFF"/>
          <w:lang w:val="sl-SI"/>
        </w:rPr>
        <w:t>veščanja zavezancev. V tovrstne dogovore se lahko na zaprosilo zavezancev vključijo tudi pristojni nacionalni organ in skupine CSIRT. Pri sklepanju dogovorov naj se upoštevajo dobre prakse in smernice ENISA.</w:t>
      </w:r>
    </w:p>
    <w:p w14:paraId="270E6EF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določa, da morajo bistveni in pomembni subjekti obvestiti pristojni nacionalni organ in skupino CSIRT o svojem sodelovanju pri dogovorih o izmenjavi informacij, pa tudi o morebitnem odstopu od takšnih dogovorov. Skrbnik dogovora posreduje obvestilo o sodelovanju ali njegovi spremembi v 15 dn</w:t>
      </w:r>
      <w:r>
        <w:rPr>
          <w:rFonts w:cs="Arial"/>
          <w:color w:val="000000"/>
          <w:szCs w:val="20"/>
          <w:shd w:val="clear" w:color="auto" w:fill="FFFFFF"/>
          <w:lang w:val="sl-SI"/>
        </w:rPr>
        <w:t>eh</w:t>
      </w:r>
      <w:r w:rsidRPr="003077CA">
        <w:rPr>
          <w:rFonts w:cs="Arial"/>
          <w:color w:val="000000"/>
          <w:szCs w:val="20"/>
          <w:shd w:val="clear" w:color="auto" w:fill="FFFFFF"/>
          <w:lang w:val="sl-SI"/>
        </w:rPr>
        <w:t xml:space="preserve"> od nastanka dogodka.</w:t>
      </w:r>
    </w:p>
    <w:p w14:paraId="6FC3EE3E"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A97ABA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35. členu</w:t>
      </w:r>
    </w:p>
    <w:p w14:paraId="37A1B5B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členu gre za prenos določb 30. člena </w:t>
      </w:r>
      <w:bookmarkStart w:id="133" w:name="_Hlk182686237"/>
      <w:r w:rsidRPr="003077CA">
        <w:rPr>
          <w:rFonts w:cs="Arial"/>
          <w:color w:val="000000"/>
          <w:szCs w:val="20"/>
          <w:shd w:val="clear" w:color="auto" w:fill="FFFFFF"/>
          <w:lang w:val="sl-SI"/>
        </w:rPr>
        <w:t>Direktive 2022/2555/EU</w:t>
      </w:r>
      <w:bookmarkEnd w:id="133"/>
      <w:r w:rsidRPr="003077CA">
        <w:rPr>
          <w:rFonts w:cs="Arial"/>
          <w:color w:val="000000"/>
          <w:szCs w:val="20"/>
          <w:shd w:val="clear" w:color="auto" w:fill="FFFFFF"/>
          <w:lang w:val="sl-SI"/>
        </w:rPr>
        <w:t>, ki določa dogovore o prostovoljni priglasitvi incidentov, kibernetskih groženj in skorajšnjih incidentov</w:t>
      </w:r>
      <w:r>
        <w:rPr>
          <w:rFonts w:cs="Arial"/>
          <w:color w:val="000000"/>
          <w:szCs w:val="20"/>
          <w:shd w:val="clear" w:color="auto" w:fill="FFFFFF"/>
          <w:lang w:val="sl-SI"/>
        </w:rPr>
        <w:t xml:space="preserve"> ter</w:t>
      </w:r>
      <w:r w:rsidRPr="003077CA">
        <w:rPr>
          <w:rFonts w:cs="Arial"/>
          <w:color w:val="000000"/>
          <w:szCs w:val="20"/>
          <w:shd w:val="clear" w:color="auto" w:fill="FFFFFF"/>
          <w:lang w:val="sl-SI"/>
        </w:rPr>
        <w:t xml:space="preserve"> predložitvi ustreznih informacij. Vsebina člena spodbuja proaktiven pristop k priglašanju kibernetskih incidentov, groženj in skorajšnjih incidentov, saj je to ključnega pomena za zaščito informacijskih sistemov in omrežij tako žrtve kot drugih subjektov v kibernetskem prostoru.</w:t>
      </w:r>
    </w:p>
    <w:p w14:paraId="51C5B56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subjekte, ki so zavezanci po tem zakonu, poleg obvezne priglasitve pomembnih incidentov skupinam CSIRT, spodbuja, da prostovoljno priglasijo incidente, ki so v skladu z lestvico resnosti incidentov ocenjeni kot manj pomembni, kibernetske grožnje in skorajšnje incidente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ob tem predložijo ustrezne informacije. Namen prostovoljne priglasitve manj pomembnih incidentov in kibernetskih groženj je, da se lahko ustvari zavedanje o dogajanju v kibernetskem prostoru.</w:t>
      </w:r>
    </w:p>
    <w:p w14:paraId="28CC1A0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omogoča, da subjekti, ki niso zavezanci po tem zakonu, in ne glede na to, ali spadajo na področje uporabe tega zakona, lahko prostovoljno priglasijo pomembne incidente, kibernetske grožnje in skorajšnje incidente skupini CSIRT in ji predložijo ustrezne informacije. Namen določbe je, da se subjektom, ki niso zavezanci po tem zakonu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omogoči prijav</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omenjenih incidentov in groženj. Hkrati pa je namen spodbujanje subjektov k zaznavanju in priglašanju omenjenih incidentov in groženj, saj se s tem ustvarja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zavedanje o dogajanju v kibernetskem prostoru in pogoji za zaščito </w:t>
      </w:r>
      <w:r>
        <w:rPr>
          <w:rFonts w:cs="Arial"/>
          <w:color w:val="000000"/>
          <w:szCs w:val="20"/>
          <w:shd w:val="clear" w:color="auto" w:fill="FFFFFF"/>
          <w:lang w:val="sl-SI"/>
        </w:rPr>
        <w:t>drugih</w:t>
      </w:r>
      <w:r w:rsidRPr="003077CA">
        <w:rPr>
          <w:rFonts w:cs="Arial"/>
          <w:color w:val="000000"/>
          <w:szCs w:val="20"/>
          <w:shd w:val="clear" w:color="auto" w:fill="FFFFFF"/>
          <w:lang w:val="sl-SI"/>
        </w:rPr>
        <w:t xml:space="preserve"> subjektov v kibernetskem prostoru.</w:t>
      </w:r>
    </w:p>
    <w:p w14:paraId="390FB64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ureja, da skupine CSIRT prostovoljno priglasitev obravnavajo v skladu s postopki iz 30. člena tega zakona. S prostovoljno priglasitvijo za priglasitveni subjekt ne nastanejo dodatne </w:t>
      </w:r>
      <w:r w:rsidRPr="003077CA">
        <w:rPr>
          <w:rFonts w:cs="Arial"/>
          <w:color w:val="000000"/>
          <w:szCs w:val="20"/>
          <w:shd w:val="clear" w:color="auto" w:fill="FFFFFF"/>
          <w:lang w:val="sl-SI"/>
        </w:rPr>
        <w:lastRenderedPageBreak/>
        <w:t>obveznosti, omenjeno pa ne velja</w:t>
      </w:r>
      <w:r>
        <w:rPr>
          <w:rFonts w:cs="Arial"/>
          <w:color w:val="000000"/>
          <w:szCs w:val="20"/>
          <w:shd w:val="clear" w:color="auto" w:fill="FFFFFF"/>
          <w:lang w:val="sl-SI"/>
        </w:rPr>
        <w:t>, kadar</w:t>
      </w:r>
      <w:r w:rsidRPr="003077CA">
        <w:rPr>
          <w:rFonts w:cs="Arial"/>
          <w:color w:val="000000"/>
          <w:szCs w:val="20"/>
          <w:shd w:val="clear" w:color="auto" w:fill="FFFFFF"/>
          <w:lang w:val="sl-SI"/>
        </w:rPr>
        <w:t xml:space="preserve"> gre za preprečevanje, preiskovanje, odkrivanje in pregon kaznivih dejanj.</w:t>
      </w:r>
    </w:p>
    <w:p w14:paraId="2AD0373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nalaga pristojni skupini CSIRT, da po potrebi informacije o priglasitvah, prejetih v skladu s tem členom, posredujejo PNO, pri čemer poskrbijo za zaupnost in ustrezno varstvo informacij, ki jih je posredoval priglasitveni subjekt.</w:t>
      </w:r>
    </w:p>
    <w:p w14:paraId="10E394D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določa način obdelave prostovoljnih priglasitev. Pristojne skupine CSIRT lahko pred prostovoljnimi priglasitvami prednostno obravnavajo obvezne priglasitve. Šesti odstavek določa, da se prostovoljne priglasitve, ki nimajo vpliva ali imajo zanemarljiv vpliv na izvajanje storitev zavezanih subjektov in imajo zanemarljiv čezmejni vpliv, obdelajo le, kadar takšna obdelava skupinam CSIRT ne pomeni nesorazmernega ali neupravičenega bremena.</w:t>
      </w:r>
    </w:p>
    <w:p w14:paraId="05D1139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predloga določa, da se prostovoljna priglasitev ustreznih informacij iz tega člena lahko izvaja tudi po namenski digitalni platformi iz desetega odstavka 30. člena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po kateri poteka tudi izmenjava informacij med sodelujočimi organi na podlagi 18. člena tega zakona, ti organi pa imajo dostop do informacij o priglasitvah subjektov, ki so povezane z njihovim področjem dela.</w:t>
      </w:r>
    </w:p>
    <w:p w14:paraId="40E9060F" w14:textId="77777777" w:rsidR="000A51A5" w:rsidRPr="003077CA" w:rsidRDefault="000A51A5" w:rsidP="000A51A5">
      <w:pPr>
        <w:spacing w:after="160" w:line="276" w:lineRule="auto"/>
        <w:rPr>
          <w:rFonts w:cs="Arial"/>
          <w:color w:val="000000"/>
          <w:szCs w:val="20"/>
          <w:shd w:val="clear" w:color="auto" w:fill="FFFFFF"/>
          <w:lang w:val="sl-SI"/>
        </w:rPr>
      </w:pPr>
    </w:p>
    <w:p w14:paraId="469A398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VI. Vrednotenje incidenta, ocena ogroženosti in ukrepanje</w:t>
      </w:r>
    </w:p>
    <w:p w14:paraId="259CCB5A"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B320C1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Poglavje vsebuje nacionalne določbe vrednotenja incidentov in ukrepanje ter ocene ogroženosti. Gre za področje, ki je že uveljavljeno v </w:t>
      </w:r>
      <w:r>
        <w:rPr>
          <w:rFonts w:cs="Arial"/>
          <w:color w:val="000000"/>
          <w:szCs w:val="20"/>
          <w:shd w:val="clear" w:color="auto" w:fill="FFFFFF"/>
          <w:lang w:val="sl-SI"/>
        </w:rPr>
        <w:t>veljavnem</w:t>
      </w:r>
      <w:r w:rsidRPr="003077CA">
        <w:rPr>
          <w:rFonts w:cs="Arial"/>
          <w:color w:val="000000"/>
          <w:szCs w:val="20"/>
          <w:shd w:val="clear" w:color="auto" w:fill="FFFFFF"/>
          <w:lang w:val="sl-SI"/>
        </w:rPr>
        <w:t xml:space="preserve"> Zakonu o informacijski varnosti in razdelano v Nacionalnem načrtu odzivanja na kibernetske incidente. S predlaganimi določbami se </w:t>
      </w:r>
      <w:r>
        <w:rPr>
          <w:rFonts w:cs="Arial"/>
          <w:color w:val="000000"/>
          <w:szCs w:val="20"/>
          <w:shd w:val="clear" w:color="auto" w:fill="FFFFFF"/>
          <w:lang w:val="sl-SI"/>
        </w:rPr>
        <w:t>kakovostno</w:t>
      </w:r>
      <w:r w:rsidRPr="003077CA">
        <w:rPr>
          <w:rFonts w:cs="Arial"/>
          <w:color w:val="000000"/>
          <w:szCs w:val="20"/>
          <w:shd w:val="clear" w:color="auto" w:fill="FFFFFF"/>
          <w:lang w:val="sl-SI"/>
        </w:rPr>
        <w:t xml:space="preserve"> nadgrajujejo omenjeni postopki.</w:t>
      </w:r>
    </w:p>
    <w:p w14:paraId="1A06CABD"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19C7C38"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36. členu</w:t>
      </w:r>
    </w:p>
    <w:p w14:paraId="3B5635B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določa, da priglašene incidente ob njihovem reševanju vrednoti pristojna skupina CSIRT. </w:t>
      </w:r>
      <w:r>
        <w:rPr>
          <w:rFonts w:cs="Arial"/>
          <w:color w:val="000000"/>
          <w:szCs w:val="20"/>
          <w:shd w:val="clear" w:color="auto" w:fill="FFFFFF"/>
          <w:lang w:val="sl-SI"/>
        </w:rPr>
        <w:t>Če</w:t>
      </w:r>
      <w:r w:rsidRPr="003077CA">
        <w:rPr>
          <w:rFonts w:cs="Arial"/>
          <w:color w:val="000000"/>
          <w:szCs w:val="20"/>
          <w:shd w:val="clear" w:color="auto" w:fill="FFFFFF"/>
          <w:lang w:val="sl-SI"/>
        </w:rPr>
        <w:t xml:space="preserve"> ima organ državne uprave zagotovljene zmogljivosti vsaj na ravni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operativnega centra, pristojna skupina CSIRT opravi vrednotenje po posvetu z varnostno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operativnim centrom. Pristojni nacionalni organ lahko oceno pristojne skupine CSIRT prevrednoti. Tovrstno prevrednotenje je mogoče v primeru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ko ugotovi, da ta ocena ne odraža realnega stanja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ali pa v primeru ugotovitve novih dejst</w:t>
      </w:r>
      <w:r>
        <w:rPr>
          <w:rFonts w:cs="Arial"/>
          <w:color w:val="000000"/>
          <w:szCs w:val="20"/>
          <w:shd w:val="clear" w:color="auto" w:fill="FFFFFF"/>
          <w:lang w:val="sl-SI"/>
        </w:rPr>
        <w:t>e</w:t>
      </w:r>
      <w:r w:rsidRPr="003077CA">
        <w:rPr>
          <w:rFonts w:cs="Arial"/>
          <w:color w:val="000000"/>
          <w:szCs w:val="20"/>
          <w:shd w:val="clear" w:color="auto" w:fill="FFFFFF"/>
          <w:lang w:val="sl-SI"/>
        </w:rPr>
        <w:t>v. Varnostn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dogodk</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in incident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se vrednoti</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v naslednje stopnje s poimenovanjem C6 dogodek, C5 skorajšnji incident, C4 lažji incident, C3 težji incident, C2 težji incident in C1 kritični incident.</w:t>
      </w:r>
    </w:p>
    <w:p w14:paraId="7558020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nalaga PNO, da na podlagi podatkov in stopnje incidenta, ki mu jih sproti posredujejo skupine CSIRT, oceni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ali gre hkrati tudi za kibernetski incident velikih razsežnosti ali krizo.</w:t>
      </w:r>
    </w:p>
    <w:p w14:paraId="4C5392A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nalaga PNO, da mora o kritičnem incidentu nemudoma obvestiti vlado, SNAV in osrednji organ za odzivanje na hibridne grožnje, lahko pa jih glede na presojo relevantnih okoliščin obvesti tudi o težjem incidentu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kadar obstaja možnost, da preraste v kritični incident.</w:t>
      </w:r>
    </w:p>
    <w:p w14:paraId="3D2CDF2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govori, da PNO o težjih incidentih C3 in C2 obvešča osrednji organ za odzivanje na hibridne grožnje.</w:t>
      </w:r>
    </w:p>
    <w:p w14:paraId="7D7A1C5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PNO omogoča, da v primeru težjega incidenta C3, C2 ali kritičnega incidenta C1 s pisno odločbo, v nujnih primerih pa tudi ustno, določi takšne primerne in sorazmerne ukrepe, kot je potrebno za zaustavitev incidenta, ki že poteka, ali za odpravo njegovih posledic. Ustno odločbo lahko izda v nujnih primerih, ko bi izdaja pisne odločbe zaradi teka časa lahko negativno vplivala na učinkovitost ukrepov iz odločbe. V primeru ustne odločbe mora biti pisni odpravek vročen naj</w:t>
      </w:r>
      <w:r>
        <w:rPr>
          <w:rFonts w:cs="Arial"/>
          <w:color w:val="000000"/>
          <w:szCs w:val="20"/>
          <w:shd w:val="clear" w:color="auto" w:fill="FFFFFF"/>
          <w:lang w:val="sl-SI"/>
        </w:rPr>
        <w:t>poz</w:t>
      </w:r>
      <w:r w:rsidRPr="003077CA">
        <w:rPr>
          <w:rFonts w:cs="Arial"/>
          <w:color w:val="000000"/>
          <w:szCs w:val="20"/>
          <w:shd w:val="clear" w:color="auto" w:fill="FFFFFF"/>
          <w:lang w:val="sl-SI"/>
        </w:rPr>
        <w:t>neje v 48 urah bo ustni odločbi</w:t>
      </w:r>
      <w:r>
        <w:rPr>
          <w:rFonts w:cs="Arial"/>
          <w:color w:val="000000"/>
          <w:szCs w:val="20"/>
          <w:shd w:val="clear" w:color="auto" w:fill="FFFFFF"/>
          <w:lang w:val="sl-SI"/>
        </w:rPr>
        <w:t>.</w:t>
      </w:r>
    </w:p>
    <w:p w14:paraId="509DCD0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Šesti odstavek predloga vzpostavlja postopek, da pristojna skupina CSIRT,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nima vseh dejstev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nujno potrebnih za opredelitev incidenta ter preprečitev nadaljnjih škodljivih posledic incidenta, za ugotovitev dejanskega stanja od zavezanca zahteva posredovanje podatkov in pojasnil s pisnim pozivom oziroma v nujnih primerih, ko bi pisni poziv zaradi teka časa lahko negativno vplival na učinkovitost reševanja zadevnega incidenta, pa z ustnim pozivom. Pri tem </w:t>
      </w:r>
      <w:r w:rsidRPr="003077CA">
        <w:rPr>
          <w:rFonts w:cs="Arial"/>
          <w:color w:val="000000"/>
          <w:szCs w:val="20"/>
          <w:lang w:val="sl-SI" w:eastAsia="sl-SI"/>
        </w:rPr>
        <w:t>pristojna skupina CSIRT določi tudi rok za posredovanje takšnih podatkov in pojasnil.</w:t>
      </w:r>
    </w:p>
    <w:p w14:paraId="50D08CB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predloga nalaga, da če zavezanec v postavljenem roku iz prejšnjega odstavka pristojni skupini CSIRT ne posreduje zahtevanih podatkov in pojasnil, lahko pristojni nacionalni organ na predlog pristojne skupine CSIRT s pisno odločbo zahteva posredovanje podatkov in pojasnil ter določi rok za njihovo posredovanje. V nujnih primerih, ko bi izdaja pisne odločbe zaradi teka časa lahko negativno vplivala na učinkovitost reševanja zadevnega incidenta, pristojni nacionalni organ lahko o tem odloči tudi z ustno odločbo. Ustno odločbo lahko izda v nujnih primerih, ko bi izdaja pisne odločbe zaradi teka časa lahko negativno vplivala na učinkovitost ukrepov iz odločbe. V primeru ustne odločbe mora biti pisni odpravek vročen naj</w:t>
      </w:r>
      <w:r>
        <w:rPr>
          <w:rFonts w:cs="Arial"/>
          <w:color w:val="000000"/>
          <w:szCs w:val="20"/>
          <w:shd w:val="clear" w:color="auto" w:fill="FFFFFF"/>
          <w:lang w:val="sl-SI"/>
        </w:rPr>
        <w:t>poz</w:t>
      </w:r>
      <w:r w:rsidRPr="003077CA">
        <w:rPr>
          <w:rFonts w:cs="Arial"/>
          <w:color w:val="000000"/>
          <w:szCs w:val="20"/>
          <w:shd w:val="clear" w:color="auto" w:fill="FFFFFF"/>
          <w:lang w:val="sl-SI"/>
        </w:rPr>
        <w:t xml:space="preserve">neje v 48 urah </w:t>
      </w:r>
      <w:r>
        <w:rPr>
          <w:rFonts w:cs="Arial"/>
          <w:color w:val="000000"/>
          <w:szCs w:val="20"/>
          <w:shd w:val="clear" w:color="auto" w:fill="FFFFFF"/>
          <w:lang w:val="sl-SI"/>
        </w:rPr>
        <w:t>p</w:t>
      </w:r>
      <w:r w:rsidRPr="003077CA">
        <w:rPr>
          <w:rFonts w:cs="Arial"/>
          <w:color w:val="000000"/>
          <w:szCs w:val="20"/>
          <w:shd w:val="clear" w:color="auto" w:fill="FFFFFF"/>
          <w:lang w:val="sl-SI"/>
        </w:rPr>
        <w:t xml:space="preserve">o ustni odločbi. </w:t>
      </w:r>
    </w:p>
    <w:p w14:paraId="6BB43C1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Osmi odstavek predloga določa, da se ukrepi, izdani na podlagi petega, šestega in sedmega odstavka tega člena, določijo v takšnem obsegu in za toliko časa, kot je nujno potrebno za dosego namena iz četrtega odstavka tega člena. Podatki in informacije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zahtevani na podlagi prejšnjega odstavka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se zahtevajo v obsegu in v roku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kot je to nujno potrebno za dosego namena iz prejšnjega odstavka. Zoper odločbi iz četrtega in iz prejšnjega odstavka tega člena ni dovoljena pritožba, dovoljen pa je upravni spor. Glede omejitve pravice do pritožbe že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veljavni ZInfV izrecno izključuje dovoljenost pritožbe zoper odločbe pristojnega nacionalnega organa za informacijsko varnost, ki je URSIV, dovoljen pa je upravni spor (glej peti odstavek 21. člena in peti odstav</w:t>
      </w:r>
      <w:r>
        <w:rPr>
          <w:rFonts w:cs="Arial"/>
          <w:color w:val="000000"/>
          <w:szCs w:val="20"/>
          <w:shd w:val="clear" w:color="auto" w:fill="FFFFFF"/>
          <w:lang w:val="sl-SI"/>
        </w:rPr>
        <w:t>ek</w:t>
      </w:r>
      <w:r w:rsidRPr="003077CA">
        <w:rPr>
          <w:rFonts w:cs="Arial"/>
          <w:color w:val="000000"/>
          <w:szCs w:val="20"/>
          <w:shd w:val="clear" w:color="auto" w:fill="FFFFFF"/>
          <w:lang w:val="sl-SI"/>
        </w:rPr>
        <w:t xml:space="preserve"> 22. člena ZInfV). To se s predlogom ZInfV-1 ni spremenilo, saj tudi relevantne dejanske in pravne okoliščine ostajajo enake. Po predlogu ZInfV-1 tako še vedno zoper odločb</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pristojnega nacionalnega organa (URSIV), ki je vladna služba, </w:t>
      </w:r>
      <w:r>
        <w:rPr>
          <w:rFonts w:cs="Arial"/>
          <w:color w:val="000000"/>
          <w:szCs w:val="20"/>
          <w:shd w:val="clear" w:color="auto" w:fill="FFFFFF"/>
          <w:lang w:val="sl-SI"/>
        </w:rPr>
        <w:t xml:space="preserve">pritožba </w:t>
      </w:r>
      <w:r w:rsidRPr="003077CA">
        <w:rPr>
          <w:rFonts w:cs="Arial"/>
          <w:color w:val="000000"/>
          <w:szCs w:val="20"/>
          <w:shd w:val="clear" w:color="auto" w:fill="FFFFFF"/>
          <w:lang w:val="sl-SI"/>
        </w:rPr>
        <w:t xml:space="preserve">ni dovoljena, dovoljen pa je upravni spor. Morebitna pritožba zoper odločbe URSIV na Vlado Republike Slovenije bi namreč pomenila le navidezno devulotivnost in podaljševanje postopkov. Upravni spor je v teh primerih torej prvo učinkovito pravno sredstvo zoper odločbe URSIV (glej tudi obrazložitev k 27. členu). </w:t>
      </w:r>
    </w:p>
    <w:p w14:paraId="7C736F1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predloga določa, da lahko PNO z namenom preprečitve nastanka krize ali njenega obvladovanja ali zaradi hitrejšega obvladovanja razmer in omejevanja nadaljnjih škodljivih posledic težjega incidenta C2 ali kritičnega incidenta C1 izda pisno odredbo, s katero odredi izvedbo nujnih ukrepov pri zavezancih. Pri tem z odredbo določi zlasti vrsto in obseg del, ki jih je treba opraviti pri zavezancu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rok za njihov</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izvedbo. V nujnih primerih, ko bi izdaja pisne odredbe zaradi teka časa lahko negativno vplivala na preprečitev nastanka krize ali njenega obvladovanja, pristojni nacionalni organ lahko o tem odloči tudi z ustno odredbo. V tem primeru se zavezancu pisni odpravek ustne odredbe vroči naj</w:t>
      </w:r>
      <w:r>
        <w:rPr>
          <w:rFonts w:cs="Arial"/>
          <w:color w:val="000000"/>
          <w:szCs w:val="20"/>
          <w:shd w:val="clear" w:color="auto" w:fill="FFFFFF"/>
          <w:lang w:val="sl-SI"/>
        </w:rPr>
        <w:t>poz</w:t>
      </w:r>
      <w:r w:rsidRPr="003077CA">
        <w:rPr>
          <w:rFonts w:cs="Arial"/>
          <w:color w:val="000000"/>
          <w:szCs w:val="20"/>
          <w:shd w:val="clear" w:color="auto" w:fill="FFFFFF"/>
          <w:lang w:val="sl-SI"/>
        </w:rPr>
        <w:t>neje v 48 ur</w:t>
      </w:r>
      <w:r>
        <w:rPr>
          <w:rFonts w:cs="Arial"/>
          <w:color w:val="000000"/>
          <w:szCs w:val="20"/>
          <w:shd w:val="clear" w:color="auto" w:fill="FFFFFF"/>
          <w:lang w:val="sl-SI"/>
        </w:rPr>
        <w:t>ah</w:t>
      </w:r>
      <w:r w:rsidRPr="003077CA">
        <w:rPr>
          <w:rFonts w:cs="Arial"/>
          <w:color w:val="000000"/>
          <w:szCs w:val="20"/>
          <w:shd w:val="clear" w:color="auto" w:fill="FFFFFF"/>
          <w:lang w:val="sl-SI"/>
        </w:rPr>
        <w:t xml:space="preserve"> po ustni odredbi.</w:t>
      </w:r>
    </w:p>
    <w:p w14:paraId="7378B81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Deseti odstavek predloga pa določa, da PNO o ukrepih iz petega in osmega odstavka tega člena obvesti vlado in SNAV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osrednji organ za odzivanje na hibridne grožnje.</w:t>
      </w:r>
    </w:p>
    <w:p w14:paraId="793C21C0"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12E7AE46"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37. členu</w:t>
      </w:r>
    </w:p>
    <w:p w14:paraId="5D15801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določa postopek izdelave ocene ogroženosti kibernetske varnosti v Republiki Sloveniji. PNO na podlagi lastnih razpoložljivih podatkov in informacij, ki se nanašajo na varnost omrežij in informacijskih sistemov,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relevantnih informacij, ki jih na podlagi zaprosila pridobi od drugih organov, ki </w:t>
      </w:r>
      <w:r>
        <w:rPr>
          <w:rFonts w:cs="Arial"/>
          <w:color w:val="000000"/>
          <w:szCs w:val="20"/>
          <w:shd w:val="clear" w:color="auto" w:fill="FFFFFF"/>
          <w:lang w:val="sl-SI"/>
        </w:rPr>
        <w:t>spadajo</w:t>
      </w:r>
      <w:r w:rsidRPr="003077CA">
        <w:rPr>
          <w:rFonts w:cs="Arial"/>
          <w:color w:val="000000"/>
          <w:szCs w:val="20"/>
          <w:shd w:val="clear" w:color="auto" w:fill="FFFFFF"/>
          <w:lang w:val="sl-SI"/>
        </w:rPr>
        <w:t xml:space="preserve"> med ključne dele nacionalnega varnostnega sistema, izdela oceno ogroženosti. Pri izdelavi ocene ogroženosti se upoštevajo situacijske slike stanja kibernetske varnosti v Republiki Sloveniji, EU in mednarodnem okolju; pridobljena opozorila z mednarodnim sodelovanjem; analize kibernetskih incidentov pri zavezanih subjektih; podatki, ki jih posredujejo deležniki kibernetske varnosti; zaznane ranljivosti omrežij in informacijskih sistemov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podatki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sidRPr="003077CA">
        <w:rPr>
          <w:rFonts w:cs="Arial"/>
          <w:color w:val="000000"/>
          <w:szCs w:val="20"/>
          <w:shd w:val="clear" w:color="auto" w:fill="FFFFFF"/>
          <w:lang w:val="sl-SI"/>
        </w:rPr>
        <w:lastRenderedPageBreak/>
        <w:t xml:space="preserve">pridobljeni s tehničnimi sredstvi za spremljanje stanja in prometa omrežij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informacijskih sistemov. Tako pridobljena ocena ogroženosti se vrednoti kot nizka, srednja, visoka ali kritična.</w:t>
      </w:r>
    </w:p>
    <w:p w14:paraId="1CDF788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da zavezanci ne glede na oceno ogroženosti oziroma tudi kadar je ocena ogroženosti nizka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izvajajo najmanj ukrepe iz 21. in 22. člena tega zakona. </w:t>
      </w:r>
    </w:p>
    <w:p w14:paraId="441E9C4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Tretji odstavek predloga določa, da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je ocena ogroženosti ovrednotena kot srednja, PNO o tem obvesti zavezance in jim pri tem lahko priporoči izvedbo dodatnih ukrepov za varnost omrežij ali informacijskih sistemov. Pristojni nacionalni organ lahko o tem obvesti tudi splošno javnost prek svojih spletnih strani in sredstev javnega obveščanja ter lahko hkrati priporoči tudi ustrezne ukrepe. Namen ukrepov je </w:t>
      </w:r>
      <w:r>
        <w:rPr>
          <w:rFonts w:cs="Arial"/>
          <w:color w:val="000000"/>
          <w:szCs w:val="20"/>
          <w:shd w:val="clear" w:color="auto" w:fill="FFFFFF"/>
          <w:lang w:val="sl-SI"/>
        </w:rPr>
        <w:t>poveč</w:t>
      </w:r>
      <w:r w:rsidRPr="003077CA">
        <w:rPr>
          <w:rFonts w:cs="Arial"/>
          <w:color w:val="000000"/>
          <w:szCs w:val="20"/>
          <w:shd w:val="clear" w:color="auto" w:fill="FFFFFF"/>
          <w:lang w:val="sl-SI"/>
        </w:rPr>
        <w:t>anje zavedanja o dogajanju v kibernetskem prostoru, tako pri zavezancih kot v javnosti, preventivno delovanje z namenom nižanja stopnje ogroženosti in preprečitve poslabšanja situacije</w:t>
      </w:r>
      <w:r>
        <w:rPr>
          <w:rFonts w:cs="Arial"/>
          <w:color w:val="000000"/>
          <w:szCs w:val="20"/>
          <w:shd w:val="clear" w:color="auto" w:fill="FFFFFF"/>
          <w:lang w:val="sl-SI"/>
        </w:rPr>
        <w:t>.</w:t>
      </w:r>
    </w:p>
    <w:p w14:paraId="655EC24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določa, da pristojni nacionalni organ, k</w:t>
      </w:r>
      <w:r>
        <w:rPr>
          <w:rFonts w:cs="Arial"/>
          <w:color w:val="000000"/>
          <w:szCs w:val="20"/>
          <w:shd w:val="clear" w:color="auto" w:fill="FFFFFF"/>
          <w:lang w:val="sl-SI"/>
        </w:rPr>
        <w:t>adar</w:t>
      </w:r>
      <w:r w:rsidRPr="003077CA">
        <w:rPr>
          <w:rFonts w:cs="Arial"/>
          <w:color w:val="000000"/>
          <w:szCs w:val="20"/>
          <w:shd w:val="clear" w:color="auto" w:fill="FFFFFF"/>
          <w:lang w:val="sl-SI"/>
        </w:rPr>
        <w:t xml:space="preserve"> je ocena ogroženosti ovrednotena kot kritična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o tem nemudoma obvesti vlado, SNAV in osrednji organ za odzivanje na hibridne grožnje, lahko pa jih </w:t>
      </w:r>
      <w:r w:rsidRPr="003077CA">
        <w:rPr>
          <w:rFonts w:cs="Arial"/>
          <w:color w:val="000000"/>
          <w:szCs w:val="20"/>
          <w:lang w:val="sl-SI" w:eastAsia="sl-SI"/>
        </w:rPr>
        <w:t>glede na presojo relevantnih okoliščin in informacij obvesti tudi</w:t>
      </w:r>
      <w:r>
        <w:rPr>
          <w:rFonts w:cs="Arial"/>
          <w:color w:val="000000"/>
          <w:szCs w:val="20"/>
          <w:lang w:val="sl-SI" w:eastAsia="sl-SI"/>
        </w:rPr>
        <w:t>, kadar</w:t>
      </w:r>
      <w:r w:rsidRPr="003077CA">
        <w:rPr>
          <w:rFonts w:cs="Arial"/>
          <w:color w:val="000000"/>
          <w:szCs w:val="20"/>
          <w:lang w:val="sl-SI" w:eastAsia="sl-SI"/>
        </w:rPr>
        <w:t xml:space="preserve"> je ogroženost ovrednotena kot visoka</w:t>
      </w:r>
      <w:r w:rsidRPr="003077CA">
        <w:rPr>
          <w:rFonts w:cs="Arial"/>
          <w:color w:val="000000"/>
          <w:szCs w:val="20"/>
          <w:shd w:val="clear" w:color="auto" w:fill="FFFFFF"/>
          <w:lang w:val="sl-SI"/>
        </w:rPr>
        <w:t>.</w:t>
      </w:r>
      <w:r w:rsidRPr="003077CA">
        <w:rPr>
          <w:rFonts w:cs="Arial"/>
          <w:color w:val="000000"/>
          <w:szCs w:val="20"/>
          <w:lang w:val="sl-SI" w:eastAsia="sl-SI"/>
        </w:rPr>
        <w:t xml:space="preserve"> Določa še, da o oceni ogroženosti visoka ali kritična pristojni nacionalni organ obvesti zavezance, lahko pa obvesti tudi splošno javnost prek svojih spletnih strani in sredstev javnega obveščanja</w:t>
      </w:r>
      <w:r w:rsidRPr="003077CA">
        <w:rPr>
          <w:rFonts w:cs="Arial"/>
          <w:szCs w:val="20"/>
          <w:lang w:val="sl-SI" w:eastAsia="sl-SI"/>
        </w:rPr>
        <w:t xml:space="preserve"> </w:t>
      </w:r>
      <w:r w:rsidRPr="003077CA">
        <w:rPr>
          <w:rFonts w:cs="Arial"/>
          <w:color w:val="000000"/>
          <w:szCs w:val="20"/>
          <w:lang w:val="sl-SI" w:eastAsia="sl-SI"/>
        </w:rPr>
        <w:t>ter lahko hkrati priporoči tudi ustrezne ukrepe. Pristojni nacionalni organ o preklicu ali spremembi ocene ogroženosti kritično ali visoko obvesti predhodno obveščene deležnike iz tega odstavka. Namen ukrepov je preventivno delovanje in znižanje ocene ogroženosti na sprejemljivejšo raven.</w:t>
      </w:r>
    </w:p>
    <w:p w14:paraId="7F4F561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določa izvajanje dodatnih varnostnih ukrepov, ki jih je treba izvajati</w:t>
      </w:r>
      <w:r>
        <w:rPr>
          <w:rFonts w:cs="Arial"/>
          <w:color w:val="000000"/>
          <w:szCs w:val="20"/>
          <w:shd w:val="clear" w:color="auto" w:fill="FFFFFF"/>
          <w:lang w:val="sl-SI"/>
        </w:rPr>
        <w:t>, kadar</w:t>
      </w:r>
      <w:r w:rsidRPr="003077CA">
        <w:rPr>
          <w:rFonts w:cs="Arial"/>
          <w:color w:val="000000"/>
          <w:szCs w:val="20"/>
          <w:shd w:val="clear" w:color="auto" w:fill="FFFFFF"/>
          <w:lang w:val="sl-SI"/>
        </w:rPr>
        <w:t xml:space="preserve"> je ocena ogroženosti ovrednotena kot visoka in jih je treba izvajati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vse dokler ocena ogroženosti ni znižana ali preklicana. Namen ukrepov je preventivno delovanje in znižanje ocene ogroženosti na sprejemljivejšo raven.</w:t>
      </w:r>
    </w:p>
    <w:p w14:paraId="21A66A5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določa, da morajo zavezanci nemudoma poleg ukrepov, ki so predvideni za izvajanje v primeru ocene ogroženosti visoka, izvajati še dodatne varnostne ukrepe, ki jih izvajajo do preklica ogroženosti. Namen ukrepov </w:t>
      </w:r>
      <w:r>
        <w:rPr>
          <w:rFonts w:cs="Arial"/>
          <w:color w:val="000000"/>
          <w:szCs w:val="20"/>
          <w:shd w:val="clear" w:color="auto" w:fill="FFFFFF"/>
          <w:lang w:val="sl-SI"/>
        </w:rPr>
        <w:t>sta</w:t>
      </w:r>
      <w:r w:rsidRPr="003077CA">
        <w:rPr>
          <w:rFonts w:cs="Arial"/>
          <w:color w:val="000000"/>
          <w:szCs w:val="20"/>
          <w:shd w:val="clear" w:color="auto" w:fill="FFFFFF"/>
          <w:lang w:val="sl-SI"/>
        </w:rPr>
        <w:t xml:space="preserve"> preventivno delovanje in znižanje ocene ogroženosti na sprejemljivejšo raven.</w:t>
      </w:r>
    </w:p>
    <w:p w14:paraId="084AC8F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omogoča PNO, da zavezancu s pisno odločbo</w:t>
      </w:r>
      <w:r>
        <w:rPr>
          <w:rFonts w:cs="Arial"/>
          <w:color w:val="000000"/>
          <w:szCs w:val="20"/>
          <w:shd w:val="clear" w:color="auto" w:fill="FFFFFF"/>
          <w:lang w:val="sl-SI"/>
        </w:rPr>
        <w:t xml:space="preserve"> </w:t>
      </w:r>
      <w:r w:rsidRPr="003077CA">
        <w:rPr>
          <w:rFonts w:cs="Arial"/>
          <w:color w:val="000000"/>
          <w:szCs w:val="20"/>
          <w:shd w:val="clear" w:color="auto" w:fill="FFFFFF"/>
          <w:lang w:val="sl-SI"/>
        </w:rPr>
        <w:t>določi takšne primerne in sorazmerne ukrepe, kot je nujno potrebno za zmanjšanje ogroženosti. V nujnih primerih, ko bi izdaja pisne odločbe zaradi teka časa lahko negativno vplivala na učinkovitost ukrepov za zmanjšanje ogroženosti, pristojni nacionalni organ lahko zavezancu določi zadevne ukrepe tudi z ustno odločbo. V tem primeru se zavezancu pisni odpravek ustne odločbe vroči naj</w:t>
      </w:r>
      <w:r>
        <w:rPr>
          <w:rFonts w:cs="Arial"/>
          <w:color w:val="000000"/>
          <w:szCs w:val="20"/>
          <w:shd w:val="clear" w:color="auto" w:fill="FFFFFF"/>
          <w:lang w:val="sl-SI"/>
        </w:rPr>
        <w:t>poz</w:t>
      </w:r>
      <w:r w:rsidRPr="003077CA">
        <w:rPr>
          <w:rFonts w:cs="Arial"/>
          <w:color w:val="000000"/>
          <w:szCs w:val="20"/>
          <w:shd w:val="clear" w:color="auto" w:fill="FFFFFF"/>
          <w:lang w:val="sl-SI"/>
        </w:rPr>
        <w:t>neje v 48 ur</w:t>
      </w:r>
      <w:r>
        <w:rPr>
          <w:rFonts w:cs="Arial"/>
          <w:color w:val="000000"/>
          <w:szCs w:val="20"/>
          <w:shd w:val="clear" w:color="auto" w:fill="FFFFFF"/>
          <w:lang w:val="sl-SI"/>
        </w:rPr>
        <w:t>ah</w:t>
      </w:r>
      <w:r w:rsidRPr="003077CA">
        <w:rPr>
          <w:rFonts w:cs="Arial"/>
          <w:color w:val="000000"/>
          <w:szCs w:val="20"/>
          <w:shd w:val="clear" w:color="auto" w:fill="FFFFFF"/>
          <w:lang w:val="sl-SI"/>
        </w:rPr>
        <w:t xml:space="preserve"> po ustni odločbi.</w:t>
      </w:r>
    </w:p>
    <w:p w14:paraId="380BEC5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Osmi odstavek predpisuje PNO, da lahko določi ukrepe na podlagi prejšnjega odstavka le v takšnem obsegu in za toliko časa, kot je nujno potrebno za dosego namena. Zoper take odločbe organa ni dovoljena pritožba, dovoljen pa je upravni spor. Glede omejitve pravice do pritožbe že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veljavni ZInfV izrecno izključuje dovoljenost pritožbe zoper odločbe pristojnega nacionalnega organa za informacijsko varnost, ki je URSIV, dovoljen pa je upravni spor (glej peti odstavek 21. člena in peti odstav</w:t>
      </w:r>
      <w:r>
        <w:rPr>
          <w:rFonts w:cs="Arial"/>
          <w:color w:val="000000"/>
          <w:szCs w:val="20"/>
          <w:shd w:val="clear" w:color="auto" w:fill="FFFFFF"/>
          <w:lang w:val="sl-SI"/>
        </w:rPr>
        <w:t>ek</w:t>
      </w:r>
      <w:r w:rsidRPr="003077CA">
        <w:rPr>
          <w:rFonts w:cs="Arial"/>
          <w:color w:val="000000"/>
          <w:szCs w:val="20"/>
          <w:shd w:val="clear" w:color="auto" w:fill="FFFFFF"/>
          <w:lang w:val="sl-SI"/>
        </w:rPr>
        <w:t xml:space="preserve"> 22. člena ZInfV). To se s predlogom ZInfV-1 ni spremenilo, saj tudi relevantne dejanske in pravne okoliščine ostajajo enake. Po predlogu ZInfV-1 tako še vedno zoper odločb</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pristojnega nacionalnega organa (URSIV), ki je vladna služba, </w:t>
      </w:r>
      <w:r>
        <w:rPr>
          <w:rFonts w:cs="Arial"/>
          <w:color w:val="000000"/>
          <w:szCs w:val="20"/>
          <w:shd w:val="clear" w:color="auto" w:fill="FFFFFF"/>
          <w:lang w:val="sl-SI"/>
        </w:rPr>
        <w:t xml:space="preserve">pritožba </w:t>
      </w:r>
      <w:r w:rsidRPr="003077CA">
        <w:rPr>
          <w:rFonts w:cs="Arial"/>
          <w:color w:val="000000"/>
          <w:szCs w:val="20"/>
          <w:shd w:val="clear" w:color="auto" w:fill="FFFFFF"/>
          <w:lang w:val="sl-SI"/>
        </w:rPr>
        <w:t>ni dovoljena, dovoljen pa je upravni spor. Morebitna pritožba zoper odločb</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URSIV na Vlado Republike Slovenije bi namreč pomenila le navidezno devulotivnost in podaljševanje postopkov.</w:t>
      </w:r>
      <w:r>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Upravni spor je v teh primerih torej prvo učinkovito pravno sredstvo zoper odločbe URSIV (glej tudi obrazložitev k prejšnjemu in k 27. členu). </w:t>
      </w:r>
    </w:p>
    <w:p w14:paraId="3C76AC2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omogoča, da PNO lahko z namenom nižanja ocene ogroženosti visoka ali kritična ter posledično zaradi preprečitve nastanka krize ali njenega obvladovanja izda pisno odredbo, s katero odredi izvedbo nujnih ukrepov pri zavezancih, varnostno</w:t>
      </w:r>
      <w:r>
        <w:rPr>
          <w:rFonts w:cs="Arial"/>
          <w:color w:val="000000"/>
          <w:szCs w:val="20"/>
          <w:shd w:val="clear" w:color="auto" w:fill="FFFFFF"/>
          <w:lang w:val="sl-SI"/>
        </w:rPr>
        <w:t>-</w:t>
      </w:r>
      <w:r w:rsidRPr="003077CA">
        <w:rPr>
          <w:rFonts w:cs="Arial"/>
          <w:color w:val="000000"/>
          <w:szCs w:val="20"/>
          <w:shd w:val="clear" w:color="auto" w:fill="FFFFFF"/>
          <w:lang w:val="sl-SI"/>
        </w:rPr>
        <w:t xml:space="preserve">operativnih centrih </w:t>
      </w:r>
      <w:r w:rsidRPr="003077CA">
        <w:rPr>
          <w:rFonts w:cs="Arial"/>
          <w:color w:val="000000"/>
          <w:szCs w:val="20"/>
          <w:shd w:val="clear" w:color="auto" w:fill="FFFFFF"/>
          <w:lang w:val="sl-SI"/>
        </w:rPr>
        <w:lastRenderedPageBreak/>
        <w:t xml:space="preserve">organov državne uprave oziroma pri skupinah CSIRT. </w:t>
      </w:r>
      <w:r w:rsidRPr="003077CA">
        <w:rPr>
          <w:rFonts w:cs="Arial"/>
          <w:color w:val="000000"/>
          <w:szCs w:val="20"/>
          <w:lang w:val="sl-SI" w:eastAsia="sl-SI"/>
        </w:rPr>
        <w:t>V odredbi se določita zlasti vrsta in obseg del, ki jih je treba opraviti pri prej navedenih subjektih</w:t>
      </w:r>
      <w:r>
        <w:rPr>
          <w:rFonts w:cs="Arial"/>
          <w:color w:val="000000"/>
          <w:szCs w:val="20"/>
          <w:lang w:val="sl-SI" w:eastAsia="sl-SI"/>
        </w:rPr>
        <w:t>,</w:t>
      </w:r>
      <w:r w:rsidRPr="003077CA">
        <w:rPr>
          <w:rFonts w:cs="Arial"/>
          <w:color w:val="000000"/>
          <w:szCs w:val="20"/>
          <w:lang w:val="sl-SI" w:eastAsia="sl-SI"/>
        </w:rPr>
        <w:t xml:space="preserve"> in rok za njihovo izvedbo. Če bi izdaja pisne odredbe zaradi teka časa lahko negativno vplivala na učinkovitost ukrepov za nižanje zadevne ocene ogroženosti</w:t>
      </w:r>
      <w:r>
        <w:rPr>
          <w:rFonts w:cs="Arial"/>
          <w:color w:val="000000"/>
          <w:szCs w:val="20"/>
          <w:lang w:val="sl-SI" w:eastAsia="sl-SI"/>
        </w:rPr>
        <w:t>,</w:t>
      </w:r>
      <w:r w:rsidRPr="003077CA">
        <w:rPr>
          <w:rFonts w:cs="Arial"/>
          <w:color w:val="000000"/>
          <w:szCs w:val="20"/>
          <w:lang w:val="sl-SI" w:eastAsia="sl-SI"/>
        </w:rPr>
        <w:t xml:space="preserve"> pristojni nacionalni organ lahko o tem odloči tudi z ustno odredbo. V tem primeru se zavezancu pisni odpravek ustne odredbe vroči naj</w:t>
      </w:r>
      <w:r>
        <w:rPr>
          <w:rFonts w:cs="Arial"/>
          <w:color w:val="000000"/>
          <w:szCs w:val="20"/>
          <w:lang w:val="sl-SI" w:eastAsia="sl-SI"/>
        </w:rPr>
        <w:t>poz</w:t>
      </w:r>
      <w:r w:rsidRPr="003077CA">
        <w:rPr>
          <w:rFonts w:cs="Arial"/>
          <w:color w:val="000000"/>
          <w:szCs w:val="20"/>
          <w:lang w:val="sl-SI" w:eastAsia="sl-SI"/>
        </w:rPr>
        <w:t>neje v 48 ur</w:t>
      </w:r>
      <w:r>
        <w:rPr>
          <w:rFonts w:cs="Arial"/>
          <w:color w:val="000000"/>
          <w:szCs w:val="20"/>
          <w:lang w:val="sl-SI" w:eastAsia="sl-SI"/>
        </w:rPr>
        <w:t>ah</w:t>
      </w:r>
      <w:r w:rsidRPr="003077CA">
        <w:rPr>
          <w:rFonts w:cs="Arial"/>
          <w:color w:val="000000"/>
          <w:szCs w:val="20"/>
          <w:lang w:val="sl-SI" w:eastAsia="sl-SI"/>
        </w:rPr>
        <w:t xml:space="preserve"> po ustni odredbi.</w:t>
      </w:r>
    </w:p>
    <w:p w14:paraId="2FB8541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Deseti odstavek predloga določa, da PNO o ukrepih iz sedmega in devetega odstavka tega člena obvesti vlado in SNAV ter </w:t>
      </w:r>
      <w:r w:rsidRPr="003077CA">
        <w:rPr>
          <w:rFonts w:cs="Arial"/>
          <w:color w:val="000000"/>
          <w:szCs w:val="20"/>
          <w:lang w:val="sl-SI" w:eastAsia="sl-SI"/>
        </w:rPr>
        <w:t>osrednji organ za odzivanje na hibridne grožnje</w:t>
      </w:r>
      <w:r w:rsidRPr="003077CA">
        <w:rPr>
          <w:rFonts w:cs="Arial"/>
          <w:color w:val="000000"/>
          <w:szCs w:val="20"/>
          <w:shd w:val="clear" w:color="auto" w:fill="FFFFFF"/>
          <w:lang w:val="sl-SI"/>
        </w:rPr>
        <w:t>.</w:t>
      </w:r>
    </w:p>
    <w:p w14:paraId="4D7F38C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4B2AB4D"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VIII. Kibernetska obramba</w:t>
      </w:r>
    </w:p>
    <w:p w14:paraId="75625D7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9A9B7A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Poglavje vsebuje nacionalne določbe kibernetske obrambe na ravni državnih organov, sodelovanje na področju kibernetske obrambe, pomoč na področju kibernetske obrambe ter pomoč pri kibernetski obrambi znotraj Evropske unije in na mednarodni ravni ter delo v manj ugodnem delovnem času.</w:t>
      </w:r>
    </w:p>
    <w:p w14:paraId="5EF6D4A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Gre za področje, ki je že uveljavljeno v </w:t>
      </w:r>
      <w:r>
        <w:rPr>
          <w:rFonts w:cs="Arial"/>
          <w:color w:val="000000"/>
          <w:szCs w:val="20"/>
          <w:shd w:val="clear" w:color="auto" w:fill="FFFFFF"/>
          <w:lang w:val="sl-SI"/>
        </w:rPr>
        <w:t>veljavnem</w:t>
      </w:r>
      <w:r w:rsidRPr="003077CA">
        <w:rPr>
          <w:rFonts w:cs="Arial"/>
          <w:color w:val="000000"/>
          <w:szCs w:val="20"/>
          <w:shd w:val="clear" w:color="auto" w:fill="FFFFFF"/>
          <w:lang w:val="sl-SI"/>
        </w:rPr>
        <w:t xml:space="preserve"> ZInfV. Na podlagi dosedanjih izkuš</w:t>
      </w:r>
      <w:r>
        <w:rPr>
          <w:rFonts w:cs="Arial"/>
          <w:color w:val="000000"/>
          <w:szCs w:val="20"/>
          <w:shd w:val="clear" w:color="auto" w:fill="FFFFFF"/>
          <w:lang w:val="sl-SI"/>
        </w:rPr>
        <w:t>enj</w:t>
      </w:r>
      <w:r w:rsidRPr="003077CA">
        <w:rPr>
          <w:rFonts w:cs="Arial"/>
          <w:color w:val="000000"/>
          <w:szCs w:val="20"/>
          <w:shd w:val="clear" w:color="auto" w:fill="FFFFFF"/>
          <w:lang w:val="sl-SI"/>
        </w:rPr>
        <w:t xml:space="preserve"> se omenjeno področje širi in nadgrajuje </w:t>
      </w:r>
      <w:r>
        <w:rPr>
          <w:rFonts w:cs="Arial"/>
          <w:color w:val="000000"/>
          <w:szCs w:val="20"/>
          <w:shd w:val="clear" w:color="auto" w:fill="FFFFFF"/>
          <w:lang w:val="sl-SI"/>
        </w:rPr>
        <w:t>za</w:t>
      </w:r>
      <w:r w:rsidRPr="002779D0">
        <w:rPr>
          <w:rFonts w:cs="Arial"/>
          <w:szCs w:val="20"/>
          <w:lang w:val="sl-SI" w:eastAsia="sl-SI"/>
        </w:rPr>
        <w:t xml:space="preserve"> </w:t>
      </w:r>
      <w:r>
        <w:rPr>
          <w:rFonts w:cs="Arial"/>
          <w:szCs w:val="20"/>
          <w:lang w:val="sl-SI" w:eastAsia="sl-SI"/>
        </w:rPr>
        <w:t>izboljšanje</w:t>
      </w:r>
      <w:r w:rsidRPr="003077CA">
        <w:rPr>
          <w:rFonts w:cs="Arial"/>
          <w:color w:val="000000"/>
          <w:szCs w:val="20"/>
          <w:shd w:val="clear" w:color="auto" w:fill="FFFFFF"/>
          <w:lang w:val="sl-SI"/>
        </w:rPr>
        <w:t xml:space="preserve"> odpornosti.</w:t>
      </w:r>
    </w:p>
    <w:p w14:paraId="3E4844A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Recital (57) Direktive 2022/2555/EU usmerja, da bi države članice morale v okviru svojih nacionalnih strategij za kibernetsko varnost sprejeti politike za spodbujanje aktivne kibernetske zaščite kot dela širše obrambne strategije. Bolj kot za reaktivno odzivanje gre pri aktivni kibernetski zaščiti za aktivno preprečevanje, odkrivanje, spremljanje, analiziranje in ublažitev kršitev varnosti omrežja, skupaj z uporabo zmogljivosti znotraj in zunaj ogroženega omrežja. To bi lahko vključevalo </w:t>
      </w:r>
      <w:r>
        <w:rPr>
          <w:rFonts w:cs="Arial"/>
          <w:color w:val="000000"/>
          <w:szCs w:val="20"/>
          <w:shd w:val="clear" w:color="auto" w:fill="FFFFFF"/>
          <w:lang w:val="sl-SI"/>
        </w:rPr>
        <w:t>ponujanje</w:t>
      </w:r>
      <w:r w:rsidRPr="003077CA">
        <w:rPr>
          <w:rFonts w:cs="Arial"/>
          <w:color w:val="000000"/>
          <w:szCs w:val="20"/>
          <w:shd w:val="clear" w:color="auto" w:fill="FFFFFF"/>
          <w:lang w:val="sl-SI"/>
        </w:rPr>
        <w:t>, s strani držav članic, brezplačnih storitev ali orodij nekaterim subjektom, vključno s samopostrežnimi pregledi, orodji za odkrivanje in storitvami odstranjevanja. Sposobnost hitre in avtomatske izmenjave ter razumevanja informacij o grožnjah in njihove analize, opozorila o kibernetski dejavnosti ter odzivanje so kritični za doseganje enotnosti prizadevanj za uspešno preprečevanje, odkrivanje, obvladovanje in blokiranje napadov na omrežne in informacijske sisteme. Aktivna kibernetska zaščita temelji na obrambni strategiji, ki izključuje ofenzivne ukrepe.</w:t>
      </w:r>
    </w:p>
    <w:p w14:paraId="757FD4B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411A82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38. členu</w:t>
      </w:r>
    </w:p>
    <w:p w14:paraId="746D01A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določa namen izvajanja kibernetske obrambe. Gre za preprečevanja kibernetskih groženj in incidentov v kibernetskem prostoru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za ublažitev njihovih vplivov, ki se vključuje </w:t>
      </w:r>
      <w:r>
        <w:rPr>
          <w:rFonts w:cs="Arial"/>
          <w:color w:val="000000"/>
          <w:szCs w:val="20"/>
          <w:shd w:val="clear" w:color="auto" w:fill="FFFFFF"/>
          <w:lang w:val="sl-SI"/>
        </w:rPr>
        <w:t xml:space="preserve">v </w:t>
      </w:r>
      <w:r w:rsidRPr="003077CA">
        <w:rPr>
          <w:rFonts w:cs="Arial"/>
          <w:color w:val="000000"/>
          <w:szCs w:val="20"/>
          <w:shd w:val="clear" w:color="auto" w:fill="FFFFFF"/>
          <w:lang w:val="sl-SI"/>
        </w:rPr>
        <w:t>vse plasti kibernetskega prostora.</w:t>
      </w:r>
    </w:p>
    <w:p w14:paraId="14E4B4C4"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24F78212"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39. členu</w:t>
      </w:r>
    </w:p>
    <w:p w14:paraId="4645AF3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 predlogom člena se postavlja sistemski okvir za kibernetsko obrambo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določa ukrepe in dejavnosti kibernetske obrambe na ravni državnih organov. </w:t>
      </w:r>
    </w:p>
    <w:p w14:paraId="7A6010D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predlaganega člena tako določa organe, ki izvajajo usklajene organizacijske, logično-tehnične, tehnične in administrativne ukrepe ter dejavnosti za zagotavljanje celovite kibernetske varnosti skladno s svojimi pristojnostmi. Za namen koordinacije kibernetske obrambe PNO vzpostavi koordinacijsko skupino. </w:t>
      </w:r>
    </w:p>
    <w:p w14:paraId="52741BD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da organi, ki izvajajo kibernetsko obrambo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zagotavljajo ustrezne zmogljivosti za kibernetsko obrambo na področjih, za katere so pristojni. V ta namen lahko vzpostavijo svoje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operativne centre, ki morajo izpolnjevati vsaj minimalni obseg zahtev.</w:t>
      </w:r>
    </w:p>
    <w:p w14:paraId="4B5C14D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Tretji odstavek predloga določa, da organi stalno spremljajo stanje in odzive na dogodke v kibernetskem prostoru na področju njihovega delovanja.</w:t>
      </w:r>
    </w:p>
    <w:p w14:paraId="269855D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in peti odstavek predloga določa</w:t>
      </w:r>
      <w:r>
        <w:rPr>
          <w:rFonts w:cs="Arial"/>
          <w:color w:val="000000"/>
          <w:szCs w:val="20"/>
          <w:shd w:val="clear" w:color="auto" w:fill="FFFFFF"/>
          <w:lang w:val="sl-SI"/>
        </w:rPr>
        <w:t>ta</w:t>
      </w:r>
      <w:r w:rsidRPr="003077CA">
        <w:rPr>
          <w:rFonts w:cs="Arial"/>
          <w:color w:val="000000"/>
          <w:szCs w:val="20"/>
          <w:shd w:val="clear" w:color="auto" w:fill="FFFFFF"/>
          <w:lang w:val="sl-SI"/>
        </w:rPr>
        <w:t xml:space="preserve">, da PNO za namen zgodnjega zaznavanja kibernetskih groženj vzpostavi situacijski center kibernetske obrambe, v katerega se lahko vključijo nosilci obrambnega načrtovanja. Storitev </w:t>
      </w:r>
      <w:r>
        <w:rPr>
          <w:rFonts w:cs="Arial"/>
          <w:color w:val="000000"/>
          <w:szCs w:val="20"/>
          <w:shd w:val="clear" w:color="auto" w:fill="FFFFFF"/>
          <w:lang w:val="sl-SI"/>
        </w:rPr>
        <w:t xml:space="preserve">centra </w:t>
      </w:r>
      <w:r w:rsidRPr="003077CA">
        <w:rPr>
          <w:rFonts w:cs="Arial"/>
          <w:color w:val="000000"/>
          <w:szCs w:val="20"/>
          <w:shd w:val="clear" w:color="auto" w:fill="FFFFFF"/>
          <w:lang w:val="sl-SI"/>
        </w:rPr>
        <w:t>se ponudi tudi bistvenim in pomembnim subjektom, ki niso nosilci obrambnega načrtovanja.</w:t>
      </w:r>
    </w:p>
    <w:p w14:paraId="3D2316B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predloga določa postopek obveščanja PNO o vzpostavitvi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operativnega centra.</w:t>
      </w:r>
    </w:p>
    <w:p w14:paraId="062B47F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predloga določa, da se organi za namen izvajanja kibernetske obrambe povezujejo v mednarodne povezave in z aktivnim sodelovanjem v teh povezavah ter prek drugih oblik multilateralnega in bilateralnega sodelovanja.</w:t>
      </w:r>
    </w:p>
    <w:p w14:paraId="4575A92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Osmi odstavek predloga določa obveznost tedenskega in letnega poročanja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operativnih centrov PNO.</w:t>
      </w:r>
    </w:p>
    <w:p w14:paraId="4DE5FFE6"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B96FB24"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40. členu</w:t>
      </w:r>
    </w:p>
    <w:p w14:paraId="3A2D4CB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sodelovanje na področju kibernetske obrambe, ki vključuje sklenitev sporazumov o sodelovanju, v katere se po potrebi vključi</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državn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organ</w:t>
      </w:r>
      <w:r>
        <w:rPr>
          <w:rFonts w:cs="Arial"/>
          <w:color w:val="000000"/>
          <w:szCs w:val="20"/>
          <w:shd w:val="clear" w:color="auto" w:fill="FFFFFF"/>
          <w:lang w:val="sl-SI"/>
        </w:rPr>
        <w:t>i</w:t>
      </w:r>
      <w:r w:rsidRPr="003077CA">
        <w:rPr>
          <w:rFonts w:cs="Arial"/>
          <w:color w:val="000000"/>
          <w:szCs w:val="20"/>
          <w:shd w:val="clear" w:color="auto" w:fill="FFFFFF"/>
          <w:lang w:val="sl-SI"/>
        </w:rPr>
        <w:t>, organ</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lokalne samouprave, gospodarske družbe, zavode in druge organizacije.</w:t>
      </w:r>
      <w:r w:rsidRPr="000B442E">
        <w:rPr>
          <w:lang w:val="sl-SI"/>
        </w:rPr>
        <w:t xml:space="preserve"> </w:t>
      </w:r>
      <w:r w:rsidRPr="000B442E">
        <w:rPr>
          <w:rFonts w:cs="Arial"/>
          <w:color w:val="000000"/>
          <w:szCs w:val="20"/>
          <w:shd w:val="clear" w:color="auto" w:fill="FFFFFF"/>
          <w:lang w:val="sl-SI"/>
        </w:rPr>
        <w:t>Cilj te določbe je omogočiti interdisciplinarno sodelovanje in izmenjavo znanja ter izkušenj, kar prispeva k učinkovitejši kibernetski obrambi.</w:t>
      </w:r>
      <w:r w:rsidRPr="0089674A">
        <w:rPr>
          <w:lang w:val="sl-SI"/>
        </w:rPr>
        <w:t xml:space="preserve"> </w:t>
      </w:r>
      <w:r w:rsidRPr="0089674A">
        <w:rPr>
          <w:rFonts w:cs="Arial"/>
          <w:color w:val="000000"/>
          <w:szCs w:val="20"/>
          <w:shd w:val="clear" w:color="auto" w:fill="FFFFFF"/>
          <w:lang w:val="sl-SI"/>
        </w:rPr>
        <w:t>S člen</w:t>
      </w:r>
      <w:r>
        <w:rPr>
          <w:rFonts w:cs="Arial"/>
          <w:color w:val="000000"/>
          <w:szCs w:val="20"/>
          <w:shd w:val="clear" w:color="auto" w:fill="FFFFFF"/>
          <w:lang w:val="sl-SI"/>
        </w:rPr>
        <w:t xml:space="preserve">om se </w:t>
      </w:r>
      <w:r w:rsidRPr="0089674A">
        <w:rPr>
          <w:rFonts w:cs="Arial"/>
          <w:color w:val="000000"/>
          <w:szCs w:val="20"/>
          <w:shd w:val="clear" w:color="auto" w:fill="FFFFFF"/>
          <w:lang w:val="sl-SI"/>
        </w:rPr>
        <w:t xml:space="preserve">zagotavlja celovit in transparenten okvir za sodelovanje posameznikov in organizacij pri kibernetski obrambi, kar prispeva k večji varnosti in odpornosti </w:t>
      </w:r>
      <w:r>
        <w:rPr>
          <w:rFonts w:cs="Arial"/>
          <w:color w:val="000000"/>
          <w:szCs w:val="20"/>
          <w:shd w:val="clear" w:color="auto" w:fill="FFFFFF"/>
          <w:lang w:val="sl-SI"/>
        </w:rPr>
        <w:t>proti</w:t>
      </w:r>
      <w:r w:rsidRPr="0089674A">
        <w:rPr>
          <w:rFonts w:cs="Arial"/>
          <w:color w:val="000000"/>
          <w:szCs w:val="20"/>
          <w:shd w:val="clear" w:color="auto" w:fill="FFFFFF"/>
          <w:lang w:val="sl-SI"/>
        </w:rPr>
        <w:t xml:space="preserve"> kibernetsk</w:t>
      </w:r>
      <w:r>
        <w:rPr>
          <w:rFonts w:cs="Arial"/>
          <w:color w:val="000000"/>
          <w:szCs w:val="20"/>
          <w:shd w:val="clear" w:color="auto" w:fill="FFFFFF"/>
          <w:lang w:val="sl-SI"/>
        </w:rPr>
        <w:t>im</w:t>
      </w:r>
      <w:r w:rsidRPr="0089674A">
        <w:rPr>
          <w:rFonts w:cs="Arial"/>
          <w:color w:val="000000"/>
          <w:szCs w:val="20"/>
          <w:shd w:val="clear" w:color="auto" w:fill="FFFFFF"/>
          <w:lang w:val="sl-SI"/>
        </w:rPr>
        <w:t xml:space="preserve"> grožnj</w:t>
      </w:r>
      <w:r>
        <w:rPr>
          <w:rFonts w:cs="Arial"/>
          <w:color w:val="000000"/>
          <w:szCs w:val="20"/>
          <w:shd w:val="clear" w:color="auto" w:fill="FFFFFF"/>
          <w:lang w:val="sl-SI"/>
        </w:rPr>
        <w:t>am</w:t>
      </w:r>
      <w:r w:rsidRPr="0089674A">
        <w:rPr>
          <w:rFonts w:cs="Arial"/>
          <w:color w:val="000000"/>
          <w:szCs w:val="20"/>
          <w:shd w:val="clear" w:color="auto" w:fill="FFFFFF"/>
          <w:lang w:val="sl-SI"/>
        </w:rPr>
        <w:t>.</w:t>
      </w:r>
    </w:p>
    <w:p w14:paraId="76E53B5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omogoča, da PNO lahko za namen izvajanja kibernetske obrambe k sodelovanju povabi tudi državljane in državljanke (v nadaljnjem besedilu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posamezniki). Posamezniki lahko s svojimi specifičnimi znanji s področja kibernetske varnosti pomembno prispevajo k </w:t>
      </w:r>
      <w:r>
        <w:rPr>
          <w:rFonts w:cs="Arial"/>
          <w:szCs w:val="20"/>
          <w:lang w:val="sl-SI" w:eastAsia="sl-SI"/>
        </w:rPr>
        <w:t>izboljšanju</w:t>
      </w:r>
      <w:r w:rsidRPr="003077CA" w:rsidDel="002779D0">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kibernetske obrambe. Pri spopadanju z nenehno spreminjajočimi se grožnjami je pomembno, da bo država vključila tudi posameznike s ključnimi znanji in veščinami. Ker postajajo kibernetski </w:t>
      </w:r>
      <w:r>
        <w:rPr>
          <w:rFonts w:cs="Arial"/>
          <w:color w:val="000000"/>
          <w:szCs w:val="20"/>
          <w:shd w:val="clear" w:color="auto" w:fill="FFFFFF"/>
          <w:lang w:val="sl-SI"/>
        </w:rPr>
        <w:t xml:space="preserve">napadi </w:t>
      </w:r>
      <w:r w:rsidRPr="003077CA">
        <w:rPr>
          <w:rFonts w:cs="Arial"/>
          <w:color w:val="000000"/>
          <w:szCs w:val="20"/>
          <w:shd w:val="clear" w:color="auto" w:fill="FFFFFF"/>
          <w:lang w:val="sl-SI"/>
        </w:rPr>
        <w:t>vse bolj prefinjeni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so strokovnjaki s poglobljenim tehničnim znanjem (npr. etični hekerji, kriptografija, mrežna varnost) sposobni analizirati te napade, razvijati protinapade in krepiti obrambne mehanizme.</w:t>
      </w:r>
    </w:p>
    <w:p w14:paraId="53221BD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določa, da PNO povabilo k sodelovanju objavi na osrednjem spletnem mestu državne uprave</w:t>
      </w:r>
      <w:r>
        <w:rPr>
          <w:rFonts w:cs="Arial"/>
          <w:color w:val="000000"/>
          <w:szCs w:val="20"/>
          <w:shd w:val="clear" w:color="auto" w:fill="FFFFFF"/>
          <w:lang w:val="sl-SI"/>
        </w:rPr>
        <w:t>,</w:t>
      </w:r>
      <w:r w:rsidRPr="000B442E">
        <w:rPr>
          <w:lang w:val="sl-SI"/>
        </w:rPr>
        <w:t xml:space="preserve"> </w:t>
      </w:r>
      <w:r w:rsidRPr="000B442E">
        <w:rPr>
          <w:rFonts w:cs="Arial"/>
          <w:color w:val="000000"/>
          <w:szCs w:val="20"/>
          <w:shd w:val="clear" w:color="auto" w:fill="FFFFFF"/>
          <w:lang w:val="sl-SI"/>
        </w:rPr>
        <w:t>kar zagotavlja preglednost in omogoča dostopnost informacij zainteresiranim kandidatom.</w:t>
      </w:r>
    </w:p>
    <w:p w14:paraId="5E922F8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odstavek predloga </w:t>
      </w:r>
      <w:r w:rsidRPr="00EF1ED1">
        <w:rPr>
          <w:rFonts w:cs="Arial"/>
          <w:color w:val="000000"/>
          <w:szCs w:val="20"/>
          <w:shd w:val="clear" w:color="auto" w:fill="FFFFFF"/>
          <w:lang w:val="sl-SI"/>
        </w:rPr>
        <w:t>ureja postopek izbora kandidatov, ki vključuje psihološko testiranje in varnostno preverjanje. Po uspešnem preverjanju se kandidati uvrstijo na seznam sodelujočih, ki vsebuje osebne in strokovne podatke ter kontaktne informacije.</w:t>
      </w:r>
      <w:r>
        <w:rPr>
          <w:rFonts w:cs="Arial"/>
          <w:color w:val="000000"/>
          <w:szCs w:val="20"/>
          <w:shd w:val="clear" w:color="auto" w:fill="FFFFFF"/>
          <w:lang w:val="sl-SI"/>
        </w:rPr>
        <w:t xml:space="preserve"> </w:t>
      </w:r>
    </w:p>
    <w:p w14:paraId="2935A7D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Peti odstavek predloga </w:t>
      </w:r>
      <w:r>
        <w:rPr>
          <w:rFonts w:cs="Arial"/>
          <w:color w:val="000000"/>
          <w:szCs w:val="20"/>
          <w:shd w:val="clear" w:color="auto" w:fill="FFFFFF"/>
          <w:lang w:val="sl-SI"/>
        </w:rPr>
        <w:t xml:space="preserve">določa, </w:t>
      </w:r>
      <w:r w:rsidRPr="0089674A">
        <w:rPr>
          <w:rFonts w:cs="Arial"/>
          <w:color w:val="000000"/>
          <w:szCs w:val="20"/>
          <w:shd w:val="clear" w:color="auto" w:fill="FFFFFF"/>
          <w:lang w:val="sl-SI"/>
        </w:rPr>
        <w:t>da se sodelujočim posameznikom ponudi pogodbeno razmerje, ki ureja status, pravice in dolžnosti ter nagrado. Če so posamezniki zaposleni, se upošteva zakonodaja s področja delovnih razmerij. P</w:t>
      </w:r>
      <w:r>
        <w:rPr>
          <w:rFonts w:cs="Arial"/>
          <w:color w:val="000000"/>
          <w:szCs w:val="20"/>
          <w:shd w:val="clear" w:color="auto" w:fill="FFFFFF"/>
          <w:lang w:val="sl-SI"/>
        </w:rPr>
        <w:t xml:space="preserve">NO </w:t>
      </w:r>
      <w:r w:rsidRPr="0089674A">
        <w:rPr>
          <w:rFonts w:cs="Arial"/>
          <w:color w:val="000000"/>
          <w:szCs w:val="20"/>
          <w:shd w:val="clear" w:color="auto" w:fill="FFFFFF"/>
          <w:lang w:val="sl-SI"/>
        </w:rPr>
        <w:t>zagotavlja dodatna usposabljanja in vaje za učinkovito delovanje.</w:t>
      </w:r>
    </w:p>
    <w:p w14:paraId="0A7457C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predloga omogoča oblikovanje operativnih skupin za kibernetsko obrambo. </w:t>
      </w:r>
      <w:r>
        <w:rPr>
          <w:rFonts w:cs="Arial"/>
          <w:color w:val="000000"/>
          <w:szCs w:val="20"/>
          <w:shd w:val="clear" w:color="auto" w:fill="FFFFFF"/>
          <w:lang w:val="sl-SI"/>
        </w:rPr>
        <w:t>Tako lahko PNO</w:t>
      </w:r>
      <w:r w:rsidRPr="0089674A">
        <w:rPr>
          <w:rFonts w:cs="Arial"/>
          <w:color w:val="000000"/>
          <w:szCs w:val="20"/>
          <w:shd w:val="clear" w:color="auto" w:fill="FFFFFF"/>
          <w:lang w:val="sl-SI"/>
        </w:rPr>
        <w:t xml:space="preserve"> oblikuje operativne skupine za kibernetsko obrambo, ki jih sestavljajo pogodbeni sodelavci in predstavniki organizacij, ki so podpisale sporazum o sodelovanju. Pri tem se upoštevajo varnostna preverjanja in morebitni konflikti interesov.</w:t>
      </w:r>
    </w:p>
    <w:p w14:paraId="2C58D02D" w14:textId="77777777" w:rsidR="000A51A5"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pa daje pristojnost</w:t>
      </w:r>
      <w:r>
        <w:rPr>
          <w:rFonts w:cs="Arial"/>
          <w:color w:val="000000"/>
          <w:szCs w:val="20"/>
          <w:shd w:val="clear" w:color="auto" w:fill="FFFFFF"/>
          <w:lang w:val="sl-SI"/>
        </w:rPr>
        <w:t xml:space="preserve"> </w:t>
      </w:r>
      <w:r w:rsidRPr="0089674A">
        <w:rPr>
          <w:rFonts w:cs="Arial"/>
          <w:color w:val="000000"/>
          <w:szCs w:val="20"/>
          <w:shd w:val="clear" w:color="auto" w:fill="FFFFFF"/>
          <w:lang w:val="sl-SI"/>
        </w:rPr>
        <w:t>direktor</w:t>
      </w:r>
      <w:r>
        <w:rPr>
          <w:rFonts w:cs="Arial"/>
          <w:color w:val="000000"/>
          <w:szCs w:val="20"/>
          <w:shd w:val="clear" w:color="auto" w:fill="FFFFFF"/>
          <w:lang w:val="sl-SI"/>
        </w:rPr>
        <w:t>ju PNO, da</w:t>
      </w:r>
      <w:r w:rsidRPr="0089674A">
        <w:rPr>
          <w:rFonts w:cs="Arial"/>
          <w:color w:val="000000"/>
          <w:szCs w:val="20"/>
          <w:shd w:val="clear" w:color="auto" w:fill="FFFFFF"/>
          <w:lang w:val="sl-SI"/>
        </w:rPr>
        <w:t xml:space="preserve"> imenuje vodjo in namestnika operativnih skupin, pri čemer je za imenovanje javnih uslužbencev iz drugih državnih organov potrebno </w:t>
      </w:r>
      <w:r w:rsidRPr="0089674A">
        <w:rPr>
          <w:rFonts w:cs="Arial"/>
          <w:color w:val="000000"/>
          <w:szCs w:val="20"/>
          <w:shd w:val="clear" w:color="auto" w:fill="FFFFFF"/>
          <w:lang w:val="sl-SI"/>
        </w:rPr>
        <w:lastRenderedPageBreak/>
        <w:t xml:space="preserve">soglasje njihovega predstojnika. </w:t>
      </w:r>
      <w:r>
        <w:rPr>
          <w:rFonts w:cs="Arial"/>
          <w:color w:val="000000"/>
          <w:szCs w:val="20"/>
          <w:shd w:val="clear" w:color="auto" w:fill="FFFFFF"/>
          <w:lang w:val="sl-SI"/>
        </w:rPr>
        <w:t>PNO</w:t>
      </w:r>
      <w:r w:rsidRPr="0089674A">
        <w:rPr>
          <w:rFonts w:cs="Arial"/>
          <w:color w:val="000000"/>
          <w:szCs w:val="20"/>
          <w:shd w:val="clear" w:color="auto" w:fill="FFFFFF"/>
          <w:lang w:val="sl-SI"/>
        </w:rPr>
        <w:t xml:space="preserve"> zagotavlja administrativno-tehnične pogoje za delovanje teh skupin.</w:t>
      </w:r>
      <w:r>
        <w:rPr>
          <w:rFonts w:cs="Arial"/>
          <w:color w:val="000000"/>
          <w:szCs w:val="20"/>
          <w:shd w:val="clear" w:color="auto" w:fill="FFFFFF"/>
          <w:lang w:val="sl-SI"/>
        </w:rPr>
        <w:t xml:space="preserve"> </w:t>
      </w:r>
    </w:p>
    <w:p w14:paraId="6637287C" w14:textId="77777777" w:rsidR="000A51A5"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Osmi odstavek predloga določa, </w:t>
      </w:r>
      <w:r w:rsidRPr="0089674A">
        <w:rPr>
          <w:rFonts w:cs="Arial"/>
          <w:color w:val="000000"/>
          <w:szCs w:val="20"/>
          <w:shd w:val="clear" w:color="auto" w:fill="FFFFFF"/>
          <w:lang w:val="sl-SI"/>
        </w:rPr>
        <w:t>da je sodelovanje javnih uslužbencev v operativnih skupinah v interesu delodajalca skladno z Zakonom o javnih uslužbencih. To omogoča uradnikom, da sodelujejo pri nacionalni kibernetski obrambi brez negativnih posledic za njihove delovne pogoje.</w:t>
      </w:r>
    </w:p>
    <w:p w14:paraId="6D190A97"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4B8321F"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41. členu</w:t>
      </w:r>
    </w:p>
    <w:p w14:paraId="5967C56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omogoča PNO, da lahko </w:t>
      </w:r>
      <w:r>
        <w:rPr>
          <w:rFonts w:cs="Arial"/>
          <w:color w:val="000000"/>
          <w:szCs w:val="20"/>
          <w:shd w:val="clear" w:color="auto" w:fill="FFFFFF"/>
          <w:lang w:val="sl-SI"/>
        </w:rPr>
        <w:t>ponuja</w:t>
      </w:r>
      <w:r w:rsidRPr="003077CA">
        <w:rPr>
          <w:rFonts w:cs="Arial"/>
          <w:color w:val="000000"/>
          <w:szCs w:val="20"/>
          <w:shd w:val="clear" w:color="auto" w:fill="FFFFFF"/>
          <w:lang w:val="sl-SI"/>
        </w:rPr>
        <w:t xml:space="preserve"> zavezancem dodatno pomoč na področju kibernetske obrambe v primeru kibernetskih groženj in incidentov, o katerih pristojni nacionalni organ obvešča vlado in SNAV v skladu s tem zakonom,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v primeru kibernetskih incidentov velikih razsežnosti ali kriz. </w:t>
      </w:r>
      <w:r>
        <w:rPr>
          <w:rFonts w:cs="Arial"/>
          <w:color w:val="000000"/>
          <w:szCs w:val="20"/>
          <w:lang w:val="sl-SI"/>
        </w:rPr>
        <w:t>Ponujanje</w:t>
      </w:r>
      <w:r w:rsidRPr="003077CA">
        <w:rPr>
          <w:rFonts w:cs="Arial"/>
          <w:color w:val="000000"/>
          <w:szCs w:val="20"/>
          <w:lang w:val="sl-SI"/>
        </w:rPr>
        <w:t xml:space="preserve"> dodatne pomoči v vsakem posamičnem primeru odobri direktor PNO, pri čemer upošteva vidike nujnosti obvladovanja stanja ali prej opisanih dogodkov, razpoložljivosti operativnih skupin in drugih zmogljivosti za izvajanje kibernetske obrambe ter aktualno oceno kibernetske varnosti v državi.</w:t>
      </w:r>
    </w:p>
    <w:p w14:paraId="7D0DAB4E"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071BED5"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42. členu</w:t>
      </w:r>
    </w:p>
    <w:p w14:paraId="76B2AFA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Predlagani člen omogoča, da Republika Slovenija lahko zaprosi za pomoč pri izvajanju kibernetske obrambe druge države članice Evropske unije oziroma ustrezne institucije, organe, urade in agencij</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Evropske unije. Republika Slovenija lahko prej navedenim subjektom </w:t>
      </w:r>
      <w:r>
        <w:rPr>
          <w:rFonts w:cs="Arial"/>
          <w:color w:val="000000"/>
          <w:szCs w:val="20"/>
          <w:shd w:val="clear" w:color="auto" w:fill="FFFFFF"/>
          <w:lang w:val="sl-SI"/>
        </w:rPr>
        <w:t>po</w:t>
      </w:r>
      <w:r w:rsidRPr="003077CA">
        <w:rPr>
          <w:rFonts w:cs="Arial"/>
          <w:color w:val="000000"/>
          <w:szCs w:val="20"/>
          <w:shd w:val="clear" w:color="auto" w:fill="FFFFFF"/>
          <w:lang w:val="sl-SI"/>
        </w:rPr>
        <w:t xml:space="preserve">nudi tudi pomoč pri izvajanju kibernetske obrambe. O prejemu zaprosila pristojnih institucij ali organov druge države ali držav članic Evropske unije za </w:t>
      </w:r>
      <w:r>
        <w:rPr>
          <w:rFonts w:cs="Arial"/>
          <w:color w:val="000000"/>
          <w:szCs w:val="20"/>
          <w:shd w:val="clear" w:color="auto" w:fill="FFFFFF"/>
          <w:lang w:val="sl-SI"/>
        </w:rPr>
        <w:t>ponujanje</w:t>
      </w:r>
      <w:r w:rsidRPr="003077CA">
        <w:rPr>
          <w:rFonts w:cs="Arial"/>
          <w:color w:val="000000"/>
          <w:szCs w:val="20"/>
          <w:shd w:val="clear" w:color="auto" w:fill="FFFFFF"/>
          <w:lang w:val="sl-SI"/>
        </w:rPr>
        <w:t xml:space="preserve"> pomoči pri kibernetski obrambi pristojni nacionalni organ obvesti SNAV, ki o predlogu odziva na takšno zaprosilo oblikuje stališče in ga posreduje v odločanje vladi.</w:t>
      </w:r>
    </w:p>
    <w:p w14:paraId="4009249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9CE3C3B"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43. členu</w:t>
      </w:r>
    </w:p>
    <w:p w14:paraId="37E968D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omogoča, da Republika Slovenija lahko zaprosi za pomoč pri izvajanju kibernetske obrambe tudi tretje države ali mednarodne organizacije, s katerimi ima sklenjene mednarodne sporazume. Republika Slovenija lahko prej navedenim subjektom </w:t>
      </w:r>
      <w:r>
        <w:rPr>
          <w:rFonts w:cs="Arial"/>
          <w:color w:val="000000"/>
          <w:szCs w:val="20"/>
          <w:shd w:val="clear" w:color="auto" w:fill="FFFFFF"/>
          <w:lang w:val="sl-SI"/>
        </w:rPr>
        <w:t>po</w:t>
      </w:r>
      <w:r w:rsidRPr="003077CA">
        <w:rPr>
          <w:rFonts w:cs="Arial"/>
          <w:color w:val="000000"/>
          <w:szCs w:val="20"/>
          <w:shd w:val="clear" w:color="auto" w:fill="FFFFFF"/>
          <w:lang w:val="sl-SI"/>
        </w:rPr>
        <w:t xml:space="preserve">nudi tudi pomoč pri izvajanju kibernetske obrambe. Za </w:t>
      </w:r>
      <w:r>
        <w:rPr>
          <w:rFonts w:cs="Arial"/>
          <w:color w:val="000000"/>
          <w:szCs w:val="20"/>
          <w:shd w:val="clear" w:color="auto" w:fill="FFFFFF"/>
          <w:lang w:val="sl-SI"/>
        </w:rPr>
        <w:t>ponujanje</w:t>
      </w:r>
      <w:r w:rsidRPr="003077CA">
        <w:rPr>
          <w:rFonts w:cs="Arial"/>
          <w:color w:val="000000"/>
          <w:szCs w:val="20"/>
          <w:shd w:val="clear" w:color="auto" w:fill="FFFFFF"/>
          <w:lang w:val="sl-SI"/>
        </w:rPr>
        <w:t xml:space="preserve"> in prejem pomoči se smiselno uporabljajo določbe 42. člena. Republika Slovenija lahko sodeluje v skupnih enotah za kibernetsko obrambo, ki jih vzpostavijo mednarodne organizacije, katerih članica je. Odločitev o takšnem sodelovanju, na predlog SNAV, sprejme vlada.</w:t>
      </w:r>
    </w:p>
    <w:p w14:paraId="1066FB69"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9C7AAAF"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44. členu</w:t>
      </w:r>
    </w:p>
    <w:p w14:paraId="5BEBD69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Ta člen obravnava delo uslužbencev organov, ki izvajajo kibernetsko obrambo, v manj ugodnem delovnem času, kadar je to potrebno za izvajanje z zakonom določenih nalog, o čemer odloči njihov predstojnik.</w:t>
      </w:r>
    </w:p>
    <w:p w14:paraId="0195131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člena določa, da morajo uslužbenci državnih organov, ki izvajajo kibernetsko obrambo, opravljati delo tudi v manj ugodnem delovnem času, kadar je to potrebno za izvajanje z zakonom določenih nalog. To poudarja potrebo po fleksibilnosti in pripravljenosti za odzivanje na kibernetske grožnje v vseh delovnih časih.</w:t>
      </w:r>
    </w:p>
    <w:p w14:paraId="4F0AFD5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člena podrobno opisuje, kaj se šteje za delo v manj ugodnem delovnem času. To vključuje delo v neenakomerno razporejenem delovnem času, delo v izmenah, delo ob sobotah, nedeljah, praznikih in drugih dela prostih dnevih, delo prek polnega delovnega časa, popoldansko in nočno delo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delo v deljenem delovnem času.</w:t>
      </w:r>
    </w:p>
    <w:p w14:paraId="73A639E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Tretji odstavek člena pojasnjuje, da delo v neenakomerno razporejenem delovnem času oziroma v izmenah vključuje tudi delo ob sobotah, nedeljah, praznikih in drugih dela prostih dnevih ter delo v popoldanskem in nočnem času s prerazporeditvijo delovnega časa v okviru določene redne mesečne </w:t>
      </w:r>
      <w:r>
        <w:rPr>
          <w:rFonts w:cs="Arial"/>
          <w:color w:val="000000"/>
          <w:szCs w:val="20"/>
          <w:shd w:val="clear" w:color="auto" w:fill="FFFFFF"/>
          <w:lang w:val="sl-SI"/>
        </w:rPr>
        <w:t>ali</w:t>
      </w:r>
      <w:r w:rsidRPr="003077CA">
        <w:rPr>
          <w:rFonts w:cs="Arial"/>
          <w:color w:val="000000"/>
          <w:szCs w:val="20"/>
          <w:shd w:val="clear" w:color="auto" w:fill="FFFFFF"/>
          <w:lang w:val="sl-SI"/>
        </w:rPr>
        <w:t xml:space="preserve"> letne delovne obveznosti</w:t>
      </w:r>
      <w:r>
        <w:rPr>
          <w:rFonts w:cs="Arial"/>
          <w:color w:val="000000"/>
          <w:szCs w:val="20"/>
          <w:shd w:val="clear" w:color="auto" w:fill="FFFFFF"/>
          <w:lang w:val="sl-SI"/>
        </w:rPr>
        <w:t xml:space="preserve"> razen v primeru</w:t>
      </w:r>
      <w:r w:rsidRPr="00DD073D">
        <w:rPr>
          <w:lang w:val="sl-SI"/>
        </w:rPr>
        <w:t xml:space="preserve"> </w:t>
      </w:r>
      <w:r w:rsidRPr="00DD073D">
        <w:rPr>
          <w:rFonts w:cs="Arial"/>
          <w:color w:val="000000"/>
          <w:szCs w:val="20"/>
          <w:shd w:val="clear" w:color="auto" w:fill="FFFFFF"/>
          <w:lang w:val="sl-SI"/>
        </w:rPr>
        <w:t>dela preko polnega delovnega časa.</w:t>
      </w:r>
    </w:p>
    <w:p w14:paraId="4B08B19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člena določa, da se delovna mesta, na katerih poteka delo v skladu s prejšnjim odstavkom, določijo v aktu o organizaciji in sistemizaciji.</w:t>
      </w:r>
    </w:p>
    <w:p w14:paraId="27925AD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Peti odstavek člena omogoča, da se v primeru varnostnih razmer ali nujnosti opravila, ki jih ni mogoče odlagati, </w:t>
      </w:r>
      <w:r>
        <w:rPr>
          <w:rFonts w:cs="Arial"/>
          <w:color w:val="000000"/>
          <w:szCs w:val="20"/>
          <w:shd w:val="clear" w:color="auto" w:fill="FFFFFF"/>
          <w:lang w:val="sl-SI"/>
        </w:rPr>
        <w:t xml:space="preserve">lahko </w:t>
      </w:r>
      <w:r w:rsidRPr="003077CA">
        <w:rPr>
          <w:rFonts w:cs="Arial"/>
          <w:color w:val="000000"/>
          <w:szCs w:val="20"/>
          <w:shd w:val="clear" w:color="auto" w:fill="FFFFFF"/>
          <w:lang w:val="sl-SI"/>
        </w:rPr>
        <w:t>odredi tudi delo v manj ugodnem delovnem času.</w:t>
      </w:r>
    </w:p>
    <w:p w14:paraId="34B44B5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člena določa, da predstojnik organa določi primere, v katerih je dovoljeno odrediti delo iz prejšnjega odstavka, ter osebe, ki ga lahko odredijo.</w:t>
      </w:r>
    </w:p>
    <w:p w14:paraId="650D8594" w14:textId="698959BE" w:rsidR="00373118"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člena pa ureja izjem</w:t>
      </w:r>
      <w:r w:rsidR="00373118">
        <w:rPr>
          <w:rFonts w:cs="Arial"/>
          <w:color w:val="000000"/>
          <w:szCs w:val="20"/>
          <w:shd w:val="clear" w:color="auto" w:fill="FFFFFF"/>
          <w:lang w:val="sl-SI"/>
        </w:rPr>
        <w:t>e</w:t>
      </w:r>
      <w:r w:rsidRPr="003077CA">
        <w:rPr>
          <w:rFonts w:cs="Arial"/>
          <w:color w:val="000000"/>
          <w:szCs w:val="20"/>
          <w:shd w:val="clear" w:color="auto" w:fill="FFFFFF"/>
          <w:lang w:val="sl-SI"/>
        </w:rPr>
        <w:t xml:space="preserve"> za delo </w:t>
      </w:r>
      <w:r w:rsidR="00373118">
        <w:rPr>
          <w:rFonts w:cs="Arial"/>
          <w:color w:val="000000"/>
          <w:szCs w:val="20"/>
          <w:shd w:val="clear" w:color="auto" w:fill="FFFFFF"/>
          <w:lang w:val="sl-SI"/>
        </w:rPr>
        <w:t xml:space="preserve">v manj ugodnem delovnem času </w:t>
      </w:r>
      <w:r w:rsidR="00373118" w:rsidRPr="00373118">
        <w:rPr>
          <w:rFonts w:cs="Arial"/>
          <w:color w:val="000000"/>
          <w:szCs w:val="20"/>
          <w:shd w:val="clear" w:color="auto" w:fill="FFFFFF"/>
          <w:lang w:val="sl-SI"/>
        </w:rPr>
        <w:t>na Ministrstvu za obrambo in v Slovenski vojski</w:t>
      </w:r>
      <w:r w:rsidR="00373118">
        <w:rPr>
          <w:rFonts w:cs="Arial"/>
          <w:color w:val="000000"/>
          <w:szCs w:val="20"/>
          <w:shd w:val="clear" w:color="auto" w:fill="FFFFFF"/>
          <w:lang w:val="sl-SI"/>
        </w:rPr>
        <w:t xml:space="preserve">, v Policiji, SOVI in </w:t>
      </w:r>
      <w:r w:rsidR="00373118" w:rsidRPr="00373118">
        <w:rPr>
          <w:rFonts w:cs="Arial"/>
          <w:color w:val="000000"/>
          <w:szCs w:val="20"/>
          <w:shd w:val="clear" w:color="auto" w:fill="FFFFFF"/>
          <w:lang w:val="sl-SI"/>
        </w:rPr>
        <w:t>Upravi Republike Slovenije za zaščito in reševanje</w:t>
      </w:r>
      <w:r w:rsidR="00DB682E">
        <w:rPr>
          <w:rFonts w:cs="Arial"/>
          <w:color w:val="000000"/>
          <w:szCs w:val="20"/>
          <w:shd w:val="clear" w:color="auto" w:fill="FFFFFF"/>
          <w:lang w:val="sl-SI"/>
        </w:rPr>
        <w:t>, kjer se uporabljajo njihovi področni predpisi.</w:t>
      </w:r>
    </w:p>
    <w:p w14:paraId="3D36804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Skupaj ta člen vzpostavlja okvir za zagotavljanje neprekinjenega delovanja kibernetske obrambe v Republiki Sloveniji, ki je ključnega pomena za varnost in obrambo države pred kibernetskimi grožnjami. Uslužbenci državnih organov, ki izvajajo kibernetsko obrambo, so tako zavezani k opravljanju dela v manj ugodnih delovnih časih, kadar je to potrebno za učinkovito obvladovanje kibernetskih tveganj in groženj.</w:t>
      </w:r>
    </w:p>
    <w:p w14:paraId="6EE53DB9" w14:textId="77777777" w:rsidR="000A51A5" w:rsidRDefault="000A51A5" w:rsidP="000A51A5">
      <w:pPr>
        <w:spacing w:line="240" w:lineRule="auto"/>
        <w:rPr>
          <w:rFonts w:cs="Arial"/>
          <w:b/>
          <w:bCs/>
          <w:color w:val="000000"/>
          <w:szCs w:val="20"/>
          <w:shd w:val="clear" w:color="auto" w:fill="FFFFFF"/>
          <w:lang w:val="sl-SI"/>
        </w:rPr>
      </w:pPr>
    </w:p>
    <w:p w14:paraId="6B7DD90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IX. Nadzor</w:t>
      </w:r>
    </w:p>
    <w:p w14:paraId="55FC5822"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CCDE1C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poglavju predlog zakona ureja področje nadzora nad izvajanjem tega zakona, in sicer pristojnosti za nadzor, postopek, pravna sredstva, pooblastila ter upravne ukrepe inšpekcijskega organa. Zaradi različne narave obeh kategorij zavezancev (bistveni in pomembni subjekti)</w:t>
      </w:r>
      <w:r>
        <w:rPr>
          <w:rFonts w:cs="Arial"/>
          <w:color w:val="000000"/>
          <w:szCs w:val="20"/>
          <w:shd w:val="clear" w:color="auto" w:fill="FFFFFF"/>
          <w:lang w:val="sl-SI"/>
        </w:rPr>
        <w:t xml:space="preserve"> sta</w:t>
      </w:r>
      <w:r w:rsidRPr="003077CA">
        <w:rPr>
          <w:rFonts w:cs="Arial"/>
          <w:color w:val="000000"/>
          <w:szCs w:val="20"/>
          <w:shd w:val="clear" w:color="auto" w:fill="FFFFFF"/>
          <w:lang w:val="sl-SI"/>
        </w:rPr>
        <w:t>, upoštevaje Direktivo 2022/2555/EU (32. in 33. člen), za vsakega od njih predvidena specifičen postopek in dovoljen obseg nadzora. Zakon predvideva tudi, da so inšpektorji za informacijsko varnost PNO (v nadaljnjem besedilu: inšpektor) pristojni tudi za nadzor nad izvajanjem določb Akta o kibernetski varnosti, ki se nanaša na evropske certifikacijske sheme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nad izvršitvijo upravnih odločb nacionalnega certifikacijskega organa za kibernetsko varnost.</w:t>
      </w:r>
    </w:p>
    <w:p w14:paraId="115C39F6"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1A284698"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45. členu</w:t>
      </w:r>
    </w:p>
    <w:p w14:paraId="1628FFD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prenaša določbe 31. člena Direktive 2022/2555/EU, ki določa splošne vidike, povezane z nadzorom in izvrševanjem. </w:t>
      </w:r>
    </w:p>
    <w:p w14:paraId="3DEBFE6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predloga določa pristojnost za nadzor nad izvajanjem določb tega zakona, na njegovi podlagi sprejetih predpisov, izdanih upravnih odločb na podlagi tega zakona ter nad tistimi ukrepi za odpornost kritičnih subjektov iz sektorja digitalne infrastrukture, ki jih sprejme vlada na podlagi zakona, ki ureja področje kritične infrastrukture. Predlagano je, da nadzor opravljajo inšpektorji za informacijsko varnost pristojnega nacionalnega organa, kot je to urejeno že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razen na obrambnem področju, kjer ta nadzor izvaja Inšpektorat Republike Slovenije za obrambo ter na področju obveščevalno-varnostne dejavnosti, kjer ta nadzor izvaja Inšpektorat Republike Slovenije za notranje zadeve. Primerljivo je inšpekcijski nadzor urejen tudi v Zakonu o tajnih podatkih, kjer je za nadzor s področja tajnih podatkov na obrambnem področju pristojen Inšpektorat Republike Slovenije za obrambo, za nadzor s področja tajnih podatkov nad Slovensko Obveščevalno varnostno agencijo pa Inšpektorat Republike Slovenije za notranje zadeve. </w:t>
      </w:r>
    </w:p>
    <w:p w14:paraId="218A7AD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določa pristojnost inšpektorjev pristojnega nacionalnega organa tudi za nadzor nad evropskimi certifikacijskimi shemami iz Akta o kibernetski varnosti ter nad izvršitvijo upravnih odločb, ki jih izda URSIV kot nacionalni certifikacijski organ za kibernetsko varnost. </w:t>
      </w:r>
    </w:p>
    <w:p w14:paraId="5897A5B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Tretji odstavek predloga določa pristojnost inšpektorjev pristojnega nacionalnega organa tudi za nadzor nad izvajanjem izvedbenih aktov Evropske komisije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sprejetih na podlagi Direktive 2022/2555/EU, ki imajo neposredni učinek v pravnem redu Republike Slovenije, kot je to na primer izvedbena uredba Komisije (EU) 2024/2690, z dne 17. oktobra 2024, o določitvi pravil za uporabo Direktive (EU) 2022/2555 v zvezi s tehničnimi in metodološkimi zahtevami ukrepov za obvladovanje tveganj za kibernetsko varnost ter podrobnejšo opredelitvijo primerov, v katerih se incident šteje za pomembnega, kar zadeva ponudnike storitev DNS, registre TLD imen, ponudnike storitev računalništva v oblaku, ponudnike storitev podatkovnega centra, ponudnike omrežij za dostavo vsebin, ponudnike upravljanih storitev, ponudnike upravljanih varnostnih storitev, ponudnike spletnih tržnic, spletnih iskalnikov in platform za storitve družbenega mreženja ter ponudnike storitev zaupanja.</w:t>
      </w:r>
    </w:p>
    <w:p w14:paraId="4CBDDB0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da se za postopek nadzora po tem zakonu uporablja ZIN, razen kadar ta zakon določa drugače, ker v naš pravni red prenaša določene posebnosti, ki jih določa direktiva NIS 2, nekatere pa se ohranjajo.</w:t>
      </w:r>
    </w:p>
    <w:p w14:paraId="2A88DBE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določa pooblastila inšpektorja, ki jih ima inšpektor pri izvajanju nadzora po tem zakonu pri zavezancih iz tega zakona. Poleg pooblastil inšpektorja, ki jih določa Zakon o inšpekcijskem nadzoru</w:t>
      </w:r>
      <w:r>
        <w:rPr>
          <w:rFonts w:cs="Arial"/>
          <w:color w:val="000000"/>
          <w:szCs w:val="20"/>
          <w:shd w:val="clear" w:color="auto" w:fill="FFFFFF"/>
          <w:lang w:val="sl-SI"/>
        </w:rPr>
        <w:t>,</w:t>
      </w:r>
      <w:r w:rsidRPr="003077CA">
        <w:rPr>
          <w:rFonts w:cs="Arial"/>
          <w:color w:val="000000"/>
          <w:szCs w:val="20"/>
          <w:shd w:val="clear" w:color="auto" w:fill="FFFFFF"/>
          <w:lang w:val="sl-SI"/>
        </w:rPr>
        <w:t xml:space="preserve"> lahko inšpektor pri izvajanju nadzora tak nadzor opravi tudi na daljavo, nadzor lahko izvede skupaj z usposobljenim posameznikom</w:t>
      </w:r>
      <w:r>
        <w:rPr>
          <w:rFonts w:cs="Arial"/>
          <w:color w:val="000000"/>
          <w:szCs w:val="20"/>
          <w:shd w:val="clear" w:color="auto" w:fill="FFFFFF"/>
          <w:lang w:val="sl-SI"/>
        </w:rPr>
        <w:t xml:space="preserve"> ‒ </w:t>
      </w:r>
      <w:r w:rsidRPr="003077CA">
        <w:rPr>
          <w:rFonts w:cs="Arial"/>
          <w:color w:val="000000"/>
          <w:szCs w:val="20"/>
          <w:shd w:val="clear" w:color="auto" w:fill="FFFFFF"/>
          <w:lang w:val="sl-SI"/>
        </w:rPr>
        <w:t>strokovnjakom za neko specifično področje, opravi inšpekcijski varnosti pregled omrežij in informacijskih sistemov, opravi neposreden vpogled v podatke in omrežne ter informacijske sisteme, preveri pogoje in način izvajanja predpisanih ukrepov, pregleda območja, prostore, objekte, pregleda dokumentacijo o izvajanju obveznega poročanja o incidentih, pregleda poročila o izvedenih revizijah in drugo dokumentacijo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potrebno za ugotavljanje dejanskega stanja.</w:t>
      </w:r>
    </w:p>
    <w:p w14:paraId="5F68515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predloga zavezancem nalaga dolžnost sodelovanja z inšpektorji pri izvedbi inšpekcijskega nadzora na način, da morajo inšpektorjem omogočiti popoln in takojšen dostop do sistemov, območij, objektov in prostorov, ki so predmet nadzora ali so povezani z njim</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brez odlašanja posredovati zahtevane informacije in podatke.</w:t>
      </w:r>
    </w:p>
    <w:p w14:paraId="4005EB3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predloga določa, da je zoper odločbe, izdane v postopkih nadzora po tem zakonu, dovoljen upravni spor. ZUP namreč v 13. členu določa, da je mogoče samo z zakonom predpisati, da v upravni zadevi pritožba ni dovoljena. V zvezi z omejitvijo pritožbe glej tudi obrazložitev k 27. členu tega zakona.</w:t>
      </w:r>
    </w:p>
    <w:p w14:paraId="3E1EABE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Osmi odstavek predloga določa način, na katerega lahko zavezanec zaprosi za podaljšanje roka za odpravo nepravilnosti in pomanjkljivosti. Izvedba odrejenih ukrepov je običajno povezana s potrebnim časom, viri in roki za izvedbo potrebnih naročil, ki jih ni mogoče vnaprej točno predvideti. Ker se določen rok za izvedbo odrejenih ukrepov inšpektorja šteje za materialni rok, tega ni možno podaljšati na podlagi 99. člena ZUP in je za to potrebna pravna podlaga v področnem predpisu. </w:t>
      </w:r>
    </w:p>
    <w:p w14:paraId="39B5727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Deveti odstavek predloga določa, da sme inšpektor poleg ukrepov iz ZIN uporabiti tudi ukrepe iz tega zakona. Ker so inšpektorji pristojni tudi za nadzor nad evropskimi certifikacijskimi shemami iz Akta o kibernetski varnosti ter nad izvršitvijo upravnih odločb, ki jih izda URSIV kot nacionalni certifikacijski organ za kibernetsko varnost, ta odstavek določa tudi, da smejo inšpektorji odrediti tudi ukrepe iz Akta o kibernetski varnosti.</w:t>
      </w:r>
    </w:p>
    <w:p w14:paraId="00F620B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60037B29" w14:textId="77777777" w:rsidR="001D3CA4" w:rsidRDefault="001D3CA4">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7D52F21C" w14:textId="3F69FC5E"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46. členu</w:t>
      </w:r>
    </w:p>
    <w:p w14:paraId="721F1B4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prvega, drugega, tretjega, devetega in desetega odstavka 32. člena Direktive 2022/2555/EU, ki določa nadzor in izvršilne ukrepe v zvezi z bistvenimi subjekti. Ta člen jasno opredeljuje pooblastila inšpektorja ter pravice in obveznosti bistvenih subjektov, s čimer prispeva k učinkovitemu nadzoru nad varnostjo omrežij in informacijskih sistemov.</w:t>
      </w:r>
    </w:p>
    <w:p w14:paraId="2E654E0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da lahko inšpektor pri bistvenih subjektih izvaja tudi naključne inšpekcijske nadzore, ki so lahko načrtovani in napovedani ali nenapovedani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 nenačrtovane inšpekcijske nadzore (izredni inšpekcijski nadzori).</w:t>
      </w:r>
    </w:p>
    <w:p w14:paraId="7F6F2C0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pooblastila, ki jih ima inšpektor pri izvajanju nadzora v zvezi z bistvenimi subjekti, ki jih opredeljuje direktiva.</w:t>
      </w:r>
    </w:p>
    <w:p w14:paraId="66F9A97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določa ukrepe za odpravo pomanjkljivosti ali izpolnitev zahtev inšpektorja, ko inšpektor ugotovi, da izrečeni ukrepi niso bili učinkoviti ali izvedeni v določenih rokih, med katerima je tudi začasna prepoved opravljanja vodstvenih funkcij osebam, ki za bistveni subjekt opravljajo poslovodne naloge.</w:t>
      </w:r>
    </w:p>
    <w:p w14:paraId="12E723A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omejuje začasni preklic ali prepoved</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dokler zadevni bistveni subjekt ne sprejme potrebnih ukrepov za odpravo pomanjkljivosti ali ne izpolni zahtev inšpektorja, zaradi katerih je bil tak ukrep uporabljen. </w:t>
      </w:r>
    </w:p>
    <w:p w14:paraId="484FAD5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določa izjemo, da se ukrepi iz drugega odstavka tega člena ne uporabljajo za subjekte javne uprave, za katere velja ta zakon (kot to določajo drugi predpisi).</w:t>
      </w:r>
    </w:p>
    <w:p w14:paraId="33B8A24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predloga določa, da inšpektor pri sprejemanju ukrepov iz tega člena spoštuje postopkovne pravice bistvenega subjekta v postopku nadzora in upošteva (objektivne) okoliščine vsakega posameznega primera, ki so v predlaganem odstavku taksativno naštete.</w:t>
      </w:r>
    </w:p>
    <w:p w14:paraId="4D35DA2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določa, da morajo biti naloženi ukrepi učinkoviti, sorazmerni in odvračilni, ob upoštevanju okoliščin posameznega primera in specifik področja, na katerem deluje zavezanec.</w:t>
      </w:r>
    </w:p>
    <w:p w14:paraId="25FDEC2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Osmi in deveti odstavek predloga določata način izvedbe </w:t>
      </w:r>
      <w:r>
        <w:rPr>
          <w:rFonts w:cs="Arial"/>
          <w:color w:val="000000"/>
          <w:szCs w:val="20"/>
          <w:shd w:val="clear" w:color="auto" w:fill="FFFFFF"/>
          <w:lang w:val="sl-SI"/>
        </w:rPr>
        <w:t xml:space="preserve">redne in </w:t>
      </w:r>
      <w:r w:rsidRPr="003077CA">
        <w:rPr>
          <w:rFonts w:cs="Arial"/>
          <w:color w:val="000000"/>
          <w:szCs w:val="20"/>
          <w:shd w:val="clear" w:color="auto" w:fill="FFFFFF"/>
          <w:lang w:val="sl-SI"/>
        </w:rPr>
        <w:t xml:space="preserve">ciljno usmerjene revizije varnosti ter kdo krije stroške le-te. </w:t>
      </w:r>
    </w:p>
    <w:p w14:paraId="19591E3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Deseti odstavek predloga nalaga inšpektorju, da navede namen zahteve in opredeli zahtevane informacije.</w:t>
      </w:r>
    </w:p>
    <w:p w14:paraId="0AE8BE2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Enajsti odstavek predloga določa, da inšpektor obvesti pristojno inšpekcijo za področje kritične infrastrukture, kadar izvaja nadzor nad </w:t>
      </w:r>
      <w:r>
        <w:rPr>
          <w:rFonts w:cs="Arial"/>
          <w:color w:val="000000"/>
          <w:szCs w:val="20"/>
          <w:shd w:val="clear" w:color="auto" w:fill="FFFFFF"/>
          <w:lang w:val="sl-SI"/>
        </w:rPr>
        <w:t xml:space="preserve">bistvenim </w:t>
      </w:r>
      <w:r w:rsidRPr="003077CA">
        <w:rPr>
          <w:rFonts w:cs="Arial"/>
          <w:color w:val="000000"/>
          <w:szCs w:val="20"/>
          <w:shd w:val="clear" w:color="auto" w:fill="FFFFFF"/>
          <w:lang w:val="sl-SI"/>
        </w:rPr>
        <w:t>subjektom, ki je na podlagi zakona, ki ureja kritično infrastrukturo</w:t>
      </w:r>
      <w:r>
        <w:rPr>
          <w:rFonts w:cs="Arial"/>
          <w:color w:val="000000"/>
          <w:szCs w:val="20"/>
          <w:shd w:val="clear" w:color="auto" w:fill="FFFFFF"/>
          <w:lang w:val="sl-SI"/>
        </w:rPr>
        <w:t>,</w:t>
      </w:r>
      <w:r w:rsidRPr="003077CA">
        <w:rPr>
          <w:rFonts w:cs="Arial"/>
          <w:color w:val="000000"/>
          <w:szCs w:val="20"/>
          <w:shd w:val="clear" w:color="auto" w:fill="FFFFFF"/>
          <w:lang w:val="sl-SI"/>
        </w:rPr>
        <w:t xml:space="preserve"> določen kot kritičen. Prav tako določa, da lahko inšpektor inšpekcije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pristojne za področje kritične infrastrukture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poda pobudo za izvedbo inšpekcijskega nadzora pri posameznem zavezancu iz zakona, ki ureja področje kritične infrastrukture.</w:t>
      </w:r>
    </w:p>
    <w:p w14:paraId="1DD2E0E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Dvanajsti odstavek predloga določa, </w:t>
      </w:r>
      <w:r>
        <w:rPr>
          <w:rFonts w:cs="Arial"/>
          <w:color w:val="000000"/>
          <w:szCs w:val="20"/>
          <w:shd w:val="clear" w:color="auto" w:fill="FFFFFF"/>
          <w:lang w:val="sl-SI"/>
        </w:rPr>
        <w:t xml:space="preserve">da </w:t>
      </w:r>
      <w:r w:rsidRPr="003077CA">
        <w:rPr>
          <w:rFonts w:cs="Arial"/>
          <w:color w:val="000000"/>
          <w:szCs w:val="20"/>
          <w:shd w:val="clear" w:color="auto" w:fill="FFFFFF"/>
          <w:lang w:val="sl-SI"/>
        </w:rPr>
        <w:t xml:space="preserve">inšpektor sodeluje z inšpekcijo, ki je pristojna za izvajanje nadzora po Uredbi 2022/2554/EU. </w:t>
      </w:r>
    </w:p>
    <w:p w14:paraId="3E0A49B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Trinajsti odstavek predloga za bistvene subjekte določa višji znesek za denarno kazen, ki se izreče kot prisilitev z izvršbo na način, določen v Zakonu o splošnem upravnem postopku. Ta namreč določa, da prva (in vsaka nadaljnja) denarna kazen ne sme presegati 1.000 eurov. Glede na višino glob iz tega zakona in glede na dejstvo, da gre za subjekte, ki so ocenjeni kot visoko kritični ali so drugače bistveni za delovanje države, bi bil znesek 1.000 eurov, kot ga za izvršbo s prisilitvijo določa Zakon o splošnem upravnem postopku, bistveno prenizek. Meja denarne kazni, ki se izreče kot izvršba s prisilitvijo, se zato s tem odstavkom </w:t>
      </w:r>
      <w:r>
        <w:rPr>
          <w:rFonts w:cs="Arial"/>
          <w:color w:val="000000"/>
          <w:szCs w:val="20"/>
          <w:shd w:val="clear" w:color="auto" w:fill="FFFFFF"/>
          <w:lang w:val="sl-SI"/>
        </w:rPr>
        <w:t>zvišuje</w:t>
      </w:r>
      <w:r w:rsidRPr="003077CA">
        <w:rPr>
          <w:rFonts w:cs="Arial"/>
          <w:color w:val="000000"/>
          <w:szCs w:val="20"/>
          <w:shd w:val="clear" w:color="auto" w:fill="FFFFFF"/>
          <w:lang w:val="sl-SI"/>
        </w:rPr>
        <w:t xml:space="preserve"> na 10.000 eurov in velja za prvo in vsako nadaljnjo izrečeno denarno kazen.</w:t>
      </w:r>
    </w:p>
    <w:p w14:paraId="2BB9F45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Štirinajsti odstavek predloga določa, da se ukrep iz trinajstega odstavka ne uporablja za pravne osebe javnega prava. </w:t>
      </w:r>
    </w:p>
    <w:p w14:paraId="17DFED8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Petnajsti odstavek predloga jasno določa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kdo je odgovorna oseba za skladnost delovanja bistvenega subjekta po tem zakonu.</w:t>
      </w:r>
    </w:p>
    <w:p w14:paraId="04A701F3"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6026E78"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47. členu</w:t>
      </w:r>
    </w:p>
    <w:p w14:paraId="7654A4F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prvega, drugega, tretjega, četrtega, petega in šestega odstavka 33. člena Direktive 2022/2555/EU, ki določa nadzor in izvršilne ukrepe v zvezi s pomembnimi subjekti. Ta člen jasno opredeljuje pooblastila inšpektorja ter pravice in obveznosti pomembnih subjektov, s čimer prispeva k učinkovitemu nadzoru nad varnostjo omrežnih in informacijskih sistemov.</w:t>
      </w:r>
    </w:p>
    <w:p w14:paraId="284A955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kdaj se lahko izvede inšpekcijski nadzor pri pomembnem subjektu.</w:t>
      </w:r>
    </w:p>
    <w:p w14:paraId="5050083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pooblastila, ki jih ima inšpektor pri izvajanju nadzora v zvezi s pomembnimi subjekti.</w:t>
      </w:r>
    </w:p>
    <w:p w14:paraId="2957149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določa, da inšpektor pri sprejemanju ukrepov iz tega člena spoštuje postopkovne pravice pomembnega subjekta v postopku nadzora in upošteva (objektivne) okoliščine vsakega posameznega primera, ki so v predlaganem odstavku taksativno naštete.</w:t>
      </w:r>
    </w:p>
    <w:p w14:paraId="0CBEE2E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in peti odstavek predloga določa postopek izvedbe ciljno usmerjene revizije skladnosti ter stroške.</w:t>
      </w:r>
    </w:p>
    <w:p w14:paraId="12140BF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predloga določa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kdo je odgovorna oseba za zagotavljanje skladnosti delovanja pomembnega subjekta.</w:t>
      </w:r>
    </w:p>
    <w:p w14:paraId="261BDE3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Sedmi odstavek predloga za pomembne subjekte določa višji znesek za denarno kazen, ki se izreče kot prisilitev z izvršbo na način, določen v Zakonu o splošnem upravnem postopku. Ta namreč določa, da prva (in vsaka nadaljnja) denarna kazen ne sme presegati 1.000 eurov. Glede na višino glob iz tega zakona in glede na dejstvo, da gre za subjekte, ki so ocenjeni kot edini ponudniki storitev ali so drugače pomembni za delovanje države, bi bil znesek 1.000 eurov, kot ga za izvršbo s prisilitvijo določa Zakon o splošnem upravnem postopku, bistveno prenizek. Meja denarne kazni, ki se izreče kot izvršba s prisilitvijo, se zato s tem odstavkom </w:t>
      </w:r>
      <w:r>
        <w:rPr>
          <w:rFonts w:cs="Arial"/>
          <w:color w:val="000000"/>
          <w:szCs w:val="20"/>
          <w:shd w:val="clear" w:color="auto" w:fill="FFFFFF"/>
          <w:lang w:val="sl-SI"/>
        </w:rPr>
        <w:t>zvišuje</w:t>
      </w:r>
      <w:r w:rsidRPr="003077CA">
        <w:rPr>
          <w:rFonts w:cs="Arial"/>
          <w:color w:val="000000"/>
          <w:szCs w:val="20"/>
          <w:shd w:val="clear" w:color="auto" w:fill="FFFFFF"/>
          <w:lang w:val="sl-SI"/>
        </w:rPr>
        <w:t xml:space="preserve"> na 7.000 eurov in velja za prvo in vsako nadaljnjo izrečeno denarno kazen.</w:t>
      </w:r>
    </w:p>
    <w:p w14:paraId="1628DBD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Osmi odstavek predloga določa, da se ukrep</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iz sedmega odstavka tega člena ne uporabljajo za pravne osebe javnega prava. </w:t>
      </w:r>
    </w:p>
    <w:p w14:paraId="38879F1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Deveti odstavek predloga določa, </w:t>
      </w:r>
      <w:r>
        <w:rPr>
          <w:rFonts w:cs="Arial"/>
          <w:color w:val="000000"/>
          <w:szCs w:val="20"/>
          <w:shd w:val="clear" w:color="auto" w:fill="FFFFFF"/>
          <w:lang w:val="sl-SI"/>
        </w:rPr>
        <w:t xml:space="preserve">da </w:t>
      </w:r>
      <w:r w:rsidRPr="003077CA">
        <w:rPr>
          <w:rFonts w:cs="Arial"/>
          <w:color w:val="000000"/>
          <w:szCs w:val="20"/>
          <w:shd w:val="clear" w:color="auto" w:fill="FFFFFF"/>
          <w:lang w:val="sl-SI"/>
        </w:rPr>
        <w:t>inšpektor sodeluje z inšpekcijo, ki je pristojna za izvajanje nadzor</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po Uredbi 2022/2554/EU. </w:t>
      </w:r>
    </w:p>
    <w:p w14:paraId="45EF7EEA"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FE4A204"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48. členu</w:t>
      </w:r>
    </w:p>
    <w:p w14:paraId="5128201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Ta člen določa postopek inšpekcijskega nadzora nad subjekti v skladu z Uredbo (EU) 2019/881 o kibernetski varnosti in omogoča inšpektorju učinkovit nadzor nad subjekti glede skladnosti z Uredbo (EU) 2019/881 ter zagotavlja, da subjekti izpolnjujejo zahteve glede kibernetske varnosti v skladu z evropsko zakonodajo.</w:t>
      </w:r>
    </w:p>
    <w:p w14:paraId="0B64B5E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 izvedbo inšpekcijskega nadzora. Inšpekcijski nadzor se izvede, če inšpektor prejme dokaze, indice ali informacije, da subjekt ne izpolnjuje zahtev iz Uredbe (EU) 2019/881 ali evropske certifikacijske sheme.</w:t>
      </w:r>
    </w:p>
    <w:p w14:paraId="31A32FB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Drugi odstavek predloga določa, da inšpektor pri izvajanju nadzora navede namen zahteve in informacije, ki mu jih mora posredovati nadziran subjekt. Pri odreditvi ciljno usmerjane revizije pa inšpektor določi obseg revizije. </w:t>
      </w:r>
    </w:p>
    <w:p w14:paraId="5C696BC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Tretji odstavek predloga določa pooblastila inšpektorja. Poleg pooblastil, ki jih določa zakon o inšpekcijskem nadzoru, inšpektorju omogoča opravljanje inšpekcijskega pregleda na kraju samem ali na daljavo, v sodelovanju s strokovnjaki; odreditev ciljno usmerjene revizije skladnosti z Uredbo (EU) 2019/881, ki jo izvede preizkušeni revizor informacijskih sistemov</w:t>
      </w:r>
      <w:r>
        <w:rPr>
          <w:rFonts w:cs="Arial"/>
          <w:color w:val="000000"/>
          <w:szCs w:val="20"/>
          <w:shd w:val="clear" w:color="auto" w:fill="FFFFFF"/>
          <w:lang w:val="sl-SI"/>
        </w:rPr>
        <w:t>.</w:t>
      </w:r>
    </w:p>
    <w:p w14:paraId="53594A6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določa ukrepe, ki jih lahko odredi inšpektor za zagotovitev skladnosti s predpisi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lahko inšpektor odredi izvedbo ciljno usmerjene revizije skladnosti ali odredi izvedbo drugih ustreznih in primernih ukrepov, da se zagotovi izpolnjevanje zahtev iz Uredbe 2019/881/EU ali evropske certifikacijske sheme.</w:t>
      </w:r>
    </w:p>
    <w:p w14:paraId="2388FED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člena daje pristojnost inšpektorju, da lahko poda predlog nacionalnemu certifikacijskemu organu za kibernetsko varnost za odvzem evropskega certifikata kibernetske varnosti v primeru neskladnosti s to uredbo ali evropsko certifikacijsko shemo.</w:t>
      </w:r>
    </w:p>
    <w:p w14:paraId="59A5E76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Šesti odstavek predloga določa, da se poročilo o reviziji skladnosti posreduje oziroma da v seznanitev inšpektorju. </w:t>
      </w:r>
    </w:p>
    <w:p w14:paraId="4CAC58E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Sedmi odstavek predloga določa kritje stroškov. Stroške ciljno usmerjene revizije skladnosti krije subjekt, ki je predmet nadzora.</w:t>
      </w:r>
    </w:p>
    <w:p w14:paraId="0ADC6081"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436EF7A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49. členu</w:t>
      </w:r>
    </w:p>
    <w:p w14:paraId="131E88E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člena določa postopek določitve preizkušenega revizorja za izvedbo revizije skladnosti, ki jo lahko zahteva inšpektor po tem zakonu.</w:t>
      </w:r>
    </w:p>
    <w:p w14:paraId="157695E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člena določa, da lahko bistveni ali pomembni subjekt za revizorja določi tudi koga od svojih zaposlenih, ki ima status aktivnega preizkušenega revizorja informacijskih sistemov, če lahko zagotovi nepristranskost in neodvisnost revizorja po splošnih merilih, ki veljajo za revidiranje.</w:t>
      </w:r>
    </w:p>
    <w:p w14:paraId="0160A6A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člena določa, da revizorja s sklepom določi inšpektor, če zavezanec sam ne izbere revizorja v skladu s tem predlaganim členom.</w:t>
      </w:r>
    </w:p>
    <w:p w14:paraId="73E69DFF"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1484276"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50. členu</w:t>
      </w:r>
    </w:p>
    <w:p w14:paraId="7C2A93C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35. člena Direktive 2022/2555/EU, ki opredeljuje kršitve, ki pomenijo kršitev varstva osebnih podatkov.</w:t>
      </w:r>
    </w:p>
    <w:p w14:paraId="08748E0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določa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da inšpektor o obravnavi zadev iz prvega odstavka 40. člena tega zakona, katerih posledica je kršitev varstva osebnih podatkov, obvešča Informacijskega pooblaščenca brez nepotrebnega odlašanja. </w:t>
      </w:r>
      <w:r>
        <w:rPr>
          <w:rFonts w:cs="Arial"/>
          <w:color w:val="000000"/>
          <w:szCs w:val="20"/>
          <w:shd w:val="clear" w:color="auto" w:fill="FFFFFF"/>
          <w:lang w:val="sl-SI"/>
        </w:rPr>
        <w:t>Kadar</w:t>
      </w:r>
      <w:r w:rsidRPr="003077CA">
        <w:rPr>
          <w:rFonts w:cs="Arial"/>
          <w:color w:val="000000"/>
          <w:szCs w:val="20"/>
          <w:shd w:val="clear" w:color="auto" w:fill="FFFFFF"/>
          <w:lang w:val="sl-SI"/>
        </w:rPr>
        <w:t xml:space="preserve"> se nadzor nanaša na operaterje elektronskih komunikacij</w:t>
      </w:r>
      <w:r>
        <w:rPr>
          <w:rFonts w:cs="Arial"/>
          <w:color w:val="000000"/>
          <w:szCs w:val="20"/>
          <w:shd w:val="clear" w:color="auto" w:fill="FFFFFF"/>
          <w:lang w:val="sl-SI"/>
        </w:rPr>
        <w:t>,</w:t>
      </w:r>
      <w:r w:rsidRPr="003077CA">
        <w:rPr>
          <w:rFonts w:cs="Arial"/>
          <w:color w:val="000000"/>
          <w:szCs w:val="20"/>
          <w:shd w:val="clear" w:color="auto" w:fill="FFFFFF"/>
          <w:lang w:val="sl-SI"/>
        </w:rPr>
        <w:t xml:space="preserve"> pa inšpektor obvešča tudi področnega regulatorja. </w:t>
      </w:r>
    </w:p>
    <w:p w14:paraId="7A78FD0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opredeljuje postopek, kadar Informacijski pooblaščenec zaradi kršitve določbe točka (i) drugega odstavka 58. člena Splošne uredbe o varstvu podatkov</w:t>
      </w:r>
      <w:r w:rsidRPr="003077CA" w:rsidDel="00E749A8">
        <w:rPr>
          <w:rFonts w:cs="Arial"/>
          <w:color w:val="000000"/>
          <w:szCs w:val="20"/>
          <w:shd w:val="clear" w:color="auto" w:fill="FFFFFF"/>
          <w:lang w:val="sl-SI"/>
        </w:rPr>
        <w:t xml:space="preserve"> </w:t>
      </w:r>
      <w:r w:rsidRPr="003077CA">
        <w:rPr>
          <w:rFonts w:cs="Arial"/>
          <w:color w:val="000000"/>
          <w:szCs w:val="20"/>
          <w:shd w:val="clear" w:color="auto" w:fill="FFFFFF"/>
          <w:lang w:val="sl-SI"/>
        </w:rPr>
        <w:t>naloži globo na podlagi zakona, ki ureja varstvo osebnih podatkov. Če subjekt z istim dejanjem krši dva predpisa, torej Zakon o varstvu osebnih podatkov in Zakon o informacijski varnosti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mu Informacijski pooblaščenec že izreče globo na podlagi svojega predpisa, to določilo preprečuje, da bi bil subjekt za isto dejanje kaznovan dvakrat. Ima pa inšpektor vseeno možnost subjektu izreči ukrepe iz IX. poglavja tega zakona.</w:t>
      </w:r>
    </w:p>
    <w:p w14:paraId="0E8EE92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Tretji odstavek predloga pa določa postopke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kadar ima nadzorni organ, ki je pristojen v skladu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Splošno uredbo o varstvu podatkov, sedež v drugi državi članici.</w:t>
      </w:r>
    </w:p>
    <w:p w14:paraId="1B9261D8" w14:textId="77777777" w:rsidR="000A51A5" w:rsidRPr="003077CA" w:rsidRDefault="000A51A5" w:rsidP="000A51A5">
      <w:pPr>
        <w:spacing w:after="120" w:line="276" w:lineRule="auto"/>
        <w:jc w:val="both"/>
        <w:rPr>
          <w:rFonts w:cs="Arial"/>
          <w:color w:val="000000"/>
          <w:szCs w:val="20"/>
          <w:shd w:val="clear" w:color="auto" w:fill="FFFFFF"/>
          <w:lang w:val="sl-SI"/>
        </w:rPr>
      </w:pPr>
    </w:p>
    <w:p w14:paraId="00D722BA" w14:textId="77777777" w:rsidR="001D3CA4" w:rsidRDefault="001D3CA4">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59C0608D" w14:textId="0098CC02"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51. členu</w:t>
      </w:r>
    </w:p>
    <w:p w14:paraId="4444ED3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V tem predlogu člena gre za prenos določb 37. člena Direktive 2022/2555/EU, ki opredeljuje medsebojno pomoč.</w:t>
      </w:r>
    </w:p>
    <w:p w14:paraId="234C673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odstavek predloga opredeljuje področje, kadar bistveni ali pomembni subjekt spada v pristojnost pristojnega nacionalnega organa v skladu s 27. členom tega zakona. Kadar bistveni ali pomembni subjekt opravlja storitve v več kot eni državi članici Evropske unije ali opravlja storitve v eni ali več državah članicah Evropske unije, njegovi omrežni in informacijski sistemi pa so v drugi državi članici Evropske unije oziroma v več kot eni državi članici Evropske unije, lahko inšpektor izvaja inšpekcijski nadzor nad temi subjekti v sodelovanju s pristojnimi organi nadzora zadevnih drugih držav članic Evropske unije. Inšpektor in pristojni organi nadzora drugih držav članic Evropske unije si medsebojno pomagajo pri izvajanju takega nadzora.</w:t>
      </w:r>
    </w:p>
    <w:p w14:paraId="451F75F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in tretji odstavek predloga opredeljujeta postopek izvajanja medsebojne pomoči iz prejšnjega odstavka, ki ga izvaja inšpektor prek enotne kontaktne točke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določa vsebino zahteve za medsebojno pomoč.</w:t>
      </w:r>
    </w:p>
    <w:p w14:paraId="62FDD3F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odstavek predloga opredeljuje postopke inšpektorja, ki jih mora izvesti ob prejemu zahtevka za medsebojno pomoč oziroma ob zavrnitvi le-tega. Po predlaganem petem odstavku se pred zavrnitvijo zahteve za medsebojno pomoč inšpektor posvetuje z drugimi pristojnim</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organi nadzora držav članic Evropske unije, ki so tudi pristojne za obravnavo nadzora v konkretnem primeru. </w:t>
      </w:r>
    </w:p>
    <w:p w14:paraId="3EBA2E0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Peti odstavek predloga člena določa obveznost inšpektorja v primeru zavrnitve zahteve pristojnega organa druge države članice, da opravi posvetovanje z drugimi pristojnimi nadzornimi organi držav članic EU, ki so pristojne za nadzor v konkretnem primer</w:t>
      </w:r>
      <w:r>
        <w:rPr>
          <w:rFonts w:cs="Arial"/>
          <w:color w:val="000000"/>
          <w:szCs w:val="20"/>
          <w:shd w:val="clear" w:color="auto" w:fill="FFFFFF"/>
          <w:lang w:val="sl-SI"/>
        </w:rPr>
        <w:t>u,</w:t>
      </w:r>
      <w:r w:rsidRPr="003077CA">
        <w:rPr>
          <w:rFonts w:cs="Arial"/>
          <w:color w:val="000000"/>
          <w:szCs w:val="20"/>
          <w:shd w:val="clear" w:color="auto" w:fill="FFFFFF"/>
          <w:lang w:val="sl-SI"/>
        </w:rPr>
        <w:t xml:space="preserve"> in opravi posvetovanje tudi z Evropsko komisijo in agencijo ENISA.</w:t>
      </w:r>
    </w:p>
    <w:p w14:paraId="0785C22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Šesti odstavek predloga opredeljuje možnost skupnih inšpekcijskih nadzorov.</w:t>
      </w:r>
    </w:p>
    <w:p w14:paraId="31771230" w14:textId="77777777" w:rsidR="000A51A5" w:rsidRPr="003077CA" w:rsidRDefault="000A51A5" w:rsidP="000A51A5">
      <w:pPr>
        <w:spacing w:after="120" w:line="276" w:lineRule="auto"/>
        <w:jc w:val="both"/>
        <w:rPr>
          <w:rFonts w:cs="Arial"/>
          <w:color w:val="000000"/>
          <w:szCs w:val="20"/>
          <w:shd w:val="clear" w:color="auto" w:fill="FFFFFF"/>
          <w:lang w:val="sl-SI"/>
        </w:rPr>
      </w:pPr>
    </w:p>
    <w:p w14:paraId="40018D1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X. Kazenske določbe</w:t>
      </w:r>
    </w:p>
    <w:p w14:paraId="168F4490"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146168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tem poglavju predloga zakona so predpisane kazni za kršitev določb tega zakona. Poglavje obsega prekrške bistvenih subjektov, prekrške pomembnih subjektov in prekrške upravljavca centralnega informacijsko-komunikacijskega sistema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prekrške za kršitev Uredbe (EU) 2019/881.</w:t>
      </w:r>
    </w:p>
    <w:p w14:paraId="48DB77E3"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6930B72"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52. členu</w:t>
      </w:r>
    </w:p>
    <w:p w14:paraId="722ACEE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določa globe, ki se lahko izrečejo bistvenim subjektom in njihovim odgovornim osebam. </w:t>
      </w:r>
    </w:p>
    <w:p w14:paraId="6F517B5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drugi in tretji odstavek določajo globe za kršitve, povezane z varnostno dokumentacijo, ukrepi za obvladovanje tveganj za kibernetsko varnost, obveznostjo priglašanja incidentov ali obveščanja o njih in s postopki priglasitve. Tu gre za hujše prekrške po tem zakonu. Višina glob odstopa od prekrškovne zakonodaje, ker gre za prenos določb Direktive NIS 2, ki višino glob za kršitve navedenih členov izrecno predpisuje tako v najnižjem kot v najvišjem znesku. </w:t>
      </w:r>
    </w:p>
    <w:p w14:paraId="23F5B49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peti in šesti odstavek določajo globe za </w:t>
      </w:r>
      <w:r>
        <w:rPr>
          <w:rFonts w:cs="Arial"/>
          <w:color w:val="000000"/>
          <w:szCs w:val="20"/>
          <w:shd w:val="clear" w:color="auto" w:fill="FFFFFF"/>
          <w:lang w:val="sl-SI"/>
        </w:rPr>
        <w:t>druge</w:t>
      </w:r>
      <w:r w:rsidRPr="003077CA">
        <w:rPr>
          <w:rFonts w:cs="Arial"/>
          <w:color w:val="000000"/>
          <w:szCs w:val="20"/>
          <w:shd w:val="clear" w:color="auto" w:fill="FFFFFF"/>
          <w:lang w:val="sl-SI"/>
        </w:rPr>
        <w:t xml:space="preserve"> kršitve bistvenih subjektov, npr. obveznost samoregistracije, nadziranje izvajanja ukrepov, izobraževanje na področju obvladovanja tveganj kibernetske varnosti, posredovanja podatkov in informacij pristojnemu nacionalnemu organu, registracij</w:t>
      </w:r>
      <w:r>
        <w:rPr>
          <w:rFonts w:cs="Arial"/>
          <w:color w:val="000000"/>
          <w:szCs w:val="20"/>
          <w:shd w:val="clear" w:color="auto" w:fill="FFFFFF"/>
          <w:lang w:val="sl-SI"/>
        </w:rPr>
        <w:t xml:space="preserve">e </w:t>
      </w:r>
      <w:r w:rsidRPr="003077CA">
        <w:rPr>
          <w:rFonts w:cs="Arial"/>
          <w:color w:val="000000"/>
          <w:szCs w:val="20"/>
          <w:shd w:val="clear" w:color="auto" w:fill="FFFFFF"/>
          <w:lang w:val="sl-SI"/>
        </w:rPr>
        <w:t>domenskih imen ter izvajanje ocene skladnosti.</w:t>
      </w:r>
    </w:p>
    <w:p w14:paraId="241EB63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Globe se bistvenim subjektom izrečejo v deležu letnega prometa, vendar ne smejo biti izrečene v znesku manj kot 10.000 eurov in ne več kot 10.000.000 eurov.</w:t>
      </w:r>
    </w:p>
    <w:p w14:paraId="49403065"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53. členu</w:t>
      </w:r>
    </w:p>
    <w:p w14:paraId="3E8D6E2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določa globe, ki se lahko izrečejo pomembnim subjektom in njihovim odgovornim osebam. </w:t>
      </w:r>
    </w:p>
    <w:p w14:paraId="52C8AC3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Prvi, drugi in tretji odstavek določajo globe za kršitve, povezane z varnostno dokumentacijo, ukrepi za obvladovanje tveganj za kibernetsko varnost, obveznostjo priglašanja incidentov ali obveščanja o njih in s postopki priglasitve. Višina glob odstopa od prekrškovne zakonodaje, ker gre za prenos določb Direktive NIS 2, ki višino glob za kršitve navedenih členov izrecno predpisuje tako v najnižjem kot v najvišjem znesku. V zvezi s tretjim odstavkom, ki uvaja tudi kategorijo storilca prekrška »odgovorna oseba v drugi osebi javnega prava« glej obrazložitev k prejšnjemu členu.</w:t>
      </w:r>
    </w:p>
    <w:p w14:paraId="7784453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Četrti, peti in šesti odstavek določajo globe za </w:t>
      </w:r>
      <w:r>
        <w:rPr>
          <w:rFonts w:cs="Arial"/>
          <w:color w:val="000000"/>
          <w:szCs w:val="20"/>
          <w:shd w:val="clear" w:color="auto" w:fill="FFFFFF"/>
          <w:lang w:val="sl-SI"/>
        </w:rPr>
        <w:t>druge</w:t>
      </w:r>
      <w:r w:rsidRPr="003077CA">
        <w:rPr>
          <w:rFonts w:cs="Arial"/>
          <w:color w:val="000000"/>
          <w:szCs w:val="20"/>
          <w:shd w:val="clear" w:color="auto" w:fill="FFFFFF"/>
          <w:lang w:val="sl-SI"/>
        </w:rPr>
        <w:t xml:space="preserve"> kršitve pomembnih subjektov, npr. obveznost samoregistracije, nadziranje izvajanja ukrepov, izobraževanje na področju obvladovanja tveganj kibernetske varnosti, posredovanja podatkov in informacij pristojnemu nacionalnemu organu, registracij</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domenskih imen ter izvajanje ocene skladnosti.</w:t>
      </w:r>
    </w:p>
    <w:p w14:paraId="28617EB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Globe se pomembnim subjektom izrečejo v deležu letnega prometa, vendar ne smejo biti izrečene v znesku manj kot 7.000 eurov in ne več kot 7.000.000 eurov.</w:t>
      </w:r>
    </w:p>
    <w:p w14:paraId="3F4723FF"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273CCE9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54. členu</w:t>
      </w:r>
    </w:p>
    <w:p w14:paraId="62CE78B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določa globe, ki se lahko izrečejo upravljavcu centralnega informacijsko-komunikacijskega sistema v zvezi z njegovimi zakonskimi obveznostmi, ki jih imajo do CSIRT državne uprave.</w:t>
      </w:r>
    </w:p>
    <w:p w14:paraId="25F98947"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7114343E"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55. členu</w:t>
      </w:r>
    </w:p>
    <w:p w14:paraId="2F252B5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določa globe, ki se lahko izrečejo ob kršitvah Uredbe (EU) 2019/881. </w:t>
      </w:r>
    </w:p>
    <w:p w14:paraId="3FFD0D3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drugi in tretji odstavek določajo globe za proizvajalce ali ponudnike proizvodov IKT, storitev IKT ali postopkov IKT za pravne subjekte in njihove odgovorne osebe v zvezi z izpolnjevanjem zahtev iz certifikacijske sheme. </w:t>
      </w:r>
    </w:p>
    <w:p w14:paraId="69F0B19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Četrti, peti in šesti odstavek določajo globe za proizvajalce ali ponudnike certificiranih proizvodov, storitev ali postopkov IKT ali proizvodov IKT, storitev IKT ali postopkov IKT v zvezi z zagotavljanjem in omogočanjem dostopa do informacij.</w:t>
      </w:r>
    </w:p>
    <w:p w14:paraId="51D92FE4"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140F0F5A"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56. členu</w:t>
      </w:r>
    </w:p>
    <w:p w14:paraId="20CCBB26"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Prvi odstavek predlaganega člena določa, da se poleg splošnih pravil za odmero sankcije iz Zakona o prekrških za kršitve </w:t>
      </w:r>
      <w:bookmarkStart w:id="134" w:name="_Hlk185341267"/>
      <w:r w:rsidRPr="003077CA">
        <w:rPr>
          <w:rFonts w:cs="Arial"/>
          <w:color w:val="000000"/>
          <w:szCs w:val="20"/>
          <w:shd w:val="clear" w:color="auto" w:fill="FFFFFF"/>
          <w:lang w:val="sl-SI"/>
        </w:rPr>
        <w:t>določb 21., 22., 24., 29. ali 30. člena tega zakona, ki jih storijo bistveni ali pomembni subjekti,</w:t>
      </w:r>
      <w:bookmarkEnd w:id="134"/>
      <w:r w:rsidRPr="003077CA">
        <w:rPr>
          <w:rFonts w:cs="Arial"/>
          <w:color w:val="000000"/>
          <w:szCs w:val="20"/>
          <w:shd w:val="clear" w:color="auto" w:fill="FFFFFF"/>
          <w:lang w:val="sl-SI"/>
        </w:rPr>
        <w:t xml:space="preserve"> upošteva tudi letni promet oziroma letna bilančna vsota bistvenega ali pomembnega subjekta v predhodnem poslovnem letu.</w:t>
      </w:r>
    </w:p>
    <w:p w14:paraId="6934774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Drugi odstavek predloga določa, da se pri izreku glob bistvenim in pomembnim subjektom (kot olajševalne ali oteževalne okoliščine) upoštevajo tudi elementi iz šestega odstavka 46. člena oziroma tretjega odstavka 47. člena tega zakona.</w:t>
      </w:r>
    </w:p>
    <w:p w14:paraId="1CD0836F"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 </w:t>
      </w:r>
    </w:p>
    <w:p w14:paraId="57461DB0" w14:textId="77777777" w:rsidR="001D3CA4" w:rsidRDefault="001D3CA4">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064F0C59" w14:textId="585BDD50"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57. členu</w:t>
      </w:r>
    </w:p>
    <w:p w14:paraId="21996FB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Po predlogu tega člena se sme za prekrške iz predlaganega zakona v hitrem postopku izreči globa tudi v znesku, ki je višji od najnižje predpisane globe, določene s tem zakonom.</w:t>
      </w:r>
    </w:p>
    <w:p w14:paraId="165EF6CE"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42EE8F8"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58. členu</w:t>
      </w:r>
    </w:p>
    <w:p w14:paraId="26AC4B6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določa, da se v tem zakonu določene višine in razponi glob za kršitve določb 21., 22., 24., 29. ali 30. člena tega zakona, ki jih storijo bistveni ali pomembni subjekti</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za prekrške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določene v 52</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53. členu tega zakona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uporabljajo ne glede na določbe Zakona o prekrških, kjer so v 17. členu določeni največji možni zneski izrečenih glob, z nekaterimi izjemami.</w:t>
      </w:r>
    </w:p>
    <w:p w14:paraId="3AD5C267"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58FB94B"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XI. Prehodne določbe</w:t>
      </w:r>
    </w:p>
    <w:p w14:paraId="65C43DD9"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485923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Predlagano poglavje vsebuje prehodne določbe, ki določajo skupin</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CSIRT in njihove pristojnosti vzpostavite</w:t>
      </w:r>
      <w:r>
        <w:rPr>
          <w:rFonts w:cs="Arial"/>
          <w:color w:val="000000"/>
          <w:szCs w:val="20"/>
          <w:shd w:val="clear" w:color="auto" w:fill="FFFFFF"/>
          <w:lang w:val="sl-SI"/>
        </w:rPr>
        <w:t>v</w:t>
      </w:r>
      <w:r w:rsidRPr="003077CA">
        <w:rPr>
          <w:rFonts w:cs="Arial"/>
          <w:color w:val="000000"/>
          <w:szCs w:val="20"/>
          <w:shd w:val="clear" w:color="auto" w:fill="FFFFFF"/>
          <w:lang w:val="sl-SI"/>
        </w:rPr>
        <w:t xml:space="preserve"> samoregistracije, seznamov in obveščanja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w:t>
      </w:r>
      <w:r w:rsidRPr="00DD073D">
        <w:rPr>
          <w:rFonts w:cs="Arial"/>
          <w:color w:val="000000"/>
          <w:szCs w:val="20"/>
          <w:shd w:val="clear" w:color="auto" w:fill="FFFFFF"/>
          <w:lang w:val="sl-SI"/>
        </w:rPr>
        <w:t>status izvajalcev bistvenih storitev in organov državne uprave</w:t>
      </w:r>
      <w:r>
        <w:rPr>
          <w:rFonts w:cs="Arial"/>
          <w:color w:val="000000"/>
          <w:szCs w:val="20"/>
          <w:shd w:val="clear" w:color="auto" w:fill="FFFFFF"/>
          <w:lang w:val="sl-SI"/>
        </w:rPr>
        <w:t>,</w:t>
      </w:r>
      <w:r w:rsidRPr="00DD073D">
        <w:rPr>
          <w:rFonts w:cs="Arial"/>
          <w:color w:val="000000"/>
          <w:szCs w:val="20"/>
          <w:shd w:val="clear" w:color="auto" w:fill="FFFFFF"/>
          <w:lang w:val="sl-SI"/>
        </w:rPr>
        <w:t xml:space="preserve"> </w:t>
      </w:r>
      <w:r w:rsidRPr="003077CA">
        <w:rPr>
          <w:rFonts w:cs="Arial"/>
          <w:color w:val="000000"/>
          <w:szCs w:val="20"/>
          <w:shd w:val="clear" w:color="auto" w:fill="FFFFFF"/>
          <w:lang w:val="sl-SI"/>
        </w:rPr>
        <w:t>spreje</w:t>
      </w:r>
      <w:r>
        <w:rPr>
          <w:rFonts w:cs="Arial"/>
          <w:color w:val="000000"/>
          <w:szCs w:val="20"/>
          <w:shd w:val="clear" w:color="auto" w:fill="FFFFFF"/>
          <w:lang w:val="sl-SI"/>
        </w:rPr>
        <w:t>tje</w:t>
      </w:r>
      <w:r w:rsidRPr="003077CA">
        <w:rPr>
          <w:rFonts w:cs="Arial"/>
          <w:color w:val="000000"/>
          <w:szCs w:val="20"/>
          <w:shd w:val="clear" w:color="auto" w:fill="FFFFFF"/>
          <w:lang w:val="sl-SI"/>
        </w:rPr>
        <w:t xml:space="preserve"> ukrepov za obvladovanje tveganj</w:t>
      </w:r>
      <w:r>
        <w:rPr>
          <w:rFonts w:cs="Arial"/>
          <w:color w:val="000000"/>
          <w:szCs w:val="20"/>
          <w:shd w:val="clear" w:color="auto" w:fill="FFFFFF"/>
          <w:lang w:val="sl-SI"/>
        </w:rPr>
        <w:t>,</w:t>
      </w:r>
      <w:r w:rsidRPr="003077CA">
        <w:rPr>
          <w:rFonts w:cs="Arial"/>
          <w:color w:val="000000"/>
          <w:szCs w:val="20"/>
          <w:shd w:val="clear" w:color="auto" w:fill="FFFFFF"/>
          <w:lang w:val="sl-SI"/>
        </w:rPr>
        <w:t xml:space="preserve"> uskladite</w:t>
      </w:r>
      <w:r>
        <w:rPr>
          <w:rFonts w:cs="Arial"/>
          <w:color w:val="000000"/>
          <w:szCs w:val="20"/>
          <w:shd w:val="clear" w:color="auto" w:fill="FFFFFF"/>
          <w:lang w:val="sl-SI"/>
        </w:rPr>
        <w:t>v</w:t>
      </w:r>
      <w:r w:rsidRPr="003077CA">
        <w:rPr>
          <w:rFonts w:cs="Arial"/>
          <w:color w:val="000000"/>
          <w:szCs w:val="20"/>
          <w:shd w:val="clear" w:color="auto" w:fill="FFFFFF"/>
          <w:lang w:val="sl-SI"/>
        </w:rPr>
        <w:t xml:space="preserve"> podatkovne zbirke o registraciji domenskih imen ter glede izdaje podzakonskih predpisov in strategije. To poglavje vsebuje tudi predloge za spremembo in dopolnitev zakona, ki ureja elektronske komunikacije</w:t>
      </w:r>
      <w:r>
        <w:rPr>
          <w:rFonts w:cs="Arial"/>
          <w:color w:val="000000"/>
          <w:szCs w:val="20"/>
          <w:shd w:val="clear" w:color="auto" w:fill="FFFFFF"/>
          <w:lang w:val="sl-SI"/>
        </w:rPr>
        <w:t xml:space="preserve">, </w:t>
      </w:r>
      <w:r w:rsidRPr="00DD073D">
        <w:rPr>
          <w:rFonts w:cs="Arial"/>
          <w:color w:val="000000"/>
          <w:szCs w:val="20"/>
          <w:shd w:val="clear" w:color="auto" w:fill="FFFFFF"/>
          <w:lang w:val="sl-SI"/>
        </w:rPr>
        <w:t>za dopolnitev zakona, ki ureja dostop do informacij javnega značaja</w:t>
      </w:r>
      <w:r w:rsidRPr="003077CA">
        <w:rPr>
          <w:rFonts w:cs="Arial"/>
          <w:color w:val="000000"/>
          <w:szCs w:val="20"/>
          <w:shd w:val="clear" w:color="auto" w:fill="FFFFFF"/>
          <w:lang w:val="sl-SI"/>
        </w:rPr>
        <w:t xml:space="preserve"> in za spremembo zakona, ki ureja varstvo osebnih podatkov. S predlaganim poglavjem se ureja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še dokončanj</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postopkov, začetih pred uporabo tega zakona</w:t>
      </w:r>
      <w:r>
        <w:rPr>
          <w:rFonts w:cs="Arial"/>
          <w:color w:val="000000"/>
          <w:szCs w:val="20"/>
          <w:shd w:val="clear" w:color="auto" w:fill="FFFFFF"/>
          <w:lang w:val="sl-SI"/>
        </w:rPr>
        <w:t>.</w:t>
      </w:r>
    </w:p>
    <w:p w14:paraId="0347F0ED"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9F26180"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b/>
          <w:bCs/>
          <w:szCs w:val="20"/>
          <w:lang w:val="sl-SI" w:eastAsia="sl-SI"/>
        </w:rPr>
      </w:pPr>
      <w:r w:rsidRPr="003077CA">
        <w:rPr>
          <w:rFonts w:cs="Arial"/>
          <w:b/>
          <w:bCs/>
          <w:szCs w:val="20"/>
          <w:lang w:val="sl-SI" w:eastAsia="sl-SI"/>
        </w:rPr>
        <w:t xml:space="preserve">K 59. členu </w:t>
      </w:r>
    </w:p>
    <w:p w14:paraId="62936E8D"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b/>
          <w:bCs/>
          <w:szCs w:val="20"/>
          <w:lang w:val="sl-SI" w:eastAsia="sl-SI"/>
        </w:rPr>
      </w:pPr>
    </w:p>
    <w:p w14:paraId="4D04FC2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Predlagana prehodna določba ureja izvajanje nalog skupin CSIRT do določitve skupin CSIRT iz prvega odstavka 13. člena tega zakona (s strani vlade). </w:t>
      </w:r>
    </w:p>
    <w:p w14:paraId="534A315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Njihove naloge dotlej izvajata dosedanja CSIRT</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w:t>
      </w:r>
    </w:p>
    <w:p w14:paraId="6053DA4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SIGOV-CERT, ki deluje kot notranja organizacijska enota pri pristojnem nacionalnem organu in je pristojen za obravnavo incidentov subjektov javne uprave na državni in lokalni ravni ter ponudnikov storitev zaupanja, ki jih izvajajo subjekti državne uprave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ter</w:t>
      </w:r>
    </w:p>
    <w:p w14:paraId="0BE8CEE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 SI-CERT, ki deluje kot notranja organizacijska enota pri javnem infrastrukturnem zavodu Akademska in raziskovalna mreža Slovenije in je pristojen za obravnavo incidentov, ki jih priglasijo </w:t>
      </w:r>
      <w:r>
        <w:rPr>
          <w:rFonts w:cs="Arial"/>
          <w:color w:val="000000"/>
          <w:szCs w:val="20"/>
          <w:shd w:val="clear" w:color="auto" w:fill="FFFFFF"/>
          <w:lang w:val="sl-SI"/>
        </w:rPr>
        <w:t>drugi</w:t>
      </w:r>
      <w:r w:rsidRPr="003077CA">
        <w:rPr>
          <w:rFonts w:cs="Arial"/>
          <w:color w:val="000000"/>
          <w:szCs w:val="20"/>
          <w:shd w:val="clear" w:color="auto" w:fill="FFFFFF"/>
          <w:lang w:val="sl-SI"/>
        </w:rPr>
        <w:t xml:space="preserve"> zavezanci iz prvega odstavka 6. člena tega zakona. </w:t>
      </w:r>
    </w:p>
    <w:p w14:paraId="7D570F5E"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0FF58EF9"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60. členu</w:t>
      </w:r>
    </w:p>
    <w:p w14:paraId="5A7AA9D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V predlaganem členu se urejajo roki za vzpostavitev mehanizma za samoregistracijo zavezancev s strani PNO; za prvo samoregistracijo zavezancev po tem mehanizmu;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roki za predložitev ustreznih informacij s strani pristojnih organov, kjer je to relevantno. Hkrati </w:t>
      </w:r>
      <w:r>
        <w:rPr>
          <w:rFonts w:cs="Arial"/>
          <w:color w:val="000000"/>
          <w:szCs w:val="20"/>
          <w:shd w:val="clear" w:color="auto" w:fill="FFFFFF"/>
          <w:lang w:val="sl-SI"/>
        </w:rPr>
        <w:t>sta</w:t>
      </w:r>
      <w:r w:rsidRPr="003077CA">
        <w:rPr>
          <w:rFonts w:cs="Arial"/>
          <w:color w:val="000000"/>
          <w:szCs w:val="20"/>
          <w:shd w:val="clear" w:color="auto" w:fill="FFFFFF"/>
          <w:lang w:val="sl-SI"/>
        </w:rPr>
        <w:t xml:space="preserve"> določen</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tudi način</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poslovanja in izmenjave informacije do takrat. </w:t>
      </w:r>
    </w:p>
    <w:p w14:paraId="2ED19C1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Določen je rok za vzpostavitev seznama iz četrtega odstavka 8. člena predlaganega zakona. </w:t>
      </w:r>
    </w:p>
    <w:p w14:paraId="3A5D8D5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Določen je rok, da Vlada sprejme program usposabljanja odgovornih oseb zavezancev. </w:t>
      </w:r>
    </w:p>
    <w:p w14:paraId="3204604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Določena sta roka, da PNO vzpostavi digitalno platformo iz 30. člena predlaganega zakona za medsebojno izmenjavo informacij o relevantnih incidentih, kibernetskih grožnjah in skorajšnjih incidentih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način poslovanja do njene vzpostavitve.</w:t>
      </w:r>
    </w:p>
    <w:p w14:paraId="6CED7E0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Subjekti iz prvega odstavka 32. člena tega zakona o informacijah iz navedene določbe prvič obvestijo pristojni nacionalni organ v šestih mesec</w:t>
      </w:r>
      <w:r>
        <w:rPr>
          <w:rFonts w:cs="Arial"/>
          <w:color w:val="000000"/>
          <w:szCs w:val="20"/>
          <w:shd w:val="clear" w:color="auto" w:fill="FFFFFF"/>
          <w:lang w:val="sl-SI"/>
        </w:rPr>
        <w:t>ih</w:t>
      </w:r>
      <w:r w:rsidRPr="003077CA">
        <w:rPr>
          <w:rFonts w:cs="Arial"/>
          <w:color w:val="000000"/>
          <w:szCs w:val="20"/>
          <w:shd w:val="clear" w:color="auto" w:fill="FFFFFF"/>
          <w:lang w:val="sl-SI"/>
        </w:rPr>
        <w:t xml:space="preserve"> od uveljavitve tega zakona.</w:t>
      </w:r>
    </w:p>
    <w:p w14:paraId="6E09636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Registri TLD imen in subjekti, ki opravljajo storitve registracije domenskih imen</w:t>
      </w:r>
      <w:r>
        <w:rPr>
          <w:rFonts w:cs="Arial"/>
          <w:color w:val="000000"/>
          <w:szCs w:val="20"/>
          <w:shd w:val="clear" w:color="auto" w:fill="FFFFFF"/>
          <w:lang w:val="sl-SI"/>
        </w:rPr>
        <w:t>,</w:t>
      </w:r>
      <w:r w:rsidRPr="003077CA">
        <w:rPr>
          <w:rFonts w:cs="Arial"/>
          <w:color w:val="000000"/>
          <w:szCs w:val="20"/>
          <w:shd w:val="clear" w:color="auto" w:fill="FFFFFF"/>
          <w:lang w:val="sl-SI"/>
        </w:rPr>
        <w:t xml:space="preserve"> vzpostavijo politike in postopke iz tretjega in petega odstavka 33. člena v šestih mesecih od uveljavitve tega zakona.</w:t>
      </w:r>
    </w:p>
    <w:p w14:paraId="7938617A"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Organi iz prvega odstavka 39. člena tega zakona pristojni nacionalni organ obvestijo o obstoječih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operativnih centrih</w:t>
      </w:r>
      <w:r>
        <w:rPr>
          <w:rFonts w:cs="Arial"/>
          <w:color w:val="000000"/>
          <w:szCs w:val="20"/>
          <w:shd w:val="clear" w:color="auto" w:fill="FFFFFF"/>
          <w:lang w:val="sl-SI"/>
        </w:rPr>
        <w:t xml:space="preserve"> organov državne uprave</w:t>
      </w:r>
      <w:r w:rsidRPr="003077CA">
        <w:rPr>
          <w:rFonts w:cs="Arial"/>
          <w:color w:val="000000"/>
          <w:szCs w:val="20"/>
          <w:shd w:val="clear" w:color="auto" w:fill="FFFFFF"/>
          <w:lang w:val="sl-SI"/>
        </w:rPr>
        <w:t>, ki izpolnjujejo zahteve iz drugega odstavka 39. člena v tridesetih dneh od uveljavitve tega zakona.</w:t>
      </w:r>
    </w:p>
    <w:p w14:paraId="0300828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Organi iz prvega odstavka 39. člena tega zakona pristojni nacionalni organ obvestijo o obstoječih varnostno</w:t>
      </w:r>
      <w:r>
        <w:rPr>
          <w:rFonts w:cs="Arial"/>
          <w:color w:val="000000"/>
          <w:szCs w:val="20"/>
          <w:shd w:val="clear" w:color="auto" w:fill="FFFFFF"/>
          <w:lang w:val="sl-SI"/>
        </w:rPr>
        <w:t>-</w:t>
      </w:r>
      <w:r w:rsidRPr="003077CA">
        <w:rPr>
          <w:rFonts w:cs="Arial"/>
          <w:color w:val="000000"/>
          <w:szCs w:val="20"/>
          <w:shd w:val="clear" w:color="auto" w:fill="FFFFFF"/>
          <w:lang w:val="sl-SI"/>
        </w:rPr>
        <w:t>operativnih centrih, ki ne izpolnjujejo zahtev iz drugega odstavka 39. člena</w:t>
      </w:r>
      <w:r>
        <w:rPr>
          <w:rFonts w:cs="Arial"/>
          <w:color w:val="000000"/>
          <w:szCs w:val="20"/>
          <w:shd w:val="clear" w:color="auto" w:fill="FFFFFF"/>
          <w:lang w:val="sl-SI"/>
        </w:rPr>
        <w:t>,</w:t>
      </w:r>
      <w:r w:rsidRPr="003077CA">
        <w:rPr>
          <w:rFonts w:cs="Arial"/>
          <w:color w:val="000000"/>
          <w:szCs w:val="20"/>
          <w:shd w:val="clear" w:color="auto" w:fill="FFFFFF"/>
          <w:lang w:val="sl-SI"/>
        </w:rPr>
        <w:t xml:space="preserve"> v tridesetih dneh od uveljavitve tega zakona</w:t>
      </w:r>
      <w:r>
        <w:rPr>
          <w:rFonts w:cs="Arial"/>
          <w:color w:val="000000"/>
          <w:szCs w:val="20"/>
          <w:shd w:val="clear" w:color="auto" w:fill="FFFFFF"/>
          <w:lang w:val="sl-SI"/>
        </w:rPr>
        <w:t xml:space="preserve"> in</w:t>
      </w:r>
      <w:r w:rsidRPr="003077CA">
        <w:rPr>
          <w:rFonts w:cs="Arial"/>
          <w:color w:val="000000"/>
          <w:szCs w:val="20"/>
          <w:shd w:val="clear" w:color="auto" w:fill="FFFFFF"/>
          <w:lang w:val="sl-SI"/>
        </w:rPr>
        <w:t xml:space="preserve"> zagotovijo </w:t>
      </w:r>
      <w:r>
        <w:rPr>
          <w:rFonts w:cs="Arial"/>
          <w:color w:val="000000"/>
          <w:szCs w:val="20"/>
          <w:shd w:val="clear" w:color="auto" w:fill="FFFFFF"/>
          <w:lang w:val="sl-SI"/>
        </w:rPr>
        <w:t xml:space="preserve">njihovo </w:t>
      </w:r>
      <w:r w:rsidRPr="003077CA">
        <w:rPr>
          <w:rFonts w:cs="Arial"/>
          <w:color w:val="000000"/>
          <w:szCs w:val="20"/>
          <w:shd w:val="clear" w:color="auto" w:fill="FFFFFF"/>
          <w:lang w:val="sl-SI"/>
        </w:rPr>
        <w:t>izpolnjevanje v enem letu od uveljavitve zakona.</w:t>
      </w:r>
    </w:p>
    <w:p w14:paraId="459C3C99" w14:textId="77777777" w:rsidR="000A51A5" w:rsidRPr="003077CA" w:rsidRDefault="000A51A5" w:rsidP="000A51A5">
      <w:pPr>
        <w:spacing w:after="120" w:line="276" w:lineRule="auto"/>
        <w:jc w:val="both"/>
        <w:rPr>
          <w:rFonts w:cs="Arial"/>
          <w:color w:val="000000"/>
          <w:szCs w:val="20"/>
          <w:shd w:val="clear" w:color="auto" w:fill="FFFFFF"/>
          <w:lang w:val="sl-SI"/>
        </w:rPr>
      </w:pPr>
    </w:p>
    <w:p w14:paraId="15CDA556"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61. členu</w:t>
      </w:r>
    </w:p>
    <w:p w14:paraId="0D4C800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Predlagana določba določa, da so subjekti, ki so pred 16. januarjem 2023 že bili </w:t>
      </w:r>
      <w:r>
        <w:rPr>
          <w:rFonts w:cs="Arial"/>
          <w:color w:val="000000"/>
          <w:szCs w:val="20"/>
          <w:shd w:val="clear" w:color="auto" w:fill="FFFFFF"/>
          <w:lang w:val="sl-SI"/>
        </w:rPr>
        <w:t xml:space="preserve">določeni </w:t>
      </w:r>
      <w:r w:rsidRPr="003077CA">
        <w:rPr>
          <w:rFonts w:cs="Arial"/>
          <w:color w:val="000000"/>
          <w:szCs w:val="20"/>
          <w:shd w:val="clear" w:color="auto" w:fill="FFFFFF"/>
          <w:lang w:val="sl-SI"/>
        </w:rPr>
        <w:t xml:space="preserve">kot izvajalci bistvenih storitev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organi državne uprave</w:t>
      </w:r>
      <w:r>
        <w:rPr>
          <w:rFonts w:cs="Arial"/>
          <w:color w:val="000000"/>
          <w:szCs w:val="20"/>
          <w:shd w:val="clear" w:color="auto" w:fill="FFFFFF"/>
          <w:lang w:val="sl-SI"/>
        </w:rPr>
        <w:t xml:space="preserve">, ki </w:t>
      </w:r>
      <w:r w:rsidRPr="00810D0D">
        <w:rPr>
          <w:rFonts w:cs="Arial"/>
          <w:color w:val="000000"/>
          <w:szCs w:val="20"/>
          <w:shd w:val="clear" w:color="auto" w:fill="FFFFFF"/>
          <w:lang w:val="sl-SI"/>
        </w:rPr>
        <w:t>so bili kot zavezanci določeni pred uveljavitvijo tega zakona</w:t>
      </w:r>
      <w:r w:rsidRPr="003077CA">
        <w:rPr>
          <w:rFonts w:cs="Arial"/>
          <w:color w:val="000000"/>
          <w:szCs w:val="20"/>
          <w:shd w:val="clear" w:color="auto" w:fill="FFFFFF"/>
          <w:lang w:val="sl-SI"/>
        </w:rPr>
        <w:t xml:space="preserve"> na podlagi </w:t>
      </w:r>
      <w:r>
        <w:rPr>
          <w:rFonts w:cs="Arial"/>
          <w:color w:val="000000"/>
          <w:szCs w:val="20"/>
          <w:shd w:val="clear" w:color="auto" w:fill="FFFFFF"/>
          <w:lang w:val="sl-SI"/>
        </w:rPr>
        <w:t xml:space="preserve">veljavnega </w:t>
      </w:r>
      <w:r w:rsidRPr="003077CA">
        <w:rPr>
          <w:rFonts w:cs="Arial"/>
          <w:color w:val="000000"/>
          <w:szCs w:val="20"/>
          <w:shd w:val="clear" w:color="auto" w:fill="FFFFFF"/>
          <w:lang w:val="sl-SI"/>
        </w:rPr>
        <w:t>Zakona o informacijski varnosti (ZInfV), zavezani k spoštovanju določil tega zakona. Z omenjeno rešitvijo se zagotavlja</w:t>
      </w:r>
      <w:r>
        <w:rPr>
          <w:rFonts w:cs="Arial"/>
          <w:color w:val="000000"/>
          <w:szCs w:val="20"/>
          <w:shd w:val="clear" w:color="auto" w:fill="FFFFFF"/>
          <w:lang w:val="sl-SI"/>
        </w:rPr>
        <w:t>jo</w:t>
      </w:r>
      <w:r w:rsidRPr="003077CA">
        <w:rPr>
          <w:rFonts w:cs="Arial"/>
          <w:color w:val="000000"/>
          <w:szCs w:val="20"/>
          <w:shd w:val="clear" w:color="auto" w:fill="FFFFFF"/>
          <w:lang w:val="sl-SI"/>
        </w:rPr>
        <w:t xml:space="preserve"> kontinuitete, saj člen zagotavlja, da subjekti, ki že del</w:t>
      </w:r>
      <w:r>
        <w:rPr>
          <w:rFonts w:cs="Arial"/>
          <w:color w:val="000000"/>
          <w:szCs w:val="20"/>
          <w:shd w:val="clear" w:color="auto" w:fill="FFFFFF"/>
          <w:lang w:val="sl-SI"/>
        </w:rPr>
        <w:t>ujejo</w:t>
      </w:r>
      <w:r w:rsidRPr="003077CA">
        <w:rPr>
          <w:rFonts w:cs="Arial"/>
          <w:color w:val="000000"/>
          <w:szCs w:val="20"/>
          <w:shd w:val="clear" w:color="auto" w:fill="FFFFFF"/>
          <w:lang w:val="sl-SI"/>
        </w:rPr>
        <w:t xml:space="preserve"> </w:t>
      </w:r>
      <w:r>
        <w:rPr>
          <w:rFonts w:cs="Arial"/>
          <w:color w:val="000000"/>
          <w:szCs w:val="20"/>
          <w:shd w:val="clear" w:color="auto" w:fill="FFFFFF"/>
          <w:lang w:val="sl-SI"/>
        </w:rPr>
        <w:t>po ZInfV</w:t>
      </w:r>
      <w:r w:rsidRPr="003077CA">
        <w:rPr>
          <w:rFonts w:cs="Arial"/>
          <w:color w:val="000000"/>
          <w:szCs w:val="20"/>
          <w:shd w:val="clear" w:color="auto" w:fill="FFFFFF"/>
          <w:lang w:val="sl-SI"/>
        </w:rPr>
        <w:t xml:space="preserve">, </w:t>
      </w:r>
      <w:r w:rsidRPr="00810D0D">
        <w:rPr>
          <w:rFonts w:cs="Arial"/>
          <w:color w:val="000000"/>
          <w:szCs w:val="20"/>
          <w:shd w:val="clear" w:color="auto" w:fill="FFFFFF"/>
          <w:lang w:val="sl-SI"/>
        </w:rPr>
        <w:t>še naprej delujejo kot zavezanci in sicer kot bistveni subjekti po predlaganem zakonu</w:t>
      </w:r>
      <w:r>
        <w:rPr>
          <w:rFonts w:cs="Arial"/>
          <w:color w:val="000000"/>
          <w:szCs w:val="20"/>
          <w:shd w:val="clear" w:color="auto" w:fill="FFFFFF"/>
          <w:lang w:val="sl-SI"/>
        </w:rPr>
        <w:t>.</w:t>
      </w:r>
      <w:r w:rsidRPr="00810D0D">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To preprečuje morebitne pravne praznine ali zmedo, ki bi lahko nastala zaradi sprememb zakonodaje. </w:t>
      </w:r>
    </w:p>
    <w:p w14:paraId="4AD75CD6"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4311599B"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62. členu</w:t>
      </w:r>
    </w:p>
    <w:p w14:paraId="0BA75D5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Predlagana določba ureja roke za sprejem ukrepov za obvladovanje tveganj. Po prvem odstavku predlaganega člena bistveni in pomembni subjekti sprejmejo ukrepe za obvladovanje tveganj za informacijsko in kibernetsko varnost iz 20. in 21. člena tega zakona v osemnajstih mesec</w:t>
      </w:r>
      <w:r>
        <w:rPr>
          <w:rFonts w:cs="Arial"/>
          <w:color w:val="000000"/>
          <w:szCs w:val="20"/>
          <w:shd w:val="clear" w:color="auto" w:fill="FFFFFF"/>
          <w:lang w:val="sl-SI"/>
        </w:rPr>
        <w:t>ih</w:t>
      </w:r>
      <w:r w:rsidRPr="003077CA">
        <w:rPr>
          <w:rFonts w:cs="Arial"/>
          <w:color w:val="000000"/>
          <w:szCs w:val="20"/>
          <w:shd w:val="clear" w:color="auto" w:fill="FFFFFF"/>
          <w:lang w:val="sl-SI"/>
        </w:rPr>
        <w:t xml:space="preserve"> od uveljavitve tega zakona. Ne glede na navedeno je za izpolnitev te obveznosti določen rok enega leta za tiste bistvene subjekte, ki so (dosedanji) izvajalci bistvenih storitev ali organi državne uprave po 5. členu ZInfV (predlagani drugi odstavek) ali pa gre za operaterje po ZEKom-2 (predlagani tretji odstavek). Predlog zakona namreč upošteva, da subjekti, ki so bili že po dosedanjih predpisih (po ZInfV ali po ZEKom-2) zavezani za sprejem ukrepov za obvladovanje tveganja, ne potrebujejo toliko časa kot subjekti, ki še niso bili zavezanci, saj lahko varnostno dokumentacijo in ukrepe za obvladovanje tveganj le dopolnijo v skladu s tem zakonom. Predlagani drugi in tretji odstav</w:t>
      </w:r>
      <w:r>
        <w:rPr>
          <w:rFonts w:cs="Arial"/>
          <w:color w:val="000000"/>
          <w:szCs w:val="20"/>
          <w:shd w:val="clear" w:color="auto" w:fill="FFFFFF"/>
          <w:lang w:val="sl-SI"/>
        </w:rPr>
        <w:t>ek</w:t>
      </w:r>
      <w:r w:rsidRPr="003077CA">
        <w:rPr>
          <w:rFonts w:cs="Arial"/>
          <w:color w:val="000000"/>
          <w:szCs w:val="20"/>
          <w:shd w:val="clear" w:color="auto" w:fill="FFFFFF"/>
          <w:lang w:val="sl-SI"/>
        </w:rPr>
        <w:t xml:space="preserve"> pri tem urejata tudi uporabo ZInfV in ustreznih podzakonskih predpisov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sprejetih na podlagi ZInfV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ZEKom-2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ustreznega splošnega akta, ki sicer prenehajo veljati z uveljavitvijo tega zakona (glej še obrazložitev k 69. členu). </w:t>
      </w:r>
    </w:p>
    <w:p w14:paraId="2EB37CE9"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36CBCEF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63. členu</w:t>
      </w:r>
    </w:p>
    <w:p w14:paraId="43D0794E"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Predlaga se, da v osemnajstih mesec</w:t>
      </w:r>
      <w:r>
        <w:rPr>
          <w:rFonts w:cs="Arial"/>
          <w:color w:val="000000"/>
          <w:szCs w:val="20"/>
          <w:shd w:val="clear" w:color="auto" w:fill="FFFFFF"/>
          <w:lang w:val="sl-SI"/>
        </w:rPr>
        <w:t>ih</w:t>
      </w:r>
      <w:r w:rsidRPr="003077CA">
        <w:rPr>
          <w:rFonts w:cs="Arial"/>
          <w:color w:val="000000"/>
          <w:szCs w:val="20"/>
          <w:shd w:val="clear" w:color="auto" w:fill="FFFFFF"/>
          <w:lang w:val="sl-SI"/>
        </w:rPr>
        <w:t xml:space="preserve"> od uveljavitve tega zakona registri TLD imen in subjekti, ki opravljajo storitve registracije domenskih imen</w:t>
      </w:r>
      <w:r>
        <w:rPr>
          <w:rFonts w:cs="Arial"/>
          <w:color w:val="000000"/>
          <w:szCs w:val="20"/>
          <w:shd w:val="clear" w:color="auto" w:fill="FFFFFF"/>
          <w:lang w:val="sl-SI"/>
        </w:rPr>
        <w:t>,</w:t>
      </w:r>
      <w:r w:rsidRPr="003077CA">
        <w:rPr>
          <w:rFonts w:cs="Arial"/>
          <w:color w:val="000000"/>
          <w:szCs w:val="20"/>
          <w:shd w:val="clear" w:color="auto" w:fill="FFFFFF"/>
          <w:lang w:val="sl-SI"/>
        </w:rPr>
        <w:t xml:space="preserve"> uskladijo obstoječe podatkovne zbirke o registraciji domenskih imen z drugim in četrtim odstavkom 33. člena tega zakona za registracije, ki so bile izvedene do uveljavitve tega zakona.</w:t>
      </w:r>
    </w:p>
    <w:p w14:paraId="2FCA846C" w14:textId="77777777" w:rsidR="000A51A5" w:rsidRPr="003077CA" w:rsidRDefault="000A51A5" w:rsidP="000A51A5">
      <w:pPr>
        <w:spacing w:after="120" w:line="276" w:lineRule="auto"/>
        <w:jc w:val="both"/>
        <w:rPr>
          <w:rFonts w:cs="Arial"/>
          <w:color w:val="000000"/>
          <w:szCs w:val="20"/>
          <w:shd w:val="clear" w:color="auto" w:fill="FFFFFF"/>
          <w:lang w:val="sl-SI"/>
        </w:rPr>
      </w:pPr>
    </w:p>
    <w:p w14:paraId="393BE81C" w14:textId="77777777" w:rsidR="001D3CA4" w:rsidRDefault="001D3CA4">
      <w:pPr>
        <w:spacing w:line="240" w:lineRule="auto"/>
        <w:rPr>
          <w:rFonts w:cs="Arial"/>
          <w:b/>
          <w:bCs/>
          <w:color w:val="000000"/>
          <w:szCs w:val="20"/>
          <w:shd w:val="clear" w:color="auto" w:fill="FFFFFF"/>
          <w:lang w:val="sl-SI"/>
        </w:rPr>
      </w:pPr>
      <w:r>
        <w:rPr>
          <w:rFonts w:cs="Arial"/>
          <w:b/>
          <w:bCs/>
          <w:color w:val="000000"/>
          <w:szCs w:val="20"/>
          <w:shd w:val="clear" w:color="auto" w:fill="FFFFFF"/>
          <w:lang w:val="sl-SI"/>
        </w:rPr>
        <w:br w:type="page"/>
      </w:r>
    </w:p>
    <w:p w14:paraId="0746E9F8" w14:textId="37EDCF71"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lastRenderedPageBreak/>
        <w:t>K 64. členu</w:t>
      </w:r>
    </w:p>
    <w:p w14:paraId="468A948D"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določa roke za izdajo obveznih podzakonskih predpisov po tem zakonu in za uskladitev odloka o ustanovitvi, nalogah in organizaciji Urada Vlade Republike Slovenije za informacijsko varnost (Uradni list RS, št. 114/21 in 69/23) s tem zakonom. </w:t>
      </w:r>
    </w:p>
    <w:p w14:paraId="4D71CDA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Določa se tudi rok za sprejetje </w:t>
      </w:r>
      <w:r>
        <w:rPr>
          <w:rFonts w:cs="Arial"/>
          <w:color w:val="000000"/>
          <w:szCs w:val="20"/>
          <w:shd w:val="clear" w:color="auto" w:fill="FFFFFF"/>
          <w:lang w:val="sl-SI"/>
        </w:rPr>
        <w:t>s</w:t>
      </w:r>
      <w:r w:rsidRPr="003077CA">
        <w:rPr>
          <w:rFonts w:cs="Arial"/>
          <w:color w:val="000000"/>
          <w:szCs w:val="20"/>
          <w:shd w:val="clear" w:color="auto" w:fill="FFFFFF"/>
          <w:lang w:val="sl-SI"/>
        </w:rPr>
        <w:t>trategije kibernetske varnost</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v skladu z določbami tega zakona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nacionalnega načrta odzivanja iz tretjega odstavka 12. člena tega zakona. Ob tem pojasnjujemo, da se do sprejetja navedene strategije uporablja Strategija kibernetske varnosti Republike Slovenije, ki jo je sprejela vlada 25. februarja 2016 s sklepom št. 38100-12/2015/5 (dostopna na povezavi: DSI_SKV.pdf (gov.si)). </w:t>
      </w:r>
    </w:p>
    <w:p w14:paraId="21EC2145" w14:textId="77777777" w:rsidR="000A51A5" w:rsidRPr="003077CA" w:rsidRDefault="000A51A5" w:rsidP="000A51A5">
      <w:pPr>
        <w:shd w:val="clear" w:color="auto" w:fill="FFFFFF"/>
        <w:spacing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Prav tako se predlaga rok</w:t>
      </w:r>
      <w:r>
        <w:rPr>
          <w:rFonts w:cs="Arial"/>
          <w:color w:val="000000"/>
          <w:szCs w:val="20"/>
          <w:shd w:val="clear" w:color="auto" w:fill="FFFFFF"/>
          <w:lang w:val="sl-SI"/>
        </w:rPr>
        <w:t>,</w:t>
      </w:r>
      <w:r w:rsidRPr="003077CA">
        <w:rPr>
          <w:rFonts w:cs="Arial"/>
          <w:color w:val="000000"/>
          <w:szCs w:val="20"/>
          <w:shd w:val="clear" w:color="auto" w:fill="FFFFFF"/>
          <w:lang w:val="sl-SI"/>
        </w:rPr>
        <w:t xml:space="preserve"> v katerem vlada sprejme nacionalni načrt odzivanja iz tretjega odstavka 12. člena tega zakona. Pojasnjujemo še, da se do sprejetja nacionalnega načrta po tem zakonu uporablja Nacionalni načrt odzivanja na kibernetske incidente, ki ga je sprejela Vlada, dokument št. 38600-3/2021/4 z dne 18. 3. 2021 (dostopen na povezavi: 2022-03-NOKI.pdf (gov.si)). </w:t>
      </w:r>
    </w:p>
    <w:p w14:paraId="7AC5091D" w14:textId="77777777" w:rsidR="000A51A5" w:rsidRPr="003077CA" w:rsidRDefault="000A51A5" w:rsidP="000A51A5">
      <w:pPr>
        <w:shd w:val="clear" w:color="auto" w:fill="FFFFFF"/>
        <w:spacing w:line="276" w:lineRule="auto"/>
        <w:jc w:val="both"/>
        <w:rPr>
          <w:rFonts w:cs="Arial"/>
          <w:color w:val="000000"/>
          <w:szCs w:val="20"/>
          <w:lang w:val="sl-SI" w:eastAsia="sl-SI"/>
        </w:rPr>
      </w:pPr>
    </w:p>
    <w:p w14:paraId="73FB8E7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65. členu</w:t>
      </w:r>
    </w:p>
    <w:p w14:paraId="1494C7CB"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 predlaganim členom se zaradi medsebojne usklajenosti Zakona o elektronskih komunikacijah (Uradni list RS, št. 130/22 in 18/23 – ZDU-1O; v nadaljnjem besedilu: ZEKom-2) s predlaganim zakonom spreminjajo in dopolnjujemo nekatere določbe ZEKom-2.</w:t>
      </w:r>
    </w:p>
    <w:p w14:paraId="2AC16D85"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Ob tem pojasnjujemo, da veljavni ZInfV v tretjem odstavku 2. člena določa: »Ta zakon se ne uporablja za pravne ali fizične osebe, </w:t>
      </w:r>
      <w:r>
        <w:rPr>
          <w:rFonts w:cs="Arial"/>
          <w:color w:val="000000"/>
          <w:szCs w:val="20"/>
          <w:shd w:val="clear" w:color="auto" w:fill="FFFFFF"/>
          <w:lang w:val="sl-SI"/>
        </w:rPr>
        <w:t>če</w:t>
      </w:r>
      <w:r w:rsidRPr="003077CA">
        <w:rPr>
          <w:rFonts w:cs="Arial"/>
          <w:color w:val="000000"/>
          <w:szCs w:val="20"/>
          <w:shd w:val="clear" w:color="auto" w:fill="FFFFFF"/>
          <w:lang w:val="sl-SI"/>
        </w:rPr>
        <w:t xml:space="preserve"> zagotavljajo javna komunikacijska omrežja ali javno dostopne elektronske komunikacijske storitve (operaterji), za katere veljajo posebne obveznosti glede varnosti in celovitosti omrežij in storitev iz zakona, ki ureja elektronske komunikacije, ter za ponudnike storitev zaupanja, za katere veljajo zahteve iz 19. člena Uredbe (EU) št. 910/2014 Evropskega parlamenta in Sveta z dne 23. julija 2014 o elektronski identifikaciji in storitvah zaupanja za elektronske transakcije na notranjem trgu in razveljavitvi Direktive 1999/93/ES (UL L</w:t>
      </w:r>
      <w:r>
        <w:rPr>
          <w:rFonts w:cs="Arial"/>
          <w:color w:val="000000"/>
          <w:szCs w:val="20"/>
          <w:shd w:val="clear" w:color="auto" w:fill="FFFFFF"/>
          <w:lang w:val="sl-SI"/>
        </w:rPr>
        <w:t>,</w:t>
      </w:r>
      <w:r w:rsidRPr="003077CA">
        <w:rPr>
          <w:rFonts w:cs="Arial"/>
          <w:color w:val="000000"/>
          <w:szCs w:val="20"/>
          <w:shd w:val="clear" w:color="auto" w:fill="FFFFFF"/>
          <w:lang w:val="sl-SI"/>
        </w:rPr>
        <w:t xml:space="preserve"> št. 257 z dne 28. 8. 2014, str. 73).« S to določbo ZInfV se je takrat sledilo določbi tretjega odstavka 1. člena Direktive 2016/1148/ES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njeni Uvodni izjavi št. 7.</w:t>
      </w:r>
    </w:p>
    <w:p w14:paraId="599358B0"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Medtem ko so bile zadevne zahteve Uredbe (EU) št. 910/2014 neposredno uporabljive, pa je takratni Zakon o elektronskih komunikacijah (Uradni list RS, št. št. 109/12, 110/13, 40/14 – ZIN-B, 54/14 – odl. US, 81/15 in 40/17; v nadaljnjem besedilu: ZEKom-1) v slovenski pravni red prenašal posebne zahteve za operaterje iz določb členov 13a in 13b takrat veljavne Direktive 2002/21/ES</w:t>
      </w:r>
      <w:r w:rsidRPr="003077CA">
        <w:rPr>
          <w:rFonts w:cs="Arial"/>
          <w:color w:val="000000"/>
          <w:szCs w:val="20"/>
          <w:shd w:val="clear" w:color="auto" w:fill="FFFFFF"/>
          <w:vertAlign w:val="superscript"/>
          <w:lang w:val="sl-SI"/>
        </w:rPr>
        <w:footnoteReference w:id="28"/>
      </w:r>
      <w:r w:rsidRPr="003077CA">
        <w:rPr>
          <w:rFonts w:cs="Arial"/>
          <w:color w:val="000000"/>
          <w:szCs w:val="20"/>
          <w:shd w:val="clear" w:color="auto" w:fill="FFFFFF"/>
          <w:lang w:val="sl-SI"/>
        </w:rPr>
        <w:t>. Medtem pa je prej navedena direktiva, skupaj s pretežno večino takratnih direktiv s področja elektronskih komunikacij, sicer prenehala veljati v skladu z novo direktivo s področja elektronskih komunikacij</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z Direktivo 2018/1972/EU</w:t>
      </w:r>
      <w:r w:rsidRPr="003077CA">
        <w:rPr>
          <w:rFonts w:cs="Arial"/>
          <w:color w:val="000000"/>
          <w:szCs w:val="20"/>
          <w:shd w:val="clear" w:color="auto" w:fill="FFFFFF"/>
          <w:vertAlign w:val="superscript"/>
          <w:lang w:val="sl-SI"/>
        </w:rPr>
        <w:footnoteReference w:id="29"/>
      </w:r>
      <w:r w:rsidRPr="003077CA">
        <w:rPr>
          <w:rFonts w:cs="Arial"/>
          <w:color w:val="000000"/>
          <w:szCs w:val="20"/>
          <w:shd w:val="clear" w:color="auto" w:fill="FFFFFF"/>
          <w:lang w:val="sl-SI"/>
        </w:rPr>
        <w:t xml:space="preserve">. Vendar je </w:t>
      </w:r>
      <w:r>
        <w:rPr>
          <w:rFonts w:cs="Arial"/>
          <w:color w:val="000000"/>
          <w:szCs w:val="20"/>
          <w:shd w:val="clear" w:color="auto" w:fill="FFFFFF"/>
          <w:lang w:val="sl-SI"/>
        </w:rPr>
        <w:t>ta</w:t>
      </w:r>
      <w:r w:rsidRPr="003077CA">
        <w:rPr>
          <w:rFonts w:cs="Arial"/>
          <w:color w:val="000000"/>
          <w:szCs w:val="20"/>
          <w:shd w:val="clear" w:color="auto" w:fill="FFFFFF"/>
          <w:lang w:val="sl-SI"/>
        </w:rPr>
        <w:t xml:space="preserve"> direktiva ponovno vsebovala takšne posebne obveznosti za operaterje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v njenih v členih 40 in 41. Direktiva 2018/1972/EU pa je bila prenesena v slovenski pravni red z novim zakonom, ki ureja elektronske komunikacije, to je z ZEKom-2, ki v poglavju VIII. Varnost omrežij in storitev ter delovanje v stanjih ogroženosti ureja prenos določb 40. in 41. člena Direktive 2018/1972/EU, hkrati pa vsebuje tudi nacionalne sektorsko specifične določbe za področje elektronskih komunikacij. Nekatere postopkovne in nadzorne določbe so bile takrat dodane tudi zaradi približevanja ureditve ZEKom-2 sistemski ureditvi področja informacijske oziroma kibernetske varnosti iz ZInfV</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z določitvijo nekaterih nalog v ZEKom-2 tudi za pristojni nacionalni organ iz ZInfV in za inšpektorje za informacijsko varnost pristojnega nacionalnega organa. </w:t>
      </w:r>
    </w:p>
    <w:p w14:paraId="04BE3BD2"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lastRenderedPageBreak/>
        <w:t xml:space="preserve">Direktiva 2022/2555/EU, ki jo v slovenski pravni red prenašamo s predlaganim zakonom, v njenem 42. členu posega v neposredno uporabljivo Uredbo (EU) št. 910/2024 tako, da črta 19. člen navedene uredbe z učinkom od 18. 10. 2024.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43. členom pa Direktiva 2022/2555/EU posega v Direktivo 2018/1972</w:t>
      </w:r>
      <w:r>
        <w:rPr>
          <w:rFonts w:cs="Arial"/>
          <w:color w:val="000000"/>
          <w:szCs w:val="20"/>
          <w:shd w:val="clear" w:color="auto" w:fill="FFFFFF"/>
          <w:lang w:val="sl-SI"/>
        </w:rPr>
        <w:t>/EU</w:t>
      </w:r>
      <w:r w:rsidRPr="003077CA">
        <w:rPr>
          <w:rFonts w:cs="Arial"/>
          <w:color w:val="000000"/>
          <w:szCs w:val="20"/>
          <w:shd w:val="clear" w:color="auto" w:fill="FFFFFF"/>
          <w:lang w:val="sl-SI"/>
        </w:rPr>
        <w:t>, ki je bila v slovenski pravni red prenesena z ZEKom-2 tako, da v navedeni direktiv</w:t>
      </w:r>
      <w:r>
        <w:rPr>
          <w:rFonts w:cs="Arial"/>
          <w:color w:val="000000"/>
          <w:szCs w:val="20"/>
          <w:shd w:val="clear" w:color="auto" w:fill="FFFFFF"/>
          <w:lang w:val="sl-SI"/>
        </w:rPr>
        <w:t>i</w:t>
      </w:r>
      <w:r w:rsidRPr="003077CA">
        <w:rPr>
          <w:rFonts w:cs="Arial"/>
          <w:color w:val="000000"/>
          <w:szCs w:val="20"/>
          <w:shd w:val="clear" w:color="auto" w:fill="FFFFFF"/>
          <w:lang w:val="sl-SI"/>
        </w:rPr>
        <w:t xml:space="preserve"> črta člena 40 in 41, prav tako z učinkom od 18. oktobra 2024. </w:t>
      </w:r>
    </w:p>
    <w:p w14:paraId="11099FA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Pri tem je treba poudariti, da za razliko od ZInfV in Direktive 2016/1148/ES, ki se je z ZInfV prenesla v slovenski pravni red, predlagani ZInfV-1 obe prej navedeni področji urejanja oziroma subjektov, ki na obeh področjih delujejo, ne izključuje več </w:t>
      </w:r>
      <w:r>
        <w:rPr>
          <w:rFonts w:cs="Arial"/>
          <w:color w:val="000000"/>
          <w:szCs w:val="20"/>
          <w:shd w:val="clear" w:color="auto" w:fill="FFFFFF"/>
          <w:lang w:val="sl-SI"/>
        </w:rPr>
        <w:t>s</w:t>
      </w:r>
      <w:r w:rsidRPr="003077CA">
        <w:rPr>
          <w:rFonts w:cs="Arial"/>
          <w:color w:val="000000"/>
          <w:szCs w:val="20"/>
          <w:shd w:val="clear" w:color="auto" w:fill="FFFFFF"/>
          <w:lang w:val="sl-SI"/>
        </w:rPr>
        <w:t xml:space="preserve"> področja uporabe predlaganega zakona. To je razvidno že iz 3. člena (izključitev uporabe zakona), kjer obe področji nista posebej omenjeni. Nadalje je to razvidno iz 6. člena (zavezanci) predlaganega zakona in njegove pripadajoče Priloge 1, ki povzema Prilogo I Direktive 2022/2555/EU. Pod Prilogo 1 predlaganega zakona (Visoko kritični sektorji) spadajo namreč tako ponudniki storitev zaupanja kot ponudniki javnih komunikacijskih omrežij in ponudniki javno dostopnih elektronskih komunikacijskih storitev (torej operaterji iz ZEKom-2), saj oboji spadajo med vrste subjektov </w:t>
      </w:r>
      <w:r w:rsidRPr="002779D0">
        <w:rPr>
          <w:rFonts w:cs="Arial"/>
          <w:color w:val="000000"/>
          <w:szCs w:val="20"/>
          <w:shd w:val="clear" w:color="auto" w:fill="FFFFFF"/>
          <w:lang w:val="sl-SI"/>
        </w:rPr>
        <w:t>iz sektorja</w:t>
      </w:r>
      <w:r w:rsidRPr="003077CA">
        <w:rPr>
          <w:rFonts w:cs="Arial"/>
          <w:color w:val="000000"/>
          <w:szCs w:val="20"/>
          <w:shd w:val="clear" w:color="auto" w:fill="FFFFFF"/>
          <w:lang w:val="sl-SI"/>
        </w:rPr>
        <w:t xml:space="preserve"> 8. Digitalna infrastruktura omenjene Priloge 1 predlaganega zakona. </w:t>
      </w:r>
    </w:p>
    <w:p w14:paraId="393DFA78"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Iz zgoraj opisanih razlogov je treba s predlaganim zakonom poseči v ZEKom-2, ki je Direktivo 2018/1972/EU prenesel v slovenski pravni red. </w:t>
      </w:r>
      <w:r>
        <w:rPr>
          <w:rFonts w:cs="Arial"/>
          <w:color w:val="000000"/>
          <w:szCs w:val="20"/>
          <w:shd w:val="clear" w:color="auto" w:fill="FFFFFF"/>
          <w:lang w:val="sl-SI"/>
        </w:rPr>
        <w:t>Treba</w:t>
      </w:r>
      <w:r w:rsidRPr="003077CA">
        <w:rPr>
          <w:rFonts w:cs="Arial"/>
          <w:color w:val="000000"/>
          <w:szCs w:val="20"/>
          <w:shd w:val="clear" w:color="auto" w:fill="FFFFFF"/>
          <w:lang w:val="sl-SI"/>
        </w:rPr>
        <w:t xml:space="preserve"> je namreč zagotoviti medsebojno usklajenost obeh zakonov in preprečiti podvajanje urejanja nekaterih obveznosti teh zavezancev (operaterjev iz ZEKom-2) ter zagotoviti skladnosti z EU pravnim redom. Za te zavezance bodo po novem zadevne obveznosti urejene </w:t>
      </w:r>
      <w:r>
        <w:rPr>
          <w:rFonts w:cs="Arial"/>
          <w:color w:val="000000"/>
          <w:szCs w:val="20"/>
          <w:shd w:val="clear" w:color="auto" w:fill="FFFFFF"/>
          <w:lang w:val="sl-SI"/>
        </w:rPr>
        <w:t xml:space="preserve">predvsem </w:t>
      </w:r>
      <w:r w:rsidRPr="003077CA">
        <w:rPr>
          <w:rFonts w:cs="Arial"/>
          <w:color w:val="000000"/>
          <w:szCs w:val="20"/>
          <w:shd w:val="clear" w:color="auto" w:fill="FFFFFF"/>
          <w:lang w:val="sl-SI"/>
        </w:rPr>
        <w:t xml:space="preserve">s predlaganim zakonom. Navedeno je razvidno iz končne določbe 69. člena predlaganega zakona, ki ureja prenehanje </w:t>
      </w:r>
      <w:r w:rsidRPr="003077CA">
        <w:rPr>
          <w:rFonts w:cs="Arial"/>
          <w:color w:val="000000"/>
          <w:szCs w:val="20"/>
          <w:shd w:val="clear" w:color="auto" w:fill="FFFFFF"/>
          <w:lang w:val="sl-SI" w:eastAsia="sl-SI"/>
        </w:rPr>
        <w:t>v</w:t>
      </w:r>
      <w:r w:rsidRPr="003077CA">
        <w:rPr>
          <w:rFonts w:cs="Arial"/>
          <w:color w:val="000000"/>
          <w:szCs w:val="20"/>
          <w:shd w:val="clear" w:color="auto" w:fill="FFFFFF"/>
          <w:lang w:val="sl-SI"/>
        </w:rPr>
        <w:t>eljave 118., 119., 120., 121. in 122. člen</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ZEKom-2 (glej tudi obrazložitev k 69. členu predloga zakona).</w:t>
      </w:r>
    </w:p>
    <w:p w14:paraId="19BEA7A9"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S predlaganim členom pa so predvideni posegi le v tiste člene iz poglavja VIII. Varnost omrežij in storitev ter delovanje v stanjih ogroženosti</w:t>
      </w:r>
      <w:r w:rsidRPr="003077CA" w:rsidDel="00690DAD">
        <w:rPr>
          <w:rFonts w:cs="Arial"/>
          <w:color w:val="000000"/>
          <w:szCs w:val="20"/>
          <w:shd w:val="clear" w:color="auto" w:fill="FFFFFF"/>
          <w:lang w:val="sl-SI"/>
        </w:rPr>
        <w:t xml:space="preserve"> </w:t>
      </w:r>
      <w:r w:rsidRPr="003077CA">
        <w:rPr>
          <w:rFonts w:cs="Arial"/>
          <w:color w:val="000000"/>
          <w:szCs w:val="20"/>
          <w:shd w:val="clear" w:color="auto" w:fill="FFFFFF"/>
          <w:lang w:val="sl-SI"/>
        </w:rPr>
        <w:t>iz ZEKom-2, ki jih je treba prilagoditi (spremeniti oziroma dopolniti) zaradi medseboj</w:t>
      </w:r>
      <w:r>
        <w:rPr>
          <w:rFonts w:cs="Arial"/>
          <w:color w:val="000000"/>
          <w:szCs w:val="20"/>
          <w:shd w:val="clear" w:color="auto" w:fill="FFFFFF"/>
          <w:lang w:val="sl-SI"/>
        </w:rPr>
        <w:t>ne</w:t>
      </w:r>
      <w:r w:rsidRPr="003077CA">
        <w:rPr>
          <w:rFonts w:cs="Arial"/>
          <w:color w:val="000000"/>
          <w:szCs w:val="20"/>
          <w:shd w:val="clear" w:color="auto" w:fill="FFFFFF"/>
          <w:lang w:val="sl-SI"/>
        </w:rPr>
        <w:t xml:space="preserve"> skladnosti ZEKom-2 in predlaganega zakona. Pri tem je treba sektorsko specifične dodatne rešitve oziroma dodatne ukrepe iz ZEKom-2 glede varnosti in celovitosti omrežij in storitev operaterjev, ki jih predlagani zakon ne ureja in ne izhajajo iz Direktive 2022/2555/EU, ohraniti v ZEKom-2 oziroma jih je, kjer je to potrebno zaradi medsebojn</w:t>
      </w:r>
      <w:r>
        <w:rPr>
          <w:rFonts w:cs="Arial"/>
          <w:color w:val="000000"/>
          <w:szCs w:val="20"/>
          <w:shd w:val="clear" w:color="auto" w:fill="FFFFFF"/>
          <w:lang w:val="sl-SI"/>
        </w:rPr>
        <w:t>e</w:t>
      </w:r>
      <w:r w:rsidRPr="003077CA">
        <w:rPr>
          <w:rFonts w:cs="Arial"/>
          <w:color w:val="000000"/>
          <w:szCs w:val="20"/>
          <w:shd w:val="clear" w:color="auto" w:fill="FFFFFF"/>
          <w:lang w:val="sl-SI"/>
        </w:rPr>
        <w:t xml:space="preserve"> skladnosti obeh zakonov </w:t>
      </w:r>
      <w:r>
        <w:rPr>
          <w:rFonts w:cs="Arial"/>
          <w:color w:val="000000"/>
          <w:szCs w:val="20"/>
          <w:shd w:val="clear" w:color="auto" w:fill="FFFFFF"/>
          <w:lang w:val="sl-SI"/>
        </w:rPr>
        <w:t>ter</w:t>
      </w:r>
      <w:r w:rsidRPr="003077CA">
        <w:rPr>
          <w:rFonts w:cs="Arial"/>
          <w:color w:val="000000"/>
          <w:szCs w:val="20"/>
          <w:shd w:val="clear" w:color="auto" w:fill="FFFFFF"/>
          <w:lang w:val="sl-SI"/>
        </w:rPr>
        <w:t xml:space="preserve"> jasnosti in določnosti ureditve, </w:t>
      </w:r>
      <w:r>
        <w:rPr>
          <w:rFonts w:cs="Arial"/>
          <w:color w:val="000000"/>
          <w:szCs w:val="20"/>
          <w:shd w:val="clear" w:color="auto" w:fill="FFFFFF"/>
          <w:lang w:val="sl-SI"/>
        </w:rPr>
        <w:t xml:space="preserve">treba </w:t>
      </w:r>
      <w:r w:rsidRPr="003077CA">
        <w:rPr>
          <w:rFonts w:cs="Arial"/>
          <w:color w:val="000000"/>
          <w:szCs w:val="20"/>
          <w:shd w:val="clear" w:color="auto" w:fill="FFFFFF"/>
          <w:lang w:val="sl-SI"/>
        </w:rPr>
        <w:t xml:space="preserve">minimalno spremeniti oziroma dopolniti. </w:t>
      </w:r>
    </w:p>
    <w:p w14:paraId="4232BE9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Predlagani člen po posameznih točkah posega v tam naštete določbe ZEKom-2. </w:t>
      </w:r>
    </w:p>
    <w:p w14:paraId="2FC733B3"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v 1. točki posega v 115. člen (varnosti omrežij in storitev) ZEKom-2 na način, da bo imel ta člen namesto dosedanjih sedem odstavkov le še štiri. Besedilo tega č</w:t>
      </w:r>
      <w:r>
        <w:rPr>
          <w:rFonts w:cs="Arial"/>
          <w:color w:val="000000"/>
          <w:szCs w:val="20"/>
          <w:shd w:val="clear" w:color="auto" w:fill="FFFFFF"/>
          <w:lang w:val="sl-SI"/>
        </w:rPr>
        <w:t>le</w:t>
      </w:r>
      <w:r w:rsidRPr="003077CA">
        <w:rPr>
          <w:rFonts w:cs="Arial"/>
          <w:color w:val="000000"/>
          <w:szCs w:val="20"/>
          <w:shd w:val="clear" w:color="auto" w:fill="FFFFFF"/>
          <w:lang w:val="sl-SI"/>
        </w:rPr>
        <w:t xml:space="preserve">na se po predlogu zakona namreč nadomesti z besedilom, ki v predlaganem prvem odstavku ohranja dosedanjo obveznost operaterjev glede vzpostavitve in vzdrževanja ustreznega SUVI in SUNP, ki sta v ZEKom-2 tudi že opredeljena, glede sprejema ustreznih in sorazmernih tehničnih ter organizacijskih ukrepov za ustrezno obvladovanje tveganja za varnost omrežij in storitev, vključno s pripadajočimi informacijskimi sistemi, pa napotuje na </w:t>
      </w:r>
      <w:r>
        <w:rPr>
          <w:rFonts w:cs="Arial"/>
          <w:color w:val="000000"/>
          <w:szCs w:val="20"/>
          <w:shd w:val="clear" w:color="auto" w:fill="FFFFFF"/>
          <w:lang w:val="sl-SI"/>
        </w:rPr>
        <w:t>zdaj</w:t>
      </w:r>
      <w:r w:rsidRPr="003077CA">
        <w:rPr>
          <w:rFonts w:cs="Arial"/>
          <w:color w:val="000000"/>
          <w:szCs w:val="20"/>
          <w:shd w:val="clear" w:color="auto" w:fill="FFFFFF"/>
          <w:lang w:val="sl-SI"/>
        </w:rPr>
        <w:t xml:space="preserve"> predlagani zakon (zakon, ki ureja informacijsko varnost). V predlaganem drugem odstavku se ohranja besedilo, p</w:t>
      </w:r>
      <w:r>
        <w:rPr>
          <w:rFonts w:cs="Arial"/>
          <w:color w:val="000000"/>
          <w:szCs w:val="20"/>
          <w:shd w:val="clear" w:color="auto" w:fill="FFFFFF"/>
          <w:lang w:val="sl-SI"/>
        </w:rPr>
        <w:t>o</w:t>
      </w:r>
      <w:r w:rsidRPr="003077CA">
        <w:rPr>
          <w:rFonts w:cs="Arial"/>
          <w:color w:val="000000"/>
          <w:szCs w:val="20"/>
          <w:shd w:val="clear" w:color="auto" w:fill="FFFFFF"/>
          <w:lang w:val="sl-SI"/>
        </w:rPr>
        <w:t xml:space="preserve"> katerem mora operater SUVI in SUNP določiti kot poslovno skrivnost, kar je posebna obveznost iz ZEKom-2, ki je predlagani zakon nima. S predlaganim tretjim odstavkom se ohranja dosedanj</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posebn</w:t>
      </w:r>
      <w:r>
        <w:rPr>
          <w:rFonts w:cs="Arial"/>
          <w:color w:val="000000"/>
          <w:szCs w:val="20"/>
          <w:shd w:val="clear" w:color="auto" w:fill="FFFFFF"/>
          <w:lang w:val="sl-SI"/>
        </w:rPr>
        <w:t>a</w:t>
      </w:r>
      <w:r w:rsidRPr="003077CA">
        <w:rPr>
          <w:rFonts w:cs="Arial"/>
          <w:color w:val="000000"/>
          <w:szCs w:val="20"/>
          <w:shd w:val="clear" w:color="auto" w:fill="FFFFFF"/>
          <w:lang w:val="sl-SI"/>
        </w:rPr>
        <w:t xml:space="preserve"> obveznost v delu, kjer se SUNP nanaša na zagotavljanje komunikacije v sili, saj mora biti ta še naprej vsaj enkrat letno pregledana. Za njegovo sprejetje in morebitne spremembe ali posodobitve je potrebna predhodna odobritev pristojnih organov, odgovornih za delovanje centrov za sprejem komunikacije v sili. V četrtem odstavku je predvidena nova pravna podlaga za splošni akt Agencije za komunikacijska omrežja in storitve Republike Slovenije (v nadaljnjem besedilu: AKOS), ki je skladna tudi z Direktivo 2022/2555/EU oziroma njenim namenom. Če so zaradi zagotovitve višje ravni kibernetske varnosti, ob upoštevanju varnostnih tveganj, potrebni tudi sektorsko specifični ukrepi za operaterje, namreč AKOS izda splošni akt, s katerim predpiše posebne tehnične usmeritve ter tehnične in organizacijske ukrepe, pri čemer upošteva tudi </w:t>
      </w:r>
      <w:r w:rsidRPr="003077CA">
        <w:rPr>
          <w:rFonts w:cs="Arial"/>
          <w:color w:val="000000"/>
          <w:szCs w:val="20"/>
          <w:shd w:val="clear" w:color="auto" w:fill="FFFFFF"/>
          <w:lang w:val="sl-SI"/>
        </w:rPr>
        <w:lastRenderedPageBreak/>
        <w:t xml:space="preserve">dokumente ali tehnična priporočila </w:t>
      </w:r>
      <w:r>
        <w:rPr>
          <w:rFonts w:cs="Arial"/>
          <w:color w:val="000000"/>
          <w:szCs w:val="20"/>
          <w:shd w:val="clear" w:color="auto" w:fill="FFFFFF"/>
          <w:lang w:val="sl-SI"/>
        </w:rPr>
        <w:t xml:space="preserve">agencije </w:t>
      </w:r>
      <w:r w:rsidRPr="003077CA">
        <w:rPr>
          <w:rFonts w:cs="Arial"/>
          <w:color w:val="000000"/>
          <w:szCs w:val="20"/>
          <w:shd w:val="clear" w:color="auto" w:fill="FFFFFF"/>
          <w:lang w:val="sl-SI"/>
        </w:rPr>
        <w:t xml:space="preserve">ENISA </w:t>
      </w:r>
      <w:r>
        <w:rPr>
          <w:rFonts w:cs="Arial"/>
          <w:color w:val="000000"/>
          <w:szCs w:val="20"/>
          <w:shd w:val="clear" w:color="auto" w:fill="FFFFFF"/>
          <w:lang w:val="sl-SI"/>
        </w:rPr>
        <w:t>in</w:t>
      </w:r>
      <w:r w:rsidRPr="003077CA">
        <w:rPr>
          <w:rFonts w:cs="Arial"/>
          <w:color w:val="000000"/>
          <w:szCs w:val="20"/>
          <w:shd w:val="clear" w:color="auto" w:fill="FFFFFF"/>
          <w:lang w:val="sl-SI"/>
        </w:rPr>
        <w:t xml:space="preserve"> smernice Evropske komisije. Po predlogu določbe AKOS pri sprejemu splošnega akta agencija sodeluje z organom, pristojnim za informacijsko varnost.</w:t>
      </w:r>
    </w:p>
    <w:p w14:paraId="0817296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 xml:space="preserve">Predlog člena v 2. točki ohranja določbe 116. člena (dodatne varnostne zahteve) ZEKom-2, saj gre za sektorsko specifično urejanje dodatnih varnostnih zahtev za ožjo skupino operaterjev. V ta člen se posega le zaradi uskladitve znotraj ZEKom-2 glede na predlagano spremembo 115. člena istega zakona, čemur se zato prilagaja sklic na prejšnji člen (torej 115. člen) v prvem stavku četrtega odstavka 116. člena ZEKom-2. </w:t>
      </w:r>
    </w:p>
    <w:p w14:paraId="7B9B2F6C"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Predlog člena v 3. točki posega v 123. člen (revizija varnosti) z vidika jasnosti ureditve, zaradi notranje uskladitve ZEKom-2</w:t>
      </w:r>
      <w:r>
        <w:rPr>
          <w:rFonts w:cs="Arial"/>
          <w:color w:val="000000"/>
          <w:szCs w:val="20"/>
          <w:shd w:val="clear" w:color="auto" w:fill="FFFFFF"/>
          <w:lang w:val="sl-SI"/>
        </w:rPr>
        <w:t xml:space="preserve"> in</w:t>
      </w:r>
      <w:r w:rsidRPr="003077CA">
        <w:rPr>
          <w:rFonts w:cs="Arial"/>
          <w:color w:val="000000"/>
          <w:szCs w:val="20"/>
          <w:shd w:val="clear" w:color="auto" w:fill="FFFFFF"/>
          <w:lang w:val="sl-SI"/>
        </w:rPr>
        <w:t xml:space="preserve"> zaradi uskladitve s predlaganim zakonom, saj je predvideno, da revizija varnosti po tem zakonu (torej po ZEKom-2) ne vključuje primerov iz prvega odstavka 115. člena tega zakona, ki poteka v skladu z zakonom, ki ureja informacijsko varnost (torej v skladu s predlaganim zakonom). Ob upoštevanju želje AKOS predlog zakona še predvideva, da AKOS pri zahtevi za revizijo in pregledu rezultatov revizije, ki jih zahteva (po ZEKom-2), lahko zaprosi za pomoč pristojni nacionalni organ iz zakona, ki ureja informacijsko varnost.</w:t>
      </w:r>
    </w:p>
    <w:p w14:paraId="0B77437D"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7964D29F" w14:textId="77777777" w:rsidR="000A51A5" w:rsidRPr="003077CA" w:rsidRDefault="000A51A5" w:rsidP="000A51A5">
      <w:pPr>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Predlog člena v 4. točki posega v 124. člen (upravljanje neprekinjenega poslovanja za primer stanj ogroženosti) ZEKom-2 je posledica predlaganih sprememb 115. člena navedenega zakona in je zato treba v četrtem odstavku 124. člen ZEKom-2 uporabo dosedanjega petega odstavka 115. člena navedenega zakona nadomestiti z ustrezno vsebino, ki še naprej vsebinsko ohranja dosedanjo posebno obveznost, po kateri mora biti SUNP v delu nanaša</w:t>
      </w:r>
      <w:r>
        <w:rPr>
          <w:rFonts w:cs="Arial"/>
          <w:color w:val="000000"/>
          <w:szCs w:val="20"/>
          <w:shd w:val="clear" w:color="auto" w:fill="FFFFFF"/>
          <w:lang w:val="sl-SI"/>
        </w:rPr>
        <w:t>nja</w:t>
      </w:r>
      <w:r w:rsidRPr="003077CA">
        <w:rPr>
          <w:rFonts w:cs="Arial"/>
          <w:color w:val="000000"/>
          <w:szCs w:val="20"/>
          <w:shd w:val="clear" w:color="auto" w:fill="FFFFFF"/>
          <w:lang w:val="sl-SI"/>
        </w:rPr>
        <w:t xml:space="preserve"> na zagotavljanje komunikacije v sili</w:t>
      </w:r>
      <w:r>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vsaj enkrat </w:t>
      </w:r>
      <w:r>
        <w:rPr>
          <w:rFonts w:cs="Arial"/>
          <w:color w:val="000000"/>
          <w:szCs w:val="20"/>
          <w:shd w:val="clear" w:color="auto" w:fill="FFFFFF"/>
          <w:lang w:val="sl-SI"/>
        </w:rPr>
        <w:t>na leto</w:t>
      </w:r>
      <w:r w:rsidRPr="003077CA">
        <w:rPr>
          <w:rFonts w:cs="Arial"/>
          <w:color w:val="000000"/>
          <w:szCs w:val="20"/>
          <w:shd w:val="clear" w:color="auto" w:fill="FFFFFF"/>
          <w:lang w:val="sl-SI"/>
        </w:rPr>
        <w:t xml:space="preserve"> pregledan. Za njegovo sprejetje in spremembe ali posodobitve je potrebna predhodna odobritev pristojnih organov, odgovornih za delovanje centrov za sprejem komunikacije v sili.</w:t>
      </w:r>
    </w:p>
    <w:p w14:paraId="2BF11127" w14:textId="77777777" w:rsidR="000A51A5" w:rsidRPr="003077CA" w:rsidRDefault="000A51A5" w:rsidP="000A51A5">
      <w:pPr>
        <w:spacing w:after="120" w:line="276" w:lineRule="auto"/>
        <w:jc w:val="both"/>
        <w:rPr>
          <w:rFonts w:cs="Arial"/>
          <w:color w:val="000000"/>
          <w:szCs w:val="20"/>
          <w:shd w:val="clear" w:color="auto" w:fill="FFFFFF"/>
          <w:lang w:val="sl-SI"/>
        </w:rPr>
      </w:pPr>
    </w:p>
    <w:p w14:paraId="5A2BD484"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v 5. točki posega v 128. člen (nadzor)</w:t>
      </w:r>
      <w:r>
        <w:rPr>
          <w:rFonts w:cs="Arial"/>
          <w:color w:val="000000"/>
          <w:szCs w:val="20"/>
          <w:shd w:val="clear" w:color="auto" w:fill="FFFFFF"/>
          <w:lang w:val="sl-SI"/>
        </w:rPr>
        <w:t xml:space="preserve"> ‒</w:t>
      </w:r>
      <w:r w:rsidRPr="003077CA">
        <w:rPr>
          <w:rFonts w:cs="Arial"/>
          <w:color w:val="000000"/>
          <w:szCs w:val="20"/>
          <w:shd w:val="clear" w:color="auto" w:fill="FFFFFF"/>
          <w:lang w:val="sl-SI"/>
        </w:rPr>
        <w:t xml:space="preserve"> poseg je potreben zaradi predlaganega črtanja 21. in 22. člena ZEKom-2, hkrati pa se z vidika jasnosti izrecno vključuje tudi nadzor </w:t>
      </w:r>
      <w:r>
        <w:rPr>
          <w:rFonts w:cs="Arial"/>
          <w:color w:val="000000"/>
          <w:szCs w:val="20"/>
          <w:shd w:val="clear" w:color="auto" w:fill="FFFFFF"/>
          <w:lang w:val="sl-SI"/>
        </w:rPr>
        <w:t xml:space="preserve">nad </w:t>
      </w:r>
      <w:r w:rsidRPr="003077CA">
        <w:rPr>
          <w:rFonts w:cs="Arial"/>
          <w:color w:val="000000"/>
          <w:szCs w:val="20"/>
          <w:shd w:val="clear" w:color="auto" w:fill="FFFFFF"/>
          <w:lang w:val="sl-SI"/>
        </w:rPr>
        <w:t xml:space="preserve">izvajanjem odločbe iz prvega odstavka 117. člena ZEKom-2, ki je v ZEKom-2 izpadel. </w:t>
      </w:r>
    </w:p>
    <w:p w14:paraId="5E84B381"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Nadalje se v točkah 6., 7., 8., 9. in 10. predlaganega člena zaradi prilagoditve prej navedenim posegom v ZEKom-2 posega še v nekatere določbe ZEKom-2 iz poglavja XV. NADZOR</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s predlaganimi spremembami členov 287, 288, 289 ZEKom-2 ter določbe poglavja XVII. KAZENSKE DOLOČBE</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v členih 298 (prekrški) in 299 (prekrški) ZEKom-2.</w:t>
      </w:r>
    </w:p>
    <w:p w14:paraId="23E736C1"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782C4A40"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66. členu</w:t>
      </w:r>
    </w:p>
    <w:p w14:paraId="562965AC"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 xml:space="preserve">Ob upoštevanju določb 4. člena predlaganega zakona, ki v njegovem tretjem odstavku uvaja varovane podatke pristojnega nacionalnega organa (glej tudi obrazložitev k 4. členu predloga zakona zgoraj), ki jih predhodno opredeli v predlogu 5. člena (izrazi), je s predlogom tega zakona treba dopolniti Zakon o dostopu do informacij javnega značaja (Uradni list RS, št. 51/06 – uradno prečiščeno besedilo, 117/06 – ZDavP-2, 23/14, 50/14, 19/15 – odl. US, 102/15, 7/18 in 141/22; v nadaljnjem besedilu: ZDIJZ) zaradi medsebojne usklajenosti ZDIJZ s predlogom tega zakona. </w:t>
      </w:r>
    </w:p>
    <w:p w14:paraId="0D2E4B08"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440139B0"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 xml:space="preserve">Zato se predlaga, da se v prvem odstavku 6. člena ZDIJZ, ki določa primere, v katerih organ prosilcu zavrne dostop do zahtevane informacije, na koncu tam naštetih primerov doda nova (zadnja) 12. točka, tudi </w:t>
      </w:r>
      <w:r>
        <w:rPr>
          <w:rFonts w:cs="Arial"/>
          <w:color w:val="000000"/>
          <w:szCs w:val="20"/>
          <w:shd w:val="clear" w:color="auto" w:fill="FFFFFF"/>
          <w:lang w:val="sl-SI"/>
        </w:rPr>
        <w:t xml:space="preserve">na </w:t>
      </w:r>
      <w:r w:rsidRPr="003077CA">
        <w:rPr>
          <w:rFonts w:cs="Arial"/>
          <w:color w:val="000000"/>
          <w:szCs w:val="20"/>
          <w:shd w:val="clear" w:color="auto" w:fill="FFFFFF"/>
          <w:lang w:val="sl-SI"/>
        </w:rPr>
        <w:t>primer, če se zahteva nanaša na podatek, ki je opredeljen kot varovani podatek pristojnega nacionalnega organa v skladu z zakonom, ki ureja informacijsko varnost.</w:t>
      </w:r>
    </w:p>
    <w:p w14:paraId="7E0EEF39"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1DFC5931"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r w:rsidRPr="003077CA">
        <w:rPr>
          <w:rFonts w:cs="Arial"/>
          <w:color w:val="000000"/>
          <w:szCs w:val="20"/>
          <w:shd w:val="clear" w:color="auto" w:fill="FFFFFF"/>
          <w:lang w:val="sl-SI"/>
        </w:rPr>
        <w:t xml:space="preserve">Razkritje nepoklicanim osebam bi namreč lahko povzročilo motnje pri delovanju in izvajanju nalog pristojnemu nacionalnemu organu oziroma bi lahko škodovalo zavezancem. S predlagano </w:t>
      </w:r>
      <w:r w:rsidRPr="003077CA">
        <w:rPr>
          <w:rFonts w:cs="Arial"/>
          <w:color w:val="000000"/>
          <w:szCs w:val="20"/>
          <w:shd w:val="clear" w:color="auto" w:fill="FFFFFF"/>
          <w:lang w:val="sl-SI"/>
        </w:rPr>
        <w:lastRenderedPageBreak/>
        <w:t xml:space="preserve">umestitvijo dodatne 12. točke v prvi odstavek 6. člena ZDIJZ pa hkrati tudi za ta primer veljajo varovalke in omejitve iz </w:t>
      </w:r>
      <w:r>
        <w:rPr>
          <w:rFonts w:cs="Arial"/>
          <w:color w:val="000000"/>
          <w:szCs w:val="20"/>
          <w:shd w:val="clear" w:color="auto" w:fill="FFFFFF"/>
          <w:lang w:val="sl-SI"/>
        </w:rPr>
        <w:t>naslednjih</w:t>
      </w:r>
      <w:r w:rsidRPr="003077CA">
        <w:rPr>
          <w:rFonts w:cs="Arial"/>
          <w:color w:val="000000"/>
          <w:szCs w:val="20"/>
          <w:shd w:val="clear" w:color="auto" w:fill="FFFFFF"/>
          <w:lang w:val="sl-SI"/>
        </w:rPr>
        <w:t xml:space="preserve"> odstavkov 6. člena ZDIJZ.</w:t>
      </w:r>
    </w:p>
    <w:p w14:paraId="74F66D76" w14:textId="77777777" w:rsidR="000A51A5" w:rsidRPr="003077CA" w:rsidRDefault="000A51A5" w:rsidP="000A51A5">
      <w:pPr>
        <w:suppressAutoHyphens/>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2CD23EB4"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67. členu</w:t>
      </w:r>
    </w:p>
    <w:p w14:paraId="18BC5C87"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Predlog člena zaradi uskladitve s tem zakonom posega v Zakon o varstvu osebnih podatkov (Uradni list RS, št. 163/22)</w:t>
      </w:r>
      <w:r>
        <w:rPr>
          <w:rFonts w:cs="Arial"/>
          <w:color w:val="000000"/>
          <w:szCs w:val="20"/>
          <w:shd w:val="clear" w:color="auto" w:fill="FFFFFF"/>
          <w:lang w:val="sl-SI"/>
        </w:rPr>
        <w:t>,</w:t>
      </w:r>
      <w:r w:rsidRPr="003077CA">
        <w:rPr>
          <w:rFonts w:cs="Arial"/>
          <w:color w:val="000000"/>
          <w:szCs w:val="20"/>
          <w:shd w:val="clear" w:color="auto" w:fill="FFFFFF"/>
          <w:lang w:val="sl-SI"/>
        </w:rPr>
        <w:t xml:space="preserve"> in sicer v prvi odstavek 23. člena navedenega zakona, ki se sklicuje na »izvajalce bistvenih storitev«, kar je kategorija zavezancev iz ZInfV in po predlaganem zakonu niso kategorija zavezancev. Predlaga se nadomestitev z besedilom, ki se nanaša na »bistvene subjekte«, ki so ena izmed kategorij zavezancev po predlaganem zakonu.</w:t>
      </w:r>
    </w:p>
    <w:p w14:paraId="0D36786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7DB65E62"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68</w:t>
      </w:r>
      <w:r>
        <w:rPr>
          <w:rFonts w:cs="Arial"/>
          <w:b/>
          <w:bCs/>
          <w:color w:val="000000"/>
          <w:szCs w:val="20"/>
          <w:shd w:val="clear" w:color="auto" w:fill="FFFFFF"/>
          <w:lang w:val="sl-SI"/>
        </w:rPr>
        <w:t>.</w:t>
      </w:r>
      <w:r w:rsidRPr="003077CA">
        <w:rPr>
          <w:rFonts w:cs="Arial"/>
          <w:b/>
          <w:bCs/>
          <w:color w:val="000000"/>
          <w:szCs w:val="20"/>
          <w:shd w:val="clear" w:color="auto" w:fill="FFFFFF"/>
          <w:lang w:val="sl-SI"/>
        </w:rPr>
        <w:t xml:space="preserve"> členu</w:t>
      </w:r>
    </w:p>
    <w:p w14:paraId="584FDAAC" w14:textId="77777777" w:rsidR="000A51A5" w:rsidRPr="003077CA" w:rsidRDefault="000A51A5" w:rsidP="000A51A5">
      <w:pPr>
        <w:spacing w:after="120" w:line="276" w:lineRule="auto"/>
        <w:jc w:val="both"/>
        <w:rPr>
          <w:rFonts w:cs="Arial"/>
          <w:color w:val="000000"/>
          <w:szCs w:val="20"/>
          <w:shd w:val="clear" w:color="auto" w:fill="FFFFFF"/>
          <w:lang w:val="sl-SI"/>
        </w:rPr>
      </w:pPr>
      <w:r w:rsidRPr="003077CA">
        <w:rPr>
          <w:rFonts w:cs="Arial"/>
          <w:color w:val="000000"/>
          <w:szCs w:val="20"/>
          <w:shd w:val="clear" w:color="auto" w:fill="FFFFFF"/>
          <w:lang w:val="sl-SI"/>
        </w:rPr>
        <w:t>Zaradi predvidljivosti in pravne varnosti je s predlogom tega člena določeno, da se upravni in inšpekcijski postopki, ki do začetka uporabe tega zakona še niso bili pravnomočno končani, končajo v skladu z dosedanjimi predpisi.</w:t>
      </w:r>
    </w:p>
    <w:p w14:paraId="0A84E91B" w14:textId="77777777" w:rsidR="000A51A5" w:rsidRPr="003077CA" w:rsidRDefault="000A51A5" w:rsidP="000A51A5">
      <w:pPr>
        <w:spacing w:after="120" w:line="276" w:lineRule="auto"/>
        <w:jc w:val="both"/>
        <w:rPr>
          <w:rFonts w:cs="Arial"/>
          <w:color w:val="000000"/>
          <w:szCs w:val="20"/>
          <w:shd w:val="clear" w:color="auto" w:fill="FFFFFF"/>
          <w:lang w:val="sl-SI"/>
        </w:rPr>
      </w:pPr>
    </w:p>
    <w:p w14:paraId="27EF6483"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XII. Končni določbi</w:t>
      </w:r>
    </w:p>
    <w:p w14:paraId="25EFB5CE" w14:textId="77777777" w:rsidR="000A51A5" w:rsidRPr="003077CA" w:rsidRDefault="000A51A5" w:rsidP="000A51A5">
      <w:pPr>
        <w:spacing w:after="120" w:line="276" w:lineRule="auto"/>
        <w:jc w:val="both"/>
        <w:rPr>
          <w:rFonts w:cs="Arial"/>
          <w:b/>
          <w:bCs/>
          <w:color w:val="000000"/>
          <w:szCs w:val="20"/>
          <w:shd w:val="clear" w:color="auto" w:fill="FFFFFF"/>
          <w:lang w:val="sl-SI"/>
        </w:rPr>
      </w:pPr>
    </w:p>
    <w:p w14:paraId="781E6CDC"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69. členu</w:t>
      </w:r>
    </w:p>
    <w:p w14:paraId="424329A2" w14:textId="77777777" w:rsidR="000A51A5" w:rsidRPr="003077CA" w:rsidRDefault="000A51A5" w:rsidP="000A51A5">
      <w:pPr>
        <w:spacing w:after="120" w:line="276" w:lineRule="auto"/>
        <w:jc w:val="both"/>
        <w:rPr>
          <w:rFonts w:cs="Arial"/>
          <w:bCs/>
          <w:szCs w:val="20"/>
          <w:lang w:val="sl-SI" w:eastAsia="sl-SI"/>
        </w:rPr>
      </w:pPr>
      <w:r w:rsidRPr="003077CA">
        <w:rPr>
          <w:rFonts w:cs="Arial"/>
          <w:bCs/>
          <w:szCs w:val="20"/>
          <w:lang w:val="sl-SI" w:eastAsia="sl-SI"/>
        </w:rPr>
        <w:t xml:space="preserve">Predlagani člen ureja prenehanje veljavnosti in podaljšanje uporabe </w:t>
      </w:r>
      <w:r>
        <w:rPr>
          <w:rFonts w:cs="Arial"/>
          <w:bCs/>
          <w:szCs w:val="20"/>
          <w:lang w:val="sl-SI" w:eastAsia="sl-SI"/>
        </w:rPr>
        <w:t>zdaj</w:t>
      </w:r>
      <w:r w:rsidRPr="003077CA">
        <w:rPr>
          <w:rFonts w:cs="Arial"/>
          <w:bCs/>
          <w:szCs w:val="20"/>
          <w:lang w:val="sl-SI" w:eastAsia="sl-SI"/>
        </w:rPr>
        <w:t xml:space="preserve"> veljavnih predpisov oziroma določb predpisov</w:t>
      </w:r>
      <w:r>
        <w:rPr>
          <w:rFonts w:cs="Arial"/>
          <w:bCs/>
          <w:szCs w:val="20"/>
          <w:lang w:val="sl-SI" w:eastAsia="sl-SI"/>
        </w:rPr>
        <w:t>,</w:t>
      </w:r>
      <w:r w:rsidRPr="003077CA">
        <w:rPr>
          <w:rFonts w:cs="Arial"/>
          <w:bCs/>
          <w:szCs w:val="20"/>
          <w:lang w:val="sl-SI" w:eastAsia="sl-SI"/>
        </w:rPr>
        <w:t xml:space="preserve"> in sicer v vseh primerih, ki jih zajema z dnem uveljavitve tega zakona. </w:t>
      </w:r>
    </w:p>
    <w:p w14:paraId="25A1137B" w14:textId="77777777" w:rsidR="000A51A5" w:rsidRPr="003077CA" w:rsidRDefault="000A51A5" w:rsidP="000A51A5">
      <w:pPr>
        <w:spacing w:after="120" w:line="276" w:lineRule="auto"/>
        <w:jc w:val="both"/>
        <w:rPr>
          <w:rFonts w:cs="Arial"/>
          <w:bCs/>
          <w:szCs w:val="20"/>
          <w:lang w:val="sl-SI" w:eastAsia="sl-SI"/>
        </w:rPr>
      </w:pPr>
      <w:r w:rsidRPr="003077CA">
        <w:rPr>
          <w:rFonts w:cs="Arial"/>
          <w:bCs/>
          <w:szCs w:val="20"/>
          <w:lang w:val="sl-SI" w:eastAsia="sl-SI"/>
        </w:rPr>
        <w:t>Prvi odstavek predlaganega člena določa prenehanje veljavnosti ZInfV, njegov drugi odstavek pa določa prenehanje veljavnosti v njem navedenih podzakonskih predpisov, ki so bili sprejeti na podlagi ZInfV-1.</w:t>
      </w:r>
    </w:p>
    <w:p w14:paraId="2F75112E" w14:textId="77777777" w:rsidR="000A51A5" w:rsidRPr="003077CA" w:rsidRDefault="000A51A5" w:rsidP="000A51A5">
      <w:pPr>
        <w:spacing w:after="120" w:line="276" w:lineRule="auto"/>
        <w:jc w:val="both"/>
        <w:rPr>
          <w:rFonts w:cs="Arial"/>
          <w:bCs/>
          <w:szCs w:val="20"/>
          <w:lang w:val="sl-SI" w:eastAsia="sl-SI"/>
        </w:rPr>
      </w:pPr>
      <w:r w:rsidRPr="003077CA">
        <w:rPr>
          <w:rFonts w:cs="Arial"/>
          <w:bCs/>
          <w:szCs w:val="20"/>
          <w:lang w:val="sl-SI" w:eastAsia="sl-SI"/>
        </w:rPr>
        <w:t xml:space="preserve">Tretji odstavek določa prenehanje veljave 118. (obveznost obveščanja in poročanja o varnostnih incidentih), 119. (vrednotenje varnostnega incidenta), 120. (ukrepanje v primeru težjega in kritičnega incidenta ali kibernetskega napada), 121. (stanje povečane ogroženosti in ukrepanje) in 122. člena (obveščanje javnosti o sprejetih ukrepih) iz poglavja VIII. Varnost omrežij in storitev ter delovanje v stanjih ogroženosti iz ZEKom-2. </w:t>
      </w:r>
      <w:r>
        <w:rPr>
          <w:rFonts w:cs="Arial"/>
          <w:bCs/>
          <w:szCs w:val="20"/>
          <w:lang w:val="sl-SI" w:eastAsia="sl-SI"/>
        </w:rPr>
        <w:t>Z</w:t>
      </w:r>
      <w:r w:rsidRPr="003077CA">
        <w:rPr>
          <w:rFonts w:cs="Arial"/>
          <w:bCs/>
          <w:szCs w:val="20"/>
          <w:lang w:val="sl-SI" w:eastAsia="sl-SI"/>
        </w:rPr>
        <w:t xml:space="preserve">adevne vsebine se </w:t>
      </w:r>
      <w:r>
        <w:rPr>
          <w:rFonts w:cs="Arial"/>
          <w:bCs/>
          <w:szCs w:val="20"/>
          <w:lang w:val="sl-SI" w:eastAsia="sl-SI"/>
        </w:rPr>
        <w:t xml:space="preserve">namreč </w:t>
      </w:r>
      <w:r w:rsidRPr="003077CA">
        <w:rPr>
          <w:rFonts w:cs="Arial"/>
          <w:bCs/>
          <w:szCs w:val="20"/>
          <w:lang w:val="sl-SI" w:eastAsia="sl-SI"/>
        </w:rPr>
        <w:t xml:space="preserve">urejajo s predlaganim horizontalnim zakonom, kot tudi sicer v primeru drugih sektorjev iz Priloge 1 in Priloge 2, ki spadajo </w:t>
      </w:r>
      <w:r>
        <w:rPr>
          <w:rFonts w:cs="Arial"/>
          <w:bCs/>
          <w:szCs w:val="20"/>
          <w:lang w:val="sl-SI" w:eastAsia="sl-SI"/>
        </w:rPr>
        <w:t xml:space="preserve">na </w:t>
      </w:r>
      <w:r w:rsidRPr="003077CA">
        <w:rPr>
          <w:rFonts w:cs="Arial"/>
          <w:bCs/>
          <w:szCs w:val="20"/>
          <w:lang w:val="sl-SI" w:eastAsia="sl-SI"/>
        </w:rPr>
        <w:t>področje uporabe predlaganega zakona.</w:t>
      </w:r>
    </w:p>
    <w:p w14:paraId="3920CDBB" w14:textId="77777777" w:rsidR="000A51A5" w:rsidRPr="003077CA" w:rsidRDefault="000A51A5" w:rsidP="000A51A5">
      <w:pPr>
        <w:shd w:val="clear" w:color="auto" w:fill="FFFFFF"/>
        <w:spacing w:line="276" w:lineRule="auto"/>
        <w:jc w:val="both"/>
        <w:rPr>
          <w:rFonts w:cs="Arial"/>
          <w:bCs/>
          <w:szCs w:val="20"/>
          <w:lang w:val="sl-SI" w:eastAsia="sl-SI"/>
        </w:rPr>
      </w:pPr>
      <w:r w:rsidRPr="003077CA">
        <w:rPr>
          <w:rFonts w:cs="Arial"/>
          <w:bCs/>
          <w:szCs w:val="20"/>
          <w:lang w:val="sl-SI" w:eastAsia="sl-SI"/>
        </w:rPr>
        <w:t>Iz istega razloga, kot je pojasnjeno zgoraj, četrti odstavek predlaganega člena ureja tudi prenehanje veljavnost</w:t>
      </w:r>
      <w:r>
        <w:rPr>
          <w:rFonts w:cs="Arial"/>
          <w:bCs/>
          <w:szCs w:val="20"/>
          <w:lang w:val="sl-SI" w:eastAsia="sl-SI"/>
        </w:rPr>
        <w:t>i</w:t>
      </w:r>
      <w:r w:rsidRPr="003077CA">
        <w:rPr>
          <w:rFonts w:cs="Arial"/>
          <w:bCs/>
          <w:szCs w:val="20"/>
          <w:lang w:val="sl-SI" w:eastAsia="sl-SI"/>
        </w:rPr>
        <w:t xml:space="preserve"> dveh v njem navedenih splošnih aktov, ki sta bila izdana na podlagi ZEKom-2.</w:t>
      </w:r>
    </w:p>
    <w:p w14:paraId="3A81455E" w14:textId="77777777" w:rsidR="000A51A5" w:rsidRPr="003077CA" w:rsidRDefault="000A51A5" w:rsidP="000A51A5">
      <w:pPr>
        <w:shd w:val="clear" w:color="auto" w:fill="FFFFFF"/>
        <w:spacing w:line="276" w:lineRule="auto"/>
        <w:jc w:val="both"/>
        <w:rPr>
          <w:rFonts w:cs="Arial"/>
          <w:bCs/>
          <w:szCs w:val="20"/>
          <w:lang w:val="sl-SI" w:eastAsia="sl-SI"/>
        </w:rPr>
      </w:pPr>
    </w:p>
    <w:p w14:paraId="0C4EF71A" w14:textId="77777777" w:rsidR="000A51A5" w:rsidRPr="003077CA" w:rsidRDefault="000A51A5" w:rsidP="000A51A5">
      <w:pPr>
        <w:shd w:val="clear" w:color="auto" w:fill="FFFFFF"/>
        <w:spacing w:line="276" w:lineRule="auto"/>
        <w:jc w:val="both"/>
        <w:rPr>
          <w:rFonts w:cs="Arial"/>
          <w:bCs/>
          <w:szCs w:val="20"/>
          <w:lang w:val="sl-SI" w:eastAsia="sl-SI"/>
        </w:rPr>
      </w:pPr>
    </w:p>
    <w:p w14:paraId="4C6A4CA7" w14:textId="77777777" w:rsidR="000A51A5" w:rsidRPr="003077CA" w:rsidRDefault="000A51A5" w:rsidP="000A51A5">
      <w:pPr>
        <w:spacing w:after="120" w:line="276" w:lineRule="auto"/>
        <w:jc w:val="both"/>
        <w:rPr>
          <w:rFonts w:cs="Arial"/>
          <w:b/>
          <w:bCs/>
          <w:color w:val="000000"/>
          <w:szCs w:val="20"/>
          <w:shd w:val="clear" w:color="auto" w:fill="FFFFFF"/>
          <w:lang w:val="sl-SI"/>
        </w:rPr>
      </w:pPr>
      <w:r w:rsidRPr="003077CA">
        <w:rPr>
          <w:rFonts w:cs="Arial"/>
          <w:b/>
          <w:bCs/>
          <w:color w:val="000000"/>
          <w:szCs w:val="20"/>
          <w:shd w:val="clear" w:color="auto" w:fill="FFFFFF"/>
          <w:lang w:val="sl-SI"/>
        </w:rPr>
        <w:t>K 70. členu</w:t>
      </w:r>
    </w:p>
    <w:p w14:paraId="250B82F4" w14:textId="77777777" w:rsidR="000A51A5" w:rsidRPr="003077CA" w:rsidRDefault="000A51A5" w:rsidP="000A51A5">
      <w:pPr>
        <w:spacing w:after="120" w:line="276" w:lineRule="auto"/>
        <w:jc w:val="both"/>
        <w:rPr>
          <w:rFonts w:cs="Arial"/>
          <w:bCs/>
          <w:szCs w:val="20"/>
          <w:lang w:val="sl-SI" w:eastAsia="sl-SI"/>
        </w:rPr>
      </w:pPr>
      <w:r w:rsidRPr="003077CA">
        <w:rPr>
          <w:rFonts w:cs="Arial"/>
          <w:bCs/>
          <w:szCs w:val="20"/>
          <w:lang w:val="sl-SI" w:eastAsia="sl-SI"/>
        </w:rPr>
        <w:t xml:space="preserve">V predlaganem členu je določeno, da zakon začne veljati petnajsti dan po objavi v Uradnem listu Republike Slovenije, kar je običajen rok za uveljavitev predpisa. Daljši rok ne bi bil primeren, saj predlog zakona hkrati določa tudi dovolj dolga prehodna obdobja. Poleg tega Republika Slovenija s prenosom Direktive 2022/2555/EU zamuja in je treba zagotoviti čimprejšnjo uveljavitev predlaganega zakona, ki to direktivo prenaša v slovenski pravni red. </w:t>
      </w:r>
    </w:p>
    <w:p w14:paraId="45AB8DC7" w14:textId="77777777" w:rsidR="000A51A5" w:rsidRPr="003077CA" w:rsidRDefault="000A51A5" w:rsidP="000A51A5">
      <w:pPr>
        <w:spacing w:line="276" w:lineRule="auto"/>
        <w:rPr>
          <w:rFonts w:cs="Arial"/>
          <w:b/>
          <w:szCs w:val="20"/>
          <w:lang w:val="sl-SI" w:eastAsia="sl-SI"/>
        </w:rPr>
      </w:pPr>
    </w:p>
    <w:p w14:paraId="616ADB8A" w14:textId="77777777" w:rsidR="000A51A5" w:rsidRPr="003077CA" w:rsidRDefault="000A51A5" w:rsidP="000A51A5">
      <w:pPr>
        <w:spacing w:line="276" w:lineRule="auto"/>
        <w:rPr>
          <w:rFonts w:cs="Arial"/>
          <w:b/>
          <w:szCs w:val="20"/>
          <w:lang w:val="sl-SI" w:eastAsia="sl-SI"/>
        </w:rPr>
      </w:pPr>
      <w:r w:rsidRPr="003077CA">
        <w:rPr>
          <w:rFonts w:cs="Arial"/>
          <w:b/>
          <w:szCs w:val="20"/>
          <w:lang w:val="sl-SI" w:eastAsia="sl-SI"/>
        </w:rPr>
        <w:t xml:space="preserve">K Prilogi 1 in Prilogi 2 </w:t>
      </w:r>
    </w:p>
    <w:p w14:paraId="5B752B93" w14:textId="77777777" w:rsidR="000A51A5" w:rsidRPr="003077CA" w:rsidRDefault="000A51A5" w:rsidP="000A51A5">
      <w:pPr>
        <w:spacing w:line="276" w:lineRule="auto"/>
        <w:rPr>
          <w:rFonts w:cs="Arial"/>
          <w:b/>
          <w:szCs w:val="20"/>
          <w:lang w:val="sl-SI" w:eastAsia="sl-SI"/>
        </w:rPr>
      </w:pPr>
    </w:p>
    <w:p w14:paraId="39159C91" w14:textId="77777777" w:rsidR="000A51A5" w:rsidRPr="003077CA" w:rsidRDefault="000A51A5" w:rsidP="000A51A5">
      <w:pPr>
        <w:spacing w:line="276" w:lineRule="auto"/>
        <w:jc w:val="both"/>
        <w:rPr>
          <w:rFonts w:cs="Arial"/>
          <w:bCs/>
          <w:szCs w:val="20"/>
          <w:lang w:val="sl-SI" w:eastAsia="sl-SI"/>
        </w:rPr>
      </w:pPr>
      <w:r w:rsidRPr="003077CA">
        <w:rPr>
          <w:rFonts w:cs="Arial"/>
          <w:bCs/>
          <w:szCs w:val="20"/>
          <w:lang w:val="sl-SI" w:eastAsia="sl-SI"/>
        </w:rPr>
        <w:t>S Prilogo 1 in Prilogo 2, ki sta sestavni del predlaganega zakona, se prenašata Priloga I in II Direktive 2022/2555/EU, pri čemer se upošteva</w:t>
      </w:r>
      <w:r>
        <w:rPr>
          <w:rFonts w:cs="Arial"/>
          <w:bCs/>
          <w:szCs w:val="20"/>
          <w:lang w:val="sl-SI" w:eastAsia="sl-SI"/>
        </w:rPr>
        <w:t>ta</w:t>
      </w:r>
      <w:r w:rsidRPr="003077CA">
        <w:rPr>
          <w:rFonts w:cs="Arial"/>
          <w:bCs/>
          <w:szCs w:val="20"/>
          <w:lang w:val="sl-SI" w:eastAsia="sl-SI"/>
        </w:rPr>
        <w:t xml:space="preserve"> tudi oblika in način urejanja. Za razliko od </w:t>
      </w:r>
      <w:r w:rsidRPr="003077CA">
        <w:rPr>
          <w:rFonts w:cs="Arial"/>
          <w:bCs/>
          <w:szCs w:val="20"/>
          <w:lang w:val="sl-SI" w:eastAsia="sl-SI"/>
        </w:rPr>
        <w:lastRenderedPageBreak/>
        <w:t xml:space="preserve">Priloge I in Priloge II Direktive 2022/2555/EU, ki se v tretjih stolpih »vrsta subjektov« sklicujeta na določbe posamičnih direktiv, pa </w:t>
      </w:r>
      <w:r>
        <w:rPr>
          <w:rFonts w:cs="Arial"/>
          <w:bCs/>
          <w:szCs w:val="20"/>
          <w:lang w:val="sl-SI" w:eastAsia="sl-SI"/>
        </w:rPr>
        <w:t>p</w:t>
      </w:r>
      <w:r w:rsidRPr="003077CA">
        <w:rPr>
          <w:rFonts w:cs="Arial"/>
          <w:bCs/>
          <w:szCs w:val="20"/>
          <w:lang w:val="sl-SI" w:eastAsia="sl-SI"/>
        </w:rPr>
        <w:t>rilog</w:t>
      </w:r>
      <w:r>
        <w:rPr>
          <w:rFonts w:cs="Arial"/>
          <w:bCs/>
          <w:szCs w:val="20"/>
          <w:lang w:val="sl-SI" w:eastAsia="sl-SI"/>
        </w:rPr>
        <w:t>i</w:t>
      </w:r>
      <w:r w:rsidRPr="003077CA">
        <w:rPr>
          <w:rFonts w:cs="Arial"/>
          <w:bCs/>
          <w:szCs w:val="20"/>
          <w:lang w:val="sl-SI" w:eastAsia="sl-SI"/>
        </w:rPr>
        <w:t xml:space="preserve"> 1 in 2 predlaganega zakona navajata določbe zakonov oziroma predpisov, s katerimi so bile zadevne direktive prenesene v slovenski pravni red. Navedeno je bilo dodatno usklajevano z resorji, v katerih področje dela </w:t>
      </w:r>
      <w:r>
        <w:rPr>
          <w:rFonts w:cs="Arial"/>
          <w:bCs/>
          <w:szCs w:val="20"/>
          <w:lang w:val="sl-SI" w:eastAsia="sl-SI"/>
        </w:rPr>
        <w:t>spadajo</w:t>
      </w:r>
      <w:r w:rsidRPr="003077CA">
        <w:rPr>
          <w:rFonts w:cs="Arial"/>
          <w:bCs/>
          <w:szCs w:val="20"/>
          <w:lang w:val="sl-SI" w:eastAsia="sl-SI"/>
        </w:rPr>
        <w:t xml:space="preserve"> zadevne direktive oziroma nacionalni predpisi. Ob načeloma neposredni uporabi uredb EU, na katere se </w:t>
      </w:r>
      <w:r>
        <w:rPr>
          <w:rFonts w:cs="Arial"/>
          <w:bCs/>
          <w:szCs w:val="20"/>
          <w:lang w:val="sl-SI" w:eastAsia="sl-SI"/>
        </w:rPr>
        <w:t>p</w:t>
      </w:r>
      <w:r w:rsidRPr="003077CA">
        <w:rPr>
          <w:rFonts w:cs="Arial"/>
          <w:bCs/>
          <w:szCs w:val="20"/>
          <w:lang w:val="sl-SI" w:eastAsia="sl-SI"/>
        </w:rPr>
        <w:t>rilogi I in II Direktive 2022/2555/EU tudi sklicujeta, se v Prilogi 1 in Prilogi 2 ohranja</w:t>
      </w:r>
      <w:r>
        <w:rPr>
          <w:rFonts w:cs="Arial"/>
          <w:bCs/>
          <w:szCs w:val="20"/>
          <w:lang w:val="sl-SI" w:eastAsia="sl-SI"/>
        </w:rPr>
        <w:t>jo</w:t>
      </w:r>
      <w:r w:rsidRPr="003077CA">
        <w:rPr>
          <w:rFonts w:cs="Arial"/>
          <w:bCs/>
          <w:szCs w:val="20"/>
          <w:lang w:val="sl-SI" w:eastAsia="sl-SI"/>
        </w:rPr>
        <w:t xml:space="preserve"> sklic</w:t>
      </w:r>
      <w:r>
        <w:rPr>
          <w:rFonts w:cs="Arial"/>
          <w:bCs/>
          <w:szCs w:val="20"/>
          <w:lang w:val="sl-SI" w:eastAsia="sl-SI"/>
        </w:rPr>
        <w:t>i</w:t>
      </w:r>
      <w:r w:rsidRPr="003077CA">
        <w:rPr>
          <w:rFonts w:cs="Arial"/>
          <w:bCs/>
          <w:szCs w:val="20"/>
          <w:lang w:val="sl-SI" w:eastAsia="sl-SI"/>
        </w:rPr>
        <w:t xml:space="preserve"> na zadevne uredbe EU, razen </w:t>
      </w:r>
      <w:r>
        <w:rPr>
          <w:rFonts w:cs="Arial"/>
          <w:bCs/>
          <w:szCs w:val="20"/>
          <w:lang w:val="sl-SI" w:eastAsia="sl-SI"/>
        </w:rPr>
        <w:t>kadar</w:t>
      </w:r>
      <w:r w:rsidRPr="003077CA">
        <w:rPr>
          <w:rFonts w:cs="Arial"/>
          <w:bCs/>
          <w:szCs w:val="20"/>
          <w:lang w:val="sl-SI" w:eastAsia="sl-SI"/>
        </w:rPr>
        <w:t xml:space="preserve"> je pristojni resor opozoril na nacionalno zakonodajo, ki jo je bilo treba navesti.</w:t>
      </w:r>
    </w:p>
    <w:p w14:paraId="0D242B50" w14:textId="77777777" w:rsidR="000A51A5" w:rsidRPr="003077CA" w:rsidRDefault="000A51A5" w:rsidP="000A51A5">
      <w:pPr>
        <w:spacing w:line="276" w:lineRule="auto"/>
        <w:rPr>
          <w:rFonts w:cs="Arial"/>
          <w:b/>
          <w:szCs w:val="20"/>
          <w:lang w:val="sl-SI" w:eastAsia="sl-SI"/>
        </w:rPr>
      </w:pPr>
    </w:p>
    <w:p w14:paraId="3F9E5E39" w14:textId="77777777" w:rsidR="000A51A5" w:rsidRPr="003077CA" w:rsidRDefault="000A51A5" w:rsidP="000A51A5">
      <w:pPr>
        <w:spacing w:line="276" w:lineRule="auto"/>
        <w:rPr>
          <w:rFonts w:cs="Arial"/>
          <w:b/>
          <w:szCs w:val="20"/>
          <w:lang w:val="sl-SI" w:eastAsia="sl-SI"/>
        </w:rPr>
      </w:pPr>
      <w:r w:rsidRPr="003077CA">
        <w:rPr>
          <w:rFonts w:cs="Arial"/>
          <w:b/>
          <w:szCs w:val="20"/>
          <w:lang w:val="sl-SI" w:eastAsia="sl-SI"/>
        </w:rPr>
        <w:t>K Prilogi 3</w:t>
      </w:r>
    </w:p>
    <w:p w14:paraId="39919975" w14:textId="77777777" w:rsidR="000A51A5" w:rsidRPr="003077CA" w:rsidRDefault="000A51A5" w:rsidP="000A51A5">
      <w:pPr>
        <w:spacing w:line="276" w:lineRule="auto"/>
        <w:rPr>
          <w:rFonts w:cs="Arial"/>
          <w:bCs/>
          <w:szCs w:val="20"/>
          <w:lang w:val="sl-SI" w:eastAsia="sl-SI"/>
        </w:rPr>
      </w:pPr>
    </w:p>
    <w:p w14:paraId="21B8F4CC" w14:textId="77777777" w:rsidR="000A51A5" w:rsidRPr="003077CA" w:rsidRDefault="000A51A5" w:rsidP="000A51A5">
      <w:pPr>
        <w:spacing w:line="276" w:lineRule="auto"/>
        <w:jc w:val="both"/>
        <w:rPr>
          <w:rFonts w:cs="Arial"/>
          <w:bCs/>
          <w:szCs w:val="20"/>
          <w:lang w:val="sl-SI" w:eastAsia="sl-SI"/>
        </w:rPr>
      </w:pPr>
      <w:r w:rsidRPr="003077CA">
        <w:rPr>
          <w:rFonts w:cs="Arial"/>
          <w:bCs/>
          <w:szCs w:val="20"/>
          <w:lang w:val="sl-SI" w:eastAsia="sl-SI"/>
        </w:rPr>
        <w:t>S Prilogo 3, ki je prav tako sestavni del predlaganega zakona, se zasleduje večja jasnost zakona. Načelo jasnosti in pomenske določljivosti je eno od načel pravne države iz 2. člena Ustave. To načelo zahteva, da so predpisi jasni in določni, tako da je mogoče ugotoviti njihovo vsebino in namen</w:t>
      </w:r>
      <w:r>
        <w:rPr>
          <w:rFonts w:cs="Arial"/>
          <w:bCs/>
          <w:szCs w:val="20"/>
          <w:lang w:val="sl-SI" w:eastAsia="sl-SI"/>
        </w:rPr>
        <w:t>,</w:t>
      </w:r>
      <w:r w:rsidRPr="003077CA">
        <w:rPr>
          <w:rFonts w:cs="Arial"/>
          <w:bCs/>
          <w:szCs w:val="20"/>
          <w:lang w:val="sl-SI" w:eastAsia="sl-SI"/>
        </w:rPr>
        <w:t xml:space="preserve"> oziroma da so predpisi opredeljeni tako, da jih je mogoče izvajati, da ne omogočajo arbitrarnega ravnanja ter da nedvoumno in dovolj določno opredeljujejo pravni položaj subjektov, na katere se nanašajo. Predpis torej izpolnjuje zahtevo po jasnosti in pomenski določljivosti, če je mogoče z ustaljenimi metodami razlage ugotoviti vsebino pravila in je na ta način dolžno ravnanje naslovnikov določno in predvidljivo, obenem pa ne izpostavlja naslovnikov pravnih pravil stopnji nepredvidljivosti in negotovosti pravnih posledic njihovih storitev in opustitev, ki je, upoštevaje vse okoliščine, ustavnopravno nevzdržna in nesprejemljiva.</w:t>
      </w:r>
    </w:p>
    <w:p w14:paraId="4F940109" w14:textId="77777777" w:rsidR="000A51A5" w:rsidRPr="003077CA" w:rsidRDefault="000A51A5" w:rsidP="000A51A5">
      <w:pPr>
        <w:spacing w:line="276" w:lineRule="auto"/>
        <w:jc w:val="both"/>
        <w:rPr>
          <w:rFonts w:cs="Arial"/>
          <w:bCs/>
          <w:szCs w:val="20"/>
          <w:lang w:val="sl-SI" w:eastAsia="sl-SI"/>
        </w:rPr>
      </w:pPr>
    </w:p>
    <w:p w14:paraId="7BF8A8AF" w14:textId="77777777" w:rsidR="000A51A5" w:rsidRPr="003077CA" w:rsidRDefault="000A51A5" w:rsidP="000A51A5">
      <w:pPr>
        <w:spacing w:line="276" w:lineRule="auto"/>
        <w:jc w:val="both"/>
        <w:rPr>
          <w:rFonts w:cs="Arial"/>
          <w:bCs/>
          <w:szCs w:val="20"/>
          <w:lang w:val="sl-SI" w:eastAsia="sl-SI"/>
        </w:rPr>
      </w:pPr>
      <w:r w:rsidRPr="003077CA">
        <w:rPr>
          <w:rFonts w:cs="Arial"/>
          <w:bCs/>
          <w:szCs w:val="20"/>
          <w:lang w:val="sl-SI" w:eastAsia="sl-SI"/>
        </w:rPr>
        <w:t>Namen Priloge 3 je jasno določiti</w:t>
      </w:r>
      <w:r>
        <w:rPr>
          <w:rFonts w:cs="Arial"/>
          <w:bCs/>
          <w:szCs w:val="20"/>
          <w:lang w:val="sl-SI" w:eastAsia="sl-SI"/>
        </w:rPr>
        <w:t>,</w:t>
      </w:r>
      <w:r w:rsidRPr="003077CA">
        <w:rPr>
          <w:rFonts w:cs="Arial"/>
          <w:bCs/>
          <w:szCs w:val="20"/>
          <w:lang w:val="sl-SI" w:eastAsia="sl-SI"/>
        </w:rPr>
        <w:t xml:space="preserve"> kateri subjekti so zavezanci tega zakona, kot jih ta opredeljuje v 66. točki 5. člena. V prvi vrsti so v določbi 65. točke 5. člena tega zakona določeni subjekti javne uprave (na državni ali lokalni ravni). Nadalje so v določbi 66. točke 5. člena tega zakona, kjer je opredelitev pojma subjekti javne uprave, navedene določene pravne oblike po pravu Republike Slovenije, ki se po tem zakonu štejejo za subjekte javne uprave na državni ravni (ministrstva, organi v njihovi sestavi, vladne službe in upravne enote, pa tudi tisti javni infrastrukturni zavodi, ki so ustanovljeni v skladu z zakonom, ki ureja znanstvenoraziskovalno in inovacijsko dejavnost). Z oblikovanjem Priloge 3 pa je upoštevano načelo jasnosti tako, da se z njo vključi</w:t>
      </w:r>
      <w:r>
        <w:rPr>
          <w:rFonts w:cs="Arial"/>
          <w:bCs/>
          <w:szCs w:val="20"/>
          <w:lang w:val="sl-SI" w:eastAsia="sl-SI"/>
        </w:rPr>
        <w:t>jo</w:t>
      </w:r>
      <w:r w:rsidRPr="003077CA">
        <w:rPr>
          <w:rFonts w:cs="Arial"/>
          <w:bCs/>
          <w:szCs w:val="20"/>
          <w:lang w:val="sl-SI" w:eastAsia="sl-SI"/>
        </w:rPr>
        <w:t xml:space="preserve"> določen</w:t>
      </w:r>
      <w:r>
        <w:rPr>
          <w:rFonts w:cs="Arial"/>
          <w:bCs/>
          <w:szCs w:val="20"/>
          <w:lang w:val="sl-SI" w:eastAsia="sl-SI"/>
        </w:rPr>
        <w:t>i</w:t>
      </w:r>
      <w:r w:rsidRPr="003077CA">
        <w:rPr>
          <w:rFonts w:cs="Arial"/>
          <w:bCs/>
          <w:szCs w:val="20"/>
          <w:lang w:val="sl-SI" w:eastAsia="sl-SI"/>
        </w:rPr>
        <w:t xml:space="preserve"> drug</w:t>
      </w:r>
      <w:r>
        <w:rPr>
          <w:rFonts w:cs="Arial"/>
          <w:bCs/>
          <w:szCs w:val="20"/>
          <w:lang w:val="sl-SI" w:eastAsia="sl-SI"/>
        </w:rPr>
        <w:t>i</w:t>
      </w:r>
      <w:r w:rsidRPr="003077CA">
        <w:rPr>
          <w:rFonts w:cs="Arial"/>
          <w:bCs/>
          <w:szCs w:val="20"/>
          <w:lang w:val="sl-SI" w:eastAsia="sl-SI"/>
        </w:rPr>
        <w:t xml:space="preserve"> subjekt</w:t>
      </w:r>
      <w:r>
        <w:rPr>
          <w:rFonts w:cs="Arial"/>
          <w:bCs/>
          <w:szCs w:val="20"/>
          <w:lang w:val="sl-SI" w:eastAsia="sl-SI"/>
        </w:rPr>
        <w:t>i</w:t>
      </w:r>
      <w:r w:rsidRPr="003077CA">
        <w:rPr>
          <w:rFonts w:cs="Arial"/>
          <w:bCs/>
          <w:szCs w:val="20"/>
          <w:lang w:val="sl-SI" w:eastAsia="sl-SI"/>
        </w:rPr>
        <w:t xml:space="preserve"> javne uprave, ki izvajajo naloge na državni ravni in je njihova ustanoviteljica Republika Slovenija</w:t>
      </w:r>
      <w:r>
        <w:rPr>
          <w:rFonts w:cs="Arial"/>
          <w:bCs/>
          <w:szCs w:val="20"/>
          <w:lang w:val="sl-SI" w:eastAsia="sl-SI"/>
        </w:rPr>
        <w:t>, ter</w:t>
      </w:r>
      <w:r w:rsidRPr="003077CA">
        <w:rPr>
          <w:rFonts w:cs="Arial"/>
          <w:bCs/>
          <w:szCs w:val="20"/>
          <w:lang w:val="sl-SI" w:eastAsia="sl-SI"/>
        </w:rPr>
        <w:t xml:space="preserve"> se jih poimensko določi. Z uvedbo Priloge 3 je odpravljena potreba, da se v 5. členu določa</w:t>
      </w:r>
      <w:r>
        <w:rPr>
          <w:rFonts w:cs="Arial"/>
          <w:bCs/>
          <w:szCs w:val="20"/>
          <w:lang w:val="sl-SI" w:eastAsia="sl-SI"/>
        </w:rPr>
        <w:t>jo</w:t>
      </w:r>
      <w:r w:rsidRPr="003077CA">
        <w:rPr>
          <w:rFonts w:cs="Arial"/>
          <w:bCs/>
          <w:szCs w:val="20"/>
          <w:lang w:val="sl-SI" w:eastAsia="sl-SI"/>
        </w:rPr>
        <w:t xml:space="preserve"> kriterij</w:t>
      </w:r>
      <w:r>
        <w:rPr>
          <w:rFonts w:cs="Arial"/>
          <w:bCs/>
          <w:szCs w:val="20"/>
          <w:lang w:val="sl-SI" w:eastAsia="sl-SI"/>
        </w:rPr>
        <w:t>i,</w:t>
      </w:r>
      <w:r w:rsidRPr="003077CA">
        <w:rPr>
          <w:rFonts w:cs="Arial"/>
          <w:bCs/>
          <w:szCs w:val="20"/>
          <w:lang w:val="sl-SI" w:eastAsia="sl-SI"/>
        </w:rPr>
        <w:t xml:space="preserve"> po katerih bi takšni subjekti morali opraviti presojo</w:t>
      </w:r>
      <w:r>
        <w:rPr>
          <w:rFonts w:cs="Arial"/>
          <w:bCs/>
          <w:szCs w:val="20"/>
          <w:lang w:val="sl-SI" w:eastAsia="sl-SI"/>
        </w:rPr>
        <w:t>,</w:t>
      </w:r>
      <w:r w:rsidRPr="003077CA">
        <w:rPr>
          <w:rFonts w:cs="Arial"/>
          <w:bCs/>
          <w:szCs w:val="20"/>
          <w:lang w:val="sl-SI" w:eastAsia="sl-SI"/>
        </w:rPr>
        <w:t xml:space="preserve"> ali so zavezanci. To seveda ne odpravlja dolžnosti teh subjektov, ki izhaja iz določbe 8. člena tega zakona.</w:t>
      </w:r>
    </w:p>
    <w:p w14:paraId="0D6C296E" w14:textId="77777777" w:rsidR="000A51A5" w:rsidRPr="003077CA" w:rsidRDefault="000A51A5" w:rsidP="000A51A5">
      <w:pPr>
        <w:spacing w:line="276" w:lineRule="auto"/>
        <w:jc w:val="both"/>
        <w:rPr>
          <w:rFonts w:cs="Arial"/>
          <w:bCs/>
          <w:szCs w:val="20"/>
          <w:lang w:val="sl-SI" w:eastAsia="sl-SI"/>
        </w:rPr>
      </w:pPr>
    </w:p>
    <w:p w14:paraId="097E0B26" w14:textId="77777777" w:rsidR="000A51A5" w:rsidRPr="003077CA" w:rsidRDefault="000A51A5" w:rsidP="000A51A5">
      <w:pPr>
        <w:spacing w:line="276" w:lineRule="auto"/>
        <w:jc w:val="both"/>
        <w:rPr>
          <w:rFonts w:cs="Arial"/>
          <w:bCs/>
          <w:szCs w:val="20"/>
          <w:lang w:val="sl-SI" w:eastAsia="sl-SI"/>
        </w:rPr>
      </w:pPr>
      <w:r w:rsidRPr="003077CA">
        <w:rPr>
          <w:rFonts w:cs="Arial"/>
          <w:bCs/>
          <w:szCs w:val="20"/>
          <w:lang w:val="sl-SI" w:eastAsia="sl-SI"/>
        </w:rPr>
        <w:t xml:space="preserve">Priloga 3 vsebuje tabelo drugih subjektov javne uprave na državni ravni. V njej je poimensko navedenih 39 takšnih subjektov. Razdeljeni so v </w:t>
      </w:r>
      <w:r>
        <w:rPr>
          <w:rFonts w:cs="Arial"/>
          <w:bCs/>
          <w:szCs w:val="20"/>
          <w:lang w:val="sl-SI" w:eastAsia="sl-SI"/>
        </w:rPr>
        <w:t>štiri</w:t>
      </w:r>
      <w:r w:rsidRPr="003077CA">
        <w:rPr>
          <w:rFonts w:cs="Arial"/>
          <w:bCs/>
          <w:szCs w:val="20"/>
          <w:lang w:val="sl-SI" w:eastAsia="sl-SI"/>
        </w:rPr>
        <w:t xml:space="preserve"> sklope: javne agencije, javne sklade, javne zavode in druge osebe javnega prava oziroma neodvisne državne organe.</w:t>
      </w:r>
    </w:p>
    <w:p w14:paraId="437E6E65" w14:textId="77777777" w:rsidR="000A51A5" w:rsidRPr="003077CA" w:rsidRDefault="000A51A5" w:rsidP="000A51A5">
      <w:pPr>
        <w:spacing w:line="276" w:lineRule="auto"/>
        <w:rPr>
          <w:rFonts w:cs="Arial"/>
          <w:b/>
          <w:szCs w:val="20"/>
          <w:lang w:val="sl-SI" w:eastAsia="sl-SI"/>
        </w:rPr>
      </w:pPr>
    </w:p>
    <w:p w14:paraId="645DFE5E" w14:textId="77777777" w:rsidR="000A51A5" w:rsidRPr="003077CA" w:rsidRDefault="000A51A5" w:rsidP="000A51A5">
      <w:pPr>
        <w:spacing w:line="276" w:lineRule="auto"/>
        <w:rPr>
          <w:rFonts w:cs="Arial"/>
          <w:b/>
          <w:szCs w:val="20"/>
          <w:lang w:val="sl-SI" w:eastAsia="sl-SI"/>
        </w:rPr>
      </w:pPr>
    </w:p>
    <w:p w14:paraId="04F448A6" w14:textId="77777777" w:rsidR="000A51A5" w:rsidRPr="003077CA" w:rsidRDefault="000A51A5" w:rsidP="000A51A5">
      <w:pPr>
        <w:spacing w:line="276" w:lineRule="auto"/>
        <w:jc w:val="both"/>
        <w:rPr>
          <w:rFonts w:cs="Arial"/>
          <w:szCs w:val="20"/>
          <w:lang w:val="sl-SI" w:eastAsia="sl-SI"/>
        </w:rPr>
      </w:pPr>
    </w:p>
    <w:p w14:paraId="2A93BC62" w14:textId="77777777" w:rsidR="000A51A5" w:rsidRPr="00137EDA" w:rsidRDefault="000A51A5" w:rsidP="000A51A5">
      <w:pPr>
        <w:suppressAutoHyphens/>
        <w:overflowPunct w:val="0"/>
        <w:autoSpaceDE w:val="0"/>
        <w:autoSpaceDN w:val="0"/>
        <w:adjustRightInd w:val="0"/>
        <w:spacing w:line="276" w:lineRule="auto"/>
        <w:textAlignment w:val="baseline"/>
        <w:outlineLvl w:val="3"/>
        <w:rPr>
          <w:rFonts w:cs="Arial"/>
          <w:b/>
          <w:szCs w:val="20"/>
          <w:lang w:val="sl-SI" w:eastAsia="sl-SI"/>
        </w:rPr>
      </w:pPr>
    </w:p>
    <w:p w14:paraId="305289AC" w14:textId="77777777" w:rsidR="009954BB" w:rsidRPr="000A51A5" w:rsidRDefault="009954BB" w:rsidP="009954BB">
      <w:pPr>
        <w:suppressAutoHyphens/>
        <w:overflowPunct w:val="0"/>
        <w:autoSpaceDE w:val="0"/>
        <w:autoSpaceDN w:val="0"/>
        <w:adjustRightInd w:val="0"/>
        <w:spacing w:line="276" w:lineRule="auto"/>
        <w:textAlignment w:val="baseline"/>
        <w:outlineLvl w:val="3"/>
        <w:rPr>
          <w:rFonts w:cs="Arial"/>
          <w:bCs/>
          <w:szCs w:val="20"/>
          <w:lang w:val="sl-SI" w:eastAsia="sl-SI"/>
        </w:rPr>
      </w:pPr>
    </w:p>
    <w:p w14:paraId="73C6C2DD" w14:textId="77777777" w:rsidR="00891912" w:rsidRPr="00C50F53" w:rsidRDefault="00891912">
      <w:pPr>
        <w:spacing w:line="240" w:lineRule="auto"/>
        <w:rPr>
          <w:rFonts w:cs="Arial"/>
          <w:b/>
          <w:szCs w:val="20"/>
          <w:lang w:val="sl-SI" w:eastAsia="sl-SI"/>
        </w:rPr>
      </w:pPr>
      <w:r w:rsidRPr="00C50F53">
        <w:rPr>
          <w:rFonts w:cs="Arial"/>
          <w:b/>
          <w:szCs w:val="20"/>
          <w:lang w:val="sl-SI" w:eastAsia="sl-SI"/>
        </w:rPr>
        <w:br w:type="page"/>
      </w:r>
    </w:p>
    <w:p w14:paraId="537D26AD" w14:textId="04A61D82" w:rsidR="009954BB" w:rsidRPr="00C50F53"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lastRenderedPageBreak/>
        <w:t>IV. BESEDILO ČLENOV, KI SE SPREMINJAJO</w:t>
      </w:r>
    </w:p>
    <w:p w14:paraId="1A2E8E7F" w14:textId="77777777" w:rsidR="009954BB" w:rsidRPr="00C50F53" w:rsidRDefault="009954BB" w:rsidP="001B0164">
      <w:pPr>
        <w:suppressAutoHyphens/>
        <w:overflowPunct w:val="0"/>
        <w:autoSpaceDE w:val="0"/>
        <w:autoSpaceDN w:val="0"/>
        <w:adjustRightInd w:val="0"/>
        <w:spacing w:line="260" w:lineRule="atLeast"/>
        <w:textAlignment w:val="baseline"/>
        <w:outlineLvl w:val="3"/>
        <w:rPr>
          <w:rFonts w:cs="Arial"/>
          <w:b/>
          <w:szCs w:val="20"/>
          <w:lang w:val="sl-SI" w:eastAsia="sl-SI"/>
        </w:rPr>
      </w:pPr>
    </w:p>
    <w:p w14:paraId="72FE15AB" w14:textId="148DF257" w:rsidR="00891912" w:rsidRPr="00CF315D" w:rsidRDefault="00891912" w:rsidP="001B0164">
      <w:pPr>
        <w:suppressAutoHyphens/>
        <w:overflowPunct w:val="0"/>
        <w:autoSpaceDE w:val="0"/>
        <w:autoSpaceDN w:val="0"/>
        <w:adjustRightInd w:val="0"/>
        <w:spacing w:line="240" w:lineRule="auto"/>
        <w:textAlignment w:val="baseline"/>
        <w:outlineLvl w:val="3"/>
        <w:rPr>
          <w:rFonts w:cs="Arial"/>
          <w:b/>
          <w:bCs/>
          <w:szCs w:val="20"/>
          <w:lang w:val="sl-SI" w:eastAsia="sl-SI"/>
        </w:rPr>
      </w:pPr>
      <w:r w:rsidRPr="00CF315D">
        <w:rPr>
          <w:rFonts w:cs="Arial"/>
          <w:b/>
          <w:bCs/>
          <w:szCs w:val="20"/>
          <w:lang w:val="sl-SI" w:eastAsia="sl-SI"/>
        </w:rPr>
        <w:t>Zakon o dostopu do informacij javnega značaja (ZDIJZ) Uradni list RS, št. </w:t>
      </w:r>
      <w:r w:rsidR="001B0164" w:rsidRPr="00CF315D">
        <w:rPr>
          <w:b/>
          <w:bCs/>
          <w:lang w:val="sl-SI"/>
        </w:rPr>
        <w:t>51/06</w:t>
      </w:r>
      <w:r w:rsidRPr="00CF315D">
        <w:rPr>
          <w:rFonts w:cs="Arial"/>
          <w:b/>
          <w:bCs/>
          <w:szCs w:val="20"/>
          <w:lang w:val="sl-SI" w:eastAsia="sl-SI"/>
        </w:rPr>
        <w:t> – uradno prečiščeno besedilo, </w:t>
      </w:r>
      <w:r w:rsidR="001B0164" w:rsidRPr="00CF315D">
        <w:rPr>
          <w:b/>
          <w:bCs/>
          <w:lang w:val="sl-SI"/>
        </w:rPr>
        <w:t>117/06</w:t>
      </w:r>
      <w:r w:rsidRPr="00CF315D">
        <w:rPr>
          <w:rFonts w:cs="Arial"/>
          <w:b/>
          <w:bCs/>
          <w:szCs w:val="20"/>
          <w:lang w:val="sl-SI" w:eastAsia="sl-SI"/>
        </w:rPr>
        <w:t> – ZDavP-2, </w:t>
      </w:r>
      <w:r w:rsidR="001B0164" w:rsidRPr="00CF315D">
        <w:rPr>
          <w:b/>
          <w:bCs/>
          <w:lang w:val="sl-SI"/>
        </w:rPr>
        <w:t>23/14</w:t>
      </w:r>
      <w:r w:rsidRPr="00CF315D">
        <w:rPr>
          <w:rFonts w:cs="Arial"/>
          <w:b/>
          <w:bCs/>
          <w:szCs w:val="20"/>
          <w:lang w:val="sl-SI" w:eastAsia="sl-SI"/>
        </w:rPr>
        <w:t>, </w:t>
      </w:r>
      <w:r w:rsidR="001B0164" w:rsidRPr="00CF315D">
        <w:rPr>
          <w:b/>
          <w:bCs/>
          <w:lang w:val="sl-SI"/>
        </w:rPr>
        <w:t>50/14</w:t>
      </w:r>
      <w:r w:rsidRPr="00CF315D">
        <w:rPr>
          <w:rFonts w:cs="Arial"/>
          <w:b/>
          <w:bCs/>
          <w:szCs w:val="20"/>
          <w:lang w:val="sl-SI" w:eastAsia="sl-SI"/>
        </w:rPr>
        <w:t>, </w:t>
      </w:r>
      <w:r w:rsidR="001B0164" w:rsidRPr="00CF315D">
        <w:rPr>
          <w:b/>
          <w:bCs/>
          <w:lang w:val="sl-SI"/>
        </w:rPr>
        <w:t>19/15</w:t>
      </w:r>
      <w:r w:rsidRPr="00CF315D">
        <w:rPr>
          <w:rFonts w:cs="Arial"/>
          <w:b/>
          <w:bCs/>
          <w:szCs w:val="20"/>
          <w:lang w:val="sl-SI" w:eastAsia="sl-SI"/>
        </w:rPr>
        <w:t> – odl. S, </w:t>
      </w:r>
      <w:r w:rsidR="001B0164" w:rsidRPr="00CF315D">
        <w:rPr>
          <w:b/>
          <w:bCs/>
          <w:lang w:val="sl-SI"/>
        </w:rPr>
        <w:t>102/15</w:t>
      </w:r>
      <w:r w:rsidRPr="00CF315D">
        <w:rPr>
          <w:rFonts w:cs="Arial"/>
          <w:b/>
          <w:bCs/>
          <w:szCs w:val="20"/>
          <w:lang w:val="sl-SI" w:eastAsia="sl-SI"/>
        </w:rPr>
        <w:t>, </w:t>
      </w:r>
      <w:r w:rsidR="001B0164" w:rsidRPr="00CF315D">
        <w:rPr>
          <w:b/>
          <w:bCs/>
          <w:lang w:val="sl-SI"/>
        </w:rPr>
        <w:t>7/18</w:t>
      </w:r>
      <w:r w:rsidRPr="00CF315D">
        <w:rPr>
          <w:rFonts w:cs="Arial"/>
          <w:b/>
          <w:bCs/>
          <w:szCs w:val="20"/>
          <w:lang w:val="sl-SI" w:eastAsia="sl-SI"/>
        </w:rPr>
        <w:t> in </w:t>
      </w:r>
      <w:r w:rsidR="001B0164" w:rsidRPr="00CF315D">
        <w:rPr>
          <w:b/>
          <w:bCs/>
          <w:lang w:val="sl-SI"/>
        </w:rPr>
        <w:t>141/22</w:t>
      </w:r>
    </w:p>
    <w:p w14:paraId="353B2EC7" w14:textId="77777777" w:rsidR="00891912" w:rsidRPr="00C50F53" w:rsidRDefault="00891912" w:rsidP="001B0164">
      <w:pPr>
        <w:pBdr>
          <w:top w:val="none" w:sz="0" w:space="24" w:color="auto"/>
        </w:pBdr>
        <w:spacing w:line="240" w:lineRule="auto"/>
        <w:jc w:val="center"/>
        <w:rPr>
          <w:rFonts w:eastAsia="Arial" w:cs="Arial"/>
          <w:b/>
          <w:bCs/>
          <w:szCs w:val="20"/>
          <w:lang w:val="sl-SI"/>
        </w:rPr>
      </w:pPr>
      <w:r w:rsidRPr="00C50F53">
        <w:rPr>
          <w:rFonts w:eastAsia="Arial" w:cs="Arial"/>
          <w:b/>
          <w:bCs/>
          <w:szCs w:val="20"/>
          <w:lang w:val="sl-SI"/>
        </w:rPr>
        <w:t>6. člen</w:t>
      </w:r>
    </w:p>
    <w:p w14:paraId="3A7E4B5B" w14:textId="77777777" w:rsidR="00891912" w:rsidRPr="00C50F53" w:rsidRDefault="00891912" w:rsidP="001B0164">
      <w:pPr>
        <w:pBdr>
          <w:top w:val="none" w:sz="0" w:space="24" w:color="auto"/>
        </w:pBdr>
        <w:spacing w:line="240" w:lineRule="auto"/>
        <w:jc w:val="center"/>
        <w:rPr>
          <w:rFonts w:eastAsia="Arial" w:cs="Arial"/>
          <w:b/>
          <w:bCs/>
          <w:szCs w:val="20"/>
          <w:lang w:val="sl-SI"/>
        </w:rPr>
      </w:pPr>
      <w:r w:rsidRPr="00C50F53">
        <w:rPr>
          <w:rFonts w:eastAsia="Arial" w:cs="Arial"/>
          <w:b/>
          <w:bCs/>
          <w:szCs w:val="20"/>
          <w:lang w:val="sl-SI"/>
        </w:rPr>
        <w:t>(izjeme)</w:t>
      </w:r>
    </w:p>
    <w:p w14:paraId="1A1DAB57" w14:textId="77777777" w:rsidR="00891912" w:rsidRPr="00C50F53" w:rsidRDefault="00891912" w:rsidP="00891912">
      <w:pPr>
        <w:pBdr>
          <w:top w:val="none" w:sz="0" w:space="12" w:color="auto"/>
        </w:pBdr>
        <w:spacing w:before="210" w:after="210" w:line="240" w:lineRule="auto"/>
        <w:ind w:firstLine="1021"/>
        <w:jc w:val="both"/>
        <w:rPr>
          <w:rFonts w:eastAsia="Arial" w:cs="Arial"/>
          <w:szCs w:val="20"/>
          <w:lang w:val="sl-SI"/>
        </w:rPr>
      </w:pPr>
      <w:r w:rsidRPr="00C50F53">
        <w:rPr>
          <w:rFonts w:eastAsia="Arial" w:cs="Arial"/>
          <w:szCs w:val="20"/>
          <w:lang w:val="sl-SI"/>
        </w:rPr>
        <w:t>(1) Organ prosilcu zavrne dostop do zahtevane informacije, če se zahteva nanaša na:</w:t>
      </w:r>
    </w:p>
    <w:p w14:paraId="7F42F4CE" w14:textId="77777777" w:rsidR="00891912" w:rsidRPr="00C50F53" w:rsidRDefault="00891912" w:rsidP="00891912">
      <w:pPr>
        <w:spacing w:before="210" w:after="210" w:line="240" w:lineRule="auto"/>
        <w:ind w:left="425" w:hanging="425"/>
        <w:jc w:val="both"/>
        <w:rPr>
          <w:rFonts w:eastAsia="Arial" w:cs="Arial"/>
          <w:szCs w:val="20"/>
          <w:lang w:val="sl-SI"/>
        </w:rPr>
      </w:pPr>
      <w:r w:rsidRPr="00C50F53">
        <w:rPr>
          <w:rFonts w:eastAsia="Arial" w:cs="Arial"/>
          <w:szCs w:val="20"/>
          <w:lang w:val="sl-SI"/>
        </w:rPr>
        <w:t>1.      podatek, ki je na podlagi zakona, ki ureja tajne podatke, opredeljen kot tajen;</w:t>
      </w:r>
    </w:p>
    <w:p w14:paraId="46B678A0" w14:textId="77777777" w:rsidR="00891912" w:rsidRPr="00C50F53" w:rsidRDefault="00891912" w:rsidP="00891912">
      <w:pPr>
        <w:spacing w:before="210" w:after="210" w:line="240" w:lineRule="auto"/>
        <w:ind w:left="425" w:hanging="425"/>
        <w:jc w:val="both"/>
        <w:rPr>
          <w:rFonts w:eastAsia="Arial" w:cs="Arial"/>
          <w:szCs w:val="20"/>
          <w:lang w:val="sl-SI"/>
        </w:rPr>
      </w:pPr>
      <w:r w:rsidRPr="00C50F53">
        <w:rPr>
          <w:rFonts w:eastAsia="Arial" w:cs="Arial"/>
          <w:szCs w:val="20"/>
          <w:lang w:val="sl-SI"/>
        </w:rPr>
        <w:t>2.      podatek, ki je opredeljen kot poslovna skrivnost v skladu z zakonom, ki ureja gospodarske družbe;</w:t>
      </w:r>
    </w:p>
    <w:p w14:paraId="613E5A4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      osebni podatek, katerega razkritje bi pomenilo kršitev varstva osebnih podatkov v skladu z zakonom, ki ureja varstvo osebnih podatkov;</w:t>
      </w:r>
    </w:p>
    <w:p w14:paraId="301A52E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      podatek, katerega razkritje bi pomenilo kršitev zaupnosti individualnih podatkov o poročevalskih enotah skladno z zakonom, ki ureja dejavnost državne statistike;</w:t>
      </w:r>
    </w:p>
    <w:p w14:paraId="7CEC0E9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      podatek, katerega razkritje bi pomenilo kršitev zaupnosti davčnega postopka ali davčne tajnosti, skladno z zakonom, ki ureja davčni postopek;</w:t>
      </w:r>
    </w:p>
    <w:p w14:paraId="06F95F9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      podatek, ki je bil pridobljen ali sestavljen zaradi kazenskega pregona ali v zvezi z njim, ali postopka s prekrški in bi njegovo razkritje škodovalo njegovi izvedbi;</w:t>
      </w:r>
    </w:p>
    <w:p w14:paraId="27D4494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      podatek, ki je bil pridobljen ali sestavljen zaradi upravnega postopka, in bi njegovo razkritje škodovalo njegovi izvedbi;</w:t>
      </w:r>
    </w:p>
    <w:p w14:paraId="160B9EC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      podatek, ki je bil pridobljen ali sestavljen zaradi pravdnega, nepravdnega ali drugega sodnega postopka, in bi njegovo razkritje škodovalo njegovi izvedbi;</w:t>
      </w:r>
    </w:p>
    <w:p w14:paraId="56D61EE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      podatek iz dokumenta, ki je v postopku izdelave, in je še predmet posvetovanja v organu, njegovo razkritje pa bi povzročilo napačno razumevanje njegove vsebine;</w:t>
      </w:r>
    </w:p>
    <w:p w14:paraId="6F6CD7D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   podatek o naravni oziroma kulturni vrednoti, ki v skladu z zakonom, ki ureja ohranjanje naravne ali kulturne dediščine, ni dostopen javnosti zaradi varovanja naravne oziroma kulturne vrednote;</w:t>
      </w:r>
    </w:p>
    <w:p w14:paraId="3DA03A7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   podatek iz dokumenta, ki je bil sestavljen v zvezi z notranjim delovanjem oziroma dejavnostjo organov, in bi njegovo razkritje povzročilo motnje pri delovanju oziroma dejavnosti organa.</w:t>
      </w:r>
    </w:p>
    <w:p w14:paraId="46F03429"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Ne glede na določbe prejšnjega odstavka, se dostop do zahtevane informacije dovoli, če je javni interes glede razkritja močnejši od javnega interesa ali interesa drugih oseb za omejitev dostopa do zahtevane informacije, razen v naslednjih primerih:</w:t>
      </w:r>
    </w:p>
    <w:p w14:paraId="080DDA9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za podatke, ki so v skladu z zakonom, ki ureja tajne podatke, označeni z najvišjima dvema stopnjama tajnosti;</w:t>
      </w:r>
    </w:p>
    <w:p w14:paraId="1686C61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za podatke, ki vsebujejo ali so pripravljeni na podlagi tajnih podatkov tuje države ali mednarodne organizacije, s katero ima Republika Slovenija sklenjeno mednarodno pogodbo v zvezi z izmenjavo ali posredovanjem tajnih podatkov;</w:t>
      </w:r>
    </w:p>
    <w:p w14:paraId="4B69486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        za podatke, ki vsebujejo ali so pripravljeni na podlagi davčnih podatkov, ki jih organom v Republiki Sloveniji posreduje organ tuje države;</w:t>
      </w:r>
    </w:p>
    <w:p w14:paraId="210B632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za podatke iz 4. točke prvega odstavka tega člena;</w:t>
      </w:r>
    </w:p>
    <w:p w14:paraId="4CE85AF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za podatke iz 5. točke prvega odstavka, razen če je davčni postopek že pravnomočno končan oziroma je zavezanec za davek obveznost ugotovil v obračunu davka in ga ni plačal v predpisanem roku.</w:t>
      </w:r>
    </w:p>
    <w:p w14:paraId="08F67041"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Ne glede na določbe prvega odstavka, se dostop do zahtevane informacije dovoli:</w:t>
      </w:r>
    </w:p>
    <w:p w14:paraId="713D1BC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če gre za podatke o porabi javnih sredstev ali podatke, povezane z opravljanjem javne funkcije ali delovnega razmerja javnega uslužbenca, razen v primerih iz 1. in 5. do 8. točke prvega odstavka ter v primerih, ko zakon, ki ureja javne finance ali zakon, ki ureja javna naročila, določata drugače;</w:t>
      </w:r>
    </w:p>
    <w:p w14:paraId="505F2A3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        če gre za podatke glede emisij v okolje, odpadkov, nevarnih snovi v obratu ali podatke iz varnostnega poročila in druge podatke, za katere tako določa zakon, ki ureja varstvo okolja.</w:t>
      </w:r>
    </w:p>
    <w:p w14:paraId="6DE324C5"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Če prosilec meni, da so podatki v nasprotju z zakonom, ki ureja tajne podatke, označeni s stopnjo tajnosti, lahko zahteva umik tajnosti po postopku iz 21. člena tega zakona.</w:t>
      </w:r>
    </w:p>
    <w:p w14:paraId="3E067A86"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(5) Organ lahko prosilcu ne posreduje zahtevane informacije, ki je dostopna v prosto dostopnih javnih evidencah ali na drug način že enostavno javno dostopna (objava v uradnem glasilu, publikacijah organa, medijih, strokovni literaturi, svetovnem spletu in podobno), in mu posreduje samo napotilo, kje se informacija nahaja.</w:t>
      </w:r>
    </w:p>
    <w:p w14:paraId="19974252"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(6) Organ prosilcu zavrne zahtevo za ponovno uporabo zahtevane informacije, če se zahteva nanaša na:</w:t>
      </w:r>
    </w:p>
    <w:p w14:paraId="5AD7FCE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      podatek iz prvega odstavka tega člena ali</w:t>
      </w:r>
    </w:p>
    <w:p w14:paraId="2B0D53A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      podatek, zavarovan s pravicami intelektualne lastnine tretjih oseb, ali</w:t>
      </w:r>
    </w:p>
    <w:p w14:paraId="394FEB1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      podatek, s katerim razpolagajo izvajalci javne službe javne radiotelevizije ali izvajalci javne službe na področju izobraževalne, raziskovalne ali kulturne dejavnosti ali</w:t>
      </w:r>
    </w:p>
    <w:p w14:paraId="49F9AF2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      podatek, za katerega drug zakon določa, da je dostopen samo upravičenim osebam.</w:t>
      </w:r>
    </w:p>
    <w:p w14:paraId="75008186" w14:textId="77777777" w:rsidR="00891912" w:rsidRPr="00C50F53" w:rsidRDefault="00891912" w:rsidP="001B0164">
      <w:pPr>
        <w:suppressAutoHyphens/>
        <w:overflowPunct w:val="0"/>
        <w:autoSpaceDE w:val="0"/>
        <w:autoSpaceDN w:val="0"/>
        <w:adjustRightInd w:val="0"/>
        <w:spacing w:line="260" w:lineRule="atLeast"/>
        <w:textAlignment w:val="baseline"/>
        <w:outlineLvl w:val="3"/>
        <w:rPr>
          <w:rFonts w:cs="Arial"/>
          <w:bCs/>
          <w:szCs w:val="20"/>
          <w:lang w:val="sl-SI" w:eastAsia="sl-SI"/>
        </w:rPr>
      </w:pPr>
    </w:p>
    <w:p w14:paraId="2EB1A602" w14:textId="163B4853" w:rsidR="00891912" w:rsidRPr="00C50F53" w:rsidRDefault="00891912" w:rsidP="001B0164">
      <w:pPr>
        <w:suppressAutoHyphens/>
        <w:overflowPunct w:val="0"/>
        <w:autoSpaceDE w:val="0"/>
        <w:autoSpaceDN w:val="0"/>
        <w:adjustRightInd w:val="0"/>
        <w:spacing w:line="260" w:lineRule="atLeast"/>
        <w:textAlignment w:val="baseline"/>
        <w:outlineLvl w:val="3"/>
        <w:rPr>
          <w:rFonts w:cs="Arial"/>
          <w:bCs/>
          <w:szCs w:val="20"/>
          <w:lang w:val="sl-SI" w:eastAsia="sl-SI"/>
        </w:rPr>
      </w:pPr>
      <w:r w:rsidRPr="00C50F53">
        <w:rPr>
          <w:rFonts w:cs="Arial"/>
          <w:b/>
          <w:szCs w:val="20"/>
          <w:lang w:val="sl-SI" w:eastAsia="sl-SI"/>
        </w:rPr>
        <w:t>Zakon o elektronskih komunikacijah (ZEKom-2) Uradni list RS, št. 130/22 in 18/23 – ZDU-1O</w:t>
      </w:r>
    </w:p>
    <w:p w14:paraId="540A60AF" w14:textId="77777777" w:rsidR="00891912" w:rsidRPr="00C50F53" w:rsidRDefault="00891912" w:rsidP="001B0164">
      <w:pPr>
        <w:pBdr>
          <w:top w:val="none" w:sz="0" w:space="24" w:color="auto"/>
        </w:pBdr>
        <w:spacing w:before="120" w:after="120" w:line="240" w:lineRule="auto"/>
        <w:jc w:val="center"/>
        <w:rPr>
          <w:rFonts w:eastAsia="Arial" w:cs="Arial"/>
          <w:b/>
          <w:bCs/>
          <w:szCs w:val="20"/>
          <w:lang w:val="sl-SI"/>
        </w:rPr>
      </w:pPr>
      <w:r w:rsidRPr="00C50F53">
        <w:rPr>
          <w:rFonts w:eastAsia="Arial" w:cs="Arial"/>
          <w:b/>
          <w:bCs/>
          <w:szCs w:val="20"/>
          <w:lang w:val="sl-SI"/>
        </w:rPr>
        <w:t>115. člen</w:t>
      </w:r>
    </w:p>
    <w:p w14:paraId="2D2BF6A3" w14:textId="77777777" w:rsidR="00891912" w:rsidRPr="00C50F53" w:rsidRDefault="00891912" w:rsidP="001B0164">
      <w:pPr>
        <w:pBdr>
          <w:top w:val="none" w:sz="0" w:space="24" w:color="auto"/>
        </w:pBdr>
        <w:spacing w:before="120" w:after="120" w:line="240" w:lineRule="auto"/>
        <w:jc w:val="center"/>
        <w:rPr>
          <w:rFonts w:eastAsia="Arial" w:cs="Arial"/>
          <w:b/>
          <w:bCs/>
          <w:szCs w:val="20"/>
          <w:lang w:val="sl-SI"/>
        </w:rPr>
      </w:pPr>
      <w:r w:rsidRPr="00C50F53">
        <w:rPr>
          <w:rFonts w:eastAsia="Arial" w:cs="Arial"/>
          <w:b/>
          <w:bCs/>
          <w:szCs w:val="20"/>
          <w:lang w:val="sl-SI"/>
        </w:rPr>
        <w:t>(varnost omrežij in storitev)</w:t>
      </w:r>
    </w:p>
    <w:p w14:paraId="0AA1959F"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Operaterji morajo sprejeti ustrezne in sorazmerne tehnične ter organizacijske ukrepe za ustrezno obvladovanje tveganja za varnost omrežij in storitev, vključno s pripadajočimi informacijskimi sistemi, zlasti zaradi preprečevanja in zmanjševanja učinkov varnostnih incidentov na uporabnike ter na druga omrežja in storitve (v nadaljnjem besedilu: sistem upravljanja varnosti). Sprejeti ukrepi, vključno s šifriranjem, kadar je to primerno, morajo ob upoštevanju stanja zagotoviti raven varnosti, primerno predvidenemu tveganju.</w:t>
      </w:r>
    </w:p>
    <w:p w14:paraId="73F5B665"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lastRenderedPageBreak/>
        <w:t>(2) Med ukrepe iz prejšnjega odstavka spadajo tudi sprejem, izvajanje in spremljanje ustreznega SUVI, ki ga operater določi kot poslovno skrivnost. Operaterji morajo redno izboljševati SUVI, vključno s pripadajočimi ukrepi, ki jih ta vsebuje.</w:t>
      </w:r>
    </w:p>
    <w:p w14:paraId="34634564"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SUVI zajema najmanj:</w:t>
      </w:r>
    </w:p>
    <w:p w14:paraId="5F69DB2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      opredelitev vseh varnostnih tveganj znotraj operaterja, kot tudi tistih zunaj operaterja, ki lahko ogrozijo delovanje javnega komunikacijskega omrežja oziroma lahko motijo delovanje javno dostopnih elektronskih komunikacijskih storitev, ki jih ta operater ponuja,</w:t>
      </w:r>
    </w:p>
    <w:p w14:paraId="7B0A42F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      opredelitev verjetnosti dogodka za vsa varnostna tveganja iz prejšnje točke,</w:t>
      </w:r>
    </w:p>
    <w:p w14:paraId="53B89E2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      opredelitev stopnje negativnih učinkov in posledic za delovanje javnega komunikacijskega omrežja in za javno dostopne komunikacijske storitve za vsa varnostna tveganja iz prve točke,</w:t>
      </w:r>
    </w:p>
    <w:p w14:paraId="6C97371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      opredelitev ustreznih varnostnih ukrepov in priprava načrta obravnavanja tveganj, vključno z določitvijo varnostnih kontrol in ciljev, za zmanjšanje verjetnosti za nastop varnostnega incidenta,</w:t>
      </w:r>
    </w:p>
    <w:p w14:paraId="00289AA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      opredelitev ukrepov in načrtov za zmanjšanje negativnih učinkov in omilitev posledic varnostnega incidenta,</w:t>
      </w:r>
    </w:p>
    <w:p w14:paraId="30C124A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      opredelitev ustreznega načina organiziranja varnosti znotraj operaterja, katerega integralni del je varnost omrežja, informacijskega sistema in fizično varovanje objektov in naprav,</w:t>
      </w:r>
    </w:p>
    <w:p w14:paraId="7CA8C2E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      opredelitev ustreznega načina zagotovitve kadrovske zasedbe na ključnih delovnih mestih pri operaterju, ki se poklicno ukvarjajo z varnostjo,</w:t>
      </w:r>
    </w:p>
    <w:p w14:paraId="714B3AF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      opredelitev načina rednega preverjanja skladnosti izvajanih ukrepov in postopkov s tistimi, ki so opisani v varnostnem načrtu.</w:t>
      </w:r>
    </w:p>
    <w:p w14:paraId="6E22F8F7"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Med ukrepe iz prvega odstavka tega člena spadajo tudi sprejem, izvajanje in spremljanje ustreznega SUNP, ki ga operater določi kot poslovno skrivnost. Operaterji morajo redno izboljševati SUNP in pripadajoče ukrepe.</w:t>
      </w:r>
    </w:p>
    <w:p w14:paraId="4EB5FBB7"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(5) V delu, kjer se SUNP iz prejšnjega odstavka nanaša na zagotavljanje komunikacije v sili, mora biti ta vsaj enkrat letno pregledan. Za njegovo sprejetje in morebitne spremembe ali posodobitve je potrebna predhodna odobritev pristojnih organov, odgovornih za delovanje centrov za sprejem komunikacije v sili.</w:t>
      </w:r>
    </w:p>
    <w:p w14:paraId="3686692F"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(6) Operaterji pri SUVI in SUNP v čim večji meri upoštevajo mednarodno priznane standarde in dobre prakse.</w:t>
      </w:r>
    </w:p>
    <w:p w14:paraId="5D7DF169"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(7) Agencija za izvajanje tega člena izda splošni akt, s katerim uredi zlasti tehnične usmeritve, ki jih upoštevajo operaterji pri oceni tveganj, ter tehnične in organizacijske ukrepe. Pri pripravi splošnega akta agencija sodeluje z organom, pristojnim za informacijsko varnost.</w:t>
      </w:r>
    </w:p>
    <w:p w14:paraId="43A331F8"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116. člen</w:t>
      </w:r>
    </w:p>
    <w:p w14:paraId="66C0D55A"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(dodatne varnostne zahteve)</w:t>
      </w:r>
    </w:p>
    <w:p w14:paraId="0EC5CADF"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lastRenderedPageBreak/>
        <w:t>(1) Operaterji mobilnih komunikacijskih omrežij, ki zagotavljajo ta omrežja upravljavcem kritične infrastrukture z drugih področij urejanja kritične infrastrukture, določenim v skladu z zakonom, ki ureja področje kritične infrastrukture (v nadaljnjem besedilu: upravljavci kritične infrastrukture), izvajalcem bistvenih storitev, določenih v skladu z zakonom, ki ureja informacijsko varnost (v nadaljnjem besedilu: izvajalci bistvenih storitev), organom državne uprave, določenim v skladu z zakonom, ki ureja informacijsko varnost (v nadaljnjem besedilu: organi državne uprave) oziroma nosilcem ključnih delov sistema varnosti države, morajo poleg zahtev iz prejšnjega člena upoštevati dodatne varnostne zahteve in omejitve.</w:t>
      </w:r>
    </w:p>
    <w:p w14:paraId="55047313"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Operaterji iz prejšnjega odstavka poleg ugotavljanja tveganj iz prejšnjega člena upoštevajo tudi tveganja, ki izhajajo iz odnosov in dogovorov s proizvajalci oziroma dobavitelji (v nadaljnjem besedilu: dobavitelj) informacijskih sistemov in omrežne opreme (v nadaljnjem besedilu: oprema), ter tveganja, ki izhajajo iz storitev podpore tretje ravni, ki jih tem operaterjem zagotavljajo ponudniki storitev podpore tretje ravni. Če je določena oprema prestala presojo evropskih certifikacijskih organov, ki izvajajo presojo z vidika varnosti ali kakovosti izdelkov, se šteje, da je ta oprema tehnično ustrezna brez dodatne presoje s strani operaterja.</w:t>
      </w:r>
    </w:p>
    <w:p w14:paraId="26BF843C"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Operater iz prvega odstavka tega člena izvaja oceno tveganja za posameznega svojega dobavitelja oziroma ponudnika storitev podpore tretje ravni. V to oceno tveganja vključi vsa relevantna tveganja iz prejšnjega odstavka, vključno glede uporabe njegove opreme in storitev v kritičnih elementih in funkcijah omrežij in pripadajočih informacijskih sistemih.</w:t>
      </w:r>
    </w:p>
    <w:p w14:paraId="1C40AD98"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Obveznost opredelitev iz tretjega odstavka prejšnjega člena za operaterje iz prvega odstavka tega člena zajema tudi tveganja, ki lahko ogrozijo delovanje elektronskega komunikacijskega omrežja, ki ni javno, oziroma lahko motijo delovanje elektronskih komunikacijskih storitev, ki niso javna, če prej navedeni operater s takšnimi omrežji upravlja za potrebe upravljavcev kritične infrastrukture z drugih področij urejanja kritične infrastrukture, izvajalcev bistvenih storitev in organov državne uprave oziroma za nosilce ključnih delov sistema varnosti države.</w:t>
      </w:r>
    </w:p>
    <w:p w14:paraId="785051BE"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(5) Ne glede na tretji in četrti odstavek tega člena operater iz prvega odstavka tega člena pri zagotavljanju predmetnih omrežij iz prvega odstavka tega člena oziroma iz prejšnjega odstavka v kritičnih elementih in funkcijah tega omrežja in pripadajočih informacijskih sistemih ne sme uporabljati opreme in storitev podpore tretje ravni, katere uporaba bi lahko ogrozila nacionalno varnost, kot to izhaja iz 117. člena tega zakona.</w:t>
      </w:r>
    </w:p>
    <w:p w14:paraId="3C5CE8B3" w14:textId="77777777" w:rsidR="00891912"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(6) Agencija za izvajanje tega člena izda splošni akt, s katerim opredeli predvsem kritične elemente omrežja in pripadajočih informacijskih sistemov iz prejšnjega odstavka, ter druge zlasti tehnične usmeritve, ki jih morajo upoštevati operaterji iz prvega odstavka tega člena. Pri pripravi splošnega akta agencija sodeluje z organom, pristojnim za informacijsko varnost.</w:t>
      </w:r>
    </w:p>
    <w:p w14:paraId="571FFFBF" w14:textId="77777777" w:rsidR="00CF315D" w:rsidRDefault="00CF315D" w:rsidP="00CF315D">
      <w:pPr>
        <w:pBdr>
          <w:top w:val="none" w:sz="0" w:space="12" w:color="auto"/>
        </w:pBdr>
        <w:spacing w:before="210" w:after="210" w:line="260" w:lineRule="atLeast"/>
        <w:ind w:firstLine="1021"/>
        <w:jc w:val="center"/>
        <w:rPr>
          <w:rFonts w:eastAsia="Arial" w:cs="Arial"/>
          <w:szCs w:val="20"/>
          <w:lang w:val="sl-SI"/>
        </w:rPr>
      </w:pPr>
    </w:p>
    <w:p w14:paraId="31280804"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118. člen</w:t>
      </w:r>
    </w:p>
    <w:p w14:paraId="67C84FD3"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(obveznost obveščanja in poročanja o varnostnih incidentih)</w:t>
      </w:r>
    </w:p>
    <w:p w14:paraId="0AAB51B5"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 xml:space="preserve">(1) Operaterji morajo o vseh varnostnih incidentih, če so ti pomembno vplivali na delovanje javnih komunikacijskih omrežij ali izvajanje javnih komunikacijskih storitev, brez nepotrebnega odlašanja obvestiti agencijo in nacionalno skupino za obravnavo incidentov s področja varnosti elektronskih omrežij in informacij (v nadaljnjem besedilu: nacionalni CSIRT). Če je zaradi varnostnega incidenta prizadeta komunikacija v sili, operaterji hkrati obvestijo tudi zadevni center za sprejem komunikacije v sili. Operaterji obveščajo pristojne organe iz tega </w:t>
      </w:r>
      <w:r w:rsidRPr="00CF315D">
        <w:rPr>
          <w:rFonts w:eastAsia="Arial" w:cs="Arial"/>
          <w:szCs w:val="20"/>
          <w:lang w:val="sl-SI"/>
        </w:rPr>
        <w:lastRenderedPageBreak/>
        <w:t>odstavka na način, da se zagotovi varnost prenesenih podatkov po elektronski poti, če je to le mogoče.</w:t>
      </w:r>
    </w:p>
    <w:p w14:paraId="696A507D"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Agencija s splošnim aktom določi vsebino obvestila in v katerih primerih gre za pomemben vpliv iz prejšnjega odstavka. Pred izdajo prej navedenega splošnega akta agencija pridobi mnenje organa, pristojnega za informacijsko varnost.</w:t>
      </w:r>
    </w:p>
    <w:p w14:paraId="2E9EAD0B"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(3) Pri določanju pomembnega vpliva iz prejšnjega odstavka agencija upošteva predvsem naslednja merila:</w:t>
      </w:r>
    </w:p>
    <w:p w14:paraId="18614C7A"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      število uporabnikov, ki jih je prizadel varnostni incident,</w:t>
      </w:r>
    </w:p>
    <w:p w14:paraId="67BF90C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trajanje varnostnega incidenta,</w:t>
      </w:r>
    </w:p>
    <w:p w14:paraId="3B210AF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3.      geografska razširjenost območja, ki ga je prizadel varnostni incident,</w:t>
      </w:r>
    </w:p>
    <w:p w14:paraId="7DAD7652"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4.      obseg prizadetosti delovanja omrežja ali storitve,</w:t>
      </w:r>
    </w:p>
    <w:p w14:paraId="02A11F87"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5.      obseg vpliva na gospodarske in družbene dejavnosti, predvsem na kritično infrastrukturo, izvajanje bistvenih storitev, na storitve komunikacije v sili in delovanje organov državne uprave oziroma nosilcev ključnih delov sistema varnosti države.</w:t>
      </w:r>
    </w:p>
    <w:p w14:paraId="7A433BB5"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(4) Nacionalni CSIRT o incidentih iz prvega odstavka tega člena obvesti organ, pristojen za informacijsko varnost.</w:t>
      </w:r>
    </w:p>
    <w:p w14:paraId="00567B68"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(5) Agencija o posameznih varnostnih incidentih iz prvega odstavka tega člena po potrebi obvešča pristojne organe v drugih državah članicah EU in Agencijo Evropske unije za kibernetsko varnost (v nadaljnjem besedilu: ENISA).</w:t>
      </w:r>
    </w:p>
    <w:p w14:paraId="10C8F783"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(6) Če agencija meni, da je razkritje varnostnega incidenta iz prejšnjega odstavka v javnem interesu, po posvetovanju z organom, pristojnim za informacijsko varnost, lahko o tem sama obvesti javnost ali pa to naloži operaterju, ki ga zadeva varnostni incident.</w:t>
      </w:r>
    </w:p>
    <w:p w14:paraId="08CC0EF2"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(7) Agencija Evropski komisiji in ENISA vsako leto najpozneje do konca februarja za preteklo leto predloži kratko letno poročilo o prejetih prijavah in ukrepih, ki so bili sprejeti v skladu s prvim, drugim oziroma petim odstavkom tega člena. Agencija s poročilom seznani tudi organ, pristojen za informacijsko varnost.</w:t>
      </w:r>
    </w:p>
    <w:p w14:paraId="17661E28"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(8) Operaterji morajo v primeru posebne in resne grožnje varnostnega incidenta iz prvega odstavka tega člena v javnih komunikacijskih omrežjih ali javno dostopnih elektronskih komunikacijskih storitev svoje uporabnike, ki bi jih taka grožnja lahko prizadela, brezplačno obvestiti o morebitnih zaščitnih ali popravnih ukrepih, ki jih lahko sprejmejo uporabniki. Po potrebi morajo operaterji uporabnike obvestiti tudi o sami grožnji.</w:t>
      </w:r>
    </w:p>
    <w:p w14:paraId="439FB21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(9) Agencija lahko zaprosi nacionalni CSIRT za pomoč v zvezi z vprašanji, ki sodijo med njegove naloge v skladu z zakonom, ki ureja informacijsko varnost.</w:t>
      </w:r>
    </w:p>
    <w:p w14:paraId="607EF16C"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(10) Agencija se v zvezi z vprašanji iz tega člena po potrebi posvetuje in sodeluje z organi pregona, organom, pristojnim za informacijsko varnost, in Informacijskim pooblaščencem.</w:t>
      </w:r>
    </w:p>
    <w:p w14:paraId="0100B7F2"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(11) Določbe tega člena ne posegajo v določbe XII. poglavja tega zakona in drugih predpisov, ki urejajo varstvo osebnih podatkov.</w:t>
      </w:r>
    </w:p>
    <w:p w14:paraId="22C75EF8" w14:textId="77777777" w:rsidR="003754AA" w:rsidRDefault="003754AA">
      <w:pPr>
        <w:spacing w:line="240" w:lineRule="auto"/>
        <w:rPr>
          <w:rFonts w:eastAsia="Arial" w:cs="Arial"/>
          <w:b/>
          <w:bCs/>
          <w:szCs w:val="20"/>
          <w:lang w:val="sl-SI"/>
        </w:rPr>
      </w:pPr>
      <w:r>
        <w:rPr>
          <w:rFonts w:eastAsia="Arial" w:cs="Arial"/>
          <w:b/>
          <w:bCs/>
          <w:szCs w:val="20"/>
          <w:lang w:val="sl-SI"/>
        </w:rPr>
        <w:br w:type="page"/>
      </w:r>
    </w:p>
    <w:p w14:paraId="139D6E1F" w14:textId="377BC87E"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lastRenderedPageBreak/>
        <w:t>119. člen</w:t>
      </w:r>
    </w:p>
    <w:p w14:paraId="19965F60"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(vrednotenje varnostnega incidenta)</w:t>
      </w:r>
    </w:p>
    <w:p w14:paraId="38D5A92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 Priglašene varnostne incidente ob njihovem reševanju vrednoti agencija ob sodelovanju z nacionalnim CSIRT. Pri vrednotenju se agencija in CSIRT lahko posvetujeta z organom, pristojnim za informacijsko varnost. Pri tem je glede na težo varnostnega incidenta:</w:t>
      </w:r>
    </w:p>
    <w:p w14:paraId="77C5F824"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      lažji incident enkraten varnostni incident, ki ima glede na kriterije določitve pomembnosti vpliva varnostnega incidenta iz tretjega odstavka prejšnjega člena majhen negativen vpliv na varnost omrežij in storitev operaterja ter ne sme imeti večjega vpliva na nemoteno delovanje operaterja in mu ne sme povzročiti večje škode; prav tako takšen incident ne sme imeti negativnega vpliva na delovanje upravljavcev kritične infrastrukture ali delovanje izvajalcev bistvenih storitev ali organov državne uprave, določenih v skladu s področno zakonodajo, na komunikacije v sili ali na delovanje ključnih delov sistema varnosti države;</w:t>
      </w:r>
    </w:p>
    <w:p w14:paraId="00CD789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težji incident enkraten varnostni incident oziroma zaporedje večjega števila različnih varnostnih incidentov v kratkem obdobju, ki ima glede na kriterije določitve pomembnosti vpliva incidenta iz tretjega odstavka prejšnjega člena velik negativen vpliv na varnost omrežij in storitev operaterja; takšen incident ima pomemben vpliv na nemoteno delovanje operaterja in mu povzroči večjo škodo; ob tem ima takšen incident lahko tudi negativen vpliv na delovanje upravljavcev kritične infrastrukture ali na delovanje izvajalcev bistvenih storitev ali organov državne uprave, določenih v skladu s področno zakonodajo, na komunikacije v sili ali na delovanje ključnih delov sistema varnosti države, vendar ta vpliv ne dosega kriterijev iz naslednje točke;</w:t>
      </w:r>
    </w:p>
    <w:p w14:paraId="6596ECF9"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3.      kritični incident tisti varnostni incident, ki ima glede na kriterije določitve pomembnosti vpliva incidenta iz tretjega odstavka prejšnjega člena zelo velik negativen vpliv na varnost omrežij in storitev operaterja; ob tem takšen incident povzroči tudi oteženo delovanje države, še posebej ključnih delov sistema varnosti države, komunikacij v sili ter v skladu s področno zakonodajo določenih izvajalcev bistvenih storitev ali organov državne uprave; kritični incident lahko tudi delno onemogoči delovanje vsaj treh področij kritične infrastrukture ali bistvenih storitev, določenih v skladu s področno zakonodajo, ali enega v celoti.</w:t>
      </w:r>
    </w:p>
    <w:p w14:paraId="6A0E034B"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Agencija za izvajanje tega člena izda splošni akt, s katerim opredeli predvsem, kdaj gre za majhen, velik ali zelo velik negativen vpliv na varnost omrežij in storitev operaterjev, pri čemer upošteva merila iz tretjega odstavka prejšnjega člena. Pri pripravi splošnega akta agencija sodeluje z organom, pristojnim za informacijsko varnost.</w:t>
      </w:r>
    </w:p>
    <w:p w14:paraId="36A13CB2"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120. člen</w:t>
      </w:r>
    </w:p>
    <w:p w14:paraId="62A25A72"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(ukrepanje v primeru težjega in kritičnega incidenta ali kibernetskega napada)</w:t>
      </w:r>
    </w:p>
    <w:p w14:paraId="0974A2D5"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 Organ, pristojen za informacijsko varnost, na podlagi podatkov in informacij o teži varnostnega incidenta iz prejšnjega člena, ki mu jih sproti posreduje agencija, lahko pa tudi nacionalni CSIRT, v sodelovanju z obema organoma oceni, ali gre hkrati tudi za kibernetski napad.</w:t>
      </w:r>
    </w:p>
    <w:p w14:paraId="5A976991"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Organ, pristojen za informacijsko varnost, mora o kritičnem incidentu in kibernetskem napadu nemudoma obvestiti vlado in SNAV, lahko pa ju glede na presojo relevantnih okoliščin obvesti tudi o težjem incidentu, kadar obstaja možnost, da preraste v kritični incident.</w:t>
      </w:r>
    </w:p>
    <w:p w14:paraId="7DB9D59C"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 xml:space="preserve">(3) V primeru težjega ali kritičnega incidenta ali v primeru kibernetskega napada organ, pristojen za informacijsko varnost, s pisno odločbo, v nujnih primerih pa tudi ustno, </w:t>
      </w:r>
      <w:r w:rsidRPr="00CF315D">
        <w:rPr>
          <w:rFonts w:eastAsia="Arial" w:cs="Arial"/>
          <w:szCs w:val="20"/>
          <w:lang w:val="sl-SI"/>
        </w:rPr>
        <w:lastRenderedPageBreak/>
        <w:t>operaterjem določi takšne primerne in sorazmerne ukrepe, kot je potrebno za zaustavitev varnostnega incidenta, ki že poteka, ali za odpravo njegovih posledic. Operaterju se pisni odpravek ustne odločbe vroči čim prej, vendar najkasneje v roku 48 ur po ustni odločbi.</w:t>
      </w:r>
    </w:p>
    <w:p w14:paraId="5D44BE2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(4) Ukrepi, izdani na podlagi prejšnjega odstavka, se določijo v takšnem obsegu in za toliko časa, kot je nujno potrebno za dosego namena iz prejšnjega odstavka. Zoper odločbo iz prejšnjega odstavka ni dovoljena pritožba, dovoljen pa je upravni spor. Tožba v upravnem sporu se vloži na sedežu upravnega sodišča Republike Slovenije. Postopek je nujen in prednosten.</w:t>
      </w:r>
    </w:p>
    <w:p w14:paraId="313EC697"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(5) O izdanih ukrepih na podlagi tretjega odstavka tega člena organ, pristojen za informacijsko varnost, nemudoma obvesti vlado in SNAV ter agencijo.</w:t>
      </w:r>
    </w:p>
    <w:p w14:paraId="50555716"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121. člen</w:t>
      </w:r>
    </w:p>
    <w:p w14:paraId="74FAC4B9"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(stanje povečane ogroženosti in ukrepanje)</w:t>
      </w:r>
    </w:p>
    <w:p w14:paraId="5359F653"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(1) Stanje povečane ogroženosti za varnost omrežij in storitev operaterja (v nadaljnjem besedilu: stanje povečane ogroženosti) je stanje, ko je podana velika verjetnost realizacije težjega ali kritičnega incidenta iz prvega odstavka 119. člena tega zakona oziroma kibernetskega napada iz prvega odstavka prejšnjega člena v 72 urah od zaznave takšne verjetnosti.</w:t>
      </w:r>
    </w:p>
    <w:p w14:paraId="3D4BB794"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(2) Organ, pristojen za informacijsko varnost, glede na podatke in informacije, s katerimi razpolaga, in v sodelovanju z agencijo in nacionalnim CSIRT oceni, ali gre za stanje povečane ogroženosti iz prejšnjega odstavka.</w:t>
      </w:r>
    </w:p>
    <w:p w14:paraId="1CCE720C"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(3) Organ, pristojen za informacijsko varnost, mora o stanju povečane ogroženosti zaradi verjetnosti realizacije kritičnega incidenta ali kibernetskega napada iz prvega odstavka tega člena nemudoma obvestiti vlado in SNAV, lahko pa ju glede na presojo relevantnih okoliščin obvesti tudi zaradi verjetnosti realizacije težjega incidenta iz prvega odstavka tega člena.</w:t>
      </w:r>
    </w:p>
    <w:p w14:paraId="36FA0290"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(4) V stanju povečane ogroženosti lahko organ, pristojen za informacijsko varnost, zadevnemu operaterju ali operaterjem s pisno odločbo, v nujnih primerih pa tudi ustno, določi takšne primerne in sorazmerne ukrepe, kot je potrebno za preprečitev ali zmanjšanje verjetnosti realizacije incidenta iz prvega odstavka tega člena kot tudi za zmanjšanje pričakovanih škodljivih posledic ob morebitni realizaciji takšnega incidenta. Operaterju se pisni odpravek ustne odločbe vroči čim prej, vendar najkasneje v roku 48 ur po ustni odločbi.</w:t>
      </w:r>
    </w:p>
    <w:p w14:paraId="30411DBD"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(5) Ukrepi, izdani na podlagi prejšnjega odstavka, se določijo v takšnem obsegu in za toliko časa, kot je nujno potrebno za dosego namena iz prejšnjega odstavka. Zoper odločbo iz prejšnjega odstavka ni dovoljena pritožba, dovoljen pa je upravni spor. Tožba v upravnem sporu se vloži na sedežu upravnega sodišča Republike Slovenije. Postopek je nujen in prednosten.</w:t>
      </w:r>
    </w:p>
    <w:p w14:paraId="4D1EA3D1"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(6) Organ, pristojen za informacijsko varnost, o ukrepih iz četrtega odstavka tega člena obvesti vlado, SNAV in agencijo.</w:t>
      </w:r>
    </w:p>
    <w:p w14:paraId="2B7F5FB2"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122. člen</w:t>
      </w:r>
    </w:p>
    <w:p w14:paraId="5086F02D" w14:textId="77777777" w:rsidR="00CF315D" w:rsidRPr="00CF315D" w:rsidRDefault="00CF315D" w:rsidP="00CF315D">
      <w:pPr>
        <w:pBdr>
          <w:top w:val="none" w:sz="0" w:space="12" w:color="auto"/>
        </w:pBdr>
        <w:spacing w:before="210" w:after="210" w:line="260" w:lineRule="atLeast"/>
        <w:ind w:firstLine="1021"/>
        <w:jc w:val="center"/>
        <w:rPr>
          <w:rFonts w:eastAsia="Arial" w:cs="Arial"/>
          <w:b/>
          <w:bCs/>
          <w:szCs w:val="20"/>
          <w:lang w:val="sl-SI"/>
        </w:rPr>
      </w:pPr>
      <w:r w:rsidRPr="00CF315D">
        <w:rPr>
          <w:rFonts w:eastAsia="Arial" w:cs="Arial"/>
          <w:b/>
          <w:bCs/>
          <w:szCs w:val="20"/>
          <w:lang w:val="sl-SI"/>
        </w:rPr>
        <w:t>(obveščanje javnosti o sprejetih ukrepih)</w:t>
      </w:r>
    </w:p>
    <w:p w14:paraId="63B8D73F" w14:textId="77777777" w:rsidR="00CF315D" w:rsidRPr="00CF315D" w:rsidRDefault="00CF315D" w:rsidP="00CF315D">
      <w:pPr>
        <w:pBdr>
          <w:top w:val="none" w:sz="0" w:space="12" w:color="auto"/>
        </w:pBdr>
        <w:spacing w:before="210" w:after="210" w:line="260" w:lineRule="atLeast"/>
        <w:ind w:firstLine="1021"/>
        <w:jc w:val="both"/>
        <w:rPr>
          <w:rFonts w:eastAsia="Arial" w:cs="Arial"/>
          <w:szCs w:val="20"/>
          <w:lang w:val="sl-SI"/>
        </w:rPr>
      </w:pPr>
      <w:r w:rsidRPr="00CF315D">
        <w:rPr>
          <w:rFonts w:eastAsia="Arial" w:cs="Arial"/>
          <w:szCs w:val="20"/>
          <w:lang w:val="sl-SI"/>
        </w:rPr>
        <w:t>Če je v zvezi s sprejetimi ukrepi iz 120. ali 121. člena tega zakona potrebno tudi obveščanje javnosti, organ, pristojen za informacijsko varnost, skupaj s službo vlade, pristojno za komuniciranje z javnostjo, pripravi sporočilo za javno objavo, ki ga mediji smejo objaviti le v nespremenjeni obliki.</w:t>
      </w:r>
    </w:p>
    <w:p w14:paraId="6C3C0F2F" w14:textId="77777777" w:rsidR="00CF315D" w:rsidRPr="00C50F53" w:rsidRDefault="00CF315D" w:rsidP="001B0164">
      <w:pPr>
        <w:pBdr>
          <w:top w:val="none" w:sz="0" w:space="12" w:color="auto"/>
        </w:pBdr>
        <w:spacing w:before="210" w:after="210" w:line="260" w:lineRule="atLeast"/>
        <w:ind w:firstLine="1021"/>
        <w:jc w:val="both"/>
        <w:rPr>
          <w:rFonts w:eastAsia="Arial" w:cs="Arial"/>
          <w:szCs w:val="20"/>
          <w:lang w:val="sl-SI"/>
        </w:rPr>
      </w:pPr>
    </w:p>
    <w:p w14:paraId="714EC76A" w14:textId="3F14BBFA"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lastRenderedPageBreak/>
        <w:t>123. člen</w:t>
      </w:r>
    </w:p>
    <w:p w14:paraId="76452D1C"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(revizija varnosti)</w:t>
      </w:r>
    </w:p>
    <w:p w14:paraId="56E071E6"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Operaterji morajo na zahtevo agencije omogočiti izvedbo revizije varnosti njihovih omrežij in storitev, vključno s pripadajočimi informacijskimi sistemi (v nadaljnjem besedilu: revizija informacijskih sistemov), ki jo na stroške operaterja izvede preizkušeni revizor informacijskih sistemov, ki rezultate te revizije informacijskih sistemov, ki ohrani stopnjo zaupnosti iz drugega odstavka 115. člena tega zakona, posreduje agenciji in revidirancu.</w:t>
      </w:r>
    </w:p>
    <w:p w14:paraId="7B7E5F97"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Operater za izvedbo revizije iz prejšnjega odstavka izbere preizkušenega revizorja informacijskih sistemov, ki je registriran pri Slovenskem inštitutu za revizijo. Operater o svoji izbiri in o začetku postopka revizije informacijskih sistemov obvesti agencijo v roku 30 dni od zahteve agencije iz prejšnjega odstavka.</w:t>
      </w:r>
    </w:p>
    <w:p w14:paraId="3A26184B"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Če operater ne ravna v skladu s prejšnjim odstavkom, agencija za izvedbo revizije iz prvega odstavka tega člena določi preizkušenega revizorja informacijskih sistemov, ki je registriran pri Slovenskem inštitutu za revizijo. Stroške revizije poravna revidiranec.</w:t>
      </w:r>
    </w:p>
    <w:p w14:paraId="627ED993"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124. člen</w:t>
      </w:r>
    </w:p>
    <w:p w14:paraId="376DBE8F"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(upravljanje neprekinjenega poslovanja za primer stanj ogroženosti)</w:t>
      </w:r>
    </w:p>
    <w:p w14:paraId="08344BD8"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Operaterji morajo za primer stanj ogroženosti sami, oziroma kadar to ocenijo za primerno, tudi z drugimi operaterji, vzpostaviti, dokumentirati, izvajati in vzdrževati procese, postopke in kontrole za zagotavljanje SUNP, vključno z zagotavljanjem nadomestnih poti. Navedeno še posebej velja za tiste dele omrežja, storitev in povezav, ki so nujni za nemoteno delovanje omrežij ključnih delov sistema varnosti države in komunikacij v sili ter za podporo delovanju kritične infrastrukture, izvajalcem bistvenih storitev ter organom državne uprave.</w:t>
      </w:r>
    </w:p>
    <w:p w14:paraId="594E536A"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Operaterji morajo vzpostaviti in vzdrževati ustrezne zmogljivosti, ukrepe in dogovore z drugimi operaterji, ki zagotavljajo hitro okrevanje omrežja in obnovo storitev iz prejšnjega odstavka v primeru katastrofalnega izpada ali ob naravnih in drugih nesrečah.</w:t>
      </w:r>
    </w:p>
    <w:p w14:paraId="2CE30152"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Operaterji morajo ob upoštevanju sprememb in predhodnih negativnih dogodkov neprestano izvajati in spremljati ter redno izboljševati ukrepe, načrte in zmogljivosti za zagotavljanje SUNP iz prvega odstavka tega člena.</w:t>
      </w:r>
    </w:p>
    <w:p w14:paraId="1BB66B47"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V delu, kjer se SUNP iz prvega odstavka tega člena nanaša na zagotavljanje komunikacije v sili, se uporablja določba petega odstavka 115. člena tega zakona.</w:t>
      </w:r>
    </w:p>
    <w:p w14:paraId="5E2ADC9C"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128. člen</w:t>
      </w:r>
    </w:p>
    <w:p w14:paraId="2D5E29CF"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(nadzor)</w:t>
      </w:r>
    </w:p>
    <w:p w14:paraId="1076BB93"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Agencija nadzira izvajanje določb tega poglavja, razen določb 120. in 121. člena tega zakona, kjer nadzor izvaja organ, pristojen za informacijsko varnost.</w:t>
      </w:r>
    </w:p>
    <w:p w14:paraId="172B5C8C"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lastRenderedPageBreak/>
        <w:t>287. člen</w:t>
      </w:r>
    </w:p>
    <w:p w14:paraId="758A2280"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(pristojnost za nadzor)</w:t>
      </w:r>
    </w:p>
    <w:p w14:paraId="4F5A78D1"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Agencija nadzira izvajanje določb tega zakona in na njegovi podlagi izdanih predpisov ter splošnih aktov, razen v primerih, ki spadajo v pristojnosti Informacijskega pooblaščenca na podlagi 229. člena tega zakona ali organa, pristojnega za informacijsko varnost, na podlagi 128. člena tega zakona. Agencija opravlja tudi nadzor nad izvajanjem vseh posamičnih aktov in ukrepov, ki jih sprejema na podlagi tega zakona ter na njegovi podlagi sprejetih predpisov in splošnih aktov. Organ, pristojen za informacijsko varnost opravlja nadzor nad izvajanjem posamičnih aktov in ukrepov, ki jih sprejema na podlagi tretjega odstavka 120. člena in na podlagi četrtega odstavka 121. člena tega zakona.</w:t>
      </w:r>
    </w:p>
    <w:p w14:paraId="5CD9CE8E"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Ne glede na prejšnji odstavek agencija ne nadzira določb IV. poglavja tega zakona, razen tretjega, petega in devetega odstavka 27. člena in drugega odstavka 29. člena.</w:t>
      </w:r>
    </w:p>
    <w:p w14:paraId="2AD5F541"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Agencija na ozemlju Republike Slovenije nadzira tudi izvajanje določb predpisov EU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p>
    <w:p w14:paraId="6D2E8604"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288. člen</w:t>
      </w:r>
    </w:p>
    <w:p w14:paraId="2CD84BA1"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(sodelovanje med organi nadzora)</w:t>
      </w:r>
    </w:p>
    <w:p w14:paraId="00DA22DA"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Agencija, Informacijski pooblaščenec ter organ, pristojen za informacijsko varnost, se morajo obveščati o izvedenih ukrepih nadzora po tem zakonu, drug drugemu zagotavljati podatke, potrebne za izvajanje nadzora, in medsebojno strokovno sodelovati.</w:t>
      </w:r>
    </w:p>
    <w:p w14:paraId="4B77C3FC"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289. člen</w:t>
      </w:r>
    </w:p>
    <w:p w14:paraId="4CA67CA1"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(postopek nadzora)</w:t>
      </w:r>
    </w:p>
    <w:p w14:paraId="2A0808E0"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V postopku nadzora po tem zakonu se uporabljajo določbe zakona, ki ureja inšpekcijski nadzor, če s tem zakonom ni določeno drugače.</w:t>
      </w:r>
    </w:p>
    <w:p w14:paraId="114951CB"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Če izvaja nadzor Informacijski pooblaščenec, se v postopku nadzora uporabljajo tudi določbe predpisov, ki urejajo varstvo osebnih podatkov.</w:t>
      </w:r>
    </w:p>
    <w:p w14:paraId="44D3991C" w14:textId="77777777" w:rsidR="00891912"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Če izvaja nadzor organ, pristojen za informacijsko varnost, se v postopku nadzora smiselno uporabljajo tudi določbe prvega in četrtega odstavka 31. člena Zakona o informacijski varnosti (Uradni list RS, št. 30/18 in 95/21), kot tudi določbe 290. člena tega zakona, ki veljajo za agencijo.</w:t>
      </w:r>
    </w:p>
    <w:p w14:paraId="127A382C" w14:textId="77777777" w:rsidR="00864C5E" w:rsidRDefault="00864C5E" w:rsidP="001B0164">
      <w:pPr>
        <w:pBdr>
          <w:top w:val="none" w:sz="0" w:space="12" w:color="auto"/>
        </w:pBdr>
        <w:spacing w:before="210" w:after="210" w:line="260" w:lineRule="atLeast"/>
        <w:ind w:firstLine="1021"/>
        <w:jc w:val="both"/>
        <w:rPr>
          <w:rFonts w:eastAsia="Arial" w:cs="Arial"/>
          <w:szCs w:val="20"/>
          <w:lang w:val="sl-SI"/>
        </w:rPr>
      </w:pPr>
    </w:p>
    <w:p w14:paraId="54FAE73E" w14:textId="77777777" w:rsidR="00864C5E" w:rsidRPr="00C50F53" w:rsidRDefault="00864C5E" w:rsidP="001B0164">
      <w:pPr>
        <w:pBdr>
          <w:top w:val="none" w:sz="0" w:space="12" w:color="auto"/>
        </w:pBdr>
        <w:spacing w:before="210" w:after="210" w:line="260" w:lineRule="atLeast"/>
        <w:ind w:firstLine="1021"/>
        <w:jc w:val="both"/>
        <w:rPr>
          <w:rFonts w:eastAsia="Arial" w:cs="Arial"/>
          <w:szCs w:val="20"/>
          <w:lang w:val="sl-SI"/>
        </w:rPr>
      </w:pPr>
    </w:p>
    <w:p w14:paraId="074EE895" w14:textId="77777777" w:rsidR="00864C5E" w:rsidRPr="00864C5E" w:rsidRDefault="00864C5E" w:rsidP="00864C5E">
      <w:pPr>
        <w:pStyle w:val="center"/>
        <w:pBdr>
          <w:top w:val="none" w:sz="0" w:space="24" w:color="auto"/>
        </w:pBdr>
        <w:spacing w:before="210" w:after="210"/>
        <w:rPr>
          <w:rFonts w:ascii="Arial" w:eastAsia="Arial" w:hAnsi="Arial" w:cs="Arial"/>
          <w:b/>
          <w:bCs/>
          <w:sz w:val="21"/>
          <w:szCs w:val="21"/>
          <w:lang w:val="sl-SI"/>
        </w:rPr>
      </w:pPr>
      <w:r w:rsidRPr="00864C5E">
        <w:rPr>
          <w:rFonts w:ascii="Arial" w:eastAsia="Arial" w:hAnsi="Arial" w:cs="Arial"/>
          <w:b/>
          <w:bCs/>
          <w:sz w:val="21"/>
          <w:szCs w:val="21"/>
          <w:lang w:val="sl-SI"/>
        </w:rPr>
        <w:lastRenderedPageBreak/>
        <w:t>298. člen</w:t>
      </w:r>
    </w:p>
    <w:p w14:paraId="793D432A" w14:textId="77777777" w:rsidR="00864C5E" w:rsidRPr="00864C5E" w:rsidRDefault="00864C5E" w:rsidP="00864C5E">
      <w:pPr>
        <w:pStyle w:val="center"/>
        <w:pBdr>
          <w:top w:val="none" w:sz="0" w:space="24" w:color="auto"/>
        </w:pBdr>
        <w:spacing w:before="210" w:after="210"/>
        <w:rPr>
          <w:rFonts w:ascii="Arial" w:eastAsia="Arial" w:hAnsi="Arial" w:cs="Arial"/>
          <w:b/>
          <w:bCs/>
          <w:sz w:val="21"/>
          <w:szCs w:val="21"/>
          <w:lang w:val="sl-SI"/>
        </w:rPr>
      </w:pPr>
      <w:r w:rsidRPr="00864C5E">
        <w:rPr>
          <w:rFonts w:ascii="Arial" w:eastAsia="Arial" w:hAnsi="Arial" w:cs="Arial"/>
          <w:b/>
          <w:bCs/>
          <w:sz w:val="21"/>
          <w:szCs w:val="21"/>
          <w:lang w:val="sl-SI"/>
        </w:rPr>
        <w:t>(prekrški)</w:t>
      </w:r>
    </w:p>
    <w:p w14:paraId="3E469473" w14:textId="77777777" w:rsidR="00864C5E" w:rsidRPr="00864C5E" w:rsidRDefault="00864C5E" w:rsidP="00864C5E">
      <w:pPr>
        <w:pStyle w:val="zamik"/>
        <w:pBdr>
          <w:top w:val="none" w:sz="0" w:space="12" w:color="auto"/>
        </w:pBdr>
        <w:spacing w:before="210" w:after="210"/>
        <w:jc w:val="both"/>
        <w:rPr>
          <w:rFonts w:ascii="Arial" w:eastAsia="Arial" w:hAnsi="Arial" w:cs="Arial"/>
          <w:sz w:val="21"/>
          <w:szCs w:val="21"/>
          <w:lang w:val="sl-SI"/>
        </w:rPr>
      </w:pPr>
      <w:r w:rsidRPr="00864C5E">
        <w:rPr>
          <w:rFonts w:ascii="Arial" w:eastAsia="Arial" w:hAnsi="Arial" w:cs="Arial"/>
          <w:sz w:val="21"/>
          <w:szCs w:val="21"/>
          <w:lang w:val="sl-SI"/>
        </w:rPr>
        <w:t>(1) Z globo do pet odstotkov letnega prometa, ustvarjenega na trgu javnih komunikacijskih omrežij oziroma javnih komunikacijskih storitev v predhodnem poslovnem letu, se za prekršek kaznuje pravna oseba, samostojni podjetnik posameznik ali posameznik, ki samostojno opravlja dejavnost, če:</w:t>
      </w:r>
    </w:p>
    <w:p w14:paraId="34B9D2B9"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1.      ne izpolni naloženih obveznosti zagotavljanja preglednosti glede medomrežnega povezovanja oziroma operaterskega dostopa, ali ne ravna v skladu z objavljeno vzorčno ponudbo za medomrežno povezovanje oziroma operaterski dostop ali ne izpolni obveznosti objave vzorčne ponudbe (prvi, četrti in peti odstavek 149. člena tega zakona),</w:t>
      </w:r>
    </w:p>
    <w:p w14:paraId="57D5DFF8"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2.      ne izpolni naloženih obveznosti zagotavljanja enakega obravnavanja v zvezi z medomrežnim povezovanjem oziroma operaterskim dostopom (prvi odstavek 150. člena tega zakona),</w:t>
      </w:r>
    </w:p>
    <w:p w14:paraId="42FE01FD"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3.      ne izpolni naloženih obveznosti vodenja ločene računovodske evidence za določene dejavnosti (prvi, tretji in peti odstavek 151. člena tega zakona),</w:t>
      </w:r>
    </w:p>
    <w:p w14:paraId="259F1909"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4.      ne izpolni naloženih obveznosti omogočanja dostopa do komunikacijskih objektov (prvi odstavek 152. člena tega zakona),</w:t>
      </w:r>
    </w:p>
    <w:p w14:paraId="639024BE"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5.      ne izpolni naloženih obveznosti ugoditve vsem razumnim zahtevam za operaterski dostop do in uporabo določenih omrežnih elementov in pripadajočih zmogljivosti (prvi, drugi in peti odstavek 153. člena tega zakona),</w:t>
      </w:r>
    </w:p>
    <w:p w14:paraId="2BDE68E3"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6.      ne izpolni naloženih obveznosti v zvezi s pokrivanjem stroškov in kontrolo cen (prvi, sedmi in osmi odstavek 154. člena tega zakona),</w:t>
      </w:r>
    </w:p>
    <w:p w14:paraId="0E6A9A78"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7.      ne upošteva določenih najvišjih cen zaključevanja klicev (prvi in drugi odstavek 155. člena tega zakona),</w:t>
      </w:r>
    </w:p>
    <w:p w14:paraId="2AB4A471"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8.      ne izpolni naloženih obveznosti, povezanih z regulacijo storitev (prvi, tretji in četrti odstavek 157. člena tega zakona),</w:t>
      </w:r>
    </w:p>
    <w:p w14:paraId="6F155B64"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9.      ne izpolni naloženih obveznosti v zvezi s prenosom dejavnosti na poslovno enoto, ki deluje neodvisno (prvi in peti odstavek 158. člena tega zakona),</w:t>
      </w:r>
    </w:p>
    <w:p w14:paraId="215FEB17" w14:textId="77777777" w:rsidR="00864C5E" w:rsidRPr="00864C5E" w:rsidRDefault="00864C5E" w:rsidP="00864C5E">
      <w:pPr>
        <w:pStyle w:val="zamik"/>
        <w:spacing w:before="210" w:after="210"/>
        <w:ind w:left="425" w:hanging="425"/>
        <w:jc w:val="both"/>
        <w:rPr>
          <w:rFonts w:ascii="Arial" w:eastAsia="Arial" w:hAnsi="Arial" w:cs="Arial"/>
          <w:sz w:val="21"/>
          <w:szCs w:val="21"/>
          <w:lang w:val="sl-SI"/>
        </w:rPr>
      </w:pPr>
      <w:r w:rsidRPr="00864C5E">
        <w:rPr>
          <w:rFonts w:ascii="Arial" w:eastAsia="Arial" w:hAnsi="Arial" w:cs="Arial"/>
          <w:sz w:val="21"/>
          <w:szCs w:val="21"/>
          <w:lang w:val="sl-SI"/>
        </w:rPr>
        <w:t>10.   ne izpolni naloženih obveznosti, povezanih s prehodom z obstoječe infrastrukture (prvi in drugi odstavek 162. člena tega zakona).</w:t>
      </w:r>
    </w:p>
    <w:p w14:paraId="77CA8A39" w14:textId="77777777" w:rsidR="00864C5E" w:rsidRPr="00864C5E" w:rsidRDefault="00864C5E" w:rsidP="00864C5E">
      <w:pPr>
        <w:pStyle w:val="zamik"/>
        <w:pBdr>
          <w:top w:val="none" w:sz="0" w:space="12" w:color="auto"/>
        </w:pBdr>
        <w:spacing w:before="210" w:after="210"/>
        <w:jc w:val="both"/>
        <w:rPr>
          <w:rFonts w:ascii="Arial" w:eastAsia="Arial" w:hAnsi="Arial" w:cs="Arial"/>
          <w:sz w:val="21"/>
          <w:szCs w:val="21"/>
          <w:lang w:val="sl-SI"/>
        </w:rPr>
      </w:pPr>
      <w:r w:rsidRPr="00864C5E">
        <w:rPr>
          <w:rFonts w:ascii="Arial" w:eastAsia="Arial" w:hAnsi="Arial" w:cs="Arial"/>
          <w:sz w:val="21"/>
          <w:szCs w:val="21"/>
          <w:lang w:val="sl-SI"/>
        </w:rPr>
        <w:t>(2) Z globo od 1.000 do 10.000 eurov se kaznuje odgovorna oseba pravne osebe ali odgovorna oseba samostojnega podjetnika posameznika oziroma posameznika, ki samostojno opravlja dejavnost, ki stori prekršek iz prejšnjega odstavka.</w:t>
      </w:r>
    </w:p>
    <w:p w14:paraId="3025A7BE" w14:textId="77777777" w:rsidR="00864C5E" w:rsidRPr="00864C5E" w:rsidRDefault="00864C5E" w:rsidP="00864C5E">
      <w:pPr>
        <w:pStyle w:val="zamik"/>
        <w:pBdr>
          <w:top w:val="none" w:sz="0" w:space="12" w:color="auto"/>
        </w:pBdr>
        <w:spacing w:before="210" w:after="210"/>
        <w:jc w:val="both"/>
        <w:rPr>
          <w:rFonts w:ascii="Arial" w:eastAsia="Arial" w:hAnsi="Arial" w:cs="Arial"/>
          <w:sz w:val="21"/>
          <w:szCs w:val="21"/>
          <w:lang w:val="sl-SI"/>
        </w:rPr>
      </w:pPr>
      <w:r w:rsidRPr="00864C5E">
        <w:rPr>
          <w:rFonts w:ascii="Arial" w:eastAsia="Arial" w:hAnsi="Arial" w:cs="Arial"/>
          <w:sz w:val="21"/>
          <w:szCs w:val="21"/>
          <w:lang w:val="sl-SI"/>
        </w:rPr>
        <w:t>(3) Z globo od 500 do 5.000 eurov se kaznuje posameznik, ki stori prekršek iz prvega odstavka tega člena.</w:t>
      </w:r>
    </w:p>
    <w:p w14:paraId="0E2DA180" w14:textId="77777777" w:rsidR="00024ADD" w:rsidRDefault="00024ADD">
      <w:pPr>
        <w:spacing w:line="240" w:lineRule="auto"/>
        <w:rPr>
          <w:rFonts w:eastAsia="Arial" w:cs="Arial"/>
          <w:b/>
          <w:bCs/>
          <w:szCs w:val="20"/>
          <w:lang w:val="sl-SI"/>
        </w:rPr>
      </w:pPr>
      <w:r>
        <w:rPr>
          <w:rFonts w:eastAsia="Arial" w:cs="Arial"/>
          <w:b/>
          <w:bCs/>
          <w:szCs w:val="20"/>
          <w:lang w:val="sl-SI"/>
        </w:rPr>
        <w:br w:type="page"/>
      </w:r>
    </w:p>
    <w:p w14:paraId="4813134A" w14:textId="56838261"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lastRenderedPageBreak/>
        <w:t>299. člen</w:t>
      </w:r>
    </w:p>
    <w:p w14:paraId="1ED7E19D" w14:textId="77777777" w:rsidR="00891912" w:rsidRPr="00C50F53" w:rsidRDefault="00891912" w:rsidP="001B0164">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(prekrški)</w:t>
      </w:r>
    </w:p>
    <w:p w14:paraId="5AF714CE"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Z globo od 1.000 do 20.000 eurov se za prekršek kaznuje pravna oseba, z globo od 50.000 do 400.000 eurov pa pravna oseba, ki se po zakonu, ki ureja gospodarske družbe, šteje za srednjo ali veliko gospodarsko družbo, če:</w:t>
      </w:r>
    </w:p>
    <w:p w14:paraId="53E61BB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      pisno ne obvesti agencije pred začetkom, spremembo ali prenehanjem zagotavljanja javnih komunikacijskih omrežij oziroma izvajanja javnih komunikacijskih storitev (prvi in deveti odstavek 5. člena tega zakona),</w:t>
      </w:r>
    </w:p>
    <w:p w14:paraId="3DC154F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      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(prvi odstavek 8. člena tega zakona),</w:t>
      </w:r>
    </w:p>
    <w:p w14:paraId="3CE5E87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      ne sporoči agenciji namere o načrtovani gradnji in poziva zainteresiranim soinvestitorjem v skladu s prvim odstavkom 11. člena tega zakona,</w:t>
      </w:r>
    </w:p>
    <w:p w14:paraId="5B1306E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      ne predloži informacij pod sorazmernimi, nediskriminacijskimi in preglednimi pogoji v roku in pod pogoji iz petega odstavka 11. člena tega zakona,</w:t>
      </w:r>
    </w:p>
    <w:p w14:paraId="03FD7DB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      zainteresiranim soinvestitorjem ne ponudi sklenitve ustrezne pogodbe v skladu z drugim odstavkom 12. člena tega zakona,</w:t>
      </w:r>
    </w:p>
    <w:p w14:paraId="2ECC206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      ne načrtuje svojega omrežja v skladu s četrtim odstavkom 12. člena tega zakona,</w:t>
      </w:r>
    </w:p>
    <w:p w14:paraId="6805051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      pri gradnji gospodarske javne infrastrukture ne položi dovolj zmogljive proste kabelske kanalizacije oziroma je pod enakimi pogoji ne da na voljo vsem fizičnim ali pravnim osebam, ki zagotavljajo elektronska komunikacijska omrežja in pripadajočo infrastrukturo (osmi odstavek 12. člena tega zakona),</w:t>
      </w:r>
    </w:p>
    <w:p w14:paraId="23A0F0C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      ne pošlje podatkov ali pošlje napačne podatke organu, pristojnemu za geodetske zadeve, v skladu s prvim, četrtim in sedmim odstavkom 15. člena tega zakona,</w:t>
      </w:r>
    </w:p>
    <w:p w14:paraId="7041458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      ne odobri dostopa v roku in pod pogoji iz drugega odstavka 16. člena tega zakona,</w:t>
      </w:r>
    </w:p>
    <w:p w14:paraId="131519F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   ne odobri prošnje za pregled v roku in pod pogoji iz četrtega odstavka 16. člena tega zakona,</w:t>
      </w:r>
    </w:p>
    <w:p w14:paraId="2B92155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   s podatki, ki jih pridobi na podlagi 16. člena tega zakona ne ravna v skladu s predpisi s področja tajnih podatkov, predpisi, ki urejajo varovanje poslovnih skrivnosti, in predpisi, ki urejajo varstvo osebnih podatkov, oziroma ne sprejme ustreznih tehničnih in organizacijskih ukrepov za varovanje zaupnosti, tajnosti ter operativnih in poslovnih skrivnosti (peti odstavek 16. člena tega zakona),</w:t>
      </w:r>
    </w:p>
    <w:p w14:paraId="1E4960B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12.   naklepno ali iz zavestne malomarnosti posreduje zavajajoče, napačne ali nepopolne informacije v okviru poizvedovanja po tržnem interesu za gradnjo visokozmogljivih omrežij iz drugega, tretjega, šestega in sedmega odstavka 19. člena tega zakona,</w:t>
      </w:r>
    </w:p>
    <w:p w14:paraId="000FB8C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13.   ne uporablja radijskih frekvenc v skladu z določili splošnega akta iz prvega in drugega odstavka 35. člena tega zakona,</w:t>
      </w:r>
    </w:p>
    <w:p w14:paraId="76306688" w14:textId="0F3A4E75"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14.   uporablja radijske frekvence v nasprotju z določili splošnega akta, ki ga izda agencija na podlagi prvega do četrtega odstavka 39.</w:t>
      </w:r>
      <w:r w:rsidR="008978A1" w:rsidRPr="00C50F53">
        <w:rPr>
          <w:rFonts w:eastAsia="Arial" w:cs="Arial"/>
          <w:szCs w:val="20"/>
          <w:lang w:val="sl-SI"/>
        </w:rPr>
        <w:t xml:space="preserve"> </w:t>
      </w:r>
      <w:r w:rsidRPr="00C50F53">
        <w:rPr>
          <w:rFonts w:eastAsia="Arial" w:cs="Arial"/>
          <w:szCs w:val="20"/>
          <w:lang w:val="sl-SI"/>
        </w:rPr>
        <w:t>člena tega zakona,</w:t>
      </w:r>
    </w:p>
    <w:p w14:paraId="39DA711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15.   ne deluje v skladu z odločbo o dodelitvi radijskih frekvenc iz prvega odstavka 64. člena tega zakona,</w:t>
      </w:r>
    </w:p>
    <w:p w14:paraId="0C32107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16.   pravna oseba ne deluje v skladu z odločbo, izdano na podlagi skupnega izbirnega postopka, ki so ga izvedle pristojne institucije EU na podlagi predpisa EU (tretji odstavek 64. člena in 11. točka prvega odstavka 65. člena tega zakona),</w:t>
      </w:r>
    </w:p>
    <w:p w14:paraId="77AEA88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17.   je imetnik odločbe o dodelitvi radijskih frekvenc in brez predhodnega soglasja agencije prenese pravico do uporabe teh radijskih frekvenc ali odda pravico do uporabe teh radijskih frekvenc v najem (prvi odstavek 69. člen tega zakona),</w:t>
      </w:r>
    </w:p>
    <w:p w14:paraId="02833FB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18.   kopiči radijske frekvence z namenom omejevanja konkurence na trgu (74. člen tega zakona),</w:t>
      </w:r>
    </w:p>
    <w:p w14:paraId="002F599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19.   uporablja elemente oštevilčenja brez veljavne odločbe o dodelitvi elementov oštevilčenja (99. člen tega zakona),</w:t>
      </w:r>
    </w:p>
    <w:p w14:paraId="338DE6F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20.   dodeljene številke na podlagi pravnega posla dodeljuje v uporabo izvajalcem storitev in pri tem zaračuna več kot le dejanske stroške oziroma dela razlike med izvajalci storitev glede blokov številk, ki se uporabljajo za dostop do njihovih storitev (sedmi odstavek 101. člena tega zakona),</w:t>
      </w:r>
    </w:p>
    <w:p w14:paraId="65E2065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21.   imetnik odločbe o dodelitvi elementov oštevilčenja brez predhodnega soglasja agencije prenese pravico do uporabe teh elementov oštevilčenja (prvi odstavek 106. člena tega zakona),</w:t>
      </w:r>
    </w:p>
    <w:p w14:paraId="2B19E9C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22.   ne sprejme sistema upravljanja varnosti v skladu s prvim odstavkom 115. člena tega zakona, vključno z ukrepi, ki vključujejo SUVI iz drugega odstavka 115. člena tega zakona in SUNP iz četrtega odstavka 115. člena tega zakona,</w:t>
      </w:r>
    </w:p>
    <w:p w14:paraId="1C2B788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23.   ne določi SUVI ali SUNP kot poslovno skrivnost ali ju ne izvaja, spremlja in redno izboljšuje vključno s pripadajočimi ukrepi, ki jih vsebujeta, v skladu z drugim in četrtim odstavkom 115. člena tega zakona,</w:t>
      </w:r>
    </w:p>
    <w:p w14:paraId="4ABA993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24.   ne sprejme, pregleduje ali posodobi SUNP v delu, ki se nanaša na komunikacije v sili, s predhodno odobritvijo pristojnih organov, ki so odgovorni za delovanje centrov za sprejem komunikacije v sili v skladu s petim odstavkom 115. člena tega zakona,</w:t>
      </w:r>
    </w:p>
    <w:p w14:paraId="7394E78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25.   ne upošteva dodatnih varnostnih zahtev in omejitev iz 116. člena tega zakona,</w:t>
      </w:r>
    </w:p>
    <w:p w14:paraId="3284609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26.   na predpisani način ne obvesti določenih subjektov v skladu s prvim odstavkom 118. člena tega zakona o varnostnih incidentih,</w:t>
      </w:r>
    </w:p>
    <w:p w14:paraId="1B79923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27.   v primeru posebne in resne grožnje varnostnega incidenta brezplačno ne obvesti svojih uporabnikov o morebitnih zaščitnih ali popravnih ukrepih v skladu z osmim odstavkom 118. člena tega zakona,</w:t>
      </w:r>
    </w:p>
    <w:p w14:paraId="21EA0A6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28.   v primeru težjega ali kritičnega incidenta ali v primeru kibernetskega napada ne izvede ukrepov, naloženih s pisno odločbo iz tretjega odstavka 120. člena tega zakona,</w:t>
      </w:r>
    </w:p>
    <w:p w14:paraId="2A9E493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29.   v stanju povečane ogroženosti ne izvede ukrepov, naloženih s pisno odločbo iz četrtega odstavka 121. člena tega zakona,</w:t>
      </w:r>
    </w:p>
    <w:p w14:paraId="156BB27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30.   ne omogoči izvedbe revizije varnosti v skladu z zahtevo agencije in predpisanim postopkom za revizijo varnosti iz prvega odstavka 123. člena tega zakona,</w:t>
      </w:r>
    </w:p>
    <w:p w14:paraId="5FAAB09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31.   za primere stanj ogroženosti ne vzpostavi, dokumentira, izvaja ali vzdržuje procesov, postopkov in kontrole za zagotavljanje SUNP, vključno z zagotavljanjem nadomestnih poti v skladu s prvim odstavkom 124. člena tega zakona,</w:t>
      </w:r>
    </w:p>
    <w:p w14:paraId="3245422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32.   ne vzpostavi in vzdržuje ustrezne zmogljivosti, ukrepov in dogovorov z drugimi operaterji v skladu z drugim odstavkom 124. člena tega zakona,</w:t>
      </w:r>
    </w:p>
    <w:p w14:paraId="2607E64E"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33.   ne izvaja, spremlja ali redno ne izboljšuje ukrepov, načrtov in zmogljivosti v skladu s tretjim odstavkom 124. člena tega zakona,</w:t>
      </w:r>
    </w:p>
    <w:p w14:paraId="181AF5C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34.   v delu, ko se SUNP za primer stanj ogroženosti nanaša na komunikacije v sili, ga ne sprejme, ne pregleda ali po potrebi ne posodobi s predhodno odobritvijo določenih organov v skladu s četrtim odstavkom 124. člena tega zakona,</w:t>
      </w:r>
    </w:p>
    <w:p w14:paraId="5D53E36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35.   v primeru stanj ogroženosti ne zagotavlja prednostnega delovanja delov omrežja, storitev in povezav v skladu s prvim odstavkom 125. člena tega zakona,</w:t>
      </w:r>
    </w:p>
    <w:p w14:paraId="7646E56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36.   ne prilagodi svojega omrežja tako, da omogoča funkcijo prednosti v skladu z drugim odstavkom 125. člena ali ne zagotavlja prednosti uporabnikom, ki imajo pravico do omrežnih priključnih točk s prednostjo v skladu z uredbo iz tretjega odstavka 125. člena tega zakona,</w:t>
      </w:r>
    </w:p>
    <w:p w14:paraId="18DB0F6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37.   ob naravnih in drugih nesrečah, razglašeni epidemiji ali ob katastrofalnem izpadu omrežja ne izvede drugih ukrepov oziroma omejitev ali prekinitev delovanja v skladu s sprejetimi ukrepi vlade (četrti odstavek 125. člena tega zakona),</w:t>
      </w:r>
    </w:p>
    <w:p w14:paraId="26EB002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38.   ne sprejme ustreznih tehničnih in organizacijskih ukrepov, ki omogočajo, da so njihove dejavnosti v primeru stanj ogroženosti čim manj motene, ter jih ne izvaja ves čas trajanja okoliščin, zaradi katerih so bili sprejeti (prvi odstavek 126. člena tega zakona),</w:t>
      </w:r>
    </w:p>
    <w:p w14:paraId="20714C7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39.   ne zagotavlja neprekinjenega dostopa do številk za komunikacijo v sili in uporabe teh številk (drugi odstavek 126. člena tega zakona),</w:t>
      </w:r>
    </w:p>
    <w:p w14:paraId="358FD7A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40.   ne sprejme notranjega akta v skladu s prvim odstavkom 127. člena tega zakona,</w:t>
      </w:r>
    </w:p>
    <w:p w14:paraId="6A50509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41.   se ne pogaja o medomrežnem povezovanju (prvi odstavek 130. člena tega zakona),</w:t>
      </w:r>
    </w:p>
    <w:p w14:paraId="2630C2E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42.   ne varuje zaupnosti podatkov pri sklepanju pogodb o medomrežnem povezovanju oziroma operaterskem dostopu (tretji odstavek 130. člena tega zakona),</w:t>
      </w:r>
    </w:p>
    <w:p w14:paraId="37B17F5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43.   ne izvrši odločbe agencije iz četrtega odstavka 130. člena tega zakona,</w:t>
      </w:r>
    </w:p>
    <w:p w14:paraId="2F6F16A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44.   ne izpolni obveznosti iz odločbe iz prvega odstavka 131. člena tega zakona,</w:t>
      </w:r>
    </w:p>
    <w:p w14:paraId="53C3F92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45.   ne izpolni obveznosti iz odločbe iz 132. člena tega zakona v zvezi z zagotovitvijo dostopa do vmesnikov aplikacijskega programa ali elektronskega programskega vodnika ali tega ne zagotovi pod poštenimi, upravičenimi in nediskriminacijskimi pogoji,</w:t>
      </w:r>
    </w:p>
    <w:p w14:paraId="203A1EC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46.   ne izpolni obveznosti, povezanih s souporabo pasivne infrastrukture oziroma sklenitvijo lokalno omejenih sporazumov o nacionalnem gostovanju (prvi odstavek 133. člena tega zakona),</w:t>
      </w:r>
    </w:p>
    <w:p w14:paraId="70BB179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47.   ne zagotovi tehničnih storitev pod poštenimi, upravičenimi in nediskriminacijskimi pogoji (prvi odstavek 134. člena tega zakona),</w:t>
      </w:r>
    </w:p>
    <w:p w14:paraId="5486277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48.   pri zagotavljanju pogojno dostopnih storitev teh računovodsko ne loči od drugih dejavnosti (drugi odstavek 134. člena tega zakona),</w:t>
      </w:r>
    </w:p>
    <w:p w14:paraId="39A5186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49.   pravic industrijske lastnine za izdelke in sisteme s pogojnim dostopom pod pravičnimi, upravičenimi in nediskriminacijskimi pogoji ne podeli proizvajalcem uporabniške opreme (tretji odstavek 134. člena tega zakona),</w:t>
      </w:r>
    </w:p>
    <w:p w14:paraId="0DA64A9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50.   s kakršnimi koli pogoji prepreči izdelovalcu, da v isti izdelek vključi skupni vmesnik, ki dopušča priključitev na druge dostopne sisteme, ali elemente, ki so značilni za druge dostopne sisteme (tretji odstavek 134. člena tega zakona),</w:t>
      </w:r>
    </w:p>
    <w:p w14:paraId="3F89340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51.   ne razvršča programov v skladu s 135. členom tega zakona,</w:t>
      </w:r>
    </w:p>
    <w:p w14:paraId="0D9E36A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52.   ne izvrši odločbe agencije o odreditvi skupne uporabe iz prvega odstavka 136. člena ali odločbe o naložitvi obveznosti skupne uporabe iz prvega in drugega odstavka 138. člena tega zakona,</w:t>
      </w:r>
    </w:p>
    <w:p w14:paraId="09A3886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53.   ne ponudi sklenitve ustreznega dogovora v zvezi z dostopom do razdelilne točke in stavbne fizične infrastrukture pod poštenimi in nediskriminacijskimi pogoji, vključno s ceno, kjer je to primerno (drugi odstavek 137. člena tega zakona),</w:t>
      </w:r>
    </w:p>
    <w:p w14:paraId="61B481D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54.   uporablja fizično infrastrukturo drugega infrastrukturnega operaterja za postavitev elementov elektronskih komunikacijskih omrežij brez sklenitve dogovora o pogojih dostopa ali odločbe agencije iz 139. člena tega zakona;</w:t>
      </w:r>
    </w:p>
    <w:p w14:paraId="64E5748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55.   na prošnjo operaterja omrežja ne pripravi ponudbe za skupno uporabo zmogljivosti pod poštenimi in razumnimi pogoji (četrti odstavek 139. člena tega zakona in 140. člen tega zakona),</w:t>
      </w:r>
    </w:p>
    <w:p w14:paraId="51B39EE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56.   ne uresničuje pravice skupne uporabe v skladu s 141. členom tega zakona,</w:t>
      </w:r>
    </w:p>
    <w:p w14:paraId="72E3F18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57.   ne obvesti agencije v skladu s prvim odstavkom 159. člena tega zakona,</w:t>
      </w:r>
    </w:p>
    <w:p w14:paraId="2DB60B0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58.   ne izpolni zavez, ki so v odločbi iz petega odstavka 160. člena tega zakona določene kot zavezujoče,</w:t>
      </w:r>
    </w:p>
    <w:p w14:paraId="3BD1177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59.   ne obvesti agencije o spremembi okoliščin v skladu s četrtim odstavkom 161. člena tega zakona,</w:t>
      </w:r>
    </w:p>
    <w:p w14:paraId="5F7E95A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60.   pisno ne obvesti agencije v skladu s prvim odstavkom 162. člena tega zakona,</w:t>
      </w:r>
    </w:p>
    <w:p w14:paraId="1640554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61.   cene storitev, ki jih izvaja kot univerzalno storitev, niso enake na celotnem ozemlju Republike Slovenije (četrti odstavek 166. člena tega zakona),</w:t>
      </w:r>
    </w:p>
    <w:p w14:paraId="3D14595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62.   ne zagotavlja univerzalne storitve, ki ji je bila naložena z odločbo agencije (prvi in četrti odstavek 169. člena tega zakona),</w:t>
      </w:r>
    </w:p>
    <w:p w14:paraId="50B327B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63.   je izvajalec univerzalne storitve in pred prenosom sredstev krajevnega dostopovnega omrežja na drugo pravno osebo z drugim lastnikom pisno ne obvesti agencije (prvi odstavek 170. člena tega zakona),</w:t>
      </w:r>
    </w:p>
    <w:p w14:paraId="040715D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64.   svojega prispevka izračunane obveznosti ne plača v kompenzacijski sklad v roku in višini, ki ju z odločbo določi agencija (peti odstavek 172. člena tega zakona),</w:t>
      </w:r>
    </w:p>
    <w:p w14:paraId="1EDD665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65.   v roku, ki je določen s tem zakonom, ne obvesti agencije o prihodkih iz zagotavljanja javnih komunikacijskih omrežij oziroma izvajanja javnih komunikacijskih storitev (šesti odstavek 172. člena tega zakona),</w:t>
      </w:r>
    </w:p>
    <w:p w14:paraId="2EAD03C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66.   ovira agencijo pri pregledu podatkov in oceni prihodkov (sedmi odstavek 172. člena tega zakona),</w:t>
      </w:r>
    </w:p>
    <w:p w14:paraId="3E75FAA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67.   cene posameznih storitev, ki se izvajajo kot univerzalna storitev, in z njimi povezani pogoji niso javno objavljeni, pregledni in nediskriminacijski (drugi odstavek 173. člena tega zakona),</w:t>
      </w:r>
    </w:p>
    <w:p w14:paraId="4F1C9B1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68.   ne spoštuje odločbe agencije iz tretjega odstavka 173. člena tega zakona o zagotavljanju posebnih cenovnih opcij ali paketov za potrošnike z nizkimi dohodki oziroma posebnimi potrebami,</w:t>
      </w:r>
    </w:p>
    <w:p w14:paraId="1776F92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69.   cen in splošnih pogojev ni določila tako, da naročnikom neke storitve, ki se izvaja kot univerzalna storitev, ni treba plačati še za zmogljivosti ali storitve, ki pri tej storitvi niso potrebne ali zahtevane (prvi odstavek 176. člena tega zakona),</w:t>
      </w:r>
    </w:p>
    <w:p w14:paraId="4A413CA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70.   svojim naročnikom ne omogoči prenosljivosti številk (prvi odstavek 195. člena tega zakona),</w:t>
      </w:r>
    </w:p>
    <w:p w14:paraId="43C1040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71.   ne izvede prenosa številke in njenega aktiviranja v roku, določenem v tretjem odstavku 195. člena tega zakona,</w:t>
      </w:r>
    </w:p>
    <w:p w14:paraId="5EC431D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72.   prenos številke drugemu operaterju naročniku zaračuna v nasprotju s šestim odstavkom 195. člena tega zakona,</w:t>
      </w:r>
    </w:p>
    <w:p w14:paraId="27B9193E"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73.   cene medomrežnega povezovanja niso stroškovno naravnane (šesti odstavek 195. člena tega zakona),</w:t>
      </w:r>
    </w:p>
    <w:p w14:paraId="030A16F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74.   povzroči zamude v postopku zamenjave izvajalca dostopa do interneta ali prenosa številke, zlorabi postopek ali prenese številko ali zamenja končne uporabnike brez njihovega izrecnega soglasja (prvi odstavek 196. člena tega zakona),</w:t>
      </w:r>
    </w:p>
    <w:p w14:paraId="352011D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75.   naročniku, ki je potrošnik, ne povrne preostalega dobroimetja v skladu s petim odstavkom 196. člena tega zakona,</w:t>
      </w:r>
    </w:p>
    <w:p w14:paraId="2A586415"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76.   ne zagotavlja informacij glede storitev dostopa do interneta ali javno dostopnih medosebnih komunikacijskih storitev v skladu s splošnim aktom iz tretjega odstavka 197. člena tega zakona,</w:t>
      </w:r>
    </w:p>
    <w:p w14:paraId="1C044C5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77.   informacij ne zagotovi na način in v obliki, ki končnemu uporabniku invalidu omogoča dostop do teh informacij (četrti odstavek 197. člena tega zakona),</w:t>
      </w:r>
    </w:p>
    <w:p w14:paraId="6BF1E08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78.   ne spoštuje določb splošnega akta iz prvega odstavka 199. člena tega zakona,</w:t>
      </w:r>
    </w:p>
    <w:p w14:paraId="3940627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79.   uporabnikom ne omogoči brezplačnega dostopa do interventnih storitev na številkah za komunikacije v sili prek komunikacije v sili (prvi odstavek 200. člena tega zakona),</w:t>
      </w:r>
    </w:p>
    <w:p w14:paraId="760ED9D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80.   ne omogoči uporabnikom invalidom klicev v sili z uporabo govornih in znakovnih jezikov ter drugih oblik negovorjenih jezikov na način in v obsegu, kakor je to tehnično mogoče (tretji odstavek 200. člena tega zakona),</w:t>
      </w:r>
    </w:p>
    <w:p w14:paraId="32C78F5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81.   brezplačno ne zagotovi prenosa komunikacije v sili in nadomestnih poti v skladu s četrtim odstavkom 200. člena tega zakona,</w:t>
      </w:r>
    </w:p>
    <w:p w14:paraId="2CD35AE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82.   v skladu s tehničnimi zmožnostmi najprimernejšemu centru za sprejem komunikacije v sili ne pošlje podatkov o številki in lokaciji kličočega (peti odstavek 200. člena tega zakona),</w:t>
      </w:r>
    </w:p>
    <w:p w14:paraId="4353C070"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83.   ne zagotovi prenosa govornega klica ter standardiziranega minimalnega sklopa podatkov sistema klica v sili iz vozil (e-klic) najprimernejšemu centru za sprejem komunikacije v sili (sedmi odstavek 200. člena tega zakona),</w:t>
      </w:r>
    </w:p>
    <w:p w14:paraId="7F0A651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84.   ne obvešča uporabnikov v skladu z osmim odstavkom 200. člena tega zakona,</w:t>
      </w:r>
    </w:p>
    <w:p w14:paraId="4CD4625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85.   za odhodne klice z enotne evropske telefonske številke za klice v sili 112, številke policije 113 in enotne evropske telefonske številke za prijavo pogrešanih otrok 116 000 v skladu s tehničnimi možnostmi ne omogoči enoznačnega prikazovanja odhodnega klica v obliki trimestne številke klica 112, 113 ali 116 (deveti odstavek 200. člena tega zakona),</w:t>
      </w:r>
    </w:p>
    <w:p w14:paraId="0ACCA42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86.   ne zagotovi obveščanja in alarmiranja končnih uporabnikov prek javnega mobilnega omrežja na območju, ki ga določi organ, pristojen za zaščito in reševanje (prvi odstavek 201. člena tega zakona),</w:t>
      </w:r>
    </w:p>
    <w:p w14:paraId="67C2472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87.   ne spoštuje predpisanih zahtev za medsebojno delovanje digitalnih interaktivnih televizijskih storitev in digitalne televizijske opreme, ki jo uporabljajo potrošniki (tretji odstavek 203. člena tega zakona),</w:t>
      </w:r>
    </w:p>
    <w:p w14:paraId="232FAA7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88.   ne najavi omejitve ali prekinitve dostopa do svojih storitev ali ne obvesti uporabnikov in agencije o večjih omejitvah ali prekinitvah zaradi okvar ali napak (drugi odstavek 208. člena tega zakona),</w:t>
      </w:r>
    </w:p>
    <w:p w14:paraId="76AB32C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89.   naročniku, ki je v roku poravnal nesporni del računa ali znesek, ki ustreza povprečni vrednosti zadnjih treh nespornih računov, pred končno rešitvijo spora oziroma pred dokončno odločitvijo agencije zaradi neplačila obveznosti omeji dostop do svojih storitev ali naročnika odklopi ter prekine naročniško razmerje, čeprav je naročnik vložil ugovor oziroma predlagal rešitev spora ali če je potrošnik sprožil postopek po zakonu, ki ureja izvensodno reševanje potrošniških sporov (štirinajsti odstavek 209. člena tega zakona),</w:t>
      </w:r>
    </w:p>
    <w:p w14:paraId="20C8DCA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90.   ne sprejme ustreznih tehničnih in organizacijskih ukrepov za zagotovitev zavarovanja svojih storitev (prvi odstavek 212. člena tega zakona),</w:t>
      </w:r>
    </w:p>
    <w:p w14:paraId="54C6E2F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91.   ne sprejme takih ukrepov, ki zagotovijo takšno raven varnosti in zavarovanja, ki ustreza predvidenemu tveganju (drugi odstavek 212. člena tega zakona),</w:t>
      </w:r>
    </w:p>
    <w:p w14:paraId="6CFD0852"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92.   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213. člena tega zakona),</w:t>
      </w:r>
    </w:p>
    <w:p w14:paraId="42352AA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93.   ne varuje zaupnosti elektronskih komunikacij tudi po prenehanju opravljanja dejavnosti, pri kateri je bil zavezan k varovanju zaupnosti (drugi odstavek 214. člena tega zakona),</w:t>
      </w:r>
    </w:p>
    <w:p w14:paraId="0CB1FBB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94.   sebi ali komu drugemu pridobi informacije o komunikacijah v obsegu, ki presega nujno potrebnost za izvajanje določenih javnih komunikacijskih storitev in teh informacij ne uporablja ali posreduje drugim le zaradi izvajanja teh storitev (tretji odstavek 214. člena tega zakona),</w:t>
      </w:r>
    </w:p>
    <w:p w14:paraId="2311A9E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95.   ne seznani naročnika oziroma uporabnika in ne izbriše informacij o vsebini komunikacije oziroma komunikacije v skladu s četrtim odstavkom 214. člena tega zakona,</w:t>
      </w:r>
    </w:p>
    <w:p w14:paraId="77AF5B94"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96.   nadzoruje oziroma prestreza komunikacije, kadar to ni izrecno dovoljeno s tem zakonom (peti odstavek 214. člena tega zakona),</w:t>
      </w:r>
    </w:p>
    <w:p w14:paraId="1D592F1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97.   snema in shranjuje komunikacije v nasprotju s šestim odstavkom 214. člena tega zakona,</w:t>
      </w:r>
    </w:p>
    <w:p w14:paraId="0170FFD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98.   stranke v komunikaciji niso bile predhodno pravilno obveščene o snemanju, njegovem namenu in trajanju hrambe posnetka ali posneto sporočilo ni bilo pravočasno izbrisano v skladu s sedmim odstavkom 214. člena tega zakona,</w:t>
      </w:r>
    </w:p>
    <w:p w14:paraId="6713BD8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99.   obvestilo o snemanju ni dano po istovrstnem mediju in v enaki obliki, kot poteka snemana komunikacija (osmi odstavek 214. člena tega zakona),</w:t>
      </w:r>
    </w:p>
    <w:p w14:paraId="7B5C0AB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100.ne vzpostavi svojih notranjih postopkov in ne zagotavlja neizbrisne evidence o odzivanju na zahteve za dostop do osebnih podatkov naročnikov v skladu s prvim odstavkom 216. člena tega zakona,</w:t>
      </w:r>
    </w:p>
    <w:p w14:paraId="1513E5C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101.podatkov o prometu po končani zvezi ne izbriše ali ne naredi tako, da jih ni mogoče povezati z določeno ali določljivo osebo (prvi odstavek 218. člena tega zakona),</w:t>
      </w:r>
    </w:p>
    <w:p w14:paraId="3762A7EF"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102.v nasprotju s tretjim odstavkom 218. člena tega zakona ne pridobi naročnikovega oziroma uporabnikovega predhodnega soglasja ali pred danim soglasjem naročnika oziroma uporabnika ne obvesti o vrstah podatkov o prometu, ki se obdelujejo, ter namenu in trajanju takšne obdelave,</w:t>
      </w:r>
    </w:p>
    <w:p w14:paraId="5ED14ED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103.podatke o prometu namesto oseb, ki so pod nadzorstvom operaterja, obdeluje kdo drug (peti odstavek 218. člena tega zakona),</w:t>
      </w:r>
    </w:p>
    <w:p w14:paraId="1ECA983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104.na pisno zahtevo, ki je vložena zaradi reševanja sporov, in v skladu z veljavno zakonodajo agenciji, izvajalcu izvensodnega reševanja potrošniških sporov ali pristojnemu sodišču ne pošlje podatkov o prometu (šesti odstavek 218. člena tega zakona),</w:t>
      </w:r>
    </w:p>
    <w:p w14:paraId="5D3DAD4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105.ne obdeluje lokacijskih podatkov le v takšni obliki, da jih ni mogoče povezati z določeno ali določljivo osebo, ali pa na podlagi predhodnega soglasja uporabnika ali naročnika v obsegu ali trajanju, ki sta potrebna za izvedbo storitve z dodano vrednostjo (prvi odstavek 219. člena tega zakona),</w:t>
      </w:r>
    </w:p>
    <w:p w14:paraId="222E3579"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106.uporabniku ali naročniku krši pravico do preklica podanega soglasja za obdelavo lokacijskih podatkov za namene izvajanja storitve z dodano vrednostjo (prvi odstavek 219. člena tega zakona),</w:t>
      </w:r>
    </w:p>
    <w:p w14:paraId="61C615E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107.lokacijske podatke ne obdelujejo le osebe, ki so pod nadzorom operaterja, ali tretje osebe, ki izvajajo storitev z dodano vrednostjo (četrti odstavek 219. člena tega zakona),</w:t>
      </w:r>
    </w:p>
    <w:p w14:paraId="074352E8"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108.ne hrani podatkov iz prvega odstavka 220. člena tega zakona na način in pod pogoji iz 221. člena tega zakona ali ne zagotavlja neizbrisne registracije izvedenih ukrepov in posegov v skladu z drugim odstavkom 221. člena tega zakona (peti odstavek 220. člena tega zakona),</w:t>
      </w:r>
    </w:p>
    <w:p w14:paraId="3CD037CB"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109.na podlagi prejete zahteve vlagatelja temu podatkov ne pošlje v najkrajšem možnem času oziroma takoj, ko je to tehnično mogoče (sedmi odstavek 220. člena tega zakona),</w:t>
      </w:r>
    </w:p>
    <w:p w14:paraId="1AF9325A"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110.ob kršitvah varnosti osebnih podatkov o tem nemudoma ne obvesti agencije (prvi odstavek 227. člena tega zakona),</w:t>
      </w:r>
    </w:p>
    <w:p w14:paraId="650D64B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111.brez neupravičenega odlašanja ne obvesti zadevnega naročnika ali posameznika o kršitvi varnosti osebnih podatkov, če je verjetno, da ta kršitev škodljivo vpliva na osebne podatke in zasebnost naročnika ali posameznika (drugi odstavek 227. člena tega zakona),</w:t>
      </w:r>
    </w:p>
    <w:p w14:paraId="4DDE696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112.ne izpolni s strani agencije naložene obveznosti obveščanja zadevnega naročnika ali posameznika o kršitvi varnosti osebnih podatkov oziroma o izpolnitvi ne obvesti agencije (četrti odstavek 227. člena tega zakona),</w:t>
      </w:r>
    </w:p>
    <w:p w14:paraId="687F2801"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113.obvestilo naročniku ali posamezniku o kršitvi varnosti osebnih podatkov ne vsebuje predpisane vsebine (peti odstavek 227. člena tega zakona),</w:t>
      </w:r>
    </w:p>
    <w:p w14:paraId="712E8B0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114.ne hrani zadostnega popisa podatkov o kršitvah varnosti osebnih podatkov (sedmi odstavek 227. člena tega zakona),</w:t>
      </w:r>
    </w:p>
    <w:p w14:paraId="21993FA6"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115.ne začne zakonitega prestrezanja komunikacij po prejemu prepisa izreka odredbe pristojnega organa oziroma ustne odredbe (prvi in četrti odstavek 228. člena tega zakona),</w:t>
      </w:r>
    </w:p>
    <w:p w14:paraId="0F2B998D"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116.ne izvaja zakonitega prestrezanja komunikacij na način, v obsegu in trajanju, kot je določeno v prepisu izreka odredbe ali v ustni odredbi (tretji in četrti odstavek 228. člena tega zakona),</w:t>
      </w:r>
    </w:p>
    <w:p w14:paraId="16AE6C53"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117.ne zagotovi tridesetletne neizbrisne registracije prestrezanja ali podatkov ne varuje v skladu z oznako stopnje tajnosti prepisa odredbe (peti odstavek 228. člena tega zakona),</w:t>
      </w:r>
    </w:p>
    <w:p w14:paraId="3C7E652C"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118.ne zagotovi ustrezne opreme in primernih vmesnikov ali ustreznih prenosnih poti do izročilnih vmesnikov v nadzornem centru pristojnega organa (šesti odstavek 228. člena tega zakona),</w:t>
      </w:r>
    </w:p>
    <w:p w14:paraId="57FC2B97" w14:textId="77777777" w:rsidR="00891912" w:rsidRPr="00C50F53" w:rsidRDefault="00891912" w:rsidP="001B0164">
      <w:pPr>
        <w:spacing w:before="210" w:after="210" w:line="260" w:lineRule="atLeast"/>
        <w:ind w:left="425" w:hanging="425"/>
        <w:jc w:val="both"/>
        <w:rPr>
          <w:rFonts w:eastAsia="Arial" w:cs="Arial"/>
          <w:szCs w:val="20"/>
          <w:lang w:val="sl-SI"/>
        </w:rPr>
      </w:pPr>
      <w:r w:rsidRPr="00C50F53">
        <w:rPr>
          <w:rFonts w:eastAsia="Arial" w:cs="Arial"/>
          <w:szCs w:val="20"/>
          <w:lang w:val="sl-SI"/>
        </w:rPr>
        <w:t>119.ovira pooblaščene osebe agencije oziroma informacijskega pooblaščenca pri opravljanju nalog upravnega nadzora (287. in 289. do 291. člen tega zakona).</w:t>
      </w:r>
    </w:p>
    <w:p w14:paraId="00211B33"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Z globo od 1.000 do 20.000 eurov se kaznuje samostojni podjetnik posameznik ali posameznik, ki samostojno opravlja dejavnost, če stori prekršek iz prejšnjega odstavka.</w:t>
      </w:r>
    </w:p>
    <w:p w14:paraId="111D10C1"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Z globo od 500 do 10.000 eurov se kaznuje odgovorna oseba pravne osebe, odgovorna oseba samostojnega podjetnika posameznika oziroma posameznika, ki samostojno opravlja dejavnost, ki stori prekršek iz prvega odstavka tega člena.</w:t>
      </w:r>
    </w:p>
    <w:p w14:paraId="23186973"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Z globo od 500 do 10.000 eurov se kaznuje odgovorna oseba v državnem organu ali samoupravni lokalni skupnosti, ki stori prekršek iz 3., 4. ali 5. točke prvega odstavka tega člena.</w:t>
      </w:r>
    </w:p>
    <w:p w14:paraId="7A921E7F"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(5) Z globo od 1.000 do 5.000 eurov se kaznuje posameznik, ki stori prekršek iz prvega odstavka tega člena.</w:t>
      </w:r>
    </w:p>
    <w:p w14:paraId="52A8E99E" w14:textId="77777777" w:rsidR="00891912" w:rsidRPr="00C50F53" w:rsidRDefault="00891912" w:rsidP="001B0164">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(6) Pri določanju globe za prekršek iz 12. točke prvega odstavka tega člena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w:t>
      </w:r>
    </w:p>
    <w:p w14:paraId="04B6D4DF" w14:textId="77777777" w:rsidR="00891912" w:rsidRPr="00C50F53" w:rsidRDefault="00891912" w:rsidP="001B0164">
      <w:pPr>
        <w:suppressAutoHyphens/>
        <w:overflowPunct w:val="0"/>
        <w:autoSpaceDE w:val="0"/>
        <w:autoSpaceDN w:val="0"/>
        <w:adjustRightInd w:val="0"/>
        <w:spacing w:line="260" w:lineRule="atLeast"/>
        <w:textAlignment w:val="baseline"/>
        <w:outlineLvl w:val="3"/>
        <w:rPr>
          <w:rFonts w:cs="Arial"/>
          <w:bCs/>
          <w:szCs w:val="20"/>
          <w:lang w:val="sl-SI" w:eastAsia="sl-SI"/>
        </w:rPr>
      </w:pPr>
    </w:p>
    <w:p w14:paraId="4BB1C635" w14:textId="636ADC8B" w:rsidR="00891912" w:rsidRPr="00024ADD" w:rsidRDefault="00891912" w:rsidP="00891912">
      <w:pPr>
        <w:suppressAutoHyphens/>
        <w:overflowPunct w:val="0"/>
        <w:autoSpaceDE w:val="0"/>
        <w:autoSpaceDN w:val="0"/>
        <w:adjustRightInd w:val="0"/>
        <w:spacing w:line="260" w:lineRule="atLeast"/>
        <w:textAlignment w:val="baseline"/>
        <w:outlineLvl w:val="3"/>
        <w:rPr>
          <w:rFonts w:cs="Arial"/>
          <w:b/>
          <w:bCs/>
          <w:szCs w:val="20"/>
          <w:lang w:val="sl-SI" w:eastAsia="sl-SI"/>
        </w:rPr>
      </w:pPr>
      <w:r w:rsidRPr="00024ADD">
        <w:rPr>
          <w:rFonts w:cs="Arial"/>
          <w:b/>
          <w:bCs/>
          <w:szCs w:val="20"/>
          <w:lang w:val="sl-SI" w:eastAsia="sl-SI"/>
        </w:rPr>
        <w:t>Zakon o varstvu osebnih podatkov (ZVOP-2) Uradni list RS, št. </w:t>
      </w:r>
      <w:r w:rsidR="001B0164" w:rsidRPr="00024ADD">
        <w:rPr>
          <w:b/>
          <w:bCs/>
          <w:lang w:val="sl-SI"/>
        </w:rPr>
        <w:t>163/22</w:t>
      </w:r>
    </w:p>
    <w:p w14:paraId="3433D8D7" w14:textId="77777777" w:rsidR="00891912" w:rsidRPr="00C50F53" w:rsidRDefault="00891912" w:rsidP="00891912">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23. člen</w:t>
      </w:r>
    </w:p>
    <w:p w14:paraId="44127C28" w14:textId="77777777" w:rsidR="00891912" w:rsidRPr="00C50F53" w:rsidRDefault="00891912" w:rsidP="00891912">
      <w:pPr>
        <w:pBdr>
          <w:top w:val="none" w:sz="0" w:space="24" w:color="auto"/>
        </w:pBdr>
        <w:spacing w:before="210" w:after="210" w:line="260" w:lineRule="atLeast"/>
        <w:jc w:val="center"/>
        <w:rPr>
          <w:rFonts w:eastAsia="Arial" w:cs="Arial"/>
          <w:b/>
          <w:bCs/>
          <w:szCs w:val="20"/>
          <w:lang w:val="sl-SI"/>
        </w:rPr>
      </w:pPr>
      <w:r w:rsidRPr="00C50F53">
        <w:rPr>
          <w:rFonts w:eastAsia="Arial" w:cs="Arial"/>
          <w:b/>
          <w:bCs/>
          <w:szCs w:val="20"/>
          <w:lang w:val="sl-SI"/>
        </w:rPr>
        <w:t>(varnost osebnih podatkov na področju posebnih obdelav)</w:t>
      </w:r>
    </w:p>
    <w:p w14:paraId="1431F263" w14:textId="77777777" w:rsidR="00891912" w:rsidRPr="00C50F53" w:rsidRDefault="00891912" w:rsidP="00891912">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(1) Za informacijske sisteme, v katerih:</w:t>
      </w:r>
    </w:p>
    <w:p w14:paraId="5B2C6A00" w14:textId="77777777" w:rsidR="00891912" w:rsidRPr="00C50F53" w:rsidRDefault="00891912" w:rsidP="00891912">
      <w:pPr>
        <w:spacing w:before="210" w:after="210" w:line="260" w:lineRule="atLeast"/>
        <w:ind w:left="425" w:hanging="425"/>
        <w:jc w:val="both"/>
        <w:rPr>
          <w:rFonts w:eastAsia="Arial" w:cs="Arial"/>
          <w:szCs w:val="20"/>
          <w:lang w:val="sl-SI"/>
        </w:rPr>
      </w:pPr>
      <w:r w:rsidRPr="00C50F53">
        <w:rPr>
          <w:rFonts w:eastAsia="Arial" w:cs="Arial"/>
          <w:szCs w:val="20"/>
          <w:lang w:val="sl-SI"/>
        </w:rPr>
        <w:t>1.      se izvajajo obdelave osebnih podatkov, določenih v zakonih, ki urejajo področja upravnih notranjih zadev, finančne uprave, državljanstva, Slovenske obveščevalno-varnostne agencije, obrambe, zdravstvenega varstva, obveznega zdravstvenega zavarovanja, uveljavljanja pravic iz javnih sredstev ter kazenskih in prekrškovnih evidenc, ali</w:t>
      </w:r>
    </w:p>
    <w:p w14:paraId="51EB5804" w14:textId="77777777" w:rsidR="00891912" w:rsidRPr="00C50F53" w:rsidRDefault="00891912" w:rsidP="00891912">
      <w:pPr>
        <w:spacing w:before="210" w:after="210" w:line="260" w:lineRule="atLeast"/>
        <w:ind w:left="425" w:hanging="425"/>
        <w:jc w:val="both"/>
        <w:rPr>
          <w:rFonts w:eastAsia="Arial" w:cs="Arial"/>
          <w:szCs w:val="20"/>
          <w:lang w:val="sl-SI"/>
        </w:rPr>
      </w:pPr>
      <w:r w:rsidRPr="00C50F53">
        <w:rPr>
          <w:rFonts w:eastAsia="Arial" w:cs="Arial"/>
          <w:szCs w:val="20"/>
          <w:lang w:val="sl-SI"/>
        </w:rPr>
        <w:lastRenderedPageBreak/>
        <w:t>2.      se obdelujejo osebni podatki več kot 100.000 posameznikov na podlagi zakona, razen obdelav osebnih podatkov iz 3. poglavja 2. dela tega zakona, ali</w:t>
      </w:r>
    </w:p>
    <w:p w14:paraId="4C9C7F5F" w14:textId="77777777" w:rsidR="00891912" w:rsidRPr="00C50F53" w:rsidRDefault="00891912" w:rsidP="00891912">
      <w:pPr>
        <w:spacing w:before="210" w:after="210" w:line="260" w:lineRule="atLeast"/>
        <w:ind w:left="425" w:hanging="425"/>
        <w:jc w:val="both"/>
        <w:rPr>
          <w:rFonts w:eastAsia="Arial" w:cs="Arial"/>
          <w:szCs w:val="20"/>
          <w:lang w:val="sl-SI"/>
        </w:rPr>
      </w:pPr>
      <w:r w:rsidRPr="00C50F53">
        <w:rPr>
          <w:rFonts w:eastAsia="Arial" w:cs="Arial"/>
          <w:szCs w:val="20"/>
          <w:lang w:val="sl-SI"/>
        </w:rPr>
        <w:t>3.      upravljavec ali obdelovalec kot svojo temeljno dejavnost izvaja obsežne obdelave posebnih vrst osebnih podatkov, ali</w:t>
      </w:r>
    </w:p>
    <w:p w14:paraId="2ACF4B43" w14:textId="77777777" w:rsidR="00891912" w:rsidRPr="00C50F53" w:rsidRDefault="00891912" w:rsidP="00891912">
      <w:pPr>
        <w:spacing w:before="210" w:after="210" w:line="260" w:lineRule="atLeast"/>
        <w:ind w:left="425" w:hanging="425"/>
        <w:jc w:val="both"/>
        <w:rPr>
          <w:rFonts w:eastAsia="Arial" w:cs="Arial"/>
          <w:szCs w:val="20"/>
          <w:lang w:val="sl-SI"/>
        </w:rPr>
      </w:pPr>
      <w:r w:rsidRPr="00C50F53">
        <w:rPr>
          <w:rFonts w:eastAsia="Arial" w:cs="Arial"/>
          <w:szCs w:val="20"/>
          <w:lang w:val="sl-SI"/>
        </w:rPr>
        <w:t>4.      se obdeluje posebne vrste osebnih podatkov več kot 10.000 posameznikov,</w:t>
      </w:r>
    </w:p>
    <w:p w14:paraId="6D870475" w14:textId="77777777" w:rsidR="00891912" w:rsidRPr="00C50F53" w:rsidRDefault="00891912" w:rsidP="00891912">
      <w:pPr>
        <w:spacing w:before="210" w:after="210" w:line="260" w:lineRule="atLeast"/>
        <w:rPr>
          <w:rFonts w:eastAsia="Arial" w:cs="Arial"/>
          <w:szCs w:val="20"/>
          <w:lang w:val="sl-SI"/>
        </w:rPr>
      </w:pPr>
      <w:r w:rsidRPr="00C50F53">
        <w:rPr>
          <w:rFonts w:eastAsia="Arial" w:cs="Arial"/>
          <w:szCs w:val="20"/>
          <w:lang w:val="sl-SI"/>
        </w:rPr>
        <w:t>se smiselno uporabljajo določbe o varnostnih zahtevah in priglasitvi incidentov iz zakona, ki ureja informacijsko varnost, ki se nanašajo na izvajalce bistvenih storitev, če upravljavec glede teh obdelav ni dolžan izvajati ukrepov po zakonu, ki ureja informacijsko varnost.</w:t>
      </w:r>
    </w:p>
    <w:p w14:paraId="6FC2E267" w14:textId="77777777" w:rsidR="00891912" w:rsidRPr="00C50F53" w:rsidRDefault="00891912" w:rsidP="00891912">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(2) Kadar bi kršitev varnosti osebnih podatkov, ki se obdelujejo v informacijskih sistemih iz prejšnjega odstavka, lahko hudo škodovala varnosti ali interesom Republike Slovenije, upravljavci ali obdelovalci obdelave teh podatkov izvajajo tako, da se sistemsko onemogoča uničenje, nezakonite spremembe osebnih podatkov ali razkritje nepooblaščenim osebam ali drugim subjektom, ki za dostop do njih ali za njihovo obdelavo nimajo pravne podlage ter s tem stalno preprečuje hudo škodo varnosti in interesom Republike Slovenije.</w:t>
      </w:r>
    </w:p>
    <w:p w14:paraId="22748AD2" w14:textId="77777777" w:rsidR="00891912" w:rsidRPr="00C50F53" w:rsidRDefault="00891912" w:rsidP="00891912">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(3) Če se po prvem odstavku tega člena obdelujejo biometrični osebni podatki, zdravstveni osebni podatki ali podatki iz kazenskih in prekrškovnih evidenc in obdelavo izvajajo državni organi, samoupravne lokalne skupnosti, javne agencije, javni zavodi, javna podjetja, izvajalci javnih služb ali nosilci javnih pooblastil, je prepovedana hramba, pri kateri fizična lokacija hrambe teh podatkov ni znana v vseh fazah hrambe in obdelave.</w:t>
      </w:r>
    </w:p>
    <w:p w14:paraId="6BFE6870" w14:textId="77777777" w:rsidR="00891912" w:rsidRPr="00C50F53" w:rsidRDefault="00891912" w:rsidP="00891912">
      <w:pPr>
        <w:pBdr>
          <w:top w:val="none" w:sz="0" w:space="12" w:color="auto"/>
        </w:pBdr>
        <w:spacing w:before="210" w:after="210" w:line="260" w:lineRule="atLeast"/>
        <w:ind w:firstLine="1021"/>
        <w:jc w:val="both"/>
        <w:rPr>
          <w:rFonts w:eastAsia="Arial" w:cs="Arial"/>
          <w:szCs w:val="20"/>
          <w:lang w:val="sl-SI"/>
        </w:rPr>
      </w:pPr>
      <w:r w:rsidRPr="00C50F53">
        <w:rPr>
          <w:rFonts w:eastAsia="Arial" w:cs="Arial"/>
          <w:szCs w:val="20"/>
          <w:lang w:val="sl-SI"/>
        </w:rPr>
        <w:t>(4) Zbirk osebnih podatkov iz 1. točke prvega odstavka tega člena ni dovoljeno hraniti izven ozemlja Republike Slovenije.</w:t>
      </w:r>
    </w:p>
    <w:p w14:paraId="3D5D8FF4" w14:textId="77777777" w:rsidR="00891912" w:rsidRPr="00C50F53" w:rsidRDefault="00891912" w:rsidP="009954BB">
      <w:pPr>
        <w:suppressAutoHyphens/>
        <w:overflowPunct w:val="0"/>
        <w:autoSpaceDE w:val="0"/>
        <w:autoSpaceDN w:val="0"/>
        <w:adjustRightInd w:val="0"/>
        <w:spacing w:line="276" w:lineRule="auto"/>
        <w:textAlignment w:val="baseline"/>
        <w:outlineLvl w:val="3"/>
        <w:rPr>
          <w:rFonts w:cs="Arial"/>
          <w:b/>
          <w:szCs w:val="20"/>
          <w:lang w:val="sl-SI" w:eastAsia="sl-SI"/>
        </w:rPr>
      </w:pPr>
    </w:p>
    <w:p w14:paraId="0DC23A3B" w14:textId="77777777" w:rsidR="00891912" w:rsidRPr="00C50F53" w:rsidRDefault="00891912">
      <w:pPr>
        <w:spacing w:line="240" w:lineRule="auto"/>
        <w:rPr>
          <w:rFonts w:cs="Arial"/>
          <w:b/>
          <w:szCs w:val="20"/>
          <w:lang w:val="sl-SI" w:eastAsia="sl-SI"/>
        </w:rPr>
      </w:pPr>
      <w:r w:rsidRPr="00C50F53">
        <w:rPr>
          <w:rFonts w:cs="Arial"/>
          <w:b/>
          <w:szCs w:val="20"/>
          <w:lang w:val="sl-SI" w:eastAsia="sl-SI"/>
        </w:rPr>
        <w:br w:type="page"/>
      </w:r>
    </w:p>
    <w:p w14:paraId="3012E461" w14:textId="2BCDB5BF" w:rsidR="009954BB" w:rsidRPr="00C50F53"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lastRenderedPageBreak/>
        <w:t xml:space="preserve">V. PREDLOG, DA SE PREDLOG ZAKONA OBRAVNAVA PO NUJNEM OZIROMA </w:t>
      </w:r>
    </w:p>
    <w:p w14:paraId="6667822C" w14:textId="5FD02099" w:rsidR="009954BB" w:rsidRPr="00C50F53"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r w:rsidRPr="00C50F53">
        <w:rPr>
          <w:rFonts w:cs="Arial"/>
          <w:b/>
          <w:szCs w:val="20"/>
          <w:lang w:val="sl-SI" w:eastAsia="sl-SI"/>
        </w:rPr>
        <w:t>SKRAJŠANEM POSTOPKU</w:t>
      </w:r>
    </w:p>
    <w:p w14:paraId="2CC17C8D" w14:textId="77777777" w:rsidR="009954BB" w:rsidRDefault="009954BB" w:rsidP="009954BB">
      <w:pPr>
        <w:suppressAutoHyphens/>
        <w:overflowPunct w:val="0"/>
        <w:autoSpaceDE w:val="0"/>
        <w:autoSpaceDN w:val="0"/>
        <w:adjustRightInd w:val="0"/>
        <w:spacing w:line="276" w:lineRule="auto"/>
        <w:textAlignment w:val="baseline"/>
        <w:outlineLvl w:val="3"/>
        <w:rPr>
          <w:rFonts w:cs="Arial"/>
          <w:b/>
          <w:szCs w:val="20"/>
          <w:lang w:val="sl-SI" w:eastAsia="sl-SI"/>
        </w:rPr>
      </w:pPr>
    </w:p>
    <w:p w14:paraId="18A08C6B" w14:textId="77777777" w:rsidR="007660B3" w:rsidRDefault="007660B3" w:rsidP="009954BB">
      <w:pPr>
        <w:suppressAutoHyphens/>
        <w:overflowPunct w:val="0"/>
        <w:autoSpaceDE w:val="0"/>
        <w:autoSpaceDN w:val="0"/>
        <w:adjustRightInd w:val="0"/>
        <w:spacing w:line="276" w:lineRule="auto"/>
        <w:textAlignment w:val="baseline"/>
        <w:outlineLvl w:val="3"/>
        <w:rPr>
          <w:rFonts w:cs="Arial"/>
          <w:b/>
          <w:szCs w:val="20"/>
          <w:lang w:val="sl-SI" w:eastAsia="sl-SI"/>
        </w:rPr>
      </w:pPr>
    </w:p>
    <w:p w14:paraId="4C116AB7"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024ADD">
        <w:rPr>
          <w:rFonts w:cs="Arial"/>
          <w:bCs/>
          <w:szCs w:val="20"/>
          <w:lang w:val="sl-SI" w:eastAsia="sl-SI"/>
        </w:rPr>
        <w:t>Predlaga se nujni postopek za obravnavo predloga zakona v Državnem zboru Republike Slovenije na podlagi prvega odstavka 143. člena Poslovnika državnega zbora (Uradni list RS, št. 92/07 – uradno prečiščeno besedilo, 105/10, 80/13, 38/17, 46/20, 105/21 – odl. US, 111/21, 58/23 in 35/24), ker je sprejem zakona nujen zaradi interesov varnosti države in da se preprečijo težko popravljive posledice za delovanje države.</w:t>
      </w:r>
    </w:p>
    <w:p w14:paraId="5337D2D0"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1F9F485C"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024ADD">
        <w:rPr>
          <w:rFonts w:cs="Arial"/>
          <w:bCs/>
          <w:szCs w:val="20"/>
          <w:lang w:val="sl-SI" w:eastAsia="sl-SI"/>
        </w:rPr>
        <w:t>Republika Slovenija se (tako kot tudi druge države članice Evropske unije) sooča z naraščanjem števila kibernetskih groženj in ranljivosti informacijsko-komunikacijskih sistemov, ki bi v primeru realizacije težjega incidenta lahko povzročile težko popravljive posledice za delovanje države in gospodarstva. Po podatkih Policije je v porastu tudi število kaznivih dejanj, ki so storjena z uporabo oziroma zlorabo informacijsko-komunikacijskih tehnologij, zaznana pa je tudi zelo povečana zlonamerna aktivnost različnih »hektivističnih« skupin. Z vsakoletnim naraščanjem števila kibernetskih incidentov oziroma napadov tako v Evropski uniji kot tudi v Sloveniji in ob vse bolj pogosti (zlonamerni) uporabi orodij generativne umetne inteligence, so postali ti napadi vse bolj sofisticirani in usmerjeni proti ključnim nacionalnim interesom in kritični infrastrukturi, zato je zaščita pred njimi postala strateško vprašanje za nacionalno varnost posameznih držav. Tako se utemeljeno pričakuje, da bodo določene države (še) bolj intenzivno uporabljale kibernetske napade kot del svojih vojaških in diplomatskih zmogljivosti. Tako danes največjo grožnjo slovenski nacionalni varnosti predstavljajo kibernetski napadi in obveščevalna dejavnost, ki se vse pogosteje izvaja z uporabo tehnik in metod kibernetskega vohunjenja z infiltriranjem v omrežja in informacijske sisteme ter daljšo prikrito prisotnostjo. Slovenija se mora hitro pripraviti na te izzive s sprejetjem ustrezne zakonodaje, ki bo omogočala hitro zaznavanje, odkrivanje, odzivanje in preprečevanje teh realnih groženj. Slovenija je kot članica Evropske unije vključena v globalno informacijsko-komunikacijsko oziroma kibernetsko okolje (npr. energetika, civilno letalstvo, bančništvo, ipd.), kar pomeni, da je izpostavljena tveganjem, katerih negativni učinki bi lahko vplivali na celotno gospodarstvo in notranjo varnost ter bi imeli tudi čezmejne vplive. Zato je nujno potrebno čim prej predpisati in sprejeti nujno potrebne ukrepe, ki zagotavljajo ustrezno zaščito, vzpostavljajo okvir notranjega in mednarodnega sodelovanja ter zagotoviti usklajenost z mednarodnimi standardi in dobrimi praksami. Zaradi zahtevnosti materije in večjega vpliva na subjekte v Sloveniji sta bila opravljena dva kroga javne obravnave osnutka predloga novega Zakona o informacijski varnosti (ZinfV-1) in trije krogi medresorskega usklajevanja.</w:t>
      </w:r>
    </w:p>
    <w:p w14:paraId="3CA7C03F"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0A870E07"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024ADD">
        <w:rPr>
          <w:rFonts w:cs="Arial"/>
          <w:bCs/>
          <w:szCs w:val="20"/>
          <w:lang w:val="sl-SI" w:eastAsia="sl-SI"/>
        </w:rPr>
        <w:t xml:space="preserve">Na Uradu Vlade Republike Slovenije za informacijsko varnost pozorno spremljamo stanje v kibernetskem prostoru in dejansko stanje glede varnosti omrežij in informacijskih sistemov pri sedanjih zavezancih iz veljavnega Zakona o informacijski varnosti (ZInfV), zato menimo, da je zaradi opisanih okoliščin in ključne časovne komponente potrebno predlagani ZinfV-1 sprejeti čim prej in sicer po nujnem zakonodajnem postopku. Daljše odlašanje s sprejetjem zakona lahko pripelje do težko popravilih posledic za notranjo varnost in nacionalno varnost zaradi vse večjega izkoriščanja še ne prepoznanih ranljivosti (ključnih) informacijsko-komunikacijskih sistemov, čemur pa se lahko s čimprejšnjim sprejemom in uveljavitvijo predlaganega ZInfV-1 izognemo. Zaradi večjih sprememb, ki jih prinaša ZInfV-1 bo potrebno tudi daljše prehodno obdobje za določene zavezance, zato je nujno oziroma ključno, da prične to obdobje za prilagoditev (izvedba minimalnih varnostnih ukrepov in poročanje) teči čim prej. Direktiva 2022/2555/EU (Direktiva NIS 2), ki se prenaša s predlaganim zakonom jasno opredeljuje, da je njen končni cilj dolgoročna kibernetska odpornost in zmožnost odzivanja na vse večje kibernetske izzive. Tako je v interesu varnosti Republike Slovenije, da nemudoma in brez odlašanja prenese Direktivo NIS 2 z ZinfV-1, saj se le na ta način lahko ohrani ustrezna stopnja nacionalne varnosti in obvladujejo tveganja, še posebej v kontekstu eksponentnega povečanja kibernetskih in hibridnih groženj. S </w:t>
      </w:r>
      <w:r w:rsidRPr="00024ADD">
        <w:rPr>
          <w:rFonts w:cs="Arial"/>
          <w:bCs/>
          <w:szCs w:val="20"/>
          <w:lang w:val="sl-SI" w:eastAsia="sl-SI"/>
        </w:rPr>
        <w:lastRenderedPageBreak/>
        <w:t>predlaganim ZInfV-1 Republika Slovenija sledi zgledu uspešnih evropskih držav in zmanjšuje zaostanek na področju informacijske in kibernetske varnosti.</w:t>
      </w:r>
    </w:p>
    <w:p w14:paraId="7A31CD8C" w14:textId="77777777"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3A77E1A" w14:textId="463B7DA2" w:rsidR="00024ADD" w:rsidRPr="00024ADD" w:rsidRDefault="00024ADD" w:rsidP="00024ADD">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024ADD">
        <w:rPr>
          <w:rFonts w:cs="Arial"/>
          <w:bCs/>
          <w:szCs w:val="20"/>
          <w:lang w:val="sl-SI" w:eastAsia="sl-SI"/>
        </w:rPr>
        <w:t xml:space="preserve">Zakon o kritični infrastrukturi (ZKI-1), ki je pričel veljati 18. 12. 2024, je v naš pravni red prenesel Direktivo (EU) 2022/2557 o odpornosti kritičnih subjektov (Direktiva CER). Direktiva CER je glede izvajanja varnostnih ukrepov, poročanja, sodelovanja ter izmenjave informacij med organi komplementarna z Direktiva NIS 2, zato se ZKI-1 v določenih delih sklicuje na izvajanje varnostnih ukrepov za zaščito omrežij in informacijskih sistemov subjektov kritične infrastrukture iz Direktive NIS 2 oziroma se sklicuje na (novi) zakon, ki ureja informacijsko varnost. Tako je prenos Direktive NIS 2 z ZInfV-1 ključnega pomena </w:t>
      </w:r>
      <w:r w:rsidR="006F2B21">
        <w:rPr>
          <w:rFonts w:cs="Arial"/>
          <w:bCs/>
          <w:szCs w:val="20"/>
          <w:lang w:val="sl-SI" w:eastAsia="sl-SI"/>
        </w:rPr>
        <w:t xml:space="preserve">tudi </w:t>
      </w:r>
      <w:r w:rsidRPr="00024ADD">
        <w:rPr>
          <w:rFonts w:cs="Arial"/>
          <w:bCs/>
          <w:szCs w:val="20"/>
          <w:lang w:val="sl-SI" w:eastAsia="sl-SI"/>
        </w:rPr>
        <w:t>za zaščito informacijsko-komunikacijske infrastrukture subjektov kritične infrastrukture (npr. energetika, oskrba s pitno vodo, zdravstvo, finance, ipd.), medtem ko se Direktiva CER oziroma ZKI-1 osredotoča bolj na fizične in okoljske vidike varnosti kritične infrastrukture. Tako obstaja realno tveganje, da brez prenosa Direktive NIS 2 z ZInfV-1 v najkrajšem možnem času ne bodo ustrezno zaščiteni tudi ključni informacijsko-komunikacijski sistemi kritične infrastrukture Republike Slovenije.</w:t>
      </w:r>
    </w:p>
    <w:p w14:paraId="3FBF5DC7" w14:textId="77777777" w:rsidR="00024ADD" w:rsidRDefault="00024ADD" w:rsidP="009954BB">
      <w:pPr>
        <w:suppressAutoHyphens/>
        <w:overflowPunct w:val="0"/>
        <w:autoSpaceDE w:val="0"/>
        <w:autoSpaceDN w:val="0"/>
        <w:adjustRightInd w:val="0"/>
        <w:spacing w:line="276" w:lineRule="auto"/>
        <w:textAlignment w:val="baseline"/>
        <w:outlineLvl w:val="3"/>
        <w:rPr>
          <w:rFonts w:cs="Arial"/>
          <w:b/>
          <w:szCs w:val="20"/>
          <w:lang w:val="sl-SI" w:eastAsia="sl-SI"/>
        </w:rPr>
      </w:pPr>
    </w:p>
    <w:p w14:paraId="0BE4A899" w14:textId="77777777" w:rsidR="007660B3" w:rsidRPr="007660B3" w:rsidRDefault="007660B3" w:rsidP="007660B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27FDC8E" w14:textId="77777777" w:rsidR="00A36960" w:rsidRPr="00C50F53" w:rsidRDefault="00A36960">
      <w:pPr>
        <w:spacing w:line="240" w:lineRule="auto"/>
        <w:rPr>
          <w:rFonts w:cs="Arial"/>
          <w:b/>
          <w:szCs w:val="20"/>
          <w:lang w:val="sl-SI" w:eastAsia="sl-SI"/>
        </w:rPr>
      </w:pPr>
      <w:r w:rsidRPr="00C50F53">
        <w:rPr>
          <w:rFonts w:cs="Arial"/>
          <w:b/>
          <w:szCs w:val="20"/>
          <w:lang w:val="sl-SI" w:eastAsia="sl-SI"/>
        </w:rPr>
        <w:br w:type="page"/>
      </w:r>
    </w:p>
    <w:p w14:paraId="68DC9440" w14:textId="4B62A5CF" w:rsidR="009954BB" w:rsidRPr="007660B3" w:rsidRDefault="009954BB" w:rsidP="007660B3">
      <w:pPr>
        <w:suppressAutoHyphens/>
        <w:overflowPunct w:val="0"/>
        <w:autoSpaceDE w:val="0"/>
        <w:autoSpaceDN w:val="0"/>
        <w:adjustRightInd w:val="0"/>
        <w:spacing w:line="240" w:lineRule="auto"/>
        <w:textAlignment w:val="baseline"/>
        <w:outlineLvl w:val="3"/>
        <w:rPr>
          <w:rFonts w:cs="Arial"/>
          <w:b/>
          <w:szCs w:val="20"/>
          <w:lang w:val="sl-SI" w:eastAsia="sl-SI"/>
        </w:rPr>
      </w:pPr>
      <w:r w:rsidRPr="007660B3">
        <w:rPr>
          <w:rFonts w:cs="Arial"/>
          <w:b/>
          <w:szCs w:val="20"/>
          <w:lang w:val="sl-SI" w:eastAsia="sl-SI"/>
        </w:rPr>
        <w:lastRenderedPageBreak/>
        <w:t>VI. PRILOGE</w:t>
      </w:r>
    </w:p>
    <w:p w14:paraId="4C2C11BF" w14:textId="77777777" w:rsidR="009954BB" w:rsidRPr="007660B3" w:rsidRDefault="009954BB" w:rsidP="007660B3">
      <w:pPr>
        <w:suppressAutoHyphens/>
        <w:overflowPunct w:val="0"/>
        <w:autoSpaceDE w:val="0"/>
        <w:autoSpaceDN w:val="0"/>
        <w:adjustRightInd w:val="0"/>
        <w:spacing w:line="240" w:lineRule="auto"/>
        <w:textAlignment w:val="baseline"/>
        <w:outlineLvl w:val="3"/>
        <w:rPr>
          <w:rFonts w:cs="Arial"/>
          <w:b/>
          <w:szCs w:val="20"/>
          <w:lang w:val="sl-SI" w:eastAsia="sl-SI"/>
        </w:rPr>
      </w:pPr>
    </w:p>
    <w:p w14:paraId="52A9D316" w14:textId="09AF609A" w:rsidR="009954BB" w:rsidRPr="007660B3" w:rsidRDefault="00001B29" w:rsidP="007660B3">
      <w:pPr>
        <w:suppressAutoHyphens/>
        <w:overflowPunct w:val="0"/>
        <w:autoSpaceDE w:val="0"/>
        <w:autoSpaceDN w:val="0"/>
        <w:adjustRightInd w:val="0"/>
        <w:spacing w:line="240" w:lineRule="auto"/>
        <w:textAlignment w:val="baseline"/>
        <w:outlineLvl w:val="3"/>
        <w:rPr>
          <w:rFonts w:cs="Arial"/>
          <w:b/>
          <w:szCs w:val="20"/>
          <w:lang w:val="sl-SI" w:eastAsia="sl-SI"/>
        </w:rPr>
      </w:pPr>
      <w:r w:rsidRPr="007660B3">
        <w:rPr>
          <w:rFonts w:cs="Arial"/>
          <w:b/>
          <w:szCs w:val="20"/>
          <w:lang w:val="sl-SI" w:eastAsia="sl-SI"/>
        </w:rPr>
        <w:t>Osnutki podzakonskih predpisov, katerih izdajo določa predlog zakona</w:t>
      </w:r>
    </w:p>
    <w:p w14:paraId="295FC132" w14:textId="77777777" w:rsidR="009954BB" w:rsidRPr="007660B3" w:rsidRDefault="009954BB" w:rsidP="007660B3">
      <w:pPr>
        <w:spacing w:line="240" w:lineRule="auto"/>
        <w:rPr>
          <w:rFonts w:cs="Arial"/>
          <w:szCs w:val="20"/>
          <w:lang w:val="sl-SI"/>
        </w:rPr>
      </w:pPr>
    </w:p>
    <w:p w14:paraId="40FDED17" w14:textId="77777777" w:rsidR="00024ADD" w:rsidRPr="00151316" w:rsidRDefault="00024ADD" w:rsidP="00024ADD">
      <w:pPr>
        <w:pStyle w:val="textJustify"/>
        <w:pBdr>
          <w:top w:val="none" w:sz="0" w:space="24" w:color="auto"/>
        </w:pBdr>
        <w:spacing w:after="210"/>
        <w:jc w:val="right"/>
        <w:rPr>
          <w:rFonts w:ascii="Arial" w:eastAsia="Arial" w:hAnsi="Arial" w:cs="Arial"/>
          <w:b/>
          <w:bCs/>
          <w:sz w:val="20"/>
          <w:szCs w:val="20"/>
          <w:lang w:val="sl-SI"/>
        </w:rPr>
      </w:pPr>
      <w:r w:rsidRPr="00151316">
        <w:rPr>
          <w:rFonts w:ascii="Arial" w:eastAsia="Arial" w:hAnsi="Arial" w:cs="Arial"/>
          <w:b/>
          <w:bCs/>
          <w:sz w:val="20"/>
          <w:szCs w:val="20"/>
          <w:lang w:val="sl-SI"/>
        </w:rPr>
        <w:t>PREDLOG</w:t>
      </w:r>
    </w:p>
    <w:p w14:paraId="687D5A8D" w14:textId="77777777" w:rsidR="00024ADD" w:rsidRPr="00DE4EF8" w:rsidRDefault="00024ADD" w:rsidP="00024ADD">
      <w:pPr>
        <w:spacing w:line="276" w:lineRule="auto"/>
        <w:rPr>
          <w:rFonts w:cs="Arial"/>
          <w:szCs w:val="20"/>
          <w:lang w:val="sl-SI"/>
        </w:rPr>
      </w:pPr>
    </w:p>
    <w:p w14:paraId="2C07D334" w14:textId="77777777" w:rsidR="00024ADD" w:rsidRPr="00DE4EF8" w:rsidRDefault="00024ADD" w:rsidP="00024ADD">
      <w:pPr>
        <w:spacing w:line="276" w:lineRule="auto"/>
        <w:rPr>
          <w:rFonts w:cs="Arial"/>
          <w:szCs w:val="20"/>
          <w:lang w:val="sl-SI"/>
        </w:rPr>
      </w:pPr>
    </w:p>
    <w:p w14:paraId="433E2EA8" w14:textId="77777777" w:rsidR="00024ADD" w:rsidRPr="00DE4EF8" w:rsidRDefault="00024ADD" w:rsidP="00024ADD">
      <w:pPr>
        <w:spacing w:after="160" w:line="259" w:lineRule="auto"/>
        <w:rPr>
          <w:rFonts w:cs="Arial"/>
          <w:color w:val="242424"/>
          <w:szCs w:val="20"/>
          <w:lang w:val="sl-SI" w:eastAsia="sl-SI"/>
        </w:rPr>
      </w:pPr>
      <w:r w:rsidRPr="00DE4EF8">
        <w:rPr>
          <w:rFonts w:cs="Arial"/>
          <w:color w:val="242424"/>
          <w:szCs w:val="20"/>
          <w:lang w:val="sl-SI" w:eastAsia="sl-SI"/>
        </w:rPr>
        <w:t xml:space="preserve">Na podlagi šestega odstavka 21. Zakona o informacijski varnosti (Uradni list RS, št. </w:t>
      </w:r>
      <w:r>
        <w:rPr>
          <w:rFonts w:cs="Arial"/>
          <w:color w:val="242424"/>
          <w:szCs w:val="20"/>
          <w:lang w:val="sl-SI" w:eastAsia="sl-SI"/>
        </w:rPr>
        <w:t>…</w:t>
      </w:r>
      <w:r w:rsidRPr="00DE4EF8">
        <w:rPr>
          <w:rFonts w:cs="Arial"/>
          <w:color w:val="242424"/>
          <w:szCs w:val="20"/>
          <w:lang w:val="sl-SI" w:eastAsia="sl-SI"/>
        </w:rPr>
        <w:t xml:space="preserve">) Vlada Republike Slovenije </w:t>
      </w:r>
      <w:r>
        <w:rPr>
          <w:rFonts w:cs="Arial"/>
          <w:color w:val="242424"/>
          <w:szCs w:val="20"/>
          <w:lang w:val="sl-SI" w:eastAsia="sl-SI"/>
        </w:rPr>
        <w:t>izdaja</w:t>
      </w:r>
    </w:p>
    <w:p w14:paraId="4390C8C9" w14:textId="77777777" w:rsidR="00024ADD" w:rsidRPr="003B25C9" w:rsidRDefault="00024ADD" w:rsidP="00024ADD">
      <w:pPr>
        <w:spacing w:before="100" w:beforeAutospacing="1" w:after="100" w:afterAutospacing="1" w:line="240" w:lineRule="auto"/>
        <w:jc w:val="center"/>
        <w:outlineLvl w:val="2"/>
        <w:rPr>
          <w:rFonts w:cs="Arial"/>
          <w:b/>
          <w:bCs/>
          <w:color w:val="242424"/>
          <w:sz w:val="24"/>
          <w:lang w:val="sl-SI" w:eastAsia="sl-SI"/>
        </w:rPr>
      </w:pPr>
      <w:r w:rsidRPr="00DE4EF8">
        <w:rPr>
          <w:rFonts w:cs="Arial"/>
          <w:b/>
          <w:bCs/>
          <w:color w:val="242424"/>
          <w:sz w:val="24"/>
          <w:lang w:val="sl-SI" w:eastAsia="sl-SI"/>
        </w:rPr>
        <w:t>UREDBO</w:t>
      </w:r>
    </w:p>
    <w:p w14:paraId="2473941F" w14:textId="77777777" w:rsidR="00024ADD" w:rsidRPr="00DE4EF8" w:rsidRDefault="00024ADD" w:rsidP="00024ADD">
      <w:pPr>
        <w:spacing w:before="100" w:beforeAutospacing="1" w:after="100" w:afterAutospacing="1" w:line="240" w:lineRule="auto"/>
        <w:jc w:val="center"/>
        <w:outlineLvl w:val="2"/>
        <w:rPr>
          <w:rFonts w:cs="Arial"/>
          <w:b/>
          <w:bCs/>
          <w:color w:val="242424"/>
          <w:sz w:val="24"/>
          <w:lang w:val="sl-SI" w:eastAsia="sl-SI"/>
        </w:rPr>
      </w:pPr>
      <w:r w:rsidRPr="00DE4EF8">
        <w:rPr>
          <w:rFonts w:cs="Arial"/>
          <w:b/>
          <w:bCs/>
          <w:color w:val="242424"/>
          <w:sz w:val="24"/>
          <w:lang w:val="sl-SI" w:eastAsia="sl-SI"/>
        </w:rPr>
        <w:t>O USPOSABLJANJU ODGOVORNIH OSEB NA PODROČJU OBVLADOVANJA TVEGANJ INFORMACIJSKE IN KIBERNETSKE VARNOSTI</w:t>
      </w:r>
    </w:p>
    <w:p w14:paraId="01063F95" w14:textId="77777777" w:rsidR="00024ADD" w:rsidRPr="00DE4EF8" w:rsidRDefault="00024ADD" w:rsidP="00024ADD">
      <w:pPr>
        <w:spacing w:before="100" w:beforeAutospacing="1" w:after="100" w:afterAutospacing="1" w:line="240" w:lineRule="auto"/>
        <w:jc w:val="both"/>
        <w:outlineLvl w:val="2"/>
        <w:rPr>
          <w:rFonts w:cs="Arial"/>
          <w:b/>
          <w:bCs/>
          <w:color w:val="242424"/>
          <w:szCs w:val="20"/>
          <w:lang w:val="sl-SI" w:eastAsia="sl-SI"/>
        </w:rPr>
      </w:pPr>
    </w:p>
    <w:p w14:paraId="67C1F432"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color w:val="242424"/>
          <w:szCs w:val="20"/>
          <w:lang w:val="sl-SI" w:eastAsia="sl-SI"/>
        </w:rPr>
        <w:t>I. SPLOŠNE DOLOČBE</w:t>
      </w:r>
    </w:p>
    <w:p w14:paraId="16C1FD6E" w14:textId="77777777" w:rsidR="00024ADD" w:rsidRDefault="00024ADD" w:rsidP="00024ADD">
      <w:pPr>
        <w:spacing w:after="240" w:line="240" w:lineRule="auto"/>
        <w:jc w:val="center"/>
        <w:rPr>
          <w:rFonts w:cs="Arial"/>
          <w:b/>
          <w:bCs/>
          <w:color w:val="242424"/>
          <w:szCs w:val="20"/>
          <w:lang w:val="sl-SI" w:eastAsia="sl-SI"/>
        </w:rPr>
      </w:pPr>
    </w:p>
    <w:p w14:paraId="2B242D0B"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1. člen</w:t>
      </w:r>
    </w:p>
    <w:p w14:paraId="25E0CECC"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(vsebina uredbe)</w:t>
      </w:r>
    </w:p>
    <w:p w14:paraId="3C6A2CBF"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Ta uredba določa način in postopek usposabljanja odgovornih oseb na področju obvladovanja tveganj informacijske in kibernetske varnosti ter njihovega vpliva na dejavnosti oziroma storitve, ki jih izvaja subjekt, z namenom zagotavljanja visoke ravni varnosti omrežij in informacijskih sistemov ter zaščite pred kibernetskimi grožnjami.</w:t>
      </w:r>
    </w:p>
    <w:p w14:paraId="50435D8C"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2. člen</w:t>
      </w:r>
    </w:p>
    <w:p w14:paraId="4368AC9C"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(področje uporabe)</w:t>
      </w:r>
    </w:p>
    <w:p w14:paraId="21B2B3F7"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Uredba velja za vse pravne osebe, samostojne podjetnike posameznike ali posameznike, ki samostojno opravljajo dejavnost, državne organe, organe lokalnih skupnosti, javne agencije, nosilce javnih pooblastil, druge osebe javnega prava in druge subjekte, ki so bistveni ali pomembni subjekti na podlagi Zakona o informacijski varnosti.</w:t>
      </w:r>
    </w:p>
    <w:p w14:paraId="5FAED5A8"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3. člen</w:t>
      </w:r>
    </w:p>
    <w:p w14:paraId="51478072"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(cilji usposabljanja)</w:t>
      </w:r>
    </w:p>
    <w:p w14:paraId="3F177D44" w14:textId="77777777" w:rsidR="00024ADD" w:rsidRPr="00DE4EF8" w:rsidRDefault="00024ADD" w:rsidP="00024ADD">
      <w:pPr>
        <w:spacing w:after="240" w:line="240" w:lineRule="auto"/>
        <w:rPr>
          <w:rFonts w:cs="Arial"/>
          <w:color w:val="242424"/>
          <w:szCs w:val="20"/>
          <w:lang w:val="sl-SI" w:eastAsia="sl-SI"/>
        </w:rPr>
      </w:pPr>
      <w:r w:rsidRPr="00DE4EF8">
        <w:rPr>
          <w:rFonts w:cs="Arial"/>
          <w:color w:val="242424"/>
          <w:szCs w:val="20"/>
          <w:lang w:val="sl-SI" w:eastAsia="sl-SI"/>
        </w:rPr>
        <w:t>Cilji usposabljanja so:</w:t>
      </w:r>
    </w:p>
    <w:p w14:paraId="032D6A1B"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Povečanje ozaveščenosti o tveganjih na področju informacijske in kibernetske varnosti.</w:t>
      </w:r>
    </w:p>
    <w:p w14:paraId="004C3D78"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Pridobitev temeljnega znanja o ključnih grožnjah in ranljivostih, ki vplivajo na omrežja, informacijske sisteme in podatke.</w:t>
      </w:r>
    </w:p>
    <w:p w14:paraId="07DEC5CB"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Izboljšanje znanja in veščin za prepoznavanje, ocenjevanje in obvladovanje varnostnih tveganj.</w:t>
      </w:r>
    </w:p>
    <w:p w14:paraId="0856B2C4"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Pridobitev temeljnih znanj o uporabi varnostnih orodij in tehnik za zaščito informacijskih sistemov.</w:t>
      </w:r>
    </w:p>
    <w:p w14:paraId="0114D15F"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lastRenderedPageBreak/>
        <w:t>Seznanitev z mednarodnimi standardi in dobrimi praksami za zaščito informacijskih sredstev in podatkov znotraj in zunaj subjekta.</w:t>
      </w:r>
    </w:p>
    <w:p w14:paraId="16B0E92D" w14:textId="77777777" w:rsidR="00024ADD" w:rsidRPr="00DE4EF8" w:rsidRDefault="00024ADD" w:rsidP="00024ADD">
      <w:pPr>
        <w:numPr>
          <w:ilvl w:val="0"/>
          <w:numId w:val="23"/>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Seznanitev s postopki za izvajanje dolžnega nadzorstva nad izvajanjem varnostnih ukrepov in postopkov za obvladovanje tveganj informacijske in kibernetske varnosti za zagotavljanje skladnosti z zakonodajo in predpisi na področju informacijske varnosti.</w:t>
      </w:r>
    </w:p>
    <w:p w14:paraId="1BEE1E8E" w14:textId="77777777" w:rsidR="00024ADD" w:rsidRDefault="00024ADD" w:rsidP="00024ADD">
      <w:pPr>
        <w:spacing w:after="240" w:line="240" w:lineRule="auto"/>
        <w:jc w:val="center"/>
        <w:rPr>
          <w:rFonts w:cs="Arial"/>
          <w:color w:val="242424"/>
          <w:szCs w:val="20"/>
          <w:lang w:val="sl-SI" w:eastAsia="sl-SI"/>
        </w:rPr>
      </w:pPr>
    </w:p>
    <w:p w14:paraId="1916E87B"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color w:val="242424"/>
          <w:szCs w:val="20"/>
          <w:lang w:val="sl-SI" w:eastAsia="sl-SI"/>
        </w:rPr>
        <w:t>II. PROGRAM USPOSABLJANJA</w:t>
      </w:r>
    </w:p>
    <w:p w14:paraId="1EE187AF" w14:textId="77777777" w:rsidR="00024ADD" w:rsidRDefault="00024ADD" w:rsidP="00024ADD">
      <w:pPr>
        <w:spacing w:after="240" w:line="240" w:lineRule="auto"/>
        <w:jc w:val="center"/>
        <w:rPr>
          <w:rFonts w:cs="Arial"/>
          <w:b/>
          <w:bCs/>
          <w:color w:val="242424"/>
          <w:szCs w:val="20"/>
          <w:lang w:val="sl-SI" w:eastAsia="sl-SI"/>
        </w:rPr>
      </w:pPr>
    </w:p>
    <w:p w14:paraId="4D1F059D"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4. člen</w:t>
      </w:r>
    </w:p>
    <w:p w14:paraId="3A2724FD"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(vsebina programa)</w:t>
      </w:r>
    </w:p>
    <w:p w14:paraId="0AC2C64B"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(1) Program usposabljanja obsega naslednje vsebine:</w:t>
      </w:r>
    </w:p>
    <w:p w14:paraId="6D3DF08D"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uvod v informacijsko in kibernetsko varnost;</w:t>
      </w:r>
    </w:p>
    <w:p w14:paraId="7C425219"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zakonodaja, regulative in mednarodni standardi;</w:t>
      </w:r>
    </w:p>
    <w:p w14:paraId="1754731C"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upravljanje sredstev;</w:t>
      </w:r>
    </w:p>
    <w:p w14:paraId="1DD0AD8D"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upravljanje tveganj;</w:t>
      </w:r>
    </w:p>
    <w:p w14:paraId="699EAC6C"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ocena vplivov na poslovanje in neprekinjeno poslovanje;</w:t>
      </w:r>
    </w:p>
    <w:p w14:paraId="07499FE7"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organizacijski, logično-tehnični in tehnični varnostni ukrepi;</w:t>
      </w:r>
    </w:p>
    <w:p w14:paraId="2E880D47"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odzivanje na incidente informacijske varnosti;</w:t>
      </w:r>
    </w:p>
    <w:p w14:paraId="347224A6"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varnost dobavnih verig;</w:t>
      </w:r>
    </w:p>
    <w:p w14:paraId="19F4D590"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r w:rsidRPr="00DE4EF8">
        <w:rPr>
          <w:rFonts w:cs="Arial"/>
          <w:color w:val="242424"/>
          <w:szCs w:val="20"/>
          <w:lang w:val="sl-SI" w:eastAsia="sl-SI"/>
        </w:rPr>
        <w:t>izvajanje dolžnega nadzorstva in</w:t>
      </w:r>
    </w:p>
    <w:p w14:paraId="60B1C64F" w14:textId="77777777" w:rsidR="00024ADD" w:rsidRPr="00DE4EF8" w:rsidRDefault="00024ADD" w:rsidP="00024ADD">
      <w:pPr>
        <w:numPr>
          <w:ilvl w:val="0"/>
          <w:numId w:val="24"/>
        </w:numPr>
        <w:spacing w:before="100" w:beforeAutospacing="1" w:after="100" w:afterAutospacing="1" w:line="240" w:lineRule="auto"/>
        <w:ind w:left="960"/>
        <w:jc w:val="both"/>
        <w:rPr>
          <w:rFonts w:cs="Arial"/>
          <w:color w:val="242424"/>
          <w:szCs w:val="20"/>
          <w:lang w:val="sl-SI" w:eastAsia="sl-SI"/>
        </w:rPr>
      </w:pPr>
      <w:bookmarkStart w:id="135" w:name="_Hlk190078207"/>
      <w:r w:rsidRPr="00DE4EF8">
        <w:rPr>
          <w:rFonts w:cs="Arial"/>
          <w:color w:val="242424"/>
          <w:szCs w:val="20"/>
          <w:lang w:val="sl-SI" w:eastAsia="sl-SI"/>
        </w:rPr>
        <w:t>Pogoste ugotovitve neskladja s predpisi iz inšpekcijskih nadzorov</w:t>
      </w:r>
      <w:bookmarkEnd w:id="135"/>
      <w:r w:rsidRPr="00DE4EF8">
        <w:rPr>
          <w:rFonts w:cs="Arial"/>
          <w:color w:val="242424"/>
          <w:szCs w:val="20"/>
          <w:lang w:val="sl-SI" w:eastAsia="sl-SI"/>
        </w:rPr>
        <w:t>.</w:t>
      </w:r>
    </w:p>
    <w:p w14:paraId="1F11AC1A" w14:textId="77777777" w:rsidR="00024ADD" w:rsidRPr="00DE4EF8" w:rsidRDefault="00024ADD" w:rsidP="00024ADD">
      <w:pPr>
        <w:spacing w:before="100" w:beforeAutospacing="1" w:after="100" w:afterAutospacing="1" w:line="240" w:lineRule="auto"/>
        <w:jc w:val="both"/>
        <w:rPr>
          <w:rFonts w:cs="Arial"/>
          <w:color w:val="242424"/>
          <w:szCs w:val="20"/>
          <w:lang w:val="sl-SI" w:eastAsia="sl-SI"/>
        </w:rPr>
      </w:pPr>
      <w:r w:rsidRPr="00DE4EF8">
        <w:rPr>
          <w:rFonts w:cs="Arial"/>
          <w:color w:val="242424"/>
          <w:szCs w:val="20"/>
          <w:lang w:val="sl-SI" w:eastAsia="sl-SI"/>
        </w:rPr>
        <w:t xml:space="preserve">(2) Usposabljanje se izvede po programu, ki je kot Priloga 1 sestavni del te uredbe. </w:t>
      </w:r>
    </w:p>
    <w:p w14:paraId="04042E67"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5. člen</w:t>
      </w:r>
    </w:p>
    <w:p w14:paraId="2F74C770"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(izvajalci usposabljanja)</w:t>
      </w:r>
    </w:p>
    <w:p w14:paraId="2E13D8FF"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Usposabljanje izvajajo uslužbenci pristojnega nacionalnega organa za informacijsko varnost, ki imajo ustrezne strokovne kompetence in jih s sklepom imenuje predstojnik nacionalnega organa za informacijsko varnost.</w:t>
      </w:r>
    </w:p>
    <w:p w14:paraId="4A788926"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6. člen</w:t>
      </w:r>
    </w:p>
    <w:p w14:paraId="0D3260D5"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(trajanje in način izvedbe)</w:t>
      </w:r>
    </w:p>
    <w:p w14:paraId="60B97FAD"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 xml:space="preserve">(1) Usposabljanje traja najmanj </w:t>
      </w:r>
      <w:r>
        <w:rPr>
          <w:rFonts w:cs="Arial"/>
          <w:color w:val="242424"/>
          <w:szCs w:val="20"/>
          <w:lang w:val="sl-SI" w:eastAsia="sl-SI"/>
        </w:rPr>
        <w:t>osem</w:t>
      </w:r>
      <w:r w:rsidRPr="00DE4EF8">
        <w:rPr>
          <w:rFonts w:cs="Arial"/>
          <w:color w:val="242424"/>
          <w:szCs w:val="20"/>
          <w:lang w:val="sl-SI" w:eastAsia="sl-SI"/>
        </w:rPr>
        <w:t xml:space="preserve"> pedagoških ur in se izvaja v obliki predavanja ali delavnice. Del usposabljanja se lahko izvede tudi na daljavo.</w:t>
      </w:r>
    </w:p>
    <w:p w14:paraId="476407CF"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(2) Pristojni nacionalni organ za informacijsko varnost vsako koledarsko leto razpiše termine usposabljanj.</w:t>
      </w:r>
    </w:p>
    <w:p w14:paraId="638C629E" w14:textId="77777777" w:rsidR="00024ADD" w:rsidRPr="00DE4EF8" w:rsidRDefault="00024ADD" w:rsidP="00024ADD">
      <w:pPr>
        <w:spacing w:after="240" w:line="240" w:lineRule="auto"/>
        <w:rPr>
          <w:rFonts w:cs="Arial"/>
          <w:color w:val="242424"/>
          <w:szCs w:val="20"/>
          <w:lang w:val="sl-SI" w:eastAsia="sl-SI"/>
        </w:rPr>
      </w:pPr>
    </w:p>
    <w:p w14:paraId="1BB0401C" w14:textId="77777777" w:rsidR="00024ADD" w:rsidRDefault="00024ADD" w:rsidP="00024ADD">
      <w:pPr>
        <w:spacing w:after="240" w:line="240" w:lineRule="auto"/>
        <w:jc w:val="center"/>
        <w:rPr>
          <w:rFonts w:cs="Arial"/>
          <w:color w:val="242424"/>
          <w:szCs w:val="20"/>
          <w:lang w:val="sl-SI" w:eastAsia="sl-SI"/>
        </w:rPr>
      </w:pPr>
      <w:r w:rsidRPr="00DE4EF8">
        <w:rPr>
          <w:rFonts w:cs="Arial"/>
          <w:color w:val="242424"/>
          <w:szCs w:val="20"/>
          <w:lang w:val="sl-SI" w:eastAsia="sl-SI"/>
        </w:rPr>
        <w:t>III. PREIZKUS ZNANJA</w:t>
      </w:r>
    </w:p>
    <w:p w14:paraId="53983D8D" w14:textId="77777777" w:rsidR="00024ADD" w:rsidRPr="00DE4EF8" w:rsidRDefault="00024ADD" w:rsidP="00024ADD">
      <w:pPr>
        <w:spacing w:after="240" w:line="240" w:lineRule="auto"/>
        <w:jc w:val="center"/>
        <w:rPr>
          <w:rFonts w:cs="Arial"/>
          <w:color w:val="242424"/>
          <w:szCs w:val="20"/>
          <w:lang w:val="sl-SI" w:eastAsia="sl-SI"/>
        </w:rPr>
      </w:pPr>
    </w:p>
    <w:p w14:paraId="127E19BA"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7. člen</w:t>
      </w:r>
    </w:p>
    <w:p w14:paraId="0AAD9D56"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(preizkus znanja)</w:t>
      </w:r>
    </w:p>
    <w:p w14:paraId="41799886"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lastRenderedPageBreak/>
        <w:t>Po zaključku usposabljanja udeleženci opravijo preizkus znanja, ki obsega preverjanje razumevanja teoretičnega dela usposabljanja. Uspešno opravljen preizkus je pogoj za pridobitev potrdila o usposobljenosti.</w:t>
      </w:r>
    </w:p>
    <w:p w14:paraId="70DD33EE"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8. člen</w:t>
      </w:r>
    </w:p>
    <w:p w14:paraId="711E16D6"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(potrdilo o usposobljenosti)</w:t>
      </w:r>
    </w:p>
    <w:p w14:paraId="2A5F06CE"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(1) Potrdilo o usposobljenosti izda izvajalec usposabljanja praviloma v tridesetih delovnih dneh po končanem usposabljanju.</w:t>
      </w:r>
    </w:p>
    <w:p w14:paraId="1A94D871" w14:textId="77777777" w:rsidR="00024ADD" w:rsidRPr="00DE4EF8" w:rsidRDefault="00024ADD" w:rsidP="00024ADD">
      <w:pPr>
        <w:spacing w:after="240" w:line="240" w:lineRule="auto"/>
        <w:jc w:val="both"/>
        <w:rPr>
          <w:rFonts w:cs="Arial"/>
          <w:color w:val="242424"/>
          <w:szCs w:val="20"/>
          <w:lang w:val="sl-SI" w:eastAsia="sl-SI"/>
        </w:rPr>
      </w:pPr>
      <w:r w:rsidRPr="00DE4EF8">
        <w:rPr>
          <w:rFonts w:cs="Arial"/>
          <w:color w:val="242424"/>
          <w:szCs w:val="20"/>
          <w:lang w:val="sl-SI" w:eastAsia="sl-SI"/>
        </w:rPr>
        <w:t>(2) Potrdilo iz prejšnjega odstavka velja štiri leta. Po preteku tega obdobja je potrebno ponovno opraviti usposabljanje in preizkus znanja.</w:t>
      </w:r>
    </w:p>
    <w:p w14:paraId="5B402517"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9. člen</w:t>
      </w:r>
    </w:p>
    <w:p w14:paraId="46DBCC7B"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(evidenca potrdil)</w:t>
      </w:r>
    </w:p>
    <w:p w14:paraId="79405E73" w14:textId="77777777" w:rsidR="00024ADD" w:rsidRPr="00DE4EF8" w:rsidRDefault="00024ADD" w:rsidP="00024ADD">
      <w:pPr>
        <w:spacing w:after="240" w:line="240" w:lineRule="auto"/>
        <w:rPr>
          <w:rFonts w:cs="Arial"/>
          <w:color w:val="242424"/>
          <w:szCs w:val="20"/>
          <w:lang w:val="sl-SI" w:eastAsia="sl-SI"/>
        </w:rPr>
      </w:pPr>
      <w:r w:rsidRPr="00DE4EF8">
        <w:rPr>
          <w:rFonts w:cs="Arial"/>
          <w:color w:val="242424"/>
          <w:szCs w:val="20"/>
          <w:lang w:val="sl-SI" w:eastAsia="sl-SI"/>
        </w:rPr>
        <w:t>Izvajalec usposabljanja vodi evidenco izdanih potrdil, ki vsebuje podatke o udeležencih, datumu usposabljanja in veljavnosti potrdil.</w:t>
      </w:r>
    </w:p>
    <w:p w14:paraId="357464D4" w14:textId="77777777" w:rsidR="00024ADD" w:rsidRPr="00DE4EF8" w:rsidRDefault="00024ADD" w:rsidP="00024ADD">
      <w:pPr>
        <w:spacing w:after="240" w:line="240" w:lineRule="auto"/>
        <w:rPr>
          <w:rFonts w:cs="Arial"/>
          <w:color w:val="242424"/>
          <w:szCs w:val="20"/>
          <w:lang w:val="sl-SI" w:eastAsia="sl-SI"/>
        </w:rPr>
      </w:pPr>
    </w:p>
    <w:p w14:paraId="4D4CE704" w14:textId="77777777" w:rsidR="00024ADD" w:rsidRPr="00DE4EF8" w:rsidRDefault="00024ADD" w:rsidP="00024ADD">
      <w:pPr>
        <w:spacing w:after="240" w:line="240" w:lineRule="auto"/>
        <w:jc w:val="center"/>
        <w:rPr>
          <w:rFonts w:cs="Arial"/>
          <w:color w:val="242424"/>
          <w:szCs w:val="20"/>
          <w:lang w:val="sl-SI" w:eastAsia="sl-SI"/>
        </w:rPr>
      </w:pPr>
      <w:r>
        <w:rPr>
          <w:rFonts w:cs="Arial"/>
          <w:color w:val="242424"/>
          <w:szCs w:val="20"/>
          <w:lang w:val="sl-SI" w:eastAsia="sl-SI"/>
        </w:rPr>
        <w:t>I</w:t>
      </w:r>
      <w:r w:rsidRPr="00DE4EF8">
        <w:rPr>
          <w:rFonts w:cs="Arial"/>
          <w:color w:val="242424"/>
          <w:szCs w:val="20"/>
          <w:lang w:val="sl-SI" w:eastAsia="sl-SI"/>
        </w:rPr>
        <w:t>V. KONČNE DOLOČBE</w:t>
      </w:r>
    </w:p>
    <w:p w14:paraId="1A4761AB" w14:textId="77777777" w:rsidR="00024ADD" w:rsidRDefault="00024ADD" w:rsidP="00024ADD">
      <w:pPr>
        <w:spacing w:after="240" w:line="240" w:lineRule="auto"/>
        <w:jc w:val="center"/>
        <w:rPr>
          <w:rFonts w:cs="Arial"/>
          <w:b/>
          <w:bCs/>
          <w:color w:val="242424"/>
          <w:szCs w:val="20"/>
          <w:lang w:val="sl-SI" w:eastAsia="sl-SI"/>
        </w:rPr>
      </w:pPr>
    </w:p>
    <w:p w14:paraId="3F7A8F19" w14:textId="77777777" w:rsidR="00024ADD" w:rsidRPr="00DE4EF8" w:rsidRDefault="00024ADD" w:rsidP="00024ADD">
      <w:pPr>
        <w:spacing w:after="240" w:line="240" w:lineRule="auto"/>
        <w:jc w:val="center"/>
        <w:rPr>
          <w:rFonts w:cs="Arial"/>
          <w:b/>
          <w:bCs/>
          <w:color w:val="242424"/>
          <w:szCs w:val="20"/>
          <w:lang w:val="sl-SI" w:eastAsia="sl-SI"/>
        </w:rPr>
      </w:pPr>
      <w:r w:rsidRPr="00DE4EF8">
        <w:rPr>
          <w:rFonts w:cs="Arial"/>
          <w:b/>
          <w:bCs/>
          <w:color w:val="242424"/>
          <w:szCs w:val="20"/>
          <w:lang w:val="sl-SI" w:eastAsia="sl-SI"/>
        </w:rPr>
        <w:t>12. člen</w:t>
      </w:r>
    </w:p>
    <w:p w14:paraId="5BD091D7" w14:textId="77777777" w:rsidR="00024ADD" w:rsidRPr="00DE4EF8" w:rsidRDefault="00024ADD" w:rsidP="00024ADD">
      <w:pPr>
        <w:spacing w:after="240" w:line="240" w:lineRule="auto"/>
        <w:jc w:val="center"/>
        <w:rPr>
          <w:rFonts w:cs="Arial"/>
          <w:color w:val="242424"/>
          <w:szCs w:val="20"/>
          <w:lang w:val="sl-SI" w:eastAsia="sl-SI"/>
        </w:rPr>
      </w:pPr>
      <w:r w:rsidRPr="00DE4EF8">
        <w:rPr>
          <w:rFonts w:cs="Arial"/>
          <w:b/>
          <w:bCs/>
          <w:color w:val="242424"/>
          <w:szCs w:val="20"/>
          <w:lang w:val="sl-SI" w:eastAsia="sl-SI"/>
        </w:rPr>
        <w:t>(začetek veljavnosti)</w:t>
      </w:r>
    </w:p>
    <w:p w14:paraId="6B77C430" w14:textId="77777777" w:rsidR="00024ADD" w:rsidRPr="00DE4EF8" w:rsidRDefault="00024ADD" w:rsidP="00024ADD">
      <w:pPr>
        <w:spacing w:after="240" w:line="240" w:lineRule="auto"/>
        <w:rPr>
          <w:rFonts w:cs="Arial"/>
          <w:color w:val="242424"/>
          <w:szCs w:val="20"/>
          <w:lang w:val="sl-SI" w:eastAsia="sl-SI"/>
        </w:rPr>
      </w:pPr>
      <w:r w:rsidRPr="00DE4EF8">
        <w:rPr>
          <w:rFonts w:cs="Arial"/>
          <w:color w:val="242424"/>
          <w:szCs w:val="20"/>
          <w:lang w:val="sl-SI" w:eastAsia="sl-SI"/>
        </w:rPr>
        <w:t>Ta uredba začne veljati petnajsti dan po objavi v Uradnem listu Republike Slovenije.</w:t>
      </w:r>
    </w:p>
    <w:p w14:paraId="6CAE5288"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76A1173A"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1D04F499" w14:textId="77777777" w:rsidR="00024ADD" w:rsidRPr="00DE4EF8" w:rsidRDefault="00024ADD" w:rsidP="00024ADD">
      <w:pPr>
        <w:spacing w:after="160" w:line="259" w:lineRule="auto"/>
        <w:rPr>
          <w:rFonts w:cs="Arial"/>
          <w:b/>
          <w:bCs/>
          <w:color w:val="242424"/>
          <w:szCs w:val="20"/>
          <w:lang w:val="sl-SI" w:eastAsia="sl-SI"/>
        </w:rPr>
      </w:pPr>
      <w:bookmarkStart w:id="136" w:name="_Hlk190077966"/>
      <w:r w:rsidRPr="00137EDA">
        <w:rPr>
          <w:rFonts w:cs="Arial"/>
          <w:b/>
          <w:bCs/>
          <w:color w:val="242424"/>
          <w:szCs w:val="20"/>
          <w:lang w:val="sl-SI" w:eastAsia="sl-SI"/>
        </w:rPr>
        <w:t>PRILOGA 1: Program</w:t>
      </w:r>
      <w:bookmarkEnd w:id="136"/>
    </w:p>
    <w:p w14:paraId="6228540B" w14:textId="77777777" w:rsidR="00024ADD" w:rsidRPr="00DE4EF8" w:rsidRDefault="00024ADD" w:rsidP="00024ADD">
      <w:pPr>
        <w:spacing w:after="160" w:line="259" w:lineRule="auto"/>
        <w:rPr>
          <w:rFonts w:cs="Arial"/>
          <w:b/>
          <w:bCs/>
          <w:color w:val="242424"/>
          <w:szCs w:val="20"/>
          <w:lang w:val="sl-SI" w:eastAsia="sl-SI"/>
        </w:rPr>
      </w:pPr>
    </w:p>
    <w:p w14:paraId="402D0842" w14:textId="77777777" w:rsidR="00024ADD" w:rsidRDefault="00024ADD" w:rsidP="00024ADD">
      <w:pPr>
        <w:spacing w:line="240" w:lineRule="auto"/>
        <w:rPr>
          <w:rFonts w:cs="Arial"/>
          <w:b/>
          <w:bCs/>
          <w:color w:val="242424"/>
          <w:szCs w:val="20"/>
          <w:lang w:val="sl-SI" w:eastAsia="sl-SI"/>
        </w:rPr>
      </w:pPr>
      <w:r>
        <w:rPr>
          <w:rFonts w:cs="Arial"/>
          <w:b/>
          <w:bCs/>
          <w:color w:val="242424"/>
          <w:szCs w:val="20"/>
          <w:lang w:val="sl-SI" w:eastAsia="sl-SI"/>
        </w:rPr>
        <w:br w:type="page"/>
      </w:r>
    </w:p>
    <w:p w14:paraId="1AA292C9" w14:textId="77777777" w:rsidR="00024ADD" w:rsidRPr="00DE4EF8" w:rsidRDefault="00024ADD" w:rsidP="00024ADD">
      <w:pPr>
        <w:spacing w:after="160" w:line="259" w:lineRule="auto"/>
        <w:jc w:val="both"/>
        <w:rPr>
          <w:rFonts w:eastAsiaTheme="minorHAnsi" w:cs="Arial"/>
          <w:kern w:val="2"/>
          <w:szCs w:val="20"/>
          <w:lang w:val="sl-SI"/>
          <w14:ligatures w14:val="standardContextual"/>
        </w:rPr>
      </w:pPr>
      <w:r w:rsidRPr="00DE4EF8">
        <w:rPr>
          <w:rFonts w:cs="Arial"/>
          <w:b/>
          <w:bCs/>
          <w:color w:val="242424"/>
          <w:szCs w:val="20"/>
          <w:lang w:val="sl-SI" w:eastAsia="sl-SI"/>
        </w:rPr>
        <w:lastRenderedPageBreak/>
        <w:t xml:space="preserve">PRILOGA 1: </w:t>
      </w:r>
      <w:r w:rsidRPr="00DE4EF8">
        <w:rPr>
          <w:rFonts w:eastAsiaTheme="minorHAnsi" w:cs="Arial"/>
          <w:kern w:val="2"/>
          <w:szCs w:val="20"/>
          <w:lang w:val="sl-SI"/>
          <w14:ligatures w14:val="standardContextual"/>
        </w:rPr>
        <w:t>Program usposabljanja za odgovorne osebe na področju informacijske in kibernetske varnosti</w:t>
      </w:r>
    </w:p>
    <w:p w14:paraId="69E5F572" w14:textId="77777777" w:rsidR="00024ADD" w:rsidRPr="00DE4EF8" w:rsidRDefault="00024ADD" w:rsidP="00024ADD">
      <w:pPr>
        <w:spacing w:after="160" w:line="259" w:lineRule="auto"/>
        <w:rPr>
          <w:rFonts w:eastAsiaTheme="minorHAnsi" w:cs="Arial"/>
          <w:b/>
          <w:bCs/>
          <w:kern w:val="2"/>
          <w:szCs w:val="20"/>
          <w:lang w:val="sl-SI"/>
          <w14:ligatures w14:val="standardContextual"/>
        </w:rPr>
      </w:pPr>
    </w:p>
    <w:p w14:paraId="3605FABE"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1. Uvod v informacijsko in kibernetsko varnost</w:t>
      </w:r>
    </w:p>
    <w:p w14:paraId="1E712D2F" w14:textId="77777777" w:rsidR="00024ADD" w:rsidRPr="00DE4EF8" w:rsidRDefault="00024ADD" w:rsidP="00024ADD">
      <w:pPr>
        <w:numPr>
          <w:ilvl w:val="0"/>
          <w:numId w:val="25"/>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Osnovni pojmi in definicije</w:t>
      </w:r>
      <w:r w:rsidRPr="00DE4EF8">
        <w:rPr>
          <w:rFonts w:eastAsiaTheme="minorHAnsi" w:cs="Arial"/>
          <w:kern w:val="2"/>
          <w:szCs w:val="20"/>
          <w:lang w:val="sl-SI"/>
          <w14:ligatures w14:val="standardContextual"/>
        </w:rPr>
        <w:t>: Razumevanje temeljnih pojmov in konceptov informacijske in kibernetske varnosti.</w:t>
      </w:r>
    </w:p>
    <w:p w14:paraId="76DF1599" w14:textId="77777777" w:rsidR="00024ADD" w:rsidRPr="00DE4EF8" w:rsidRDefault="00024ADD" w:rsidP="00024ADD">
      <w:pPr>
        <w:numPr>
          <w:ilvl w:val="0"/>
          <w:numId w:val="25"/>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Pregled trenutnih groženj in trendov</w:t>
      </w:r>
      <w:r w:rsidRPr="00DE4EF8">
        <w:rPr>
          <w:rFonts w:eastAsiaTheme="minorHAnsi" w:cs="Arial"/>
          <w:kern w:val="2"/>
          <w:szCs w:val="20"/>
          <w:lang w:val="sl-SI"/>
          <w14:ligatures w14:val="standardContextual"/>
        </w:rPr>
        <w:t>: Pregled in analiza aktualnih groženj in trendov v informacijski in kibernetski varnosti.</w:t>
      </w:r>
    </w:p>
    <w:p w14:paraId="674C9141"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7F6D626C"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2. Zakonodaja, regulative in mednarodni standardi</w:t>
      </w:r>
    </w:p>
    <w:p w14:paraId="2265B416" w14:textId="77777777" w:rsidR="00024ADD" w:rsidRPr="00DE4EF8" w:rsidRDefault="00024ADD" w:rsidP="00024ADD">
      <w:pPr>
        <w:numPr>
          <w:ilvl w:val="0"/>
          <w:numId w:val="26"/>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Nacionalna zakonodaja</w:t>
      </w:r>
      <w:r w:rsidRPr="00DE4EF8">
        <w:rPr>
          <w:rFonts w:eastAsiaTheme="minorHAnsi" w:cs="Arial"/>
          <w:kern w:val="2"/>
          <w:szCs w:val="20"/>
          <w:lang w:val="sl-SI"/>
          <w14:ligatures w14:val="standardContextual"/>
        </w:rPr>
        <w:t>: Pregled relevantne zakonodaje, Zakon o informacijski varnosti in predpisi, izdani na njegovi podlagi.</w:t>
      </w:r>
    </w:p>
    <w:p w14:paraId="32BA645E" w14:textId="77777777" w:rsidR="00024ADD" w:rsidRPr="00DE4EF8" w:rsidRDefault="00024ADD" w:rsidP="00024ADD">
      <w:pPr>
        <w:numPr>
          <w:ilvl w:val="0"/>
          <w:numId w:val="26"/>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Evropski predpisi</w:t>
      </w:r>
      <w:r w:rsidRPr="00DE4EF8">
        <w:rPr>
          <w:rFonts w:eastAsiaTheme="minorHAnsi" w:cs="Arial"/>
          <w:kern w:val="2"/>
          <w:szCs w:val="20"/>
          <w:lang w:val="sl-SI"/>
          <w14:ligatures w14:val="standardContextual"/>
        </w:rPr>
        <w:t>: Pregled evropskih predpisov, ki veljajo za posamezne sektorje in zavezance: uredbe, izvedbene uredbe, drugi akti.</w:t>
      </w:r>
    </w:p>
    <w:p w14:paraId="33A942B7" w14:textId="77777777" w:rsidR="00024ADD" w:rsidRPr="00DE4EF8" w:rsidRDefault="00024ADD" w:rsidP="00024ADD">
      <w:pPr>
        <w:numPr>
          <w:ilvl w:val="0"/>
          <w:numId w:val="26"/>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Mednarodni standardi</w:t>
      </w:r>
      <w:r w:rsidRPr="00DE4EF8">
        <w:rPr>
          <w:rFonts w:eastAsiaTheme="minorHAnsi" w:cs="Arial"/>
          <w:kern w:val="2"/>
          <w:szCs w:val="20"/>
          <w:lang w:val="sl-SI"/>
          <w14:ligatures w14:val="standardContextual"/>
        </w:rPr>
        <w:t>: Pregled mednarodnih standardov in dobrih praks, kot so NIST, ISO/IEC 27001, COBIT, ISO/IEC 22301.</w:t>
      </w:r>
    </w:p>
    <w:p w14:paraId="7F7134C7"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3502AF61"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3. Upravljanje sredstev</w:t>
      </w:r>
    </w:p>
    <w:p w14:paraId="430EE418" w14:textId="77777777" w:rsidR="00024ADD" w:rsidRPr="00DE4EF8" w:rsidRDefault="00024ADD" w:rsidP="00024ADD">
      <w:pPr>
        <w:numPr>
          <w:ilvl w:val="0"/>
          <w:numId w:val="27"/>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Identifikacija sredstev</w:t>
      </w:r>
      <w:r w:rsidRPr="00DE4EF8">
        <w:rPr>
          <w:rFonts w:eastAsiaTheme="minorHAnsi" w:cs="Arial"/>
          <w:kern w:val="2"/>
          <w:szCs w:val="20"/>
          <w:lang w:val="sl-SI"/>
          <w14:ligatures w14:val="standardContextual"/>
        </w:rPr>
        <w:t>: Prepoznavanje in klasifikacija informacijskih sredstev oziroma virov.</w:t>
      </w:r>
    </w:p>
    <w:p w14:paraId="2D514DFA" w14:textId="77777777" w:rsidR="00024ADD" w:rsidRPr="00DE4EF8" w:rsidRDefault="00024ADD" w:rsidP="00024ADD">
      <w:pPr>
        <w:numPr>
          <w:ilvl w:val="0"/>
          <w:numId w:val="27"/>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Vzdrževanje in zaščita sredstev</w:t>
      </w:r>
      <w:r w:rsidRPr="00DE4EF8">
        <w:rPr>
          <w:rFonts w:eastAsiaTheme="minorHAnsi" w:cs="Arial"/>
          <w:kern w:val="2"/>
          <w:szCs w:val="20"/>
          <w:lang w:val="sl-SI"/>
          <w14:ligatures w14:val="standardContextual"/>
        </w:rPr>
        <w:t>: Prakse za vzdrževanje in zaščito informacijskih sredstev</w:t>
      </w:r>
    </w:p>
    <w:p w14:paraId="232940D2"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00A87955"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4. Upravljanje tveganj</w:t>
      </w:r>
    </w:p>
    <w:p w14:paraId="5A435877" w14:textId="77777777" w:rsidR="00024ADD" w:rsidRPr="00DE4EF8" w:rsidRDefault="00024ADD" w:rsidP="00024ADD">
      <w:pPr>
        <w:numPr>
          <w:ilvl w:val="0"/>
          <w:numId w:val="28"/>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Identifikacija tveganj</w:t>
      </w:r>
      <w:r w:rsidRPr="00DE4EF8">
        <w:rPr>
          <w:rFonts w:eastAsiaTheme="minorHAnsi" w:cs="Arial"/>
          <w:kern w:val="2"/>
          <w:szCs w:val="20"/>
          <w:lang w:val="sl-SI"/>
          <w14:ligatures w14:val="standardContextual"/>
        </w:rPr>
        <w:t>: Metode za prepoznavanje varnostnih tveganj.</w:t>
      </w:r>
    </w:p>
    <w:p w14:paraId="64A5BBF9" w14:textId="77777777" w:rsidR="00024ADD" w:rsidRPr="00DE4EF8" w:rsidRDefault="00024ADD" w:rsidP="00024ADD">
      <w:pPr>
        <w:numPr>
          <w:ilvl w:val="0"/>
          <w:numId w:val="28"/>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Ocena tveganj</w:t>
      </w:r>
      <w:r w:rsidRPr="00DE4EF8">
        <w:rPr>
          <w:rFonts w:eastAsiaTheme="minorHAnsi" w:cs="Arial"/>
          <w:kern w:val="2"/>
          <w:szCs w:val="20"/>
          <w:lang w:val="sl-SI"/>
          <w14:ligatures w14:val="standardContextual"/>
        </w:rPr>
        <w:t>: Tehnike za ocenjevanje tveganj in določanje njihovega vpliva.</w:t>
      </w:r>
    </w:p>
    <w:p w14:paraId="45293698" w14:textId="77777777" w:rsidR="00024ADD" w:rsidRPr="00DE4EF8" w:rsidRDefault="00024ADD" w:rsidP="00024ADD">
      <w:pPr>
        <w:numPr>
          <w:ilvl w:val="0"/>
          <w:numId w:val="28"/>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Obvladovanje tveganj</w:t>
      </w:r>
      <w:r w:rsidRPr="00DE4EF8">
        <w:rPr>
          <w:rFonts w:eastAsiaTheme="minorHAnsi" w:cs="Arial"/>
          <w:kern w:val="2"/>
          <w:szCs w:val="20"/>
          <w:lang w:val="sl-SI"/>
          <w14:ligatures w14:val="standardContextual"/>
        </w:rPr>
        <w:t>: Razvoj in implementacija strategij za obvladovanje tveganj</w:t>
      </w:r>
    </w:p>
    <w:p w14:paraId="592037B7"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440640CC"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5. Ocena vplivov na poslovanje in neprekinjeno poslovanje</w:t>
      </w:r>
    </w:p>
    <w:p w14:paraId="3EF0995E" w14:textId="77777777" w:rsidR="00024ADD" w:rsidRPr="00DE4EF8" w:rsidRDefault="00024ADD" w:rsidP="00024ADD">
      <w:pPr>
        <w:numPr>
          <w:ilvl w:val="0"/>
          <w:numId w:val="29"/>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Ocena vplivov na poslovanje (BIA)</w:t>
      </w:r>
      <w:r w:rsidRPr="00DE4EF8">
        <w:rPr>
          <w:rFonts w:eastAsiaTheme="minorHAnsi" w:cs="Arial"/>
          <w:kern w:val="2"/>
          <w:szCs w:val="20"/>
          <w:lang w:val="sl-SI"/>
          <w14:ligatures w14:val="standardContextual"/>
        </w:rPr>
        <w:t>: Metode za ocenjevanje vplivov varnostnih incidentov na poslovanje.</w:t>
      </w:r>
    </w:p>
    <w:p w14:paraId="2F387B06" w14:textId="77777777" w:rsidR="00024ADD" w:rsidRPr="00DE4EF8" w:rsidRDefault="00024ADD" w:rsidP="00024ADD">
      <w:pPr>
        <w:numPr>
          <w:ilvl w:val="0"/>
          <w:numId w:val="29"/>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Načrti za neprekinjeno poslovanje (BCP)</w:t>
      </w:r>
      <w:r w:rsidRPr="00DE4EF8">
        <w:rPr>
          <w:rFonts w:eastAsiaTheme="minorHAnsi" w:cs="Arial"/>
          <w:kern w:val="2"/>
          <w:szCs w:val="20"/>
          <w:lang w:val="sl-SI"/>
          <w14:ligatures w14:val="standardContextual"/>
        </w:rPr>
        <w:t>: Priprava načrtov za zagotavljanje neprekinjenega poslovanja v primeru incidentov</w:t>
      </w:r>
    </w:p>
    <w:p w14:paraId="24D460C9"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0291BD10"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6. Organizacijski, logično-tehnični in tehnični varnostni ukrepi</w:t>
      </w:r>
    </w:p>
    <w:p w14:paraId="2C0ED193" w14:textId="77777777" w:rsidR="00024ADD" w:rsidRPr="00DE4EF8" w:rsidRDefault="00024ADD" w:rsidP="00024ADD">
      <w:pPr>
        <w:numPr>
          <w:ilvl w:val="0"/>
          <w:numId w:val="30"/>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Organizacijski ukrepi</w:t>
      </w:r>
      <w:r w:rsidRPr="00DE4EF8">
        <w:rPr>
          <w:rFonts w:eastAsiaTheme="minorHAnsi" w:cs="Arial"/>
          <w:kern w:val="2"/>
          <w:szCs w:val="20"/>
          <w:lang w:val="sl-SI"/>
          <w14:ligatures w14:val="standardContextual"/>
        </w:rPr>
        <w:t>: Vzpostavitev varnostnih politik in postopkov.</w:t>
      </w:r>
    </w:p>
    <w:p w14:paraId="4F8AC82D" w14:textId="77777777" w:rsidR="00024ADD" w:rsidRPr="00DE4EF8" w:rsidRDefault="00024ADD" w:rsidP="00024ADD">
      <w:pPr>
        <w:numPr>
          <w:ilvl w:val="0"/>
          <w:numId w:val="30"/>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Logično-tehnični ukrepi</w:t>
      </w:r>
      <w:r w:rsidRPr="00DE4EF8">
        <w:rPr>
          <w:rFonts w:eastAsiaTheme="minorHAnsi" w:cs="Arial"/>
          <w:kern w:val="2"/>
          <w:szCs w:val="20"/>
          <w:lang w:val="sl-SI"/>
          <w14:ligatures w14:val="standardContextual"/>
        </w:rPr>
        <w:t>: Uporaba šifriranja, požarnih zidov in drugih varnostnih orodij.</w:t>
      </w:r>
    </w:p>
    <w:p w14:paraId="1A2E33AD" w14:textId="77777777" w:rsidR="00024ADD" w:rsidRPr="00DE4EF8" w:rsidRDefault="00024ADD" w:rsidP="00024ADD">
      <w:pPr>
        <w:numPr>
          <w:ilvl w:val="0"/>
          <w:numId w:val="30"/>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Tehnični ukrepi</w:t>
      </w:r>
      <w:r w:rsidRPr="00DE4EF8">
        <w:rPr>
          <w:rFonts w:eastAsiaTheme="minorHAnsi" w:cs="Arial"/>
          <w:kern w:val="2"/>
          <w:szCs w:val="20"/>
          <w:lang w:val="sl-SI"/>
          <w14:ligatures w14:val="standardContextual"/>
        </w:rPr>
        <w:t>: Prakse za zaščito omrežij in informacijskih sistemov</w:t>
      </w:r>
    </w:p>
    <w:p w14:paraId="798138B4"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6D694ED1"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7. Odzivanje na incidente informacijske varnosti</w:t>
      </w:r>
    </w:p>
    <w:p w14:paraId="7C01AAD2" w14:textId="77777777" w:rsidR="00024ADD" w:rsidRPr="00DE4EF8" w:rsidRDefault="00024ADD" w:rsidP="00024ADD">
      <w:pPr>
        <w:numPr>
          <w:ilvl w:val="0"/>
          <w:numId w:val="31"/>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Postopki za zaznavanje incidentov</w:t>
      </w:r>
      <w:r w:rsidRPr="00DE4EF8">
        <w:rPr>
          <w:rFonts w:eastAsiaTheme="minorHAnsi" w:cs="Arial"/>
          <w:kern w:val="2"/>
          <w:szCs w:val="20"/>
          <w:lang w:val="sl-SI"/>
          <w14:ligatures w14:val="standardContextual"/>
        </w:rPr>
        <w:t>: Metode za zaznavanje varnostnih incidentov.</w:t>
      </w:r>
    </w:p>
    <w:p w14:paraId="67034714" w14:textId="77777777" w:rsidR="00024ADD" w:rsidRPr="00DE4EF8" w:rsidRDefault="00024ADD" w:rsidP="00024ADD">
      <w:pPr>
        <w:numPr>
          <w:ilvl w:val="0"/>
          <w:numId w:val="31"/>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Odzivanje in sanacija</w:t>
      </w:r>
      <w:r w:rsidRPr="00DE4EF8">
        <w:rPr>
          <w:rFonts w:eastAsiaTheme="minorHAnsi" w:cs="Arial"/>
          <w:kern w:val="2"/>
          <w:szCs w:val="20"/>
          <w:lang w:val="sl-SI"/>
          <w14:ligatures w14:val="standardContextual"/>
        </w:rPr>
        <w:t>: Koraki za učinkovito odzivanje na incidente in njihovo sanacijo</w:t>
      </w:r>
    </w:p>
    <w:p w14:paraId="03CAAFCC"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11C6DD4F"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8. Varnost dobavnih verig</w:t>
      </w:r>
    </w:p>
    <w:p w14:paraId="1524DC05" w14:textId="77777777" w:rsidR="00024ADD" w:rsidRPr="00DE4EF8" w:rsidRDefault="00024ADD" w:rsidP="00024ADD">
      <w:pPr>
        <w:numPr>
          <w:ilvl w:val="0"/>
          <w:numId w:val="32"/>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Identifikacija tveganj v dobavni verigi</w:t>
      </w:r>
      <w:r w:rsidRPr="00DE4EF8">
        <w:rPr>
          <w:rFonts w:eastAsiaTheme="minorHAnsi" w:cs="Arial"/>
          <w:kern w:val="2"/>
          <w:szCs w:val="20"/>
          <w:lang w:val="sl-SI"/>
          <w14:ligatures w14:val="standardContextual"/>
        </w:rPr>
        <w:t>: Prepoznavanje in ocenjevanje tveganj, povezanih z dobavnimi verigami.</w:t>
      </w:r>
    </w:p>
    <w:p w14:paraId="421967C2" w14:textId="77777777" w:rsidR="00024ADD" w:rsidRPr="00DE4EF8" w:rsidRDefault="00024ADD" w:rsidP="00024ADD">
      <w:pPr>
        <w:numPr>
          <w:ilvl w:val="0"/>
          <w:numId w:val="32"/>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Ukrepi za zaščito dobavne verige</w:t>
      </w:r>
      <w:r w:rsidRPr="00DE4EF8">
        <w:rPr>
          <w:rFonts w:eastAsiaTheme="minorHAnsi" w:cs="Arial"/>
          <w:kern w:val="2"/>
          <w:szCs w:val="20"/>
          <w:lang w:val="sl-SI"/>
          <w14:ligatures w14:val="standardContextual"/>
        </w:rPr>
        <w:t>: Implementacija varnostih ukrepov za zaščito pred tveganji informacijske in kibernetske varnosti ter izvajanje nadzorstva nad ključnimi dobavitelji.</w:t>
      </w:r>
    </w:p>
    <w:p w14:paraId="63AE634D" w14:textId="77777777" w:rsidR="00024ADD" w:rsidRPr="00DE4EF8" w:rsidRDefault="00024ADD" w:rsidP="00024ADD">
      <w:pPr>
        <w:spacing w:after="160" w:line="259" w:lineRule="auto"/>
        <w:ind w:left="720"/>
        <w:rPr>
          <w:rFonts w:eastAsiaTheme="minorHAnsi" w:cs="Arial"/>
          <w:kern w:val="2"/>
          <w:szCs w:val="20"/>
          <w:lang w:val="sl-SI"/>
          <w14:ligatures w14:val="standardContextual"/>
        </w:rPr>
      </w:pPr>
    </w:p>
    <w:p w14:paraId="34247B68"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9. Izvajanje dolžnega nadzorstva</w:t>
      </w:r>
    </w:p>
    <w:p w14:paraId="769F16F9" w14:textId="77777777" w:rsidR="00024ADD" w:rsidRPr="00DE4EF8" w:rsidRDefault="00024ADD" w:rsidP="00024ADD">
      <w:pPr>
        <w:numPr>
          <w:ilvl w:val="0"/>
          <w:numId w:val="33"/>
        </w:numPr>
        <w:spacing w:after="160" w:line="259" w:lineRule="auto"/>
        <w:rPr>
          <w:rFonts w:eastAsiaTheme="minorHAnsi" w:cs="Arial"/>
          <w:kern w:val="2"/>
          <w:szCs w:val="20"/>
          <w:lang w:val="sl-SI"/>
          <w14:ligatures w14:val="standardContextual"/>
        </w:rPr>
      </w:pPr>
      <w:r w:rsidRPr="00DE4EF8">
        <w:rPr>
          <w:rFonts w:eastAsiaTheme="minorHAnsi" w:cs="Arial"/>
          <w:b/>
          <w:bCs/>
          <w:kern w:val="2"/>
          <w:szCs w:val="20"/>
          <w:lang w:val="sl-SI"/>
          <w14:ligatures w14:val="standardContextual"/>
        </w:rPr>
        <w:t>Seznanitev z izvajanjem dolžnega nadzorstva</w:t>
      </w:r>
      <w:r w:rsidRPr="00DE4EF8">
        <w:rPr>
          <w:rFonts w:eastAsiaTheme="minorHAnsi" w:cs="Arial"/>
          <w:kern w:val="2"/>
          <w:szCs w:val="20"/>
          <w:lang w:val="sl-SI"/>
          <w14:ligatures w14:val="standardContextual"/>
        </w:rPr>
        <w:t>: Razvoj sposobnosti in postopkov za izvajanje dolžnega nadzorstva nad varnostnimi ukrepi in postopki.</w:t>
      </w:r>
    </w:p>
    <w:p w14:paraId="504158A0" w14:textId="77777777" w:rsidR="00024ADD" w:rsidRPr="00DE4EF8" w:rsidRDefault="00024ADD" w:rsidP="00024ADD">
      <w:pPr>
        <w:spacing w:after="160" w:line="259" w:lineRule="auto"/>
        <w:ind w:left="720"/>
        <w:rPr>
          <w:rFonts w:eastAsiaTheme="minorHAnsi" w:cs="Arial"/>
          <w:kern w:val="2"/>
          <w:szCs w:val="20"/>
          <w:lang w:val="sl-SI"/>
          <w14:ligatures w14:val="standardContextual"/>
        </w:rPr>
      </w:pPr>
    </w:p>
    <w:p w14:paraId="75F1C9DD" w14:textId="77777777" w:rsidR="00024ADD" w:rsidRPr="00DE4EF8" w:rsidRDefault="00024ADD" w:rsidP="00024ADD">
      <w:pPr>
        <w:spacing w:after="160" w:line="259" w:lineRule="auto"/>
        <w:rPr>
          <w:rFonts w:eastAsiaTheme="minorHAnsi" w:cs="Arial"/>
          <w:b/>
          <w:bCs/>
          <w:kern w:val="2"/>
          <w:szCs w:val="20"/>
          <w:lang w:val="sl-SI"/>
          <w14:ligatures w14:val="standardContextual"/>
        </w:rPr>
      </w:pPr>
      <w:r w:rsidRPr="00DE4EF8">
        <w:rPr>
          <w:rFonts w:eastAsiaTheme="minorHAnsi" w:cs="Arial"/>
          <w:b/>
          <w:bCs/>
          <w:kern w:val="2"/>
          <w:szCs w:val="20"/>
          <w:lang w:val="sl-SI"/>
          <w14:ligatures w14:val="standardContextual"/>
        </w:rPr>
        <w:t>10. Pogoste ugotovitve neskladja s predpisi iz inšpekcijskih nadzorov</w:t>
      </w:r>
    </w:p>
    <w:p w14:paraId="57DA1806" w14:textId="77777777" w:rsidR="00024ADD" w:rsidRPr="00DE4EF8" w:rsidRDefault="00024ADD" w:rsidP="00024ADD">
      <w:pPr>
        <w:numPr>
          <w:ilvl w:val="0"/>
          <w:numId w:val="33"/>
        </w:numPr>
        <w:spacing w:after="160" w:line="259" w:lineRule="auto"/>
        <w:rPr>
          <w:rFonts w:eastAsiaTheme="minorHAnsi" w:cs="Arial"/>
          <w:kern w:val="2"/>
          <w:szCs w:val="20"/>
          <w:lang w:val="sl-SI"/>
          <w14:ligatures w14:val="standardContextual"/>
        </w:rPr>
      </w:pPr>
      <w:r w:rsidRPr="00DE4EF8">
        <w:rPr>
          <w:rFonts w:eastAsiaTheme="minorHAnsi" w:cs="Arial"/>
          <w:kern w:val="2"/>
          <w:szCs w:val="20"/>
          <w:lang w:val="sl-SI"/>
          <w14:ligatures w14:val="standardContextual"/>
        </w:rPr>
        <w:t>Seznanitev s pogostimi ugotovitvami neskladij s predpisi, ki so bili ugotovljeni v inšpekcijskih nadzorih in podanih priporočilih za izboljšanje varnosti ali učinkovitosti.</w:t>
      </w:r>
    </w:p>
    <w:p w14:paraId="64D87804" w14:textId="77777777" w:rsidR="00024ADD" w:rsidRPr="00DE4EF8" w:rsidRDefault="00024ADD" w:rsidP="00024ADD">
      <w:pPr>
        <w:spacing w:after="160" w:line="259" w:lineRule="auto"/>
        <w:rPr>
          <w:rFonts w:eastAsiaTheme="minorHAnsi" w:cs="Arial"/>
          <w:kern w:val="2"/>
          <w:szCs w:val="20"/>
          <w:lang w:val="sl-SI"/>
          <w14:ligatures w14:val="standardContextual"/>
        </w:rPr>
      </w:pPr>
    </w:p>
    <w:p w14:paraId="5F81297D" w14:textId="77777777" w:rsidR="00024ADD" w:rsidRPr="00DE4EF8" w:rsidRDefault="00024ADD" w:rsidP="00024ADD">
      <w:pPr>
        <w:spacing w:after="160" w:line="259" w:lineRule="auto"/>
        <w:rPr>
          <w:rFonts w:cs="Arial"/>
          <w:b/>
          <w:bCs/>
          <w:color w:val="242424"/>
          <w:szCs w:val="20"/>
          <w:lang w:val="sl-SI" w:eastAsia="sl-SI"/>
        </w:rPr>
      </w:pPr>
    </w:p>
    <w:p w14:paraId="792179CC" w14:textId="77777777" w:rsidR="00024ADD" w:rsidRPr="00DE4EF8" w:rsidRDefault="00024ADD" w:rsidP="00024ADD">
      <w:pPr>
        <w:spacing w:after="160" w:line="259" w:lineRule="auto"/>
        <w:rPr>
          <w:rFonts w:cs="Arial"/>
          <w:b/>
          <w:bCs/>
          <w:color w:val="242424"/>
          <w:szCs w:val="20"/>
          <w:lang w:val="sl-SI" w:eastAsia="sl-SI"/>
        </w:rPr>
      </w:pPr>
    </w:p>
    <w:p w14:paraId="144A7BB3" w14:textId="77777777" w:rsidR="00024ADD" w:rsidRDefault="00024ADD" w:rsidP="00024ADD">
      <w:pPr>
        <w:spacing w:line="240" w:lineRule="auto"/>
        <w:rPr>
          <w:rFonts w:cs="Arial"/>
          <w:szCs w:val="20"/>
          <w:lang w:val="sl-SI"/>
        </w:rPr>
      </w:pPr>
      <w:r>
        <w:rPr>
          <w:rFonts w:cs="Arial"/>
          <w:szCs w:val="20"/>
          <w:lang w:val="sl-SI"/>
        </w:rPr>
        <w:br w:type="page"/>
      </w:r>
    </w:p>
    <w:p w14:paraId="08784DC9" w14:textId="77777777" w:rsidR="00024ADD" w:rsidRPr="00151316" w:rsidRDefault="00024ADD" w:rsidP="00024ADD">
      <w:pPr>
        <w:pStyle w:val="textJustify"/>
        <w:pBdr>
          <w:top w:val="none" w:sz="0" w:space="24" w:color="auto"/>
        </w:pBdr>
        <w:spacing w:after="210"/>
        <w:jc w:val="right"/>
        <w:rPr>
          <w:rFonts w:ascii="Arial" w:eastAsia="Arial" w:hAnsi="Arial" w:cs="Arial"/>
          <w:b/>
          <w:bCs/>
          <w:sz w:val="20"/>
          <w:szCs w:val="20"/>
          <w:lang w:val="sl-SI"/>
        </w:rPr>
      </w:pPr>
      <w:r w:rsidRPr="00151316">
        <w:rPr>
          <w:rFonts w:ascii="Arial" w:eastAsia="Arial" w:hAnsi="Arial" w:cs="Arial"/>
          <w:b/>
          <w:bCs/>
          <w:sz w:val="20"/>
          <w:szCs w:val="20"/>
          <w:lang w:val="sl-SI"/>
        </w:rPr>
        <w:lastRenderedPageBreak/>
        <w:t>PREDLOG</w:t>
      </w:r>
    </w:p>
    <w:p w14:paraId="0A4CBDA3" w14:textId="77777777" w:rsidR="00024ADD" w:rsidRPr="00151316" w:rsidRDefault="00024ADD" w:rsidP="00024ADD">
      <w:pPr>
        <w:pStyle w:val="alineazaodstavkom1"/>
        <w:spacing w:before="210" w:after="210"/>
        <w:ind w:left="425"/>
        <w:rPr>
          <w:rFonts w:ascii="Arial" w:eastAsia="Arial" w:hAnsi="Arial" w:cs="Arial"/>
          <w:sz w:val="20"/>
          <w:szCs w:val="20"/>
          <w:lang w:val="sl-SI"/>
        </w:rPr>
      </w:pPr>
    </w:p>
    <w:p w14:paraId="3D13D0BC" w14:textId="77777777" w:rsidR="00024ADD" w:rsidRPr="00151316" w:rsidRDefault="00024ADD" w:rsidP="00024ADD">
      <w:pPr>
        <w:pStyle w:val="alineazaodstavkom1"/>
        <w:spacing w:before="210" w:after="210"/>
        <w:ind w:firstLine="0"/>
        <w:rPr>
          <w:rFonts w:ascii="Arial" w:eastAsia="Arial" w:hAnsi="Arial" w:cs="Arial"/>
          <w:sz w:val="20"/>
          <w:szCs w:val="20"/>
          <w:lang w:val="sl-SI"/>
        </w:rPr>
      </w:pPr>
      <w:r w:rsidRPr="00151316">
        <w:rPr>
          <w:rFonts w:ascii="Arial" w:eastAsia="Arial" w:hAnsi="Arial" w:cs="Arial"/>
          <w:sz w:val="20"/>
          <w:szCs w:val="20"/>
          <w:lang w:val="sl-SI"/>
        </w:rPr>
        <w:t xml:space="preserve">Na podlagi tretjega odstavka 4. člena </w:t>
      </w:r>
      <w:r>
        <w:rPr>
          <w:rFonts w:ascii="Arial" w:eastAsia="Arial" w:hAnsi="Arial" w:cs="Arial"/>
          <w:sz w:val="20"/>
          <w:szCs w:val="20"/>
          <w:lang w:val="sl-SI"/>
        </w:rPr>
        <w:t>Z</w:t>
      </w:r>
      <w:r w:rsidRPr="00151316">
        <w:rPr>
          <w:rFonts w:ascii="Arial" w:eastAsia="Arial" w:hAnsi="Arial" w:cs="Arial"/>
          <w:sz w:val="20"/>
          <w:szCs w:val="20"/>
          <w:lang w:val="sl-SI"/>
        </w:rPr>
        <w:t>akona o informacijski varnosti (Uradni list RS, št. …) Vlada Republike Slovenije</w:t>
      </w:r>
      <w:r>
        <w:rPr>
          <w:rFonts w:ascii="Arial" w:eastAsia="Arial" w:hAnsi="Arial" w:cs="Arial"/>
          <w:sz w:val="20"/>
          <w:szCs w:val="20"/>
          <w:lang w:val="sl-SI"/>
        </w:rPr>
        <w:t xml:space="preserve"> izdaja</w:t>
      </w:r>
    </w:p>
    <w:p w14:paraId="3C3B90D1" w14:textId="77777777" w:rsidR="00024ADD" w:rsidRPr="00151316" w:rsidRDefault="00024ADD" w:rsidP="00024ADD">
      <w:pPr>
        <w:pStyle w:val="alineazaodstavkom1"/>
        <w:spacing w:before="210" w:after="210"/>
        <w:ind w:firstLine="0"/>
        <w:rPr>
          <w:rFonts w:ascii="Arial" w:eastAsia="Arial" w:hAnsi="Arial" w:cs="Arial"/>
          <w:sz w:val="20"/>
          <w:szCs w:val="20"/>
          <w:lang w:val="sl-SI"/>
        </w:rPr>
      </w:pPr>
    </w:p>
    <w:p w14:paraId="542F7791" w14:textId="77777777" w:rsidR="00024ADD" w:rsidRPr="00151316" w:rsidRDefault="00024ADD" w:rsidP="00024ADD">
      <w:pPr>
        <w:pStyle w:val="center"/>
        <w:spacing w:before="210" w:after="210"/>
        <w:rPr>
          <w:rFonts w:ascii="Arial" w:eastAsia="Arial" w:hAnsi="Arial" w:cs="Arial"/>
          <w:b/>
          <w:bCs/>
          <w:caps/>
          <w:lang w:val="sl-SI"/>
        </w:rPr>
      </w:pPr>
      <w:r w:rsidRPr="00151316">
        <w:rPr>
          <w:rFonts w:ascii="Arial" w:eastAsia="Arial" w:hAnsi="Arial" w:cs="Arial"/>
          <w:b/>
          <w:bCs/>
          <w:caps/>
          <w:lang w:val="sl-SI"/>
        </w:rPr>
        <w:t>UREDBO</w:t>
      </w:r>
    </w:p>
    <w:p w14:paraId="3C0AE71E" w14:textId="77777777" w:rsidR="00024ADD" w:rsidRPr="00151316" w:rsidRDefault="00024ADD" w:rsidP="00024ADD">
      <w:pPr>
        <w:pStyle w:val="center"/>
        <w:spacing w:before="210" w:after="210"/>
        <w:rPr>
          <w:rFonts w:ascii="Arial" w:eastAsia="Arial" w:hAnsi="Arial" w:cs="Arial"/>
          <w:b/>
          <w:bCs/>
          <w:caps/>
          <w:lang w:val="sl-SI"/>
        </w:rPr>
      </w:pPr>
      <w:r w:rsidRPr="00151316">
        <w:rPr>
          <w:rFonts w:ascii="Arial" w:eastAsia="Arial" w:hAnsi="Arial" w:cs="Arial"/>
          <w:b/>
          <w:bCs/>
          <w:caps/>
          <w:lang w:val="sl-SI"/>
        </w:rPr>
        <w:t>o varovanju varovanih podatkov pristojnega nacionalega organa za informacijsko varnost</w:t>
      </w:r>
    </w:p>
    <w:p w14:paraId="095143E4"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I. SPLOŠNE DOLOČBE</w:t>
      </w:r>
    </w:p>
    <w:p w14:paraId="0DA63B1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p>
    <w:p w14:paraId="3D35190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 člen</w:t>
      </w:r>
    </w:p>
    <w:p w14:paraId="390ED6B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(vsebina)</w:t>
      </w:r>
    </w:p>
    <w:p w14:paraId="094F55BE"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Ta uredba določa organizacijske in logistično-tehnične postopke ter ukrepe za določanje in varovanje varovanih podatkov pristojnega nacionalnega organa za informacijsko varnost (v nadaljnjem besedilu: pristojni nacionalni organ)</w:t>
      </w:r>
      <w:r w:rsidRPr="00151316">
        <w:rPr>
          <w:rFonts w:ascii="Arial" w:hAnsi="Arial" w:cs="Arial"/>
          <w:sz w:val="20"/>
          <w:szCs w:val="20"/>
          <w:lang w:val="sl-SI"/>
        </w:rPr>
        <w:t xml:space="preserve"> </w:t>
      </w:r>
      <w:r w:rsidRPr="00151316">
        <w:rPr>
          <w:rFonts w:ascii="Arial" w:eastAsia="Arial" w:hAnsi="Arial" w:cs="Arial"/>
          <w:sz w:val="20"/>
          <w:szCs w:val="20"/>
          <w:lang w:val="sl-SI"/>
        </w:rPr>
        <w:t>ter vodenje zbirk varovanih podatkov, katerih upravljavec je pristojni nacionalni organ.</w:t>
      </w:r>
    </w:p>
    <w:p w14:paraId="4398FCC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F26B60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(pomen izrazov)</w:t>
      </w:r>
    </w:p>
    <w:p w14:paraId="6B2168C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Izrazi, uporabljeni v tej uredbi, pomenijo:</w:t>
      </w:r>
    </w:p>
    <w:p w14:paraId="7BBCA1E1"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»dnevnik obdelave« je zbirka o dejanjih obdelave podatkov, ki omogoča sledljivost in naknadno rekonstrukcijo obdelave podatkov za potrebe izkazovanja zakonitosti obdelave, izvajanja notranjega nadzora, nadzorov ali drugih zakonsko določenih preverjanj s strani nadzornega organa ali drugih pristojnih organov, zagotavljanja celovitosti in varnosti osebnih podatkov ter odpravljanja napak v delovanju informacijskega sistema ali pri obdelavi osebnih podatkov;</w:t>
      </w:r>
    </w:p>
    <w:p w14:paraId="0E9B38FD"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»dokument« pomeni napisane, narisane, natisnjene, razmnožene, fotografirane, fotokopirane, fonografirane ali magnetno, optično oziroma kako drugače zapisane podatke</w:t>
      </w:r>
      <w:r>
        <w:rPr>
          <w:rFonts w:ascii="Arial" w:eastAsia="Arial" w:hAnsi="Arial" w:cs="Arial"/>
          <w:sz w:val="20"/>
          <w:szCs w:val="20"/>
          <w:lang w:val="sl-SI"/>
        </w:rPr>
        <w:t>;</w:t>
      </w:r>
    </w:p>
    <w:p w14:paraId="73E60C50"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»evidenca« je zbirka, ki pomeni vsak strukturiran niz osebnih podatkov, dostopnih v skladu s posebnimi merili, niz pa je lahko centraliziran, decentraliziran ali razpršen na funkcionalni ali geografski podlagi;</w:t>
      </w:r>
    </w:p>
    <w:p w14:paraId="5B734110"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»evidenca dejavnosti obdelave« je evidenca dejavnosti obdelave osebnih podatkov pristojnega nacionalnega organa skladno z Uredbo (EU) 2016/679 Evropskega parlamenta in Sveta z dne 27. aprila 2016 o varstvu posameznikov pri obdelavi osebnih podatkov in o prostem pretoku takih podatkov ter o razveljavitvi Direktive 95/46/ES in z zakonom, ki ureja varstvo osebnih podatkov na področju obravnavanja kaznivih dejanj;</w:t>
      </w:r>
    </w:p>
    <w:p w14:paraId="6F93E125"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lastRenderedPageBreak/>
        <w:t>»informacijska in komunikacijska oprema« je strojna in programska oprema, vgrajena v ISP;</w:t>
      </w:r>
      <w:r w:rsidRPr="00D7646C">
        <w:rPr>
          <w:rFonts w:ascii="Arial" w:hAnsi="Arial" w:cs="Arial"/>
          <w:b/>
          <w:bCs/>
          <w:color w:val="111111"/>
          <w:sz w:val="20"/>
          <w:szCs w:val="20"/>
          <w:lang w:val="sl-SI"/>
        </w:rPr>
        <w:t xml:space="preserve"> </w:t>
      </w:r>
    </w:p>
    <w:p w14:paraId="17313C95"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»informacijski varnostni dogodek« je vsak dogodek, ki lahko vpliva na varnost, tajnost, celovitost in razpoložljivost ISP ter podatkov, ki se v njem obdelujejo;</w:t>
      </w:r>
    </w:p>
    <w:p w14:paraId="56EDE895"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»informacijski sistem pristojnega nacionalnega organa« (v nadaljnjem besedilu: ISP) je urejena celota podatkov in informacij, metod in sredstev za neposredno opravljanje informacijske dejavnosti ter telekomunikacijska infrastruktura, ki se kot zaprt uporabniški sistem uporablja za izvedbo nalog pristojnega nacionalnega organa, pri katerih se uporablja ISP;</w:t>
      </w:r>
    </w:p>
    <w:p w14:paraId="00008EC6"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»medij« pomeni vse vrste sredstev, na katerih so zapisani podatki;</w:t>
      </w:r>
    </w:p>
    <w:p w14:paraId="3071F1F6"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7646C">
        <w:rPr>
          <w:rFonts w:ascii="Arial" w:eastAsia="Arial" w:hAnsi="Arial" w:cs="Arial"/>
          <w:sz w:val="20"/>
          <w:szCs w:val="20"/>
          <w:lang w:val="sl-SI"/>
        </w:rPr>
        <w:t>»obdelava podatkov« je vsako dejanje ali niz dejanj, ki se izvaja v zvezi s podatki ali nizi podatkov z avtomatiziranimi sredstvi ali brez njih, kot je zbiranje, beleženje, urejanje, strukturiranje, shranjevanje, prilagajanje ali spreminjanje, priklic, vpogled, uporaba, razkritje s posredovanjem, razširjanje ali drugačno omogočanje dostopa, prilagajanje ali kombiniranje, omejevanje, izbris ali uničenje;</w:t>
      </w:r>
    </w:p>
    <w:p w14:paraId="1E5C2E68"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»pooblaščenec za varstvo osebnih podatkov« je oseba, odgovorna za vodenje postopkov, ki jih v zvezi z uresničevanjem pravic posameznikov na področju osebnih podatkov v pristojnem nacionalnem organu za informacijsko varnost kot upravljavcu evidenc nalagajo predpisi, ki urejajo varstvo osebnih podatkov;</w:t>
      </w:r>
    </w:p>
    <w:p w14:paraId="516D0A58"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 xml:space="preserve">»računalniška obdelava podatkov« je obdelava podatkov s pomočjo računalnika in z napravami, ki </w:t>
      </w:r>
      <w:r>
        <w:rPr>
          <w:rFonts w:ascii="Arial" w:eastAsia="Arial" w:hAnsi="Arial" w:cs="Arial"/>
          <w:sz w:val="20"/>
          <w:szCs w:val="20"/>
          <w:lang w:val="sl-SI"/>
        </w:rPr>
        <w:t>potrebujejo</w:t>
      </w:r>
      <w:r w:rsidRPr="00DD73A6">
        <w:rPr>
          <w:rFonts w:ascii="Arial" w:eastAsia="Arial" w:hAnsi="Arial" w:cs="Arial"/>
          <w:sz w:val="20"/>
          <w:szCs w:val="20"/>
          <w:lang w:val="sl-SI"/>
        </w:rPr>
        <w:t xml:space="preserve"> pomnilnik za shranjevanje celega ali dela računalniškega programa, in vseh ali dela podatkov, ki so potrebni za izvajanje tega programa;</w:t>
      </w:r>
    </w:p>
    <w:p w14:paraId="5F32C582"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»tehnični skrbnik ISP« je notranja organizacijska enota pristojnega nacionalnega organa, ki opravlja naloge na področju celovitega načrtovanja, razvoja, upravljanja, varovanja in vzdrževanja ISP ter evidenc, katerih upravljavec je pristojni nacionalni organ;</w:t>
      </w:r>
    </w:p>
    <w:p w14:paraId="39CFE983"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»telekomunikacijska zveza« je vzpostavljena povezava za prenos elektromagnetnih signalov po žičnih ali optičnih nosilcih ali z radijskimi signali;</w:t>
      </w:r>
    </w:p>
    <w:p w14:paraId="783E25E5"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»uporabnik ISP« je uslužbenec pristojnega nacionalnega organa, ki pri svojem delu uporablja ISP;</w:t>
      </w:r>
    </w:p>
    <w:p w14:paraId="0340C432"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»upravljavec evidence« je notranja organizacijska enota pristojnega nacionalnega organa, ki je vsebinska nosilka nalog, na podlagi katerih se obdelujejo podatki iz evidence;</w:t>
      </w:r>
    </w:p>
    <w:p w14:paraId="66B36B55"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»varnostni profil« je informacijska rešitev, ki določa obseg dostopa uporabnikov ali skupin uporabnikov do podatkov evidenc in možnosti njihove obdelave;</w:t>
      </w:r>
    </w:p>
    <w:p w14:paraId="0C298C6D"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»varovani podatek pristojnega nacionalnega organa« je podatek o ranljivostih ali stanju informacijskih sistemov in omrežij zavezancev ter njihova identiteta, ki ni tajen ali poslovna skrivnost, njegovo razkritje nepoklicanim osebam pa bi lahko povzročilo motnje pri delovanju in izvajanju nalog pristojnemu nacionalnemu organu oziroma bi lahko škodovalo zavezancem;</w:t>
      </w:r>
    </w:p>
    <w:p w14:paraId="30FCF556" w14:textId="77777777" w:rsidR="00024ADD"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»vir« je vhodni dokument, na podlagi katerega so bili vneseni podatki v evidenco;</w:t>
      </w:r>
    </w:p>
    <w:p w14:paraId="735C9F82" w14:textId="77777777" w:rsidR="00024ADD" w:rsidRPr="00DD73A6" w:rsidRDefault="00024ADD" w:rsidP="00024ADD">
      <w:pPr>
        <w:pStyle w:val="zamik"/>
        <w:numPr>
          <w:ilvl w:val="0"/>
          <w:numId w:val="34"/>
        </w:numPr>
        <w:spacing w:before="210" w:after="210"/>
        <w:ind w:left="425" w:hanging="425"/>
        <w:jc w:val="both"/>
        <w:rPr>
          <w:rFonts w:ascii="Arial" w:eastAsia="Arial" w:hAnsi="Arial" w:cs="Arial"/>
          <w:sz w:val="20"/>
          <w:szCs w:val="20"/>
          <w:lang w:val="sl-SI"/>
        </w:rPr>
      </w:pPr>
      <w:r w:rsidRPr="00DD73A6">
        <w:rPr>
          <w:rFonts w:ascii="Arial" w:eastAsia="Arial" w:hAnsi="Arial" w:cs="Arial"/>
          <w:sz w:val="20"/>
          <w:szCs w:val="20"/>
          <w:lang w:val="sl-SI"/>
        </w:rPr>
        <w:t xml:space="preserve">»vodja enote« je direktor pristojnega nacionalnega organa, vodja notranje organizacijske enote pristojnega nacionalnega organa </w:t>
      </w:r>
      <w:r>
        <w:rPr>
          <w:rFonts w:ascii="Arial" w:eastAsia="Arial" w:hAnsi="Arial" w:cs="Arial"/>
          <w:sz w:val="20"/>
          <w:szCs w:val="20"/>
          <w:lang w:val="sl-SI"/>
        </w:rPr>
        <w:t>in</w:t>
      </w:r>
      <w:r w:rsidRPr="00DD73A6">
        <w:rPr>
          <w:rFonts w:ascii="Arial" w:eastAsia="Arial" w:hAnsi="Arial" w:cs="Arial"/>
          <w:sz w:val="20"/>
          <w:szCs w:val="20"/>
          <w:lang w:val="sl-SI"/>
        </w:rPr>
        <w:t xml:space="preserve"> direktor Inšpekcije za informacijsko varnost, kjer se uporablja ISP</w:t>
      </w:r>
      <w:r>
        <w:rPr>
          <w:rFonts w:ascii="Arial" w:eastAsia="Arial" w:hAnsi="Arial" w:cs="Arial"/>
          <w:sz w:val="20"/>
          <w:szCs w:val="20"/>
          <w:lang w:val="sl-SI"/>
        </w:rPr>
        <w:t>.</w:t>
      </w:r>
    </w:p>
    <w:p w14:paraId="43603211" w14:textId="77777777" w:rsidR="00024ADD" w:rsidRDefault="00024ADD" w:rsidP="00024ADD">
      <w:pPr>
        <w:spacing w:line="240" w:lineRule="auto"/>
        <w:rPr>
          <w:rFonts w:eastAsia="Arial" w:cs="Arial"/>
          <w:b/>
          <w:bCs/>
          <w:szCs w:val="20"/>
          <w:lang w:val="sl-SI"/>
        </w:rPr>
      </w:pPr>
      <w:r>
        <w:rPr>
          <w:rFonts w:eastAsia="Arial" w:cs="Arial"/>
          <w:b/>
          <w:bCs/>
          <w:szCs w:val="20"/>
          <w:lang w:val="sl-SI"/>
        </w:rPr>
        <w:br w:type="page"/>
      </w:r>
    </w:p>
    <w:p w14:paraId="5C6D891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3.</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7132470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(varovan podatek</w:t>
      </w:r>
      <w:r w:rsidRPr="00151316">
        <w:rPr>
          <w:rFonts w:ascii="Arial" w:hAnsi="Arial" w:cs="Arial"/>
          <w:sz w:val="20"/>
          <w:szCs w:val="20"/>
          <w:lang w:val="it-IT"/>
        </w:rPr>
        <w:t xml:space="preserve"> </w:t>
      </w:r>
      <w:r w:rsidRPr="00151316">
        <w:rPr>
          <w:rFonts w:ascii="Arial" w:eastAsia="Arial" w:hAnsi="Arial" w:cs="Arial"/>
          <w:b/>
          <w:bCs/>
          <w:sz w:val="20"/>
          <w:szCs w:val="20"/>
          <w:lang w:val="sl-SI"/>
        </w:rPr>
        <w:t>pristojnega nacionalnega organa)</w:t>
      </w:r>
    </w:p>
    <w:p w14:paraId="30DB861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Varovani podatki pristojnega nacionalnega organa za informacijsko varnost so zlasti podatki:</w:t>
      </w:r>
    </w:p>
    <w:p w14:paraId="70B35919"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bookmarkStart w:id="137" w:name="_Hlk189827480"/>
      <w:r w:rsidRPr="00151316">
        <w:rPr>
          <w:rFonts w:ascii="Arial" w:eastAsia="Arial" w:hAnsi="Arial" w:cs="Arial"/>
          <w:sz w:val="20"/>
          <w:szCs w:val="20"/>
          <w:lang w:val="sl-SI"/>
        </w:rPr>
        <w:t>o ranljivostih ali stanju informacijskih sistemov in omrežij zavezancev ter njihova identiteta, ki ni</w:t>
      </w:r>
      <w:r>
        <w:rPr>
          <w:rFonts w:ascii="Arial" w:eastAsia="Arial" w:hAnsi="Arial" w:cs="Arial"/>
          <w:sz w:val="20"/>
          <w:szCs w:val="20"/>
          <w:lang w:val="sl-SI"/>
        </w:rPr>
        <w:t>so</w:t>
      </w:r>
      <w:r w:rsidRPr="00151316">
        <w:rPr>
          <w:rFonts w:ascii="Arial" w:eastAsia="Arial" w:hAnsi="Arial" w:cs="Arial"/>
          <w:sz w:val="20"/>
          <w:szCs w:val="20"/>
          <w:lang w:val="sl-SI"/>
        </w:rPr>
        <w:t xml:space="preserve"> tajn</w:t>
      </w:r>
      <w:r>
        <w:rPr>
          <w:rFonts w:ascii="Arial" w:eastAsia="Arial" w:hAnsi="Arial" w:cs="Arial"/>
          <w:sz w:val="20"/>
          <w:szCs w:val="20"/>
          <w:lang w:val="sl-SI"/>
        </w:rPr>
        <w:t>i</w:t>
      </w:r>
      <w:r w:rsidRPr="00151316">
        <w:rPr>
          <w:rFonts w:ascii="Arial" w:eastAsia="Arial" w:hAnsi="Arial" w:cs="Arial"/>
          <w:sz w:val="20"/>
          <w:szCs w:val="20"/>
          <w:lang w:val="sl-SI"/>
        </w:rPr>
        <w:t xml:space="preserve"> ali poslovna skrivnost, </w:t>
      </w:r>
      <w:r>
        <w:rPr>
          <w:rFonts w:ascii="Arial" w:eastAsia="Arial" w:hAnsi="Arial" w:cs="Arial"/>
          <w:sz w:val="20"/>
          <w:szCs w:val="20"/>
          <w:lang w:val="sl-SI"/>
        </w:rPr>
        <w:t>njihovo</w:t>
      </w:r>
      <w:r w:rsidRPr="00151316">
        <w:rPr>
          <w:rFonts w:ascii="Arial" w:eastAsia="Arial" w:hAnsi="Arial" w:cs="Arial"/>
          <w:sz w:val="20"/>
          <w:szCs w:val="20"/>
          <w:lang w:val="sl-SI"/>
        </w:rPr>
        <w:t xml:space="preserve"> razkritje nepoklicanim osebam pa bi lahko povzročilo motnje pri delovanju in izvajanju nalog pristojnemu nacionalnemu organu, oziroma bi lahko škodovalo zavezancem</w:t>
      </w:r>
      <w:bookmarkEnd w:id="137"/>
      <w:r w:rsidRPr="00151316">
        <w:rPr>
          <w:rFonts w:ascii="Arial" w:eastAsia="Arial" w:hAnsi="Arial" w:cs="Arial"/>
          <w:sz w:val="20"/>
          <w:szCs w:val="20"/>
          <w:lang w:val="sl-SI"/>
        </w:rPr>
        <w:t>;</w:t>
      </w:r>
    </w:p>
    <w:p w14:paraId="2B6DF7E3"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seznam bistvenih in pomembnih subjektov ter subjektov, ki opravljajo storitve registracije domenskih imen, ki ga v skladu s četrtim odstavkom 8. člena ZInfV-1 vzpostavi in po potrebi posodobi pristojni nacionalni organ;</w:t>
      </w:r>
    </w:p>
    <w:p w14:paraId="34CB9735"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seznam omrežnih in informacijskih sistemov, delov omrežja in digitalnih oziroma elektronskih komunikacijskih storitev zavezancev, nujnih za nemoteno delovanje države ali za zagotavljanje nacionalne varnosti;</w:t>
      </w:r>
    </w:p>
    <w:p w14:paraId="01749AA2"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ki jih pristojni nacionalni organ za informacijsko varnost zbira in obdeluje v svojih evidencah;</w:t>
      </w:r>
    </w:p>
    <w:p w14:paraId="715CEC2D"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 xml:space="preserve">o posameznikih iz 40. člena Zakona o informacijski varnosti </w:t>
      </w:r>
      <w:r w:rsidRPr="00810D0D">
        <w:rPr>
          <w:rFonts w:ascii="Arial" w:eastAsia="Arial" w:hAnsi="Arial" w:cs="Arial"/>
          <w:sz w:val="20"/>
          <w:szCs w:val="20"/>
          <w:lang w:val="sl-SI"/>
        </w:rPr>
        <w:t>(</w:t>
      </w:r>
      <w:r w:rsidRPr="00810D0D">
        <w:rPr>
          <w:rFonts w:ascii="Arial" w:eastAsia="Arial" w:hAnsi="Arial"/>
          <w:sz w:val="20"/>
          <w:lang w:val="sl-SI"/>
        </w:rPr>
        <w:t>Uradni list RS, št</w:t>
      </w:r>
      <w:r w:rsidRPr="00810D0D">
        <w:rPr>
          <w:rFonts w:ascii="Arial" w:eastAsia="Arial" w:hAnsi="Arial" w:cs="Arial"/>
          <w:sz w:val="20"/>
          <w:szCs w:val="20"/>
          <w:lang w:val="sl-SI"/>
        </w:rPr>
        <w:t>.),</w:t>
      </w:r>
      <w:r w:rsidRPr="00151316">
        <w:rPr>
          <w:rFonts w:ascii="Arial" w:eastAsia="Arial" w:hAnsi="Arial" w:cs="Arial"/>
          <w:sz w:val="20"/>
          <w:szCs w:val="20"/>
          <w:lang w:val="sl-SI"/>
        </w:rPr>
        <w:t xml:space="preserve"> ki sodelujejo pri kibernetski obrambi;</w:t>
      </w:r>
    </w:p>
    <w:p w14:paraId="14DD6473"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 specifičnih ukrepih, metodah, tehnikah in sredstvih, ki jih pristojni nacionalni organ uporablja za opravljanje njenih nalog;</w:t>
      </w:r>
    </w:p>
    <w:p w14:paraId="0C635697" w14:textId="77777777" w:rsidR="00024ADD" w:rsidRPr="00151316" w:rsidRDefault="00024ADD" w:rsidP="001D3CA4">
      <w:pPr>
        <w:pStyle w:val="zamik"/>
        <w:numPr>
          <w:ilvl w:val="1"/>
          <w:numId w:val="32"/>
        </w:numPr>
        <w:pBdr>
          <w:top w:val="none" w:sz="0" w:space="12" w:color="auto"/>
        </w:pBd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 dokumentih pristojnega nacionalnega organa, iz katerih je mogoče ugotoviti taktiko in metodiko dela pristojnega nacionalnega organa ali bi njihovo razkritje lahko otežilo ali onemogočilo izvajanje nalog pristojnega nacionalnega organa.</w:t>
      </w:r>
    </w:p>
    <w:p w14:paraId="59FD84EB"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Obdelavo varovanih podatkov pristojnega nacionalnega organa morajo spremljati varnostni ukrepi in postopki, določeni s to uredbo.</w:t>
      </w:r>
    </w:p>
    <w:p w14:paraId="6DE10FB3"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II.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POOBLASTILA</w:t>
      </w:r>
    </w:p>
    <w:p w14:paraId="6E24282E"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7C266B1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68E821DB"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(oseba, odgovorna za evidenco)</w:t>
      </w:r>
    </w:p>
    <w:p w14:paraId="2C67C52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Direktor pristojnega nacionalnega organa na predlog vodje notranje organizacijske enote pristojnega nacionalnega organa, ki je upravljavec evidence, določi osebo, odgovorno za izvajanje postopkov in ukrepov za zavarovanje osebnih podatkov v posamezni evidenci.</w:t>
      </w:r>
    </w:p>
    <w:p w14:paraId="2403F11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Oseba, odgovorna za posamezno evidenco, skrbi tudi za točnost podatkov v pripadajoči evidenci dejavnosti obdelav osebnih podatkov.</w:t>
      </w:r>
    </w:p>
    <w:p w14:paraId="4643E8F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Uslužbenci pristojnega nacionalnega organa, ki v skladu s svojimi delovnimi nalogami obdelujejo osebne podatke v evidencah pristojnega nacionalnega organa, skrbijo, da so osebni podatki v evidencah pristojnega nacionalnega organa skladni z ugotovitvami, </w:t>
      </w:r>
      <w:r w:rsidRPr="00151316">
        <w:rPr>
          <w:rFonts w:ascii="Arial" w:eastAsia="Arial" w:hAnsi="Arial" w:cs="Arial"/>
          <w:sz w:val="20"/>
          <w:szCs w:val="20"/>
          <w:lang w:val="sl-SI"/>
        </w:rPr>
        <w:lastRenderedPageBreak/>
        <w:t>informacijami in podatki, zbranimi pri opravljanju nalog pristojnega nacionalnega organa, in tako čim bolj točni, popolni, posodobljeni in zanesljivi, ter da jih popravijo, dopolnijo, uničijo ali blokirajo, ko izvedo, da je to potrebno.</w:t>
      </w:r>
    </w:p>
    <w:p w14:paraId="364D837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Pri zagotavljanju pravilnosti in skladnosti podatkov v evidencah pristojnega nacionalnega organa uslužbencem pristojnega nacionalnega organa strokovno pomoč </w:t>
      </w:r>
      <w:r>
        <w:rPr>
          <w:rFonts w:ascii="Arial" w:eastAsia="Arial" w:hAnsi="Arial" w:cs="Arial"/>
          <w:sz w:val="20"/>
          <w:szCs w:val="20"/>
          <w:lang w:val="sl-SI"/>
        </w:rPr>
        <w:t xml:space="preserve">zagotavljajo </w:t>
      </w:r>
      <w:r w:rsidRPr="00151316">
        <w:rPr>
          <w:rFonts w:ascii="Arial" w:eastAsia="Arial" w:hAnsi="Arial" w:cs="Arial"/>
          <w:sz w:val="20"/>
          <w:szCs w:val="20"/>
          <w:lang w:val="sl-SI"/>
        </w:rPr>
        <w:t>osebe, odgovorne za posamezno evidenco.</w:t>
      </w:r>
    </w:p>
    <w:p w14:paraId="56B8E1A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5.</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DB61F8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(skrbnik evidenc dejavnosti obdelave)</w:t>
      </w:r>
    </w:p>
    <w:p w14:paraId="1EE3958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Direktor pristojnega nacionalnega organa določi skrbnika, ki skrbi za vzdrževanje evidenc dejavnosti obdelave v skladu s predpisi.</w:t>
      </w:r>
    </w:p>
    <w:p w14:paraId="1BEBDA3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6.</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2206EF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(pooblaščenec za varstvo osebnih podatkov)</w:t>
      </w:r>
    </w:p>
    <w:p w14:paraId="714CD50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Direktor pristojnega nacionalnega organa določi pooblaščenca in namestnika pooblaščenca za varstvo osebnih podatkov.</w:t>
      </w:r>
    </w:p>
    <w:p w14:paraId="2B95B10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 xml:space="preserve">(2) Pooblaščencu in namestniku pooblaščenca iz prejšnjega odstavka pri delu strokovno pomoč </w:t>
      </w:r>
      <w:r>
        <w:rPr>
          <w:rFonts w:ascii="Arial" w:eastAsia="Arial" w:hAnsi="Arial" w:cs="Arial"/>
          <w:sz w:val="20"/>
          <w:szCs w:val="20"/>
          <w:lang w:val="sl-SI"/>
        </w:rPr>
        <w:t xml:space="preserve">zagotavljajo </w:t>
      </w:r>
      <w:r w:rsidRPr="00151316">
        <w:rPr>
          <w:rFonts w:ascii="Arial" w:eastAsia="Arial" w:hAnsi="Arial" w:cs="Arial"/>
          <w:sz w:val="20"/>
          <w:szCs w:val="20"/>
          <w:lang w:val="sl-SI"/>
        </w:rPr>
        <w:t>odgovorne osebe iz 4. člena te uredbe.</w:t>
      </w:r>
    </w:p>
    <w:p w14:paraId="28B5560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7.</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FB10C8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(glavni skrbnik varnostnih profilov)</w:t>
      </w:r>
    </w:p>
    <w:p w14:paraId="563A584E"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Direktor pristojnega nacionalnega organa za upravljanje z varnostnimi profili pooblasti uslužbenca urada (v nadaljnjem besedilu: glavni skrbnik varnostnih profilov).</w:t>
      </w:r>
    </w:p>
    <w:p w14:paraId="175A8A32"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Varnostni profil dodeli glavni skrbnik varnostnih profilov ali uslužbenec pristojnega nacionalnega organa, ki ga določi glavni skrbnik varnostnih profilov. Postopek se izvede pisno ali z ustrezno programsko opremo, ki omogoča sledljivost postopka.</w:t>
      </w:r>
    </w:p>
    <w:p w14:paraId="07745C2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8</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16013D82"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(vodja informacijske varnosti)</w:t>
      </w:r>
    </w:p>
    <w:p w14:paraId="48A1742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Za izvajanje predpisov o varovanju podatkov pristojnega nacionalnega organa v ISP je odgovoren vodja informacijske varnosti. Njegove naloge so:</w:t>
      </w:r>
    </w:p>
    <w:p w14:paraId="74F2B4EA"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nadzor stanja na področju varovanja podatkov v ISP;</w:t>
      </w:r>
    </w:p>
    <w:p w14:paraId="1E137BA8"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nadzor izvajanja varnostnih ukrepov pri varovanju podatkov;</w:t>
      </w:r>
    </w:p>
    <w:p w14:paraId="6C7B9F3D"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odrejanje ukrepov za zagotavljanje varnosti podatkov v ISP;</w:t>
      </w:r>
    </w:p>
    <w:p w14:paraId="5D98E4BD"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vodenje razvida informacijskih varnostnih dogodkov;</w:t>
      </w:r>
    </w:p>
    <w:p w14:paraId="4D8C10FC"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lastRenderedPageBreak/>
        <w:t>vodenje seznamov pooblastil za samostojen vstop v prostore ISP, v katerih so nameščene ključne sestavine ISP;</w:t>
      </w:r>
    </w:p>
    <w:p w14:paraId="117463B9" w14:textId="77777777" w:rsidR="00024ADD" w:rsidRPr="00151316" w:rsidRDefault="00024ADD" w:rsidP="001D3CA4">
      <w:pPr>
        <w:pStyle w:val="zamik"/>
        <w:numPr>
          <w:ilvl w:val="1"/>
          <w:numId w:val="31"/>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druge naloge v zvezi z varovanjem ISP.</w:t>
      </w:r>
    </w:p>
    <w:p w14:paraId="39227152"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Razvid gesel oziroma osebnih šifer, ki niso sestavni del osrednjega sistema kontrole in evidentiranja dostopa do varovanih podatkov pristojnega nacionalnega organa in drugih virov ISP, </w:t>
      </w:r>
      <w:r>
        <w:rPr>
          <w:rFonts w:ascii="Arial" w:eastAsia="Arial" w:hAnsi="Arial" w:cs="Arial"/>
          <w:sz w:val="20"/>
          <w:szCs w:val="20"/>
          <w:lang w:val="sl-SI"/>
        </w:rPr>
        <w:t>j</w:t>
      </w:r>
      <w:r w:rsidRPr="00151316">
        <w:rPr>
          <w:rFonts w:ascii="Arial" w:eastAsia="Arial" w:hAnsi="Arial" w:cs="Arial"/>
          <w:sz w:val="20"/>
          <w:szCs w:val="20"/>
          <w:lang w:val="sl-SI"/>
        </w:rPr>
        <w:t>e v kovinski omari, ki je tehnično varovana, ali v zaklenjeni ter zapečateni kovinski blagajni s šifro.</w:t>
      </w:r>
    </w:p>
    <w:p w14:paraId="79622AB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9</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60D4C6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(skrbnik kriptografske opreme)</w:t>
      </w:r>
    </w:p>
    <w:p w14:paraId="0737EB00"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Direktor pristojnega nacionalnega organa določi skrbnika kriptografske opreme, ki je odgovoren za upravljanje s kriptografsko opremo ter za pravilno obdelovanje in hranjenje kriptografskega materiala.</w:t>
      </w:r>
    </w:p>
    <w:p w14:paraId="073F169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K</w:t>
      </w:r>
      <w:r w:rsidRPr="00151316">
        <w:rPr>
          <w:rFonts w:ascii="Arial" w:eastAsia="Arial" w:hAnsi="Arial" w:cs="Arial"/>
          <w:sz w:val="20"/>
          <w:szCs w:val="20"/>
          <w:lang w:val="sl-SI"/>
        </w:rPr>
        <w:t>riptografsko opremo smejo upravljati le za to usposobljeni uslužbenci pristojnega nacionalnega organa.</w:t>
      </w:r>
    </w:p>
    <w:p w14:paraId="1A52BCE2"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0</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7324E0A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(pristojnost enote, pristojne za zaščito podatkov)</w:t>
      </w:r>
    </w:p>
    <w:p w14:paraId="68CB2322"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Notranja organizacijska enota, pristojna za zaščito podatkov, je v skladu s to uredbo pristojna za:</w:t>
      </w:r>
    </w:p>
    <w:p w14:paraId="540FBFAB"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pripravo informacijske varnostne politike;</w:t>
      </w:r>
    </w:p>
    <w:p w14:paraId="7B38E7AC"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izdelavo načrtov varovanja, ocen varnostnih tveganj in varnostnih navodil v ISP;</w:t>
      </w:r>
    </w:p>
    <w:p w14:paraId="511CA88B"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določanje standardov za informacijsko in komunikacijsko opremo, namenjeno varovanju in zaščiti podatkov v ISP;</w:t>
      </w:r>
    </w:p>
    <w:p w14:paraId="537ACE76"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izvajanje nadzora dostopov do ISP;</w:t>
      </w:r>
    </w:p>
    <w:p w14:paraId="294F6946"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upravljanje s sistemom kontrole in evidentiranja dostopa do podatkov in drugih virov ISP;</w:t>
      </w:r>
    </w:p>
    <w:p w14:paraId="66866530"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upravljanje z dnevnikom obdelave (v nadaljnjem besedilu: upravljavec dnevnika obdelave);</w:t>
      </w:r>
    </w:p>
    <w:p w14:paraId="4CE4DC92"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upravljanje z razvidom uporabnikov ISP, iz katerega morajo biti razvidne pravice uporabnika ISP, ki dostopa do posameznih podatkov;</w:t>
      </w:r>
    </w:p>
    <w:p w14:paraId="02EEA9BB"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potrjevanje povezovanja prek namenskih povezovalnih točk v ISP;</w:t>
      </w:r>
    </w:p>
    <w:p w14:paraId="18F21280"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upravljanje z varnostnimi mehanizmi in varnostnimi pregradami ISP;</w:t>
      </w:r>
    </w:p>
    <w:p w14:paraId="19BC6862"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določanje načinov neposredne povezave in varovanje te povezave;</w:t>
      </w:r>
    </w:p>
    <w:p w14:paraId="6BFD44B3"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odobritev uporabe kriptografske opreme;</w:t>
      </w:r>
    </w:p>
    <w:p w14:paraId="6E4183B5"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lastRenderedPageBreak/>
        <w:t>pripravo in organizacijo izvajanja ozaveščanja o varni uporabi informacijske tehnologije;</w:t>
      </w:r>
    </w:p>
    <w:p w14:paraId="62669A2F"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upravljanje s kibernetskimi varnostnimi incidenti;</w:t>
      </w:r>
    </w:p>
    <w:p w14:paraId="1535D86A" w14:textId="77777777" w:rsidR="00024ADD" w:rsidRPr="00151316" w:rsidRDefault="00024ADD" w:rsidP="001D3CA4">
      <w:pPr>
        <w:pStyle w:val="zamik"/>
        <w:numPr>
          <w:ilvl w:val="1"/>
          <w:numId w:val="30"/>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druge naloge v zvezi z zaščito podatkov p</w:t>
      </w:r>
      <w:r>
        <w:rPr>
          <w:rFonts w:ascii="Arial" w:eastAsia="Arial" w:hAnsi="Arial" w:cs="Arial"/>
          <w:sz w:val="20"/>
          <w:szCs w:val="20"/>
          <w:lang w:val="sl-SI"/>
        </w:rPr>
        <w:t>ristojnega nacionalnega organa</w:t>
      </w:r>
      <w:r w:rsidRPr="00151316">
        <w:rPr>
          <w:rFonts w:ascii="Arial" w:eastAsia="Arial" w:hAnsi="Arial" w:cs="Arial"/>
          <w:sz w:val="20"/>
          <w:szCs w:val="20"/>
          <w:lang w:val="sl-SI"/>
        </w:rPr>
        <w:t>.</w:t>
      </w:r>
    </w:p>
    <w:p w14:paraId="4DBC1E1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Notranja organizacijska enota, pristojna za zaščito podatkov, vodi razvid oseb, pristojnih za izvajanje nalog iz 4., </w:t>
      </w:r>
      <w:r>
        <w:rPr>
          <w:rFonts w:ascii="Arial" w:eastAsia="Arial" w:hAnsi="Arial" w:cs="Arial"/>
          <w:sz w:val="20"/>
          <w:szCs w:val="20"/>
          <w:lang w:val="sl-SI"/>
        </w:rPr>
        <w:t>7</w:t>
      </w:r>
      <w:r w:rsidRPr="00151316">
        <w:rPr>
          <w:rFonts w:ascii="Arial" w:eastAsia="Arial" w:hAnsi="Arial" w:cs="Arial"/>
          <w:sz w:val="20"/>
          <w:szCs w:val="20"/>
          <w:lang w:val="sl-SI"/>
        </w:rPr>
        <w:t xml:space="preserve">., </w:t>
      </w:r>
      <w:r>
        <w:rPr>
          <w:rFonts w:ascii="Arial" w:eastAsia="Arial" w:hAnsi="Arial" w:cs="Arial"/>
          <w:sz w:val="20"/>
          <w:szCs w:val="20"/>
          <w:lang w:val="sl-SI"/>
        </w:rPr>
        <w:t>8</w:t>
      </w:r>
      <w:r w:rsidRPr="00151316">
        <w:rPr>
          <w:rFonts w:ascii="Arial" w:eastAsia="Arial" w:hAnsi="Arial" w:cs="Arial"/>
          <w:sz w:val="20"/>
          <w:szCs w:val="20"/>
          <w:lang w:val="sl-SI"/>
        </w:rPr>
        <w:t xml:space="preserve">. in </w:t>
      </w:r>
      <w:r>
        <w:rPr>
          <w:rFonts w:ascii="Arial" w:eastAsia="Arial" w:hAnsi="Arial" w:cs="Arial"/>
          <w:sz w:val="20"/>
          <w:szCs w:val="20"/>
          <w:lang w:val="sl-SI"/>
        </w:rPr>
        <w:t>9</w:t>
      </w:r>
      <w:r w:rsidRPr="00151316">
        <w:rPr>
          <w:rFonts w:ascii="Arial" w:eastAsia="Arial" w:hAnsi="Arial" w:cs="Arial"/>
          <w:sz w:val="20"/>
          <w:szCs w:val="20"/>
          <w:lang w:val="sl-SI"/>
        </w:rPr>
        <w:t xml:space="preserve">. člena te uredbe. Razvid vsebuje podatke o osebnem imenu uslužbenca </w:t>
      </w:r>
      <w:r>
        <w:rPr>
          <w:rFonts w:ascii="Arial" w:eastAsia="Arial" w:hAnsi="Arial" w:cs="Arial"/>
          <w:sz w:val="20"/>
          <w:szCs w:val="20"/>
          <w:lang w:val="sl-SI"/>
        </w:rPr>
        <w:t>pristojnega nacionalnega organa</w:t>
      </w:r>
      <w:r w:rsidRPr="00151316">
        <w:rPr>
          <w:rFonts w:ascii="Arial" w:eastAsia="Arial" w:hAnsi="Arial" w:cs="Arial"/>
          <w:sz w:val="20"/>
          <w:szCs w:val="20"/>
          <w:lang w:val="sl-SI"/>
        </w:rPr>
        <w:t>, notranji organizacijski enoti, v kateri je zaposlen, in pristojnosti oziroma nalogi.</w:t>
      </w:r>
    </w:p>
    <w:p w14:paraId="44DB526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1</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2CF5823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(posegi v ISP)</w:t>
      </w:r>
    </w:p>
    <w:p w14:paraId="6191BD1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Notranja organizacijska enota, pristojna za vzdrževanje ISP, mora pred vsakim posegom, ki spreminja arhitekturo ISP, pridobiti pisno mnenje notranje organizacijske enote, pristojne za zaščito podatkov.</w:t>
      </w:r>
    </w:p>
    <w:p w14:paraId="2F10FDC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2</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9E4283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(oprema, vgrajena v ISP)</w:t>
      </w:r>
    </w:p>
    <w:p w14:paraId="00E68711" w14:textId="396373C1"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sidR="001D3CA4">
        <w:rPr>
          <w:rFonts w:ascii="Arial" w:eastAsia="Arial" w:hAnsi="Arial" w:cs="Arial"/>
          <w:sz w:val="20"/>
          <w:szCs w:val="20"/>
          <w:lang w:val="sl-SI"/>
        </w:rPr>
        <w:t xml:space="preserve"> </w:t>
      </w:r>
      <w:r w:rsidRPr="00151316">
        <w:rPr>
          <w:rFonts w:ascii="Arial" w:eastAsia="Arial" w:hAnsi="Arial" w:cs="Arial"/>
          <w:sz w:val="20"/>
          <w:szCs w:val="20"/>
          <w:lang w:val="sl-SI"/>
        </w:rPr>
        <w:t>Informacijska in komunikacijska oprema, ki je vgrajena v ISP, mora biti skladu s standardi, ki jih določi direktor pristojnega nacionalnega urada.</w:t>
      </w:r>
    </w:p>
    <w:p w14:paraId="26D8518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 Informacijska in komunikacijska oprema mora biti praviloma v lasti pristojnega nacionalnega organa. Če oprema ni v lasti pristojnega nacionalnega organa, se lahko uporablja le ob predhodnem soglasju notranje organizacijske enote, pristojne za vzdrževanje ISP, in notranje organizacijske enote za zaščito podatkov.</w:t>
      </w:r>
    </w:p>
    <w:p w14:paraId="53BD2E7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Kdo sme vgrajevati, vzdrževati in odstranjevati strojno opremo v ISP, določi notranja organizacijska enota, pristojna za vzdrževanje ISP, v soglasju z notranjo organizacijsko enoto, pristojno za zaščito podatkov.</w:t>
      </w:r>
    </w:p>
    <w:p w14:paraId="1BAB8E7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 Informacijsko in komunikacijsko opremo pristojnega nacionalnega organa smejo uporabljati le uporabniki ISP in osebe iz 2</w:t>
      </w:r>
      <w:r>
        <w:rPr>
          <w:rFonts w:ascii="Arial" w:eastAsia="Arial" w:hAnsi="Arial" w:cs="Arial"/>
          <w:sz w:val="20"/>
          <w:szCs w:val="20"/>
          <w:lang w:val="sl-SI"/>
        </w:rPr>
        <w:t>2</w:t>
      </w:r>
      <w:r w:rsidRPr="00151316">
        <w:rPr>
          <w:rFonts w:ascii="Arial" w:eastAsia="Arial" w:hAnsi="Arial" w:cs="Arial"/>
          <w:sz w:val="20"/>
          <w:szCs w:val="20"/>
          <w:lang w:val="sl-SI"/>
        </w:rPr>
        <w:t>.</w:t>
      </w:r>
      <w:r>
        <w:rPr>
          <w:rFonts w:ascii="Arial" w:eastAsia="Arial" w:hAnsi="Arial" w:cs="Arial"/>
          <w:sz w:val="20"/>
          <w:szCs w:val="20"/>
          <w:lang w:val="sl-SI"/>
        </w:rPr>
        <w:t xml:space="preserve"> </w:t>
      </w:r>
      <w:r w:rsidRPr="00151316">
        <w:rPr>
          <w:rFonts w:ascii="Arial" w:eastAsia="Arial" w:hAnsi="Arial" w:cs="Arial"/>
          <w:sz w:val="20"/>
          <w:szCs w:val="20"/>
          <w:lang w:val="sl-SI"/>
        </w:rPr>
        <w:t>člena te uredbe.</w:t>
      </w:r>
    </w:p>
    <w:p w14:paraId="1F8437B4"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(5)</w:t>
      </w:r>
      <w:r>
        <w:rPr>
          <w:rFonts w:ascii="Arial" w:eastAsia="Arial" w:hAnsi="Arial" w:cs="Arial"/>
          <w:sz w:val="20"/>
          <w:szCs w:val="20"/>
          <w:lang w:val="sl-SI"/>
        </w:rPr>
        <w:t xml:space="preserve"> </w:t>
      </w:r>
      <w:r w:rsidRPr="00151316">
        <w:rPr>
          <w:rFonts w:ascii="Arial" w:eastAsia="Arial" w:hAnsi="Arial" w:cs="Arial"/>
          <w:sz w:val="20"/>
          <w:szCs w:val="20"/>
          <w:lang w:val="sl-SI"/>
        </w:rPr>
        <w:t>Notranja organizacijska enota, pristojna za vzdrževanje ISP, sme onemogočiti dostop do ISP uporabniku, za katerega notranja organizacijska enota za zaščito podatkov oceni, da ne ravna v skladu z določbami te uredbe.</w:t>
      </w:r>
    </w:p>
    <w:p w14:paraId="2E59C62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3</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č</w:t>
      </w:r>
      <w:r w:rsidRPr="00151316">
        <w:rPr>
          <w:rFonts w:ascii="Arial" w:eastAsia="Arial" w:hAnsi="Arial" w:cs="Arial"/>
          <w:b/>
          <w:bCs/>
          <w:sz w:val="20"/>
          <w:szCs w:val="20"/>
          <w:lang w:val="sl-SI"/>
        </w:rPr>
        <w:t>len</w:t>
      </w:r>
    </w:p>
    <w:p w14:paraId="45130D1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(usposabljanje)</w:t>
      </w:r>
    </w:p>
    <w:p w14:paraId="7547966C" w14:textId="3B281F32" w:rsidR="001D3CA4" w:rsidRDefault="00024ADD" w:rsidP="001D3CA4">
      <w:pPr>
        <w:pStyle w:val="zamik"/>
        <w:pBdr>
          <w:top w:val="none" w:sz="0" w:space="12" w:color="auto"/>
        </w:pBdr>
        <w:spacing w:before="210" w:after="210"/>
        <w:jc w:val="both"/>
        <w:rPr>
          <w:rFonts w:eastAsia="Arial" w:cs="Arial"/>
          <w:b/>
          <w:bCs/>
          <w:szCs w:val="20"/>
          <w:lang w:val="sl-SI"/>
        </w:rPr>
      </w:pPr>
      <w:r w:rsidRPr="00151316">
        <w:rPr>
          <w:rFonts w:ascii="Arial" w:eastAsia="Arial" w:hAnsi="Arial" w:cs="Arial"/>
          <w:sz w:val="20"/>
          <w:szCs w:val="20"/>
          <w:lang w:val="sl-SI"/>
        </w:rPr>
        <w:t>Uporabniki ISP morajo biti za delo v ISP predhodno usposobljeni. Vsak uporabnik ISP mora enkrat letno opraviti usposabljanje o informacijski varnostni politiki v pristojnem nacionalnem organu. Njihovo usposabljanje zagotovi pristojna notranja organizacijska enota, ki skrbi za usposabljanje in izobraževanje.</w:t>
      </w:r>
    </w:p>
    <w:p w14:paraId="417B84DB" w14:textId="375C9186"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1</w:t>
      </w:r>
      <w:r>
        <w:rPr>
          <w:rFonts w:ascii="Arial" w:eastAsia="Arial" w:hAnsi="Arial" w:cs="Arial"/>
          <w:b/>
          <w:bCs/>
          <w:sz w:val="20"/>
          <w:szCs w:val="20"/>
          <w:lang w:val="sl-SI"/>
        </w:rPr>
        <w:t>4</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AA48E0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(navodila)</w:t>
      </w:r>
    </w:p>
    <w:p w14:paraId="55E8FBBB"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Na predlog upravljavca evidence direktor pristojnega nacionalnega organa izda strokovna navodila za vodenje evidence. Tehnični skrbnik ISP naj</w:t>
      </w:r>
      <w:r>
        <w:rPr>
          <w:rFonts w:ascii="Arial" w:eastAsia="Arial" w:hAnsi="Arial" w:cs="Arial"/>
          <w:sz w:val="20"/>
          <w:szCs w:val="20"/>
          <w:lang w:val="sl-SI"/>
        </w:rPr>
        <w:t>poz</w:t>
      </w:r>
      <w:r w:rsidRPr="00151316">
        <w:rPr>
          <w:rFonts w:ascii="Arial" w:eastAsia="Arial" w:hAnsi="Arial" w:cs="Arial"/>
          <w:sz w:val="20"/>
          <w:szCs w:val="20"/>
          <w:lang w:val="sl-SI"/>
        </w:rPr>
        <w:t>neje ob vzpostavitvi evidence izda tehnična navodila za uporabo računalniške aplikacije.</w:t>
      </w:r>
    </w:p>
    <w:p w14:paraId="660E0B5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5</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3D5598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(napake)</w:t>
      </w:r>
    </w:p>
    <w:p w14:paraId="6AD94D5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Vsako okvaro oziroma izpad strojne ali programske opreme, ki zahteva poseg usposobljenega vzdrževalca, je treba takoj javiti pristojni notranji organizacijski enoti, ki v skladu s predpisanim režimom vzdrževanja odloči, kako se bo okvara odpravila.</w:t>
      </w:r>
    </w:p>
    <w:p w14:paraId="2D79CC2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6</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499558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(varnostne kopije)</w:t>
      </w:r>
    </w:p>
    <w:p w14:paraId="7972C45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V skladu z oceno varnostnih tveganj ISP pristojna notranja organizacijska enota izvaja varnostno kopiranje programske opreme in podatkov, vključenih v ISP, prek avtomatiziranega in centraliziranega sistema za izdelavo varnostnih kopij, ki deluje v skladu z ustreznimi mednarodnimi varnostnimi standardi.</w:t>
      </w:r>
    </w:p>
    <w:p w14:paraId="42E3A642"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Pr>
          <w:rFonts w:ascii="Arial" w:eastAsia="Arial" w:hAnsi="Arial" w:cs="Arial"/>
          <w:caps/>
          <w:sz w:val="20"/>
          <w:szCs w:val="20"/>
          <w:lang w:val="sl-SI"/>
        </w:rPr>
        <w:t xml:space="preserve">III. </w:t>
      </w:r>
      <w:r w:rsidRPr="00151316">
        <w:rPr>
          <w:rFonts w:ascii="Arial" w:eastAsia="Arial" w:hAnsi="Arial" w:cs="Arial"/>
          <w:caps/>
          <w:sz w:val="20"/>
          <w:szCs w:val="20"/>
          <w:lang w:val="sl-SI"/>
        </w:rPr>
        <w:t>SPLOŠNI VARNOSTNI UKREPI</w:t>
      </w:r>
    </w:p>
    <w:p w14:paraId="326E0BAB"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p>
    <w:p w14:paraId="42C262DB"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1</w:t>
      </w:r>
      <w:r>
        <w:rPr>
          <w:rFonts w:ascii="Arial" w:eastAsia="Arial" w:hAnsi="Arial" w:cs="Arial"/>
          <w:b/>
          <w:bCs/>
          <w:sz w:val="20"/>
          <w:szCs w:val="20"/>
          <w:lang w:val="sl-SI"/>
        </w:rPr>
        <w:t>7</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6574D3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(varovanje ISP)</w:t>
      </w:r>
    </w:p>
    <w:p w14:paraId="4E391E47"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Ukrepi varovanja ISP morajo zagotavljati zaupnost, celovitost in razpoložljivost podatkov, ki se obdelujejo v ISP, ter celovitost in razpoložljivost ISP.</w:t>
      </w:r>
    </w:p>
    <w:p w14:paraId="004B5C9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V ISP se podatki varujejo zlasti z ukrepi in postopki, s katerimi se:</w:t>
      </w:r>
    </w:p>
    <w:p w14:paraId="662BDBAE" w14:textId="77777777" w:rsidR="00024ADD" w:rsidRPr="001D3CA4" w:rsidRDefault="00024ADD" w:rsidP="001D3CA4">
      <w:pPr>
        <w:pStyle w:val="zamik"/>
        <w:numPr>
          <w:ilvl w:val="1"/>
          <w:numId w:val="29"/>
        </w:numPr>
        <w:spacing w:before="210" w:after="210"/>
        <w:ind w:left="1134"/>
        <w:jc w:val="both"/>
        <w:rPr>
          <w:rFonts w:ascii="Arial" w:eastAsia="Arial" w:hAnsi="Arial" w:cs="Arial"/>
          <w:sz w:val="20"/>
          <w:szCs w:val="20"/>
          <w:lang w:val="sl-SI"/>
        </w:rPr>
      </w:pPr>
      <w:r w:rsidRPr="001D3CA4">
        <w:rPr>
          <w:rFonts w:ascii="Arial" w:eastAsia="Arial" w:hAnsi="Arial" w:cs="Arial"/>
          <w:sz w:val="20"/>
          <w:szCs w:val="20"/>
          <w:lang w:val="sl-SI"/>
        </w:rPr>
        <w:t>uporabnikom ISP dostop do podatkov omejuje na podatke, ki jih potrebujejo za izvajanje delovnih nalog, v skladu z njihovimi pooblastili;</w:t>
      </w:r>
    </w:p>
    <w:p w14:paraId="3B977F59" w14:textId="77777777" w:rsidR="00024ADD" w:rsidRPr="001D3CA4" w:rsidRDefault="00024ADD" w:rsidP="001D3CA4">
      <w:pPr>
        <w:pStyle w:val="zamik"/>
        <w:numPr>
          <w:ilvl w:val="1"/>
          <w:numId w:val="29"/>
        </w:numPr>
        <w:spacing w:before="210" w:after="210"/>
        <w:ind w:left="1134"/>
        <w:jc w:val="both"/>
        <w:rPr>
          <w:rFonts w:ascii="Arial" w:eastAsia="Arial" w:hAnsi="Arial" w:cs="Arial"/>
          <w:sz w:val="20"/>
          <w:szCs w:val="20"/>
          <w:lang w:val="sl-SI"/>
        </w:rPr>
      </w:pPr>
      <w:r w:rsidRPr="001D3CA4">
        <w:rPr>
          <w:rFonts w:ascii="Arial" w:eastAsia="Arial" w:hAnsi="Arial" w:cs="Arial"/>
          <w:sz w:val="20"/>
          <w:szCs w:val="20"/>
          <w:lang w:val="sl-SI"/>
        </w:rPr>
        <w:t>preprečuje razkritje podatkov nepoklicanim osebam;</w:t>
      </w:r>
    </w:p>
    <w:p w14:paraId="3DFD5917" w14:textId="77777777" w:rsidR="00024ADD" w:rsidRPr="001D3CA4" w:rsidRDefault="00024ADD" w:rsidP="001D3CA4">
      <w:pPr>
        <w:pStyle w:val="zamik"/>
        <w:numPr>
          <w:ilvl w:val="1"/>
          <w:numId w:val="29"/>
        </w:numPr>
        <w:spacing w:before="210" w:after="210"/>
        <w:ind w:left="1134"/>
        <w:jc w:val="both"/>
        <w:rPr>
          <w:rFonts w:ascii="Arial" w:eastAsia="Arial" w:hAnsi="Arial" w:cs="Arial"/>
          <w:sz w:val="20"/>
          <w:szCs w:val="20"/>
          <w:lang w:val="sl-SI"/>
        </w:rPr>
      </w:pPr>
      <w:r w:rsidRPr="001D3CA4">
        <w:rPr>
          <w:rFonts w:ascii="Arial" w:eastAsia="Arial" w:hAnsi="Arial" w:cs="Arial"/>
          <w:sz w:val="20"/>
          <w:szCs w:val="20"/>
          <w:lang w:val="sl-SI"/>
        </w:rPr>
        <w:t>preprečuje nepooblaščeno obdelavo podatkov;</w:t>
      </w:r>
    </w:p>
    <w:p w14:paraId="3B4FA671" w14:textId="77777777" w:rsidR="00024ADD" w:rsidRPr="001D3CA4" w:rsidRDefault="00024ADD" w:rsidP="001D3CA4">
      <w:pPr>
        <w:pStyle w:val="zamik"/>
        <w:numPr>
          <w:ilvl w:val="1"/>
          <w:numId w:val="29"/>
        </w:numPr>
        <w:spacing w:before="210" w:after="210"/>
        <w:ind w:left="1134"/>
        <w:jc w:val="both"/>
        <w:rPr>
          <w:rFonts w:ascii="Arial" w:eastAsia="Arial" w:hAnsi="Arial" w:cs="Arial"/>
          <w:sz w:val="20"/>
          <w:szCs w:val="20"/>
          <w:lang w:val="sl-SI"/>
        </w:rPr>
      </w:pPr>
      <w:r w:rsidRPr="001D3CA4">
        <w:rPr>
          <w:rFonts w:ascii="Arial" w:eastAsia="Arial" w:hAnsi="Arial" w:cs="Arial"/>
          <w:sz w:val="20"/>
          <w:szCs w:val="20"/>
          <w:lang w:val="sl-SI"/>
        </w:rPr>
        <w:t>omogoča poznejše ugotavljanje, kdaj so bili posamezni podatki obdelovani, komu so bili posredovani in kdo je podatke obdeloval oziroma posredoval;</w:t>
      </w:r>
    </w:p>
    <w:p w14:paraId="16EAFB7B" w14:textId="0D967C6F" w:rsidR="00024ADD" w:rsidRPr="001D3CA4" w:rsidRDefault="00024ADD" w:rsidP="001D3CA4">
      <w:pPr>
        <w:pStyle w:val="zamik"/>
        <w:numPr>
          <w:ilvl w:val="1"/>
          <w:numId w:val="29"/>
        </w:numPr>
        <w:spacing w:before="210" w:after="210"/>
        <w:ind w:left="1134"/>
        <w:jc w:val="both"/>
        <w:rPr>
          <w:rFonts w:ascii="Arial" w:eastAsia="Arial" w:hAnsi="Arial" w:cs="Arial"/>
          <w:sz w:val="20"/>
          <w:szCs w:val="20"/>
          <w:lang w:val="sl-SI"/>
        </w:rPr>
      </w:pPr>
      <w:r w:rsidRPr="001D3CA4">
        <w:rPr>
          <w:rFonts w:ascii="Arial" w:eastAsia="Arial" w:hAnsi="Arial" w:cs="Arial"/>
          <w:sz w:val="20"/>
          <w:szCs w:val="20"/>
          <w:lang w:val="sl-SI"/>
        </w:rPr>
        <w:t>omogoča usposabljanje in ozaveščanje uporabnikov ISP.</w:t>
      </w:r>
    </w:p>
    <w:p w14:paraId="4FBE5FD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1</w:t>
      </w:r>
      <w:r>
        <w:rPr>
          <w:rFonts w:ascii="Arial" w:eastAsia="Arial" w:hAnsi="Arial" w:cs="Arial"/>
          <w:b/>
          <w:bCs/>
          <w:sz w:val="20"/>
          <w:szCs w:val="20"/>
          <w:lang w:val="sl-SI"/>
        </w:rPr>
        <w:t>8</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56FCA3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(varovanje podatkov)</w:t>
      </w:r>
    </w:p>
    <w:p w14:paraId="3CAD9DA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Zaradi varovanja podatkov uslužbenci pristojnega nacionalnega organa, ki uporabljajo ISP, izvajajo predvsem naslednje splošne varnostne ukrepe:</w:t>
      </w:r>
    </w:p>
    <w:p w14:paraId="6B854124"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kadar zapuščajo svoje delovne prostore, morajo zakleniti pisalne mize, omare, blagajne in pisarne, v katerih hranijo varovane podatke;</w:t>
      </w:r>
    </w:p>
    <w:p w14:paraId="7220F47E"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dokumentov ali medijev z varovanimi podatki ne smejo puščati na odprtih površinah pisarniške opreme ali drugih mestih, kjer so dostopn</w:t>
      </w:r>
      <w:r>
        <w:rPr>
          <w:rFonts w:ascii="Arial" w:eastAsia="Arial" w:hAnsi="Arial" w:cs="Arial"/>
          <w:sz w:val="20"/>
          <w:szCs w:val="20"/>
          <w:lang w:val="sl-SI"/>
        </w:rPr>
        <w:t>i</w:t>
      </w:r>
      <w:r w:rsidRPr="00151316">
        <w:rPr>
          <w:rFonts w:ascii="Arial" w:eastAsia="Arial" w:hAnsi="Arial" w:cs="Arial"/>
          <w:sz w:val="20"/>
          <w:szCs w:val="20"/>
          <w:lang w:val="sl-SI"/>
        </w:rPr>
        <w:t xml:space="preserve"> nepoklicanim osebam;</w:t>
      </w:r>
    </w:p>
    <w:p w14:paraId="75506DB2"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navodila za uporabo računalniško vodenih evidenc morajo hraniti tako, da niso dostopna nepoklicanim osebam;</w:t>
      </w:r>
    </w:p>
    <w:p w14:paraId="298D4378"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dosledno morajo izvajati postopek prijave oziroma odjave s svojim osebnim geslom na začetku oziroma ob zaključku dostopa do varovanih podatkov;</w:t>
      </w:r>
    </w:p>
    <w:p w14:paraId="2B622B89"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terminali, delovne postaje ISP in druga oprema z zasloni, ki se uporablja za obdelavo podatkov, mora imeti zaslone nameščene tako, da je nepoklicanim osebam onemogočen pogled na podatke, če zaslona tako ni mogoče namestiti, pa mora biti ta v času prisotnosti nepoklicane osebe ugasnjen ali v fazi ohranjevalnika zaslona;</w:t>
      </w:r>
    </w:p>
    <w:p w14:paraId="702CF18C" w14:textId="77777777" w:rsidR="00024ADD" w:rsidRPr="00151316" w:rsidRDefault="00024ADD" w:rsidP="001D3CA4">
      <w:pPr>
        <w:pStyle w:val="zamik"/>
        <w:numPr>
          <w:ilvl w:val="1"/>
          <w:numId w:val="28"/>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po končani izdelavi dokumentov z varovanimi podatki morajo poskrbeti za uničenje pomožnega gradiva (poskusnih oziroma neuspešnih izpisov, matric, izračunov in grafikonov, skic ipd.), ki so ga uporabili oziroma ki je nastalo pri izdelavi dokumenta.</w:t>
      </w:r>
    </w:p>
    <w:p w14:paraId="073B6C5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19</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DB80F6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(ključne sestavine ISP)</w:t>
      </w:r>
    </w:p>
    <w:p w14:paraId="693405C2"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Ključne sestavine ISP morajo </w:t>
      </w:r>
      <w:r>
        <w:rPr>
          <w:rFonts w:ascii="Arial" w:eastAsia="Arial" w:hAnsi="Arial" w:cs="Arial"/>
          <w:sz w:val="20"/>
          <w:szCs w:val="20"/>
          <w:lang w:val="sl-SI"/>
        </w:rPr>
        <w:t>biti</w:t>
      </w:r>
      <w:r w:rsidRPr="00151316">
        <w:rPr>
          <w:rFonts w:ascii="Arial" w:eastAsia="Arial" w:hAnsi="Arial" w:cs="Arial"/>
          <w:sz w:val="20"/>
          <w:szCs w:val="20"/>
          <w:lang w:val="sl-SI"/>
        </w:rPr>
        <w:t xml:space="preserve"> v varovanem območju ali komunikacijski omari, ki izpolnjuje pogoje za varovano območje.</w:t>
      </w:r>
    </w:p>
    <w:p w14:paraId="0BCDE2C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Dovoljenje za samostojen vstop v prostor, v katerem so nameščene ključne sestavine ISP, izda direktor pristojnega nacionalnega organa.</w:t>
      </w:r>
    </w:p>
    <w:p w14:paraId="7481DD6F"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Druge osebe lahko v prostor, v katerem so nameščene ključne sestavine ISP, vstopajo le v spremstvu oseb iz prejšnjega odstavka.</w:t>
      </w:r>
    </w:p>
    <w:p w14:paraId="3518CFCE"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0</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13E8DBA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(varovanje opreme ISP)</w:t>
      </w:r>
    </w:p>
    <w:p w14:paraId="673EF93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 xml:space="preserve">Uslužbenci </w:t>
      </w:r>
      <w:bookmarkStart w:id="138" w:name="_Hlk189832133"/>
      <w:r w:rsidRPr="00151316">
        <w:rPr>
          <w:rFonts w:ascii="Arial" w:eastAsia="Arial" w:hAnsi="Arial" w:cs="Arial"/>
          <w:sz w:val="20"/>
          <w:szCs w:val="20"/>
          <w:lang w:val="sl-SI"/>
        </w:rPr>
        <w:t>pristojnega nacionalnega organa</w:t>
      </w:r>
      <w:bookmarkEnd w:id="138"/>
      <w:r w:rsidRPr="00151316">
        <w:rPr>
          <w:rFonts w:ascii="Arial" w:eastAsia="Arial" w:hAnsi="Arial" w:cs="Arial"/>
          <w:sz w:val="20"/>
          <w:szCs w:val="20"/>
          <w:lang w:val="sl-SI"/>
        </w:rPr>
        <w:t xml:space="preserve">, ki uporabljajo opremo ISP, s katero se obdelujejo varovani podatki pristojnega nacionalnega organa, morajo ravnati na način, ki onemogoča, da bi oprema prišla v roke nepoklicani osebi. Oprema ISP mora biti ves čas pod fizičnim nadzorom ali </w:t>
      </w:r>
      <w:r>
        <w:rPr>
          <w:rFonts w:ascii="Arial" w:eastAsia="Arial" w:hAnsi="Arial" w:cs="Arial"/>
          <w:sz w:val="20"/>
          <w:szCs w:val="20"/>
          <w:lang w:val="sl-SI"/>
        </w:rPr>
        <w:t>v</w:t>
      </w:r>
      <w:r w:rsidRPr="00151316">
        <w:rPr>
          <w:rFonts w:ascii="Arial" w:eastAsia="Arial" w:hAnsi="Arial" w:cs="Arial"/>
          <w:sz w:val="20"/>
          <w:szCs w:val="20"/>
          <w:lang w:val="sl-SI"/>
        </w:rPr>
        <w:t xml:space="preserve"> zaklenjene</w:t>
      </w:r>
      <w:r>
        <w:rPr>
          <w:rFonts w:ascii="Arial" w:eastAsia="Arial" w:hAnsi="Arial" w:cs="Arial"/>
          <w:sz w:val="20"/>
          <w:szCs w:val="20"/>
          <w:lang w:val="sl-SI"/>
        </w:rPr>
        <w:t>m</w:t>
      </w:r>
      <w:r w:rsidRPr="00151316">
        <w:rPr>
          <w:rFonts w:ascii="Arial" w:eastAsia="Arial" w:hAnsi="Arial" w:cs="Arial"/>
          <w:sz w:val="20"/>
          <w:szCs w:val="20"/>
          <w:lang w:val="sl-SI"/>
        </w:rPr>
        <w:t xml:space="preserve"> prostor</w:t>
      </w:r>
      <w:r>
        <w:rPr>
          <w:rFonts w:ascii="Arial" w:eastAsia="Arial" w:hAnsi="Arial" w:cs="Arial"/>
          <w:sz w:val="20"/>
          <w:szCs w:val="20"/>
          <w:lang w:val="sl-SI"/>
        </w:rPr>
        <w:t>u</w:t>
      </w:r>
      <w:r w:rsidRPr="00151316">
        <w:rPr>
          <w:rFonts w:ascii="Arial" w:eastAsia="Arial" w:hAnsi="Arial" w:cs="Arial"/>
          <w:sz w:val="20"/>
          <w:szCs w:val="20"/>
          <w:lang w:val="sl-SI"/>
        </w:rPr>
        <w:t xml:space="preserve">, da je preprečen nepooblaščen dostop in </w:t>
      </w:r>
      <w:r>
        <w:rPr>
          <w:rFonts w:ascii="Arial" w:eastAsia="Arial" w:hAnsi="Arial" w:cs="Arial"/>
          <w:sz w:val="20"/>
          <w:szCs w:val="20"/>
          <w:lang w:val="sl-SI"/>
        </w:rPr>
        <w:t xml:space="preserve">je </w:t>
      </w:r>
      <w:r w:rsidRPr="00151316">
        <w:rPr>
          <w:rFonts w:ascii="Arial" w:eastAsia="Arial" w:hAnsi="Arial" w:cs="Arial"/>
          <w:sz w:val="20"/>
          <w:szCs w:val="20"/>
          <w:lang w:val="sl-SI"/>
        </w:rPr>
        <w:t>zagotovljena varnost opreme.</w:t>
      </w:r>
    </w:p>
    <w:p w14:paraId="75EACC1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2</w:t>
      </w:r>
      <w:r>
        <w:rPr>
          <w:rFonts w:ascii="Arial" w:eastAsia="Arial" w:hAnsi="Arial" w:cs="Arial"/>
          <w:b/>
          <w:bCs/>
          <w:sz w:val="20"/>
          <w:szCs w:val="20"/>
          <w:lang w:val="sl-SI"/>
        </w:rPr>
        <w:t>1</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BA4F29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(pogodbe o vzdrževanju in servisiranju)</w:t>
      </w:r>
    </w:p>
    <w:p w14:paraId="11FB4920"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Vse pogodbe in postopki v zvezi z vzdrževanjem in servisiranjem opreme, prostorov, sredstev in objektov pristojnega nacionalnega organa, kjer se uporablja ISP, morajo vsebovati varnostne zahteve in pogoje, ki jih mora izpolnjevati vzdrževalno osebje oziroma oprema izvajalca vzdrževanja in servisiranja.</w:t>
      </w:r>
    </w:p>
    <w:p w14:paraId="703101E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2</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2323CED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(zunanji izvajalci)</w:t>
      </w:r>
    </w:p>
    <w:p w14:paraId="2FC3F88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Kadar je v obdelavo podatkov ali v izgradnjo oziroma vzdrževanje infrastrukture ISP vključen zunanji izvajalec, mora biti dolžnost varovanja varovanih podatkov pristojnega nacionalnega organa vključena v pogodbo, s katero se uredijo razmerja in odnosi med pristojnim nacionalnim organom in izvajalcem pogodbenih del.</w:t>
      </w:r>
    </w:p>
    <w:p w14:paraId="0C226A1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Izvajalčev delavec mora s pisno izjavo potrditi, da je seznanjen z dolžnostjo varovanja varovanih podatkov pristojnega nacionalnega organa, s katerimi se bo seznanil pri izvajanju pogodbenih del. Pisna izjava je sestavni del pogodbene dokumentacije.</w:t>
      </w:r>
    </w:p>
    <w:p w14:paraId="1F4D221E"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Nosilce podatkov je zaradi vzdrževanja dovoljeno posredovati zunanjemu izvajalcu. Preden je nosilec izročen zunanjemu izvajalcu, morajo biti podatki z nosilca izbrisani v skladu s standardi in predpisi.</w:t>
      </w:r>
    </w:p>
    <w:p w14:paraId="6D2294F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w:t>
      </w:r>
      <w:r>
        <w:rPr>
          <w:rFonts w:ascii="Arial" w:eastAsia="Arial" w:hAnsi="Arial" w:cs="Arial"/>
          <w:sz w:val="20"/>
          <w:szCs w:val="20"/>
          <w:lang w:val="sl-SI"/>
        </w:rPr>
        <w:t xml:space="preserve"> </w:t>
      </w:r>
      <w:r w:rsidRPr="00151316">
        <w:rPr>
          <w:rFonts w:ascii="Arial" w:eastAsia="Arial" w:hAnsi="Arial" w:cs="Arial"/>
          <w:sz w:val="20"/>
          <w:szCs w:val="20"/>
          <w:lang w:val="sl-SI"/>
        </w:rPr>
        <w:t>Dostop zunanjih izvajalcev v ISP lahko poteka samo nadzorovano pod pogoji, ki omogočajo ustrezno zaščito in rekonstrukcijo dostopa. Nadzor se izvaja z beleženjem aktivnosti in z drugimi standardnimi varnostnimi mehanizmi v ISP. Če ustreznega nadzora ni mogoče zagotoviti, dostop zunanjih izvajalcev ni dovoljen.</w:t>
      </w:r>
    </w:p>
    <w:p w14:paraId="62BAA1A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(5)</w:t>
      </w:r>
      <w:r>
        <w:rPr>
          <w:rFonts w:ascii="Arial" w:eastAsia="Arial" w:hAnsi="Arial" w:cs="Arial"/>
          <w:sz w:val="20"/>
          <w:szCs w:val="20"/>
          <w:lang w:val="sl-SI"/>
        </w:rPr>
        <w:t xml:space="preserve"> </w:t>
      </w:r>
      <w:r w:rsidRPr="00151316">
        <w:rPr>
          <w:rFonts w:ascii="Arial" w:eastAsia="Arial" w:hAnsi="Arial" w:cs="Arial"/>
          <w:sz w:val="20"/>
          <w:szCs w:val="20"/>
          <w:lang w:val="sl-SI"/>
        </w:rPr>
        <w:t>V primerih oddaljenega dostopa mora imeti izvajalec ustrezno urejeno okolje, iz katerega poteka dostop. Zahteva po ustreznosti mora biti vključena v pogodbo. Ustreznost potrdi notranja organizacijska enota s sklepom.</w:t>
      </w:r>
    </w:p>
    <w:p w14:paraId="2CD935C0"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IV.</w:t>
      </w:r>
      <w:r>
        <w:rPr>
          <w:rFonts w:ascii="Arial" w:eastAsia="Arial" w:hAnsi="Arial" w:cs="Arial"/>
          <w:caps/>
          <w:sz w:val="20"/>
          <w:szCs w:val="20"/>
          <w:lang w:val="sl-SI"/>
        </w:rPr>
        <w:t xml:space="preserve"> </w:t>
      </w:r>
      <w:r w:rsidRPr="00151316">
        <w:rPr>
          <w:rFonts w:ascii="Arial" w:eastAsia="Arial" w:hAnsi="Arial" w:cs="Arial"/>
          <w:caps/>
          <w:sz w:val="20"/>
          <w:szCs w:val="20"/>
          <w:lang w:val="sl-SI"/>
        </w:rPr>
        <w:t>VAROVANJE PROSTOROV</w:t>
      </w:r>
    </w:p>
    <w:p w14:paraId="23EFE0A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3</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48AB26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(ukrepi)</w:t>
      </w:r>
    </w:p>
    <w:p w14:paraId="17EAC85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Prostori, v katerih se obdelujejo varovani podatki pristojnega nacionalnega organa, morajo biti varovani z organizacijskimi, fizičnimi in tehničnimi ukrepi, ki nepooblaščenim onemogočajo dostop do medijev in naprav, s katerimi se varovani podatki obdelujejo.</w:t>
      </w:r>
    </w:p>
    <w:p w14:paraId="2513E6C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4</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7884259"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(delo in gibanje v prostorih z opremo ISP)</w:t>
      </w:r>
    </w:p>
    <w:p w14:paraId="116607B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lastRenderedPageBreak/>
        <w:t>Gibanje in delo v objektih pristojnega nacionalnega organa, kjer se uporablja ISP, poteka v skladu s hišnim redom, za prostore, v katerih je nameščena oprema ISP, pa veljajo še naslednja pravila:</w:t>
      </w:r>
    </w:p>
    <w:p w14:paraId="12426726" w14:textId="77777777" w:rsidR="00024ADD" w:rsidRPr="00151316" w:rsidRDefault="00024ADD" w:rsidP="001D3CA4">
      <w:pPr>
        <w:pStyle w:val="zamik"/>
        <w:numPr>
          <w:ilvl w:val="1"/>
          <w:numId w:val="27"/>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zadrževanje uslužbencev pristojnega nacionalnega organa v teh prostorih, razen tistih, ki so v njih zaposleni ali je njihova prisotnost nujno potrebna za nemoteno opravljanje delovnih nalog, ni dovoljeno;</w:t>
      </w:r>
    </w:p>
    <w:p w14:paraId="187BDFB8" w14:textId="77777777" w:rsidR="00024ADD" w:rsidRPr="00151316" w:rsidRDefault="00024ADD" w:rsidP="001D3CA4">
      <w:pPr>
        <w:pStyle w:val="zamik"/>
        <w:numPr>
          <w:ilvl w:val="1"/>
          <w:numId w:val="27"/>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obiski zunanjih strank (demonstracije, ogledi ipd.) so dovoljeni samo z odobritvijo direktorja pristojnega nacionalnega organ</w:t>
      </w:r>
      <w:r>
        <w:rPr>
          <w:rFonts w:ascii="Arial" w:eastAsia="Arial" w:hAnsi="Arial" w:cs="Arial"/>
          <w:sz w:val="20"/>
          <w:szCs w:val="20"/>
          <w:lang w:val="sl-SI"/>
        </w:rPr>
        <w:t>a</w:t>
      </w:r>
      <w:r w:rsidRPr="00151316">
        <w:rPr>
          <w:rFonts w:ascii="Arial" w:eastAsia="Arial" w:hAnsi="Arial" w:cs="Arial"/>
          <w:sz w:val="20"/>
          <w:szCs w:val="20"/>
          <w:lang w:val="sl-SI"/>
        </w:rPr>
        <w:t xml:space="preserve"> in v spremstvu najmanj enega uslužbenca pristojnega nacionalnega organa;</w:t>
      </w:r>
    </w:p>
    <w:p w14:paraId="6342512F" w14:textId="77777777" w:rsidR="00024ADD" w:rsidRPr="00151316" w:rsidRDefault="00024ADD" w:rsidP="001D3CA4">
      <w:pPr>
        <w:pStyle w:val="zamik"/>
        <w:numPr>
          <w:ilvl w:val="1"/>
          <w:numId w:val="27"/>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vzdrževanje opreme ISP s strani zunanjih izvajalcev je dovoljeno samo po predhodnem dogovoru z notranjo organizacijsko enoto, pristojno za vzdrževanje ISP, izvajalce pa mora med obiskom spremljati vodja LIS oziroma uslužbenec, ki ga določi vodja enote.</w:t>
      </w:r>
    </w:p>
    <w:p w14:paraId="023172E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5</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E1116C7"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(požarna varnost)</w:t>
      </w:r>
    </w:p>
    <w:p w14:paraId="30A39F7F"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Poleg požarnovarnostnih ukrepov, ki jih za objekte pristojnega nacionalnega organa predpisuje požarni red, velja za prostore, v katerih je nameščena oprema ISP, še naslednje:</w:t>
      </w:r>
    </w:p>
    <w:p w14:paraId="102A9565" w14:textId="77777777" w:rsidR="00024ADD" w:rsidRPr="00151316" w:rsidRDefault="00024ADD" w:rsidP="001D3CA4">
      <w:pPr>
        <w:pStyle w:val="zamik"/>
        <w:numPr>
          <w:ilvl w:val="1"/>
          <w:numId w:val="26"/>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prepoved uporabe odprtega ognja;</w:t>
      </w:r>
    </w:p>
    <w:p w14:paraId="4CB1F764" w14:textId="77777777" w:rsidR="00024ADD" w:rsidRPr="00151316" w:rsidRDefault="00024ADD" w:rsidP="001D3CA4">
      <w:pPr>
        <w:pStyle w:val="zamik"/>
        <w:numPr>
          <w:ilvl w:val="1"/>
          <w:numId w:val="26"/>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prepoved nameščanja začasne električne napeljave;</w:t>
      </w:r>
    </w:p>
    <w:p w14:paraId="626C9DE7" w14:textId="77777777" w:rsidR="00024ADD" w:rsidRPr="00151316" w:rsidRDefault="00024ADD" w:rsidP="001D3CA4">
      <w:pPr>
        <w:pStyle w:val="zamik"/>
        <w:numPr>
          <w:ilvl w:val="1"/>
          <w:numId w:val="26"/>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hramba gorljivih snovi samo v količinah, ki so nujno potrebne za nemoten potek dela;</w:t>
      </w:r>
    </w:p>
    <w:p w14:paraId="7BF29A4E" w14:textId="77777777" w:rsidR="00024ADD" w:rsidRPr="00151316" w:rsidRDefault="00024ADD" w:rsidP="001D3CA4">
      <w:pPr>
        <w:pStyle w:val="zamik"/>
        <w:numPr>
          <w:ilvl w:val="1"/>
          <w:numId w:val="26"/>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ognjevarne omare, v katerih so shranjeni mediji, morajo biti vedno zaprte.</w:t>
      </w:r>
    </w:p>
    <w:p w14:paraId="2516980D"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V.</w:t>
      </w:r>
      <w:r>
        <w:rPr>
          <w:rFonts w:ascii="Arial" w:eastAsia="Arial" w:hAnsi="Arial" w:cs="Arial"/>
          <w:caps/>
          <w:sz w:val="20"/>
          <w:szCs w:val="20"/>
          <w:lang w:val="sl-SI"/>
        </w:rPr>
        <w:t xml:space="preserve"> </w:t>
      </w:r>
      <w:r w:rsidRPr="00151316">
        <w:rPr>
          <w:rFonts w:ascii="Arial" w:eastAsia="Arial" w:hAnsi="Arial" w:cs="Arial"/>
          <w:caps/>
          <w:sz w:val="20"/>
          <w:szCs w:val="20"/>
          <w:lang w:val="sl-SI"/>
        </w:rPr>
        <w:t>VAROVANJE OPREME</w:t>
      </w:r>
    </w:p>
    <w:p w14:paraId="6ED3EBFC"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6</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3110467"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(uporaba opreme ISP)</w:t>
      </w:r>
    </w:p>
    <w:p w14:paraId="4EE2C5F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Opremo ISP je dovoljeno uporabljati le za izvajanje nalog pristojnega nacionalnega organa, pri katerih se uporablja ISP. Uporaba v druge namene je dopustna le izjemoma, s predhodnim dovoljenjem direktorja pristojnega nacionalnega organa.</w:t>
      </w:r>
    </w:p>
    <w:p w14:paraId="6CD0CFA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2</w:t>
      </w:r>
      <w:r>
        <w:rPr>
          <w:rFonts w:ascii="Arial" w:eastAsia="Arial" w:hAnsi="Arial" w:cs="Arial"/>
          <w:b/>
          <w:bCs/>
          <w:sz w:val="20"/>
          <w:szCs w:val="20"/>
          <w:lang w:val="sl-SI"/>
        </w:rPr>
        <w:t>7</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21BADB0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(škodljiva programska oprema)</w:t>
      </w:r>
    </w:p>
    <w:p w14:paraId="1870D57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ISP mora biti učinkovito zaščiten pred računalniškimi virusi in drugo škodljivo programsko opremo.</w:t>
      </w:r>
    </w:p>
    <w:p w14:paraId="3BBAD641" w14:textId="3D3DF7F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sidR="001D3CA4">
        <w:rPr>
          <w:rFonts w:ascii="Arial" w:eastAsia="Arial" w:hAnsi="Arial" w:cs="Arial"/>
          <w:sz w:val="20"/>
          <w:szCs w:val="20"/>
          <w:lang w:val="sl-SI"/>
        </w:rPr>
        <w:t xml:space="preserve"> </w:t>
      </w:r>
      <w:r w:rsidRPr="00151316">
        <w:rPr>
          <w:rFonts w:ascii="Arial" w:eastAsia="Arial" w:hAnsi="Arial" w:cs="Arial"/>
          <w:sz w:val="20"/>
          <w:szCs w:val="20"/>
          <w:lang w:val="sl-SI"/>
        </w:rPr>
        <w:t>Sum ali zaznava škodljive programske opreme je informacijski varnostni dogodek.</w:t>
      </w:r>
    </w:p>
    <w:p w14:paraId="09BA5E2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2</w:t>
      </w:r>
      <w:r>
        <w:rPr>
          <w:rFonts w:ascii="Arial" w:eastAsia="Arial" w:hAnsi="Arial" w:cs="Arial"/>
          <w:b/>
          <w:bCs/>
          <w:sz w:val="20"/>
          <w:szCs w:val="20"/>
          <w:lang w:val="sl-SI"/>
        </w:rPr>
        <w:t>8</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DBA85C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(programska oprema)</w:t>
      </w:r>
    </w:p>
    <w:p w14:paraId="07AC4446"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Za vso programsko opremo, vgrajeno v ISP, mora notranja organizacijska enota, pristojna za vzdrževanje ISP, določiti:</w:t>
      </w:r>
    </w:p>
    <w:p w14:paraId="76C3DE62" w14:textId="77777777" w:rsidR="00024ADD" w:rsidRPr="00151316" w:rsidRDefault="00024ADD" w:rsidP="001D3CA4">
      <w:pPr>
        <w:pStyle w:val="zamik"/>
        <w:numPr>
          <w:ilvl w:val="1"/>
          <w:numId w:val="25"/>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kdo jo sme brisati, kopirati ali spreminjati;</w:t>
      </w:r>
    </w:p>
    <w:p w14:paraId="53375534" w14:textId="77777777" w:rsidR="00024ADD" w:rsidRPr="00151316" w:rsidRDefault="00024ADD" w:rsidP="001D3CA4">
      <w:pPr>
        <w:pStyle w:val="zamik"/>
        <w:numPr>
          <w:ilvl w:val="1"/>
          <w:numId w:val="25"/>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kje se hranijo kopije programske opreme;</w:t>
      </w:r>
    </w:p>
    <w:p w14:paraId="0CCC929F" w14:textId="77777777" w:rsidR="00024ADD" w:rsidRPr="00151316" w:rsidRDefault="00024ADD" w:rsidP="001D3CA4">
      <w:pPr>
        <w:pStyle w:val="zamik"/>
        <w:numPr>
          <w:ilvl w:val="1"/>
          <w:numId w:val="25"/>
        </w:numPr>
        <w:spacing w:before="210" w:after="210"/>
        <w:ind w:left="1134"/>
        <w:jc w:val="both"/>
        <w:rPr>
          <w:rFonts w:ascii="Arial" w:eastAsia="Arial" w:hAnsi="Arial" w:cs="Arial"/>
          <w:sz w:val="20"/>
          <w:szCs w:val="20"/>
          <w:lang w:val="sl-SI"/>
        </w:rPr>
      </w:pPr>
      <w:r w:rsidRPr="00151316">
        <w:rPr>
          <w:rFonts w:ascii="Arial" w:eastAsia="Arial" w:hAnsi="Arial" w:cs="Arial"/>
          <w:sz w:val="20"/>
          <w:szCs w:val="20"/>
          <w:lang w:val="sl-SI"/>
        </w:rPr>
        <w:t>kdo je odgovoren za ažurnost kopij.</w:t>
      </w:r>
    </w:p>
    <w:p w14:paraId="1F21925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Kadar je program, ki je namenjen obdelavi varovanih podatkov pristojnega nacionalnega organa, samoiniciativno izdelal uslužbenec pristojnega nacionalnega organa, ki ni vključen v organiziran in načrtovan razvoj programov, mora program pred vključitvijo v uporabo potrditi direktor pristojnega nacionalnega organa.</w:t>
      </w:r>
    </w:p>
    <w:p w14:paraId="65F8C0E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29</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130CD322"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(programi in licence)</w:t>
      </w:r>
    </w:p>
    <w:p w14:paraId="6E0C6CD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Program, ki ga za potrebe ISP pristojnega nacionalnega organa kupi od proizvajalcev programske opreme, mora biti opremljen z licenco, ki pristojnemu nacionalnemu organu dovoljuje namestitev in uporabo programa na načrtovanem številu lokacij v notranjih organizacijskih enotah pristojnega nacionalnega organa.</w:t>
      </w:r>
    </w:p>
    <w:p w14:paraId="6DB80B0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V</w:t>
      </w:r>
      <w:r w:rsidRPr="00151316">
        <w:rPr>
          <w:rFonts w:ascii="Arial" w:eastAsia="Arial" w:hAnsi="Arial" w:cs="Arial"/>
          <w:sz w:val="20"/>
          <w:szCs w:val="20"/>
          <w:lang w:val="sl-SI"/>
        </w:rPr>
        <w:t>se izvorne zapise programov ISP in licenčno dokumentacijo hrani pristojni nacionalni organ.</w:t>
      </w:r>
    </w:p>
    <w:p w14:paraId="488C2239"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VI.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KONTROLA IN EVIDENTIRANJE DOSTOPA DO VAROVANIH PODATKOV IN DRUGIH VIROV ISP</w:t>
      </w:r>
    </w:p>
    <w:p w14:paraId="4309C956"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697DBFE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0</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1838150E"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(kontrola in evidentiranje dostopa)</w:t>
      </w:r>
    </w:p>
    <w:p w14:paraId="3A8C718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Dostop do varovanih podatkov pristojnega nacionalnega organa mora biti varovan tako, da preveri identiteto uporabnika in njegova pooblastila za dostop ter dostop evidentira.</w:t>
      </w:r>
    </w:p>
    <w:p w14:paraId="38EC582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Vsak uporabnik mora imeti lastni uporabniški račun, ki ga enolično identificira, in ga je dolžan varovati. Zloraba ali sum zlorabe uporabniškega računa je informacijski varnostni dogodek.</w:t>
      </w:r>
    </w:p>
    <w:p w14:paraId="5DFDCF24"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Kontrola in evidentiranje dostopa do podatkov lahko temelji na metodah, ki omogočajo zanesljiv in nedvoumen postopek identifikacije (pametna kartica ipd.).</w:t>
      </w:r>
    </w:p>
    <w:p w14:paraId="6D007A2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lastRenderedPageBreak/>
        <w:t>3</w:t>
      </w:r>
      <w:r>
        <w:rPr>
          <w:rFonts w:ascii="Arial" w:eastAsia="Arial" w:hAnsi="Arial" w:cs="Arial"/>
          <w:b/>
          <w:bCs/>
          <w:sz w:val="20"/>
          <w:szCs w:val="20"/>
          <w:lang w:val="sl-SI"/>
        </w:rPr>
        <w:t>1</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65B47D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(osebna gesla)</w:t>
      </w:r>
    </w:p>
    <w:p w14:paraId="36DEFD5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Kadar kontrola in evidentiranje dostopa do varovanih podatkov temelji na osebnem geslu, si mora geslo določiti uporabnik sam, v skladu z informacijsko varnostno politiko.</w:t>
      </w:r>
    </w:p>
    <w:p w14:paraId="23AA837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2</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F83672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(dodelitev varnostnega profila)</w:t>
      </w:r>
    </w:p>
    <w:p w14:paraId="4F18BF4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Uporabniku se varnostni profil dodeli glede na njegove delovne naloge, pri čemer se mu določi dostop do najmanjšega obsega podatkov, ki ga potrebuje za opravljanje svojih delovnih nalog.</w:t>
      </w:r>
    </w:p>
    <w:p w14:paraId="036EA930"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Postopek dodelitve varnostnega profila uporabniku se izvede na pisni zahtevek vodje notranje organizacijske enote.</w:t>
      </w:r>
    </w:p>
    <w:p w14:paraId="475D583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Varnostne profile potrdi direktor pristojnega nacionalnega organa ali oseba, ki jo pooblasti.</w:t>
      </w:r>
    </w:p>
    <w:p w14:paraId="630E6EF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w:t>
      </w:r>
      <w:r>
        <w:rPr>
          <w:rFonts w:ascii="Arial" w:eastAsia="Arial" w:hAnsi="Arial" w:cs="Arial"/>
          <w:sz w:val="20"/>
          <w:szCs w:val="20"/>
          <w:lang w:val="sl-SI"/>
        </w:rPr>
        <w:t xml:space="preserve"> </w:t>
      </w:r>
      <w:r w:rsidRPr="00151316">
        <w:rPr>
          <w:rFonts w:ascii="Arial" w:eastAsia="Arial" w:hAnsi="Arial" w:cs="Arial"/>
          <w:sz w:val="20"/>
          <w:szCs w:val="20"/>
          <w:lang w:val="sl-SI"/>
        </w:rPr>
        <w:t>Notranja organizacijska enota, pristojna za kadrovske zadeve, mora o sklenitvi ali prenehanju delovnega razmerja ter premestitvi posameznega uporabnika ISP takoj obvestiti notranjo organizacijsko enoto pristojnega nacionalnega organa, pristojno za vodenje razvida uporabnikov ISP.</w:t>
      </w:r>
    </w:p>
    <w:p w14:paraId="3BC458B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(5)</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Uporabniki izven pristojnega nacionalnega organa lahko pridobijo osebne podatke iz evidenc, do katerih so upravičeni na podlagi zakona. Varnostni profil se jim dodeli v skladu s pogodbo ali drugim </w:t>
      </w:r>
      <w:r w:rsidRPr="000B126E">
        <w:rPr>
          <w:rFonts w:ascii="Arial" w:eastAsia="Arial" w:hAnsi="Arial" w:cs="Arial"/>
          <w:sz w:val="20"/>
          <w:szCs w:val="20"/>
          <w:lang w:val="sl-SI"/>
        </w:rPr>
        <w:t>aktom iz 46. člena te uredbe.</w:t>
      </w:r>
    </w:p>
    <w:p w14:paraId="768C53E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3</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07B7C3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(dnevnik obdelave)</w:t>
      </w:r>
    </w:p>
    <w:p w14:paraId="1C5925E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Upravljavec dnevnika obdelave določi podrobnejši način vodenja dnevnika obdelave </w:t>
      </w:r>
      <w:r>
        <w:rPr>
          <w:rFonts w:ascii="Arial" w:eastAsia="Arial" w:hAnsi="Arial" w:cs="Arial"/>
          <w:sz w:val="20"/>
          <w:szCs w:val="20"/>
          <w:lang w:val="sl-SI"/>
        </w:rPr>
        <w:t>ter</w:t>
      </w:r>
      <w:r w:rsidRPr="00151316">
        <w:rPr>
          <w:rFonts w:ascii="Arial" w:eastAsia="Arial" w:hAnsi="Arial" w:cs="Arial"/>
          <w:sz w:val="20"/>
          <w:szCs w:val="20"/>
          <w:lang w:val="sl-SI"/>
        </w:rPr>
        <w:t xml:space="preserve"> način evidentiranja izvedbenih </w:t>
      </w:r>
      <w:r>
        <w:rPr>
          <w:rFonts w:ascii="Arial" w:eastAsia="Arial" w:hAnsi="Arial" w:cs="Arial"/>
          <w:sz w:val="20"/>
          <w:szCs w:val="20"/>
          <w:lang w:val="sl-SI"/>
        </w:rPr>
        <w:t>in</w:t>
      </w:r>
      <w:r w:rsidRPr="00151316">
        <w:rPr>
          <w:rFonts w:ascii="Arial" w:eastAsia="Arial" w:hAnsi="Arial" w:cs="Arial"/>
          <w:sz w:val="20"/>
          <w:szCs w:val="20"/>
          <w:lang w:val="sl-SI"/>
        </w:rPr>
        <w:t xml:space="preserve"> kontrolnih posegov v ISP.</w:t>
      </w:r>
    </w:p>
    <w:p w14:paraId="23107D5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Direktor pristojnega nacionalnega organa lahko na predlog upravljavca dnevnika obdelave za spremljanje določenih podatkov iz dnevnika obdelave pisno pooblasti posameznega uslužbenca pristojnega nacionalnega organa.</w:t>
      </w:r>
    </w:p>
    <w:p w14:paraId="4AA55732"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VII.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VAROVANJE POVEZAV ISP Z DRUGIMI INFORMACIJSKIMI SISTEMI IN SVETOVNIM SPLETOM</w:t>
      </w:r>
    </w:p>
    <w:p w14:paraId="440F0087"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0E9417A8"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35.</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625C4EF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(varovanje tehničnih povezav z drugimi sistemi)</w:t>
      </w:r>
    </w:p>
    <w:p w14:paraId="0A4F1A47"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lastRenderedPageBreak/>
        <w:t>(1)</w:t>
      </w:r>
      <w:r>
        <w:rPr>
          <w:rFonts w:ascii="Arial" w:eastAsia="Arial" w:hAnsi="Arial" w:cs="Arial"/>
          <w:sz w:val="20"/>
          <w:szCs w:val="20"/>
          <w:lang w:val="sl-SI"/>
        </w:rPr>
        <w:t xml:space="preserve"> </w:t>
      </w:r>
      <w:r w:rsidRPr="00151316">
        <w:rPr>
          <w:rFonts w:ascii="Arial" w:eastAsia="Arial" w:hAnsi="Arial" w:cs="Arial"/>
          <w:sz w:val="20"/>
          <w:szCs w:val="20"/>
          <w:lang w:val="sl-SI"/>
        </w:rPr>
        <w:t>Dostop do informacijsko</w:t>
      </w:r>
      <w:r>
        <w:rPr>
          <w:rFonts w:ascii="Arial" w:eastAsia="Arial" w:hAnsi="Arial" w:cs="Arial"/>
          <w:sz w:val="20"/>
          <w:szCs w:val="20"/>
          <w:lang w:val="sl-SI"/>
        </w:rPr>
        <w:t>-</w:t>
      </w:r>
      <w:r w:rsidRPr="00151316">
        <w:rPr>
          <w:rFonts w:ascii="Arial" w:eastAsia="Arial" w:hAnsi="Arial" w:cs="Arial"/>
          <w:sz w:val="20"/>
          <w:szCs w:val="20"/>
          <w:lang w:val="sl-SI"/>
        </w:rPr>
        <w:t>telekomunikacijskih sistemov drugih državnih organov ali pravnih oseb (v nadaljnjem besedilu: drugi informacijsko</w:t>
      </w:r>
      <w:r>
        <w:rPr>
          <w:rFonts w:ascii="Arial" w:eastAsia="Arial" w:hAnsi="Arial" w:cs="Arial"/>
          <w:sz w:val="20"/>
          <w:szCs w:val="20"/>
          <w:lang w:val="sl-SI"/>
        </w:rPr>
        <w:t>-</w:t>
      </w:r>
      <w:r w:rsidRPr="00151316">
        <w:rPr>
          <w:rFonts w:ascii="Arial" w:eastAsia="Arial" w:hAnsi="Arial" w:cs="Arial"/>
          <w:sz w:val="20"/>
          <w:szCs w:val="20"/>
          <w:lang w:val="sl-SI"/>
        </w:rPr>
        <w:t>telekomunikacijski sistemi) imajo lahko le tisti uslužbenci pristojnega nacionalnega organa, ki dostop potrebujejo zaradi izvajanja svojih delovnih nalog.</w:t>
      </w:r>
    </w:p>
    <w:p w14:paraId="17AFCB8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ISP sme imeti vzpostavljene tehnične povezave z drugimi informacijsko</w:t>
      </w:r>
      <w:r>
        <w:rPr>
          <w:rFonts w:ascii="Arial" w:eastAsia="Arial" w:hAnsi="Arial" w:cs="Arial"/>
          <w:sz w:val="20"/>
          <w:szCs w:val="20"/>
          <w:lang w:val="sl-SI"/>
        </w:rPr>
        <w:t>-</w:t>
      </w:r>
      <w:r w:rsidRPr="00151316">
        <w:rPr>
          <w:rFonts w:ascii="Arial" w:eastAsia="Arial" w:hAnsi="Arial" w:cs="Arial"/>
          <w:sz w:val="20"/>
          <w:szCs w:val="20"/>
          <w:lang w:val="sl-SI"/>
        </w:rPr>
        <w:t>telekomunikacijskimi sistemi, če so povezave varovane tako, da se nepoklicanim osebam onemogoči dostop do varovanih podatkov pristojnega nacionalnega organa ali naprav ISP.</w:t>
      </w:r>
    </w:p>
    <w:p w14:paraId="4E1F69D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Povezovalne točke morajo biti opremljene z varnostnimi pregradami in drugimi varnostnimi mehanizmi, ki onemogočajo zlorabe ISP.</w:t>
      </w:r>
    </w:p>
    <w:p w14:paraId="262CEDC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Elektronska izmenjava varovanih podatkov pristojnega nacionalnega organa z drugimi državnimi organi ali pravnimi osebami se izvaja z vzpostavitvijo dostopne točke ISP v drugem </w:t>
      </w:r>
      <w:r>
        <w:rPr>
          <w:rFonts w:ascii="Arial" w:eastAsia="Arial" w:hAnsi="Arial" w:cs="Arial"/>
          <w:sz w:val="20"/>
          <w:szCs w:val="20"/>
          <w:lang w:val="sl-SI"/>
        </w:rPr>
        <w:t>nacionalnem</w:t>
      </w:r>
      <w:r w:rsidRPr="00151316">
        <w:rPr>
          <w:rFonts w:ascii="Arial" w:eastAsia="Arial" w:hAnsi="Arial" w:cs="Arial"/>
          <w:sz w:val="20"/>
          <w:szCs w:val="20"/>
          <w:lang w:val="sl-SI"/>
        </w:rPr>
        <w:t xml:space="preserve"> organu ali pravni osebi in z vzpostavitvijo dostopne točke drugega informacijsko</w:t>
      </w:r>
      <w:r>
        <w:rPr>
          <w:rFonts w:ascii="Arial" w:eastAsia="Arial" w:hAnsi="Arial" w:cs="Arial"/>
          <w:sz w:val="20"/>
          <w:szCs w:val="20"/>
          <w:lang w:val="sl-SI"/>
        </w:rPr>
        <w:t>-</w:t>
      </w:r>
      <w:r w:rsidRPr="00151316">
        <w:rPr>
          <w:rFonts w:ascii="Arial" w:eastAsia="Arial" w:hAnsi="Arial" w:cs="Arial"/>
          <w:sz w:val="20"/>
          <w:szCs w:val="20"/>
          <w:lang w:val="sl-SI"/>
        </w:rPr>
        <w:t>telekomunikacijskega sistema v pristojnem nacionalnem organu.</w:t>
      </w:r>
    </w:p>
    <w:p w14:paraId="24AA7808"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(5)</w:t>
      </w:r>
      <w:r>
        <w:rPr>
          <w:rFonts w:ascii="Arial" w:eastAsia="Arial" w:hAnsi="Arial" w:cs="Arial"/>
          <w:sz w:val="20"/>
          <w:szCs w:val="20"/>
          <w:lang w:val="sl-SI"/>
        </w:rPr>
        <w:t xml:space="preserve"> </w:t>
      </w:r>
      <w:r w:rsidRPr="00151316">
        <w:rPr>
          <w:rFonts w:ascii="Arial" w:eastAsia="Arial" w:hAnsi="Arial" w:cs="Arial"/>
          <w:sz w:val="20"/>
          <w:szCs w:val="20"/>
          <w:lang w:val="sl-SI"/>
        </w:rPr>
        <w:t>ISP nima povezave z drugim informacijsko</w:t>
      </w:r>
      <w:r>
        <w:rPr>
          <w:rFonts w:ascii="Arial" w:eastAsia="Arial" w:hAnsi="Arial" w:cs="Arial"/>
          <w:sz w:val="20"/>
          <w:szCs w:val="20"/>
          <w:lang w:val="sl-SI"/>
        </w:rPr>
        <w:t>-</w:t>
      </w:r>
      <w:r w:rsidRPr="00151316">
        <w:rPr>
          <w:rFonts w:ascii="Arial" w:eastAsia="Arial" w:hAnsi="Arial" w:cs="Arial"/>
          <w:sz w:val="20"/>
          <w:szCs w:val="20"/>
          <w:lang w:val="sl-SI"/>
        </w:rPr>
        <w:t>telekomunikacijskim sistemom, če je od njega fizično ločen ali če je z njim fizično povezan, vendar logično ločen in zaščiten tako, da ni omogočena izmenjava podatkov med sistemoma.</w:t>
      </w:r>
    </w:p>
    <w:p w14:paraId="3ACBA01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5</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0C9CD1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(varnostne pregrade)</w:t>
      </w:r>
    </w:p>
    <w:p w14:paraId="48CD449E"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Dostop uporabnikov ISP do podatkov in drugih virov svetovnega spleta ter drugih informacijskih sistemov je dovoljen le prek skupnih, ustrezno varovanih priključnih točk ISP.</w:t>
      </w:r>
    </w:p>
    <w:p w14:paraId="05CE3EC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Na priključni točki iz prejšnjega odstavka mora biti nameščena varnostna pregrada, ki mora omogočati:</w:t>
      </w:r>
    </w:p>
    <w:p w14:paraId="544A7EC1"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upravljanje dostopov uslužbencev pristojnega nacionalnega organa, ki uporabljajo ISP, do drugih informacijskih sistemov ali svetovnega spleta;</w:t>
      </w:r>
    </w:p>
    <w:p w14:paraId="48ED89A1"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upravljanje dostopov uporabnikov drugih informacijskih sistemov do varovanih podatkov pristojnega nacionalnega organa in naprav, s katerimi se ti podatki obdelujejo;</w:t>
      </w:r>
    </w:p>
    <w:p w14:paraId="5BC5C552"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zaznavanje in preprečevanje poskusov dostopov zunanjih uporabnikov svetovnega spleta do varovanih podatkov pristojnega nacionalnega organa;</w:t>
      </w:r>
    </w:p>
    <w:p w14:paraId="4D2FC0D7"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zaznavanje in preprečevanje poskusov vdorov v ISP;</w:t>
      </w:r>
    </w:p>
    <w:p w14:paraId="3C05E115"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preprečevanje in odkrivanje poskusov vnosov računalniških virusov;</w:t>
      </w:r>
    </w:p>
    <w:p w14:paraId="4898A876" w14:textId="77777777" w:rsidR="00024ADD" w:rsidRPr="00151316" w:rsidRDefault="00024ADD" w:rsidP="001D3CA4">
      <w:pPr>
        <w:pStyle w:val="zamik"/>
        <w:numPr>
          <w:ilvl w:val="1"/>
          <w:numId w:val="19"/>
        </w:numPr>
        <w:spacing w:before="210" w:after="210"/>
        <w:ind w:left="1418"/>
        <w:jc w:val="both"/>
        <w:rPr>
          <w:rFonts w:ascii="Arial" w:eastAsia="Arial" w:hAnsi="Arial" w:cs="Arial"/>
          <w:sz w:val="20"/>
          <w:szCs w:val="20"/>
          <w:lang w:val="sl-SI"/>
        </w:rPr>
      </w:pPr>
      <w:r w:rsidRPr="00151316">
        <w:rPr>
          <w:rFonts w:ascii="Arial" w:eastAsia="Arial" w:hAnsi="Arial" w:cs="Arial"/>
          <w:sz w:val="20"/>
          <w:szCs w:val="20"/>
          <w:lang w:val="sl-SI"/>
        </w:rPr>
        <w:t>kriptozaščito prenosov varovanih podatkov pristojnega nacionalnega organa prek infrastrukture drugega informacijskega sistema ali svetovnega spleta.</w:t>
      </w:r>
    </w:p>
    <w:p w14:paraId="23839BCC"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6</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AFCAE4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(priključitev mimo varnostne pregrade)</w:t>
      </w:r>
    </w:p>
    <w:p w14:paraId="1AB703CF"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Direktor pristojnega nacionalnega organa lahko na pisni predlog vodje notranje organizacijske enote, ki zaradi nemotenega izvajanja nalog potrebuje delovno postajo, ki je na svetovni splet priključena mimo varnostne pregrade, odobri tak način priključitve.</w:t>
      </w:r>
    </w:p>
    <w:p w14:paraId="7A19D524"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lastRenderedPageBreak/>
        <w:t>(2)</w:t>
      </w:r>
      <w:r>
        <w:rPr>
          <w:rFonts w:ascii="Arial" w:eastAsia="Arial" w:hAnsi="Arial" w:cs="Arial"/>
          <w:sz w:val="20"/>
          <w:szCs w:val="20"/>
          <w:lang w:val="sl-SI"/>
        </w:rPr>
        <w:t xml:space="preserve"> </w:t>
      </w:r>
      <w:r w:rsidRPr="00151316">
        <w:rPr>
          <w:rFonts w:ascii="Arial" w:eastAsia="Arial" w:hAnsi="Arial" w:cs="Arial"/>
          <w:sz w:val="20"/>
          <w:szCs w:val="20"/>
          <w:lang w:val="sl-SI"/>
        </w:rPr>
        <w:t>Delovna postaja, ki je s svetovnim spletom povezana mimo varnostne pregrade, ne sme biti povezana z ISP, na njej ne smejo biti shranjeni varovani podatki</w:t>
      </w:r>
      <w:r w:rsidRPr="00151316">
        <w:rPr>
          <w:rFonts w:ascii="Arial" w:hAnsi="Arial" w:cs="Arial"/>
          <w:sz w:val="20"/>
          <w:szCs w:val="20"/>
          <w:lang w:val="sl-SI"/>
        </w:rPr>
        <w:t xml:space="preserve"> </w:t>
      </w:r>
      <w:r w:rsidRPr="00151316">
        <w:rPr>
          <w:rFonts w:ascii="Arial" w:eastAsia="Arial" w:hAnsi="Arial" w:cs="Arial"/>
          <w:sz w:val="20"/>
          <w:szCs w:val="20"/>
          <w:lang w:val="sl-SI"/>
        </w:rPr>
        <w:t>pristojnega nacionalnega organa, nameščena pa mora biti zaščita pred škodljivimi vsebinami.</w:t>
      </w:r>
    </w:p>
    <w:p w14:paraId="4C12C814"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VIII.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PRENOS VAROVANIH PODATKOV</w:t>
      </w:r>
    </w:p>
    <w:p w14:paraId="079286CE"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1B4A30A7"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3</w:t>
      </w:r>
      <w:r>
        <w:rPr>
          <w:rFonts w:ascii="Arial" w:eastAsia="Arial" w:hAnsi="Arial" w:cs="Arial"/>
          <w:b/>
          <w:bCs/>
          <w:sz w:val="20"/>
          <w:szCs w:val="20"/>
          <w:lang w:val="sl-SI"/>
        </w:rPr>
        <w:t>7</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83949C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(elektronski prenos podatkov)</w:t>
      </w:r>
    </w:p>
    <w:p w14:paraId="18CFA88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Prenos varovanih podatkov pristojnega nacionalnega organa po telekomunikacijskih zvezah, ki povezuje lokacije organizacijskih enot pristojnega nacionalnega organa ali lokacije drugih pooblaščenih uporabnikov varovanih podatkov pristojnega nacionalnega organa, mora biti varovan s postopki in ukrepi, ki nepooblaščenim preprečujejo prilaščanje, spreminjanje ali uničenje ter neupravičeno seznanjanje z vsebino podatkov.</w:t>
      </w:r>
    </w:p>
    <w:p w14:paraId="718182C8"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IX. VODENJE IN VZDRŽEVANJE EVIDENC TER OBDELAVA PODATKOV</w:t>
      </w:r>
    </w:p>
    <w:p w14:paraId="10832BE5" w14:textId="77777777" w:rsidR="00024ADD" w:rsidRDefault="00024ADD" w:rsidP="00024ADD">
      <w:pPr>
        <w:pStyle w:val="center"/>
        <w:pBdr>
          <w:top w:val="none" w:sz="0" w:space="24" w:color="auto"/>
        </w:pBdr>
        <w:spacing w:before="210" w:after="210"/>
        <w:rPr>
          <w:rFonts w:ascii="Arial" w:eastAsia="Arial" w:hAnsi="Arial" w:cs="Arial"/>
          <w:b/>
          <w:bCs/>
          <w:sz w:val="20"/>
          <w:szCs w:val="20"/>
          <w:lang w:val="sl-SI"/>
        </w:rPr>
      </w:pPr>
    </w:p>
    <w:p w14:paraId="13379FC6"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38</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7F92F84"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(upravljavec evidence in tehnični skrbnik ISP)</w:t>
      </w:r>
    </w:p>
    <w:p w14:paraId="0DA0CAD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Upravljavec evidence in tehnični skrbnik ISP sta določena v aktu o notranji organizaciji, sistemizaciji, delovnih mestih in nazivih.</w:t>
      </w:r>
    </w:p>
    <w:p w14:paraId="6C91BB6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Notranja organizacijska enota je lahko upravljavec ene ali več evidenc.</w:t>
      </w:r>
    </w:p>
    <w:p w14:paraId="2DCEFB1E"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39</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7884774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(vzpostavitev evidence)</w:t>
      </w:r>
    </w:p>
    <w:p w14:paraId="0CDFCBC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Evidenco na podlagi zahteve upravljavca evidence vzpostavi tehnični skrbnik ISP.</w:t>
      </w:r>
    </w:p>
    <w:p w14:paraId="0099A97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0</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22075D6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(obdelava podatkov)</w:t>
      </w:r>
    </w:p>
    <w:p w14:paraId="0F97E99B"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Varovani podatki pristojnega nacionalnega organa se lahko uporabljajo le za opravljanje z zakonom določenih nalog in v skladu s predpisi, ki urejajo način obdelovanja posameznih podatkov.</w:t>
      </w:r>
    </w:p>
    <w:p w14:paraId="51E99777"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Vsak uporabnik ISP </w:t>
      </w:r>
      <w:r>
        <w:rPr>
          <w:rFonts w:ascii="Arial" w:eastAsia="Arial" w:hAnsi="Arial" w:cs="Arial"/>
          <w:sz w:val="20"/>
          <w:szCs w:val="20"/>
          <w:lang w:val="sl-SI"/>
        </w:rPr>
        <w:t>mora</w:t>
      </w:r>
      <w:r w:rsidRPr="00151316">
        <w:rPr>
          <w:rFonts w:ascii="Arial" w:eastAsia="Arial" w:hAnsi="Arial" w:cs="Arial"/>
          <w:sz w:val="20"/>
          <w:szCs w:val="20"/>
          <w:lang w:val="sl-SI"/>
        </w:rPr>
        <w:t xml:space="preserve"> v skladu s svojimi delovnimi nalogami skrbeti za vestno, strokovno in ažurno obdelavo podatkov.</w:t>
      </w:r>
    </w:p>
    <w:p w14:paraId="0964A29D"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lastRenderedPageBreak/>
        <w:t>X. HRAMBA, DOSTOP DO BLOKIRANIH PODATKOV IN IZBRIS PODATKOV</w:t>
      </w:r>
    </w:p>
    <w:p w14:paraId="74BF0BE4" w14:textId="77777777" w:rsidR="00024ADD" w:rsidRDefault="00024ADD" w:rsidP="00024ADD">
      <w:pPr>
        <w:pStyle w:val="center"/>
        <w:pBdr>
          <w:top w:val="none" w:sz="0" w:space="24" w:color="auto"/>
        </w:pBdr>
        <w:spacing w:before="210" w:after="210"/>
        <w:rPr>
          <w:rFonts w:ascii="Arial" w:eastAsia="Arial" w:hAnsi="Arial" w:cs="Arial"/>
          <w:b/>
          <w:bCs/>
          <w:sz w:val="20"/>
          <w:szCs w:val="20"/>
          <w:lang w:val="sl-SI"/>
        </w:rPr>
      </w:pPr>
    </w:p>
    <w:p w14:paraId="60382622"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1</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651BCD6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(roki hranjenja in ukinitev evidence)</w:t>
      </w:r>
    </w:p>
    <w:p w14:paraId="76A2D2B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Podatki v evidencah se hranijo v okviru rokov, določenih v zakonu. Po preteku roka hrambe se podatki, katerih upravljavec je pristojn</w:t>
      </w:r>
      <w:r>
        <w:rPr>
          <w:rFonts w:ascii="Arial" w:eastAsia="Arial" w:hAnsi="Arial" w:cs="Arial"/>
          <w:sz w:val="20"/>
          <w:szCs w:val="20"/>
          <w:lang w:val="sl-SI"/>
        </w:rPr>
        <w:t>i</w:t>
      </w:r>
      <w:r w:rsidRPr="00151316">
        <w:rPr>
          <w:rFonts w:ascii="Arial" w:eastAsia="Arial" w:hAnsi="Arial" w:cs="Arial"/>
          <w:sz w:val="20"/>
          <w:szCs w:val="20"/>
          <w:lang w:val="sl-SI"/>
        </w:rPr>
        <w:t xml:space="preserve"> nacionaln</w:t>
      </w:r>
      <w:r>
        <w:rPr>
          <w:rFonts w:ascii="Arial" w:eastAsia="Arial" w:hAnsi="Arial" w:cs="Arial"/>
          <w:sz w:val="20"/>
          <w:szCs w:val="20"/>
          <w:lang w:val="sl-SI"/>
        </w:rPr>
        <w:t>i</w:t>
      </w:r>
      <w:r w:rsidRPr="00151316">
        <w:rPr>
          <w:rFonts w:ascii="Arial" w:eastAsia="Arial" w:hAnsi="Arial" w:cs="Arial"/>
          <w:sz w:val="20"/>
          <w:szCs w:val="20"/>
          <w:lang w:val="sl-SI"/>
        </w:rPr>
        <w:t xml:space="preserve"> organ, v skladu z zakonom blokirajo, anonimizirajo, brišejo oziroma psevdonimizirajo.</w:t>
      </w:r>
    </w:p>
    <w:p w14:paraId="5F7A6D1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Če se evidenca ukine, se dostop do podatkov blokira.</w:t>
      </w:r>
    </w:p>
    <w:p w14:paraId="76B8685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Po blokiranju se podatki v evidencah lahko obdelujejo le za razvrščanje, odbiranje, označevanje in hrambo dokumentarnega gradiva na način, določen v predpisih o varstvu dokumentarnega in arhivskega gradiva. Direktor pristojnega nacionalnega organa določi osebe, ki lahko obdelujejo podatke v skladu s tem odstavkom.</w:t>
      </w:r>
    </w:p>
    <w:p w14:paraId="1B86DE8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(4)</w:t>
      </w:r>
      <w:r>
        <w:rPr>
          <w:rFonts w:ascii="Arial" w:eastAsia="Arial" w:hAnsi="Arial" w:cs="Arial"/>
          <w:sz w:val="20"/>
          <w:szCs w:val="20"/>
          <w:lang w:val="sl-SI"/>
        </w:rPr>
        <w:t xml:space="preserve"> </w:t>
      </w:r>
      <w:r w:rsidRPr="00151316">
        <w:rPr>
          <w:rFonts w:ascii="Arial" w:eastAsia="Arial" w:hAnsi="Arial" w:cs="Arial"/>
          <w:sz w:val="20"/>
          <w:szCs w:val="20"/>
          <w:lang w:val="sl-SI"/>
        </w:rPr>
        <w:t>Dokumentarno gradivo v elektronski obliki, ki je bilo uporabljeno kot vir, se po vnosu in preveritvi točnosti zapisanih podatkov obravnava v skladu s predpisi o dokumentarnem gradivu. Postopek izbrisa podatkov mora biti sestavni del programske opreme za obdelavo evidence pristojnega nacionalnega urada, izbris podatkov pa mora biti avtomatsko evidentiran.</w:t>
      </w:r>
    </w:p>
    <w:p w14:paraId="201347CB"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(5)</w:t>
      </w:r>
      <w:r>
        <w:rPr>
          <w:rFonts w:ascii="Arial" w:eastAsia="Arial" w:hAnsi="Arial" w:cs="Arial"/>
          <w:sz w:val="20"/>
          <w:szCs w:val="20"/>
          <w:lang w:val="sl-SI"/>
        </w:rPr>
        <w:t xml:space="preserve"> </w:t>
      </w:r>
      <w:r w:rsidRPr="00151316">
        <w:rPr>
          <w:rFonts w:ascii="Arial" w:eastAsia="Arial" w:hAnsi="Arial" w:cs="Arial"/>
          <w:sz w:val="20"/>
          <w:szCs w:val="20"/>
          <w:lang w:val="sl-SI"/>
        </w:rPr>
        <w:t>Dokumentarno gradivo v fizični obliki, ki je bilo uporabljeno kot vir, se po vnosu in preveritvi točnosti vnesenih podatkov obravnava v skladu s predpisi o dokumentarnem gradivu.</w:t>
      </w:r>
    </w:p>
    <w:p w14:paraId="1EB6086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(6)</w:t>
      </w:r>
      <w:r>
        <w:rPr>
          <w:rFonts w:ascii="Arial" w:eastAsia="Arial" w:hAnsi="Arial" w:cs="Arial"/>
          <w:sz w:val="20"/>
          <w:szCs w:val="20"/>
          <w:lang w:val="sl-SI"/>
        </w:rPr>
        <w:t xml:space="preserve"> </w:t>
      </w:r>
      <w:r w:rsidRPr="00151316">
        <w:rPr>
          <w:rFonts w:ascii="Arial" w:eastAsia="Arial" w:hAnsi="Arial" w:cs="Arial"/>
          <w:sz w:val="20"/>
          <w:szCs w:val="20"/>
          <w:lang w:val="sl-SI"/>
        </w:rPr>
        <w:t>Dokumenti, ki so nastali kot izhodni dokumenti obdelave, se hranijo v skladu s predpisi, ki urejajo poslovanje organov javne uprave z dokumentarnim gradivom.</w:t>
      </w:r>
    </w:p>
    <w:p w14:paraId="486DCA4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2</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36F53A9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(dostop do arhiviranih ali blokiranih podatkov)</w:t>
      </w:r>
    </w:p>
    <w:p w14:paraId="78D4986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Uporabnik lahko izjemoma pridobi arhivirane ali blokirane podatke iz evidenc na osnovi izkazanega zakonitega namena za obdelavo arhiviranih podatkov.</w:t>
      </w:r>
    </w:p>
    <w:p w14:paraId="0EE87FF1"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Izpis arhiviranih ali blokiranih podatkov na medije se izvede v skladu s predpisi, ki urejajo poslovanje organov javne uprave z dokumentarnim gradivom.</w:t>
      </w:r>
    </w:p>
    <w:p w14:paraId="0880FB39"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3</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73275CC"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(izbris ali uničenje varovanih podatkov)</w:t>
      </w:r>
    </w:p>
    <w:p w14:paraId="45DE06E0"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 Izbris ali uničenje varovanih podatkov pristojnega nacionalnega organa iz evidenc se izvede v primeru pisne ugotovitve napake ali pomote pri obdelavi podatkov.</w:t>
      </w:r>
    </w:p>
    <w:p w14:paraId="71BA8B3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 xml:space="preserve">(2) Izbris na podlagi pisnega zahtevka vodje notranje organizacijske enote lahko izvede oseba, ki ima avtorizacijo za brisanje, </w:t>
      </w:r>
      <w:r>
        <w:rPr>
          <w:rFonts w:ascii="Arial" w:eastAsia="Arial" w:hAnsi="Arial" w:cs="Arial"/>
          <w:sz w:val="20"/>
          <w:szCs w:val="20"/>
          <w:lang w:val="sl-SI"/>
        </w:rPr>
        <w:t>ki jo dodeli</w:t>
      </w:r>
      <w:r w:rsidRPr="00151316">
        <w:rPr>
          <w:rFonts w:ascii="Arial" w:eastAsia="Arial" w:hAnsi="Arial" w:cs="Arial"/>
          <w:sz w:val="20"/>
          <w:szCs w:val="20"/>
          <w:lang w:val="sl-SI"/>
        </w:rPr>
        <w:t xml:space="preserve"> glavn</w:t>
      </w:r>
      <w:r>
        <w:rPr>
          <w:rFonts w:ascii="Arial" w:eastAsia="Arial" w:hAnsi="Arial" w:cs="Arial"/>
          <w:sz w:val="20"/>
          <w:szCs w:val="20"/>
          <w:lang w:val="sl-SI"/>
        </w:rPr>
        <w:t>i</w:t>
      </w:r>
      <w:r w:rsidRPr="00151316">
        <w:rPr>
          <w:rFonts w:ascii="Arial" w:eastAsia="Arial" w:hAnsi="Arial" w:cs="Arial"/>
          <w:sz w:val="20"/>
          <w:szCs w:val="20"/>
          <w:lang w:val="sl-SI"/>
        </w:rPr>
        <w:t xml:space="preserve"> skrbnik varnostnih profilov.</w:t>
      </w:r>
    </w:p>
    <w:p w14:paraId="1C7B1CD7"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lastRenderedPageBreak/>
        <w:t>XI.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POSREDOVANJE PODATKOV POSAMEZNIM OSEBAM</w:t>
      </w:r>
    </w:p>
    <w:p w14:paraId="3A0E1A94"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4A1E7BA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4</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E799D7E"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(elektronsko posredovanje podatkov upravičenim pravnim osebam)</w:t>
      </w:r>
    </w:p>
    <w:p w14:paraId="6A9BA19E"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Če se vzpostavi elektronsko posredovanje podatkov iz evidenc </w:t>
      </w:r>
      <w:r>
        <w:rPr>
          <w:rFonts w:ascii="Arial" w:eastAsia="Arial" w:hAnsi="Arial" w:cs="Arial"/>
          <w:sz w:val="20"/>
          <w:szCs w:val="20"/>
          <w:lang w:val="sl-SI"/>
        </w:rPr>
        <w:t>nacionalnim</w:t>
      </w:r>
      <w:r w:rsidRPr="00151316">
        <w:rPr>
          <w:rFonts w:ascii="Arial" w:eastAsia="Arial" w:hAnsi="Arial" w:cs="Arial"/>
          <w:sz w:val="20"/>
          <w:szCs w:val="20"/>
          <w:lang w:val="sl-SI"/>
        </w:rPr>
        <w:t xml:space="preserve"> organom oziroma pravnim osebam, ki so do podatkov iz evidenc upravičeni na podlagi zakona, se način posredovanja podatkov določi s pogodbo ali drugim aktom o posredovanju podatkov, v katerem se določi</w:t>
      </w:r>
      <w:r>
        <w:rPr>
          <w:rFonts w:ascii="Arial" w:eastAsia="Arial" w:hAnsi="Arial" w:cs="Arial"/>
          <w:sz w:val="20"/>
          <w:szCs w:val="20"/>
          <w:lang w:val="sl-SI"/>
        </w:rPr>
        <w:t>jo</w:t>
      </w:r>
      <w:r w:rsidRPr="00151316">
        <w:rPr>
          <w:rFonts w:ascii="Arial" w:eastAsia="Arial" w:hAnsi="Arial" w:cs="Arial"/>
          <w:sz w:val="20"/>
          <w:szCs w:val="20"/>
          <w:lang w:val="sl-SI"/>
        </w:rPr>
        <w:t xml:space="preserve"> organizacijsk</w:t>
      </w:r>
      <w:r>
        <w:rPr>
          <w:rFonts w:ascii="Arial" w:eastAsia="Arial" w:hAnsi="Arial" w:cs="Arial"/>
          <w:sz w:val="20"/>
          <w:szCs w:val="20"/>
          <w:lang w:val="sl-SI"/>
        </w:rPr>
        <w:t>i</w:t>
      </w:r>
      <w:r w:rsidRPr="00151316">
        <w:rPr>
          <w:rFonts w:ascii="Arial" w:eastAsia="Arial" w:hAnsi="Arial" w:cs="Arial"/>
          <w:sz w:val="20"/>
          <w:szCs w:val="20"/>
          <w:lang w:val="sl-SI"/>
        </w:rPr>
        <w:t>, tehničn</w:t>
      </w:r>
      <w:r>
        <w:rPr>
          <w:rFonts w:ascii="Arial" w:eastAsia="Arial" w:hAnsi="Arial" w:cs="Arial"/>
          <w:sz w:val="20"/>
          <w:szCs w:val="20"/>
          <w:lang w:val="sl-SI"/>
        </w:rPr>
        <w:t>i</w:t>
      </w:r>
      <w:r w:rsidRPr="00151316">
        <w:rPr>
          <w:rFonts w:ascii="Arial" w:eastAsia="Arial" w:hAnsi="Arial" w:cs="Arial"/>
          <w:sz w:val="20"/>
          <w:szCs w:val="20"/>
          <w:lang w:val="sl-SI"/>
        </w:rPr>
        <w:t xml:space="preserve"> in varnostn</w:t>
      </w:r>
      <w:r>
        <w:rPr>
          <w:rFonts w:ascii="Arial" w:eastAsia="Arial" w:hAnsi="Arial" w:cs="Arial"/>
          <w:sz w:val="20"/>
          <w:szCs w:val="20"/>
          <w:lang w:val="sl-SI"/>
        </w:rPr>
        <w:t>i</w:t>
      </w:r>
      <w:r w:rsidRPr="00151316">
        <w:rPr>
          <w:rFonts w:ascii="Arial" w:eastAsia="Arial" w:hAnsi="Arial" w:cs="Arial"/>
          <w:sz w:val="20"/>
          <w:szCs w:val="20"/>
          <w:lang w:val="sl-SI"/>
        </w:rPr>
        <w:t xml:space="preserve"> element</w:t>
      </w:r>
      <w:r>
        <w:rPr>
          <w:rFonts w:ascii="Arial" w:eastAsia="Arial" w:hAnsi="Arial" w:cs="Arial"/>
          <w:sz w:val="20"/>
          <w:szCs w:val="20"/>
          <w:lang w:val="sl-SI"/>
        </w:rPr>
        <w:t>i</w:t>
      </w:r>
      <w:r w:rsidRPr="00151316">
        <w:rPr>
          <w:rFonts w:ascii="Arial" w:eastAsia="Arial" w:hAnsi="Arial" w:cs="Arial"/>
          <w:sz w:val="20"/>
          <w:szCs w:val="20"/>
          <w:lang w:val="sl-SI"/>
        </w:rPr>
        <w:t xml:space="preserve"> posredovanja podatkov.</w:t>
      </w:r>
    </w:p>
    <w:p w14:paraId="6F942919"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V primeru posamične vloge za posredovanje podatkov uporabnikom iz prejšnjega odstavka mora vodja notranje organizacijske enote preveriti pravno podlago za posredovanje podatkov.</w:t>
      </w:r>
    </w:p>
    <w:p w14:paraId="21F9AA3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 xml:space="preserve">Posredovanje podatkov se zabeleži v skladu z </w:t>
      </w:r>
      <w:r w:rsidRPr="000B126E">
        <w:rPr>
          <w:rFonts w:ascii="Arial" w:eastAsia="Arial" w:hAnsi="Arial" w:cs="Arial"/>
          <w:sz w:val="20"/>
          <w:szCs w:val="20"/>
          <w:lang w:val="sl-SI"/>
        </w:rPr>
        <w:t>49. členom te uredbe.</w:t>
      </w:r>
    </w:p>
    <w:p w14:paraId="02036C21"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5</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5857DC4B"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(mnenje o razkritju varovanega podatka)</w:t>
      </w:r>
    </w:p>
    <w:p w14:paraId="3DAB0CD4" w14:textId="77777777" w:rsidR="00024ADD"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V primeru dvoma o upravičenosti dostopa do varovanega podatka pristojnega nacionalnega organa mnenje, ali bi razkritje določenega varovanega podatka pristojnega nacionalnega organa povzročilo škodo organu, poteku uradnih postopkov ali fizičnim oziroma pravnim osebam, poda komisija</w:t>
      </w:r>
      <w:r>
        <w:rPr>
          <w:rFonts w:ascii="Arial" w:eastAsia="Arial" w:hAnsi="Arial" w:cs="Arial"/>
          <w:sz w:val="20"/>
          <w:szCs w:val="20"/>
          <w:lang w:val="sl-SI"/>
        </w:rPr>
        <w:t>, ki jo imenuje direktor pristojnega nacionalnega organa</w:t>
      </w:r>
      <w:r w:rsidRPr="00151316">
        <w:rPr>
          <w:rFonts w:ascii="Arial" w:eastAsia="Arial" w:hAnsi="Arial" w:cs="Arial"/>
          <w:sz w:val="20"/>
          <w:szCs w:val="20"/>
          <w:lang w:val="sl-SI"/>
        </w:rPr>
        <w:t>.</w:t>
      </w:r>
    </w:p>
    <w:p w14:paraId="6617FAD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6</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0FF753B"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(razvid)</w:t>
      </w:r>
    </w:p>
    <w:p w14:paraId="234131D3"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Če se posredujejo osebni podatki, je treba za vsako evidenco ne glede na to, kako je vodena, zagotoviti možnost ugotavljanja:</w:t>
      </w:r>
    </w:p>
    <w:p w14:paraId="172139E1" w14:textId="77777777" w:rsidR="00024ADD" w:rsidRPr="00151316" w:rsidRDefault="00024ADD" w:rsidP="00024ADD">
      <w:pPr>
        <w:pStyle w:val="alineazaodstavkom1"/>
        <w:numPr>
          <w:ilvl w:val="0"/>
          <w:numId w:val="35"/>
        </w:numPr>
        <w:spacing w:before="210" w:after="210"/>
        <w:rPr>
          <w:rFonts w:ascii="Arial" w:eastAsia="Arial" w:hAnsi="Arial" w:cs="Arial"/>
          <w:sz w:val="20"/>
          <w:szCs w:val="20"/>
          <w:lang w:val="sl-SI"/>
        </w:rPr>
      </w:pPr>
      <w:r w:rsidRPr="00151316">
        <w:rPr>
          <w:rFonts w:ascii="Arial" w:eastAsia="Arial" w:hAnsi="Arial" w:cs="Arial"/>
          <w:sz w:val="20"/>
          <w:szCs w:val="20"/>
          <w:lang w:val="sl-SI"/>
        </w:rPr>
        <w:t>kateri osebni podatki, kdaj in kako so bili posredovani;</w:t>
      </w:r>
    </w:p>
    <w:p w14:paraId="70B6387D" w14:textId="77777777" w:rsidR="00024ADD" w:rsidRPr="00151316" w:rsidRDefault="00024ADD" w:rsidP="00024ADD">
      <w:pPr>
        <w:pStyle w:val="alineazaodstavkom1"/>
        <w:numPr>
          <w:ilvl w:val="0"/>
          <w:numId w:val="35"/>
        </w:numPr>
        <w:spacing w:before="210" w:after="210"/>
        <w:rPr>
          <w:rFonts w:ascii="Arial" w:eastAsia="Arial" w:hAnsi="Arial" w:cs="Arial"/>
          <w:sz w:val="20"/>
          <w:szCs w:val="20"/>
          <w:lang w:val="sl-SI"/>
        </w:rPr>
      </w:pPr>
      <w:r w:rsidRPr="00151316">
        <w:rPr>
          <w:rFonts w:ascii="Arial" w:eastAsia="Arial" w:hAnsi="Arial" w:cs="Arial"/>
          <w:sz w:val="20"/>
          <w:szCs w:val="20"/>
          <w:lang w:val="sl-SI"/>
        </w:rPr>
        <w:t>komu so bili osebni podatki posredovani;</w:t>
      </w:r>
    </w:p>
    <w:p w14:paraId="19A205C1" w14:textId="77777777" w:rsidR="00024ADD" w:rsidRPr="00151316" w:rsidRDefault="00024ADD" w:rsidP="00024ADD">
      <w:pPr>
        <w:pStyle w:val="alineazaodstavkom1"/>
        <w:numPr>
          <w:ilvl w:val="0"/>
          <w:numId w:val="35"/>
        </w:numPr>
        <w:spacing w:before="210" w:after="210"/>
        <w:rPr>
          <w:rFonts w:ascii="Arial" w:eastAsia="Arial" w:hAnsi="Arial" w:cs="Arial"/>
          <w:sz w:val="20"/>
          <w:szCs w:val="20"/>
          <w:lang w:val="sl-SI"/>
        </w:rPr>
      </w:pPr>
      <w:r w:rsidRPr="00151316">
        <w:rPr>
          <w:rFonts w:ascii="Arial" w:eastAsia="Arial" w:hAnsi="Arial" w:cs="Arial"/>
          <w:sz w:val="20"/>
          <w:szCs w:val="20"/>
          <w:lang w:val="sl-SI"/>
        </w:rPr>
        <w:t>na kakšni podlagi so bili osebni podatki posredovani,</w:t>
      </w:r>
    </w:p>
    <w:p w14:paraId="77C377C7" w14:textId="77777777" w:rsidR="00024ADD" w:rsidRPr="00151316" w:rsidRDefault="00024ADD" w:rsidP="00024ADD">
      <w:pPr>
        <w:pStyle w:val="alineazaodstavkom1"/>
        <w:numPr>
          <w:ilvl w:val="0"/>
          <w:numId w:val="35"/>
        </w:numPr>
        <w:spacing w:before="210" w:after="210"/>
        <w:rPr>
          <w:rFonts w:ascii="Arial" w:eastAsia="Arial" w:hAnsi="Arial" w:cs="Arial"/>
          <w:sz w:val="20"/>
          <w:szCs w:val="20"/>
          <w:lang w:val="sl-SI"/>
        </w:rPr>
      </w:pPr>
      <w:r w:rsidRPr="00151316">
        <w:rPr>
          <w:rFonts w:ascii="Arial" w:eastAsia="Arial" w:hAnsi="Arial" w:cs="Arial"/>
          <w:sz w:val="20"/>
          <w:szCs w:val="20"/>
          <w:lang w:val="sl-SI"/>
        </w:rPr>
        <w:t>za kakšne namene so bili osebni podatki posredovani.</w:t>
      </w:r>
    </w:p>
    <w:p w14:paraId="20D7161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Za vsako posredovanje osebnih podatkov pristojnega nacionalnega organa se v poseben razvid zabeležijo podatki, navedeni v prejšnjem odstavku.</w:t>
      </w:r>
    </w:p>
    <w:p w14:paraId="76782415"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Razvid se za evidence, ki se vodijo na centralnem računalniku pristojnega nacionalnega organa, vodi centralno, v drugih primerih pa v okviru sistema poslovanja z dokumentarnim gradivom.</w:t>
      </w:r>
    </w:p>
    <w:p w14:paraId="7A0D39C1"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lastRenderedPageBreak/>
        <w:t>XII.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VARSTVO PRAVIC POSAMEZNIKA</w:t>
      </w:r>
    </w:p>
    <w:p w14:paraId="686D9254"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4E938C0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4</w:t>
      </w:r>
      <w:r>
        <w:rPr>
          <w:rFonts w:ascii="Arial" w:eastAsia="Arial" w:hAnsi="Arial" w:cs="Arial"/>
          <w:b/>
          <w:bCs/>
          <w:sz w:val="20"/>
          <w:szCs w:val="20"/>
          <w:lang w:val="sl-SI"/>
        </w:rPr>
        <w:t>7</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D702837"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(spremljanje in evidentiranje aktivnosti uporabnika)</w:t>
      </w:r>
    </w:p>
    <w:p w14:paraId="22C36B86"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Kadar je na varnostni pregradi vključena oprema, ki omogoča spremljanje in evidentiranje aktivnosti posameznega uporabnika ISP, mora biti vsak uslužbenec pristojnega nacionalnega organa, ki uporablja ISP, preden uporabi povezavo z drugim informacijskim sistemom ali svetovnim spletom, o tem na nedvoumen in jasen način opozorjen.</w:t>
      </w:r>
    </w:p>
    <w:p w14:paraId="3E00A73B"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Varnostna pregrada mora, kadar je uporabljena oprema iz prejšnjega odstavka, na spremljanje in evidentiranje dostopov opozoriti tudi zunanje uporabnike svetovnega spleta in uporabnike drugih informacijskih sistemov, preden se povežejo z viri ISP.</w:t>
      </w:r>
    </w:p>
    <w:p w14:paraId="3A1C5B13"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48</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6CDEBD2B"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(pisna izjava)</w:t>
      </w:r>
    </w:p>
    <w:p w14:paraId="380C0F96"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Uslužbenec pristojnega nacionalnega organa, ki uporablja ISP, ob sklenitvi delovnega razmerja ali premestitvi na delovno mesto, na katerem bo obdeloval varovane podatke pristojnega nacionalnega organa, s pisno izjavo potrdi, da je seznanjen s predpisi, ki v pristojnem nacionalnem organu urejajo varovanje podatkov</w:t>
      </w:r>
      <w:r w:rsidRPr="00151316">
        <w:rPr>
          <w:rFonts w:ascii="Arial" w:hAnsi="Arial" w:cs="Arial"/>
          <w:sz w:val="20"/>
          <w:szCs w:val="20"/>
          <w:lang w:val="sl-SI"/>
        </w:rPr>
        <w:t xml:space="preserve"> </w:t>
      </w:r>
      <w:r w:rsidRPr="00151316">
        <w:rPr>
          <w:rFonts w:ascii="Arial" w:eastAsia="Arial" w:hAnsi="Arial" w:cs="Arial"/>
          <w:sz w:val="20"/>
          <w:szCs w:val="20"/>
          <w:lang w:val="sl-SI"/>
        </w:rPr>
        <w:t>pristojnega nacionalnega organa.</w:t>
      </w:r>
    </w:p>
    <w:p w14:paraId="41BEB5CC"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151316">
        <w:rPr>
          <w:rFonts w:ascii="Arial" w:eastAsia="Arial" w:hAnsi="Arial" w:cs="Arial"/>
          <w:sz w:val="20"/>
          <w:szCs w:val="20"/>
          <w:lang w:val="sl-SI"/>
        </w:rPr>
        <w:t>Pisne izjave uslužbencev hrani notranja organizacijska enota pristojnega nacionalnega organa, pristojna za kadrovske zadeve, v centralni kadrovski evidenci.</w:t>
      </w:r>
    </w:p>
    <w:p w14:paraId="4C5137D0" w14:textId="77777777" w:rsidR="00024ADD"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XIII.</w:t>
      </w:r>
      <w:r>
        <w:rPr>
          <w:rFonts w:ascii="Arial" w:eastAsia="Arial" w:hAnsi="Arial" w:cs="Arial"/>
          <w:caps/>
          <w:sz w:val="20"/>
          <w:szCs w:val="20"/>
          <w:lang w:val="sl-SI"/>
        </w:rPr>
        <w:t xml:space="preserve"> </w:t>
      </w:r>
      <w:r w:rsidRPr="00151316">
        <w:rPr>
          <w:rFonts w:ascii="Arial" w:eastAsia="Arial" w:hAnsi="Arial" w:cs="Arial"/>
          <w:caps/>
          <w:sz w:val="20"/>
          <w:szCs w:val="20"/>
          <w:lang w:val="sl-SI"/>
        </w:rPr>
        <w:t>NADZOR NAD IZVAJANJEM UKREPOV IN POSTOPKOV VAROVANJA</w:t>
      </w:r>
    </w:p>
    <w:p w14:paraId="62D70532"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p>
    <w:p w14:paraId="6DEF38CF"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Pr>
          <w:rFonts w:ascii="Arial" w:eastAsia="Arial" w:hAnsi="Arial" w:cs="Arial"/>
          <w:b/>
          <w:bCs/>
          <w:sz w:val="20"/>
          <w:szCs w:val="20"/>
          <w:lang w:val="sl-SI"/>
        </w:rPr>
        <w:t>49</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0D6361C0"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(nadzor)</w:t>
      </w:r>
    </w:p>
    <w:p w14:paraId="38A9C2A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(1)</w:t>
      </w:r>
      <w:r>
        <w:rPr>
          <w:rFonts w:ascii="Arial" w:eastAsia="Arial" w:hAnsi="Arial" w:cs="Arial"/>
          <w:sz w:val="20"/>
          <w:szCs w:val="20"/>
          <w:lang w:val="sl-SI"/>
        </w:rPr>
        <w:t xml:space="preserve"> </w:t>
      </w:r>
      <w:r w:rsidRPr="00151316">
        <w:rPr>
          <w:rFonts w:ascii="Arial" w:eastAsia="Arial" w:hAnsi="Arial" w:cs="Arial"/>
          <w:sz w:val="20"/>
          <w:szCs w:val="20"/>
          <w:lang w:val="sl-SI"/>
        </w:rPr>
        <w:t>Nadzor nad izvajanjem te uredbe v pristojnem nacionalnem organu opravlja notranja organizacijska enota, pristojna za nadzor in zaščito podatkov.</w:t>
      </w:r>
    </w:p>
    <w:p w14:paraId="639DCB46"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 Nadzor nad izvajanjem te uredbe v pristojnem nacionalnem organu opravlja vodja notranje organizacijske enote, kjer se uporablja ISP.</w:t>
      </w:r>
    </w:p>
    <w:p w14:paraId="378C1C44"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(3)</w:t>
      </w:r>
      <w:r>
        <w:rPr>
          <w:rFonts w:ascii="Arial" w:eastAsia="Arial" w:hAnsi="Arial" w:cs="Arial"/>
          <w:sz w:val="20"/>
          <w:szCs w:val="20"/>
          <w:lang w:val="sl-SI"/>
        </w:rPr>
        <w:t xml:space="preserve"> </w:t>
      </w:r>
      <w:r w:rsidRPr="00151316">
        <w:rPr>
          <w:rFonts w:ascii="Arial" w:eastAsia="Arial" w:hAnsi="Arial" w:cs="Arial"/>
          <w:sz w:val="20"/>
          <w:szCs w:val="20"/>
          <w:lang w:val="sl-SI"/>
        </w:rPr>
        <w:t>Za nadzor nad obdelavo podatkov je odgovoren vodja notranje organizacijske enote, iz katere je uporabnik ISP.</w:t>
      </w:r>
    </w:p>
    <w:p w14:paraId="15251C6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5</w:t>
      </w:r>
      <w:r>
        <w:rPr>
          <w:rFonts w:ascii="Arial" w:eastAsia="Arial" w:hAnsi="Arial" w:cs="Arial"/>
          <w:b/>
          <w:bCs/>
          <w:sz w:val="20"/>
          <w:szCs w:val="20"/>
          <w:lang w:val="sl-SI"/>
        </w:rPr>
        <w:t>0</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BBF114D"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(obveščanje o informacijskem varnostnem dogodku)</w:t>
      </w:r>
    </w:p>
    <w:p w14:paraId="7C07A32A"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lastRenderedPageBreak/>
        <w:t>(1)</w:t>
      </w:r>
      <w:r>
        <w:rPr>
          <w:rFonts w:ascii="Arial" w:eastAsia="Arial" w:hAnsi="Arial" w:cs="Arial"/>
          <w:sz w:val="20"/>
          <w:szCs w:val="20"/>
          <w:lang w:val="sl-SI"/>
        </w:rPr>
        <w:t xml:space="preserve"> </w:t>
      </w:r>
      <w:r w:rsidRPr="00151316">
        <w:rPr>
          <w:rFonts w:ascii="Arial" w:eastAsia="Arial" w:hAnsi="Arial" w:cs="Arial"/>
          <w:sz w:val="20"/>
          <w:szCs w:val="20"/>
          <w:lang w:val="sl-SI"/>
        </w:rPr>
        <w:t>Uporabnik ISP, ki zazna informacijski varnostni dogodek, mora o tem nemudoma obvestiti vodjo LIS ali vodjo informacijske varnosti pristojnega nacionalnega organa. Vodja LIS, ki izve za informacijski varnostni dogodek, mora o tem obvestiti notranjo organizacijsko enoto, pristojno za zaščito podatkov.</w:t>
      </w:r>
    </w:p>
    <w:p w14:paraId="4C0B8D8D" w14:textId="77777777" w:rsidR="00024ADD" w:rsidRPr="00151316" w:rsidRDefault="00024ADD" w:rsidP="00024ADD">
      <w:pPr>
        <w:pStyle w:val="zamik"/>
        <w:pBdr>
          <w:top w:val="none" w:sz="0" w:space="12" w:color="auto"/>
        </w:pBdr>
        <w:spacing w:before="210" w:after="210"/>
        <w:jc w:val="both"/>
        <w:rPr>
          <w:rFonts w:ascii="Arial" w:eastAsia="Arial" w:hAnsi="Arial" w:cs="Arial"/>
          <w:sz w:val="20"/>
          <w:szCs w:val="20"/>
          <w:lang w:val="sl-SI"/>
        </w:rPr>
      </w:pPr>
      <w:r w:rsidRPr="00151316">
        <w:rPr>
          <w:rFonts w:ascii="Arial" w:eastAsia="Arial" w:hAnsi="Arial" w:cs="Arial"/>
          <w:sz w:val="20"/>
          <w:szCs w:val="20"/>
          <w:lang w:val="sl-SI"/>
        </w:rPr>
        <w:t>(2)</w:t>
      </w:r>
      <w:r>
        <w:rPr>
          <w:rFonts w:ascii="Arial" w:eastAsia="Arial" w:hAnsi="Arial" w:cs="Arial"/>
          <w:sz w:val="20"/>
          <w:szCs w:val="20"/>
          <w:lang w:val="sl-SI"/>
        </w:rPr>
        <w:t xml:space="preserve"> </w:t>
      </w:r>
      <w:r w:rsidRPr="00B9743B">
        <w:rPr>
          <w:rFonts w:ascii="Arial" w:eastAsia="Arial" w:hAnsi="Arial" w:cs="Arial"/>
          <w:sz w:val="20"/>
          <w:szCs w:val="20"/>
          <w:lang w:val="sl-SI"/>
        </w:rPr>
        <w:t>Uporabnik ISP mora izvesti prve nujne ukrepe za preprečitev nadaljnjih škodljivih posledic in zavarovanje sledi.</w:t>
      </w:r>
    </w:p>
    <w:p w14:paraId="72422779" w14:textId="77777777" w:rsidR="00024ADD" w:rsidRPr="00151316" w:rsidRDefault="00024ADD" w:rsidP="00024ADD">
      <w:pPr>
        <w:pStyle w:val="center"/>
        <w:pBdr>
          <w:top w:val="none" w:sz="0" w:space="24" w:color="auto"/>
        </w:pBdr>
        <w:spacing w:before="210" w:after="210"/>
        <w:rPr>
          <w:rFonts w:ascii="Arial" w:eastAsia="Arial" w:hAnsi="Arial" w:cs="Arial"/>
          <w:caps/>
          <w:sz w:val="20"/>
          <w:szCs w:val="20"/>
          <w:lang w:val="sl-SI"/>
        </w:rPr>
      </w:pPr>
      <w:r w:rsidRPr="00151316">
        <w:rPr>
          <w:rFonts w:ascii="Arial" w:eastAsia="Arial" w:hAnsi="Arial" w:cs="Arial"/>
          <w:caps/>
          <w:sz w:val="20"/>
          <w:szCs w:val="20"/>
          <w:lang w:val="sl-SI"/>
        </w:rPr>
        <w:t>XIV. KONČNA DOLOČBA</w:t>
      </w:r>
    </w:p>
    <w:p w14:paraId="6EF1313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p>
    <w:p w14:paraId="35F9BFF5"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5</w:t>
      </w:r>
      <w:r>
        <w:rPr>
          <w:rFonts w:ascii="Arial" w:eastAsia="Arial" w:hAnsi="Arial" w:cs="Arial"/>
          <w:b/>
          <w:bCs/>
          <w:sz w:val="20"/>
          <w:szCs w:val="20"/>
          <w:lang w:val="sl-SI"/>
        </w:rPr>
        <w:t>1</w:t>
      </w:r>
      <w:r w:rsidRPr="00151316">
        <w:rPr>
          <w:rFonts w:ascii="Arial" w:eastAsia="Arial" w:hAnsi="Arial" w:cs="Arial"/>
          <w:b/>
          <w:bCs/>
          <w:sz w:val="20"/>
          <w:szCs w:val="20"/>
          <w:lang w:val="sl-SI"/>
        </w:rPr>
        <w:t>.</w:t>
      </w:r>
      <w:r>
        <w:rPr>
          <w:rFonts w:ascii="Arial" w:eastAsia="Arial" w:hAnsi="Arial" w:cs="Arial"/>
          <w:b/>
          <w:bCs/>
          <w:sz w:val="20"/>
          <w:szCs w:val="20"/>
          <w:lang w:val="sl-SI"/>
        </w:rPr>
        <w:t xml:space="preserve"> </w:t>
      </w:r>
      <w:r w:rsidRPr="00151316">
        <w:rPr>
          <w:rFonts w:ascii="Arial" w:eastAsia="Arial" w:hAnsi="Arial" w:cs="Arial"/>
          <w:b/>
          <w:bCs/>
          <w:sz w:val="20"/>
          <w:szCs w:val="20"/>
          <w:lang w:val="sl-SI"/>
        </w:rPr>
        <w:t>člen</w:t>
      </w:r>
    </w:p>
    <w:p w14:paraId="4945DDAA" w14:textId="77777777" w:rsidR="00024ADD" w:rsidRPr="00151316" w:rsidRDefault="00024ADD" w:rsidP="00024ADD">
      <w:pPr>
        <w:pStyle w:val="center"/>
        <w:pBdr>
          <w:top w:val="none" w:sz="0" w:space="24" w:color="auto"/>
        </w:pBdr>
        <w:spacing w:before="210" w:after="210"/>
        <w:rPr>
          <w:rFonts w:ascii="Arial" w:eastAsia="Arial" w:hAnsi="Arial" w:cs="Arial"/>
          <w:b/>
          <w:bCs/>
          <w:sz w:val="20"/>
          <w:szCs w:val="20"/>
          <w:lang w:val="sl-SI"/>
        </w:rPr>
      </w:pPr>
      <w:r w:rsidRPr="00151316">
        <w:rPr>
          <w:rFonts w:ascii="Arial" w:eastAsia="Arial" w:hAnsi="Arial" w:cs="Arial"/>
          <w:b/>
          <w:bCs/>
          <w:sz w:val="20"/>
          <w:szCs w:val="20"/>
          <w:lang w:val="sl-SI"/>
        </w:rPr>
        <w:t>(začetek veljavnosti)</w:t>
      </w:r>
    </w:p>
    <w:p w14:paraId="18559D6C" w14:textId="77777777" w:rsidR="00024ADD" w:rsidRPr="00151316" w:rsidRDefault="00024ADD" w:rsidP="001D3CA4">
      <w:pPr>
        <w:pStyle w:val="zamik"/>
        <w:pBdr>
          <w:top w:val="none" w:sz="0" w:space="12" w:color="auto"/>
        </w:pBdr>
        <w:spacing w:before="210" w:after="210"/>
        <w:ind w:firstLine="0"/>
        <w:jc w:val="both"/>
        <w:rPr>
          <w:rFonts w:ascii="Arial" w:eastAsia="Arial" w:hAnsi="Arial" w:cs="Arial"/>
          <w:sz w:val="20"/>
          <w:szCs w:val="20"/>
          <w:lang w:val="sl-SI"/>
        </w:rPr>
      </w:pPr>
      <w:r w:rsidRPr="00151316">
        <w:rPr>
          <w:rFonts w:ascii="Arial" w:eastAsia="Arial" w:hAnsi="Arial" w:cs="Arial"/>
          <w:sz w:val="20"/>
          <w:szCs w:val="20"/>
          <w:lang w:val="sl-SI"/>
        </w:rPr>
        <w:t>Ta uredba začne veljati petnajsti dan po objavi v Uradnem listu Republike Slovenije.</w:t>
      </w:r>
    </w:p>
    <w:p w14:paraId="3D63A97E" w14:textId="77777777" w:rsidR="00001B29" w:rsidRPr="007660B3" w:rsidRDefault="00001B29" w:rsidP="007660B3">
      <w:pPr>
        <w:spacing w:line="240" w:lineRule="auto"/>
        <w:rPr>
          <w:rFonts w:cs="Arial"/>
          <w:szCs w:val="20"/>
          <w:lang w:val="sl-SI"/>
        </w:rPr>
      </w:pPr>
    </w:p>
    <w:sectPr w:rsidR="00001B29" w:rsidRPr="007660B3" w:rsidSect="00E83A37">
      <w:footerReference w:type="default" r:id="rId88"/>
      <w:headerReference w:type="first" r:id="rId89"/>
      <w:pgSz w:w="11900" w:h="16840" w:code="9"/>
      <w:pgMar w:top="1701" w:right="1701" w:bottom="1134" w:left="1701" w:header="709"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94F280" w14:textId="77777777" w:rsidR="001A1D3D" w:rsidRDefault="001A1D3D">
      <w:r>
        <w:separator/>
      </w:r>
    </w:p>
  </w:endnote>
  <w:endnote w:type="continuationSeparator" w:id="0">
    <w:p w14:paraId="28C4CB8B" w14:textId="77777777" w:rsidR="001A1D3D" w:rsidRDefault="001A1D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4197570"/>
      <w:docPartObj>
        <w:docPartGallery w:val="Page Numbers (Bottom of Page)"/>
        <w:docPartUnique/>
      </w:docPartObj>
    </w:sdtPr>
    <w:sdtEndPr/>
    <w:sdtContent>
      <w:p w14:paraId="140BE341" w14:textId="14115463" w:rsidR="00594E31" w:rsidRDefault="00594E31" w:rsidP="00374B24">
        <w:pPr>
          <w:pStyle w:val="Noga"/>
          <w:jc w:val="center"/>
        </w:pPr>
        <w:r>
          <w:fldChar w:fldCharType="begin"/>
        </w:r>
        <w:r>
          <w:instrText>PAGE   \* MERGEFORMAT</w:instrText>
        </w:r>
        <w:r>
          <w:fldChar w:fldCharType="separate"/>
        </w:r>
        <w:r w:rsidR="0019719C" w:rsidRPr="0019719C">
          <w:rPr>
            <w:noProof/>
            <w:lang w:val="sl-SI"/>
          </w:rPr>
          <w:t>21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8F365E" w14:textId="77777777" w:rsidR="001A1D3D" w:rsidRDefault="001A1D3D">
      <w:r>
        <w:separator/>
      </w:r>
    </w:p>
  </w:footnote>
  <w:footnote w:type="continuationSeparator" w:id="0">
    <w:p w14:paraId="01099A76" w14:textId="77777777" w:rsidR="001A1D3D" w:rsidRDefault="001A1D3D">
      <w:r>
        <w:continuationSeparator/>
      </w:r>
    </w:p>
  </w:footnote>
  <w:footnote w:id="1">
    <w:p w14:paraId="310E7846" w14:textId="77777777" w:rsidR="000A51A5" w:rsidRPr="004E063E" w:rsidRDefault="000A51A5" w:rsidP="000A51A5">
      <w:pPr>
        <w:pStyle w:val="Sprotnaopomba-besedilo"/>
        <w:rPr>
          <w:rFonts w:cs="Arial"/>
          <w:color w:val="000000"/>
          <w:sz w:val="16"/>
          <w:szCs w:val="16"/>
          <w:shd w:val="clear" w:color="auto" w:fill="FFFFFF"/>
          <w:lang w:val="sl-SI"/>
        </w:rPr>
      </w:pPr>
      <w:r w:rsidRPr="004E063E">
        <w:rPr>
          <w:rFonts w:cs="Arial"/>
          <w:color w:val="000000"/>
          <w:shd w:val="clear" w:color="auto" w:fill="FFFFFF"/>
          <w:vertAlign w:val="superscript"/>
          <w:lang w:val="sl-SI"/>
        </w:rPr>
        <w:footnoteRef/>
      </w:r>
      <w:r w:rsidRPr="004E063E">
        <w:rPr>
          <w:rFonts w:cs="Arial"/>
          <w:color w:val="000000"/>
          <w:sz w:val="16"/>
          <w:szCs w:val="16"/>
          <w:shd w:val="clear" w:color="auto" w:fill="FFFFFF"/>
          <w:vertAlign w:val="superscript"/>
          <w:lang w:val="sl-SI"/>
        </w:rPr>
        <w:t xml:space="preserve"> </w:t>
      </w:r>
      <w:hyperlink r:id="rId1" w:tgtFrame="_blank" w:tooltip="to EUR-Lex" w:history="1">
        <w:r w:rsidRPr="004E063E">
          <w:rPr>
            <w:rFonts w:cs="Arial"/>
            <w:color w:val="000000"/>
            <w:sz w:val="16"/>
            <w:szCs w:val="16"/>
            <w:shd w:val="clear" w:color="auto" w:fill="FFFFFF"/>
            <w:lang w:val="sl-SI"/>
          </w:rPr>
          <w:t>Uredb</w:t>
        </w:r>
        <w:r>
          <w:rPr>
            <w:rFonts w:cs="Arial"/>
            <w:color w:val="000000"/>
            <w:sz w:val="16"/>
            <w:szCs w:val="16"/>
            <w:shd w:val="clear" w:color="auto" w:fill="FFFFFF"/>
            <w:lang w:val="sl-SI"/>
          </w:rPr>
          <w:t>a</w:t>
        </w:r>
        <w:r w:rsidRPr="004E063E">
          <w:rPr>
            <w:rFonts w:cs="Arial"/>
            <w:color w:val="000000"/>
            <w:sz w:val="16"/>
            <w:szCs w:val="16"/>
            <w:shd w:val="clear" w:color="auto" w:fill="FFFFFF"/>
            <w:lang w:val="sl-SI"/>
          </w:rPr>
          <w:t xml:space="preserve"> (EU) 2016/679</w:t>
        </w:r>
      </w:hyperlink>
      <w:r w:rsidRPr="004E063E">
        <w:rPr>
          <w:rFonts w:cs="Arial"/>
          <w:color w:val="000000"/>
          <w:sz w:val="16"/>
          <w:szCs w:val="16"/>
          <w:shd w:val="clear" w:color="auto" w:fill="FFFFFF"/>
          <w:lang w:val="sl-SI"/>
        </w:rPr>
        <w:t> Evropskega parlamenta in Sveta z dne 27. aprila 2016 o varstvu posameznikov pri obdelavi osebnih podatkov in o prostem pretoku takih podatkov ter o razveljavitvi </w:t>
      </w:r>
      <w:hyperlink r:id="rId2" w:tgtFrame="_blank" w:tooltip="to EUR-Lex" w:history="1">
        <w:r w:rsidRPr="004E063E">
          <w:rPr>
            <w:rFonts w:cs="Arial"/>
            <w:color w:val="000000"/>
            <w:sz w:val="16"/>
            <w:szCs w:val="16"/>
            <w:shd w:val="clear" w:color="auto" w:fill="FFFFFF"/>
            <w:lang w:val="sl-SI"/>
          </w:rPr>
          <w:t>Direktive 95/46/ES</w:t>
        </w:r>
      </w:hyperlink>
      <w:r w:rsidRPr="004E063E">
        <w:rPr>
          <w:rFonts w:cs="Arial"/>
          <w:color w:val="000000"/>
          <w:sz w:val="16"/>
          <w:szCs w:val="16"/>
          <w:shd w:val="clear" w:color="auto" w:fill="FFFFFF"/>
          <w:lang w:val="sl-SI"/>
        </w:rPr>
        <w:t> (Splošna uredba o varstvu podatkov) (UL L št. 119 z dne 4. 5. 2016, str. 1), zadnjič popravljen</w:t>
      </w:r>
      <w:r>
        <w:rPr>
          <w:rFonts w:cs="Arial"/>
          <w:color w:val="000000"/>
          <w:sz w:val="16"/>
          <w:szCs w:val="16"/>
          <w:shd w:val="clear" w:color="auto" w:fill="FFFFFF"/>
          <w:lang w:val="sl-SI"/>
        </w:rPr>
        <w:t>a</w:t>
      </w:r>
      <w:r w:rsidRPr="004E063E">
        <w:rPr>
          <w:rFonts w:cs="Arial"/>
          <w:color w:val="000000"/>
          <w:sz w:val="16"/>
          <w:szCs w:val="16"/>
          <w:shd w:val="clear" w:color="auto" w:fill="FFFFFF"/>
          <w:lang w:val="sl-SI"/>
        </w:rPr>
        <w:t xml:space="preserve"> s Popravkom (UL L št. 127 z dne 23. 5. 2018, str. 2</w:t>
      </w:r>
      <w:r>
        <w:rPr>
          <w:rFonts w:cs="Arial"/>
          <w:color w:val="000000"/>
          <w:sz w:val="16"/>
          <w:szCs w:val="16"/>
          <w:shd w:val="clear" w:color="auto" w:fill="FFFFFF"/>
          <w:lang w:val="sl-SI"/>
        </w:rPr>
        <w:t>).</w:t>
      </w:r>
    </w:p>
  </w:footnote>
  <w:footnote w:id="2">
    <w:p w14:paraId="4AB35C35" w14:textId="77777777" w:rsidR="00C50F53" w:rsidRPr="00022E38" w:rsidRDefault="00C50F53" w:rsidP="00C50F53">
      <w:pPr>
        <w:pStyle w:val="Sprotnaopomba-besedilo"/>
        <w:rPr>
          <w:lang w:val="sl-SI"/>
        </w:rPr>
      </w:pPr>
      <w:r>
        <w:rPr>
          <w:rStyle w:val="Sprotnaopomba-sklic"/>
        </w:rPr>
        <w:footnoteRef/>
      </w:r>
      <w:r w:rsidRPr="00C50F53">
        <w:rPr>
          <w:lang w:val="sl-SI"/>
        </w:rPr>
        <w:t xml:space="preserve"> </w:t>
      </w:r>
      <w:r w:rsidRPr="00C50F53">
        <w:rPr>
          <w:sz w:val="16"/>
          <w:szCs w:val="16"/>
          <w:lang w:val="sl-SI"/>
        </w:rPr>
        <w:t xml:space="preserve">Uredba (EU) 2019/943 </w:t>
      </w:r>
      <w:r w:rsidRPr="00022E38">
        <w:rPr>
          <w:sz w:val="16"/>
          <w:szCs w:val="16"/>
          <w:lang w:val="sl-SI"/>
        </w:rPr>
        <w:t>Evropskega parlamenta in Sveta z dne 5. junija 2019 o notranjem trgu električne energije</w:t>
      </w:r>
      <w:r w:rsidRPr="00C50F53">
        <w:rPr>
          <w:sz w:val="16"/>
          <w:szCs w:val="16"/>
          <w:lang w:val="sl-SI"/>
        </w:rPr>
        <w:t xml:space="preserve"> (UL L št. 158 z dne 14. 6. 2019, str. 54).</w:t>
      </w:r>
    </w:p>
  </w:footnote>
  <w:footnote w:id="3">
    <w:p w14:paraId="5DE534C5"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(ES) št. 549/2004 Evropskega parlamenta in Sveta z dne 10. marca 2004 o določitvi okvira za oblikovanje enotnega evropskega neba (okvirna uredba) (UL L </w:t>
      </w:r>
      <w:r>
        <w:rPr>
          <w:sz w:val="16"/>
          <w:szCs w:val="16"/>
          <w:lang w:val="sl-SI"/>
        </w:rPr>
        <w:t xml:space="preserve">št. </w:t>
      </w:r>
      <w:r w:rsidRPr="00022E38">
        <w:rPr>
          <w:sz w:val="16"/>
          <w:szCs w:val="16"/>
          <w:lang w:val="sl-SI"/>
        </w:rPr>
        <w:t>96</w:t>
      </w:r>
      <w:r>
        <w:rPr>
          <w:sz w:val="16"/>
          <w:szCs w:val="16"/>
          <w:lang w:val="sl-SI"/>
        </w:rPr>
        <w:t xml:space="preserve"> z dne </w:t>
      </w:r>
      <w:r w:rsidRPr="00022E38">
        <w:rPr>
          <w:sz w:val="16"/>
          <w:szCs w:val="16"/>
          <w:lang w:val="sl-SI"/>
        </w:rPr>
        <w:t>31.</w:t>
      </w:r>
      <w:r>
        <w:rPr>
          <w:sz w:val="16"/>
          <w:szCs w:val="16"/>
          <w:lang w:val="sl-SI"/>
        </w:rPr>
        <w:t xml:space="preserve"> </w:t>
      </w:r>
      <w:r w:rsidRPr="00022E38">
        <w:rPr>
          <w:sz w:val="16"/>
          <w:szCs w:val="16"/>
          <w:lang w:val="sl-SI"/>
        </w:rPr>
        <w:t>3.</w:t>
      </w:r>
      <w:r>
        <w:rPr>
          <w:sz w:val="16"/>
          <w:szCs w:val="16"/>
          <w:lang w:val="sl-SI"/>
        </w:rPr>
        <w:t xml:space="preserve"> </w:t>
      </w:r>
      <w:r w:rsidRPr="00022E38">
        <w:rPr>
          <w:sz w:val="16"/>
          <w:szCs w:val="16"/>
          <w:lang w:val="sl-SI"/>
        </w:rPr>
        <w:t>2004, str. 1).</w:t>
      </w:r>
    </w:p>
  </w:footnote>
  <w:footnote w:id="4">
    <w:p w14:paraId="3D264966"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(ES) št. 725/2004 Evropskega parlamenta in Sveta z dne 31. marca 2004 o povečanju zaščite na ladjah in v pristaniščih (UL L </w:t>
      </w:r>
      <w:r>
        <w:rPr>
          <w:sz w:val="16"/>
          <w:szCs w:val="16"/>
          <w:lang w:val="sl-SI"/>
        </w:rPr>
        <w:t xml:space="preserve">št. </w:t>
      </w:r>
      <w:r w:rsidRPr="00022E38">
        <w:rPr>
          <w:sz w:val="16"/>
          <w:szCs w:val="16"/>
          <w:lang w:val="sl-SI"/>
        </w:rPr>
        <w:t>129</w:t>
      </w:r>
      <w:r>
        <w:rPr>
          <w:sz w:val="16"/>
          <w:szCs w:val="16"/>
          <w:lang w:val="sl-SI"/>
        </w:rPr>
        <w:t xml:space="preserve"> z dne</w:t>
      </w:r>
      <w:r w:rsidRPr="00022E38">
        <w:rPr>
          <w:sz w:val="16"/>
          <w:szCs w:val="16"/>
          <w:lang w:val="sl-SI"/>
        </w:rPr>
        <w:t xml:space="preserve"> 29.</w:t>
      </w:r>
      <w:r>
        <w:rPr>
          <w:sz w:val="16"/>
          <w:szCs w:val="16"/>
          <w:lang w:val="sl-SI"/>
        </w:rPr>
        <w:t xml:space="preserve"> </w:t>
      </w:r>
      <w:r w:rsidRPr="00022E38">
        <w:rPr>
          <w:sz w:val="16"/>
          <w:szCs w:val="16"/>
          <w:lang w:val="sl-SI"/>
        </w:rPr>
        <w:t>4.</w:t>
      </w:r>
      <w:r>
        <w:rPr>
          <w:sz w:val="16"/>
          <w:szCs w:val="16"/>
          <w:lang w:val="sl-SI"/>
        </w:rPr>
        <w:t xml:space="preserve"> </w:t>
      </w:r>
      <w:r w:rsidRPr="00022E38">
        <w:rPr>
          <w:sz w:val="16"/>
          <w:szCs w:val="16"/>
          <w:lang w:val="sl-SI"/>
        </w:rPr>
        <w:t>2004, str. 6).</w:t>
      </w:r>
    </w:p>
  </w:footnote>
  <w:footnote w:id="5">
    <w:p w14:paraId="00DAB41C"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Delegirana uredba Komisije (EU) 2015/962 z dne 18. decembra 2014 o dopolnitvi Direktive 2010/40/EU Evropskega parlamenta in Sveta v zvezi z opravljanjem storitev zagotavljanja prometnih informacij v realnem času po vsej EU (UL L</w:t>
      </w:r>
      <w:r>
        <w:rPr>
          <w:sz w:val="16"/>
          <w:szCs w:val="16"/>
          <w:lang w:val="sl-SI"/>
        </w:rPr>
        <w:t xml:space="preserve"> št.</w:t>
      </w:r>
      <w:r w:rsidRPr="00022E38">
        <w:rPr>
          <w:sz w:val="16"/>
          <w:szCs w:val="16"/>
          <w:lang w:val="sl-SI"/>
        </w:rPr>
        <w:t xml:space="preserve"> 157</w:t>
      </w:r>
      <w:r>
        <w:rPr>
          <w:sz w:val="16"/>
          <w:szCs w:val="16"/>
          <w:lang w:val="sl-SI"/>
        </w:rPr>
        <w:t xml:space="preserve"> z dne </w:t>
      </w:r>
      <w:r w:rsidRPr="00022E38">
        <w:rPr>
          <w:sz w:val="16"/>
          <w:szCs w:val="16"/>
          <w:lang w:val="sl-SI"/>
        </w:rPr>
        <w:t>23.</w:t>
      </w:r>
      <w:r>
        <w:rPr>
          <w:sz w:val="16"/>
          <w:szCs w:val="16"/>
          <w:lang w:val="sl-SI"/>
        </w:rPr>
        <w:t xml:space="preserve"> </w:t>
      </w:r>
      <w:r w:rsidRPr="00022E38">
        <w:rPr>
          <w:sz w:val="16"/>
          <w:szCs w:val="16"/>
          <w:lang w:val="sl-SI"/>
        </w:rPr>
        <w:t>6.</w:t>
      </w:r>
      <w:r>
        <w:rPr>
          <w:sz w:val="16"/>
          <w:szCs w:val="16"/>
          <w:lang w:val="sl-SI"/>
        </w:rPr>
        <w:t xml:space="preserve"> </w:t>
      </w:r>
      <w:r w:rsidRPr="00022E38">
        <w:rPr>
          <w:sz w:val="16"/>
          <w:szCs w:val="16"/>
          <w:lang w:val="sl-SI"/>
        </w:rPr>
        <w:t>2015, str. 21).</w:t>
      </w:r>
    </w:p>
  </w:footnote>
  <w:footnote w:id="6">
    <w:p w14:paraId="613C58C8"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(EU) št. 575/2013 Evropskega parlamenta in Sveta z dne 26. junija 2013 o bonitetnih zahtevah za kreditne institucije in o spremembi Uredbe (EU) št. 648/2012 (UL L </w:t>
      </w:r>
      <w:r>
        <w:rPr>
          <w:sz w:val="16"/>
          <w:szCs w:val="16"/>
          <w:lang w:val="sl-SI"/>
        </w:rPr>
        <w:t xml:space="preserve">št. </w:t>
      </w:r>
      <w:r w:rsidRPr="00022E38">
        <w:rPr>
          <w:sz w:val="16"/>
          <w:szCs w:val="16"/>
          <w:lang w:val="sl-SI"/>
        </w:rPr>
        <w:t>176</w:t>
      </w:r>
      <w:r>
        <w:rPr>
          <w:sz w:val="16"/>
          <w:szCs w:val="16"/>
          <w:lang w:val="sl-SI"/>
        </w:rPr>
        <w:t xml:space="preserve"> z dne</w:t>
      </w:r>
      <w:r w:rsidRPr="00022E38">
        <w:rPr>
          <w:sz w:val="16"/>
          <w:szCs w:val="16"/>
          <w:lang w:val="sl-SI"/>
        </w:rPr>
        <w:t xml:space="preserve"> 27.</w:t>
      </w:r>
      <w:r>
        <w:rPr>
          <w:sz w:val="16"/>
          <w:szCs w:val="16"/>
          <w:lang w:val="sl-SI"/>
        </w:rPr>
        <w:t xml:space="preserve"> </w:t>
      </w:r>
      <w:r w:rsidRPr="00022E38">
        <w:rPr>
          <w:sz w:val="16"/>
          <w:szCs w:val="16"/>
          <w:lang w:val="sl-SI"/>
        </w:rPr>
        <w:t>6.</w:t>
      </w:r>
      <w:r>
        <w:rPr>
          <w:sz w:val="16"/>
          <w:szCs w:val="16"/>
          <w:lang w:val="sl-SI"/>
        </w:rPr>
        <w:t xml:space="preserve"> </w:t>
      </w:r>
      <w:r w:rsidRPr="00022E38">
        <w:rPr>
          <w:sz w:val="16"/>
          <w:szCs w:val="16"/>
          <w:lang w:val="sl-SI"/>
        </w:rPr>
        <w:t>2013, str. 1).</w:t>
      </w:r>
    </w:p>
  </w:footnote>
  <w:footnote w:id="7">
    <w:p w14:paraId="6326DCDA"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(EU) št. 648/2012 Evropskega parlamenta in Sveta z dne 4. julija 2012 o izvedenih finančnih instrumentih OTC, centralnih nasprotnih strankah in repozitorijih sklenjenih poslov (UL L </w:t>
      </w:r>
      <w:r>
        <w:rPr>
          <w:sz w:val="16"/>
          <w:szCs w:val="16"/>
          <w:lang w:val="sl-SI"/>
        </w:rPr>
        <w:t xml:space="preserve">št. </w:t>
      </w:r>
      <w:r w:rsidRPr="00022E38">
        <w:rPr>
          <w:sz w:val="16"/>
          <w:szCs w:val="16"/>
          <w:lang w:val="sl-SI"/>
        </w:rPr>
        <w:t>201</w:t>
      </w:r>
      <w:r>
        <w:rPr>
          <w:sz w:val="16"/>
          <w:szCs w:val="16"/>
          <w:lang w:val="sl-SI"/>
        </w:rPr>
        <w:t xml:space="preserve"> z dne</w:t>
      </w:r>
      <w:r w:rsidRPr="00022E38">
        <w:rPr>
          <w:sz w:val="16"/>
          <w:szCs w:val="16"/>
          <w:lang w:val="sl-SI"/>
        </w:rPr>
        <w:t xml:space="preserve"> 27.</w:t>
      </w:r>
      <w:r>
        <w:rPr>
          <w:sz w:val="16"/>
          <w:szCs w:val="16"/>
          <w:lang w:val="sl-SI"/>
        </w:rPr>
        <w:t xml:space="preserve"> </w:t>
      </w:r>
      <w:r w:rsidRPr="00022E38">
        <w:rPr>
          <w:sz w:val="16"/>
          <w:szCs w:val="16"/>
          <w:lang w:val="sl-SI"/>
        </w:rPr>
        <w:t>7.</w:t>
      </w:r>
      <w:r>
        <w:rPr>
          <w:sz w:val="16"/>
          <w:szCs w:val="16"/>
          <w:lang w:val="sl-SI"/>
        </w:rPr>
        <w:t xml:space="preserve"> </w:t>
      </w:r>
      <w:r w:rsidRPr="00022E38">
        <w:rPr>
          <w:sz w:val="16"/>
          <w:szCs w:val="16"/>
          <w:lang w:val="sl-SI"/>
        </w:rPr>
        <w:t>2012, str. 1).</w:t>
      </w:r>
    </w:p>
  </w:footnote>
  <w:footnote w:id="8">
    <w:p w14:paraId="64F38796" w14:textId="77777777" w:rsidR="00C50F53" w:rsidRPr="00022E38" w:rsidRDefault="00C50F53" w:rsidP="00C50F53">
      <w:pPr>
        <w:pStyle w:val="Sprotnaopomba-besedilo"/>
        <w:jc w:val="both"/>
        <w:rPr>
          <w:sz w:val="16"/>
          <w:szCs w:val="16"/>
          <w:lang w:val="sl-SI"/>
        </w:rPr>
      </w:pPr>
      <w:r>
        <w:rPr>
          <w:rStyle w:val="Sprotnaopomba-sklic"/>
        </w:rPr>
        <w:footnoteRef/>
      </w:r>
      <w:r w:rsidRPr="00022E38">
        <w:rPr>
          <w:lang w:val="sl-SI"/>
        </w:rPr>
        <w:t xml:space="preserve"> </w:t>
      </w:r>
      <w:r w:rsidRPr="00022E38">
        <w:rPr>
          <w:sz w:val="16"/>
          <w:szCs w:val="16"/>
          <w:lang w:val="sl-SI"/>
        </w:rPr>
        <w:t xml:space="preserve">Uredba (EU) 2022/2371 Evropskega parlamenta in Sveta z dne 23. novembra 2022 o resnih čezmejnih grožnjah za zdravje in o razveljavitvi Sklepa št. 1082/2013/EU (UL L </w:t>
      </w:r>
      <w:r>
        <w:rPr>
          <w:sz w:val="16"/>
          <w:szCs w:val="16"/>
          <w:lang w:val="sl-SI"/>
        </w:rPr>
        <w:t xml:space="preserve">št. </w:t>
      </w:r>
      <w:r w:rsidRPr="00022E38">
        <w:rPr>
          <w:sz w:val="16"/>
          <w:szCs w:val="16"/>
          <w:lang w:val="sl-SI"/>
        </w:rPr>
        <w:t>314</w:t>
      </w:r>
      <w:r>
        <w:rPr>
          <w:sz w:val="16"/>
          <w:szCs w:val="16"/>
          <w:lang w:val="sl-SI"/>
        </w:rPr>
        <w:t xml:space="preserve"> z dne</w:t>
      </w:r>
      <w:r w:rsidRPr="00022E38">
        <w:rPr>
          <w:sz w:val="16"/>
          <w:szCs w:val="16"/>
          <w:lang w:val="sl-SI"/>
        </w:rPr>
        <w:t xml:space="preserve"> 6.</w:t>
      </w:r>
      <w:r>
        <w:rPr>
          <w:sz w:val="16"/>
          <w:szCs w:val="16"/>
          <w:lang w:val="sl-SI"/>
        </w:rPr>
        <w:t xml:space="preserve"> </w:t>
      </w:r>
      <w:r w:rsidRPr="00022E38">
        <w:rPr>
          <w:sz w:val="16"/>
          <w:szCs w:val="16"/>
          <w:lang w:val="sl-SI"/>
        </w:rPr>
        <w:t>12.</w:t>
      </w:r>
      <w:r>
        <w:rPr>
          <w:sz w:val="16"/>
          <w:szCs w:val="16"/>
          <w:lang w:val="sl-SI"/>
        </w:rPr>
        <w:t xml:space="preserve"> </w:t>
      </w:r>
      <w:r w:rsidRPr="00022E38">
        <w:rPr>
          <w:sz w:val="16"/>
          <w:szCs w:val="16"/>
          <w:lang w:val="sl-SI"/>
        </w:rPr>
        <w:t>2022, str. 26).</w:t>
      </w:r>
    </w:p>
  </w:footnote>
  <w:footnote w:id="9">
    <w:p w14:paraId="6DA57103" w14:textId="77777777" w:rsidR="00C50F53" w:rsidRPr="00022E38" w:rsidRDefault="00C50F53" w:rsidP="00C50F53">
      <w:pPr>
        <w:pStyle w:val="Sprotnaopomba-besedilo"/>
        <w:jc w:val="both"/>
        <w:rPr>
          <w:sz w:val="16"/>
          <w:szCs w:val="16"/>
          <w:lang w:val="sl-SI"/>
        </w:rPr>
      </w:pPr>
      <w:r>
        <w:rPr>
          <w:rStyle w:val="Sprotnaopomba-sklic"/>
        </w:rPr>
        <w:footnoteRef/>
      </w:r>
      <w:r w:rsidRPr="00022E38">
        <w:rPr>
          <w:lang w:val="sl-SI"/>
        </w:rPr>
        <w:t xml:space="preserve"> </w:t>
      </w:r>
      <w:r w:rsidRPr="00022E38">
        <w:rPr>
          <w:sz w:val="16"/>
          <w:szCs w:val="16"/>
          <w:lang w:val="sl-SI"/>
        </w:rPr>
        <w:t>Uredba (ES) št. 1893/2006 Evropskega Parlamenta in Sveta z dne 20. decembra 2006 o uvedbi statistične klasifikacije gospodarskih dejavnosti NACE Revizija 2 in o spremembi Uredbe Sveta (EGS) št. 3037/90 kakor tudi nekaterih uredb ES o posebnih statističnih področjih</w:t>
      </w:r>
      <w:r>
        <w:rPr>
          <w:sz w:val="16"/>
          <w:szCs w:val="16"/>
          <w:lang w:val="sl-SI"/>
        </w:rPr>
        <w:t xml:space="preserve"> (</w:t>
      </w:r>
      <w:r w:rsidRPr="00022E38">
        <w:rPr>
          <w:sz w:val="16"/>
          <w:szCs w:val="16"/>
          <w:lang w:val="sl-SI"/>
        </w:rPr>
        <w:t xml:space="preserve">UL L </w:t>
      </w:r>
      <w:r>
        <w:rPr>
          <w:sz w:val="16"/>
          <w:szCs w:val="16"/>
          <w:lang w:val="sl-SI"/>
        </w:rPr>
        <w:t xml:space="preserve">št. </w:t>
      </w:r>
      <w:r w:rsidRPr="00022E38">
        <w:rPr>
          <w:sz w:val="16"/>
          <w:szCs w:val="16"/>
          <w:lang w:val="sl-SI"/>
        </w:rPr>
        <w:t>393</w:t>
      </w:r>
      <w:r>
        <w:rPr>
          <w:sz w:val="16"/>
          <w:szCs w:val="16"/>
          <w:lang w:val="sl-SI"/>
        </w:rPr>
        <w:t xml:space="preserve"> z dne</w:t>
      </w:r>
      <w:r w:rsidRPr="00022E38">
        <w:rPr>
          <w:sz w:val="16"/>
          <w:szCs w:val="16"/>
          <w:lang w:val="sl-SI"/>
        </w:rPr>
        <w:t xml:space="preserve"> 30.</w:t>
      </w:r>
      <w:r>
        <w:rPr>
          <w:sz w:val="16"/>
          <w:szCs w:val="16"/>
          <w:lang w:val="sl-SI"/>
        </w:rPr>
        <w:t xml:space="preserve"> </w:t>
      </w:r>
      <w:r w:rsidRPr="00022E38">
        <w:rPr>
          <w:sz w:val="16"/>
          <w:szCs w:val="16"/>
          <w:lang w:val="sl-SI"/>
        </w:rPr>
        <w:t>12.</w:t>
      </w:r>
      <w:r>
        <w:rPr>
          <w:sz w:val="16"/>
          <w:szCs w:val="16"/>
          <w:lang w:val="sl-SI"/>
        </w:rPr>
        <w:t xml:space="preserve"> </w:t>
      </w:r>
      <w:r w:rsidRPr="00022E38">
        <w:rPr>
          <w:sz w:val="16"/>
          <w:szCs w:val="16"/>
          <w:lang w:val="sl-SI"/>
        </w:rPr>
        <w:t xml:space="preserve">2006, </w:t>
      </w:r>
      <w:r>
        <w:rPr>
          <w:sz w:val="16"/>
          <w:szCs w:val="16"/>
          <w:lang w:val="sl-SI"/>
        </w:rPr>
        <w:t>str</w:t>
      </w:r>
      <w:r w:rsidRPr="00022E38">
        <w:rPr>
          <w:sz w:val="16"/>
          <w:szCs w:val="16"/>
          <w:lang w:val="sl-SI"/>
        </w:rPr>
        <w:t>. 1</w:t>
      </w:r>
      <w:r w:rsidRPr="00022E38">
        <w:rPr>
          <w:i/>
          <w:iCs/>
          <w:sz w:val="16"/>
          <w:szCs w:val="16"/>
          <w:lang w:val="sl-SI"/>
        </w:rPr>
        <w:t>)</w:t>
      </w:r>
      <w:r>
        <w:rPr>
          <w:i/>
          <w:iCs/>
          <w:sz w:val="16"/>
          <w:szCs w:val="16"/>
          <w:lang w:val="sl-SI"/>
        </w:rPr>
        <w:t>.</w:t>
      </w:r>
    </w:p>
  </w:footnote>
  <w:footnote w:id="10">
    <w:p w14:paraId="7EED7307"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(EU) 2022/123 Evropskega parlamenta in Sveta z dne 25. januarja 2022 o okrepljeni vlogi Evropske agencije za zdravila pri pripravljenosti na krize in kriznem upravljanju na področju zdravil in medicinskih pripomočkov (UL L </w:t>
      </w:r>
      <w:r>
        <w:rPr>
          <w:sz w:val="16"/>
          <w:szCs w:val="16"/>
          <w:lang w:val="sl-SI"/>
        </w:rPr>
        <w:t xml:space="preserve">št. </w:t>
      </w:r>
      <w:r w:rsidRPr="00022E38">
        <w:rPr>
          <w:sz w:val="16"/>
          <w:szCs w:val="16"/>
          <w:lang w:val="sl-SI"/>
        </w:rPr>
        <w:t>20</w:t>
      </w:r>
      <w:r>
        <w:rPr>
          <w:sz w:val="16"/>
          <w:szCs w:val="16"/>
          <w:lang w:val="sl-SI"/>
        </w:rPr>
        <w:t xml:space="preserve"> z dne</w:t>
      </w:r>
      <w:r w:rsidRPr="00022E38">
        <w:rPr>
          <w:sz w:val="16"/>
          <w:szCs w:val="16"/>
          <w:lang w:val="sl-SI"/>
        </w:rPr>
        <w:t xml:space="preserve"> 31.</w:t>
      </w:r>
      <w:r>
        <w:rPr>
          <w:sz w:val="16"/>
          <w:szCs w:val="16"/>
          <w:lang w:val="sl-SI"/>
        </w:rPr>
        <w:t xml:space="preserve"> </w:t>
      </w:r>
      <w:r w:rsidRPr="00022E38">
        <w:rPr>
          <w:sz w:val="16"/>
          <w:szCs w:val="16"/>
          <w:lang w:val="sl-SI"/>
        </w:rPr>
        <w:t>1.</w:t>
      </w:r>
      <w:r>
        <w:rPr>
          <w:sz w:val="16"/>
          <w:szCs w:val="16"/>
          <w:lang w:val="sl-SI"/>
        </w:rPr>
        <w:t xml:space="preserve"> </w:t>
      </w:r>
      <w:r w:rsidRPr="00022E38">
        <w:rPr>
          <w:sz w:val="16"/>
          <w:szCs w:val="16"/>
          <w:lang w:val="sl-SI"/>
        </w:rPr>
        <w:t>2022, str. 1</w:t>
      </w:r>
      <w:r w:rsidRPr="00254F51">
        <w:rPr>
          <w:lang w:val="sl-SI"/>
        </w:rPr>
        <w:t>).</w:t>
      </w:r>
    </w:p>
  </w:footnote>
  <w:footnote w:id="11">
    <w:p w14:paraId="7662C5F5"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hyperlink r:id="rId3" w:history="1">
        <w:r w:rsidRPr="00022E38">
          <w:rPr>
            <w:sz w:val="16"/>
            <w:szCs w:val="16"/>
            <w:lang w:val="sl-SI"/>
          </w:rPr>
          <w:t>Uredba (EU) 2018/644 Evropskega parlamenta in Sveta z dne 18. aprila 2018 o storitvah čezmejne dostave paketov</w:t>
        </w:r>
      </w:hyperlink>
      <w:r w:rsidRPr="00022E38">
        <w:rPr>
          <w:sz w:val="16"/>
          <w:szCs w:val="16"/>
          <w:lang w:val="sl-SI"/>
        </w:rPr>
        <w:t xml:space="preserve"> (UL L št. 112</w:t>
      </w:r>
      <w:r>
        <w:rPr>
          <w:sz w:val="16"/>
          <w:szCs w:val="16"/>
          <w:lang w:val="sl-SI"/>
        </w:rPr>
        <w:t xml:space="preserve"> z dne </w:t>
      </w:r>
      <w:r w:rsidRPr="00022E38">
        <w:rPr>
          <w:sz w:val="16"/>
          <w:szCs w:val="16"/>
          <w:lang w:val="sl-SI"/>
        </w:rPr>
        <w:t>2.</w:t>
      </w:r>
      <w:r>
        <w:rPr>
          <w:sz w:val="16"/>
          <w:szCs w:val="16"/>
          <w:lang w:val="sl-SI"/>
        </w:rPr>
        <w:t xml:space="preserve"> 5.</w:t>
      </w:r>
      <w:r w:rsidRPr="00022E38">
        <w:rPr>
          <w:sz w:val="16"/>
          <w:szCs w:val="16"/>
          <w:lang w:val="sl-SI"/>
        </w:rPr>
        <w:t xml:space="preserve"> 2018, str. 19)</w:t>
      </w:r>
      <w:r>
        <w:rPr>
          <w:sz w:val="16"/>
          <w:szCs w:val="16"/>
          <w:lang w:val="sl-SI"/>
        </w:rPr>
        <w:t>.</w:t>
      </w:r>
    </w:p>
  </w:footnote>
  <w:footnote w:id="12">
    <w:p w14:paraId="46512FEE"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(ES) št. 1907/2006 Evropskega parlamenta in Sveta z dne 18. decembra 2006 o registraciji, evalvaciji, avtorizaciji in omejevanju kemikalij (REACH) ter o ustanovitvi Evropske agencije za kemikalije in o spremembi Direktive 1999/45/ES ter o razveljavitvi Uredbe Sveta (EGS) št. 793/93 in Uredbe Komisije (ES) št. 1488/94 ter Direktive Sveta 76/769/EGS in direktiv Komisije 91/155/EGS, 93/67/EGS, 93/105/ES in 2000/21/ES (UL L </w:t>
      </w:r>
      <w:r>
        <w:rPr>
          <w:sz w:val="16"/>
          <w:szCs w:val="16"/>
          <w:lang w:val="sl-SI"/>
        </w:rPr>
        <w:t xml:space="preserve">št. </w:t>
      </w:r>
      <w:r w:rsidRPr="00022E38">
        <w:rPr>
          <w:sz w:val="16"/>
          <w:szCs w:val="16"/>
          <w:lang w:val="sl-SI"/>
        </w:rPr>
        <w:t>396</w:t>
      </w:r>
      <w:r>
        <w:rPr>
          <w:sz w:val="16"/>
          <w:szCs w:val="16"/>
          <w:lang w:val="sl-SI"/>
        </w:rPr>
        <w:t xml:space="preserve"> z dne</w:t>
      </w:r>
      <w:r w:rsidRPr="00022E38">
        <w:rPr>
          <w:sz w:val="16"/>
          <w:szCs w:val="16"/>
          <w:lang w:val="sl-SI"/>
        </w:rPr>
        <w:t xml:space="preserve"> 30.</w:t>
      </w:r>
      <w:r>
        <w:rPr>
          <w:sz w:val="16"/>
          <w:szCs w:val="16"/>
          <w:lang w:val="sl-SI"/>
        </w:rPr>
        <w:t xml:space="preserve"> </w:t>
      </w:r>
      <w:r w:rsidRPr="00022E38">
        <w:rPr>
          <w:sz w:val="16"/>
          <w:szCs w:val="16"/>
          <w:lang w:val="sl-SI"/>
        </w:rPr>
        <w:t>12.</w:t>
      </w:r>
      <w:r>
        <w:rPr>
          <w:sz w:val="16"/>
          <w:szCs w:val="16"/>
          <w:lang w:val="sl-SI"/>
        </w:rPr>
        <w:t xml:space="preserve"> </w:t>
      </w:r>
      <w:r w:rsidRPr="00022E38">
        <w:rPr>
          <w:sz w:val="16"/>
          <w:szCs w:val="16"/>
          <w:lang w:val="sl-SI"/>
        </w:rPr>
        <w:t>2006, str. 1).</w:t>
      </w:r>
    </w:p>
  </w:footnote>
  <w:footnote w:id="13">
    <w:p w14:paraId="33A894E7"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(ES) št. 178/2002 Evropskega parlamenta in Sveta z dne 28. januarja 2002 o določitvi splošnih načel in zahtevah živilske zakonodaje, ustanovitvi Evropske agencije za varnost hrane in postopkih, ki zadevajo varnost hrane (UL L </w:t>
      </w:r>
      <w:r>
        <w:rPr>
          <w:sz w:val="16"/>
          <w:szCs w:val="16"/>
          <w:lang w:val="sl-SI"/>
        </w:rPr>
        <w:t xml:space="preserve">št. </w:t>
      </w:r>
      <w:r w:rsidRPr="00022E38">
        <w:rPr>
          <w:sz w:val="16"/>
          <w:szCs w:val="16"/>
          <w:lang w:val="sl-SI"/>
        </w:rPr>
        <w:t>31</w:t>
      </w:r>
      <w:r>
        <w:rPr>
          <w:sz w:val="16"/>
          <w:szCs w:val="16"/>
          <w:lang w:val="sl-SI"/>
        </w:rPr>
        <w:t xml:space="preserve"> z dne</w:t>
      </w:r>
      <w:r w:rsidRPr="00022E38">
        <w:rPr>
          <w:sz w:val="16"/>
          <w:szCs w:val="16"/>
          <w:lang w:val="sl-SI"/>
        </w:rPr>
        <w:t xml:space="preserve"> 1.</w:t>
      </w:r>
      <w:r>
        <w:rPr>
          <w:sz w:val="16"/>
          <w:szCs w:val="16"/>
          <w:lang w:val="sl-SI"/>
        </w:rPr>
        <w:t xml:space="preserve"> </w:t>
      </w:r>
      <w:r w:rsidRPr="00022E38">
        <w:rPr>
          <w:sz w:val="16"/>
          <w:szCs w:val="16"/>
          <w:lang w:val="sl-SI"/>
        </w:rPr>
        <w:t>2.</w:t>
      </w:r>
      <w:r>
        <w:rPr>
          <w:sz w:val="16"/>
          <w:szCs w:val="16"/>
          <w:lang w:val="sl-SI"/>
        </w:rPr>
        <w:t xml:space="preserve"> </w:t>
      </w:r>
      <w:r w:rsidRPr="00022E38">
        <w:rPr>
          <w:sz w:val="16"/>
          <w:szCs w:val="16"/>
          <w:lang w:val="sl-SI"/>
        </w:rPr>
        <w:t>2002, str. 1).</w:t>
      </w:r>
    </w:p>
  </w:footnote>
  <w:footnote w:id="14">
    <w:p w14:paraId="65653AC8" w14:textId="77777777" w:rsidR="00C50F53" w:rsidRPr="00022E38" w:rsidRDefault="00C50F53" w:rsidP="00C50F53">
      <w:pPr>
        <w:pStyle w:val="Sprotnaopomba-besedilo"/>
        <w:jc w:val="both"/>
        <w:rPr>
          <w:sz w:val="16"/>
          <w:szCs w:val="16"/>
          <w:lang w:val="sl-SI"/>
        </w:rPr>
      </w:pPr>
      <w:r>
        <w:rPr>
          <w:rStyle w:val="Sprotnaopomba-sklic"/>
        </w:rPr>
        <w:footnoteRef/>
      </w:r>
      <w:r w:rsidRPr="00022E38">
        <w:rPr>
          <w:lang w:val="sl-SI"/>
        </w:rPr>
        <w:t xml:space="preserve"> </w:t>
      </w:r>
      <w:r w:rsidRPr="00022E38">
        <w:rPr>
          <w:sz w:val="16"/>
          <w:szCs w:val="16"/>
          <w:lang w:val="sl-SI"/>
        </w:rPr>
        <w:t xml:space="preserve">Uredba (EU) 2017/745 Evropskega parlamenta in Sveta z dne 5. aprila 2017 o medicinskih pripomočkih, spremembi Direktive 2001/83/ES, Uredbe (ES) št. 178/2002 in Uredbe (ES) št. 1223/2009 ter razveljavitvi direktiv Sveta 90/385/EGS in 93/42/EGS (UL L </w:t>
      </w:r>
      <w:r>
        <w:rPr>
          <w:sz w:val="16"/>
          <w:szCs w:val="16"/>
          <w:lang w:val="sl-SI"/>
        </w:rPr>
        <w:t xml:space="preserve">št. </w:t>
      </w:r>
      <w:r w:rsidRPr="00022E38">
        <w:rPr>
          <w:sz w:val="16"/>
          <w:szCs w:val="16"/>
          <w:lang w:val="sl-SI"/>
        </w:rPr>
        <w:t>117</w:t>
      </w:r>
      <w:r>
        <w:rPr>
          <w:sz w:val="16"/>
          <w:szCs w:val="16"/>
          <w:lang w:val="sl-SI"/>
        </w:rPr>
        <w:t xml:space="preserve"> z dne</w:t>
      </w:r>
      <w:r w:rsidRPr="00022E38">
        <w:rPr>
          <w:sz w:val="16"/>
          <w:szCs w:val="16"/>
          <w:lang w:val="sl-SI"/>
        </w:rPr>
        <w:t xml:space="preserve"> 5.</w:t>
      </w:r>
      <w:r>
        <w:rPr>
          <w:sz w:val="16"/>
          <w:szCs w:val="16"/>
          <w:lang w:val="sl-SI"/>
        </w:rPr>
        <w:t xml:space="preserve"> </w:t>
      </w:r>
      <w:r w:rsidRPr="00022E38">
        <w:rPr>
          <w:sz w:val="16"/>
          <w:szCs w:val="16"/>
          <w:lang w:val="sl-SI"/>
        </w:rPr>
        <w:t>5.</w:t>
      </w:r>
      <w:r>
        <w:rPr>
          <w:sz w:val="16"/>
          <w:szCs w:val="16"/>
          <w:lang w:val="sl-SI"/>
        </w:rPr>
        <w:t xml:space="preserve"> </w:t>
      </w:r>
      <w:r w:rsidRPr="00022E38">
        <w:rPr>
          <w:sz w:val="16"/>
          <w:szCs w:val="16"/>
          <w:lang w:val="sl-SI"/>
        </w:rPr>
        <w:t>2017, str. 1).</w:t>
      </w:r>
    </w:p>
  </w:footnote>
  <w:footnote w:id="15">
    <w:p w14:paraId="778CF4D4" w14:textId="77777777" w:rsidR="00C50F53" w:rsidRPr="00022E38" w:rsidRDefault="00C50F53" w:rsidP="00C50F53">
      <w:pPr>
        <w:pStyle w:val="Sprotnaopomba-besedilo"/>
        <w:jc w:val="both"/>
        <w:rPr>
          <w:lang w:val="sl-SI"/>
        </w:rPr>
      </w:pPr>
      <w:r>
        <w:rPr>
          <w:rStyle w:val="Sprotnaopomba-sklic"/>
        </w:rPr>
        <w:footnoteRef/>
      </w:r>
      <w:r w:rsidRPr="00022E38">
        <w:rPr>
          <w:lang w:val="sl-SI"/>
        </w:rPr>
        <w:t xml:space="preserve"> </w:t>
      </w:r>
      <w:r w:rsidRPr="00022E38">
        <w:rPr>
          <w:sz w:val="16"/>
          <w:szCs w:val="16"/>
          <w:lang w:val="sl-SI"/>
        </w:rPr>
        <w:t xml:space="preserve">Uredba (EU) 2017/746 Evropskega parlamenta in Sveta z dne 5. aprila 2017 o in vitro diagnostičnih medicinskih pripomočkih ter razveljavitvi Direktive 98/79/ES in Sklepa Komisije 2010/227/EU (UL L </w:t>
      </w:r>
      <w:r>
        <w:rPr>
          <w:sz w:val="16"/>
          <w:szCs w:val="16"/>
          <w:lang w:val="sl-SI"/>
        </w:rPr>
        <w:t xml:space="preserve">št. </w:t>
      </w:r>
      <w:r w:rsidRPr="00022E38">
        <w:rPr>
          <w:sz w:val="16"/>
          <w:szCs w:val="16"/>
          <w:lang w:val="sl-SI"/>
        </w:rPr>
        <w:t>117</w:t>
      </w:r>
      <w:r>
        <w:rPr>
          <w:sz w:val="16"/>
          <w:szCs w:val="16"/>
          <w:lang w:val="sl-SI"/>
        </w:rPr>
        <w:t xml:space="preserve"> z dne</w:t>
      </w:r>
      <w:r w:rsidRPr="00022E38">
        <w:rPr>
          <w:sz w:val="16"/>
          <w:szCs w:val="16"/>
          <w:lang w:val="sl-SI"/>
        </w:rPr>
        <w:t xml:space="preserve"> 5.</w:t>
      </w:r>
      <w:r>
        <w:rPr>
          <w:sz w:val="16"/>
          <w:szCs w:val="16"/>
          <w:lang w:val="sl-SI"/>
        </w:rPr>
        <w:t xml:space="preserve"> </w:t>
      </w:r>
      <w:r w:rsidRPr="00022E38">
        <w:rPr>
          <w:sz w:val="16"/>
          <w:szCs w:val="16"/>
          <w:lang w:val="sl-SI"/>
        </w:rPr>
        <w:t>5.</w:t>
      </w:r>
      <w:r>
        <w:rPr>
          <w:sz w:val="16"/>
          <w:szCs w:val="16"/>
          <w:lang w:val="sl-SI"/>
        </w:rPr>
        <w:t xml:space="preserve"> </w:t>
      </w:r>
      <w:r w:rsidRPr="00022E38">
        <w:rPr>
          <w:sz w:val="16"/>
          <w:szCs w:val="16"/>
          <w:lang w:val="sl-SI"/>
        </w:rPr>
        <w:t>2017, str. 176).</w:t>
      </w:r>
    </w:p>
  </w:footnote>
  <w:footnote w:id="16">
    <w:p w14:paraId="49E0F408" w14:textId="77777777" w:rsidR="000A51A5" w:rsidRPr="00C40C10" w:rsidRDefault="000A51A5" w:rsidP="000A51A5">
      <w:pPr>
        <w:pStyle w:val="Sprotnaopomba-besedilo"/>
        <w:rPr>
          <w:rFonts w:cs="Arial"/>
          <w:color w:val="000000"/>
          <w:sz w:val="16"/>
          <w:szCs w:val="16"/>
          <w:shd w:val="clear" w:color="auto" w:fill="FFFFFF"/>
          <w:lang w:val="sl-SI"/>
        </w:rPr>
      </w:pPr>
      <w:r w:rsidRPr="00C11AB8">
        <w:rPr>
          <w:rStyle w:val="Sprotnaopomba-sklic"/>
          <w:rFonts w:eastAsia="Calibri"/>
          <w:lang w:val="sl-SI"/>
        </w:rPr>
        <w:footnoteRef/>
      </w:r>
      <w:r w:rsidRPr="00C11AB8">
        <w:rPr>
          <w:lang w:val="sl-SI"/>
        </w:rPr>
        <w:t xml:space="preserve"> </w:t>
      </w:r>
      <w:r w:rsidRPr="00C11AB8">
        <w:rPr>
          <w:rFonts w:cs="Arial"/>
          <w:color w:val="000000"/>
          <w:sz w:val="16"/>
          <w:szCs w:val="16"/>
          <w:shd w:val="clear" w:color="auto" w:fill="FFFFFF"/>
          <w:lang w:val="sl-SI"/>
        </w:rPr>
        <w:t xml:space="preserve">Gre za Sporočilo Komisije </w:t>
      </w:r>
      <w:r>
        <w:rPr>
          <w:rFonts w:cs="Arial"/>
          <w:color w:val="000000"/>
          <w:sz w:val="16"/>
          <w:szCs w:val="16"/>
          <w:shd w:val="clear" w:color="auto" w:fill="FFFFFF"/>
          <w:lang w:val="sl-SI"/>
        </w:rPr>
        <w:t>‒</w:t>
      </w:r>
      <w:r w:rsidRPr="00C11AB8">
        <w:rPr>
          <w:rFonts w:cs="Arial"/>
          <w:color w:val="000000"/>
          <w:sz w:val="16"/>
          <w:szCs w:val="16"/>
          <w:shd w:val="clear" w:color="auto" w:fill="FFFFFF"/>
          <w:lang w:val="sl-SI"/>
        </w:rPr>
        <w:t xml:space="preserve"> Smernice Komisije o uporabi člena 4(1) in (2) Direktive </w:t>
      </w:r>
      <w:r>
        <w:rPr>
          <w:rFonts w:cs="Arial"/>
          <w:color w:val="000000"/>
          <w:sz w:val="16"/>
          <w:szCs w:val="16"/>
          <w:shd w:val="clear" w:color="auto" w:fill="FFFFFF"/>
          <w:lang w:val="sl-SI"/>
        </w:rPr>
        <w:t xml:space="preserve">2022/2555/EU </w:t>
      </w:r>
      <w:r w:rsidRPr="00C11AB8">
        <w:rPr>
          <w:rFonts w:cs="Arial"/>
          <w:color w:val="000000"/>
          <w:sz w:val="16"/>
          <w:szCs w:val="16"/>
          <w:shd w:val="clear" w:color="auto" w:fill="FFFFFF"/>
          <w:lang w:val="sl-SI"/>
        </w:rPr>
        <w:t>(Direktiva NIS) (UL C 328 z dne 18. 9. 2023, str. 2)</w:t>
      </w:r>
      <w:r>
        <w:rPr>
          <w:rFonts w:cs="Arial"/>
          <w:color w:val="000000"/>
          <w:sz w:val="16"/>
          <w:szCs w:val="16"/>
          <w:shd w:val="clear" w:color="auto" w:fill="FFFFFF"/>
          <w:lang w:val="sl-SI"/>
        </w:rPr>
        <w:t>.</w:t>
      </w:r>
    </w:p>
  </w:footnote>
  <w:footnote w:id="17">
    <w:p w14:paraId="55FEA821" w14:textId="77777777" w:rsidR="000A51A5" w:rsidRPr="00081004" w:rsidRDefault="000A51A5" w:rsidP="000A51A5">
      <w:pPr>
        <w:pStyle w:val="Odstavek"/>
        <w:spacing w:line="276" w:lineRule="auto"/>
        <w:rPr>
          <w:sz w:val="16"/>
          <w:szCs w:val="16"/>
        </w:rPr>
      </w:pPr>
      <w:r w:rsidRPr="00C40C10">
        <w:rPr>
          <w:rStyle w:val="Sprotnaopomba-sklic"/>
          <w:rFonts w:eastAsia="Calibri" w:cs="Times New Roman"/>
        </w:rPr>
        <w:footnoteRef/>
      </w:r>
      <w:r>
        <w:rPr>
          <w:color w:val="000000"/>
          <w:sz w:val="16"/>
          <w:szCs w:val="16"/>
          <w:shd w:val="clear" w:color="auto" w:fill="FFFFFF"/>
        </w:rPr>
        <w:t xml:space="preserve"> </w:t>
      </w:r>
      <w:r w:rsidRPr="00FE55C9">
        <w:rPr>
          <w:color w:val="000000"/>
          <w:sz w:val="16"/>
          <w:szCs w:val="16"/>
          <w:shd w:val="clear" w:color="auto" w:fill="FFFFFF"/>
        </w:rPr>
        <w:t>Uredba (EU) 2022/2554 Evropskega parlamenta in Sveta z dne 14. decembra 2022 o digitalni operativni odpornosti za finančni sektor in spremembi uredb (ES) št. 1060/2009, (EU) št. 648/2012, (EU) št. 600/2014, (EU) št. 909/2014 in (EU) 2016/1011 (UL L št</w:t>
      </w:r>
      <w:r>
        <w:rPr>
          <w:color w:val="000000"/>
          <w:sz w:val="16"/>
          <w:szCs w:val="16"/>
          <w:shd w:val="clear" w:color="auto" w:fill="FFFFFF"/>
        </w:rPr>
        <w:t>.</w:t>
      </w:r>
      <w:r w:rsidRPr="00FE55C9">
        <w:rPr>
          <w:color w:val="000000"/>
          <w:sz w:val="16"/>
          <w:szCs w:val="16"/>
          <w:shd w:val="clear" w:color="auto" w:fill="FFFFFF"/>
        </w:rPr>
        <w:t xml:space="preserve"> 333 z dne 27. 12. 2022, str. 1), zadnjič spremenjena z Delegirano uredbo Komisije (EU) 2024/1774 z dne 13. marca 2024 o dopolnitvi Uredbe (EU) 2022/2554 Evropskega parlamenta in Sveta v zvezi z regulativnimi tehničnimi standardi, ki določajo orodja, metode, postopke in politike za obvladovanje tveganj na področju IKT ter poenostavljen okvir za obvladovanje tveganj na področju IKT (UL L št. 2024/1774 z dne 25. 6. 2024) (v nadaljnjem besedilu: Uredb</w:t>
      </w:r>
      <w:r>
        <w:rPr>
          <w:color w:val="000000"/>
          <w:sz w:val="16"/>
          <w:szCs w:val="16"/>
          <w:shd w:val="clear" w:color="auto" w:fill="FFFFFF"/>
        </w:rPr>
        <w:t>a</w:t>
      </w:r>
      <w:r w:rsidRPr="00FE55C9">
        <w:rPr>
          <w:color w:val="000000"/>
          <w:sz w:val="16"/>
          <w:szCs w:val="16"/>
          <w:shd w:val="clear" w:color="auto" w:fill="FFFFFF"/>
        </w:rPr>
        <w:t xml:space="preserve"> 2022/2554/EU).</w:t>
      </w:r>
    </w:p>
  </w:footnote>
  <w:footnote w:id="18">
    <w:p w14:paraId="2584DB66" w14:textId="77777777" w:rsidR="000A51A5" w:rsidRPr="000F762B" w:rsidRDefault="000A51A5" w:rsidP="000A51A5">
      <w:pPr>
        <w:pStyle w:val="Sprotnaopomba-besedilo"/>
        <w:rPr>
          <w:lang w:val="sl-SI"/>
        </w:rPr>
      </w:pPr>
      <w:r>
        <w:rPr>
          <w:rStyle w:val="Sprotnaopomba-sklic"/>
        </w:rPr>
        <w:footnoteRef/>
      </w:r>
      <w:r w:rsidRPr="000F762B">
        <w:rPr>
          <w:lang w:val="sl-SI"/>
        </w:rPr>
        <w:t xml:space="preserve"> </w:t>
      </w:r>
      <w:r w:rsidRPr="000F762B">
        <w:rPr>
          <w:sz w:val="16"/>
          <w:szCs w:val="16"/>
          <w:lang w:val="sl-SI"/>
        </w:rPr>
        <w:t>Uredba (EU) 2022/2554 Evropskega parlamenta in Sveta z dne 14. decembra 2022 o digitalni operativni odpornosti v finančnem sektorju in spremembi uredb (ES) št. 1060/2009, (EU) št. 648/2012, (EU) št. 600/2014, (EU) št. 909/2014 in (EU) 2016/1011 (glej stran 1 tega Uradnega lista).</w:t>
      </w:r>
    </w:p>
  </w:footnote>
  <w:footnote w:id="19">
    <w:p w14:paraId="74E1909F" w14:textId="77777777" w:rsidR="000A51A5" w:rsidRPr="000F762B" w:rsidRDefault="000A51A5" w:rsidP="000A51A5">
      <w:pPr>
        <w:spacing w:after="120" w:line="276" w:lineRule="auto"/>
        <w:rPr>
          <w:rFonts w:cs="Arial"/>
          <w:color w:val="000000"/>
          <w:sz w:val="16"/>
          <w:szCs w:val="16"/>
          <w:shd w:val="clear" w:color="auto" w:fill="FFFFFF"/>
          <w:lang w:val="sl-SI"/>
        </w:rPr>
      </w:pPr>
      <w:r>
        <w:rPr>
          <w:rStyle w:val="Sprotnaopomba-sklic"/>
        </w:rPr>
        <w:footnoteRef/>
      </w:r>
      <w:r w:rsidRPr="003077CA">
        <w:rPr>
          <w:lang w:val="sl-SI"/>
        </w:rPr>
        <w:t xml:space="preserve"> </w:t>
      </w:r>
      <w:r w:rsidRPr="000F762B">
        <w:rPr>
          <w:rFonts w:cs="Arial"/>
          <w:color w:val="000000"/>
          <w:sz w:val="16"/>
          <w:szCs w:val="16"/>
          <w:shd w:val="clear" w:color="auto" w:fill="FFFFFF"/>
          <w:lang w:val="sl-SI"/>
        </w:rPr>
        <w:t xml:space="preserve">»(29) V izogib vrzelim ali podvajanju obveznosti glede kibernetske varnosti, ki veljajo za subjekte v letalskem sektorju, bi morali nacionalni organi iz uredb (ES) št. 300/2008 </w:t>
      </w:r>
      <w:hyperlink r:id="rId4" w:anchor="ntr11-L_2022333SL.01008001-E0011" w:history="1">
        <w:r w:rsidRPr="000F762B">
          <w:rPr>
            <w:rFonts w:cs="Arial"/>
            <w:color w:val="000000"/>
            <w:sz w:val="16"/>
            <w:szCs w:val="16"/>
            <w:shd w:val="clear" w:color="auto" w:fill="FFFFFF"/>
            <w:lang w:val="sl-SI"/>
          </w:rPr>
          <w:t>(11)</w:t>
        </w:r>
      </w:hyperlink>
      <w:r w:rsidRPr="000F762B">
        <w:rPr>
          <w:rFonts w:cs="Arial"/>
          <w:color w:val="000000"/>
          <w:sz w:val="16"/>
          <w:szCs w:val="16"/>
          <w:shd w:val="clear" w:color="auto" w:fill="FFFFFF"/>
          <w:lang w:val="sl-SI"/>
        </w:rPr>
        <w:t xml:space="preserve"> in (EU) 2018/1139 </w:t>
      </w:r>
      <w:hyperlink r:id="rId5" w:anchor="ntr12-L_2022333SL.01008001-E0012" w:history="1">
        <w:r w:rsidRPr="000F762B">
          <w:rPr>
            <w:rFonts w:cs="Arial"/>
            <w:color w:val="000000"/>
            <w:sz w:val="16"/>
            <w:szCs w:val="16"/>
            <w:shd w:val="clear" w:color="auto" w:fill="FFFFFF"/>
            <w:lang w:val="sl-SI"/>
          </w:rPr>
          <w:t>(</w:t>
        </w:r>
        <w:r w:rsidRPr="000F762B">
          <w:rPr>
            <w:rFonts w:cs="Arial"/>
            <w:color w:val="000000"/>
            <w:sz w:val="16"/>
            <w:szCs w:val="16"/>
            <w:shd w:val="clear" w:color="auto" w:fill="FFFFFF"/>
            <w:vertAlign w:val="superscript"/>
            <w:lang w:val="sl-SI"/>
          </w:rPr>
          <w:t>12</w:t>
        </w:r>
        <w:r w:rsidRPr="000F762B">
          <w:rPr>
            <w:rFonts w:cs="Arial"/>
            <w:color w:val="000000"/>
            <w:sz w:val="16"/>
            <w:szCs w:val="16"/>
            <w:shd w:val="clear" w:color="auto" w:fill="FFFFFF"/>
            <w:lang w:val="sl-SI"/>
          </w:rPr>
          <w:t>)</w:t>
        </w:r>
      </w:hyperlink>
      <w:r w:rsidRPr="000F762B">
        <w:rPr>
          <w:rFonts w:cs="Arial"/>
          <w:color w:val="000000"/>
          <w:sz w:val="16"/>
          <w:szCs w:val="16"/>
          <w:shd w:val="clear" w:color="auto" w:fill="FFFFFF"/>
          <w:lang w:val="sl-SI"/>
        </w:rPr>
        <w:t xml:space="preserve"> Evropskega parlamenta in Sveta ter pristojni organi iz te direktive sodelovati pri izvajanju ukrepov za obvladovanje tveganj za kibernetsko varnost in nadzoru spoštovanja teh ukrepov na nacionalni ravni. Pristojni organi iz te direktive bi lahko skladnost subjekta z varnostnimi zahtevami iz uredb (ES) št. 300/2008 in (EU) 2018/1139 ter iz ustreznih delegiranih in izvedbenih aktov, sprejetih na podlagi navedenih uredb, šteli za skladnost z ustreznimi zahtevami iz te direktive.«</w:t>
      </w:r>
    </w:p>
    <w:p w14:paraId="0C76294A" w14:textId="77777777" w:rsidR="000A51A5" w:rsidRPr="00C40C10" w:rsidRDefault="000A51A5" w:rsidP="000A51A5">
      <w:pPr>
        <w:pStyle w:val="Sprotnaopomba-besedilo"/>
        <w:rPr>
          <w:rFonts w:cs="Arial"/>
          <w:color w:val="000000"/>
          <w:sz w:val="16"/>
          <w:szCs w:val="16"/>
          <w:shd w:val="clear" w:color="auto" w:fill="FFFFFF"/>
          <w:lang w:val="sl-SI"/>
        </w:rPr>
      </w:pPr>
    </w:p>
  </w:footnote>
  <w:footnote w:id="20">
    <w:p w14:paraId="2C1AA35F" w14:textId="77777777" w:rsidR="000A51A5" w:rsidRPr="004E063E" w:rsidRDefault="000A51A5" w:rsidP="000A51A5">
      <w:pPr>
        <w:pStyle w:val="Sprotnaopomba-besedilo"/>
        <w:rPr>
          <w:rFonts w:cs="Arial"/>
          <w:color w:val="000000"/>
          <w:sz w:val="16"/>
          <w:szCs w:val="16"/>
          <w:shd w:val="clear" w:color="auto" w:fill="FFFFFF"/>
          <w:lang w:val="sl-SI"/>
        </w:rPr>
      </w:pPr>
      <w:r w:rsidRPr="004E063E">
        <w:rPr>
          <w:rFonts w:cs="Arial"/>
          <w:color w:val="000000"/>
          <w:shd w:val="clear" w:color="auto" w:fill="FFFFFF"/>
          <w:vertAlign w:val="superscript"/>
          <w:lang w:val="sl-SI"/>
        </w:rPr>
        <w:footnoteRef/>
      </w:r>
      <w:r w:rsidRPr="004E063E">
        <w:rPr>
          <w:rFonts w:cs="Arial"/>
          <w:color w:val="000000"/>
          <w:sz w:val="16"/>
          <w:szCs w:val="16"/>
          <w:shd w:val="clear" w:color="auto" w:fill="FFFFFF"/>
          <w:vertAlign w:val="superscript"/>
          <w:lang w:val="sl-SI"/>
        </w:rPr>
        <w:t xml:space="preserve"> </w:t>
      </w:r>
      <w:hyperlink r:id="rId6" w:tgtFrame="_blank" w:tooltip="to EUR-Lex" w:history="1">
        <w:r w:rsidRPr="004E063E">
          <w:rPr>
            <w:rFonts w:cs="Arial"/>
            <w:color w:val="000000"/>
            <w:sz w:val="16"/>
            <w:szCs w:val="16"/>
            <w:shd w:val="clear" w:color="auto" w:fill="FFFFFF"/>
            <w:lang w:val="sl-SI"/>
          </w:rPr>
          <w:t>Uredb</w:t>
        </w:r>
        <w:r>
          <w:rPr>
            <w:rFonts w:cs="Arial"/>
            <w:color w:val="000000"/>
            <w:sz w:val="16"/>
            <w:szCs w:val="16"/>
            <w:shd w:val="clear" w:color="auto" w:fill="FFFFFF"/>
            <w:lang w:val="sl-SI"/>
          </w:rPr>
          <w:t>a</w:t>
        </w:r>
        <w:r w:rsidRPr="004E063E">
          <w:rPr>
            <w:rFonts w:cs="Arial"/>
            <w:color w:val="000000"/>
            <w:sz w:val="16"/>
            <w:szCs w:val="16"/>
            <w:shd w:val="clear" w:color="auto" w:fill="FFFFFF"/>
            <w:lang w:val="sl-SI"/>
          </w:rPr>
          <w:t xml:space="preserve"> (EU) 2016/679</w:t>
        </w:r>
      </w:hyperlink>
      <w:r w:rsidRPr="004E063E">
        <w:rPr>
          <w:rFonts w:cs="Arial"/>
          <w:color w:val="000000"/>
          <w:sz w:val="16"/>
          <w:szCs w:val="16"/>
          <w:shd w:val="clear" w:color="auto" w:fill="FFFFFF"/>
          <w:lang w:val="sl-SI"/>
        </w:rPr>
        <w:t> Evropskega parlamenta in Sveta z dne 27. aprila 2016 o varstvu posameznikov pri obdelavi osebnih podatkov in o prostem pretoku takih podatkov ter o razveljavitvi </w:t>
      </w:r>
      <w:hyperlink r:id="rId7" w:tgtFrame="_blank" w:tooltip="to EUR-Lex" w:history="1">
        <w:r w:rsidRPr="004E063E">
          <w:rPr>
            <w:rFonts w:cs="Arial"/>
            <w:color w:val="000000"/>
            <w:sz w:val="16"/>
            <w:szCs w:val="16"/>
            <w:shd w:val="clear" w:color="auto" w:fill="FFFFFF"/>
            <w:lang w:val="sl-SI"/>
          </w:rPr>
          <w:t>Direktive 95/46/ES</w:t>
        </w:r>
      </w:hyperlink>
      <w:r w:rsidRPr="004E063E">
        <w:rPr>
          <w:rFonts w:cs="Arial"/>
          <w:color w:val="000000"/>
          <w:sz w:val="16"/>
          <w:szCs w:val="16"/>
          <w:shd w:val="clear" w:color="auto" w:fill="FFFFFF"/>
          <w:lang w:val="sl-SI"/>
        </w:rPr>
        <w:t> (Splošna uredba o varstvu podatkov) (UL L št. 119 z dne 4. 5. 2016, str. 1), zadnjič popravljene s Popravkom (UL L št. 127 z dne 23. 5. 2018, str. 2</w:t>
      </w:r>
      <w:r>
        <w:rPr>
          <w:rFonts w:cs="Arial"/>
          <w:color w:val="000000"/>
          <w:sz w:val="16"/>
          <w:szCs w:val="16"/>
          <w:shd w:val="clear" w:color="auto" w:fill="FFFFFF"/>
          <w:lang w:val="sl-SI"/>
        </w:rPr>
        <w:t>).</w:t>
      </w:r>
    </w:p>
  </w:footnote>
  <w:footnote w:id="21">
    <w:p w14:paraId="14FA42CA" w14:textId="77777777" w:rsidR="000A51A5" w:rsidRPr="00C40C10" w:rsidRDefault="000A51A5" w:rsidP="000A51A5">
      <w:pPr>
        <w:pStyle w:val="Sprotnaopomba-besedilo"/>
        <w:rPr>
          <w:rFonts w:cs="Arial"/>
          <w:color w:val="000000"/>
          <w:sz w:val="16"/>
          <w:szCs w:val="16"/>
          <w:shd w:val="clear" w:color="auto" w:fill="FFFFFF"/>
          <w:lang w:val="sl-SI"/>
        </w:rPr>
      </w:pPr>
      <w:r w:rsidRPr="00C40C10">
        <w:rPr>
          <w:rFonts w:cs="Arial"/>
          <w:color w:val="000000"/>
          <w:shd w:val="clear" w:color="auto" w:fill="FFFFFF"/>
          <w:vertAlign w:val="superscript"/>
          <w:lang w:val="sl-SI"/>
        </w:rPr>
        <w:footnoteRef/>
      </w:r>
      <w:r w:rsidRPr="0085445B">
        <w:rPr>
          <w:rFonts w:cs="Arial"/>
          <w:color w:val="000000"/>
          <w:sz w:val="16"/>
          <w:szCs w:val="16"/>
          <w:shd w:val="clear" w:color="auto" w:fill="FFFFFF"/>
          <w:lang w:val="sl-SI"/>
        </w:rPr>
        <w:t>Direktiva 2002/58/ES Evropskega parlamenta in Sveta z dne 12. julija 2002 o obdelavi osebnih podatkov in varstvu zasebnosti na področju elektronskih komunikacij (Direktiva o zasebnosti in elektronskih komunikacijah) (</w:t>
      </w:r>
      <w:r w:rsidRPr="00C40C10">
        <w:rPr>
          <w:rFonts w:cs="Arial"/>
          <w:color w:val="000000"/>
          <w:sz w:val="16"/>
          <w:szCs w:val="16"/>
          <w:shd w:val="clear" w:color="auto" w:fill="FFFFFF"/>
          <w:lang w:val="sl-SI"/>
        </w:rPr>
        <w:t>UL L </w:t>
      </w:r>
      <w:r>
        <w:rPr>
          <w:rFonts w:cs="Arial"/>
          <w:color w:val="000000"/>
          <w:sz w:val="16"/>
          <w:szCs w:val="16"/>
          <w:shd w:val="clear" w:color="auto" w:fill="FFFFFF"/>
          <w:lang w:val="sl-SI"/>
        </w:rPr>
        <w:t xml:space="preserve">št. </w:t>
      </w:r>
      <w:r w:rsidRPr="00C40C10">
        <w:rPr>
          <w:rFonts w:cs="Arial"/>
          <w:color w:val="000000"/>
          <w:sz w:val="16"/>
          <w:szCs w:val="16"/>
          <w:shd w:val="clear" w:color="auto" w:fill="FFFFFF"/>
          <w:lang w:val="sl-SI"/>
        </w:rPr>
        <w:t>201</w:t>
      </w:r>
      <w:r>
        <w:rPr>
          <w:rFonts w:cs="Arial"/>
          <w:color w:val="000000"/>
          <w:sz w:val="16"/>
          <w:szCs w:val="16"/>
          <w:shd w:val="clear" w:color="auto" w:fill="FFFFFF"/>
          <w:lang w:val="sl-SI"/>
        </w:rPr>
        <w:t xml:space="preserve"> z dne</w:t>
      </w:r>
      <w:r w:rsidRPr="00C40C10">
        <w:rPr>
          <w:rFonts w:cs="Arial"/>
          <w:color w:val="000000"/>
          <w:sz w:val="16"/>
          <w:szCs w:val="16"/>
          <w:shd w:val="clear" w:color="auto" w:fill="FFFFFF"/>
          <w:lang w:val="sl-SI"/>
        </w:rPr>
        <w:t xml:space="preserve"> 31.</w:t>
      </w:r>
      <w:r>
        <w:rPr>
          <w:rFonts w:cs="Arial"/>
          <w:color w:val="000000"/>
          <w:sz w:val="16"/>
          <w:szCs w:val="16"/>
          <w:shd w:val="clear" w:color="auto" w:fill="FFFFFF"/>
          <w:lang w:val="sl-SI"/>
        </w:rPr>
        <w:t xml:space="preserve"> </w:t>
      </w:r>
      <w:r w:rsidRPr="00C40C10">
        <w:rPr>
          <w:rFonts w:cs="Arial"/>
          <w:color w:val="000000"/>
          <w:sz w:val="16"/>
          <w:szCs w:val="16"/>
          <w:shd w:val="clear" w:color="auto" w:fill="FFFFFF"/>
          <w:lang w:val="sl-SI"/>
        </w:rPr>
        <w:t>7.</w:t>
      </w:r>
      <w:r>
        <w:rPr>
          <w:rFonts w:cs="Arial"/>
          <w:color w:val="000000"/>
          <w:sz w:val="16"/>
          <w:szCs w:val="16"/>
          <w:shd w:val="clear" w:color="auto" w:fill="FFFFFF"/>
          <w:lang w:val="sl-SI"/>
        </w:rPr>
        <w:t xml:space="preserve"> </w:t>
      </w:r>
      <w:r w:rsidRPr="00C40C10">
        <w:rPr>
          <w:rFonts w:cs="Arial"/>
          <w:color w:val="000000"/>
          <w:sz w:val="16"/>
          <w:szCs w:val="16"/>
          <w:shd w:val="clear" w:color="auto" w:fill="FFFFFF"/>
          <w:lang w:val="sl-SI"/>
        </w:rPr>
        <w:t>2002, str. 37</w:t>
      </w:r>
      <w:r w:rsidRPr="0085445B">
        <w:rPr>
          <w:rFonts w:cs="Arial"/>
          <w:color w:val="000000"/>
          <w:sz w:val="16"/>
          <w:szCs w:val="16"/>
          <w:shd w:val="clear" w:color="auto" w:fill="FFFFFF"/>
          <w:lang w:val="sl-SI"/>
        </w:rPr>
        <w:t>).</w:t>
      </w:r>
    </w:p>
  </w:footnote>
  <w:footnote w:id="22">
    <w:p w14:paraId="5FE0F99A" w14:textId="77777777" w:rsidR="000A51A5" w:rsidRPr="0085445B" w:rsidRDefault="000A51A5" w:rsidP="000A51A5">
      <w:pPr>
        <w:pStyle w:val="Sprotnaopomba-besedilo"/>
        <w:rPr>
          <w:rFonts w:cs="Arial"/>
          <w:sz w:val="16"/>
          <w:szCs w:val="16"/>
          <w:lang w:val="sl-SI"/>
        </w:rPr>
      </w:pPr>
      <w:r w:rsidRPr="00CA5D7C">
        <w:rPr>
          <w:rStyle w:val="Sprotnaopomba-sklic"/>
          <w:rFonts w:eastAsia="Calibri"/>
          <w:sz w:val="16"/>
        </w:rPr>
        <w:footnoteRef/>
      </w:r>
      <w:r w:rsidRPr="005806C0">
        <w:rPr>
          <w:rFonts w:cs="Arial"/>
          <w:sz w:val="16"/>
          <w:szCs w:val="16"/>
          <w:lang w:val="sl-SI"/>
        </w:rPr>
        <w:t xml:space="preserve"> </w:t>
      </w:r>
      <w:r w:rsidRPr="0085445B">
        <w:rPr>
          <w:rFonts w:cs="Arial"/>
          <w:color w:val="000000"/>
          <w:sz w:val="16"/>
          <w:szCs w:val="16"/>
          <w:shd w:val="clear" w:color="auto" w:fill="FFFFFF"/>
          <w:lang w:val="sl-SI"/>
        </w:rPr>
        <w:t>Direktiva (EU) 2016/1148 Evropskega parlamenta in Sveta z dne 6. julija 2016 o ukrepih za visoko skupno raven varnosti omrežij in informacijskih sistemov v Uniji (</w:t>
      </w:r>
      <w:r w:rsidRPr="0085445B">
        <w:rPr>
          <w:rFonts w:cs="Arial"/>
          <w:sz w:val="16"/>
          <w:szCs w:val="16"/>
          <w:shd w:val="clear" w:color="auto" w:fill="FFFFFF"/>
          <w:lang w:val="sl-SI"/>
        </w:rPr>
        <w:t>UL L 194</w:t>
      </w:r>
      <w:r>
        <w:rPr>
          <w:rFonts w:cs="Arial"/>
          <w:sz w:val="16"/>
          <w:szCs w:val="16"/>
          <w:shd w:val="clear" w:color="auto" w:fill="FFFFFF"/>
          <w:lang w:val="sl-SI"/>
        </w:rPr>
        <w:t xml:space="preserve"> z dne</w:t>
      </w:r>
      <w:r w:rsidRPr="0085445B">
        <w:rPr>
          <w:rFonts w:cs="Arial"/>
          <w:sz w:val="16"/>
          <w:szCs w:val="16"/>
          <w:shd w:val="clear" w:color="auto" w:fill="FFFFFF"/>
          <w:lang w:val="sl-SI"/>
        </w:rPr>
        <w:t xml:space="preserve"> 19.</w:t>
      </w:r>
      <w:r>
        <w:rPr>
          <w:rFonts w:cs="Arial"/>
          <w:sz w:val="16"/>
          <w:szCs w:val="16"/>
          <w:shd w:val="clear" w:color="auto" w:fill="FFFFFF"/>
          <w:lang w:val="sl-SI"/>
        </w:rPr>
        <w:t xml:space="preserve"> </w:t>
      </w:r>
      <w:r w:rsidRPr="0085445B">
        <w:rPr>
          <w:rFonts w:cs="Arial"/>
          <w:sz w:val="16"/>
          <w:szCs w:val="16"/>
          <w:shd w:val="clear" w:color="auto" w:fill="FFFFFF"/>
          <w:lang w:val="sl-SI"/>
        </w:rPr>
        <w:t>7.</w:t>
      </w:r>
      <w:r>
        <w:rPr>
          <w:rFonts w:cs="Arial"/>
          <w:sz w:val="16"/>
          <w:szCs w:val="16"/>
          <w:shd w:val="clear" w:color="auto" w:fill="FFFFFF"/>
          <w:lang w:val="sl-SI"/>
        </w:rPr>
        <w:t xml:space="preserve"> </w:t>
      </w:r>
      <w:r w:rsidRPr="0085445B">
        <w:rPr>
          <w:rFonts w:cs="Arial"/>
          <w:sz w:val="16"/>
          <w:szCs w:val="16"/>
          <w:shd w:val="clear" w:color="auto" w:fill="FFFFFF"/>
          <w:lang w:val="sl-SI"/>
        </w:rPr>
        <w:t>2016, str. 1</w:t>
      </w:r>
      <w:r w:rsidRPr="0085445B">
        <w:rPr>
          <w:rFonts w:cs="Arial"/>
          <w:color w:val="000000"/>
          <w:sz w:val="16"/>
          <w:szCs w:val="16"/>
          <w:shd w:val="clear" w:color="auto" w:fill="FFFFFF"/>
          <w:lang w:val="sl-SI"/>
        </w:rPr>
        <w:t>).</w:t>
      </w:r>
    </w:p>
  </w:footnote>
  <w:footnote w:id="23">
    <w:p w14:paraId="54D467F4" w14:textId="77777777" w:rsidR="000A51A5" w:rsidRPr="0085445B" w:rsidRDefault="000A51A5" w:rsidP="000A51A5">
      <w:pPr>
        <w:pStyle w:val="Sprotnaopomba-besedilo"/>
        <w:rPr>
          <w:sz w:val="16"/>
          <w:szCs w:val="16"/>
          <w:lang w:val="sl-SI"/>
        </w:rPr>
      </w:pPr>
      <w:r w:rsidRPr="0085445B">
        <w:rPr>
          <w:rStyle w:val="Sprotnaopomba-sklic"/>
          <w:rFonts w:eastAsia="Calibri"/>
          <w:sz w:val="16"/>
          <w:lang w:val="sl-SI"/>
        </w:rPr>
        <w:footnoteRef/>
      </w:r>
      <w:r w:rsidRPr="0085445B">
        <w:rPr>
          <w:rFonts w:cs="Arial"/>
          <w:sz w:val="16"/>
          <w:szCs w:val="16"/>
          <w:lang w:val="sl-SI"/>
        </w:rPr>
        <w:t xml:space="preserve"> </w:t>
      </w:r>
      <w:r w:rsidRPr="0085445B">
        <w:rPr>
          <w:rFonts w:cs="Arial"/>
          <w:color w:val="000000"/>
          <w:sz w:val="16"/>
          <w:szCs w:val="16"/>
          <w:shd w:val="clear" w:color="auto" w:fill="FFFFFF"/>
          <w:lang w:val="sl-SI"/>
        </w:rPr>
        <w:t>Priporočilo Komisije 2003/361/ES z dne 6. maja 2003 o opredelitvi mikro, malih in srednjih podjetij (</w:t>
      </w:r>
      <w:r w:rsidRPr="0085445B">
        <w:rPr>
          <w:rFonts w:cs="Arial"/>
          <w:sz w:val="16"/>
          <w:szCs w:val="16"/>
          <w:shd w:val="clear" w:color="auto" w:fill="FFFFFF"/>
          <w:lang w:val="sl-SI"/>
        </w:rPr>
        <w:t>UL L 124, 20.</w:t>
      </w:r>
      <w:r>
        <w:rPr>
          <w:rFonts w:cs="Arial"/>
          <w:sz w:val="16"/>
          <w:szCs w:val="16"/>
          <w:shd w:val="clear" w:color="auto" w:fill="FFFFFF"/>
          <w:lang w:val="sl-SI"/>
        </w:rPr>
        <w:t xml:space="preserve"> </w:t>
      </w:r>
      <w:r w:rsidRPr="0085445B">
        <w:rPr>
          <w:rFonts w:cs="Arial"/>
          <w:sz w:val="16"/>
          <w:szCs w:val="16"/>
          <w:shd w:val="clear" w:color="auto" w:fill="FFFFFF"/>
          <w:lang w:val="sl-SI"/>
        </w:rPr>
        <w:t>5.</w:t>
      </w:r>
      <w:r>
        <w:rPr>
          <w:rFonts w:cs="Arial"/>
          <w:sz w:val="16"/>
          <w:szCs w:val="16"/>
          <w:shd w:val="clear" w:color="auto" w:fill="FFFFFF"/>
          <w:lang w:val="sl-SI"/>
        </w:rPr>
        <w:t xml:space="preserve"> </w:t>
      </w:r>
      <w:r w:rsidRPr="0085445B">
        <w:rPr>
          <w:rFonts w:cs="Arial"/>
          <w:sz w:val="16"/>
          <w:szCs w:val="16"/>
          <w:shd w:val="clear" w:color="auto" w:fill="FFFFFF"/>
          <w:lang w:val="sl-SI"/>
        </w:rPr>
        <w:t>2003, str. 36</w:t>
      </w:r>
      <w:r w:rsidRPr="0085445B">
        <w:rPr>
          <w:color w:val="000000"/>
          <w:sz w:val="16"/>
          <w:szCs w:val="16"/>
          <w:shd w:val="clear" w:color="auto" w:fill="FFFFFF"/>
          <w:lang w:val="sl-SI"/>
        </w:rPr>
        <w:t>).</w:t>
      </w:r>
    </w:p>
  </w:footnote>
  <w:footnote w:id="24">
    <w:p w14:paraId="73A4E1C4" w14:textId="77777777" w:rsidR="000A51A5" w:rsidRPr="0085445B" w:rsidRDefault="000A51A5" w:rsidP="000A51A5">
      <w:pPr>
        <w:pStyle w:val="Sprotnaopomba-besedilo"/>
        <w:rPr>
          <w:sz w:val="16"/>
          <w:szCs w:val="16"/>
          <w:lang w:val="sl-SI"/>
        </w:rPr>
      </w:pPr>
      <w:r w:rsidRPr="00CA5D7C">
        <w:rPr>
          <w:rStyle w:val="Sprotnaopomba-sklic"/>
          <w:rFonts w:eastAsia="Calibri"/>
          <w:sz w:val="16"/>
        </w:rPr>
        <w:footnoteRef/>
      </w:r>
      <w:r w:rsidRPr="001C2226">
        <w:rPr>
          <w:sz w:val="16"/>
          <w:szCs w:val="16"/>
          <w:lang w:val="sl-SI"/>
        </w:rPr>
        <w:t xml:space="preserve"> </w:t>
      </w:r>
      <w:r w:rsidRPr="0085445B">
        <w:rPr>
          <w:rFonts w:cs="Arial"/>
          <w:color w:val="000000"/>
          <w:sz w:val="16"/>
          <w:szCs w:val="16"/>
          <w:shd w:val="clear" w:color="auto" w:fill="FFFFFF"/>
          <w:lang w:val="sl-SI"/>
        </w:rPr>
        <w:t>Direktiva (EU) 2022/2557 Evropskega parlamenta in Sveta z dne 14. decembra 2022 o odpornosti kritičnih subjektov in razveljavit</w:t>
      </w:r>
      <w:r>
        <w:rPr>
          <w:rFonts w:cs="Arial"/>
          <w:color w:val="000000"/>
          <w:sz w:val="16"/>
          <w:szCs w:val="16"/>
          <w:shd w:val="clear" w:color="auto" w:fill="FFFFFF"/>
          <w:lang w:val="sl-SI"/>
        </w:rPr>
        <w:t>v</w:t>
      </w:r>
      <w:r w:rsidRPr="0085445B">
        <w:rPr>
          <w:rFonts w:cs="Arial"/>
          <w:color w:val="000000"/>
          <w:sz w:val="16"/>
          <w:szCs w:val="16"/>
          <w:shd w:val="clear" w:color="auto" w:fill="FFFFFF"/>
          <w:lang w:val="sl-SI"/>
        </w:rPr>
        <w:t>i Direktive Sveta 2008/114/ES (UL L št. 333/142 z dne 27. 12. 2022, str. 164).</w:t>
      </w:r>
    </w:p>
  </w:footnote>
  <w:footnote w:id="25">
    <w:p w14:paraId="17760C26" w14:textId="77777777" w:rsidR="000A51A5" w:rsidRPr="00C40C10" w:rsidRDefault="000A51A5" w:rsidP="000A51A5">
      <w:pPr>
        <w:pStyle w:val="Sprotnaopomba-besedilo"/>
        <w:jc w:val="both"/>
        <w:rPr>
          <w:rFonts w:cs="Arial"/>
          <w:color w:val="000000"/>
          <w:sz w:val="16"/>
          <w:szCs w:val="16"/>
          <w:shd w:val="clear" w:color="auto" w:fill="FFFFFF"/>
          <w:lang w:val="sl-SI"/>
        </w:rPr>
      </w:pPr>
      <w:r>
        <w:rPr>
          <w:rStyle w:val="Sprotnaopomba-sklic"/>
        </w:rPr>
        <w:footnoteRef/>
      </w:r>
      <w:r w:rsidRPr="00C40C10">
        <w:rPr>
          <w:lang w:val="sl-SI"/>
        </w:rPr>
        <w:t xml:space="preserve"> </w:t>
      </w:r>
      <w:r w:rsidRPr="00C40C10">
        <w:rPr>
          <w:rFonts w:cs="Arial"/>
          <w:color w:val="000000"/>
          <w:sz w:val="16"/>
          <w:szCs w:val="16"/>
          <w:shd w:val="clear" w:color="auto" w:fill="FFFFFF"/>
          <w:lang w:val="sl-SI"/>
        </w:rPr>
        <w:t>Direktiva (EU) 2016/1148/ES Evropskega parlamenta in Sveta z dne 6. julija 2016 o ukrepih za visoko skupno raven varnosti omrežij in informacijskih sistemov v Uniji (UL L št. 194 z dne 19. 7. 2016, str. 1)</w:t>
      </w:r>
      <w:r>
        <w:rPr>
          <w:rFonts w:cs="Arial"/>
          <w:color w:val="000000"/>
          <w:sz w:val="16"/>
          <w:szCs w:val="16"/>
          <w:shd w:val="clear" w:color="auto" w:fill="FFFFFF"/>
          <w:lang w:val="sl-SI"/>
        </w:rPr>
        <w:t xml:space="preserve">, ki je bila razveljavljena z </w:t>
      </w:r>
      <w:r w:rsidRPr="00C40C10">
        <w:rPr>
          <w:rFonts w:cs="Arial"/>
          <w:color w:val="000000"/>
          <w:sz w:val="16"/>
          <w:szCs w:val="16"/>
          <w:shd w:val="clear" w:color="auto" w:fill="FFFFFF"/>
          <w:lang w:val="sl-SI"/>
        </w:rPr>
        <w:t>Direktiv</w:t>
      </w:r>
      <w:r>
        <w:rPr>
          <w:rFonts w:cs="Arial"/>
          <w:color w:val="000000"/>
          <w:sz w:val="16"/>
          <w:szCs w:val="16"/>
          <w:shd w:val="clear" w:color="auto" w:fill="FFFFFF"/>
          <w:lang w:val="sl-SI"/>
        </w:rPr>
        <w:t>o</w:t>
      </w:r>
      <w:r w:rsidRPr="00C40C10">
        <w:rPr>
          <w:rFonts w:cs="Arial"/>
          <w:color w:val="000000"/>
          <w:sz w:val="16"/>
          <w:szCs w:val="16"/>
          <w:shd w:val="clear" w:color="auto" w:fill="FFFFFF"/>
          <w:lang w:val="sl-SI"/>
        </w:rPr>
        <w:t xml:space="preserve"> 2022/2555/EU</w:t>
      </w:r>
      <w:r>
        <w:rPr>
          <w:rFonts w:cs="Arial"/>
          <w:color w:val="000000"/>
          <w:sz w:val="16"/>
          <w:szCs w:val="16"/>
          <w:shd w:val="clear" w:color="auto" w:fill="FFFFFF"/>
          <w:lang w:val="sl-SI"/>
        </w:rPr>
        <w:t>.</w:t>
      </w:r>
    </w:p>
  </w:footnote>
  <w:footnote w:id="26">
    <w:p w14:paraId="26BCCFAB" w14:textId="77777777" w:rsidR="000A51A5" w:rsidRPr="003077CA" w:rsidRDefault="000A51A5" w:rsidP="000A51A5">
      <w:pPr>
        <w:pStyle w:val="Sprotnaopomba-besedilo"/>
        <w:jc w:val="both"/>
        <w:rPr>
          <w:rFonts w:cs="Arial"/>
          <w:sz w:val="16"/>
          <w:szCs w:val="16"/>
          <w:lang w:val="sl-SI"/>
        </w:rPr>
      </w:pPr>
      <w:r>
        <w:rPr>
          <w:rStyle w:val="Sprotnaopomba-sklic"/>
        </w:rPr>
        <w:footnoteRef/>
      </w:r>
      <w:r w:rsidRPr="003077CA">
        <w:rPr>
          <w:lang w:val="sl-SI"/>
        </w:rPr>
        <w:t xml:space="preserve"> </w:t>
      </w:r>
      <w:r w:rsidRPr="003077CA">
        <w:rPr>
          <w:rFonts w:cs="Arial"/>
          <w:sz w:val="16"/>
          <w:szCs w:val="16"/>
          <w:lang w:val="sl-SI"/>
        </w:rPr>
        <w:t>Zakon o spremembah in dopolnitvi Zakona o informacijski varnosti (ZInfv-A) (Uradni list RS, št. 95/21)</w:t>
      </w:r>
    </w:p>
  </w:footnote>
  <w:footnote w:id="27">
    <w:p w14:paraId="3477A000" w14:textId="77777777" w:rsidR="000A51A5" w:rsidRPr="003077CA" w:rsidRDefault="000A51A5" w:rsidP="000A51A5">
      <w:pPr>
        <w:pStyle w:val="Sprotnaopomba-besedilo"/>
        <w:jc w:val="both"/>
        <w:rPr>
          <w:rFonts w:cs="Arial"/>
          <w:sz w:val="16"/>
          <w:szCs w:val="16"/>
          <w:lang w:val="sl-SI"/>
        </w:rPr>
      </w:pPr>
      <w:r>
        <w:rPr>
          <w:rStyle w:val="Sprotnaopomba-sklic"/>
        </w:rPr>
        <w:footnoteRef/>
      </w:r>
      <w:r w:rsidRPr="003077CA">
        <w:rPr>
          <w:lang w:val="sl-SI"/>
        </w:rPr>
        <w:t xml:space="preserve"> </w:t>
      </w:r>
      <w:r w:rsidRPr="003077CA">
        <w:rPr>
          <w:sz w:val="16"/>
          <w:szCs w:val="16"/>
          <w:lang w:val="sl-SI"/>
        </w:rPr>
        <w:t xml:space="preserve">Glej 5. člen ZInfV-A, ki je v 27. členu </w:t>
      </w:r>
      <w:r w:rsidRPr="003077CA">
        <w:rPr>
          <w:rFonts w:cs="Arial"/>
          <w:sz w:val="16"/>
          <w:szCs w:val="16"/>
          <w:lang w:val="sl-SI"/>
        </w:rPr>
        <w:t xml:space="preserve">osnovnega ZInfV iz leta 2018 </w:t>
      </w:r>
      <w:r w:rsidRPr="003077CA">
        <w:rPr>
          <w:sz w:val="16"/>
          <w:szCs w:val="16"/>
          <w:lang w:val="sl-SI"/>
        </w:rPr>
        <w:t>med drugim spremenil njegov prvi odstavek tako, da se glasi: »(1) Pristojni nacionalni organ je Urad Vlade Republike Slovenije za informacijsko varnost.«.</w:t>
      </w:r>
    </w:p>
  </w:footnote>
  <w:footnote w:id="28">
    <w:p w14:paraId="6C41E169" w14:textId="77777777" w:rsidR="000A51A5" w:rsidRPr="00C40C10" w:rsidRDefault="000A51A5" w:rsidP="000A51A5">
      <w:pPr>
        <w:pStyle w:val="Sprotnaopomba-besedilo"/>
        <w:jc w:val="both"/>
        <w:rPr>
          <w:rFonts w:cs="Arial"/>
          <w:color w:val="000000"/>
          <w:sz w:val="16"/>
          <w:szCs w:val="16"/>
          <w:shd w:val="clear" w:color="auto" w:fill="FFFFFF"/>
          <w:lang w:val="sl-SI"/>
        </w:rPr>
      </w:pPr>
      <w:r>
        <w:rPr>
          <w:rStyle w:val="Sprotnaopomba-sklic"/>
        </w:rPr>
        <w:footnoteRef/>
      </w:r>
      <w:r w:rsidRPr="00C40C10">
        <w:rPr>
          <w:lang w:val="sl-SI"/>
        </w:rPr>
        <w:t xml:space="preserve"> </w:t>
      </w:r>
      <w:r w:rsidRPr="00C40C10">
        <w:rPr>
          <w:rFonts w:cs="Arial"/>
          <w:color w:val="000000"/>
          <w:sz w:val="16"/>
          <w:szCs w:val="16"/>
          <w:shd w:val="clear" w:color="auto" w:fill="FFFFFF"/>
          <w:lang w:val="sl-SI"/>
        </w:rPr>
        <w:t>Direktiva 2002/21/ES Evropskega parlamenta in Sveta z dne 7. marca 2002 o skupnem regulativnem okviru za elektronska komunikacijska omrežja in storitve (Okvirna direktiva) (UL L</w:t>
      </w:r>
      <w:r>
        <w:rPr>
          <w:rFonts w:cs="Arial"/>
          <w:color w:val="000000"/>
          <w:sz w:val="16"/>
          <w:szCs w:val="16"/>
          <w:shd w:val="clear" w:color="auto" w:fill="FFFFFF"/>
          <w:lang w:val="sl-SI"/>
        </w:rPr>
        <w:t>,</w:t>
      </w:r>
      <w:r w:rsidRPr="00C40C10">
        <w:rPr>
          <w:rFonts w:cs="Arial"/>
          <w:color w:val="000000"/>
          <w:sz w:val="16"/>
          <w:szCs w:val="16"/>
          <w:shd w:val="clear" w:color="auto" w:fill="FFFFFF"/>
          <w:lang w:val="sl-SI"/>
        </w:rPr>
        <w:t xml:space="preserve"> št. 108 z dne 24. 4. 2002, str. 33), zadnjič spremenjena z Direktivo 2009/140/ES</w:t>
      </w:r>
      <w:r>
        <w:rPr>
          <w:rFonts w:cs="Arial"/>
          <w:color w:val="000000"/>
          <w:sz w:val="16"/>
          <w:szCs w:val="16"/>
          <w:shd w:val="clear" w:color="auto" w:fill="FFFFFF"/>
          <w:lang w:val="sl-SI"/>
        </w:rPr>
        <w:t>.</w:t>
      </w:r>
    </w:p>
  </w:footnote>
  <w:footnote w:id="29">
    <w:p w14:paraId="367168F0" w14:textId="77777777" w:rsidR="000A51A5" w:rsidRPr="00C40C10" w:rsidRDefault="000A51A5" w:rsidP="000A51A5">
      <w:pPr>
        <w:pStyle w:val="Sprotnaopomba-besedilo"/>
        <w:jc w:val="both"/>
        <w:rPr>
          <w:rFonts w:cs="Arial"/>
          <w:color w:val="000000"/>
          <w:sz w:val="16"/>
          <w:szCs w:val="16"/>
          <w:shd w:val="clear" w:color="auto" w:fill="FFFFFF"/>
          <w:lang w:val="sl-SI"/>
        </w:rPr>
      </w:pPr>
      <w:r>
        <w:rPr>
          <w:rStyle w:val="Sprotnaopomba-sklic"/>
        </w:rPr>
        <w:footnoteRef/>
      </w:r>
      <w:r w:rsidRPr="00C40C10">
        <w:rPr>
          <w:lang w:val="sl-SI"/>
        </w:rPr>
        <w:t xml:space="preserve"> </w:t>
      </w:r>
      <w:r w:rsidRPr="00C40C10">
        <w:rPr>
          <w:rFonts w:cs="Arial"/>
          <w:color w:val="000000"/>
          <w:sz w:val="16"/>
          <w:szCs w:val="16"/>
          <w:shd w:val="clear" w:color="auto" w:fill="FFFFFF"/>
          <w:lang w:val="sl-SI"/>
        </w:rPr>
        <w:t>Direktiva (EU) 2018/1972 Evropskega parlamenta in Sveta z dne 11. decembra 2018 o Evropskem zakoniku o elektronskih komunikacijah (UL L</w:t>
      </w:r>
      <w:r>
        <w:rPr>
          <w:rFonts w:cs="Arial"/>
          <w:color w:val="000000"/>
          <w:sz w:val="16"/>
          <w:szCs w:val="16"/>
          <w:shd w:val="clear" w:color="auto" w:fill="FFFFFF"/>
          <w:lang w:val="sl-SI"/>
        </w:rPr>
        <w:t>,</w:t>
      </w:r>
      <w:r w:rsidRPr="00C40C10">
        <w:rPr>
          <w:rFonts w:cs="Arial"/>
          <w:color w:val="000000"/>
          <w:sz w:val="16"/>
          <w:szCs w:val="16"/>
          <w:shd w:val="clear" w:color="auto" w:fill="FFFFFF"/>
          <w:lang w:val="sl-SI"/>
        </w:rPr>
        <w:t xml:space="preserve"> št. 321 z dne 17. 12. 2018, str. 36)</w:t>
      </w:r>
      <w:r>
        <w:rPr>
          <w:rFonts w:cs="Arial"/>
          <w:color w:val="000000"/>
          <w:sz w:val="16"/>
          <w:szCs w:val="16"/>
          <w:shd w:val="clear" w:color="auto" w:fill="FFFFFF"/>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9967F2" w14:textId="77777777" w:rsidR="00744D92" w:rsidRDefault="00744D92"/>
  <w:p w14:paraId="408882E5" w14:textId="77777777" w:rsidR="00995130" w:rsidRPr="008F3500" w:rsidRDefault="00995130" w:rsidP="00594E31">
    <w:pPr>
      <w:pStyle w:val="Glava"/>
      <w:tabs>
        <w:tab w:val="clear" w:pos="4320"/>
        <w:tab w:val="clear" w:pos="8640"/>
        <w:tab w:val="left" w:pos="5112"/>
      </w:tabs>
      <w:spacing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46F19"/>
    <w:multiLevelType w:val="hybridMultilevel"/>
    <w:tmpl w:val="C6FC5908"/>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 w15:restartNumberingAfterBreak="0">
    <w:nsid w:val="04863D35"/>
    <w:multiLevelType w:val="multilevel"/>
    <w:tmpl w:val="9D30D33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A60461"/>
    <w:multiLevelType w:val="hybridMultilevel"/>
    <w:tmpl w:val="CE4849FE"/>
    <w:lvl w:ilvl="0" w:tplc="90E4F09A">
      <w:start w:val="1"/>
      <w:numFmt w:val="decimal"/>
      <w:lvlText w:val="%1."/>
      <w:lvlJc w:val="left"/>
      <w:pPr>
        <w:ind w:left="2916" w:hanging="360"/>
      </w:pPr>
      <w:rPr>
        <w:rFonts w:hint="default"/>
      </w:rPr>
    </w:lvl>
    <w:lvl w:ilvl="1" w:tplc="FFFFFFFF">
      <w:start w:val="1"/>
      <w:numFmt w:val="lowerLetter"/>
      <w:lvlText w:val="(%2)"/>
      <w:lvlJc w:val="left"/>
      <w:pPr>
        <w:ind w:left="3636" w:hanging="360"/>
      </w:pPr>
      <w:rPr>
        <w:rFonts w:hint="default"/>
      </w:rPr>
    </w:lvl>
    <w:lvl w:ilvl="2" w:tplc="FFFFFFFF" w:tentative="1">
      <w:start w:val="1"/>
      <w:numFmt w:val="lowerRoman"/>
      <w:lvlText w:val="%3."/>
      <w:lvlJc w:val="right"/>
      <w:pPr>
        <w:ind w:left="4356" w:hanging="180"/>
      </w:pPr>
    </w:lvl>
    <w:lvl w:ilvl="3" w:tplc="FFFFFFFF" w:tentative="1">
      <w:start w:val="1"/>
      <w:numFmt w:val="decimal"/>
      <w:lvlText w:val="%4."/>
      <w:lvlJc w:val="left"/>
      <w:pPr>
        <w:ind w:left="5076" w:hanging="360"/>
      </w:pPr>
    </w:lvl>
    <w:lvl w:ilvl="4" w:tplc="FFFFFFFF" w:tentative="1">
      <w:start w:val="1"/>
      <w:numFmt w:val="lowerLetter"/>
      <w:lvlText w:val="%5."/>
      <w:lvlJc w:val="left"/>
      <w:pPr>
        <w:ind w:left="5796" w:hanging="360"/>
      </w:pPr>
    </w:lvl>
    <w:lvl w:ilvl="5" w:tplc="FFFFFFFF" w:tentative="1">
      <w:start w:val="1"/>
      <w:numFmt w:val="lowerRoman"/>
      <w:lvlText w:val="%6."/>
      <w:lvlJc w:val="right"/>
      <w:pPr>
        <w:ind w:left="6516" w:hanging="180"/>
      </w:pPr>
    </w:lvl>
    <w:lvl w:ilvl="6" w:tplc="FFFFFFFF" w:tentative="1">
      <w:start w:val="1"/>
      <w:numFmt w:val="decimal"/>
      <w:lvlText w:val="%7."/>
      <w:lvlJc w:val="left"/>
      <w:pPr>
        <w:ind w:left="7236" w:hanging="360"/>
      </w:pPr>
    </w:lvl>
    <w:lvl w:ilvl="7" w:tplc="FFFFFFFF" w:tentative="1">
      <w:start w:val="1"/>
      <w:numFmt w:val="lowerLetter"/>
      <w:lvlText w:val="%8."/>
      <w:lvlJc w:val="left"/>
      <w:pPr>
        <w:ind w:left="7956" w:hanging="360"/>
      </w:pPr>
    </w:lvl>
    <w:lvl w:ilvl="8" w:tplc="FFFFFFFF" w:tentative="1">
      <w:start w:val="1"/>
      <w:numFmt w:val="lowerRoman"/>
      <w:lvlText w:val="%9."/>
      <w:lvlJc w:val="right"/>
      <w:pPr>
        <w:ind w:left="8676" w:hanging="180"/>
      </w:pPr>
    </w:lvl>
  </w:abstractNum>
  <w:abstractNum w:abstractNumId="3" w15:restartNumberingAfterBreak="0">
    <w:nsid w:val="065C2739"/>
    <w:multiLevelType w:val="multilevel"/>
    <w:tmpl w:val="4DEAA1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0B49E4"/>
    <w:multiLevelType w:val="hybridMultilevel"/>
    <w:tmpl w:val="84A42B4E"/>
    <w:lvl w:ilvl="0" w:tplc="90E4F09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961DB6"/>
    <w:multiLevelType w:val="multilevel"/>
    <w:tmpl w:val="6F20AD2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C1778E"/>
    <w:multiLevelType w:val="hybridMultilevel"/>
    <w:tmpl w:val="712C15E0"/>
    <w:lvl w:ilvl="0" w:tplc="13CCF9C0">
      <w:start w:val="1"/>
      <w:numFmt w:val="upperRoman"/>
      <w:pStyle w:val="NIS2naslovpoglavja"/>
      <w:lvlText w:val="%1."/>
      <w:lvlJc w:val="left"/>
      <w:pPr>
        <w:ind w:left="8233"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8F0211"/>
    <w:multiLevelType w:val="hybridMultilevel"/>
    <w:tmpl w:val="01C41D12"/>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 w15:restartNumberingAfterBreak="0">
    <w:nsid w:val="0C8F0875"/>
    <w:multiLevelType w:val="hybridMultilevel"/>
    <w:tmpl w:val="631A6C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CCF1CF6"/>
    <w:multiLevelType w:val="hybridMultilevel"/>
    <w:tmpl w:val="420C2F4E"/>
    <w:lvl w:ilvl="0" w:tplc="67CEC89E">
      <w:start w:val="1"/>
      <w:numFmt w:val="decimal"/>
      <w:lvlText w:val="(%1)"/>
      <w:lvlJc w:val="left"/>
      <w:pPr>
        <w:ind w:left="659" w:hanging="375"/>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 w15:restartNumberingAfterBreak="0">
    <w:nsid w:val="0D813EB6"/>
    <w:multiLevelType w:val="hybridMultilevel"/>
    <w:tmpl w:val="6D607CE4"/>
    <w:lvl w:ilvl="0" w:tplc="FFFFFFFF">
      <w:start w:val="5"/>
      <w:numFmt w:val="bullet"/>
      <w:lvlText w:val="-"/>
      <w:lvlJc w:val="left"/>
      <w:pPr>
        <w:ind w:left="2594" w:hanging="360"/>
      </w:pPr>
      <w:rPr>
        <w:rFonts w:ascii="Arial" w:eastAsia="Calibri" w:hAnsi="Arial" w:cs="Arial" w:hint="default"/>
      </w:rPr>
    </w:lvl>
    <w:lvl w:ilvl="1" w:tplc="6CB26A92">
      <w:start w:val="1"/>
      <w:numFmt w:val="bullet"/>
      <w:lvlText w:val=""/>
      <w:lvlJc w:val="left"/>
      <w:pPr>
        <w:ind w:left="3314" w:hanging="360"/>
      </w:pPr>
      <w:rPr>
        <w:rFonts w:ascii="Symbol" w:hAnsi="Symbol" w:hint="default"/>
      </w:rPr>
    </w:lvl>
    <w:lvl w:ilvl="2" w:tplc="DB3ADADC">
      <w:start w:val="23"/>
      <w:numFmt w:val="bullet"/>
      <w:lvlText w:val="—"/>
      <w:lvlJc w:val="left"/>
      <w:pPr>
        <w:ind w:left="4034" w:hanging="360"/>
      </w:pPr>
      <w:rPr>
        <w:rFonts w:ascii="Arial" w:eastAsia="Times New Roman" w:hAnsi="Arial" w:cs="Arial" w:hint="default"/>
      </w:rPr>
    </w:lvl>
    <w:lvl w:ilvl="3" w:tplc="FFFFFFFF" w:tentative="1">
      <w:start w:val="1"/>
      <w:numFmt w:val="bullet"/>
      <w:lvlText w:val=""/>
      <w:lvlJc w:val="left"/>
      <w:pPr>
        <w:ind w:left="4754" w:hanging="360"/>
      </w:pPr>
      <w:rPr>
        <w:rFonts w:ascii="Symbol" w:hAnsi="Symbol" w:hint="default"/>
      </w:rPr>
    </w:lvl>
    <w:lvl w:ilvl="4" w:tplc="FFFFFFFF" w:tentative="1">
      <w:start w:val="1"/>
      <w:numFmt w:val="bullet"/>
      <w:lvlText w:val="o"/>
      <w:lvlJc w:val="left"/>
      <w:pPr>
        <w:ind w:left="5474" w:hanging="360"/>
      </w:pPr>
      <w:rPr>
        <w:rFonts w:ascii="Courier New" w:hAnsi="Courier New" w:cs="Courier New" w:hint="default"/>
      </w:rPr>
    </w:lvl>
    <w:lvl w:ilvl="5" w:tplc="FFFFFFFF" w:tentative="1">
      <w:start w:val="1"/>
      <w:numFmt w:val="bullet"/>
      <w:lvlText w:val=""/>
      <w:lvlJc w:val="left"/>
      <w:pPr>
        <w:ind w:left="6194" w:hanging="360"/>
      </w:pPr>
      <w:rPr>
        <w:rFonts w:ascii="Wingdings" w:hAnsi="Wingdings" w:hint="default"/>
      </w:rPr>
    </w:lvl>
    <w:lvl w:ilvl="6" w:tplc="FFFFFFFF" w:tentative="1">
      <w:start w:val="1"/>
      <w:numFmt w:val="bullet"/>
      <w:lvlText w:val=""/>
      <w:lvlJc w:val="left"/>
      <w:pPr>
        <w:ind w:left="6914" w:hanging="360"/>
      </w:pPr>
      <w:rPr>
        <w:rFonts w:ascii="Symbol" w:hAnsi="Symbol" w:hint="default"/>
      </w:rPr>
    </w:lvl>
    <w:lvl w:ilvl="7" w:tplc="FFFFFFFF" w:tentative="1">
      <w:start w:val="1"/>
      <w:numFmt w:val="bullet"/>
      <w:lvlText w:val="o"/>
      <w:lvlJc w:val="left"/>
      <w:pPr>
        <w:ind w:left="7634" w:hanging="360"/>
      </w:pPr>
      <w:rPr>
        <w:rFonts w:ascii="Courier New" w:hAnsi="Courier New" w:cs="Courier New" w:hint="default"/>
      </w:rPr>
    </w:lvl>
    <w:lvl w:ilvl="8" w:tplc="FFFFFFFF" w:tentative="1">
      <w:start w:val="1"/>
      <w:numFmt w:val="bullet"/>
      <w:lvlText w:val=""/>
      <w:lvlJc w:val="left"/>
      <w:pPr>
        <w:ind w:left="8354" w:hanging="360"/>
      </w:pPr>
      <w:rPr>
        <w:rFonts w:ascii="Wingdings" w:hAnsi="Wingdings" w:hint="default"/>
      </w:rPr>
    </w:lvl>
  </w:abstractNum>
  <w:abstractNum w:abstractNumId="11" w15:restartNumberingAfterBreak="0">
    <w:nsid w:val="0E8526A9"/>
    <w:multiLevelType w:val="hybridMultilevel"/>
    <w:tmpl w:val="DACA0BA2"/>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12" w15:restartNumberingAfterBreak="0">
    <w:nsid w:val="0EAC1924"/>
    <w:multiLevelType w:val="hybridMultilevel"/>
    <w:tmpl w:val="3E9EA64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3" w15:restartNumberingAfterBreak="0">
    <w:nsid w:val="139201B6"/>
    <w:multiLevelType w:val="hybridMultilevel"/>
    <w:tmpl w:val="9E06E44C"/>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59F327C"/>
    <w:multiLevelType w:val="hybridMultilevel"/>
    <w:tmpl w:val="B632382E"/>
    <w:lvl w:ilvl="0" w:tplc="04240013">
      <w:start w:val="1"/>
      <w:numFmt w:val="upperRoman"/>
      <w:lvlText w:val="%1."/>
      <w:lvlJc w:val="right"/>
      <w:pPr>
        <w:ind w:left="720" w:hanging="360"/>
      </w:pPr>
    </w:lvl>
    <w:lvl w:ilvl="1" w:tplc="3A4CD2A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65740E7"/>
    <w:multiLevelType w:val="hybridMultilevel"/>
    <w:tmpl w:val="BEE4E714"/>
    <w:lvl w:ilvl="0" w:tplc="A1F26AE0">
      <w:start w:val="1"/>
      <w:numFmt w:val="decimal"/>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6" w15:restartNumberingAfterBreak="0">
    <w:nsid w:val="1A5B4B9D"/>
    <w:multiLevelType w:val="hybridMultilevel"/>
    <w:tmpl w:val="31A28CE0"/>
    <w:lvl w:ilvl="0" w:tplc="E33AA7CE">
      <w:numFmt w:val="bullet"/>
      <w:lvlText w:val="-"/>
      <w:lvlJc w:val="left"/>
      <w:pPr>
        <w:ind w:left="1033" w:hanging="360"/>
      </w:pPr>
      <w:rPr>
        <w:rFonts w:ascii="Arial" w:eastAsia="Times New Roman" w:hAnsi="Arial" w:hint="default"/>
      </w:rPr>
    </w:lvl>
    <w:lvl w:ilvl="1" w:tplc="04240003" w:tentative="1">
      <w:start w:val="1"/>
      <w:numFmt w:val="bullet"/>
      <w:lvlText w:val="o"/>
      <w:lvlJc w:val="left"/>
      <w:pPr>
        <w:ind w:left="1753" w:hanging="360"/>
      </w:pPr>
      <w:rPr>
        <w:rFonts w:ascii="Courier New" w:hAnsi="Courier New" w:cs="Courier New" w:hint="default"/>
      </w:rPr>
    </w:lvl>
    <w:lvl w:ilvl="2" w:tplc="04240005" w:tentative="1">
      <w:start w:val="1"/>
      <w:numFmt w:val="bullet"/>
      <w:lvlText w:val=""/>
      <w:lvlJc w:val="left"/>
      <w:pPr>
        <w:ind w:left="2473" w:hanging="360"/>
      </w:pPr>
      <w:rPr>
        <w:rFonts w:ascii="Wingdings" w:hAnsi="Wingdings" w:hint="default"/>
      </w:rPr>
    </w:lvl>
    <w:lvl w:ilvl="3" w:tplc="04240001" w:tentative="1">
      <w:start w:val="1"/>
      <w:numFmt w:val="bullet"/>
      <w:lvlText w:val=""/>
      <w:lvlJc w:val="left"/>
      <w:pPr>
        <w:ind w:left="3193" w:hanging="360"/>
      </w:pPr>
      <w:rPr>
        <w:rFonts w:ascii="Symbol" w:hAnsi="Symbol" w:hint="default"/>
      </w:rPr>
    </w:lvl>
    <w:lvl w:ilvl="4" w:tplc="04240003" w:tentative="1">
      <w:start w:val="1"/>
      <w:numFmt w:val="bullet"/>
      <w:lvlText w:val="o"/>
      <w:lvlJc w:val="left"/>
      <w:pPr>
        <w:ind w:left="3913" w:hanging="360"/>
      </w:pPr>
      <w:rPr>
        <w:rFonts w:ascii="Courier New" w:hAnsi="Courier New" w:cs="Courier New" w:hint="default"/>
      </w:rPr>
    </w:lvl>
    <w:lvl w:ilvl="5" w:tplc="04240005" w:tentative="1">
      <w:start w:val="1"/>
      <w:numFmt w:val="bullet"/>
      <w:lvlText w:val=""/>
      <w:lvlJc w:val="left"/>
      <w:pPr>
        <w:ind w:left="4633" w:hanging="360"/>
      </w:pPr>
      <w:rPr>
        <w:rFonts w:ascii="Wingdings" w:hAnsi="Wingdings" w:hint="default"/>
      </w:rPr>
    </w:lvl>
    <w:lvl w:ilvl="6" w:tplc="04240001" w:tentative="1">
      <w:start w:val="1"/>
      <w:numFmt w:val="bullet"/>
      <w:lvlText w:val=""/>
      <w:lvlJc w:val="left"/>
      <w:pPr>
        <w:ind w:left="5353" w:hanging="360"/>
      </w:pPr>
      <w:rPr>
        <w:rFonts w:ascii="Symbol" w:hAnsi="Symbol" w:hint="default"/>
      </w:rPr>
    </w:lvl>
    <w:lvl w:ilvl="7" w:tplc="04240003" w:tentative="1">
      <w:start w:val="1"/>
      <w:numFmt w:val="bullet"/>
      <w:lvlText w:val="o"/>
      <w:lvlJc w:val="left"/>
      <w:pPr>
        <w:ind w:left="6073" w:hanging="360"/>
      </w:pPr>
      <w:rPr>
        <w:rFonts w:ascii="Courier New" w:hAnsi="Courier New" w:cs="Courier New" w:hint="default"/>
      </w:rPr>
    </w:lvl>
    <w:lvl w:ilvl="8" w:tplc="04240005" w:tentative="1">
      <w:start w:val="1"/>
      <w:numFmt w:val="bullet"/>
      <w:lvlText w:val=""/>
      <w:lvlJc w:val="left"/>
      <w:pPr>
        <w:ind w:left="6793" w:hanging="360"/>
      </w:pPr>
      <w:rPr>
        <w:rFonts w:ascii="Wingdings" w:hAnsi="Wingdings" w:hint="default"/>
      </w:rPr>
    </w:lvl>
  </w:abstractNum>
  <w:abstractNum w:abstractNumId="17" w15:restartNumberingAfterBreak="0">
    <w:nsid w:val="1B123B53"/>
    <w:multiLevelType w:val="hybridMultilevel"/>
    <w:tmpl w:val="4A1441E6"/>
    <w:lvl w:ilvl="0" w:tplc="8EBC32BC">
      <w:numFmt w:val="bullet"/>
      <w:lvlText w:val="−"/>
      <w:lvlJc w:val="left"/>
      <w:pPr>
        <w:ind w:left="1571" w:hanging="360"/>
      </w:pPr>
      <w:rPr>
        <w:rFonts w:ascii="Segoe UI" w:eastAsia="Aptos" w:hAnsi="Segoe UI"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9" w15:restartNumberingAfterBreak="0">
    <w:nsid w:val="1C3C5682"/>
    <w:multiLevelType w:val="hybridMultilevel"/>
    <w:tmpl w:val="1C0EA10E"/>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15:restartNumberingAfterBreak="0">
    <w:nsid w:val="1DF463A3"/>
    <w:multiLevelType w:val="hybridMultilevel"/>
    <w:tmpl w:val="80EC7704"/>
    <w:lvl w:ilvl="0" w:tplc="8EBC32BC">
      <w:numFmt w:val="bullet"/>
      <w:lvlText w:val="−"/>
      <w:lvlJc w:val="left"/>
      <w:pPr>
        <w:ind w:left="720" w:hanging="360"/>
      </w:pPr>
      <w:rPr>
        <w:rFonts w:ascii="Segoe UI" w:eastAsia="Aptos"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09371A1"/>
    <w:multiLevelType w:val="multilevel"/>
    <w:tmpl w:val="C36A4D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2316CBC"/>
    <w:multiLevelType w:val="hybridMultilevel"/>
    <w:tmpl w:val="6E52AC32"/>
    <w:lvl w:ilvl="0" w:tplc="A06027EA">
      <w:start w:val="1"/>
      <w:numFmt w:val="bullet"/>
      <w:lvlText w:val=""/>
      <w:lvlJc w:val="left"/>
      <w:pPr>
        <w:ind w:left="780" w:hanging="360"/>
      </w:pPr>
      <w:rPr>
        <w:rFonts w:ascii="Symbol" w:hAnsi="Symbol" w:hint="default"/>
      </w:rPr>
    </w:lvl>
    <w:lvl w:ilvl="1" w:tplc="8FB8F0BC">
      <w:start w:val="1"/>
      <w:numFmt w:val="bullet"/>
      <w:lvlText w:val="o"/>
      <w:lvlJc w:val="left"/>
      <w:pPr>
        <w:ind w:left="1500" w:hanging="360"/>
      </w:pPr>
      <w:rPr>
        <w:rFonts w:ascii="Courier New" w:hAnsi="Courier New" w:cs="Courier New" w:hint="default"/>
      </w:rPr>
    </w:lvl>
    <w:lvl w:ilvl="2" w:tplc="2464655E">
      <w:start w:val="1"/>
      <w:numFmt w:val="bullet"/>
      <w:lvlText w:val=""/>
      <w:lvlJc w:val="left"/>
      <w:pPr>
        <w:ind w:left="2220" w:hanging="360"/>
      </w:pPr>
      <w:rPr>
        <w:rFonts w:ascii="Wingdings" w:hAnsi="Wingdings" w:hint="default"/>
      </w:rPr>
    </w:lvl>
    <w:lvl w:ilvl="3" w:tplc="496660DA">
      <w:start w:val="1"/>
      <w:numFmt w:val="bullet"/>
      <w:lvlText w:val=""/>
      <w:lvlJc w:val="left"/>
      <w:pPr>
        <w:ind w:left="2940" w:hanging="360"/>
      </w:pPr>
      <w:rPr>
        <w:rFonts w:ascii="Symbol" w:hAnsi="Symbol" w:hint="default"/>
      </w:rPr>
    </w:lvl>
    <w:lvl w:ilvl="4" w:tplc="17B27622">
      <w:start w:val="1"/>
      <w:numFmt w:val="bullet"/>
      <w:lvlText w:val="o"/>
      <w:lvlJc w:val="left"/>
      <w:pPr>
        <w:ind w:left="3660" w:hanging="360"/>
      </w:pPr>
      <w:rPr>
        <w:rFonts w:ascii="Courier New" w:hAnsi="Courier New" w:cs="Courier New" w:hint="default"/>
      </w:rPr>
    </w:lvl>
    <w:lvl w:ilvl="5" w:tplc="878EE922">
      <w:start w:val="1"/>
      <w:numFmt w:val="bullet"/>
      <w:lvlText w:val=""/>
      <w:lvlJc w:val="left"/>
      <w:pPr>
        <w:ind w:left="4380" w:hanging="360"/>
      </w:pPr>
      <w:rPr>
        <w:rFonts w:ascii="Wingdings" w:hAnsi="Wingdings" w:hint="default"/>
      </w:rPr>
    </w:lvl>
    <w:lvl w:ilvl="6" w:tplc="3F28642A">
      <w:start w:val="1"/>
      <w:numFmt w:val="bullet"/>
      <w:lvlText w:val=""/>
      <w:lvlJc w:val="left"/>
      <w:pPr>
        <w:ind w:left="5100" w:hanging="360"/>
      </w:pPr>
      <w:rPr>
        <w:rFonts w:ascii="Symbol" w:hAnsi="Symbol" w:hint="default"/>
      </w:rPr>
    </w:lvl>
    <w:lvl w:ilvl="7" w:tplc="2B7229E4">
      <w:start w:val="1"/>
      <w:numFmt w:val="bullet"/>
      <w:lvlText w:val="o"/>
      <w:lvlJc w:val="left"/>
      <w:pPr>
        <w:ind w:left="5820" w:hanging="360"/>
      </w:pPr>
      <w:rPr>
        <w:rFonts w:ascii="Courier New" w:hAnsi="Courier New" w:cs="Courier New" w:hint="default"/>
      </w:rPr>
    </w:lvl>
    <w:lvl w:ilvl="8" w:tplc="97FE80B6">
      <w:start w:val="1"/>
      <w:numFmt w:val="bullet"/>
      <w:lvlText w:val=""/>
      <w:lvlJc w:val="left"/>
      <w:pPr>
        <w:ind w:left="6540" w:hanging="360"/>
      </w:pPr>
      <w:rPr>
        <w:rFonts w:ascii="Wingdings" w:hAnsi="Wingdings" w:hint="default"/>
      </w:rPr>
    </w:lvl>
  </w:abstractNum>
  <w:abstractNum w:abstractNumId="23" w15:restartNumberingAfterBreak="0">
    <w:nsid w:val="228324FD"/>
    <w:multiLevelType w:val="hybridMultilevel"/>
    <w:tmpl w:val="8378116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26C460BE"/>
    <w:multiLevelType w:val="hybridMultilevel"/>
    <w:tmpl w:val="EDB835A8"/>
    <w:lvl w:ilvl="0" w:tplc="04240017">
      <w:start w:val="1"/>
      <w:numFmt w:val="lowerLetter"/>
      <w:lvlText w:val="%1)"/>
      <w:lvlJc w:val="left"/>
      <w:pPr>
        <w:ind w:left="720" w:hanging="360"/>
      </w:pPr>
      <w:rPr>
        <w:rFonts w:hint="default"/>
      </w:rPr>
    </w:lvl>
    <w:lvl w:ilvl="1" w:tplc="E738109E">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7791056"/>
    <w:multiLevelType w:val="hybridMultilevel"/>
    <w:tmpl w:val="6290909C"/>
    <w:lvl w:ilvl="0" w:tplc="C4C2DCEC">
      <w:start w:val="1"/>
      <w:numFmt w:val="decimal"/>
      <w:pStyle w:val="tevilnatoka"/>
      <w:lvlText w:val="%1."/>
      <w:lvlJc w:val="left"/>
      <w:pPr>
        <w:tabs>
          <w:tab w:val="num" w:pos="0"/>
        </w:tabs>
        <w:ind w:left="0" w:hanging="397"/>
      </w:pPr>
      <w:rPr>
        <w:rFonts w:hint="default"/>
      </w:rPr>
    </w:lvl>
    <w:lvl w:ilvl="1" w:tplc="04240019" w:tentative="1">
      <w:start w:val="1"/>
      <w:numFmt w:val="lowerLetter"/>
      <w:lvlText w:val="%2."/>
      <w:lvlJc w:val="left"/>
      <w:pPr>
        <w:tabs>
          <w:tab w:val="num" w:pos="1043"/>
        </w:tabs>
        <w:ind w:left="1043" w:hanging="360"/>
      </w:pPr>
    </w:lvl>
    <w:lvl w:ilvl="2" w:tplc="0424001B" w:tentative="1">
      <w:start w:val="1"/>
      <w:numFmt w:val="lowerRoman"/>
      <w:lvlText w:val="%3."/>
      <w:lvlJc w:val="right"/>
      <w:pPr>
        <w:tabs>
          <w:tab w:val="num" w:pos="1763"/>
        </w:tabs>
        <w:ind w:left="1763" w:hanging="180"/>
      </w:pPr>
    </w:lvl>
    <w:lvl w:ilvl="3" w:tplc="0424000F" w:tentative="1">
      <w:start w:val="1"/>
      <w:numFmt w:val="decimal"/>
      <w:lvlText w:val="%4."/>
      <w:lvlJc w:val="left"/>
      <w:pPr>
        <w:tabs>
          <w:tab w:val="num" w:pos="2483"/>
        </w:tabs>
        <w:ind w:left="2483" w:hanging="360"/>
      </w:pPr>
    </w:lvl>
    <w:lvl w:ilvl="4" w:tplc="04240019" w:tentative="1">
      <w:start w:val="1"/>
      <w:numFmt w:val="lowerLetter"/>
      <w:lvlText w:val="%5."/>
      <w:lvlJc w:val="left"/>
      <w:pPr>
        <w:tabs>
          <w:tab w:val="num" w:pos="3203"/>
        </w:tabs>
        <w:ind w:left="3203" w:hanging="360"/>
      </w:pPr>
    </w:lvl>
    <w:lvl w:ilvl="5" w:tplc="0424001B" w:tentative="1">
      <w:start w:val="1"/>
      <w:numFmt w:val="lowerRoman"/>
      <w:lvlText w:val="%6."/>
      <w:lvlJc w:val="right"/>
      <w:pPr>
        <w:tabs>
          <w:tab w:val="num" w:pos="3923"/>
        </w:tabs>
        <w:ind w:left="3923" w:hanging="180"/>
      </w:pPr>
    </w:lvl>
    <w:lvl w:ilvl="6" w:tplc="0424000F" w:tentative="1">
      <w:start w:val="1"/>
      <w:numFmt w:val="decimal"/>
      <w:lvlText w:val="%7."/>
      <w:lvlJc w:val="left"/>
      <w:pPr>
        <w:tabs>
          <w:tab w:val="num" w:pos="4643"/>
        </w:tabs>
        <w:ind w:left="4643" w:hanging="360"/>
      </w:pPr>
    </w:lvl>
    <w:lvl w:ilvl="7" w:tplc="04240019" w:tentative="1">
      <w:start w:val="1"/>
      <w:numFmt w:val="lowerLetter"/>
      <w:lvlText w:val="%8."/>
      <w:lvlJc w:val="left"/>
      <w:pPr>
        <w:tabs>
          <w:tab w:val="num" w:pos="5363"/>
        </w:tabs>
        <w:ind w:left="5363" w:hanging="360"/>
      </w:pPr>
    </w:lvl>
    <w:lvl w:ilvl="8" w:tplc="0424001B" w:tentative="1">
      <w:start w:val="1"/>
      <w:numFmt w:val="lowerRoman"/>
      <w:lvlText w:val="%9."/>
      <w:lvlJc w:val="right"/>
      <w:pPr>
        <w:tabs>
          <w:tab w:val="num" w:pos="6083"/>
        </w:tabs>
        <w:ind w:left="6083" w:hanging="180"/>
      </w:pPr>
    </w:lvl>
  </w:abstractNum>
  <w:abstractNum w:abstractNumId="27" w15:restartNumberingAfterBreak="0">
    <w:nsid w:val="27A47094"/>
    <w:multiLevelType w:val="hybridMultilevel"/>
    <w:tmpl w:val="37B0D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B3F4C5A"/>
    <w:multiLevelType w:val="hybridMultilevel"/>
    <w:tmpl w:val="71AA18E0"/>
    <w:lvl w:ilvl="0" w:tplc="0424000F">
      <w:start w:val="1"/>
      <w:numFmt w:val="decimal"/>
      <w:lvlText w:val="%1."/>
      <w:lvlJc w:val="left"/>
      <w:pPr>
        <w:ind w:left="1855" w:hanging="360"/>
      </w:pPr>
    </w:lvl>
    <w:lvl w:ilvl="1" w:tplc="04240019" w:tentative="1">
      <w:start w:val="1"/>
      <w:numFmt w:val="lowerLetter"/>
      <w:lvlText w:val="%2."/>
      <w:lvlJc w:val="left"/>
      <w:pPr>
        <w:ind w:left="2575" w:hanging="360"/>
      </w:pPr>
    </w:lvl>
    <w:lvl w:ilvl="2" w:tplc="0424001B" w:tentative="1">
      <w:start w:val="1"/>
      <w:numFmt w:val="lowerRoman"/>
      <w:lvlText w:val="%3."/>
      <w:lvlJc w:val="right"/>
      <w:pPr>
        <w:ind w:left="3295" w:hanging="180"/>
      </w:pPr>
    </w:lvl>
    <w:lvl w:ilvl="3" w:tplc="0424000F" w:tentative="1">
      <w:start w:val="1"/>
      <w:numFmt w:val="decimal"/>
      <w:lvlText w:val="%4."/>
      <w:lvlJc w:val="left"/>
      <w:pPr>
        <w:ind w:left="4015" w:hanging="360"/>
      </w:pPr>
    </w:lvl>
    <w:lvl w:ilvl="4" w:tplc="04240019" w:tentative="1">
      <w:start w:val="1"/>
      <w:numFmt w:val="lowerLetter"/>
      <w:lvlText w:val="%5."/>
      <w:lvlJc w:val="left"/>
      <w:pPr>
        <w:ind w:left="4735" w:hanging="360"/>
      </w:pPr>
    </w:lvl>
    <w:lvl w:ilvl="5" w:tplc="0424001B" w:tentative="1">
      <w:start w:val="1"/>
      <w:numFmt w:val="lowerRoman"/>
      <w:lvlText w:val="%6."/>
      <w:lvlJc w:val="right"/>
      <w:pPr>
        <w:ind w:left="5455" w:hanging="180"/>
      </w:pPr>
    </w:lvl>
    <w:lvl w:ilvl="6" w:tplc="0424000F" w:tentative="1">
      <w:start w:val="1"/>
      <w:numFmt w:val="decimal"/>
      <w:lvlText w:val="%7."/>
      <w:lvlJc w:val="left"/>
      <w:pPr>
        <w:ind w:left="6175" w:hanging="360"/>
      </w:pPr>
    </w:lvl>
    <w:lvl w:ilvl="7" w:tplc="04240019" w:tentative="1">
      <w:start w:val="1"/>
      <w:numFmt w:val="lowerLetter"/>
      <w:lvlText w:val="%8."/>
      <w:lvlJc w:val="left"/>
      <w:pPr>
        <w:ind w:left="6895" w:hanging="360"/>
      </w:pPr>
    </w:lvl>
    <w:lvl w:ilvl="8" w:tplc="0424001B" w:tentative="1">
      <w:start w:val="1"/>
      <w:numFmt w:val="lowerRoman"/>
      <w:lvlText w:val="%9."/>
      <w:lvlJc w:val="right"/>
      <w:pPr>
        <w:ind w:left="7615" w:hanging="180"/>
      </w:pPr>
    </w:lvl>
  </w:abstractNum>
  <w:abstractNum w:abstractNumId="3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FB45147"/>
    <w:multiLevelType w:val="hybridMultilevel"/>
    <w:tmpl w:val="CD105340"/>
    <w:lvl w:ilvl="0" w:tplc="6CB26A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FCB4E08"/>
    <w:multiLevelType w:val="hybridMultilevel"/>
    <w:tmpl w:val="A7D65828"/>
    <w:lvl w:ilvl="0" w:tplc="36F0FE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0E74959"/>
    <w:multiLevelType w:val="multilevel"/>
    <w:tmpl w:val="61DCCB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30" w:hanging="45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245429F"/>
    <w:multiLevelType w:val="hybridMultilevel"/>
    <w:tmpl w:val="0CE89154"/>
    <w:lvl w:ilvl="0" w:tplc="0424000F">
      <w:start w:val="1"/>
      <w:numFmt w:val="decimal"/>
      <w:lvlText w:val="%1."/>
      <w:lvlJc w:val="left"/>
      <w:pPr>
        <w:ind w:left="525" w:hanging="360"/>
      </w:pPr>
      <w:rPr>
        <w:rFonts w:hint="default"/>
      </w:rPr>
    </w:lvl>
    <w:lvl w:ilvl="1" w:tplc="04240019" w:tentative="1">
      <w:start w:val="1"/>
      <w:numFmt w:val="lowerLetter"/>
      <w:lvlText w:val="%2."/>
      <w:lvlJc w:val="left"/>
      <w:pPr>
        <w:ind w:left="1245" w:hanging="360"/>
      </w:pPr>
    </w:lvl>
    <w:lvl w:ilvl="2" w:tplc="0424001B" w:tentative="1">
      <w:start w:val="1"/>
      <w:numFmt w:val="lowerRoman"/>
      <w:lvlText w:val="%3."/>
      <w:lvlJc w:val="right"/>
      <w:pPr>
        <w:ind w:left="1965" w:hanging="180"/>
      </w:pPr>
    </w:lvl>
    <w:lvl w:ilvl="3" w:tplc="0424000F" w:tentative="1">
      <w:start w:val="1"/>
      <w:numFmt w:val="decimal"/>
      <w:lvlText w:val="%4."/>
      <w:lvlJc w:val="left"/>
      <w:pPr>
        <w:ind w:left="2685" w:hanging="360"/>
      </w:pPr>
    </w:lvl>
    <w:lvl w:ilvl="4" w:tplc="04240019" w:tentative="1">
      <w:start w:val="1"/>
      <w:numFmt w:val="lowerLetter"/>
      <w:lvlText w:val="%5."/>
      <w:lvlJc w:val="left"/>
      <w:pPr>
        <w:ind w:left="3405" w:hanging="360"/>
      </w:pPr>
    </w:lvl>
    <w:lvl w:ilvl="5" w:tplc="0424001B" w:tentative="1">
      <w:start w:val="1"/>
      <w:numFmt w:val="lowerRoman"/>
      <w:lvlText w:val="%6."/>
      <w:lvlJc w:val="right"/>
      <w:pPr>
        <w:ind w:left="4125" w:hanging="180"/>
      </w:pPr>
    </w:lvl>
    <w:lvl w:ilvl="6" w:tplc="0424000F" w:tentative="1">
      <w:start w:val="1"/>
      <w:numFmt w:val="decimal"/>
      <w:lvlText w:val="%7."/>
      <w:lvlJc w:val="left"/>
      <w:pPr>
        <w:ind w:left="4845" w:hanging="360"/>
      </w:pPr>
    </w:lvl>
    <w:lvl w:ilvl="7" w:tplc="04240019" w:tentative="1">
      <w:start w:val="1"/>
      <w:numFmt w:val="lowerLetter"/>
      <w:lvlText w:val="%8."/>
      <w:lvlJc w:val="left"/>
      <w:pPr>
        <w:ind w:left="5565" w:hanging="360"/>
      </w:pPr>
    </w:lvl>
    <w:lvl w:ilvl="8" w:tplc="0424001B" w:tentative="1">
      <w:start w:val="1"/>
      <w:numFmt w:val="lowerRoman"/>
      <w:lvlText w:val="%9."/>
      <w:lvlJc w:val="right"/>
      <w:pPr>
        <w:ind w:left="6285" w:hanging="180"/>
      </w:pPr>
    </w:lvl>
  </w:abstractNum>
  <w:abstractNum w:abstractNumId="3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33C70DAE"/>
    <w:multiLevelType w:val="hybridMultilevel"/>
    <w:tmpl w:val="2144AC5C"/>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7" w15:restartNumberingAfterBreak="0">
    <w:nsid w:val="36F47431"/>
    <w:multiLevelType w:val="hybridMultilevel"/>
    <w:tmpl w:val="884C4A6A"/>
    <w:lvl w:ilvl="0" w:tplc="8EBC32BC">
      <w:numFmt w:val="bullet"/>
      <w:lvlText w:val="−"/>
      <w:lvlJc w:val="left"/>
      <w:pPr>
        <w:ind w:left="1854" w:hanging="360"/>
      </w:pPr>
      <w:rPr>
        <w:rFonts w:ascii="Segoe UI" w:eastAsia="Aptos" w:hAnsi="Segoe UI" w:hint="default"/>
      </w:rPr>
    </w:lvl>
    <w:lvl w:ilvl="1" w:tplc="FFFFFFFF">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3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7951432"/>
    <w:multiLevelType w:val="hybridMultilevel"/>
    <w:tmpl w:val="34423656"/>
    <w:lvl w:ilvl="0" w:tplc="8F4E45E0">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40" w15:restartNumberingAfterBreak="0">
    <w:nsid w:val="38D74A9E"/>
    <w:multiLevelType w:val="hybridMultilevel"/>
    <w:tmpl w:val="7C5C698C"/>
    <w:lvl w:ilvl="0" w:tplc="FFFFFFFF">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4"/>
      <w:numFmt w:val="bullet"/>
      <w:lvlText w:val="-"/>
      <w:lvlJc w:val="left"/>
      <w:pPr>
        <w:ind w:left="720" w:hanging="360"/>
      </w:pPr>
      <w:rPr>
        <w:rFonts w:ascii="Arial" w:eastAsia="Times New Roman" w:hAnsi="Arial" w:cs="Arial" w:hint="default"/>
      </w:rPr>
    </w:lvl>
    <w:lvl w:ilvl="3" w:tplc="6CB26A92">
      <w:start w:val="1"/>
      <w:numFmt w:val="bullet"/>
      <w:lvlText w:val=""/>
      <w:lvlJc w:val="left"/>
      <w:pPr>
        <w:ind w:left="192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3" w15:restartNumberingAfterBreak="0">
    <w:nsid w:val="3B7D593B"/>
    <w:multiLevelType w:val="hybridMultilevel"/>
    <w:tmpl w:val="D2CA04C4"/>
    <w:lvl w:ilvl="0" w:tplc="8EBC32BC">
      <w:numFmt w:val="bullet"/>
      <w:lvlText w:val="−"/>
      <w:lvlJc w:val="left"/>
      <w:pPr>
        <w:ind w:left="1572" w:hanging="360"/>
      </w:pPr>
      <w:rPr>
        <w:rFonts w:ascii="Segoe UI" w:eastAsia="Aptos" w:hAnsi="Segoe UI"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4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03154EA"/>
    <w:multiLevelType w:val="multilevel"/>
    <w:tmpl w:val="CB725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40B155C"/>
    <w:multiLevelType w:val="hybridMultilevel"/>
    <w:tmpl w:val="E870C9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48C7E58"/>
    <w:multiLevelType w:val="hybridMultilevel"/>
    <w:tmpl w:val="A1CA719A"/>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506352A"/>
    <w:multiLevelType w:val="hybridMultilevel"/>
    <w:tmpl w:val="91028972"/>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50" w15:restartNumberingAfterBreak="0">
    <w:nsid w:val="4586592A"/>
    <w:multiLevelType w:val="multilevel"/>
    <w:tmpl w:val="6AAEF0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75" w:hanging="49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59A5F83"/>
    <w:multiLevelType w:val="multilevel"/>
    <w:tmpl w:val="448637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45" w:hanging="4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66B3197"/>
    <w:multiLevelType w:val="hybridMultilevel"/>
    <w:tmpl w:val="2926F7A4"/>
    <w:lvl w:ilvl="0" w:tplc="F77046B4">
      <w:numFmt w:val="bullet"/>
      <w:lvlText w:val="−"/>
      <w:lvlJc w:val="left"/>
      <w:pPr>
        <w:ind w:left="1287" w:hanging="360"/>
      </w:pPr>
      <w:rPr>
        <w:rFonts w:ascii="Arial" w:eastAsia="Aptos"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53" w15:restartNumberingAfterBreak="0">
    <w:nsid w:val="46BB2A7F"/>
    <w:multiLevelType w:val="hybridMultilevel"/>
    <w:tmpl w:val="C9F69978"/>
    <w:lvl w:ilvl="0" w:tplc="8EBC32BC">
      <w:numFmt w:val="bullet"/>
      <w:lvlText w:val="−"/>
      <w:lvlJc w:val="left"/>
      <w:pPr>
        <w:ind w:left="1353" w:hanging="360"/>
      </w:pPr>
      <w:rPr>
        <w:rFonts w:ascii="Segoe UI" w:eastAsia="Aptos" w:hAnsi="Segoe UI" w:hint="default"/>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54"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8756F5D"/>
    <w:multiLevelType w:val="hybridMultilevel"/>
    <w:tmpl w:val="0172E946"/>
    <w:lvl w:ilvl="0" w:tplc="8EBC32BC">
      <w:numFmt w:val="bullet"/>
      <w:lvlText w:val="−"/>
      <w:lvlJc w:val="left"/>
      <w:pPr>
        <w:ind w:left="1429" w:hanging="360"/>
      </w:pPr>
      <w:rPr>
        <w:rFonts w:ascii="Segoe UI" w:eastAsia="Aptos" w:hAnsi="Segoe UI"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5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E473721"/>
    <w:multiLevelType w:val="hybridMultilevel"/>
    <w:tmpl w:val="9650051C"/>
    <w:lvl w:ilvl="0" w:tplc="6BB21740">
      <w:start w:val="1"/>
      <w:numFmt w:val="bullet"/>
      <w:pStyle w:val="Natevanje"/>
      <w:lvlText w:val=""/>
      <w:lvlJc w:val="left"/>
      <w:pPr>
        <w:ind w:left="960" w:hanging="60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18940FE"/>
    <w:multiLevelType w:val="hybridMultilevel"/>
    <w:tmpl w:val="D55E0DB6"/>
    <w:lvl w:ilvl="0" w:tplc="3BA46708">
      <w:start w:val="1"/>
      <w:numFmt w:val="decimal"/>
      <w:lvlText w:val="(%1)"/>
      <w:lvlJc w:val="left"/>
      <w:pPr>
        <w:ind w:left="1786" w:hanging="405"/>
      </w:pPr>
      <w:rPr>
        <w:rFonts w:ascii="Arial" w:eastAsia="Times New Roman" w:hAnsi="Arial" w:cs="Arial"/>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59" w15:restartNumberingAfterBreak="0">
    <w:nsid w:val="545F127B"/>
    <w:multiLevelType w:val="hybridMultilevel"/>
    <w:tmpl w:val="6FCEA890"/>
    <w:lvl w:ilvl="0" w:tplc="04240001">
      <w:start w:val="1"/>
      <w:numFmt w:val="bullet"/>
      <w:lvlText w:val=""/>
      <w:lvlJc w:val="left"/>
      <w:pPr>
        <w:ind w:left="786"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48710FB"/>
    <w:multiLevelType w:val="hybridMultilevel"/>
    <w:tmpl w:val="35DE01CA"/>
    <w:lvl w:ilvl="0" w:tplc="90E4F09A">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61" w15:restartNumberingAfterBreak="0">
    <w:nsid w:val="554323AA"/>
    <w:multiLevelType w:val="hybridMultilevel"/>
    <w:tmpl w:val="CBF884F0"/>
    <w:lvl w:ilvl="0" w:tplc="8EBC32BC">
      <w:numFmt w:val="bullet"/>
      <w:lvlText w:val="−"/>
      <w:lvlJc w:val="left"/>
      <w:pPr>
        <w:ind w:left="1856" w:hanging="360"/>
      </w:pPr>
      <w:rPr>
        <w:rFonts w:ascii="Segoe UI" w:eastAsia="Aptos" w:hAnsi="Segoe UI" w:hint="default"/>
      </w:rPr>
    </w:lvl>
    <w:lvl w:ilvl="1" w:tplc="04240003" w:tentative="1">
      <w:start w:val="1"/>
      <w:numFmt w:val="bullet"/>
      <w:lvlText w:val="o"/>
      <w:lvlJc w:val="left"/>
      <w:pPr>
        <w:ind w:left="2576" w:hanging="360"/>
      </w:pPr>
      <w:rPr>
        <w:rFonts w:ascii="Courier New" w:hAnsi="Courier New" w:cs="Courier New" w:hint="default"/>
      </w:rPr>
    </w:lvl>
    <w:lvl w:ilvl="2" w:tplc="04240005" w:tentative="1">
      <w:start w:val="1"/>
      <w:numFmt w:val="bullet"/>
      <w:lvlText w:val=""/>
      <w:lvlJc w:val="left"/>
      <w:pPr>
        <w:ind w:left="3296" w:hanging="360"/>
      </w:pPr>
      <w:rPr>
        <w:rFonts w:ascii="Wingdings" w:hAnsi="Wingdings" w:hint="default"/>
      </w:rPr>
    </w:lvl>
    <w:lvl w:ilvl="3" w:tplc="04240001" w:tentative="1">
      <w:start w:val="1"/>
      <w:numFmt w:val="bullet"/>
      <w:lvlText w:val=""/>
      <w:lvlJc w:val="left"/>
      <w:pPr>
        <w:ind w:left="4016" w:hanging="360"/>
      </w:pPr>
      <w:rPr>
        <w:rFonts w:ascii="Symbol" w:hAnsi="Symbol" w:hint="default"/>
      </w:rPr>
    </w:lvl>
    <w:lvl w:ilvl="4" w:tplc="04240003" w:tentative="1">
      <w:start w:val="1"/>
      <w:numFmt w:val="bullet"/>
      <w:lvlText w:val="o"/>
      <w:lvlJc w:val="left"/>
      <w:pPr>
        <w:ind w:left="4736" w:hanging="360"/>
      </w:pPr>
      <w:rPr>
        <w:rFonts w:ascii="Courier New" w:hAnsi="Courier New" w:cs="Courier New" w:hint="default"/>
      </w:rPr>
    </w:lvl>
    <w:lvl w:ilvl="5" w:tplc="04240005" w:tentative="1">
      <w:start w:val="1"/>
      <w:numFmt w:val="bullet"/>
      <w:lvlText w:val=""/>
      <w:lvlJc w:val="left"/>
      <w:pPr>
        <w:ind w:left="5456" w:hanging="360"/>
      </w:pPr>
      <w:rPr>
        <w:rFonts w:ascii="Wingdings" w:hAnsi="Wingdings" w:hint="default"/>
      </w:rPr>
    </w:lvl>
    <w:lvl w:ilvl="6" w:tplc="04240001" w:tentative="1">
      <w:start w:val="1"/>
      <w:numFmt w:val="bullet"/>
      <w:lvlText w:val=""/>
      <w:lvlJc w:val="left"/>
      <w:pPr>
        <w:ind w:left="6176" w:hanging="360"/>
      </w:pPr>
      <w:rPr>
        <w:rFonts w:ascii="Symbol" w:hAnsi="Symbol" w:hint="default"/>
      </w:rPr>
    </w:lvl>
    <w:lvl w:ilvl="7" w:tplc="04240003" w:tentative="1">
      <w:start w:val="1"/>
      <w:numFmt w:val="bullet"/>
      <w:lvlText w:val="o"/>
      <w:lvlJc w:val="left"/>
      <w:pPr>
        <w:ind w:left="6896" w:hanging="360"/>
      </w:pPr>
      <w:rPr>
        <w:rFonts w:ascii="Courier New" w:hAnsi="Courier New" w:cs="Courier New" w:hint="default"/>
      </w:rPr>
    </w:lvl>
    <w:lvl w:ilvl="8" w:tplc="04240005" w:tentative="1">
      <w:start w:val="1"/>
      <w:numFmt w:val="bullet"/>
      <w:lvlText w:val=""/>
      <w:lvlJc w:val="left"/>
      <w:pPr>
        <w:ind w:left="7616" w:hanging="360"/>
      </w:pPr>
      <w:rPr>
        <w:rFonts w:ascii="Wingdings" w:hAnsi="Wingdings" w:hint="default"/>
      </w:rPr>
    </w:lvl>
  </w:abstractNum>
  <w:abstractNum w:abstractNumId="62" w15:restartNumberingAfterBreak="0">
    <w:nsid w:val="5579532B"/>
    <w:multiLevelType w:val="hybridMultilevel"/>
    <w:tmpl w:val="EF1818A0"/>
    <w:lvl w:ilvl="0" w:tplc="7FC671BA">
      <w:start w:val="1"/>
      <w:numFmt w:val="decimal"/>
      <w:pStyle w:val="OdstavektevilkaZIV"/>
      <w:lvlText w:val="(%1)"/>
      <w:lvlJc w:val="left"/>
      <w:pPr>
        <w:ind w:left="360" w:hanging="360"/>
      </w:pPr>
      <w:rPr>
        <w:rFonts w:hint="default"/>
        <w:strike w:val="0"/>
      </w:rPr>
    </w:lvl>
    <w:lvl w:ilvl="1" w:tplc="7A72EA7A">
      <w:start w:val="1"/>
      <w:numFmt w:val="bullet"/>
      <w:lvlText w:val="-"/>
      <w:lvlJc w:val="left"/>
      <w:pPr>
        <w:ind w:left="1080" w:hanging="360"/>
      </w:pPr>
      <w:rPr>
        <w:rFonts w:ascii="Sitka Small" w:hAnsi="Sitka Small" w:hint="default"/>
      </w:r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63" w15:restartNumberingAfterBreak="0">
    <w:nsid w:val="57A65623"/>
    <w:multiLevelType w:val="hybridMultilevel"/>
    <w:tmpl w:val="799823D2"/>
    <w:lvl w:ilvl="0" w:tplc="04240001">
      <w:start w:val="1"/>
      <w:numFmt w:val="bullet"/>
      <w:lvlText w:val=""/>
      <w:lvlJc w:val="left"/>
      <w:pPr>
        <w:ind w:left="1495"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4" w15:restartNumberingAfterBreak="0">
    <w:nsid w:val="5929538C"/>
    <w:multiLevelType w:val="hybridMultilevel"/>
    <w:tmpl w:val="A0FE9AA0"/>
    <w:lvl w:ilvl="0" w:tplc="90E4F09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9431EF8"/>
    <w:multiLevelType w:val="hybridMultilevel"/>
    <w:tmpl w:val="35DE01CA"/>
    <w:lvl w:ilvl="0" w:tplc="FFFFFFFF">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66" w15:restartNumberingAfterBreak="0">
    <w:nsid w:val="59A43258"/>
    <w:multiLevelType w:val="hybridMultilevel"/>
    <w:tmpl w:val="AE12829E"/>
    <w:lvl w:ilvl="0" w:tplc="0424000F">
      <w:start w:val="1"/>
      <w:numFmt w:val="decimal"/>
      <w:lvlText w:val="%1."/>
      <w:lvlJc w:val="left"/>
      <w:pPr>
        <w:ind w:left="1871" w:hanging="375"/>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67" w15:restartNumberingAfterBreak="0">
    <w:nsid w:val="59F43062"/>
    <w:multiLevelType w:val="hybridMultilevel"/>
    <w:tmpl w:val="D8AAAA56"/>
    <w:lvl w:ilvl="0" w:tplc="8EBC32BC">
      <w:numFmt w:val="bullet"/>
      <w:lvlText w:val="−"/>
      <w:lvlJc w:val="left"/>
      <w:pPr>
        <w:ind w:left="1287" w:hanging="360"/>
      </w:pPr>
      <w:rPr>
        <w:rFonts w:ascii="Segoe UI" w:eastAsiaTheme="minorHAnsi"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68" w15:restartNumberingAfterBreak="0">
    <w:nsid w:val="59FB3735"/>
    <w:multiLevelType w:val="multilevel"/>
    <w:tmpl w:val="626AD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B76062A"/>
    <w:multiLevelType w:val="multilevel"/>
    <w:tmpl w:val="556805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D5971C9"/>
    <w:multiLevelType w:val="hybridMultilevel"/>
    <w:tmpl w:val="4BDEFCA6"/>
    <w:lvl w:ilvl="0" w:tplc="9FC8510E">
      <w:start w:val="1"/>
      <w:numFmt w:val="decimal"/>
      <w:pStyle w:val="NIS2len"/>
      <w:lvlText w:val="%1."/>
      <w:lvlJc w:val="left"/>
      <w:pPr>
        <w:ind w:left="4188"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F4B191E"/>
    <w:multiLevelType w:val="hybridMultilevel"/>
    <w:tmpl w:val="855CA6B0"/>
    <w:lvl w:ilvl="0" w:tplc="7A72EA7A">
      <w:start w:val="1"/>
      <w:numFmt w:val="bullet"/>
      <w:lvlText w:val="-"/>
      <w:lvlJc w:val="left"/>
      <w:pPr>
        <w:ind w:left="720" w:hanging="360"/>
      </w:pPr>
      <w:rPr>
        <w:rFonts w:ascii="Sitka Small" w:hAnsi="Sitka Small" w:hint="default"/>
      </w:rPr>
    </w:lvl>
    <w:lvl w:ilvl="1" w:tplc="7A72EA7A">
      <w:start w:val="1"/>
      <w:numFmt w:val="bullet"/>
      <w:lvlText w:val="-"/>
      <w:lvlJc w:val="left"/>
      <w:pPr>
        <w:ind w:left="1440" w:hanging="360"/>
      </w:pPr>
      <w:rPr>
        <w:rFonts w:ascii="Sitka Small" w:hAnsi="Sitka Small" w:hint="default"/>
      </w:rPr>
    </w:lvl>
    <w:lvl w:ilvl="2" w:tplc="0000001B">
      <w:start w:val="1"/>
      <w:numFmt w:val="lowerRoman"/>
      <w:lvlText w:val="%3."/>
      <w:lvlJc w:val="right"/>
      <w:pPr>
        <w:ind w:left="2160" w:hanging="180"/>
      </w:pPr>
    </w:lvl>
    <w:lvl w:ilvl="3" w:tplc="0000000F">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72" w15:restartNumberingAfterBreak="0">
    <w:nsid w:val="5F8078A7"/>
    <w:multiLevelType w:val="hybridMultilevel"/>
    <w:tmpl w:val="E870C9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FDD5CD6"/>
    <w:multiLevelType w:val="hybridMultilevel"/>
    <w:tmpl w:val="89B2E8F2"/>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1F70BF1"/>
    <w:multiLevelType w:val="hybridMultilevel"/>
    <w:tmpl w:val="4EC8BC8A"/>
    <w:lvl w:ilvl="0" w:tplc="FFFFFFFF">
      <w:start w:val="1"/>
      <w:numFmt w:val="decimal"/>
      <w:lvlText w:val="%1."/>
      <w:lvlJc w:val="left"/>
      <w:pPr>
        <w:ind w:left="720" w:hanging="360"/>
      </w:pPr>
    </w:lvl>
    <w:lvl w:ilvl="1" w:tplc="0424000F">
      <w:start w:val="1"/>
      <w:numFmt w:val="decimal"/>
      <w:lvlText w:val="%2."/>
      <w:lvlJc w:val="left"/>
      <w:pPr>
        <w:ind w:left="1353" w:hanging="360"/>
      </w:pPr>
    </w:lvl>
    <w:lvl w:ilvl="2" w:tplc="B07CF464">
      <w:start w:val="1"/>
      <w:numFmt w:val="low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651A65E4"/>
    <w:multiLevelType w:val="hybridMultilevel"/>
    <w:tmpl w:val="5E8A3F00"/>
    <w:lvl w:ilvl="0" w:tplc="FFFFFFFF">
      <w:start w:val="4"/>
      <w:numFmt w:val="bullet"/>
      <w:lvlText w:val="-"/>
      <w:lvlJc w:val="left"/>
      <w:pPr>
        <w:ind w:left="1854" w:hanging="360"/>
      </w:pPr>
      <w:rPr>
        <w:rFonts w:ascii="Arial" w:eastAsia="Times New Roman" w:hAnsi="Arial" w:cs="Arial" w:hint="default"/>
      </w:rPr>
    </w:lvl>
    <w:lvl w:ilvl="1" w:tplc="FFFFFFFF">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76" w15:restartNumberingAfterBreak="0">
    <w:nsid w:val="66E06C3B"/>
    <w:multiLevelType w:val="hybridMultilevel"/>
    <w:tmpl w:val="F5544A6E"/>
    <w:lvl w:ilvl="0" w:tplc="B742E008">
      <w:start w:val="1"/>
      <w:numFmt w:val="decimal"/>
      <w:lvlText w:val="%1."/>
      <w:lvlJc w:val="left"/>
      <w:pPr>
        <w:ind w:left="2916" w:hanging="360"/>
      </w:pPr>
      <w:rPr>
        <w:rFonts w:hint="default"/>
      </w:rPr>
    </w:lvl>
    <w:lvl w:ilvl="1" w:tplc="1DF6B534">
      <w:start w:val="1"/>
      <w:numFmt w:val="lowerLetter"/>
      <w:lvlText w:val="(%2)"/>
      <w:lvlJc w:val="left"/>
      <w:pPr>
        <w:ind w:left="3636" w:hanging="360"/>
      </w:pPr>
      <w:rPr>
        <w:rFonts w:hint="default"/>
      </w:rPr>
    </w:lvl>
    <w:lvl w:ilvl="2" w:tplc="0424001B" w:tentative="1">
      <w:start w:val="1"/>
      <w:numFmt w:val="lowerRoman"/>
      <w:lvlText w:val="%3."/>
      <w:lvlJc w:val="right"/>
      <w:pPr>
        <w:ind w:left="4356" w:hanging="180"/>
      </w:pPr>
    </w:lvl>
    <w:lvl w:ilvl="3" w:tplc="0424000F" w:tentative="1">
      <w:start w:val="1"/>
      <w:numFmt w:val="decimal"/>
      <w:lvlText w:val="%4."/>
      <w:lvlJc w:val="left"/>
      <w:pPr>
        <w:ind w:left="5076" w:hanging="360"/>
      </w:pPr>
    </w:lvl>
    <w:lvl w:ilvl="4" w:tplc="04240019" w:tentative="1">
      <w:start w:val="1"/>
      <w:numFmt w:val="lowerLetter"/>
      <w:lvlText w:val="%5."/>
      <w:lvlJc w:val="left"/>
      <w:pPr>
        <w:ind w:left="5796" w:hanging="360"/>
      </w:pPr>
    </w:lvl>
    <w:lvl w:ilvl="5" w:tplc="0424001B" w:tentative="1">
      <w:start w:val="1"/>
      <w:numFmt w:val="lowerRoman"/>
      <w:lvlText w:val="%6."/>
      <w:lvlJc w:val="right"/>
      <w:pPr>
        <w:ind w:left="6516" w:hanging="180"/>
      </w:pPr>
    </w:lvl>
    <w:lvl w:ilvl="6" w:tplc="0424000F" w:tentative="1">
      <w:start w:val="1"/>
      <w:numFmt w:val="decimal"/>
      <w:lvlText w:val="%7."/>
      <w:lvlJc w:val="left"/>
      <w:pPr>
        <w:ind w:left="7236" w:hanging="360"/>
      </w:pPr>
    </w:lvl>
    <w:lvl w:ilvl="7" w:tplc="04240019" w:tentative="1">
      <w:start w:val="1"/>
      <w:numFmt w:val="lowerLetter"/>
      <w:lvlText w:val="%8."/>
      <w:lvlJc w:val="left"/>
      <w:pPr>
        <w:ind w:left="7956" w:hanging="360"/>
      </w:pPr>
    </w:lvl>
    <w:lvl w:ilvl="8" w:tplc="0424001B" w:tentative="1">
      <w:start w:val="1"/>
      <w:numFmt w:val="lowerRoman"/>
      <w:lvlText w:val="%9."/>
      <w:lvlJc w:val="right"/>
      <w:pPr>
        <w:ind w:left="8676" w:hanging="180"/>
      </w:pPr>
    </w:lvl>
  </w:abstractNum>
  <w:abstractNum w:abstractNumId="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8D03A49"/>
    <w:multiLevelType w:val="hybridMultilevel"/>
    <w:tmpl w:val="A1F6022C"/>
    <w:lvl w:ilvl="0" w:tplc="97262D66">
      <w:numFmt w:val="bullet"/>
      <w:lvlText w:val="−"/>
      <w:lvlJc w:val="left"/>
      <w:pPr>
        <w:ind w:left="1287" w:hanging="360"/>
      </w:pPr>
      <w:rPr>
        <w:rFonts w:ascii="Arial" w:eastAsia="Aptos"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7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A0C1B5F"/>
    <w:multiLevelType w:val="hybridMultilevel"/>
    <w:tmpl w:val="6754913C"/>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A173438"/>
    <w:multiLevelType w:val="hybridMultilevel"/>
    <w:tmpl w:val="E598ADFA"/>
    <w:lvl w:ilvl="0" w:tplc="FDA0AB82">
      <w:numFmt w:val="bullet"/>
      <w:lvlText w:val="−"/>
      <w:lvlJc w:val="left"/>
      <w:pPr>
        <w:ind w:left="1854" w:hanging="360"/>
      </w:pPr>
      <w:rPr>
        <w:rFonts w:ascii="Arial" w:eastAsia="Aptos" w:hAnsi="Arial" w:cs="Arial" w:hint="default"/>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8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6AFA51D7"/>
    <w:multiLevelType w:val="hybridMultilevel"/>
    <w:tmpl w:val="FCDE5CC8"/>
    <w:lvl w:ilvl="0" w:tplc="8EBC32BC">
      <w:numFmt w:val="bullet"/>
      <w:lvlText w:val="−"/>
      <w:lvlJc w:val="left"/>
      <w:pPr>
        <w:ind w:left="1572" w:hanging="360"/>
      </w:pPr>
      <w:rPr>
        <w:rFonts w:ascii="Segoe UI" w:eastAsia="Aptos" w:hAnsi="Segoe UI"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84" w15:restartNumberingAfterBreak="0">
    <w:nsid w:val="6DC2000F"/>
    <w:multiLevelType w:val="hybridMultilevel"/>
    <w:tmpl w:val="D4BCF1A0"/>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6DD95AA5"/>
    <w:multiLevelType w:val="multilevel"/>
    <w:tmpl w:val="CB725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6DE77EE4"/>
    <w:multiLevelType w:val="multilevel"/>
    <w:tmpl w:val="00C6FA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45" w:hanging="4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05F4394"/>
    <w:multiLevelType w:val="hybridMultilevel"/>
    <w:tmpl w:val="6DEEC6A6"/>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8" w15:restartNumberingAfterBreak="0">
    <w:nsid w:val="715222D6"/>
    <w:multiLevelType w:val="hybridMultilevel"/>
    <w:tmpl w:val="405EC0E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89" w15:restartNumberingAfterBreak="0">
    <w:nsid w:val="719C4D1E"/>
    <w:multiLevelType w:val="hybridMultilevel"/>
    <w:tmpl w:val="699AC65A"/>
    <w:lvl w:ilvl="0" w:tplc="8EBC32BC">
      <w:numFmt w:val="bullet"/>
      <w:lvlText w:val="−"/>
      <w:lvlJc w:val="left"/>
      <w:pPr>
        <w:ind w:left="1287" w:hanging="360"/>
      </w:pPr>
      <w:rPr>
        <w:rFonts w:ascii="Segoe UI" w:eastAsia="Aptos" w:hAnsi="Segoe U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90" w15:restartNumberingAfterBreak="0">
    <w:nsid w:val="74083366"/>
    <w:multiLevelType w:val="hybridMultilevel"/>
    <w:tmpl w:val="0BF40E4E"/>
    <w:lvl w:ilvl="0" w:tplc="9DB6CCD6">
      <w:start w:val="1"/>
      <w:numFmt w:val="bullet"/>
      <w:lvlText w:val=""/>
      <w:lvlJc w:val="left"/>
      <w:pPr>
        <w:ind w:left="885" w:hanging="360"/>
      </w:pPr>
      <w:rPr>
        <w:rFonts w:ascii="Symbol" w:hAnsi="Symbol" w:hint="default"/>
      </w:rPr>
    </w:lvl>
    <w:lvl w:ilvl="1" w:tplc="04240003" w:tentative="1">
      <w:start w:val="1"/>
      <w:numFmt w:val="bullet"/>
      <w:lvlText w:val="o"/>
      <w:lvlJc w:val="left"/>
      <w:pPr>
        <w:ind w:left="1605" w:hanging="360"/>
      </w:pPr>
      <w:rPr>
        <w:rFonts w:ascii="Courier New" w:hAnsi="Courier New" w:cs="Courier New" w:hint="default"/>
      </w:rPr>
    </w:lvl>
    <w:lvl w:ilvl="2" w:tplc="04240005" w:tentative="1">
      <w:start w:val="1"/>
      <w:numFmt w:val="bullet"/>
      <w:lvlText w:val=""/>
      <w:lvlJc w:val="left"/>
      <w:pPr>
        <w:ind w:left="2325" w:hanging="360"/>
      </w:pPr>
      <w:rPr>
        <w:rFonts w:ascii="Wingdings" w:hAnsi="Wingdings" w:hint="default"/>
      </w:rPr>
    </w:lvl>
    <w:lvl w:ilvl="3" w:tplc="04240001" w:tentative="1">
      <w:start w:val="1"/>
      <w:numFmt w:val="bullet"/>
      <w:lvlText w:val=""/>
      <w:lvlJc w:val="left"/>
      <w:pPr>
        <w:ind w:left="3045" w:hanging="360"/>
      </w:pPr>
      <w:rPr>
        <w:rFonts w:ascii="Symbol" w:hAnsi="Symbol" w:hint="default"/>
      </w:rPr>
    </w:lvl>
    <w:lvl w:ilvl="4" w:tplc="04240003" w:tentative="1">
      <w:start w:val="1"/>
      <w:numFmt w:val="bullet"/>
      <w:lvlText w:val="o"/>
      <w:lvlJc w:val="left"/>
      <w:pPr>
        <w:ind w:left="3765" w:hanging="360"/>
      </w:pPr>
      <w:rPr>
        <w:rFonts w:ascii="Courier New" w:hAnsi="Courier New" w:cs="Courier New" w:hint="default"/>
      </w:rPr>
    </w:lvl>
    <w:lvl w:ilvl="5" w:tplc="04240005" w:tentative="1">
      <w:start w:val="1"/>
      <w:numFmt w:val="bullet"/>
      <w:lvlText w:val=""/>
      <w:lvlJc w:val="left"/>
      <w:pPr>
        <w:ind w:left="4485" w:hanging="360"/>
      </w:pPr>
      <w:rPr>
        <w:rFonts w:ascii="Wingdings" w:hAnsi="Wingdings" w:hint="default"/>
      </w:rPr>
    </w:lvl>
    <w:lvl w:ilvl="6" w:tplc="04240001" w:tentative="1">
      <w:start w:val="1"/>
      <w:numFmt w:val="bullet"/>
      <w:lvlText w:val=""/>
      <w:lvlJc w:val="left"/>
      <w:pPr>
        <w:ind w:left="5205" w:hanging="360"/>
      </w:pPr>
      <w:rPr>
        <w:rFonts w:ascii="Symbol" w:hAnsi="Symbol" w:hint="default"/>
      </w:rPr>
    </w:lvl>
    <w:lvl w:ilvl="7" w:tplc="04240003" w:tentative="1">
      <w:start w:val="1"/>
      <w:numFmt w:val="bullet"/>
      <w:lvlText w:val="o"/>
      <w:lvlJc w:val="left"/>
      <w:pPr>
        <w:ind w:left="5925" w:hanging="360"/>
      </w:pPr>
      <w:rPr>
        <w:rFonts w:ascii="Courier New" w:hAnsi="Courier New" w:cs="Courier New" w:hint="default"/>
      </w:rPr>
    </w:lvl>
    <w:lvl w:ilvl="8" w:tplc="04240005" w:tentative="1">
      <w:start w:val="1"/>
      <w:numFmt w:val="bullet"/>
      <w:lvlText w:val=""/>
      <w:lvlJc w:val="left"/>
      <w:pPr>
        <w:ind w:left="6645" w:hanging="360"/>
      </w:pPr>
      <w:rPr>
        <w:rFonts w:ascii="Wingdings" w:hAnsi="Wingdings" w:hint="default"/>
      </w:rPr>
    </w:lvl>
  </w:abstractNum>
  <w:abstractNum w:abstractNumId="91" w15:restartNumberingAfterBreak="0">
    <w:nsid w:val="759D5935"/>
    <w:multiLevelType w:val="hybridMultilevel"/>
    <w:tmpl w:val="6628A662"/>
    <w:lvl w:ilvl="0" w:tplc="BB24CBFC">
      <w:start w:val="1"/>
      <w:numFmt w:val="decimal"/>
      <w:lvlText w:val="%1."/>
      <w:lvlJc w:val="left"/>
      <w:pPr>
        <w:ind w:left="2517" w:hanging="360"/>
      </w:pPr>
      <w:rPr>
        <w:rFonts w:hint="default"/>
      </w:rPr>
    </w:lvl>
    <w:lvl w:ilvl="1" w:tplc="733C5512">
      <w:start w:val="1"/>
      <w:numFmt w:val="decimal"/>
      <w:lvlText w:val="%2."/>
      <w:lvlJc w:val="left"/>
      <w:pPr>
        <w:ind w:left="3237" w:hanging="360"/>
      </w:pPr>
      <w:rPr>
        <w:rFonts w:hint="default"/>
      </w:rPr>
    </w:lvl>
    <w:lvl w:ilvl="2" w:tplc="0424001B" w:tentative="1">
      <w:start w:val="1"/>
      <w:numFmt w:val="lowerRoman"/>
      <w:lvlText w:val="%3."/>
      <w:lvlJc w:val="right"/>
      <w:pPr>
        <w:ind w:left="3957" w:hanging="180"/>
      </w:pPr>
    </w:lvl>
    <w:lvl w:ilvl="3" w:tplc="0424000F" w:tentative="1">
      <w:start w:val="1"/>
      <w:numFmt w:val="decimal"/>
      <w:lvlText w:val="%4."/>
      <w:lvlJc w:val="left"/>
      <w:pPr>
        <w:ind w:left="4677" w:hanging="360"/>
      </w:pPr>
    </w:lvl>
    <w:lvl w:ilvl="4" w:tplc="04240019" w:tentative="1">
      <w:start w:val="1"/>
      <w:numFmt w:val="lowerLetter"/>
      <w:lvlText w:val="%5."/>
      <w:lvlJc w:val="left"/>
      <w:pPr>
        <w:ind w:left="5397" w:hanging="360"/>
      </w:pPr>
    </w:lvl>
    <w:lvl w:ilvl="5" w:tplc="0424001B" w:tentative="1">
      <w:start w:val="1"/>
      <w:numFmt w:val="lowerRoman"/>
      <w:lvlText w:val="%6."/>
      <w:lvlJc w:val="right"/>
      <w:pPr>
        <w:ind w:left="6117" w:hanging="180"/>
      </w:pPr>
    </w:lvl>
    <w:lvl w:ilvl="6" w:tplc="0424000F" w:tentative="1">
      <w:start w:val="1"/>
      <w:numFmt w:val="decimal"/>
      <w:lvlText w:val="%7."/>
      <w:lvlJc w:val="left"/>
      <w:pPr>
        <w:ind w:left="6837" w:hanging="360"/>
      </w:pPr>
    </w:lvl>
    <w:lvl w:ilvl="7" w:tplc="04240019" w:tentative="1">
      <w:start w:val="1"/>
      <w:numFmt w:val="lowerLetter"/>
      <w:lvlText w:val="%8."/>
      <w:lvlJc w:val="left"/>
      <w:pPr>
        <w:ind w:left="7557" w:hanging="360"/>
      </w:pPr>
    </w:lvl>
    <w:lvl w:ilvl="8" w:tplc="0424001B" w:tentative="1">
      <w:start w:val="1"/>
      <w:numFmt w:val="lowerRoman"/>
      <w:lvlText w:val="%9."/>
      <w:lvlJc w:val="right"/>
      <w:pPr>
        <w:ind w:left="8277" w:hanging="180"/>
      </w:pPr>
    </w:lvl>
  </w:abstractNum>
  <w:abstractNum w:abstractNumId="92" w15:restartNumberingAfterBreak="0">
    <w:nsid w:val="78800FFB"/>
    <w:multiLevelType w:val="hybridMultilevel"/>
    <w:tmpl w:val="96B2BC80"/>
    <w:lvl w:ilvl="0" w:tplc="9F726FA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4" w15:restartNumberingAfterBreak="0">
    <w:nsid w:val="7B414D76"/>
    <w:multiLevelType w:val="hybridMultilevel"/>
    <w:tmpl w:val="B6CE8320"/>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C982492"/>
    <w:multiLevelType w:val="hybridMultilevel"/>
    <w:tmpl w:val="5D6095CE"/>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9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7" w15:restartNumberingAfterBreak="0">
    <w:nsid w:val="7E5F67A4"/>
    <w:multiLevelType w:val="hybridMultilevel"/>
    <w:tmpl w:val="A1C6C6BC"/>
    <w:lvl w:ilvl="0" w:tplc="8EBC32BC">
      <w:numFmt w:val="bullet"/>
      <w:lvlText w:val="−"/>
      <w:lvlJc w:val="left"/>
      <w:pPr>
        <w:ind w:left="720" w:hanging="360"/>
      </w:pPr>
      <w:rPr>
        <w:rFonts w:ascii="Segoe UI" w:eastAsia="Aptos"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7E957AFA"/>
    <w:multiLevelType w:val="hybridMultilevel"/>
    <w:tmpl w:val="4C782754"/>
    <w:lvl w:ilvl="0" w:tplc="8EBC32BC">
      <w:numFmt w:val="bullet"/>
      <w:lvlText w:val="−"/>
      <w:lvlJc w:val="left"/>
      <w:pPr>
        <w:ind w:left="1854" w:hanging="360"/>
      </w:pPr>
      <w:rPr>
        <w:rFonts w:ascii="Segoe UI" w:eastAsia="Aptos" w:hAnsi="Segoe U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99" w15:restartNumberingAfterBreak="0">
    <w:nsid w:val="7EE863D8"/>
    <w:multiLevelType w:val="hybridMultilevel"/>
    <w:tmpl w:val="3BD0EA8A"/>
    <w:lvl w:ilvl="0" w:tplc="E33AA7CE">
      <w:numFmt w:val="bullet"/>
      <w:lvlText w:val="-"/>
      <w:lvlJc w:val="left"/>
      <w:pPr>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7F390DA8"/>
    <w:multiLevelType w:val="hybridMultilevel"/>
    <w:tmpl w:val="13A622EE"/>
    <w:lvl w:ilvl="0" w:tplc="62E8E276">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4"/>
  </w:num>
  <w:num w:numId="2">
    <w:abstractNumId w:val="16"/>
  </w:num>
  <w:num w:numId="3">
    <w:abstractNumId w:val="19"/>
  </w:num>
  <w:num w:numId="4">
    <w:abstractNumId w:val="77"/>
  </w:num>
  <w:num w:numId="5">
    <w:abstractNumId w:val="100"/>
  </w:num>
  <w:num w:numId="6">
    <w:abstractNumId w:val="80"/>
  </w:num>
  <w:num w:numId="7">
    <w:abstractNumId w:val="73"/>
  </w:num>
  <w:num w:numId="8">
    <w:abstractNumId w:val="57"/>
  </w:num>
  <w:num w:numId="9">
    <w:abstractNumId w:val="26"/>
  </w:num>
  <w:num w:numId="10">
    <w:abstractNumId w:val="90"/>
  </w:num>
  <w:num w:numId="11">
    <w:abstractNumId w:val="71"/>
  </w:num>
  <w:num w:numId="12">
    <w:abstractNumId w:val="42"/>
    <w:lvlOverride w:ilvl="0">
      <w:startOverride w:val="1"/>
    </w:lvlOverride>
  </w:num>
  <w:num w:numId="13">
    <w:abstractNumId w:val="62"/>
  </w:num>
  <w:num w:numId="14">
    <w:abstractNumId w:val="82"/>
  </w:num>
  <w:num w:numId="15">
    <w:abstractNumId w:val="34"/>
  </w:num>
  <w:num w:numId="16">
    <w:abstractNumId w:val="27"/>
  </w:num>
  <w:num w:numId="17">
    <w:abstractNumId w:val="99"/>
  </w:num>
  <w:num w:numId="18">
    <w:abstractNumId w:val="94"/>
  </w:num>
  <w:num w:numId="19">
    <w:abstractNumId w:val="25"/>
  </w:num>
  <w:num w:numId="20">
    <w:abstractNumId w:val="70"/>
  </w:num>
  <w:num w:numId="21">
    <w:abstractNumId w:val="6"/>
  </w:num>
  <w:num w:numId="22">
    <w:abstractNumId w:val="13"/>
  </w:num>
  <w:num w:numId="23">
    <w:abstractNumId w:val="46"/>
  </w:num>
  <w:num w:numId="24">
    <w:abstractNumId w:val="69"/>
  </w:num>
  <w:num w:numId="25">
    <w:abstractNumId w:val="50"/>
  </w:num>
  <w:num w:numId="26">
    <w:abstractNumId w:val="33"/>
  </w:num>
  <w:num w:numId="27">
    <w:abstractNumId w:val="86"/>
  </w:num>
  <w:num w:numId="28">
    <w:abstractNumId w:val="1"/>
  </w:num>
  <w:num w:numId="29">
    <w:abstractNumId w:val="51"/>
  </w:num>
  <w:num w:numId="30">
    <w:abstractNumId w:val="21"/>
  </w:num>
  <w:num w:numId="31">
    <w:abstractNumId w:val="5"/>
  </w:num>
  <w:num w:numId="32">
    <w:abstractNumId w:val="3"/>
  </w:num>
  <w:num w:numId="33">
    <w:abstractNumId w:val="68"/>
  </w:num>
  <w:num w:numId="34">
    <w:abstractNumId w:val="85"/>
  </w:num>
  <w:num w:numId="35">
    <w:abstractNumId w:val="48"/>
  </w:num>
  <w:num w:numId="36">
    <w:abstractNumId w:val="24"/>
  </w:num>
  <w:num w:numId="37">
    <w:abstractNumId w:val="28"/>
  </w:num>
  <w:num w:numId="38">
    <w:abstractNumId w:val="45"/>
  </w:num>
  <w:num w:numId="39">
    <w:abstractNumId w:val="96"/>
  </w:num>
  <w:num w:numId="40">
    <w:abstractNumId w:val="41"/>
  </w:num>
  <w:num w:numId="41">
    <w:abstractNumId w:val="18"/>
  </w:num>
  <w:num w:numId="42">
    <w:abstractNumId w:val="44"/>
  </w:num>
  <w:num w:numId="43">
    <w:abstractNumId w:val="56"/>
  </w:num>
  <w:num w:numId="44">
    <w:abstractNumId w:val="3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5">
    <w:abstractNumId w:val="30"/>
  </w:num>
  <w:num w:numId="46">
    <w:abstractNumId w:val="79"/>
  </w:num>
  <w:num w:numId="47">
    <w:abstractNumId w:val="93"/>
  </w:num>
  <w:num w:numId="48">
    <w:abstractNumId w:val="35"/>
  </w:num>
  <w:num w:numId="49">
    <w:abstractNumId w:val="63"/>
  </w:num>
  <w:num w:numId="50">
    <w:abstractNumId w:val="59"/>
  </w:num>
  <w:num w:numId="51">
    <w:abstractNumId w:val="99"/>
  </w:num>
  <w:num w:numId="52">
    <w:abstractNumId w:val="59"/>
  </w:num>
  <w:num w:numId="53">
    <w:abstractNumId w:val="9"/>
  </w:num>
  <w:num w:numId="54">
    <w:abstractNumId w:val="91"/>
  </w:num>
  <w:num w:numId="55">
    <w:abstractNumId w:val="92"/>
  </w:num>
  <w:num w:numId="56">
    <w:abstractNumId w:val="58"/>
  </w:num>
  <w:num w:numId="57">
    <w:abstractNumId w:val="76"/>
  </w:num>
  <w:num w:numId="58">
    <w:abstractNumId w:val="53"/>
  </w:num>
  <w:num w:numId="59">
    <w:abstractNumId w:val="74"/>
  </w:num>
  <w:num w:numId="60">
    <w:abstractNumId w:val="40"/>
  </w:num>
  <w:num w:numId="61">
    <w:abstractNumId w:val="81"/>
  </w:num>
  <w:num w:numId="62">
    <w:abstractNumId w:val="64"/>
  </w:num>
  <w:num w:numId="63">
    <w:abstractNumId w:val="39"/>
  </w:num>
  <w:num w:numId="64">
    <w:abstractNumId w:val="14"/>
  </w:num>
  <w:num w:numId="65">
    <w:abstractNumId w:val="32"/>
  </w:num>
  <w:num w:numId="66">
    <w:abstractNumId w:val="15"/>
  </w:num>
  <w:num w:numId="67">
    <w:abstractNumId w:val="23"/>
  </w:num>
  <w:num w:numId="68">
    <w:abstractNumId w:val="10"/>
  </w:num>
  <w:num w:numId="69">
    <w:abstractNumId w:val="31"/>
  </w:num>
  <w:num w:numId="70">
    <w:abstractNumId w:val="29"/>
  </w:num>
  <w:num w:numId="71">
    <w:abstractNumId w:val="66"/>
  </w:num>
  <w:num w:numId="72">
    <w:abstractNumId w:val="60"/>
  </w:num>
  <w:num w:numId="73">
    <w:abstractNumId w:val="8"/>
  </w:num>
  <w:num w:numId="74">
    <w:abstractNumId w:val="4"/>
  </w:num>
  <w:num w:numId="75">
    <w:abstractNumId w:val="65"/>
  </w:num>
  <w:num w:numId="76">
    <w:abstractNumId w:val="52"/>
  </w:num>
  <w:num w:numId="77">
    <w:abstractNumId w:val="78"/>
  </w:num>
  <w:num w:numId="78">
    <w:abstractNumId w:val="36"/>
  </w:num>
  <w:num w:numId="79">
    <w:abstractNumId w:val="89"/>
  </w:num>
  <w:num w:numId="80">
    <w:abstractNumId w:val="49"/>
  </w:num>
  <w:num w:numId="81">
    <w:abstractNumId w:val="88"/>
  </w:num>
  <w:num w:numId="82">
    <w:abstractNumId w:val="98"/>
  </w:num>
  <w:num w:numId="83">
    <w:abstractNumId w:val="0"/>
  </w:num>
  <w:num w:numId="84">
    <w:abstractNumId w:val="12"/>
  </w:num>
  <w:num w:numId="85">
    <w:abstractNumId w:val="20"/>
  </w:num>
  <w:num w:numId="86">
    <w:abstractNumId w:val="17"/>
  </w:num>
  <w:num w:numId="87">
    <w:abstractNumId w:val="43"/>
  </w:num>
  <w:num w:numId="88">
    <w:abstractNumId w:val="83"/>
  </w:num>
  <w:num w:numId="89">
    <w:abstractNumId w:val="61"/>
  </w:num>
  <w:num w:numId="90">
    <w:abstractNumId w:val="11"/>
  </w:num>
  <w:num w:numId="91">
    <w:abstractNumId w:val="7"/>
  </w:num>
  <w:num w:numId="92">
    <w:abstractNumId w:val="95"/>
  </w:num>
  <w:num w:numId="93">
    <w:abstractNumId w:val="97"/>
  </w:num>
  <w:num w:numId="94">
    <w:abstractNumId w:val="47"/>
  </w:num>
  <w:num w:numId="95">
    <w:abstractNumId w:val="67"/>
  </w:num>
  <w:num w:numId="96">
    <w:abstractNumId w:val="84"/>
  </w:num>
  <w:num w:numId="97">
    <w:abstractNumId w:val="72"/>
  </w:num>
  <w:num w:numId="98">
    <w:abstractNumId w:val="22"/>
  </w:num>
  <w:num w:numId="99">
    <w:abstractNumId w:val="2"/>
  </w:num>
  <w:num w:numId="100">
    <w:abstractNumId w:val="75"/>
  </w:num>
  <w:num w:numId="101">
    <w:abstractNumId w:val="37"/>
  </w:num>
  <w:num w:numId="102">
    <w:abstractNumId w:val="87"/>
  </w:num>
  <w:num w:numId="103">
    <w:abstractNumId w:val="55"/>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799D"/>
    <w:rsid w:val="00001564"/>
    <w:rsid w:val="00001B29"/>
    <w:rsid w:val="00002B5D"/>
    <w:rsid w:val="000039A6"/>
    <w:rsid w:val="0000570C"/>
    <w:rsid w:val="00005828"/>
    <w:rsid w:val="000102AB"/>
    <w:rsid w:val="00015676"/>
    <w:rsid w:val="000209E5"/>
    <w:rsid w:val="00020BEC"/>
    <w:rsid w:val="00022058"/>
    <w:rsid w:val="00023A88"/>
    <w:rsid w:val="00024ADD"/>
    <w:rsid w:val="00030A96"/>
    <w:rsid w:val="0003105E"/>
    <w:rsid w:val="000313F1"/>
    <w:rsid w:val="00032E7F"/>
    <w:rsid w:val="00034D26"/>
    <w:rsid w:val="00041C01"/>
    <w:rsid w:val="00041CB0"/>
    <w:rsid w:val="00042176"/>
    <w:rsid w:val="00043564"/>
    <w:rsid w:val="000454A1"/>
    <w:rsid w:val="00045B85"/>
    <w:rsid w:val="00050A91"/>
    <w:rsid w:val="0005759C"/>
    <w:rsid w:val="00057CCC"/>
    <w:rsid w:val="0006147D"/>
    <w:rsid w:val="00064146"/>
    <w:rsid w:val="00071702"/>
    <w:rsid w:val="00071864"/>
    <w:rsid w:val="00073008"/>
    <w:rsid w:val="00074F8C"/>
    <w:rsid w:val="00076932"/>
    <w:rsid w:val="00080176"/>
    <w:rsid w:val="00081004"/>
    <w:rsid w:val="00081667"/>
    <w:rsid w:val="00083329"/>
    <w:rsid w:val="00083E70"/>
    <w:rsid w:val="00084004"/>
    <w:rsid w:val="00085854"/>
    <w:rsid w:val="00087F8F"/>
    <w:rsid w:val="00087FB4"/>
    <w:rsid w:val="0009123D"/>
    <w:rsid w:val="000929F6"/>
    <w:rsid w:val="0009314E"/>
    <w:rsid w:val="000968FA"/>
    <w:rsid w:val="00097614"/>
    <w:rsid w:val="000977D7"/>
    <w:rsid w:val="000A2A31"/>
    <w:rsid w:val="000A327F"/>
    <w:rsid w:val="000A51A5"/>
    <w:rsid w:val="000A6401"/>
    <w:rsid w:val="000A7238"/>
    <w:rsid w:val="000B04B5"/>
    <w:rsid w:val="000B126E"/>
    <w:rsid w:val="000B442E"/>
    <w:rsid w:val="000C0E49"/>
    <w:rsid w:val="000C20D7"/>
    <w:rsid w:val="000C3CD5"/>
    <w:rsid w:val="000C4F97"/>
    <w:rsid w:val="000C5CB7"/>
    <w:rsid w:val="000D049E"/>
    <w:rsid w:val="000D0597"/>
    <w:rsid w:val="000D299D"/>
    <w:rsid w:val="000D2B7E"/>
    <w:rsid w:val="000D2E1B"/>
    <w:rsid w:val="000D3DDA"/>
    <w:rsid w:val="000D63F0"/>
    <w:rsid w:val="000D6C2C"/>
    <w:rsid w:val="000D7C79"/>
    <w:rsid w:val="000D7DE0"/>
    <w:rsid w:val="000E024D"/>
    <w:rsid w:val="000E1055"/>
    <w:rsid w:val="000E631A"/>
    <w:rsid w:val="000E7AAF"/>
    <w:rsid w:val="000F2D3B"/>
    <w:rsid w:val="000F4403"/>
    <w:rsid w:val="000F762B"/>
    <w:rsid w:val="00100DCD"/>
    <w:rsid w:val="001012AB"/>
    <w:rsid w:val="00101BE1"/>
    <w:rsid w:val="00104017"/>
    <w:rsid w:val="0010424A"/>
    <w:rsid w:val="00104AAB"/>
    <w:rsid w:val="00107E02"/>
    <w:rsid w:val="00111B45"/>
    <w:rsid w:val="00112D12"/>
    <w:rsid w:val="00113B73"/>
    <w:rsid w:val="0011583F"/>
    <w:rsid w:val="001171F8"/>
    <w:rsid w:val="001200C3"/>
    <w:rsid w:val="00121A1E"/>
    <w:rsid w:val="00122896"/>
    <w:rsid w:val="00122A1E"/>
    <w:rsid w:val="001243EC"/>
    <w:rsid w:val="00126A13"/>
    <w:rsid w:val="00127B86"/>
    <w:rsid w:val="00130E8D"/>
    <w:rsid w:val="00131ADC"/>
    <w:rsid w:val="001357B2"/>
    <w:rsid w:val="0013799D"/>
    <w:rsid w:val="00137EDA"/>
    <w:rsid w:val="00141F19"/>
    <w:rsid w:val="00145420"/>
    <w:rsid w:val="001462F5"/>
    <w:rsid w:val="00150431"/>
    <w:rsid w:val="00151354"/>
    <w:rsid w:val="00152628"/>
    <w:rsid w:val="0015325B"/>
    <w:rsid w:val="00160B6E"/>
    <w:rsid w:val="00162821"/>
    <w:rsid w:val="0016369A"/>
    <w:rsid w:val="00163F79"/>
    <w:rsid w:val="00164064"/>
    <w:rsid w:val="001650B7"/>
    <w:rsid w:val="00165E7C"/>
    <w:rsid w:val="00166313"/>
    <w:rsid w:val="00166E92"/>
    <w:rsid w:val="00167743"/>
    <w:rsid w:val="00171A8C"/>
    <w:rsid w:val="001723C4"/>
    <w:rsid w:val="0017308D"/>
    <w:rsid w:val="00173EE5"/>
    <w:rsid w:val="00174631"/>
    <w:rsid w:val="0017478F"/>
    <w:rsid w:val="00175B1E"/>
    <w:rsid w:val="0017623E"/>
    <w:rsid w:val="00176849"/>
    <w:rsid w:val="00180731"/>
    <w:rsid w:val="00180E1F"/>
    <w:rsid w:val="00182D72"/>
    <w:rsid w:val="00182F50"/>
    <w:rsid w:val="00184B8E"/>
    <w:rsid w:val="00185059"/>
    <w:rsid w:val="00186218"/>
    <w:rsid w:val="00186D89"/>
    <w:rsid w:val="00192D96"/>
    <w:rsid w:val="00193802"/>
    <w:rsid w:val="0019719C"/>
    <w:rsid w:val="00197906"/>
    <w:rsid w:val="001A14B1"/>
    <w:rsid w:val="001A1D3D"/>
    <w:rsid w:val="001A7019"/>
    <w:rsid w:val="001B0164"/>
    <w:rsid w:val="001B10FE"/>
    <w:rsid w:val="001B1719"/>
    <w:rsid w:val="001B3EF3"/>
    <w:rsid w:val="001B3F20"/>
    <w:rsid w:val="001B51C3"/>
    <w:rsid w:val="001C2453"/>
    <w:rsid w:val="001C325A"/>
    <w:rsid w:val="001C4DC9"/>
    <w:rsid w:val="001C5F07"/>
    <w:rsid w:val="001C74A1"/>
    <w:rsid w:val="001D2148"/>
    <w:rsid w:val="001D2BD9"/>
    <w:rsid w:val="001D307C"/>
    <w:rsid w:val="001D3CA4"/>
    <w:rsid w:val="001D47DC"/>
    <w:rsid w:val="001D4A62"/>
    <w:rsid w:val="001D70C0"/>
    <w:rsid w:val="001D7111"/>
    <w:rsid w:val="001E478C"/>
    <w:rsid w:val="001E6A32"/>
    <w:rsid w:val="001F062C"/>
    <w:rsid w:val="001F2E75"/>
    <w:rsid w:val="001F3A52"/>
    <w:rsid w:val="001F4043"/>
    <w:rsid w:val="001F4280"/>
    <w:rsid w:val="001F5CB1"/>
    <w:rsid w:val="001F66B6"/>
    <w:rsid w:val="001F68FE"/>
    <w:rsid w:val="001F74C0"/>
    <w:rsid w:val="0020001C"/>
    <w:rsid w:val="00201DF0"/>
    <w:rsid w:val="00202A77"/>
    <w:rsid w:val="002048E3"/>
    <w:rsid w:val="00206FC2"/>
    <w:rsid w:val="0020752C"/>
    <w:rsid w:val="00210C48"/>
    <w:rsid w:val="00210D12"/>
    <w:rsid w:val="00220292"/>
    <w:rsid w:val="00220684"/>
    <w:rsid w:val="00220F4A"/>
    <w:rsid w:val="00221A06"/>
    <w:rsid w:val="00221B5E"/>
    <w:rsid w:val="00223690"/>
    <w:rsid w:val="00224821"/>
    <w:rsid w:val="00225089"/>
    <w:rsid w:val="0022520C"/>
    <w:rsid w:val="002255EF"/>
    <w:rsid w:val="0022575A"/>
    <w:rsid w:val="0023049C"/>
    <w:rsid w:val="00230EC1"/>
    <w:rsid w:val="002343D0"/>
    <w:rsid w:val="00235E9F"/>
    <w:rsid w:val="00236C85"/>
    <w:rsid w:val="00237D9E"/>
    <w:rsid w:val="00244FD7"/>
    <w:rsid w:val="00246C89"/>
    <w:rsid w:val="00250920"/>
    <w:rsid w:val="002534AC"/>
    <w:rsid w:val="00255968"/>
    <w:rsid w:val="002616C8"/>
    <w:rsid w:val="00266A97"/>
    <w:rsid w:val="00267E56"/>
    <w:rsid w:val="0027068B"/>
    <w:rsid w:val="00271CE5"/>
    <w:rsid w:val="00280465"/>
    <w:rsid w:val="0028146F"/>
    <w:rsid w:val="00282020"/>
    <w:rsid w:val="00282CB4"/>
    <w:rsid w:val="00285E83"/>
    <w:rsid w:val="00286AEC"/>
    <w:rsid w:val="00286FC4"/>
    <w:rsid w:val="002912FB"/>
    <w:rsid w:val="00291BF4"/>
    <w:rsid w:val="00292739"/>
    <w:rsid w:val="00297550"/>
    <w:rsid w:val="00297A32"/>
    <w:rsid w:val="002A0A07"/>
    <w:rsid w:val="002A1245"/>
    <w:rsid w:val="002A212E"/>
    <w:rsid w:val="002A2732"/>
    <w:rsid w:val="002A2B69"/>
    <w:rsid w:val="002A30DA"/>
    <w:rsid w:val="002A3482"/>
    <w:rsid w:val="002A464B"/>
    <w:rsid w:val="002A4D9F"/>
    <w:rsid w:val="002A5380"/>
    <w:rsid w:val="002A5530"/>
    <w:rsid w:val="002A5F4F"/>
    <w:rsid w:val="002A6201"/>
    <w:rsid w:val="002B30FC"/>
    <w:rsid w:val="002B3644"/>
    <w:rsid w:val="002B388C"/>
    <w:rsid w:val="002B3D6E"/>
    <w:rsid w:val="002B5AC8"/>
    <w:rsid w:val="002C073C"/>
    <w:rsid w:val="002C2138"/>
    <w:rsid w:val="002C2321"/>
    <w:rsid w:val="002C4011"/>
    <w:rsid w:val="002C4389"/>
    <w:rsid w:val="002C5233"/>
    <w:rsid w:val="002C6594"/>
    <w:rsid w:val="002C66DF"/>
    <w:rsid w:val="002D3F4F"/>
    <w:rsid w:val="002D4044"/>
    <w:rsid w:val="002D44EE"/>
    <w:rsid w:val="002D6005"/>
    <w:rsid w:val="002D7CAC"/>
    <w:rsid w:val="002E341B"/>
    <w:rsid w:val="002E41CB"/>
    <w:rsid w:val="002E447A"/>
    <w:rsid w:val="002E4D99"/>
    <w:rsid w:val="002E59C1"/>
    <w:rsid w:val="002F0B00"/>
    <w:rsid w:val="002F1B28"/>
    <w:rsid w:val="002F5030"/>
    <w:rsid w:val="0030071F"/>
    <w:rsid w:val="003012E3"/>
    <w:rsid w:val="00303645"/>
    <w:rsid w:val="00305304"/>
    <w:rsid w:val="00306F9A"/>
    <w:rsid w:val="003077CA"/>
    <w:rsid w:val="0031093E"/>
    <w:rsid w:val="00310CBF"/>
    <w:rsid w:val="003154FF"/>
    <w:rsid w:val="00316988"/>
    <w:rsid w:val="00317B57"/>
    <w:rsid w:val="003220EE"/>
    <w:rsid w:val="00322D24"/>
    <w:rsid w:val="00324B26"/>
    <w:rsid w:val="003302B1"/>
    <w:rsid w:val="00335AFC"/>
    <w:rsid w:val="00337122"/>
    <w:rsid w:val="00340286"/>
    <w:rsid w:val="00340314"/>
    <w:rsid w:val="00340608"/>
    <w:rsid w:val="00340792"/>
    <w:rsid w:val="0034269C"/>
    <w:rsid w:val="00342913"/>
    <w:rsid w:val="0035044E"/>
    <w:rsid w:val="0035109A"/>
    <w:rsid w:val="00351FCB"/>
    <w:rsid w:val="0035462B"/>
    <w:rsid w:val="00355E3C"/>
    <w:rsid w:val="00356DF8"/>
    <w:rsid w:val="00356FE6"/>
    <w:rsid w:val="003576CB"/>
    <w:rsid w:val="003602E4"/>
    <w:rsid w:val="00360616"/>
    <w:rsid w:val="00362554"/>
    <w:rsid w:val="003636BF"/>
    <w:rsid w:val="00363F31"/>
    <w:rsid w:val="00364F37"/>
    <w:rsid w:val="00365BDD"/>
    <w:rsid w:val="00366BD2"/>
    <w:rsid w:val="00367D1F"/>
    <w:rsid w:val="00370BB3"/>
    <w:rsid w:val="00371442"/>
    <w:rsid w:val="00373118"/>
    <w:rsid w:val="00374B24"/>
    <w:rsid w:val="003754AA"/>
    <w:rsid w:val="00376E30"/>
    <w:rsid w:val="00381787"/>
    <w:rsid w:val="003824B7"/>
    <w:rsid w:val="0038250F"/>
    <w:rsid w:val="0038259D"/>
    <w:rsid w:val="0038403B"/>
    <w:rsid w:val="003845B4"/>
    <w:rsid w:val="003865A2"/>
    <w:rsid w:val="00386EB5"/>
    <w:rsid w:val="003879EB"/>
    <w:rsid w:val="00387B1A"/>
    <w:rsid w:val="00387FAF"/>
    <w:rsid w:val="003947A0"/>
    <w:rsid w:val="0039512A"/>
    <w:rsid w:val="003972F3"/>
    <w:rsid w:val="003A5E80"/>
    <w:rsid w:val="003A60F0"/>
    <w:rsid w:val="003A7147"/>
    <w:rsid w:val="003B0B56"/>
    <w:rsid w:val="003B1ACB"/>
    <w:rsid w:val="003B25C9"/>
    <w:rsid w:val="003B2726"/>
    <w:rsid w:val="003B3E65"/>
    <w:rsid w:val="003B5162"/>
    <w:rsid w:val="003B64A0"/>
    <w:rsid w:val="003B66D2"/>
    <w:rsid w:val="003C295F"/>
    <w:rsid w:val="003C36F7"/>
    <w:rsid w:val="003C3BD4"/>
    <w:rsid w:val="003C42CC"/>
    <w:rsid w:val="003C5EE5"/>
    <w:rsid w:val="003C631B"/>
    <w:rsid w:val="003D11E9"/>
    <w:rsid w:val="003D14AD"/>
    <w:rsid w:val="003D4080"/>
    <w:rsid w:val="003D50B1"/>
    <w:rsid w:val="003D65EB"/>
    <w:rsid w:val="003D7F9F"/>
    <w:rsid w:val="003E08A4"/>
    <w:rsid w:val="003E0F51"/>
    <w:rsid w:val="003E1C74"/>
    <w:rsid w:val="003E1CBD"/>
    <w:rsid w:val="003E3AC7"/>
    <w:rsid w:val="003E65AD"/>
    <w:rsid w:val="003F0DDD"/>
    <w:rsid w:val="003F14AF"/>
    <w:rsid w:val="003F16D5"/>
    <w:rsid w:val="004001FE"/>
    <w:rsid w:val="00401022"/>
    <w:rsid w:val="00401476"/>
    <w:rsid w:val="00401F0F"/>
    <w:rsid w:val="00402362"/>
    <w:rsid w:val="00402634"/>
    <w:rsid w:val="004033BE"/>
    <w:rsid w:val="004055E0"/>
    <w:rsid w:val="00405BEB"/>
    <w:rsid w:val="00407B42"/>
    <w:rsid w:val="004104CB"/>
    <w:rsid w:val="00412412"/>
    <w:rsid w:val="00413CB3"/>
    <w:rsid w:val="0041494D"/>
    <w:rsid w:val="00415FF6"/>
    <w:rsid w:val="0041712B"/>
    <w:rsid w:val="00417EFB"/>
    <w:rsid w:val="00420D5D"/>
    <w:rsid w:val="00424FF5"/>
    <w:rsid w:val="004304CA"/>
    <w:rsid w:val="004333FF"/>
    <w:rsid w:val="00434719"/>
    <w:rsid w:val="0043609A"/>
    <w:rsid w:val="0044126A"/>
    <w:rsid w:val="00441EFF"/>
    <w:rsid w:val="00442EAC"/>
    <w:rsid w:val="004432E7"/>
    <w:rsid w:val="0044433A"/>
    <w:rsid w:val="00444474"/>
    <w:rsid w:val="00446536"/>
    <w:rsid w:val="004470A8"/>
    <w:rsid w:val="00450314"/>
    <w:rsid w:val="004556B3"/>
    <w:rsid w:val="0045640E"/>
    <w:rsid w:val="004569E7"/>
    <w:rsid w:val="00456A3F"/>
    <w:rsid w:val="00457346"/>
    <w:rsid w:val="00457E55"/>
    <w:rsid w:val="00457EB3"/>
    <w:rsid w:val="00460517"/>
    <w:rsid w:val="00460F62"/>
    <w:rsid w:val="00461569"/>
    <w:rsid w:val="00462024"/>
    <w:rsid w:val="00462D10"/>
    <w:rsid w:val="00463342"/>
    <w:rsid w:val="00463540"/>
    <w:rsid w:val="004657EE"/>
    <w:rsid w:val="00465857"/>
    <w:rsid w:val="004658F3"/>
    <w:rsid w:val="00467DFD"/>
    <w:rsid w:val="00472F78"/>
    <w:rsid w:val="004752FD"/>
    <w:rsid w:val="00475C9F"/>
    <w:rsid w:val="00482319"/>
    <w:rsid w:val="00482FF5"/>
    <w:rsid w:val="00483DE8"/>
    <w:rsid w:val="00486E02"/>
    <w:rsid w:val="00487BA8"/>
    <w:rsid w:val="004901F5"/>
    <w:rsid w:val="00491584"/>
    <w:rsid w:val="00493669"/>
    <w:rsid w:val="00494BC7"/>
    <w:rsid w:val="004968DC"/>
    <w:rsid w:val="004A1B9C"/>
    <w:rsid w:val="004A36AA"/>
    <w:rsid w:val="004A6C09"/>
    <w:rsid w:val="004A784A"/>
    <w:rsid w:val="004B4A05"/>
    <w:rsid w:val="004B58F9"/>
    <w:rsid w:val="004C00F5"/>
    <w:rsid w:val="004C09F8"/>
    <w:rsid w:val="004C0F42"/>
    <w:rsid w:val="004C1228"/>
    <w:rsid w:val="004C1DC9"/>
    <w:rsid w:val="004C205F"/>
    <w:rsid w:val="004C399D"/>
    <w:rsid w:val="004D1AE0"/>
    <w:rsid w:val="004D2B39"/>
    <w:rsid w:val="004D4A42"/>
    <w:rsid w:val="004D4B25"/>
    <w:rsid w:val="004D69E2"/>
    <w:rsid w:val="004E06FC"/>
    <w:rsid w:val="004E2553"/>
    <w:rsid w:val="004E469C"/>
    <w:rsid w:val="004E65D4"/>
    <w:rsid w:val="004E6FFA"/>
    <w:rsid w:val="004E7A14"/>
    <w:rsid w:val="004E7F71"/>
    <w:rsid w:val="004F18A6"/>
    <w:rsid w:val="004F29E3"/>
    <w:rsid w:val="004F3E67"/>
    <w:rsid w:val="004F7080"/>
    <w:rsid w:val="004F74A7"/>
    <w:rsid w:val="00502667"/>
    <w:rsid w:val="00502CB4"/>
    <w:rsid w:val="005046D6"/>
    <w:rsid w:val="00505391"/>
    <w:rsid w:val="00506E4B"/>
    <w:rsid w:val="00506EC9"/>
    <w:rsid w:val="00512A27"/>
    <w:rsid w:val="005132EC"/>
    <w:rsid w:val="00515A10"/>
    <w:rsid w:val="00516185"/>
    <w:rsid w:val="005201D5"/>
    <w:rsid w:val="005207C5"/>
    <w:rsid w:val="00526246"/>
    <w:rsid w:val="00530CB0"/>
    <w:rsid w:val="0053264D"/>
    <w:rsid w:val="00534E45"/>
    <w:rsid w:val="0053693D"/>
    <w:rsid w:val="00537E5D"/>
    <w:rsid w:val="00540D02"/>
    <w:rsid w:val="005440D9"/>
    <w:rsid w:val="00545008"/>
    <w:rsid w:val="00545B7C"/>
    <w:rsid w:val="005465D2"/>
    <w:rsid w:val="005503B4"/>
    <w:rsid w:val="005552C1"/>
    <w:rsid w:val="00562539"/>
    <w:rsid w:val="005643A1"/>
    <w:rsid w:val="00565585"/>
    <w:rsid w:val="00567106"/>
    <w:rsid w:val="005716CB"/>
    <w:rsid w:val="00571AC4"/>
    <w:rsid w:val="00576715"/>
    <w:rsid w:val="005826D1"/>
    <w:rsid w:val="00582830"/>
    <w:rsid w:val="00582B53"/>
    <w:rsid w:val="005839AF"/>
    <w:rsid w:val="00584D01"/>
    <w:rsid w:val="0058721C"/>
    <w:rsid w:val="00587E91"/>
    <w:rsid w:val="005902B1"/>
    <w:rsid w:val="005927DA"/>
    <w:rsid w:val="00594E31"/>
    <w:rsid w:val="005954B5"/>
    <w:rsid w:val="00596489"/>
    <w:rsid w:val="00597430"/>
    <w:rsid w:val="005A2B47"/>
    <w:rsid w:val="005A372E"/>
    <w:rsid w:val="005A5C1E"/>
    <w:rsid w:val="005A7C7E"/>
    <w:rsid w:val="005B0DFE"/>
    <w:rsid w:val="005B2E2B"/>
    <w:rsid w:val="005B587E"/>
    <w:rsid w:val="005B59EA"/>
    <w:rsid w:val="005B6209"/>
    <w:rsid w:val="005C06D8"/>
    <w:rsid w:val="005C0AB9"/>
    <w:rsid w:val="005C2F95"/>
    <w:rsid w:val="005D1573"/>
    <w:rsid w:val="005D2CD2"/>
    <w:rsid w:val="005D6696"/>
    <w:rsid w:val="005D6D0D"/>
    <w:rsid w:val="005D7732"/>
    <w:rsid w:val="005E0B4E"/>
    <w:rsid w:val="005E14C0"/>
    <w:rsid w:val="005E1D3C"/>
    <w:rsid w:val="005E2035"/>
    <w:rsid w:val="005E21D4"/>
    <w:rsid w:val="005E5A6B"/>
    <w:rsid w:val="005E7652"/>
    <w:rsid w:val="005E7A57"/>
    <w:rsid w:val="005F0D6A"/>
    <w:rsid w:val="005F3D79"/>
    <w:rsid w:val="005F574D"/>
    <w:rsid w:val="005F58A9"/>
    <w:rsid w:val="005F785A"/>
    <w:rsid w:val="006007AA"/>
    <w:rsid w:val="00601E6B"/>
    <w:rsid w:val="00606E9D"/>
    <w:rsid w:val="0060716B"/>
    <w:rsid w:val="00613621"/>
    <w:rsid w:val="00613F58"/>
    <w:rsid w:val="00622EC9"/>
    <w:rsid w:val="0062365F"/>
    <w:rsid w:val="00624469"/>
    <w:rsid w:val="0062455C"/>
    <w:rsid w:val="00625AE6"/>
    <w:rsid w:val="00626150"/>
    <w:rsid w:val="00626A74"/>
    <w:rsid w:val="00626D3A"/>
    <w:rsid w:val="00626D67"/>
    <w:rsid w:val="006279F6"/>
    <w:rsid w:val="0063047B"/>
    <w:rsid w:val="00631786"/>
    <w:rsid w:val="00632253"/>
    <w:rsid w:val="006324D8"/>
    <w:rsid w:val="00635E69"/>
    <w:rsid w:val="006408BB"/>
    <w:rsid w:val="00641FEC"/>
    <w:rsid w:val="00642714"/>
    <w:rsid w:val="00644BD3"/>
    <w:rsid w:val="006455CE"/>
    <w:rsid w:val="00650061"/>
    <w:rsid w:val="006506B8"/>
    <w:rsid w:val="00652DBF"/>
    <w:rsid w:val="006549A1"/>
    <w:rsid w:val="00655841"/>
    <w:rsid w:val="00655E20"/>
    <w:rsid w:val="00661777"/>
    <w:rsid w:val="00662007"/>
    <w:rsid w:val="00663763"/>
    <w:rsid w:val="006643FC"/>
    <w:rsid w:val="00666763"/>
    <w:rsid w:val="006707E4"/>
    <w:rsid w:val="00671153"/>
    <w:rsid w:val="00672677"/>
    <w:rsid w:val="00672E05"/>
    <w:rsid w:val="006735F0"/>
    <w:rsid w:val="00676406"/>
    <w:rsid w:val="00676554"/>
    <w:rsid w:val="00676A2F"/>
    <w:rsid w:val="0067773D"/>
    <w:rsid w:val="0068134A"/>
    <w:rsid w:val="0068630D"/>
    <w:rsid w:val="0068671F"/>
    <w:rsid w:val="00691600"/>
    <w:rsid w:val="006A116D"/>
    <w:rsid w:val="006A3B14"/>
    <w:rsid w:val="006A4A65"/>
    <w:rsid w:val="006A6D5B"/>
    <w:rsid w:val="006A72F2"/>
    <w:rsid w:val="006B18DB"/>
    <w:rsid w:val="006B1BCE"/>
    <w:rsid w:val="006B1EF2"/>
    <w:rsid w:val="006B22A2"/>
    <w:rsid w:val="006B2D98"/>
    <w:rsid w:val="006B38A8"/>
    <w:rsid w:val="006B4739"/>
    <w:rsid w:val="006B4D18"/>
    <w:rsid w:val="006B63BC"/>
    <w:rsid w:val="006C0D37"/>
    <w:rsid w:val="006C2078"/>
    <w:rsid w:val="006C3C02"/>
    <w:rsid w:val="006D1761"/>
    <w:rsid w:val="006E1142"/>
    <w:rsid w:val="006E2D1F"/>
    <w:rsid w:val="006E3DFE"/>
    <w:rsid w:val="006E6B09"/>
    <w:rsid w:val="006E72AE"/>
    <w:rsid w:val="006E781D"/>
    <w:rsid w:val="006F128C"/>
    <w:rsid w:val="006F2B21"/>
    <w:rsid w:val="006F2B77"/>
    <w:rsid w:val="006F2F7F"/>
    <w:rsid w:val="006F535C"/>
    <w:rsid w:val="006F653E"/>
    <w:rsid w:val="00702C17"/>
    <w:rsid w:val="007033DB"/>
    <w:rsid w:val="007115AE"/>
    <w:rsid w:val="00711CA2"/>
    <w:rsid w:val="00711FB9"/>
    <w:rsid w:val="007122D4"/>
    <w:rsid w:val="00712EB2"/>
    <w:rsid w:val="00715031"/>
    <w:rsid w:val="00715EF3"/>
    <w:rsid w:val="00716694"/>
    <w:rsid w:val="007204C9"/>
    <w:rsid w:val="00720DF2"/>
    <w:rsid w:val="0072155C"/>
    <w:rsid w:val="00725BD6"/>
    <w:rsid w:val="00726C50"/>
    <w:rsid w:val="00730830"/>
    <w:rsid w:val="00733017"/>
    <w:rsid w:val="00735EB5"/>
    <w:rsid w:val="00736E07"/>
    <w:rsid w:val="00737AAD"/>
    <w:rsid w:val="00740C5B"/>
    <w:rsid w:val="007411EA"/>
    <w:rsid w:val="007438D3"/>
    <w:rsid w:val="00744D92"/>
    <w:rsid w:val="0074555B"/>
    <w:rsid w:val="0074559E"/>
    <w:rsid w:val="0074677E"/>
    <w:rsid w:val="007468AA"/>
    <w:rsid w:val="00747711"/>
    <w:rsid w:val="00750A2E"/>
    <w:rsid w:val="0075270B"/>
    <w:rsid w:val="0075297D"/>
    <w:rsid w:val="007530CB"/>
    <w:rsid w:val="00754AA6"/>
    <w:rsid w:val="007557D9"/>
    <w:rsid w:val="0075624B"/>
    <w:rsid w:val="007578AE"/>
    <w:rsid w:val="00760759"/>
    <w:rsid w:val="00760CEF"/>
    <w:rsid w:val="0076204B"/>
    <w:rsid w:val="0076278C"/>
    <w:rsid w:val="0076425C"/>
    <w:rsid w:val="00764CC9"/>
    <w:rsid w:val="00765490"/>
    <w:rsid w:val="007660B3"/>
    <w:rsid w:val="00771282"/>
    <w:rsid w:val="007742D1"/>
    <w:rsid w:val="0077497B"/>
    <w:rsid w:val="00775B37"/>
    <w:rsid w:val="00775E0E"/>
    <w:rsid w:val="00775FBB"/>
    <w:rsid w:val="00776DF5"/>
    <w:rsid w:val="00783310"/>
    <w:rsid w:val="00783823"/>
    <w:rsid w:val="007905E5"/>
    <w:rsid w:val="00792DF0"/>
    <w:rsid w:val="007941B8"/>
    <w:rsid w:val="007941E7"/>
    <w:rsid w:val="0079425A"/>
    <w:rsid w:val="0079739A"/>
    <w:rsid w:val="00797A0A"/>
    <w:rsid w:val="007A1CD0"/>
    <w:rsid w:val="007A3541"/>
    <w:rsid w:val="007A3716"/>
    <w:rsid w:val="007A4A6D"/>
    <w:rsid w:val="007A5E6E"/>
    <w:rsid w:val="007A61C3"/>
    <w:rsid w:val="007A6AFF"/>
    <w:rsid w:val="007A6F0C"/>
    <w:rsid w:val="007B062F"/>
    <w:rsid w:val="007B13CE"/>
    <w:rsid w:val="007B40EC"/>
    <w:rsid w:val="007B4338"/>
    <w:rsid w:val="007B647D"/>
    <w:rsid w:val="007B761A"/>
    <w:rsid w:val="007B7696"/>
    <w:rsid w:val="007C2A34"/>
    <w:rsid w:val="007C619B"/>
    <w:rsid w:val="007C7A98"/>
    <w:rsid w:val="007D1BCF"/>
    <w:rsid w:val="007D1FAC"/>
    <w:rsid w:val="007D4189"/>
    <w:rsid w:val="007D46C1"/>
    <w:rsid w:val="007D5E08"/>
    <w:rsid w:val="007D5FFB"/>
    <w:rsid w:val="007D75CF"/>
    <w:rsid w:val="007E0440"/>
    <w:rsid w:val="007E0570"/>
    <w:rsid w:val="007E354F"/>
    <w:rsid w:val="007E35E4"/>
    <w:rsid w:val="007E394E"/>
    <w:rsid w:val="007E5BD5"/>
    <w:rsid w:val="007E6DC5"/>
    <w:rsid w:val="007E7900"/>
    <w:rsid w:val="007E7ADA"/>
    <w:rsid w:val="007E7C86"/>
    <w:rsid w:val="007E7D0A"/>
    <w:rsid w:val="007F0ED6"/>
    <w:rsid w:val="007F10AA"/>
    <w:rsid w:val="007F562F"/>
    <w:rsid w:val="00801D8F"/>
    <w:rsid w:val="00804BB9"/>
    <w:rsid w:val="008051AC"/>
    <w:rsid w:val="008068BF"/>
    <w:rsid w:val="008073CD"/>
    <w:rsid w:val="00813BF2"/>
    <w:rsid w:val="00815FB6"/>
    <w:rsid w:val="00822935"/>
    <w:rsid w:val="00822D06"/>
    <w:rsid w:val="00824446"/>
    <w:rsid w:val="00824B6A"/>
    <w:rsid w:val="00834B83"/>
    <w:rsid w:val="008361CF"/>
    <w:rsid w:val="00836A59"/>
    <w:rsid w:val="00842439"/>
    <w:rsid w:val="0084283F"/>
    <w:rsid w:val="00843B36"/>
    <w:rsid w:val="00846D66"/>
    <w:rsid w:val="0084758E"/>
    <w:rsid w:val="0085173A"/>
    <w:rsid w:val="00851B73"/>
    <w:rsid w:val="00852363"/>
    <w:rsid w:val="00852EB9"/>
    <w:rsid w:val="008530DF"/>
    <w:rsid w:val="00853A1A"/>
    <w:rsid w:val="00853C3A"/>
    <w:rsid w:val="00854303"/>
    <w:rsid w:val="0085445B"/>
    <w:rsid w:val="00855BD2"/>
    <w:rsid w:val="0085647C"/>
    <w:rsid w:val="00857B76"/>
    <w:rsid w:val="00861131"/>
    <w:rsid w:val="0086125A"/>
    <w:rsid w:val="00861BD8"/>
    <w:rsid w:val="00861DA8"/>
    <w:rsid w:val="00863655"/>
    <w:rsid w:val="00863D8F"/>
    <w:rsid w:val="00864C5E"/>
    <w:rsid w:val="00866E80"/>
    <w:rsid w:val="00867A9E"/>
    <w:rsid w:val="00872406"/>
    <w:rsid w:val="0087394C"/>
    <w:rsid w:val="0087585D"/>
    <w:rsid w:val="00876DB9"/>
    <w:rsid w:val="00877FFC"/>
    <w:rsid w:val="0088043C"/>
    <w:rsid w:val="00883FC6"/>
    <w:rsid w:val="00884889"/>
    <w:rsid w:val="00890396"/>
    <w:rsid w:val="008906C9"/>
    <w:rsid w:val="0089091D"/>
    <w:rsid w:val="00891912"/>
    <w:rsid w:val="008926C0"/>
    <w:rsid w:val="008932EC"/>
    <w:rsid w:val="00894CA2"/>
    <w:rsid w:val="00895B52"/>
    <w:rsid w:val="0089674A"/>
    <w:rsid w:val="008978A1"/>
    <w:rsid w:val="00897B83"/>
    <w:rsid w:val="008A0CD8"/>
    <w:rsid w:val="008A37D6"/>
    <w:rsid w:val="008A4E93"/>
    <w:rsid w:val="008A6A52"/>
    <w:rsid w:val="008A7B7B"/>
    <w:rsid w:val="008B103F"/>
    <w:rsid w:val="008B1995"/>
    <w:rsid w:val="008B2C13"/>
    <w:rsid w:val="008B40E3"/>
    <w:rsid w:val="008B41E4"/>
    <w:rsid w:val="008C003C"/>
    <w:rsid w:val="008C0046"/>
    <w:rsid w:val="008C4CC3"/>
    <w:rsid w:val="008C53AF"/>
    <w:rsid w:val="008C5738"/>
    <w:rsid w:val="008C5AF4"/>
    <w:rsid w:val="008C799D"/>
    <w:rsid w:val="008C7E11"/>
    <w:rsid w:val="008D0185"/>
    <w:rsid w:val="008D04F0"/>
    <w:rsid w:val="008D14AB"/>
    <w:rsid w:val="008D3023"/>
    <w:rsid w:val="008D3EA4"/>
    <w:rsid w:val="008D48F5"/>
    <w:rsid w:val="008D4C6D"/>
    <w:rsid w:val="008D5482"/>
    <w:rsid w:val="008E0309"/>
    <w:rsid w:val="008E0474"/>
    <w:rsid w:val="008E07EE"/>
    <w:rsid w:val="008E1909"/>
    <w:rsid w:val="008E21C4"/>
    <w:rsid w:val="008E500C"/>
    <w:rsid w:val="008E59A3"/>
    <w:rsid w:val="008E65EB"/>
    <w:rsid w:val="008E77E4"/>
    <w:rsid w:val="008F3500"/>
    <w:rsid w:val="008F4341"/>
    <w:rsid w:val="0090196B"/>
    <w:rsid w:val="00902BFF"/>
    <w:rsid w:val="00903735"/>
    <w:rsid w:val="00903F15"/>
    <w:rsid w:val="0090523F"/>
    <w:rsid w:val="00906035"/>
    <w:rsid w:val="00911FD6"/>
    <w:rsid w:val="00915C0D"/>
    <w:rsid w:val="00917E9C"/>
    <w:rsid w:val="00920176"/>
    <w:rsid w:val="00922095"/>
    <w:rsid w:val="00922686"/>
    <w:rsid w:val="009230F3"/>
    <w:rsid w:val="00924655"/>
    <w:rsid w:val="00924E3C"/>
    <w:rsid w:val="0093073B"/>
    <w:rsid w:val="0093144D"/>
    <w:rsid w:val="00931518"/>
    <w:rsid w:val="009322EE"/>
    <w:rsid w:val="009361F0"/>
    <w:rsid w:val="0093658F"/>
    <w:rsid w:val="00936790"/>
    <w:rsid w:val="00936A10"/>
    <w:rsid w:val="009377ED"/>
    <w:rsid w:val="009413F7"/>
    <w:rsid w:val="00941D43"/>
    <w:rsid w:val="009441EB"/>
    <w:rsid w:val="0094799E"/>
    <w:rsid w:val="0095352D"/>
    <w:rsid w:val="00960801"/>
    <w:rsid w:val="009612BB"/>
    <w:rsid w:val="009628DB"/>
    <w:rsid w:val="00964774"/>
    <w:rsid w:val="00966CB4"/>
    <w:rsid w:val="009723F4"/>
    <w:rsid w:val="00972AB8"/>
    <w:rsid w:val="0097419D"/>
    <w:rsid w:val="009748CF"/>
    <w:rsid w:val="00975634"/>
    <w:rsid w:val="00976717"/>
    <w:rsid w:val="00977796"/>
    <w:rsid w:val="00981259"/>
    <w:rsid w:val="00981EFA"/>
    <w:rsid w:val="00982277"/>
    <w:rsid w:val="00984783"/>
    <w:rsid w:val="0098673C"/>
    <w:rsid w:val="009917BD"/>
    <w:rsid w:val="0099437B"/>
    <w:rsid w:val="00995130"/>
    <w:rsid w:val="0099516B"/>
    <w:rsid w:val="009954BB"/>
    <w:rsid w:val="0099563A"/>
    <w:rsid w:val="009979F9"/>
    <w:rsid w:val="009A0C5B"/>
    <w:rsid w:val="009A1BA5"/>
    <w:rsid w:val="009A4894"/>
    <w:rsid w:val="009A4CA4"/>
    <w:rsid w:val="009A5647"/>
    <w:rsid w:val="009A59A1"/>
    <w:rsid w:val="009A67E7"/>
    <w:rsid w:val="009B0369"/>
    <w:rsid w:val="009B3414"/>
    <w:rsid w:val="009B3CF6"/>
    <w:rsid w:val="009B51FC"/>
    <w:rsid w:val="009B5779"/>
    <w:rsid w:val="009C0D82"/>
    <w:rsid w:val="009C3B93"/>
    <w:rsid w:val="009C740A"/>
    <w:rsid w:val="009C7D06"/>
    <w:rsid w:val="009C7FBB"/>
    <w:rsid w:val="009D14AB"/>
    <w:rsid w:val="009D182D"/>
    <w:rsid w:val="009D2328"/>
    <w:rsid w:val="009D3C51"/>
    <w:rsid w:val="009D4763"/>
    <w:rsid w:val="009D68CE"/>
    <w:rsid w:val="009E0F34"/>
    <w:rsid w:val="009E400C"/>
    <w:rsid w:val="009E6555"/>
    <w:rsid w:val="009E6A5D"/>
    <w:rsid w:val="009F0C96"/>
    <w:rsid w:val="009F3316"/>
    <w:rsid w:val="009F4889"/>
    <w:rsid w:val="009F509C"/>
    <w:rsid w:val="009F5A0C"/>
    <w:rsid w:val="009F6A45"/>
    <w:rsid w:val="009F6D68"/>
    <w:rsid w:val="009F7A26"/>
    <w:rsid w:val="00A0154C"/>
    <w:rsid w:val="00A020C7"/>
    <w:rsid w:val="00A02CC4"/>
    <w:rsid w:val="00A1035C"/>
    <w:rsid w:val="00A11AAA"/>
    <w:rsid w:val="00A125C5"/>
    <w:rsid w:val="00A239A1"/>
    <w:rsid w:val="00A23D30"/>
    <w:rsid w:val="00A23D5D"/>
    <w:rsid w:val="00A2451C"/>
    <w:rsid w:val="00A24D01"/>
    <w:rsid w:val="00A2556F"/>
    <w:rsid w:val="00A27AE4"/>
    <w:rsid w:val="00A3126E"/>
    <w:rsid w:val="00A35DA7"/>
    <w:rsid w:val="00A363C3"/>
    <w:rsid w:val="00A36960"/>
    <w:rsid w:val="00A41687"/>
    <w:rsid w:val="00A43686"/>
    <w:rsid w:val="00A437F7"/>
    <w:rsid w:val="00A44224"/>
    <w:rsid w:val="00A50872"/>
    <w:rsid w:val="00A50D4F"/>
    <w:rsid w:val="00A5108B"/>
    <w:rsid w:val="00A51CBC"/>
    <w:rsid w:val="00A52AE6"/>
    <w:rsid w:val="00A52B28"/>
    <w:rsid w:val="00A532E5"/>
    <w:rsid w:val="00A5476C"/>
    <w:rsid w:val="00A5609C"/>
    <w:rsid w:val="00A60E02"/>
    <w:rsid w:val="00A6187C"/>
    <w:rsid w:val="00A62796"/>
    <w:rsid w:val="00A63240"/>
    <w:rsid w:val="00A64D4F"/>
    <w:rsid w:val="00A65959"/>
    <w:rsid w:val="00A65EE7"/>
    <w:rsid w:val="00A70133"/>
    <w:rsid w:val="00A70987"/>
    <w:rsid w:val="00A71599"/>
    <w:rsid w:val="00A71D38"/>
    <w:rsid w:val="00A75717"/>
    <w:rsid w:val="00A770A6"/>
    <w:rsid w:val="00A77666"/>
    <w:rsid w:val="00A813B1"/>
    <w:rsid w:val="00A81635"/>
    <w:rsid w:val="00A81D74"/>
    <w:rsid w:val="00A8245E"/>
    <w:rsid w:val="00A83F07"/>
    <w:rsid w:val="00A8569B"/>
    <w:rsid w:val="00A877B5"/>
    <w:rsid w:val="00A9072D"/>
    <w:rsid w:val="00A91075"/>
    <w:rsid w:val="00A9324C"/>
    <w:rsid w:val="00A937A2"/>
    <w:rsid w:val="00A956E1"/>
    <w:rsid w:val="00A972B4"/>
    <w:rsid w:val="00AA0C2C"/>
    <w:rsid w:val="00AA0FB5"/>
    <w:rsid w:val="00AA25EA"/>
    <w:rsid w:val="00AA442F"/>
    <w:rsid w:val="00AA7B0A"/>
    <w:rsid w:val="00AB02DF"/>
    <w:rsid w:val="00AB1BC5"/>
    <w:rsid w:val="00AB3550"/>
    <w:rsid w:val="00AB36C4"/>
    <w:rsid w:val="00AB4057"/>
    <w:rsid w:val="00AB5516"/>
    <w:rsid w:val="00AC1797"/>
    <w:rsid w:val="00AC32B2"/>
    <w:rsid w:val="00AC3B02"/>
    <w:rsid w:val="00AC429E"/>
    <w:rsid w:val="00AC6396"/>
    <w:rsid w:val="00AC7268"/>
    <w:rsid w:val="00AD1A7D"/>
    <w:rsid w:val="00AD1E9A"/>
    <w:rsid w:val="00AD1FB6"/>
    <w:rsid w:val="00AD217D"/>
    <w:rsid w:val="00AD3B93"/>
    <w:rsid w:val="00AD3E6E"/>
    <w:rsid w:val="00AD6419"/>
    <w:rsid w:val="00AD67EA"/>
    <w:rsid w:val="00AE032B"/>
    <w:rsid w:val="00AE061D"/>
    <w:rsid w:val="00AE26A4"/>
    <w:rsid w:val="00AE3D3C"/>
    <w:rsid w:val="00AE4412"/>
    <w:rsid w:val="00AE45A9"/>
    <w:rsid w:val="00AE5EB4"/>
    <w:rsid w:val="00AE6CE3"/>
    <w:rsid w:val="00AE6FCC"/>
    <w:rsid w:val="00AE7DC7"/>
    <w:rsid w:val="00AF051B"/>
    <w:rsid w:val="00AF30D7"/>
    <w:rsid w:val="00AF5DB6"/>
    <w:rsid w:val="00AF7AD1"/>
    <w:rsid w:val="00B00435"/>
    <w:rsid w:val="00B005A8"/>
    <w:rsid w:val="00B00CD7"/>
    <w:rsid w:val="00B02D93"/>
    <w:rsid w:val="00B04376"/>
    <w:rsid w:val="00B0470E"/>
    <w:rsid w:val="00B05669"/>
    <w:rsid w:val="00B0571D"/>
    <w:rsid w:val="00B067CA"/>
    <w:rsid w:val="00B07953"/>
    <w:rsid w:val="00B10341"/>
    <w:rsid w:val="00B10404"/>
    <w:rsid w:val="00B128AC"/>
    <w:rsid w:val="00B152F3"/>
    <w:rsid w:val="00B16738"/>
    <w:rsid w:val="00B168B2"/>
    <w:rsid w:val="00B17141"/>
    <w:rsid w:val="00B21AF3"/>
    <w:rsid w:val="00B22475"/>
    <w:rsid w:val="00B22A2E"/>
    <w:rsid w:val="00B2337A"/>
    <w:rsid w:val="00B24237"/>
    <w:rsid w:val="00B249C1"/>
    <w:rsid w:val="00B24C29"/>
    <w:rsid w:val="00B24DDA"/>
    <w:rsid w:val="00B30F2D"/>
    <w:rsid w:val="00B31575"/>
    <w:rsid w:val="00B31740"/>
    <w:rsid w:val="00B35A16"/>
    <w:rsid w:val="00B37766"/>
    <w:rsid w:val="00B41AA7"/>
    <w:rsid w:val="00B42256"/>
    <w:rsid w:val="00B4451F"/>
    <w:rsid w:val="00B4511E"/>
    <w:rsid w:val="00B47166"/>
    <w:rsid w:val="00B5205E"/>
    <w:rsid w:val="00B525EA"/>
    <w:rsid w:val="00B52622"/>
    <w:rsid w:val="00B528EA"/>
    <w:rsid w:val="00B533F9"/>
    <w:rsid w:val="00B535C2"/>
    <w:rsid w:val="00B57A5D"/>
    <w:rsid w:val="00B60D56"/>
    <w:rsid w:val="00B6450B"/>
    <w:rsid w:val="00B672D5"/>
    <w:rsid w:val="00B70A8D"/>
    <w:rsid w:val="00B70BDB"/>
    <w:rsid w:val="00B71B39"/>
    <w:rsid w:val="00B72212"/>
    <w:rsid w:val="00B739B8"/>
    <w:rsid w:val="00B744D8"/>
    <w:rsid w:val="00B75438"/>
    <w:rsid w:val="00B76F4E"/>
    <w:rsid w:val="00B80989"/>
    <w:rsid w:val="00B81EE4"/>
    <w:rsid w:val="00B8305C"/>
    <w:rsid w:val="00B83FEC"/>
    <w:rsid w:val="00B8547D"/>
    <w:rsid w:val="00B86ED9"/>
    <w:rsid w:val="00B901A4"/>
    <w:rsid w:val="00B90647"/>
    <w:rsid w:val="00B90CF6"/>
    <w:rsid w:val="00B92DB6"/>
    <w:rsid w:val="00B957A8"/>
    <w:rsid w:val="00B96F5F"/>
    <w:rsid w:val="00B97847"/>
    <w:rsid w:val="00BA2F0B"/>
    <w:rsid w:val="00BA4BCA"/>
    <w:rsid w:val="00BA7BBC"/>
    <w:rsid w:val="00BB0604"/>
    <w:rsid w:val="00BB3423"/>
    <w:rsid w:val="00BB36DA"/>
    <w:rsid w:val="00BB42F3"/>
    <w:rsid w:val="00BB5848"/>
    <w:rsid w:val="00BB7ADC"/>
    <w:rsid w:val="00BC0DD0"/>
    <w:rsid w:val="00BC1EBB"/>
    <w:rsid w:val="00BC2943"/>
    <w:rsid w:val="00BC3FCA"/>
    <w:rsid w:val="00BD4B99"/>
    <w:rsid w:val="00BE4057"/>
    <w:rsid w:val="00BE5A6E"/>
    <w:rsid w:val="00BE7BBC"/>
    <w:rsid w:val="00BF12CF"/>
    <w:rsid w:val="00BF2275"/>
    <w:rsid w:val="00BF22DF"/>
    <w:rsid w:val="00BF2A2A"/>
    <w:rsid w:val="00BF4E2E"/>
    <w:rsid w:val="00BF698F"/>
    <w:rsid w:val="00C00550"/>
    <w:rsid w:val="00C01A5B"/>
    <w:rsid w:val="00C022D1"/>
    <w:rsid w:val="00C023CC"/>
    <w:rsid w:val="00C0478B"/>
    <w:rsid w:val="00C103EE"/>
    <w:rsid w:val="00C1123B"/>
    <w:rsid w:val="00C11AB8"/>
    <w:rsid w:val="00C120B2"/>
    <w:rsid w:val="00C142BF"/>
    <w:rsid w:val="00C22531"/>
    <w:rsid w:val="00C22B3C"/>
    <w:rsid w:val="00C237BE"/>
    <w:rsid w:val="00C250D5"/>
    <w:rsid w:val="00C26759"/>
    <w:rsid w:val="00C275B1"/>
    <w:rsid w:val="00C301D2"/>
    <w:rsid w:val="00C31D50"/>
    <w:rsid w:val="00C32732"/>
    <w:rsid w:val="00C32DCE"/>
    <w:rsid w:val="00C35666"/>
    <w:rsid w:val="00C41646"/>
    <w:rsid w:val="00C4257D"/>
    <w:rsid w:val="00C4496D"/>
    <w:rsid w:val="00C47E6B"/>
    <w:rsid w:val="00C50CAB"/>
    <w:rsid w:val="00C50F53"/>
    <w:rsid w:val="00C5151B"/>
    <w:rsid w:val="00C516B5"/>
    <w:rsid w:val="00C51FA4"/>
    <w:rsid w:val="00C54218"/>
    <w:rsid w:val="00C6139C"/>
    <w:rsid w:val="00C62611"/>
    <w:rsid w:val="00C63668"/>
    <w:rsid w:val="00C64795"/>
    <w:rsid w:val="00C66B4A"/>
    <w:rsid w:val="00C66F7D"/>
    <w:rsid w:val="00C67657"/>
    <w:rsid w:val="00C70B36"/>
    <w:rsid w:val="00C710B8"/>
    <w:rsid w:val="00C711A9"/>
    <w:rsid w:val="00C71699"/>
    <w:rsid w:val="00C726BF"/>
    <w:rsid w:val="00C72D39"/>
    <w:rsid w:val="00C74D07"/>
    <w:rsid w:val="00C76ED6"/>
    <w:rsid w:val="00C7778E"/>
    <w:rsid w:val="00C82AFD"/>
    <w:rsid w:val="00C82F39"/>
    <w:rsid w:val="00C8561F"/>
    <w:rsid w:val="00C90006"/>
    <w:rsid w:val="00C92898"/>
    <w:rsid w:val="00C943A6"/>
    <w:rsid w:val="00C94701"/>
    <w:rsid w:val="00C9585F"/>
    <w:rsid w:val="00C9619C"/>
    <w:rsid w:val="00CA0AF6"/>
    <w:rsid w:val="00CA0C1F"/>
    <w:rsid w:val="00CA1E3A"/>
    <w:rsid w:val="00CA2A0B"/>
    <w:rsid w:val="00CA388B"/>
    <w:rsid w:val="00CA4340"/>
    <w:rsid w:val="00CA6444"/>
    <w:rsid w:val="00CA6943"/>
    <w:rsid w:val="00CA6C54"/>
    <w:rsid w:val="00CA796B"/>
    <w:rsid w:val="00CB2556"/>
    <w:rsid w:val="00CB41E1"/>
    <w:rsid w:val="00CB477D"/>
    <w:rsid w:val="00CB6128"/>
    <w:rsid w:val="00CB6B06"/>
    <w:rsid w:val="00CB71FE"/>
    <w:rsid w:val="00CC12DD"/>
    <w:rsid w:val="00CC140C"/>
    <w:rsid w:val="00CC1B52"/>
    <w:rsid w:val="00CC1D13"/>
    <w:rsid w:val="00CC2642"/>
    <w:rsid w:val="00CC2FC0"/>
    <w:rsid w:val="00CC3A3E"/>
    <w:rsid w:val="00CC4CA8"/>
    <w:rsid w:val="00CC4EE8"/>
    <w:rsid w:val="00CC70EE"/>
    <w:rsid w:val="00CD0A76"/>
    <w:rsid w:val="00CD2C07"/>
    <w:rsid w:val="00CD5BD3"/>
    <w:rsid w:val="00CD71CA"/>
    <w:rsid w:val="00CD7282"/>
    <w:rsid w:val="00CE0A27"/>
    <w:rsid w:val="00CE5238"/>
    <w:rsid w:val="00CE68EE"/>
    <w:rsid w:val="00CE6BE1"/>
    <w:rsid w:val="00CE6C65"/>
    <w:rsid w:val="00CE7514"/>
    <w:rsid w:val="00CF0492"/>
    <w:rsid w:val="00CF2942"/>
    <w:rsid w:val="00CF315D"/>
    <w:rsid w:val="00CF36B3"/>
    <w:rsid w:val="00CF79B1"/>
    <w:rsid w:val="00CF7C44"/>
    <w:rsid w:val="00D00A79"/>
    <w:rsid w:val="00D0761B"/>
    <w:rsid w:val="00D07ABF"/>
    <w:rsid w:val="00D103A7"/>
    <w:rsid w:val="00D1228E"/>
    <w:rsid w:val="00D12832"/>
    <w:rsid w:val="00D13642"/>
    <w:rsid w:val="00D16079"/>
    <w:rsid w:val="00D17A5E"/>
    <w:rsid w:val="00D202EA"/>
    <w:rsid w:val="00D239D2"/>
    <w:rsid w:val="00D248DE"/>
    <w:rsid w:val="00D3061C"/>
    <w:rsid w:val="00D31B7E"/>
    <w:rsid w:val="00D32B30"/>
    <w:rsid w:val="00D33A7E"/>
    <w:rsid w:val="00D36204"/>
    <w:rsid w:val="00D42DD2"/>
    <w:rsid w:val="00D454DE"/>
    <w:rsid w:val="00D4744F"/>
    <w:rsid w:val="00D52451"/>
    <w:rsid w:val="00D5348A"/>
    <w:rsid w:val="00D601B4"/>
    <w:rsid w:val="00D604AF"/>
    <w:rsid w:val="00D61A9E"/>
    <w:rsid w:val="00D63897"/>
    <w:rsid w:val="00D65F6C"/>
    <w:rsid w:val="00D6695C"/>
    <w:rsid w:val="00D672A8"/>
    <w:rsid w:val="00D672B3"/>
    <w:rsid w:val="00D72860"/>
    <w:rsid w:val="00D75186"/>
    <w:rsid w:val="00D753CD"/>
    <w:rsid w:val="00D7646C"/>
    <w:rsid w:val="00D76B7D"/>
    <w:rsid w:val="00D77A16"/>
    <w:rsid w:val="00D80389"/>
    <w:rsid w:val="00D829DE"/>
    <w:rsid w:val="00D83F92"/>
    <w:rsid w:val="00D84585"/>
    <w:rsid w:val="00D852F6"/>
    <w:rsid w:val="00D8542D"/>
    <w:rsid w:val="00D86F07"/>
    <w:rsid w:val="00D90B1D"/>
    <w:rsid w:val="00D9152B"/>
    <w:rsid w:val="00D93C05"/>
    <w:rsid w:val="00D947EC"/>
    <w:rsid w:val="00D95087"/>
    <w:rsid w:val="00D9532E"/>
    <w:rsid w:val="00D96B39"/>
    <w:rsid w:val="00D97A53"/>
    <w:rsid w:val="00DA02EE"/>
    <w:rsid w:val="00DA28DF"/>
    <w:rsid w:val="00DA4AD6"/>
    <w:rsid w:val="00DA5EFA"/>
    <w:rsid w:val="00DA613B"/>
    <w:rsid w:val="00DA6BF8"/>
    <w:rsid w:val="00DA7076"/>
    <w:rsid w:val="00DB477F"/>
    <w:rsid w:val="00DB4DAE"/>
    <w:rsid w:val="00DB682E"/>
    <w:rsid w:val="00DB6A6D"/>
    <w:rsid w:val="00DC06E8"/>
    <w:rsid w:val="00DC0D19"/>
    <w:rsid w:val="00DC1646"/>
    <w:rsid w:val="00DC1A6B"/>
    <w:rsid w:val="00DC35F6"/>
    <w:rsid w:val="00DC371F"/>
    <w:rsid w:val="00DC39D0"/>
    <w:rsid w:val="00DC43DE"/>
    <w:rsid w:val="00DC4756"/>
    <w:rsid w:val="00DC492E"/>
    <w:rsid w:val="00DC4E2D"/>
    <w:rsid w:val="00DC4EB4"/>
    <w:rsid w:val="00DC4FCF"/>
    <w:rsid w:val="00DC6A71"/>
    <w:rsid w:val="00DC6C7D"/>
    <w:rsid w:val="00DD2D36"/>
    <w:rsid w:val="00DD2D3F"/>
    <w:rsid w:val="00DD552C"/>
    <w:rsid w:val="00DD684B"/>
    <w:rsid w:val="00DD732F"/>
    <w:rsid w:val="00DD73A6"/>
    <w:rsid w:val="00DD7403"/>
    <w:rsid w:val="00DD7701"/>
    <w:rsid w:val="00DE036E"/>
    <w:rsid w:val="00DE14A5"/>
    <w:rsid w:val="00DE1E8F"/>
    <w:rsid w:val="00DE4EF8"/>
    <w:rsid w:val="00DE4FA7"/>
    <w:rsid w:val="00DE5A30"/>
    <w:rsid w:val="00DE645F"/>
    <w:rsid w:val="00DE6CB0"/>
    <w:rsid w:val="00DE78F5"/>
    <w:rsid w:val="00DF0E87"/>
    <w:rsid w:val="00DF3A2A"/>
    <w:rsid w:val="00E0357D"/>
    <w:rsid w:val="00E0440C"/>
    <w:rsid w:val="00E07209"/>
    <w:rsid w:val="00E101A5"/>
    <w:rsid w:val="00E10CBF"/>
    <w:rsid w:val="00E10ECA"/>
    <w:rsid w:val="00E120F2"/>
    <w:rsid w:val="00E124C9"/>
    <w:rsid w:val="00E1666F"/>
    <w:rsid w:val="00E20E43"/>
    <w:rsid w:val="00E20E87"/>
    <w:rsid w:val="00E232DE"/>
    <w:rsid w:val="00E23727"/>
    <w:rsid w:val="00E237AC"/>
    <w:rsid w:val="00E244D3"/>
    <w:rsid w:val="00E25021"/>
    <w:rsid w:val="00E26A9D"/>
    <w:rsid w:val="00E2792F"/>
    <w:rsid w:val="00E27C23"/>
    <w:rsid w:val="00E3087B"/>
    <w:rsid w:val="00E30B5A"/>
    <w:rsid w:val="00E33354"/>
    <w:rsid w:val="00E3533E"/>
    <w:rsid w:val="00E35344"/>
    <w:rsid w:val="00E36F3F"/>
    <w:rsid w:val="00E37EE7"/>
    <w:rsid w:val="00E40E5D"/>
    <w:rsid w:val="00E4263F"/>
    <w:rsid w:val="00E42DF8"/>
    <w:rsid w:val="00E4448B"/>
    <w:rsid w:val="00E459E9"/>
    <w:rsid w:val="00E46830"/>
    <w:rsid w:val="00E526DD"/>
    <w:rsid w:val="00E546E1"/>
    <w:rsid w:val="00E55777"/>
    <w:rsid w:val="00E577AE"/>
    <w:rsid w:val="00E61516"/>
    <w:rsid w:val="00E64C7F"/>
    <w:rsid w:val="00E70609"/>
    <w:rsid w:val="00E714C8"/>
    <w:rsid w:val="00E7195F"/>
    <w:rsid w:val="00E7333E"/>
    <w:rsid w:val="00E746B4"/>
    <w:rsid w:val="00E74CF8"/>
    <w:rsid w:val="00E74F8B"/>
    <w:rsid w:val="00E75346"/>
    <w:rsid w:val="00E76A2E"/>
    <w:rsid w:val="00E814B2"/>
    <w:rsid w:val="00E83A37"/>
    <w:rsid w:val="00E84923"/>
    <w:rsid w:val="00E8565D"/>
    <w:rsid w:val="00E87933"/>
    <w:rsid w:val="00E90275"/>
    <w:rsid w:val="00E90D5C"/>
    <w:rsid w:val="00E936D5"/>
    <w:rsid w:val="00EA0413"/>
    <w:rsid w:val="00EA1796"/>
    <w:rsid w:val="00EA22C3"/>
    <w:rsid w:val="00EA35CB"/>
    <w:rsid w:val="00EA4FB0"/>
    <w:rsid w:val="00EA6DEA"/>
    <w:rsid w:val="00EA7F82"/>
    <w:rsid w:val="00EB2B75"/>
    <w:rsid w:val="00EB3949"/>
    <w:rsid w:val="00EB41E2"/>
    <w:rsid w:val="00EB484A"/>
    <w:rsid w:val="00EB48C3"/>
    <w:rsid w:val="00EB59D5"/>
    <w:rsid w:val="00EB5D6C"/>
    <w:rsid w:val="00EB6187"/>
    <w:rsid w:val="00EB7775"/>
    <w:rsid w:val="00EC12B7"/>
    <w:rsid w:val="00EC1C70"/>
    <w:rsid w:val="00EC38B2"/>
    <w:rsid w:val="00EC4BB5"/>
    <w:rsid w:val="00EC4EF5"/>
    <w:rsid w:val="00EC61D4"/>
    <w:rsid w:val="00EC79AD"/>
    <w:rsid w:val="00ED07BD"/>
    <w:rsid w:val="00ED1C3E"/>
    <w:rsid w:val="00ED5385"/>
    <w:rsid w:val="00ED560A"/>
    <w:rsid w:val="00ED6779"/>
    <w:rsid w:val="00ED7970"/>
    <w:rsid w:val="00EE08C0"/>
    <w:rsid w:val="00EE1358"/>
    <w:rsid w:val="00EE2BA2"/>
    <w:rsid w:val="00EE4ABC"/>
    <w:rsid w:val="00EE5923"/>
    <w:rsid w:val="00EE617F"/>
    <w:rsid w:val="00EF03F9"/>
    <w:rsid w:val="00EF1601"/>
    <w:rsid w:val="00EF1ED1"/>
    <w:rsid w:val="00EF2901"/>
    <w:rsid w:val="00EF3EFC"/>
    <w:rsid w:val="00EF4064"/>
    <w:rsid w:val="00EF409D"/>
    <w:rsid w:val="00EF466D"/>
    <w:rsid w:val="00EF4CF1"/>
    <w:rsid w:val="00EF5C79"/>
    <w:rsid w:val="00EF70C8"/>
    <w:rsid w:val="00F024ED"/>
    <w:rsid w:val="00F02FEF"/>
    <w:rsid w:val="00F03386"/>
    <w:rsid w:val="00F03663"/>
    <w:rsid w:val="00F06644"/>
    <w:rsid w:val="00F07085"/>
    <w:rsid w:val="00F10DDC"/>
    <w:rsid w:val="00F12A5E"/>
    <w:rsid w:val="00F12CD7"/>
    <w:rsid w:val="00F2338B"/>
    <w:rsid w:val="00F237A9"/>
    <w:rsid w:val="00F240BB"/>
    <w:rsid w:val="00F247ED"/>
    <w:rsid w:val="00F24A97"/>
    <w:rsid w:val="00F2505A"/>
    <w:rsid w:val="00F255C2"/>
    <w:rsid w:val="00F30794"/>
    <w:rsid w:val="00F30DC2"/>
    <w:rsid w:val="00F32F93"/>
    <w:rsid w:val="00F35A1A"/>
    <w:rsid w:val="00F35AFE"/>
    <w:rsid w:val="00F369DF"/>
    <w:rsid w:val="00F404F0"/>
    <w:rsid w:val="00F40754"/>
    <w:rsid w:val="00F408B4"/>
    <w:rsid w:val="00F4338C"/>
    <w:rsid w:val="00F43A92"/>
    <w:rsid w:val="00F447FD"/>
    <w:rsid w:val="00F454EE"/>
    <w:rsid w:val="00F47C91"/>
    <w:rsid w:val="00F5028D"/>
    <w:rsid w:val="00F50977"/>
    <w:rsid w:val="00F50D37"/>
    <w:rsid w:val="00F53561"/>
    <w:rsid w:val="00F537C6"/>
    <w:rsid w:val="00F53880"/>
    <w:rsid w:val="00F55010"/>
    <w:rsid w:val="00F5674F"/>
    <w:rsid w:val="00F571B9"/>
    <w:rsid w:val="00F57296"/>
    <w:rsid w:val="00F57FED"/>
    <w:rsid w:val="00F612E9"/>
    <w:rsid w:val="00F63BCC"/>
    <w:rsid w:val="00F64414"/>
    <w:rsid w:val="00F6491A"/>
    <w:rsid w:val="00F65697"/>
    <w:rsid w:val="00F65741"/>
    <w:rsid w:val="00F659B4"/>
    <w:rsid w:val="00F659E3"/>
    <w:rsid w:val="00F67AC1"/>
    <w:rsid w:val="00F7184C"/>
    <w:rsid w:val="00F72510"/>
    <w:rsid w:val="00F72B7C"/>
    <w:rsid w:val="00F72E70"/>
    <w:rsid w:val="00F7506B"/>
    <w:rsid w:val="00F77448"/>
    <w:rsid w:val="00F8019B"/>
    <w:rsid w:val="00F821E3"/>
    <w:rsid w:val="00F83697"/>
    <w:rsid w:val="00F8474A"/>
    <w:rsid w:val="00F84E59"/>
    <w:rsid w:val="00F86055"/>
    <w:rsid w:val="00F9157E"/>
    <w:rsid w:val="00F91E4D"/>
    <w:rsid w:val="00F95A3E"/>
    <w:rsid w:val="00F95C5F"/>
    <w:rsid w:val="00F97192"/>
    <w:rsid w:val="00FA1C2A"/>
    <w:rsid w:val="00FA3F5C"/>
    <w:rsid w:val="00FA5C8A"/>
    <w:rsid w:val="00FA5DA6"/>
    <w:rsid w:val="00FA5E8F"/>
    <w:rsid w:val="00FA5FB8"/>
    <w:rsid w:val="00FB1718"/>
    <w:rsid w:val="00FB3929"/>
    <w:rsid w:val="00FB3E2F"/>
    <w:rsid w:val="00FB421C"/>
    <w:rsid w:val="00FB5B92"/>
    <w:rsid w:val="00FB65CA"/>
    <w:rsid w:val="00FC0586"/>
    <w:rsid w:val="00FC0B69"/>
    <w:rsid w:val="00FC23DB"/>
    <w:rsid w:val="00FC3306"/>
    <w:rsid w:val="00FC5552"/>
    <w:rsid w:val="00FD1C50"/>
    <w:rsid w:val="00FD20CD"/>
    <w:rsid w:val="00FD2A5B"/>
    <w:rsid w:val="00FD3DC5"/>
    <w:rsid w:val="00FD46FF"/>
    <w:rsid w:val="00FD5195"/>
    <w:rsid w:val="00FD7F71"/>
    <w:rsid w:val="00FE0194"/>
    <w:rsid w:val="00FE30FC"/>
    <w:rsid w:val="00FE3FA5"/>
    <w:rsid w:val="00FE4D56"/>
    <w:rsid w:val="00FE5C7A"/>
    <w:rsid w:val="00FF197A"/>
    <w:rsid w:val="00FF1CF1"/>
    <w:rsid w:val="00FF23EA"/>
    <w:rsid w:val="00FF348A"/>
    <w:rsid w:val="00FF459E"/>
    <w:rsid w:val="00FF4852"/>
    <w:rsid w:val="00FF4D4E"/>
    <w:rsid w:val="00FF675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3BE7B7A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uiPriority="20" w:qFormat="1"/>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20B2"/>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3">
    <w:name w:val="heading 3"/>
    <w:basedOn w:val="Navaden"/>
    <w:next w:val="Navaden"/>
    <w:link w:val="Naslov3Znak"/>
    <w:semiHidden/>
    <w:unhideWhenUsed/>
    <w:qFormat/>
    <w:rsid w:val="00083329"/>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rsid w:val="003077C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val="sl-SI" w:eastAsia="sl-SI"/>
    </w:rPr>
  </w:style>
  <w:style w:type="paragraph" w:styleId="Naslov5">
    <w:name w:val="heading 5"/>
    <w:basedOn w:val="Navaden"/>
    <w:next w:val="Navaden"/>
    <w:link w:val="Naslov5Znak"/>
    <w:semiHidden/>
    <w:unhideWhenUsed/>
    <w:qFormat/>
    <w:rsid w:val="00D31B7E"/>
    <w:pPr>
      <w:keepNext/>
      <w:keepLines/>
      <w:spacing w:before="4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semiHidden/>
    <w:unhideWhenUsed/>
    <w:qFormat/>
    <w:rsid w:val="00D31B7E"/>
    <w:pPr>
      <w:keepNext/>
      <w:keepLines/>
      <w:spacing w:before="40"/>
      <w:outlineLvl w:val="5"/>
    </w:pPr>
    <w:rPr>
      <w:rFonts w:asciiTheme="majorHAnsi" w:eastAsiaTheme="majorEastAsia" w:hAnsiTheme="majorHAnsi" w:cstheme="majorBidi"/>
      <w:color w:val="1F3763"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semiHidden/>
    <w:unhideWhenUsed/>
    <w:rsid w:val="00B152F3"/>
    <w:pPr>
      <w:spacing w:line="240" w:lineRule="auto"/>
    </w:pPr>
    <w:rPr>
      <w:rFonts w:ascii="Segoe UI" w:hAnsi="Segoe UI" w:cs="Segoe UI"/>
      <w:sz w:val="18"/>
      <w:szCs w:val="18"/>
    </w:rPr>
  </w:style>
  <w:style w:type="character" w:customStyle="1" w:styleId="BesedilooblakaZnak">
    <w:name w:val="Besedilo oblačka Znak"/>
    <w:link w:val="Besedilooblaka"/>
    <w:semiHidden/>
    <w:rsid w:val="00B152F3"/>
    <w:rPr>
      <w:rFonts w:ascii="Segoe UI" w:hAnsi="Segoe UI" w:cs="Segoe UI"/>
      <w:sz w:val="18"/>
      <w:szCs w:val="18"/>
      <w:lang w:val="en-US" w:eastAsia="en-US"/>
    </w:rPr>
  </w:style>
  <w:style w:type="paragraph" w:styleId="Odstavekseznama">
    <w:name w:val="List Paragraph"/>
    <w:basedOn w:val="Navaden"/>
    <w:link w:val="OdstavekseznamaZnak"/>
    <w:uiPriority w:val="34"/>
    <w:qFormat/>
    <w:rsid w:val="00B152F3"/>
    <w:pPr>
      <w:ind w:left="720"/>
      <w:contextualSpacing/>
    </w:pPr>
  </w:style>
  <w:style w:type="numbering" w:customStyle="1" w:styleId="Brezseznama1">
    <w:name w:val="Brez seznama1"/>
    <w:next w:val="Brezseznama"/>
    <w:uiPriority w:val="99"/>
    <w:semiHidden/>
    <w:unhideWhenUsed/>
    <w:rsid w:val="00A23D5D"/>
  </w:style>
  <w:style w:type="paragraph" w:styleId="Sprotnaopomba-besedilo">
    <w:name w:val="footnote text"/>
    <w:basedOn w:val="Navaden"/>
    <w:link w:val="Sprotnaopomba-besediloZnak"/>
    <w:uiPriority w:val="99"/>
    <w:rsid w:val="00A23D5D"/>
    <w:pPr>
      <w:spacing w:line="240" w:lineRule="auto"/>
    </w:pPr>
    <w:rPr>
      <w:szCs w:val="20"/>
    </w:rPr>
  </w:style>
  <w:style w:type="character" w:customStyle="1" w:styleId="Sprotnaopomba-besediloZnak">
    <w:name w:val="Sprotna opomba - besedilo Znak"/>
    <w:link w:val="Sprotnaopomba-besedilo"/>
    <w:uiPriority w:val="99"/>
    <w:rsid w:val="00A23D5D"/>
    <w:rPr>
      <w:rFonts w:ascii="Arial" w:hAnsi="Arial"/>
      <w:lang w:val="en-US" w:eastAsia="en-US"/>
    </w:rPr>
  </w:style>
  <w:style w:type="character" w:styleId="Sprotnaopomba-sklic">
    <w:name w:val="footnote reference"/>
    <w:uiPriority w:val="99"/>
    <w:rsid w:val="00A23D5D"/>
    <w:rPr>
      <w:vertAlign w:val="superscript"/>
    </w:rPr>
  </w:style>
  <w:style w:type="paragraph" w:customStyle="1" w:styleId="Natevanje">
    <w:name w:val="Naštevanje"/>
    <w:basedOn w:val="Odstavekseznama"/>
    <w:link w:val="NatevanjeZnak"/>
    <w:qFormat/>
    <w:rsid w:val="00A23D5D"/>
    <w:pPr>
      <w:numPr>
        <w:numId w:val="8"/>
      </w:numPr>
      <w:spacing w:after="120" w:line="240" w:lineRule="auto"/>
      <w:contextualSpacing w:val="0"/>
      <w:jc w:val="both"/>
    </w:pPr>
    <w:rPr>
      <w:rFonts w:cs="Arial"/>
      <w:szCs w:val="20"/>
      <w:lang w:val="sl-SI"/>
    </w:rPr>
  </w:style>
  <w:style w:type="paragraph" w:customStyle="1" w:styleId="Odstavek">
    <w:name w:val="Odstavek"/>
    <w:basedOn w:val="Navaden"/>
    <w:link w:val="OdstavekZnak"/>
    <w:qFormat/>
    <w:rsid w:val="00A23D5D"/>
    <w:pPr>
      <w:spacing w:after="120" w:line="280" w:lineRule="exact"/>
      <w:jc w:val="both"/>
    </w:pPr>
    <w:rPr>
      <w:rFonts w:cs="Arial"/>
      <w:szCs w:val="20"/>
      <w:lang w:val="sl-SI"/>
    </w:rPr>
  </w:style>
  <w:style w:type="character" w:customStyle="1" w:styleId="NatevanjeZnak">
    <w:name w:val="Naštevanje Znak"/>
    <w:link w:val="Natevanje"/>
    <w:rsid w:val="00A23D5D"/>
    <w:rPr>
      <w:rFonts w:ascii="Arial" w:hAnsi="Arial" w:cs="Arial"/>
      <w:lang w:eastAsia="en-US"/>
    </w:rPr>
  </w:style>
  <w:style w:type="character" w:customStyle="1" w:styleId="OdstavekZnak">
    <w:name w:val="Odstavek Znak"/>
    <w:link w:val="Odstavek"/>
    <w:rsid w:val="00A23D5D"/>
    <w:rPr>
      <w:rFonts w:ascii="Arial" w:hAnsi="Arial" w:cs="Arial"/>
      <w:lang w:eastAsia="en-US"/>
    </w:rPr>
  </w:style>
  <w:style w:type="paragraph" w:customStyle="1" w:styleId="len">
    <w:name w:val="len"/>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A23D5D"/>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A23D5D"/>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aliases w:val="Komentar - sklic"/>
    <w:uiPriority w:val="99"/>
    <w:rsid w:val="00A23D5D"/>
    <w:rPr>
      <w:sz w:val="16"/>
      <w:szCs w:val="16"/>
    </w:rPr>
  </w:style>
  <w:style w:type="paragraph" w:styleId="Pripombabesedilo">
    <w:name w:val="annotation text"/>
    <w:aliases w:val="Komentar - besedilo"/>
    <w:basedOn w:val="Navaden"/>
    <w:link w:val="PripombabesediloZnak"/>
    <w:uiPriority w:val="99"/>
    <w:rsid w:val="00A23D5D"/>
    <w:pPr>
      <w:spacing w:after="160" w:line="259" w:lineRule="auto"/>
    </w:pPr>
    <w:rPr>
      <w:rFonts w:ascii="Calibri" w:eastAsia="Calibri" w:hAnsi="Calibri"/>
      <w:szCs w:val="20"/>
      <w:lang w:val="sl-SI"/>
    </w:rPr>
  </w:style>
  <w:style w:type="character" w:customStyle="1" w:styleId="PripombabesediloZnak">
    <w:name w:val="Pripomba – besedilo Znak"/>
    <w:aliases w:val="Komentar - besedilo Znak"/>
    <w:link w:val="Pripombabesedilo"/>
    <w:uiPriority w:val="99"/>
    <w:rsid w:val="00A23D5D"/>
    <w:rPr>
      <w:rFonts w:ascii="Calibri" w:eastAsia="Calibri" w:hAnsi="Calibri"/>
      <w:lang w:eastAsia="en-US"/>
    </w:rPr>
  </w:style>
  <w:style w:type="paragraph" w:styleId="Zadevapripombe">
    <w:name w:val="annotation subject"/>
    <w:basedOn w:val="Pripombabesedilo"/>
    <w:next w:val="Pripombabesedilo"/>
    <w:link w:val="ZadevapripombeZnak"/>
    <w:rsid w:val="00A23D5D"/>
    <w:rPr>
      <w:b/>
      <w:bCs/>
    </w:rPr>
  </w:style>
  <w:style w:type="character" w:customStyle="1" w:styleId="ZadevapripombeZnak">
    <w:name w:val="Zadeva pripombe Znak"/>
    <w:link w:val="Zadevapripombe"/>
    <w:rsid w:val="00A23D5D"/>
    <w:rPr>
      <w:rFonts w:ascii="Calibri" w:eastAsia="Calibri" w:hAnsi="Calibri"/>
      <w:b/>
      <w:bCs/>
      <w:lang w:eastAsia="en-US"/>
    </w:rPr>
  </w:style>
  <w:style w:type="character" w:customStyle="1" w:styleId="Nerazreenaomemba1">
    <w:name w:val="Nerazrešena omemba1"/>
    <w:basedOn w:val="Privzetapisavaodstavka"/>
    <w:uiPriority w:val="99"/>
    <w:semiHidden/>
    <w:unhideWhenUsed/>
    <w:rsid w:val="00AE6CE3"/>
    <w:rPr>
      <w:color w:val="605E5C"/>
      <w:shd w:val="clear" w:color="auto" w:fill="E1DFDD"/>
    </w:rPr>
  </w:style>
  <w:style w:type="paragraph" w:customStyle="1" w:styleId="Naslovpredpisa">
    <w:name w:val="Naslov_predpisa"/>
    <w:basedOn w:val="Navaden"/>
    <w:link w:val="NaslovpredpisaZnak"/>
    <w:qFormat/>
    <w:rsid w:val="00486E02"/>
    <w:pPr>
      <w:suppressAutoHyphens/>
      <w:overflowPunct w:val="0"/>
      <w:autoSpaceDE w:val="0"/>
      <w:autoSpaceDN w:val="0"/>
      <w:adjustRightInd w:val="0"/>
      <w:spacing w:before="120" w:after="160" w:line="200" w:lineRule="exact"/>
      <w:jc w:val="center"/>
      <w:textAlignment w:val="baseline"/>
    </w:pPr>
    <w:rPr>
      <w:b/>
      <w:sz w:val="22"/>
      <w:szCs w:val="22"/>
      <w:lang w:val="sl-SI"/>
    </w:rPr>
  </w:style>
  <w:style w:type="character" w:customStyle="1" w:styleId="NaslovpredpisaZnak">
    <w:name w:val="Naslov_predpisa Znak"/>
    <w:link w:val="Naslovpredpisa"/>
    <w:rsid w:val="00486E02"/>
    <w:rPr>
      <w:rFonts w:ascii="Arial" w:hAnsi="Arial"/>
      <w:b/>
      <w:sz w:val="22"/>
      <w:szCs w:val="22"/>
      <w:lang w:eastAsia="en-US"/>
    </w:rPr>
  </w:style>
  <w:style w:type="paragraph" w:customStyle="1" w:styleId="tevilnatoka">
    <w:name w:val="Številčna točka"/>
    <w:basedOn w:val="Navaden"/>
    <w:link w:val="tevilnatokaZnak"/>
    <w:qFormat/>
    <w:rsid w:val="00486E02"/>
    <w:pPr>
      <w:numPr>
        <w:numId w:val="9"/>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486E02"/>
    <w:rPr>
      <w:rFonts w:ascii="Arial" w:hAnsi="Arial" w:cs="Arial"/>
      <w:sz w:val="22"/>
      <w:szCs w:val="22"/>
    </w:rPr>
  </w:style>
  <w:style w:type="paragraph" w:customStyle="1" w:styleId="lennaslov0">
    <w:name w:val="Člen_naslov"/>
    <w:basedOn w:val="Navaden"/>
    <w:qFormat/>
    <w:rsid w:val="00486E02"/>
    <w:pPr>
      <w:suppressAutoHyphens/>
      <w:overflowPunct w:val="0"/>
      <w:autoSpaceDE w:val="0"/>
      <w:autoSpaceDN w:val="0"/>
      <w:adjustRightInd w:val="0"/>
      <w:spacing w:line="240" w:lineRule="auto"/>
      <w:jc w:val="center"/>
      <w:textAlignment w:val="baseline"/>
    </w:pPr>
    <w:rPr>
      <w:b/>
      <w:sz w:val="22"/>
      <w:szCs w:val="22"/>
      <w:lang w:val="sl-SI"/>
    </w:rPr>
  </w:style>
  <w:style w:type="paragraph" w:customStyle="1" w:styleId="lennovele">
    <w:name w:val="Člen_novele"/>
    <w:basedOn w:val="Navaden"/>
    <w:link w:val="lennoveleZnak"/>
    <w:qFormat/>
    <w:rsid w:val="00486E02"/>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lennoveleZnak">
    <w:name w:val="Člen_novele Znak"/>
    <w:basedOn w:val="Privzetapisavaodstavka"/>
    <w:link w:val="lennovele"/>
    <w:rsid w:val="00486E02"/>
    <w:rPr>
      <w:rFonts w:ascii="Arial" w:hAnsi="Arial" w:cs="Arial"/>
      <w:sz w:val="22"/>
      <w:szCs w:val="22"/>
    </w:rPr>
  </w:style>
  <w:style w:type="paragraph" w:styleId="Revizija">
    <w:name w:val="Revision"/>
    <w:hidden/>
    <w:uiPriority w:val="99"/>
    <w:semiHidden/>
    <w:rsid w:val="00235E9F"/>
    <w:rPr>
      <w:rFonts w:ascii="Arial" w:hAnsi="Arial"/>
      <w:szCs w:val="24"/>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57346"/>
    <w:pPr>
      <w:spacing w:after="160" w:line="240" w:lineRule="exact"/>
    </w:pPr>
    <w:rPr>
      <w:rFonts w:ascii="Tahoma" w:hAnsi="Tahoma"/>
      <w:szCs w:val="20"/>
      <w:lang w:val="sl-SI"/>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173EE5"/>
    <w:pPr>
      <w:spacing w:after="160" w:line="240" w:lineRule="exact"/>
    </w:pPr>
    <w:rPr>
      <w:rFonts w:ascii="Tahoma" w:hAnsi="Tahoma"/>
      <w:szCs w:val="20"/>
      <w:lang w:val="sl-SI"/>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AA442F"/>
    <w:pPr>
      <w:spacing w:after="160" w:line="240" w:lineRule="exact"/>
    </w:pPr>
    <w:rPr>
      <w:rFonts w:ascii="Tahoma" w:hAnsi="Tahoma"/>
      <w:szCs w:val="20"/>
      <w:lang w:val="sl-SI"/>
    </w:rPr>
  </w:style>
  <w:style w:type="character" w:customStyle="1" w:styleId="rkovnatokazaodstavkomZnak">
    <w:name w:val="Črkovna točka_za odstavkom Znak"/>
    <w:link w:val="rkovnatokazaodstavkom"/>
    <w:rsid w:val="00B249C1"/>
    <w:rPr>
      <w:rFonts w:ascii="Arial" w:hAnsi="Arial"/>
    </w:rPr>
  </w:style>
  <w:style w:type="paragraph" w:customStyle="1" w:styleId="rkovnatokazaodstavkom">
    <w:name w:val="Črkovna točka_za odstavkom"/>
    <w:basedOn w:val="Navaden"/>
    <w:link w:val="rkovnatokazaodstavkomZnak"/>
    <w:qFormat/>
    <w:rsid w:val="00B249C1"/>
    <w:pPr>
      <w:numPr>
        <w:numId w:val="12"/>
      </w:numPr>
      <w:overflowPunct w:val="0"/>
      <w:autoSpaceDE w:val="0"/>
      <w:autoSpaceDN w:val="0"/>
      <w:adjustRightInd w:val="0"/>
      <w:spacing w:line="200" w:lineRule="exact"/>
      <w:jc w:val="both"/>
      <w:textAlignment w:val="baseline"/>
    </w:pPr>
    <w:rPr>
      <w:szCs w:val="20"/>
      <w:lang w:val="sl-SI" w:eastAsia="sl-SI"/>
    </w:rPr>
  </w:style>
  <w:style w:type="character" w:customStyle="1" w:styleId="OdstavekseznamaZnak">
    <w:name w:val="Odstavek seznama Znak"/>
    <w:basedOn w:val="Privzetapisavaodstavka"/>
    <w:link w:val="Odstavekseznama"/>
    <w:uiPriority w:val="34"/>
    <w:rsid w:val="00B249C1"/>
    <w:rPr>
      <w:rFonts w:ascii="Arial" w:hAnsi="Arial"/>
      <w:szCs w:val="24"/>
      <w:lang w:val="en-US" w:eastAsia="en-US"/>
    </w:rPr>
  </w:style>
  <w:style w:type="paragraph" w:customStyle="1" w:styleId="OdstavektevilkaZIV">
    <w:name w:val="OdstavekŠtevilkaZIV"/>
    <w:basedOn w:val="Navaden"/>
    <w:link w:val="OdstavektevilkaZIVZnak"/>
    <w:qFormat/>
    <w:rsid w:val="00B249C1"/>
    <w:pPr>
      <w:widowControl w:val="0"/>
      <w:numPr>
        <w:numId w:val="13"/>
      </w:numPr>
      <w:autoSpaceDE w:val="0"/>
      <w:autoSpaceDN w:val="0"/>
      <w:adjustRightInd w:val="0"/>
      <w:spacing w:after="120" w:line="280" w:lineRule="exact"/>
      <w:jc w:val="both"/>
    </w:pPr>
    <w:rPr>
      <w:rFonts w:cs="Arial"/>
      <w:szCs w:val="20"/>
      <w:lang w:val="sl-SI" w:eastAsia="cs-CZ"/>
    </w:rPr>
  </w:style>
  <w:style w:type="character" w:customStyle="1" w:styleId="OdstavektevilkaZIVZnak">
    <w:name w:val="OdstavekŠtevilkaZIV Znak"/>
    <w:basedOn w:val="Privzetapisavaodstavka"/>
    <w:link w:val="OdstavektevilkaZIV"/>
    <w:rsid w:val="00B249C1"/>
    <w:rPr>
      <w:rFonts w:ascii="Arial" w:hAnsi="Arial" w:cs="Arial"/>
      <w:lang w:eastAsia="cs-CZ"/>
    </w:rPr>
  </w:style>
  <w:style w:type="paragraph" w:customStyle="1" w:styleId="Alineazaodstavkom">
    <w:name w:val="Alinea za odstavkom"/>
    <w:basedOn w:val="Navaden"/>
    <w:link w:val="AlineazaodstavkomZnak"/>
    <w:qFormat/>
    <w:rsid w:val="00C0478B"/>
    <w:pPr>
      <w:numPr>
        <w:numId w:val="14"/>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0478B"/>
    <w:rPr>
      <w:rFonts w:ascii="Arial" w:hAnsi="Arial" w:cs="Arial"/>
      <w:sz w:val="22"/>
      <w:szCs w:val="22"/>
    </w:rPr>
  </w:style>
  <w:style w:type="paragraph" w:customStyle="1" w:styleId="Poglavje">
    <w:name w:val="Poglavje"/>
    <w:basedOn w:val="Navaden"/>
    <w:link w:val="PoglavjeZnak"/>
    <w:qFormat/>
    <w:rsid w:val="0066177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character" w:customStyle="1" w:styleId="PoglavjeZnak">
    <w:name w:val="Poglavje Znak"/>
    <w:link w:val="Poglavje"/>
    <w:rsid w:val="00661777"/>
    <w:rPr>
      <w:rFonts w:ascii="Arial" w:hAnsi="Arial" w:cs="Arial"/>
      <w:b/>
      <w:sz w:val="22"/>
      <w:szCs w:val="22"/>
    </w:rPr>
  </w:style>
  <w:style w:type="paragraph" w:customStyle="1" w:styleId="NIS2len">
    <w:name w:val="NIS2 člen"/>
    <w:basedOn w:val="Navaden"/>
    <w:link w:val="NIS2lenZnak"/>
    <w:qFormat/>
    <w:rsid w:val="001723C4"/>
    <w:pPr>
      <w:numPr>
        <w:numId w:val="20"/>
      </w:num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IS2lenZnak">
    <w:name w:val="NIS2 člen Znak"/>
    <w:basedOn w:val="Privzetapisavaodstavka"/>
    <w:link w:val="NIS2len"/>
    <w:rsid w:val="001723C4"/>
    <w:rPr>
      <w:rFonts w:ascii="Arial" w:hAnsi="Arial" w:cs="Arial"/>
      <w:b/>
      <w:sz w:val="22"/>
      <w:szCs w:val="22"/>
    </w:rPr>
  </w:style>
  <w:style w:type="paragraph" w:customStyle="1" w:styleId="NIS2naslovpoglavja">
    <w:name w:val="NIS2 naslov poglavja"/>
    <w:basedOn w:val="Poglavje"/>
    <w:link w:val="NIS2naslovpoglavjaZnak"/>
    <w:qFormat/>
    <w:rsid w:val="001723C4"/>
    <w:pPr>
      <w:numPr>
        <w:numId w:val="21"/>
      </w:numPr>
      <w:spacing w:before="0" w:after="0" w:line="260" w:lineRule="atLeast"/>
      <w:outlineLvl w:val="9"/>
    </w:pPr>
    <w:rPr>
      <w:bCs/>
    </w:rPr>
  </w:style>
  <w:style w:type="character" w:customStyle="1" w:styleId="NIS2naslovpoglavjaZnak">
    <w:name w:val="NIS2 naslov poglavja Znak"/>
    <w:link w:val="NIS2naslovpoglavja"/>
    <w:rsid w:val="001723C4"/>
    <w:rPr>
      <w:rFonts w:ascii="Arial" w:hAnsi="Arial" w:cs="Arial"/>
      <w:b/>
      <w:bCs/>
      <w:sz w:val="22"/>
      <w:szCs w:val="22"/>
    </w:rPr>
  </w:style>
  <w:style w:type="paragraph" w:customStyle="1" w:styleId="pf0">
    <w:name w:val="pf0"/>
    <w:basedOn w:val="Navaden"/>
    <w:rsid w:val="00747711"/>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747711"/>
    <w:rPr>
      <w:rFonts w:ascii="Segoe UI" w:hAnsi="Segoe UI" w:cs="Segoe UI" w:hint="default"/>
      <w:sz w:val="18"/>
      <w:szCs w:val="18"/>
    </w:rPr>
  </w:style>
  <w:style w:type="character" w:customStyle="1" w:styleId="Nerazreenaomemba2">
    <w:name w:val="Nerazrešena omemba2"/>
    <w:basedOn w:val="Privzetapisavaodstavka"/>
    <w:uiPriority w:val="99"/>
    <w:semiHidden/>
    <w:unhideWhenUsed/>
    <w:rsid w:val="00EC61D4"/>
    <w:rPr>
      <w:color w:val="605E5C"/>
      <w:shd w:val="clear" w:color="auto" w:fill="E1DFDD"/>
    </w:rPr>
  </w:style>
  <w:style w:type="character" w:styleId="SledenaHiperpovezava">
    <w:name w:val="FollowedHyperlink"/>
    <w:basedOn w:val="Privzetapisavaodstavka"/>
    <w:rsid w:val="00F53561"/>
    <w:rPr>
      <w:color w:val="954F72" w:themeColor="followedHyperlink"/>
      <w:u w:val="single"/>
    </w:rPr>
  </w:style>
  <w:style w:type="character" w:customStyle="1" w:styleId="Naslov3Znak">
    <w:name w:val="Naslov 3 Znak"/>
    <w:basedOn w:val="Privzetapisavaodstavka"/>
    <w:link w:val="Naslov3"/>
    <w:semiHidden/>
    <w:rsid w:val="00083329"/>
    <w:rPr>
      <w:rFonts w:asciiTheme="majorHAnsi" w:eastAsiaTheme="majorEastAsia" w:hAnsiTheme="majorHAnsi" w:cstheme="majorBidi"/>
      <w:color w:val="1F3763" w:themeColor="accent1" w:themeShade="7F"/>
      <w:sz w:val="24"/>
      <w:szCs w:val="24"/>
      <w:lang w:val="en-US" w:eastAsia="en-US"/>
    </w:rPr>
  </w:style>
  <w:style w:type="paragraph" w:styleId="Navadensplet">
    <w:name w:val="Normal (Web)"/>
    <w:basedOn w:val="Navaden"/>
    <w:uiPriority w:val="99"/>
    <w:unhideWhenUsed/>
    <w:rsid w:val="00083329"/>
    <w:pPr>
      <w:spacing w:before="100" w:beforeAutospacing="1" w:after="100" w:afterAutospacing="1" w:line="240" w:lineRule="auto"/>
    </w:pPr>
    <w:rPr>
      <w:rFonts w:ascii="Times New Roman" w:hAnsi="Times New Roman"/>
      <w:sz w:val="24"/>
      <w:lang w:val="sl-SI" w:eastAsia="sl-SI"/>
    </w:rPr>
  </w:style>
  <w:style w:type="character" w:customStyle="1" w:styleId="NogaZnak">
    <w:name w:val="Noga Znak"/>
    <w:basedOn w:val="Privzetapisavaodstavka"/>
    <w:link w:val="Noga"/>
    <w:uiPriority w:val="99"/>
    <w:rsid w:val="00594E31"/>
    <w:rPr>
      <w:rFonts w:ascii="Arial" w:hAnsi="Arial"/>
      <w:szCs w:val="24"/>
      <w:lang w:val="en-US" w:eastAsia="en-US"/>
    </w:rPr>
  </w:style>
  <w:style w:type="paragraph" w:customStyle="1" w:styleId="textJustify">
    <w:name w:val="textJustify"/>
    <w:basedOn w:val="Navaden"/>
    <w:rsid w:val="003B25C9"/>
    <w:pPr>
      <w:spacing w:line="240" w:lineRule="auto"/>
      <w:jc w:val="both"/>
    </w:pPr>
    <w:rPr>
      <w:rFonts w:ascii="Times New Roman" w:hAnsi="Times New Roman"/>
      <w:sz w:val="24"/>
    </w:rPr>
  </w:style>
  <w:style w:type="paragraph" w:customStyle="1" w:styleId="zamik">
    <w:name w:val="zamik"/>
    <w:basedOn w:val="Navaden"/>
    <w:rsid w:val="003B25C9"/>
    <w:pPr>
      <w:spacing w:line="240" w:lineRule="auto"/>
      <w:ind w:firstLine="1021"/>
    </w:pPr>
    <w:rPr>
      <w:rFonts w:ascii="Times New Roman" w:hAnsi="Times New Roman"/>
      <w:sz w:val="24"/>
    </w:rPr>
  </w:style>
  <w:style w:type="paragraph" w:customStyle="1" w:styleId="alineazaodstavkom1">
    <w:name w:val="alinea_za_odstavkom"/>
    <w:basedOn w:val="Navaden"/>
    <w:rsid w:val="003B25C9"/>
    <w:pPr>
      <w:spacing w:line="240" w:lineRule="auto"/>
      <w:ind w:hanging="425"/>
      <w:jc w:val="both"/>
    </w:pPr>
    <w:rPr>
      <w:rFonts w:ascii="Times New Roman" w:hAnsi="Times New Roman"/>
      <w:sz w:val="24"/>
    </w:rPr>
  </w:style>
  <w:style w:type="paragraph" w:customStyle="1" w:styleId="center">
    <w:name w:val="center"/>
    <w:basedOn w:val="Navaden"/>
    <w:rsid w:val="003B25C9"/>
    <w:pPr>
      <w:spacing w:line="240" w:lineRule="auto"/>
      <w:jc w:val="center"/>
    </w:pPr>
    <w:rPr>
      <w:rFonts w:ascii="Times New Roman" w:hAnsi="Times New Roman"/>
      <w:sz w:val="24"/>
    </w:rPr>
  </w:style>
  <w:style w:type="character" w:customStyle="1" w:styleId="Naslov4Znak">
    <w:name w:val="Naslov 4 Znak"/>
    <w:aliases w:val="Grafika Znak"/>
    <w:basedOn w:val="Privzetapisavaodstavka"/>
    <w:link w:val="Naslov4"/>
    <w:rsid w:val="003077CA"/>
    <w:rPr>
      <w:rFonts w:ascii="Arial" w:hAnsi="Arial" w:cs="Arial"/>
      <w:bCs/>
      <w:color w:val="000000"/>
      <w:sz w:val="22"/>
      <w:szCs w:val="27"/>
    </w:rPr>
  </w:style>
  <w:style w:type="numbering" w:customStyle="1" w:styleId="Brezseznama2">
    <w:name w:val="Brez seznama2"/>
    <w:next w:val="Brezseznama"/>
    <w:uiPriority w:val="99"/>
    <w:semiHidden/>
    <w:unhideWhenUsed/>
    <w:rsid w:val="003077CA"/>
  </w:style>
  <w:style w:type="paragraph" w:customStyle="1" w:styleId="Alinejazarkovnotoko">
    <w:name w:val="Alineja za črkovno točko"/>
    <w:basedOn w:val="Alineazatevilnotoko"/>
    <w:link w:val="AlinejazarkovnotokoZnak"/>
    <w:qFormat/>
    <w:rsid w:val="003077CA"/>
  </w:style>
  <w:style w:type="character" w:customStyle="1" w:styleId="GlavaZnak">
    <w:name w:val="Glava Znak"/>
    <w:link w:val="Glava"/>
    <w:rsid w:val="003077CA"/>
    <w:rPr>
      <w:rFonts w:ascii="Arial" w:hAnsi="Arial"/>
      <w:szCs w:val="24"/>
      <w:lang w:val="en-US" w:eastAsia="en-US"/>
    </w:rPr>
  </w:style>
  <w:style w:type="paragraph" w:customStyle="1" w:styleId="Vrstapredpisa">
    <w:name w:val="Vrsta predpisa"/>
    <w:basedOn w:val="Navaden"/>
    <w:link w:val="VrstapredpisaZnak"/>
    <w:qFormat/>
    <w:rsid w:val="003077CA"/>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3077CA"/>
    <w:rPr>
      <w:rFonts w:ascii="Arial" w:hAnsi="Arial" w:cs="Arial"/>
      <w:b/>
      <w:bCs/>
      <w:color w:val="000000"/>
      <w:spacing w:val="40"/>
      <w:sz w:val="22"/>
      <w:szCs w:val="22"/>
    </w:rPr>
  </w:style>
  <w:style w:type="paragraph" w:customStyle="1" w:styleId="len0">
    <w:name w:val="Člen"/>
    <w:basedOn w:val="Navaden"/>
    <w:link w:val="lenZnak"/>
    <w:qFormat/>
    <w:rsid w:val="003077CA"/>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3077CA"/>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character" w:customStyle="1" w:styleId="lenZnak">
    <w:name w:val="Člen Znak"/>
    <w:link w:val="len0"/>
    <w:rsid w:val="003077CA"/>
    <w:rPr>
      <w:rFonts w:ascii="Arial" w:hAnsi="Arial" w:cs="Arial"/>
      <w:b/>
      <w:sz w:val="22"/>
      <w:szCs w:val="22"/>
    </w:rPr>
  </w:style>
  <w:style w:type="paragraph" w:customStyle="1" w:styleId="Pravnapodlaga">
    <w:name w:val="Pravna podlaga"/>
    <w:basedOn w:val="Odstavek"/>
    <w:link w:val="PravnapodlagaZnak"/>
    <w:qFormat/>
    <w:rsid w:val="003077CA"/>
    <w:pPr>
      <w:overflowPunct w:val="0"/>
      <w:autoSpaceDE w:val="0"/>
      <w:autoSpaceDN w:val="0"/>
      <w:adjustRightInd w:val="0"/>
      <w:spacing w:before="480" w:after="0" w:line="240" w:lineRule="auto"/>
      <w:ind w:firstLine="1021"/>
      <w:textAlignment w:val="baseline"/>
    </w:pPr>
    <w:rPr>
      <w:sz w:val="22"/>
      <w:szCs w:val="22"/>
    </w:rPr>
  </w:style>
  <w:style w:type="character" w:customStyle="1" w:styleId="AlinejazarkovnotokoZnak">
    <w:name w:val="Alineja za črkovno točko Znak"/>
    <w:basedOn w:val="AlineazatevilnotokoZnak"/>
    <w:link w:val="Alinejazarkovnotoko"/>
    <w:rsid w:val="003077CA"/>
    <w:rPr>
      <w:rFonts w:ascii="Arial" w:hAnsi="Arial" w:cs="Arial"/>
      <w:sz w:val="22"/>
      <w:szCs w:val="22"/>
    </w:rPr>
  </w:style>
  <w:style w:type="paragraph" w:customStyle="1" w:styleId="rkovnatokazatevilnotokoa2">
    <w:name w:val="Črkovna točka za številčno točko (a)"/>
    <w:basedOn w:val="rkovnatokazatevilnotoko"/>
    <w:rsid w:val="003077CA"/>
    <w:pPr>
      <w:numPr>
        <w:numId w:val="39"/>
      </w:numPr>
      <w:tabs>
        <w:tab w:val="clear" w:pos="782"/>
      </w:tabs>
      <w:ind w:left="720" w:hanging="360"/>
    </w:pPr>
  </w:style>
  <w:style w:type="paragraph" w:customStyle="1" w:styleId="Prehodneinkoncnedolocbe">
    <w:name w:val="Prehodne in koncne dolocbe"/>
    <w:basedOn w:val="Navaden"/>
    <w:rsid w:val="003077CA"/>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Oddelek">
    <w:name w:val="Oddelek"/>
    <w:basedOn w:val="Navaden"/>
    <w:link w:val="OddelekZnak1"/>
    <w:qFormat/>
    <w:rsid w:val="003077CA"/>
    <w:pPr>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Odsek">
    <w:name w:val="Odsek"/>
    <w:basedOn w:val="Navaden"/>
    <w:link w:val="OdsekZnak"/>
    <w:qFormat/>
    <w:rsid w:val="003077CA"/>
    <w:pPr>
      <w:overflowPunct w:val="0"/>
      <w:autoSpaceDE w:val="0"/>
      <w:autoSpaceDN w:val="0"/>
      <w:adjustRightInd w:val="0"/>
      <w:spacing w:before="480" w:line="240" w:lineRule="atLeast"/>
      <w:jc w:val="center"/>
      <w:textAlignment w:val="baseline"/>
    </w:pPr>
    <w:rPr>
      <w:rFonts w:cs="Arial"/>
      <w:sz w:val="22"/>
      <w:szCs w:val="22"/>
      <w:lang w:val="sl-SI" w:eastAsia="sl-SI"/>
    </w:rPr>
  </w:style>
  <w:style w:type="paragraph" w:customStyle="1" w:styleId="Del">
    <w:name w:val="Del"/>
    <w:basedOn w:val="Poglavje"/>
    <w:link w:val="DelZnak"/>
    <w:qFormat/>
    <w:rsid w:val="003077CA"/>
    <w:pPr>
      <w:spacing w:before="480" w:after="0" w:line="240" w:lineRule="auto"/>
      <w:outlineLvl w:val="9"/>
    </w:pPr>
    <w:rPr>
      <w:b w:val="0"/>
    </w:rPr>
  </w:style>
  <w:style w:type="character" w:customStyle="1" w:styleId="OddelekZnak1">
    <w:name w:val="Oddelek Znak1"/>
    <w:link w:val="Oddelek"/>
    <w:rsid w:val="003077CA"/>
    <w:rPr>
      <w:rFonts w:ascii="Arial" w:hAnsi="Arial" w:cs="Arial"/>
      <w:sz w:val="22"/>
      <w:szCs w:val="22"/>
    </w:rPr>
  </w:style>
  <w:style w:type="character" w:customStyle="1" w:styleId="OdsekZnak">
    <w:name w:val="Odsek Znak"/>
    <w:basedOn w:val="OddelekZnak1"/>
    <w:link w:val="Odsek"/>
    <w:rsid w:val="003077CA"/>
    <w:rPr>
      <w:rFonts w:ascii="Arial" w:hAnsi="Arial" w:cs="Arial"/>
      <w:sz w:val="22"/>
      <w:szCs w:val="22"/>
    </w:rPr>
  </w:style>
  <w:style w:type="paragraph" w:customStyle="1" w:styleId="Naslovnadlenom">
    <w:name w:val="Naslov nad členom"/>
    <w:basedOn w:val="Navaden"/>
    <w:link w:val="NaslovnadlenomZnak"/>
    <w:qFormat/>
    <w:rsid w:val="003077CA"/>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DelZnak">
    <w:name w:val="Del Znak"/>
    <w:link w:val="Del"/>
    <w:rsid w:val="003077CA"/>
    <w:rPr>
      <w:rFonts w:ascii="Arial" w:hAnsi="Arial" w:cs="Arial"/>
      <w:sz w:val="22"/>
      <w:szCs w:val="22"/>
    </w:rPr>
  </w:style>
  <w:style w:type="character" w:customStyle="1" w:styleId="NaslovnadlenomZnak">
    <w:name w:val="Naslov nad členom Znak"/>
    <w:link w:val="Naslovnadlenom"/>
    <w:rsid w:val="003077CA"/>
    <w:rPr>
      <w:rFonts w:ascii="Arial" w:hAnsi="Arial" w:cs="Arial"/>
      <w:b/>
      <w:sz w:val="22"/>
      <w:szCs w:val="22"/>
    </w:rPr>
  </w:style>
  <w:style w:type="paragraph" w:customStyle="1" w:styleId="Nazivpodpisnika">
    <w:name w:val="Naziv podpisnika"/>
    <w:basedOn w:val="Navaden"/>
    <w:link w:val="NazivpodpisnikaZnak"/>
    <w:rsid w:val="003077CA"/>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NazivpodpisnikaZnak">
    <w:name w:val="Naziv podpisnika Znak"/>
    <w:link w:val="Nazivpodpisnika"/>
    <w:rsid w:val="003077CA"/>
    <w:rPr>
      <w:rFonts w:ascii="Arial" w:hAnsi="Arial" w:cs="Arial"/>
      <w:sz w:val="22"/>
      <w:szCs w:val="22"/>
    </w:rPr>
  </w:style>
  <w:style w:type="paragraph" w:customStyle="1" w:styleId="Alineazatevilnotoko">
    <w:name w:val="Alinea za številčno točko"/>
    <w:basedOn w:val="Alineazaodstavkom"/>
    <w:link w:val="AlineazatevilnotokoZnak"/>
    <w:qFormat/>
    <w:rsid w:val="003077CA"/>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3077CA"/>
    <w:rPr>
      <w:rFonts w:ascii="Arial" w:hAnsi="Arial" w:cs="Arial"/>
      <w:sz w:val="22"/>
      <w:szCs w:val="22"/>
    </w:rPr>
  </w:style>
  <w:style w:type="paragraph" w:customStyle="1" w:styleId="rkovnatokazatevilnotoko">
    <w:name w:val="Črkovna točka za številčno točko"/>
    <w:link w:val="rkovnatokazatevilnotokoZnak"/>
    <w:qFormat/>
    <w:rsid w:val="003077CA"/>
    <w:pPr>
      <w:numPr>
        <w:numId w:val="4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077CA"/>
    <w:rPr>
      <w:rFonts w:ascii="Arial" w:hAnsi="Arial" w:cs="Arial"/>
      <w:sz w:val="22"/>
      <w:szCs w:val="22"/>
    </w:rPr>
  </w:style>
  <w:style w:type="paragraph" w:customStyle="1" w:styleId="tevilkanakoncupredpisa">
    <w:name w:val="Številka na koncu predpisa"/>
    <w:basedOn w:val="Datumsprejetja"/>
    <w:link w:val="tevilkanakoncupredpisaZnak"/>
    <w:qFormat/>
    <w:rsid w:val="003077CA"/>
    <w:pPr>
      <w:spacing w:before="480"/>
    </w:pPr>
  </w:style>
  <w:style w:type="paragraph" w:customStyle="1" w:styleId="Datumsprejetja">
    <w:name w:val="Datum sprejetja"/>
    <w:basedOn w:val="Navaden"/>
    <w:link w:val="DatumsprejetjaZnak"/>
    <w:qFormat/>
    <w:rsid w:val="003077CA"/>
    <w:pPr>
      <w:overflowPunct w:val="0"/>
      <w:autoSpaceDE w:val="0"/>
      <w:autoSpaceDN w:val="0"/>
      <w:adjustRightInd w:val="0"/>
      <w:spacing w:line="240" w:lineRule="auto"/>
      <w:jc w:val="both"/>
      <w:textAlignment w:val="baseline"/>
    </w:pPr>
    <w:rPr>
      <w:rFonts w:cs="Arial"/>
      <w:snapToGrid w:val="0"/>
      <w:color w:val="000000"/>
      <w:sz w:val="22"/>
      <w:szCs w:val="22"/>
      <w:lang w:val="sl-SI" w:eastAsia="sl-SI"/>
    </w:rPr>
  </w:style>
  <w:style w:type="character" w:customStyle="1" w:styleId="tevilkanakoncupredpisaZnak">
    <w:name w:val="Številka na koncu predpisa Znak"/>
    <w:link w:val="tevilkanakoncupredpisa"/>
    <w:rsid w:val="003077CA"/>
    <w:rPr>
      <w:rFonts w:ascii="Arial" w:hAnsi="Arial" w:cs="Arial"/>
      <w:snapToGrid w:val="0"/>
      <w:color w:val="000000"/>
      <w:sz w:val="22"/>
      <w:szCs w:val="22"/>
    </w:rPr>
  </w:style>
  <w:style w:type="paragraph" w:customStyle="1" w:styleId="Podpisnik">
    <w:name w:val="Podpisnik"/>
    <w:basedOn w:val="Navaden"/>
    <w:link w:val="PodpisnikZnak"/>
    <w:qFormat/>
    <w:rsid w:val="003077CA"/>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3077CA"/>
    <w:rPr>
      <w:rFonts w:ascii="Arial" w:hAnsi="Arial" w:cs="Arial"/>
      <w:snapToGrid w:val="0"/>
      <w:color w:val="000000"/>
      <w:sz w:val="22"/>
      <w:szCs w:val="22"/>
    </w:rPr>
  </w:style>
  <w:style w:type="character" w:customStyle="1" w:styleId="PodpisnikZnak">
    <w:name w:val="Podpisnik Znak"/>
    <w:basedOn w:val="NazivpodpisnikaZnak"/>
    <w:link w:val="Podpisnik"/>
    <w:rsid w:val="003077CA"/>
    <w:rPr>
      <w:rFonts w:ascii="Arial" w:hAnsi="Arial" w:cs="Arial"/>
      <w:sz w:val="22"/>
      <w:szCs w:val="22"/>
    </w:rPr>
  </w:style>
  <w:style w:type="character" w:customStyle="1" w:styleId="PravnapodlagaZnak">
    <w:name w:val="Pravna podlaga Znak"/>
    <w:basedOn w:val="OdstavekZnak"/>
    <w:link w:val="Pravnapodlaga"/>
    <w:rsid w:val="003077CA"/>
    <w:rPr>
      <w:rFonts w:ascii="Arial" w:hAnsi="Arial" w:cs="Arial"/>
      <w:sz w:val="22"/>
      <w:szCs w:val="22"/>
      <w:lang w:eastAsia="en-US"/>
    </w:rPr>
  </w:style>
  <w:style w:type="paragraph" w:customStyle="1" w:styleId="Pododdelek">
    <w:name w:val="Pododdelek"/>
    <w:basedOn w:val="Navaden"/>
    <w:link w:val="PododdelekZnak"/>
    <w:qFormat/>
    <w:rsid w:val="003077C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PododdelekZnak">
    <w:name w:val="Pododdelek Znak"/>
    <w:link w:val="Pododdelek"/>
    <w:rsid w:val="003077CA"/>
    <w:rPr>
      <w:rFonts w:ascii="Arial" w:hAnsi="Arial" w:cs="Arial"/>
      <w:sz w:val="22"/>
      <w:szCs w:val="22"/>
    </w:rPr>
  </w:style>
  <w:style w:type="paragraph" w:customStyle="1" w:styleId="EVA">
    <w:name w:val="EVA"/>
    <w:basedOn w:val="Navaden"/>
    <w:link w:val="EVAZnak"/>
    <w:qFormat/>
    <w:rsid w:val="003077CA"/>
    <w:pPr>
      <w:overflowPunct w:val="0"/>
      <w:autoSpaceDE w:val="0"/>
      <w:autoSpaceDN w:val="0"/>
      <w:adjustRightInd w:val="0"/>
      <w:spacing w:line="240" w:lineRule="auto"/>
      <w:jc w:val="both"/>
      <w:textAlignment w:val="baseline"/>
    </w:pPr>
    <w:rPr>
      <w:rFonts w:cs="Arial"/>
      <w:sz w:val="22"/>
      <w:szCs w:val="22"/>
      <w:lang w:val="sl-SI" w:eastAsia="sl-SI"/>
    </w:rPr>
  </w:style>
  <w:style w:type="character" w:customStyle="1" w:styleId="EVAZnak">
    <w:name w:val="EVA Znak"/>
    <w:link w:val="EVA"/>
    <w:rsid w:val="003077CA"/>
    <w:rPr>
      <w:rFonts w:ascii="Arial" w:hAnsi="Arial" w:cs="Arial"/>
      <w:sz w:val="22"/>
      <w:szCs w:val="22"/>
    </w:rPr>
  </w:style>
  <w:style w:type="paragraph" w:customStyle="1" w:styleId="Imeorgana">
    <w:name w:val="Ime organa"/>
    <w:basedOn w:val="Navaden"/>
    <w:link w:val="ImeorganaZnak"/>
    <w:qFormat/>
    <w:rsid w:val="003077CA"/>
    <w:pPr>
      <w:overflowPunct w:val="0"/>
      <w:autoSpaceDE w:val="0"/>
      <w:autoSpaceDN w:val="0"/>
      <w:adjustRightInd w:val="0"/>
      <w:spacing w:before="480" w:line="240" w:lineRule="auto"/>
      <w:ind w:left="5670"/>
      <w:jc w:val="center"/>
      <w:textAlignment w:val="baseline"/>
    </w:pPr>
    <w:rPr>
      <w:rFonts w:cs="Arial"/>
      <w:sz w:val="22"/>
      <w:szCs w:val="22"/>
      <w:lang w:val="sl-SI" w:eastAsia="sl-SI"/>
    </w:rPr>
  </w:style>
  <w:style w:type="paragraph" w:customStyle="1" w:styleId="Opozorilo">
    <w:name w:val="Opozorilo"/>
    <w:basedOn w:val="Navaden"/>
    <w:link w:val="OpozoriloZnak"/>
    <w:qFormat/>
    <w:rsid w:val="003077CA"/>
    <w:pPr>
      <w:overflowPunct w:val="0"/>
      <w:autoSpaceDE w:val="0"/>
      <w:autoSpaceDN w:val="0"/>
      <w:adjustRightInd w:val="0"/>
      <w:spacing w:before="480" w:line="240" w:lineRule="auto"/>
      <w:jc w:val="both"/>
      <w:textAlignment w:val="baseline"/>
    </w:pPr>
    <w:rPr>
      <w:rFonts w:cs="Arial"/>
      <w:color w:val="808080"/>
      <w:sz w:val="22"/>
      <w:szCs w:val="22"/>
      <w:lang w:val="sl-SI" w:eastAsia="sl-SI"/>
    </w:rPr>
  </w:style>
  <w:style w:type="character" w:customStyle="1" w:styleId="OpozoriloZnak">
    <w:name w:val="Opozorilo Znak"/>
    <w:link w:val="Opozorilo"/>
    <w:rsid w:val="003077CA"/>
    <w:rPr>
      <w:rFonts w:ascii="Arial" w:hAnsi="Arial" w:cs="Arial"/>
      <w:color w:val="808080"/>
      <w:sz w:val="22"/>
      <w:szCs w:val="22"/>
    </w:rPr>
  </w:style>
  <w:style w:type="paragraph" w:customStyle="1" w:styleId="Priloga">
    <w:name w:val="Priloga"/>
    <w:basedOn w:val="Navaden"/>
    <w:link w:val="PrilogaZnak"/>
    <w:qFormat/>
    <w:rsid w:val="003077CA"/>
    <w:pPr>
      <w:overflowPunct w:val="0"/>
      <w:autoSpaceDE w:val="0"/>
      <w:autoSpaceDN w:val="0"/>
      <w:adjustRightInd w:val="0"/>
      <w:spacing w:before="380" w:after="60" w:line="200" w:lineRule="exact"/>
      <w:jc w:val="both"/>
      <w:textAlignment w:val="baseline"/>
    </w:pPr>
    <w:rPr>
      <w:rFonts w:cs="Arial"/>
      <w:sz w:val="22"/>
      <w:szCs w:val="17"/>
      <w:lang w:val="sl-SI" w:eastAsia="sl-SI"/>
    </w:rPr>
  </w:style>
  <w:style w:type="character" w:customStyle="1" w:styleId="PrilogaZnak">
    <w:name w:val="Priloga Znak"/>
    <w:link w:val="Priloga"/>
    <w:rsid w:val="003077CA"/>
    <w:rPr>
      <w:rFonts w:ascii="Arial" w:hAnsi="Arial" w:cs="Arial"/>
      <w:sz w:val="22"/>
      <w:szCs w:val="17"/>
    </w:rPr>
  </w:style>
  <w:style w:type="paragraph" w:customStyle="1" w:styleId="rta">
    <w:name w:val="Črta"/>
    <w:basedOn w:val="Navaden"/>
    <w:link w:val="rtaZnak"/>
    <w:qFormat/>
    <w:rsid w:val="003077CA"/>
    <w:pPr>
      <w:overflowPunct w:val="0"/>
      <w:autoSpaceDE w:val="0"/>
      <w:autoSpaceDN w:val="0"/>
      <w:adjustRightInd w:val="0"/>
      <w:spacing w:before="360" w:line="240" w:lineRule="auto"/>
      <w:jc w:val="center"/>
      <w:textAlignment w:val="baseline"/>
    </w:pPr>
    <w:rPr>
      <w:rFonts w:cs="Arial"/>
      <w:sz w:val="22"/>
      <w:szCs w:val="22"/>
      <w:lang w:val="sl-SI" w:eastAsia="sl-SI"/>
    </w:rPr>
  </w:style>
  <w:style w:type="paragraph" w:customStyle="1" w:styleId="NPB">
    <w:name w:val="NPB"/>
    <w:basedOn w:val="Vrstapredpisa"/>
    <w:qFormat/>
    <w:rsid w:val="003077CA"/>
    <w:rPr>
      <w:spacing w:val="0"/>
    </w:rPr>
  </w:style>
  <w:style w:type="character" w:customStyle="1" w:styleId="rtaZnak">
    <w:name w:val="Črta Znak"/>
    <w:link w:val="rta"/>
    <w:rsid w:val="003077C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3077CA"/>
    <w:pPr>
      <w:numPr>
        <w:numId w:val="0"/>
      </w:numPr>
      <w:overflowPunct/>
      <w:autoSpaceDE/>
      <w:autoSpaceDN/>
      <w:adjustRightInd/>
      <w:spacing w:line="240" w:lineRule="auto"/>
      <w:textAlignment w:val="auto"/>
    </w:pPr>
    <w:rPr>
      <w:lang w:eastAsia="en-US"/>
    </w:rPr>
  </w:style>
  <w:style w:type="paragraph" w:customStyle="1" w:styleId="Zamaknjenadolobadruginivo">
    <w:name w:val="Zamaknjena določba_drugi nivo"/>
    <w:basedOn w:val="rkovnatokazatevilnotoko"/>
    <w:link w:val="ZamaknjenadolobadruginivoZnak"/>
    <w:qFormat/>
    <w:rsid w:val="003077CA"/>
    <w:pPr>
      <w:numPr>
        <w:numId w:val="0"/>
      </w:numPr>
      <w:ind w:left="425"/>
    </w:pPr>
  </w:style>
  <w:style w:type="character" w:customStyle="1" w:styleId="ZamaknjenadolobaprvinivoZnak">
    <w:name w:val="Zamaknjena določba_prvi nivo Znak"/>
    <w:basedOn w:val="OdstavekZnak"/>
    <w:link w:val="Zamaknjenadolobaprvinivo"/>
    <w:rsid w:val="003077CA"/>
    <w:rPr>
      <w:rFonts w:ascii="Arial" w:hAnsi="Arial" w:cs="Arial"/>
      <w:sz w:val="22"/>
      <w:szCs w:val="22"/>
      <w:lang w:eastAsia="en-US"/>
    </w:rPr>
  </w:style>
  <w:style w:type="character" w:customStyle="1" w:styleId="ZamaknjenadolobadruginivoZnak">
    <w:name w:val="Zamaknjena določba_drugi nivo Znak"/>
    <w:link w:val="Zamaknjenadolobadruginivo"/>
    <w:rsid w:val="003077CA"/>
    <w:rPr>
      <w:rFonts w:ascii="Arial" w:hAnsi="Arial" w:cs="Arial"/>
      <w:sz w:val="22"/>
      <w:szCs w:val="22"/>
    </w:rPr>
  </w:style>
  <w:style w:type="paragraph" w:customStyle="1" w:styleId="Alineazapodtoko">
    <w:name w:val="Alinea za podtočko"/>
    <w:basedOn w:val="Alineazaodstavkom"/>
    <w:link w:val="AlineazapodtokoZnak"/>
    <w:qFormat/>
    <w:rsid w:val="003077CA"/>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3077CA"/>
    <w:pPr>
      <w:ind w:left="993"/>
    </w:pPr>
  </w:style>
  <w:style w:type="character" w:customStyle="1" w:styleId="AlineazapodtokoZnak">
    <w:name w:val="Alinea za podtočko Znak"/>
    <w:link w:val="Alineazapodtoko"/>
    <w:rsid w:val="003077CA"/>
    <w:rPr>
      <w:rFonts w:ascii="Arial" w:hAnsi="Arial" w:cs="Arial"/>
      <w:sz w:val="22"/>
      <w:szCs w:val="22"/>
    </w:rPr>
  </w:style>
  <w:style w:type="numbering" w:customStyle="1" w:styleId="Alinejazaodstavkom">
    <w:name w:val="Alineja za odstavkom"/>
    <w:uiPriority w:val="99"/>
    <w:rsid w:val="003077CA"/>
    <w:pPr>
      <w:numPr>
        <w:numId w:val="36"/>
      </w:numPr>
    </w:pPr>
  </w:style>
  <w:style w:type="character" w:customStyle="1" w:styleId="ZamakanjenadolobatretjinivoZnak">
    <w:name w:val="Zamakanjena določba_tretji nivo Znak"/>
    <w:basedOn w:val="ZamaknjenadolobadruginivoZnak"/>
    <w:link w:val="Zamakanjenadolobatretjinivo"/>
    <w:rsid w:val="003077CA"/>
    <w:rPr>
      <w:rFonts w:ascii="Arial" w:hAnsi="Arial" w:cs="Arial"/>
      <w:sz w:val="22"/>
      <w:szCs w:val="22"/>
    </w:rPr>
  </w:style>
  <w:style w:type="character" w:customStyle="1" w:styleId="ImeorganaZnak">
    <w:name w:val="Ime organa Znak"/>
    <w:link w:val="Imeorgana"/>
    <w:rsid w:val="003077CA"/>
    <w:rPr>
      <w:rFonts w:ascii="Arial" w:hAnsi="Arial" w:cs="Arial"/>
      <w:sz w:val="22"/>
      <w:szCs w:val="22"/>
    </w:rPr>
  </w:style>
  <w:style w:type="paragraph" w:customStyle="1" w:styleId="rkovnatokazaodstavkoma">
    <w:name w:val="Črkovna točka za odstavkom (a)"/>
    <w:link w:val="rkovnatokazaodstavkomaZnak"/>
    <w:qFormat/>
    <w:rsid w:val="003077CA"/>
    <w:pPr>
      <w:numPr>
        <w:numId w:val="37"/>
      </w:numPr>
      <w:jc w:val="both"/>
    </w:pPr>
    <w:rPr>
      <w:rFonts w:ascii="Arial" w:hAnsi="Arial"/>
      <w:sz w:val="22"/>
      <w:szCs w:val="16"/>
    </w:rPr>
  </w:style>
  <w:style w:type="paragraph" w:customStyle="1" w:styleId="rkovnatokazaodstavkomA1">
    <w:name w:val="Črkovna točka za odstavkom A."/>
    <w:basedOn w:val="Navaden"/>
    <w:rsid w:val="003077CA"/>
    <w:pPr>
      <w:numPr>
        <w:numId w:val="38"/>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3077CA"/>
    <w:rPr>
      <w:rFonts w:ascii="Arial" w:hAnsi="Arial"/>
      <w:sz w:val="22"/>
      <w:szCs w:val="16"/>
    </w:rPr>
  </w:style>
  <w:style w:type="paragraph" w:customStyle="1" w:styleId="lennaslovnovele">
    <w:name w:val="Člen naslov novele"/>
    <w:basedOn w:val="lennaslov0"/>
    <w:rsid w:val="003077CA"/>
    <w:rPr>
      <w:rFonts w:cs="Arial"/>
      <w:b w:val="0"/>
      <w:lang w:eastAsia="sl-SI"/>
    </w:rPr>
  </w:style>
  <w:style w:type="paragraph" w:customStyle="1" w:styleId="rkovnatokazaodstavkoma3">
    <w:name w:val="Črkovna točka za odstavkom a."/>
    <w:rsid w:val="003077C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3077CA"/>
    <w:pPr>
      <w:numPr>
        <w:numId w:val="4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3077CA"/>
    <w:pPr>
      <w:numPr>
        <w:numId w:val="42"/>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3077CA"/>
    <w:pPr>
      <w:numPr>
        <w:numId w:val="4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3077CA"/>
    <w:pPr>
      <w:numPr>
        <w:numId w:val="0"/>
      </w:numPr>
      <w:tabs>
        <w:tab w:val="clear" w:pos="540"/>
        <w:tab w:val="clear" w:pos="900"/>
        <w:tab w:val="num" w:pos="425"/>
      </w:tabs>
      <w:ind w:left="425" w:hanging="425"/>
    </w:pPr>
  </w:style>
  <w:style w:type="character" w:customStyle="1" w:styleId="Neuvrsceno">
    <w:name w:val="Neuvrsceno"/>
    <w:uiPriority w:val="1"/>
    <w:rsid w:val="003077CA"/>
    <w:rPr>
      <w:bdr w:val="none" w:sz="0" w:space="0" w:color="auto"/>
      <w:shd w:val="clear" w:color="auto" w:fill="FFFF00"/>
    </w:rPr>
  </w:style>
  <w:style w:type="character" w:customStyle="1" w:styleId="tevilnatoka11NovaZnak">
    <w:name w:val="Številčna točka 1.1 Nova Znak"/>
    <w:basedOn w:val="tevilnatokaZnak"/>
    <w:link w:val="tevilnatoka11Nova"/>
    <w:rsid w:val="003077CA"/>
    <w:rPr>
      <w:rFonts w:ascii="Arial" w:hAnsi="Arial" w:cs="Arial"/>
      <w:sz w:val="22"/>
      <w:szCs w:val="22"/>
    </w:rPr>
  </w:style>
  <w:style w:type="paragraph" w:customStyle="1" w:styleId="rkovnatokazatevilnotokoi">
    <w:name w:val="Črkovna točka za številčno točko (i)"/>
    <w:rsid w:val="003077CA"/>
    <w:pPr>
      <w:numPr>
        <w:numId w:val="4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3077CA"/>
    <w:rPr>
      <w:rFonts w:ascii="Arial" w:hAnsi="Arial" w:cs="Arial"/>
      <w:sz w:val="22"/>
      <w:szCs w:val="22"/>
    </w:rPr>
  </w:style>
  <w:style w:type="paragraph" w:customStyle="1" w:styleId="rkovnatokazaodstavkomA0">
    <w:name w:val="Črkovna točka za odstavkom (A)"/>
    <w:link w:val="rkovnatokazaodstavkomAZnak0"/>
    <w:qFormat/>
    <w:rsid w:val="003077CA"/>
    <w:pPr>
      <w:numPr>
        <w:numId w:val="45"/>
      </w:numPr>
      <w:jc w:val="both"/>
    </w:pPr>
    <w:rPr>
      <w:rFonts w:ascii="Arial" w:hAnsi="Arial"/>
      <w:sz w:val="22"/>
      <w:szCs w:val="16"/>
    </w:rPr>
  </w:style>
  <w:style w:type="paragraph" w:customStyle="1" w:styleId="rkovnatokazaodstavkomA2">
    <w:name w:val="Črkovna točka za odstavkom A)"/>
    <w:link w:val="rkovnatokazaodstavkomAZnak1"/>
    <w:qFormat/>
    <w:rsid w:val="003077CA"/>
    <w:pPr>
      <w:numPr>
        <w:numId w:val="46"/>
      </w:numPr>
      <w:jc w:val="both"/>
    </w:pPr>
    <w:rPr>
      <w:rFonts w:ascii="Arial" w:hAnsi="Arial"/>
      <w:sz w:val="22"/>
      <w:szCs w:val="16"/>
    </w:rPr>
  </w:style>
  <w:style w:type="character" w:customStyle="1" w:styleId="rkovnatokazaodstavkomAZnak0">
    <w:name w:val="Črkovna točka za odstavkom (A) Znak"/>
    <w:link w:val="rkovnatokazaodstavkomA0"/>
    <w:rsid w:val="003077CA"/>
    <w:rPr>
      <w:rFonts w:ascii="Arial" w:hAnsi="Arial"/>
      <w:sz w:val="22"/>
      <w:szCs w:val="16"/>
    </w:rPr>
  </w:style>
  <w:style w:type="paragraph" w:customStyle="1" w:styleId="rkovnatokazatevilnotokoA1">
    <w:name w:val="Črkovna točka za številčno točko (A)"/>
    <w:link w:val="rkovnatokazatevilnotokoAZnak"/>
    <w:qFormat/>
    <w:rsid w:val="003077CA"/>
    <w:pPr>
      <w:numPr>
        <w:numId w:val="47"/>
      </w:numPr>
      <w:jc w:val="both"/>
    </w:pPr>
    <w:rPr>
      <w:rFonts w:ascii="Arial" w:hAnsi="Arial"/>
      <w:sz w:val="22"/>
      <w:szCs w:val="16"/>
    </w:rPr>
  </w:style>
  <w:style w:type="character" w:customStyle="1" w:styleId="rkovnatokazaodstavkomAZnak1">
    <w:name w:val="Črkovna točka za odstavkom A) Znak"/>
    <w:link w:val="rkovnatokazaodstavkomA2"/>
    <w:rsid w:val="003077CA"/>
    <w:rPr>
      <w:rFonts w:ascii="Arial" w:hAnsi="Arial"/>
      <w:sz w:val="22"/>
      <w:szCs w:val="16"/>
    </w:rPr>
  </w:style>
  <w:style w:type="paragraph" w:customStyle="1" w:styleId="rkovnatokazatevilnotokoA0">
    <w:name w:val="Črkovna točka za številčno točko A)"/>
    <w:link w:val="rkovnatokazatevilnotokoAZnak0"/>
    <w:qFormat/>
    <w:rsid w:val="003077CA"/>
    <w:pPr>
      <w:numPr>
        <w:numId w:val="48"/>
      </w:numPr>
      <w:jc w:val="both"/>
    </w:pPr>
    <w:rPr>
      <w:rFonts w:ascii="Arial" w:hAnsi="Arial"/>
      <w:sz w:val="22"/>
      <w:szCs w:val="16"/>
    </w:rPr>
  </w:style>
  <w:style w:type="character" w:customStyle="1" w:styleId="rkovnatokazatevilnotokoAZnak">
    <w:name w:val="Črkovna točka za številčno točko (A) Znak"/>
    <w:link w:val="rkovnatokazatevilnotokoA1"/>
    <w:rsid w:val="003077CA"/>
    <w:rPr>
      <w:rFonts w:ascii="Arial" w:hAnsi="Arial"/>
      <w:sz w:val="22"/>
      <w:szCs w:val="16"/>
    </w:rPr>
  </w:style>
  <w:style w:type="paragraph" w:customStyle="1" w:styleId="Slikanasredino">
    <w:name w:val="Slika_na sredino"/>
    <w:basedOn w:val="Navaden"/>
    <w:qFormat/>
    <w:rsid w:val="003077CA"/>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3077CA"/>
    <w:rPr>
      <w:rFonts w:ascii="Arial" w:hAnsi="Arial"/>
      <w:sz w:val="22"/>
      <w:szCs w:val="16"/>
    </w:rPr>
  </w:style>
  <w:style w:type="paragraph" w:customStyle="1" w:styleId="poglavje0">
    <w:name w:val="poglavje"/>
    <w:basedOn w:val="Navaden"/>
    <w:rsid w:val="003077CA"/>
    <w:pPr>
      <w:spacing w:before="100" w:beforeAutospacing="1" w:after="100" w:afterAutospacing="1" w:line="240" w:lineRule="auto"/>
    </w:pPr>
    <w:rPr>
      <w:rFonts w:ascii="Times New Roman" w:hAnsi="Times New Roman"/>
      <w:sz w:val="24"/>
      <w:lang w:val="sl-SI" w:eastAsia="sl-SI"/>
    </w:rPr>
  </w:style>
  <w:style w:type="paragraph" w:customStyle="1" w:styleId="1">
    <w:name w:val="1"/>
    <w:basedOn w:val="Navaden"/>
    <w:next w:val="Pripombabesedilo"/>
    <w:rsid w:val="003077CA"/>
    <w:pPr>
      <w:spacing w:line="240" w:lineRule="auto"/>
      <w:jc w:val="both"/>
    </w:pPr>
    <w:rPr>
      <w:szCs w:val="20"/>
      <w:lang w:val="sl-SI"/>
    </w:rPr>
  </w:style>
  <w:style w:type="paragraph" w:customStyle="1" w:styleId="Slog1">
    <w:name w:val="Slog1"/>
    <w:basedOn w:val="len0"/>
    <w:link w:val="Slog1Znak"/>
    <w:qFormat/>
    <w:rsid w:val="003077CA"/>
  </w:style>
  <w:style w:type="character" w:customStyle="1" w:styleId="Slog1Znak">
    <w:name w:val="Slog1 Znak"/>
    <w:basedOn w:val="lenZnak"/>
    <w:link w:val="Slog1"/>
    <w:rsid w:val="003077CA"/>
    <w:rPr>
      <w:rFonts w:ascii="Arial" w:hAnsi="Arial" w:cs="Arial"/>
      <w:b/>
      <w:sz w:val="22"/>
      <w:szCs w:val="22"/>
    </w:rPr>
  </w:style>
  <w:style w:type="paragraph" w:customStyle="1" w:styleId="NIS2tokavodstavku">
    <w:name w:val="NIS2 točka v odstavku"/>
    <w:basedOn w:val="Odstavek"/>
    <w:link w:val="NIS2tokavodstavkuZnak"/>
    <w:autoRedefine/>
    <w:qFormat/>
    <w:rsid w:val="003077CA"/>
    <w:pPr>
      <w:overflowPunct w:val="0"/>
      <w:autoSpaceDE w:val="0"/>
      <w:autoSpaceDN w:val="0"/>
      <w:adjustRightInd w:val="0"/>
      <w:spacing w:after="0" w:line="260" w:lineRule="atLeast"/>
      <w:textAlignment w:val="baseline"/>
    </w:pPr>
    <w:rPr>
      <w:sz w:val="22"/>
      <w:szCs w:val="22"/>
    </w:rPr>
  </w:style>
  <w:style w:type="character" w:customStyle="1" w:styleId="NIS2tokavodstavkuZnak">
    <w:name w:val="NIS2 točka v odstavku Znak"/>
    <w:basedOn w:val="OdstavekZnak"/>
    <w:link w:val="NIS2tokavodstavku"/>
    <w:rsid w:val="003077CA"/>
    <w:rPr>
      <w:rFonts w:ascii="Arial" w:hAnsi="Arial" w:cs="Arial"/>
      <w:sz w:val="22"/>
      <w:szCs w:val="22"/>
      <w:lang w:eastAsia="en-US"/>
    </w:rPr>
  </w:style>
  <w:style w:type="character" w:customStyle="1" w:styleId="Naslov1Znak">
    <w:name w:val="Naslov 1 Znak"/>
    <w:aliases w:val="NASLOV Znak"/>
    <w:link w:val="Naslov1"/>
    <w:rsid w:val="003077CA"/>
    <w:rPr>
      <w:rFonts w:ascii="Arial" w:hAnsi="Arial"/>
      <w:b/>
      <w:kern w:val="32"/>
      <w:sz w:val="28"/>
      <w:szCs w:val="32"/>
    </w:rPr>
  </w:style>
  <w:style w:type="paragraph" w:customStyle="1" w:styleId="zamaknjenadolobaprvinivo0">
    <w:name w:val="zamaknjenadolobaprvinivo"/>
    <w:basedOn w:val="Navaden"/>
    <w:rsid w:val="003077CA"/>
    <w:pPr>
      <w:spacing w:before="100" w:beforeAutospacing="1" w:after="100" w:afterAutospacing="1" w:line="240" w:lineRule="auto"/>
    </w:pPr>
    <w:rPr>
      <w:rFonts w:ascii="Times New Roman" w:hAnsi="Times New Roman"/>
      <w:sz w:val="24"/>
      <w:lang w:val="sl-SI" w:eastAsia="sl-SI"/>
    </w:rPr>
  </w:style>
  <w:style w:type="numbering" w:customStyle="1" w:styleId="Brezseznama11">
    <w:name w:val="Brez seznama11"/>
    <w:next w:val="Brezseznama"/>
    <w:uiPriority w:val="99"/>
    <w:semiHidden/>
    <w:unhideWhenUsed/>
    <w:rsid w:val="003077CA"/>
  </w:style>
  <w:style w:type="numbering" w:customStyle="1" w:styleId="Brezseznama111">
    <w:name w:val="Brez seznama111"/>
    <w:next w:val="Brezseznama"/>
    <w:uiPriority w:val="99"/>
    <w:semiHidden/>
    <w:unhideWhenUsed/>
    <w:rsid w:val="003077CA"/>
  </w:style>
  <w:style w:type="character" w:styleId="Poudarek">
    <w:name w:val="Emphasis"/>
    <w:uiPriority w:val="20"/>
    <w:qFormat/>
    <w:rsid w:val="003077CA"/>
    <w:rPr>
      <w:i/>
      <w:iCs/>
    </w:rPr>
  </w:style>
  <w:style w:type="paragraph" w:styleId="Konnaopomba-besedilo">
    <w:name w:val="endnote text"/>
    <w:basedOn w:val="Navaden"/>
    <w:link w:val="Konnaopomba-besediloZnak"/>
    <w:uiPriority w:val="99"/>
    <w:unhideWhenUsed/>
    <w:rsid w:val="003077CA"/>
    <w:pPr>
      <w:overflowPunct w:val="0"/>
      <w:autoSpaceDE w:val="0"/>
      <w:autoSpaceDN w:val="0"/>
      <w:adjustRightInd w:val="0"/>
      <w:spacing w:line="240" w:lineRule="auto"/>
      <w:jc w:val="both"/>
      <w:textAlignment w:val="baseline"/>
    </w:pPr>
    <w:rPr>
      <w:szCs w:val="20"/>
      <w:lang w:val="sl-SI" w:eastAsia="sl-SI"/>
    </w:rPr>
  </w:style>
  <w:style w:type="character" w:customStyle="1" w:styleId="Konnaopomba-besediloZnak">
    <w:name w:val="Končna opomba - besedilo Znak"/>
    <w:basedOn w:val="Privzetapisavaodstavka"/>
    <w:link w:val="Konnaopomba-besedilo"/>
    <w:uiPriority w:val="99"/>
    <w:rsid w:val="003077CA"/>
    <w:rPr>
      <w:rFonts w:ascii="Arial" w:hAnsi="Arial"/>
    </w:rPr>
  </w:style>
  <w:style w:type="character" w:styleId="Konnaopomba-sklic">
    <w:name w:val="endnote reference"/>
    <w:uiPriority w:val="99"/>
    <w:unhideWhenUsed/>
    <w:rsid w:val="003077CA"/>
    <w:rPr>
      <w:vertAlign w:val="superscript"/>
    </w:rPr>
  </w:style>
  <w:style w:type="character" w:customStyle="1" w:styleId="highlight">
    <w:name w:val="highlight"/>
    <w:basedOn w:val="Privzetapisavaodstavka"/>
    <w:rsid w:val="003077CA"/>
  </w:style>
  <w:style w:type="character" w:customStyle="1" w:styleId="fontstyle01">
    <w:name w:val="fontstyle01"/>
    <w:rsid w:val="003077CA"/>
    <w:rPr>
      <w:rFonts w:ascii="Arial" w:hAnsi="Arial" w:cs="Arial" w:hint="default"/>
      <w:b w:val="0"/>
      <w:bCs w:val="0"/>
      <w:i w:val="0"/>
      <w:iCs w:val="0"/>
      <w:color w:val="000000"/>
      <w:sz w:val="20"/>
      <w:szCs w:val="20"/>
    </w:rPr>
  </w:style>
  <w:style w:type="character" w:customStyle="1" w:styleId="Naslov5Znak">
    <w:name w:val="Naslov 5 Znak"/>
    <w:basedOn w:val="Privzetapisavaodstavka"/>
    <w:link w:val="Naslov5"/>
    <w:semiHidden/>
    <w:rsid w:val="00D31B7E"/>
    <w:rPr>
      <w:rFonts w:asciiTheme="majorHAnsi" w:eastAsiaTheme="majorEastAsia" w:hAnsiTheme="majorHAnsi" w:cstheme="majorBidi"/>
      <w:color w:val="2F5496" w:themeColor="accent1" w:themeShade="BF"/>
      <w:szCs w:val="24"/>
      <w:lang w:val="en-US" w:eastAsia="en-US"/>
    </w:rPr>
  </w:style>
  <w:style w:type="character" w:customStyle="1" w:styleId="Naslov6Znak">
    <w:name w:val="Naslov 6 Znak"/>
    <w:basedOn w:val="Privzetapisavaodstavka"/>
    <w:link w:val="Naslov6"/>
    <w:semiHidden/>
    <w:rsid w:val="00D31B7E"/>
    <w:rPr>
      <w:rFonts w:asciiTheme="majorHAnsi" w:eastAsiaTheme="majorEastAsia" w:hAnsiTheme="majorHAnsi" w:cstheme="majorBidi"/>
      <w:color w:val="1F3763" w:themeColor="accent1" w:themeShade="7F"/>
      <w:szCs w:val="24"/>
      <w:lang w:val="en-US" w:eastAsia="en-US"/>
    </w:rPr>
  </w:style>
  <w:style w:type="character" w:styleId="Krepko">
    <w:name w:val="Strong"/>
    <w:basedOn w:val="Privzetapisavaodstavka"/>
    <w:uiPriority w:val="22"/>
    <w:qFormat/>
    <w:rsid w:val="00D31B7E"/>
    <w:rPr>
      <w:b/>
      <w:bCs/>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2"/>
    <w:basedOn w:val="Navaden"/>
    <w:rsid w:val="000A51A5"/>
    <w:pPr>
      <w:spacing w:after="160" w:line="240" w:lineRule="exact"/>
    </w:pPr>
    <w:rPr>
      <w:rFonts w:ascii="Tahoma" w:hAnsi="Tahoma"/>
      <w:szCs w:val="20"/>
      <w:lang w:val="sl-SI"/>
    </w:rPr>
  </w:style>
  <w:style w:type="paragraph" w:customStyle="1" w:styleId="ZnakZnakZnakZnakZnakZnakZnakZnakZnakZnakZnakZnakZnakZnakZnakZnakZnakZnakZnakZnakZnakZnakZnakZnakZnakZnakZnakZnakZnakZnak10">
    <w:name w:val="Znak Znak Znak Znak Znak Znak Znak Znak Znak Znak Znak Znak Znak Znak Znak Znak Znak Znak Znak Znak Znak Znak Znak Znak Znak Znak Znak Znak Znak Znak1"/>
    <w:basedOn w:val="Navaden"/>
    <w:rsid w:val="000A51A5"/>
    <w:pPr>
      <w:spacing w:after="160" w:line="240" w:lineRule="exact"/>
    </w:pPr>
    <w:rPr>
      <w:rFonts w:ascii="Tahoma" w:hAnsi="Tahoma"/>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34623">
      <w:bodyDiv w:val="1"/>
      <w:marLeft w:val="0"/>
      <w:marRight w:val="0"/>
      <w:marTop w:val="0"/>
      <w:marBottom w:val="0"/>
      <w:divBdr>
        <w:top w:val="none" w:sz="0" w:space="0" w:color="auto"/>
        <w:left w:val="none" w:sz="0" w:space="0" w:color="auto"/>
        <w:bottom w:val="none" w:sz="0" w:space="0" w:color="auto"/>
        <w:right w:val="none" w:sz="0" w:space="0" w:color="auto"/>
      </w:divBdr>
    </w:div>
    <w:div w:id="24450250">
      <w:bodyDiv w:val="1"/>
      <w:marLeft w:val="0"/>
      <w:marRight w:val="0"/>
      <w:marTop w:val="0"/>
      <w:marBottom w:val="0"/>
      <w:divBdr>
        <w:top w:val="none" w:sz="0" w:space="0" w:color="auto"/>
        <w:left w:val="none" w:sz="0" w:space="0" w:color="auto"/>
        <w:bottom w:val="none" w:sz="0" w:space="0" w:color="auto"/>
        <w:right w:val="none" w:sz="0" w:space="0" w:color="auto"/>
      </w:divBdr>
    </w:div>
    <w:div w:id="116066521">
      <w:bodyDiv w:val="1"/>
      <w:marLeft w:val="0"/>
      <w:marRight w:val="0"/>
      <w:marTop w:val="0"/>
      <w:marBottom w:val="0"/>
      <w:divBdr>
        <w:top w:val="none" w:sz="0" w:space="0" w:color="auto"/>
        <w:left w:val="none" w:sz="0" w:space="0" w:color="auto"/>
        <w:bottom w:val="none" w:sz="0" w:space="0" w:color="auto"/>
        <w:right w:val="none" w:sz="0" w:space="0" w:color="auto"/>
      </w:divBdr>
    </w:div>
    <w:div w:id="122895360">
      <w:bodyDiv w:val="1"/>
      <w:marLeft w:val="0"/>
      <w:marRight w:val="0"/>
      <w:marTop w:val="0"/>
      <w:marBottom w:val="0"/>
      <w:divBdr>
        <w:top w:val="none" w:sz="0" w:space="0" w:color="auto"/>
        <w:left w:val="none" w:sz="0" w:space="0" w:color="auto"/>
        <w:bottom w:val="none" w:sz="0" w:space="0" w:color="auto"/>
        <w:right w:val="none" w:sz="0" w:space="0" w:color="auto"/>
      </w:divBdr>
    </w:div>
    <w:div w:id="144510752">
      <w:bodyDiv w:val="1"/>
      <w:marLeft w:val="0"/>
      <w:marRight w:val="0"/>
      <w:marTop w:val="0"/>
      <w:marBottom w:val="0"/>
      <w:divBdr>
        <w:top w:val="none" w:sz="0" w:space="0" w:color="auto"/>
        <w:left w:val="none" w:sz="0" w:space="0" w:color="auto"/>
        <w:bottom w:val="none" w:sz="0" w:space="0" w:color="auto"/>
        <w:right w:val="none" w:sz="0" w:space="0" w:color="auto"/>
      </w:divBdr>
    </w:div>
    <w:div w:id="215316987">
      <w:bodyDiv w:val="1"/>
      <w:marLeft w:val="0"/>
      <w:marRight w:val="0"/>
      <w:marTop w:val="0"/>
      <w:marBottom w:val="0"/>
      <w:divBdr>
        <w:top w:val="none" w:sz="0" w:space="0" w:color="auto"/>
        <w:left w:val="none" w:sz="0" w:space="0" w:color="auto"/>
        <w:bottom w:val="none" w:sz="0" w:space="0" w:color="auto"/>
        <w:right w:val="none" w:sz="0" w:space="0" w:color="auto"/>
      </w:divBdr>
    </w:div>
    <w:div w:id="250311870">
      <w:bodyDiv w:val="1"/>
      <w:marLeft w:val="0"/>
      <w:marRight w:val="0"/>
      <w:marTop w:val="0"/>
      <w:marBottom w:val="0"/>
      <w:divBdr>
        <w:top w:val="none" w:sz="0" w:space="0" w:color="auto"/>
        <w:left w:val="none" w:sz="0" w:space="0" w:color="auto"/>
        <w:bottom w:val="none" w:sz="0" w:space="0" w:color="auto"/>
        <w:right w:val="none" w:sz="0" w:space="0" w:color="auto"/>
      </w:divBdr>
      <w:divsChild>
        <w:div w:id="2116245917">
          <w:marLeft w:val="0"/>
          <w:marRight w:val="0"/>
          <w:marTop w:val="480"/>
          <w:marBottom w:val="0"/>
          <w:divBdr>
            <w:top w:val="none" w:sz="0" w:space="0" w:color="auto"/>
            <w:left w:val="none" w:sz="0" w:space="0" w:color="auto"/>
            <w:bottom w:val="none" w:sz="0" w:space="0" w:color="auto"/>
            <w:right w:val="none" w:sz="0" w:space="0" w:color="auto"/>
          </w:divBdr>
        </w:div>
        <w:div w:id="215163883">
          <w:marLeft w:val="0"/>
          <w:marRight w:val="0"/>
          <w:marTop w:val="480"/>
          <w:marBottom w:val="0"/>
          <w:divBdr>
            <w:top w:val="none" w:sz="0" w:space="0" w:color="auto"/>
            <w:left w:val="none" w:sz="0" w:space="0" w:color="auto"/>
            <w:bottom w:val="none" w:sz="0" w:space="0" w:color="auto"/>
            <w:right w:val="none" w:sz="0" w:space="0" w:color="auto"/>
          </w:divBdr>
        </w:div>
        <w:div w:id="1861116705">
          <w:marLeft w:val="0"/>
          <w:marRight w:val="0"/>
          <w:marTop w:val="240"/>
          <w:marBottom w:val="0"/>
          <w:divBdr>
            <w:top w:val="none" w:sz="0" w:space="0" w:color="auto"/>
            <w:left w:val="none" w:sz="0" w:space="0" w:color="auto"/>
            <w:bottom w:val="none" w:sz="0" w:space="0" w:color="auto"/>
            <w:right w:val="none" w:sz="0" w:space="0" w:color="auto"/>
          </w:divBdr>
        </w:div>
        <w:div w:id="2074043316">
          <w:marLeft w:val="0"/>
          <w:marRight w:val="0"/>
          <w:marTop w:val="240"/>
          <w:marBottom w:val="0"/>
          <w:divBdr>
            <w:top w:val="none" w:sz="0" w:space="0" w:color="auto"/>
            <w:left w:val="none" w:sz="0" w:space="0" w:color="auto"/>
            <w:bottom w:val="none" w:sz="0" w:space="0" w:color="auto"/>
            <w:right w:val="none" w:sz="0" w:space="0" w:color="auto"/>
          </w:divBdr>
        </w:div>
        <w:div w:id="184445468">
          <w:marLeft w:val="0"/>
          <w:marRight w:val="0"/>
          <w:marTop w:val="240"/>
          <w:marBottom w:val="0"/>
          <w:divBdr>
            <w:top w:val="none" w:sz="0" w:space="0" w:color="auto"/>
            <w:left w:val="none" w:sz="0" w:space="0" w:color="auto"/>
            <w:bottom w:val="none" w:sz="0" w:space="0" w:color="auto"/>
            <w:right w:val="none" w:sz="0" w:space="0" w:color="auto"/>
          </w:divBdr>
        </w:div>
        <w:div w:id="1526793250">
          <w:marLeft w:val="425"/>
          <w:marRight w:val="0"/>
          <w:marTop w:val="0"/>
          <w:marBottom w:val="0"/>
          <w:divBdr>
            <w:top w:val="none" w:sz="0" w:space="0" w:color="auto"/>
            <w:left w:val="none" w:sz="0" w:space="0" w:color="auto"/>
            <w:bottom w:val="none" w:sz="0" w:space="0" w:color="auto"/>
            <w:right w:val="none" w:sz="0" w:space="0" w:color="auto"/>
          </w:divBdr>
        </w:div>
        <w:div w:id="618680492">
          <w:marLeft w:val="425"/>
          <w:marRight w:val="0"/>
          <w:marTop w:val="0"/>
          <w:marBottom w:val="0"/>
          <w:divBdr>
            <w:top w:val="none" w:sz="0" w:space="0" w:color="auto"/>
            <w:left w:val="none" w:sz="0" w:space="0" w:color="auto"/>
            <w:bottom w:val="none" w:sz="0" w:space="0" w:color="auto"/>
            <w:right w:val="none" w:sz="0" w:space="0" w:color="auto"/>
          </w:divBdr>
        </w:div>
        <w:div w:id="144012632">
          <w:marLeft w:val="425"/>
          <w:marRight w:val="0"/>
          <w:marTop w:val="0"/>
          <w:marBottom w:val="0"/>
          <w:divBdr>
            <w:top w:val="none" w:sz="0" w:space="0" w:color="auto"/>
            <w:left w:val="none" w:sz="0" w:space="0" w:color="auto"/>
            <w:bottom w:val="none" w:sz="0" w:space="0" w:color="auto"/>
            <w:right w:val="none" w:sz="0" w:space="0" w:color="auto"/>
          </w:divBdr>
        </w:div>
        <w:div w:id="1682901307">
          <w:marLeft w:val="425"/>
          <w:marRight w:val="0"/>
          <w:marTop w:val="0"/>
          <w:marBottom w:val="0"/>
          <w:divBdr>
            <w:top w:val="none" w:sz="0" w:space="0" w:color="auto"/>
            <w:left w:val="none" w:sz="0" w:space="0" w:color="auto"/>
            <w:bottom w:val="none" w:sz="0" w:space="0" w:color="auto"/>
            <w:right w:val="none" w:sz="0" w:space="0" w:color="auto"/>
          </w:divBdr>
        </w:div>
        <w:div w:id="826752664">
          <w:marLeft w:val="425"/>
          <w:marRight w:val="0"/>
          <w:marTop w:val="0"/>
          <w:marBottom w:val="0"/>
          <w:divBdr>
            <w:top w:val="none" w:sz="0" w:space="0" w:color="auto"/>
            <w:left w:val="none" w:sz="0" w:space="0" w:color="auto"/>
            <w:bottom w:val="none" w:sz="0" w:space="0" w:color="auto"/>
            <w:right w:val="none" w:sz="0" w:space="0" w:color="auto"/>
          </w:divBdr>
        </w:div>
        <w:div w:id="1466924625">
          <w:marLeft w:val="0"/>
          <w:marRight w:val="0"/>
          <w:marTop w:val="240"/>
          <w:marBottom w:val="0"/>
          <w:divBdr>
            <w:top w:val="none" w:sz="0" w:space="0" w:color="auto"/>
            <w:left w:val="none" w:sz="0" w:space="0" w:color="auto"/>
            <w:bottom w:val="none" w:sz="0" w:space="0" w:color="auto"/>
            <w:right w:val="none" w:sz="0" w:space="0" w:color="auto"/>
          </w:divBdr>
        </w:div>
        <w:div w:id="281426964">
          <w:marLeft w:val="0"/>
          <w:marRight w:val="0"/>
          <w:marTop w:val="240"/>
          <w:marBottom w:val="0"/>
          <w:divBdr>
            <w:top w:val="none" w:sz="0" w:space="0" w:color="auto"/>
            <w:left w:val="none" w:sz="0" w:space="0" w:color="auto"/>
            <w:bottom w:val="none" w:sz="0" w:space="0" w:color="auto"/>
            <w:right w:val="none" w:sz="0" w:space="0" w:color="auto"/>
          </w:divBdr>
        </w:div>
        <w:div w:id="1482387006">
          <w:marLeft w:val="0"/>
          <w:marRight w:val="0"/>
          <w:marTop w:val="240"/>
          <w:marBottom w:val="0"/>
          <w:divBdr>
            <w:top w:val="none" w:sz="0" w:space="0" w:color="auto"/>
            <w:left w:val="none" w:sz="0" w:space="0" w:color="auto"/>
            <w:bottom w:val="none" w:sz="0" w:space="0" w:color="auto"/>
            <w:right w:val="none" w:sz="0" w:space="0" w:color="auto"/>
          </w:divBdr>
        </w:div>
        <w:div w:id="1806386133">
          <w:marLeft w:val="0"/>
          <w:marRight w:val="0"/>
          <w:marTop w:val="240"/>
          <w:marBottom w:val="0"/>
          <w:divBdr>
            <w:top w:val="none" w:sz="0" w:space="0" w:color="auto"/>
            <w:left w:val="none" w:sz="0" w:space="0" w:color="auto"/>
            <w:bottom w:val="none" w:sz="0" w:space="0" w:color="auto"/>
            <w:right w:val="none" w:sz="0" w:space="0" w:color="auto"/>
          </w:divBdr>
        </w:div>
        <w:div w:id="1575702335">
          <w:marLeft w:val="0"/>
          <w:marRight w:val="0"/>
          <w:marTop w:val="240"/>
          <w:marBottom w:val="0"/>
          <w:divBdr>
            <w:top w:val="none" w:sz="0" w:space="0" w:color="auto"/>
            <w:left w:val="none" w:sz="0" w:space="0" w:color="auto"/>
            <w:bottom w:val="none" w:sz="0" w:space="0" w:color="auto"/>
            <w:right w:val="none" w:sz="0" w:space="0" w:color="auto"/>
          </w:divBdr>
        </w:div>
        <w:div w:id="1398094340">
          <w:marLeft w:val="0"/>
          <w:marRight w:val="0"/>
          <w:marTop w:val="240"/>
          <w:marBottom w:val="0"/>
          <w:divBdr>
            <w:top w:val="none" w:sz="0" w:space="0" w:color="auto"/>
            <w:left w:val="none" w:sz="0" w:space="0" w:color="auto"/>
            <w:bottom w:val="none" w:sz="0" w:space="0" w:color="auto"/>
            <w:right w:val="none" w:sz="0" w:space="0" w:color="auto"/>
          </w:divBdr>
        </w:div>
        <w:div w:id="1364940055">
          <w:marLeft w:val="0"/>
          <w:marRight w:val="0"/>
          <w:marTop w:val="240"/>
          <w:marBottom w:val="0"/>
          <w:divBdr>
            <w:top w:val="none" w:sz="0" w:space="0" w:color="auto"/>
            <w:left w:val="none" w:sz="0" w:space="0" w:color="auto"/>
            <w:bottom w:val="none" w:sz="0" w:space="0" w:color="auto"/>
            <w:right w:val="none" w:sz="0" w:space="0" w:color="auto"/>
          </w:divBdr>
        </w:div>
        <w:div w:id="2115517771">
          <w:marLeft w:val="0"/>
          <w:marRight w:val="0"/>
          <w:marTop w:val="240"/>
          <w:marBottom w:val="0"/>
          <w:divBdr>
            <w:top w:val="none" w:sz="0" w:space="0" w:color="auto"/>
            <w:left w:val="none" w:sz="0" w:space="0" w:color="auto"/>
            <w:bottom w:val="none" w:sz="0" w:space="0" w:color="auto"/>
            <w:right w:val="none" w:sz="0" w:space="0" w:color="auto"/>
          </w:divBdr>
        </w:div>
        <w:div w:id="168297643">
          <w:marLeft w:val="0"/>
          <w:marRight w:val="0"/>
          <w:marTop w:val="480"/>
          <w:marBottom w:val="0"/>
          <w:divBdr>
            <w:top w:val="none" w:sz="0" w:space="0" w:color="auto"/>
            <w:left w:val="none" w:sz="0" w:space="0" w:color="auto"/>
            <w:bottom w:val="none" w:sz="0" w:space="0" w:color="auto"/>
            <w:right w:val="none" w:sz="0" w:space="0" w:color="auto"/>
          </w:divBdr>
        </w:div>
        <w:div w:id="376668135">
          <w:marLeft w:val="0"/>
          <w:marRight w:val="0"/>
          <w:marTop w:val="480"/>
          <w:marBottom w:val="0"/>
          <w:divBdr>
            <w:top w:val="none" w:sz="0" w:space="0" w:color="auto"/>
            <w:left w:val="none" w:sz="0" w:space="0" w:color="auto"/>
            <w:bottom w:val="none" w:sz="0" w:space="0" w:color="auto"/>
            <w:right w:val="none" w:sz="0" w:space="0" w:color="auto"/>
          </w:divBdr>
        </w:div>
        <w:div w:id="1703357885">
          <w:marLeft w:val="0"/>
          <w:marRight w:val="0"/>
          <w:marTop w:val="240"/>
          <w:marBottom w:val="0"/>
          <w:divBdr>
            <w:top w:val="none" w:sz="0" w:space="0" w:color="auto"/>
            <w:left w:val="none" w:sz="0" w:space="0" w:color="auto"/>
            <w:bottom w:val="none" w:sz="0" w:space="0" w:color="auto"/>
            <w:right w:val="none" w:sz="0" w:space="0" w:color="auto"/>
          </w:divBdr>
        </w:div>
        <w:div w:id="1098788843">
          <w:marLeft w:val="425"/>
          <w:marRight w:val="0"/>
          <w:marTop w:val="0"/>
          <w:marBottom w:val="0"/>
          <w:divBdr>
            <w:top w:val="none" w:sz="0" w:space="0" w:color="auto"/>
            <w:left w:val="none" w:sz="0" w:space="0" w:color="auto"/>
            <w:bottom w:val="none" w:sz="0" w:space="0" w:color="auto"/>
            <w:right w:val="none" w:sz="0" w:space="0" w:color="auto"/>
          </w:divBdr>
        </w:div>
        <w:div w:id="1813214797">
          <w:marLeft w:val="425"/>
          <w:marRight w:val="0"/>
          <w:marTop w:val="0"/>
          <w:marBottom w:val="0"/>
          <w:divBdr>
            <w:top w:val="none" w:sz="0" w:space="0" w:color="auto"/>
            <w:left w:val="none" w:sz="0" w:space="0" w:color="auto"/>
            <w:bottom w:val="none" w:sz="0" w:space="0" w:color="auto"/>
            <w:right w:val="none" w:sz="0" w:space="0" w:color="auto"/>
          </w:divBdr>
        </w:div>
        <w:div w:id="342129975">
          <w:marLeft w:val="425"/>
          <w:marRight w:val="0"/>
          <w:marTop w:val="0"/>
          <w:marBottom w:val="0"/>
          <w:divBdr>
            <w:top w:val="none" w:sz="0" w:space="0" w:color="auto"/>
            <w:left w:val="none" w:sz="0" w:space="0" w:color="auto"/>
            <w:bottom w:val="none" w:sz="0" w:space="0" w:color="auto"/>
            <w:right w:val="none" w:sz="0" w:space="0" w:color="auto"/>
          </w:divBdr>
        </w:div>
        <w:div w:id="1310938624">
          <w:marLeft w:val="0"/>
          <w:marRight w:val="0"/>
          <w:marTop w:val="240"/>
          <w:marBottom w:val="0"/>
          <w:divBdr>
            <w:top w:val="none" w:sz="0" w:space="0" w:color="auto"/>
            <w:left w:val="none" w:sz="0" w:space="0" w:color="auto"/>
            <w:bottom w:val="none" w:sz="0" w:space="0" w:color="auto"/>
            <w:right w:val="none" w:sz="0" w:space="0" w:color="auto"/>
          </w:divBdr>
        </w:div>
        <w:div w:id="1596132995">
          <w:marLeft w:val="0"/>
          <w:marRight w:val="0"/>
          <w:marTop w:val="480"/>
          <w:marBottom w:val="0"/>
          <w:divBdr>
            <w:top w:val="none" w:sz="0" w:space="0" w:color="auto"/>
            <w:left w:val="none" w:sz="0" w:space="0" w:color="auto"/>
            <w:bottom w:val="none" w:sz="0" w:space="0" w:color="auto"/>
            <w:right w:val="none" w:sz="0" w:space="0" w:color="auto"/>
          </w:divBdr>
        </w:div>
        <w:div w:id="1321498139">
          <w:marLeft w:val="0"/>
          <w:marRight w:val="0"/>
          <w:marTop w:val="480"/>
          <w:marBottom w:val="0"/>
          <w:divBdr>
            <w:top w:val="none" w:sz="0" w:space="0" w:color="auto"/>
            <w:left w:val="none" w:sz="0" w:space="0" w:color="auto"/>
            <w:bottom w:val="none" w:sz="0" w:space="0" w:color="auto"/>
            <w:right w:val="none" w:sz="0" w:space="0" w:color="auto"/>
          </w:divBdr>
        </w:div>
        <w:div w:id="385448186">
          <w:marLeft w:val="0"/>
          <w:marRight w:val="0"/>
          <w:marTop w:val="240"/>
          <w:marBottom w:val="0"/>
          <w:divBdr>
            <w:top w:val="none" w:sz="0" w:space="0" w:color="auto"/>
            <w:left w:val="none" w:sz="0" w:space="0" w:color="auto"/>
            <w:bottom w:val="none" w:sz="0" w:space="0" w:color="auto"/>
            <w:right w:val="none" w:sz="0" w:space="0" w:color="auto"/>
          </w:divBdr>
        </w:div>
        <w:div w:id="1090002278">
          <w:marLeft w:val="0"/>
          <w:marRight w:val="0"/>
          <w:marTop w:val="240"/>
          <w:marBottom w:val="0"/>
          <w:divBdr>
            <w:top w:val="none" w:sz="0" w:space="0" w:color="auto"/>
            <w:left w:val="none" w:sz="0" w:space="0" w:color="auto"/>
            <w:bottom w:val="none" w:sz="0" w:space="0" w:color="auto"/>
            <w:right w:val="none" w:sz="0" w:space="0" w:color="auto"/>
          </w:divBdr>
        </w:div>
        <w:div w:id="1403723192">
          <w:marLeft w:val="0"/>
          <w:marRight w:val="0"/>
          <w:marTop w:val="240"/>
          <w:marBottom w:val="0"/>
          <w:divBdr>
            <w:top w:val="none" w:sz="0" w:space="0" w:color="auto"/>
            <w:left w:val="none" w:sz="0" w:space="0" w:color="auto"/>
            <w:bottom w:val="none" w:sz="0" w:space="0" w:color="auto"/>
            <w:right w:val="none" w:sz="0" w:space="0" w:color="auto"/>
          </w:divBdr>
        </w:div>
        <w:div w:id="753824005">
          <w:marLeft w:val="0"/>
          <w:marRight w:val="0"/>
          <w:marTop w:val="240"/>
          <w:marBottom w:val="0"/>
          <w:divBdr>
            <w:top w:val="none" w:sz="0" w:space="0" w:color="auto"/>
            <w:left w:val="none" w:sz="0" w:space="0" w:color="auto"/>
            <w:bottom w:val="none" w:sz="0" w:space="0" w:color="auto"/>
            <w:right w:val="none" w:sz="0" w:space="0" w:color="auto"/>
          </w:divBdr>
        </w:div>
        <w:div w:id="1977102677">
          <w:marLeft w:val="0"/>
          <w:marRight w:val="0"/>
          <w:marTop w:val="240"/>
          <w:marBottom w:val="0"/>
          <w:divBdr>
            <w:top w:val="none" w:sz="0" w:space="0" w:color="auto"/>
            <w:left w:val="none" w:sz="0" w:space="0" w:color="auto"/>
            <w:bottom w:val="none" w:sz="0" w:space="0" w:color="auto"/>
            <w:right w:val="none" w:sz="0" w:space="0" w:color="auto"/>
          </w:divBdr>
        </w:div>
        <w:div w:id="723256801">
          <w:marLeft w:val="0"/>
          <w:marRight w:val="0"/>
          <w:marTop w:val="480"/>
          <w:marBottom w:val="0"/>
          <w:divBdr>
            <w:top w:val="none" w:sz="0" w:space="0" w:color="auto"/>
            <w:left w:val="none" w:sz="0" w:space="0" w:color="auto"/>
            <w:bottom w:val="none" w:sz="0" w:space="0" w:color="auto"/>
            <w:right w:val="none" w:sz="0" w:space="0" w:color="auto"/>
          </w:divBdr>
        </w:div>
        <w:div w:id="557939861">
          <w:marLeft w:val="0"/>
          <w:marRight w:val="0"/>
          <w:marTop w:val="480"/>
          <w:marBottom w:val="0"/>
          <w:divBdr>
            <w:top w:val="none" w:sz="0" w:space="0" w:color="auto"/>
            <w:left w:val="none" w:sz="0" w:space="0" w:color="auto"/>
            <w:bottom w:val="none" w:sz="0" w:space="0" w:color="auto"/>
            <w:right w:val="none" w:sz="0" w:space="0" w:color="auto"/>
          </w:divBdr>
        </w:div>
        <w:div w:id="422917692">
          <w:marLeft w:val="0"/>
          <w:marRight w:val="0"/>
          <w:marTop w:val="240"/>
          <w:marBottom w:val="0"/>
          <w:divBdr>
            <w:top w:val="none" w:sz="0" w:space="0" w:color="auto"/>
            <w:left w:val="none" w:sz="0" w:space="0" w:color="auto"/>
            <w:bottom w:val="none" w:sz="0" w:space="0" w:color="auto"/>
            <w:right w:val="none" w:sz="0" w:space="0" w:color="auto"/>
          </w:divBdr>
        </w:div>
        <w:div w:id="563372074">
          <w:marLeft w:val="0"/>
          <w:marRight w:val="0"/>
          <w:marTop w:val="240"/>
          <w:marBottom w:val="0"/>
          <w:divBdr>
            <w:top w:val="none" w:sz="0" w:space="0" w:color="auto"/>
            <w:left w:val="none" w:sz="0" w:space="0" w:color="auto"/>
            <w:bottom w:val="none" w:sz="0" w:space="0" w:color="auto"/>
            <w:right w:val="none" w:sz="0" w:space="0" w:color="auto"/>
          </w:divBdr>
        </w:div>
        <w:div w:id="1241913164">
          <w:marLeft w:val="0"/>
          <w:marRight w:val="0"/>
          <w:marTop w:val="240"/>
          <w:marBottom w:val="0"/>
          <w:divBdr>
            <w:top w:val="none" w:sz="0" w:space="0" w:color="auto"/>
            <w:left w:val="none" w:sz="0" w:space="0" w:color="auto"/>
            <w:bottom w:val="none" w:sz="0" w:space="0" w:color="auto"/>
            <w:right w:val="none" w:sz="0" w:space="0" w:color="auto"/>
          </w:divBdr>
        </w:div>
        <w:div w:id="1004742621">
          <w:marLeft w:val="0"/>
          <w:marRight w:val="0"/>
          <w:marTop w:val="240"/>
          <w:marBottom w:val="0"/>
          <w:divBdr>
            <w:top w:val="none" w:sz="0" w:space="0" w:color="auto"/>
            <w:left w:val="none" w:sz="0" w:space="0" w:color="auto"/>
            <w:bottom w:val="none" w:sz="0" w:space="0" w:color="auto"/>
            <w:right w:val="none" w:sz="0" w:space="0" w:color="auto"/>
          </w:divBdr>
        </w:div>
        <w:div w:id="1769352744">
          <w:marLeft w:val="0"/>
          <w:marRight w:val="0"/>
          <w:marTop w:val="240"/>
          <w:marBottom w:val="0"/>
          <w:divBdr>
            <w:top w:val="none" w:sz="0" w:space="0" w:color="auto"/>
            <w:left w:val="none" w:sz="0" w:space="0" w:color="auto"/>
            <w:bottom w:val="none" w:sz="0" w:space="0" w:color="auto"/>
            <w:right w:val="none" w:sz="0" w:space="0" w:color="auto"/>
          </w:divBdr>
        </w:div>
        <w:div w:id="1423184788">
          <w:marLeft w:val="0"/>
          <w:marRight w:val="0"/>
          <w:marTop w:val="240"/>
          <w:marBottom w:val="0"/>
          <w:divBdr>
            <w:top w:val="none" w:sz="0" w:space="0" w:color="auto"/>
            <w:left w:val="none" w:sz="0" w:space="0" w:color="auto"/>
            <w:bottom w:val="none" w:sz="0" w:space="0" w:color="auto"/>
            <w:right w:val="none" w:sz="0" w:space="0" w:color="auto"/>
          </w:divBdr>
        </w:div>
        <w:div w:id="859200846">
          <w:marLeft w:val="0"/>
          <w:marRight w:val="0"/>
          <w:marTop w:val="480"/>
          <w:marBottom w:val="0"/>
          <w:divBdr>
            <w:top w:val="none" w:sz="0" w:space="0" w:color="auto"/>
            <w:left w:val="none" w:sz="0" w:space="0" w:color="auto"/>
            <w:bottom w:val="none" w:sz="0" w:space="0" w:color="auto"/>
            <w:right w:val="none" w:sz="0" w:space="0" w:color="auto"/>
          </w:divBdr>
        </w:div>
        <w:div w:id="660279201">
          <w:marLeft w:val="0"/>
          <w:marRight w:val="0"/>
          <w:marTop w:val="480"/>
          <w:marBottom w:val="0"/>
          <w:divBdr>
            <w:top w:val="none" w:sz="0" w:space="0" w:color="auto"/>
            <w:left w:val="none" w:sz="0" w:space="0" w:color="auto"/>
            <w:bottom w:val="none" w:sz="0" w:space="0" w:color="auto"/>
            <w:right w:val="none" w:sz="0" w:space="0" w:color="auto"/>
          </w:divBdr>
        </w:div>
        <w:div w:id="505094767">
          <w:marLeft w:val="0"/>
          <w:marRight w:val="0"/>
          <w:marTop w:val="240"/>
          <w:marBottom w:val="0"/>
          <w:divBdr>
            <w:top w:val="none" w:sz="0" w:space="0" w:color="auto"/>
            <w:left w:val="none" w:sz="0" w:space="0" w:color="auto"/>
            <w:bottom w:val="none" w:sz="0" w:space="0" w:color="auto"/>
            <w:right w:val="none" w:sz="0" w:space="0" w:color="auto"/>
          </w:divBdr>
        </w:div>
      </w:divsChild>
    </w:div>
    <w:div w:id="255091893">
      <w:bodyDiv w:val="1"/>
      <w:marLeft w:val="0"/>
      <w:marRight w:val="0"/>
      <w:marTop w:val="0"/>
      <w:marBottom w:val="0"/>
      <w:divBdr>
        <w:top w:val="none" w:sz="0" w:space="0" w:color="auto"/>
        <w:left w:val="none" w:sz="0" w:space="0" w:color="auto"/>
        <w:bottom w:val="none" w:sz="0" w:space="0" w:color="auto"/>
        <w:right w:val="none" w:sz="0" w:space="0" w:color="auto"/>
      </w:divBdr>
    </w:div>
    <w:div w:id="271135192">
      <w:bodyDiv w:val="1"/>
      <w:marLeft w:val="0"/>
      <w:marRight w:val="0"/>
      <w:marTop w:val="0"/>
      <w:marBottom w:val="0"/>
      <w:divBdr>
        <w:top w:val="none" w:sz="0" w:space="0" w:color="auto"/>
        <w:left w:val="none" w:sz="0" w:space="0" w:color="auto"/>
        <w:bottom w:val="none" w:sz="0" w:space="0" w:color="auto"/>
        <w:right w:val="none" w:sz="0" w:space="0" w:color="auto"/>
      </w:divBdr>
    </w:div>
    <w:div w:id="354235430">
      <w:bodyDiv w:val="1"/>
      <w:marLeft w:val="0"/>
      <w:marRight w:val="0"/>
      <w:marTop w:val="0"/>
      <w:marBottom w:val="0"/>
      <w:divBdr>
        <w:top w:val="none" w:sz="0" w:space="0" w:color="auto"/>
        <w:left w:val="none" w:sz="0" w:space="0" w:color="auto"/>
        <w:bottom w:val="none" w:sz="0" w:space="0" w:color="auto"/>
        <w:right w:val="none" w:sz="0" w:space="0" w:color="auto"/>
      </w:divBdr>
    </w:div>
    <w:div w:id="365375317">
      <w:bodyDiv w:val="1"/>
      <w:marLeft w:val="0"/>
      <w:marRight w:val="0"/>
      <w:marTop w:val="0"/>
      <w:marBottom w:val="0"/>
      <w:divBdr>
        <w:top w:val="none" w:sz="0" w:space="0" w:color="auto"/>
        <w:left w:val="none" w:sz="0" w:space="0" w:color="auto"/>
        <w:bottom w:val="none" w:sz="0" w:space="0" w:color="auto"/>
        <w:right w:val="none" w:sz="0" w:space="0" w:color="auto"/>
      </w:divBdr>
    </w:div>
    <w:div w:id="387413889">
      <w:bodyDiv w:val="1"/>
      <w:marLeft w:val="0"/>
      <w:marRight w:val="0"/>
      <w:marTop w:val="0"/>
      <w:marBottom w:val="0"/>
      <w:divBdr>
        <w:top w:val="none" w:sz="0" w:space="0" w:color="auto"/>
        <w:left w:val="none" w:sz="0" w:space="0" w:color="auto"/>
        <w:bottom w:val="none" w:sz="0" w:space="0" w:color="auto"/>
        <w:right w:val="none" w:sz="0" w:space="0" w:color="auto"/>
      </w:divBdr>
      <w:divsChild>
        <w:div w:id="895974346">
          <w:marLeft w:val="0"/>
          <w:marRight w:val="0"/>
          <w:marTop w:val="0"/>
          <w:marBottom w:val="0"/>
          <w:divBdr>
            <w:top w:val="none" w:sz="0" w:space="0" w:color="auto"/>
            <w:left w:val="none" w:sz="0" w:space="0" w:color="auto"/>
            <w:bottom w:val="none" w:sz="0" w:space="0" w:color="auto"/>
            <w:right w:val="none" w:sz="0" w:space="0" w:color="auto"/>
          </w:divBdr>
          <w:divsChild>
            <w:div w:id="564874297">
              <w:marLeft w:val="0"/>
              <w:marRight w:val="0"/>
              <w:marTop w:val="0"/>
              <w:marBottom w:val="0"/>
              <w:divBdr>
                <w:top w:val="none" w:sz="0" w:space="0" w:color="auto"/>
                <w:left w:val="none" w:sz="0" w:space="0" w:color="auto"/>
                <w:bottom w:val="none" w:sz="0" w:space="0" w:color="auto"/>
                <w:right w:val="none" w:sz="0" w:space="0" w:color="auto"/>
              </w:divBdr>
              <w:divsChild>
                <w:div w:id="2124034536">
                  <w:marLeft w:val="0"/>
                  <w:marRight w:val="0"/>
                  <w:marTop w:val="0"/>
                  <w:marBottom w:val="0"/>
                  <w:divBdr>
                    <w:top w:val="none" w:sz="0" w:space="0" w:color="auto"/>
                    <w:left w:val="none" w:sz="0" w:space="0" w:color="auto"/>
                    <w:bottom w:val="none" w:sz="0" w:space="0" w:color="auto"/>
                    <w:right w:val="none" w:sz="0" w:space="0" w:color="auto"/>
                  </w:divBdr>
                  <w:divsChild>
                    <w:div w:id="50967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991262">
          <w:marLeft w:val="0"/>
          <w:marRight w:val="0"/>
          <w:marTop w:val="0"/>
          <w:marBottom w:val="0"/>
          <w:divBdr>
            <w:top w:val="none" w:sz="0" w:space="0" w:color="auto"/>
            <w:left w:val="none" w:sz="0" w:space="0" w:color="auto"/>
            <w:bottom w:val="none" w:sz="0" w:space="0" w:color="auto"/>
            <w:right w:val="none" w:sz="0" w:space="0" w:color="auto"/>
          </w:divBdr>
          <w:divsChild>
            <w:div w:id="1055810506">
              <w:marLeft w:val="0"/>
              <w:marRight w:val="0"/>
              <w:marTop w:val="0"/>
              <w:marBottom w:val="0"/>
              <w:divBdr>
                <w:top w:val="none" w:sz="0" w:space="0" w:color="auto"/>
                <w:left w:val="none" w:sz="0" w:space="0" w:color="auto"/>
                <w:bottom w:val="none" w:sz="0" w:space="0" w:color="auto"/>
                <w:right w:val="none" w:sz="0" w:space="0" w:color="auto"/>
              </w:divBdr>
              <w:divsChild>
                <w:div w:id="58846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842344">
      <w:bodyDiv w:val="1"/>
      <w:marLeft w:val="0"/>
      <w:marRight w:val="0"/>
      <w:marTop w:val="0"/>
      <w:marBottom w:val="0"/>
      <w:divBdr>
        <w:top w:val="none" w:sz="0" w:space="0" w:color="auto"/>
        <w:left w:val="none" w:sz="0" w:space="0" w:color="auto"/>
        <w:bottom w:val="none" w:sz="0" w:space="0" w:color="auto"/>
        <w:right w:val="none" w:sz="0" w:space="0" w:color="auto"/>
      </w:divBdr>
      <w:divsChild>
        <w:div w:id="729575713">
          <w:marLeft w:val="0"/>
          <w:marRight w:val="0"/>
          <w:marTop w:val="480"/>
          <w:marBottom w:val="0"/>
          <w:divBdr>
            <w:top w:val="none" w:sz="0" w:space="0" w:color="auto"/>
            <w:left w:val="none" w:sz="0" w:space="0" w:color="auto"/>
            <w:bottom w:val="none" w:sz="0" w:space="0" w:color="auto"/>
            <w:right w:val="none" w:sz="0" w:space="0" w:color="auto"/>
          </w:divBdr>
        </w:div>
        <w:div w:id="601569461">
          <w:marLeft w:val="0"/>
          <w:marRight w:val="0"/>
          <w:marTop w:val="480"/>
          <w:marBottom w:val="0"/>
          <w:divBdr>
            <w:top w:val="none" w:sz="0" w:space="0" w:color="auto"/>
            <w:left w:val="none" w:sz="0" w:space="0" w:color="auto"/>
            <w:bottom w:val="none" w:sz="0" w:space="0" w:color="auto"/>
            <w:right w:val="none" w:sz="0" w:space="0" w:color="auto"/>
          </w:divBdr>
        </w:div>
      </w:divsChild>
    </w:div>
    <w:div w:id="465858450">
      <w:bodyDiv w:val="1"/>
      <w:marLeft w:val="0"/>
      <w:marRight w:val="0"/>
      <w:marTop w:val="0"/>
      <w:marBottom w:val="0"/>
      <w:divBdr>
        <w:top w:val="none" w:sz="0" w:space="0" w:color="auto"/>
        <w:left w:val="none" w:sz="0" w:space="0" w:color="auto"/>
        <w:bottom w:val="none" w:sz="0" w:space="0" w:color="auto"/>
        <w:right w:val="none" w:sz="0" w:space="0" w:color="auto"/>
      </w:divBdr>
    </w:div>
    <w:div w:id="483594994">
      <w:bodyDiv w:val="1"/>
      <w:marLeft w:val="0"/>
      <w:marRight w:val="0"/>
      <w:marTop w:val="0"/>
      <w:marBottom w:val="0"/>
      <w:divBdr>
        <w:top w:val="none" w:sz="0" w:space="0" w:color="auto"/>
        <w:left w:val="none" w:sz="0" w:space="0" w:color="auto"/>
        <w:bottom w:val="none" w:sz="0" w:space="0" w:color="auto"/>
        <w:right w:val="none" w:sz="0" w:space="0" w:color="auto"/>
      </w:divBdr>
    </w:div>
    <w:div w:id="534806181">
      <w:bodyDiv w:val="1"/>
      <w:marLeft w:val="0"/>
      <w:marRight w:val="0"/>
      <w:marTop w:val="0"/>
      <w:marBottom w:val="0"/>
      <w:divBdr>
        <w:top w:val="none" w:sz="0" w:space="0" w:color="auto"/>
        <w:left w:val="none" w:sz="0" w:space="0" w:color="auto"/>
        <w:bottom w:val="none" w:sz="0" w:space="0" w:color="auto"/>
        <w:right w:val="none" w:sz="0" w:space="0" w:color="auto"/>
      </w:divBdr>
      <w:divsChild>
        <w:div w:id="62409170">
          <w:marLeft w:val="0"/>
          <w:marRight w:val="0"/>
          <w:marTop w:val="0"/>
          <w:marBottom w:val="0"/>
          <w:divBdr>
            <w:top w:val="none" w:sz="0" w:space="0" w:color="auto"/>
            <w:left w:val="none" w:sz="0" w:space="0" w:color="auto"/>
            <w:bottom w:val="none" w:sz="0" w:space="0" w:color="auto"/>
            <w:right w:val="none" w:sz="0" w:space="0" w:color="auto"/>
          </w:divBdr>
          <w:divsChild>
            <w:div w:id="1507355512">
              <w:marLeft w:val="0"/>
              <w:marRight w:val="0"/>
              <w:marTop w:val="0"/>
              <w:marBottom w:val="0"/>
              <w:divBdr>
                <w:top w:val="none" w:sz="0" w:space="0" w:color="auto"/>
                <w:left w:val="none" w:sz="0" w:space="0" w:color="auto"/>
                <w:bottom w:val="none" w:sz="0" w:space="0" w:color="auto"/>
                <w:right w:val="none" w:sz="0" w:space="0" w:color="auto"/>
              </w:divBdr>
              <w:divsChild>
                <w:div w:id="682131220">
                  <w:marLeft w:val="0"/>
                  <w:marRight w:val="0"/>
                  <w:marTop w:val="0"/>
                  <w:marBottom w:val="0"/>
                  <w:divBdr>
                    <w:top w:val="none" w:sz="0" w:space="0" w:color="auto"/>
                    <w:left w:val="none" w:sz="0" w:space="0" w:color="auto"/>
                    <w:bottom w:val="none" w:sz="0" w:space="0" w:color="auto"/>
                    <w:right w:val="none" w:sz="0" w:space="0" w:color="auto"/>
                  </w:divBdr>
                  <w:divsChild>
                    <w:div w:id="85257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397828">
          <w:marLeft w:val="0"/>
          <w:marRight w:val="0"/>
          <w:marTop w:val="0"/>
          <w:marBottom w:val="0"/>
          <w:divBdr>
            <w:top w:val="none" w:sz="0" w:space="0" w:color="auto"/>
            <w:left w:val="none" w:sz="0" w:space="0" w:color="auto"/>
            <w:bottom w:val="none" w:sz="0" w:space="0" w:color="auto"/>
            <w:right w:val="none" w:sz="0" w:space="0" w:color="auto"/>
          </w:divBdr>
          <w:divsChild>
            <w:div w:id="84612983">
              <w:marLeft w:val="0"/>
              <w:marRight w:val="0"/>
              <w:marTop w:val="0"/>
              <w:marBottom w:val="0"/>
              <w:divBdr>
                <w:top w:val="none" w:sz="0" w:space="0" w:color="auto"/>
                <w:left w:val="none" w:sz="0" w:space="0" w:color="auto"/>
                <w:bottom w:val="none" w:sz="0" w:space="0" w:color="auto"/>
                <w:right w:val="none" w:sz="0" w:space="0" w:color="auto"/>
              </w:divBdr>
              <w:divsChild>
                <w:div w:id="25116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288620">
      <w:bodyDiv w:val="1"/>
      <w:marLeft w:val="0"/>
      <w:marRight w:val="0"/>
      <w:marTop w:val="0"/>
      <w:marBottom w:val="0"/>
      <w:divBdr>
        <w:top w:val="none" w:sz="0" w:space="0" w:color="auto"/>
        <w:left w:val="none" w:sz="0" w:space="0" w:color="auto"/>
        <w:bottom w:val="none" w:sz="0" w:space="0" w:color="auto"/>
        <w:right w:val="none" w:sz="0" w:space="0" w:color="auto"/>
      </w:divBdr>
    </w:div>
    <w:div w:id="824931989">
      <w:bodyDiv w:val="1"/>
      <w:marLeft w:val="0"/>
      <w:marRight w:val="0"/>
      <w:marTop w:val="0"/>
      <w:marBottom w:val="0"/>
      <w:divBdr>
        <w:top w:val="none" w:sz="0" w:space="0" w:color="auto"/>
        <w:left w:val="none" w:sz="0" w:space="0" w:color="auto"/>
        <w:bottom w:val="none" w:sz="0" w:space="0" w:color="auto"/>
        <w:right w:val="none" w:sz="0" w:space="0" w:color="auto"/>
      </w:divBdr>
    </w:div>
    <w:div w:id="907037321">
      <w:bodyDiv w:val="1"/>
      <w:marLeft w:val="0"/>
      <w:marRight w:val="0"/>
      <w:marTop w:val="0"/>
      <w:marBottom w:val="0"/>
      <w:divBdr>
        <w:top w:val="none" w:sz="0" w:space="0" w:color="auto"/>
        <w:left w:val="none" w:sz="0" w:space="0" w:color="auto"/>
        <w:bottom w:val="none" w:sz="0" w:space="0" w:color="auto"/>
        <w:right w:val="none" w:sz="0" w:space="0" w:color="auto"/>
      </w:divBdr>
    </w:div>
    <w:div w:id="923031928">
      <w:bodyDiv w:val="1"/>
      <w:marLeft w:val="0"/>
      <w:marRight w:val="0"/>
      <w:marTop w:val="0"/>
      <w:marBottom w:val="0"/>
      <w:divBdr>
        <w:top w:val="none" w:sz="0" w:space="0" w:color="auto"/>
        <w:left w:val="none" w:sz="0" w:space="0" w:color="auto"/>
        <w:bottom w:val="none" w:sz="0" w:space="0" w:color="auto"/>
        <w:right w:val="none" w:sz="0" w:space="0" w:color="auto"/>
      </w:divBdr>
    </w:div>
    <w:div w:id="923150619">
      <w:bodyDiv w:val="1"/>
      <w:marLeft w:val="0"/>
      <w:marRight w:val="0"/>
      <w:marTop w:val="0"/>
      <w:marBottom w:val="0"/>
      <w:divBdr>
        <w:top w:val="none" w:sz="0" w:space="0" w:color="auto"/>
        <w:left w:val="none" w:sz="0" w:space="0" w:color="auto"/>
        <w:bottom w:val="none" w:sz="0" w:space="0" w:color="auto"/>
        <w:right w:val="none" w:sz="0" w:space="0" w:color="auto"/>
      </w:divBdr>
    </w:div>
    <w:div w:id="954482158">
      <w:bodyDiv w:val="1"/>
      <w:marLeft w:val="0"/>
      <w:marRight w:val="0"/>
      <w:marTop w:val="0"/>
      <w:marBottom w:val="0"/>
      <w:divBdr>
        <w:top w:val="none" w:sz="0" w:space="0" w:color="auto"/>
        <w:left w:val="none" w:sz="0" w:space="0" w:color="auto"/>
        <w:bottom w:val="none" w:sz="0" w:space="0" w:color="auto"/>
        <w:right w:val="none" w:sz="0" w:space="0" w:color="auto"/>
      </w:divBdr>
    </w:div>
    <w:div w:id="1069380881">
      <w:bodyDiv w:val="1"/>
      <w:marLeft w:val="0"/>
      <w:marRight w:val="0"/>
      <w:marTop w:val="0"/>
      <w:marBottom w:val="0"/>
      <w:divBdr>
        <w:top w:val="none" w:sz="0" w:space="0" w:color="auto"/>
        <w:left w:val="none" w:sz="0" w:space="0" w:color="auto"/>
        <w:bottom w:val="none" w:sz="0" w:space="0" w:color="auto"/>
        <w:right w:val="none" w:sz="0" w:space="0" w:color="auto"/>
      </w:divBdr>
    </w:div>
    <w:div w:id="1134984788">
      <w:bodyDiv w:val="1"/>
      <w:marLeft w:val="0"/>
      <w:marRight w:val="0"/>
      <w:marTop w:val="0"/>
      <w:marBottom w:val="0"/>
      <w:divBdr>
        <w:top w:val="none" w:sz="0" w:space="0" w:color="auto"/>
        <w:left w:val="none" w:sz="0" w:space="0" w:color="auto"/>
        <w:bottom w:val="none" w:sz="0" w:space="0" w:color="auto"/>
        <w:right w:val="none" w:sz="0" w:space="0" w:color="auto"/>
      </w:divBdr>
    </w:div>
    <w:div w:id="1145509823">
      <w:bodyDiv w:val="1"/>
      <w:marLeft w:val="0"/>
      <w:marRight w:val="0"/>
      <w:marTop w:val="0"/>
      <w:marBottom w:val="0"/>
      <w:divBdr>
        <w:top w:val="none" w:sz="0" w:space="0" w:color="auto"/>
        <w:left w:val="none" w:sz="0" w:space="0" w:color="auto"/>
        <w:bottom w:val="none" w:sz="0" w:space="0" w:color="auto"/>
        <w:right w:val="none" w:sz="0" w:space="0" w:color="auto"/>
      </w:divBdr>
    </w:div>
    <w:div w:id="1184171612">
      <w:bodyDiv w:val="1"/>
      <w:marLeft w:val="0"/>
      <w:marRight w:val="0"/>
      <w:marTop w:val="0"/>
      <w:marBottom w:val="0"/>
      <w:divBdr>
        <w:top w:val="none" w:sz="0" w:space="0" w:color="auto"/>
        <w:left w:val="none" w:sz="0" w:space="0" w:color="auto"/>
        <w:bottom w:val="none" w:sz="0" w:space="0" w:color="auto"/>
        <w:right w:val="none" w:sz="0" w:space="0" w:color="auto"/>
      </w:divBdr>
    </w:div>
    <w:div w:id="1226839841">
      <w:bodyDiv w:val="1"/>
      <w:marLeft w:val="0"/>
      <w:marRight w:val="0"/>
      <w:marTop w:val="0"/>
      <w:marBottom w:val="0"/>
      <w:divBdr>
        <w:top w:val="none" w:sz="0" w:space="0" w:color="auto"/>
        <w:left w:val="none" w:sz="0" w:space="0" w:color="auto"/>
        <w:bottom w:val="none" w:sz="0" w:space="0" w:color="auto"/>
        <w:right w:val="none" w:sz="0" w:space="0" w:color="auto"/>
      </w:divBdr>
    </w:div>
    <w:div w:id="1272667607">
      <w:bodyDiv w:val="1"/>
      <w:marLeft w:val="0"/>
      <w:marRight w:val="0"/>
      <w:marTop w:val="0"/>
      <w:marBottom w:val="0"/>
      <w:divBdr>
        <w:top w:val="none" w:sz="0" w:space="0" w:color="auto"/>
        <w:left w:val="none" w:sz="0" w:space="0" w:color="auto"/>
        <w:bottom w:val="none" w:sz="0" w:space="0" w:color="auto"/>
        <w:right w:val="none" w:sz="0" w:space="0" w:color="auto"/>
      </w:divBdr>
    </w:div>
    <w:div w:id="1285191323">
      <w:bodyDiv w:val="1"/>
      <w:marLeft w:val="0"/>
      <w:marRight w:val="0"/>
      <w:marTop w:val="0"/>
      <w:marBottom w:val="0"/>
      <w:divBdr>
        <w:top w:val="none" w:sz="0" w:space="0" w:color="auto"/>
        <w:left w:val="none" w:sz="0" w:space="0" w:color="auto"/>
        <w:bottom w:val="none" w:sz="0" w:space="0" w:color="auto"/>
        <w:right w:val="none" w:sz="0" w:space="0" w:color="auto"/>
      </w:divBdr>
      <w:divsChild>
        <w:div w:id="1428112993">
          <w:marLeft w:val="0"/>
          <w:marRight w:val="0"/>
          <w:marTop w:val="480"/>
          <w:marBottom w:val="0"/>
          <w:divBdr>
            <w:top w:val="none" w:sz="0" w:space="0" w:color="auto"/>
            <w:left w:val="none" w:sz="0" w:space="0" w:color="auto"/>
            <w:bottom w:val="none" w:sz="0" w:space="0" w:color="auto"/>
            <w:right w:val="none" w:sz="0" w:space="0" w:color="auto"/>
          </w:divBdr>
        </w:div>
        <w:div w:id="509875290">
          <w:marLeft w:val="0"/>
          <w:marRight w:val="0"/>
          <w:marTop w:val="480"/>
          <w:marBottom w:val="0"/>
          <w:divBdr>
            <w:top w:val="none" w:sz="0" w:space="0" w:color="auto"/>
            <w:left w:val="none" w:sz="0" w:space="0" w:color="auto"/>
            <w:bottom w:val="none" w:sz="0" w:space="0" w:color="auto"/>
            <w:right w:val="none" w:sz="0" w:space="0" w:color="auto"/>
          </w:divBdr>
        </w:div>
        <w:div w:id="1263029128">
          <w:marLeft w:val="0"/>
          <w:marRight w:val="0"/>
          <w:marTop w:val="240"/>
          <w:marBottom w:val="0"/>
          <w:divBdr>
            <w:top w:val="none" w:sz="0" w:space="0" w:color="auto"/>
            <w:left w:val="none" w:sz="0" w:space="0" w:color="auto"/>
            <w:bottom w:val="none" w:sz="0" w:space="0" w:color="auto"/>
            <w:right w:val="none" w:sz="0" w:space="0" w:color="auto"/>
          </w:divBdr>
        </w:div>
        <w:div w:id="861633059">
          <w:marLeft w:val="0"/>
          <w:marRight w:val="0"/>
          <w:marTop w:val="240"/>
          <w:marBottom w:val="0"/>
          <w:divBdr>
            <w:top w:val="none" w:sz="0" w:space="0" w:color="auto"/>
            <w:left w:val="none" w:sz="0" w:space="0" w:color="auto"/>
            <w:bottom w:val="none" w:sz="0" w:space="0" w:color="auto"/>
            <w:right w:val="none" w:sz="0" w:space="0" w:color="auto"/>
          </w:divBdr>
        </w:div>
        <w:div w:id="1098717641">
          <w:marLeft w:val="0"/>
          <w:marRight w:val="0"/>
          <w:marTop w:val="240"/>
          <w:marBottom w:val="0"/>
          <w:divBdr>
            <w:top w:val="none" w:sz="0" w:space="0" w:color="auto"/>
            <w:left w:val="none" w:sz="0" w:space="0" w:color="auto"/>
            <w:bottom w:val="none" w:sz="0" w:space="0" w:color="auto"/>
            <w:right w:val="none" w:sz="0" w:space="0" w:color="auto"/>
          </w:divBdr>
        </w:div>
        <w:div w:id="1328903098">
          <w:marLeft w:val="425"/>
          <w:marRight w:val="0"/>
          <w:marTop w:val="0"/>
          <w:marBottom w:val="0"/>
          <w:divBdr>
            <w:top w:val="none" w:sz="0" w:space="0" w:color="auto"/>
            <w:left w:val="none" w:sz="0" w:space="0" w:color="auto"/>
            <w:bottom w:val="none" w:sz="0" w:space="0" w:color="auto"/>
            <w:right w:val="none" w:sz="0" w:space="0" w:color="auto"/>
          </w:divBdr>
        </w:div>
        <w:div w:id="1081294701">
          <w:marLeft w:val="425"/>
          <w:marRight w:val="0"/>
          <w:marTop w:val="0"/>
          <w:marBottom w:val="0"/>
          <w:divBdr>
            <w:top w:val="none" w:sz="0" w:space="0" w:color="auto"/>
            <w:left w:val="none" w:sz="0" w:space="0" w:color="auto"/>
            <w:bottom w:val="none" w:sz="0" w:space="0" w:color="auto"/>
            <w:right w:val="none" w:sz="0" w:space="0" w:color="auto"/>
          </w:divBdr>
        </w:div>
        <w:div w:id="1699313670">
          <w:marLeft w:val="425"/>
          <w:marRight w:val="0"/>
          <w:marTop w:val="0"/>
          <w:marBottom w:val="0"/>
          <w:divBdr>
            <w:top w:val="none" w:sz="0" w:space="0" w:color="auto"/>
            <w:left w:val="none" w:sz="0" w:space="0" w:color="auto"/>
            <w:bottom w:val="none" w:sz="0" w:space="0" w:color="auto"/>
            <w:right w:val="none" w:sz="0" w:space="0" w:color="auto"/>
          </w:divBdr>
        </w:div>
        <w:div w:id="869992298">
          <w:marLeft w:val="425"/>
          <w:marRight w:val="0"/>
          <w:marTop w:val="0"/>
          <w:marBottom w:val="0"/>
          <w:divBdr>
            <w:top w:val="none" w:sz="0" w:space="0" w:color="auto"/>
            <w:left w:val="none" w:sz="0" w:space="0" w:color="auto"/>
            <w:bottom w:val="none" w:sz="0" w:space="0" w:color="auto"/>
            <w:right w:val="none" w:sz="0" w:space="0" w:color="auto"/>
          </w:divBdr>
        </w:div>
        <w:div w:id="2106151256">
          <w:marLeft w:val="425"/>
          <w:marRight w:val="0"/>
          <w:marTop w:val="0"/>
          <w:marBottom w:val="0"/>
          <w:divBdr>
            <w:top w:val="none" w:sz="0" w:space="0" w:color="auto"/>
            <w:left w:val="none" w:sz="0" w:space="0" w:color="auto"/>
            <w:bottom w:val="none" w:sz="0" w:space="0" w:color="auto"/>
            <w:right w:val="none" w:sz="0" w:space="0" w:color="auto"/>
          </w:divBdr>
        </w:div>
        <w:div w:id="1177113307">
          <w:marLeft w:val="0"/>
          <w:marRight w:val="0"/>
          <w:marTop w:val="240"/>
          <w:marBottom w:val="0"/>
          <w:divBdr>
            <w:top w:val="none" w:sz="0" w:space="0" w:color="auto"/>
            <w:left w:val="none" w:sz="0" w:space="0" w:color="auto"/>
            <w:bottom w:val="none" w:sz="0" w:space="0" w:color="auto"/>
            <w:right w:val="none" w:sz="0" w:space="0" w:color="auto"/>
          </w:divBdr>
        </w:div>
        <w:div w:id="1301765169">
          <w:marLeft w:val="0"/>
          <w:marRight w:val="0"/>
          <w:marTop w:val="240"/>
          <w:marBottom w:val="0"/>
          <w:divBdr>
            <w:top w:val="none" w:sz="0" w:space="0" w:color="auto"/>
            <w:left w:val="none" w:sz="0" w:space="0" w:color="auto"/>
            <w:bottom w:val="none" w:sz="0" w:space="0" w:color="auto"/>
            <w:right w:val="none" w:sz="0" w:space="0" w:color="auto"/>
          </w:divBdr>
        </w:div>
        <w:div w:id="1794009211">
          <w:marLeft w:val="0"/>
          <w:marRight w:val="0"/>
          <w:marTop w:val="240"/>
          <w:marBottom w:val="0"/>
          <w:divBdr>
            <w:top w:val="none" w:sz="0" w:space="0" w:color="auto"/>
            <w:left w:val="none" w:sz="0" w:space="0" w:color="auto"/>
            <w:bottom w:val="none" w:sz="0" w:space="0" w:color="auto"/>
            <w:right w:val="none" w:sz="0" w:space="0" w:color="auto"/>
          </w:divBdr>
        </w:div>
        <w:div w:id="1758669293">
          <w:marLeft w:val="0"/>
          <w:marRight w:val="0"/>
          <w:marTop w:val="240"/>
          <w:marBottom w:val="0"/>
          <w:divBdr>
            <w:top w:val="none" w:sz="0" w:space="0" w:color="auto"/>
            <w:left w:val="none" w:sz="0" w:space="0" w:color="auto"/>
            <w:bottom w:val="none" w:sz="0" w:space="0" w:color="auto"/>
            <w:right w:val="none" w:sz="0" w:space="0" w:color="auto"/>
          </w:divBdr>
        </w:div>
        <w:div w:id="1859811960">
          <w:marLeft w:val="0"/>
          <w:marRight w:val="0"/>
          <w:marTop w:val="240"/>
          <w:marBottom w:val="0"/>
          <w:divBdr>
            <w:top w:val="none" w:sz="0" w:space="0" w:color="auto"/>
            <w:left w:val="none" w:sz="0" w:space="0" w:color="auto"/>
            <w:bottom w:val="none" w:sz="0" w:space="0" w:color="auto"/>
            <w:right w:val="none" w:sz="0" w:space="0" w:color="auto"/>
          </w:divBdr>
        </w:div>
        <w:div w:id="52121060">
          <w:marLeft w:val="0"/>
          <w:marRight w:val="0"/>
          <w:marTop w:val="240"/>
          <w:marBottom w:val="0"/>
          <w:divBdr>
            <w:top w:val="none" w:sz="0" w:space="0" w:color="auto"/>
            <w:left w:val="none" w:sz="0" w:space="0" w:color="auto"/>
            <w:bottom w:val="none" w:sz="0" w:space="0" w:color="auto"/>
            <w:right w:val="none" w:sz="0" w:space="0" w:color="auto"/>
          </w:divBdr>
        </w:div>
        <w:div w:id="1376392511">
          <w:marLeft w:val="0"/>
          <w:marRight w:val="0"/>
          <w:marTop w:val="240"/>
          <w:marBottom w:val="0"/>
          <w:divBdr>
            <w:top w:val="none" w:sz="0" w:space="0" w:color="auto"/>
            <w:left w:val="none" w:sz="0" w:space="0" w:color="auto"/>
            <w:bottom w:val="none" w:sz="0" w:space="0" w:color="auto"/>
            <w:right w:val="none" w:sz="0" w:space="0" w:color="auto"/>
          </w:divBdr>
        </w:div>
        <w:div w:id="841317823">
          <w:marLeft w:val="0"/>
          <w:marRight w:val="0"/>
          <w:marTop w:val="240"/>
          <w:marBottom w:val="0"/>
          <w:divBdr>
            <w:top w:val="none" w:sz="0" w:space="0" w:color="auto"/>
            <w:left w:val="none" w:sz="0" w:space="0" w:color="auto"/>
            <w:bottom w:val="none" w:sz="0" w:space="0" w:color="auto"/>
            <w:right w:val="none" w:sz="0" w:space="0" w:color="auto"/>
          </w:divBdr>
        </w:div>
        <w:div w:id="803735123">
          <w:marLeft w:val="0"/>
          <w:marRight w:val="0"/>
          <w:marTop w:val="480"/>
          <w:marBottom w:val="0"/>
          <w:divBdr>
            <w:top w:val="none" w:sz="0" w:space="0" w:color="auto"/>
            <w:left w:val="none" w:sz="0" w:space="0" w:color="auto"/>
            <w:bottom w:val="none" w:sz="0" w:space="0" w:color="auto"/>
            <w:right w:val="none" w:sz="0" w:space="0" w:color="auto"/>
          </w:divBdr>
        </w:div>
        <w:div w:id="693724918">
          <w:marLeft w:val="0"/>
          <w:marRight w:val="0"/>
          <w:marTop w:val="480"/>
          <w:marBottom w:val="0"/>
          <w:divBdr>
            <w:top w:val="none" w:sz="0" w:space="0" w:color="auto"/>
            <w:left w:val="none" w:sz="0" w:space="0" w:color="auto"/>
            <w:bottom w:val="none" w:sz="0" w:space="0" w:color="auto"/>
            <w:right w:val="none" w:sz="0" w:space="0" w:color="auto"/>
          </w:divBdr>
        </w:div>
        <w:div w:id="144324903">
          <w:marLeft w:val="0"/>
          <w:marRight w:val="0"/>
          <w:marTop w:val="240"/>
          <w:marBottom w:val="0"/>
          <w:divBdr>
            <w:top w:val="none" w:sz="0" w:space="0" w:color="auto"/>
            <w:left w:val="none" w:sz="0" w:space="0" w:color="auto"/>
            <w:bottom w:val="none" w:sz="0" w:space="0" w:color="auto"/>
            <w:right w:val="none" w:sz="0" w:space="0" w:color="auto"/>
          </w:divBdr>
        </w:div>
        <w:div w:id="912665891">
          <w:marLeft w:val="425"/>
          <w:marRight w:val="0"/>
          <w:marTop w:val="0"/>
          <w:marBottom w:val="0"/>
          <w:divBdr>
            <w:top w:val="none" w:sz="0" w:space="0" w:color="auto"/>
            <w:left w:val="none" w:sz="0" w:space="0" w:color="auto"/>
            <w:bottom w:val="none" w:sz="0" w:space="0" w:color="auto"/>
            <w:right w:val="none" w:sz="0" w:space="0" w:color="auto"/>
          </w:divBdr>
        </w:div>
        <w:div w:id="973215103">
          <w:marLeft w:val="425"/>
          <w:marRight w:val="0"/>
          <w:marTop w:val="0"/>
          <w:marBottom w:val="0"/>
          <w:divBdr>
            <w:top w:val="none" w:sz="0" w:space="0" w:color="auto"/>
            <w:left w:val="none" w:sz="0" w:space="0" w:color="auto"/>
            <w:bottom w:val="none" w:sz="0" w:space="0" w:color="auto"/>
            <w:right w:val="none" w:sz="0" w:space="0" w:color="auto"/>
          </w:divBdr>
        </w:div>
        <w:div w:id="1141071180">
          <w:marLeft w:val="425"/>
          <w:marRight w:val="0"/>
          <w:marTop w:val="0"/>
          <w:marBottom w:val="0"/>
          <w:divBdr>
            <w:top w:val="none" w:sz="0" w:space="0" w:color="auto"/>
            <w:left w:val="none" w:sz="0" w:space="0" w:color="auto"/>
            <w:bottom w:val="none" w:sz="0" w:space="0" w:color="auto"/>
            <w:right w:val="none" w:sz="0" w:space="0" w:color="auto"/>
          </w:divBdr>
        </w:div>
        <w:div w:id="1482696075">
          <w:marLeft w:val="0"/>
          <w:marRight w:val="0"/>
          <w:marTop w:val="240"/>
          <w:marBottom w:val="0"/>
          <w:divBdr>
            <w:top w:val="none" w:sz="0" w:space="0" w:color="auto"/>
            <w:left w:val="none" w:sz="0" w:space="0" w:color="auto"/>
            <w:bottom w:val="none" w:sz="0" w:space="0" w:color="auto"/>
            <w:right w:val="none" w:sz="0" w:space="0" w:color="auto"/>
          </w:divBdr>
        </w:div>
        <w:div w:id="1659378394">
          <w:marLeft w:val="0"/>
          <w:marRight w:val="0"/>
          <w:marTop w:val="480"/>
          <w:marBottom w:val="0"/>
          <w:divBdr>
            <w:top w:val="none" w:sz="0" w:space="0" w:color="auto"/>
            <w:left w:val="none" w:sz="0" w:space="0" w:color="auto"/>
            <w:bottom w:val="none" w:sz="0" w:space="0" w:color="auto"/>
            <w:right w:val="none" w:sz="0" w:space="0" w:color="auto"/>
          </w:divBdr>
        </w:div>
        <w:div w:id="608124054">
          <w:marLeft w:val="0"/>
          <w:marRight w:val="0"/>
          <w:marTop w:val="480"/>
          <w:marBottom w:val="0"/>
          <w:divBdr>
            <w:top w:val="none" w:sz="0" w:space="0" w:color="auto"/>
            <w:left w:val="none" w:sz="0" w:space="0" w:color="auto"/>
            <w:bottom w:val="none" w:sz="0" w:space="0" w:color="auto"/>
            <w:right w:val="none" w:sz="0" w:space="0" w:color="auto"/>
          </w:divBdr>
        </w:div>
        <w:div w:id="1665426127">
          <w:marLeft w:val="0"/>
          <w:marRight w:val="0"/>
          <w:marTop w:val="240"/>
          <w:marBottom w:val="0"/>
          <w:divBdr>
            <w:top w:val="none" w:sz="0" w:space="0" w:color="auto"/>
            <w:left w:val="none" w:sz="0" w:space="0" w:color="auto"/>
            <w:bottom w:val="none" w:sz="0" w:space="0" w:color="auto"/>
            <w:right w:val="none" w:sz="0" w:space="0" w:color="auto"/>
          </w:divBdr>
        </w:div>
        <w:div w:id="1222906318">
          <w:marLeft w:val="0"/>
          <w:marRight w:val="0"/>
          <w:marTop w:val="240"/>
          <w:marBottom w:val="0"/>
          <w:divBdr>
            <w:top w:val="none" w:sz="0" w:space="0" w:color="auto"/>
            <w:left w:val="none" w:sz="0" w:space="0" w:color="auto"/>
            <w:bottom w:val="none" w:sz="0" w:space="0" w:color="auto"/>
            <w:right w:val="none" w:sz="0" w:space="0" w:color="auto"/>
          </w:divBdr>
        </w:div>
        <w:div w:id="711000620">
          <w:marLeft w:val="0"/>
          <w:marRight w:val="0"/>
          <w:marTop w:val="240"/>
          <w:marBottom w:val="0"/>
          <w:divBdr>
            <w:top w:val="none" w:sz="0" w:space="0" w:color="auto"/>
            <w:left w:val="none" w:sz="0" w:space="0" w:color="auto"/>
            <w:bottom w:val="none" w:sz="0" w:space="0" w:color="auto"/>
            <w:right w:val="none" w:sz="0" w:space="0" w:color="auto"/>
          </w:divBdr>
        </w:div>
        <w:div w:id="1310357273">
          <w:marLeft w:val="0"/>
          <w:marRight w:val="0"/>
          <w:marTop w:val="240"/>
          <w:marBottom w:val="0"/>
          <w:divBdr>
            <w:top w:val="none" w:sz="0" w:space="0" w:color="auto"/>
            <w:left w:val="none" w:sz="0" w:space="0" w:color="auto"/>
            <w:bottom w:val="none" w:sz="0" w:space="0" w:color="auto"/>
            <w:right w:val="none" w:sz="0" w:space="0" w:color="auto"/>
          </w:divBdr>
        </w:div>
        <w:div w:id="951741762">
          <w:marLeft w:val="0"/>
          <w:marRight w:val="0"/>
          <w:marTop w:val="240"/>
          <w:marBottom w:val="0"/>
          <w:divBdr>
            <w:top w:val="none" w:sz="0" w:space="0" w:color="auto"/>
            <w:left w:val="none" w:sz="0" w:space="0" w:color="auto"/>
            <w:bottom w:val="none" w:sz="0" w:space="0" w:color="auto"/>
            <w:right w:val="none" w:sz="0" w:space="0" w:color="auto"/>
          </w:divBdr>
        </w:div>
        <w:div w:id="496724444">
          <w:marLeft w:val="0"/>
          <w:marRight w:val="0"/>
          <w:marTop w:val="480"/>
          <w:marBottom w:val="0"/>
          <w:divBdr>
            <w:top w:val="none" w:sz="0" w:space="0" w:color="auto"/>
            <w:left w:val="none" w:sz="0" w:space="0" w:color="auto"/>
            <w:bottom w:val="none" w:sz="0" w:space="0" w:color="auto"/>
            <w:right w:val="none" w:sz="0" w:space="0" w:color="auto"/>
          </w:divBdr>
        </w:div>
        <w:div w:id="1260605248">
          <w:marLeft w:val="0"/>
          <w:marRight w:val="0"/>
          <w:marTop w:val="480"/>
          <w:marBottom w:val="0"/>
          <w:divBdr>
            <w:top w:val="none" w:sz="0" w:space="0" w:color="auto"/>
            <w:left w:val="none" w:sz="0" w:space="0" w:color="auto"/>
            <w:bottom w:val="none" w:sz="0" w:space="0" w:color="auto"/>
            <w:right w:val="none" w:sz="0" w:space="0" w:color="auto"/>
          </w:divBdr>
        </w:div>
        <w:div w:id="1733962874">
          <w:marLeft w:val="0"/>
          <w:marRight w:val="0"/>
          <w:marTop w:val="240"/>
          <w:marBottom w:val="0"/>
          <w:divBdr>
            <w:top w:val="none" w:sz="0" w:space="0" w:color="auto"/>
            <w:left w:val="none" w:sz="0" w:space="0" w:color="auto"/>
            <w:bottom w:val="none" w:sz="0" w:space="0" w:color="auto"/>
            <w:right w:val="none" w:sz="0" w:space="0" w:color="auto"/>
          </w:divBdr>
        </w:div>
        <w:div w:id="1576089119">
          <w:marLeft w:val="0"/>
          <w:marRight w:val="0"/>
          <w:marTop w:val="240"/>
          <w:marBottom w:val="0"/>
          <w:divBdr>
            <w:top w:val="none" w:sz="0" w:space="0" w:color="auto"/>
            <w:left w:val="none" w:sz="0" w:space="0" w:color="auto"/>
            <w:bottom w:val="none" w:sz="0" w:space="0" w:color="auto"/>
            <w:right w:val="none" w:sz="0" w:space="0" w:color="auto"/>
          </w:divBdr>
        </w:div>
        <w:div w:id="1639653190">
          <w:marLeft w:val="0"/>
          <w:marRight w:val="0"/>
          <w:marTop w:val="240"/>
          <w:marBottom w:val="0"/>
          <w:divBdr>
            <w:top w:val="none" w:sz="0" w:space="0" w:color="auto"/>
            <w:left w:val="none" w:sz="0" w:space="0" w:color="auto"/>
            <w:bottom w:val="none" w:sz="0" w:space="0" w:color="auto"/>
            <w:right w:val="none" w:sz="0" w:space="0" w:color="auto"/>
          </w:divBdr>
        </w:div>
        <w:div w:id="1087262237">
          <w:marLeft w:val="0"/>
          <w:marRight w:val="0"/>
          <w:marTop w:val="240"/>
          <w:marBottom w:val="0"/>
          <w:divBdr>
            <w:top w:val="none" w:sz="0" w:space="0" w:color="auto"/>
            <w:left w:val="none" w:sz="0" w:space="0" w:color="auto"/>
            <w:bottom w:val="none" w:sz="0" w:space="0" w:color="auto"/>
            <w:right w:val="none" w:sz="0" w:space="0" w:color="auto"/>
          </w:divBdr>
        </w:div>
        <w:div w:id="1330982266">
          <w:marLeft w:val="0"/>
          <w:marRight w:val="0"/>
          <w:marTop w:val="240"/>
          <w:marBottom w:val="0"/>
          <w:divBdr>
            <w:top w:val="none" w:sz="0" w:space="0" w:color="auto"/>
            <w:left w:val="none" w:sz="0" w:space="0" w:color="auto"/>
            <w:bottom w:val="none" w:sz="0" w:space="0" w:color="auto"/>
            <w:right w:val="none" w:sz="0" w:space="0" w:color="auto"/>
          </w:divBdr>
        </w:div>
        <w:div w:id="687491860">
          <w:marLeft w:val="0"/>
          <w:marRight w:val="0"/>
          <w:marTop w:val="240"/>
          <w:marBottom w:val="0"/>
          <w:divBdr>
            <w:top w:val="none" w:sz="0" w:space="0" w:color="auto"/>
            <w:left w:val="none" w:sz="0" w:space="0" w:color="auto"/>
            <w:bottom w:val="none" w:sz="0" w:space="0" w:color="auto"/>
            <w:right w:val="none" w:sz="0" w:space="0" w:color="auto"/>
          </w:divBdr>
        </w:div>
        <w:div w:id="1556817492">
          <w:marLeft w:val="0"/>
          <w:marRight w:val="0"/>
          <w:marTop w:val="480"/>
          <w:marBottom w:val="0"/>
          <w:divBdr>
            <w:top w:val="none" w:sz="0" w:space="0" w:color="auto"/>
            <w:left w:val="none" w:sz="0" w:space="0" w:color="auto"/>
            <w:bottom w:val="none" w:sz="0" w:space="0" w:color="auto"/>
            <w:right w:val="none" w:sz="0" w:space="0" w:color="auto"/>
          </w:divBdr>
        </w:div>
        <w:div w:id="14382394">
          <w:marLeft w:val="0"/>
          <w:marRight w:val="0"/>
          <w:marTop w:val="480"/>
          <w:marBottom w:val="0"/>
          <w:divBdr>
            <w:top w:val="none" w:sz="0" w:space="0" w:color="auto"/>
            <w:left w:val="none" w:sz="0" w:space="0" w:color="auto"/>
            <w:bottom w:val="none" w:sz="0" w:space="0" w:color="auto"/>
            <w:right w:val="none" w:sz="0" w:space="0" w:color="auto"/>
          </w:divBdr>
        </w:div>
        <w:div w:id="1468667881">
          <w:marLeft w:val="0"/>
          <w:marRight w:val="0"/>
          <w:marTop w:val="240"/>
          <w:marBottom w:val="0"/>
          <w:divBdr>
            <w:top w:val="none" w:sz="0" w:space="0" w:color="auto"/>
            <w:left w:val="none" w:sz="0" w:space="0" w:color="auto"/>
            <w:bottom w:val="none" w:sz="0" w:space="0" w:color="auto"/>
            <w:right w:val="none" w:sz="0" w:space="0" w:color="auto"/>
          </w:divBdr>
        </w:div>
      </w:divsChild>
    </w:div>
    <w:div w:id="1354572324">
      <w:bodyDiv w:val="1"/>
      <w:marLeft w:val="0"/>
      <w:marRight w:val="0"/>
      <w:marTop w:val="0"/>
      <w:marBottom w:val="0"/>
      <w:divBdr>
        <w:top w:val="none" w:sz="0" w:space="0" w:color="auto"/>
        <w:left w:val="none" w:sz="0" w:space="0" w:color="auto"/>
        <w:bottom w:val="none" w:sz="0" w:space="0" w:color="auto"/>
        <w:right w:val="none" w:sz="0" w:space="0" w:color="auto"/>
      </w:divBdr>
    </w:div>
    <w:div w:id="1396582864">
      <w:bodyDiv w:val="1"/>
      <w:marLeft w:val="0"/>
      <w:marRight w:val="0"/>
      <w:marTop w:val="0"/>
      <w:marBottom w:val="0"/>
      <w:divBdr>
        <w:top w:val="none" w:sz="0" w:space="0" w:color="auto"/>
        <w:left w:val="none" w:sz="0" w:space="0" w:color="auto"/>
        <w:bottom w:val="none" w:sz="0" w:space="0" w:color="auto"/>
        <w:right w:val="none" w:sz="0" w:space="0" w:color="auto"/>
      </w:divBdr>
    </w:div>
    <w:div w:id="1461652511">
      <w:bodyDiv w:val="1"/>
      <w:marLeft w:val="0"/>
      <w:marRight w:val="0"/>
      <w:marTop w:val="0"/>
      <w:marBottom w:val="0"/>
      <w:divBdr>
        <w:top w:val="none" w:sz="0" w:space="0" w:color="auto"/>
        <w:left w:val="none" w:sz="0" w:space="0" w:color="auto"/>
        <w:bottom w:val="none" w:sz="0" w:space="0" w:color="auto"/>
        <w:right w:val="none" w:sz="0" w:space="0" w:color="auto"/>
      </w:divBdr>
    </w:div>
    <w:div w:id="1498961137">
      <w:bodyDiv w:val="1"/>
      <w:marLeft w:val="0"/>
      <w:marRight w:val="0"/>
      <w:marTop w:val="0"/>
      <w:marBottom w:val="0"/>
      <w:divBdr>
        <w:top w:val="none" w:sz="0" w:space="0" w:color="auto"/>
        <w:left w:val="none" w:sz="0" w:space="0" w:color="auto"/>
        <w:bottom w:val="none" w:sz="0" w:space="0" w:color="auto"/>
        <w:right w:val="none" w:sz="0" w:space="0" w:color="auto"/>
      </w:divBdr>
      <w:divsChild>
        <w:div w:id="208617136">
          <w:marLeft w:val="0"/>
          <w:marRight w:val="0"/>
          <w:marTop w:val="480"/>
          <w:marBottom w:val="0"/>
          <w:divBdr>
            <w:top w:val="none" w:sz="0" w:space="0" w:color="auto"/>
            <w:left w:val="none" w:sz="0" w:space="0" w:color="auto"/>
            <w:bottom w:val="none" w:sz="0" w:space="0" w:color="auto"/>
            <w:right w:val="none" w:sz="0" w:space="0" w:color="auto"/>
          </w:divBdr>
        </w:div>
        <w:div w:id="119152970">
          <w:marLeft w:val="0"/>
          <w:marRight w:val="0"/>
          <w:marTop w:val="480"/>
          <w:marBottom w:val="0"/>
          <w:divBdr>
            <w:top w:val="none" w:sz="0" w:space="0" w:color="auto"/>
            <w:left w:val="none" w:sz="0" w:space="0" w:color="auto"/>
            <w:bottom w:val="none" w:sz="0" w:space="0" w:color="auto"/>
            <w:right w:val="none" w:sz="0" w:space="0" w:color="auto"/>
          </w:divBdr>
        </w:div>
        <w:div w:id="312754085">
          <w:marLeft w:val="0"/>
          <w:marRight w:val="0"/>
          <w:marTop w:val="240"/>
          <w:marBottom w:val="0"/>
          <w:divBdr>
            <w:top w:val="none" w:sz="0" w:space="0" w:color="auto"/>
            <w:left w:val="none" w:sz="0" w:space="0" w:color="auto"/>
            <w:bottom w:val="none" w:sz="0" w:space="0" w:color="auto"/>
            <w:right w:val="none" w:sz="0" w:space="0" w:color="auto"/>
          </w:divBdr>
        </w:div>
        <w:div w:id="1216895098">
          <w:marLeft w:val="0"/>
          <w:marRight w:val="0"/>
          <w:marTop w:val="240"/>
          <w:marBottom w:val="0"/>
          <w:divBdr>
            <w:top w:val="none" w:sz="0" w:space="0" w:color="auto"/>
            <w:left w:val="none" w:sz="0" w:space="0" w:color="auto"/>
            <w:bottom w:val="none" w:sz="0" w:space="0" w:color="auto"/>
            <w:right w:val="none" w:sz="0" w:space="0" w:color="auto"/>
          </w:divBdr>
        </w:div>
        <w:div w:id="1473904786">
          <w:marLeft w:val="0"/>
          <w:marRight w:val="0"/>
          <w:marTop w:val="240"/>
          <w:marBottom w:val="0"/>
          <w:divBdr>
            <w:top w:val="none" w:sz="0" w:space="0" w:color="auto"/>
            <w:left w:val="none" w:sz="0" w:space="0" w:color="auto"/>
            <w:bottom w:val="none" w:sz="0" w:space="0" w:color="auto"/>
            <w:right w:val="none" w:sz="0" w:space="0" w:color="auto"/>
          </w:divBdr>
        </w:div>
        <w:div w:id="1808548949">
          <w:marLeft w:val="425"/>
          <w:marRight w:val="0"/>
          <w:marTop w:val="0"/>
          <w:marBottom w:val="0"/>
          <w:divBdr>
            <w:top w:val="none" w:sz="0" w:space="0" w:color="auto"/>
            <w:left w:val="none" w:sz="0" w:space="0" w:color="auto"/>
            <w:bottom w:val="none" w:sz="0" w:space="0" w:color="auto"/>
            <w:right w:val="none" w:sz="0" w:space="0" w:color="auto"/>
          </w:divBdr>
        </w:div>
        <w:div w:id="336621369">
          <w:marLeft w:val="425"/>
          <w:marRight w:val="0"/>
          <w:marTop w:val="0"/>
          <w:marBottom w:val="0"/>
          <w:divBdr>
            <w:top w:val="none" w:sz="0" w:space="0" w:color="auto"/>
            <w:left w:val="none" w:sz="0" w:space="0" w:color="auto"/>
            <w:bottom w:val="none" w:sz="0" w:space="0" w:color="auto"/>
            <w:right w:val="none" w:sz="0" w:space="0" w:color="auto"/>
          </w:divBdr>
        </w:div>
        <w:div w:id="319162709">
          <w:marLeft w:val="425"/>
          <w:marRight w:val="0"/>
          <w:marTop w:val="0"/>
          <w:marBottom w:val="0"/>
          <w:divBdr>
            <w:top w:val="none" w:sz="0" w:space="0" w:color="auto"/>
            <w:left w:val="none" w:sz="0" w:space="0" w:color="auto"/>
            <w:bottom w:val="none" w:sz="0" w:space="0" w:color="auto"/>
            <w:right w:val="none" w:sz="0" w:space="0" w:color="auto"/>
          </w:divBdr>
        </w:div>
        <w:div w:id="344673460">
          <w:marLeft w:val="425"/>
          <w:marRight w:val="0"/>
          <w:marTop w:val="0"/>
          <w:marBottom w:val="0"/>
          <w:divBdr>
            <w:top w:val="none" w:sz="0" w:space="0" w:color="auto"/>
            <w:left w:val="none" w:sz="0" w:space="0" w:color="auto"/>
            <w:bottom w:val="none" w:sz="0" w:space="0" w:color="auto"/>
            <w:right w:val="none" w:sz="0" w:space="0" w:color="auto"/>
          </w:divBdr>
        </w:div>
        <w:div w:id="1178228185">
          <w:marLeft w:val="425"/>
          <w:marRight w:val="0"/>
          <w:marTop w:val="0"/>
          <w:marBottom w:val="0"/>
          <w:divBdr>
            <w:top w:val="none" w:sz="0" w:space="0" w:color="auto"/>
            <w:left w:val="none" w:sz="0" w:space="0" w:color="auto"/>
            <w:bottom w:val="none" w:sz="0" w:space="0" w:color="auto"/>
            <w:right w:val="none" w:sz="0" w:space="0" w:color="auto"/>
          </w:divBdr>
        </w:div>
        <w:div w:id="410275730">
          <w:marLeft w:val="425"/>
          <w:marRight w:val="0"/>
          <w:marTop w:val="0"/>
          <w:marBottom w:val="0"/>
          <w:divBdr>
            <w:top w:val="none" w:sz="0" w:space="0" w:color="auto"/>
            <w:left w:val="none" w:sz="0" w:space="0" w:color="auto"/>
            <w:bottom w:val="none" w:sz="0" w:space="0" w:color="auto"/>
            <w:right w:val="none" w:sz="0" w:space="0" w:color="auto"/>
          </w:divBdr>
        </w:div>
        <w:div w:id="561791819">
          <w:marLeft w:val="425"/>
          <w:marRight w:val="0"/>
          <w:marTop w:val="0"/>
          <w:marBottom w:val="0"/>
          <w:divBdr>
            <w:top w:val="none" w:sz="0" w:space="0" w:color="auto"/>
            <w:left w:val="none" w:sz="0" w:space="0" w:color="auto"/>
            <w:bottom w:val="none" w:sz="0" w:space="0" w:color="auto"/>
            <w:right w:val="none" w:sz="0" w:space="0" w:color="auto"/>
          </w:divBdr>
        </w:div>
        <w:div w:id="716928189">
          <w:marLeft w:val="425"/>
          <w:marRight w:val="0"/>
          <w:marTop w:val="0"/>
          <w:marBottom w:val="0"/>
          <w:divBdr>
            <w:top w:val="none" w:sz="0" w:space="0" w:color="auto"/>
            <w:left w:val="none" w:sz="0" w:space="0" w:color="auto"/>
            <w:bottom w:val="none" w:sz="0" w:space="0" w:color="auto"/>
            <w:right w:val="none" w:sz="0" w:space="0" w:color="auto"/>
          </w:divBdr>
        </w:div>
        <w:div w:id="861864703">
          <w:marLeft w:val="0"/>
          <w:marRight w:val="0"/>
          <w:marTop w:val="240"/>
          <w:marBottom w:val="0"/>
          <w:divBdr>
            <w:top w:val="none" w:sz="0" w:space="0" w:color="auto"/>
            <w:left w:val="none" w:sz="0" w:space="0" w:color="auto"/>
            <w:bottom w:val="none" w:sz="0" w:space="0" w:color="auto"/>
            <w:right w:val="none" w:sz="0" w:space="0" w:color="auto"/>
          </w:divBdr>
        </w:div>
        <w:div w:id="1827166775">
          <w:marLeft w:val="0"/>
          <w:marRight w:val="0"/>
          <w:marTop w:val="240"/>
          <w:marBottom w:val="0"/>
          <w:divBdr>
            <w:top w:val="none" w:sz="0" w:space="0" w:color="auto"/>
            <w:left w:val="none" w:sz="0" w:space="0" w:color="auto"/>
            <w:bottom w:val="none" w:sz="0" w:space="0" w:color="auto"/>
            <w:right w:val="none" w:sz="0" w:space="0" w:color="auto"/>
          </w:divBdr>
        </w:div>
        <w:div w:id="347104067">
          <w:marLeft w:val="0"/>
          <w:marRight w:val="0"/>
          <w:marTop w:val="240"/>
          <w:marBottom w:val="0"/>
          <w:divBdr>
            <w:top w:val="none" w:sz="0" w:space="0" w:color="auto"/>
            <w:left w:val="none" w:sz="0" w:space="0" w:color="auto"/>
            <w:bottom w:val="none" w:sz="0" w:space="0" w:color="auto"/>
            <w:right w:val="none" w:sz="0" w:space="0" w:color="auto"/>
          </w:divBdr>
        </w:div>
        <w:div w:id="682516522">
          <w:marLeft w:val="0"/>
          <w:marRight w:val="0"/>
          <w:marTop w:val="240"/>
          <w:marBottom w:val="0"/>
          <w:divBdr>
            <w:top w:val="none" w:sz="0" w:space="0" w:color="auto"/>
            <w:left w:val="none" w:sz="0" w:space="0" w:color="auto"/>
            <w:bottom w:val="none" w:sz="0" w:space="0" w:color="auto"/>
            <w:right w:val="none" w:sz="0" w:space="0" w:color="auto"/>
          </w:divBdr>
        </w:div>
      </w:divsChild>
    </w:div>
    <w:div w:id="1512450223">
      <w:bodyDiv w:val="1"/>
      <w:marLeft w:val="0"/>
      <w:marRight w:val="0"/>
      <w:marTop w:val="0"/>
      <w:marBottom w:val="0"/>
      <w:divBdr>
        <w:top w:val="none" w:sz="0" w:space="0" w:color="auto"/>
        <w:left w:val="none" w:sz="0" w:space="0" w:color="auto"/>
        <w:bottom w:val="none" w:sz="0" w:space="0" w:color="auto"/>
        <w:right w:val="none" w:sz="0" w:space="0" w:color="auto"/>
      </w:divBdr>
    </w:div>
    <w:div w:id="1535927617">
      <w:bodyDiv w:val="1"/>
      <w:marLeft w:val="0"/>
      <w:marRight w:val="0"/>
      <w:marTop w:val="0"/>
      <w:marBottom w:val="0"/>
      <w:divBdr>
        <w:top w:val="none" w:sz="0" w:space="0" w:color="auto"/>
        <w:left w:val="none" w:sz="0" w:space="0" w:color="auto"/>
        <w:bottom w:val="none" w:sz="0" w:space="0" w:color="auto"/>
        <w:right w:val="none" w:sz="0" w:space="0" w:color="auto"/>
      </w:divBdr>
    </w:div>
    <w:div w:id="1651329230">
      <w:bodyDiv w:val="1"/>
      <w:marLeft w:val="0"/>
      <w:marRight w:val="0"/>
      <w:marTop w:val="0"/>
      <w:marBottom w:val="0"/>
      <w:divBdr>
        <w:top w:val="none" w:sz="0" w:space="0" w:color="auto"/>
        <w:left w:val="none" w:sz="0" w:space="0" w:color="auto"/>
        <w:bottom w:val="none" w:sz="0" w:space="0" w:color="auto"/>
        <w:right w:val="none" w:sz="0" w:space="0" w:color="auto"/>
      </w:divBdr>
    </w:div>
    <w:div w:id="1710255491">
      <w:bodyDiv w:val="1"/>
      <w:marLeft w:val="0"/>
      <w:marRight w:val="0"/>
      <w:marTop w:val="0"/>
      <w:marBottom w:val="0"/>
      <w:divBdr>
        <w:top w:val="none" w:sz="0" w:space="0" w:color="auto"/>
        <w:left w:val="none" w:sz="0" w:space="0" w:color="auto"/>
        <w:bottom w:val="none" w:sz="0" w:space="0" w:color="auto"/>
        <w:right w:val="none" w:sz="0" w:space="0" w:color="auto"/>
      </w:divBdr>
    </w:div>
    <w:div w:id="1718582269">
      <w:bodyDiv w:val="1"/>
      <w:marLeft w:val="0"/>
      <w:marRight w:val="0"/>
      <w:marTop w:val="0"/>
      <w:marBottom w:val="0"/>
      <w:divBdr>
        <w:top w:val="none" w:sz="0" w:space="0" w:color="auto"/>
        <w:left w:val="none" w:sz="0" w:space="0" w:color="auto"/>
        <w:bottom w:val="none" w:sz="0" w:space="0" w:color="auto"/>
        <w:right w:val="none" w:sz="0" w:space="0" w:color="auto"/>
      </w:divBdr>
    </w:div>
    <w:div w:id="1753429426">
      <w:bodyDiv w:val="1"/>
      <w:marLeft w:val="0"/>
      <w:marRight w:val="0"/>
      <w:marTop w:val="0"/>
      <w:marBottom w:val="0"/>
      <w:divBdr>
        <w:top w:val="none" w:sz="0" w:space="0" w:color="auto"/>
        <w:left w:val="none" w:sz="0" w:space="0" w:color="auto"/>
        <w:bottom w:val="none" w:sz="0" w:space="0" w:color="auto"/>
        <w:right w:val="none" w:sz="0" w:space="0" w:color="auto"/>
      </w:divBdr>
    </w:div>
    <w:div w:id="1768647192">
      <w:bodyDiv w:val="1"/>
      <w:marLeft w:val="0"/>
      <w:marRight w:val="0"/>
      <w:marTop w:val="0"/>
      <w:marBottom w:val="0"/>
      <w:divBdr>
        <w:top w:val="none" w:sz="0" w:space="0" w:color="auto"/>
        <w:left w:val="none" w:sz="0" w:space="0" w:color="auto"/>
        <w:bottom w:val="none" w:sz="0" w:space="0" w:color="auto"/>
        <w:right w:val="none" w:sz="0" w:space="0" w:color="auto"/>
      </w:divBdr>
    </w:div>
    <w:div w:id="1910116085">
      <w:bodyDiv w:val="1"/>
      <w:marLeft w:val="0"/>
      <w:marRight w:val="0"/>
      <w:marTop w:val="0"/>
      <w:marBottom w:val="0"/>
      <w:divBdr>
        <w:top w:val="none" w:sz="0" w:space="0" w:color="auto"/>
        <w:left w:val="none" w:sz="0" w:space="0" w:color="auto"/>
        <w:bottom w:val="none" w:sz="0" w:space="0" w:color="auto"/>
        <w:right w:val="none" w:sz="0" w:space="0" w:color="auto"/>
      </w:divBdr>
    </w:div>
    <w:div w:id="1968778138">
      <w:bodyDiv w:val="1"/>
      <w:marLeft w:val="0"/>
      <w:marRight w:val="0"/>
      <w:marTop w:val="0"/>
      <w:marBottom w:val="0"/>
      <w:divBdr>
        <w:top w:val="none" w:sz="0" w:space="0" w:color="auto"/>
        <w:left w:val="none" w:sz="0" w:space="0" w:color="auto"/>
        <w:bottom w:val="none" w:sz="0" w:space="0" w:color="auto"/>
        <w:right w:val="none" w:sz="0" w:space="0" w:color="auto"/>
      </w:divBdr>
    </w:div>
    <w:div w:id="1970234040">
      <w:bodyDiv w:val="1"/>
      <w:marLeft w:val="0"/>
      <w:marRight w:val="0"/>
      <w:marTop w:val="0"/>
      <w:marBottom w:val="0"/>
      <w:divBdr>
        <w:top w:val="none" w:sz="0" w:space="0" w:color="auto"/>
        <w:left w:val="none" w:sz="0" w:space="0" w:color="auto"/>
        <w:bottom w:val="none" w:sz="0" w:space="0" w:color="auto"/>
        <w:right w:val="none" w:sz="0" w:space="0" w:color="auto"/>
      </w:divBdr>
    </w:div>
    <w:div w:id="2008243941">
      <w:bodyDiv w:val="1"/>
      <w:marLeft w:val="0"/>
      <w:marRight w:val="0"/>
      <w:marTop w:val="0"/>
      <w:marBottom w:val="0"/>
      <w:divBdr>
        <w:top w:val="none" w:sz="0" w:space="0" w:color="auto"/>
        <w:left w:val="none" w:sz="0" w:space="0" w:color="auto"/>
        <w:bottom w:val="none" w:sz="0" w:space="0" w:color="auto"/>
        <w:right w:val="none" w:sz="0" w:space="0" w:color="auto"/>
      </w:divBdr>
      <w:divsChild>
        <w:div w:id="2105494413">
          <w:marLeft w:val="0"/>
          <w:marRight w:val="0"/>
          <w:marTop w:val="480"/>
          <w:marBottom w:val="0"/>
          <w:divBdr>
            <w:top w:val="none" w:sz="0" w:space="0" w:color="auto"/>
            <w:left w:val="none" w:sz="0" w:space="0" w:color="auto"/>
            <w:bottom w:val="none" w:sz="0" w:space="0" w:color="auto"/>
            <w:right w:val="none" w:sz="0" w:space="0" w:color="auto"/>
          </w:divBdr>
        </w:div>
        <w:div w:id="135689981">
          <w:marLeft w:val="0"/>
          <w:marRight w:val="0"/>
          <w:marTop w:val="480"/>
          <w:marBottom w:val="0"/>
          <w:divBdr>
            <w:top w:val="none" w:sz="0" w:space="0" w:color="auto"/>
            <w:left w:val="none" w:sz="0" w:space="0" w:color="auto"/>
            <w:bottom w:val="none" w:sz="0" w:space="0" w:color="auto"/>
            <w:right w:val="none" w:sz="0" w:space="0" w:color="auto"/>
          </w:divBdr>
        </w:div>
        <w:div w:id="1693072965">
          <w:marLeft w:val="0"/>
          <w:marRight w:val="0"/>
          <w:marTop w:val="240"/>
          <w:marBottom w:val="0"/>
          <w:divBdr>
            <w:top w:val="none" w:sz="0" w:space="0" w:color="auto"/>
            <w:left w:val="none" w:sz="0" w:space="0" w:color="auto"/>
            <w:bottom w:val="none" w:sz="0" w:space="0" w:color="auto"/>
            <w:right w:val="none" w:sz="0" w:space="0" w:color="auto"/>
          </w:divBdr>
        </w:div>
        <w:div w:id="2058040658">
          <w:marLeft w:val="0"/>
          <w:marRight w:val="0"/>
          <w:marTop w:val="240"/>
          <w:marBottom w:val="0"/>
          <w:divBdr>
            <w:top w:val="none" w:sz="0" w:space="0" w:color="auto"/>
            <w:left w:val="none" w:sz="0" w:space="0" w:color="auto"/>
            <w:bottom w:val="none" w:sz="0" w:space="0" w:color="auto"/>
            <w:right w:val="none" w:sz="0" w:space="0" w:color="auto"/>
          </w:divBdr>
        </w:div>
        <w:div w:id="703410237">
          <w:marLeft w:val="0"/>
          <w:marRight w:val="0"/>
          <w:marTop w:val="240"/>
          <w:marBottom w:val="0"/>
          <w:divBdr>
            <w:top w:val="none" w:sz="0" w:space="0" w:color="auto"/>
            <w:left w:val="none" w:sz="0" w:space="0" w:color="auto"/>
            <w:bottom w:val="none" w:sz="0" w:space="0" w:color="auto"/>
            <w:right w:val="none" w:sz="0" w:space="0" w:color="auto"/>
          </w:divBdr>
        </w:div>
        <w:div w:id="945305314">
          <w:marLeft w:val="425"/>
          <w:marRight w:val="0"/>
          <w:marTop w:val="0"/>
          <w:marBottom w:val="0"/>
          <w:divBdr>
            <w:top w:val="none" w:sz="0" w:space="0" w:color="auto"/>
            <w:left w:val="none" w:sz="0" w:space="0" w:color="auto"/>
            <w:bottom w:val="none" w:sz="0" w:space="0" w:color="auto"/>
            <w:right w:val="none" w:sz="0" w:space="0" w:color="auto"/>
          </w:divBdr>
        </w:div>
        <w:div w:id="447705717">
          <w:marLeft w:val="425"/>
          <w:marRight w:val="0"/>
          <w:marTop w:val="0"/>
          <w:marBottom w:val="0"/>
          <w:divBdr>
            <w:top w:val="none" w:sz="0" w:space="0" w:color="auto"/>
            <w:left w:val="none" w:sz="0" w:space="0" w:color="auto"/>
            <w:bottom w:val="none" w:sz="0" w:space="0" w:color="auto"/>
            <w:right w:val="none" w:sz="0" w:space="0" w:color="auto"/>
          </w:divBdr>
        </w:div>
        <w:div w:id="768623071">
          <w:marLeft w:val="425"/>
          <w:marRight w:val="0"/>
          <w:marTop w:val="0"/>
          <w:marBottom w:val="0"/>
          <w:divBdr>
            <w:top w:val="none" w:sz="0" w:space="0" w:color="auto"/>
            <w:left w:val="none" w:sz="0" w:space="0" w:color="auto"/>
            <w:bottom w:val="none" w:sz="0" w:space="0" w:color="auto"/>
            <w:right w:val="none" w:sz="0" w:space="0" w:color="auto"/>
          </w:divBdr>
        </w:div>
        <w:div w:id="622073489">
          <w:marLeft w:val="425"/>
          <w:marRight w:val="0"/>
          <w:marTop w:val="0"/>
          <w:marBottom w:val="0"/>
          <w:divBdr>
            <w:top w:val="none" w:sz="0" w:space="0" w:color="auto"/>
            <w:left w:val="none" w:sz="0" w:space="0" w:color="auto"/>
            <w:bottom w:val="none" w:sz="0" w:space="0" w:color="auto"/>
            <w:right w:val="none" w:sz="0" w:space="0" w:color="auto"/>
          </w:divBdr>
        </w:div>
        <w:div w:id="1319773018">
          <w:marLeft w:val="425"/>
          <w:marRight w:val="0"/>
          <w:marTop w:val="0"/>
          <w:marBottom w:val="0"/>
          <w:divBdr>
            <w:top w:val="none" w:sz="0" w:space="0" w:color="auto"/>
            <w:left w:val="none" w:sz="0" w:space="0" w:color="auto"/>
            <w:bottom w:val="none" w:sz="0" w:space="0" w:color="auto"/>
            <w:right w:val="none" w:sz="0" w:space="0" w:color="auto"/>
          </w:divBdr>
        </w:div>
        <w:div w:id="1375078739">
          <w:marLeft w:val="425"/>
          <w:marRight w:val="0"/>
          <w:marTop w:val="0"/>
          <w:marBottom w:val="0"/>
          <w:divBdr>
            <w:top w:val="none" w:sz="0" w:space="0" w:color="auto"/>
            <w:left w:val="none" w:sz="0" w:space="0" w:color="auto"/>
            <w:bottom w:val="none" w:sz="0" w:space="0" w:color="auto"/>
            <w:right w:val="none" w:sz="0" w:space="0" w:color="auto"/>
          </w:divBdr>
        </w:div>
        <w:div w:id="945431304">
          <w:marLeft w:val="425"/>
          <w:marRight w:val="0"/>
          <w:marTop w:val="0"/>
          <w:marBottom w:val="0"/>
          <w:divBdr>
            <w:top w:val="none" w:sz="0" w:space="0" w:color="auto"/>
            <w:left w:val="none" w:sz="0" w:space="0" w:color="auto"/>
            <w:bottom w:val="none" w:sz="0" w:space="0" w:color="auto"/>
            <w:right w:val="none" w:sz="0" w:space="0" w:color="auto"/>
          </w:divBdr>
        </w:div>
        <w:div w:id="2139175392">
          <w:marLeft w:val="425"/>
          <w:marRight w:val="0"/>
          <w:marTop w:val="0"/>
          <w:marBottom w:val="0"/>
          <w:divBdr>
            <w:top w:val="none" w:sz="0" w:space="0" w:color="auto"/>
            <w:left w:val="none" w:sz="0" w:space="0" w:color="auto"/>
            <w:bottom w:val="none" w:sz="0" w:space="0" w:color="auto"/>
            <w:right w:val="none" w:sz="0" w:space="0" w:color="auto"/>
          </w:divBdr>
        </w:div>
        <w:div w:id="1457143354">
          <w:marLeft w:val="0"/>
          <w:marRight w:val="0"/>
          <w:marTop w:val="240"/>
          <w:marBottom w:val="0"/>
          <w:divBdr>
            <w:top w:val="none" w:sz="0" w:space="0" w:color="auto"/>
            <w:left w:val="none" w:sz="0" w:space="0" w:color="auto"/>
            <w:bottom w:val="none" w:sz="0" w:space="0" w:color="auto"/>
            <w:right w:val="none" w:sz="0" w:space="0" w:color="auto"/>
          </w:divBdr>
        </w:div>
        <w:div w:id="1553804656">
          <w:marLeft w:val="0"/>
          <w:marRight w:val="0"/>
          <w:marTop w:val="240"/>
          <w:marBottom w:val="0"/>
          <w:divBdr>
            <w:top w:val="none" w:sz="0" w:space="0" w:color="auto"/>
            <w:left w:val="none" w:sz="0" w:space="0" w:color="auto"/>
            <w:bottom w:val="none" w:sz="0" w:space="0" w:color="auto"/>
            <w:right w:val="none" w:sz="0" w:space="0" w:color="auto"/>
          </w:divBdr>
        </w:div>
        <w:div w:id="973220501">
          <w:marLeft w:val="0"/>
          <w:marRight w:val="0"/>
          <w:marTop w:val="240"/>
          <w:marBottom w:val="0"/>
          <w:divBdr>
            <w:top w:val="none" w:sz="0" w:space="0" w:color="auto"/>
            <w:left w:val="none" w:sz="0" w:space="0" w:color="auto"/>
            <w:bottom w:val="none" w:sz="0" w:space="0" w:color="auto"/>
            <w:right w:val="none" w:sz="0" w:space="0" w:color="auto"/>
          </w:divBdr>
        </w:div>
        <w:div w:id="431164183">
          <w:marLeft w:val="0"/>
          <w:marRight w:val="0"/>
          <w:marTop w:val="240"/>
          <w:marBottom w:val="0"/>
          <w:divBdr>
            <w:top w:val="none" w:sz="0" w:space="0" w:color="auto"/>
            <w:left w:val="none" w:sz="0" w:space="0" w:color="auto"/>
            <w:bottom w:val="none" w:sz="0" w:space="0" w:color="auto"/>
            <w:right w:val="none" w:sz="0" w:space="0" w:color="auto"/>
          </w:divBdr>
        </w:div>
      </w:divsChild>
    </w:div>
    <w:div w:id="2034528478">
      <w:bodyDiv w:val="1"/>
      <w:marLeft w:val="0"/>
      <w:marRight w:val="0"/>
      <w:marTop w:val="0"/>
      <w:marBottom w:val="0"/>
      <w:divBdr>
        <w:top w:val="none" w:sz="0" w:space="0" w:color="auto"/>
        <w:left w:val="none" w:sz="0" w:space="0" w:color="auto"/>
        <w:bottom w:val="none" w:sz="0" w:space="0" w:color="auto"/>
        <w:right w:val="none" w:sz="0" w:space="0" w:color="auto"/>
      </w:divBdr>
    </w:div>
    <w:div w:id="2056347945">
      <w:bodyDiv w:val="1"/>
      <w:marLeft w:val="0"/>
      <w:marRight w:val="0"/>
      <w:marTop w:val="0"/>
      <w:marBottom w:val="0"/>
      <w:divBdr>
        <w:top w:val="none" w:sz="0" w:space="0" w:color="auto"/>
        <w:left w:val="none" w:sz="0" w:space="0" w:color="auto"/>
        <w:bottom w:val="none" w:sz="0" w:space="0" w:color="auto"/>
        <w:right w:val="none" w:sz="0" w:space="0" w:color="auto"/>
      </w:divBdr>
    </w:div>
    <w:div w:id="2101558157">
      <w:bodyDiv w:val="1"/>
      <w:marLeft w:val="0"/>
      <w:marRight w:val="0"/>
      <w:marTop w:val="0"/>
      <w:marBottom w:val="0"/>
      <w:divBdr>
        <w:top w:val="none" w:sz="0" w:space="0" w:color="auto"/>
        <w:left w:val="none" w:sz="0" w:space="0" w:color="auto"/>
        <w:bottom w:val="none" w:sz="0" w:space="0" w:color="auto"/>
        <w:right w:val="none" w:sz="0" w:space="0" w:color="auto"/>
      </w:divBdr>
    </w:div>
    <w:div w:id="2120758905">
      <w:bodyDiv w:val="1"/>
      <w:marLeft w:val="0"/>
      <w:marRight w:val="0"/>
      <w:marTop w:val="0"/>
      <w:marBottom w:val="0"/>
      <w:divBdr>
        <w:top w:val="none" w:sz="0" w:space="0" w:color="auto"/>
        <w:left w:val="none" w:sz="0" w:space="0" w:color="auto"/>
        <w:bottom w:val="none" w:sz="0" w:space="0" w:color="auto"/>
        <w:right w:val="none" w:sz="0" w:space="0" w:color="auto"/>
      </w:divBdr>
      <w:divsChild>
        <w:div w:id="497037522">
          <w:marLeft w:val="0"/>
          <w:marRight w:val="0"/>
          <w:marTop w:val="0"/>
          <w:marBottom w:val="0"/>
          <w:divBdr>
            <w:top w:val="none" w:sz="0" w:space="0" w:color="auto"/>
            <w:left w:val="none" w:sz="0" w:space="0" w:color="auto"/>
            <w:bottom w:val="none" w:sz="0" w:space="0" w:color="auto"/>
            <w:right w:val="none" w:sz="0" w:space="0" w:color="auto"/>
          </w:divBdr>
          <w:divsChild>
            <w:div w:id="334654252">
              <w:marLeft w:val="0"/>
              <w:marRight w:val="0"/>
              <w:marTop w:val="0"/>
              <w:marBottom w:val="0"/>
              <w:divBdr>
                <w:top w:val="none" w:sz="0" w:space="0" w:color="auto"/>
                <w:left w:val="none" w:sz="0" w:space="0" w:color="auto"/>
                <w:bottom w:val="none" w:sz="0" w:space="0" w:color="auto"/>
                <w:right w:val="none" w:sz="0" w:space="0" w:color="auto"/>
              </w:divBdr>
              <w:divsChild>
                <w:div w:id="232811825">
                  <w:marLeft w:val="0"/>
                  <w:marRight w:val="0"/>
                  <w:marTop w:val="0"/>
                  <w:marBottom w:val="0"/>
                  <w:divBdr>
                    <w:top w:val="none" w:sz="0" w:space="0" w:color="auto"/>
                    <w:left w:val="none" w:sz="0" w:space="0" w:color="auto"/>
                    <w:bottom w:val="none" w:sz="0" w:space="0" w:color="auto"/>
                    <w:right w:val="none" w:sz="0" w:space="0" w:color="auto"/>
                  </w:divBdr>
                  <w:divsChild>
                    <w:div w:id="471169126">
                      <w:marLeft w:val="0"/>
                      <w:marRight w:val="0"/>
                      <w:marTop w:val="0"/>
                      <w:marBottom w:val="0"/>
                      <w:divBdr>
                        <w:top w:val="none" w:sz="0" w:space="0" w:color="auto"/>
                        <w:left w:val="none" w:sz="0" w:space="0" w:color="auto"/>
                        <w:bottom w:val="none" w:sz="0" w:space="0" w:color="auto"/>
                        <w:right w:val="none" w:sz="0" w:space="0" w:color="auto"/>
                      </w:divBdr>
                      <w:divsChild>
                        <w:div w:id="343096565">
                          <w:marLeft w:val="0"/>
                          <w:marRight w:val="0"/>
                          <w:marTop w:val="0"/>
                          <w:marBottom w:val="0"/>
                          <w:divBdr>
                            <w:top w:val="none" w:sz="0" w:space="0" w:color="auto"/>
                            <w:left w:val="none" w:sz="0" w:space="0" w:color="auto"/>
                            <w:bottom w:val="none" w:sz="0" w:space="0" w:color="auto"/>
                            <w:right w:val="none" w:sz="0" w:space="0" w:color="auto"/>
                          </w:divBdr>
                          <w:divsChild>
                            <w:div w:id="1122916265">
                              <w:marLeft w:val="0"/>
                              <w:marRight w:val="0"/>
                              <w:marTop w:val="0"/>
                              <w:marBottom w:val="0"/>
                              <w:divBdr>
                                <w:top w:val="none" w:sz="0" w:space="0" w:color="auto"/>
                                <w:left w:val="none" w:sz="0" w:space="0" w:color="auto"/>
                                <w:bottom w:val="none" w:sz="0" w:space="0" w:color="auto"/>
                                <w:right w:val="none" w:sz="0" w:space="0" w:color="auto"/>
                              </w:divBdr>
                              <w:divsChild>
                                <w:div w:id="110357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1-01-2056" TargetMode="External"/><Relationship Id="rId18" Type="http://schemas.openxmlformats.org/officeDocument/2006/relationships/hyperlink" Target="http://www.uradni-list.si/1/objava.jsp?sop=2023-01-2741" TargetMode="External"/><Relationship Id="rId26" Type="http://schemas.openxmlformats.org/officeDocument/2006/relationships/hyperlink" Target="https://www.uradni-list.si/glasilo-uradni-list-rs/vsebina/2018-01-1355" TargetMode="External"/><Relationship Id="rId39" Type="http://schemas.openxmlformats.org/officeDocument/2006/relationships/hyperlink" Target="https://www.uradni-list.si/glasilo-uradni-list-rs/vsebina/2019-01-2924" TargetMode="External"/><Relationship Id="rId21" Type="http://schemas.openxmlformats.org/officeDocument/2006/relationships/hyperlink" Target="https://www.uradni-list.si/glasilo-uradni-list-rs/vsebina/2018-01-1355" TargetMode="External"/><Relationship Id="rId34" Type="http://schemas.openxmlformats.org/officeDocument/2006/relationships/hyperlink" Target="https://www.uradni-list.si/glasilo-uradni-list-rs/vsebina/2022-01-3442" TargetMode="External"/><Relationship Id="rId42" Type="http://schemas.openxmlformats.org/officeDocument/2006/relationships/hyperlink" Target="https://www.uradni-list.si/glasilo-uradni-list-rs/vsebina/2005-01-0778" TargetMode="External"/><Relationship Id="rId47" Type="http://schemas.openxmlformats.org/officeDocument/2006/relationships/hyperlink" Target="https://www.uradni-list.si/glasilo-uradni-list-rs/vsebina/2012-01-1700" TargetMode="External"/><Relationship Id="rId50" Type="http://schemas.openxmlformats.org/officeDocument/2006/relationships/hyperlink" Target="https://www.uradni-list.si/glasilo-uradni-list-rs/vsebina/2017-01-3026" TargetMode="External"/><Relationship Id="rId55" Type="http://schemas.openxmlformats.org/officeDocument/2006/relationships/hyperlink" Target="https://www.uradni-list.si/glasilo-uradni-list-rs/vsebina/2020-01-3772" TargetMode="External"/><Relationship Id="rId63" Type="http://schemas.openxmlformats.org/officeDocument/2006/relationships/hyperlink" Target="https://www.uradni-list.si/glasilo-uradni-list-rs/vsebina/2014-01-0539" TargetMode="External"/><Relationship Id="rId68" Type="http://schemas.openxmlformats.org/officeDocument/2006/relationships/hyperlink" Target="https://www.uradni-list.si/glasilo-uradni-list-rs/vsebina/2019-01-3723" TargetMode="External"/><Relationship Id="rId76" Type="http://schemas.openxmlformats.org/officeDocument/2006/relationships/hyperlink" Target="https://www.uradni-list.si/glasilo-uradni-list-rs/vsebina/2023-01-0348" TargetMode="External"/><Relationship Id="rId84" Type="http://schemas.openxmlformats.org/officeDocument/2006/relationships/hyperlink" Target="https://www.uradni-list.si/glasilo-uradni-list-rs/vsebina/2023-01-0348" TargetMode="External"/><Relationship Id="rId89" Type="http://schemas.openxmlformats.org/officeDocument/2006/relationships/header" Target="header1.xml"/><Relationship Id="rId7" Type="http://schemas.openxmlformats.org/officeDocument/2006/relationships/image" Target="media/image1.emf"/><Relationship Id="rId71" Type="http://schemas.openxmlformats.org/officeDocument/2006/relationships/hyperlink" Target="https://www.uradni-list.si/glasilo-uradni-list-rs/vsebina/2009-01-2497" TargetMode="External"/><Relationship Id="rId2" Type="http://schemas.openxmlformats.org/officeDocument/2006/relationships/styles" Target="styles.xml"/><Relationship Id="rId16" Type="http://schemas.openxmlformats.org/officeDocument/2006/relationships/hyperlink" Target="http://www.uradni-list.si/1/objava.jsp?sop=2023-01-1519" TargetMode="External"/><Relationship Id="rId29" Type="http://schemas.openxmlformats.org/officeDocument/2006/relationships/hyperlink" Target="https://www.uradni-list.si/glasilo-uradni-list-rs/vsebina/2023-01-0348" TargetMode="External"/><Relationship Id="rId11" Type="http://schemas.openxmlformats.org/officeDocument/2006/relationships/hyperlink" Target="http://www.uradni-list.si/1/objava.jsp?sop=2023-01-2159" TargetMode="External"/><Relationship Id="rId24" Type="http://schemas.openxmlformats.org/officeDocument/2006/relationships/hyperlink" Target="https://www.uradni-list.si/glasilo-uradni-list-rs/vsebina/2023-01-0348" TargetMode="External"/><Relationship Id="rId32" Type="http://schemas.openxmlformats.org/officeDocument/2006/relationships/hyperlink" Target="https://www.uradni-list.si/glasilo-uradni-list-rs/vsebina/2015-01-3353" TargetMode="External"/><Relationship Id="rId37" Type="http://schemas.openxmlformats.org/officeDocument/2006/relationships/hyperlink" Target="https://www.uradni-list.si/glasilo-uradni-list-rs/vsebina/2018-01-3751" TargetMode="External"/><Relationship Id="rId40" Type="http://schemas.openxmlformats.org/officeDocument/2006/relationships/hyperlink" Target="https://www.uradni-list.si/glasilo-uradni-list-rs/vsebina/2021-01-2627" TargetMode="External"/><Relationship Id="rId45" Type="http://schemas.openxmlformats.org/officeDocument/2006/relationships/hyperlink" Target="https://www.uradni-list.si/glasilo-uradni-list-rs/vsebina/2008-01-2482" TargetMode="External"/><Relationship Id="rId53" Type="http://schemas.openxmlformats.org/officeDocument/2006/relationships/hyperlink" Target="https://www.uradni-list.si/glasilo-uradni-list-rs/vsebina/2020-01-1233" TargetMode="External"/><Relationship Id="rId58" Type="http://schemas.openxmlformats.org/officeDocument/2006/relationships/hyperlink" Target="https://www.uradni-list.si/glasilo-uradni-list-rs/vsebina/2022-01-2511" TargetMode="External"/><Relationship Id="rId66" Type="http://schemas.openxmlformats.org/officeDocument/2006/relationships/hyperlink" Target="https://www.uradni-list.si/glasilo-uradni-list-rs/vsebina/2015-01-3842" TargetMode="External"/><Relationship Id="rId74" Type="http://schemas.openxmlformats.org/officeDocument/2006/relationships/hyperlink" Target="https://www.uradni-list.si/glasilo-uradni-list-rs/vsebina/2015-01-3187" TargetMode="External"/><Relationship Id="rId79" Type="http://schemas.openxmlformats.org/officeDocument/2006/relationships/hyperlink" Target="https://eur-lex.europa.eu/legal-content/SL/TXT/HTML/?uri=CELEX:32022L2555&amp;qid=1707758177964" TargetMode="External"/><Relationship Id="rId87" Type="http://schemas.openxmlformats.org/officeDocument/2006/relationships/hyperlink" Target="http://www.uradni-list.si/1/objava.jsp?sop=2022-01-4187" TargetMode="External"/><Relationship Id="rId5" Type="http://schemas.openxmlformats.org/officeDocument/2006/relationships/footnotes" Target="footnotes.xml"/><Relationship Id="rId61" Type="http://schemas.openxmlformats.org/officeDocument/2006/relationships/hyperlink" Target="https://www.uradni-list.si/glasilo-uradni-list-rs/vsebina/2023-01-0255" TargetMode="External"/><Relationship Id="rId82" Type="http://schemas.openxmlformats.org/officeDocument/2006/relationships/hyperlink" Target="https://www.uradni-list.si/glasilo-uradni-list-rs/vsebina/2011-01-2820" TargetMode="External"/><Relationship Id="rId90" Type="http://schemas.openxmlformats.org/officeDocument/2006/relationships/fontTable" Target="fontTable.xml"/><Relationship Id="rId19" Type="http://schemas.openxmlformats.org/officeDocument/2006/relationships/hyperlink" Target="https://www.uradni-list.si/glasilo-uradni-list-rs/vsebina/2021-01-3349" TargetMode="External"/><Relationship Id="rId14" Type="http://schemas.openxmlformats.org/officeDocument/2006/relationships/hyperlink" Target="http://www.uradni-list.si/1/objava.jsp?sop=2022-01-3081" TargetMode="External"/><Relationship Id="rId22" Type="http://schemas.openxmlformats.org/officeDocument/2006/relationships/hyperlink" Target="https://www.uradni-list.si/glasilo-uradni-list-rs/vsebina/2021-01-1760" TargetMode="External"/><Relationship Id="rId27" Type="http://schemas.openxmlformats.org/officeDocument/2006/relationships/hyperlink" Target="https://www.uradni-list.si/glasilo-uradni-list-rs/vsebina/2021-01-1760" TargetMode="External"/><Relationship Id="rId30" Type="http://schemas.openxmlformats.org/officeDocument/2006/relationships/hyperlink" Target="https://www.uradni-list.si/glasilo-uradni-list-rs/vsebina/2010-01-4980" TargetMode="External"/><Relationship Id="rId35" Type="http://schemas.openxmlformats.org/officeDocument/2006/relationships/hyperlink" Target="https://www.uradni-list.si/glasilo-uradni-list-rs/vsebina/2023-01-0618" TargetMode="External"/><Relationship Id="rId43" Type="http://schemas.openxmlformats.org/officeDocument/2006/relationships/hyperlink" Target="https://www.uradni-list.si/glasilo-uradni-list-rs/vsebina/2008-01-0455" TargetMode="External"/><Relationship Id="rId48" Type="http://schemas.openxmlformats.org/officeDocument/2006/relationships/hyperlink" Target="https://www.uradni-list.si/glasilo-uradni-list-rs/vsebina/2013-01-0372" TargetMode="External"/><Relationship Id="rId56" Type="http://schemas.openxmlformats.org/officeDocument/2006/relationships/hyperlink" Target="https://www.uradni-list.si/glasilo-uradni-list-rs/vsebina/2021-01-2452" TargetMode="External"/><Relationship Id="rId64" Type="http://schemas.openxmlformats.org/officeDocument/2006/relationships/hyperlink" Target="https://www.uradni-list.si/glasilo-uradni-list-rs/vsebina/2019-01-2923" TargetMode="External"/><Relationship Id="rId69" Type="http://schemas.openxmlformats.org/officeDocument/2006/relationships/hyperlink" Target="https://www.uradni-list.si/glasilo-uradni-list-rs/vsebina/2021-01-3885" TargetMode="External"/><Relationship Id="rId77" Type="http://schemas.openxmlformats.org/officeDocument/2006/relationships/hyperlink" Target="https://www.uradni-list.si/glasilo-uradni-list-rs/vsebina/2023-01-2478" TargetMode="External"/><Relationship Id="rId8" Type="http://schemas.openxmlformats.org/officeDocument/2006/relationships/hyperlink" Target="https://e-uprava.gov.si/drzava-in-druzba/e-demokracija/predlogi-predpisov.html" TargetMode="External"/><Relationship Id="rId51" Type="http://schemas.openxmlformats.org/officeDocument/2006/relationships/hyperlink" Target="https://www.uradni-list.si/glasilo-uradni-list-rs/vsebina/2019-01-0005" TargetMode="External"/><Relationship Id="rId72" Type="http://schemas.openxmlformats.org/officeDocument/2006/relationships/hyperlink" Target="https://www.uradni-list.si/glasilo-uradni-list-rs/vsebina/2010-01-4218" TargetMode="External"/><Relationship Id="rId80" Type="http://schemas.openxmlformats.org/officeDocument/2006/relationships/hyperlink" Target="https://www.uradni-list.si/glasilo-uradni-list-rs/vsebina/2006-01-2128" TargetMode="External"/><Relationship Id="rId85" Type="http://schemas.openxmlformats.org/officeDocument/2006/relationships/hyperlink" Target="http://www.uradni-list.si/1/objava.jsp?sop=2022-01-3081" TargetMode="External"/><Relationship Id="rId3" Type="http://schemas.openxmlformats.org/officeDocument/2006/relationships/settings" Target="settings.xml"/><Relationship Id="rId12" Type="http://schemas.openxmlformats.org/officeDocument/2006/relationships/hyperlink" Target="http://www.uradni-list.si/1/objava.jsp?sop=2018-01-1350" TargetMode="External"/><Relationship Id="rId17" Type="http://schemas.openxmlformats.org/officeDocument/2006/relationships/hyperlink" Target="http://www.uradni-list.si/1/objava.jsp?sop=2023-01-0150" TargetMode="External"/><Relationship Id="rId25" Type="http://schemas.openxmlformats.org/officeDocument/2006/relationships/hyperlink" Target="https://www.uradni-list.si/glasilo-uradni-list-rs/vsebina/2015-01-3917" TargetMode="External"/><Relationship Id="rId33" Type="http://schemas.openxmlformats.org/officeDocument/2006/relationships/hyperlink" Target="https://www.uradni-list.si/glasilo-uradni-list-rs/vsebina/2022-01-3113" TargetMode="External"/><Relationship Id="rId38" Type="http://schemas.openxmlformats.org/officeDocument/2006/relationships/hyperlink" Target="https://www.uradni-list.si/glasilo-uradni-list-rs/vsebina/2019-21-0788" TargetMode="External"/><Relationship Id="rId46" Type="http://schemas.openxmlformats.org/officeDocument/2006/relationships/hyperlink" Target="https://www.uradni-list.si/glasilo-uradni-list-rs/vsebina/2008-01-3448" TargetMode="External"/><Relationship Id="rId59" Type="http://schemas.openxmlformats.org/officeDocument/2006/relationships/hyperlink" Target="https://www.uradni-list.si/glasilo-uradni-list-rs/vsebina/2022-01-3126" TargetMode="External"/><Relationship Id="rId67" Type="http://schemas.openxmlformats.org/officeDocument/2006/relationships/hyperlink" Target="https://www.uradni-list.si/glasilo-uradni-list-rs/vsebina/2017-01-3715" TargetMode="External"/><Relationship Id="rId20" Type="http://schemas.openxmlformats.org/officeDocument/2006/relationships/hyperlink" Target="https://www.uradni-list.si/glasilo-uradni-list-rs/vsebina/2015-01-3917" TargetMode="External"/><Relationship Id="rId41" Type="http://schemas.openxmlformats.org/officeDocument/2006/relationships/hyperlink" Target="https://www.uradni-list.si/glasilo-uradni-list-rs/vsebina/2024-01-1558" TargetMode="External"/><Relationship Id="rId54" Type="http://schemas.openxmlformats.org/officeDocument/2006/relationships/hyperlink" Target="https://www.uradni-list.si/glasilo-uradni-list-rs/vsebina/2020-01-2610" TargetMode="External"/><Relationship Id="rId62" Type="http://schemas.openxmlformats.org/officeDocument/2006/relationships/hyperlink" Target="https://www.uradni-list.si/glasilo-uradni-list-rs/vsebina/2023-01-2570" TargetMode="External"/><Relationship Id="rId70" Type="http://schemas.openxmlformats.org/officeDocument/2006/relationships/hyperlink" Target="https://www.uradni-list.si/glasilo-uradni-list-rs/vsebina/2022-01-0873" TargetMode="External"/><Relationship Id="rId75" Type="http://schemas.openxmlformats.org/officeDocument/2006/relationships/hyperlink" Target="https://www.uradni-list.si/glasilo-uradni-list-rs/vsebina/2022-01-0873" TargetMode="External"/><Relationship Id="rId83" Type="http://schemas.openxmlformats.org/officeDocument/2006/relationships/hyperlink" Target="https://www.uradni-list.si/glasilo-uradni-list-rs/vsebina/2020-01-0197" TargetMode="External"/><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uradni-list.si/1/objava.jsp?sop=2023-01-0348" TargetMode="External"/><Relationship Id="rId23" Type="http://schemas.openxmlformats.org/officeDocument/2006/relationships/hyperlink" Target="https://www.uradni-list.si/glasilo-uradni-list-rs/vsebina/2022-01-1182" TargetMode="External"/><Relationship Id="rId28" Type="http://schemas.openxmlformats.org/officeDocument/2006/relationships/hyperlink" Target="https://www.uradni-list.si/glasilo-uradni-list-rs/vsebina/2022-01-1182" TargetMode="External"/><Relationship Id="rId36" Type="http://schemas.openxmlformats.org/officeDocument/2006/relationships/hyperlink" Target="https://www.uradni-list.si/glasilo-uradni-list-rs/vsebina/2023-01-2478" TargetMode="External"/><Relationship Id="rId49" Type="http://schemas.openxmlformats.org/officeDocument/2006/relationships/hyperlink" Target="https://www.uradni-list.si/glasilo-uradni-list-rs/vsebina/2016-01-3927" TargetMode="External"/><Relationship Id="rId57" Type="http://schemas.openxmlformats.org/officeDocument/2006/relationships/hyperlink" Target="https://www.uradni-list.si/glasilo-uradni-list-rs/vsebina/2021-01-3898" TargetMode="External"/><Relationship Id="rId10" Type="http://schemas.openxmlformats.org/officeDocument/2006/relationships/hyperlink" Target="http://www.uradni-list.si/1/objava.jsp?sop=2021-01-2464" TargetMode="External"/><Relationship Id="rId31" Type="http://schemas.openxmlformats.org/officeDocument/2006/relationships/hyperlink" Target="https://www.uradni-list.si/glasilo-uradni-list-rs/vsebina/2012-01-1114" TargetMode="External"/><Relationship Id="rId44" Type="http://schemas.openxmlformats.org/officeDocument/2006/relationships/hyperlink" Target="https://www.uradni-list.si/glasilo-uradni-list-rs/vsebina/2008-01-0831" TargetMode="External"/><Relationship Id="rId52" Type="http://schemas.openxmlformats.org/officeDocument/2006/relationships/hyperlink" Target="https://www.uradni-list.si/glasilo-uradni-list-rs/vsebina/2019-01-3228" TargetMode="External"/><Relationship Id="rId60" Type="http://schemas.openxmlformats.org/officeDocument/2006/relationships/hyperlink" Target="https://www.uradni-list.si/glasilo-uradni-list-rs/vsebina/2022-01-3465" TargetMode="External"/><Relationship Id="rId65" Type="http://schemas.openxmlformats.org/officeDocument/2006/relationships/hyperlink" Target="https://www.uradni-list.si/glasilo-uradni-list-rs/vsebina/2023-01-1848" TargetMode="External"/><Relationship Id="rId73" Type="http://schemas.openxmlformats.org/officeDocument/2006/relationships/hyperlink" Target="https://www.uradni-list.si/glasilo-uradni-list-rs/vsebina/2014-01-1619" TargetMode="External"/><Relationship Id="rId78" Type="http://schemas.openxmlformats.org/officeDocument/2006/relationships/hyperlink" Target="https://www.uradni-list.si/glasilo-uradni-list-rs/vsebina/2024-01-0693" TargetMode="External"/><Relationship Id="rId81" Type="http://schemas.openxmlformats.org/officeDocument/2006/relationships/hyperlink" Target="https://www.uradni-list.si/glasilo-uradni-list-rs/vsebina/2010-01-0313" TargetMode="External"/><Relationship Id="rId86" Type="http://schemas.openxmlformats.org/officeDocument/2006/relationships/hyperlink" Target="http://www.uradni-list.si/1/objava.jsp?sop=2023-01-0348" TargetMode="External"/><Relationship Id="rId4" Type="http://schemas.openxmlformats.org/officeDocument/2006/relationships/webSettings" Target="webSettings.xml"/><Relationship Id="rId9" Type="http://schemas.openxmlformats.org/officeDocument/2006/relationships/hyperlink" Target="https://e-uprava.gov.si/si/drzava-in-druzba/e-demokracija/predlogi-predpisov/predlog-predpisa.html?id=16290"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SL/AUTO/?uri=uriserv:OJ.L_.2018.112.01.0019.01.SLV&amp;toc=OJ:L:2018:112:FULL" TargetMode="External"/><Relationship Id="rId7" Type="http://schemas.openxmlformats.org/officeDocument/2006/relationships/hyperlink" Target="http://data.europa.eu/eli/dir/1995/46/oj" TargetMode="External"/><Relationship Id="rId2" Type="http://schemas.openxmlformats.org/officeDocument/2006/relationships/hyperlink" Target="http://data.europa.eu/eli/dir/1995/46/oj" TargetMode="External"/><Relationship Id="rId1" Type="http://schemas.openxmlformats.org/officeDocument/2006/relationships/hyperlink" Target="http://data.europa.eu/eli/reg/2016/679/oj" TargetMode="External"/><Relationship Id="rId6" Type="http://schemas.openxmlformats.org/officeDocument/2006/relationships/hyperlink" Target="http://data.europa.eu/eli/reg/2016/679/oj" TargetMode="External"/><Relationship Id="rId5" Type="http://schemas.openxmlformats.org/officeDocument/2006/relationships/hyperlink" Target="https://eur-lex.europa.eu/legal-content/SL/TXT/HTML/?uri=CELEX:32022L2555&amp;qid=1707758177964" TargetMode="External"/><Relationship Id="rId4" Type="http://schemas.openxmlformats.org/officeDocument/2006/relationships/hyperlink" Target="https://eur-lex.europa.eu/legal-content/SL/TXT/HTML/?uri=CELEX:32022L2555&amp;qid=170775817796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117900</Words>
  <Characters>672030</Characters>
  <Application>Microsoft Office Word</Application>
  <DocSecurity>0</DocSecurity>
  <Lines>5600</Lines>
  <Paragraphs>1576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788354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2025-04-10T10:29:00Z</dcterms:created>
  <dcterms:modified xsi:type="dcterms:W3CDTF">2025-04-11T09:38:00Z</dcterms:modified>
</cp:coreProperties>
</file>