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10AEE">
        <w:rPr>
          <w:rFonts w:cs="Arial"/>
          <w:color w:val="000000"/>
        </w:rPr>
        <w:t>2023-2030-0044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10AEE">
        <w:rPr>
          <w:rFonts w:cs="Arial"/>
          <w:color w:val="000000"/>
        </w:rPr>
        <w:t>00704-439/2023/19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10AEE">
        <w:rPr>
          <w:rFonts w:cs="Arial"/>
          <w:color w:val="000000"/>
        </w:rPr>
        <w:t>5. 3. 2025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Pr="00547CE2" w:rsidRDefault="00DA56CA" w:rsidP="00547CE2">
      <w:pPr>
        <w:autoSpaceDE w:val="0"/>
        <w:autoSpaceDN w:val="0"/>
        <w:adjustRightInd w:val="0"/>
        <w:ind w:left="709" w:hanging="709"/>
        <w:jc w:val="center"/>
        <w:rPr>
          <w:rFonts w:cs="Arial"/>
          <w:b/>
          <w:color w:val="000000"/>
          <w:szCs w:val="20"/>
        </w:rPr>
      </w:pPr>
      <w:r w:rsidRPr="00547CE2">
        <w:rPr>
          <w:rFonts w:cs="Arial"/>
          <w:b/>
          <w:color w:val="000000"/>
          <w:szCs w:val="20"/>
        </w:rPr>
        <w:t xml:space="preserve">Predlog </w:t>
      </w:r>
      <w:r w:rsidR="00C10AEE" w:rsidRPr="00547CE2">
        <w:rPr>
          <w:rFonts w:cs="Arial"/>
          <w:b/>
          <w:color w:val="000000"/>
          <w:szCs w:val="20"/>
        </w:rPr>
        <w:t>amandmajev k Predlogu Resolucije o preprečevanju korupcije v Republiki Sloveniji</w:t>
      </w:r>
    </w:p>
    <w:p w:rsidR="00896FBD" w:rsidRDefault="00896FBD" w:rsidP="00DA56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Pr="00547CE2" w:rsidRDefault="00896FBD" w:rsidP="00547CE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u w:val="single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>K uvodnemu besedilu</w:t>
      </w: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>V uvodnem besedilu Predloga Resolucije o preprečevanju korupcije v Republiki Sloveniji se za besedilom »na podlagi« doda besedilo »prvega in drugega odstavka«.</w:t>
      </w: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Pri navedbi citata objave Poslovnika državnega zbora se za številko objave »111/21« veznik »in« nadomesti z vejico, za številko objave »58/23« pa se doda veznik »in« ter številko objave »35/24«. </w:t>
      </w: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bCs/>
          <w:color w:val="000000" w:themeColor="text1"/>
          <w:szCs w:val="20"/>
        </w:rPr>
      </w:pPr>
      <w:r w:rsidRPr="00547CE2">
        <w:rPr>
          <w:rFonts w:eastAsia="Calibri" w:cs="Arial"/>
          <w:b/>
          <w:bCs/>
          <w:color w:val="000000" w:themeColor="text1"/>
          <w:szCs w:val="20"/>
        </w:rPr>
        <w:t>Obrazložitev: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Gre za redakcijski amandma, ki sledi mnenju Zakonodajno-pravne službe Državnega zbora (v nadaljnjem besedilu: ZPS). V uvodnem besedilu se natančneje navaja materialno pravna podlaga, prvi in drugi odstavek 51. člena Zakona o integriteti in preprečevanju korupcije (v nadaljevanju: </w:t>
      </w:r>
      <w:proofErr w:type="spellStart"/>
      <w:r w:rsidRPr="00547CE2">
        <w:rPr>
          <w:rFonts w:cs="Arial"/>
          <w:szCs w:val="20"/>
        </w:rPr>
        <w:t>ZIntPK</w:t>
      </w:r>
      <w:proofErr w:type="spellEnd"/>
      <w:r w:rsidRPr="00547CE2">
        <w:rPr>
          <w:rFonts w:cs="Arial"/>
          <w:szCs w:val="20"/>
        </w:rPr>
        <w:t xml:space="preserve">). Poleg tega se med Uradnimi listi, ki določajo Poslovnik Državnega zbora,  dodaja tudi Uradni list RS, št. 35/24.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 xml:space="preserve">K II. poglavju, podpoglavju »Nadzor nad izvajanjem resolucije«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V II. poglavju se naslov podpoglavja »Nadzor nad izvajanjem resolucije« nadomesti z naslovom »Spremljanje uresničevanja resolucije«. </w:t>
      </w:r>
    </w:p>
    <w:p w:rsidR="00547CE2" w:rsidRPr="00547CE2" w:rsidRDefault="00547CE2" w:rsidP="00547CE2">
      <w:pPr>
        <w:pStyle w:val="Odstavek"/>
        <w:spacing w:before="0" w:line="276" w:lineRule="auto"/>
        <w:ind w:firstLine="0"/>
        <w:rPr>
          <w:sz w:val="20"/>
          <w:szCs w:val="20"/>
        </w:rPr>
      </w:pPr>
    </w:p>
    <w:p w:rsidR="00547CE2" w:rsidRPr="00547CE2" w:rsidRDefault="00547CE2" w:rsidP="00547CE2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547CE2">
        <w:rPr>
          <w:sz w:val="20"/>
          <w:szCs w:val="20"/>
        </w:rPr>
        <w:t xml:space="preserve">Besedilo podpoglavja se spremeni tako, da se glasi: </w:t>
      </w:r>
    </w:p>
    <w:p w:rsidR="00547CE2" w:rsidRPr="00547CE2" w:rsidRDefault="00547CE2" w:rsidP="00547CE2">
      <w:pPr>
        <w:pStyle w:val="Odstavek"/>
        <w:spacing w:before="0" w:line="276" w:lineRule="auto"/>
        <w:ind w:firstLine="0"/>
        <w:rPr>
          <w:sz w:val="20"/>
          <w:szCs w:val="20"/>
        </w:rPr>
      </w:pPr>
      <w:r w:rsidRPr="00547CE2">
        <w:rPr>
          <w:sz w:val="20"/>
          <w:szCs w:val="20"/>
        </w:rPr>
        <w:t xml:space="preserve">»V skladu z </w:t>
      </w:r>
      <w:proofErr w:type="spellStart"/>
      <w:r w:rsidRPr="00547CE2">
        <w:rPr>
          <w:sz w:val="20"/>
          <w:szCs w:val="20"/>
        </w:rPr>
        <w:t>ZIntPK</w:t>
      </w:r>
      <w:proofErr w:type="spellEnd"/>
      <w:r w:rsidRPr="00547CE2">
        <w:rPr>
          <w:sz w:val="20"/>
          <w:szCs w:val="20"/>
        </w:rPr>
        <w:t xml:space="preserve"> Komisija za preprečevanje korupcije (v nadaljnjem besedilu: KPK) spremlja uresničevanje resolucije s sprejemanjem in izvajanjem akcijskega načrta kot izvedbenega akta resolucije, ki med drugim vsebuje konkretna zaznana tveganja za korupcijo v širšem pomenu ter tveganja za kršitev integritete in ukrepe za njihovo zamejitev.«.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bCs/>
          <w:color w:val="000000" w:themeColor="text1"/>
          <w:szCs w:val="20"/>
        </w:rPr>
      </w:pPr>
      <w:r w:rsidRPr="00547CE2">
        <w:rPr>
          <w:rFonts w:eastAsia="Calibri" w:cs="Arial"/>
          <w:b/>
          <w:bCs/>
          <w:color w:val="000000" w:themeColor="text1"/>
          <w:szCs w:val="20"/>
        </w:rPr>
        <w:t>Obrazložitev: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Amandma sledi mnenju ZPS. Upoštevana je redakcijska pripomba ZPS, tako, da se besedilo uskladi z besedilom 51. člena Zakona o integriteti in preprečevanju korupcije in se neustrezno besedilo glede nadzora nad izvrševanjem resolucije nadomesti z ustreznejšim besedilom ki poudarja spremljanje njenega izvajanja.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  <w:u w:val="single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>K V. poglavju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V drugem odstavku uvodnega besedila k V. poglavju se zadnji stavek spremeni tako, da se glasi: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lastRenderedPageBreak/>
        <w:t xml:space="preserve">»Tretja raven se nanaša le na subjekte javnega sektorja, četrta raven pa zajema cilje na posebnih področjih (prednostna področja v V/4. podpoglavju in posamezna področja v V/5. podpoglavju), ne glede na to, ali se nanašajo na javni ali zasebni sektor, civilno družbo ali splošno javnost.«. 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</w:rPr>
      </w:pPr>
      <w:r w:rsidRPr="00547CE2">
        <w:rPr>
          <w:rFonts w:cs="Arial"/>
          <w:b/>
          <w:bCs/>
          <w:szCs w:val="20"/>
        </w:rPr>
        <w:t xml:space="preserve">Obrazložitev: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Z amandmajem se jasneje določa poimenovanje podpoglavij V/4. in V/5., na kar je v svojem mnenju opozorila ZPS.  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>K V. poglavju, podpoglavju V/5, cilju 51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V tretjem stavku besedila cilja 51 se beseda »inšpektoratov« nadomesti z besedilom »inšpekcijskih organov«.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</w:rPr>
      </w:pPr>
      <w:r w:rsidRPr="00547CE2">
        <w:rPr>
          <w:rFonts w:cs="Arial"/>
          <w:b/>
          <w:bCs/>
          <w:szCs w:val="20"/>
        </w:rPr>
        <w:t xml:space="preserve">Obrazložitev: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Amandma sledi mnenju ZPS, in sicer se uporabi širši izraz, saj se lahko inšpekcijske naloge opravljajo tudi v organih, ki niso inšpektorat.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>K V. poglavju, podpoglavju V/5., ciljema 60 in 61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V ciljih 60 in 61 uporabljeno besedilo »Inšpektorat za notranje zadeve« se nadomesti z besedilom »inšpektorat, pristojen za notranje zadeve,« v ustreznih sklonih. 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b/>
          <w:bCs/>
          <w:szCs w:val="20"/>
        </w:rPr>
      </w:pPr>
      <w:r w:rsidRPr="00547CE2">
        <w:rPr>
          <w:rFonts w:cs="Arial"/>
          <w:b/>
          <w:bCs/>
          <w:szCs w:val="20"/>
        </w:rPr>
        <w:t xml:space="preserve">Obrazložitev: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Amandma sledi mnenju ZPS, naj se zaradi pogostega preoblikovanja in spreminjanja nazivov ministrstev in organov v sestavi, naziv organa nadomesti s poimenovanjem glede na njegovo delovno področje. 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547CE2">
        <w:rPr>
          <w:rFonts w:cs="Arial"/>
          <w:b/>
          <w:bCs/>
          <w:szCs w:val="20"/>
          <w:u w:val="single"/>
        </w:rPr>
        <w:t xml:space="preserve">K VI. poglavju: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V VI. poglavju se na koncu besedila doda nov odstavek, ki se glasi:  </w:t>
      </w:r>
    </w:p>
    <w:p w:rsidR="00547CE2" w:rsidRPr="00547CE2" w:rsidRDefault="00547CE2" w:rsidP="00547CE2">
      <w:pPr>
        <w:pStyle w:val="Naslov2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547CE2">
        <w:rPr>
          <w:rFonts w:ascii="Arial" w:hAnsi="Arial" w:cs="Arial"/>
          <w:color w:val="auto"/>
          <w:sz w:val="20"/>
          <w:szCs w:val="20"/>
        </w:rPr>
        <w:t xml:space="preserve">»Z dnem objave te resolucije se preneha uporabljati </w:t>
      </w:r>
      <w:proofErr w:type="spellStart"/>
      <w:r w:rsidRPr="00547CE2">
        <w:rPr>
          <w:rFonts w:ascii="Arial" w:hAnsi="Arial" w:cs="Arial"/>
          <w:color w:val="auto"/>
          <w:sz w:val="20"/>
          <w:szCs w:val="20"/>
        </w:rPr>
        <w:t>RePKRS</w:t>
      </w:r>
      <w:proofErr w:type="spellEnd"/>
      <w:r w:rsidRPr="00547CE2">
        <w:rPr>
          <w:rFonts w:ascii="Arial" w:hAnsi="Arial" w:cs="Arial"/>
          <w:color w:val="auto"/>
          <w:sz w:val="20"/>
          <w:szCs w:val="20"/>
        </w:rPr>
        <w:t xml:space="preserve"> 2004.«.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Pr="00547CE2" w:rsidRDefault="00547CE2" w:rsidP="00547CE2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bCs/>
          <w:color w:val="000000" w:themeColor="text1"/>
          <w:szCs w:val="20"/>
        </w:rPr>
      </w:pPr>
      <w:r w:rsidRPr="00547CE2">
        <w:rPr>
          <w:rFonts w:eastAsia="Calibri" w:cs="Arial"/>
          <w:b/>
          <w:bCs/>
          <w:color w:val="000000" w:themeColor="text1"/>
          <w:szCs w:val="20"/>
        </w:rPr>
        <w:t>Obrazložitev: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  <w:r w:rsidRPr="00547CE2">
        <w:rPr>
          <w:rFonts w:cs="Arial"/>
          <w:szCs w:val="20"/>
        </w:rPr>
        <w:t xml:space="preserve">Gre za amandma v skladu z mnenjem ZPS. Upoštevana je pripomba ZPS, tako, da se določi prenehanje uporabe veljavne resolucije z začetkom objave nove.  </w:t>
      </w:r>
    </w:p>
    <w:p w:rsidR="00547CE2" w:rsidRPr="00547CE2" w:rsidRDefault="00547CE2" w:rsidP="00547CE2">
      <w:pPr>
        <w:spacing w:line="276" w:lineRule="auto"/>
        <w:jc w:val="both"/>
        <w:rPr>
          <w:rFonts w:cs="Arial"/>
          <w:szCs w:val="20"/>
        </w:rPr>
      </w:pPr>
    </w:p>
    <w:p w:rsidR="00547CE2" w:rsidRDefault="00547CE2" w:rsidP="00547CE2">
      <w:pPr>
        <w:spacing w:line="276" w:lineRule="auto"/>
        <w:rPr>
          <w:rFonts w:cs="Arial"/>
          <w:szCs w:val="20"/>
        </w:rPr>
      </w:pPr>
    </w:p>
    <w:p w:rsidR="00547CE2" w:rsidRDefault="00547CE2" w:rsidP="00547CE2">
      <w:pPr>
        <w:spacing w:line="276" w:lineRule="auto"/>
        <w:jc w:val="both"/>
        <w:rPr>
          <w:rFonts w:cs="Arial"/>
          <w:bCs/>
          <w:szCs w:val="20"/>
        </w:rPr>
      </w:pPr>
    </w:p>
    <w:p w:rsidR="00547CE2" w:rsidRDefault="00547CE2" w:rsidP="00547CE2">
      <w:pPr>
        <w:rPr>
          <w:rFonts w:cs="Arial"/>
          <w:szCs w:val="20"/>
        </w:rPr>
      </w:pPr>
    </w:p>
    <w:p w:rsidR="00547CE2" w:rsidRDefault="00547CE2" w:rsidP="00547CE2">
      <w:pPr>
        <w:spacing w:line="276" w:lineRule="auto"/>
        <w:jc w:val="both"/>
        <w:rPr>
          <w:rFonts w:cs="Arial"/>
          <w:bCs/>
          <w:szCs w:val="20"/>
        </w:rPr>
      </w:pPr>
    </w:p>
    <w:p w:rsidR="00782FD4" w:rsidRPr="00EC13B0" w:rsidRDefault="00782FD4" w:rsidP="00547CE2">
      <w:pPr>
        <w:autoSpaceDE w:val="0"/>
        <w:autoSpaceDN w:val="0"/>
        <w:adjustRightInd w:val="0"/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6E5" w:rsidRDefault="00FF36E5" w:rsidP="00767987">
      <w:pPr>
        <w:spacing w:line="240" w:lineRule="auto"/>
      </w:pPr>
      <w:r>
        <w:separator/>
      </w:r>
    </w:p>
  </w:endnote>
  <w:endnote w:type="continuationSeparator" w:id="0">
    <w:p w:rsidR="00FF36E5" w:rsidRDefault="00FF36E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6E5" w:rsidRDefault="00FF36E5" w:rsidP="00767987">
      <w:pPr>
        <w:spacing w:line="240" w:lineRule="auto"/>
      </w:pPr>
      <w:r>
        <w:separator/>
      </w:r>
    </w:p>
  </w:footnote>
  <w:footnote w:type="continuationSeparator" w:id="0">
    <w:p w:rsidR="00FF36E5" w:rsidRDefault="00FF36E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F6B" w:rsidRDefault="003F1F6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3F1F6B"/>
    <w:rsid w:val="004076C6"/>
    <w:rsid w:val="004B7F76"/>
    <w:rsid w:val="004E1BCE"/>
    <w:rsid w:val="00547CE2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10AEE"/>
    <w:rsid w:val="00CD6077"/>
    <w:rsid w:val="00CE234E"/>
    <w:rsid w:val="00D02973"/>
    <w:rsid w:val="00DA09BE"/>
    <w:rsid w:val="00DA56CA"/>
    <w:rsid w:val="00E278C9"/>
    <w:rsid w:val="00E30579"/>
    <w:rsid w:val="00EC13B0"/>
    <w:rsid w:val="00FB00DD"/>
    <w:rsid w:val="00FE1680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47CE2"/>
    <w:pPr>
      <w:keepNext/>
      <w:keepLines/>
      <w:spacing w:before="40" w:line="260" w:lineRule="atLeas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character" w:customStyle="1" w:styleId="outputtext">
    <w:name w:val="outputtext"/>
    <w:basedOn w:val="Privzetapisavaodstavka"/>
    <w:rsid w:val="00DA56CA"/>
  </w:style>
  <w:style w:type="character" w:customStyle="1" w:styleId="Naslov2Znak">
    <w:name w:val="Naslov 2 Znak"/>
    <w:basedOn w:val="Privzetapisavaodstavka"/>
    <w:link w:val="Naslov2"/>
    <w:uiPriority w:val="9"/>
    <w:semiHidden/>
    <w:rsid w:val="00547C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dstavekZnak">
    <w:name w:val="Odstavek Znak"/>
    <w:link w:val="Odstavek"/>
    <w:locked/>
    <w:rsid w:val="00547CE2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547CE2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rFonts w:eastAsiaTheme="minorHAns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2025-03-05T09:57:00Z</dcterms:created>
  <dcterms:modified xsi:type="dcterms:W3CDTF">2025-03-05T09:57:00Z</dcterms:modified>
</cp:coreProperties>
</file>