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66D" w:rsidRPr="002265B2" w:rsidRDefault="00E9566D" w:rsidP="002265B2">
      <w:pPr>
        <w:pStyle w:val="datumtevilka"/>
        <w:rPr>
          <w:rFonts w:cs="Arial"/>
          <w:color w:val="000000"/>
        </w:rPr>
      </w:pPr>
      <w:bookmarkStart w:id="0" w:name="_Hlk61014710"/>
      <w:bookmarkEnd w:id="0"/>
    </w:p>
    <w:p w:rsidR="00E9566D" w:rsidRPr="002265B2" w:rsidRDefault="00E9566D" w:rsidP="002265B2">
      <w:pPr>
        <w:pStyle w:val="datumtevilka"/>
        <w:rPr>
          <w:rFonts w:cs="Arial"/>
          <w:color w:val="000000"/>
        </w:rPr>
      </w:pPr>
    </w:p>
    <w:p w:rsidR="009C657E" w:rsidRPr="002265B2" w:rsidRDefault="009C657E" w:rsidP="002265B2">
      <w:pPr>
        <w:pStyle w:val="datumtevilka"/>
      </w:pPr>
      <w:r w:rsidRPr="002265B2">
        <w:rPr>
          <w:rFonts w:cs="Arial"/>
          <w:color w:val="000000"/>
        </w:rPr>
        <w:t>EVA:</w:t>
      </w:r>
      <w:r w:rsidRPr="002265B2">
        <w:rPr>
          <w:rFonts w:cs="Arial"/>
          <w:color w:val="000000"/>
        </w:rPr>
        <w:tab/>
      </w:r>
      <w:r w:rsidR="00EB76BA" w:rsidRPr="002265B2">
        <w:rPr>
          <w:rFonts w:cs="Arial"/>
          <w:color w:val="000000"/>
        </w:rPr>
        <w:t>2022-1711-0027</w:t>
      </w:r>
    </w:p>
    <w:p w:rsidR="009C657E" w:rsidRPr="002265B2" w:rsidRDefault="009C657E" w:rsidP="002265B2">
      <w:pPr>
        <w:pStyle w:val="datumtevilka"/>
      </w:pPr>
      <w:r w:rsidRPr="002265B2">
        <w:t xml:space="preserve">Številka: </w:t>
      </w:r>
      <w:r w:rsidRPr="002265B2">
        <w:tab/>
      </w:r>
      <w:r w:rsidR="00EB76BA" w:rsidRPr="002265B2">
        <w:rPr>
          <w:rFonts w:cs="Arial"/>
          <w:color w:val="000000"/>
        </w:rPr>
        <w:t>00704-332/2024/27</w:t>
      </w:r>
    </w:p>
    <w:p w:rsidR="009C657E" w:rsidRPr="002265B2" w:rsidRDefault="009C657E" w:rsidP="002265B2">
      <w:pPr>
        <w:pStyle w:val="datumtevilka"/>
      </w:pPr>
      <w:r w:rsidRPr="002265B2">
        <w:t>Datum:</w:t>
      </w:r>
      <w:r w:rsidRPr="002265B2">
        <w:tab/>
      </w:r>
      <w:r w:rsidR="00EB76BA" w:rsidRPr="002265B2">
        <w:rPr>
          <w:rFonts w:cs="Arial"/>
          <w:color w:val="000000"/>
        </w:rPr>
        <w:t>5. 3. 2025</w:t>
      </w:r>
      <w:r w:rsidRPr="002265B2">
        <w:t xml:space="preserve"> </w:t>
      </w:r>
    </w:p>
    <w:p w:rsidR="009C657E" w:rsidRPr="002265B2" w:rsidRDefault="009C657E" w:rsidP="002265B2"/>
    <w:p w:rsidR="009C657E" w:rsidRPr="002265B2" w:rsidRDefault="009C657E" w:rsidP="002265B2">
      <w:pPr>
        <w:autoSpaceDE w:val="0"/>
        <w:autoSpaceDN w:val="0"/>
        <w:adjustRightInd w:val="0"/>
        <w:rPr>
          <w:rFonts w:cs="Arial"/>
          <w:color w:val="000000"/>
          <w:szCs w:val="20"/>
        </w:rPr>
      </w:pPr>
    </w:p>
    <w:p w:rsidR="009C657E" w:rsidRPr="002265B2" w:rsidRDefault="00E9566D" w:rsidP="002265B2">
      <w:pPr>
        <w:tabs>
          <w:tab w:val="left" w:pos="7920"/>
        </w:tabs>
        <w:autoSpaceDE w:val="0"/>
        <w:autoSpaceDN w:val="0"/>
        <w:adjustRightInd w:val="0"/>
        <w:jc w:val="center"/>
        <w:rPr>
          <w:rFonts w:cs="Arial"/>
          <w:b/>
          <w:color w:val="000000"/>
          <w:szCs w:val="20"/>
        </w:rPr>
      </w:pPr>
      <w:r w:rsidRPr="002265B2">
        <w:rPr>
          <w:rFonts w:cs="Arial"/>
          <w:b/>
          <w:iCs/>
          <w:szCs w:val="20"/>
          <w:lang w:eastAsia="sl-SI"/>
        </w:rPr>
        <w:t>Predlog amandmajev k Predlogu zakona o spremembah in dopolnitvah Zakona o tujcih</w:t>
      </w:r>
    </w:p>
    <w:p w:rsidR="009C657E" w:rsidRPr="002265B2" w:rsidRDefault="009C657E" w:rsidP="002265B2">
      <w:pPr>
        <w:tabs>
          <w:tab w:val="left" w:pos="5570"/>
        </w:tabs>
        <w:autoSpaceDE w:val="0"/>
        <w:autoSpaceDN w:val="0"/>
        <w:adjustRightInd w:val="0"/>
        <w:rPr>
          <w:rFonts w:cs="Arial"/>
          <w:color w:val="000000"/>
          <w:szCs w:val="20"/>
        </w:rPr>
      </w:pPr>
      <w:bookmarkStart w:id="1" w:name="_GoBack"/>
      <w:bookmarkEnd w:id="1"/>
    </w:p>
    <w:p w:rsidR="00E9566D" w:rsidRPr="002265B2" w:rsidRDefault="00E9566D" w:rsidP="002265B2">
      <w:pPr>
        <w:tabs>
          <w:tab w:val="left" w:pos="5570"/>
        </w:tabs>
        <w:autoSpaceDE w:val="0"/>
        <w:autoSpaceDN w:val="0"/>
        <w:adjustRightInd w:val="0"/>
        <w:rPr>
          <w:rFonts w:cs="Arial"/>
          <w:color w:val="000000"/>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3.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3. členu se v petem odstavku besedilo »v skladu z zakonom« nadomesti z besedilom »po zakonu«.</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xml:space="preserve">Z amandmajem se upošteva pripomba Zakonodajno-pravne službe Državnega zbora (v nadaljevanju: ZPS), da bi upoštevaje notranjo skladnost besedila člena kazalo tudi predlagano spremembo oblikovati na enak način, kot to izhaja iz veljavne ureditve. </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10.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10. člen se črta.</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S predlaganim amandmajem se črta sprememba šestega odstavka 36. člena, s katerim se je rok za prevzem dovoljenja za začasno prebivanje, če je izbrana vročitev po pošti, podaljšal iz osmih na petnajst dni. Po ponovni preučitvi se predlaga črtanje te spremembe, saj bi zadevna sprememba zahtevala dopolnitev in ponovno odprtje pogodbe, sklenjene s pogodbenim izvajalcem, pri čemer predlagana sprememba po podaljšanju roka iz osmih na petnajst dni za možnost prevzema izkaznice dovoljenja za prebivanje na pošti, ne bi bistveno vplivala na zmanjšanje administrativne obremenitve upravnih enot.</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11.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37.členu se v tretjem odstavku za besedilom »opravljanja dela« črta beseda »vendar«.</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Z amandmajem se upošteva pripomba ZPS</w:t>
      </w:r>
      <w:r w:rsidRPr="002265B2">
        <w:t xml:space="preserve"> </w:t>
      </w:r>
      <w:r w:rsidRPr="002265B2">
        <w:rPr>
          <w:b w:val="0"/>
          <w:bCs/>
          <w:sz w:val="20"/>
          <w:szCs w:val="20"/>
        </w:rPr>
        <w:t>in sicer, da se iz predloga besedila črta odveč beseda »vendar«.</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21.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43. členu se v četrtem odstavku za besedilom »55.člena« doda besedilo »tega zakona«.</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Z amandmajem se upošteva pripomba ZPS in sicer, da je potrebno dodati sklic na zakon.</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35.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novem 51.a členu se v petem odstavku za besedo »dovoljenje« doda besedilo »za začasno prebivanje za digitalnega nomada«, za besedilom »veljavnosti dovoljenja« pa se doda besedilo »za začasno prebivanje za digitalnega nomada«.</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Z amandmajem se upošteva pripomba ZPS, da je treba v petem odstavku novega 51.a člena zakona razjasniti, katero je tisto dovoljenje, za katerega lahko tujec ponovno zaprosi po določenem času, če mu poteče veljavnost dovoljenja za začasno prebivanje za digitalnega nomada. S tem se besedilo člena tudi usklajuje z njegovo obrazložitvijo.</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36.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52. členu se v prvem odstavku v drugi alineji besedo »dvanajstem« nadomesti z besedo »trinajstem«, besedo »trinajsti« pa se nadomesti z besedo »štirinajsti«.</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Z amandmajem se upošteva pripomba ZPS, da se popravi sklice, saj se besedilo, glede katerega je predlagano črtanje, nanaša na veljavni trinajsti stavek in ne na veljavni dvanajsti stavek prvega odstavka 52. člena ZTuj-2.</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44. členu:</w:t>
      </w:r>
    </w:p>
    <w:p w:rsidR="002265B2" w:rsidRPr="002265B2" w:rsidRDefault="002265B2" w:rsidP="002265B2">
      <w:pPr>
        <w:autoSpaceDE w:val="0"/>
        <w:autoSpaceDN w:val="0"/>
        <w:adjustRightInd w:val="0"/>
        <w:jc w:val="both"/>
        <w:rPr>
          <w:rFonts w:eastAsia="Calibri" w:cs="Arial"/>
          <w:szCs w:val="20"/>
        </w:rPr>
      </w:pPr>
    </w:p>
    <w:p w:rsidR="002265B2" w:rsidRPr="002265B2" w:rsidRDefault="002265B2" w:rsidP="002265B2">
      <w:pPr>
        <w:autoSpaceDE w:val="0"/>
        <w:autoSpaceDN w:val="0"/>
        <w:adjustRightInd w:val="0"/>
        <w:jc w:val="both"/>
        <w:rPr>
          <w:rFonts w:eastAsia="Calibri" w:cs="Arial"/>
          <w:szCs w:val="20"/>
        </w:rPr>
      </w:pPr>
      <w:r w:rsidRPr="002265B2">
        <w:rPr>
          <w:rFonts w:eastAsia="Calibri" w:cs="Arial"/>
          <w:szCs w:val="20"/>
        </w:rPr>
        <w:t xml:space="preserve">V 73. členu se drugem odstavku v napovednem stavku za besedilom »uradni dolžnosti« doda besedilo »ali na predlog tujca«. </w:t>
      </w:r>
    </w:p>
    <w:p w:rsidR="002265B2" w:rsidRPr="002265B2" w:rsidRDefault="002265B2" w:rsidP="002265B2">
      <w:pPr>
        <w:autoSpaceDE w:val="0"/>
        <w:autoSpaceDN w:val="0"/>
        <w:adjustRightInd w:val="0"/>
        <w:jc w:val="both"/>
        <w:rPr>
          <w:rFonts w:eastAsia="Calibri" w:cs="Arial"/>
          <w:szCs w:val="20"/>
        </w:rPr>
      </w:pPr>
    </w:p>
    <w:p w:rsidR="002265B2" w:rsidRPr="002265B2" w:rsidRDefault="002265B2" w:rsidP="002265B2">
      <w:pPr>
        <w:autoSpaceDE w:val="0"/>
        <w:autoSpaceDN w:val="0"/>
        <w:adjustRightInd w:val="0"/>
        <w:jc w:val="both"/>
        <w:rPr>
          <w:rFonts w:eastAsia="Calibri" w:cs="Arial"/>
          <w:b/>
          <w:bCs/>
          <w:iCs/>
          <w:szCs w:val="20"/>
        </w:rPr>
      </w:pPr>
      <w:r w:rsidRPr="002265B2">
        <w:rPr>
          <w:rFonts w:eastAsia="Calibri" w:cs="Arial"/>
          <w:b/>
          <w:bCs/>
          <w:iCs/>
          <w:szCs w:val="20"/>
        </w:rPr>
        <w:t xml:space="preserve">Obrazložitev: </w:t>
      </w:r>
    </w:p>
    <w:p w:rsidR="002265B2" w:rsidRPr="002265B2" w:rsidRDefault="002265B2" w:rsidP="002265B2">
      <w:pPr>
        <w:autoSpaceDE w:val="0"/>
        <w:autoSpaceDN w:val="0"/>
        <w:adjustRightInd w:val="0"/>
        <w:jc w:val="both"/>
        <w:rPr>
          <w:rFonts w:eastAsia="Calibri" w:cs="Arial"/>
          <w:b/>
          <w:bCs/>
          <w:iCs/>
          <w:szCs w:val="20"/>
        </w:rPr>
      </w:pPr>
    </w:p>
    <w:p w:rsidR="002265B2" w:rsidRPr="002265B2" w:rsidRDefault="002265B2" w:rsidP="002265B2">
      <w:pPr>
        <w:jc w:val="both"/>
        <w:rPr>
          <w:rFonts w:eastAsia="Calibri" w:cs="Arial"/>
          <w:szCs w:val="20"/>
        </w:rPr>
      </w:pPr>
      <w:r w:rsidRPr="002265B2">
        <w:rPr>
          <w:rFonts w:eastAsia="Calibri" w:cs="Arial"/>
          <w:szCs w:val="20"/>
        </w:rPr>
        <w:t xml:space="preserve">Z amandmajem se upošteva pripomba ZPS in sicer, da bi se morala predvideti tudi možnost ,da se dovolitev zadrževanja lahko uvede tudi na predlog tujca. S tem se zagotavlja enako varstvo pravic tujcev v postopku in možnost sodnega varstva, prav tako se je že uveljavila tudi sodna praksa, iz katere izhaja, da se te postopke lahko uvede tudi na predlog tujca. </w:t>
      </w:r>
    </w:p>
    <w:p w:rsidR="002265B2" w:rsidRPr="002265B2" w:rsidRDefault="002265B2" w:rsidP="002265B2">
      <w:pPr>
        <w:jc w:val="both"/>
        <w:rPr>
          <w:rFonts w:eastAsia="Calibri" w:cs="Arial"/>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48.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78. členu se v prvem odstavku beseda »petih« nadomesti z besedo »osmih«.</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Za petim odstavkom se dodata novi, šesti in sedmi odstavek, ki se glasita:</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»(6) V postopkih pred sodišči v zvezi z odločbo o nastanitvi in odločbo o odreditvi bivanja pod strožjim policijskim nadzorom ima tujec pravico do brezplačne pravne pomoči pod pogoji, ki jih določa zakon, ki ureja brezplačno pravno pomoč, ne glede na pogoj vzajemnosti.</w:t>
      </w: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(7) Odločba o nastanitvi in odločbo o odreditvi bivanja pod strožjim policijskim nadzorom se vroči tujcu osebno. Izrek in pouk o pravnem sredstvu se prevedeta v enega izmed naslednjih jezikov: albanski, angleški, arabski, bosanski, makedonski, ruski, srbski ali turški jezik. Če tujec ne razume navedenih jezikov ali zahteva prevod ostalih delov odločbe, se mu na njegovo zahtevo zagotovi pisni ali ustni prevod v jezik, ki ga razume.«.</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xml:space="preserve">V prvem odstavku se </w:t>
      </w:r>
      <w:bookmarkStart w:id="2" w:name="_Hlk191551520"/>
      <w:r w:rsidRPr="002265B2">
        <w:rPr>
          <w:b w:val="0"/>
          <w:bCs/>
          <w:sz w:val="20"/>
          <w:szCs w:val="20"/>
        </w:rPr>
        <w:t xml:space="preserve">rok za vložitev tožbe na upravno sodišče zoper odločbo o nastanitvi in odločbo o odreditvi bivanja pod strožjim policijskim nadzorom namesto iz prvotno predlaganih petih dni oziroma iz treh dni po veljavnem prvem odstavku 78. člena ZTuj-2, podaljšuje na osem dni zaradi zagotavljanja učinkovitega pravnega sredstva tujcu, ki mu je omejeno gibanje. </w:t>
      </w:r>
      <w:bookmarkEnd w:id="2"/>
      <w:r w:rsidRPr="002265B2">
        <w:rPr>
          <w:b w:val="0"/>
          <w:bCs/>
          <w:sz w:val="20"/>
          <w:szCs w:val="20"/>
        </w:rPr>
        <w:t xml:space="preserve">Hkrati se s tem še vedno zagotavlja hitrost sodnega pregleda zakonitosti pridržanja z namenom odstranitve, kot to določa 15. člen Direktive o vračanju 2008/115, ki določa, da je treba zagotoviti hiter sodni pregled zakonitosti pridržanja z namenom odstranitve. </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novem šestem odstavku se na enak način kot v zvezi z odločbo o vrnitvi v veljavnem šestem odstavku 64. člena ZTuj-2 tudi v postopkih pred sodišči v zvezi z odločbo o nastanitvi in odločbo o odreditvi bivanja pod strožjim policijskim nadzorom določa, da ima tujec pravico do brezplačne pravne pomoči pod pogoji, ki jih določa zakon, ki ureja brezplačno pravno pomoč, ne glede na pogoj vzajemnosti.</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xml:space="preserve">V novem sedmem odstavku se na enak način kot pri odločbi o vrnitvi v veljavnem drugem odstavku 65. člena ZTuj-2 </w:t>
      </w:r>
      <w:bookmarkStart w:id="3" w:name="_Hlk191551778"/>
      <w:r w:rsidRPr="002265B2">
        <w:rPr>
          <w:b w:val="0"/>
          <w:bCs/>
          <w:sz w:val="20"/>
          <w:szCs w:val="20"/>
        </w:rPr>
        <w:t>tudi pri odločbi o nastanitvi in odločbi o odreditvi bivanja pod strožjim policijskim nadzorom določa njuna osebna vročitev tujcu ter prevod izreka in pouka o pravnem sredstvu</w:t>
      </w:r>
      <w:bookmarkEnd w:id="3"/>
      <w:r w:rsidRPr="002265B2">
        <w:rPr>
          <w:b w:val="0"/>
          <w:bCs/>
          <w:sz w:val="20"/>
          <w:szCs w:val="20"/>
        </w:rPr>
        <w:t xml:space="preserve"> v enega izmed naslednjih jezikov: albanski, angleški, arabski, bosanski, makedonski, ruski, srbski ali turški jezik. Če tujec ne razume navedenih jezikov ali zahteva prevod ostalih delov odločbe, se mu na njegovo zahtevo zagotovi pisni ali ustni prevod v jezik, ki ga razume.</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u w:val="single"/>
        </w:rPr>
      </w:pPr>
      <w:r w:rsidRPr="002265B2">
        <w:rPr>
          <w:sz w:val="20"/>
          <w:szCs w:val="20"/>
          <w:u w:val="single"/>
        </w:rPr>
        <w:t>K 49. členu:</w:t>
      </w:r>
    </w:p>
    <w:p w:rsidR="002265B2" w:rsidRPr="002265B2" w:rsidRDefault="002265B2" w:rsidP="002265B2">
      <w:pPr>
        <w:pStyle w:val="Poglavje"/>
        <w:spacing w:before="0" w:after="0" w:line="260" w:lineRule="exact"/>
        <w:jc w:val="both"/>
        <w:rPr>
          <w:sz w:val="20"/>
          <w:szCs w:val="20"/>
          <w:u w:val="single"/>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79. člen se spremeni tako, da se glasi:</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rPr>
          <w:bCs/>
          <w:sz w:val="20"/>
          <w:szCs w:val="20"/>
        </w:rPr>
      </w:pPr>
      <w:r w:rsidRPr="002265B2">
        <w:rPr>
          <w:b w:val="0"/>
          <w:bCs/>
          <w:sz w:val="20"/>
          <w:szCs w:val="20"/>
        </w:rPr>
        <w:t>»</w:t>
      </w:r>
      <w:r w:rsidRPr="002265B2">
        <w:rPr>
          <w:bCs/>
          <w:sz w:val="20"/>
          <w:szCs w:val="20"/>
        </w:rPr>
        <w:t>79. člen</w:t>
      </w:r>
    </w:p>
    <w:p w:rsidR="002265B2" w:rsidRPr="002265B2" w:rsidRDefault="002265B2" w:rsidP="002265B2">
      <w:pPr>
        <w:pStyle w:val="Poglavje"/>
        <w:spacing w:before="0" w:after="0" w:line="260" w:lineRule="exact"/>
        <w:rPr>
          <w:bCs/>
          <w:sz w:val="20"/>
          <w:szCs w:val="20"/>
        </w:rPr>
      </w:pPr>
      <w:r w:rsidRPr="002265B2">
        <w:rPr>
          <w:bCs/>
          <w:sz w:val="20"/>
          <w:szCs w:val="20"/>
        </w:rPr>
        <w:t>(postopek v zvezi s podaljšanjem omejitve gibanja)</w:t>
      </w:r>
    </w:p>
    <w:p w:rsidR="002265B2" w:rsidRPr="002265B2" w:rsidRDefault="002265B2" w:rsidP="002265B2">
      <w:pPr>
        <w:pStyle w:val="Poglavje"/>
        <w:spacing w:before="0" w:after="0" w:line="260" w:lineRule="exact"/>
        <w:rPr>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(1) Če tujca iz objektivnih razlogov tudi po poteku šestih mesecev ni mogoče vrniti, predati, izročiti ali odstraniti iz države, lahko policija z odločbo:</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zaradi nesodelovanja tujca v postopku vračanja ali zamude pri pridobivanju potrebne dokumentacije iz tretjih držav ali če je postopek ugotavljanja istovetnosti še v teku, omejitev gibanja in nastanitev v centru oziroma bivanje pod strožjim policijskim nadzorom podaljša za največ šest mesecev, če so za to izpolnjeni pogoji iz tega zakona in če je utemeljeno pričakovati, da bo mogoče tujca v tem času vrniti, predati, izročiti ali odstraniti;</w:t>
      </w: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tujcu izreče dovolitev zadrževanja v skladu s 73. členom tega zakona ali milejši ukrep iz 81. člena tega zakona, pri čemer mora tujec upoštevati pravila gibanja izven območja centra sicer se ga lahko ponovno nastani v center.</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(2) Zoper odločbo o podaljšanju omejitve gibanja je mogoče vložiti tožbo na upravno sodišče v osmih dneh po vročitvi odločbe. Upravno sodišče o tožbi odloči v osmih dneh. Tožba ne zadrži izvršitve odločbe o podaljšanju omejitve gibanja.</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(3) V postopkih pred sodišči v zvezi z odločbo o podaljšanju omejitve gibanja ima tujec pravico do brezplačne pravne pomoči pod pogoji, ki jih določa zakon, ki ureja brezplačno pravno pomoč, ne glede na pogoj vzajemnosti.</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xml:space="preserve">(4) Odločbo o podaljšanju omejitve gibanja se vroči tujcu osebno. Izrek in pouk o pravnem sredstvu se prevedeta v enega izmed naslednjih jezikov: albanski, angleški, arabski, bosanski, </w:t>
      </w:r>
      <w:r w:rsidRPr="002265B2">
        <w:rPr>
          <w:b w:val="0"/>
          <w:bCs/>
          <w:sz w:val="20"/>
          <w:szCs w:val="20"/>
        </w:rPr>
        <w:lastRenderedPageBreak/>
        <w:t>makedonski, ruski, srbski ali turški jezik. Če tujec ne razume navedenih jezikov ali zahteva prevod ostalih delov odločbe, se mu na njegovo zahtevo zagotovi pisni ali ustni prevod v jezik, ki ga razume.«.</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sz w:val="20"/>
          <w:szCs w:val="20"/>
        </w:rPr>
      </w:pPr>
      <w:r w:rsidRPr="002265B2">
        <w:rPr>
          <w:sz w:val="20"/>
          <w:szCs w:val="20"/>
        </w:rPr>
        <w:t>Obrazložitev:</w:t>
      </w:r>
    </w:p>
    <w:p w:rsidR="002265B2" w:rsidRPr="002265B2" w:rsidRDefault="002265B2" w:rsidP="002265B2">
      <w:pPr>
        <w:pStyle w:val="Poglavje"/>
        <w:spacing w:before="0" w:after="0" w:line="260" w:lineRule="exact"/>
        <w:jc w:val="both"/>
        <w:rPr>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Zaradi obsega sprememb v členu se s predlaganim amandmajem predlaga sprememba celotnega člena. V primerjavi z veljavnim 79. členom ZTuj-2 se v predlogu spremenjenega prvega odstavka:</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v napovednem stavku za besedo »mogoče« doda besedilo »vrniti, predati, izročiti ali«;</w:t>
      </w: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v prvi alineji se beseda »odstranitve« nadomesti z besedo »vračanja«, za besedo »času« pa se doda besedilo »vrniti, predati, izročiti ali«.</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S temi spremembami se usklajuje terminologija s terminologijo v 76. členu ZTuj-2, saj postopek vračanja zajema tako postopek vrnitve, predaje, izročitve in odstranitve tujca.</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 xml:space="preserve">V primerjavi z veljavnim drugim odstavkom 79. člena ZTuj-2 se v predlogu spremenjenega drugega odstavka </w:t>
      </w:r>
      <w:bookmarkStart w:id="4" w:name="_Hlk191552240"/>
      <w:r w:rsidRPr="002265B2">
        <w:rPr>
          <w:b w:val="0"/>
          <w:bCs/>
          <w:sz w:val="20"/>
          <w:szCs w:val="20"/>
        </w:rPr>
        <w:t xml:space="preserve">določa rok za vložitev tožbe zoper odločbo o podaljšanju omejitve gibanja na osem dni </w:t>
      </w:r>
      <w:bookmarkEnd w:id="4"/>
      <w:r w:rsidRPr="002265B2">
        <w:rPr>
          <w:b w:val="0"/>
          <w:bCs/>
          <w:sz w:val="20"/>
          <w:szCs w:val="20"/>
        </w:rPr>
        <w:t xml:space="preserve">od vročitve odločbe, </w:t>
      </w:r>
      <w:bookmarkStart w:id="5" w:name="_Hlk191552376"/>
      <w:r w:rsidRPr="002265B2">
        <w:rPr>
          <w:b w:val="0"/>
          <w:bCs/>
          <w:sz w:val="20"/>
          <w:szCs w:val="20"/>
        </w:rPr>
        <w:t xml:space="preserve">saj je v nasprotnem primeru, glede na to, da sedaj rok ni zapisan, v veljavi splošni rok, ki velja v skladu z zakonom, ki ureja upravni spor, to je 30 dni. </w:t>
      </w:r>
      <w:bookmarkEnd w:id="5"/>
      <w:r w:rsidRPr="002265B2">
        <w:rPr>
          <w:b w:val="0"/>
          <w:bCs/>
          <w:sz w:val="20"/>
          <w:szCs w:val="20"/>
        </w:rPr>
        <w:t xml:space="preserve">Navedeni rok je dovolj dolg, da tujcu zagotavlja učinkovito pravno sredstvo, ob enem pa dovolj kratek, da je zagotovljeno hitro postopanje pred sodiščem skladno z Direktivo o vračanju 2008/115. S tem se zagotavlja hitrost sodnega pregleda zakonitosti podaljšanja pridržanja z namenom odstranitve, kot to določa 15. člen Direktive o vračanju 2008/115. Gre tudi za poenotenje roka za vložitev tožbe zoper odločbo o nastanitvi in roka za vložitev tožbe zoper odločbo o podaljšanju omejitve gibanja, ki je po predlogu v obeh primerih osem dni. </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bookmarkStart w:id="6" w:name="_Hlk191552439"/>
      <w:r w:rsidRPr="002265B2">
        <w:rPr>
          <w:b w:val="0"/>
          <w:bCs/>
          <w:sz w:val="20"/>
          <w:szCs w:val="20"/>
        </w:rPr>
        <w:t xml:space="preserve">V tretjem odstavku se na enak način kot v zvezi z odločbo o vrnitvi v veljavnem šestem odstavku 64. člena ZTuj-2 in enako kot se z novim šestim odstavkom 78. člena ZTuj-2 določa za postopek pred sodišči v zvezi z odločbo o nastanitvi, tudi v postopkih pred sodišči v zvezi z odločbo o podaljšanju omejitve gibanja določa, da ima tujec pravico do brezplačne pravne pomoči pod pogoji, ki jih določa zakon, ki ureja brezplačno pravno pomoč, ne glede na pogoj vzajemnosti. </w:t>
      </w:r>
    </w:p>
    <w:p w:rsidR="002265B2" w:rsidRPr="002265B2" w:rsidRDefault="002265B2" w:rsidP="002265B2">
      <w:pPr>
        <w:pStyle w:val="Poglavje"/>
        <w:spacing w:before="0" w:after="0" w:line="260" w:lineRule="exact"/>
        <w:jc w:val="both"/>
        <w:rPr>
          <w:b w:val="0"/>
          <w:bCs/>
          <w:sz w:val="20"/>
          <w:szCs w:val="20"/>
        </w:rPr>
      </w:pPr>
    </w:p>
    <w:p w:rsidR="002265B2" w:rsidRPr="002265B2" w:rsidRDefault="002265B2" w:rsidP="002265B2">
      <w:pPr>
        <w:pStyle w:val="Poglavje"/>
        <w:spacing w:before="0" w:after="0" w:line="260" w:lineRule="exact"/>
        <w:jc w:val="both"/>
        <w:rPr>
          <w:b w:val="0"/>
          <w:bCs/>
          <w:sz w:val="20"/>
          <w:szCs w:val="20"/>
        </w:rPr>
      </w:pPr>
      <w:r w:rsidRPr="002265B2">
        <w:rPr>
          <w:b w:val="0"/>
          <w:bCs/>
          <w:sz w:val="20"/>
          <w:szCs w:val="20"/>
        </w:rPr>
        <w:t>V četrtem odstavku se na enak način kot pri odločbi o vrnitvi v veljavnem drugem odstavku 65. člena ZTuj-2 in enako kot se z novim sedmim odstavkom 78. člena ZTuj-2 določa pri odločbi o nastanitvi, tudi pri odločbi o podaljšanju omejitve gibanja določa njena osebna vročitev tujcu ter prevod izreka in pouka o pravnem sredstvu v enega izmed naslednjih jezikov: albanski, angleški, arabski, bosanski, makedonski, ruski, srbski ali turški jezik. Če tujec ne razume navedenih jezikov ali zahteva prevod ostalih delov odločbe, se mu na njegovo zahtevo zagotovi pisni ali ustni prevod v jezik, ki ga razume</w:t>
      </w:r>
      <w:bookmarkEnd w:id="6"/>
      <w:r w:rsidRPr="002265B2">
        <w:rPr>
          <w:b w:val="0"/>
          <w:bCs/>
          <w:sz w:val="20"/>
          <w:szCs w:val="20"/>
        </w:rPr>
        <w:t>.</w:t>
      </w:r>
    </w:p>
    <w:p w:rsidR="002265B2" w:rsidRPr="002265B2" w:rsidRDefault="002265B2" w:rsidP="002265B2">
      <w:pPr>
        <w:jc w:val="both"/>
        <w:rPr>
          <w:rFonts w:eastAsia="Calibri"/>
          <w:b/>
          <w:szCs w:val="20"/>
          <w:u w:val="single"/>
        </w:rPr>
      </w:pPr>
    </w:p>
    <w:p w:rsidR="002265B2" w:rsidRPr="002265B2" w:rsidRDefault="002265B2" w:rsidP="002265B2">
      <w:pPr>
        <w:jc w:val="both"/>
        <w:rPr>
          <w:rFonts w:eastAsia="Calibri"/>
          <w:b/>
          <w:szCs w:val="20"/>
          <w:u w:val="single"/>
        </w:rPr>
      </w:pPr>
    </w:p>
    <w:p w:rsidR="002265B2" w:rsidRPr="002265B2" w:rsidRDefault="002265B2" w:rsidP="002265B2">
      <w:pPr>
        <w:jc w:val="both"/>
        <w:rPr>
          <w:rFonts w:eastAsia="Calibri"/>
          <w:b/>
          <w:szCs w:val="20"/>
          <w:u w:val="single"/>
        </w:rPr>
      </w:pPr>
      <w:r w:rsidRPr="002265B2">
        <w:rPr>
          <w:rFonts w:eastAsia="Calibri"/>
          <w:b/>
          <w:szCs w:val="20"/>
          <w:u w:val="single"/>
        </w:rPr>
        <w:t>K 50. členu:</w:t>
      </w:r>
    </w:p>
    <w:p w:rsidR="002265B2" w:rsidRPr="002265B2" w:rsidRDefault="002265B2" w:rsidP="002265B2">
      <w:pPr>
        <w:jc w:val="both"/>
        <w:rPr>
          <w:rFonts w:eastAsia="Calibri"/>
          <w:b/>
          <w:szCs w:val="20"/>
          <w:u w:val="single"/>
        </w:rPr>
      </w:pPr>
    </w:p>
    <w:p w:rsidR="002265B2" w:rsidRPr="002265B2" w:rsidRDefault="002265B2" w:rsidP="002265B2">
      <w:pPr>
        <w:jc w:val="both"/>
        <w:rPr>
          <w:rFonts w:eastAsia="Calibri"/>
          <w:szCs w:val="20"/>
        </w:rPr>
      </w:pPr>
      <w:r w:rsidRPr="002265B2">
        <w:rPr>
          <w:rFonts w:eastAsia="Calibri"/>
          <w:szCs w:val="20"/>
        </w:rPr>
        <w:t>V 79.a členu se v šestem odstavku besedilo »podaljšanje omejitve« nadomesti z besedo »omejitev«.</w:t>
      </w:r>
    </w:p>
    <w:p w:rsidR="002265B2" w:rsidRPr="002265B2" w:rsidRDefault="002265B2" w:rsidP="002265B2">
      <w:pPr>
        <w:jc w:val="both"/>
        <w:rPr>
          <w:rFonts w:eastAsia="Calibri"/>
          <w:szCs w:val="20"/>
        </w:rPr>
      </w:pPr>
    </w:p>
    <w:p w:rsidR="002265B2" w:rsidRPr="002265B2" w:rsidRDefault="002265B2" w:rsidP="002265B2">
      <w:pPr>
        <w:jc w:val="both"/>
        <w:rPr>
          <w:rFonts w:eastAsia="Calibri"/>
          <w:szCs w:val="20"/>
        </w:rPr>
      </w:pPr>
    </w:p>
    <w:p w:rsidR="002265B2" w:rsidRPr="002265B2" w:rsidRDefault="002265B2" w:rsidP="002265B2">
      <w:pPr>
        <w:jc w:val="both"/>
        <w:rPr>
          <w:rFonts w:eastAsia="Calibri"/>
          <w:szCs w:val="20"/>
        </w:rPr>
      </w:pPr>
    </w:p>
    <w:p w:rsidR="002265B2" w:rsidRPr="002265B2" w:rsidRDefault="002265B2" w:rsidP="002265B2">
      <w:pPr>
        <w:jc w:val="both"/>
        <w:rPr>
          <w:rFonts w:eastAsia="Calibri"/>
          <w:szCs w:val="20"/>
        </w:rPr>
      </w:pPr>
    </w:p>
    <w:p w:rsidR="002265B2" w:rsidRPr="002265B2" w:rsidRDefault="002265B2" w:rsidP="002265B2">
      <w:pPr>
        <w:jc w:val="both"/>
        <w:rPr>
          <w:rFonts w:eastAsia="Calibri"/>
          <w:b/>
          <w:szCs w:val="20"/>
        </w:rPr>
      </w:pPr>
      <w:r w:rsidRPr="002265B2">
        <w:rPr>
          <w:rFonts w:eastAsia="Calibri"/>
          <w:b/>
          <w:szCs w:val="20"/>
        </w:rPr>
        <w:t>Obrazložitev:</w:t>
      </w:r>
    </w:p>
    <w:p w:rsidR="002265B2" w:rsidRPr="002265B2" w:rsidRDefault="002265B2" w:rsidP="002265B2">
      <w:pPr>
        <w:jc w:val="both"/>
        <w:rPr>
          <w:rFonts w:eastAsia="Calibri"/>
          <w:b/>
          <w:szCs w:val="20"/>
        </w:rPr>
      </w:pPr>
    </w:p>
    <w:p w:rsidR="002265B2" w:rsidRPr="002265B2" w:rsidRDefault="002265B2" w:rsidP="002265B2">
      <w:pPr>
        <w:autoSpaceDE w:val="0"/>
        <w:autoSpaceDN w:val="0"/>
        <w:adjustRightInd w:val="0"/>
        <w:jc w:val="both"/>
        <w:rPr>
          <w:rFonts w:eastAsia="Calibri" w:cs="Arial"/>
          <w:i/>
          <w:szCs w:val="20"/>
          <w:shd w:val="clear" w:color="auto" w:fill="FFFFFF"/>
        </w:rPr>
      </w:pPr>
      <w:r w:rsidRPr="002265B2">
        <w:rPr>
          <w:rFonts w:eastAsia="Calibri" w:cs="Arial"/>
          <w:szCs w:val="20"/>
        </w:rPr>
        <w:lastRenderedPageBreak/>
        <w:t>Z novelo ZTuj-2I je predlagana sprememba 79.a člena ZTuj-2, po kateri preizkus utemeljenosti omejitve gibanja v centru izvede upravno sodišče pred iztekom prvega in vsakega nadaljnjega trimesečnega obdobja od odreditve omejitve gibanja v centru. S predlagano ureditvijo se opušča pristojnost ministrstva, pristojnega za notranje zadeve, da opravi preizkus utemeljenosti omejitve gibanja pred iztekom treh mesecev od odreditve omejitve gibanja v centru. Sodišče bo presojalo tako utemeljenost omejitve gibanja, ki jo odredi policija po 78. členu tega zakona, kot tudi podaljšanje omejitve gibanja po 79. členu tega zakona.  Razlog v tem je zagotovitev nadzora sodnega organa nad odrejeno omejitvijo gibanja pred iztekom vsakega trimesečnega obdobja, kot je to potrebno za zagotovitev doslednega izvajanja Direktive 2008/115/ES. Direktiva 2008/115/ES v tretjem odstavku 15. člena določa, da se v</w:t>
      </w:r>
      <w:r w:rsidRPr="002265B2">
        <w:rPr>
          <w:rFonts w:eastAsia="Calibri" w:cs="Arial"/>
          <w:szCs w:val="20"/>
          <w:shd w:val="clear" w:color="auto" w:fill="FFFFFF"/>
        </w:rPr>
        <w:t xml:space="preserve"> vsakem primeru na zahtevo zadevnega državljana tretje države ali po uradni dolžnosti pridržanje pregleda v razumnih časovnih presledkih, pri čemer v primeru podaljšanja pridržanja pregled nadzira sodni organ.</w:t>
      </w:r>
      <w:r w:rsidRPr="002265B2">
        <w:rPr>
          <w:rFonts w:eastAsia="Calibri" w:cs="Arial"/>
          <w:i/>
          <w:szCs w:val="20"/>
          <w:shd w:val="clear" w:color="auto" w:fill="FFFFFF"/>
        </w:rPr>
        <w:t xml:space="preserve"> </w:t>
      </w:r>
    </w:p>
    <w:p w:rsidR="002265B2" w:rsidRPr="002265B2" w:rsidRDefault="002265B2" w:rsidP="002265B2">
      <w:pPr>
        <w:autoSpaceDE w:val="0"/>
        <w:autoSpaceDN w:val="0"/>
        <w:adjustRightInd w:val="0"/>
        <w:jc w:val="both"/>
        <w:rPr>
          <w:rFonts w:eastAsia="Calibri" w:cs="Arial"/>
          <w:i/>
          <w:szCs w:val="20"/>
          <w:shd w:val="clear" w:color="auto" w:fill="FFFFFF"/>
        </w:rPr>
      </w:pPr>
    </w:p>
    <w:p w:rsidR="002265B2" w:rsidRPr="002265B2" w:rsidRDefault="002265B2" w:rsidP="002265B2">
      <w:pPr>
        <w:autoSpaceDE w:val="0"/>
        <w:autoSpaceDN w:val="0"/>
        <w:adjustRightInd w:val="0"/>
        <w:jc w:val="both"/>
        <w:rPr>
          <w:rFonts w:eastAsia="Calibri" w:cs="Arial"/>
          <w:szCs w:val="20"/>
        </w:rPr>
      </w:pPr>
      <w:r w:rsidRPr="002265B2">
        <w:rPr>
          <w:rFonts w:eastAsia="Calibri" w:cs="Arial"/>
          <w:szCs w:val="20"/>
        </w:rPr>
        <w:t>Republika Slovenija je v sklopu Schengenske evalvacije, ki je bila leta 2019 na področju vračanja, dobila priporočilo, ki je razvidno iz Akcijskega načrta za spremljanje priporočil, ki izhajajo iz schengenske evalvacije Slovenije o uporabi schengenskega pravnega reda na področju vračanja 2019, da je treba spremeniti nacionalno zakonodajo tako, da so odločitve o pridržanju predmet sodnega nadzora po uradni dolžnosti v vseh primerih podaljšanega obdobja pridržanja, zlasti ko obdobje pridržanja presega tri mesece, v skladu s 3. odstavkom 15. člena Direktive 2008/115/ES.</w:t>
      </w:r>
    </w:p>
    <w:p w:rsidR="002265B2" w:rsidRPr="002265B2" w:rsidRDefault="002265B2" w:rsidP="002265B2">
      <w:pPr>
        <w:autoSpaceDE w:val="0"/>
        <w:autoSpaceDN w:val="0"/>
        <w:adjustRightInd w:val="0"/>
        <w:jc w:val="both"/>
        <w:rPr>
          <w:rFonts w:eastAsia="Calibri" w:cs="Arial"/>
          <w:szCs w:val="20"/>
        </w:rPr>
      </w:pPr>
    </w:p>
    <w:p w:rsidR="002265B2" w:rsidRPr="002265B2" w:rsidRDefault="002265B2" w:rsidP="002265B2">
      <w:pPr>
        <w:jc w:val="both"/>
        <w:rPr>
          <w:rFonts w:cs="Arial"/>
          <w:szCs w:val="20"/>
          <w:lang w:eastAsia="sl-SI"/>
        </w:rPr>
      </w:pPr>
      <w:r w:rsidRPr="002265B2">
        <w:rPr>
          <w:rFonts w:cs="Arial"/>
          <w:szCs w:val="20"/>
          <w:lang w:eastAsia="sl-SI"/>
        </w:rPr>
        <w:t xml:space="preserve">Po Priporočilu komisije (EU) 2017/2338 z dne 16. novembra 2017 o skupnem „Priročniku o vračanju“, ki ga uporabljajo pristojni organi držav članic pri izvajanju nalog v zvezi z vračanjem (UL L št. 339 z dne 19. 12. 2017, str. 83) morajo sodni organi ukrepati, tudi če se tujec ne pritoži; trimesečni časovni presledek pa bi se lahko štelo, da je na meji tega, kar je še lahko združljivo s 3. odstavkom 15. člena Direktive 2008/115/ES, če obstaja tudi možnost, da se na prošnjo začnejo posamezni pregledi, če je to potrebno. </w:t>
      </w:r>
    </w:p>
    <w:p w:rsidR="002265B2" w:rsidRPr="002265B2" w:rsidRDefault="002265B2" w:rsidP="002265B2">
      <w:pPr>
        <w:jc w:val="both"/>
        <w:rPr>
          <w:rFonts w:cs="Arial"/>
          <w:szCs w:val="20"/>
          <w:lang w:eastAsia="sl-SI"/>
        </w:rPr>
      </w:pPr>
    </w:p>
    <w:p w:rsidR="002265B2" w:rsidRPr="002265B2" w:rsidRDefault="002265B2" w:rsidP="002265B2">
      <w:pPr>
        <w:jc w:val="both"/>
        <w:rPr>
          <w:rFonts w:cs="Arial"/>
          <w:szCs w:val="20"/>
          <w:lang w:eastAsia="sl-SI"/>
        </w:rPr>
      </w:pPr>
      <w:r w:rsidRPr="002265B2">
        <w:rPr>
          <w:rFonts w:cs="Arial"/>
          <w:szCs w:val="20"/>
          <w:lang w:eastAsia="sl-SI"/>
        </w:rPr>
        <w:t xml:space="preserve">Priročnik o vračanju temelji na sodbah Sodišča EU (prim. </w:t>
      </w:r>
      <w:proofErr w:type="spellStart"/>
      <w:r w:rsidRPr="002265B2">
        <w:rPr>
          <w:rFonts w:cs="Arial"/>
          <w:szCs w:val="20"/>
          <w:lang w:eastAsia="sl-SI"/>
        </w:rPr>
        <w:t>Mahdi</w:t>
      </w:r>
      <w:proofErr w:type="spellEnd"/>
      <w:r w:rsidRPr="002265B2">
        <w:rPr>
          <w:rFonts w:cs="Arial"/>
          <w:szCs w:val="20"/>
          <w:lang w:eastAsia="sl-SI"/>
        </w:rPr>
        <w:t>, C-146/14 PPU z dne 5. 6. 2014, ki  med drugim opredeljuje, da je č</w:t>
      </w:r>
      <w:r w:rsidRPr="002265B2">
        <w:rPr>
          <w:rFonts w:cs="Arial"/>
          <w:bCs/>
          <w:szCs w:val="20"/>
          <w:lang w:eastAsia="sl-SI"/>
        </w:rPr>
        <w:t xml:space="preserve">len 15(3) in (6) Direktive 2008/115/ES treba z vidika členov 6 in 47 Listine Evropske unije o temeljnih pravicah razlagati tako, da mora biti vsaka odločba pristojnega organa v zvezi s pridržanjem državljana tretje države, sprejeta </w:t>
      </w:r>
      <w:r w:rsidRPr="002265B2">
        <w:rPr>
          <w:rFonts w:cs="Arial"/>
          <w:bCs/>
          <w:i/>
          <w:szCs w:val="20"/>
          <w:lang w:eastAsia="sl-SI"/>
        </w:rPr>
        <w:t>ob izteku najdaljšega trajanja začetnega pridržanja</w:t>
      </w:r>
      <w:r w:rsidRPr="002265B2">
        <w:rPr>
          <w:rFonts w:cs="Arial"/>
          <w:bCs/>
          <w:szCs w:val="20"/>
          <w:lang w:eastAsia="sl-SI"/>
        </w:rPr>
        <w:t xml:space="preserve">, in da mora nadzor, ki ga izvaja sodni organ, ki obravnava predlog za podaljšanje pridržanja državljana tretje države, </w:t>
      </w:r>
      <w:r w:rsidRPr="002265B2">
        <w:rPr>
          <w:rFonts w:cs="Arial"/>
          <w:bCs/>
          <w:i/>
          <w:szCs w:val="20"/>
          <w:lang w:eastAsia="sl-SI"/>
        </w:rPr>
        <w:t xml:space="preserve">temu organu omogočati, da v vsakem posameznem primeru vsebinsko odloči o podaljšanju pridržanja zadevnega državljana, o možnosti nadomestitve pridržanja z manj prisilnim ukrepom ali o izpustitvi tega državljana, </w:t>
      </w:r>
      <w:r w:rsidRPr="002265B2">
        <w:rPr>
          <w:rFonts w:cs="Arial"/>
          <w:bCs/>
          <w:szCs w:val="20"/>
          <w:lang w:eastAsia="sl-SI"/>
        </w:rPr>
        <w:t xml:space="preserve">in da se tako navedeni organ lahko opre na dejstva in dokaze, ki mu jih je predložil upravni organ, ki je pred njim začel postopek, in na morebitne dejstva, dokaze ter pripombe, ki so mu predloženi med tem postopkom). V sodbi Sodišča EU El </w:t>
      </w:r>
      <w:proofErr w:type="spellStart"/>
      <w:r w:rsidRPr="002265B2">
        <w:rPr>
          <w:rFonts w:cs="Arial"/>
          <w:bCs/>
          <w:szCs w:val="20"/>
          <w:lang w:eastAsia="sl-SI"/>
        </w:rPr>
        <w:t>Dridi</w:t>
      </w:r>
      <w:proofErr w:type="spellEnd"/>
      <w:r w:rsidRPr="002265B2">
        <w:rPr>
          <w:rFonts w:cs="Arial"/>
          <w:bCs/>
          <w:szCs w:val="20"/>
          <w:lang w:eastAsia="sl-SI"/>
        </w:rPr>
        <w:t xml:space="preserve">, C-61/11 PPU z dne 28. 4. 2011 je sodišče jasno navedlo, da </w:t>
      </w:r>
      <w:r w:rsidRPr="002265B2">
        <w:rPr>
          <w:rFonts w:cs="Arial"/>
          <w:szCs w:val="20"/>
          <w:lang w:eastAsia="sl-SI"/>
        </w:rPr>
        <w:t xml:space="preserve">je pri členih 15 in 16 Direktive 2008/115/ES, ki sta – kot je razvidno iz točke 42 te sodbe – </w:t>
      </w:r>
      <w:r w:rsidRPr="002265B2">
        <w:rPr>
          <w:rFonts w:cs="Arial"/>
          <w:i/>
          <w:szCs w:val="20"/>
          <w:lang w:eastAsia="sl-SI"/>
        </w:rPr>
        <w:t>brezpogojna in dovolj natančna, da ne potrebujeta drugih posebnih elementov, da bi se državam članicam omogočilo njuno izvajanje</w:t>
      </w:r>
      <w:r w:rsidRPr="002265B2">
        <w:rPr>
          <w:rFonts w:cs="Arial"/>
          <w:szCs w:val="20"/>
          <w:lang w:eastAsia="sl-SI"/>
        </w:rPr>
        <w:t xml:space="preserve"> (točka 47) in </w:t>
      </w:r>
      <w:r w:rsidRPr="002265B2">
        <w:rPr>
          <w:rFonts w:cs="Arial"/>
          <w:i/>
          <w:szCs w:val="20"/>
          <w:lang w:eastAsia="sl-SI"/>
        </w:rPr>
        <w:t>da te države ne smejo izvajati ureditve – tudi če je s kazenskega področja – ki lahko ogroža uresničitev ciljev, ki jim sledi direktiva, in tej odvzame polni učinek</w:t>
      </w:r>
      <w:r w:rsidRPr="002265B2">
        <w:rPr>
          <w:rFonts w:cs="Arial"/>
          <w:szCs w:val="20"/>
          <w:lang w:eastAsia="sl-SI"/>
        </w:rPr>
        <w:t xml:space="preserve"> (točka 55). Zato gre pri omejitvi gibanja tujca za specialno ureditev in sicer upoštevajoč sodno prakso sodišča EU in ESČP ter upoštevajoč načeli sorazmernosti in učinkovitosti glede na uporabljene ukrepe in zastavljene cilje (v skladu s točko 13 uvodne izjave Direktive 2008/115/ES). </w:t>
      </w:r>
    </w:p>
    <w:p w:rsidR="002265B2" w:rsidRPr="002265B2" w:rsidRDefault="002265B2" w:rsidP="002265B2">
      <w:pPr>
        <w:jc w:val="both"/>
        <w:rPr>
          <w:rFonts w:cs="Arial"/>
          <w:szCs w:val="20"/>
          <w:lang w:eastAsia="sl-SI"/>
        </w:rPr>
      </w:pPr>
    </w:p>
    <w:p w:rsidR="002265B2" w:rsidRPr="002265B2" w:rsidRDefault="002265B2" w:rsidP="002265B2">
      <w:pPr>
        <w:jc w:val="both"/>
        <w:rPr>
          <w:rFonts w:cs="Arial"/>
          <w:szCs w:val="20"/>
          <w:lang w:eastAsia="sl-SI"/>
        </w:rPr>
      </w:pPr>
    </w:p>
    <w:p w:rsidR="002265B2" w:rsidRPr="002265B2" w:rsidRDefault="002265B2" w:rsidP="002265B2">
      <w:pPr>
        <w:autoSpaceDE w:val="0"/>
        <w:autoSpaceDN w:val="0"/>
        <w:adjustRightInd w:val="0"/>
        <w:jc w:val="both"/>
        <w:rPr>
          <w:rFonts w:eastAsia="Calibri" w:cs="Arial"/>
          <w:szCs w:val="20"/>
        </w:rPr>
      </w:pPr>
      <w:r w:rsidRPr="002265B2">
        <w:rPr>
          <w:rFonts w:eastAsia="Calibri" w:cs="Arial"/>
          <w:szCs w:val="20"/>
        </w:rPr>
        <w:t>Zagotavlja se kontinuirano sodno preverjanje, ali so pri tujcu razlogi za omejitev gibanja še vedno podani, kar pomeni tudi sodni nadzor pred potekom drugega trimesečja. Predlagana  ureditev pomeni tako tudi sodni preizkus pred potekom drugega trimesečja, tudi v primeru, če tujec zoper odločbo o podaljšanju omejitve gibanja po 79. členu ZTuj-2, ne bi izkoristil pravnega varstva.</w:t>
      </w:r>
    </w:p>
    <w:p w:rsidR="002265B2" w:rsidRPr="002265B2" w:rsidRDefault="002265B2" w:rsidP="002265B2">
      <w:pPr>
        <w:autoSpaceDE w:val="0"/>
        <w:autoSpaceDN w:val="0"/>
        <w:adjustRightInd w:val="0"/>
        <w:jc w:val="both"/>
        <w:rPr>
          <w:rFonts w:eastAsia="Calibri" w:cs="Arial"/>
          <w:szCs w:val="20"/>
        </w:rPr>
      </w:pPr>
    </w:p>
    <w:p w:rsidR="002265B2" w:rsidRPr="002265B2" w:rsidRDefault="002265B2" w:rsidP="002265B2">
      <w:pPr>
        <w:autoSpaceDE w:val="0"/>
        <w:autoSpaceDN w:val="0"/>
        <w:adjustRightInd w:val="0"/>
        <w:jc w:val="both"/>
        <w:rPr>
          <w:rFonts w:eastAsia="Calibri" w:cs="Arial"/>
          <w:szCs w:val="20"/>
        </w:rPr>
      </w:pPr>
    </w:p>
    <w:p w:rsidR="007E1230" w:rsidRPr="002265B2" w:rsidRDefault="002265B2" w:rsidP="002265B2">
      <w:pPr>
        <w:tabs>
          <w:tab w:val="left" w:pos="5570"/>
        </w:tabs>
        <w:autoSpaceDE w:val="0"/>
        <w:autoSpaceDN w:val="0"/>
        <w:adjustRightInd w:val="0"/>
        <w:rPr>
          <w:rFonts w:cs="Arial"/>
          <w:color w:val="000000"/>
          <w:szCs w:val="20"/>
        </w:rPr>
      </w:pPr>
      <w:r w:rsidRPr="002265B2">
        <w:rPr>
          <w:rFonts w:eastAsia="Calibri" w:cs="Arial"/>
          <w:szCs w:val="20"/>
        </w:rPr>
        <w:t>Kompleksnejšega zakonodajnega urejanja preizkusa utemeljenosti omejitve gibanja tudi po medresorskem usklajevanju spremembe 79.a člena ZTuj-2 ni bilo mogoče predvideti, saj gre za nov poseben upravni postopek, ki pomeni unikum v slovenski pravni ureditvi in je zato mogoče predvideti, da bo izvajanje te ureditve pokazalo, s katerimi vsebinami ga je treba dopolniti. Zaradi teh razlogov je predvidena tudi »zgolj« smiselna uporaba določb ZUS-1 v specialnem postopku po spremembi 79.a členu ZTuj-2.</w:t>
      </w:r>
    </w:p>
    <w:sectPr w:rsidR="007E1230" w:rsidRPr="002265B2"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0E5D" w:rsidRDefault="00540E5D" w:rsidP="00767987">
      <w:pPr>
        <w:spacing w:line="240" w:lineRule="auto"/>
      </w:pPr>
      <w:r>
        <w:separator/>
      </w:r>
    </w:p>
  </w:endnote>
  <w:endnote w:type="continuationSeparator" w:id="0">
    <w:p w:rsidR="00540E5D" w:rsidRDefault="00540E5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BE9" w:rsidRDefault="001A4BE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BE9" w:rsidRDefault="001A4BE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BE9" w:rsidRDefault="001A4BE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0E5D" w:rsidRDefault="00540E5D" w:rsidP="00767987">
      <w:pPr>
        <w:spacing w:line="240" w:lineRule="auto"/>
      </w:pPr>
      <w:r>
        <w:separator/>
      </w:r>
    </w:p>
  </w:footnote>
  <w:footnote w:type="continuationSeparator" w:id="0">
    <w:p w:rsidR="00540E5D" w:rsidRDefault="00540E5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BE9" w:rsidRDefault="001A4BE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BE9" w:rsidRDefault="001A4BE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8AA6BD5"/>
    <w:multiLevelType w:val="hybridMultilevel"/>
    <w:tmpl w:val="3E28D0D2"/>
    <w:lvl w:ilvl="0" w:tplc="6C00CB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A4BE9"/>
    <w:rsid w:val="002265B2"/>
    <w:rsid w:val="00366636"/>
    <w:rsid w:val="00367DE6"/>
    <w:rsid w:val="003B3E19"/>
    <w:rsid w:val="004076C6"/>
    <w:rsid w:val="00457A58"/>
    <w:rsid w:val="004B7F76"/>
    <w:rsid w:val="004E1BCE"/>
    <w:rsid w:val="00540E5D"/>
    <w:rsid w:val="00592079"/>
    <w:rsid w:val="00594080"/>
    <w:rsid w:val="00682FFE"/>
    <w:rsid w:val="00684751"/>
    <w:rsid w:val="006C69EC"/>
    <w:rsid w:val="007039D0"/>
    <w:rsid w:val="00767987"/>
    <w:rsid w:val="00782FD4"/>
    <w:rsid w:val="007E1230"/>
    <w:rsid w:val="00811140"/>
    <w:rsid w:val="00903D86"/>
    <w:rsid w:val="00904A48"/>
    <w:rsid w:val="009567FA"/>
    <w:rsid w:val="00980294"/>
    <w:rsid w:val="009C5392"/>
    <w:rsid w:val="009C657E"/>
    <w:rsid w:val="00A16E6F"/>
    <w:rsid w:val="00A50E4B"/>
    <w:rsid w:val="00A56EFB"/>
    <w:rsid w:val="00A9231D"/>
    <w:rsid w:val="00AD3BB3"/>
    <w:rsid w:val="00C0216A"/>
    <w:rsid w:val="00CD6077"/>
    <w:rsid w:val="00CE234E"/>
    <w:rsid w:val="00D02973"/>
    <w:rsid w:val="00DA09BE"/>
    <w:rsid w:val="00E83A83"/>
    <w:rsid w:val="00E9566D"/>
    <w:rsid w:val="00EB76BA"/>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E9566D"/>
    <w:pPr>
      <w:ind w:left="720"/>
      <w:contextualSpacing/>
    </w:pPr>
  </w:style>
  <w:style w:type="paragraph" w:customStyle="1" w:styleId="Poglavje">
    <w:name w:val="Poglavje"/>
    <w:basedOn w:val="Navaden"/>
    <w:qFormat/>
    <w:rsid w:val="002265B2"/>
    <w:pPr>
      <w:suppressAutoHyphens/>
      <w:overflowPunct w:val="0"/>
      <w:autoSpaceDE w:val="0"/>
      <w:autoSpaceDN w:val="0"/>
      <w:adjustRightInd w:val="0"/>
      <w:spacing w:before="360" w:after="60" w:line="200" w:lineRule="exact"/>
      <w:jc w:val="center"/>
      <w:outlineLvl w:val="3"/>
    </w:pPr>
    <w:rPr>
      <w:rFonts w:cs="Arial"/>
      <w:b/>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1776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2231</Words>
  <Characters>12717</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Ingird Hribar</dc:creator>
  <cp:keywords/>
  <dc:description/>
  <cp:lastModifiedBy>Katja Pucihar</cp:lastModifiedBy>
  <cp:revision>2</cp:revision>
  <dcterms:created xsi:type="dcterms:W3CDTF">2025-03-05T09:49:00Z</dcterms:created>
  <dcterms:modified xsi:type="dcterms:W3CDTF">2025-03-05T09:49:00Z</dcterms:modified>
</cp:coreProperties>
</file>