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4884" w:rsidRDefault="00414884" w:rsidP="00414884">
      <w:pPr>
        <w:pStyle w:val="Naslov2"/>
        <w:numPr>
          <w:ilvl w:val="0"/>
          <w:numId w:val="0"/>
        </w:numPr>
        <w:spacing w:line="260" w:lineRule="exact"/>
      </w:pPr>
      <w:bookmarkStart w:id="0" w:name="_Toc165995067"/>
      <w:r>
        <w:t xml:space="preserve">PRILOGA: </w:t>
      </w:r>
      <w:r w:rsidRPr="003B7DD0">
        <w:t>VELJAVNE RESOLUCIJE IN STRATEŠKI RAZVOJNI DOKUMENTI</w:t>
      </w:r>
      <w:bookmarkEnd w:id="0"/>
    </w:p>
    <w:p w:rsidR="00414884" w:rsidRPr="009B5905" w:rsidRDefault="00414884" w:rsidP="00414884"/>
    <w:p w:rsidR="00414884" w:rsidRPr="003B7DD0" w:rsidRDefault="00414884" w:rsidP="00414884">
      <w:pPr>
        <w:pStyle w:val="Naslov2"/>
        <w:numPr>
          <w:ilvl w:val="0"/>
          <w:numId w:val="0"/>
        </w:numPr>
        <w:ind w:left="708"/>
      </w:pPr>
      <w:bookmarkStart w:id="1" w:name="_Toc165995068"/>
      <w:r w:rsidRPr="003B7DD0">
        <w:t>Nacionalne resolucije in strateški dokumenti</w:t>
      </w:r>
      <w:bookmarkEnd w:id="1"/>
    </w:p>
    <w:p w:rsidR="00414884" w:rsidRPr="003B7DD0" w:rsidRDefault="00414884" w:rsidP="00414884">
      <w:pPr>
        <w:pStyle w:val="Odstavekseznama"/>
        <w:spacing w:after="0" w:line="260" w:lineRule="exact"/>
        <w:ind w:left="1224"/>
        <w:contextualSpacing w:val="0"/>
        <w:jc w:val="both"/>
        <w:rPr>
          <w:rFonts w:ascii="Tahoma" w:hAnsi="Tahoma" w:cs="Tahoma"/>
          <w:sz w:val="20"/>
          <w:szCs w:val="20"/>
        </w:rPr>
      </w:pPr>
    </w:p>
    <w:p w:rsidR="00414884" w:rsidRPr="003B7DD0" w:rsidRDefault="00414884" w:rsidP="00414884">
      <w:pPr>
        <w:pStyle w:val="Naslov4"/>
      </w:pPr>
      <w:r w:rsidRPr="003B7DD0">
        <w:t>Resolucije:</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7" w:history="1">
        <w:r w:rsidR="00414884" w:rsidRPr="003B7DD0">
          <w:rPr>
            <w:rFonts w:ascii="Tahoma" w:hAnsi="Tahoma" w:cs="Tahoma"/>
            <w:sz w:val="20"/>
            <w:szCs w:val="20"/>
          </w:rPr>
          <w:t>Resolucija o dolgoročnem razvojnem programu policije do leta 2025 – »Kakovostna policija za varno Slovenijo« (ReDRPPol), Uradni list RS, št. 75/2015;</w:t>
        </w:r>
      </w:hyperlink>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8" w:history="1">
        <w:r w:rsidR="00414884" w:rsidRPr="003B7DD0">
          <w:rPr>
            <w:rFonts w:ascii="Tahoma" w:hAnsi="Tahoma" w:cs="Tahoma"/>
            <w:sz w:val="20"/>
            <w:szCs w:val="20"/>
          </w:rPr>
          <w:t>Resolucija o strategiji nacionalne varnosti Republike Slovenije (ReSNV-2), Uradni list RS, št. 59/2019</w:t>
        </w:r>
      </w:hyperlink>
      <w:r w:rsidR="00414884" w:rsidRPr="003B7DD0">
        <w:rPr>
          <w:rFonts w:ascii="Tahoma" w:hAnsi="Tahoma" w:cs="Tahoma"/>
          <w:sz w:val="20"/>
          <w:szCs w:val="20"/>
        </w:rPr>
        <w:t>;</w:t>
      </w:r>
    </w:p>
    <w:p w:rsidR="00414884" w:rsidRPr="003B7DD0" w:rsidRDefault="00414884" w:rsidP="00414884">
      <w:pPr>
        <w:pStyle w:val="Odstavekseznama"/>
        <w:numPr>
          <w:ilvl w:val="0"/>
          <w:numId w:val="2"/>
        </w:numPr>
        <w:spacing w:before="120" w:after="0" w:line="260" w:lineRule="exact"/>
        <w:contextualSpacing w:val="0"/>
        <w:jc w:val="both"/>
        <w:rPr>
          <w:rFonts w:ascii="Tahoma" w:hAnsi="Tahoma" w:cs="Tahoma"/>
          <w:sz w:val="20"/>
          <w:szCs w:val="20"/>
        </w:rPr>
      </w:pPr>
      <w:r w:rsidRPr="003B7DD0">
        <w:rPr>
          <w:rFonts w:ascii="Tahoma" w:hAnsi="Tahoma" w:cs="Tahoma"/>
          <w:sz w:val="20"/>
          <w:szCs w:val="20"/>
        </w:rPr>
        <w:t>Resolucija o nacionalnem programu preprečevanja in zatiranja kriminalitete za obdobje 2024–2028 (ReNPPZK24–28), Uradni list RS, št. 38/2024;</w:t>
      </w:r>
    </w:p>
    <w:p w:rsidR="00414884" w:rsidRPr="003B7DD0" w:rsidRDefault="00414884" w:rsidP="00414884">
      <w:pPr>
        <w:pStyle w:val="Odstavekseznama"/>
        <w:numPr>
          <w:ilvl w:val="0"/>
          <w:numId w:val="2"/>
        </w:numPr>
        <w:spacing w:before="120" w:after="0" w:line="260" w:lineRule="exact"/>
        <w:contextualSpacing w:val="0"/>
        <w:jc w:val="both"/>
        <w:rPr>
          <w:rFonts w:ascii="Tahoma" w:hAnsi="Tahoma" w:cs="Tahoma"/>
          <w:sz w:val="20"/>
          <w:szCs w:val="20"/>
        </w:rPr>
      </w:pPr>
      <w:r w:rsidRPr="003B7DD0">
        <w:rPr>
          <w:rFonts w:ascii="Tahoma" w:hAnsi="Tahoma" w:cs="Tahoma"/>
          <w:sz w:val="20"/>
          <w:szCs w:val="20"/>
        </w:rPr>
        <w:t>Resolucija o nacionalnem programu preprečevanja nasilja v družini in nasilja nad ženskami 2024−2029 (ReNPPND24–29), Uradni list RS, št. 38/2024;</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9" w:history="1">
        <w:r w:rsidR="00414884" w:rsidRPr="003B7DD0">
          <w:rPr>
            <w:rFonts w:ascii="Tahoma" w:hAnsi="Tahoma" w:cs="Tahoma"/>
            <w:sz w:val="20"/>
            <w:szCs w:val="20"/>
          </w:rPr>
          <w:t>Resolucija o nacionalnem programu varnosti cestnega prometa za obdobje od 2023 do 2030 (ReNPVCP23–30), Uradni list RS, št. 124/2023</w:t>
        </w:r>
      </w:hyperlink>
      <w:r w:rsidR="00414884" w:rsidRPr="003B7DD0">
        <w:rPr>
          <w:rFonts w:ascii="Tahoma" w:hAnsi="Tahoma" w:cs="Tahoma"/>
          <w:sz w:val="20"/>
          <w:szCs w:val="20"/>
        </w:rPr>
        <w:t>;</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10" w:history="1">
        <w:r w:rsidR="00414884" w:rsidRPr="003B7DD0">
          <w:rPr>
            <w:rFonts w:ascii="Tahoma" w:hAnsi="Tahoma" w:cs="Tahoma"/>
            <w:sz w:val="20"/>
            <w:szCs w:val="20"/>
          </w:rPr>
          <w:t>Resolucija o Nacionalnem programu na področju prepovedanih drog za obdobje 2023–2030 (ReNPPD23–0), Uradni list RS, št. 75/2023</w:t>
        </w:r>
      </w:hyperlink>
      <w:r w:rsidR="00414884" w:rsidRPr="003B7DD0">
        <w:rPr>
          <w:rFonts w:ascii="Tahoma" w:hAnsi="Tahoma" w:cs="Tahoma"/>
          <w:sz w:val="20"/>
          <w:szCs w:val="20"/>
        </w:rPr>
        <w:t>;</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11" w:history="1">
        <w:r w:rsidR="00414884" w:rsidRPr="003B7DD0">
          <w:rPr>
            <w:rFonts w:ascii="Tahoma" w:hAnsi="Tahoma" w:cs="Tahoma"/>
            <w:sz w:val="20"/>
            <w:szCs w:val="20"/>
          </w:rPr>
          <w:t>Resolucija o nacionalnem planu zdravstvenega varstva 2016–2025 »Skupaj za družbo zdravja« (ReNPZV16–25), Uradni list RS, št. 25/2016;</w:t>
        </w:r>
      </w:hyperlink>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12" w:history="1">
        <w:r w:rsidR="00414884" w:rsidRPr="003B7DD0">
          <w:rPr>
            <w:rFonts w:ascii="Tahoma" w:hAnsi="Tahoma" w:cs="Tahoma"/>
            <w:sz w:val="20"/>
            <w:szCs w:val="20"/>
          </w:rPr>
          <w:t>Resolucija o mednarodnem razvojnem sodelovanju in humanitarni pomoči Republike Slovenije (ReMRSHP), Uradni list RS, št. 54/2017;</w:t>
        </w:r>
      </w:hyperlink>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13" w:history="1">
        <w:r w:rsidR="00414884" w:rsidRPr="003B7DD0">
          <w:rPr>
            <w:rFonts w:ascii="Tahoma" w:hAnsi="Tahoma" w:cs="Tahoma"/>
            <w:sz w:val="20"/>
            <w:szCs w:val="20"/>
          </w:rPr>
          <w:t>Resolucija o krepitvi potresne varnosti do leta 2050 »PREHITIMO POTRES« (ReKPV50), Uradni list RS, št. 122/2023</w:t>
        </w:r>
      </w:hyperlink>
      <w:r w:rsidR="00414884" w:rsidRPr="003B7DD0">
        <w:rPr>
          <w:rFonts w:ascii="Tahoma" w:hAnsi="Tahoma" w:cs="Tahoma"/>
          <w:sz w:val="20"/>
          <w:szCs w:val="20"/>
        </w:rPr>
        <w:t>; </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14" w:history="1">
        <w:r w:rsidR="00414884" w:rsidRPr="003B7DD0">
          <w:rPr>
            <w:rFonts w:ascii="Tahoma" w:hAnsi="Tahoma" w:cs="Tahoma"/>
            <w:sz w:val="20"/>
            <w:szCs w:val="20"/>
          </w:rPr>
          <w:t>Resolucija o jedrski in sevalni varnosti V RS za obdobje 2024–2033 (ReJSV24–33), Uradni list RS, št. 122/2023;</w:t>
        </w:r>
      </w:hyperlink>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15" w:history="1">
        <w:r w:rsidR="00414884" w:rsidRPr="003B7DD0">
          <w:rPr>
            <w:rFonts w:ascii="Tahoma" w:hAnsi="Tahoma" w:cs="Tahoma"/>
            <w:sz w:val="20"/>
            <w:szCs w:val="20"/>
          </w:rPr>
          <w:t>Resolucija o nacionalnem programu za enake možnosti žensk in moških 2023–2030 (ReNPEMŽM23–30), Uradni list RS, št. 105/2023</w:t>
        </w:r>
      </w:hyperlink>
      <w:r w:rsidR="00414884" w:rsidRPr="003B7DD0">
        <w:rPr>
          <w:rFonts w:ascii="Tahoma" w:hAnsi="Tahoma" w:cs="Tahoma"/>
          <w:sz w:val="20"/>
          <w:szCs w:val="20"/>
        </w:rPr>
        <w:t>.</w:t>
      </w:r>
    </w:p>
    <w:p w:rsidR="00414884" w:rsidRPr="003B7DD0" w:rsidRDefault="00414884" w:rsidP="00414884">
      <w:pPr>
        <w:autoSpaceDE w:val="0"/>
        <w:autoSpaceDN w:val="0"/>
        <w:adjustRightInd w:val="0"/>
        <w:spacing w:after="0" w:line="260" w:lineRule="exact"/>
        <w:jc w:val="both"/>
        <w:rPr>
          <w:rFonts w:ascii="Tahoma" w:hAnsi="Tahoma" w:cs="Tahoma"/>
          <w:b/>
          <w:color w:val="0D0D0D" w:themeColor="text1" w:themeTint="F2"/>
          <w:sz w:val="20"/>
          <w:szCs w:val="20"/>
        </w:rPr>
      </w:pPr>
    </w:p>
    <w:p w:rsidR="00414884" w:rsidRPr="003B7DD0" w:rsidRDefault="00414884" w:rsidP="00414884">
      <w:pPr>
        <w:pStyle w:val="Naslov4"/>
      </w:pPr>
      <w:r w:rsidRPr="003B7DD0">
        <w:t>Resolucije – v pripravi:</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16" w:history="1">
        <w:r w:rsidR="00414884" w:rsidRPr="003B7DD0">
          <w:rPr>
            <w:rFonts w:ascii="Tahoma" w:hAnsi="Tahoma" w:cs="Tahoma"/>
            <w:sz w:val="20"/>
            <w:szCs w:val="20"/>
          </w:rPr>
          <w:t>Resolucija o nacionalnem programu za mladino za obdobje 2023-2032 (EVA 2023-3350-0055) – iz spletne strani Skupnost občin</w:t>
        </w:r>
      </w:hyperlink>
      <w:r w:rsidR="00414884" w:rsidRPr="003B7DD0">
        <w:rPr>
          <w:rFonts w:ascii="Tahoma" w:hAnsi="Tahoma" w:cs="Tahoma"/>
          <w:sz w:val="20"/>
          <w:szCs w:val="20"/>
        </w:rPr>
        <w:t xml:space="preserve"> je razvidno, da je resolucija trenutno v medresorski razpravi;</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17" w:history="1">
        <w:r w:rsidR="00414884" w:rsidRPr="003B7DD0">
          <w:rPr>
            <w:rFonts w:ascii="Tahoma" w:hAnsi="Tahoma" w:cs="Tahoma"/>
            <w:sz w:val="20"/>
            <w:szCs w:val="20"/>
          </w:rPr>
          <w:t>Resolucija o nacionalnem programu varstva pred naravnimi in drugimi nesrečami v letih od 2024 do 2030, (ReNPVNDN23–30),</w:t>
        </w:r>
      </w:hyperlink>
      <w:r w:rsidR="00414884" w:rsidRPr="003B7DD0">
        <w:rPr>
          <w:rFonts w:ascii="Tahoma" w:hAnsi="Tahoma" w:cs="Tahoma"/>
          <w:sz w:val="20"/>
          <w:szCs w:val="20"/>
        </w:rPr>
        <w:t xml:space="preserve"> predlog je trenutno v medresorskem usklajevanju, nosilec akta je Uprava RS za zaščito in reševanje.</w:t>
      </w:r>
    </w:p>
    <w:p w:rsidR="00414884" w:rsidRPr="003B7DD0" w:rsidRDefault="00414884" w:rsidP="00414884">
      <w:pPr>
        <w:autoSpaceDE w:val="0"/>
        <w:autoSpaceDN w:val="0"/>
        <w:adjustRightInd w:val="0"/>
        <w:spacing w:after="0" w:line="260" w:lineRule="exact"/>
        <w:jc w:val="both"/>
        <w:rPr>
          <w:rFonts w:ascii="Tahoma" w:hAnsi="Tahoma" w:cs="Tahoma"/>
          <w:b/>
          <w:bCs/>
          <w:color w:val="0D0D0D" w:themeColor="text1" w:themeTint="F2"/>
          <w:sz w:val="20"/>
          <w:szCs w:val="20"/>
        </w:rPr>
      </w:pPr>
    </w:p>
    <w:p w:rsidR="00414884" w:rsidRPr="003B7DD0" w:rsidRDefault="00414884" w:rsidP="00414884">
      <w:pPr>
        <w:pStyle w:val="Naslov4"/>
      </w:pPr>
      <w:r w:rsidRPr="003B7DD0">
        <w:t>Strategije:</w:t>
      </w:r>
    </w:p>
    <w:p w:rsidR="00414884" w:rsidRPr="003B7DD0" w:rsidRDefault="002A4B56" w:rsidP="00414884">
      <w:pPr>
        <w:pStyle w:val="Odstavekseznama"/>
        <w:numPr>
          <w:ilvl w:val="0"/>
          <w:numId w:val="2"/>
        </w:numPr>
        <w:spacing w:before="120" w:after="0" w:line="260" w:lineRule="exact"/>
        <w:contextualSpacing w:val="0"/>
        <w:jc w:val="both"/>
        <w:rPr>
          <w:rFonts w:ascii="Tahoma" w:hAnsi="Tahoma" w:cs="Tahoma"/>
          <w:sz w:val="20"/>
          <w:szCs w:val="20"/>
        </w:rPr>
      </w:pPr>
      <w:hyperlink r:id="rId18" w:history="1">
        <w:r w:rsidR="00414884" w:rsidRPr="003B7DD0">
          <w:rPr>
            <w:rFonts w:ascii="Tahoma" w:hAnsi="Tahoma" w:cs="Tahoma"/>
            <w:sz w:val="20"/>
            <w:szCs w:val="20"/>
          </w:rPr>
          <w:t>Strategija Evropske unije za varnostno unijo za obdobje 2020–2025</w:t>
        </w:r>
      </w:hyperlink>
      <w:r w:rsidR="00414884" w:rsidRPr="003B7DD0">
        <w:rPr>
          <w:rFonts w:ascii="Tahoma" w:hAnsi="Tahoma" w:cs="Tahoma"/>
          <w:sz w:val="20"/>
          <w:szCs w:val="20"/>
        </w:rPr>
        <w:t xml:space="preserve">, 24. 7. 2020; </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19" w:history="1">
        <w:r w:rsidR="00414884" w:rsidRPr="003B7DD0">
          <w:rPr>
            <w:rFonts w:ascii="Tahoma" w:hAnsi="Tahoma" w:cs="Tahoma"/>
            <w:sz w:val="20"/>
            <w:szCs w:val="20"/>
          </w:rPr>
          <w:t>Strategija Evropske unije za boj proti organiziranemu kriminalu za obdobje 2021–2025</w:t>
        </w:r>
      </w:hyperlink>
      <w:r w:rsidR="00414884" w:rsidRPr="003B7DD0">
        <w:rPr>
          <w:rFonts w:ascii="Tahoma" w:hAnsi="Tahoma" w:cs="Tahoma"/>
          <w:sz w:val="20"/>
          <w:szCs w:val="20"/>
        </w:rPr>
        <w:t>, 14. 4. 2021;</w:t>
      </w:r>
    </w:p>
    <w:p w:rsidR="00414884" w:rsidRPr="003B7DD0" w:rsidRDefault="002A4B56" w:rsidP="00414884">
      <w:pPr>
        <w:pStyle w:val="Odstavekseznama"/>
        <w:numPr>
          <w:ilvl w:val="0"/>
          <w:numId w:val="2"/>
        </w:numPr>
        <w:spacing w:before="120" w:after="0" w:line="260" w:lineRule="exact"/>
        <w:contextualSpacing w:val="0"/>
        <w:jc w:val="both"/>
        <w:rPr>
          <w:rFonts w:ascii="Tahoma" w:hAnsi="Tahoma" w:cs="Tahoma"/>
          <w:sz w:val="20"/>
          <w:szCs w:val="20"/>
        </w:rPr>
      </w:pPr>
      <w:hyperlink r:id="rId20" w:history="1">
        <w:r w:rsidR="00414884" w:rsidRPr="003B7DD0">
          <w:rPr>
            <w:rFonts w:ascii="Tahoma" w:hAnsi="Tahoma" w:cs="Tahoma"/>
            <w:sz w:val="20"/>
            <w:szCs w:val="20"/>
          </w:rPr>
          <w:t>Strategija Evropske unije za učinkovitejši boj proti spolni zlorabi otrok</w:t>
        </w:r>
      </w:hyperlink>
      <w:r w:rsidR="00414884" w:rsidRPr="003B7DD0">
        <w:rPr>
          <w:rFonts w:ascii="Tahoma" w:hAnsi="Tahoma" w:cs="Tahoma"/>
          <w:sz w:val="20"/>
          <w:szCs w:val="20"/>
        </w:rPr>
        <w:t>, 24. 7. 2020;</w:t>
      </w:r>
    </w:p>
    <w:p w:rsidR="00414884" w:rsidRPr="003B7DD0" w:rsidRDefault="002A4B56" w:rsidP="00414884">
      <w:pPr>
        <w:pStyle w:val="Odstavekseznama"/>
        <w:numPr>
          <w:ilvl w:val="0"/>
          <w:numId w:val="2"/>
        </w:numPr>
        <w:spacing w:before="120" w:after="0" w:line="260" w:lineRule="exact"/>
        <w:contextualSpacing w:val="0"/>
        <w:jc w:val="both"/>
        <w:rPr>
          <w:rFonts w:ascii="Tahoma" w:hAnsi="Tahoma" w:cs="Tahoma"/>
          <w:sz w:val="20"/>
          <w:szCs w:val="20"/>
        </w:rPr>
      </w:pPr>
      <w:hyperlink r:id="rId21" w:history="1">
        <w:r w:rsidR="00414884" w:rsidRPr="003B7DD0">
          <w:rPr>
            <w:rFonts w:ascii="Tahoma" w:hAnsi="Tahoma" w:cs="Tahoma"/>
            <w:sz w:val="20"/>
            <w:szCs w:val="20"/>
          </w:rPr>
          <w:t>Strategija Evropske unije na področju drog za obdobje 2021–2025</w:t>
        </w:r>
      </w:hyperlink>
      <w:r w:rsidR="00414884" w:rsidRPr="003B7DD0">
        <w:rPr>
          <w:rFonts w:ascii="Tahoma" w:hAnsi="Tahoma" w:cs="Tahoma"/>
          <w:sz w:val="20"/>
          <w:szCs w:val="20"/>
        </w:rPr>
        <w:t>, 18. 12. 2020;</w:t>
      </w:r>
    </w:p>
    <w:p w:rsidR="00414884" w:rsidRPr="003B7DD0" w:rsidRDefault="002A4B56" w:rsidP="00414884">
      <w:pPr>
        <w:pStyle w:val="Odstavekseznama"/>
        <w:numPr>
          <w:ilvl w:val="0"/>
          <w:numId w:val="2"/>
        </w:numPr>
        <w:spacing w:before="120" w:after="0" w:line="260" w:lineRule="exact"/>
        <w:contextualSpacing w:val="0"/>
        <w:jc w:val="both"/>
        <w:rPr>
          <w:rFonts w:ascii="Tahoma" w:hAnsi="Tahoma" w:cs="Tahoma"/>
          <w:sz w:val="20"/>
          <w:szCs w:val="20"/>
        </w:rPr>
      </w:pPr>
      <w:hyperlink r:id="rId22" w:history="1">
        <w:r w:rsidR="00414884" w:rsidRPr="003B7DD0">
          <w:rPr>
            <w:rFonts w:ascii="Tahoma" w:hAnsi="Tahoma" w:cs="Tahoma"/>
            <w:sz w:val="20"/>
            <w:szCs w:val="20"/>
          </w:rPr>
          <w:t>Strategija Evropske unije za boj proti trgovini z ljudmi (2021–2025)</w:t>
        </w:r>
      </w:hyperlink>
      <w:r w:rsidR="00414884" w:rsidRPr="003B7DD0">
        <w:rPr>
          <w:rFonts w:ascii="Tahoma" w:hAnsi="Tahoma" w:cs="Tahoma"/>
          <w:sz w:val="20"/>
          <w:szCs w:val="20"/>
        </w:rPr>
        <w:t>, 14. 4. 2021;</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23" w:history="1">
        <w:r w:rsidR="00414884" w:rsidRPr="003B7DD0">
          <w:rPr>
            <w:rFonts w:ascii="Tahoma" w:hAnsi="Tahoma" w:cs="Tahoma"/>
            <w:sz w:val="20"/>
            <w:szCs w:val="20"/>
          </w:rPr>
          <w:t>Strategija razvoja Slovenije 2030</w:t>
        </w:r>
      </w:hyperlink>
      <w:r w:rsidR="00414884" w:rsidRPr="003B7DD0">
        <w:rPr>
          <w:rFonts w:ascii="Tahoma" w:hAnsi="Tahoma" w:cs="Tahoma"/>
          <w:sz w:val="20"/>
          <w:szCs w:val="20"/>
        </w:rPr>
        <w:t>;</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24" w:history="1">
        <w:r w:rsidR="00414884" w:rsidRPr="003B7DD0">
          <w:rPr>
            <w:rFonts w:ascii="Tahoma" w:hAnsi="Tahoma" w:cs="Tahoma"/>
            <w:sz w:val="20"/>
            <w:szCs w:val="20"/>
          </w:rPr>
          <w:t>Nacionalna strategija za preprečevanje terorizma in nasilnega ekstremizma</w:t>
        </w:r>
      </w:hyperlink>
      <w:r w:rsidR="00414884" w:rsidRPr="003B7DD0">
        <w:rPr>
          <w:rFonts w:ascii="Tahoma" w:hAnsi="Tahoma" w:cs="Tahoma"/>
          <w:sz w:val="20"/>
          <w:szCs w:val="20"/>
        </w:rPr>
        <w:t xml:space="preserve">; </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25" w:history="1">
        <w:r w:rsidR="00414884" w:rsidRPr="003B7DD0">
          <w:rPr>
            <w:rFonts w:ascii="Tahoma" w:hAnsi="Tahoma" w:cs="Tahoma"/>
            <w:sz w:val="20"/>
            <w:szCs w:val="20"/>
          </w:rPr>
          <w:t>Strategija skladnega upravljanja državne meje Republike Slovenije (IBM Strategija) 2021–2025</w:t>
        </w:r>
      </w:hyperlink>
      <w:r w:rsidR="00414884" w:rsidRPr="003B7DD0">
        <w:rPr>
          <w:rFonts w:ascii="Tahoma" w:hAnsi="Tahoma" w:cs="Tahoma"/>
          <w:sz w:val="20"/>
          <w:szCs w:val="20"/>
        </w:rPr>
        <w:t xml:space="preserve">; </w:t>
      </w:r>
    </w:p>
    <w:p w:rsidR="00414884" w:rsidRPr="003B7DD0" w:rsidRDefault="002A4B56" w:rsidP="00414884">
      <w:pPr>
        <w:pStyle w:val="Odstavekseznama"/>
        <w:numPr>
          <w:ilvl w:val="0"/>
          <w:numId w:val="2"/>
        </w:numPr>
        <w:spacing w:before="120" w:after="0" w:line="260" w:lineRule="exact"/>
        <w:contextualSpacing w:val="0"/>
        <w:jc w:val="both"/>
        <w:rPr>
          <w:rFonts w:ascii="Tahoma" w:hAnsi="Tahoma" w:cs="Tahoma"/>
          <w:sz w:val="20"/>
          <w:szCs w:val="20"/>
        </w:rPr>
      </w:pPr>
      <w:hyperlink r:id="rId26" w:history="1">
        <w:r w:rsidR="00414884" w:rsidRPr="003B7DD0">
          <w:rPr>
            <w:rFonts w:ascii="Tahoma" w:hAnsi="Tahoma" w:cs="Tahoma"/>
            <w:sz w:val="20"/>
            <w:szCs w:val="20"/>
          </w:rPr>
          <w:t>Strategija Republike Slovenije za boj proti antisemitizmu do 2033</w:t>
        </w:r>
      </w:hyperlink>
      <w:r w:rsidR="00414884" w:rsidRPr="003B7DD0">
        <w:rPr>
          <w:rFonts w:ascii="Tahoma" w:hAnsi="Tahoma" w:cs="Tahoma"/>
          <w:sz w:val="20"/>
          <w:szCs w:val="20"/>
        </w:rPr>
        <w:t>;</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27" w:history="1">
        <w:r w:rsidR="00414884" w:rsidRPr="003B7DD0">
          <w:rPr>
            <w:rFonts w:ascii="Tahoma" w:hAnsi="Tahoma" w:cs="Tahoma"/>
            <w:sz w:val="20"/>
            <w:szCs w:val="20"/>
          </w:rPr>
          <w:t>Strategija Vlade Republike Slovenije na področju priseljevanja</w:t>
        </w:r>
      </w:hyperlink>
      <w:r w:rsidR="00414884" w:rsidRPr="003B7DD0">
        <w:rPr>
          <w:rFonts w:ascii="Tahoma" w:hAnsi="Tahoma" w:cs="Tahoma"/>
          <w:sz w:val="20"/>
          <w:szCs w:val="20"/>
        </w:rPr>
        <w:t xml:space="preserve">; </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28" w:history="1">
        <w:r w:rsidR="00414884" w:rsidRPr="003B7DD0">
          <w:rPr>
            <w:rFonts w:ascii="Tahoma" w:hAnsi="Tahoma" w:cs="Tahoma"/>
            <w:sz w:val="20"/>
            <w:szCs w:val="20"/>
          </w:rPr>
          <w:t>Strategija vključevanja tujcev, ki niso državljani Evropske unije, v kulturno, gospodarsko in družbeno življenje Republike Slovenije</w:t>
        </w:r>
      </w:hyperlink>
      <w:r w:rsidR="00414884" w:rsidRPr="003B7DD0">
        <w:rPr>
          <w:rFonts w:ascii="Tahoma" w:hAnsi="Tahoma" w:cs="Tahoma"/>
          <w:sz w:val="20"/>
          <w:szCs w:val="20"/>
        </w:rPr>
        <w:t>;</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29" w:history="1">
        <w:r w:rsidR="00414884" w:rsidRPr="003B7DD0">
          <w:rPr>
            <w:rFonts w:ascii="Tahoma" w:hAnsi="Tahoma" w:cs="Tahoma"/>
            <w:sz w:val="20"/>
            <w:szCs w:val="20"/>
          </w:rPr>
          <w:t>Strategija sodelovanja Republike Slovenije v mednarodnih operacijah in misijah</w:t>
        </w:r>
      </w:hyperlink>
      <w:r w:rsidR="00414884" w:rsidRPr="003B7DD0">
        <w:rPr>
          <w:rFonts w:ascii="Tahoma" w:hAnsi="Tahoma" w:cs="Tahoma"/>
          <w:sz w:val="20"/>
          <w:szCs w:val="20"/>
        </w:rPr>
        <w:t>;</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30" w:history="1">
        <w:r w:rsidR="00414884" w:rsidRPr="003B7DD0">
          <w:rPr>
            <w:rFonts w:ascii="Tahoma" w:hAnsi="Tahoma" w:cs="Tahoma"/>
            <w:sz w:val="20"/>
            <w:szCs w:val="20"/>
          </w:rPr>
          <w:t>Strategija kibernetske varnosti</w:t>
        </w:r>
      </w:hyperlink>
      <w:r w:rsidR="00414884" w:rsidRPr="003B7DD0">
        <w:rPr>
          <w:rFonts w:ascii="Tahoma" w:hAnsi="Tahoma" w:cs="Tahoma"/>
          <w:sz w:val="20"/>
          <w:szCs w:val="20"/>
        </w:rPr>
        <w:t>;</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31" w:history="1">
        <w:r w:rsidR="00414884" w:rsidRPr="003B7DD0">
          <w:rPr>
            <w:rFonts w:ascii="Tahoma" w:hAnsi="Tahoma" w:cs="Tahoma"/>
            <w:sz w:val="20"/>
            <w:szCs w:val="20"/>
          </w:rPr>
          <w:t>Strategija digitalnih javnih storitev 2030</w:t>
        </w:r>
      </w:hyperlink>
      <w:r w:rsidR="00414884" w:rsidRPr="003B7DD0">
        <w:rPr>
          <w:rFonts w:ascii="Tahoma" w:hAnsi="Tahoma" w:cs="Tahoma"/>
          <w:sz w:val="20"/>
          <w:szCs w:val="20"/>
        </w:rPr>
        <w:t>;</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32" w:history="1">
        <w:r w:rsidR="00414884" w:rsidRPr="003B7DD0">
          <w:rPr>
            <w:rFonts w:ascii="Tahoma" w:hAnsi="Tahoma" w:cs="Tahoma"/>
            <w:sz w:val="20"/>
            <w:szCs w:val="20"/>
          </w:rPr>
          <w:t>Strategija Digitalna Slovenija 2030</w:t>
        </w:r>
      </w:hyperlink>
      <w:r w:rsidR="00414884" w:rsidRPr="003B7DD0">
        <w:rPr>
          <w:rFonts w:ascii="Tahoma" w:hAnsi="Tahoma" w:cs="Tahoma"/>
          <w:sz w:val="20"/>
          <w:szCs w:val="20"/>
        </w:rPr>
        <w:t>;</w:t>
      </w:r>
    </w:p>
    <w:p w:rsidR="00414884" w:rsidRPr="003B7DD0" w:rsidRDefault="00414884"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r w:rsidRPr="003B7DD0">
        <w:rPr>
          <w:rFonts w:ascii="Tahoma" w:hAnsi="Tahoma" w:cs="Tahoma"/>
          <w:sz w:val="20"/>
          <w:szCs w:val="20"/>
        </w:rPr>
        <w:t>Strategija razvoja informacijsko telekomunikacijskega sistema Policije 2021–2027;</w:t>
      </w:r>
    </w:p>
    <w:p w:rsidR="00414884" w:rsidRDefault="00414884" w:rsidP="00414884">
      <w:pPr>
        <w:pStyle w:val="Odstavekseznama"/>
        <w:numPr>
          <w:ilvl w:val="0"/>
          <w:numId w:val="2"/>
        </w:numPr>
        <w:spacing w:before="120" w:after="0" w:line="260" w:lineRule="exact"/>
        <w:ind w:left="714" w:hanging="357"/>
        <w:contextualSpacing w:val="0"/>
        <w:rPr>
          <w:rFonts w:ascii="Tahoma" w:hAnsi="Tahoma" w:cs="Tahoma"/>
          <w:sz w:val="20"/>
          <w:szCs w:val="20"/>
        </w:rPr>
      </w:pPr>
      <w:r w:rsidRPr="003B7DD0">
        <w:rPr>
          <w:rFonts w:ascii="Tahoma" w:hAnsi="Tahoma" w:cs="Tahoma"/>
          <w:sz w:val="20"/>
          <w:szCs w:val="20"/>
        </w:rPr>
        <w:t xml:space="preserve">Strategija razvoja Letalske policijske enote 2019–2025 številka 007-186/2016/59 (234-01) z dne 20. </w:t>
      </w:r>
      <w:r>
        <w:rPr>
          <w:rFonts w:ascii="Tahoma" w:hAnsi="Tahoma" w:cs="Tahoma"/>
          <w:sz w:val="20"/>
          <w:szCs w:val="20"/>
        </w:rPr>
        <w:t>12.</w:t>
      </w:r>
      <w:r w:rsidR="002A4B56">
        <w:rPr>
          <w:rFonts w:ascii="Tahoma" w:hAnsi="Tahoma" w:cs="Tahoma"/>
          <w:sz w:val="20"/>
          <w:szCs w:val="20"/>
        </w:rPr>
        <w:t xml:space="preserve"> 2019;</w:t>
      </w:r>
    </w:p>
    <w:p w:rsidR="002A4B56" w:rsidRPr="003B7DD0" w:rsidRDefault="002A4B56" w:rsidP="00414884">
      <w:pPr>
        <w:pStyle w:val="Odstavekseznama"/>
        <w:numPr>
          <w:ilvl w:val="0"/>
          <w:numId w:val="2"/>
        </w:numPr>
        <w:spacing w:before="120" w:after="0" w:line="260" w:lineRule="exact"/>
        <w:ind w:left="714" w:hanging="357"/>
        <w:contextualSpacing w:val="0"/>
        <w:rPr>
          <w:rFonts w:ascii="Tahoma" w:hAnsi="Tahoma" w:cs="Tahoma"/>
          <w:sz w:val="20"/>
          <w:szCs w:val="20"/>
        </w:rPr>
      </w:pPr>
      <w:r>
        <w:rPr>
          <w:rFonts w:ascii="Tahoma" w:hAnsi="Tahoma" w:cs="Tahoma"/>
          <w:sz w:val="20"/>
          <w:szCs w:val="20"/>
        </w:rPr>
        <w:t>Strategija razvoja zagotovitve plovil za potrebe pomorske policije v obdobju 2022 do 2028 številka 007-13/2022/4 (3B5-01) z dne 29. 8. 2022.</w:t>
      </w:r>
      <w:bookmarkStart w:id="2" w:name="_GoBack"/>
      <w:bookmarkEnd w:id="2"/>
    </w:p>
    <w:p w:rsidR="00414884" w:rsidRPr="003B7DD0" w:rsidRDefault="00414884" w:rsidP="00414884">
      <w:pPr>
        <w:autoSpaceDE w:val="0"/>
        <w:autoSpaceDN w:val="0"/>
        <w:adjustRightInd w:val="0"/>
        <w:spacing w:after="0" w:line="260" w:lineRule="exact"/>
        <w:ind w:left="360"/>
        <w:jc w:val="both"/>
        <w:rPr>
          <w:rFonts w:ascii="Tahoma" w:hAnsi="Tahoma" w:cs="Tahoma"/>
          <w:color w:val="0D0D0D" w:themeColor="text1" w:themeTint="F2"/>
          <w:sz w:val="20"/>
          <w:szCs w:val="20"/>
        </w:rPr>
      </w:pPr>
    </w:p>
    <w:p w:rsidR="00414884" w:rsidRPr="003B7DD0" w:rsidRDefault="00414884" w:rsidP="00414884">
      <w:pPr>
        <w:pStyle w:val="Naslov4"/>
      </w:pPr>
      <w:r w:rsidRPr="003B7DD0">
        <w:t>Načrti:</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33" w:history="1">
        <w:r w:rsidR="00414884" w:rsidRPr="003B7DD0">
          <w:rPr>
            <w:rFonts w:ascii="Tahoma" w:hAnsi="Tahoma" w:cs="Tahoma"/>
            <w:sz w:val="20"/>
            <w:szCs w:val="20"/>
          </w:rPr>
          <w:t>Načrt dela policije za leto 2024</w:t>
        </w:r>
      </w:hyperlink>
      <w:r w:rsidR="00414884" w:rsidRPr="003B7DD0">
        <w:rPr>
          <w:rFonts w:ascii="Tahoma" w:hAnsi="Tahoma" w:cs="Tahoma"/>
          <w:sz w:val="20"/>
          <w:szCs w:val="20"/>
        </w:rPr>
        <w:t>;</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34" w:history="1">
        <w:r w:rsidR="00414884" w:rsidRPr="003B7DD0">
          <w:rPr>
            <w:rFonts w:ascii="Tahoma" w:hAnsi="Tahoma" w:cs="Tahoma"/>
            <w:sz w:val="20"/>
            <w:szCs w:val="20"/>
          </w:rPr>
          <w:t>Srednjeročni načrt razvoja in dela policije za 2023–2027</w:t>
        </w:r>
      </w:hyperlink>
      <w:r w:rsidR="00414884" w:rsidRPr="003B7DD0">
        <w:rPr>
          <w:rFonts w:ascii="Tahoma" w:hAnsi="Tahoma" w:cs="Tahoma"/>
          <w:sz w:val="20"/>
          <w:szCs w:val="20"/>
        </w:rPr>
        <w:t xml:space="preserve">; </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35" w:history="1">
        <w:r w:rsidR="00414884" w:rsidRPr="003B7DD0">
          <w:rPr>
            <w:rFonts w:ascii="Tahoma" w:hAnsi="Tahoma" w:cs="Tahoma"/>
            <w:sz w:val="20"/>
            <w:szCs w:val="20"/>
          </w:rPr>
          <w:t>Akcijski načrt EU glede trgovine s strelnim orožjem za obdobje 2020–2025</w:t>
        </w:r>
      </w:hyperlink>
      <w:r w:rsidR="00414884" w:rsidRPr="003B7DD0">
        <w:rPr>
          <w:rFonts w:ascii="Tahoma" w:hAnsi="Tahoma" w:cs="Tahoma"/>
          <w:sz w:val="20"/>
          <w:szCs w:val="20"/>
        </w:rPr>
        <w:t>, 24. 7. 2020;</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36" w:history="1">
        <w:r w:rsidR="00414884" w:rsidRPr="003B7DD0">
          <w:rPr>
            <w:rFonts w:ascii="Tahoma" w:hAnsi="Tahoma" w:cs="Tahoma"/>
            <w:sz w:val="20"/>
            <w:szCs w:val="20"/>
          </w:rPr>
          <w:t>Akcijski načrt EU za boj proti tihotapljenju migrantov (2021–2025)</w:t>
        </w:r>
      </w:hyperlink>
      <w:r w:rsidR="00414884" w:rsidRPr="003B7DD0">
        <w:rPr>
          <w:rFonts w:ascii="Tahoma" w:hAnsi="Tahoma" w:cs="Tahoma"/>
          <w:sz w:val="20"/>
          <w:szCs w:val="20"/>
        </w:rPr>
        <w:t xml:space="preserve">, 29. 9. 2021; </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37" w:history="1">
        <w:r w:rsidR="00414884" w:rsidRPr="003B7DD0">
          <w:rPr>
            <w:rFonts w:ascii="Tahoma" w:hAnsi="Tahoma" w:cs="Tahoma"/>
            <w:sz w:val="20"/>
            <w:szCs w:val="20"/>
          </w:rPr>
          <w:t>Načrt EU za boj proti nedovoljenemu prometu s prepovedanimi drogami in organiziranemu kriminalu</w:t>
        </w:r>
      </w:hyperlink>
      <w:r w:rsidR="00414884" w:rsidRPr="003B7DD0">
        <w:rPr>
          <w:rFonts w:ascii="Tahoma" w:hAnsi="Tahoma" w:cs="Tahoma"/>
          <w:sz w:val="20"/>
          <w:szCs w:val="20"/>
        </w:rPr>
        <w:t>, 18. 10. 2023;</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38" w:history="1">
        <w:r w:rsidR="00414884" w:rsidRPr="003B7DD0">
          <w:rPr>
            <w:rFonts w:ascii="Tahoma" w:hAnsi="Tahoma" w:cs="Tahoma"/>
            <w:sz w:val="20"/>
            <w:szCs w:val="20"/>
          </w:rPr>
          <w:t>Akcijski načrt EU za boj proti rasizmu za obdobje 2020-2025</w:t>
        </w:r>
      </w:hyperlink>
      <w:r w:rsidR="00414884" w:rsidRPr="003B7DD0">
        <w:rPr>
          <w:rFonts w:ascii="Tahoma" w:hAnsi="Tahoma" w:cs="Tahoma"/>
          <w:sz w:val="20"/>
          <w:szCs w:val="20"/>
        </w:rPr>
        <w:t>;</w:t>
      </w:r>
    </w:p>
    <w:p w:rsidR="00414884" w:rsidRPr="003B7DD0" w:rsidRDefault="00414884"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r w:rsidRPr="003B7DD0">
        <w:rPr>
          <w:rFonts w:ascii="Tahoma" w:hAnsi="Tahoma" w:cs="Tahoma"/>
          <w:sz w:val="20"/>
          <w:szCs w:val="20"/>
        </w:rPr>
        <w:t>Akcijski načrt EU na področju drog 2021–2025</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39" w:history="1">
        <w:r w:rsidR="00414884" w:rsidRPr="003B7DD0">
          <w:rPr>
            <w:rFonts w:ascii="Tahoma" w:hAnsi="Tahoma" w:cs="Tahoma"/>
            <w:sz w:val="20"/>
            <w:szCs w:val="20"/>
          </w:rPr>
          <w:t>Akcijski načrt na področju prepovedanih drog 2024–2025</w:t>
        </w:r>
      </w:hyperlink>
      <w:r w:rsidR="00414884" w:rsidRPr="003B7DD0">
        <w:rPr>
          <w:rFonts w:ascii="Tahoma" w:hAnsi="Tahoma" w:cs="Tahoma"/>
          <w:sz w:val="20"/>
          <w:szCs w:val="20"/>
        </w:rPr>
        <w:t>;</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40" w:history="1">
        <w:r w:rsidR="00414884" w:rsidRPr="003B7DD0">
          <w:rPr>
            <w:rFonts w:ascii="Tahoma" w:hAnsi="Tahoma" w:cs="Tahoma"/>
            <w:sz w:val="20"/>
            <w:szCs w:val="20"/>
          </w:rPr>
          <w:t>Akcijski načrt za boj proti trgovini z ljudmi za obdobje 2023–2024;</w:t>
        </w:r>
      </w:hyperlink>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41" w:history="1">
        <w:r w:rsidR="00414884" w:rsidRPr="003B7DD0">
          <w:rPr>
            <w:rFonts w:ascii="Tahoma" w:hAnsi="Tahoma" w:cs="Tahoma"/>
            <w:sz w:val="20"/>
            <w:szCs w:val="20"/>
          </w:rPr>
          <w:t>Akcijski načrt za delovanje Republike Slovenije do zahodnega Balkana v letu 2024</w:t>
        </w:r>
      </w:hyperlink>
      <w:r w:rsidR="00414884" w:rsidRPr="003B7DD0">
        <w:rPr>
          <w:rFonts w:ascii="Tahoma" w:hAnsi="Tahoma" w:cs="Tahoma"/>
          <w:sz w:val="20"/>
          <w:szCs w:val="20"/>
        </w:rPr>
        <w:t xml:space="preserve">; </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42" w:history="1">
        <w:r w:rsidR="00414884" w:rsidRPr="003B7DD0">
          <w:rPr>
            <w:rFonts w:ascii="Tahoma" w:hAnsi="Tahoma" w:cs="Tahoma"/>
            <w:sz w:val="20"/>
            <w:szCs w:val="20"/>
          </w:rPr>
          <w:t>Nacionalni strateški načrt za digitalno desetletje</w:t>
        </w:r>
      </w:hyperlink>
      <w:r w:rsidR="00414884" w:rsidRPr="003B7DD0">
        <w:rPr>
          <w:rFonts w:ascii="Tahoma" w:hAnsi="Tahoma" w:cs="Tahoma"/>
          <w:sz w:val="20"/>
          <w:szCs w:val="20"/>
        </w:rPr>
        <w:t>;</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43" w:history="1">
        <w:r w:rsidR="00414884" w:rsidRPr="003B7DD0">
          <w:rPr>
            <w:rFonts w:ascii="Tahoma" w:hAnsi="Tahoma" w:cs="Tahoma"/>
            <w:sz w:val="20"/>
            <w:szCs w:val="20"/>
          </w:rPr>
          <w:t>Nacionalni izvedbeni načrt Republike Slovenije za razvoj civilnih zmogljivosti mednarodnega kriznega upravljanja</w:t>
        </w:r>
      </w:hyperlink>
      <w:r w:rsidR="00414884" w:rsidRPr="003B7DD0">
        <w:rPr>
          <w:rFonts w:ascii="Tahoma" w:hAnsi="Tahoma" w:cs="Tahoma"/>
          <w:sz w:val="20"/>
          <w:szCs w:val="20"/>
        </w:rPr>
        <w:t xml:space="preserve">; </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44" w:history="1">
        <w:r w:rsidR="00414884" w:rsidRPr="003B7DD0">
          <w:rPr>
            <w:rFonts w:ascii="Tahoma" w:hAnsi="Tahoma" w:cs="Tahoma"/>
            <w:sz w:val="20"/>
            <w:szCs w:val="20"/>
          </w:rPr>
          <w:t>Nacionalni načrt odzivanja na kibernetske incidente</w:t>
        </w:r>
      </w:hyperlink>
      <w:r w:rsidR="00414884" w:rsidRPr="003B7DD0">
        <w:rPr>
          <w:rFonts w:ascii="Tahoma" w:hAnsi="Tahoma" w:cs="Tahoma"/>
          <w:sz w:val="20"/>
          <w:szCs w:val="20"/>
        </w:rPr>
        <w:t xml:space="preserve">; </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45" w:history="1">
        <w:r w:rsidR="00414884" w:rsidRPr="003B7DD0">
          <w:rPr>
            <w:rFonts w:ascii="Tahoma" w:hAnsi="Tahoma" w:cs="Tahoma"/>
            <w:sz w:val="20"/>
            <w:szCs w:val="20"/>
          </w:rPr>
          <w:t>Državni načrt zaščite in reševanja ob potresu</w:t>
        </w:r>
      </w:hyperlink>
      <w:r w:rsidR="00414884" w:rsidRPr="003B7DD0">
        <w:rPr>
          <w:rFonts w:ascii="Tahoma" w:hAnsi="Tahoma" w:cs="Tahoma"/>
          <w:sz w:val="20"/>
          <w:szCs w:val="20"/>
        </w:rPr>
        <w:t>;</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46" w:history="1">
        <w:r w:rsidR="00414884" w:rsidRPr="003B7DD0">
          <w:rPr>
            <w:rFonts w:ascii="Tahoma" w:hAnsi="Tahoma" w:cs="Tahoma"/>
            <w:sz w:val="20"/>
            <w:szCs w:val="20"/>
          </w:rPr>
          <w:t>Državni načrt zaščite in reševanja ob poplavah</w:t>
        </w:r>
      </w:hyperlink>
      <w:r w:rsidR="00414884" w:rsidRPr="003B7DD0">
        <w:rPr>
          <w:rFonts w:ascii="Tahoma" w:hAnsi="Tahoma" w:cs="Tahoma"/>
          <w:sz w:val="20"/>
          <w:szCs w:val="20"/>
        </w:rPr>
        <w:t>;</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47" w:history="1">
        <w:r w:rsidR="00414884" w:rsidRPr="003B7DD0">
          <w:rPr>
            <w:rFonts w:ascii="Tahoma" w:hAnsi="Tahoma" w:cs="Tahoma"/>
            <w:sz w:val="20"/>
            <w:szCs w:val="20"/>
          </w:rPr>
          <w:t>Državni načrt zaščite in reševanja ob velikem požaru v naravnem okolju</w:t>
        </w:r>
      </w:hyperlink>
      <w:r w:rsidR="00414884" w:rsidRPr="003B7DD0">
        <w:rPr>
          <w:rFonts w:ascii="Tahoma" w:hAnsi="Tahoma" w:cs="Tahoma"/>
          <w:sz w:val="20"/>
          <w:szCs w:val="20"/>
        </w:rPr>
        <w:t>;</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48" w:history="1">
        <w:r w:rsidR="00414884" w:rsidRPr="003B7DD0">
          <w:rPr>
            <w:rFonts w:ascii="Tahoma" w:hAnsi="Tahoma" w:cs="Tahoma"/>
            <w:sz w:val="20"/>
            <w:szCs w:val="20"/>
          </w:rPr>
          <w:t>Državni načrt zaščite in reševanja ob jedrski in radiološki nesreči</w:t>
        </w:r>
      </w:hyperlink>
      <w:r w:rsidR="00414884" w:rsidRPr="003B7DD0">
        <w:rPr>
          <w:rFonts w:ascii="Tahoma" w:hAnsi="Tahoma" w:cs="Tahoma"/>
          <w:sz w:val="20"/>
          <w:szCs w:val="20"/>
        </w:rPr>
        <w:t>;</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49" w:history="1">
        <w:r w:rsidR="00414884" w:rsidRPr="003B7DD0">
          <w:rPr>
            <w:rFonts w:ascii="Tahoma" w:hAnsi="Tahoma" w:cs="Tahoma"/>
            <w:sz w:val="20"/>
            <w:szCs w:val="20"/>
          </w:rPr>
          <w:t>Državni načrt zaščite in reševanja ob nesreči na morju</w:t>
        </w:r>
      </w:hyperlink>
      <w:r w:rsidR="00414884" w:rsidRPr="003B7DD0">
        <w:rPr>
          <w:rFonts w:ascii="Tahoma" w:hAnsi="Tahoma" w:cs="Tahoma"/>
          <w:sz w:val="20"/>
          <w:szCs w:val="20"/>
        </w:rPr>
        <w:t xml:space="preserve">; </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50" w:history="1">
        <w:r w:rsidR="00414884" w:rsidRPr="003B7DD0">
          <w:rPr>
            <w:rFonts w:ascii="Tahoma" w:hAnsi="Tahoma" w:cs="Tahoma"/>
            <w:sz w:val="20"/>
            <w:szCs w:val="20"/>
          </w:rPr>
          <w:t>Državni načrt zaščite in reševanja ob železniški nesreči;</w:t>
        </w:r>
      </w:hyperlink>
      <w:r w:rsidR="00414884" w:rsidRPr="003B7DD0">
        <w:rPr>
          <w:rFonts w:ascii="Tahoma" w:hAnsi="Tahoma" w:cs="Tahoma"/>
          <w:sz w:val="20"/>
          <w:szCs w:val="20"/>
        </w:rPr>
        <w:t xml:space="preserve"> </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51" w:history="1">
        <w:r w:rsidR="00414884" w:rsidRPr="003B7DD0">
          <w:rPr>
            <w:rFonts w:ascii="Tahoma" w:hAnsi="Tahoma" w:cs="Tahoma"/>
            <w:sz w:val="20"/>
            <w:szCs w:val="20"/>
          </w:rPr>
          <w:t>Državni načrt zaščite in reševanja ob pojavu epidemije oziroma pandemije nalezljive bolezni pri ljudeh</w:t>
        </w:r>
      </w:hyperlink>
      <w:r w:rsidR="00414884" w:rsidRPr="003B7DD0">
        <w:rPr>
          <w:rFonts w:ascii="Tahoma" w:hAnsi="Tahoma" w:cs="Tahoma"/>
          <w:sz w:val="20"/>
          <w:szCs w:val="20"/>
        </w:rPr>
        <w:t xml:space="preserve">; </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52" w:history="1">
        <w:r w:rsidR="00414884" w:rsidRPr="003B7DD0">
          <w:rPr>
            <w:rFonts w:ascii="Tahoma" w:hAnsi="Tahoma" w:cs="Tahoma"/>
            <w:sz w:val="20"/>
            <w:szCs w:val="20"/>
          </w:rPr>
          <w:t>Državni načrt zaščite in reševanja ob uporabi orožja ali sredstev za množično uničevanje v teroristične namene oziroma ob terorističnem napadu s klasičnimi sredstvi</w:t>
        </w:r>
      </w:hyperlink>
      <w:r w:rsidR="00414884" w:rsidRPr="003B7DD0">
        <w:rPr>
          <w:rFonts w:ascii="Tahoma" w:hAnsi="Tahoma" w:cs="Tahoma"/>
          <w:sz w:val="20"/>
          <w:szCs w:val="20"/>
        </w:rPr>
        <w:t>;</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53" w:history="1">
        <w:r w:rsidR="00414884" w:rsidRPr="003B7DD0">
          <w:rPr>
            <w:rFonts w:ascii="Tahoma" w:hAnsi="Tahoma" w:cs="Tahoma"/>
            <w:sz w:val="20"/>
            <w:szCs w:val="20"/>
          </w:rPr>
          <w:t>Državni načrt zaščite in reševanja ob nesreči zrakoplova</w:t>
        </w:r>
      </w:hyperlink>
      <w:r w:rsidR="00414884" w:rsidRPr="003B7DD0">
        <w:rPr>
          <w:rFonts w:ascii="Tahoma" w:hAnsi="Tahoma" w:cs="Tahoma"/>
          <w:sz w:val="20"/>
          <w:szCs w:val="20"/>
        </w:rPr>
        <w:t xml:space="preserve">; </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54" w:history="1">
        <w:r w:rsidR="00414884" w:rsidRPr="003B7DD0">
          <w:rPr>
            <w:rFonts w:ascii="Tahoma" w:hAnsi="Tahoma" w:cs="Tahoma"/>
            <w:sz w:val="20"/>
            <w:szCs w:val="20"/>
          </w:rPr>
          <w:t>Načrt za okrevanje in odpornost</w:t>
        </w:r>
      </w:hyperlink>
      <w:r w:rsidR="00414884" w:rsidRPr="003B7DD0">
        <w:rPr>
          <w:rFonts w:ascii="Tahoma" w:hAnsi="Tahoma" w:cs="Tahoma"/>
          <w:sz w:val="20"/>
          <w:szCs w:val="20"/>
        </w:rPr>
        <w:t>, Služba vlade Republike Slovenije za razvoj in evropsko kohezijsko politiko, april 2021;</w:t>
      </w:r>
    </w:p>
    <w:p w:rsidR="00414884" w:rsidRPr="003B7DD0" w:rsidRDefault="00414884"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r w:rsidRPr="003B7DD0">
        <w:rPr>
          <w:rFonts w:ascii="Tahoma" w:hAnsi="Tahoma" w:cs="Tahoma"/>
          <w:sz w:val="20"/>
          <w:szCs w:val="20"/>
        </w:rPr>
        <w:t>Akcijski načrt za vzdrževanje javnega reda in miru na območjih z večetnično skupnostjo, št. 223-3/2021/8, 3. 3. 2021;</w:t>
      </w:r>
    </w:p>
    <w:p w:rsidR="00414884" w:rsidRPr="003B7DD0" w:rsidRDefault="00414884"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r w:rsidRPr="003B7DD0">
        <w:rPr>
          <w:rFonts w:ascii="Tahoma" w:hAnsi="Tahoma" w:cs="Tahoma"/>
          <w:sz w:val="20"/>
          <w:szCs w:val="20"/>
        </w:rPr>
        <w:t>Izvedbeni načrt dela policije na področju trgovine z ljudmi 2024</w:t>
      </w:r>
      <w:r>
        <w:rPr>
          <w:rFonts w:ascii="Tahoma" w:hAnsi="Tahoma" w:cs="Tahoma"/>
          <w:sz w:val="20"/>
          <w:szCs w:val="20"/>
        </w:rPr>
        <w:t>.</w:t>
      </w:r>
    </w:p>
    <w:p w:rsidR="00414884" w:rsidRPr="003B7DD0" w:rsidRDefault="00414884" w:rsidP="00414884">
      <w:pPr>
        <w:autoSpaceDE w:val="0"/>
        <w:autoSpaceDN w:val="0"/>
        <w:adjustRightInd w:val="0"/>
        <w:spacing w:after="0" w:line="260" w:lineRule="exact"/>
        <w:ind w:left="360"/>
        <w:jc w:val="both"/>
        <w:rPr>
          <w:rFonts w:ascii="Tahoma" w:hAnsi="Tahoma" w:cs="Tahoma"/>
          <w:color w:val="0D0D0D" w:themeColor="text1" w:themeTint="F2"/>
          <w:sz w:val="20"/>
          <w:szCs w:val="20"/>
        </w:rPr>
      </w:pPr>
    </w:p>
    <w:p w:rsidR="00414884" w:rsidRPr="003B7DD0" w:rsidRDefault="00414884" w:rsidP="00414884">
      <w:pPr>
        <w:pStyle w:val="Naslov4"/>
      </w:pPr>
      <w:r w:rsidRPr="003B7DD0">
        <w:t>Agende, priporočila, uredbe, direktive, poročila, vprašalniki, projekti, programi, vizije, konvencije:</w:t>
      </w:r>
    </w:p>
    <w:p w:rsidR="00414884" w:rsidRPr="003B7DD0" w:rsidRDefault="00414884"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r w:rsidRPr="003B7DD0">
        <w:rPr>
          <w:rFonts w:ascii="Tahoma" w:hAnsi="Tahoma" w:cs="Tahoma"/>
          <w:sz w:val="20"/>
          <w:szCs w:val="20"/>
        </w:rPr>
        <w:t>Priporočilo Sveta (EU) 2022/915 z dne 9. junija 2022 o operativnem sodelovanju na področju preprečevanja, odkrivanja in preiskovanja kaznivih dejanj;</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55" w:history="1">
        <w:r w:rsidR="00414884" w:rsidRPr="003B7DD0">
          <w:rPr>
            <w:rFonts w:ascii="Tahoma" w:hAnsi="Tahoma" w:cs="Tahoma"/>
            <w:sz w:val="20"/>
            <w:szCs w:val="20"/>
          </w:rPr>
          <w:t>Agenda in akcijski načrt EU za boj proti drogam za obdobje 2021–2025</w:t>
        </w:r>
      </w:hyperlink>
      <w:r w:rsidR="00414884" w:rsidRPr="003B7DD0">
        <w:rPr>
          <w:rFonts w:ascii="Tahoma" w:hAnsi="Tahoma" w:cs="Tahoma"/>
          <w:sz w:val="20"/>
          <w:szCs w:val="20"/>
        </w:rPr>
        <w:t>, 24. 7. 2020;</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56" w:history="1">
        <w:r w:rsidR="00414884" w:rsidRPr="003B7DD0">
          <w:rPr>
            <w:rFonts w:ascii="Tahoma" w:hAnsi="Tahoma" w:cs="Tahoma"/>
            <w:sz w:val="20"/>
            <w:szCs w:val="20"/>
          </w:rPr>
          <w:t>Agenda EU za boj proti terorizmu: predvidevanje, preprečevanje, zaščita in odzivanje</w:t>
        </w:r>
      </w:hyperlink>
      <w:r w:rsidR="00414884" w:rsidRPr="003B7DD0">
        <w:rPr>
          <w:rFonts w:ascii="Tahoma" w:hAnsi="Tahoma" w:cs="Tahoma"/>
          <w:sz w:val="20"/>
          <w:szCs w:val="20"/>
        </w:rPr>
        <w:t xml:space="preserve">, 9. 12. 2020; </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57" w:history="1">
        <w:r w:rsidR="00414884" w:rsidRPr="003B7DD0">
          <w:rPr>
            <w:rFonts w:ascii="Tahoma" w:hAnsi="Tahoma" w:cs="Tahoma"/>
            <w:sz w:val="20"/>
            <w:szCs w:val="20"/>
          </w:rPr>
          <w:t>Priporočila za preprečevanje sovražnega govora</w:t>
        </w:r>
      </w:hyperlink>
      <w:r w:rsidR="00414884" w:rsidRPr="003B7DD0">
        <w:rPr>
          <w:rFonts w:ascii="Tahoma" w:hAnsi="Tahoma" w:cs="Tahoma"/>
          <w:sz w:val="20"/>
          <w:szCs w:val="20"/>
        </w:rPr>
        <w:t>, Strateški svet za preprečevanje sovražnega govora, 2023;</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58" w:history="1">
        <w:r w:rsidR="00414884" w:rsidRPr="003B7DD0">
          <w:rPr>
            <w:rFonts w:ascii="Tahoma" w:hAnsi="Tahoma" w:cs="Tahoma"/>
            <w:sz w:val="20"/>
            <w:szCs w:val="20"/>
          </w:rPr>
          <w:t>Predlog uredbe Evropskega parlamenta in Sveta o krepitvi policijskega sodelovanja v zvezi s preprečevanjem, odkrivanjem in preiskovanjem tihotapljenja migrantov in trgovine z ljudmi, o okrepitvi Europolove podpore pri preprečevanju teh kaznivih dejanj in boju proti njim ter spremembi Uredbe (EU) 2016/794</w:t>
        </w:r>
      </w:hyperlink>
      <w:r w:rsidR="00414884" w:rsidRPr="003B7DD0">
        <w:rPr>
          <w:rFonts w:ascii="Tahoma" w:hAnsi="Tahoma" w:cs="Tahoma"/>
          <w:sz w:val="20"/>
          <w:szCs w:val="20"/>
        </w:rPr>
        <w:t>;</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59" w:history="1">
        <w:r w:rsidR="00414884" w:rsidRPr="003B7DD0">
          <w:rPr>
            <w:rFonts w:ascii="Tahoma" w:hAnsi="Tahoma" w:cs="Tahoma"/>
            <w:sz w:val="20"/>
            <w:szCs w:val="20"/>
          </w:rPr>
          <w:t>Direktiva 2011/36/EU Evropskega parlamenta in Sveta z dne 5. aprila 2011 o preprečevanju trgovine z ljudmi in boju proti njej ter zaščiti njenih žrtev in o nadomestitvi Okvirnega sklepa Sveta 2002/629/PNZ</w:t>
        </w:r>
      </w:hyperlink>
      <w:r w:rsidR="00414884" w:rsidRPr="003B7DD0">
        <w:rPr>
          <w:rFonts w:ascii="Tahoma" w:hAnsi="Tahoma" w:cs="Tahoma"/>
          <w:sz w:val="20"/>
          <w:szCs w:val="20"/>
        </w:rPr>
        <w:t xml:space="preserve">; </w:t>
      </w:r>
    </w:p>
    <w:p w:rsidR="00414884" w:rsidRPr="003B7DD0" w:rsidRDefault="00414884"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r w:rsidRPr="003B7DD0">
        <w:rPr>
          <w:rFonts w:ascii="Tahoma" w:hAnsi="Tahoma" w:cs="Tahoma"/>
          <w:sz w:val="20"/>
          <w:szCs w:val="20"/>
        </w:rPr>
        <w:t xml:space="preserve">Letno poročilo o aktivnostih GRETA za vsako leto posebej – </w:t>
      </w:r>
      <w:hyperlink r:id="rId60" w:history="1">
        <w:r w:rsidRPr="003B7DD0">
          <w:rPr>
            <w:rFonts w:ascii="Tahoma" w:hAnsi="Tahoma" w:cs="Tahoma"/>
            <w:sz w:val="20"/>
            <w:szCs w:val="20"/>
          </w:rPr>
          <w:t>Poročilo GRETA 2023 SLO</w:t>
        </w:r>
      </w:hyperlink>
      <w:r w:rsidRPr="003B7DD0">
        <w:rPr>
          <w:rFonts w:ascii="Tahoma" w:hAnsi="Tahoma" w:cs="Tahoma"/>
          <w:sz w:val="20"/>
          <w:szCs w:val="20"/>
        </w:rPr>
        <w:t xml:space="preserve">; </w:t>
      </w:r>
    </w:p>
    <w:p w:rsidR="00414884" w:rsidRPr="003B7DD0" w:rsidRDefault="00414884"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r w:rsidRPr="003B7DD0">
        <w:rPr>
          <w:rFonts w:ascii="Tahoma" w:hAnsi="Tahoma" w:cs="Tahoma"/>
          <w:sz w:val="20"/>
          <w:szCs w:val="20"/>
        </w:rPr>
        <w:t xml:space="preserve">Poročilo ameriškega zunanjega ministrstva o trgovini z ljudmi vsako leto – (primeroma </w:t>
      </w:r>
      <w:hyperlink r:id="rId61" w:history="1">
        <w:r w:rsidRPr="003B7DD0">
          <w:rPr>
            <w:rFonts w:ascii="Tahoma" w:hAnsi="Tahoma" w:cs="Tahoma"/>
            <w:sz w:val="20"/>
            <w:szCs w:val="20"/>
          </w:rPr>
          <w:t>Poročilo o trgovini z ljudmi 2016</w:t>
        </w:r>
      </w:hyperlink>
      <w:r w:rsidRPr="003B7DD0">
        <w:rPr>
          <w:rFonts w:ascii="Tahoma" w:hAnsi="Tahoma" w:cs="Tahoma"/>
          <w:sz w:val="20"/>
          <w:szCs w:val="20"/>
        </w:rPr>
        <w:t xml:space="preserve">); </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62" w:history="1">
        <w:r w:rsidR="00414884" w:rsidRPr="003B7DD0">
          <w:rPr>
            <w:rFonts w:ascii="Tahoma" w:hAnsi="Tahoma" w:cs="Tahoma"/>
            <w:sz w:val="20"/>
            <w:szCs w:val="20"/>
          </w:rPr>
          <w:t>Predlog Uredbe Evropskega parlamenta in Sveta o prepovedi proizvodov, proizvedenih s prisilnim delom na trgu Unije (13. 3. 2024) – EN jezik</w:t>
        </w:r>
      </w:hyperlink>
      <w:r w:rsidR="00414884" w:rsidRPr="003B7DD0">
        <w:rPr>
          <w:rFonts w:ascii="Tahoma" w:hAnsi="Tahoma" w:cs="Tahoma"/>
          <w:sz w:val="20"/>
          <w:szCs w:val="20"/>
        </w:rPr>
        <w:t xml:space="preserve">; </w:t>
      </w:r>
    </w:p>
    <w:p w:rsidR="00414884" w:rsidRPr="003B7DD0" w:rsidRDefault="00414884"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r w:rsidRPr="003B7DD0">
        <w:rPr>
          <w:rFonts w:ascii="Tahoma" w:hAnsi="Tahoma" w:cs="Tahoma"/>
          <w:sz w:val="20"/>
          <w:szCs w:val="20"/>
        </w:rPr>
        <w:t>Nacionalni</w:t>
      </w:r>
      <w:hyperlink r:id="rId63" w:history="1">
        <w:r w:rsidRPr="003B7DD0">
          <w:rPr>
            <w:rFonts w:ascii="Tahoma" w:hAnsi="Tahoma" w:cs="Tahoma"/>
            <w:sz w:val="20"/>
            <w:szCs w:val="20"/>
          </w:rPr>
          <w:t xml:space="preserve"> akcijski načrt Republike Slovenije za spoštovanje človekovih pravic v gospodarstvu (NAN);</w:t>
        </w:r>
      </w:hyperlink>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64" w:history="1">
        <w:r w:rsidR="00414884" w:rsidRPr="003B7DD0">
          <w:rPr>
            <w:rFonts w:ascii="Tahoma" w:hAnsi="Tahoma" w:cs="Tahoma"/>
            <w:sz w:val="20"/>
            <w:szCs w:val="20"/>
          </w:rPr>
          <w:t>Četrto periodično Poročilo RS glede konvencije proti mučenju in drugim krutim, nečloveškim ali poniževalnim kaznim ali ravnanju</w:t>
        </w:r>
      </w:hyperlink>
      <w:r w:rsidR="00414884" w:rsidRPr="003B7DD0">
        <w:rPr>
          <w:rFonts w:ascii="Tahoma" w:hAnsi="Tahoma" w:cs="Tahoma"/>
          <w:sz w:val="20"/>
          <w:szCs w:val="20"/>
        </w:rPr>
        <w:t>;</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65" w:history="1">
        <w:r w:rsidR="00414884" w:rsidRPr="003B7DD0">
          <w:rPr>
            <w:rFonts w:ascii="Tahoma" w:hAnsi="Tahoma" w:cs="Tahoma"/>
            <w:sz w:val="20"/>
            <w:szCs w:val="20"/>
          </w:rPr>
          <w:t>Državni varnostni program civilnega letalstva, 2024, druga izdaja</w:t>
        </w:r>
      </w:hyperlink>
      <w:r w:rsidR="00414884" w:rsidRPr="003B7DD0">
        <w:rPr>
          <w:rFonts w:ascii="Tahoma" w:hAnsi="Tahoma" w:cs="Tahoma"/>
          <w:sz w:val="20"/>
          <w:szCs w:val="20"/>
        </w:rPr>
        <w:t xml:space="preserve">; </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66" w:history="1">
        <w:r w:rsidR="00414884" w:rsidRPr="003B7DD0">
          <w:rPr>
            <w:rFonts w:ascii="Tahoma" w:hAnsi="Tahoma" w:cs="Tahoma"/>
            <w:sz w:val="20"/>
            <w:szCs w:val="20"/>
          </w:rPr>
          <w:t>Zakon o ratifikaciji Sporazuma med Vlado Republike Slovenije in Vlado Republike Makedonije o policijskem sodelovanju (BMKSPS), Uradni list RS, št. 80/2015;</w:t>
        </w:r>
      </w:hyperlink>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67" w:history="1">
        <w:r w:rsidR="00414884" w:rsidRPr="003B7DD0">
          <w:rPr>
            <w:rFonts w:ascii="Tahoma" w:hAnsi="Tahoma" w:cs="Tahoma"/>
            <w:sz w:val="20"/>
            <w:szCs w:val="20"/>
          </w:rPr>
          <w:t>Nacionalni program ukrepov Vlade Republike Slovenije za Rome za obdobje 2021–2030 (NPUR 2021–2030</w:t>
        </w:r>
      </w:hyperlink>
      <w:r w:rsidR="00414884" w:rsidRPr="003B7DD0">
        <w:rPr>
          <w:rFonts w:ascii="Tahoma" w:hAnsi="Tahoma" w:cs="Tahoma"/>
          <w:sz w:val="20"/>
          <w:szCs w:val="20"/>
        </w:rPr>
        <w:t>), 23. 12. 2021;</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68" w:history="1">
        <w:r w:rsidR="00414884" w:rsidRPr="003B7DD0">
          <w:rPr>
            <w:rFonts w:ascii="Tahoma" w:hAnsi="Tahoma" w:cs="Tahoma"/>
            <w:sz w:val="20"/>
            <w:szCs w:val="20"/>
          </w:rPr>
          <w:t>Dunajska konvencija o diplomatskih odnosih</w:t>
        </w:r>
      </w:hyperlink>
      <w:r w:rsidR="00414884" w:rsidRPr="003B7DD0">
        <w:rPr>
          <w:rFonts w:ascii="Tahoma" w:hAnsi="Tahoma" w:cs="Tahoma"/>
          <w:sz w:val="20"/>
          <w:szCs w:val="20"/>
        </w:rPr>
        <w:t xml:space="preserve"> (sestavljena na Dunaju, 18. 4. 1961);</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69" w:history="1">
        <w:r w:rsidR="00414884" w:rsidRPr="003B7DD0">
          <w:rPr>
            <w:rFonts w:ascii="Tahoma" w:hAnsi="Tahoma" w:cs="Tahoma"/>
            <w:sz w:val="20"/>
            <w:szCs w:val="20"/>
          </w:rPr>
          <w:t>Dunajska konvencija o konzularnih odnosih</w:t>
        </w:r>
      </w:hyperlink>
      <w:r w:rsidR="00414884" w:rsidRPr="003B7DD0">
        <w:rPr>
          <w:rFonts w:ascii="Tahoma" w:hAnsi="Tahoma" w:cs="Tahoma"/>
          <w:sz w:val="20"/>
          <w:szCs w:val="20"/>
        </w:rPr>
        <w:t xml:space="preserve"> (sestavljena na Dunaju 24. 4. 1963);</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70" w:history="1">
        <w:r w:rsidR="00414884" w:rsidRPr="003B7DD0">
          <w:rPr>
            <w:rFonts w:ascii="Tahoma" w:hAnsi="Tahoma" w:cs="Tahoma"/>
            <w:sz w:val="20"/>
            <w:szCs w:val="20"/>
          </w:rPr>
          <w:t>Ravnanje s starejšimi zaposlenimi in talenti v evropskih javnih upravah (Poročilo, ki ga je OECD pripravil za slovensko predsedovanje Svetu Evropske unije), oktober 2021</w:t>
        </w:r>
      </w:hyperlink>
      <w:r w:rsidR="00414884" w:rsidRPr="003B7DD0">
        <w:rPr>
          <w:rFonts w:ascii="Tahoma" w:hAnsi="Tahoma" w:cs="Tahoma"/>
          <w:sz w:val="20"/>
          <w:szCs w:val="20"/>
        </w:rPr>
        <w:t>;</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71" w:history="1">
        <w:r w:rsidR="00414884" w:rsidRPr="003B7DD0">
          <w:rPr>
            <w:rFonts w:ascii="Tahoma" w:hAnsi="Tahoma" w:cs="Tahoma"/>
            <w:sz w:val="20"/>
            <w:szCs w:val="20"/>
          </w:rPr>
          <w:t>Peti krog ocenjevanja, Preprečevanje korupcije in spodbujanje integritete v državni upravi (najvišji nosilci izvršilne veje oblasti) in organih odkrivanja in pregona, Poročilo o izpolnjevanju priporočil, sprejeto na 86. Plenarnem zasedanju GRECO (Strasbourg, 26.–29. Oktober 2020)</w:t>
        </w:r>
      </w:hyperlink>
      <w:r w:rsidR="00414884" w:rsidRPr="003B7DD0">
        <w:rPr>
          <w:rFonts w:ascii="Tahoma" w:hAnsi="Tahoma" w:cs="Tahoma"/>
          <w:sz w:val="20"/>
          <w:szCs w:val="20"/>
        </w:rPr>
        <w:t>;</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72" w:history="1">
        <w:r w:rsidR="00414884" w:rsidRPr="003B7DD0">
          <w:rPr>
            <w:rFonts w:ascii="Tahoma" w:hAnsi="Tahoma" w:cs="Tahoma"/>
            <w:sz w:val="20"/>
            <w:szCs w:val="20"/>
          </w:rPr>
          <w:t>Peti krog ocenjevanja, Preprečevanje korupcije in spodbujanje integritete v državni upravi (najvišji nosilci izvršilne veje oblasti) in organih odkrivanja in pregona, Drugo poročilo o izpolnjevanju priporočil, sprejeto na 92. Plenarnem zasedanju GRECO (Strasbourg, 28. november–2. december 2022</w:t>
        </w:r>
      </w:hyperlink>
      <w:r w:rsidR="00414884" w:rsidRPr="003B7DD0">
        <w:rPr>
          <w:rFonts w:ascii="Tahoma" w:hAnsi="Tahoma" w:cs="Tahoma"/>
          <w:sz w:val="20"/>
          <w:szCs w:val="20"/>
        </w:rPr>
        <w:t>);</w:t>
      </w:r>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73" w:history="1">
        <w:r w:rsidR="00414884" w:rsidRPr="003B7DD0">
          <w:rPr>
            <w:rFonts w:ascii="Tahoma" w:hAnsi="Tahoma" w:cs="Tahoma"/>
            <w:sz w:val="20"/>
            <w:szCs w:val="20"/>
          </w:rPr>
          <w:t>Nacionalni program spodbujanja razvoja in uporabe umetne inteligence v Republiki Sloveniji do leta 2025 (NpUI);</w:t>
        </w:r>
      </w:hyperlink>
    </w:p>
    <w:p w:rsidR="00414884" w:rsidRPr="003B7DD0" w:rsidRDefault="002A4B56"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hyperlink r:id="rId74" w:history="1">
        <w:r w:rsidR="00414884" w:rsidRPr="003B7DD0">
          <w:rPr>
            <w:rFonts w:ascii="Tahoma" w:hAnsi="Tahoma" w:cs="Tahoma"/>
            <w:sz w:val="20"/>
            <w:szCs w:val="20"/>
          </w:rPr>
          <w:t>Akcijski program za invalide 2022–2030 dokument Vlade Republike Slovenije</w:t>
        </w:r>
      </w:hyperlink>
      <w:r w:rsidR="00414884" w:rsidRPr="003B7DD0">
        <w:rPr>
          <w:rFonts w:ascii="Tahoma" w:hAnsi="Tahoma" w:cs="Tahoma"/>
          <w:sz w:val="20"/>
          <w:szCs w:val="20"/>
        </w:rPr>
        <w:t xml:space="preserve">, 14. 10. 2021; </w:t>
      </w:r>
    </w:p>
    <w:p w:rsidR="00414884" w:rsidRPr="003B7DD0" w:rsidRDefault="00414884"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r w:rsidRPr="003B7DD0">
        <w:rPr>
          <w:rFonts w:ascii="Tahoma" w:hAnsi="Tahoma" w:cs="Tahoma"/>
          <w:sz w:val="20"/>
          <w:szCs w:val="20"/>
        </w:rPr>
        <w:t>Vizija razvoja in organiziranosti ITSP;</w:t>
      </w:r>
    </w:p>
    <w:p w:rsidR="00414884" w:rsidRPr="003B7DD0" w:rsidRDefault="00414884"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r w:rsidRPr="003B7DD0">
        <w:rPr>
          <w:rFonts w:ascii="Tahoma" w:hAnsi="Tahoma" w:cs="Tahoma"/>
          <w:sz w:val="20"/>
          <w:szCs w:val="20"/>
        </w:rPr>
        <w:t>Projekt dolgoročne ureditve helikopterske nujne medicinske pomoči, dok. 007-123/2023/1 (234-01), 17. </w:t>
      </w:r>
      <w:r>
        <w:rPr>
          <w:rFonts w:ascii="Tahoma" w:hAnsi="Tahoma" w:cs="Tahoma"/>
          <w:sz w:val="20"/>
          <w:szCs w:val="20"/>
        </w:rPr>
        <w:t>4.</w:t>
      </w:r>
      <w:r w:rsidRPr="003B7DD0">
        <w:rPr>
          <w:rFonts w:ascii="Tahoma" w:hAnsi="Tahoma" w:cs="Tahoma"/>
          <w:sz w:val="20"/>
          <w:szCs w:val="20"/>
        </w:rPr>
        <w:t> 2023;</w:t>
      </w:r>
    </w:p>
    <w:p w:rsidR="00414884" w:rsidRPr="003B7DD0" w:rsidRDefault="00414884"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r w:rsidRPr="003B7DD0">
        <w:rPr>
          <w:rFonts w:ascii="Tahoma" w:hAnsi="Tahoma" w:cs="Tahoma"/>
          <w:sz w:val="20"/>
          <w:szCs w:val="20"/>
        </w:rPr>
        <w:t>Revizija strategije razvoja Letalske policijske enote 2019–2025 številka 007-186/2016/63 (234-01) z dne 17. </w:t>
      </w:r>
      <w:r>
        <w:rPr>
          <w:rFonts w:ascii="Tahoma" w:hAnsi="Tahoma" w:cs="Tahoma"/>
          <w:sz w:val="20"/>
          <w:szCs w:val="20"/>
        </w:rPr>
        <w:t>6.</w:t>
      </w:r>
      <w:r w:rsidRPr="003B7DD0">
        <w:rPr>
          <w:rFonts w:ascii="Tahoma" w:hAnsi="Tahoma" w:cs="Tahoma"/>
          <w:sz w:val="20"/>
          <w:szCs w:val="20"/>
        </w:rPr>
        <w:t xml:space="preserve"> 2022; </w:t>
      </w:r>
    </w:p>
    <w:p w:rsidR="00414884" w:rsidRPr="003B7DD0" w:rsidRDefault="00414884" w:rsidP="00414884">
      <w:pPr>
        <w:pStyle w:val="Odstavekseznama"/>
        <w:numPr>
          <w:ilvl w:val="0"/>
          <w:numId w:val="2"/>
        </w:numPr>
        <w:spacing w:before="120" w:after="0" w:line="260" w:lineRule="exact"/>
        <w:ind w:left="714" w:hanging="357"/>
        <w:contextualSpacing w:val="0"/>
        <w:jc w:val="both"/>
        <w:rPr>
          <w:rFonts w:ascii="Tahoma" w:hAnsi="Tahoma" w:cs="Tahoma"/>
          <w:sz w:val="20"/>
          <w:szCs w:val="20"/>
        </w:rPr>
      </w:pPr>
      <w:r w:rsidRPr="003B7DD0">
        <w:rPr>
          <w:rFonts w:ascii="Tahoma" w:hAnsi="Tahoma" w:cs="Tahoma"/>
          <w:sz w:val="20"/>
          <w:szCs w:val="20"/>
        </w:rPr>
        <w:t>Vprašalnik posebne poročevalke ZN o prostituciji in nasilju nad ženskami</w:t>
      </w:r>
      <w:r>
        <w:rPr>
          <w:rFonts w:ascii="Tahoma" w:hAnsi="Tahoma" w:cs="Tahoma"/>
          <w:sz w:val="20"/>
          <w:szCs w:val="20"/>
        </w:rPr>
        <w:t>.</w:t>
      </w:r>
    </w:p>
    <w:p w:rsidR="00414884" w:rsidRPr="003B7DD0" w:rsidRDefault="00414884" w:rsidP="00414884">
      <w:pPr>
        <w:pStyle w:val="Odstavekseznama"/>
        <w:spacing w:after="0" w:line="260" w:lineRule="exact"/>
        <w:jc w:val="both"/>
        <w:rPr>
          <w:rFonts w:ascii="Tahoma" w:hAnsi="Tahoma" w:cs="Tahoma"/>
          <w:color w:val="0000FF"/>
          <w:sz w:val="20"/>
          <w:szCs w:val="20"/>
          <w:highlight w:val="yellow"/>
        </w:rPr>
      </w:pPr>
    </w:p>
    <w:p w:rsidR="00414884" w:rsidRPr="003B7DD0" w:rsidRDefault="00414884" w:rsidP="00414884">
      <w:pPr>
        <w:pStyle w:val="Odstavekseznama"/>
        <w:spacing w:after="0" w:line="260" w:lineRule="exact"/>
        <w:jc w:val="both"/>
        <w:rPr>
          <w:rFonts w:ascii="Tahoma" w:hAnsi="Tahoma" w:cs="Tahoma"/>
          <w:color w:val="0000FF"/>
          <w:sz w:val="20"/>
          <w:szCs w:val="20"/>
          <w:highlight w:val="yellow"/>
        </w:rPr>
      </w:pPr>
    </w:p>
    <w:p w:rsidR="00414884" w:rsidRPr="0027363E" w:rsidRDefault="00414884" w:rsidP="00414884">
      <w:pPr>
        <w:pStyle w:val="Naslov3"/>
        <w:numPr>
          <w:ilvl w:val="0"/>
          <w:numId w:val="0"/>
        </w:numPr>
        <w:spacing w:line="260" w:lineRule="exact"/>
        <w:ind w:left="714"/>
        <w:jc w:val="both"/>
        <w:rPr>
          <w:b/>
          <w:i/>
        </w:rPr>
      </w:pPr>
      <w:bookmarkStart w:id="3" w:name="_Toc165995069"/>
      <w:r w:rsidRPr="0027363E">
        <w:rPr>
          <w:b/>
          <w:i/>
        </w:rPr>
        <w:t>Strateški razvojni dokumenti tujih policij in mednarodnih varnostnih organizacij</w:t>
      </w:r>
      <w:bookmarkEnd w:id="3"/>
      <w:r w:rsidRPr="0027363E">
        <w:rPr>
          <w:rStyle w:val="Sprotnaopomba-sklic"/>
          <w:b/>
          <w:i/>
        </w:rPr>
        <w:footnoteReference w:id="1"/>
      </w:r>
    </w:p>
    <w:p w:rsidR="00414884" w:rsidRPr="003B7DD0" w:rsidRDefault="00414884" w:rsidP="00414884">
      <w:pPr>
        <w:spacing w:after="0" w:line="260" w:lineRule="exact"/>
        <w:contextualSpacing/>
        <w:jc w:val="both"/>
        <w:rPr>
          <w:rFonts w:ascii="Tahoma" w:hAnsi="Tahoma" w:cs="Tahoma"/>
          <w:color w:val="0D0D0D" w:themeColor="text1" w:themeTint="F2"/>
          <w:sz w:val="20"/>
          <w:szCs w:val="20"/>
        </w:rPr>
      </w:pPr>
    </w:p>
    <w:p w:rsidR="00414884" w:rsidRPr="003B7DD0" w:rsidRDefault="00414884" w:rsidP="00414884">
      <w:pPr>
        <w:pStyle w:val="Odstavekseznama"/>
        <w:numPr>
          <w:ilvl w:val="0"/>
          <w:numId w:val="2"/>
        </w:numPr>
        <w:spacing w:before="120" w:after="0" w:line="260" w:lineRule="exact"/>
        <w:jc w:val="both"/>
        <w:rPr>
          <w:rFonts w:ascii="Tahoma" w:hAnsi="Tahoma" w:cs="Tahoma"/>
          <w:color w:val="0D0D0D" w:themeColor="text1" w:themeTint="F2"/>
          <w:sz w:val="20"/>
          <w:szCs w:val="20"/>
        </w:rPr>
      </w:pPr>
      <w:r w:rsidRPr="003B7DD0">
        <w:rPr>
          <w:rFonts w:ascii="Tahoma" w:hAnsi="Tahoma" w:cs="Tahoma"/>
          <w:i/>
          <w:color w:val="0D0D0D" w:themeColor="text1" w:themeTint="F2"/>
          <w:sz w:val="20"/>
          <w:szCs w:val="20"/>
        </w:rPr>
        <w:t>Sicher Österreich. Strategie 2025</w:t>
      </w:r>
      <w:r w:rsidRPr="003B7DD0">
        <w:rPr>
          <w:rFonts w:ascii="Tahoma" w:hAnsi="Tahoma" w:cs="Tahoma"/>
          <w:i/>
          <w:color w:val="0D0D0D" w:themeColor="text1" w:themeTint="F2"/>
          <w:sz w:val="20"/>
          <w:szCs w:val="20"/>
        </w:rPr>
        <w:sym w:font="Symbol" w:char="F07C"/>
      </w:r>
      <w:r w:rsidRPr="003B7DD0">
        <w:rPr>
          <w:rFonts w:ascii="Tahoma" w:hAnsi="Tahoma" w:cs="Tahoma"/>
          <w:i/>
          <w:color w:val="0D0D0D" w:themeColor="text1" w:themeTint="F2"/>
          <w:sz w:val="20"/>
          <w:szCs w:val="20"/>
        </w:rPr>
        <w:t xml:space="preserve"> Vision 2030</w:t>
      </w:r>
      <w:r w:rsidRPr="003B7DD0">
        <w:rPr>
          <w:rFonts w:ascii="Tahoma" w:hAnsi="Tahoma" w:cs="Tahoma"/>
          <w:color w:val="0D0D0D" w:themeColor="text1" w:themeTint="F2"/>
          <w:sz w:val="20"/>
          <w:szCs w:val="20"/>
        </w:rPr>
        <w:t>. Dokument Varna Avstrija, ki je bil sprejet 2021, vključuje oceno obstoječega stanja varnosti v Avstriji. Sama strategija vsebuje vizijo do leta 2030 in izpostavlja naslednja strateška področja za učinkovito zagotavljanje varnosti v Avstriji, zaščiti ljudi in povečanju odpornosti Avstrije:</w:t>
      </w:r>
    </w:p>
    <w:p w:rsidR="00414884" w:rsidRPr="003B7DD0" w:rsidRDefault="00414884" w:rsidP="00414884">
      <w:pPr>
        <w:pStyle w:val="Odstavekseznama"/>
        <w:numPr>
          <w:ilvl w:val="0"/>
          <w:numId w:val="5"/>
        </w:numPr>
        <w:spacing w:before="120" w:after="0" w:line="260" w:lineRule="exact"/>
        <w:ind w:left="1434" w:hanging="357"/>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učinkovito preprečevanje in boj proti kriminalu,</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zagotoviti, da bo varno po vsej državi (tudi v partnerstvu z drugimi deležniki),</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dosledno izvajati politike na področju azila, migracij in vračanja,</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preprečevati in odločno boriti se proti ekstremizmu in terorizmu,</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spodbujati digitalizacijo in povečati kibernetsko varnost,</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učinkovito obvladovati krize in nesreče: narediti Avstrijo bolj odporno in</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zagotoviti optimalno organizacija in motivirane zaposlene;</w:t>
      </w:r>
    </w:p>
    <w:p w:rsidR="00414884" w:rsidRPr="003B7DD0" w:rsidRDefault="00414884" w:rsidP="00414884">
      <w:pPr>
        <w:pStyle w:val="Odstavekseznama"/>
        <w:numPr>
          <w:ilvl w:val="0"/>
          <w:numId w:val="2"/>
        </w:numPr>
        <w:spacing w:before="120" w:after="0" w:line="260" w:lineRule="exact"/>
        <w:ind w:left="714" w:hanging="357"/>
        <w:contextualSpacing w:val="0"/>
        <w:jc w:val="both"/>
        <w:rPr>
          <w:rFonts w:ascii="Tahoma" w:hAnsi="Tahoma" w:cs="Tahoma"/>
          <w:color w:val="0D0D0D" w:themeColor="text1" w:themeTint="F2"/>
          <w:sz w:val="20"/>
          <w:szCs w:val="20"/>
        </w:rPr>
      </w:pPr>
      <w:r w:rsidRPr="003B7DD0">
        <w:rPr>
          <w:rFonts w:ascii="Tahoma" w:hAnsi="Tahoma" w:cs="Tahoma"/>
          <w:i/>
          <w:color w:val="0D0D0D" w:themeColor="text1" w:themeTint="F2"/>
          <w:sz w:val="20"/>
          <w:szCs w:val="20"/>
        </w:rPr>
        <w:t>Cyprus Police Reform Program</w:t>
      </w:r>
      <w:r w:rsidRPr="003B7DD0">
        <w:rPr>
          <w:rFonts w:ascii="Tahoma" w:hAnsi="Tahoma" w:cs="Tahoma"/>
          <w:color w:val="0D0D0D" w:themeColor="text1" w:themeTint="F2"/>
          <w:sz w:val="20"/>
          <w:szCs w:val="20"/>
        </w:rPr>
        <w:t>, ki poteka od septembra 2020 do 2025 in vključuje naslednje projekte:</w:t>
      </w:r>
    </w:p>
    <w:p w:rsidR="00414884" w:rsidRPr="003B7DD0" w:rsidRDefault="00414884" w:rsidP="00414884">
      <w:pPr>
        <w:pStyle w:val="Odstavekseznama"/>
        <w:numPr>
          <w:ilvl w:val="0"/>
          <w:numId w:val="5"/>
        </w:numPr>
        <w:spacing w:before="120" w:after="0" w:line="260" w:lineRule="exact"/>
        <w:ind w:left="1434" w:hanging="357"/>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Vzpostavitev centra C3 – poveljevanje, nadzor in komunikacija,</w:t>
      </w:r>
      <w:r>
        <w:rPr>
          <w:rFonts w:ascii="Tahoma" w:hAnsi="Tahoma" w:cs="Tahoma"/>
          <w:color w:val="0D0D0D" w:themeColor="text1" w:themeTint="F2"/>
          <w:sz w:val="20"/>
          <w:szCs w:val="20"/>
        </w:rPr>
        <w:t xml:space="preserve"> </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Policijsko delo, ki ga vodi obveščevalna služba (ILP),</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Boj proti kriminalu,</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Poklicni standardi in notranja revizija,</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Direktorat za strategijo in upravljanje sprememb,</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Vloge vodij enot,</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Kadrovska služba,</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Vzpostavitev okvira za upravljanje kritičnih incidentov;</w:t>
      </w:r>
    </w:p>
    <w:p w:rsidR="00414884" w:rsidRPr="003B7DD0" w:rsidRDefault="00414884" w:rsidP="00414884">
      <w:pPr>
        <w:pStyle w:val="Odstavekseznama"/>
        <w:numPr>
          <w:ilvl w:val="0"/>
          <w:numId w:val="2"/>
        </w:numPr>
        <w:spacing w:before="120" w:after="0" w:line="260" w:lineRule="exact"/>
        <w:contextualSpacing w:val="0"/>
        <w:jc w:val="both"/>
        <w:rPr>
          <w:rFonts w:ascii="Tahoma" w:hAnsi="Tahoma" w:cs="Tahoma"/>
          <w:color w:val="0D0D0D" w:themeColor="text1" w:themeTint="F2"/>
          <w:sz w:val="20"/>
          <w:szCs w:val="20"/>
        </w:rPr>
      </w:pPr>
      <w:r w:rsidRPr="003B7DD0">
        <w:rPr>
          <w:rFonts w:ascii="Tahoma" w:hAnsi="Tahoma" w:cs="Tahoma"/>
          <w:i/>
          <w:color w:val="0D0D0D" w:themeColor="text1" w:themeTint="F2"/>
          <w:sz w:val="20"/>
          <w:szCs w:val="20"/>
        </w:rPr>
        <w:lastRenderedPageBreak/>
        <w:t>Στρατηγικό Σχέδιο Αστυνομίας 2024–2026</w:t>
      </w:r>
      <w:r w:rsidRPr="003B7DD0">
        <w:rPr>
          <w:rFonts w:ascii="Tahoma" w:hAnsi="Tahoma" w:cs="Tahoma"/>
          <w:color w:val="0D0D0D" w:themeColor="text1" w:themeTint="F2"/>
          <w:sz w:val="20"/>
          <w:szCs w:val="20"/>
        </w:rPr>
        <w:t xml:space="preserve"> (Strateški načrt policije 2024–2026), ki obsega pet strateških ciljev: </w:t>
      </w:r>
    </w:p>
    <w:p w:rsidR="00414884" w:rsidRPr="003B7DD0" w:rsidRDefault="00414884" w:rsidP="00414884">
      <w:pPr>
        <w:pStyle w:val="Odstavekseznama"/>
        <w:numPr>
          <w:ilvl w:val="0"/>
          <w:numId w:val="5"/>
        </w:numPr>
        <w:spacing w:before="120" w:after="0" w:line="260" w:lineRule="exact"/>
        <w:ind w:left="1434" w:hanging="357"/>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 xml:space="preserve">izboljšanje stopnje varnosti v cestnem prometu in izvajanje sodobne metode cestnega redarstva, </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 xml:space="preserve">boj proti terorizmu in radikalizaciji, </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 xml:space="preserve">obravnavanje klasičnih oblik kriminala, </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boj proti hudemu in organiziranemu kriminalu ter</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učinkovita mejna policija in učinkovito urejanje migracijskih vprašanj;</w:t>
      </w:r>
    </w:p>
    <w:p w:rsidR="00414884" w:rsidRPr="003B7DD0" w:rsidRDefault="00414884" w:rsidP="00414884">
      <w:pPr>
        <w:pStyle w:val="Odstavekseznama"/>
        <w:numPr>
          <w:ilvl w:val="0"/>
          <w:numId w:val="4"/>
        </w:numPr>
        <w:spacing w:before="120" w:after="0" w:line="260" w:lineRule="exact"/>
        <w:contextualSpacing w:val="0"/>
        <w:jc w:val="both"/>
        <w:rPr>
          <w:rFonts w:ascii="Tahoma" w:hAnsi="Tahoma" w:cs="Tahoma"/>
          <w:color w:val="0D0D0D" w:themeColor="text1" w:themeTint="F2"/>
          <w:sz w:val="20"/>
          <w:szCs w:val="20"/>
        </w:rPr>
      </w:pPr>
      <w:r w:rsidRPr="003B7DD0">
        <w:rPr>
          <w:rFonts w:ascii="Tahoma" w:hAnsi="Tahoma" w:cs="Tahoma"/>
          <w:i/>
          <w:color w:val="0D0D0D" w:themeColor="text1" w:themeTint="F2"/>
          <w:sz w:val="20"/>
          <w:szCs w:val="20"/>
        </w:rPr>
        <w:t>Gendarmerie Nationale 2023</w:t>
      </w:r>
      <w:r w:rsidRPr="003B7DD0">
        <w:rPr>
          <w:rFonts w:ascii="Tahoma" w:hAnsi="Tahoma" w:cs="Tahoma"/>
          <w:color w:val="0D0D0D" w:themeColor="text1" w:themeTint="F2"/>
          <w:sz w:val="20"/>
          <w:szCs w:val="20"/>
        </w:rPr>
        <w:t>, ki vsebuje izjavo generalnega direktorja žandarmerije, ključne podatke, predanosti prebivalcem Francije pri zagotavljanju varnosti in priprave na prihodnost;</w:t>
      </w:r>
    </w:p>
    <w:p w:rsidR="00414884" w:rsidRPr="003B7DD0" w:rsidRDefault="00414884" w:rsidP="00414884">
      <w:pPr>
        <w:pStyle w:val="Odstavekseznama"/>
        <w:numPr>
          <w:ilvl w:val="0"/>
          <w:numId w:val="4"/>
        </w:numPr>
        <w:spacing w:before="120" w:after="0" w:line="260" w:lineRule="exact"/>
        <w:contextualSpacing w:val="0"/>
        <w:jc w:val="both"/>
        <w:rPr>
          <w:rFonts w:ascii="Tahoma" w:hAnsi="Tahoma" w:cs="Tahoma"/>
          <w:color w:val="0D0D0D" w:themeColor="text1" w:themeTint="F2"/>
          <w:sz w:val="20"/>
          <w:szCs w:val="20"/>
        </w:rPr>
      </w:pPr>
      <w:r w:rsidRPr="003B7DD0">
        <w:rPr>
          <w:rFonts w:ascii="Tahoma" w:hAnsi="Tahoma" w:cs="Tahoma"/>
          <w:i/>
          <w:color w:val="0D0D0D" w:themeColor="text1" w:themeTint="F2"/>
          <w:sz w:val="20"/>
          <w:szCs w:val="20"/>
        </w:rPr>
        <w:t>Doctrine Applicable to the Reform the Organization and Operation of the General Management's Central and Regional Services of the National Police Project</w:t>
      </w:r>
      <w:r w:rsidRPr="003B7DD0">
        <w:rPr>
          <w:rFonts w:ascii="Tahoma" w:hAnsi="Tahoma" w:cs="Tahoma"/>
          <w:color w:val="0D0D0D" w:themeColor="text1" w:themeTint="F2"/>
          <w:sz w:val="20"/>
          <w:szCs w:val="20"/>
        </w:rPr>
        <w:t>. Dokument z dne 19. aprila 2023 določa organizacijo in delovanje oddelkov Generalnega direktorata nacionalne policije Francije, ki se reorganizirajo;</w:t>
      </w:r>
    </w:p>
    <w:p w:rsidR="00414884" w:rsidRPr="003B7DD0" w:rsidRDefault="00414884" w:rsidP="00414884">
      <w:pPr>
        <w:pStyle w:val="Odstavekseznama"/>
        <w:numPr>
          <w:ilvl w:val="0"/>
          <w:numId w:val="4"/>
        </w:numPr>
        <w:spacing w:before="120" w:after="0" w:line="260" w:lineRule="exact"/>
        <w:contextualSpacing w:val="0"/>
        <w:jc w:val="both"/>
        <w:rPr>
          <w:rFonts w:ascii="Tahoma" w:hAnsi="Tahoma" w:cs="Tahoma"/>
          <w:color w:val="0D0D0D" w:themeColor="text1" w:themeTint="F2"/>
          <w:sz w:val="20"/>
          <w:szCs w:val="20"/>
        </w:rPr>
      </w:pPr>
      <w:r w:rsidRPr="003B7DD0">
        <w:rPr>
          <w:rFonts w:ascii="Tahoma" w:hAnsi="Tahoma" w:cs="Tahoma"/>
          <w:i/>
          <w:color w:val="0D0D0D" w:themeColor="text1" w:themeTint="F2"/>
          <w:sz w:val="20"/>
          <w:szCs w:val="20"/>
        </w:rPr>
        <w:t>General Guidelines for Action of the Gendarmerie</w:t>
      </w:r>
      <w:r w:rsidRPr="003B7DD0">
        <w:rPr>
          <w:rFonts w:ascii="Tahoma" w:hAnsi="Tahoma" w:cs="Tahoma"/>
          <w:color w:val="0D0D0D" w:themeColor="text1" w:themeTint="F2"/>
          <w:sz w:val="20"/>
          <w:szCs w:val="20"/>
        </w:rPr>
        <w:t xml:space="preserve">. </w:t>
      </w:r>
      <w:r w:rsidRPr="003B7DD0">
        <w:rPr>
          <w:rFonts w:ascii="Tahoma" w:hAnsi="Tahoma" w:cs="Tahoma"/>
          <w:i/>
          <w:color w:val="0D0D0D" w:themeColor="text1" w:themeTint="F2"/>
          <w:sz w:val="20"/>
          <w:szCs w:val="20"/>
        </w:rPr>
        <w:t>Be There for the People Be There for the Police.</w:t>
      </w:r>
      <w:r w:rsidRPr="003B7DD0">
        <w:rPr>
          <w:rFonts w:ascii="Tahoma" w:hAnsi="Tahoma" w:cs="Tahoma"/>
          <w:color w:val="0D0D0D" w:themeColor="text1" w:themeTint="F2"/>
          <w:sz w:val="20"/>
          <w:szCs w:val="20"/>
        </w:rPr>
        <w:t xml:space="preserve"> V dokumentu, ki je na kratko poimenovan tudi </w:t>
      </w:r>
      <w:r w:rsidRPr="003B7DD0">
        <w:rPr>
          <w:rFonts w:ascii="Tahoma" w:hAnsi="Tahoma" w:cs="Tahoma"/>
          <w:i/>
          <w:color w:val="0D0D0D" w:themeColor="text1" w:themeTint="F2"/>
          <w:sz w:val="20"/>
          <w:szCs w:val="20"/>
        </w:rPr>
        <w:t>GEND 20.24</w:t>
      </w:r>
      <w:r w:rsidRPr="003B7DD0">
        <w:rPr>
          <w:rFonts w:ascii="Tahoma" w:hAnsi="Tahoma" w:cs="Tahoma"/>
          <w:color w:val="0D0D0D" w:themeColor="text1" w:themeTint="F2"/>
          <w:sz w:val="20"/>
          <w:szCs w:val="20"/>
        </w:rPr>
        <w:t>, so pojasnjene temeljne vrednote francoske žandarmerije in žandarja. Namenjen je tako rekrutom, ki so dolžni o teh vprašanjih razmisliti pred svojim prvim dnem na terenu, kot tudi vsem izkušenim žandarjem na vseh ravneh do generalnega direktorja francoske nacionalne žandarmerije;</w:t>
      </w:r>
    </w:p>
    <w:p w:rsidR="00414884" w:rsidRPr="003B7DD0" w:rsidRDefault="00414884" w:rsidP="00414884">
      <w:pPr>
        <w:pStyle w:val="Odstavekseznama"/>
        <w:numPr>
          <w:ilvl w:val="0"/>
          <w:numId w:val="4"/>
        </w:numPr>
        <w:spacing w:before="120" w:after="0" w:line="260" w:lineRule="exact"/>
        <w:contextualSpacing w:val="0"/>
        <w:jc w:val="both"/>
        <w:rPr>
          <w:rFonts w:ascii="Tahoma" w:hAnsi="Tahoma" w:cs="Tahoma"/>
          <w:color w:val="0D0D0D" w:themeColor="text1" w:themeTint="F2"/>
          <w:sz w:val="20"/>
          <w:szCs w:val="20"/>
        </w:rPr>
      </w:pPr>
      <w:r w:rsidRPr="003B7DD0">
        <w:rPr>
          <w:rFonts w:ascii="Tahoma" w:hAnsi="Tahoma" w:cs="Tahoma"/>
          <w:i/>
          <w:color w:val="0D0D0D" w:themeColor="text1" w:themeTint="F2"/>
          <w:sz w:val="20"/>
          <w:szCs w:val="20"/>
        </w:rPr>
        <w:t>Nacional Police Digital Transformation Plan 2022–2027</w:t>
      </w:r>
      <w:r w:rsidRPr="003B7DD0">
        <w:rPr>
          <w:rFonts w:ascii="Tahoma" w:hAnsi="Tahoma" w:cs="Tahoma"/>
          <w:color w:val="0D0D0D" w:themeColor="text1" w:themeTint="F2"/>
          <w:sz w:val="20"/>
          <w:szCs w:val="20"/>
        </w:rPr>
        <w:t>, ki pojasni digitalne ambicije francoske nacionalne policije ter opredeli ključne ukrepe za njeno digitalno preobrazbo in (organizacijski) način, kako bo te ukrepe izvedla;</w:t>
      </w:r>
    </w:p>
    <w:p w:rsidR="00414884" w:rsidRPr="003B7DD0" w:rsidRDefault="00414884" w:rsidP="00414884">
      <w:pPr>
        <w:pStyle w:val="Odstavekseznama"/>
        <w:numPr>
          <w:ilvl w:val="0"/>
          <w:numId w:val="4"/>
        </w:numPr>
        <w:spacing w:before="120" w:after="0" w:line="260" w:lineRule="exact"/>
        <w:contextualSpacing w:val="0"/>
        <w:jc w:val="both"/>
        <w:rPr>
          <w:rFonts w:ascii="Tahoma" w:hAnsi="Tahoma" w:cs="Tahoma"/>
          <w:color w:val="0D0D0D" w:themeColor="text1" w:themeTint="F2"/>
          <w:sz w:val="20"/>
          <w:szCs w:val="20"/>
        </w:rPr>
      </w:pPr>
      <w:r w:rsidRPr="003B7DD0">
        <w:rPr>
          <w:rFonts w:ascii="Tahoma" w:hAnsi="Tahoma" w:cs="Tahoma"/>
          <w:i/>
          <w:color w:val="0D0D0D" w:themeColor="text1" w:themeTint="F2"/>
          <w:sz w:val="20"/>
          <w:szCs w:val="20"/>
        </w:rPr>
        <w:t>Nacionalna razvojna strategija Republike Hrvatske do 2030. godine</w:t>
      </w:r>
      <w:r w:rsidRPr="003B7DD0">
        <w:rPr>
          <w:rFonts w:ascii="Tahoma" w:hAnsi="Tahoma" w:cs="Tahoma"/>
          <w:color w:val="0D0D0D" w:themeColor="text1" w:themeTint="F2"/>
          <w:sz w:val="20"/>
          <w:szCs w:val="20"/>
        </w:rPr>
        <w:t xml:space="preserve"> (NN 13/21, 11. 2. 2021), ki jo je potrdil hrvaški parlament vsebuje tudi varnostne izzive. Strategija vsebuje 13 (nacionalnih strateških ciljev). Z vidika zagotavljanja varnosti sta pomembna strateška cilja 3. Uspešno in učinkovito sodstvo, javna uprava in upravljanje z državnim premoženjem in 7. Varnost za stabilen razvoj. Tretji strateški cilj nagovarja tudi boj proti korupciji, v sedmega pa je vključeno med drugim krepitev notranje varnosti, boj proti radikalizmu, ekstremizmu in terorizmu ter krepitev odpornosti pred naravnimi nesrečami in izboljšanje sistema Civilne zaščite;</w:t>
      </w:r>
    </w:p>
    <w:p w:rsidR="00414884" w:rsidRPr="003B7DD0" w:rsidRDefault="00414884" w:rsidP="00414884">
      <w:pPr>
        <w:pStyle w:val="Odstavekseznama"/>
        <w:numPr>
          <w:ilvl w:val="0"/>
          <w:numId w:val="4"/>
        </w:numPr>
        <w:spacing w:before="120" w:after="0" w:line="260" w:lineRule="exact"/>
        <w:ind w:left="714" w:hanging="357"/>
        <w:contextualSpacing w:val="0"/>
        <w:jc w:val="both"/>
        <w:rPr>
          <w:rFonts w:ascii="Tahoma" w:hAnsi="Tahoma" w:cs="Tahoma"/>
          <w:color w:val="0D0D0D" w:themeColor="text1" w:themeTint="F2"/>
          <w:sz w:val="20"/>
          <w:szCs w:val="20"/>
        </w:rPr>
      </w:pPr>
      <w:r w:rsidRPr="003B7DD0">
        <w:rPr>
          <w:rFonts w:ascii="Tahoma" w:hAnsi="Tahoma" w:cs="Tahoma"/>
          <w:i/>
          <w:color w:val="0D0D0D" w:themeColor="text1" w:themeTint="F2"/>
          <w:sz w:val="20"/>
          <w:szCs w:val="20"/>
        </w:rPr>
        <w:t>Veiligheid, vertrouwen &amp; verbinding. Strategische agenda politie 2021–2025</w:t>
      </w:r>
      <w:r w:rsidRPr="003B7DD0">
        <w:rPr>
          <w:rFonts w:ascii="Tahoma" w:hAnsi="Tahoma" w:cs="Tahoma"/>
          <w:color w:val="0D0D0D" w:themeColor="text1" w:themeTint="F2"/>
          <w:sz w:val="20"/>
          <w:szCs w:val="20"/>
        </w:rPr>
        <w:t xml:space="preserve">. Strateški program določa najpomembnejše teme in usmeritve, ki jih je nizozemska policija izbrala za obdobje 2021–2025 in jih je razvrstila v tri sklope, poimenovane: </w:t>
      </w:r>
    </w:p>
    <w:p w:rsidR="00414884" w:rsidRPr="003B7DD0" w:rsidRDefault="00414884" w:rsidP="00414884">
      <w:pPr>
        <w:pStyle w:val="Odstavekseznama"/>
        <w:numPr>
          <w:ilvl w:val="0"/>
          <w:numId w:val="5"/>
        </w:numPr>
        <w:spacing w:before="120" w:after="0" w:line="260" w:lineRule="exact"/>
        <w:ind w:left="1434" w:hanging="357"/>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v središču družbe (fizična in digitalna povezanost z družbo, boj proti kriminalu, ki najbolj prizadene ljudi, posredovanje proti kriminalnim in drugim sistemom, ki ogrožajo varnost</w:t>
      </w:r>
    </w:p>
    <w:p w:rsidR="00414884" w:rsidRPr="003B7DD0" w:rsidRDefault="00414884" w:rsidP="00414884">
      <w:pPr>
        <w:pStyle w:val="Odstavekseznama"/>
        <w:spacing w:after="0" w:line="260" w:lineRule="exact"/>
        <w:ind w:left="1440"/>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 xml:space="preserve">prisotnost na digitalnem področju), </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 xml:space="preserve">z ljudmi in za ljudi (policija za vse, skrb drug za drugega, človeška razsežnost in poklicni razvoj) ter </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 xml:space="preserve">ustrezno organizirana (policija v gibanju, digitalno opremljeni in inovativni, zakonito in strokovno vodenje, prilagodljivo sodelovanje in stabilno financiranje). </w:t>
      </w:r>
    </w:p>
    <w:p w:rsidR="00414884" w:rsidRPr="003B7DD0" w:rsidRDefault="00414884" w:rsidP="00414884">
      <w:pPr>
        <w:pStyle w:val="Odstavekseznama"/>
        <w:spacing w:before="120"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Strateška agenda služi nizozemski policiji kot podlaga pri pripravi utemeljitev in nadaljnjih načrtov, in sicer da je to celostno in v medsebojni skladnosti;</w:t>
      </w:r>
    </w:p>
    <w:p w:rsidR="00414884" w:rsidRPr="003B7DD0" w:rsidRDefault="00414884" w:rsidP="00414884">
      <w:pPr>
        <w:pStyle w:val="Odstavekseznama"/>
        <w:numPr>
          <w:ilvl w:val="0"/>
          <w:numId w:val="4"/>
        </w:numPr>
        <w:spacing w:before="120" w:after="0" w:line="260" w:lineRule="exact"/>
        <w:ind w:left="714" w:hanging="357"/>
        <w:contextualSpacing w:val="0"/>
        <w:jc w:val="both"/>
        <w:rPr>
          <w:rFonts w:ascii="Tahoma" w:hAnsi="Tahoma" w:cs="Tahoma"/>
          <w:color w:val="0D0D0D" w:themeColor="text1" w:themeTint="F2"/>
          <w:sz w:val="20"/>
          <w:szCs w:val="20"/>
        </w:rPr>
      </w:pPr>
      <w:r w:rsidRPr="003B7DD0">
        <w:rPr>
          <w:rFonts w:ascii="Tahoma" w:hAnsi="Tahoma" w:cs="Tahoma"/>
          <w:i/>
          <w:color w:val="0D0D0D" w:themeColor="text1" w:themeTint="F2"/>
          <w:sz w:val="20"/>
          <w:szCs w:val="20"/>
        </w:rPr>
        <w:t xml:space="preserve">Invia fedpol 2024–27. </w:t>
      </w:r>
      <w:r w:rsidRPr="003B7DD0">
        <w:rPr>
          <w:rFonts w:ascii="Tahoma" w:hAnsi="Tahoma" w:cs="Tahoma"/>
          <w:color w:val="0D0D0D" w:themeColor="text1" w:themeTint="F2"/>
          <w:sz w:val="20"/>
          <w:szCs w:val="20"/>
        </w:rPr>
        <w:t>Poslanstvo švicarske federalne policije (fedpola) je boj proti terorizmu, nasilnemu ekstremizmu, organiziranemu kriminalu, drugim oblikam hudih kaznivih dejanj in gospodarskemu kriminalu, ne le v Švici, temveč tudi meddržavno. Fedpol zagotavlja tudi varnost ljudi in premoženja pod zvezno in mednarodno zaščito ter je odgovoren za nacionalno in mednarodno policijsko sodelovanje in izmenjavo informacij. Tako ima ključno vlogo pri zagotavljanju nacionalne varnosti, zaščiti demokracije in ohranjanju pravne države. Za izpolnjevanje svojega poslanstva si je zastavil cilje:</w:t>
      </w:r>
    </w:p>
    <w:p w:rsidR="00414884" w:rsidRPr="003B7DD0" w:rsidRDefault="00414884" w:rsidP="00414884">
      <w:pPr>
        <w:pStyle w:val="Odstavekseznama"/>
        <w:numPr>
          <w:ilvl w:val="0"/>
          <w:numId w:val="5"/>
        </w:numPr>
        <w:spacing w:before="120" w:after="0" w:line="260" w:lineRule="exact"/>
        <w:ind w:left="1434" w:hanging="357"/>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lastRenderedPageBreak/>
        <w:t>prepoznavanje zgodnje faze radikalizacije, nasilnega ekstremizma in terorizma ter sprejemanje učinkovitih protiukrepov,</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opremljen za ukrepanje v primeru terorističnih napadov in izrednih razmer,</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uporaba preventivnih, sodelovalnih in represivnih ukrepov za razbijanje struktur organiziranega kriminala v Švici,</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odkrivanje sodobnih oblik gospodarskega kriminala in boj proti njim,</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varovanje članov zvezne vlade in zagotavljanje njihove varnosti pri opravljanju nalog v Švici in tujini,</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zagotavljanje varnosti diplomatskih predstavništev in njihovega osebja v Švici ter oseb, ki jim je zagotovljena zaščita po mednarodnem pravu.</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zanesljiv nacionalni in mednarodni partner,</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zagotavljanje, da se eksplozivi, pirotehnični predmeti, vojaški material, zračni tlak in druge nove vrste orožja uporabljajo v skladu z zakonskimi določbami,</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zagotavlja Švici visoko zmogljive in zanesljive biometrične instrumente, ki so interoperabilni na nacionalni in mednarodni ravni,</w:t>
      </w:r>
    </w:p>
    <w:p w:rsidR="00414884" w:rsidRPr="003B7DD0" w:rsidRDefault="00414884" w:rsidP="00414884">
      <w:pPr>
        <w:pStyle w:val="Odstavekseznama"/>
        <w:spacing w:before="120"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Fedpol cilje udejanja prek treh načinov delovanja: preventiva – sodelovanje – represija, in s pomočjo treh delovnih načel: kriminalističnoobveščevalno vodeno policijsko delo, partnerstvo in upravljanje informacij, in zajete v tri ključne sklope: terorizem in nasilni ekstremizem, organizirana in gospodarska kriminaliteta, varovanje in zaščita;</w:t>
      </w:r>
    </w:p>
    <w:p w:rsidR="00414884" w:rsidRPr="003B7DD0" w:rsidRDefault="00414884" w:rsidP="00414884">
      <w:pPr>
        <w:pStyle w:val="Odstavekseznama"/>
        <w:numPr>
          <w:ilvl w:val="0"/>
          <w:numId w:val="3"/>
        </w:numPr>
        <w:spacing w:before="120" w:after="0" w:line="260" w:lineRule="exact"/>
        <w:ind w:left="714" w:hanging="357"/>
        <w:contextualSpacing w:val="0"/>
        <w:jc w:val="both"/>
        <w:rPr>
          <w:rFonts w:ascii="Tahoma" w:hAnsi="Tahoma" w:cs="Tahoma"/>
          <w:color w:val="0D0D0D" w:themeColor="text1" w:themeTint="F2"/>
          <w:sz w:val="20"/>
          <w:szCs w:val="20"/>
        </w:rPr>
      </w:pPr>
      <w:r w:rsidRPr="003B7DD0">
        <w:rPr>
          <w:rFonts w:ascii="Tahoma" w:hAnsi="Tahoma" w:cs="Tahoma"/>
          <w:i/>
          <w:color w:val="0D0D0D" w:themeColor="text1" w:themeTint="F2"/>
          <w:sz w:val="20"/>
          <w:szCs w:val="20"/>
        </w:rPr>
        <w:t>Europol Strategy 2020+</w:t>
      </w:r>
      <w:r w:rsidRPr="003B7DD0">
        <w:rPr>
          <w:rFonts w:ascii="Tahoma" w:hAnsi="Tahoma" w:cs="Tahoma"/>
          <w:color w:val="0D0D0D" w:themeColor="text1" w:themeTint="F2"/>
          <w:sz w:val="20"/>
          <w:szCs w:val="20"/>
        </w:rPr>
        <w:t>. Europolova strategija se letno preverja in posodablja, vključuje pa naslednje strateške prioritete:</w:t>
      </w:r>
    </w:p>
    <w:p w:rsidR="00414884" w:rsidRPr="003B7DD0" w:rsidRDefault="00414884" w:rsidP="00414884">
      <w:pPr>
        <w:pStyle w:val="Odstavekseznama"/>
        <w:numPr>
          <w:ilvl w:val="0"/>
          <w:numId w:val="5"/>
        </w:numPr>
        <w:spacing w:before="120" w:after="0" w:line="260" w:lineRule="exact"/>
        <w:ind w:left="1434" w:hanging="357"/>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 biti vozlišče EU za kriminalistične informacije,</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 zagotavljanje agilne operativne podpore,</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 biti platforma za evropske policijske rešitve,</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 biti v ospredju inovacij in raziskav na področju kazenskega pregona,</w:t>
      </w:r>
    </w:p>
    <w:p w:rsidR="00414884" w:rsidRPr="003B7DD0" w:rsidRDefault="00414884" w:rsidP="00414884">
      <w:pPr>
        <w:pStyle w:val="Odstavekseznama"/>
        <w:numPr>
          <w:ilvl w:val="0"/>
          <w:numId w:val="5"/>
        </w:numPr>
        <w:spacing w:after="0" w:line="260" w:lineRule="exact"/>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 biti vzorčna organizacija EU za kazenski pregon;</w:t>
      </w:r>
    </w:p>
    <w:p w:rsidR="00414884" w:rsidRPr="003B7DD0" w:rsidRDefault="00414884" w:rsidP="00414884">
      <w:pPr>
        <w:pStyle w:val="Odstavekseznama"/>
        <w:numPr>
          <w:ilvl w:val="0"/>
          <w:numId w:val="3"/>
        </w:numPr>
        <w:spacing w:before="120" w:after="0" w:line="260" w:lineRule="exact"/>
        <w:ind w:left="714" w:hanging="357"/>
        <w:contextualSpacing w:val="0"/>
        <w:jc w:val="both"/>
        <w:rPr>
          <w:rFonts w:ascii="Tahoma" w:hAnsi="Tahoma" w:cs="Tahoma"/>
          <w:i/>
          <w:color w:val="0D0D0D" w:themeColor="text1" w:themeTint="F2"/>
          <w:sz w:val="20"/>
          <w:szCs w:val="20"/>
        </w:rPr>
      </w:pPr>
      <w:r w:rsidRPr="003B7DD0">
        <w:rPr>
          <w:rFonts w:ascii="Tahoma" w:hAnsi="Tahoma" w:cs="Tahoma"/>
          <w:i/>
          <w:color w:val="0D0D0D" w:themeColor="text1" w:themeTint="F2"/>
          <w:sz w:val="20"/>
          <w:szCs w:val="20"/>
        </w:rPr>
        <w:t xml:space="preserve">Report No. 15. Interpol Vision 2030, 21. November 2023. </w:t>
      </w:r>
      <w:r w:rsidRPr="003B7DD0">
        <w:rPr>
          <w:rFonts w:ascii="Tahoma" w:hAnsi="Tahoma" w:cs="Tahoma"/>
          <w:color w:val="0D0D0D" w:themeColor="text1" w:themeTint="F2"/>
          <w:sz w:val="20"/>
          <w:szCs w:val="20"/>
        </w:rPr>
        <w:t>Interpol v tem dokumentu opredeljuje naslednja ključna področja za učinkovito izpolnjevanje potreb in pričakovanj članstva:</w:t>
      </w:r>
    </w:p>
    <w:p w:rsidR="00414884" w:rsidRPr="003B7DD0" w:rsidRDefault="00414884" w:rsidP="00414884">
      <w:pPr>
        <w:pStyle w:val="Odstavekseznama"/>
        <w:numPr>
          <w:ilvl w:val="0"/>
          <w:numId w:val="5"/>
        </w:numPr>
        <w:spacing w:before="120" w:after="0" w:line="260" w:lineRule="exact"/>
        <w:ind w:left="1434" w:hanging="357"/>
        <w:contextualSpacing w:val="0"/>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premoščanje razlik – moč izmenjave informacij,</w:t>
      </w:r>
    </w:p>
    <w:p w:rsidR="00414884" w:rsidRPr="003B7DD0" w:rsidRDefault="00414884" w:rsidP="00414884">
      <w:pPr>
        <w:pStyle w:val="Odstavekseznama"/>
        <w:numPr>
          <w:ilvl w:val="0"/>
          <w:numId w:val="5"/>
        </w:numPr>
        <w:spacing w:before="120" w:after="0" w:line="260" w:lineRule="exact"/>
        <w:ind w:left="1434" w:hanging="357"/>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razmah platform,</w:t>
      </w:r>
    </w:p>
    <w:p w:rsidR="00414884" w:rsidRPr="003B7DD0" w:rsidRDefault="00414884" w:rsidP="00414884">
      <w:pPr>
        <w:pStyle w:val="Odstavekseznama"/>
        <w:numPr>
          <w:ilvl w:val="0"/>
          <w:numId w:val="5"/>
        </w:numPr>
        <w:spacing w:before="120" w:after="0" w:line="260" w:lineRule="exact"/>
        <w:ind w:left="1434" w:hanging="357"/>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 xml:space="preserve">prilagodljivo delovanje v informacijskem sistemu Interpola in zaupanje v njegovo delovanje – omogočanje uspeha, </w:t>
      </w:r>
    </w:p>
    <w:p w:rsidR="00414884" w:rsidRPr="003B7DD0" w:rsidRDefault="00414884" w:rsidP="00414884">
      <w:pPr>
        <w:pStyle w:val="Odstavekseznama"/>
        <w:numPr>
          <w:ilvl w:val="0"/>
          <w:numId w:val="5"/>
        </w:numPr>
        <w:spacing w:before="120" w:after="0" w:line="260" w:lineRule="exact"/>
        <w:ind w:left="1434" w:hanging="357"/>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skupna platforma za usposabljanje z združenimi nacionalnimi sistemi,</w:t>
      </w:r>
    </w:p>
    <w:p w:rsidR="00414884" w:rsidRPr="003B7DD0" w:rsidRDefault="00414884" w:rsidP="00414884">
      <w:pPr>
        <w:pStyle w:val="Odstavekseznama"/>
        <w:numPr>
          <w:ilvl w:val="0"/>
          <w:numId w:val="5"/>
        </w:numPr>
        <w:spacing w:before="120" w:after="0" w:line="260" w:lineRule="exact"/>
        <w:ind w:left="1434" w:hanging="357"/>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podatkovna diplomacija – povezanost z različnimi zbirkami podatkov</w:t>
      </w:r>
    </w:p>
    <w:p w:rsidR="00414884" w:rsidRPr="003B7DD0" w:rsidRDefault="00414884" w:rsidP="00414884">
      <w:pPr>
        <w:pStyle w:val="Odstavekseznama"/>
        <w:numPr>
          <w:ilvl w:val="0"/>
          <w:numId w:val="5"/>
        </w:numPr>
        <w:spacing w:before="120" w:after="0" w:line="260" w:lineRule="exact"/>
        <w:ind w:left="1434" w:hanging="357"/>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bolj zmogljiva podpora Interpola članstvu za boljšo prihodnost,</w:t>
      </w:r>
    </w:p>
    <w:p w:rsidR="00414884" w:rsidRPr="003B7DD0" w:rsidRDefault="00414884" w:rsidP="00414884">
      <w:pPr>
        <w:pStyle w:val="Odstavekseznama"/>
        <w:numPr>
          <w:ilvl w:val="0"/>
          <w:numId w:val="5"/>
        </w:numPr>
        <w:spacing w:before="120" w:after="0" w:line="260" w:lineRule="exact"/>
        <w:ind w:left="1434" w:hanging="357"/>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Interpol kot povezovalec raznolikih in kompleksnih varnostnih struktur;</w:t>
      </w:r>
    </w:p>
    <w:p w:rsidR="00414884" w:rsidRPr="003B7DD0" w:rsidRDefault="00414884" w:rsidP="00414884">
      <w:pPr>
        <w:pStyle w:val="Odstavekseznama"/>
        <w:numPr>
          <w:ilvl w:val="0"/>
          <w:numId w:val="3"/>
        </w:numPr>
        <w:spacing w:before="120" w:after="0" w:line="260" w:lineRule="exact"/>
        <w:ind w:left="714" w:hanging="357"/>
        <w:contextualSpacing w:val="0"/>
        <w:jc w:val="both"/>
        <w:rPr>
          <w:rFonts w:ascii="Tahoma" w:hAnsi="Tahoma" w:cs="Tahoma"/>
          <w:i/>
          <w:color w:val="0D0D0D" w:themeColor="text1" w:themeTint="F2"/>
          <w:sz w:val="20"/>
          <w:szCs w:val="20"/>
        </w:rPr>
      </w:pPr>
      <w:r w:rsidRPr="003B7DD0">
        <w:rPr>
          <w:rFonts w:ascii="Tahoma" w:hAnsi="Tahoma" w:cs="Tahoma"/>
          <w:i/>
          <w:color w:val="0D0D0D" w:themeColor="text1" w:themeTint="F2"/>
          <w:sz w:val="20"/>
          <w:szCs w:val="20"/>
        </w:rPr>
        <w:t xml:space="preserve">Strategic Framework 2022–2025. </w:t>
      </w:r>
      <w:r w:rsidRPr="003B7DD0">
        <w:rPr>
          <w:rFonts w:ascii="Tahoma" w:hAnsi="Tahoma" w:cs="Tahoma"/>
          <w:color w:val="0D0D0D" w:themeColor="text1" w:themeTint="F2"/>
          <w:sz w:val="20"/>
          <w:szCs w:val="20"/>
        </w:rPr>
        <w:t>Interpol v tem dokumentu na kratko povzame vizijo, poslanstvo in vrednote ter štiri strateške cilje, ki so:</w:t>
      </w:r>
    </w:p>
    <w:p w:rsidR="00414884" w:rsidRPr="003B7DD0" w:rsidRDefault="00414884" w:rsidP="00414884">
      <w:pPr>
        <w:pStyle w:val="Odstavekseznama"/>
        <w:numPr>
          <w:ilvl w:val="1"/>
          <w:numId w:val="6"/>
        </w:numPr>
        <w:spacing w:before="120" w:after="0" w:line="260" w:lineRule="exact"/>
        <w:contextualSpacing w:val="0"/>
        <w:jc w:val="both"/>
        <w:rPr>
          <w:rFonts w:ascii="Tahoma" w:hAnsi="Tahoma" w:cs="Tahoma"/>
          <w:i/>
          <w:color w:val="0D0D0D" w:themeColor="text1" w:themeTint="F2"/>
          <w:sz w:val="20"/>
          <w:szCs w:val="20"/>
        </w:rPr>
      </w:pPr>
      <w:r w:rsidRPr="003B7DD0">
        <w:rPr>
          <w:rFonts w:ascii="Tahoma" w:hAnsi="Tahoma" w:cs="Tahoma"/>
          <w:color w:val="0D0D0D" w:themeColor="text1" w:themeTint="F2"/>
          <w:sz w:val="20"/>
          <w:szCs w:val="20"/>
        </w:rPr>
        <w:t>zaupanja vredne informacije za ukrepanje (Interpol kot zaupanja vredno središče za izmenjavo informacij in analiz za organe odkrivanja in preiskovanje kaznivih dejanj),</w:t>
      </w:r>
    </w:p>
    <w:p w:rsidR="00414884" w:rsidRPr="003B7DD0" w:rsidRDefault="00414884" w:rsidP="00414884">
      <w:pPr>
        <w:pStyle w:val="Odstavekseznama"/>
        <w:numPr>
          <w:ilvl w:val="1"/>
          <w:numId w:val="6"/>
        </w:numPr>
        <w:spacing w:before="120" w:after="0" w:line="260" w:lineRule="exact"/>
        <w:ind w:left="1434" w:hanging="357"/>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obogatitev policijskega dela s sodelovanjem (povečanje virov, znanja in delovanja prek sodelovanja in strateških partnerstev),</w:t>
      </w:r>
    </w:p>
    <w:p w:rsidR="00414884" w:rsidRPr="003B7DD0" w:rsidRDefault="00414884" w:rsidP="00414884">
      <w:pPr>
        <w:pStyle w:val="Odstavekseznama"/>
        <w:numPr>
          <w:ilvl w:val="1"/>
          <w:numId w:val="6"/>
        </w:numPr>
        <w:spacing w:before="120" w:after="0" w:line="260" w:lineRule="exact"/>
        <w:ind w:left="1434" w:hanging="357"/>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razvoj in inovacije policijske dejavnosti (z raziskavami in inovativnimi rešitvami spodbujati organe odkrivanja in preiskovanja kaznivih dejanj po vsem svetu) in</w:t>
      </w:r>
    </w:p>
    <w:p w:rsidR="00414884" w:rsidRPr="003B7DD0" w:rsidRDefault="00414884" w:rsidP="00414884">
      <w:pPr>
        <w:pStyle w:val="Odstavekseznama"/>
        <w:numPr>
          <w:ilvl w:val="1"/>
          <w:numId w:val="6"/>
        </w:numPr>
        <w:spacing w:before="120" w:after="0" w:line="260" w:lineRule="exact"/>
        <w:ind w:left="1434" w:hanging="357"/>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izboljšanje učinkovitosti delovanja organizacije (Interpol kot organizacija odličnosti, ki je odgovorna in prilagodljiva ter deluje transparentno);</w:t>
      </w:r>
    </w:p>
    <w:p w:rsidR="00414884" w:rsidRPr="003B7DD0" w:rsidRDefault="00414884" w:rsidP="00414884">
      <w:pPr>
        <w:pStyle w:val="Odstavekseznama"/>
        <w:numPr>
          <w:ilvl w:val="0"/>
          <w:numId w:val="6"/>
        </w:numPr>
        <w:spacing w:before="120" w:after="0" w:line="260" w:lineRule="exact"/>
        <w:contextualSpacing w:val="0"/>
        <w:jc w:val="both"/>
        <w:rPr>
          <w:rFonts w:ascii="Tahoma" w:hAnsi="Tahoma" w:cs="Tahoma"/>
          <w:i/>
          <w:color w:val="0D0D0D" w:themeColor="text1" w:themeTint="F2"/>
          <w:sz w:val="20"/>
          <w:szCs w:val="20"/>
        </w:rPr>
      </w:pPr>
      <w:r w:rsidRPr="003B7DD0">
        <w:rPr>
          <w:rFonts w:ascii="Tahoma" w:hAnsi="Tahoma" w:cs="Tahoma"/>
          <w:i/>
          <w:color w:val="0D0D0D" w:themeColor="text1" w:themeTint="F2"/>
          <w:sz w:val="20"/>
          <w:szCs w:val="20"/>
        </w:rPr>
        <w:t xml:space="preserve">Details of Strategic Framework 2022–2025 (for official use only), </w:t>
      </w:r>
      <w:r w:rsidRPr="003B7DD0">
        <w:rPr>
          <w:rFonts w:ascii="Tahoma" w:hAnsi="Tahoma" w:cs="Tahoma"/>
          <w:color w:val="0D0D0D" w:themeColor="text1" w:themeTint="F2"/>
          <w:sz w:val="20"/>
          <w:szCs w:val="20"/>
        </w:rPr>
        <w:t>v katerem so strateški cilji Interpola nekoliko podrobneje opredeljeni;</w:t>
      </w:r>
    </w:p>
    <w:p w:rsidR="00414884" w:rsidRPr="003B7DD0" w:rsidRDefault="00414884" w:rsidP="00414884">
      <w:pPr>
        <w:pStyle w:val="Odstavekseznama"/>
        <w:numPr>
          <w:ilvl w:val="0"/>
          <w:numId w:val="6"/>
        </w:numPr>
        <w:spacing w:before="120" w:after="0" w:line="260" w:lineRule="exact"/>
        <w:contextualSpacing w:val="0"/>
        <w:jc w:val="both"/>
        <w:rPr>
          <w:rFonts w:ascii="Tahoma" w:hAnsi="Tahoma" w:cs="Tahoma"/>
          <w:i/>
          <w:color w:val="0D0D0D" w:themeColor="text1" w:themeTint="F2"/>
          <w:sz w:val="20"/>
          <w:szCs w:val="20"/>
        </w:rPr>
      </w:pPr>
      <w:r w:rsidRPr="003B7DD0">
        <w:rPr>
          <w:rFonts w:ascii="Tahoma" w:hAnsi="Tahoma" w:cs="Tahoma"/>
          <w:i/>
          <w:color w:val="0D0D0D" w:themeColor="text1" w:themeTint="F2"/>
          <w:sz w:val="20"/>
          <w:szCs w:val="20"/>
        </w:rPr>
        <w:lastRenderedPageBreak/>
        <w:t xml:space="preserve">Global Policing Goals. Security as a fundation for sustaniable development </w:t>
      </w:r>
      <w:r w:rsidRPr="003B7DD0">
        <w:rPr>
          <w:rFonts w:ascii="Tahoma" w:hAnsi="Tahoma" w:cs="Tahoma"/>
          <w:color w:val="0D0D0D" w:themeColor="text1" w:themeTint="F2"/>
          <w:sz w:val="20"/>
          <w:szCs w:val="20"/>
        </w:rPr>
        <w:t>(oktober 2023). V dokumentu je predstavljeno sedem globalnih ciljev, ki obravnavajo vrsto vprašanj, povezanih s kriminalom in varnostjo. Globalni cilji, ki so usklajeni z Agendo Združenih narodov za trajnostni razvoj do leta 2030 in so povezani s cilji trajnostnega razvoja, oblikujejo način sodelovanja svetovne skupnosti organov odkrivanja in preiskovanja kaznivih dejanj pri ustvarjanju varnejšega sveta. Cilje so leta 2017 prvotno potrdile države članice INTERPOL-a na 86. zasedanju generalne skupščine v Pekingu na Kitajskem. Cilji so naslednji:</w:t>
      </w:r>
    </w:p>
    <w:p w:rsidR="00414884" w:rsidRPr="003B7DD0" w:rsidRDefault="00414884" w:rsidP="00414884">
      <w:pPr>
        <w:pStyle w:val="Odstavekseznama"/>
        <w:numPr>
          <w:ilvl w:val="1"/>
          <w:numId w:val="6"/>
        </w:numPr>
        <w:spacing w:before="120" w:after="0" w:line="260" w:lineRule="exact"/>
        <w:ind w:left="1434" w:hanging="357"/>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mednarodno sodelovanje za učinkovitejši boj proti terorizmu in njegovo preprečevanje,</w:t>
      </w:r>
    </w:p>
    <w:p w:rsidR="00414884" w:rsidRPr="003B7DD0" w:rsidRDefault="00414884" w:rsidP="00414884">
      <w:pPr>
        <w:pStyle w:val="Odstavekseznama"/>
        <w:numPr>
          <w:ilvl w:val="1"/>
          <w:numId w:val="6"/>
        </w:numPr>
        <w:spacing w:before="120" w:after="0" w:line="260" w:lineRule="exact"/>
        <w:ind w:left="1434" w:hanging="357"/>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spodbujanje varnosti meja po vsem svetu,</w:t>
      </w:r>
    </w:p>
    <w:p w:rsidR="00414884" w:rsidRPr="003B7DD0" w:rsidRDefault="00414884" w:rsidP="00414884">
      <w:pPr>
        <w:pStyle w:val="Odstavekseznama"/>
        <w:numPr>
          <w:ilvl w:val="1"/>
          <w:numId w:val="6"/>
        </w:numPr>
        <w:spacing w:before="120" w:after="0" w:line="260" w:lineRule="exact"/>
        <w:ind w:left="1434" w:hanging="357"/>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izboljšanje odziva organov odkrivanja in preiskovanja kaznivih dejanj pri zaščiti ranljivih skupin,</w:t>
      </w:r>
    </w:p>
    <w:p w:rsidR="00414884" w:rsidRPr="003B7DD0" w:rsidRDefault="00414884" w:rsidP="00414884">
      <w:pPr>
        <w:pStyle w:val="Odstavekseznama"/>
        <w:numPr>
          <w:ilvl w:val="1"/>
          <w:numId w:val="6"/>
        </w:numPr>
        <w:spacing w:before="120" w:after="0" w:line="260" w:lineRule="exact"/>
        <w:ind w:left="1434" w:hanging="357"/>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zmanjšanje svetovne škode in posledic kibernetske kriminalitete,</w:t>
      </w:r>
    </w:p>
    <w:p w:rsidR="00414884" w:rsidRPr="003B7DD0" w:rsidRDefault="00414884" w:rsidP="00414884">
      <w:pPr>
        <w:pStyle w:val="Odstavekseznama"/>
        <w:numPr>
          <w:ilvl w:val="1"/>
          <w:numId w:val="6"/>
        </w:numPr>
        <w:spacing w:before="120" w:after="0" w:line="260" w:lineRule="exact"/>
        <w:ind w:left="1434" w:hanging="357"/>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boj proti vsem oblikam korupcije in finančne kriminalitete,</w:t>
      </w:r>
    </w:p>
    <w:p w:rsidR="00414884" w:rsidRPr="003B7DD0" w:rsidRDefault="00414884" w:rsidP="00414884">
      <w:pPr>
        <w:pStyle w:val="Odstavekseznama"/>
        <w:numPr>
          <w:ilvl w:val="1"/>
          <w:numId w:val="6"/>
        </w:numPr>
        <w:spacing w:before="120" w:after="0" w:line="260" w:lineRule="exact"/>
        <w:ind w:left="1434" w:hanging="357"/>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boj proti hudim in organiziranim oblikam kriminala ter proti trgovini s prepovedanimi drogami,</w:t>
      </w:r>
    </w:p>
    <w:p w:rsidR="00414884" w:rsidRPr="003B7DD0" w:rsidRDefault="00414884" w:rsidP="00414884">
      <w:pPr>
        <w:pStyle w:val="Odstavekseznama"/>
        <w:numPr>
          <w:ilvl w:val="1"/>
          <w:numId w:val="6"/>
        </w:numPr>
        <w:spacing w:before="120" w:after="0" w:line="260" w:lineRule="exact"/>
        <w:ind w:left="1434" w:hanging="357"/>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okrepitev okoljske varnosti in z bojem proti okoljski kriminaliteti prispevati k trajnostnemu življenju.</w:t>
      </w:r>
    </w:p>
    <w:p w:rsidR="00414884" w:rsidRPr="003B7DD0" w:rsidRDefault="00414884" w:rsidP="00414884">
      <w:pPr>
        <w:spacing w:before="120" w:after="0" w:line="260" w:lineRule="exact"/>
        <w:ind w:firstLine="708"/>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Dokument opredeljuje tudi medsebojno povezane teme pri:</w:t>
      </w:r>
    </w:p>
    <w:p w:rsidR="00414884" w:rsidRPr="003B7DD0" w:rsidRDefault="00414884" w:rsidP="00414884">
      <w:pPr>
        <w:pStyle w:val="Odstavekseznama"/>
        <w:numPr>
          <w:ilvl w:val="1"/>
          <w:numId w:val="6"/>
        </w:numPr>
        <w:spacing w:before="120" w:after="0" w:line="260" w:lineRule="exact"/>
        <w:ind w:left="1434" w:hanging="357"/>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 xml:space="preserve">izmenjavi podatkov in informacij, </w:t>
      </w:r>
    </w:p>
    <w:p w:rsidR="00414884" w:rsidRPr="003B7DD0" w:rsidRDefault="00414884" w:rsidP="00414884">
      <w:pPr>
        <w:pStyle w:val="Odstavekseznama"/>
        <w:numPr>
          <w:ilvl w:val="1"/>
          <w:numId w:val="6"/>
        </w:numPr>
        <w:spacing w:before="120" w:after="0" w:line="260" w:lineRule="exact"/>
        <w:ind w:left="1434" w:hanging="357"/>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 xml:space="preserve">sodelovanju in partnerstvu, </w:t>
      </w:r>
    </w:p>
    <w:p w:rsidR="00414884" w:rsidRPr="003B7DD0" w:rsidRDefault="00414884" w:rsidP="00414884">
      <w:pPr>
        <w:pStyle w:val="Odstavekseznama"/>
        <w:numPr>
          <w:ilvl w:val="1"/>
          <w:numId w:val="6"/>
        </w:numPr>
        <w:spacing w:before="120" w:after="0" w:line="260" w:lineRule="exact"/>
        <w:ind w:left="1434" w:hanging="357"/>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 xml:space="preserve">dobrem vodenju, pravni državi in spoštovanju človekovih pravic ter </w:t>
      </w:r>
    </w:p>
    <w:p w:rsidR="00414884" w:rsidRPr="003B7DD0" w:rsidRDefault="00414884" w:rsidP="00414884">
      <w:pPr>
        <w:pStyle w:val="Odstavekseznama"/>
        <w:numPr>
          <w:ilvl w:val="1"/>
          <w:numId w:val="6"/>
        </w:numPr>
        <w:spacing w:before="120" w:after="0" w:line="260" w:lineRule="exact"/>
        <w:ind w:left="1434" w:hanging="357"/>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krepitvijo zmogljivosti in usposabljanjem, inovacijami in digitalizacijo.</w:t>
      </w:r>
    </w:p>
    <w:p w:rsidR="00414884" w:rsidRPr="003B7DD0" w:rsidRDefault="00414884" w:rsidP="00414884">
      <w:pPr>
        <w:spacing w:after="0" w:line="260" w:lineRule="exact"/>
        <w:jc w:val="both"/>
        <w:rPr>
          <w:rFonts w:ascii="Tahoma" w:hAnsi="Tahoma" w:cs="Tahoma"/>
          <w:color w:val="0D0D0D" w:themeColor="text1" w:themeTint="F2"/>
          <w:sz w:val="20"/>
          <w:szCs w:val="20"/>
        </w:rPr>
      </w:pPr>
    </w:p>
    <w:p w:rsidR="00414884" w:rsidRPr="003B7DD0" w:rsidRDefault="00414884" w:rsidP="00414884">
      <w:pPr>
        <w:spacing w:after="0" w:line="260" w:lineRule="exact"/>
        <w:jc w:val="both"/>
        <w:rPr>
          <w:rFonts w:ascii="Tahoma" w:hAnsi="Tahoma" w:cs="Tahoma"/>
          <w:color w:val="0D0D0D" w:themeColor="text1" w:themeTint="F2"/>
          <w:sz w:val="20"/>
          <w:szCs w:val="20"/>
        </w:rPr>
      </w:pPr>
      <w:r w:rsidRPr="003B7DD0">
        <w:rPr>
          <w:rFonts w:ascii="Tahoma" w:hAnsi="Tahoma" w:cs="Tahoma"/>
          <w:color w:val="0D0D0D" w:themeColor="text1" w:themeTint="F2"/>
          <w:sz w:val="20"/>
          <w:szCs w:val="20"/>
        </w:rPr>
        <w:t>Večina tujih varnostnih organov ne pozna</w:t>
      </w:r>
      <w:r>
        <w:rPr>
          <w:rFonts w:ascii="Tahoma" w:hAnsi="Tahoma" w:cs="Tahoma"/>
          <w:color w:val="0D0D0D" w:themeColor="text1" w:themeTint="F2"/>
          <w:sz w:val="20"/>
          <w:szCs w:val="20"/>
        </w:rPr>
        <w:t xml:space="preserve"> </w:t>
      </w:r>
      <w:r w:rsidRPr="003B7DD0">
        <w:rPr>
          <w:rFonts w:ascii="Tahoma" w:hAnsi="Tahoma" w:cs="Tahoma"/>
          <w:color w:val="0D0D0D" w:themeColor="text1" w:themeTint="F2"/>
          <w:sz w:val="20"/>
          <w:szCs w:val="20"/>
        </w:rPr>
        <w:t>dolgoročnih razvojnih dokumentov, kot je resolucija o dolgoročnem razvojnem programu slovenske policije. Različno je pojmovana tudi dolgoročnost, za nekatere je to zgolj pogled v prihodnost, pa čeprav na podlagi enoletnih podatkov (francoska žandarmerija), za druge je to obdobje dveh do petih let. Desetletni dokumenti, usmerjeni v prihodnost pa so redki.</w:t>
      </w:r>
    </w:p>
    <w:p w:rsidR="00414884" w:rsidRPr="003B7DD0" w:rsidRDefault="00414884" w:rsidP="00414884">
      <w:pPr>
        <w:spacing w:after="0" w:line="260" w:lineRule="exact"/>
        <w:contextualSpacing/>
        <w:jc w:val="both"/>
        <w:rPr>
          <w:rFonts w:ascii="Tahoma" w:hAnsi="Tahoma" w:cs="Tahoma"/>
          <w:color w:val="0D0D0D" w:themeColor="text1" w:themeTint="F2"/>
          <w:sz w:val="20"/>
          <w:szCs w:val="20"/>
        </w:rPr>
      </w:pPr>
    </w:p>
    <w:p w:rsidR="00414884" w:rsidRPr="003B7DD0" w:rsidRDefault="00414884" w:rsidP="00414884">
      <w:pPr>
        <w:spacing w:after="0" w:line="260" w:lineRule="exact"/>
        <w:contextualSpacing/>
        <w:jc w:val="both"/>
        <w:rPr>
          <w:rFonts w:ascii="Tahoma" w:hAnsi="Tahoma" w:cs="Tahoma"/>
          <w:b/>
          <w:color w:val="1F4E79" w:themeColor="accent1" w:themeShade="80"/>
          <w:sz w:val="20"/>
          <w:szCs w:val="20"/>
        </w:rPr>
      </w:pPr>
    </w:p>
    <w:p w:rsidR="00414884" w:rsidRPr="003B7DD0" w:rsidRDefault="00414884" w:rsidP="00414884">
      <w:pPr>
        <w:spacing w:after="0" w:line="260" w:lineRule="exact"/>
        <w:jc w:val="both"/>
        <w:rPr>
          <w:rFonts w:ascii="Tahoma" w:hAnsi="Tahoma" w:cs="Tahoma"/>
          <w:color w:val="0D0D0D" w:themeColor="text1" w:themeTint="F2"/>
          <w:sz w:val="20"/>
          <w:szCs w:val="20"/>
        </w:rPr>
      </w:pPr>
    </w:p>
    <w:p w:rsidR="00E476FF" w:rsidRDefault="002A4B56"/>
    <w:sectPr w:rsidR="00E476FF" w:rsidSect="00435985">
      <w:footerReference w:type="default" r:id="rId75"/>
      <w:headerReference w:type="first" r:id="rId76"/>
      <w:footerReference w:type="first" r:id="rId77"/>
      <w:pgSz w:w="11906" w:h="16838"/>
      <w:pgMar w:top="1418" w:right="1418" w:bottom="1418" w:left="1418" w:header="709" w:footer="59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4884" w:rsidRDefault="00414884" w:rsidP="00414884">
      <w:pPr>
        <w:spacing w:after="0" w:line="240" w:lineRule="auto"/>
      </w:pPr>
      <w:r>
        <w:separator/>
      </w:r>
    </w:p>
  </w:endnote>
  <w:endnote w:type="continuationSeparator" w:id="0">
    <w:p w:rsidR="00414884" w:rsidRDefault="00414884" w:rsidP="004148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8900289"/>
      <w:docPartObj>
        <w:docPartGallery w:val="Page Numbers (Bottom of Page)"/>
        <w:docPartUnique/>
      </w:docPartObj>
    </w:sdtPr>
    <w:sdtEndPr>
      <w:rPr>
        <w:rFonts w:ascii="Tahoma" w:hAnsi="Tahoma" w:cs="Tahoma"/>
        <w:sz w:val="16"/>
        <w:szCs w:val="16"/>
      </w:rPr>
    </w:sdtEndPr>
    <w:sdtContent>
      <w:p w:rsidR="00890992" w:rsidRPr="00BF49C4" w:rsidRDefault="00414884">
        <w:pPr>
          <w:pStyle w:val="Noga"/>
          <w:jc w:val="center"/>
          <w:rPr>
            <w:rFonts w:ascii="Tahoma" w:hAnsi="Tahoma" w:cs="Tahoma"/>
            <w:sz w:val="16"/>
            <w:szCs w:val="16"/>
          </w:rPr>
        </w:pPr>
        <w:r w:rsidRPr="00BF49C4">
          <w:rPr>
            <w:rFonts w:ascii="Tahoma" w:hAnsi="Tahoma" w:cs="Tahoma"/>
            <w:sz w:val="16"/>
            <w:szCs w:val="16"/>
          </w:rPr>
          <w:fldChar w:fldCharType="begin"/>
        </w:r>
        <w:r w:rsidRPr="00BF49C4">
          <w:rPr>
            <w:rFonts w:ascii="Tahoma" w:hAnsi="Tahoma" w:cs="Tahoma"/>
            <w:sz w:val="16"/>
            <w:szCs w:val="16"/>
          </w:rPr>
          <w:instrText>PAGE   \* MERGEFORMAT</w:instrText>
        </w:r>
        <w:r w:rsidRPr="00BF49C4">
          <w:rPr>
            <w:rFonts w:ascii="Tahoma" w:hAnsi="Tahoma" w:cs="Tahoma"/>
            <w:sz w:val="16"/>
            <w:szCs w:val="16"/>
          </w:rPr>
          <w:fldChar w:fldCharType="separate"/>
        </w:r>
        <w:r w:rsidR="002A4B56">
          <w:rPr>
            <w:rFonts w:ascii="Tahoma" w:hAnsi="Tahoma" w:cs="Tahoma"/>
            <w:noProof/>
            <w:sz w:val="16"/>
            <w:szCs w:val="16"/>
          </w:rPr>
          <w:t>2</w:t>
        </w:r>
        <w:r w:rsidRPr="00BF49C4">
          <w:rPr>
            <w:rFonts w:ascii="Tahoma" w:hAnsi="Tahoma" w:cs="Tahoma"/>
            <w:sz w:val="16"/>
            <w:szCs w:val="16"/>
          </w:rPr>
          <w:fldChar w:fldCharType="end"/>
        </w:r>
      </w:p>
    </w:sdtContent>
  </w:sdt>
  <w:p w:rsidR="00890992" w:rsidRDefault="002A4B56">
    <w:pPr>
      <w:pStyle w:val="Noga"/>
    </w:pPr>
  </w:p>
  <w:p w:rsidR="00890992" w:rsidRDefault="002A4B56"/>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7183496"/>
      <w:docPartObj>
        <w:docPartGallery w:val="Page Numbers (Bottom of Page)"/>
        <w:docPartUnique/>
      </w:docPartObj>
    </w:sdtPr>
    <w:sdtEndPr>
      <w:rPr>
        <w:rFonts w:ascii="Tahoma" w:hAnsi="Tahoma" w:cs="Tahoma"/>
        <w:sz w:val="16"/>
        <w:szCs w:val="16"/>
      </w:rPr>
    </w:sdtEndPr>
    <w:sdtContent>
      <w:p w:rsidR="00890992" w:rsidRPr="00435985" w:rsidRDefault="00414884">
        <w:pPr>
          <w:pStyle w:val="Noga"/>
          <w:jc w:val="center"/>
          <w:rPr>
            <w:rFonts w:ascii="Tahoma" w:hAnsi="Tahoma" w:cs="Tahoma"/>
            <w:sz w:val="16"/>
            <w:szCs w:val="16"/>
          </w:rPr>
        </w:pPr>
        <w:r w:rsidRPr="00435985">
          <w:rPr>
            <w:rFonts w:ascii="Tahoma" w:hAnsi="Tahoma" w:cs="Tahoma"/>
            <w:sz w:val="16"/>
            <w:szCs w:val="16"/>
          </w:rPr>
          <w:fldChar w:fldCharType="begin"/>
        </w:r>
        <w:r w:rsidRPr="00435985">
          <w:rPr>
            <w:rFonts w:ascii="Tahoma" w:hAnsi="Tahoma" w:cs="Tahoma"/>
            <w:sz w:val="16"/>
            <w:szCs w:val="16"/>
          </w:rPr>
          <w:instrText>PAGE   \* MERGEFORMAT</w:instrText>
        </w:r>
        <w:r w:rsidRPr="00435985">
          <w:rPr>
            <w:rFonts w:ascii="Tahoma" w:hAnsi="Tahoma" w:cs="Tahoma"/>
            <w:sz w:val="16"/>
            <w:szCs w:val="16"/>
          </w:rPr>
          <w:fldChar w:fldCharType="separate"/>
        </w:r>
        <w:r w:rsidR="002A4B56">
          <w:rPr>
            <w:rFonts w:ascii="Tahoma" w:hAnsi="Tahoma" w:cs="Tahoma"/>
            <w:noProof/>
            <w:sz w:val="16"/>
            <w:szCs w:val="16"/>
          </w:rPr>
          <w:t>1</w:t>
        </w:r>
        <w:r w:rsidRPr="00435985">
          <w:rPr>
            <w:rFonts w:ascii="Tahoma" w:hAnsi="Tahoma" w:cs="Tahoma"/>
            <w:sz w:val="16"/>
            <w:szCs w:val="16"/>
          </w:rPr>
          <w:fldChar w:fldCharType="end"/>
        </w:r>
      </w:p>
    </w:sdtContent>
  </w:sdt>
  <w:p w:rsidR="00890992" w:rsidRDefault="002A4B56">
    <w:pPr>
      <w:pStyle w:val="Noga"/>
    </w:pPr>
  </w:p>
  <w:p w:rsidR="00890992" w:rsidRDefault="002A4B56"/>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4884" w:rsidRDefault="00414884" w:rsidP="00414884">
      <w:pPr>
        <w:spacing w:after="0" w:line="240" w:lineRule="auto"/>
      </w:pPr>
      <w:r>
        <w:separator/>
      </w:r>
    </w:p>
  </w:footnote>
  <w:footnote w:type="continuationSeparator" w:id="0">
    <w:p w:rsidR="00414884" w:rsidRDefault="00414884" w:rsidP="00414884">
      <w:pPr>
        <w:spacing w:after="0" w:line="240" w:lineRule="auto"/>
      </w:pPr>
      <w:r>
        <w:continuationSeparator/>
      </w:r>
    </w:p>
  </w:footnote>
  <w:footnote w:id="1">
    <w:p w:rsidR="00414884" w:rsidRPr="00334AFC" w:rsidRDefault="00414884" w:rsidP="00414884">
      <w:pPr>
        <w:spacing w:after="0" w:line="240" w:lineRule="auto"/>
        <w:jc w:val="both"/>
        <w:rPr>
          <w:rFonts w:ascii="Tahoma" w:hAnsi="Tahoma" w:cs="Tahoma"/>
          <w:sz w:val="16"/>
          <w:szCs w:val="16"/>
        </w:rPr>
      </w:pPr>
      <w:r w:rsidRPr="003B7DD0">
        <w:rPr>
          <w:rStyle w:val="Sprotnaopomba-sklic"/>
          <w:rFonts w:ascii="Tahoma" w:hAnsi="Tahoma" w:cs="Tahoma"/>
          <w:sz w:val="16"/>
          <w:szCs w:val="16"/>
        </w:rPr>
        <w:footnoteRef/>
      </w:r>
      <w:r w:rsidRPr="003B7DD0">
        <w:rPr>
          <w:rFonts w:ascii="Tahoma" w:hAnsi="Tahoma" w:cs="Tahoma"/>
          <w:sz w:val="16"/>
          <w:szCs w:val="16"/>
        </w:rPr>
        <w:t xml:space="preserve"> Policija je hrvaške, avstrijske, italijanske, nemške, švicarske, nizozemske in francoske varnostne organe prek atašejske mreže ter prek slovenskih uradnikov za zveze v Interpolu in Europolu zaprosila za dolgoročne razvojne strateške dokumente Slovenski uradnik za zvezo v Europolu je zaprosilo poslal tudi vsem državam članicam in partnerskim državam (Norveška, Švica). Nemčija (na zvezni ravni) in Slovaška sta odgovorili, da nimata takšnega dokumenta.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0992" w:rsidRPr="003B6E9C" w:rsidRDefault="00414884" w:rsidP="003B6E9C">
    <w:pPr>
      <w:pStyle w:val="Glava"/>
      <w:jc w:val="center"/>
      <w:rPr>
        <w:rFonts w:ascii="Tahoma" w:hAnsi="Tahoma" w:cs="Tahoma"/>
        <w:sz w:val="16"/>
        <w:szCs w:val="16"/>
      </w:rPr>
    </w:pPr>
    <w:r w:rsidRPr="003B6E9C">
      <w:rPr>
        <w:rFonts w:ascii="Tahoma" w:hAnsi="Tahoma" w:cs="Tahoma"/>
        <w:sz w:val="16"/>
        <w:szCs w:val="16"/>
      </w:rPr>
      <w:t>Osnutek</w:t>
    </w:r>
  </w:p>
  <w:p w:rsidR="00890992" w:rsidRDefault="002A4B56">
    <w:pPr>
      <w:pStyle w:val="Glava"/>
    </w:pPr>
  </w:p>
  <w:p w:rsidR="00890992" w:rsidRDefault="002A4B56"/>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D6AE6"/>
    <w:multiLevelType w:val="hybridMultilevel"/>
    <w:tmpl w:val="84D8C2E8"/>
    <w:lvl w:ilvl="0" w:tplc="25241F0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1353AC"/>
    <w:multiLevelType w:val="hybridMultilevel"/>
    <w:tmpl w:val="8C7AA056"/>
    <w:lvl w:ilvl="0" w:tplc="25241F0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E7E3421"/>
    <w:multiLevelType w:val="multilevel"/>
    <w:tmpl w:val="A13E5EFE"/>
    <w:lvl w:ilvl="0">
      <w:start w:val="1"/>
      <w:numFmt w:val="decimal"/>
      <w:pStyle w:val="Naslov1"/>
      <w:lvlText w:val="%1."/>
      <w:lvlJc w:val="left"/>
      <w:pPr>
        <w:ind w:left="360" w:hanging="360"/>
      </w:pPr>
      <w:rPr>
        <w:rFonts w:hint="default"/>
      </w:rPr>
    </w:lvl>
    <w:lvl w:ilvl="1">
      <w:start w:val="1"/>
      <w:numFmt w:val="decimal"/>
      <w:pStyle w:val="Naslov2"/>
      <w:lvlText w:val="%1.%2."/>
      <w:lvlJc w:val="left"/>
      <w:pPr>
        <w:ind w:left="1142" w:hanging="432"/>
      </w:pPr>
    </w:lvl>
    <w:lvl w:ilvl="2">
      <w:start w:val="1"/>
      <w:numFmt w:val="decimal"/>
      <w:pStyle w:val="Naslov3"/>
      <w:lvlText w:val="%1.%2.%3."/>
      <w:lvlJc w:val="left"/>
      <w:pPr>
        <w:ind w:left="3056"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77B0E26"/>
    <w:multiLevelType w:val="hybridMultilevel"/>
    <w:tmpl w:val="D06EAB1C"/>
    <w:lvl w:ilvl="0" w:tplc="25241F06">
      <w:start w:val="1"/>
      <w:numFmt w:val="bullet"/>
      <w:lvlText w:val=""/>
      <w:lvlJc w:val="left"/>
      <w:pPr>
        <w:ind w:left="720" w:hanging="360"/>
      </w:pPr>
      <w:rPr>
        <w:rFonts w:ascii="Symbol" w:hAnsi="Symbol" w:hint="default"/>
      </w:rPr>
    </w:lvl>
    <w:lvl w:ilvl="1" w:tplc="7C9611E6">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43277C4E"/>
    <w:multiLevelType w:val="hybridMultilevel"/>
    <w:tmpl w:val="0C5435C2"/>
    <w:lvl w:ilvl="0" w:tplc="25241F06">
      <w:start w:val="1"/>
      <w:numFmt w:val="bullet"/>
      <w:lvlText w:val=""/>
      <w:lvlJc w:val="left"/>
      <w:pPr>
        <w:ind w:left="1440" w:hanging="360"/>
      </w:pPr>
      <w:rPr>
        <w:rFonts w:ascii="Symbol" w:hAnsi="Symbol"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5" w15:restartNumberingAfterBreak="0">
    <w:nsid w:val="590D0750"/>
    <w:multiLevelType w:val="hybridMultilevel"/>
    <w:tmpl w:val="7DE40F02"/>
    <w:lvl w:ilvl="0" w:tplc="25241F0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5"/>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9"/>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4884"/>
    <w:rsid w:val="000A36BF"/>
    <w:rsid w:val="000A41AD"/>
    <w:rsid w:val="002A4B56"/>
    <w:rsid w:val="00414884"/>
    <w:rsid w:val="00444027"/>
    <w:rsid w:val="00473623"/>
    <w:rsid w:val="006220A8"/>
    <w:rsid w:val="0098108C"/>
    <w:rsid w:val="00FB297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7CFB3F"/>
  <w15:chartTrackingRefBased/>
  <w15:docId w15:val="{FD9B0F8C-32C7-4F71-AB38-EBCECFD784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14884"/>
  </w:style>
  <w:style w:type="paragraph" w:styleId="Naslov1">
    <w:name w:val="heading 1"/>
    <w:basedOn w:val="Odstavekseznama"/>
    <w:next w:val="Navaden"/>
    <w:link w:val="Naslov1Znak"/>
    <w:uiPriority w:val="9"/>
    <w:qFormat/>
    <w:rsid w:val="00414884"/>
    <w:pPr>
      <w:numPr>
        <w:numId w:val="1"/>
      </w:numPr>
      <w:spacing w:after="0" w:line="260" w:lineRule="atLeast"/>
      <w:outlineLvl w:val="0"/>
    </w:pPr>
    <w:rPr>
      <w:rFonts w:ascii="Tahoma" w:hAnsi="Tahoma" w:cs="Tahoma"/>
      <w:b/>
      <w:color w:val="1F4E79" w:themeColor="accent1" w:themeShade="80"/>
    </w:rPr>
  </w:style>
  <w:style w:type="paragraph" w:styleId="Naslov2">
    <w:name w:val="heading 2"/>
    <w:basedOn w:val="Odstavekseznama"/>
    <w:next w:val="Navaden"/>
    <w:link w:val="Naslov2Znak"/>
    <w:uiPriority w:val="9"/>
    <w:unhideWhenUsed/>
    <w:qFormat/>
    <w:rsid w:val="00414884"/>
    <w:pPr>
      <w:numPr>
        <w:ilvl w:val="1"/>
        <w:numId w:val="1"/>
      </w:numPr>
      <w:tabs>
        <w:tab w:val="left" w:pos="851"/>
      </w:tabs>
      <w:spacing w:after="0" w:line="260" w:lineRule="atLeast"/>
      <w:outlineLvl w:val="1"/>
    </w:pPr>
    <w:rPr>
      <w:rFonts w:ascii="Tahoma" w:hAnsi="Tahoma" w:cs="Tahoma"/>
      <w:b/>
      <w:i/>
      <w:color w:val="1F4E79" w:themeColor="accent1" w:themeShade="80"/>
      <w:sz w:val="20"/>
      <w:szCs w:val="20"/>
    </w:rPr>
  </w:style>
  <w:style w:type="paragraph" w:styleId="Naslov3">
    <w:name w:val="heading 3"/>
    <w:basedOn w:val="Odstavekseznama"/>
    <w:next w:val="Navaden"/>
    <w:link w:val="Naslov3Znak"/>
    <w:uiPriority w:val="9"/>
    <w:unhideWhenUsed/>
    <w:qFormat/>
    <w:rsid w:val="00414884"/>
    <w:pPr>
      <w:numPr>
        <w:ilvl w:val="2"/>
        <w:numId w:val="1"/>
      </w:numPr>
      <w:spacing w:after="0" w:line="260" w:lineRule="atLeast"/>
      <w:ind w:left="1456" w:hanging="736"/>
      <w:outlineLvl w:val="2"/>
    </w:pPr>
    <w:rPr>
      <w:rFonts w:ascii="Tahoma" w:hAnsi="Tahoma" w:cs="Tahoma"/>
      <w:color w:val="1F4E79" w:themeColor="accent1" w:themeShade="80"/>
      <w:sz w:val="20"/>
      <w:szCs w:val="20"/>
    </w:rPr>
  </w:style>
  <w:style w:type="paragraph" w:styleId="Naslov4">
    <w:name w:val="heading 4"/>
    <w:basedOn w:val="Navaden"/>
    <w:next w:val="Navaden"/>
    <w:link w:val="Naslov4Znak"/>
    <w:uiPriority w:val="9"/>
    <w:unhideWhenUsed/>
    <w:qFormat/>
    <w:rsid w:val="00414884"/>
    <w:pPr>
      <w:keepNext/>
      <w:keepLines/>
      <w:spacing w:before="40" w:after="0"/>
      <w:outlineLvl w:val="3"/>
    </w:pPr>
    <w:rPr>
      <w:rFonts w:ascii="Tahoma" w:eastAsiaTheme="majorEastAsia" w:hAnsi="Tahoma" w:cs="Tahoma"/>
      <w:i/>
      <w:iCs/>
      <w:color w:val="2E74B5" w:themeColor="accent1" w:themeShade="BF"/>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414884"/>
    <w:rPr>
      <w:rFonts w:ascii="Tahoma" w:hAnsi="Tahoma" w:cs="Tahoma"/>
      <w:b/>
      <w:color w:val="1F4E79" w:themeColor="accent1" w:themeShade="80"/>
    </w:rPr>
  </w:style>
  <w:style w:type="character" w:customStyle="1" w:styleId="Naslov2Znak">
    <w:name w:val="Naslov 2 Znak"/>
    <w:basedOn w:val="Privzetapisavaodstavka"/>
    <w:link w:val="Naslov2"/>
    <w:uiPriority w:val="9"/>
    <w:rsid w:val="00414884"/>
    <w:rPr>
      <w:rFonts w:ascii="Tahoma" w:hAnsi="Tahoma" w:cs="Tahoma"/>
      <w:b/>
      <w:i/>
      <w:color w:val="1F4E79" w:themeColor="accent1" w:themeShade="80"/>
      <w:sz w:val="20"/>
      <w:szCs w:val="20"/>
    </w:rPr>
  </w:style>
  <w:style w:type="character" w:customStyle="1" w:styleId="Naslov3Znak">
    <w:name w:val="Naslov 3 Znak"/>
    <w:basedOn w:val="Privzetapisavaodstavka"/>
    <w:link w:val="Naslov3"/>
    <w:uiPriority w:val="9"/>
    <w:rsid w:val="00414884"/>
    <w:rPr>
      <w:rFonts w:ascii="Tahoma" w:hAnsi="Tahoma" w:cs="Tahoma"/>
      <w:color w:val="1F4E79" w:themeColor="accent1" w:themeShade="80"/>
      <w:sz w:val="20"/>
      <w:szCs w:val="20"/>
    </w:rPr>
  </w:style>
  <w:style w:type="character" w:customStyle="1" w:styleId="Naslov4Znak">
    <w:name w:val="Naslov 4 Znak"/>
    <w:basedOn w:val="Privzetapisavaodstavka"/>
    <w:link w:val="Naslov4"/>
    <w:uiPriority w:val="9"/>
    <w:rsid w:val="00414884"/>
    <w:rPr>
      <w:rFonts w:ascii="Tahoma" w:eastAsiaTheme="majorEastAsia" w:hAnsi="Tahoma" w:cs="Tahoma"/>
      <w:i/>
      <w:iCs/>
      <w:color w:val="2E74B5" w:themeColor="accent1" w:themeShade="BF"/>
      <w:sz w:val="20"/>
      <w:szCs w:val="20"/>
    </w:rPr>
  </w:style>
  <w:style w:type="paragraph" w:styleId="Odstavekseznama">
    <w:name w:val="List Paragraph"/>
    <w:basedOn w:val="Navaden"/>
    <w:uiPriority w:val="34"/>
    <w:qFormat/>
    <w:rsid w:val="00414884"/>
    <w:pPr>
      <w:ind w:left="720"/>
      <w:contextualSpacing/>
    </w:pPr>
  </w:style>
  <w:style w:type="paragraph" w:styleId="Glava">
    <w:name w:val="header"/>
    <w:basedOn w:val="Navaden"/>
    <w:link w:val="GlavaZnak"/>
    <w:uiPriority w:val="99"/>
    <w:unhideWhenUsed/>
    <w:rsid w:val="00414884"/>
    <w:pPr>
      <w:tabs>
        <w:tab w:val="center" w:pos="4536"/>
        <w:tab w:val="right" w:pos="9072"/>
      </w:tabs>
      <w:spacing w:after="0" w:line="240" w:lineRule="auto"/>
    </w:pPr>
  </w:style>
  <w:style w:type="character" w:customStyle="1" w:styleId="GlavaZnak">
    <w:name w:val="Glava Znak"/>
    <w:basedOn w:val="Privzetapisavaodstavka"/>
    <w:link w:val="Glava"/>
    <w:uiPriority w:val="99"/>
    <w:rsid w:val="00414884"/>
  </w:style>
  <w:style w:type="paragraph" w:styleId="Noga">
    <w:name w:val="footer"/>
    <w:basedOn w:val="Navaden"/>
    <w:link w:val="NogaZnak"/>
    <w:uiPriority w:val="99"/>
    <w:unhideWhenUsed/>
    <w:rsid w:val="00414884"/>
    <w:pPr>
      <w:tabs>
        <w:tab w:val="center" w:pos="4536"/>
        <w:tab w:val="right" w:pos="9072"/>
      </w:tabs>
      <w:spacing w:after="0" w:line="240" w:lineRule="auto"/>
    </w:pPr>
  </w:style>
  <w:style w:type="character" w:customStyle="1" w:styleId="NogaZnak">
    <w:name w:val="Noga Znak"/>
    <w:basedOn w:val="Privzetapisavaodstavka"/>
    <w:link w:val="Noga"/>
    <w:uiPriority w:val="99"/>
    <w:rsid w:val="00414884"/>
  </w:style>
  <w:style w:type="character" w:styleId="Sprotnaopomba-sklic">
    <w:name w:val="footnote reference"/>
    <w:uiPriority w:val="99"/>
    <w:unhideWhenUsed/>
    <w:rsid w:val="0041488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radni-list.si/glasilo-uradni-list-rs/vsebina/2023-01-3592/resolucija-o-krepitvi-potresne-varnosti-do-leta-2050-prehitimo-potres-rekpv50" TargetMode="External"/><Relationship Id="rId18" Type="http://schemas.openxmlformats.org/officeDocument/2006/relationships/hyperlink" Target="https://eur-lex.europa.eu/legal-content/SL/TXT/PDF/?uri=CELEX:52020DC0605" TargetMode="External"/><Relationship Id="rId26" Type="http://schemas.openxmlformats.org/officeDocument/2006/relationships/hyperlink" Target="https://www.gov.si/assets/ministrstva/MP/Antisemitizem/Strategija-Republike-Slovenije-za-boj-proti-antisemitizmu-do-leta-2033.pdf" TargetMode="External"/><Relationship Id="rId39" Type="http://schemas.openxmlformats.org/officeDocument/2006/relationships/hyperlink" Target="https://www.gov.si/assets/ministrstva/MZ/DOKUMENTI/DJZ-Preventiva-in-skrb-za-zdravje/droge/droge-2023/Akcijski-nacrt-na-podrocju-prepovedanih-drog-2024-2025-151223.docx" TargetMode="External"/><Relationship Id="rId21" Type="http://schemas.openxmlformats.org/officeDocument/2006/relationships/hyperlink" Target="https://eur-lex.europa.eu/legal-content/SL/TXT/PDF/?uri=OJ:C:2021:102I:FULL" TargetMode="External"/><Relationship Id="rId34" Type="http://schemas.openxmlformats.org/officeDocument/2006/relationships/hyperlink" Target="https://www.policija.si/images/stories/O_Policiji/NacrtiPorocila/NacrtRazvojaInDelaPolicije2023-2027.pdf" TargetMode="External"/><Relationship Id="rId42" Type="http://schemas.openxmlformats.org/officeDocument/2006/relationships/hyperlink" Target="https://www.gov.si/assets/ministrstva/MDP/Dokumenti/Nacrt-za-digitalno-desetletje.pdf" TargetMode="External"/><Relationship Id="rId47" Type="http://schemas.openxmlformats.org/officeDocument/2006/relationships/hyperlink" Target="https://www.gov.si/assets/organi-v-sestavi/URSZR/Datoteke/Drzavni-nacrti/dn_pozar_2018.pdf" TargetMode="External"/><Relationship Id="rId50" Type="http://schemas.openxmlformats.org/officeDocument/2006/relationships/hyperlink" Target="https://gasilec.net/wp-content/uploads/2021/04/ZELEZNISKA-NESRECA.pdf" TargetMode="External"/><Relationship Id="rId55" Type="http://schemas.openxmlformats.org/officeDocument/2006/relationships/hyperlink" Target="https://eur-lex.europa.eu/legal-content/SL/TXT/HTML/?uri=CELEX:52020DC0606%2801%29" TargetMode="External"/><Relationship Id="rId63" Type="http://schemas.openxmlformats.org/officeDocument/2006/relationships/hyperlink" Target="http://vrs-3.vlada.si/MANDAT20/vladnagradiva.nsf/71d4985ffda5de89c12572c3003716c4/ed2a000f335a542ac12586ed001eb3ee/$FILE/Porocilo.doc" TargetMode="External"/><Relationship Id="rId68" Type="http://schemas.openxmlformats.org/officeDocument/2006/relationships/hyperlink" Target="https://www.gov.si/assets/ministrstva/MZZ/Dokumenti/multilaterala/mednarodno-pravo/Dunajska-konvencija-o-diplomatskih-odnosih.pdf" TargetMode="External"/><Relationship Id="rId76" Type="http://schemas.openxmlformats.org/officeDocument/2006/relationships/header" Target="header1.xml"/><Relationship Id="rId7" Type="http://schemas.openxmlformats.org/officeDocument/2006/relationships/hyperlink" Target="https://www.uradni-list.si/glasilo-uradni-list-rs/vsebina/2015-01-2927" TargetMode="External"/><Relationship Id="rId71" Type="http://schemas.openxmlformats.org/officeDocument/2006/relationships/hyperlink" Target="https://rm.coe.int/peti-krog-ocenjevanja-preprecevanje-korupcije-in-spodbujanje-integrite/1680a40a33" TargetMode="External"/><Relationship Id="rId2" Type="http://schemas.openxmlformats.org/officeDocument/2006/relationships/styles" Target="styles.xml"/><Relationship Id="rId16" Type="http://schemas.openxmlformats.org/officeDocument/2006/relationships/hyperlink" Target="https://skupnostobcin.si/2024/02/29/resolucija-o-nacionalnem-programu-za-mladino-za-obdobje-2023-2032-v-medresorski-razpravi/" TargetMode="External"/><Relationship Id="rId29" Type="http://schemas.openxmlformats.org/officeDocument/2006/relationships/hyperlink" Target="https://www.gov.si/assets/ministrstva/MZZ/Dokumenti/multilaterala/Nato-medn.-operacije-varnost-terorizem/c30954326d/strategija_sodelovanja_RS_MOM.pdf" TargetMode="External"/><Relationship Id="rId11" Type="http://schemas.openxmlformats.org/officeDocument/2006/relationships/hyperlink" Target="https://www.uradni-list.si/_pdf/2016/Ur/u2016025.pdf" TargetMode="External"/><Relationship Id="rId24" Type="http://schemas.openxmlformats.org/officeDocument/2006/relationships/hyperlink" Target="https://www.gov.si/assets/vlada/Razno/Nacionalna-strategija-za-preprecevanje-terorizma-in-nasilnega-ekstremizma-2019.doc" TargetMode="External"/><Relationship Id="rId32" Type="http://schemas.openxmlformats.org/officeDocument/2006/relationships/hyperlink" Target="https://www.gov.si/assets/ministrstva/MDP/Dokumenti/DSI2030-potrjena-na-Vladi-RS_marec-2023.pdf" TargetMode="External"/><Relationship Id="rId37" Type="http://schemas.openxmlformats.org/officeDocument/2006/relationships/hyperlink" Target="https://eur-lex.europa.eu/legal-content/SL/TXT/HTML/?uri=CELEX:52023DC0641" TargetMode="External"/><Relationship Id="rId40" Type="http://schemas.openxmlformats.org/officeDocument/2006/relationships/hyperlink" Target="https://www.gov.si/assets/ministrstva/MNZ/SPBTL/POROCILA/Akcijski-nacrti/Akcijski-nacrt-2023-2024.docx" TargetMode="External"/><Relationship Id="rId45" Type="http://schemas.openxmlformats.org/officeDocument/2006/relationships/hyperlink" Target="https://www.gov.si/assets/organi-v-sestavi/URSZR/Datoteke/Drzavni-nacrti/dn_potres_azuriran_2020.pdf" TargetMode="External"/><Relationship Id="rId53" Type="http://schemas.openxmlformats.org/officeDocument/2006/relationships/hyperlink" Target="https://www.gov.si/assets/organi-v-sestavi/URSZR/Datoteke/Drzavni-nacrti/DNzrakoplov5_0.docx" TargetMode="External"/><Relationship Id="rId58" Type="http://schemas.openxmlformats.org/officeDocument/2006/relationships/hyperlink" Target="https://eur-lex.europa.eu/legal-content/SL/TXT/PDF/?uri=CELEX:52023PC0754" TargetMode="External"/><Relationship Id="rId66" Type="http://schemas.openxmlformats.org/officeDocument/2006/relationships/hyperlink" Target="https://www.uradni-list.si/glasilo-uradni-list-rs/vsebina/2015-02-0068/zakon-o-ratifikaciji-sporazuma-med-vlado-republike-slovenije-in-vlado-republike-makedonije-o-policijskem-sodelovanju-bmksps" TargetMode="External"/><Relationship Id="rId74" Type="http://schemas.openxmlformats.org/officeDocument/2006/relationships/hyperlink" Target="https://www.gov.si/assets/ministrstva/MDDSZ/Invalidi/API-2022-2030/Akcijski_program_za_invalide_2022_2030.docx" TargetMode="External"/><Relationship Id="rId79"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s://2009-2017.state.gov/j/tip/rls/tiprpt/countries/2016/258857.htm" TargetMode="External"/><Relationship Id="rId10" Type="http://schemas.openxmlformats.org/officeDocument/2006/relationships/hyperlink" Target="https://www.uradni-list.si/glasilo-uradni-list-rs/vsebina/2022-01-0985" TargetMode="External"/><Relationship Id="rId19" Type="http://schemas.openxmlformats.org/officeDocument/2006/relationships/hyperlink" Target="https://eur-lex.europa.eu/legal-content/SL/TXT/PDF/?uri=CELEX:52021DC0170&amp;qid=1712650228444" TargetMode="External"/><Relationship Id="rId31" Type="http://schemas.openxmlformats.org/officeDocument/2006/relationships/hyperlink" Target="https://www.gov.si/assets/ministrstva/MDP/Dokumenti/Strategija_digitalnih_javnih_storitev_2030-1.pdf" TargetMode="External"/><Relationship Id="rId44" Type="http://schemas.openxmlformats.org/officeDocument/2006/relationships/hyperlink" Target="https://www.gov.si/assets/vladne-sluzbe/URSIV/Datoteke/Dokumenti/2022-03-NOKI.pdf" TargetMode="External"/><Relationship Id="rId52" Type="http://schemas.openxmlformats.org/officeDocument/2006/relationships/hyperlink" Target="https://www.gov.si/assets/organi-v-sestavi/URSZR/Datoteke/Drzavni-nacrti/dn_terorizem_azuriran_2015.pdf" TargetMode="External"/><Relationship Id="rId60" Type="http://schemas.openxmlformats.org/officeDocument/2006/relationships/hyperlink" Target="https://www.gov.si/assets/ministrstva/MNZ/SPBTL/POROCILA/Porocilo-GRETA-2023_SLO.docx" TargetMode="External"/><Relationship Id="rId65" Type="http://schemas.openxmlformats.org/officeDocument/2006/relationships/hyperlink" Target="https://www.gov.si/assets/ministrstva/MzI/Dokumenti/letalstvo/Drzavni-varnostni-program-civilnega-letalstva-2024.pdf" TargetMode="External"/><Relationship Id="rId73" Type="http://schemas.openxmlformats.org/officeDocument/2006/relationships/hyperlink" Target="https://www.gzs.si/Portals/Panoga-ZIT/Vsebine/novice-priponke/NpUI-SI-2025.pdf" TargetMode="External"/><Relationship Id="rId78"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uradni-list.si/glasilo-uradni-list-rs/vsebina/2023-01-3598" TargetMode="External"/><Relationship Id="rId14" Type="http://schemas.openxmlformats.org/officeDocument/2006/relationships/hyperlink" Target="https://www.uradni-list.si/glasilo-uradni-list-rs/vsebina/2023-01-3593/resolucija-o-jedrski-in-sevalni-varnosti-v-republiki-sloveniji-za-obdobje-2024-2033-rejsv24-33" TargetMode="External"/><Relationship Id="rId22" Type="http://schemas.openxmlformats.org/officeDocument/2006/relationships/hyperlink" Target="https://eur-lex.europa.eu/legal-content/SL/TXT/PDF/?uri=CELEX:52021DC0171&amp;from=EN" TargetMode="External"/><Relationship Id="rId27" Type="http://schemas.openxmlformats.org/officeDocument/2006/relationships/hyperlink" Target="https://www.gov.si/assets/ministrstva/MNZ/SOJ/Novice/Strategija-vlade-RS-na-podrocju-priseljevanja.pdf" TargetMode="External"/><Relationship Id="rId30" Type="http://schemas.openxmlformats.org/officeDocument/2006/relationships/hyperlink" Target="https://www.gov.si/assets/ministrstva/MDP/DID/Strategija-kibernetske-varnosti.pdf" TargetMode="External"/><Relationship Id="rId35" Type="http://schemas.openxmlformats.org/officeDocument/2006/relationships/hyperlink" Target="https://secure.ipex.eu/IPEXL-WEB/download/file/8a8629a87398b94101739f6173500649" TargetMode="External"/><Relationship Id="rId43" Type="http://schemas.openxmlformats.org/officeDocument/2006/relationships/hyperlink" Target="https://www.gov.si/assets/ministrstva/MO/Gradiva/EU-CC-NIN.docx" TargetMode="External"/><Relationship Id="rId48" Type="http://schemas.openxmlformats.org/officeDocument/2006/relationships/hyperlink" Target="https://www.gov.si/assets/organi-v-sestavi/URSZR/Datoteke/Drzavni-nacrti/dn_jedrska_radioloska_2023.pdf" TargetMode="External"/><Relationship Id="rId56" Type="http://schemas.openxmlformats.org/officeDocument/2006/relationships/hyperlink" Target="C://Users/drus/Downloads/1_SL_ACT_part1_v2%20(1).pdf" TargetMode="External"/><Relationship Id="rId64" Type="http://schemas.openxmlformats.org/officeDocument/2006/relationships/hyperlink" Target="https://www.gov.si/assets/ministrstva/MZEZ/Dokumenti/multilaterala/clovekove-pravice/porocila-SLO-po-instrumentih-o-clovekovih-pravicah/Cetrto-porocilo-Slovenije-o-izvajanju-Konvencije-proti-mucenju.pdf" TargetMode="External"/><Relationship Id="rId69" Type="http://schemas.openxmlformats.org/officeDocument/2006/relationships/hyperlink" Target="https://www.gov.si/assets/ministrstva/MZZ/Dokumenti/multilaterala/mednarodno-pravo/Dunajska-konvencija-o-konzularnih-odnosih.pdf" TargetMode="External"/><Relationship Id="rId77" Type="http://schemas.openxmlformats.org/officeDocument/2006/relationships/footer" Target="footer2.xml"/><Relationship Id="rId8" Type="http://schemas.openxmlformats.org/officeDocument/2006/relationships/hyperlink" Target="https://www.uradni-list.si/glasilo-uradni-list-rs/vsebina/2019-01-2618" TargetMode="External"/><Relationship Id="rId51" Type="http://schemas.openxmlformats.org/officeDocument/2006/relationships/hyperlink" Target="https://www.gov.si/assets/organi-v-sestavi/URSZR/Datoteke/Drzavni-nacrti/dn_epidemija_2020.pdf" TargetMode="External"/><Relationship Id="rId72" Type="http://schemas.openxmlformats.org/officeDocument/2006/relationships/hyperlink" Target="https://rm.coe.int/fifth-evaluation-round-preventing-corruption-and-promoting-integrity-i/1680aa9f5f" TargetMode="External"/><Relationship Id="rId3" Type="http://schemas.openxmlformats.org/officeDocument/2006/relationships/settings" Target="settings.xml"/><Relationship Id="rId12" Type="http://schemas.openxmlformats.org/officeDocument/2006/relationships/hyperlink" Target="https://www.uradni-list.si/glasilo-uradni-list-rs/vsebina/2017-01-2441/resolucija-o-mednarodnem-razvojnem-sodelovanju-in-humanitarni-pomoci-republike-slovenije-remrshp" TargetMode="External"/><Relationship Id="rId17" Type="http://schemas.openxmlformats.org/officeDocument/2006/relationships/hyperlink" Target="https://www.zdruzenjeobcin.si/predlogi-predpisov/predlog-resolucije-o-nacionalnem-programu-varstva-pred-naravnimi-in-drugimi-nesrecami-v-letih-od-2024-do-2030/" TargetMode="External"/><Relationship Id="rId25" Type="http://schemas.openxmlformats.org/officeDocument/2006/relationships/hyperlink" Target="C://Users/drus/Downloads/2022-01-2820-2021-01-3163-npb1-p1%20(1).pdf" TargetMode="External"/><Relationship Id="rId33" Type="http://schemas.openxmlformats.org/officeDocument/2006/relationships/hyperlink" Target="https://www.policija.si/images/stories/O_Policiji/NacrtiPorocila/NacrtDelaPolicije2024.pdf" TargetMode="External"/><Relationship Id="rId38" Type="http://schemas.openxmlformats.org/officeDocument/2006/relationships/hyperlink" Target="https://commission.europa.eu/document/download/beb25da4-e6b9-459e-89f7-bcdbd3a8f0c8_sl?filename=a_union_of_equality_eu_action_plan_against_racism_2020_-2025_sl.pdf" TargetMode="External"/><Relationship Id="rId46" Type="http://schemas.openxmlformats.org/officeDocument/2006/relationships/hyperlink" Target="https://www.gov.si/assets/organi-v-sestavi/URSZR/Datoteke/Drzavni-nacrti/dn_poplave_2019.pdf" TargetMode="External"/><Relationship Id="rId59" Type="http://schemas.openxmlformats.org/officeDocument/2006/relationships/hyperlink" Target="https://eur-lex.europa.eu/LexUriServ/LexUriServ.do?uri=OJ:L:2011:101:0001:0011:sl:PDF" TargetMode="External"/><Relationship Id="rId67" Type="http://schemas.openxmlformats.org/officeDocument/2006/relationships/hyperlink" Target="https://www.gov.si/assets/vladne-sluzbe/UN/NPUR-2021-2030/108NPRomi.docx" TargetMode="External"/><Relationship Id="rId20" Type="http://schemas.openxmlformats.org/officeDocument/2006/relationships/hyperlink" Target="https://eur-lex.europa.eu/legal-content/SL/TXT/PDF/?uri=CELEX:52020DC0607" TargetMode="External"/><Relationship Id="rId41" Type="http://schemas.openxmlformats.org/officeDocument/2006/relationships/hyperlink" Target="https://www.gov.si/assets/ministrstva/MZEZ/Dokumenti/skupna-zunanja-in-evropska-politika/siritev-in-JV-evropa/ANC-ZB-za-2024.pdf" TargetMode="External"/><Relationship Id="rId54" Type="http://schemas.openxmlformats.org/officeDocument/2006/relationships/hyperlink" Target="https://www.gov.si/zbirke/projekti-in-programi/nacrt-za-okrevanje-in-odpornost" TargetMode="External"/><Relationship Id="rId62" Type="http://schemas.openxmlformats.org/officeDocument/2006/relationships/hyperlink" Target="https://data.consilium.europa.eu/doc/document/ST-7542-2024-INIT/en/pdf" TargetMode="External"/><Relationship Id="rId70" Type="http://schemas.openxmlformats.org/officeDocument/2006/relationships/hyperlink" Target="https://www.gov.si/assets/ministrstva/MJU/DJS/Studija-OECD/Ravnanje-s-starejsimi-zaposlenimi-in-talenti-v-evropskih-javnih-upravah.pdf" TargetMode="External"/><Relationship Id="rId75"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uradni-list.si/glasilo-uradni-list-rs/vsebina/2023-01-2971?sop=2023-01-2971" TargetMode="External"/><Relationship Id="rId23" Type="http://schemas.openxmlformats.org/officeDocument/2006/relationships/hyperlink" Target="https://www.gov.si/assets/ministrstva/MKRR/Strategija-razvoja-Slovenije-2030/Strategija_razvoja_Slovenije_2030.pdf" TargetMode="External"/><Relationship Id="rId28" Type="http://schemas.openxmlformats.org/officeDocument/2006/relationships/hyperlink" Target="https://www.gov.si/assets/ministrstva/MNZ/SOJ/Novice/2023/11-November/Strategija-vkljucevanja-tujcev-17.11.2023_pop.docx" TargetMode="External"/><Relationship Id="rId36" Type="http://schemas.openxmlformats.org/officeDocument/2006/relationships/hyperlink" Target="https://eur-lex.europa.eu/legal-content/SL/TXT/PDF/?uri=CELEX:52021DC0591" TargetMode="External"/><Relationship Id="rId49" Type="http://schemas.openxmlformats.org/officeDocument/2006/relationships/hyperlink" Target="https://www.gov.si/assets/organi-v-sestavi/URSZR/Datoteke/Drzavni-nacrti/dn_morje_2018.pdf" TargetMode="External"/><Relationship Id="rId57" Type="http://schemas.openxmlformats.org/officeDocument/2006/relationships/hyperlink" Target="https://www.gov.si/assets/ministrstva/MVI/SRI/NASILJE/brosura_priprorocila-za-preprecevanje-sovraznega-govora-1.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4006</Words>
  <Characters>22838</Characters>
  <Application>Microsoft Office Word</Application>
  <DocSecurity>0</DocSecurity>
  <Lines>190</Lines>
  <Paragraphs>53</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26791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Staš Svetek</dc:creator>
  <cp:keywords/>
  <dc:description/>
  <cp:lastModifiedBy>KOLENC Tadeja</cp:lastModifiedBy>
  <cp:revision>3</cp:revision>
  <dcterms:created xsi:type="dcterms:W3CDTF">2024-12-03T13:21:00Z</dcterms:created>
  <dcterms:modified xsi:type="dcterms:W3CDTF">2024-12-03T13:23:00Z</dcterms:modified>
</cp:coreProperties>
</file>