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0BEA01" w14:textId="7F81D425" w:rsidR="00451FB6" w:rsidRDefault="00451FB6" w:rsidP="00451FB6">
      <w:pPr>
        <w:tabs>
          <w:tab w:val="center" w:pos="4703"/>
          <w:tab w:val="right" w:pos="9406"/>
        </w:tabs>
        <w:spacing w:after="0" w:line="240" w:lineRule="auto"/>
        <w:rPr>
          <w:rFonts w:ascii="Times New Roman" w:eastAsia="Times New Roman" w:hAnsi="Times New Roman" w:cs="Times New Roman"/>
          <w:b/>
          <w:kern w:val="0"/>
          <w:szCs w:val="24"/>
          <w:lang w:eastAsia="x-none"/>
          <w14:ligatures w14:val="none"/>
        </w:rPr>
      </w:pPr>
      <w:r w:rsidRPr="00217B79">
        <w:rPr>
          <w:rFonts w:ascii="Times New Roman" w:eastAsia="Times New Roman" w:hAnsi="Times New Roman" w:cs="Times New Roman"/>
          <w:b/>
          <w:kern w:val="0"/>
          <w:szCs w:val="24"/>
          <w:lang w:eastAsia="x-none"/>
          <w14:ligatures w14:val="none"/>
        </w:rPr>
        <w:t>Priloga</w:t>
      </w:r>
      <w:r>
        <w:rPr>
          <w:rFonts w:ascii="Times New Roman" w:eastAsia="Times New Roman" w:hAnsi="Times New Roman" w:cs="Times New Roman"/>
          <w:b/>
          <w:kern w:val="0"/>
          <w:szCs w:val="24"/>
          <w:lang w:eastAsia="x-none"/>
          <w14:ligatures w14:val="none"/>
        </w:rPr>
        <w:t xml:space="preserve"> </w:t>
      </w:r>
      <w:r w:rsidR="00286008">
        <w:rPr>
          <w:rFonts w:ascii="Times New Roman" w:eastAsia="Times New Roman" w:hAnsi="Times New Roman" w:cs="Times New Roman"/>
          <w:b/>
          <w:kern w:val="0"/>
          <w:szCs w:val="24"/>
          <w:lang w:eastAsia="x-none"/>
          <w14:ligatures w14:val="none"/>
        </w:rPr>
        <w:t>9</w:t>
      </w:r>
      <w:r>
        <w:rPr>
          <w:rFonts w:ascii="Times New Roman" w:eastAsia="Times New Roman" w:hAnsi="Times New Roman" w:cs="Times New Roman"/>
          <w:b/>
          <w:kern w:val="0"/>
          <w:szCs w:val="24"/>
          <w:lang w:eastAsia="x-none"/>
          <w14:ligatures w14:val="none"/>
        </w:rPr>
        <w:t>:</w:t>
      </w:r>
    </w:p>
    <w:p w14:paraId="0B8A2E21" w14:textId="2AD3ACFD" w:rsidR="00217B79" w:rsidRPr="00CE2478" w:rsidRDefault="00451FB6" w:rsidP="00CE2478">
      <w:pPr>
        <w:tabs>
          <w:tab w:val="center" w:pos="4703"/>
          <w:tab w:val="right" w:pos="9406"/>
        </w:tabs>
        <w:spacing w:after="0" w:line="240" w:lineRule="auto"/>
        <w:jc w:val="right"/>
        <w:rPr>
          <w:rFonts w:ascii="Times New Roman" w:eastAsia="Times New Roman" w:hAnsi="Times New Roman" w:cs="Times New Roman"/>
          <w:b/>
          <w:kern w:val="0"/>
          <w:szCs w:val="24"/>
          <w:lang w:eastAsia="x-none"/>
          <w14:ligatures w14:val="none"/>
        </w:rPr>
      </w:pPr>
      <w:r>
        <w:rPr>
          <w:rFonts w:ascii="Times New Roman" w:eastAsia="Times New Roman" w:hAnsi="Times New Roman" w:cs="Times New Roman"/>
          <w:b/>
          <w:kern w:val="0"/>
          <w:szCs w:val="24"/>
          <w:lang w:eastAsia="x-none"/>
          <w14:ligatures w14:val="none"/>
        </w:rPr>
        <w:t>»</w:t>
      </w:r>
      <w:r w:rsidR="00217B79" w:rsidRPr="00217B79">
        <w:rPr>
          <w:rFonts w:ascii="Times New Roman" w:eastAsia="Times New Roman" w:hAnsi="Times New Roman" w:cs="Times New Roman"/>
          <w:b/>
          <w:kern w:val="0"/>
          <w:szCs w:val="24"/>
          <w:lang w:eastAsia="x-none"/>
          <w14:ligatures w14:val="none"/>
        </w:rPr>
        <w:t>Priloga 7</w:t>
      </w:r>
      <w:r>
        <w:rPr>
          <w:rFonts w:ascii="Times New Roman" w:eastAsia="Times New Roman" w:hAnsi="Times New Roman" w:cs="Times New Roman"/>
          <w:b/>
          <w:kern w:val="0"/>
          <w:szCs w:val="24"/>
          <w:lang w:eastAsia="x-none"/>
          <w14:ligatures w14:val="none"/>
        </w:rPr>
        <w:t>c</w:t>
      </w:r>
    </w:p>
    <w:p w14:paraId="4F184F7A" w14:textId="77777777" w:rsidR="00217B79" w:rsidRPr="00217B79" w:rsidRDefault="00217B79" w:rsidP="00217B79">
      <w:pPr>
        <w:spacing w:after="0" w:line="360" w:lineRule="auto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Zavezanec za davek: ……………………………………………                                                                                                                   </w:t>
      </w:r>
    </w:p>
    <w:p w14:paraId="72ADCA97" w14:textId="77777777" w:rsidR="00217B79" w:rsidRPr="00217B79" w:rsidRDefault="00217B79" w:rsidP="00217B79">
      <w:pPr>
        <w:spacing w:after="0" w:line="240" w:lineRule="auto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Davčna številka: ……………….                                 </w:t>
      </w:r>
    </w:p>
    <w:p w14:paraId="104209CE" w14:textId="77777777" w:rsidR="00217B79" w:rsidRPr="00217B79" w:rsidRDefault="00217B79" w:rsidP="00217B79">
      <w:pPr>
        <w:spacing w:after="0" w:line="240" w:lineRule="auto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507EDC8E" w14:textId="34986877" w:rsidR="00217B79" w:rsidRPr="00217B79" w:rsidRDefault="00217B79" w:rsidP="003736A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b/>
          <w:kern w:val="0"/>
          <w:lang w:eastAsia="sl-SI"/>
          <w14:ligatures w14:val="none"/>
        </w:rPr>
        <w:t xml:space="preserve">PODATKI V ZVEZI Z OLAJŠAVO ZA VLAGANJA V </w:t>
      </w:r>
      <w:r w:rsidR="00234F72" w:rsidRPr="00234F72">
        <w:rPr>
          <w:rFonts w:ascii="Times New Roman" w:eastAsia="Times New Roman" w:hAnsi="Times New Roman" w:cs="Times New Roman"/>
          <w:b/>
          <w:bCs/>
          <w:kern w:val="0"/>
          <w:lang w:eastAsia="sl-SI"/>
          <w14:ligatures w14:val="none"/>
        </w:rPr>
        <w:t>DIGITALNI IN ZELENI PREHOD</w:t>
      </w:r>
      <w:r w:rsidR="00234F72">
        <w:rPr>
          <w:rFonts w:ascii="Times New Roman" w:eastAsia="Times New Roman" w:hAnsi="Times New Roman" w:cs="Times New Roman"/>
          <w:b/>
          <w:bCs/>
          <w:kern w:val="0"/>
          <w:lang w:eastAsia="sl-SI"/>
          <w14:ligatures w14:val="none"/>
        </w:rPr>
        <w:t xml:space="preserve"> </w:t>
      </w:r>
      <w:r w:rsidR="000577C3" w:rsidRPr="000577C3">
        <w:rPr>
          <w:rFonts w:ascii="Times New Roman" w:eastAsia="Times New Roman" w:hAnsi="Times New Roman" w:cs="Times New Roman"/>
          <w:b/>
          <w:kern w:val="0"/>
          <w:lang w:eastAsia="sl-SI"/>
          <w14:ligatures w14:val="none"/>
        </w:rPr>
        <w:t>po 55.c členu ZDDPO-2</w:t>
      </w:r>
      <w:r w:rsidRPr="00217B79">
        <w:rPr>
          <w:rFonts w:ascii="Times New Roman" w:eastAsia="Times New Roman" w:hAnsi="Times New Roman" w:cs="Times New Roman"/>
          <w:b/>
          <w:kern w:val="0"/>
          <w:lang w:eastAsia="sl-SI"/>
          <w14:ligatures w14:val="none"/>
        </w:rPr>
        <w:t xml:space="preserve"> v povezavi </w:t>
      </w:r>
      <w:r w:rsidR="000577C3">
        <w:rPr>
          <w:rFonts w:ascii="Times New Roman" w:eastAsia="Times New Roman" w:hAnsi="Times New Roman" w:cs="Times New Roman"/>
          <w:b/>
          <w:kern w:val="0"/>
          <w:lang w:eastAsia="sl-SI"/>
          <w14:ligatures w14:val="none"/>
        </w:rPr>
        <w:t>z 8</w:t>
      </w:r>
      <w:r w:rsidRPr="00217B79">
        <w:rPr>
          <w:rFonts w:ascii="Times New Roman" w:eastAsia="Times New Roman" w:hAnsi="Times New Roman" w:cs="Times New Roman"/>
          <w:b/>
          <w:kern w:val="0"/>
          <w:lang w:eastAsia="sl-SI"/>
          <w14:ligatures w14:val="none"/>
        </w:rPr>
        <w:t>. členom ZDDPO-2</w:t>
      </w:r>
      <w:r w:rsidR="000577C3">
        <w:rPr>
          <w:rFonts w:ascii="Times New Roman" w:eastAsia="Times New Roman" w:hAnsi="Times New Roman" w:cs="Times New Roman"/>
          <w:b/>
          <w:kern w:val="0"/>
          <w:lang w:eastAsia="sl-SI"/>
          <w14:ligatures w14:val="none"/>
        </w:rPr>
        <w:t>U</w:t>
      </w:r>
    </w:p>
    <w:p w14:paraId="2DE020AF" w14:textId="77777777" w:rsidR="00217B79" w:rsidRPr="00217B79" w:rsidRDefault="00217B79" w:rsidP="00217B79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kern w:val="0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b/>
          <w:kern w:val="0"/>
          <w:lang w:eastAsia="sl-SI"/>
          <w14:ligatures w14:val="none"/>
        </w:rPr>
        <w:t>Za obdobje od ____________ do ____________</w:t>
      </w:r>
      <w:r w:rsidRPr="00217B79">
        <w:rPr>
          <w:rFonts w:ascii="Times New Roman" w:eastAsia="Times New Roman" w:hAnsi="Times New Roman" w:cs="Times New Roman"/>
          <w:b/>
          <w:kern w:val="0"/>
          <w:lang w:eastAsia="sl-SI"/>
          <w14:ligatures w14:val="none"/>
        </w:rPr>
        <w:tab/>
      </w:r>
      <w:r w:rsidRPr="00217B79">
        <w:rPr>
          <w:rFonts w:ascii="Times New Roman" w:eastAsia="Times New Roman" w:hAnsi="Times New Roman" w:cs="Times New Roman"/>
          <w:b/>
          <w:kern w:val="0"/>
          <w:lang w:eastAsia="sl-SI"/>
          <w14:ligatures w14:val="none"/>
        </w:rPr>
        <w:tab/>
      </w:r>
      <w:r w:rsidRPr="00217B79">
        <w:rPr>
          <w:rFonts w:ascii="Times New Roman" w:eastAsia="Times New Roman" w:hAnsi="Times New Roman" w:cs="Times New Roman"/>
          <w:b/>
          <w:kern w:val="0"/>
          <w:lang w:eastAsia="sl-SI"/>
          <w14:ligatures w14:val="none"/>
        </w:rPr>
        <w:tab/>
      </w:r>
      <w:r w:rsidRPr="00217B79">
        <w:rPr>
          <w:rFonts w:ascii="Times New Roman" w:eastAsia="Times New Roman" w:hAnsi="Times New Roman" w:cs="Times New Roman"/>
          <w:b/>
          <w:kern w:val="0"/>
          <w:lang w:eastAsia="sl-SI"/>
          <w14:ligatures w14:val="none"/>
        </w:rPr>
        <w:tab/>
      </w:r>
      <w:r w:rsidRPr="00217B79">
        <w:rPr>
          <w:rFonts w:ascii="Times New Roman" w:eastAsia="Times New Roman" w:hAnsi="Times New Roman" w:cs="Times New Roman"/>
          <w:b/>
          <w:kern w:val="0"/>
          <w:lang w:eastAsia="sl-SI"/>
          <w14:ligatures w14:val="none"/>
        </w:rPr>
        <w:tab/>
      </w:r>
    </w:p>
    <w:p w14:paraId="7952172F" w14:textId="77777777" w:rsidR="00796BC2" w:rsidRDefault="00217B79" w:rsidP="00217B79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kern w:val="0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b/>
          <w:kern w:val="0"/>
          <w:lang w:eastAsia="sl-SI"/>
          <w14:ligatures w14:val="none"/>
        </w:rPr>
        <w:t>PODATEK POD ZAP. ŠT. 15.</w:t>
      </w:r>
      <w:r w:rsidR="00234F72">
        <w:rPr>
          <w:rFonts w:ascii="Times New Roman" w:eastAsia="Times New Roman" w:hAnsi="Times New Roman" w:cs="Times New Roman"/>
          <w:b/>
          <w:kern w:val="0"/>
          <w:lang w:eastAsia="sl-SI"/>
          <w14:ligatures w14:val="none"/>
        </w:rPr>
        <w:t>17</w:t>
      </w:r>
      <w:r w:rsidRPr="00217B79">
        <w:rPr>
          <w:rFonts w:ascii="Times New Roman" w:eastAsia="Times New Roman" w:hAnsi="Times New Roman" w:cs="Times New Roman"/>
          <w:b/>
          <w:kern w:val="0"/>
          <w:lang w:eastAsia="sl-SI"/>
          <w14:ligatures w14:val="none"/>
        </w:rPr>
        <w:t xml:space="preserve"> OBRAČUNA</w:t>
      </w:r>
    </w:p>
    <w:p w14:paraId="1011FFEF" w14:textId="4CA6D77D" w:rsidR="00796BC2" w:rsidRPr="00796BC2" w:rsidRDefault="00796BC2" w:rsidP="00796BC2">
      <w:pPr>
        <w:spacing w:after="0" w:line="240" w:lineRule="auto"/>
        <w:outlineLvl w:val="0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1D942D99" w14:textId="77777777" w:rsidR="00796BC2" w:rsidRPr="00796BC2" w:rsidRDefault="00796BC2" w:rsidP="00796BC2">
      <w:pPr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796BC2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      Zneski v eurih s centi</w:t>
      </w:r>
    </w:p>
    <w:tbl>
      <w:tblPr>
        <w:tblW w:w="14739" w:type="dxa"/>
        <w:tblInd w:w="-7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5"/>
        <w:gridCol w:w="1340"/>
        <w:gridCol w:w="1134"/>
        <w:gridCol w:w="1984"/>
        <w:gridCol w:w="1418"/>
        <w:gridCol w:w="1417"/>
        <w:gridCol w:w="1701"/>
        <w:gridCol w:w="1559"/>
        <w:gridCol w:w="1701"/>
        <w:gridCol w:w="1570"/>
      </w:tblGrid>
      <w:tr w:rsidR="00796BC2" w:rsidRPr="00796BC2" w14:paraId="7C981720" w14:textId="77777777" w:rsidTr="00EA542B">
        <w:trPr>
          <w:trHeight w:val="1785"/>
        </w:trPr>
        <w:tc>
          <w:tcPr>
            <w:tcW w:w="915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58A5FBC8" w14:textId="77777777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Davčno obdobje</w:t>
            </w:r>
          </w:p>
        </w:tc>
        <w:tc>
          <w:tcPr>
            <w:tcW w:w="1340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72B90025" w14:textId="08500400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 xml:space="preserve">40 odstotkov </w:t>
            </w:r>
            <w:r w:rsidR="00FD2FE0"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z</w:t>
            </w:r>
            <w:r w:rsidR="00FD2FE0" w:rsidRPr="00FD2FE0"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nesk</w:t>
            </w:r>
            <w:r w:rsidR="00FD2FE0"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a</w:t>
            </w:r>
            <w:r w:rsidR="00FD2FE0" w:rsidRPr="00FD2FE0"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 xml:space="preserve"> vlaganj v digitaln</w:t>
            </w:r>
            <w:r w:rsidR="00435940"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o preobrazbo</w:t>
            </w:r>
            <w:r w:rsidR="00FD2FE0" w:rsidRPr="00FD2FE0"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 xml:space="preserve"> in zeleni prehod</w:t>
            </w:r>
            <w:r w:rsidRPr="00796BC2"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 xml:space="preserve"> tekočega obdobja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3E477923" w14:textId="77777777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Neizkoriščeni del davčnih olajšav iz preteklega  obdobja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56FF0A8E" w14:textId="77777777" w:rsidR="00796BC2" w:rsidRPr="003D02A4" w:rsidRDefault="00796BC2" w:rsidP="00796BC2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3D02A4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Zmanjšanje neizkoriščenega dela davčnih olajšav iz preteklega obdobja zaradi prodaje ali odtujitve pred potekom treh let oz. pred dokončnim amortiziranjem, če je to krajše od treh let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1144D76F" w14:textId="77777777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Sprememba neizkoriščenega dela davčnih olajšav iz preteklega obdobja zaradi spremembe po odločbi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19097BBE" w14:textId="77777777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Prenos davčnih olajšav zaradi prenosa premoženja, združitve ali delitve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1BDCE744" w14:textId="77777777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Povečanje davčnih olajšav zaradi vložitve sredstev zavezanca, ki preneha opravljati dejavnost, v pravno osebo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04A0DADF" w14:textId="77777777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Skupaj neizkoriščeni del davčne olajšave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29F95536" w14:textId="77777777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0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l-SI"/>
                <w14:ligatures w14:val="none"/>
              </w:rPr>
              <w:t xml:space="preserve">Koriščenje  davčne olajšave v davčnem obdobju n           </w:t>
            </w:r>
          </w:p>
        </w:tc>
        <w:tc>
          <w:tcPr>
            <w:tcW w:w="1570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D46B4EF" w14:textId="77777777" w:rsidR="00796BC2" w:rsidRPr="00796BC2" w:rsidRDefault="00796BC2" w:rsidP="00796BC2">
            <w:pPr>
              <w:spacing w:after="0" w:line="240" w:lineRule="auto"/>
              <w:ind w:right="360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Neizkoriščeni del davčne olajšave</w:t>
            </w:r>
          </w:p>
        </w:tc>
      </w:tr>
      <w:tr w:rsidR="00796BC2" w:rsidRPr="00796BC2" w14:paraId="4E7B3DDD" w14:textId="77777777" w:rsidTr="00EA542B">
        <w:trPr>
          <w:trHeight w:val="270"/>
        </w:trPr>
        <w:tc>
          <w:tcPr>
            <w:tcW w:w="91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FFFFFF"/>
            <w:vAlign w:val="bottom"/>
          </w:tcPr>
          <w:p w14:paraId="71BC32D0" w14:textId="77777777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1</w:t>
            </w:r>
          </w:p>
        </w:tc>
        <w:tc>
          <w:tcPr>
            <w:tcW w:w="1340" w:type="dxa"/>
            <w:tcBorders>
              <w:bottom w:val="single" w:sz="12" w:space="0" w:color="auto"/>
            </w:tcBorders>
            <w:shd w:val="clear" w:color="auto" w:fill="FFFFFF"/>
            <w:vAlign w:val="bottom"/>
          </w:tcPr>
          <w:p w14:paraId="5BF65012" w14:textId="77777777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FFFFFF"/>
          </w:tcPr>
          <w:p w14:paraId="136A9BC8" w14:textId="77777777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  <w:p w14:paraId="7BE707F1" w14:textId="77777777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3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shd w:val="clear" w:color="auto" w:fill="FFFFFF"/>
            <w:vAlign w:val="bottom"/>
          </w:tcPr>
          <w:p w14:paraId="6928A2E8" w14:textId="77777777" w:rsidR="00796BC2" w:rsidRPr="003D02A4" w:rsidRDefault="00796BC2" w:rsidP="00796BC2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3D02A4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4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shd w:val="clear" w:color="auto" w:fill="FFFFFF"/>
            <w:vAlign w:val="bottom"/>
          </w:tcPr>
          <w:p w14:paraId="56FE8FF2" w14:textId="77777777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5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shd w:val="clear" w:color="auto" w:fill="FFFFFF"/>
            <w:vAlign w:val="bottom"/>
          </w:tcPr>
          <w:p w14:paraId="7EE525CE" w14:textId="77777777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6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shd w:val="clear" w:color="auto" w:fill="FFFFFF"/>
          </w:tcPr>
          <w:p w14:paraId="37E84972" w14:textId="77777777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  <w:p w14:paraId="65566CC2" w14:textId="77777777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7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shd w:val="clear" w:color="auto" w:fill="FFFFFF"/>
            <w:vAlign w:val="bottom"/>
          </w:tcPr>
          <w:p w14:paraId="3F974038" w14:textId="77777777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 xml:space="preserve"> 8 = 2 + 3 – 4 + 5 + 6 + 7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shd w:val="clear" w:color="auto" w:fill="FFFFFF"/>
            <w:vAlign w:val="bottom"/>
          </w:tcPr>
          <w:p w14:paraId="288773D8" w14:textId="77777777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9</w:t>
            </w:r>
          </w:p>
        </w:tc>
        <w:tc>
          <w:tcPr>
            <w:tcW w:w="157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FFFFFF"/>
            <w:vAlign w:val="bottom"/>
          </w:tcPr>
          <w:p w14:paraId="6F73F497" w14:textId="77777777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10 = 8 – 9</w:t>
            </w:r>
          </w:p>
        </w:tc>
      </w:tr>
      <w:tr w:rsidR="00796BC2" w:rsidRPr="00796BC2" w14:paraId="61CA4325" w14:textId="77777777" w:rsidTr="00EA542B">
        <w:trPr>
          <w:cantSplit/>
          <w:trHeight w:val="255"/>
        </w:trPr>
        <w:tc>
          <w:tcPr>
            <w:tcW w:w="91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69012E9C" w14:textId="738FB308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n-</w:t>
            </w:r>
            <w:r w:rsidR="007D5B7F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7</w:t>
            </w:r>
          </w:p>
        </w:tc>
        <w:tc>
          <w:tcPr>
            <w:tcW w:w="1340" w:type="dxa"/>
            <w:tcBorders>
              <w:top w:val="single" w:sz="12" w:space="0" w:color="auto"/>
            </w:tcBorders>
            <w:shd w:val="clear" w:color="auto" w:fill="D9D9D9"/>
            <w:vAlign w:val="bottom"/>
          </w:tcPr>
          <w:p w14:paraId="6D660304" w14:textId="77777777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D8EA351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shd w:val="clear" w:color="auto" w:fill="D9D9D9"/>
            <w:vAlign w:val="bottom"/>
          </w:tcPr>
          <w:p w14:paraId="641C45CC" w14:textId="77777777" w:rsidR="00796BC2" w:rsidRPr="003D02A4" w:rsidRDefault="00796BC2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14:paraId="2BAE8830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14:paraId="61AB748C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09A31A45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513382C3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402C476F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57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7DBD49EF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</w:tr>
      <w:tr w:rsidR="007D5B7F" w:rsidRPr="00796BC2" w14:paraId="6F0B710E" w14:textId="77777777" w:rsidTr="00EA542B">
        <w:trPr>
          <w:cantSplit/>
          <w:trHeight w:val="255"/>
        </w:trPr>
        <w:tc>
          <w:tcPr>
            <w:tcW w:w="915" w:type="dxa"/>
            <w:tcBorders>
              <w:left w:val="single" w:sz="12" w:space="0" w:color="auto"/>
            </w:tcBorders>
            <w:vAlign w:val="bottom"/>
          </w:tcPr>
          <w:p w14:paraId="0F448F39" w14:textId="18137BF8" w:rsidR="007D5B7F" w:rsidRPr="00796BC2" w:rsidRDefault="007D5B7F" w:rsidP="00796B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n-6</w:t>
            </w:r>
          </w:p>
        </w:tc>
        <w:tc>
          <w:tcPr>
            <w:tcW w:w="1340" w:type="dxa"/>
            <w:shd w:val="clear" w:color="auto" w:fill="D9D9D9"/>
            <w:vAlign w:val="bottom"/>
          </w:tcPr>
          <w:p w14:paraId="54373D65" w14:textId="77777777" w:rsidR="007D5B7F" w:rsidRPr="00796BC2" w:rsidRDefault="007D5B7F" w:rsidP="00796BC2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134" w:type="dxa"/>
          </w:tcPr>
          <w:p w14:paraId="663B34AA" w14:textId="77777777" w:rsidR="007D5B7F" w:rsidRPr="00796BC2" w:rsidRDefault="007D5B7F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984" w:type="dxa"/>
            <w:shd w:val="clear" w:color="auto" w:fill="D9D9D9"/>
            <w:vAlign w:val="bottom"/>
          </w:tcPr>
          <w:p w14:paraId="086049F5" w14:textId="77777777" w:rsidR="007D5B7F" w:rsidRPr="003D02A4" w:rsidRDefault="007D5B7F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418" w:type="dxa"/>
            <w:vAlign w:val="bottom"/>
          </w:tcPr>
          <w:p w14:paraId="7101FA91" w14:textId="77777777" w:rsidR="007D5B7F" w:rsidRPr="00796BC2" w:rsidRDefault="007D5B7F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417" w:type="dxa"/>
            <w:vAlign w:val="bottom"/>
          </w:tcPr>
          <w:p w14:paraId="73F68036" w14:textId="77777777" w:rsidR="007D5B7F" w:rsidRPr="00796BC2" w:rsidRDefault="007D5B7F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701" w:type="dxa"/>
          </w:tcPr>
          <w:p w14:paraId="52A19B6A" w14:textId="77777777" w:rsidR="007D5B7F" w:rsidRPr="00796BC2" w:rsidRDefault="007D5B7F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559" w:type="dxa"/>
            <w:vAlign w:val="bottom"/>
          </w:tcPr>
          <w:p w14:paraId="1CD41ED5" w14:textId="77777777" w:rsidR="007D5B7F" w:rsidRPr="00796BC2" w:rsidRDefault="007D5B7F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701" w:type="dxa"/>
            <w:vAlign w:val="bottom"/>
          </w:tcPr>
          <w:p w14:paraId="10AF8562" w14:textId="77777777" w:rsidR="007D5B7F" w:rsidRPr="00796BC2" w:rsidRDefault="007D5B7F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570" w:type="dxa"/>
            <w:tcBorders>
              <w:right w:val="single" w:sz="12" w:space="0" w:color="auto"/>
            </w:tcBorders>
            <w:vAlign w:val="bottom"/>
          </w:tcPr>
          <w:p w14:paraId="389CB653" w14:textId="77777777" w:rsidR="007D5B7F" w:rsidRPr="00796BC2" w:rsidRDefault="007D5B7F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</w:tr>
      <w:tr w:rsidR="00796BC2" w:rsidRPr="00796BC2" w14:paraId="65F35328" w14:textId="77777777" w:rsidTr="00EA542B">
        <w:trPr>
          <w:cantSplit/>
          <w:trHeight w:val="255"/>
        </w:trPr>
        <w:tc>
          <w:tcPr>
            <w:tcW w:w="915" w:type="dxa"/>
            <w:tcBorders>
              <w:left w:val="single" w:sz="12" w:space="0" w:color="auto"/>
            </w:tcBorders>
            <w:vAlign w:val="bottom"/>
          </w:tcPr>
          <w:p w14:paraId="277EBCE2" w14:textId="77777777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n-5</w:t>
            </w:r>
          </w:p>
        </w:tc>
        <w:tc>
          <w:tcPr>
            <w:tcW w:w="1340" w:type="dxa"/>
            <w:shd w:val="clear" w:color="auto" w:fill="D9D9D9"/>
            <w:vAlign w:val="bottom"/>
          </w:tcPr>
          <w:p w14:paraId="4420E6CB" w14:textId="77777777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134" w:type="dxa"/>
          </w:tcPr>
          <w:p w14:paraId="3D42D888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984" w:type="dxa"/>
            <w:shd w:val="clear" w:color="auto" w:fill="D9D9D9"/>
            <w:vAlign w:val="bottom"/>
          </w:tcPr>
          <w:p w14:paraId="4879AAA1" w14:textId="77777777" w:rsidR="00796BC2" w:rsidRPr="003D02A4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3D02A4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418" w:type="dxa"/>
            <w:vAlign w:val="bottom"/>
          </w:tcPr>
          <w:p w14:paraId="7E93B86D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417" w:type="dxa"/>
            <w:vAlign w:val="bottom"/>
          </w:tcPr>
          <w:p w14:paraId="04173AEB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701" w:type="dxa"/>
          </w:tcPr>
          <w:p w14:paraId="0A3BECAA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559" w:type="dxa"/>
            <w:vAlign w:val="bottom"/>
          </w:tcPr>
          <w:p w14:paraId="37F2FE70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701" w:type="dxa"/>
            <w:vAlign w:val="bottom"/>
          </w:tcPr>
          <w:p w14:paraId="0017EFE0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570" w:type="dxa"/>
            <w:tcBorders>
              <w:right w:val="single" w:sz="12" w:space="0" w:color="auto"/>
            </w:tcBorders>
            <w:vAlign w:val="bottom"/>
          </w:tcPr>
          <w:p w14:paraId="315A080B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</w:tr>
      <w:tr w:rsidR="00796BC2" w:rsidRPr="00796BC2" w14:paraId="0FCDB5A3" w14:textId="77777777" w:rsidTr="00EA542B">
        <w:trPr>
          <w:cantSplit/>
          <w:trHeight w:val="255"/>
        </w:trPr>
        <w:tc>
          <w:tcPr>
            <w:tcW w:w="915" w:type="dxa"/>
            <w:tcBorders>
              <w:left w:val="single" w:sz="12" w:space="0" w:color="auto"/>
            </w:tcBorders>
            <w:vAlign w:val="bottom"/>
          </w:tcPr>
          <w:p w14:paraId="42C9FFBF" w14:textId="77777777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n-4 </w:t>
            </w:r>
          </w:p>
        </w:tc>
        <w:tc>
          <w:tcPr>
            <w:tcW w:w="1340" w:type="dxa"/>
            <w:shd w:val="clear" w:color="auto" w:fill="D9D9D9"/>
            <w:vAlign w:val="bottom"/>
          </w:tcPr>
          <w:p w14:paraId="5A651089" w14:textId="77777777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134" w:type="dxa"/>
          </w:tcPr>
          <w:p w14:paraId="723842EA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984" w:type="dxa"/>
            <w:shd w:val="clear" w:color="auto" w:fill="D9D9D9" w:themeFill="background1" w:themeFillShade="D9"/>
            <w:vAlign w:val="bottom"/>
          </w:tcPr>
          <w:p w14:paraId="736C0177" w14:textId="77777777" w:rsidR="00796BC2" w:rsidRPr="003D02A4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3D02A4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418" w:type="dxa"/>
            <w:vAlign w:val="bottom"/>
          </w:tcPr>
          <w:p w14:paraId="1181392E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417" w:type="dxa"/>
            <w:vAlign w:val="bottom"/>
          </w:tcPr>
          <w:p w14:paraId="257B526F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701" w:type="dxa"/>
          </w:tcPr>
          <w:p w14:paraId="0716330F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559" w:type="dxa"/>
            <w:vAlign w:val="bottom"/>
          </w:tcPr>
          <w:p w14:paraId="79B18BE8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701" w:type="dxa"/>
            <w:vAlign w:val="bottom"/>
          </w:tcPr>
          <w:p w14:paraId="2B512BBC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570" w:type="dxa"/>
            <w:tcBorders>
              <w:right w:val="single" w:sz="12" w:space="0" w:color="auto"/>
            </w:tcBorders>
            <w:vAlign w:val="bottom"/>
          </w:tcPr>
          <w:p w14:paraId="640786DD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</w:tr>
      <w:tr w:rsidR="00796BC2" w:rsidRPr="00796BC2" w14:paraId="413B6373" w14:textId="77777777" w:rsidTr="00EA542B">
        <w:trPr>
          <w:cantSplit/>
          <w:trHeight w:val="255"/>
        </w:trPr>
        <w:tc>
          <w:tcPr>
            <w:tcW w:w="915" w:type="dxa"/>
            <w:tcBorders>
              <w:left w:val="single" w:sz="12" w:space="0" w:color="auto"/>
            </w:tcBorders>
            <w:vAlign w:val="bottom"/>
          </w:tcPr>
          <w:p w14:paraId="61BDF086" w14:textId="77777777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n-3 </w:t>
            </w:r>
          </w:p>
        </w:tc>
        <w:tc>
          <w:tcPr>
            <w:tcW w:w="1340" w:type="dxa"/>
            <w:shd w:val="clear" w:color="auto" w:fill="D9D9D9"/>
            <w:vAlign w:val="bottom"/>
          </w:tcPr>
          <w:p w14:paraId="4EC13B5E" w14:textId="77777777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134" w:type="dxa"/>
          </w:tcPr>
          <w:p w14:paraId="660F5432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984" w:type="dxa"/>
            <w:shd w:val="clear" w:color="auto" w:fill="D9D9D9" w:themeFill="background1" w:themeFillShade="D9"/>
            <w:vAlign w:val="bottom"/>
          </w:tcPr>
          <w:p w14:paraId="751DF434" w14:textId="77777777" w:rsidR="00796BC2" w:rsidRPr="003D02A4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3D02A4"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418" w:type="dxa"/>
            <w:vAlign w:val="bottom"/>
          </w:tcPr>
          <w:p w14:paraId="192E5A44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417" w:type="dxa"/>
            <w:vAlign w:val="bottom"/>
          </w:tcPr>
          <w:p w14:paraId="2249A16C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701" w:type="dxa"/>
          </w:tcPr>
          <w:p w14:paraId="7DC260FB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559" w:type="dxa"/>
            <w:vAlign w:val="bottom"/>
          </w:tcPr>
          <w:p w14:paraId="250F7898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701" w:type="dxa"/>
            <w:vAlign w:val="bottom"/>
          </w:tcPr>
          <w:p w14:paraId="5D9218FD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570" w:type="dxa"/>
            <w:tcBorders>
              <w:right w:val="single" w:sz="12" w:space="0" w:color="auto"/>
            </w:tcBorders>
            <w:vAlign w:val="bottom"/>
          </w:tcPr>
          <w:p w14:paraId="48D57D79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</w:tr>
      <w:tr w:rsidR="00796BC2" w:rsidRPr="00796BC2" w14:paraId="38FD9430" w14:textId="77777777" w:rsidTr="00EA542B">
        <w:trPr>
          <w:cantSplit/>
          <w:trHeight w:val="255"/>
        </w:trPr>
        <w:tc>
          <w:tcPr>
            <w:tcW w:w="915" w:type="dxa"/>
            <w:tcBorders>
              <w:left w:val="single" w:sz="12" w:space="0" w:color="auto"/>
            </w:tcBorders>
            <w:vAlign w:val="bottom"/>
          </w:tcPr>
          <w:p w14:paraId="1E62FA1D" w14:textId="77777777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n-2 </w:t>
            </w:r>
          </w:p>
        </w:tc>
        <w:tc>
          <w:tcPr>
            <w:tcW w:w="1340" w:type="dxa"/>
            <w:shd w:val="clear" w:color="auto" w:fill="D9D9D9"/>
            <w:vAlign w:val="bottom"/>
          </w:tcPr>
          <w:p w14:paraId="5621DB03" w14:textId="77777777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134" w:type="dxa"/>
          </w:tcPr>
          <w:p w14:paraId="6BDBEFEF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984" w:type="dxa"/>
            <w:shd w:val="clear" w:color="auto" w:fill="D9D9D9" w:themeFill="background1" w:themeFillShade="D9"/>
            <w:vAlign w:val="bottom"/>
          </w:tcPr>
          <w:p w14:paraId="6F90889A" w14:textId="77777777" w:rsidR="00796BC2" w:rsidRPr="003D02A4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3D02A4"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418" w:type="dxa"/>
            <w:vAlign w:val="bottom"/>
          </w:tcPr>
          <w:p w14:paraId="16D561A0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417" w:type="dxa"/>
            <w:vAlign w:val="bottom"/>
          </w:tcPr>
          <w:p w14:paraId="130EFD56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701" w:type="dxa"/>
          </w:tcPr>
          <w:p w14:paraId="41198749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559" w:type="dxa"/>
            <w:vAlign w:val="bottom"/>
          </w:tcPr>
          <w:p w14:paraId="0B67DA75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701" w:type="dxa"/>
            <w:vAlign w:val="bottom"/>
          </w:tcPr>
          <w:p w14:paraId="2A34734D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570" w:type="dxa"/>
            <w:tcBorders>
              <w:right w:val="single" w:sz="12" w:space="0" w:color="auto"/>
            </w:tcBorders>
            <w:vAlign w:val="bottom"/>
          </w:tcPr>
          <w:p w14:paraId="39381EAD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</w:tr>
      <w:tr w:rsidR="00796BC2" w:rsidRPr="00796BC2" w14:paraId="5F40B82A" w14:textId="77777777" w:rsidTr="00EA542B">
        <w:trPr>
          <w:cantSplit/>
          <w:trHeight w:val="255"/>
        </w:trPr>
        <w:tc>
          <w:tcPr>
            <w:tcW w:w="915" w:type="dxa"/>
            <w:tcBorders>
              <w:left w:val="single" w:sz="12" w:space="0" w:color="auto"/>
            </w:tcBorders>
            <w:vAlign w:val="bottom"/>
          </w:tcPr>
          <w:p w14:paraId="732AB7E5" w14:textId="77777777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n-1 </w:t>
            </w:r>
          </w:p>
        </w:tc>
        <w:tc>
          <w:tcPr>
            <w:tcW w:w="1340" w:type="dxa"/>
            <w:shd w:val="clear" w:color="auto" w:fill="D9D9D9"/>
            <w:vAlign w:val="bottom"/>
          </w:tcPr>
          <w:p w14:paraId="48DDD0D0" w14:textId="77777777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134" w:type="dxa"/>
          </w:tcPr>
          <w:p w14:paraId="00A0A8E3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984" w:type="dxa"/>
            <w:shd w:val="clear" w:color="auto" w:fill="D9D9D9" w:themeFill="background1" w:themeFillShade="D9"/>
            <w:vAlign w:val="bottom"/>
          </w:tcPr>
          <w:p w14:paraId="2E7BC077" w14:textId="77777777" w:rsidR="00796BC2" w:rsidRPr="003D02A4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3D02A4"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418" w:type="dxa"/>
            <w:vAlign w:val="bottom"/>
          </w:tcPr>
          <w:p w14:paraId="5C937151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417" w:type="dxa"/>
            <w:vAlign w:val="bottom"/>
          </w:tcPr>
          <w:p w14:paraId="1F6F1ED6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701" w:type="dxa"/>
          </w:tcPr>
          <w:p w14:paraId="04FEB0D7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559" w:type="dxa"/>
            <w:vAlign w:val="bottom"/>
          </w:tcPr>
          <w:p w14:paraId="39D2EB51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701" w:type="dxa"/>
            <w:vAlign w:val="bottom"/>
          </w:tcPr>
          <w:p w14:paraId="6B9A59A4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570" w:type="dxa"/>
            <w:tcBorders>
              <w:right w:val="single" w:sz="12" w:space="0" w:color="auto"/>
            </w:tcBorders>
            <w:vAlign w:val="bottom"/>
          </w:tcPr>
          <w:p w14:paraId="1B6DD2E7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</w:tr>
      <w:tr w:rsidR="00796BC2" w:rsidRPr="00796BC2" w14:paraId="4DF8DEBB" w14:textId="77777777" w:rsidTr="00EA542B">
        <w:trPr>
          <w:cantSplit/>
          <w:trHeight w:val="255"/>
        </w:trPr>
        <w:tc>
          <w:tcPr>
            <w:tcW w:w="915" w:type="dxa"/>
            <w:tcBorders>
              <w:left w:val="single" w:sz="12" w:space="0" w:color="auto"/>
            </w:tcBorders>
            <w:vAlign w:val="bottom"/>
          </w:tcPr>
          <w:p w14:paraId="50E611B4" w14:textId="1ED8D309" w:rsidR="00796BC2" w:rsidRPr="00796BC2" w:rsidRDefault="00F06D2F" w:rsidP="00796B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n</w:t>
            </w:r>
          </w:p>
        </w:tc>
        <w:tc>
          <w:tcPr>
            <w:tcW w:w="1340" w:type="dxa"/>
            <w:vAlign w:val="bottom"/>
          </w:tcPr>
          <w:p w14:paraId="2541F631" w14:textId="77777777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134" w:type="dxa"/>
            <w:shd w:val="clear" w:color="auto" w:fill="D9D9D9"/>
          </w:tcPr>
          <w:p w14:paraId="6E8E7A6F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984" w:type="dxa"/>
            <w:shd w:val="clear" w:color="auto" w:fill="D9D9D9" w:themeFill="background1" w:themeFillShade="D9"/>
            <w:vAlign w:val="bottom"/>
          </w:tcPr>
          <w:p w14:paraId="6AFBDCD9" w14:textId="77777777" w:rsidR="00796BC2" w:rsidRPr="003D02A4" w:rsidRDefault="00796BC2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418" w:type="dxa"/>
            <w:shd w:val="clear" w:color="auto" w:fill="D9D9D9"/>
            <w:vAlign w:val="bottom"/>
          </w:tcPr>
          <w:p w14:paraId="5B5459A8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417" w:type="dxa"/>
            <w:vAlign w:val="bottom"/>
          </w:tcPr>
          <w:p w14:paraId="4E00605E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701" w:type="dxa"/>
          </w:tcPr>
          <w:p w14:paraId="7F7DC3EC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559" w:type="dxa"/>
            <w:vAlign w:val="bottom"/>
          </w:tcPr>
          <w:p w14:paraId="16D22368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701" w:type="dxa"/>
            <w:vAlign w:val="bottom"/>
          </w:tcPr>
          <w:p w14:paraId="16A50B33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570" w:type="dxa"/>
            <w:tcBorders>
              <w:right w:val="single" w:sz="12" w:space="0" w:color="auto"/>
            </w:tcBorders>
            <w:vAlign w:val="bottom"/>
          </w:tcPr>
          <w:p w14:paraId="54AB62C4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</w:tr>
      <w:tr w:rsidR="00796BC2" w:rsidRPr="00796BC2" w14:paraId="659AC22C" w14:textId="77777777" w:rsidTr="00EA542B">
        <w:trPr>
          <w:trHeight w:val="270"/>
        </w:trPr>
        <w:tc>
          <w:tcPr>
            <w:tcW w:w="91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5F858A7E" w14:textId="77777777" w:rsidR="00796BC2" w:rsidRPr="00796BC2" w:rsidRDefault="00796BC2" w:rsidP="00796BC2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Skupaj</w:t>
            </w:r>
          </w:p>
        </w:tc>
        <w:tc>
          <w:tcPr>
            <w:tcW w:w="1340" w:type="dxa"/>
            <w:tcBorders>
              <w:bottom w:val="single" w:sz="12" w:space="0" w:color="auto"/>
            </w:tcBorders>
            <w:vAlign w:val="bottom"/>
          </w:tcPr>
          <w:p w14:paraId="211EE675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97BD273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14:paraId="5E45453D" w14:textId="77777777" w:rsidR="00796BC2" w:rsidRPr="003D02A4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3D02A4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bottom"/>
          </w:tcPr>
          <w:p w14:paraId="227E2F98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bottom"/>
          </w:tcPr>
          <w:p w14:paraId="5DF4AC6A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0E874251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14:paraId="7607CECD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24958337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570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16D78876" w14:textId="77777777" w:rsidR="00796BC2" w:rsidRPr="00796BC2" w:rsidRDefault="00796BC2" w:rsidP="00796BC2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796BC2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</w:tr>
    </w:tbl>
    <w:p w14:paraId="7D1811BC" w14:textId="77777777" w:rsidR="00796BC2" w:rsidRPr="00796BC2" w:rsidRDefault="00796BC2" w:rsidP="00796BC2">
      <w:pPr>
        <w:spacing w:after="0" w:line="240" w:lineRule="auto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796BC2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n: Obdobje, za katero se sestavlja davčni obračun.</w:t>
      </w:r>
    </w:p>
    <w:p w14:paraId="55388C31" w14:textId="7567295C" w:rsidR="003736A1" w:rsidRDefault="00796BC2" w:rsidP="00796BC2">
      <w:pPr>
        <w:spacing w:after="0" w:line="240" w:lineRule="auto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796BC2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* V siva polja se podatki ne vpisujejo.</w:t>
      </w:r>
    </w:p>
    <w:p w14:paraId="5BF1622F" w14:textId="77777777" w:rsidR="003736A1" w:rsidRDefault="003736A1" w:rsidP="00796BC2">
      <w:pPr>
        <w:spacing w:after="0" w:line="240" w:lineRule="auto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6AEAB41D" w14:textId="77777777" w:rsidR="003736A1" w:rsidRPr="00796BC2" w:rsidRDefault="003736A1" w:rsidP="00796BC2">
      <w:pPr>
        <w:spacing w:after="0" w:line="240" w:lineRule="auto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3F51C938" w14:textId="77777777" w:rsidR="00796BC2" w:rsidRPr="00796BC2" w:rsidRDefault="00796BC2" w:rsidP="00796BC2">
      <w:pPr>
        <w:spacing w:after="0" w:line="240" w:lineRule="auto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796BC2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V/na ……………………, dne ……………….                   Žig in podpis odgovorne osebe:</w:t>
      </w:r>
    </w:p>
    <w:p w14:paraId="3FA13552" w14:textId="77777777" w:rsidR="00796BC2" w:rsidRPr="00796BC2" w:rsidRDefault="00796BC2" w:rsidP="00796BC2">
      <w:pPr>
        <w:spacing w:after="0" w:line="240" w:lineRule="auto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sectPr w:rsidR="00796BC2" w:rsidRPr="00796BC2" w:rsidSect="00796BC2">
          <w:headerReference w:type="default" r:id="rId6"/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</w:p>
    <w:p w14:paraId="1D383875" w14:textId="51ECE235" w:rsidR="00217B79" w:rsidRPr="00435940" w:rsidRDefault="00217B79" w:rsidP="00217B79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METODOLOGIJA ZA IZPOLNJEVANJE OBRAZCA</w:t>
      </w:r>
    </w:p>
    <w:p w14:paraId="10DA9EEC" w14:textId="77777777" w:rsidR="00217B79" w:rsidRPr="00217B79" w:rsidRDefault="00217B79" w:rsidP="00217B79">
      <w:pPr>
        <w:spacing w:after="0" w:line="240" w:lineRule="auto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2E0F82FA" w14:textId="52BB375E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trike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 xml:space="preserve">PODATKI V ZVEZI Z </w:t>
      </w:r>
      <w:r w:rsidR="006F1EF5" w:rsidRPr="006F1EF5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 xml:space="preserve">OLAJŠAVO ZA VLAGANJA V </w:t>
      </w:r>
      <w:r w:rsidR="006F1EF5" w:rsidRPr="006F1EF5">
        <w:rPr>
          <w:rFonts w:ascii="Times New Roman" w:eastAsia="Times New Roman" w:hAnsi="Times New Roman" w:cs="Times New Roman"/>
          <w:b/>
          <w:bCs/>
          <w:kern w:val="0"/>
          <w:szCs w:val="24"/>
          <w:lang w:eastAsia="sl-SI"/>
          <w14:ligatures w14:val="none"/>
        </w:rPr>
        <w:t xml:space="preserve">DIGITALNI IN ZELENI PREHOD </w:t>
      </w:r>
      <w:r w:rsidR="006F1EF5" w:rsidRPr="006F1EF5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>po 55.c členu ZDDPO-2 v povezavi z 8. členom ZDDPO-2U</w:t>
      </w:r>
      <w:r w:rsidRPr="00217B79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 xml:space="preserve"> </w:t>
      </w:r>
    </w:p>
    <w:p w14:paraId="24206FFD" w14:textId="497B8219" w:rsidR="00217B79" w:rsidRPr="00217B79" w:rsidRDefault="00217B79" w:rsidP="00217B79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>(</w:t>
      </w:r>
      <w:proofErr w:type="spellStart"/>
      <w:r w:rsidRPr="00217B79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>zap</w:t>
      </w:r>
      <w:proofErr w:type="spellEnd"/>
      <w:r w:rsidRPr="00217B79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>. št. 15.</w:t>
      </w:r>
      <w:r w:rsidR="006F1EF5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>17</w:t>
      </w:r>
      <w:r w:rsidRPr="00217B79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 xml:space="preserve"> obračuna)</w:t>
      </w:r>
    </w:p>
    <w:p w14:paraId="0B74F51C" w14:textId="77777777" w:rsidR="00217B79" w:rsidRPr="00217B79" w:rsidRDefault="00217B79" w:rsidP="00217B7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</w:p>
    <w:p w14:paraId="20EBEF7E" w14:textId="77777777" w:rsidR="00217B79" w:rsidRPr="00217B79" w:rsidRDefault="00217B79" w:rsidP="00217B79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</w:p>
    <w:p w14:paraId="164F70B8" w14:textId="36C1761E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Obrazec </w:t>
      </w:r>
      <w:r w:rsidRPr="00217B79">
        <w:rPr>
          <w:rFonts w:ascii="Times New Roman" w:eastAsia="Times New Roman" w:hAnsi="Times New Roman" w:cs="Times New Roman"/>
          <w:i/>
          <w:kern w:val="0"/>
          <w:szCs w:val="24"/>
          <w:lang w:eastAsia="sl-SI"/>
          <w14:ligatures w14:val="none"/>
        </w:rPr>
        <w:t xml:space="preserve">Podatki v zvezi z </w:t>
      </w:r>
      <w:r w:rsidR="00BD05B3" w:rsidRPr="00BD05B3">
        <w:rPr>
          <w:rFonts w:ascii="Times New Roman" w:eastAsia="Times New Roman" w:hAnsi="Times New Roman" w:cs="Times New Roman"/>
          <w:i/>
          <w:kern w:val="0"/>
          <w:szCs w:val="24"/>
          <w:lang w:eastAsia="sl-SI"/>
          <w14:ligatures w14:val="none"/>
        </w:rPr>
        <w:t xml:space="preserve">olajšavo za vlaganja v digitalni in zeleni prehod po 55.c členu ZDDPO-2 v povezavi z 8. členom ZDDPO-2U </w:t>
      </w:r>
      <w:r w:rsidRPr="00217B79">
        <w:rPr>
          <w:rFonts w:ascii="Times New Roman" w:eastAsia="Times New Roman" w:hAnsi="Times New Roman" w:cs="Times New Roman"/>
          <w:i/>
          <w:kern w:val="0"/>
          <w:szCs w:val="24"/>
          <w:lang w:eastAsia="sl-SI"/>
          <w14:ligatures w14:val="none"/>
        </w:rPr>
        <w:t xml:space="preserve">(v nadaljevanju: Podatki v zvezi z </w:t>
      </w:r>
      <w:r w:rsidR="00BD05B3" w:rsidRPr="00BD05B3">
        <w:rPr>
          <w:rFonts w:ascii="Times New Roman" w:eastAsia="Times New Roman" w:hAnsi="Times New Roman" w:cs="Times New Roman"/>
          <w:i/>
          <w:kern w:val="0"/>
          <w:szCs w:val="24"/>
          <w:lang w:eastAsia="sl-SI"/>
          <w14:ligatures w14:val="none"/>
        </w:rPr>
        <w:t>olajšavo za vlaganja v digitalni in zeleni prehod</w:t>
      </w:r>
      <w:r w:rsidRPr="00217B79">
        <w:rPr>
          <w:rFonts w:ascii="Times New Roman" w:eastAsia="Times New Roman" w:hAnsi="Times New Roman" w:cs="Times New Roman"/>
          <w:i/>
          <w:kern w:val="0"/>
          <w:szCs w:val="24"/>
          <w:lang w:eastAsia="sl-SI"/>
          <w14:ligatures w14:val="none"/>
        </w:rPr>
        <w:t xml:space="preserve">) 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se izpolni, če ima zavezanec vpisan podatek pod </w:t>
      </w:r>
      <w:proofErr w:type="spellStart"/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zap</w:t>
      </w:r>
      <w:proofErr w:type="spellEnd"/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. št. 15.</w:t>
      </w:r>
      <w:r w:rsidR="00BD05B3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17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 obračuna</w:t>
      </w:r>
      <w:r w:rsidR="002D00B0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,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 ali če ima zavezanec neizkoriščen del davčne olajšave v davčnem obdobju, za katero predlaga obračun, ali iz preteklih davčnih obdobij. Obrazec </w:t>
      </w:r>
      <w:r w:rsidR="00BD05B3" w:rsidRPr="00217B79">
        <w:rPr>
          <w:rFonts w:ascii="Times New Roman" w:eastAsia="Times New Roman" w:hAnsi="Times New Roman" w:cs="Times New Roman"/>
          <w:i/>
          <w:kern w:val="0"/>
          <w:szCs w:val="24"/>
          <w:lang w:eastAsia="sl-SI"/>
          <w14:ligatures w14:val="none"/>
        </w:rPr>
        <w:t xml:space="preserve">Podatki v zvezi z </w:t>
      </w:r>
      <w:r w:rsidR="00BD05B3" w:rsidRPr="00BD05B3">
        <w:rPr>
          <w:rFonts w:ascii="Times New Roman" w:eastAsia="Times New Roman" w:hAnsi="Times New Roman" w:cs="Times New Roman"/>
          <w:i/>
          <w:kern w:val="0"/>
          <w:szCs w:val="24"/>
          <w:lang w:eastAsia="sl-SI"/>
          <w14:ligatures w14:val="none"/>
        </w:rPr>
        <w:t>olajšavo za vlaganja v digitalni in zeleni prehod</w:t>
      </w:r>
      <w:r w:rsidR="00BD05B3"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 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se izpolnjuje in predlaga tudi, kadar je v davčnem obdobju, za katero se predlaga obračun, na podlagi davčnega nadzora nastala sprememba višine davčne olajšave, ki se nanaša na </w:t>
      </w:r>
      <w:r w:rsidR="00AF20CE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zadnjih pet 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davčn</w:t>
      </w:r>
      <w:r w:rsidR="00AF20CE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ih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 obdob</w:t>
      </w:r>
      <w:r w:rsidR="00AF20CE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i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j, in če je v davčnem obdobju zavezanec upravičen do prenosa olajšav zaradi prenosa premoženja, združitve ali delitve ali zaradi vložitve sredstev zavezanca, ki preneha opravljati dejavnost, v pravno </w:t>
      </w:r>
      <w:r w:rsidRPr="00435D14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osebo. Podatki se v polje za davčno obdobje n-7 in n-6 vpisujejo le, če je katero koli obdobje od n do n-5 krajše od 12 mesecev.</w:t>
      </w:r>
    </w:p>
    <w:p w14:paraId="00A40250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2EF964C5" w14:textId="41A87785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strike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V obrazec </w:t>
      </w:r>
      <w:r w:rsidR="00BD05B3" w:rsidRPr="00217B79">
        <w:rPr>
          <w:rFonts w:ascii="Times New Roman" w:eastAsia="Times New Roman" w:hAnsi="Times New Roman" w:cs="Times New Roman"/>
          <w:i/>
          <w:kern w:val="0"/>
          <w:szCs w:val="24"/>
          <w:lang w:eastAsia="sl-SI"/>
          <w14:ligatures w14:val="none"/>
        </w:rPr>
        <w:t xml:space="preserve">Podatki v zvezi z </w:t>
      </w:r>
      <w:r w:rsidR="00BD05B3" w:rsidRPr="00BD05B3">
        <w:rPr>
          <w:rFonts w:ascii="Times New Roman" w:eastAsia="Times New Roman" w:hAnsi="Times New Roman" w:cs="Times New Roman"/>
          <w:i/>
          <w:kern w:val="0"/>
          <w:szCs w:val="24"/>
          <w:lang w:eastAsia="sl-SI"/>
          <w14:ligatures w14:val="none"/>
        </w:rPr>
        <w:t xml:space="preserve">olajšavo za vlaganja </w:t>
      </w:r>
      <w:bookmarkStart w:id="0" w:name="_Hlk183523126"/>
      <w:r w:rsidR="00BD05B3" w:rsidRPr="00BD05B3">
        <w:rPr>
          <w:rFonts w:ascii="Times New Roman" w:eastAsia="Times New Roman" w:hAnsi="Times New Roman" w:cs="Times New Roman"/>
          <w:i/>
          <w:kern w:val="0"/>
          <w:szCs w:val="24"/>
          <w:lang w:eastAsia="sl-SI"/>
          <w14:ligatures w14:val="none"/>
        </w:rPr>
        <w:t>v digitalni in zeleni prehod</w:t>
      </w:r>
      <w:r w:rsidR="00BD05B3"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 </w:t>
      </w:r>
      <w:bookmarkEnd w:id="0"/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se vpisujejo podatki, ki se nanašajo na </w:t>
      </w:r>
      <w:r w:rsidRPr="00BD05B3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vlaganja </w:t>
      </w:r>
      <w:r w:rsidR="00BD05B3" w:rsidRPr="00BD05B3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v digitaln</w:t>
      </w:r>
      <w:r w:rsidR="00BD05B3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o preobrazbo</w:t>
      </w:r>
      <w:r w:rsidR="00BD05B3" w:rsidRPr="00BD05B3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 in zeleni prehod </w:t>
      </w:r>
      <w:r w:rsidRPr="00BD05B3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po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 prvem stavku prvega odstavka 55.</w:t>
      </w:r>
      <w:r w:rsidR="00BD05B3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c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 člena ZDDPO-2. </w:t>
      </w:r>
    </w:p>
    <w:p w14:paraId="6BCE5606" w14:textId="77777777" w:rsidR="00217B79" w:rsidRPr="00217B79" w:rsidRDefault="00217B79" w:rsidP="00217B79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</w:p>
    <w:p w14:paraId="65C71BFD" w14:textId="2B20FE29" w:rsidR="00217B79" w:rsidRPr="00217B79" w:rsidRDefault="00217B79" w:rsidP="00217B79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Obrazec </w:t>
      </w:r>
      <w:r w:rsidR="00BD05B3" w:rsidRPr="00217B79">
        <w:rPr>
          <w:rFonts w:ascii="Times New Roman" w:eastAsia="Times New Roman" w:hAnsi="Times New Roman" w:cs="Times New Roman"/>
          <w:i/>
          <w:kern w:val="0"/>
          <w:szCs w:val="24"/>
          <w:lang w:eastAsia="sl-SI"/>
          <w14:ligatures w14:val="none"/>
        </w:rPr>
        <w:t xml:space="preserve">Podatki v zvezi z </w:t>
      </w:r>
      <w:r w:rsidR="00BD05B3" w:rsidRPr="00BD05B3">
        <w:rPr>
          <w:rFonts w:ascii="Times New Roman" w:eastAsia="Times New Roman" w:hAnsi="Times New Roman" w:cs="Times New Roman"/>
          <w:i/>
          <w:kern w:val="0"/>
          <w:szCs w:val="24"/>
          <w:lang w:eastAsia="sl-SI"/>
          <w14:ligatures w14:val="none"/>
        </w:rPr>
        <w:t>olajšavo za vlaganja v digitalni in zeleni prehod</w:t>
      </w:r>
      <w:r w:rsidR="00BD05B3"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 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se izpolnjuje v eurih s centi.</w:t>
      </w:r>
    </w:p>
    <w:p w14:paraId="4BA819B1" w14:textId="77777777" w:rsidR="001735DA" w:rsidRPr="00217B79" w:rsidRDefault="001735DA" w:rsidP="00217B79">
      <w:pPr>
        <w:spacing w:after="0" w:line="240" w:lineRule="auto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155F03F0" w14:textId="77777777" w:rsidR="00217B79" w:rsidRPr="00217B79" w:rsidRDefault="00217B79" w:rsidP="00217B79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>Stolpec 1 – Davčno obdobje</w:t>
      </w:r>
    </w:p>
    <w:p w14:paraId="7926D4B1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</w:p>
    <w:p w14:paraId="61BA8794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Vpiše se ustrezno davčno obdobje v obliki LLLL ali v obliki DD. MM. LL–DD. MM. LL. Davčno obdobje n pomeni davčno obdobje, za katero se sestavlja davčni obračun. </w:t>
      </w:r>
    </w:p>
    <w:p w14:paraId="4BF02D94" w14:textId="77777777" w:rsidR="00217B79" w:rsidRPr="00217B79" w:rsidRDefault="00217B79" w:rsidP="00217B79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</w:p>
    <w:p w14:paraId="5811676C" w14:textId="7034638F" w:rsidR="00217B79" w:rsidRPr="00217B79" w:rsidRDefault="00217B79" w:rsidP="00217B79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 xml:space="preserve">Stolpec 2 – </w:t>
      </w:r>
      <w:r w:rsidR="00936D57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>4</w:t>
      </w:r>
      <w:r w:rsidRPr="00217B79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 xml:space="preserve">0 odstotkov zneska vlaganj </w:t>
      </w:r>
      <w:r w:rsidR="00936D57" w:rsidRPr="00EE646F">
        <w:rPr>
          <w:rFonts w:ascii="Times New Roman" w:eastAsia="Times New Roman" w:hAnsi="Times New Roman" w:cs="Times New Roman"/>
          <w:b/>
          <w:bCs/>
          <w:kern w:val="0"/>
          <w:szCs w:val="24"/>
          <w:lang w:eastAsia="sl-SI"/>
          <w14:ligatures w14:val="none"/>
        </w:rPr>
        <w:t>v digitalno preobrazbo in zeleni prehod</w:t>
      </w:r>
      <w:r w:rsidR="00936D57" w:rsidRPr="00217B79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 xml:space="preserve"> </w:t>
      </w:r>
      <w:r w:rsidRPr="00217B79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>tekočega obdobja</w:t>
      </w:r>
    </w:p>
    <w:p w14:paraId="2EB98037" w14:textId="77777777" w:rsidR="00217B79" w:rsidRPr="00217B79" w:rsidRDefault="00217B79" w:rsidP="00217B79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</w:p>
    <w:p w14:paraId="54D1A004" w14:textId="4AC70668" w:rsidR="00435D14" w:rsidRPr="00217B79" w:rsidRDefault="00217B79" w:rsidP="00936D57">
      <w:pPr>
        <w:spacing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Vpiše se </w:t>
      </w:r>
      <w:r w:rsidR="00936D57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4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0 odstotkov zneska, ki predstavlja vlaganja </w:t>
      </w:r>
      <w:r w:rsidR="00936D57" w:rsidRPr="00EE646F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v digitalno preobrazbo in zeleni prehod</w:t>
      </w:r>
      <w:r w:rsidR="00936D57"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 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v skladu s prvim stavkom prvega odstavka 55.</w:t>
      </w:r>
      <w:r w:rsidR="00936D57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c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 člena ZDDPO-2 ter </w:t>
      </w:r>
      <w:r w:rsidRPr="00936D57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Pravilnikom </w:t>
      </w:r>
      <w:r w:rsidR="00936D57" w:rsidRPr="00936D57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o uveljavljanju davčnih olajšav za vlaganja v digitalni in zeleni prehod</w:t>
      </w:r>
      <w:r w:rsidR="00BA5E84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, </w:t>
      </w:r>
      <w:r w:rsidR="00BA5E84"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pri čemer se olajšava ne more uveljavljati za tista vlaganja</w:t>
      </w:r>
      <w:r w:rsidR="00435D14" w:rsidRPr="001735DA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, ki so financiran</w:t>
      </w:r>
      <w:r w:rsidR="00BA5E84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a</w:t>
      </w:r>
      <w:r w:rsidR="00435D14" w:rsidRPr="001735DA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 iz sredstev proračunov samoupravnih lokalnih skupnosti, proračuna Republike Slovenije oz. proračuna EU, če imajo ta sredstva naravo nepovratnih sredstev</w:t>
      </w:r>
      <w:r w:rsidR="00BA5E84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, kot tudi ne za</w:t>
      </w:r>
      <w:r w:rsidR="00435D14" w:rsidRPr="001735DA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 vlaganj</w:t>
      </w:r>
      <w:r w:rsidR="00BA5E84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a</w:t>
      </w:r>
      <w:r w:rsidR="00435D14" w:rsidRPr="001735DA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, za katera zavezanec uveljavlja olajšavo po 55. </w:t>
      </w:r>
      <w:r w:rsidR="00435D14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in</w:t>
      </w:r>
      <w:r w:rsidR="00820D82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/ali</w:t>
      </w:r>
      <w:r w:rsidR="00435D14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 55.a </w:t>
      </w:r>
      <w:r w:rsidR="00435D14" w:rsidRPr="001735DA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členu ZDDPO-2.</w:t>
      </w:r>
    </w:p>
    <w:p w14:paraId="486F18D2" w14:textId="06FBA73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Davčni zavezanec, ki uveljavlja navedeno olajšavo, poleg te priloge kot sestavni del davčnega obračuna predloži tudi </w:t>
      </w:r>
      <w:r w:rsidRPr="00217B79">
        <w:rPr>
          <w:rFonts w:ascii="Times New Roman" w:eastAsia="Times New Roman" w:hAnsi="Times New Roman" w:cs="Times New Roman"/>
          <w:i/>
          <w:kern w:val="0"/>
          <w:szCs w:val="24"/>
          <w:lang w:eastAsia="sl-SI"/>
          <w14:ligatures w14:val="none"/>
        </w:rPr>
        <w:t>Obrazec za uveljavljanje davčn</w:t>
      </w:r>
      <w:r w:rsidR="00936D57">
        <w:rPr>
          <w:rFonts w:ascii="Times New Roman" w:eastAsia="Times New Roman" w:hAnsi="Times New Roman" w:cs="Times New Roman"/>
          <w:i/>
          <w:kern w:val="0"/>
          <w:szCs w:val="24"/>
          <w:lang w:eastAsia="sl-SI"/>
          <w14:ligatures w14:val="none"/>
        </w:rPr>
        <w:t>e</w:t>
      </w:r>
      <w:r w:rsidRPr="00217B79">
        <w:rPr>
          <w:rFonts w:ascii="Times New Roman" w:eastAsia="Times New Roman" w:hAnsi="Times New Roman" w:cs="Times New Roman"/>
          <w:i/>
          <w:kern w:val="0"/>
          <w:szCs w:val="24"/>
          <w:lang w:eastAsia="sl-SI"/>
          <w14:ligatures w14:val="none"/>
        </w:rPr>
        <w:t xml:space="preserve"> olajšav</w:t>
      </w:r>
      <w:r w:rsidR="00936D57">
        <w:rPr>
          <w:rFonts w:ascii="Times New Roman" w:eastAsia="Times New Roman" w:hAnsi="Times New Roman" w:cs="Times New Roman"/>
          <w:i/>
          <w:kern w:val="0"/>
          <w:szCs w:val="24"/>
          <w:lang w:eastAsia="sl-SI"/>
          <w14:ligatures w14:val="none"/>
        </w:rPr>
        <w:t>e</w:t>
      </w:r>
      <w:r w:rsidRPr="00217B79">
        <w:rPr>
          <w:rFonts w:ascii="Times New Roman" w:eastAsia="Times New Roman" w:hAnsi="Times New Roman" w:cs="Times New Roman"/>
          <w:i/>
          <w:kern w:val="0"/>
          <w:szCs w:val="24"/>
          <w:lang w:eastAsia="sl-SI"/>
          <w14:ligatures w14:val="none"/>
        </w:rPr>
        <w:t xml:space="preserve"> za vlaganja </w:t>
      </w:r>
      <w:r w:rsidR="00936D57" w:rsidRPr="00936D57">
        <w:rPr>
          <w:rFonts w:ascii="Times New Roman" w:eastAsia="Times New Roman" w:hAnsi="Times New Roman" w:cs="Times New Roman"/>
          <w:i/>
          <w:kern w:val="0"/>
          <w:szCs w:val="24"/>
          <w:lang w:eastAsia="sl-SI"/>
          <w14:ligatures w14:val="none"/>
        </w:rPr>
        <w:t>v digitalni in zeleni prehod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, ki je določen s </w:t>
      </w:r>
      <w:r w:rsidR="00936D57" w:rsidRPr="00936D57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Pravilnikom o uveljavljanju davčnih olajšav za vlaganja v digitalni in zeleni prehod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. </w:t>
      </w:r>
    </w:p>
    <w:p w14:paraId="691800FC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7E63FD81" w14:textId="77777777" w:rsidR="00217B79" w:rsidRPr="00217B79" w:rsidRDefault="00217B79" w:rsidP="00217B79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>Stolpec 3 – Neizkoriščeni del davčne olajšave preteklega obdobja</w:t>
      </w:r>
    </w:p>
    <w:p w14:paraId="5D01379F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</w:p>
    <w:p w14:paraId="12BFAF0C" w14:textId="5D3EF16E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Vpiše se znesek neizkoriščenega dela davčne olajšave iz preteklih davčnih obdobij (podatek iz stolpca 9 oziroma 10 iz obrazca </w:t>
      </w:r>
      <w:r w:rsidR="002A4C96" w:rsidRPr="002A4C96">
        <w:rPr>
          <w:rFonts w:ascii="Times New Roman" w:eastAsia="Times New Roman" w:hAnsi="Times New Roman" w:cs="Times New Roman"/>
          <w:i/>
          <w:kern w:val="0"/>
          <w:szCs w:val="24"/>
          <w:lang w:eastAsia="sl-SI"/>
          <w14:ligatures w14:val="none"/>
        </w:rPr>
        <w:t xml:space="preserve">Podatki v zvezi z olajšavo za vlaganja v digitalni in zeleni prehod 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(Priloga 7</w:t>
      </w:r>
      <w:r w:rsidR="002A4C96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c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) iz predhodnega davčnega obdobja).</w:t>
      </w:r>
    </w:p>
    <w:p w14:paraId="5EAB227E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66573262" w14:textId="777E1003" w:rsidR="00217B79" w:rsidRPr="003D02A4" w:rsidRDefault="00CC21D8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  <w:r w:rsidRPr="003D02A4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>Stolpec 4 – Zmanjšanje neizkoriščenega dela davčne olajšave iz preteklega obdobja zaradi prodaje ali odtujitve pred potekom treh let oz. pred dokončnim amortiziranjem, če je to krajše od treh let</w:t>
      </w:r>
    </w:p>
    <w:p w14:paraId="3A34C80C" w14:textId="77777777" w:rsidR="00217B79" w:rsidRPr="003D02A4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</w:p>
    <w:p w14:paraId="15EB4429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3D02A4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Podatki v stolpec 4 se ne vpisujejo.</w:t>
      </w:r>
    </w:p>
    <w:p w14:paraId="7DA29D87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62822C91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 xml:space="preserve">Stolpec 5 – Sprememba neizkoriščenega dela davčne olajšave iz preteklega obdobja zaradi spremembe po odločbi </w:t>
      </w:r>
    </w:p>
    <w:p w14:paraId="36F49F80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6197CFC2" w14:textId="7660794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Vpiše se znesek, ki pomeni razliko med višino davčne olajšave, kakršno je uveljavljal zavezanec v obračunu davka, in višino davčne olajšave, ugotovljene v morebitnem davčnem nadzoru (znesek je lahko s pozitivnim ali negativnim predznakom). Vpisujejo se tiste spremembe, ki so posledica nadzora v davčnem obdobju, za katero se sestavlja obračun, in se nanašajo na </w:t>
      </w:r>
      <w:r w:rsidR="00C3442B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zadnjih</w:t>
      </w:r>
      <w:r w:rsidR="00CC7438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 pet 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davčn</w:t>
      </w:r>
      <w:r w:rsidR="00CC7438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ih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 obdob</w:t>
      </w:r>
      <w:r w:rsidR="00CC7438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i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j ter še niso bile vključene v Prilogo 7</w:t>
      </w:r>
      <w:r w:rsidR="00312DE8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c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 </w:t>
      </w:r>
      <w:r w:rsidR="00CC7438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davčnih 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obračunov za pretekla obdobja.</w:t>
      </w:r>
    </w:p>
    <w:p w14:paraId="180A32A6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5A45D6BB" w14:textId="77777777" w:rsidR="00217B79" w:rsidRPr="00217B79" w:rsidRDefault="00217B79" w:rsidP="00217B79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>Stolpec 6 – Prenos davčne olajšave zaradi prenosa premoženja, združitve ali delitve</w:t>
      </w:r>
    </w:p>
    <w:p w14:paraId="444BA843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</w:p>
    <w:p w14:paraId="2582F47F" w14:textId="1E1397A2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Vpiše se znesek prenesene olajšave v skladu s 40. in 43. členom ZDDPO-2 zaradi prenosa premoženja oziroma v skladu z 49. in 53. členom ZDDPO-2 zaradi združitve ali delitve. Pri prevzemni družbi se v davčnem obdobju, ki sledi obračunskemu dnevu združitve (ali razdelitve ali oddelitve), vpišejo ostanki neizkoriščenega dela davčne olajšave prenosne družbe (prenosnih družb) iz Priloge 7</w:t>
      </w:r>
      <w:r w:rsidR="00E31CF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c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 obračuna(-ov), sestavljenega na obračunski dan združitve (ali razdelitve ali oddelitve), ki se lahko prenašajo. Pri prenosni družbi se vpišejo podatki v ta stolpec le v primeru, ko prenosna družba po prenosu premoženja ali oddelitvi ne preneha. V tem primeru se vpišejo ostanki neizkoriščenega dela davčne olajšave, ki so se prenesli, z negativnim predznakom v prvem davčnem obračunu, ki sledi obračunskemu dnevu oddelitve oziroma dnevu prenosa premoženja. </w:t>
      </w:r>
    </w:p>
    <w:p w14:paraId="2BEA8407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</w:p>
    <w:p w14:paraId="5ED7DCDA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>Stolpec 7 – Povečanje davčne olajšave zaradi vložitve sredstev samostojnega podjetnika posameznika v pravno osebo</w:t>
      </w:r>
    </w:p>
    <w:p w14:paraId="1A408F02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</w:p>
    <w:p w14:paraId="39BB0436" w14:textId="3D06D0AF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Ob vložitvi sredstev zavezanca, ki preneha opravljati dejavnost, v pravno osebo in ob izpolnjevanju pogojev iz 2. točke četrtega odstavka in devetega odstavka 51. člena ZDoh-2 velja v skladu s </w:t>
      </w:r>
      <w:r w:rsidR="003D02A4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šestim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 odstavkom </w:t>
      </w:r>
      <w:r w:rsidR="003D02A4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65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.</w:t>
      </w:r>
      <w:r w:rsidR="003D02A4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a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 člena ZDoh-2, da je olajšavo prevzela nova pravna oseba oziroma prevzemna pravna oseba pod pogoji, kot bi veljali, če do prenehanja ne bi prišlo. V stolpec 7 se vpiše znesek prevzete davčne olajšave, vključno z neizkoriščenim delom davčne olajšave iz preteklih obdobij.</w:t>
      </w:r>
    </w:p>
    <w:p w14:paraId="569D6634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</w:p>
    <w:p w14:paraId="6F66C9E1" w14:textId="77777777" w:rsidR="00217B79" w:rsidRPr="00217B79" w:rsidRDefault="00217B79" w:rsidP="00217B79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>Stolpec 8 – Skupaj neizkoriščeni del davčne olajšave</w:t>
      </w:r>
    </w:p>
    <w:p w14:paraId="555BB9A5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3AEDC0FD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Vpiše se seštevek stolpcev 2, 3, 5, 6 in 7, zmanjšan za znesek iz stolpca 4. Če je seštevek negativen, se vpiše 0.</w:t>
      </w:r>
    </w:p>
    <w:p w14:paraId="4E117FC7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105FD548" w14:textId="77777777" w:rsidR="00217B79" w:rsidRPr="00217B79" w:rsidRDefault="00217B79" w:rsidP="00217B79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>Stolpec 9 – Koriščenje davčne olajšave v davčnem obdobju n</w:t>
      </w:r>
    </w:p>
    <w:p w14:paraId="4785D26B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7E0EDD8C" w14:textId="2CB8C1F3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Vpiše se znesek koriščenja davčne olajšave iz posameznega davčnega obdobja, pri tem pa se najprej koristi neizkoriščeni del davčne olajšave starejšega datuma. Znesek koriščenja davčne olajšave v posameznem letu ne sme biti višji od zneska v stolpcu 8. Skupni znesek koriščenja davčne olajšave mora biti enak znesku pod </w:t>
      </w:r>
      <w:proofErr w:type="spellStart"/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zap</w:t>
      </w:r>
      <w:proofErr w:type="spellEnd"/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. št. 15.</w:t>
      </w:r>
      <w:r w:rsidR="00531F5C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17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 obračuna</w:t>
      </w:r>
      <w:r w:rsidRPr="00217B79">
        <w:rPr>
          <w:rFonts w:ascii="Times New Roman" w:eastAsia="Times New Roman" w:hAnsi="Times New Roman" w:cs="Times New Roman"/>
          <w:i/>
          <w:kern w:val="0"/>
          <w:szCs w:val="24"/>
          <w:lang w:eastAsia="sl-SI"/>
          <w14:ligatures w14:val="none"/>
        </w:rPr>
        <w:t>.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 </w:t>
      </w:r>
    </w:p>
    <w:p w14:paraId="1B564304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5755AD5E" w14:textId="77777777" w:rsidR="00217B79" w:rsidRPr="00217B79" w:rsidRDefault="00217B79" w:rsidP="00217B79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>Stolpec 10 – Neizkoriščeni del davčne olajšave</w:t>
      </w:r>
    </w:p>
    <w:p w14:paraId="0CE8E2D7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5D5316F7" w14:textId="73F0A9BE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Vpiše se razlika med stolpcema 8 in 9.</w:t>
      </w:r>
      <w:r w:rsidR="009D0C84" w:rsidRPr="009D0C84">
        <w:rPr>
          <w:rFonts w:ascii="Times New Roman" w:eastAsia="Times New Roman" w:hAnsi="Times New Roman" w:cs="Times New Roman"/>
          <w:b/>
          <w:bCs/>
          <w:kern w:val="0"/>
          <w:szCs w:val="24"/>
          <w:lang w:eastAsia="sl-SI"/>
          <w14:ligatures w14:val="none"/>
        </w:rPr>
        <w:t>«.</w:t>
      </w:r>
    </w:p>
    <w:p w14:paraId="1F6E6BA0" w14:textId="77777777" w:rsidR="00F029A0" w:rsidRDefault="00F029A0"/>
    <w:sectPr w:rsidR="00F029A0" w:rsidSect="00217B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C08DF8" w14:textId="77777777" w:rsidR="00BA3D96" w:rsidRDefault="00BA3D96">
      <w:pPr>
        <w:spacing w:after="0" w:line="240" w:lineRule="auto"/>
      </w:pPr>
      <w:r>
        <w:separator/>
      </w:r>
    </w:p>
  </w:endnote>
  <w:endnote w:type="continuationSeparator" w:id="0">
    <w:p w14:paraId="75602B21" w14:textId="77777777" w:rsidR="00BA3D96" w:rsidRDefault="00BA3D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BF5FD6" w14:textId="77777777" w:rsidR="00BA3D96" w:rsidRDefault="00BA3D96">
      <w:pPr>
        <w:spacing w:after="0" w:line="240" w:lineRule="auto"/>
      </w:pPr>
      <w:r>
        <w:separator/>
      </w:r>
    </w:p>
  </w:footnote>
  <w:footnote w:type="continuationSeparator" w:id="0">
    <w:p w14:paraId="5761A8F0" w14:textId="77777777" w:rsidR="00BA3D96" w:rsidRDefault="00BA3D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876BAC" w14:textId="77777777" w:rsidR="00E31CF9" w:rsidRPr="00715E63" w:rsidRDefault="00E31CF9">
    <w:pPr>
      <w:pStyle w:val="Header"/>
      <w:jc w:val="right"/>
      <w:rPr>
        <w:rFonts w:ascii="Arial" w:hAnsi="Arial"/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7B79"/>
    <w:rsid w:val="000577C3"/>
    <w:rsid w:val="0011464D"/>
    <w:rsid w:val="001735DA"/>
    <w:rsid w:val="001B6E64"/>
    <w:rsid w:val="00217B79"/>
    <w:rsid w:val="00234F72"/>
    <w:rsid w:val="00236AF9"/>
    <w:rsid w:val="002855B7"/>
    <w:rsid w:val="002855C4"/>
    <w:rsid w:val="00286008"/>
    <w:rsid w:val="002A4C96"/>
    <w:rsid w:val="002D00B0"/>
    <w:rsid w:val="00312DE8"/>
    <w:rsid w:val="00322706"/>
    <w:rsid w:val="003736A1"/>
    <w:rsid w:val="003D02A4"/>
    <w:rsid w:val="004107A4"/>
    <w:rsid w:val="00435940"/>
    <w:rsid w:val="00435D14"/>
    <w:rsid w:val="00451FB6"/>
    <w:rsid w:val="004A4C47"/>
    <w:rsid w:val="004E4847"/>
    <w:rsid w:val="00531F5C"/>
    <w:rsid w:val="006B4375"/>
    <w:rsid w:val="006F1EF5"/>
    <w:rsid w:val="007608CF"/>
    <w:rsid w:val="00796BC2"/>
    <w:rsid w:val="007D5B7F"/>
    <w:rsid w:val="00820D82"/>
    <w:rsid w:val="00936D57"/>
    <w:rsid w:val="009A243E"/>
    <w:rsid w:val="009C24E7"/>
    <w:rsid w:val="009D0C84"/>
    <w:rsid w:val="00A2364D"/>
    <w:rsid w:val="00AF20CE"/>
    <w:rsid w:val="00B7578B"/>
    <w:rsid w:val="00BA3D96"/>
    <w:rsid w:val="00BA5E84"/>
    <w:rsid w:val="00BD05B3"/>
    <w:rsid w:val="00C3442B"/>
    <w:rsid w:val="00CC21D8"/>
    <w:rsid w:val="00CC7438"/>
    <w:rsid w:val="00CE2478"/>
    <w:rsid w:val="00DE3310"/>
    <w:rsid w:val="00E31CF9"/>
    <w:rsid w:val="00EA542B"/>
    <w:rsid w:val="00EE646F"/>
    <w:rsid w:val="00F029A0"/>
    <w:rsid w:val="00F06D2F"/>
    <w:rsid w:val="00F234D1"/>
    <w:rsid w:val="00FD2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CC9F79"/>
  <w15:chartTrackingRefBased/>
  <w15:docId w15:val="{1D0AA531-28D4-46DD-9E18-F8F4ACAF2E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36D5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96B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96BC2"/>
  </w:style>
  <w:style w:type="character" w:customStyle="1" w:styleId="Heading1Char">
    <w:name w:val="Heading 1 Char"/>
    <w:basedOn w:val="DefaultParagraphFont"/>
    <w:link w:val="Heading1"/>
    <w:uiPriority w:val="9"/>
    <w:rsid w:val="00936D5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574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1144</Words>
  <Characters>6523</Characters>
  <Application>Microsoft Office Word</Application>
  <DocSecurity>0</DocSecurity>
  <Lines>54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13</vt:i4>
      </vt:variant>
    </vt:vector>
  </HeadingPairs>
  <TitlesOfParts>
    <vt:vector size="14" baseType="lpstr">
      <vt:lpstr/>
      <vt:lpstr>Za obdobje od ____________ do ____________					</vt:lpstr>
      <vt:lpstr>PODATEK POD ZAP. ŠT. 15.17 OBRAČUNA</vt:lpstr>
      <vt:lpstr/>
      <vt:lpstr>Zneski v eurih s centi</vt:lpstr>
      <vt:lpstr>METODOLOGIJA ZA IZPOLNJEVANJE OBRAZCA</vt:lpstr>
      <vt:lpstr>Obrazec Podatki v zvezi z olajšavo za vlaganja v digitalni in zeleni prehod se i</vt:lpstr>
      <vt:lpstr>Stolpec 1 – Davčno obdobje</vt:lpstr>
      <vt:lpstr>Stolpec 2 – 40 odstotkov zneska vlaganj v digitalno preobrazbo in zeleni prehod </vt:lpstr>
      <vt:lpstr>Stolpec 3 – Neizkoriščeni del davčne olajšave preteklega obdobja</vt:lpstr>
      <vt:lpstr>Stolpec 6 – Prenos davčne olajšave zaradi prenosa premoženja, združitve ali deli</vt:lpstr>
      <vt:lpstr>Stolpec 8 – Skupaj neizkoriščeni del davčne olajšave</vt:lpstr>
      <vt:lpstr>Stolpec 9 – Koriščenje davčne olajšave v davčnem obdobju n</vt:lpstr>
      <vt:lpstr>Stolpec 10 – Neizkoriščeni del davčne olajšave</vt:lpstr>
    </vt:vector>
  </TitlesOfParts>
  <Company>FURS</Company>
  <LinksUpToDate>false</LinksUpToDate>
  <CharactersWithSpaces>7652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Gerbec</dc:creator>
  <cp:keywords/>
  <dc:description/>
  <cp:lastModifiedBy>Larisa Eva Ramovš</cp:lastModifiedBy>
  <cp:revision>6</cp:revision>
  <dcterms:created xsi:type="dcterms:W3CDTF">2024-12-16T09:23:00Z</dcterms:created>
  <dcterms:modified xsi:type="dcterms:W3CDTF">2024-12-16T13:21:00Z</dcterms:modified>
</cp:coreProperties>
</file>