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BEA01" w14:textId="7F81D425" w:rsidR="00451FB6" w:rsidRDefault="00451FB6" w:rsidP="00451FB6">
      <w:pPr>
        <w:tabs>
          <w:tab w:val="center" w:pos="4703"/>
          <w:tab w:val="right" w:pos="9406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lang w:eastAsia="x-none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x-none"/>
          <w14:ligatures w14:val="none"/>
        </w:rPr>
        <w:t>Priloga</w:t>
      </w:r>
      <w:r>
        <w:rPr>
          <w:rFonts w:ascii="Times New Roman" w:eastAsia="Times New Roman" w:hAnsi="Times New Roman" w:cs="Times New Roman"/>
          <w:b/>
          <w:kern w:val="0"/>
          <w:szCs w:val="24"/>
          <w:lang w:eastAsia="x-none"/>
          <w14:ligatures w14:val="none"/>
        </w:rPr>
        <w:t xml:space="preserve"> </w:t>
      </w:r>
      <w:r w:rsidR="00286008">
        <w:rPr>
          <w:rFonts w:ascii="Times New Roman" w:eastAsia="Times New Roman" w:hAnsi="Times New Roman" w:cs="Times New Roman"/>
          <w:b/>
          <w:kern w:val="0"/>
          <w:szCs w:val="24"/>
          <w:lang w:eastAsia="x-none"/>
          <w14:ligatures w14:val="none"/>
        </w:rPr>
        <w:t>9</w:t>
      </w:r>
      <w:r>
        <w:rPr>
          <w:rFonts w:ascii="Times New Roman" w:eastAsia="Times New Roman" w:hAnsi="Times New Roman" w:cs="Times New Roman"/>
          <w:b/>
          <w:kern w:val="0"/>
          <w:szCs w:val="24"/>
          <w:lang w:eastAsia="x-none"/>
          <w14:ligatures w14:val="none"/>
        </w:rPr>
        <w:t>:</w:t>
      </w:r>
    </w:p>
    <w:p w14:paraId="0B8A2E21" w14:textId="2AD3ACFD" w:rsidR="00217B79" w:rsidRPr="00CE2478" w:rsidRDefault="00451FB6" w:rsidP="00CE2478">
      <w:pPr>
        <w:tabs>
          <w:tab w:val="center" w:pos="4703"/>
          <w:tab w:val="right" w:pos="940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Cs w:val="24"/>
          <w:lang w:eastAsia="x-none"/>
          <w14:ligatures w14:val="none"/>
        </w:rPr>
        <w:t>»</w:t>
      </w:r>
      <w:r w:rsidR="00217B79" w:rsidRPr="00217B79">
        <w:rPr>
          <w:rFonts w:ascii="Times New Roman" w:eastAsia="Times New Roman" w:hAnsi="Times New Roman" w:cs="Times New Roman"/>
          <w:b/>
          <w:kern w:val="0"/>
          <w:szCs w:val="24"/>
          <w:lang w:eastAsia="x-none"/>
          <w14:ligatures w14:val="none"/>
        </w:rPr>
        <w:t>Priloga 7</w:t>
      </w:r>
      <w:r>
        <w:rPr>
          <w:rFonts w:ascii="Times New Roman" w:eastAsia="Times New Roman" w:hAnsi="Times New Roman" w:cs="Times New Roman"/>
          <w:b/>
          <w:kern w:val="0"/>
          <w:szCs w:val="24"/>
          <w:lang w:eastAsia="x-none"/>
          <w14:ligatures w14:val="none"/>
        </w:rPr>
        <w:t>c</w:t>
      </w:r>
    </w:p>
    <w:p w14:paraId="4F184F7A" w14:textId="77777777" w:rsidR="00217B79" w:rsidRPr="00217B79" w:rsidRDefault="00217B79" w:rsidP="00217B79">
      <w:pPr>
        <w:spacing w:after="0" w:line="360" w:lineRule="auto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Zavezanec za davek: ……………………………………………                                                                                                                   </w:t>
      </w:r>
    </w:p>
    <w:p w14:paraId="72ADCA97" w14:textId="77777777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Davčna številka: ……………….                                 </w:t>
      </w:r>
    </w:p>
    <w:p w14:paraId="104209CE" w14:textId="77777777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507EDC8E" w14:textId="34986877" w:rsidR="00217B79" w:rsidRPr="00217B79" w:rsidRDefault="00217B79" w:rsidP="003736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 xml:space="preserve">PODATKI V ZVEZI Z OLAJŠAVO ZA VLAGANJA V </w:t>
      </w:r>
      <w:r w:rsidR="00234F72" w:rsidRPr="00234F72">
        <w:rPr>
          <w:rFonts w:ascii="Times New Roman" w:eastAsia="Times New Roman" w:hAnsi="Times New Roman" w:cs="Times New Roman"/>
          <w:b/>
          <w:bCs/>
          <w:kern w:val="0"/>
          <w:lang w:eastAsia="sl-SI"/>
          <w14:ligatures w14:val="none"/>
        </w:rPr>
        <w:t>DIGITALNI IN ZELENI PREHOD</w:t>
      </w:r>
      <w:r w:rsidR="00234F72">
        <w:rPr>
          <w:rFonts w:ascii="Times New Roman" w:eastAsia="Times New Roman" w:hAnsi="Times New Roman" w:cs="Times New Roman"/>
          <w:b/>
          <w:bCs/>
          <w:kern w:val="0"/>
          <w:lang w:eastAsia="sl-SI"/>
          <w14:ligatures w14:val="none"/>
        </w:rPr>
        <w:t xml:space="preserve"> </w:t>
      </w:r>
      <w:r w:rsidR="000577C3" w:rsidRPr="000577C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po 55.c členu ZDDPO-2</w:t>
      </w:r>
      <w:r w:rsidRPr="00217B79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 xml:space="preserve"> v povezavi </w:t>
      </w:r>
      <w:r w:rsidR="000577C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z 8</w:t>
      </w:r>
      <w:r w:rsidRPr="00217B79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. členom ZDDPO-2</w:t>
      </w:r>
      <w:r w:rsidR="000577C3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U</w:t>
      </w:r>
    </w:p>
    <w:p w14:paraId="2DE020AF" w14:textId="77777777" w:rsidR="00217B79" w:rsidRPr="00217B79" w:rsidRDefault="00217B79" w:rsidP="00217B7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Za obdobje od ____________ do ____________</w:t>
      </w:r>
      <w:r w:rsidRPr="00217B79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</w:r>
      <w:r w:rsidRPr="00217B79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</w:r>
      <w:r w:rsidRPr="00217B79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</w:r>
      <w:r w:rsidRPr="00217B79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</w:r>
      <w:r w:rsidRPr="00217B79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ab/>
      </w:r>
    </w:p>
    <w:p w14:paraId="7952172F" w14:textId="77777777" w:rsidR="00796BC2" w:rsidRDefault="00217B79" w:rsidP="00217B7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PODATEK POD ZAP. ŠT. 15.</w:t>
      </w:r>
      <w:r w:rsidR="00234F72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>17</w:t>
      </w:r>
      <w:r w:rsidRPr="00217B79">
        <w:rPr>
          <w:rFonts w:ascii="Times New Roman" w:eastAsia="Times New Roman" w:hAnsi="Times New Roman" w:cs="Times New Roman"/>
          <w:b/>
          <w:kern w:val="0"/>
          <w:lang w:eastAsia="sl-SI"/>
          <w14:ligatures w14:val="none"/>
        </w:rPr>
        <w:t xml:space="preserve"> OBRAČUNA</w:t>
      </w:r>
    </w:p>
    <w:p w14:paraId="1011FFEF" w14:textId="4CA6D77D" w:rsidR="00796BC2" w:rsidRPr="00796BC2" w:rsidRDefault="00796BC2" w:rsidP="00796BC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1D942D99" w14:textId="77777777" w:rsidR="00796BC2" w:rsidRPr="00796BC2" w:rsidRDefault="00796BC2" w:rsidP="00796BC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796BC2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     Zneski v eurih s centi</w:t>
      </w:r>
    </w:p>
    <w:tbl>
      <w:tblPr>
        <w:tblW w:w="14739" w:type="dxa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5"/>
        <w:gridCol w:w="1340"/>
        <w:gridCol w:w="1134"/>
        <w:gridCol w:w="1984"/>
        <w:gridCol w:w="1418"/>
        <w:gridCol w:w="1417"/>
        <w:gridCol w:w="1701"/>
        <w:gridCol w:w="1559"/>
        <w:gridCol w:w="1701"/>
        <w:gridCol w:w="1570"/>
      </w:tblGrid>
      <w:tr w:rsidR="00796BC2" w:rsidRPr="00796BC2" w14:paraId="7C981720" w14:textId="77777777" w:rsidTr="00EA542B">
        <w:trPr>
          <w:trHeight w:val="1785"/>
        </w:trPr>
        <w:tc>
          <w:tcPr>
            <w:tcW w:w="915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/>
            <w:vAlign w:val="center"/>
          </w:tcPr>
          <w:p w14:paraId="58A5FBC8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Davčno obdobje</w:t>
            </w:r>
          </w:p>
        </w:tc>
        <w:tc>
          <w:tcPr>
            <w:tcW w:w="1340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72B90025" w14:textId="08500400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 xml:space="preserve">40 odstotkov </w:t>
            </w:r>
            <w:r w:rsidR="00FD2FE0"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z</w:t>
            </w:r>
            <w:r w:rsidR="00FD2FE0" w:rsidRPr="00FD2FE0"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nesk</w:t>
            </w:r>
            <w:r w:rsidR="00FD2FE0"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a</w:t>
            </w:r>
            <w:r w:rsidR="00FD2FE0" w:rsidRPr="00FD2FE0"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 xml:space="preserve"> vlaganj v digitaln</w:t>
            </w:r>
            <w:r w:rsidR="00435940"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o preobrazbo</w:t>
            </w:r>
            <w:r w:rsidR="00FD2FE0" w:rsidRPr="00FD2FE0"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 xml:space="preserve"> in zeleni prehod</w:t>
            </w:r>
            <w:r w:rsidRPr="00796BC2"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 xml:space="preserve"> tekočega obdobja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E477923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Neizkoriščeni del davčnih olajšav iz preteklega  obdobja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6FF0A8E" w14:textId="77777777" w:rsidR="00796BC2" w:rsidRPr="003D02A4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3D02A4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Zmanjšanje neizkoriščenega dela davčnih olajšav iz preteklega obdobja zaradi prodaje ali odtujitve pred potekom treh let oz. pred dokončnim amortiziranjem, če je to krajše od treh let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144D76F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Sprememba neizkoriščenega dela davčnih olajšav iz preteklega obdobja zaradi spremembe po odločbi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9097BBE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Prenos davčnih olajšav zaradi prenosa premoženja, združitve ali delitve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1BDCE744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Povečanje davčnih olajšav zaradi vložitve sredstev zavezanca, ki preneha opravljati dejavnost, v pravno osebo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04A0DADF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Skupaj neizkoriščeni del davčne olajšave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29F95536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  <w:t xml:space="preserve">Koriščenje  davčne olajšave v davčnem obdobju n           </w:t>
            </w:r>
          </w:p>
        </w:tc>
        <w:tc>
          <w:tcPr>
            <w:tcW w:w="1570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D46B4EF" w14:textId="77777777" w:rsidR="00796BC2" w:rsidRPr="00796BC2" w:rsidRDefault="00796BC2" w:rsidP="00796BC2">
            <w:pPr>
              <w:spacing w:after="0" w:line="240" w:lineRule="auto"/>
              <w:ind w:right="360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Neizkoriščeni del davčne olajšave</w:t>
            </w:r>
          </w:p>
        </w:tc>
      </w:tr>
      <w:tr w:rsidR="00796BC2" w:rsidRPr="00796BC2" w14:paraId="4E7B3DDD" w14:textId="77777777" w:rsidTr="00EA542B">
        <w:trPr>
          <w:trHeight w:val="270"/>
        </w:trPr>
        <w:tc>
          <w:tcPr>
            <w:tcW w:w="91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/>
            <w:vAlign w:val="bottom"/>
          </w:tcPr>
          <w:p w14:paraId="71BC32D0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1</w:t>
            </w:r>
          </w:p>
        </w:tc>
        <w:tc>
          <w:tcPr>
            <w:tcW w:w="1340" w:type="dxa"/>
            <w:tcBorders>
              <w:bottom w:val="single" w:sz="12" w:space="0" w:color="auto"/>
            </w:tcBorders>
            <w:shd w:val="clear" w:color="auto" w:fill="FFFFFF"/>
            <w:vAlign w:val="bottom"/>
          </w:tcPr>
          <w:p w14:paraId="5BF65012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2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FFFFF"/>
          </w:tcPr>
          <w:p w14:paraId="136A9BC8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  <w:p w14:paraId="7BE707F1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3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FFFFFF"/>
            <w:vAlign w:val="bottom"/>
          </w:tcPr>
          <w:p w14:paraId="6928A2E8" w14:textId="77777777" w:rsidR="00796BC2" w:rsidRPr="003D02A4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3D02A4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4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FFFFFF"/>
            <w:vAlign w:val="bottom"/>
          </w:tcPr>
          <w:p w14:paraId="56FE8FF2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5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/>
            <w:vAlign w:val="bottom"/>
          </w:tcPr>
          <w:p w14:paraId="7EE525CE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6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/>
          </w:tcPr>
          <w:p w14:paraId="37E84972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  <w:p w14:paraId="65566CC2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7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FFFFFF"/>
            <w:vAlign w:val="bottom"/>
          </w:tcPr>
          <w:p w14:paraId="3F974038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 xml:space="preserve"> 8 = 2 + 3 – 4 + 5 + 6 + 7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/>
            <w:vAlign w:val="bottom"/>
          </w:tcPr>
          <w:p w14:paraId="288773D8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9</w:t>
            </w:r>
          </w:p>
        </w:tc>
        <w:tc>
          <w:tcPr>
            <w:tcW w:w="157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vAlign w:val="bottom"/>
          </w:tcPr>
          <w:p w14:paraId="6F73F497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10 = 8 – 9</w:t>
            </w:r>
          </w:p>
        </w:tc>
      </w:tr>
      <w:tr w:rsidR="00796BC2" w:rsidRPr="00796BC2" w14:paraId="61CA4325" w14:textId="77777777" w:rsidTr="00EA542B">
        <w:trPr>
          <w:cantSplit/>
          <w:trHeight w:val="255"/>
        </w:trPr>
        <w:tc>
          <w:tcPr>
            <w:tcW w:w="915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14:paraId="69012E9C" w14:textId="738FB308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n-</w:t>
            </w:r>
            <w:r w:rsidR="007D5B7F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7</w:t>
            </w:r>
          </w:p>
        </w:tc>
        <w:tc>
          <w:tcPr>
            <w:tcW w:w="1340" w:type="dxa"/>
            <w:tcBorders>
              <w:top w:val="single" w:sz="12" w:space="0" w:color="auto"/>
            </w:tcBorders>
            <w:shd w:val="clear" w:color="auto" w:fill="D9D9D9"/>
            <w:vAlign w:val="bottom"/>
          </w:tcPr>
          <w:p w14:paraId="6D660304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D8EA351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D9D9D9"/>
            <w:vAlign w:val="bottom"/>
          </w:tcPr>
          <w:p w14:paraId="641C45CC" w14:textId="77777777" w:rsidR="00796BC2" w:rsidRPr="003D02A4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vAlign w:val="bottom"/>
          </w:tcPr>
          <w:p w14:paraId="2BAE8830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bottom"/>
          </w:tcPr>
          <w:p w14:paraId="61AB748C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09A31A45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bottom"/>
          </w:tcPr>
          <w:p w14:paraId="513382C3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bottom"/>
          </w:tcPr>
          <w:p w14:paraId="402C476F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570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7DBD49EF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</w:tr>
      <w:tr w:rsidR="007D5B7F" w:rsidRPr="00796BC2" w14:paraId="6F0B710E" w14:textId="77777777" w:rsidTr="00EA542B">
        <w:trPr>
          <w:cantSplit/>
          <w:trHeight w:val="255"/>
        </w:trPr>
        <w:tc>
          <w:tcPr>
            <w:tcW w:w="915" w:type="dxa"/>
            <w:tcBorders>
              <w:left w:val="single" w:sz="12" w:space="0" w:color="auto"/>
            </w:tcBorders>
            <w:vAlign w:val="bottom"/>
          </w:tcPr>
          <w:p w14:paraId="0F448F39" w14:textId="18137BF8" w:rsidR="007D5B7F" w:rsidRPr="00796BC2" w:rsidRDefault="007D5B7F" w:rsidP="0079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n-6</w:t>
            </w:r>
          </w:p>
        </w:tc>
        <w:tc>
          <w:tcPr>
            <w:tcW w:w="1340" w:type="dxa"/>
            <w:shd w:val="clear" w:color="auto" w:fill="D9D9D9"/>
            <w:vAlign w:val="bottom"/>
          </w:tcPr>
          <w:p w14:paraId="54373D65" w14:textId="77777777" w:rsidR="007D5B7F" w:rsidRPr="00796BC2" w:rsidRDefault="007D5B7F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134" w:type="dxa"/>
          </w:tcPr>
          <w:p w14:paraId="663B34AA" w14:textId="77777777" w:rsidR="007D5B7F" w:rsidRPr="00796BC2" w:rsidRDefault="007D5B7F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984" w:type="dxa"/>
            <w:shd w:val="clear" w:color="auto" w:fill="D9D9D9"/>
            <w:vAlign w:val="bottom"/>
          </w:tcPr>
          <w:p w14:paraId="086049F5" w14:textId="77777777" w:rsidR="007D5B7F" w:rsidRPr="003D02A4" w:rsidRDefault="007D5B7F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418" w:type="dxa"/>
            <w:vAlign w:val="bottom"/>
          </w:tcPr>
          <w:p w14:paraId="7101FA91" w14:textId="77777777" w:rsidR="007D5B7F" w:rsidRPr="00796BC2" w:rsidRDefault="007D5B7F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417" w:type="dxa"/>
            <w:vAlign w:val="bottom"/>
          </w:tcPr>
          <w:p w14:paraId="73F68036" w14:textId="77777777" w:rsidR="007D5B7F" w:rsidRPr="00796BC2" w:rsidRDefault="007D5B7F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701" w:type="dxa"/>
          </w:tcPr>
          <w:p w14:paraId="52A19B6A" w14:textId="77777777" w:rsidR="007D5B7F" w:rsidRPr="00796BC2" w:rsidRDefault="007D5B7F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559" w:type="dxa"/>
            <w:vAlign w:val="bottom"/>
          </w:tcPr>
          <w:p w14:paraId="1CD41ED5" w14:textId="77777777" w:rsidR="007D5B7F" w:rsidRPr="00796BC2" w:rsidRDefault="007D5B7F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701" w:type="dxa"/>
            <w:vAlign w:val="bottom"/>
          </w:tcPr>
          <w:p w14:paraId="10AF8562" w14:textId="77777777" w:rsidR="007D5B7F" w:rsidRPr="00796BC2" w:rsidRDefault="007D5B7F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570" w:type="dxa"/>
            <w:tcBorders>
              <w:right w:val="single" w:sz="12" w:space="0" w:color="auto"/>
            </w:tcBorders>
            <w:vAlign w:val="bottom"/>
          </w:tcPr>
          <w:p w14:paraId="389CB653" w14:textId="77777777" w:rsidR="007D5B7F" w:rsidRPr="00796BC2" w:rsidRDefault="007D5B7F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</w:tr>
      <w:tr w:rsidR="00796BC2" w:rsidRPr="00796BC2" w14:paraId="65F35328" w14:textId="77777777" w:rsidTr="00EA542B">
        <w:trPr>
          <w:cantSplit/>
          <w:trHeight w:val="255"/>
        </w:trPr>
        <w:tc>
          <w:tcPr>
            <w:tcW w:w="915" w:type="dxa"/>
            <w:tcBorders>
              <w:left w:val="single" w:sz="12" w:space="0" w:color="auto"/>
            </w:tcBorders>
            <w:vAlign w:val="bottom"/>
          </w:tcPr>
          <w:p w14:paraId="277EBCE2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n-5</w:t>
            </w:r>
          </w:p>
        </w:tc>
        <w:tc>
          <w:tcPr>
            <w:tcW w:w="1340" w:type="dxa"/>
            <w:shd w:val="clear" w:color="auto" w:fill="D9D9D9"/>
            <w:vAlign w:val="bottom"/>
          </w:tcPr>
          <w:p w14:paraId="4420E6CB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134" w:type="dxa"/>
          </w:tcPr>
          <w:p w14:paraId="3D42D888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984" w:type="dxa"/>
            <w:shd w:val="clear" w:color="auto" w:fill="D9D9D9"/>
            <w:vAlign w:val="bottom"/>
          </w:tcPr>
          <w:p w14:paraId="4879AAA1" w14:textId="77777777" w:rsidR="00796BC2" w:rsidRPr="003D02A4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3D02A4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418" w:type="dxa"/>
            <w:vAlign w:val="bottom"/>
          </w:tcPr>
          <w:p w14:paraId="7E93B86D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417" w:type="dxa"/>
            <w:vAlign w:val="bottom"/>
          </w:tcPr>
          <w:p w14:paraId="04173AEB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701" w:type="dxa"/>
          </w:tcPr>
          <w:p w14:paraId="0A3BECAA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559" w:type="dxa"/>
            <w:vAlign w:val="bottom"/>
          </w:tcPr>
          <w:p w14:paraId="37F2FE70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701" w:type="dxa"/>
            <w:vAlign w:val="bottom"/>
          </w:tcPr>
          <w:p w14:paraId="0017EFE0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570" w:type="dxa"/>
            <w:tcBorders>
              <w:right w:val="single" w:sz="12" w:space="0" w:color="auto"/>
            </w:tcBorders>
            <w:vAlign w:val="bottom"/>
          </w:tcPr>
          <w:p w14:paraId="315A080B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</w:tr>
      <w:tr w:rsidR="00796BC2" w:rsidRPr="00796BC2" w14:paraId="0FCDB5A3" w14:textId="77777777" w:rsidTr="00EA542B">
        <w:trPr>
          <w:cantSplit/>
          <w:trHeight w:val="255"/>
        </w:trPr>
        <w:tc>
          <w:tcPr>
            <w:tcW w:w="915" w:type="dxa"/>
            <w:tcBorders>
              <w:left w:val="single" w:sz="12" w:space="0" w:color="auto"/>
            </w:tcBorders>
            <w:vAlign w:val="bottom"/>
          </w:tcPr>
          <w:p w14:paraId="42C9FFBF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n-4 </w:t>
            </w:r>
          </w:p>
        </w:tc>
        <w:tc>
          <w:tcPr>
            <w:tcW w:w="1340" w:type="dxa"/>
            <w:shd w:val="clear" w:color="auto" w:fill="D9D9D9"/>
            <w:vAlign w:val="bottom"/>
          </w:tcPr>
          <w:p w14:paraId="5A651089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134" w:type="dxa"/>
          </w:tcPr>
          <w:p w14:paraId="723842EA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736C0177" w14:textId="77777777" w:rsidR="00796BC2" w:rsidRPr="003D02A4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3D02A4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418" w:type="dxa"/>
            <w:vAlign w:val="bottom"/>
          </w:tcPr>
          <w:p w14:paraId="1181392E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417" w:type="dxa"/>
            <w:vAlign w:val="bottom"/>
          </w:tcPr>
          <w:p w14:paraId="257B526F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701" w:type="dxa"/>
          </w:tcPr>
          <w:p w14:paraId="0716330F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559" w:type="dxa"/>
            <w:vAlign w:val="bottom"/>
          </w:tcPr>
          <w:p w14:paraId="79B18BE8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701" w:type="dxa"/>
            <w:vAlign w:val="bottom"/>
          </w:tcPr>
          <w:p w14:paraId="2B512BBC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570" w:type="dxa"/>
            <w:tcBorders>
              <w:right w:val="single" w:sz="12" w:space="0" w:color="auto"/>
            </w:tcBorders>
            <w:vAlign w:val="bottom"/>
          </w:tcPr>
          <w:p w14:paraId="640786DD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</w:tr>
      <w:tr w:rsidR="00796BC2" w:rsidRPr="00796BC2" w14:paraId="413B6373" w14:textId="77777777" w:rsidTr="00EA542B">
        <w:trPr>
          <w:cantSplit/>
          <w:trHeight w:val="255"/>
        </w:trPr>
        <w:tc>
          <w:tcPr>
            <w:tcW w:w="915" w:type="dxa"/>
            <w:tcBorders>
              <w:left w:val="single" w:sz="12" w:space="0" w:color="auto"/>
            </w:tcBorders>
            <w:vAlign w:val="bottom"/>
          </w:tcPr>
          <w:p w14:paraId="61BDF086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n-3 </w:t>
            </w:r>
          </w:p>
        </w:tc>
        <w:tc>
          <w:tcPr>
            <w:tcW w:w="1340" w:type="dxa"/>
            <w:shd w:val="clear" w:color="auto" w:fill="D9D9D9"/>
            <w:vAlign w:val="bottom"/>
          </w:tcPr>
          <w:p w14:paraId="4EC13B5E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134" w:type="dxa"/>
          </w:tcPr>
          <w:p w14:paraId="660F5432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751DF434" w14:textId="77777777" w:rsidR="00796BC2" w:rsidRPr="003D02A4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3D02A4"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418" w:type="dxa"/>
            <w:vAlign w:val="bottom"/>
          </w:tcPr>
          <w:p w14:paraId="192E5A44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417" w:type="dxa"/>
            <w:vAlign w:val="bottom"/>
          </w:tcPr>
          <w:p w14:paraId="2249A16C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701" w:type="dxa"/>
          </w:tcPr>
          <w:p w14:paraId="7DC260FB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559" w:type="dxa"/>
            <w:vAlign w:val="bottom"/>
          </w:tcPr>
          <w:p w14:paraId="250F7898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701" w:type="dxa"/>
            <w:vAlign w:val="bottom"/>
          </w:tcPr>
          <w:p w14:paraId="5D9218FD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570" w:type="dxa"/>
            <w:tcBorders>
              <w:right w:val="single" w:sz="12" w:space="0" w:color="auto"/>
            </w:tcBorders>
            <w:vAlign w:val="bottom"/>
          </w:tcPr>
          <w:p w14:paraId="48D57D79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</w:tr>
      <w:tr w:rsidR="00796BC2" w:rsidRPr="00796BC2" w14:paraId="38FD9430" w14:textId="77777777" w:rsidTr="00EA542B">
        <w:trPr>
          <w:cantSplit/>
          <w:trHeight w:val="255"/>
        </w:trPr>
        <w:tc>
          <w:tcPr>
            <w:tcW w:w="915" w:type="dxa"/>
            <w:tcBorders>
              <w:left w:val="single" w:sz="12" w:space="0" w:color="auto"/>
            </w:tcBorders>
            <w:vAlign w:val="bottom"/>
          </w:tcPr>
          <w:p w14:paraId="1E62FA1D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n-2 </w:t>
            </w:r>
          </w:p>
        </w:tc>
        <w:tc>
          <w:tcPr>
            <w:tcW w:w="1340" w:type="dxa"/>
            <w:shd w:val="clear" w:color="auto" w:fill="D9D9D9"/>
            <w:vAlign w:val="bottom"/>
          </w:tcPr>
          <w:p w14:paraId="5621DB03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134" w:type="dxa"/>
          </w:tcPr>
          <w:p w14:paraId="6BDBEFEF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6F90889A" w14:textId="77777777" w:rsidR="00796BC2" w:rsidRPr="003D02A4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3D02A4"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418" w:type="dxa"/>
            <w:vAlign w:val="bottom"/>
          </w:tcPr>
          <w:p w14:paraId="16D561A0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417" w:type="dxa"/>
            <w:vAlign w:val="bottom"/>
          </w:tcPr>
          <w:p w14:paraId="130EFD56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701" w:type="dxa"/>
          </w:tcPr>
          <w:p w14:paraId="41198749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559" w:type="dxa"/>
            <w:vAlign w:val="bottom"/>
          </w:tcPr>
          <w:p w14:paraId="0B67DA75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701" w:type="dxa"/>
            <w:vAlign w:val="bottom"/>
          </w:tcPr>
          <w:p w14:paraId="2A34734D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570" w:type="dxa"/>
            <w:tcBorders>
              <w:right w:val="single" w:sz="12" w:space="0" w:color="auto"/>
            </w:tcBorders>
            <w:vAlign w:val="bottom"/>
          </w:tcPr>
          <w:p w14:paraId="39381EAD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</w:tr>
      <w:tr w:rsidR="00796BC2" w:rsidRPr="00796BC2" w14:paraId="5F40B82A" w14:textId="77777777" w:rsidTr="00EA542B">
        <w:trPr>
          <w:cantSplit/>
          <w:trHeight w:val="255"/>
        </w:trPr>
        <w:tc>
          <w:tcPr>
            <w:tcW w:w="915" w:type="dxa"/>
            <w:tcBorders>
              <w:left w:val="single" w:sz="12" w:space="0" w:color="auto"/>
            </w:tcBorders>
            <w:vAlign w:val="bottom"/>
          </w:tcPr>
          <w:p w14:paraId="732AB7E5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n-1 </w:t>
            </w:r>
          </w:p>
        </w:tc>
        <w:tc>
          <w:tcPr>
            <w:tcW w:w="1340" w:type="dxa"/>
            <w:shd w:val="clear" w:color="auto" w:fill="D9D9D9"/>
            <w:vAlign w:val="bottom"/>
          </w:tcPr>
          <w:p w14:paraId="48DDD0D0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134" w:type="dxa"/>
          </w:tcPr>
          <w:p w14:paraId="00A0A8E3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2E7BC077" w14:textId="77777777" w:rsidR="00796BC2" w:rsidRPr="003D02A4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3D02A4"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418" w:type="dxa"/>
            <w:vAlign w:val="bottom"/>
          </w:tcPr>
          <w:p w14:paraId="5C937151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417" w:type="dxa"/>
            <w:vAlign w:val="bottom"/>
          </w:tcPr>
          <w:p w14:paraId="1F6F1ED6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701" w:type="dxa"/>
          </w:tcPr>
          <w:p w14:paraId="04FEB0D7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559" w:type="dxa"/>
            <w:vAlign w:val="bottom"/>
          </w:tcPr>
          <w:p w14:paraId="39D2EB51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701" w:type="dxa"/>
            <w:vAlign w:val="bottom"/>
          </w:tcPr>
          <w:p w14:paraId="6B9A59A4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570" w:type="dxa"/>
            <w:tcBorders>
              <w:right w:val="single" w:sz="12" w:space="0" w:color="auto"/>
            </w:tcBorders>
            <w:vAlign w:val="bottom"/>
          </w:tcPr>
          <w:p w14:paraId="1B6DD2E7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</w:tr>
      <w:tr w:rsidR="00796BC2" w:rsidRPr="00796BC2" w14:paraId="4DF8DEBB" w14:textId="77777777" w:rsidTr="00EA542B">
        <w:trPr>
          <w:cantSplit/>
          <w:trHeight w:val="255"/>
        </w:trPr>
        <w:tc>
          <w:tcPr>
            <w:tcW w:w="915" w:type="dxa"/>
            <w:tcBorders>
              <w:left w:val="single" w:sz="12" w:space="0" w:color="auto"/>
            </w:tcBorders>
            <w:vAlign w:val="bottom"/>
          </w:tcPr>
          <w:p w14:paraId="50E611B4" w14:textId="1ED8D309" w:rsidR="00796BC2" w:rsidRPr="00796BC2" w:rsidRDefault="00F06D2F" w:rsidP="00796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n</w:t>
            </w:r>
          </w:p>
        </w:tc>
        <w:tc>
          <w:tcPr>
            <w:tcW w:w="1340" w:type="dxa"/>
            <w:vAlign w:val="bottom"/>
          </w:tcPr>
          <w:p w14:paraId="2541F631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134" w:type="dxa"/>
            <w:shd w:val="clear" w:color="auto" w:fill="D9D9D9"/>
          </w:tcPr>
          <w:p w14:paraId="6E8E7A6F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bottom"/>
          </w:tcPr>
          <w:p w14:paraId="6AFBDCD9" w14:textId="77777777" w:rsidR="00796BC2" w:rsidRPr="003D02A4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418" w:type="dxa"/>
            <w:shd w:val="clear" w:color="auto" w:fill="D9D9D9"/>
            <w:vAlign w:val="bottom"/>
          </w:tcPr>
          <w:p w14:paraId="5B5459A8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417" w:type="dxa"/>
            <w:vAlign w:val="bottom"/>
          </w:tcPr>
          <w:p w14:paraId="4E00605E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701" w:type="dxa"/>
          </w:tcPr>
          <w:p w14:paraId="7F7DC3EC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559" w:type="dxa"/>
            <w:vAlign w:val="bottom"/>
          </w:tcPr>
          <w:p w14:paraId="16D22368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701" w:type="dxa"/>
            <w:vAlign w:val="bottom"/>
          </w:tcPr>
          <w:p w14:paraId="16A50B33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570" w:type="dxa"/>
            <w:tcBorders>
              <w:right w:val="single" w:sz="12" w:space="0" w:color="auto"/>
            </w:tcBorders>
            <w:vAlign w:val="bottom"/>
          </w:tcPr>
          <w:p w14:paraId="54AB62C4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</w:tr>
      <w:tr w:rsidR="00796BC2" w:rsidRPr="00796BC2" w14:paraId="659AC22C" w14:textId="77777777" w:rsidTr="00EA542B">
        <w:trPr>
          <w:trHeight w:val="270"/>
        </w:trPr>
        <w:tc>
          <w:tcPr>
            <w:tcW w:w="915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5F858A7E" w14:textId="77777777" w:rsidR="00796BC2" w:rsidRPr="00796BC2" w:rsidRDefault="00796BC2" w:rsidP="00796BC2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Skupaj</w:t>
            </w:r>
          </w:p>
        </w:tc>
        <w:tc>
          <w:tcPr>
            <w:tcW w:w="1340" w:type="dxa"/>
            <w:tcBorders>
              <w:bottom w:val="single" w:sz="12" w:space="0" w:color="auto"/>
            </w:tcBorders>
            <w:vAlign w:val="bottom"/>
          </w:tcPr>
          <w:p w14:paraId="211EE675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97BD273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  <w:vAlign w:val="bottom"/>
          </w:tcPr>
          <w:p w14:paraId="5E45453D" w14:textId="77777777" w:rsidR="00796BC2" w:rsidRPr="003D02A4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3D02A4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bottom"/>
          </w:tcPr>
          <w:p w14:paraId="227E2F98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bottom"/>
          </w:tcPr>
          <w:p w14:paraId="5DF4AC6A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0E874251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bottom"/>
          </w:tcPr>
          <w:p w14:paraId="7607CECD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bottom"/>
          </w:tcPr>
          <w:p w14:paraId="24958337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1570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14:paraId="16D78876" w14:textId="77777777" w:rsidR="00796BC2" w:rsidRPr="00796BC2" w:rsidRDefault="00796BC2" w:rsidP="00796BC2">
            <w:pPr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</w:pPr>
            <w:r w:rsidRPr="00796BC2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sl-SI"/>
                <w14:ligatures w14:val="none"/>
              </w:rPr>
              <w:t> </w:t>
            </w:r>
          </w:p>
        </w:tc>
      </w:tr>
    </w:tbl>
    <w:p w14:paraId="7D1811BC" w14:textId="77777777" w:rsidR="00796BC2" w:rsidRPr="00796BC2" w:rsidRDefault="00796BC2" w:rsidP="00796BC2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796BC2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n: Obdobje, za katero se sestavlja davčni obračun.</w:t>
      </w:r>
    </w:p>
    <w:p w14:paraId="55388C31" w14:textId="7567295C" w:rsidR="003736A1" w:rsidRDefault="00796BC2" w:rsidP="00796BC2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796BC2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* V siva polja se podatki ne vpisujejo.</w:t>
      </w:r>
    </w:p>
    <w:p w14:paraId="5BF1622F" w14:textId="77777777" w:rsidR="003736A1" w:rsidRDefault="003736A1" w:rsidP="00796BC2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6AEAB41D" w14:textId="77777777" w:rsidR="003736A1" w:rsidRPr="00796BC2" w:rsidRDefault="003736A1" w:rsidP="00796BC2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3F51C938" w14:textId="77777777" w:rsidR="00796BC2" w:rsidRPr="00796BC2" w:rsidRDefault="00796BC2" w:rsidP="00796BC2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796BC2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V/na ……………………, dne ……………….                   Žig in podpis odgovorne osebe:</w:t>
      </w:r>
    </w:p>
    <w:p w14:paraId="3FA13552" w14:textId="77777777" w:rsidR="00796BC2" w:rsidRPr="00796BC2" w:rsidRDefault="00796BC2" w:rsidP="00796BC2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sectPr w:rsidR="00796BC2" w:rsidRPr="00796BC2" w:rsidSect="00796BC2">
          <w:headerReference w:type="default" r:id="rId6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D383875" w14:textId="51ECE235" w:rsidR="00217B79" w:rsidRPr="00435940" w:rsidRDefault="00217B79" w:rsidP="00217B7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METODOLOGIJA ZA IZPOLNJEVANJE OBRAZCA</w:t>
      </w:r>
    </w:p>
    <w:p w14:paraId="10DA9EEC" w14:textId="77777777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2E0F82FA" w14:textId="52BB375E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trike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 xml:space="preserve">PODATKI V ZVEZI Z </w:t>
      </w:r>
      <w:r w:rsidR="006F1EF5" w:rsidRPr="006F1EF5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 xml:space="preserve">OLAJŠAVO ZA VLAGANJA V </w:t>
      </w:r>
      <w:r w:rsidR="006F1EF5" w:rsidRPr="006F1EF5">
        <w:rPr>
          <w:rFonts w:ascii="Times New Roman" w:eastAsia="Times New Roman" w:hAnsi="Times New Roman" w:cs="Times New Roman"/>
          <w:b/>
          <w:bCs/>
          <w:kern w:val="0"/>
          <w:szCs w:val="24"/>
          <w:lang w:eastAsia="sl-SI"/>
          <w14:ligatures w14:val="none"/>
        </w:rPr>
        <w:t xml:space="preserve">DIGITALNI IN ZELENI PREHOD </w:t>
      </w:r>
      <w:r w:rsidR="006F1EF5" w:rsidRPr="006F1EF5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po 55.c členu ZDDPO-2 v povezavi z 8. členom ZDDPO-2U</w:t>
      </w: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 xml:space="preserve"> </w:t>
      </w:r>
    </w:p>
    <w:p w14:paraId="24206FFD" w14:textId="497B8219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(</w:t>
      </w:r>
      <w:proofErr w:type="spellStart"/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zap</w:t>
      </w:r>
      <w:proofErr w:type="spellEnd"/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. št. 15.</w:t>
      </w:r>
      <w:r w:rsidR="006F1EF5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17</w:t>
      </w: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 xml:space="preserve"> obračuna)</w:t>
      </w:r>
    </w:p>
    <w:p w14:paraId="0B74F51C" w14:textId="77777777" w:rsidR="00217B79" w:rsidRPr="00217B79" w:rsidRDefault="00217B79" w:rsidP="00217B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20EBEF7E" w14:textId="77777777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164F70B8" w14:textId="36C1761E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Obrazec </w:t>
      </w:r>
      <w:r w:rsidRPr="00217B79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 xml:space="preserve">Podatki v zvezi z </w:t>
      </w:r>
      <w:r w:rsidR="00BD05B3" w:rsidRPr="00BD05B3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 xml:space="preserve">olajšavo za vlaganja v digitalni in zeleni prehod po 55.c členu ZDDPO-2 v povezavi z 8. členom ZDDPO-2U </w:t>
      </w:r>
      <w:r w:rsidRPr="00217B79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 xml:space="preserve">(v nadaljevanju: Podatki v zvezi z </w:t>
      </w:r>
      <w:r w:rsidR="00BD05B3" w:rsidRPr="00BD05B3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>olajšavo za vlaganja v digitalni in zeleni prehod</w:t>
      </w:r>
      <w:r w:rsidRPr="00217B79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 xml:space="preserve">) 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se izpolni, če ima zavezanec vpisan podatek pod </w:t>
      </w:r>
      <w:proofErr w:type="spellStart"/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zap</w:t>
      </w:r>
      <w:proofErr w:type="spellEnd"/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. št. 15.</w:t>
      </w:r>
      <w:r w:rsidR="00BD05B3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17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obračuna</w:t>
      </w:r>
      <w:r w:rsidR="002D00B0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,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ali če ima zavezanec neizkoriščen del davčne olajšave v davčnem obdobju, za katero predlaga obračun, ali iz preteklih davčnih obdobij. Obrazec </w:t>
      </w:r>
      <w:r w:rsidR="00BD05B3" w:rsidRPr="00217B79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 xml:space="preserve">Podatki v zvezi z </w:t>
      </w:r>
      <w:r w:rsidR="00BD05B3" w:rsidRPr="00BD05B3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>olajšavo za vlaganja v digitalni in zeleni prehod</w:t>
      </w:r>
      <w:r w:rsidR="00BD05B3"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se izpolnjuje in predlaga tudi, kadar je v davčnem obdobju, za katero se predlaga obračun, na podlagi davčnega nadzora nastala sprememba višine davčne olajšave, ki se nanaša na </w:t>
      </w:r>
      <w:r w:rsidR="00AF20CE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zadnjih pet 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davčn</w:t>
      </w:r>
      <w:r w:rsidR="00AF20CE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ih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obdob</w:t>
      </w:r>
      <w:r w:rsidR="00AF20CE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i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j, in če je v davčnem obdobju zavezanec upravičen do prenosa olajšav zaradi prenosa premoženja, združitve ali delitve ali zaradi vložitve sredstev zavezanca, ki preneha opravljati dejavnost, v pravno </w:t>
      </w:r>
      <w:r w:rsidRPr="00435D14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osebo. Podatki se v polje za davčno obdobje n-7 in n-6 vpisujejo le, če je katero koli obdobje od n do n-5 krajše od 12 mesecev.</w:t>
      </w:r>
    </w:p>
    <w:p w14:paraId="00A40250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2EF964C5" w14:textId="41A87785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strike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V obrazec </w:t>
      </w:r>
      <w:r w:rsidR="00BD05B3" w:rsidRPr="00217B79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 xml:space="preserve">Podatki v zvezi z </w:t>
      </w:r>
      <w:r w:rsidR="00BD05B3" w:rsidRPr="00BD05B3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 xml:space="preserve">olajšavo za vlaganja </w:t>
      </w:r>
      <w:bookmarkStart w:id="0" w:name="_Hlk183523126"/>
      <w:r w:rsidR="00BD05B3" w:rsidRPr="00BD05B3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>v digitalni in zeleni prehod</w:t>
      </w:r>
      <w:r w:rsidR="00BD05B3"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</w:t>
      </w:r>
      <w:bookmarkEnd w:id="0"/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se vpisujejo podatki, ki se nanašajo na </w:t>
      </w:r>
      <w:r w:rsidRPr="00BD05B3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vlaganja </w:t>
      </w:r>
      <w:r w:rsidR="00BD05B3" w:rsidRPr="00BD05B3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v digitaln</w:t>
      </w:r>
      <w:r w:rsidR="00BD05B3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o preobrazbo</w:t>
      </w:r>
      <w:r w:rsidR="00BD05B3" w:rsidRPr="00BD05B3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in zeleni prehod </w:t>
      </w:r>
      <w:r w:rsidRPr="00BD05B3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po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prvem stavku prvega odstavka 55.</w:t>
      </w:r>
      <w:r w:rsidR="00BD05B3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c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člena ZDDPO-2. </w:t>
      </w:r>
    </w:p>
    <w:p w14:paraId="6BCE5606" w14:textId="77777777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65C71BFD" w14:textId="2B20FE29" w:rsidR="00217B79" w:rsidRPr="00217B79" w:rsidRDefault="00217B79" w:rsidP="00217B7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Obrazec </w:t>
      </w:r>
      <w:r w:rsidR="00BD05B3" w:rsidRPr="00217B79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 xml:space="preserve">Podatki v zvezi z </w:t>
      </w:r>
      <w:r w:rsidR="00BD05B3" w:rsidRPr="00BD05B3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>olajšavo za vlaganja v digitalni in zeleni prehod</w:t>
      </w:r>
      <w:r w:rsidR="00BD05B3"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se izpolnjuje v eurih s centi.</w:t>
      </w:r>
    </w:p>
    <w:p w14:paraId="4BA819B1" w14:textId="77777777" w:rsidR="001735DA" w:rsidRPr="00217B79" w:rsidRDefault="001735DA" w:rsidP="00217B79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155F03F0" w14:textId="77777777" w:rsidR="00217B79" w:rsidRPr="00217B79" w:rsidRDefault="00217B79" w:rsidP="00217B7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Stolpec 1 – Davčno obdobje</w:t>
      </w:r>
    </w:p>
    <w:p w14:paraId="7926D4B1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61BA8794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Vpiše se ustrezno davčno obdobje v obliki LLLL ali v obliki DD. MM. LL–DD. MM. LL. Davčno obdobje n pomeni davčno obdobje, za katero se sestavlja davčni obračun. </w:t>
      </w:r>
    </w:p>
    <w:p w14:paraId="4BF02D94" w14:textId="77777777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5811676C" w14:textId="7034638F" w:rsidR="00217B79" w:rsidRPr="00217B79" w:rsidRDefault="00217B79" w:rsidP="00217B7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 xml:space="preserve">Stolpec 2 – </w:t>
      </w:r>
      <w:r w:rsidR="00936D57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4</w:t>
      </w: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 xml:space="preserve">0 odstotkov zneska vlaganj </w:t>
      </w:r>
      <w:r w:rsidR="00936D57" w:rsidRPr="00EE646F">
        <w:rPr>
          <w:rFonts w:ascii="Times New Roman" w:eastAsia="Times New Roman" w:hAnsi="Times New Roman" w:cs="Times New Roman"/>
          <w:b/>
          <w:bCs/>
          <w:kern w:val="0"/>
          <w:szCs w:val="24"/>
          <w:lang w:eastAsia="sl-SI"/>
          <w14:ligatures w14:val="none"/>
        </w:rPr>
        <w:t>v digitalno preobrazbo in zeleni prehod</w:t>
      </w:r>
      <w:r w:rsidR="00936D57"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 xml:space="preserve"> </w:t>
      </w: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tekočega obdobja</w:t>
      </w:r>
    </w:p>
    <w:p w14:paraId="2EB98037" w14:textId="77777777" w:rsidR="00217B79" w:rsidRPr="00217B79" w:rsidRDefault="00217B79" w:rsidP="00217B7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54D1A004" w14:textId="4AC70668" w:rsidR="00435D14" w:rsidRPr="00217B79" w:rsidRDefault="00217B79" w:rsidP="00936D57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Vpiše se </w:t>
      </w:r>
      <w:r w:rsidR="00936D57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4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0 odstotkov zneska, ki predstavlja vlaganja </w:t>
      </w:r>
      <w:r w:rsidR="00936D57" w:rsidRPr="00EE646F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v digitalno preobrazbo in zeleni prehod</w:t>
      </w:r>
      <w:r w:rsidR="00936D57"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v skladu s prvim stavkom prvega odstavka 55.</w:t>
      </w:r>
      <w:r w:rsidR="00936D57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c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člena ZDDPO-2 ter </w:t>
      </w:r>
      <w:r w:rsidRPr="00936D57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Pravilnikom </w:t>
      </w:r>
      <w:r w:rsidR="00936D57" w:rsidRPr="00936D57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o uveljavljanju davčnih olajšav za vlaganja v digitalni in zeleni prehod</w:t>
      </w:r>
      <w:r w:rsidR="00BA5E84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, </w:t>
      </w:r>
      <w:r w:rsidR="00BA5E84"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pri čemer se olajšava ne more uveljavljati za tista vlaganja</w:t>
      </w:r>
      <w:r w:rsidR="00435D14" w:rsidRPr="001735DA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, ki so financiran</w:t>
      </w:r>
      <w:r w:rsidR="00BA5E84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a</w:t>
      </w:r>
      <w:r w:rsidR="00435D14" w:rsidRPr="001735DA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iz sredstev proračunov samoupravnih lokalnih skupnosti, proračuna Republike Slovenije oz. proračuna EU, če imajo ta sredstva naravo nepovratnih sredstev</w:t>
      </w:r>
      <w:r w:rsidR="00BA5E84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, kot tudi ne za</w:t>
      </w:r>
      <w:r w:rsidR="00435D14" w:rsidRPr="001735DA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vlaganj</w:t>
      </w:r>
      <w:r w:rsidR="00BA5E84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a</w:t>
      </w:r>
      <w:r w:rsidR="00435D14" w:rsidRPr="001735DA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, za katera zavezanec uveljavlja olajšavo po 55. </w:t>
      </w:r>
      <w:r w:rsidR="00435D14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in</w:t>
      </w:r>
      <w:r w:rsidR="00820D82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/ali</w:t>
      </w:r>
      <w:r w:rsidR="00435D14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55.a </w:t>
      </w:r>
      <w:r w:rsidR="00435D14" w:rsidRPr="001735DA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členu ZDDPO-2.</w:t>
      </w:r>
    </w:p>
    <w:p w14:paraId="486F18D2" w14:textId="06FBA73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Davčni zavezanec, ki uveljavlja navedeno olajšavo, poleg te priloge kot sestavni del davčnega obračuna predloži tudi </w:t>
      </w:r>
      <w:r w:rsidRPr="00217B79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>Obrazec za uveljavljanje davčn</w:t>
      </w:r>
      <w:r w:rsidR="00936D57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>e</w:t>
      </w:r>
      <w:r w:rsidRPr="00217B79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 xml:space="preserve"> olajšav</w:t>
      </w:r>
      <w:r w:rsidR="00936D57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>e</w:t>
      </w:r>
      <w:r w:rsidRPr="00217B79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 xml:space="preserve"> za vlaganja </w:t>
      </w:r>
      <w:r w:rsidR="00936D57" w:rsidRPr="00936D57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>v digitalni in zeleni prehod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, ki je določen s </w:t>
      </w:r>
      <w:r w:rsidR="00936D57" w:rsidRPr="00936D57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Pravilnikom o uveljavljanju davčnih olajšav za vlaganja v digitalni in zeleni prehod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. </w:t>
      </w:r>
    </w:p>
    <w:p w14:paraId="691800FC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7E63FD81" w14:textId="77777777" w:rsidR="00217B79" w:rsidRPr="00217B79" w:rsidRDefault="00217B79" w:rsidP="00217B7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Stolpec 3 – Neizkoriščeni del davčne olajšave preteklega obdobja</w:t>
      </w:r>
    </w:p>
    <w:p w14:paraId="5D01379F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12BFAF0C" w14:textId="5D3EF16E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Vpiše se znesek neizkoriščenega dela davčne olajšave iz preteklih davčnih obdobij (podatek iz stolpca 9 oziroma 10 iz obrazca </w:t>
      </w:r>
      <w:r w:rsidR="002A4C96" w:rsidRPr="002A4C96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 xml:space="preserve">Podatki v zvezi z olajšavo za vlaganja v digitalni in zeleni prehod 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(Priloga 7</w:t>
      </w:r>
      <w:r w:rsidR="002A4C96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c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) iz predhodnega davčnega obdobja).</w:t>
      </w:r>
    </w:p>
    <w:p w14:paraId="5EAB227E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66573262" w14:textId="777E1003" w:rsidR="00217B79" w:rsidRPr="003D02A4" w:rsidRDefault="00CC21D8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3D02A4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Stolpec 4 – Zmanjšanje neizkoriščenega dela davčne olajšave iz preteklega obdobja zaradi prodaje ali odtujitve pred potekom treh let oz. pred dokončnim amortiziranjem, če je to krajše od treh let</w:t>
      </w:r>
    </w:p>
    <w:p w14:paraId="3A34C80C" w14:textId="77777777" w:rsidR="00217B79" w:rsidRPr="003D02A4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15EB4429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3D02A4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Podatki v stolpec 4 se ne vpisujejo.</w:t>
      </w:r>
    </w:p>
    <w:p w14:paraId="7DA29D87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62822C91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 xml:space="preserve">Stolpec 5 – Sprememba neizkoriščenega dela davčne olajšave iz preteklega obdobja zaradi spremembe po odločbi </w:t>
      </w:r>
    </w:p>
    <w:p w14:paraId="36F49F80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6197CFC2" w14:textId="7660794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Vpiše se znesek, ki pomeni razliko med višino davčne olajšave, kakršno je uveljavljal zavezanec v obračunu davka, in višino davčne olajšave, ugotovljene v morebitnem davčnem nadzoru (znesek je lahko s pozitivnim ali negativnim predznakom). Vpisujejo se tiste spremembe, ki so posledica nadzora v davčnem obdobju, za katero se sestavlja obračun, in se nanašajo na </w:t>
      </w:r>
      <w:r w:rsidR="00C3442B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zadnjih</w:t>
      </w:r>
      <w:r w:rsidR="00CC7438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pet 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davčn</w:t>
      </w:r>
      <w:r w:rsidR="00CC7438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ih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obdob</w:t>
      </w:r>
      <w:r w:rsidR="00CC7438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i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j ter še niso bile vključene v Prilogo 7</w:t>
      </w:r>
      <w:r w:rsidR="00312DE8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c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</w:t>
      </w:r>
      <w:r w:rsidR="00CC7438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davčnih 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obračunov za pretekla obdobja.</w:t>
      </w:r>
    </w:p>
    <w:p w14:paraId="180A32A6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5A45D6BB" w14:textId="77777777" w:rsidR="00217B79" w:rsidRPr="00217B79" w:rsidRDefault="00217B79" w:rsidP="00217B7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Stolpec 6 – Prenos davčne olajšave zaradi prenosa premoženja, združitve ali delitve</w:t>
      </w:r>
    </w:p>
    <w:p w14:paraId="444BA843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2582F47F" w14:textId="1E1397A2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Vpiše se znesek prenesene olajšave v skladu s 40. in 43. členom ZDDPO-2 zaradi prenosa premoženja oziroma v skladu z 49. in 53. členom ZDDPO-2 zaradi združitve ali delitve. Pri prevzemni družbi se v davčnem obdobju, ki sledi obračunskemu dnevu združitve (ali razdelitve ali oddelitve), vpišejo ostanki neizkoriščenega dela davčne olajšave prenosne družbe (prenosnih družb) iz Priloge 7</w:t>
      </w:r>
      <w:r w:rsidR="00E31CF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c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obračuna(-ov), sestavljenega na obračunski dan združitve (ali razdelitve ali oddelitve), ki se lahko prenašajo. Pri prenosni družbi se vpišejo podatki v ta stolpec le v primeru, ko prenosna družba po prenosu premoženja ali oddelitvi ne preneha. V tem primeru se vpišejo ostanki neizkoriščenega dela davčne olajšave, ki so se prenesli, z negativnim predznakom v prvem davčnem obračunu, ki sledi obračunskemu dnevu oddelitve oziroma dnevu prenosa premoženja. </w:t>
      </w:r>
    </w:p>
    <w:p w14:paraId="2BEA8407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5ED7DCDA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Stolpec 7 – Povečanje davčne olajšave zaradi vložitve sredstev samostojnega podjetnika posameznika v pravno osebo</w:t>
      </w:r>
    </w:p>
    <w:p w14:paraId="1A408F02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39BB0436" w14:textId="3D06D0AF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Ob vložitvi sredstev zavezanca, ki preneha opravljati dejavnost, v pravno osebo in ob izpolnjevanju pogojev iz 2. točke četrtega odstavka in devetega odstavka 51. člena ZDoh-2 velja v skladu s </w:t>
      </w:r>
      <w:r w:rsidR="003D02A4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šestim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odstavkom </w:t>
      </w:r>
      <w:r w:rsidR="003D02A4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65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.</w:t>
      </w:r>
      <w:r w:rsidR="003D02A4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a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člena ZDoh-2, da je olajšavo prevzela nova pravna oseba oziroma prevzemna pravna oseba pod pogoji, kot bi veljali, če do prenehanja ne bi prišlo. V stolpec 7 se vpiše znesek prevzete davčne olajšave, vključno z neizkoriščenim delom davčne olajšave iz preteklih obdobij.</w:t>
      </w:r>
    </w:p>
    <w:p w14:paraId="569D6634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</w:p>
    <w:p w14:paraId="6F66C9E1" w14:textId="77777777" w:rsidR="00217B79" w:rsidRPr="00217B79" w:rsidRDefault="00217B79" w:rsidP="00217B7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Stolpec 8 – Skupaj neizkoriščeni del davčne olajšave</w:t>
      </w:r>
    </w:p>
    <w:p w14:paraId="555BB9A5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3AEDC0FD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Vpiše se seštevek stolpcev 2, 3, 5, 6 in 7, zmanjšan za znesek iz stolpca 4. Če je seštevek negativen, se vpiše 0.</w:t>
      </w:r>
    </w:p>
    <w:p w14:paraId="4E117FC7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105FD548" w14:textId="77777777" w:rsidR="00217B79" w:rsidRPr="00217B79" w:rsidRDefault="00217B79" w:rsidP="00217B7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Stolpec 9 – Koriščenje davčne olajšave v davčnem obdobju n</w:t>
      </w:r>
    </w:p>
    <w:p w14:paraId="4785D26B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7E0EDD8C" w14:textId="2CB8C1F3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Vpiše se znesek koriščenja davčne olajšave iz posameznega davčnega obdobja, pri tem pa se najprej koristi neizkoriščeni del davčne olajšave starejšega datuma. Znesek koriščenja davčne olajšave v posameznem letu ne sme biti višji od zneska v stolpcu 8. Skupni znesek koriščenja davčne olajšave mora biti enak znesku pod </w:t>
      </w:r>
      <w:proofErr w:type="spellStart"/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zap</w:t>
      </w:r>
      <w:proofErr w:type="spellEnd"/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. št. 15.</w:t>
      </w:r>
      <w:r w:rsidR="00531F5C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17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obračuna</w:t>
      </w:r>
      <w:r w:rsidRPr="00217B79">
        <w:rPr>
          <w:rFonts w:ascii="Times New Roman" w:eastAsia="Times New Roman" w:hAnsi="Times New Roman" w:cs="Times New Roman"/>
          <w:i/>
          <w:kern w:val="0"/>
          <w:szCs w:val="24"/>
          <w:lang w:eastAsia="sl-SI"/>
          <w14:ligatures w14:val="none"/>
        </w:rPr>
        <w:t>.</w:t>
      </w: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 xml:space="preserve"> </w:t>
      </w:r>
    </w:p>
    <w:p w14:paraId="1B564304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5755AD5E" w14:textId="77777777" w:rsidR="00217B79" w:rsidRPr="00217B79" w:rsidRDefault="00217B79" w:rsidP="00217B7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b/>
          <w:kern w:val="0"/>
          <w:szCs w:val="24"/>
          <w:lang w:eastAsia="sl-SI"/>
          <w14:ligatures w14:val="none"/>
        </w:rPr>
        <w:t>Stolpec 10 – Neizkoriščeni del davčne olajšave</w:t>
      </w:r>
    </w:p>
    <w:p w14:paraId="0CE8E2D7" w14:textId="77777777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</w:p>
    <w:p w14:paraId="5D5316F7" w14:textId="73F0A9BE" w:rsidR="00217B79" w:rsidRPr="00217B79" w:rsidRDefault="00217B79" w:rsidP="00217B7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</w:pPr>
      <w:r w:rsidRPr="00217B79">
        <w:rPr>
          <w:rFonts w:ascii="Times New Roman" w:eastAsia="Times New Roman" w:hAnsi="Times New Roman" w:cs="Times New Roman"/>
          <w:kern w:val="0"/>
          <w:szCs w:val="24"/>
          <w:lang w:eastAsia="sl-SI"/>
          <w14:ligatures w14:val="none"/>
        </w:rPr>
        <w:t>Vpiše se razlika med stolpcema 8 in 9.</w:t>
      </w:r>
      <w:r w:rsidR="009D0C84" w:rsidRPr="009D0C84">
        <w:rPr>
          <w:rFonts w:ascii="Times New Roman" w:eastAsia="Times New Roman" w:hAnsi="Times New Roman" w:cs="Times New Roman"/>
          <w:b/>
          <w:bCs/>
          <w:kern w:val="0"/>
          <w:szCs w:val="24"/>
          <w:lang w:eastAsia="sl-SI"/>
          <w14:ligatures w14:val="none"/>
        </w:rPr>
        <w:t>«.</w:t>
      </w:r>
    </w:p>
    <w:p w14:paraId="1F6E6BA0" w14:textId="77777777" w:rsidR="00F029A0" w:rsidRDefault="00F029A0"/>
    <w:sectPr w:rsidR="00F029A0" w:rsidSect="00217B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08DF8" w14:textId="77777777" w:rsidR="00BA3D96" w:rsidRDefault="00BA3D96">
      <w:pPr>
        <w:spacing w:after="0" w:line="240" w:lineRule="auto"/>
      </w:pPr>
      <w:r>
        <w:separator/>
      </w:r>
    </w:p>
  </w:endnote>
  <w:endnote w:type="continuationSeparator" w:id="0">
    <w:p w14:paraId="75602B21" w14:textId="77777777" w:rsidR="00BA3D96" w:rsidRDefault="00BA3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F5FD6" w14:textId="77777777" w:rsidR="00BA3D96" w:rsidRDefault="00BA3D96">
      <w:pPr>
        <w:spacing w:after="0" w:line="240" w:lineRule="auto"/>
      </w:pPr>
      <w:r>
        <w:separator/>
      </w:r>
    </w:p>
  </w:footnote>
  <w:footnote w:type="continuationSeparator" w:id="0">
    <w:p w14:paraId="5761A8F0" w14:textId="77777777" w:rsidR="00BA3D96" w:rsidRDefault="00BA3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76BAC" w14:textId="77777777" w:rsidR="00E31CF9" w:rsidRPr="00715E63" w:rsidRDefault="00E31CF9">
    <w:pPr>
      <w:pStyle w:val="Header"/>
      <w:jc w:val="right"/>
      <w:rPr>
        <w:rFonts w:ascii="Arial" w:hAnsi="Arial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B79"/>
    <w:rsid w:val="000577C3"/>
    <w:rsid w:val="0011464D"/>
    <w:rsid w:val="001735DA"/>
    <w:rsid w:val="001B6E64"/>
    <w:rsid w:val="00217B79"/>
    <w:rsid w:val="00234F72"/>
    <w:rsid w:val="00236AF9"/>
    <w:rsid w:val="002855B7"/>
    <w:rsid w:val="002855C4"/>
    <w:rsid w:val="00286008"/>
    <w:rsid w:val="002A4C96"/>
    <w:rsid w:val="002D00B0"/>
    <w:rsid w:val="00312DE8"/>
    <w:rsid w:val="00322706"/>
    <w:rsid w:val="003736A1"/>
    <w:rsid w:val="003D02A4"/>
    <w:rsid w:val="004107A4"/>
    <w:rsid w:val="00435940"/>
    <w:rsid w:val="00435D14"/>
    <w:rsid w:val="00451FB6"/>
    <w:rsid w:val="004A4C47"/>
    <w:rsid w:val="004E4847"/>
    <w:rsid w:val="00531F5C"/>
    <w:rsid w:val="006B4375"/>
    <w:rsid w:val="006F1EF5"/>
    <w:rsid w:val="007608CF"/>
    <w:rsid w:val="00796BC2"/>
    <w:rsid w:val="007D5B7F"/>
    <w:rsid w:val="00820D82"/>
    <w:rsid w:val="00936D57"/>
    <w:rsid w:val="009A243E"/>
    <w:rsid w:val="009C24E7"/>
    <w:rsid w:val="009D0C84"/>
    <w:rsid w:val="00A2364D"/>
    <w:rsid w:val="00AF20CE"/>
    <w:rsid w:val="00B7578B"/>
    <w:rsid w:val="00BA3D96"/>
    <w:rsid w:val="00BA5E84"/>
    <w:rsid w:val="00BD05B3"/>
    <w:rsid w:val="00C3442B"/>
    <w:rsid w:val="00CC21D8"/>
    <w:rsid w:val="00CC7438"/>
    <w:rsid w:val="00CE2478"/>
    <w:rsid w:val="00DE3310"/>
    <w:rsid w:val="00E31CF9"/>
    <w:rsid w:val="00EA542B"/>
    <w:rsid w:val="00EE646F"/>
    <w:rsid w:val="00F029A0"/>
    <w:rsid w:val="00F06D2F"/>
    <w:rsid w:val="00F234D1"/>
    <w:rsid w:val="00FD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C9F79"/>
  <w15:chartTrackingRefBased/>
  <w15:docId w15:val="{1D0AA531-28D4-46DD-9E18-F8F4ACAF2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6D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96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96BC2"/>
  </w:style>
  <w:style w:type="character" w:customStyle="1" w:styleId="Heading1Char">
    <w:name w:val="Heading 1 Char"/>
    <w:basedOn w:val="DefaultParagraphFont"/>
    <w:link w:val="Heading1"/>
    <w:uiPriority w:val="9"/>
    <w:rsid w:val="00936D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7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1144</Words>
  <Characters>6523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/>
      <vt:lpstr>Za obdobje od ____________ do ____________					</vt:lpstr>
      <vt:lpstr>PODATEK POD ZAP. ŠT. 15.17 OBRAČUNA</vt:lpstr>
      <vt:lpstr/>
      <vt:lpstr>Zneski v eurih s centi</vt:lpstr>
      <vt:lpstr>METODOLOGIJA ZA IZPOLNJEVANJE OBRAZCA</vt:lpstr>
      <vt:lpstr>Obrazec Podatki v zvezi z olajšavo za vlaganja v digitalni in zeleni prehod se i</vt:lpstr>
      <vt:lpstr>Stolpec 1 – Davčno obdobje</vt:lpstr>
      <vt:lpstr>Stolpec 2 – 40 odstotkov zneska vlaganj v digitalno preobrazbo in zeleni prehod </vt:lpstr>
      <vt:lpstr>Stolpec 3 – Neizkoriščeni del davčne olajšave preteklega obdobja</vt:lpstr>
      <vt:lpstr>Stolpec 6 – Prenos davčne olajšave zaradi prenosa premoženja, združitve ali deli</vt:lpstr>
      <vt:lpstr>Stolpec 8 – Skupaj neizkoriščeni del davčne olajšave</vt:lpstr>
      <vt:lpstr>Stolpec 9 – Koriščenje davčne olajšave v davčnem obdobju n</vt:lpstr>
      <vt:lpstr>Stolpec 10 – Neizkoriščeni del davčne olajšave</vt:lpstr>
    </vt:vector>
  </TitlesOfParts>
  <Company>FURS</Company>
  <LinksUpToDate>false</LinksUpToDate>
  <CharactersWithSpaces>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Gerbec</dc:creator>
  <cp:keywords/>
  <dc:description/>
  <cp:lastModifiedBy>Larisa Eva Ramovš</cp:lastModifiedBy>
  <cp:revision>6</cp:revision>
  <dcterms:created xsi:type="dcterms:W3CDTF">2024-12-16T09:23:00Z</dcterms:created>
  <dcterms:modified xsi:type="dcterms:W3CDTF">2024-12-16T13:21:00Z</dcterms:modified>
</cp:coreProperties>
</file>