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BEA01" w14:textId="20F9F841" w:rsidR="00451FB6" w:rsidRDefault="00451FB6" w:rsidP="00451FB6">
      <w:pPr>
        <w:tabs>
          <w:tab w:val="center" w:pos="4703"/>
          <w:tab w:val="right" w:pos="9406"/>
        </w:tabs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Priloga</w:t>
      </w:r>
      <w:r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 xml:space="preserve"> </w:t>
      </w:r>
      <w:r w:rsidR="00DA5146"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8</w:t>
      </w:r>
      <w:r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:</w:t>
      </w:r>
    </w:p>
    <w:p w14:paraId="7458BE51" w14:textId="460D6F1C" w:rsidR="00217B79" w:rsidRPr="00217B79" w:rsidRDefault="00451FB6" w:rsidP="00217B79">
      <w:pPr>
        <w:tabs>
          <w:tab w:val="center" w:pos="4703"/>
          <w:tab w:val="right" w:pos="9406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»</w:t>
      </w:r>
      <w:r w:rsidR="00217B79" w:rsidRPr="00217B79"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 xml:space="preserve">Priloga </w:t>
      </w:r>
      <w:r w:rsidR="001B6F45" w:rsidRPr="00217B79"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7</w:t>
      </w:r>
      <w:r w:rsidR="001B6F45">
        <w:rPr>
          <w:rFonts w:ascii="Times New Roman" w:eastAsia="Times New Roman" w:hAnsi="Times New Roman" w:cs="Times New Roman"/>
          <w:b/>
          <w:kern w:val="0"/>
          <w:szCs w:val="24"/>
          <w:lang w:eastAsia="x-none"/>
          <w14:ligatures w14:val="none"/>
        </w:rPr>
        <w:t>a</w:t>
      </w:r>
    </w:p>
    <w:p w14:paraId="4F184F7A" w14:textId="77777777" w:rsidR="00217B79" w:rsidRPr="00217B79" w:rsidRDefault="00217B79" w:rsidP="00217B79">
      <w:pPr>
        <w:spacing w:after="0" w:line="36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Zavezanec za davek: ……………………………………………                                                                                                                   </w:t>
      </w:r>
    </w:p>
    <w:p w14:paraId="72ADCA97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Davčna številka: ……………….                                 </w:t>
      </w:r>
    </w:p>
    <w:p w14:paraId="104209CE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507EDC8E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>PODATKI V ZVEZI Z OLAJŠAVO ZA VLAGANJA V RAZISKAVE IN RAZVOJ po prvem stavku prvega odstavka 55. člena ZDDPO-2 v povezavi s 7. členom ZDDPO-2H</w:t>
      </w:r>
    </w:p>
    <w:p w14:paraId="2DE020AF" w14:textId="77777777" w:rsidR="00217B79" w:rsidRPr="00217B79" w:rsidRDefault="00217B79" w:rsidP="00217B79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>Za obdobje od ____________ do ____________</w:t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ab/>
      </w:r>
    </w:p>
    <w:p w14:paraId="0A529F09" w14:textId="77777777" w:rsidR="00217B79" w:rsidRPr="00217B79" w:rsidRDefault="00217B79" w:rsidP="00217B79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>PODATEK POD ZAP. ŠT. 15.6 OBRAČUNA</w:t>
      </w:r>
      <w:r w:rsidRPr="00217B79">
        <w:rPr>
          <w:rFonts w:ascii="Times New Roman" w:eastAsia="Times New Roman" w:hAnsi="Times New Roman" w:cs="Times New Roman"/>
          <w:b/>
          <w:kern w:val="0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l-SI"/>
          <w14:ligatures w14:val="none"/>
        </w:rPr>
        <w:tab/>
      </w:r>
      <w:r w:rsidRPr="00217B79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sl-SI"/>
          <w14:ligatures w14:val="none"/>
        </w:rPr>
        <w:tab/>
      </w:r>
    </w:p>
    <w:p w14:paraId="1EABDE5C" w14:textId="77777777" w:rsidR="00217B79" w:rsidRPr="00217B79" w:rsidRDefault="00217B79" w:rsidP="00217B79">
      <w:pPr>
        <w:spacing w:after="0" w:line="240" w:lineRule="auto"/>
        <w:ind w:left="708" w:firstLine="708"/>
        <w:jc w:val="right"/>
        <w:outlineLvl w:val="0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Zneski v eurih s centi</w:t>
      </w:r>
    </w:p>
    <w:tbl>
      <w:tblPr>
        <w:tblW w:w="0" w:type="auto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6"/>
        <w:gridCol w:w="834"/>
        <w:gridCol w:w="1294"/>
        <w:gridCol w:w="1266"/>
        <w:gridCol w:w="1620"/>
        <w:gridCol w:w="1580"/>
        <w:gridCol w:w="1440"/>
        <w:gridCol w:w="1620"/>
        <w:gridCol w:w="1440"/>
        <w:gridCol w:w="1080"/>
        <w:gridCol w:w="1260"/>
      </w:tblGrid>
      <w:tr w:rsidR="00217B79" w:rsidRPr="00217B79" w14:paraId="14514A6B" w14:textId="77777777" w:rsidTr="009E48DE">
        <w:trPr>
          <w:trHeight w:val="1785"/>
        </w:trPr>
        <w:tc>
          <w:tcPr>
            <w:tcW w:w="1280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bottom"/>
          </w:tcPr>
          <w:p w14:paraId="427E2AD7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Davčno obdobje</w:t>
            </w:r>
          </w:p>
        </w:tc>
        <w:tc>
          <w:tcPr>
            <w:tcW w:w="1294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7D3E5584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100 odstotkov zneska vlaganj v raziskave in razvoj tekočega obdobja</w:t>
            </w:r>
          </w:p>
        </w:tc>
        <w:tc>
          <w:tcPr>
            <w:tcW w:w="1266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5B6399DE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Neizkoriščeni del davčnih olajšav preteklega obdobja</w:t>
            </w:r>
          </w:p>
        </w:tc>
        <w:tc>
          <w:tcPr>
            <w:tcW w:w="1620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1712CFAA" w14:textId="77777777" w:rsidR="00217B79" w:rsidRPr="0009553B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09553B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 xml:space="preserve">Zmanjšanje neizkoriščenega dela davčnih olajšav iz preteklega obdobja zaradi odtujitve ali prenosa izven  Slovenije pred potekom treh let </w:t>
            </w:r>
          </w:p>
        </w:tc>
        <w:tc>
          <w:tcPr>
            <w:tcW w:w="1580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47B56375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 xml:space="preserve">Sprememba neizkoriščenega dela davčnih olajšav iz preteklega obdobja zaradi spremembe po odločbi 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shd w:val="clear" w:color="auto" w:fill="FFFFFF"/>
          </w:tcPr>
          <w:p w14:paraId="14B549E9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  <w:p w14:paraId="09E13149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  <w:p w14:paraId="1F2C757E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  <w:p w14:paraId="07A4308E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Prenos olajšav zaradi prenosa premoženja, združitve ali delitve</w:t>
            </w:r>
          </w:p>
        </w:tc>
        <w:tc>
          <w:tcPr>
            <w:tcW w:w="1620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40E75987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 xml:space="preserve">Povečanje davčnih olajšav zaradi vložitve sredstev zavezanca, ki preneha opravljati dejavnost, v pravno osebo 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066274C0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Skupaj neizkoriščeni del davčne olajšave</w:t>
            </w:r>
          </w:p>
        </w:tc>
        <w:tc>
          <w:tcPr>
            <w:tcW w:w="1080" w:type="dxa"/>
            <w:tcBorders>
              <w:top w:val="single" w:sz="12" w:space="0" w:color="auto"/>
            </w:tcBorders>
            <w:shd w:val="clear" w:color="auto" w:fill="FFFFFF"/>
            <w:vAlign w:val="bottom"/>
          </w:tcPr>
          <w:p w14:paraId="0A25A206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Koriščenje davčne olajšave v davčnem obdobju n</w:t>
            </w:r>
          </w:p>
        </w:tc>
        <w:tc>
          <w:tcPr>
            <w:tcW w:w="1260" w:type="dxa"/>
            <w:tcBorders>
              <w:top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14:paraId="60C58377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Neizkoriščeni del davčne olajšave</w:t>
            </w:r>
          </w:p>
        </w:tc>
      </w:tr>
      <w:tr w:rsidR="00217B79" w:rsidRPr="00217B79" w14:paraId="0CA3AD79" w14:textId="77777777" w:rsidTr="009E48DE">
        <w:trPr>
          <w:trHeight w:val="270"/>
        </w:trPr>
        <w:tc>
          <w:tcPr>
            <w:tcW w:w="1280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FFFFFF"/>
            <w:vAlign w:val="bottom"/>
          </w:tcPr>
          <w:p w14:paraId="0DA0AAB7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1</w:t>
            </w:r>
          </w:p>
        </w:tc>
        <w:tc>
          <w:tcPr>
            <w:tcW w:w="1294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67C1D8AA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2</w:t>
            </w:r>
          </w:p>
        </w:tc>
        <w:tc>
          <w:tcPr>
            <w:tcW w:w="1266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12A1D5B7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3</w:t>
            </w:r>
          </w:p>
        </w:tc>
        <w:tc>
          <w:tcPr>
            <w:tcW w:w="1620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65908CCB" w14:textId="77777777" w:rsidR="00217B79" w:rsidRPr="0009553B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09553B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4</w:t>
            </w:r>
          </w:p>
        </w:tc>
        <w:tc>
          <w:tcPr>
            <w:tcW w:w="1580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7576343D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5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shd w:val="clear" w:color="auto" w:fill="FFFFFF"/>
          </w:tcPr>
          <w:p w14:paraId="52BF08F6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  <w:p w14:paraId="05C7A880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6</w:t>
            </w:r>
          </w:p>
        </w:tc>
        <w:tc>
          <w:tcPr>
            <w:tcW w:w="1620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5797F5E3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7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7BC0F8ED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8 = 2 + 3 – 4 + 5 + 6 + 7</w:t>
            </w:r>
          </w:p>
        </w:tc>
        <w:tc>
          <w:tcPr>
            <w:tcW w:w="1080" w:type="dxa"/>
            <w:tcBorders>
              <w:bottom w:val="single" w:sz="12" w:space="0" w:color="auto"/>
            </w:tcBorders>
            <w:shd w:val="clear" w:color="auto" w:fill="FFFFFF"/>
            <w:vAlign w:val="bottom"/>
          </w:tcPr>
          <w:p w14:paraId="351A98C8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9</w:t>
            </w:r>
          </w:p>
        </w:tc>
        <w:tc>
          <w:tcPr>
            <w:tcW w:w="126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  <w:vAlign w:val="bottom"/>
          </w:tcPr>
          <w:p w14:paraId="5863EDB9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10 = 8 – 9</w:t>
            </w:r>
          </w:p>
        </w:tc>
      </w:tr>
      <w:tr w:rsidR="00217B79" w:rsidRPr="00217B79" w14:paraId="23902B0A" w14:textId="77777777" w:rsidTr="009E48DE">
        <w:trPr>
          <w:cantSplit/>
          <w:trHeight w:val="255"/>
        </w:trPr>
        <w:tc>
          <w:tcPr>
            <w:tcW w:w="44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E42B792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n-7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vAlign w:val="bottom"/>
          </w:tcPr>
          <w:p w14:paraId="60895A37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94" w:type="dxa"/>
            <w:tcBorders>
              <w:top w:val="single" w:sz="12" w:space="0" w:color="auto"/>
            </w:tcBorders>
            <w:shd w:val="clear" w:color="auto" w:fill="C0C0C0"/>
            <w:vAlign w:val="bottom"/>
          </w:tcPr>
          <w:p w14:paraId="1056EBB1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66" w:type="dxa"/>
            <w:tcBorders>
              <w:top w:val="single" w:sz="12" w:space="0" w:color="auto"/>
            </w:tcBorders>
            <w:vAlign w:val="bottom"/>
          </w:tcPr>
          <w:p w14:paraId="719C9481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620" w:type="dxa"/>
            <w:tcBorders>
              <w:top w:val="single" w:sz="12" w:space="0" w:color="auto"/>
            </w:tcBorders>
            <w:shd w:val="clear" w:color="auto" w:fill="BFBFBF"/>
            <w:vAlign w:val="bottom"/>
          </w:tcPr>
          <w:p w14:paraId="1EFA0357" w14:textId="77777777" w:rsidR="00217B79" w:rsidRPr="0009553B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80" w:type="dxa"/>
            <w:tcBorders>
              <w:top w:val="single" w:sz="12" w:space="0" w:color="auto"/>
            </w:tcBorders>
          </w:tcPr>
          <w:p w14:paraId="785ED86D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  <w:vAlign w:val="bottom"/>
          </w:tcPr>
          <w:p w14:paraId="69A1B3CC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620" w:type="dxa"/>
            <w:tcBorders>
              <w:top w:val="single" w:sz="12" w:space="0" w:color="auto"/>
            </w:tcBorders>
            <w:vAlign w:val="bottom"/>
          </w:tcPr>
          <w:p w14:paraId="7B7B9004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  <w:vAlign w:val="bottom"/>
          </w:tcPr>
          <w:p w14:paraId="4E50F3C5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  <w:vAlign w:val="bottom"/>
          </w:tcPr>
          <w:p w14:paraId="12A4B266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35CA0C3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</w:tr>
      <w:tr w:rsidR="00217B79" w:rsidRPr="00217B79" w14:paraId="63C7B6DE" w14:textId="77777777" w:rsidTr="009E48DE">
        <w:trPr>
          <w:cantSplit/>
          <w:trHeight w:val="255"/>
        </w:trPr>
        <w:tc>
          <w:tcPr>
            <w:tcW w:w="446" w:type="dxa"/>
            <w:tcBorders>
              <w:left w:val="single" w:sz="12" w:space="0" w:color="auto"/>
            </w:tcBorders>
            <w:vAlign w:val="bottom"/>
          </w:tcPr>
          <w:p w14:paraId="6CCFDC12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n-6</w:t>
            </w:r>
          </w:p>
        </w:tc>
        <w:tc>
          <w:tcPr>
            <w:tcW w:w="834" w:type="dxa"/>
            <w:vAlign w:val="bottom"/>
          </w:tcPr>
          <w:p w14:paraId="7D3A9CA4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94" w:type="dxa"/>
            <w:shd w:val="clear" w:color="auto" w:fill="C0C0C0"/>
            <w:vAlign w:val="bottom"/>
          </w:tcPr>
          <w:p w14:paraId="4C983464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6" w:type="dxa"/>
            <w:vAlign w:val="bottom"/>
          </w:tcPr>
          <w:p w14:paraId="061EC110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shd w:val="clear" w:color="auto" w:fill="BFBFBF"/>
            <w:vAlign w:val="bottom"/>
          </w:tcPr>
          <w:p w14:paraId="64E14965" w14:textId="77777777" w:rsidR="00217B79" w:rsidRPr="0009553B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09553B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80" w:type="dxa"/>
          </w:tcPr>
          <w:p w14:paraId="31C98594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40" w:type="dxa"/>
            <w:vAlign w:val="bottom"/>
          </w:tcPr>
          <w:p w14:paraId="1B164919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vAlign w:val="bottom"/>
          </w:tcPr>
          <w:p w14:paraId="40FEFEC0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40" w:type="dxa"/>
            <w:vAlign w:val="bottom"/>
          </w:tcPr>
          <w:p w14:paraId="117FEE35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080" w:type="dxa"/>
            <w:vAlign w:val="bottom"/>
          </w:tcPr>
          <w:p w14:paraId="73E234A7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vAlign w:val="bottom"/>
          </w:tcPr>
          <w:p w14:paraId="480ADCDC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  <w:tr w:rsidR="00217B79" w:rsidRPr="00217B79" w14:paraId="62B44707" w14:textId="77777777" w:rsidTr="009E48DE">
        <w:trPr>
          <w:cantSplit/>
          <w:trHeight w:val="255"/>
        </w:trPr>
        <w:tc>
          <w:tcPr>
            <w:tcW w:w="446" w:type="dxa"/>
            <w:tcBorders>
              <w:left w:val="single" w:sz="12" w:space="0" w:color="auto"/>
            </w:tcBorders>
            <w:vAlign w:val="bottom"/>
          </w:tcPr>
          <w:p w14:paraId="7FBF3F68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n-5</w:t>
            </w:r>
          </w:p>
        </w:tc>
        <w:tc>
          <w:tcPr>
            <w:tcW w:w="834" w:type="dxa"/>
            <w:vAlign w:val="bottom"/>
          </w:tcPr>
          <w:p w14:paraId="66F07409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94" w:type="dxa"/>
            <w:shd w:val="clear" w:color="auto" w:fill="C0C0C0"/>
            <w:vAlign w:val="bottom"/>
          </w:tcPr>
          <w:p w14:paraId="31A075D5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66" w:type="dxa"/>
            <w:vAlign w:val="bottom"/>
          </w:tcPr>
          <w:p w14:paraId="73D529D1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620" w:type="dxa"/>
            <w:shd w:val="clear" w:color="auto" w:fill="BFBFBF"/>
            <w:vAlign w:val="bottom"/>
          </w:tcPr>
          <w:p w14:paraId="53B23507" w14:textId="77777777" w:rsidR="00217B79" w:rsidRPr="0009553B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580" w:type="dxa"/>
          </w:tcPr>
          <w:p w14:paraId="76A9425A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40" w:type="dxa"/>
            <w:vAlign w:val="bottom"/>
          </w:tcPr>
          <w:p w14:paraId="56637DB7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620" w:type="dxa"/>
            <w:vAlign w:val="bottom"/>
          </w:tcPr>
          <w:p w14:paraId="41DABB9C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40" w:type="dxa"/>
            <w:vAlign w:val="bottom"/>
          </w:tcPr>
          <w:p w14:paraId="7F5C193F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080" w:type="dxa"/>
            <w:vAlign w:val="bottom"/>
          </w:tcPr>
          <w:p w14:paraId="0B419454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60" w:type="dxa"/>
            <w:tcBorders>
              <w:right w:val="single" w:sz="12" w:space="0" w:color="auto"/>
            </w:tcBorders>
            <w:vAlign w:val="bottom"/>
          </w:tcPr>
          <w:p w14:paraId="6DE41987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</w:tr>
      <w:tr w:rsidR="00217B79" w:rsidRPr="00217B79" w14:paraId="067172BF" w14:textId="77777777" w:rsidTr="009E48DE">
        <w:trPr>
          <w:cantSplit/>
          <w:trHeight w:val="255"/>
        </w:trPr>
        <w:tc>
          <w:tcPr>
            <w:tcW w:w="446" w:type="dxa"/>
            <w:tcBorders>
              <w:left w:val="single" w:sz="12" w:space="0" w:color="auto"/>
            </w:tcBorders>
            <w:vAlign w:val="bottom"/>
          </w:tcPr>
          <w:p w14:paraId="3915C277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n-4 </w:t>
            </w:r>
          </w:p>
        </w:tc>
        <w:tc>
          <w:tcPr>
            <w:tcW w:w="834" w:type="dxa"/>
            <w:vAlign w:val="bottom"/>
          </w:tcPr>
          <w:p w14:paraId="12D230CA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94" w:type="dxa"/>
            <w:shd w:val="clear" w:color="auto" w:fill="C0C0C0"/>
            <w:vAlign w:val="bottom"/>
          </w:tcPr>
          <w:p w14:paraId="24A67BE4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6" w:type="dxa"/>
            <w:vAlign w:val="bottom"/>
          </w:tcPr>
          <w:p w14:paraId="21EBB0BF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shd w:val="clear" w:color="auto" w:fill="BFBFBF"/>
            <w:vAlign w:val="bottom"/>
          </w:tcPr>
          <w:p w14:paraId="69E85DD6" w14:textId="77777777" w:rsidR="00217B79" w:rsidRPr="0009553B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09553B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80" w:type="dxa"/>
          </w:tcPr>
          <w:p w14:paraId="1264BB67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40" w:type="dxa"/>
            <w:vAlign w:val="bottom"/>
          </w:tcPr>
          <w:p w14:paraId="3D761E08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vAlign w:val="bottom"/>
          </w:tcPr>
          <w:p w14:paraId="776AFAE9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40" w:type="dxa"/>
            <w:vAlign w:val="bottom"/>
          </w:tcPr>
          <w:p w14:paraId="5E28ACF6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080" w:type="dxa"/>
            <w:vAlign w:val="bottom"/>
          </w:tcPr>
          <w:p w14:paraId="59803DFF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vAlign w:val="bottom"/>
          </w:tcPr>
          <w:p w14:paraId="27D7374E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  <w:tr w:rsidR="00217B79" w:rsidRPr="00217B79" w14:paraId="44E97793" w14:textId="77777777" w:rsidTr="009E48DE">
        <w:trPr>
          <w:cantSplit/>
          <w:trHeight w:val="255"/>
        </w:trPr>
        <w:tc>
          <w:tcPr>
            <w:tcW w:w="446" w:type="dxa"/>
            <w:tcBorders>
              <w:left w:val="single" w:sz="12" w:space="0" w:color="auto"/>
            </w:tcBorders>
            <w:vAlign w:val="bottom"/>
          </w:tcPr>
          <w:p w14:paraId="494BC0D5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n-3 </w:t>
            </w:r>
          </w:p>
        </w:tc>
        <w:tc>
          <w:tcPr>
            <w:tcW w:w="834" w:type="dxa"/>
            <w:vAlign w:val="bottom"/>
          </w:tcPr>
          <w:p w14:paraId="7A319519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94" w:type="dxa"/>
            <w:shd w:val="clear" w:color="auto" w:fill="C0C0C0"/>
            <w:vAlign w:val="bottom"/>
          </w:tcPr>
          <w:p w14:paraId="5B31EB99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6" w:type="dxa"/>
            <w:vAlign w:val="bottom"/>
          </w:tcPr>
          <w:p w14:paraId="25282ED1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shd w:val="clear" w:color="auto" w:fill="BFBFBF"/>
            <w:vAlign w:val="bottom"/>
          </w:tcPr>
          <w:p w14:paraId="1198C06D" w14:textId="77777777" w:rsidR="00217B79" w:rsidRPr="0009553B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09553B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80" w:type="dxa"/>
          </w:tcPr>
          <w:p w14:paraId="2C1AC76D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40" w:type="dxa"/>
            <w:vAlign w:val="bottom"/>
          </w:tcPr>
          <w:p w14:paraId="1A61726C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vAlign w:val="bottom"/>
          </w:tcPr>
          <w:p w14:paraId="276F5A33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40" w:type="dxa"/>
            <w:vAlign w:val="bottom"/>
          </w:tcPr>
          <w:p w14:paraId="75E41C82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080" w:type="dxa"/>
            <w:vAlign w:val="bottom"/>
          </w:tcPr>
          <w:p w14:paraId="4B269A17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vAlign w:val="bottom"/>
          </w:tcPr>
          <w:p w14:paraId="22F24FBB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  <w:tr w:rsidR="00217B79" w:rsidRPr="00217B79" w14:paraId="09D97E47" w14:textId="77777777" w:rsidTr="009E48DE">
        <w:trPr>
          <w:cantSplit/>
          <w:trHeight w:val="255"/>
        </w:trPr>
        <w:tc>
          <w:tcPr>
            <w:tcW w:w="446" w:type="dxa"/>
            <w:tcBorders>
              <w:left w:val="single" w:sz="12" w:space="0" w:color="auto"/>
            </w:tcBorders>
            <w:vAlign w:val="bottom"/>
          </w:tcPr>
          <w:p w14:paraId="4B9D168C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n-2 </w:t>
            </w:r>
          </w:p>
        </w:tc>
        <w:tc>
          <w:tcPr>
            <w:tcW w:w="834" w:type="dxa"/>
            <w:vAlign w:val="bottom"/>
          </w:tcPr>
          <w:p w14:paraId="6476D206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94" w:type="dxa"/>
            <w:shd w:val="clear" w:color="auto" w:fill="C0C0C0"/>
            <w:vAlign w:val="bottom"/>
          </w:tcPr>
          <w:p w14:paraId="3D640FDD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6" w:type="dxa"/>
            <w:vAlign w:val="bottom"/>
          </w:tcPr>
          <w:p w14:paraId="42C16967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shd w:val="clear" w:color="auto" w:fill="BFBFBF"/>
            <w:vAlign w:val="bottom"/>
          </w:tcPr>
          <w:p w14:paraId="10F55F46" w14:textId="77777777" w:rsidR="00217B79" w:rsidRPr="0009553B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09553B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80" w:type="dxa"/>
          </w:tcPr>
          <w:p w14:paraId="3054C584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40" w:type="dxa"/>
            <w:vAlign w:val="bottom"/>
          </w:tcPr>
          <w:p w14:paraId="3F2A1E90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vAlign w:val="bottom"/>
          </w:tcPr>
          <w:p w14:paraId="4DE34A56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40" w:type="dxa"/>
            <w:vAlign w:val="bottom"/>
          </w:tcPr>
          <w:p w14:paraId="23A79EC9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080" w:type="dxa"/>
            <w:vAlign w:val="bottom"/>
          </w:tcPr>
          <w:p w14:paraId="70833AD1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vAlign w:val="bottom"/>
          </w:tcPr>
          <w:p w14:paraId="75744DCC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  <w:tr w:rsidR="00217B79" w:rsidRPr="00217B79" w14:paraId="2BF23926" w14:textId="77777777" w:rsidTr="009E48DE">
        <w:trPr>
          <w:cantSplit/>
          <w:trHeight w:val="255"/>
        </w:trPr>
        <w:tc>
          <w:tcPr>
            <w:tcW w:w="446" w:type="dxa"/>
            <w:tcBorders>
              <w:left w:val="single" w:sz="12" w:space="0" w:color="auto"/>
            </w:tcBorders>
            <w:vAlign w:val="bottom"/>
          </w:tcPr>
          <w:p w14:paraId="77CE244F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n-1 </w:t>
            </w:r>
          </w:p>
        </w:tc>
        <w:tc>
          <w:tcPr>
            <w:tcW w:w="834" w:type="dxa"/>
            <w:vAlign w:val="bottom"/>
          </w:tcPr>
          <w:p w14:paraId="3A53E595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94" w:type="dxa"/>
            <w:shd w:val="clear" w:color="auto" w:fill="C0C0C0"/>
            <w:vAlign w:val="bottom"/>
          </w:tcPr>
          <w:p w14:paraId="3F9B5AC6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6" w:type="dxa"/>
            <w:vAlign w:val="bottom"/>
          </w:tcPr>
          <w:p w14:paraId="45F62902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shd w:val="clear" w:color="auto" w:fill="BFBFBF"/>
            <w:vAlign w:val="bottom"/>
          </w:tcPr>
          <w:p w14:paraId="0F900BB8" w14:textId="77777777" w:rsidR="00217B79" w:rsidRPr="0009553B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09553B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80" w:type="dxa"/>
          </w:tcPr>
          <w:p w14:paraId="241E4B17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40" w:type="dxa"/>
            <w:vAlign w:val="bottom"/>
          </w:tcPr>
          <w:p w14:paraId="39338281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vAlign w:val="bottom"/>
          </w:tcPr>
          <w:p w14:paraId="08225DD7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40" w:type="dxa"/>
            <w:vAlign w:val="bottom"/>
          </w:tcPr>
          <w:p w14:paraId="2976C5D1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080" w:type="dxa"/>
            <w:vAlign w:val="bottom"/>
          </w:tcPr>
          <w:p w14:paraId="4C8FAC0E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vAlign w:val="bottom"/>
          </w:tcPr>
          <w:p w14:paraId="3EC879B7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  <w:tr w:rsidR="00217B79" w:rsidRPr="00217B79" w14:paraId="78FA8681" w14:textId="77777777" w:rsidTr="009E48DE">
        <w:trPr>
          <w:cantSplit/>
          <w:trHeight w:val="270"/>
        </w:trPr>
        <w:tc>
          <w:tcPr>
            <w:tcW w:w="446" w:type="dxa"/>
            <w:tcBorders>
              <w:left w:val="single" w:sz="12" w:space="0" w:color="auto"/>
            </w:tcBorders>
            <w:vAlign w:val="bottom"/>
          </w:tcPr>
          <w:p w14:paraId="06872E37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n</w:t>
            </w:r>
          </w:p>
        </w:tc>
        <w:tc>
          <w:tcPr>
            <w:tcW w:w="834" w:type="dxa"/>
            <w:vAlign w:val="bottom"/>
          </w:tcPr>
          <w:p w14:paraId="0B04AB6E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294" w:type="dxa"/>
            <w:vAlign w:val="bottom"/>
          </w:tcPr>
          <w:p w14:paraId="4D315E52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6" w:type="dxa"/>
            <w:shd w:val="clear" w:color="auto" w:fill="C0C0C0"/>
            <w:vAlign w:val="bottom"/>
          </w:tcPr>
          <w:p w14:paraId="79FC54F0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shd w:val="clear" w:color="auto" w:fill="BFBFBF"/>
            <w:vAlign w:val="bottom"/>
          </w:tcPr>
          <w:p w14:paraId="605383A1" w14:textId="77777777" w:rsidR="00217B79" w:rsidRPr="0009553B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09553B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80" w:type="dxa"/>
            <w:shd w:val="clear" w:color="auto" w:fill="C0C0C0"/>
          </w:tcPr>
          <w:p w14:paraId="7EEDAED8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440" w:type="dxa"/>
            <w:vAlign w:val="bottom"/>
          </w:tcPr>
          <w:p w14:paraId="7F59A23B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vAlign w:val="bottom"/>
          </w:tcPr>
          <w:p w14:paraId="2CB1A4C0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40" w:type="dxa"/>
            <w:vAlign w:val="bottom"/>
          </w:tcPr>
          <w:p w14:paraId="360A2235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080" w:type="dxa"/>
            <w:vAlign w:val="bottom"/>
          </w:tcPr>
          <w:p w14:paraId="3DCF1788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0" w:type="dxa"/>
            <w:tcBorders>
              <w:right w:val="single" w:sz="12" w:space="0" w:color="auto"/>
            </w:tcBorders>
            <w:vAlign w:val="bottom"/>
          </w:tcPr>
          <w:p w14:paraId="4CC692CC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  <w:tr w:rsidR="00217B79" w:rsidRPr="00217B79" w14:paraId="0F27F811" w14:textId="77777777" w:rsidTr="009E48DE">
        <w:trPr>
          <w:trHeight w:val="270"/>
        </w:trPr>
        <w:tc>
          <w:tcPr>
            <w:tcW w:w="128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E07005E" w14:textId="77777777" w:rsidR="00217B79" w:rsidRPr="00217B79" w:rsidRDefault="00217B79" w:rsidP="00217B79">
            <w:pPr>
              <w:spacing w:after="0" w:line="240" w:lineRule="auto"/>
              <w:jc w:val="center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Skupaj</w:t>
            </w:r>
          </w:p>
        </w:tc>
        <w:tc>
          <w:tcPr>
            <w:tcW w:w="1294" w:type="dxa"/>
            <w:tcBorders>
              <w:bottom w:val="single" w:sz="12" w:space="0" w:color="auto"/>
            </w:tcBorders>
            <w:vAlign w:val="bottom"/>
          </w:tcPr>
          <w:p w14:paraId="2DA5F994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6" w:type="dxa"/>
            <w:tcBorders>
              <w:bottom w:val="single" w:sz="12" w:space="0" w:color="auto"/>
            </w:tcBorders>
            <w:vAlign w:val="bottom"/>
          </w:tcPr>
          <w:p w14:paraId="53647E07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620" w:type="dxa"/>
            <w:tcBorders>
              <w:bottom w:val="single" w:sz="12" w:space="0" w:color="auto"/>
            </w:tcBorders>
            <w:shd w:val="clear" w:color="auto" w:fill="BFBFBF"/>
            <w:vAlign w:val="bottom"/>
          </w:tcPr>
          <w:p w14:paraId="5143B586" w14:textId="77777777" w:rsidR="00217B79" w:rsidRPr="0009553B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09553B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580" w:type="dxa"/>
            <w:tcBorders>
              <w:bottom w:val="single" w:sz="12" w:space="0" w:color="auto"/>
            </w:tcBorders>
            <w:vAlign w:val="bottom"/>
          </w:tcPr>
          <w:p w14:paraId="2D97AD7F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14:paraId="2EE7B67B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bottom"/>
          </w:tcPr>
          <w:p w14:paraId="0A506241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vAlign w:val="bottom"/>
          </w:tcPr>
          <w:p w14:paraId="48D61BB9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080" w:type="dxa"/>
            <w:tcBorders>
              <w:bottom w:val="single" w:sz="12" w:space="0" w:color="auto"/>
            </w:tcBorders>
            <w:vAlign w:val="bottom"/>
          </w:tcPr>
          <w:p w14:paraId="58F26651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664C10A8" w14:textId="77777777" w:rsidR="00217B79" w:rsidRPr="00217B79" w:rsidRDefault="00217B79" w:rsidP="00217B79">
            <w:pPr>
              <w:spacing w:after="0" w:line="240" w:lineRule="auto"/>
              <w:rPr>
                <w:rFonts w:ascii="Times New Roman" w:eastAsia="Arial Unicode MS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</w:pPr>
            <w:r w:rsidRPr="00217B79">
              <w:rPr>
                <w:rFonts w:ascii="Times New Roman" w:eastAsia="Times New Roman" w:hAnsi="Times New Roman" w:cs="Times New Roman"/>
                <w:kern w:val="0"/>
                <w:sz w:val="20"/>
                <w:szCs w:val="24"/>
                <w:lang w:eastAsia="sl-SI"/>
                <w14:ligatures w14:val="none"/>
              </w:rPr>
              <w:t> </w:t>
            </w:r>
          </w:p>
        </w:tc>
      </w:tr>
    </w:tbl>
    <w:p w14:paraId="0B646165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n: Obdobje, za katero se sestavlja davčni obračun.</w:t>
      </w:r>
    </w:p>
    <w:p w14:paraId="24F92288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* V siva polja se podatki ne vpisujejo.</w:t>
      </w:r>
    </w:p>
    <w:p w14:paraId="04AE6FC9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33032439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V/na ……………………, dne ……………….                   Žig in podpis odgovorne osebe:</w:t>
      </w:r>
    </w:p>
    <w:p w14:paraId="78C9A9C8" w14:textId="77777777" w:rsidR="00217B79" w:rsidRDefault="00217B79">
      <w:pPr>
        <w:sectPr w:rsidR="00217B79" w:rsidSect="00217B79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D383875" w14:textId="77777777" w:rsidR="00217B79" w:rsidRPr="00217B79" w:rsidRDefault="00217B79" w:rsidP="00217B79">
      <w:pPr>
        <w:spacing w:after="0" w:line="240" w:lineRule="auto"/>
        <w:outlineLvl w:val="0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lastRenderedPageBreak/>
        <w:t>METODOLOGIJA ZA IZPOLNJEVANJE OBRAZCA</w:t>
      </w:r>
    </w:p>
    <w:p w14:paraId="10DA9EEC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2E0F82FA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trike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 xml:space="preserve">PODATKI V ZVEZI Z OLAJŠAVO ZA VLAGANJA V RAZISKAVE IN RAZVOJ po prvem stavku prvega odstavka 55. člena ZDDPO-2 v povezavi s 7. členom ZDDPO-2H </w:t>
      </w:r>
    </w:p>
    <w:p w14:paraId="24206FFD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(</w:t>
      </w:r>
      <w:proofErr w:type="spellStart"/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zap</w:t>
      </w:r>
      <w:proofErr w:type="spellEnd"/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. št. 15.6 obračuna)</w:t>
      </w:r>
    </w:p>
    <w:p w14:paraId="0B74F51C" w14:textId="77777777" w:rsidR="00217B79" w:rsidRPr="00217B79" w:rsidRDefault="00217B79" w:rsidP="00217B7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20EBEF7E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164F70B8" w14:textId="1A520E76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Obrazec 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Podatki v zvezi z olajšavo za vlaganja v raziskave in razvoj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 xml:space="preserve">po prvem stavku prvega odstavka 55. člena ZDDPO-2 v povezavi s 7. členom ZDDPO-2H (v nadaljevanju: Podatki v zvezi z olajšavo za vlaganja v raziskave in razvoj)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se izpolni, če ima zavezanec vpisan podatek pod </w:t>
      </w:r>
      <w:proofErr w:type="spellStart"/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zap</w:t>
      </w:r>
      <w:proofErr w:type="spellEnd"/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. št. 15.6 obračuna ali če ima zavezanec neizkoriščen del davčne olajšave v davčnem obdobju, za katero predlaga obračun, ali iz preteklih davčnih obdobij. Obrazec 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Podatki v zvezi z olajšavo za vlaganja v raziskave in razvoj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se izpolnjuje in predlaga tudi, kadar je v davčnem obdobju, za katero se predlaga obračun, na podlagi davčnega nadzora nastala sprememba višine davčne olajšave, ki se nanaša na </w:t>
      </w:r>
      <w:r w:rsidR="00D11B4F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zadnjih pet </w:t>
      </w:r>
      <w:r w:rsidR="00D11B4F"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davčn</w:t>
      </w:r>
      <w:r w:rsidR="00D11B4F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ih</w:t>
      </w:r>
      <w:r w:rsidR="00D11B4F"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obdob</w:t>
      </w:r>
      <w:r w:rsidR="00D11B4F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i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j, in če je v davčnem obdobju zavezanec upravičen do prenosa olajšav zaradi prenosa premoženja, združitve ali delitve ali zaradi vložitve sredstev zavezanca, ki preneha opravljati dejavnost, v pravno osebo. </w:t>
      </w:r>
      <w:r w:rsidRPr="00C37AC3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Podatki se v polje za davčno obdobje n-7 in n-6 vpisujejo le, če je katero koli obdobje od n do n-5 krajše od 12 mesecev.</w:t>
      </w:r>
    </w:p>
    <w:p w14:paraId="00A40250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2EF964C5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strike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 obrazec 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Podatki v zvezi z olajšavo za vlaganja v raziskave in razvoj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se vpisujejo podatki, ki se nanašajo na vlaganja v raziskave in razvoj po prvem stavku prvega odstavka 55. člena ZDDPO-2. </w:t>
      </w:r>
    </w:p>
    <w:p w14:paraId="6BCE5606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65C71BFD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Obrazec 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Podatki v zvezi z olajšavo za vlaganja v raziskave in razvoj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se izpolnjuje v eurih s centi.</w:t>
      </w:r>
    </w:p>
    <w:p w14:paraId="2289A3D6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155F03F0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1 – Davčno obdobje</w:t>
      </w:r>
    </w:p>
    <w:p w14:paraId="7926D4B1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61BA8794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Vpiše se ustrezno davčno obdobje v obliki LLLL ali v obliki DD. MM. LL–DD. MM. LL. Davčno obdobje n pomeni davčno obdobje, za katero se sestavlja davčni obračun. </w:t>
      </w:r>
    </w:p>
    <w:p w14:paraId="4BF02D94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5811676C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2 – 100 odstotkov zneska vlaganj v raziskave in razvoj tekočega obdobja</w:t>
      </w:r>
    </w:p>
    <w:p w14:paraId="2EB98037" w14:textId="77777777" w:rsidR="00217B79" w:rsidRPr="00217B79" w:rsidRDefault="00217B79" w:rsidP="00217B79">
      <w:pPr>
        <w:spacing w:after="0" w:line="240" w:lineRule="auto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1D7879A0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Vpiše se 100 odstotkov zneska, ki predstavlja vlaganja v raziskave in razvoj v skladu s prvim stavkom prvega odstavka 55. člena ZDDPO-2 ter Pravilnikom o uveljavljanju davčnih olajšav za vlaganja v raziskave in razvoj, pri čemer se olajšava ne more uveljavljati za tista vlaganja, ki so financirana v obliki nepovratnih sredstev proračuna Republike Slovenije oziroma proračuna EU. </w:t>
      </w:r>
    </w:p>
    <w:p w14:paraId="31DEB915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486F18D2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Davčni zavezanec, ki uveljavlja navedeno olajšavo, poleg te priloge kot sestavni del davčnega obračuna predloži tudi 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Obrazec za uveljavljanje davčnih olajšav za vlaganja v raziskave in razvoj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, ki je določen s Pravilnikom o uveljavljanju davčnih olajšav za vlaganja v raziskave in razvoj. </w:t>
      </w:r>
    </w:p>
    <w:p w14:paraId="691800FC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3F3F6720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7E63FD81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3 – Neizkoriščeni del davčne olajšave preteklega obdobja</w:t>
      </w:r>
    </w:p>
    <w:p w14:paraId="5D01379F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12BFAF0C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Vpiše se znesek neizkoriščenega dela davčne olajšave iz preteklih davčnih obdobij (podatek iz stolpca 9 oziroma 10  iz obrazca 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Podatki v zvezi z olajšavo za vlaganja v raziskave in razvoj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(Priloga 7a) iz predhodnega davčnega obdobja). V ta stolpec se vključi tudi znesek neizkoriščenega dela dodatne davčne olajšave iz preteklih obdobij. </w:t>
      </w:r>
    </w:p>
    <w:p w14:paraId="5EAB227E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66573262" w14:textId="77777777" w:rsidR="00217B79" w:rsidRPr="007C2A1E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7C2A1E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 xml:space="preserve">Stolpec 4 – Zmanjšanje neizkoriščenega dela davčne olajšave iz preteklega obdobja zaradi odtujitve ali prenosa izven Slovenije pred potekom treh let </w:t>
      </w:r>
    </w:p>
    <w:p w14:paraId="3A34C80C" w14:textId="77777777" w:rsidR="00217B79" w:rsidRPr="007C2A1E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15EB4429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7C2A1E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Podatki v stolpec 4 se ne vpisujejo.</w:t>
      </w:r>
    </w:p>
    <w:p w14:paraId="7DA29D87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62822C91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 xml:space="preserve">Stolpec 5 – Sprememba neizkoriščenega dela davčne olajšave iz preteklega obdobja zaradi spremembe po odločbi </w:t>
      </w:r>
    </w:p>
    <w:p w14:paraId="36F49F80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6197CFC2" w14:textId="19C01CAB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Vpiše se znesek, ki pomeni razliko med višino davčne olajšave, kakršno je uveljavljal zavezanec v obračunu davka, in višino davčne olajšave, ugotovljene v morebitnem davčnem nadzoru (znesek je lahko s pozitivnim ali negativnim predznakom). Vpisujejo se tiste spremembe, ki so posledica nadzora v davčnem obdobju, za katero se sestavlja obračun, in se nanašajo na </w:t>
      </w:r>
      <w:r w:rsidR="00D11B4F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zadnjih pet </w:t>
      </w:r>
      <w:r w:rsidR="00D11B4F"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davčn</w:t>
      </w:r>
      <w:r w:rsidR="00D11B4F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ih</w:t>
      </w:r>
      <w:r w:rsidR="00D11B4F"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obdob</w:t>
      </w:r>
      <w:r w:rsidR="00D11B4F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i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j ter še niso bile vključene </w:t>
      </w:r>
      <w:r w:rsidRPr="00983F7A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 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Prilogo 7a obračunov za pretekla obdobja.</w:t>
      </w:r>
    </w:p>
    <w:p w14:paraId="180A32A6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5A45D6BB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6 – Prenos davčne olajšave zaradi prenosa premoženja, združitve ali delitve</w:t>
      </w:r>
    </w:p>
    <w:p w14:paraId="444BA843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2582F47F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Vpiše se znesek prenesene olajšave v skladu s 40. in 43. členom ZDDPO-2 zaradi prenosa premoženja oziroma v skladu z 49. in 53. členom ZDDPO-2 zaradi združitve ali delitve. Pri prevzemni družbi se v davčnem obdobju, ki sledi obračunskemu dnevu združitve (ali razdelitve ali oddelitve), vpišejo ostanki neizkoriščenega dela davčne olajšave prenosne družbe (prenosnih družb) iz Priloge 7a obračuna(-ov), sestavljenega na obračunski dan združitve (ali razdelitve ali oddelitve), ki se lahko prenašajo. Pri prenosni družbi se vpišejo podatki v ta stolpec le v primeru, ko prenosna družba po prenosu premoženja ali oddelitvi ne preneha. V tem primeru se vpišejo ostanki neizkoriščenega dela davčne olajšave, ki so se prenesli, z negativnim predznakom v prvem davčnem obračunu, ki sledi obračunskemu dnevu oddelitve oziroma dnevu prenosa premoženja. </w:t>
      </w:r>
    </w:p>
    <w:p w14:paraId="2BEA8407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5ED7DCDA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7 – Povečanje davčne olajšave zaradi vložitve sredstev samostojnega podjetnika posameznika v pravno osebo</w:t>
      </w:r>
    </w:p>
    <w:p w14:paraId="1A408F02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39BB0436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Ob vložitvi sredstev zavezanca, ki preneha opravljati dejavnost, v pravno osebo in ob izpolnjevanju pogojev iz 2. točke četrtega odstavka in devetega odstavka 51. člena ZDoh-2 velja v skladu s četrtim odstavkom 61. člena ZDoh-2, da je olajšavo prevzela nova pravna oseba oziroma prevzemna pravna oseba pod pogoji, kot bi veljali, če do prenehanja ne bi prišlo. V stolpec 7 se vpiše znesek prevzete davčne olajšave, vključno z neizkoriščenim delom davčne olajšave iz preteklih obdobij.</w:t>
      </w:r>
    </w:p>
    <w:p w14:paraId="569D6634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</w:p>
    <w:p w14:paraId="6F66C9E1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8 – Skupaj neizkoriščeni del davčne olajšave</w:t>
      </w:r>
    </w:p>
    <w:p w14:paraId="555BB9A5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3AEDC0FD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Vpiše se seštevek stolpcev 2, 3, 5, 6 in 7, zmanjšan za znesek iz stolpca 4. Če je seštevek negativen, se vpiše 0.</w:t>
      </w:r>
    </w:p>
    <w:p w14:paraId="4E117FC7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105FD548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9 – Koriščenje davčne olajšave v davčnem obdobju n</w:t>
      </w:r>
    </w:p>
    <w:p w14:paraId="4785D26B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73E6339A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Vpiše se znesek koriščenja davčne olajšave iz posameznega davčnega obdobja, pri tem pa se najprej koristi neizkoriščeni del davčne olajšave starejšega datuma. Znesek koriščenja davčne olajšave v posameznem letu ne sme biti višji od zneska v stolpcu 8. Skupni znesek koriščenja davčne olajšave mora biti enak znesku pod </w:t>
      </w:r>
      <w:proofErr w:type="spellStart"/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zap</w:t>
      </w:r>
      <w:proofErr w:type="spellEnd"/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. št. 15.6 obračuna</w:t>
      </w:r>
      <w:r w:rsidRPr="00217B79">
        <w:rPr>
          <w:rFonts w:ascii="Times New Roman" w:eastAsia="Times New Roman" w:hAnsi="Times New Roman" w:cs="Times New Roman"/>
          <w:i/>
          <w:kern w:val="0"/>
          <w:szCs w:val="24"/>
          <w:lang w:eastAsia="sl-SI"/>
          <w14:ligatures w14:val="none"/>
        </w:rPr>
        <w:t>.</w:t>
      </w: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 xml:space="preserve"> </w:t>
      </w:r>
    </w:p>
    <w:p w14:paraId="615687E4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78723265" w14:textId="77777777" w:rsidR="005E0B33" w:rsidRPr="00956EB7" w:rsidRDefault="005E0B33" w:rsidP="005E0B33">
      <w:pPr>
        <w:pStyle w:val="BodyText"/>
        <w:ind w:right="112"/>
        <w:jc w:val="both"/>
      </w:pPr>
      <w:r w:rsidRPr="00956EB7">
        <w:t xml:space="preserve">Zavezanec, ki </w:t>
      </w:r>
      <w:r>
        <w:t>je v preteklih obdobjih</w:t>
      </w:r>
      <w:r w:rsidRPr="00956EB7">
        <w:t xml:space="preserve"> ugotavlja</w:t>
      </w:r>
      <w:r>
        <w:t>l</w:t>
      </w:r>
      <w:r w:rsidRPr="00956EB7">
        <w:t xml:space="preserve"> davčno osnovo na podlagi dejanskih prihodkov in normiranih odhodkov</w:t>
      </w:r>
      <w:r>
        <w:t>, lahko koristi</w:t>
      </w:r>
      <w:r w:rsidRPr="00956EB7">
        <w:t xml:space="preserve"> </w:t>
      </w:r>
      <w:r>
        <w:t>n</w:t>
      </w:r>
      <w:r w:rsidRPr="00956EB7">
        <w:t>eizkoriščen del davčne olajšave iz davčnih obdobij, ko je ugotavljal davčno osnovo na podlagi dejanskih prihodkov in dejanskih odhodkov</w:t>
      </w:r>
      <w:r>
        <w:t>,</w:t>
      </w:r>
      <w:r w:rsidRPr="00956EB7">
        <w:t xml:space="preserve"> ob pogoju, da še n</w:t>
      </w:r>
      <w:r>
        <w:t>i</w:t>
      </w:r>
      <w:r w:rsidRPr="00956EB7">
        <w:t xml:space="preserve"> potekel zakonsko dopustni rok za prenos koriščenja neizkoriščenega dela davčne olajšave v naslednja davčna obdobja.</w:t>
      </w:r>
    </w:p>
    <w:p w14:paraId="7E0EDD8C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1B564304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5755AD5E" w14:textId="77777777" w:rsidR="00217B79" w:rsidRPr="00217B79" w:rsidRDefault="00217B79" w:rsidP="00217B7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b/>
          <w:kern w:val="0"/>
          <w:szCs w:val="24"/>
          <w:lang w:eastAsia="sl-SI"/>
          <w14:ligatures w14:val="none"/>
        </w:rPr>
        <w:t>Stolpec 10 – Neizkoriščeni del davčne olajšave</w:t>
      </w:r>
    </w:p>
    <w:p w14:paraId="0CE8E2D7" w14:textId="77777777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</w:p>
    <w:p w14:paraId="5D5316F7" w14:textId="7A187D6C" w:rsidR="00217B79" w:rsidRPr="00217B79" w:rsidRDefault="00217B79" w:rsidP="00217B7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</w:pPr>
      <w:r w:rsidRPr="00217B79">
        <w:rPr>
          <w:rFonts w:ascii="Times New Roman" w:eastAsia="Times New Roman" w:hAnsi="Times New Roman" w:cs="Times New Roman"/>
          <w:kern w:val="0"/>
          <w:szCs w:val="24"/>
          <w:lang w:eastAsia="sl-SI"/>
          <w14:ligatures w14:val="none"/>
        </w:rPr>
        <w:t>Vpiše se razlika med stolpcema 8 in 9.</w:t>
      </w:r>
      <w:r w:rsidR="00FF3A04" w:rsidRPr="00C10D2E">
        <w:rPr>
          <w:rFonts w:ascii="Times New Roman" w:eastAsia="Times New Roman" w:hAnsi="Times New Roman" w:cs="Times New Roman"/>
          <w:b/>
          <w:bCs/>
          <w:kern w:val="0"/>
          <w:szCs w:val="24"/>
          <w:lang w:eastAsia="sl-SI"/>
          <w14:ligatures w14:val="none"/>
        </w:rPr>
        <w:t>«.</w:t>
      </w:r>
    </w:p>
    <w:p w14:paraId="1F6E6BA0" w14:textId="77777777" w:rsidR="00F029A0" w:rsidRDefault="00F029A0"/>
    <w:sectPr w:rsidR="00F029A0" w:rsidSect="00217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B79"/>
    <w:rsid w:val="00036B98"/>
    <w:rsid w:val="0009553B"/>
    <w:rsid w:val="001B6F45"/>
    <w:rsid w:val="00217B79"/>
    <w:rsid w:val="00236AF9"/>
    <w:rsid w:val="00451FB6"/>
    <w:rsid w:val="005E0B33"/>
    <w:rsid w:val="00612777"/>
    <w:rsid w:val="006B4375"/>
    <w:rsid w:val="007A37BC"/>
    <w:rsid w:val="007C2A1E"/>
    <w:rsid w:val="00983F7A"/>
    <w:rsid w:val="009E48DE"/>
    <w:rsid w:val="00C10D2E"/>
    <w:rsid w:val="00C37AC3"/>
    <w:rsid w:val="00D11B4F"/>
    <w:rsid w:val="00D202B8"/>
    <w:rsid w:val="00DA5146"/>
    <w:rsid w:val="00DE1319"/>
    <w:rsid w:val="00F029A0"/>
    <w:rsid w:val="00F03E01"/>
    <w:rsid w:val="00FF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C9F79"/>
  <w15:chartTrackingRefBased/>
  <w15:docId w15:val="{1D0AA531-28D4-46DD-9E18-F8F4ACAF2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036B98"/>
    <w:pPr>
      <w:spacing w:after="0" w:line="240" w:lineRule="auto"/>
    </w:pPr>
  </w:style>
  <w:style w:type="paragraph" w:styleId="BodyText">
    <w:name w:val="Body Text"/>
    <w:basedOn w:val="Normal"/>
    <w:link w:val="BodyTextChar"/>
    <w:uiPriority w:val="1"/>
    <w:qFormat/>
    <w:rsid w:val="005E0B3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5E0B33"/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1171</Words>
  <Characters>6676</Characters>
  <Application>Microsoft Office Word</Application>
  <DocSecurity>0</DocSecurity>
  <Lines>55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12</vt:i4>
      </vt:variant>
    </vt:vector>
  </HeadingPairs>
  <TitlesOfParts>
    <vt:vector size="13" baseType="lpstr">
      <vt:lpstr/>
      <vt:lpstr>Za obdobje od ____________ do ____________					</vt:lpstr>
      <vt:lpstr>PODATEK POD ZAP. ŠT. 15.6 OBRAČUNA					</vt:lpstr>
      <vt:lpstr>Zneski v eurih s centi</vt:lpstr>
      <vt:lpstr>METODOLOGIJA ZA IZPOLNJEVANJE OBRAZCA</vt:lpstr>
      <vt:lpstr>Obrazec Podatki v zvezi z olajšavo za vlaganja v raziskave in razvoj se izpolnju</vt:lpstr>
      <vt:lpstr>Stolpec 1 – Davčno obdobje</vt:lpstr>
      <vt:lpstr>Stolpec 2 – 100 odstotkov zneska vlaganj v raziskave in razvoj tekočega obdobja</vt:lpstr>
      <vt:lpstr>Stolpec 3 – Neizkoriščeni del davčne olajšave preteklega obdobja</vt:lpstr>
      <vt:lpstr>Stolpec 6 – Prenos davčne olajšave zaradi prenosa premoženja, združitve ali deli</vt:lpstr>
      <vt:lpstr>Stolpec 8 – Skupaj neizkoriščeni del davčne olajšave</vt:lpstr>
      <vt:lpstr>Stolpec 9 – Koriščenje davčne olajšave v davčnem obdobju n</vt:lpstr>
      <vt:lpstr>Stolpec 10 – Neizkoriščeni del davčne olajšave</vt:lpstr>
    </vt:vector>
  </TitlesOfParts>
  <Company>FURS</Company>
  <LinksUpToDate>false</LinksUpToDate>
  <CharactersWithSpaces>7832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Gerbec</dc:creator>
  <cp:keywords/>
  <dc:description/>
  <cp:lastModifiedBy>Larisa Eva Ramovš</cp:lastModifiedBy>
  <cp:revision>4</cp:revision>
  <dcterms:created xsi:type="dcterms:W3CDTF">2024-12-16T09:26:00Z</dcterms:created>
  <dcterms:modified xsi:type="dcterms:W3CDTF">2024-12-16T13:27:00Z</dcterms:modified>
</cp:coreProperties>
</file>