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03416F" w14:textId="7B84DA05" w:rsidR="00760EEB" w:rsidRPr="001A0000" w:rsidRDefault="001A0000" w:rsidP="001A0000">
      <w:pPr>
        <w:tabs>
          <w:tab w:val="right" w:pos="9072"/>
        </w:tabs>
        <w:suppressAutoHyphens w:val="0"/>
        <w:spacing w:line="260" w:lineRule="exact"/>
        <w:outlineLvl w:val="0"/>
        <w:rPr>
          <w:rFonts w:ascii="Arial" w:hAnsi="Arial" w:cs="Arial"/>
          <w:b/>
          <w:sz w:val="20"/>
          <w:szCs w:val="20"/>
          <w:lang w:eastAsia="en-US"/>
        </w:rPr>
      </w:pPr>
      <w:bookmarkStart w:id="0" w:name="_Hlk148521047"/>
      <w:r>
        <w:rPr>
          <w:rFonts w:ascii="Arial" w:hAnsi="Arial" w:cs="Arial"/>
          <w:b/>
          <w:sz w:val="20"/>
          <w:szCs w:val="20"/>
          <w:lang w:eastAsia="en-US"/>
        </w:rPr>
        <w:t xml:space="preserve">                                                                                                                      </w:t>
      </w:r>
      <w:r w:rsidR="00760EEB" w:rsidRPr="001A0000">
        <w:rPr>
          <w:rFonts w:ascii="Arial" w:hAnsi="Arial" w:cs="Arial"/>
          <w:b/>
          <w:sz w:val="20"/>
          <w:szCs w:val="20"/>
          <w:lang w:eastAsia="en-US"/>
        </w:rPr>
        <w:t>OSNUTEK</w:t>
      </w:r>
    </w:p>
    <w:p w14:paraId="16F1EA43" w14:textId="51B04893" w:rsidR="00760EEB" w:rsidRPr="00155AB0" w:rsidRDefault="00760EEB" w:rsidP="001A0000">
      <w:pPr>
        <w:tabs>
          <w:tab w:val="right" w:pos="9072"/>
        </w:tabs>
        <w:suppressAutoHyphens w:val="0"/>
        <w:spacing w:line="260" w:lineRule="exact"/>
        <w:outlineLvl w:val="0"/>
        <w:rPr>
          <w:rFonts w:ascii="Arial" w:hAnsi="Arial" w:cs="Arial"/>
          <w:b/>
          <w:sz w:val="20"/>
          <w:szCs w:val="20"/>
          <w:lang w:eastAsia="en-US"/>
        </w:rPr>
      </w:pPr>
      <w:r w:rsidRPr="001A0000">
        <w:rPr>
          <w:rFonts w:ascii="Arial" w:hAnsi="Arial" w:cs="Arial"/>
          <w:b/>
          <w:sz w:val="20"/>
          <w:szCs w:val="20"/>
          <w:lang w:eastAsia="en-US"/>
        </w:rPr>
        <w:t xml:space="preserve">                                                                                                                      EVA: </w:t>
      </w:r>
      <w:r w:rsidR="001A0000" w:rsidRPr="001A0000">
        <w:rPr>
          <w:rFonts w:ascii="Arial" w:hAnsi="Arial" w:cs="Arial"/>
          <w:b/>
          <w:sz w:val="20"/>
          <w:szCs w:val="20"/>
          <w:lang w:eastAsia="en-US"/>
        </w:rPr>
        <w:t>2024-2560-0045</w:t>
      </w:r>
    </w:p>
    <w:p w14:paraId="59B4C2E3" w14:textId="77777777" w:rsidR="00760EEB" w:rsidRPr="00155AB0" w:rsidRDefault="00760EEB" w:rsidP="00760EEB">
      <w:pPr>
        <w:tabs>
          <w:tab w:val="left" w:pos="708"/>
        </w:tabs>
        <w:suppressAutoHyphens w:val="0"/>
        <w:spacing w:line="260" w:lineRule="atLeast"/>
        <w:rPr>
          <w:rFonts w:ascii="Arial" w:hAnsi="Arial" w:cs="Arial"/>
          <w:sz w:val="20"/>
          <w:szCs w:val="20"/>
          <w:lang w:eastAsia="en-US"/>
        </w:rPr>
      </w:pPr>
    </w:p>
    <w:p w14:paraId="06A5614D" w14:textId="77777777" w:rsidR="00760EEB" w:rsidRPr="00155AB0" w:rsidRDefault="00760EEB" w:rsidP="00760EEB">
      <w:pPr>
        <w:tabs>
          <w:tab w:val="left" w:pos="708"/>
        </w:tabs>
        <w:suppressAutoHyphens w:val="0"/>
        <w:spacing w:line="260" w:lineRule="atLeast"/>
        <w:rPr>
          <w:rFonts w:ascii="Arial" w:hAnsi="Arial" w:cs="Arial"/>
          <w:sz w:val="20"/>
          <w:szCs w:val="20"/>
          <w:lang w:eastAsia="en-US"/>
        </w:rPr>
      </w:pPr>
    </w:p>
    <w:bookmarkEnd w:id="0"/>
    <w:p w14:paraId="11926A7E" w14:textId="708B32D9" w:rsidR="00760EEB" w:rsidRPr="00155AB0" w:rsidRDefault="00760EEB" w:rsidP="00760EEB">
      <w:pPr>
        <w:suppressAutoHyphens w:val="0"/>
        <w:spacing w:line="260" w:lineRule="atLeast"/>
        <w:jc w:val="both"/>
        <w:rPr>
          <w:rFonts w:ascii="Arial" w:hAnsi="Arial" w:cs="Arial"/>
          <w:sz w:val="20"/>
          <w:szCs w:val="20"/>
          <w:lang w:eastAsia="sl-SI"/>
        </w:rPr>
      </w:pPr>
      <w:r w:rsidRPr="00155AB0">
        <w:rPr>
          <w:rFonts w:ascii="Arial" w:hAnsi="Arial" w:cs="Arial"/>
          <w:sz w:val="20"/>
          <w:szCs w:val="20"/>
          <w:lang w:eastAsia="sl-SI"/>
        </w:rPr>
        <w:t>Na podlagi prvega odstavka 35. člena Zakona o rudarstvu (</w:t>
      </w:r>
      <w:r w:rsidR="00741F5F" w:rsidRPr="00741F5F">
        <w:rPr>
          <w:rFonts w:ascii="Arial" w:hAnsi="Arial" w:cs="Arial"/>
          <w:sz w:val="20"/>
          <w:szCs w:val="20"/>
          <w:lang w:eastAsia="sl-SI"/>
        </w:rPr>
        <w:t>Uradni list RS, št. 14/14 – uradno prečiščeno besedilo, 61/17 – GZ, 54/22, 78/23 – ZUNPEOVE in 81/24</w:t>
      </w:r>
      <w:r w:rsidRPr="00155AB0">
        <w:rPr>
          <w:rFonts w:ascii="Arial" w:hAnsi="Arial" w:cs="Arial"/>
          <w:sz w:val="20"/>
          <w:szCs w:val="20"/>
          <w:lang w:eastAsia="sl-SI"/>
        </w:rPr>
        <w:t>) Vlada Republike Slovenije izdaja</w:t>
      </w:r>
    </w:p>
    <w:p w14:paraId="390C1AFF" w14:textId="77777777" w:rsidR="00760EEB" w:rsidRPr="00155AB0" w:rsidRDefault="00760EEB" w:rsidP="00760EEB">
      <w:pPr>
        <w:tabs>
          <w:tab w:val="left" w:pos="708"/>
        </w:tabs>
        <w:suppressAutoHyphens w:val="0"/>
        <w:spacing w:line="260" w:lineRule="atLeast"/>
        <w:rPr>
          <w:rFonts w:ascii="Arial" w:hAnsi="Arial" w:cs="Arial"/>
          <w:sz w:val="20"/>
          <w:szCs w:val="20"/>
          <w:lang w:eastAsia="en-US"/>
        </w:rPr>
      </w:pPr>
    </w:p>
    <w:p w14:paraId="2FFDBCA9" w14:textId="77777777" w:rsidR="00760EEB" w:rsidRPr="00155AB0" w:rsidRDefault="00760EEB" w:rsidP="00760EEB">
      <w:pPr>
        <w:tabs>
          <w:tab w:val="left" w:pos="708"/>
        </w:tabs>
        <w:suppressAutoHyphens w:val="0"/>
        <w:spacing w:line="260" w:lineRule="atLeast"/>
        <w:rPr>
          <w:rFonts w:ascii="Arial" w:hAnsi="Arial" w:cs="Arial"/>
          <w:sz w:val="20"/>
          <w:szCs w:val="20"/>
          <w:lang w:eastAsia="en-US"/>
        </w:rPr>
      </w:pPr>
    </w:p>
    <w:p w14:paraId="343B59FD" w14:textId="77777777" w:rsidR="00760EEB" w:rsidRPr="00155AB0" w:rsidRDefault="00760EEB" w:rsidP="00760EEB">
      <w:pPr>
        <w:tabs>
          <w:tab w:val="left" w:pos="708"/>
        </w:tabs>
        <w:suppressAutoHyphens w:val="0"/>
        <w:spacing w:line="260" w:lineRule="exact"/>
        <w:jc w:val="center"/>
        <w:outlineLvl w:val="0"/>
        <w:rPr>
          <w:rFonts w:ascii="Arial" w:hAnsi="Arial" w:cs="Arial"/>
          <w:b/>
          <w:sz w:val="20"/>
          <w:szCs w:val="20"/>
          <w:lang w:eastAsia="en-US"/>
        </w:rPr>
      </w:pPr>
      <w:r w:rsidRPr="00155AB0">
        <w:rPr>
          <w:rFonts w:ascii="Arial" w:hAnsi="Arial" w:cs="Arial"/>
          <w:b/>
          <w:sz w:val="20"/>
          <w:szCs w:val="20"/>
          <w:lang w:eastAsia="en-US"/>
        </w:rPr>
        <w:t>UREDBO</w:t>
      </w:r>
    </w:p>
    <w:p w14:paraId="63F81A65" w14:textId="2D8DB5A8" w:rsidR="00760EEB" w:rsidRPr="00155AB0" w:rsidRDefault="00760EEB" w:rsidP="00760EEB">
      <w:pPr>
        <w:tabs>
          <w:tab w:val="left" w:pos="708"/>
        </w:tabs>
        <w:suppressAutoHyphens w:val="0"/>
        <w:spacing w:line="260" w:lineRule="exact"/>
        <w:jc w:val="center"/>
        <w:rPr>
          <w:rFonts w:ascii="Arial" w:hAnsi="Arial" w:cs="Arial"/>
          <w:b/>
          <w:sz w:val="20"/>
          <w:szCs w:val="20"/>
          <w:lang w:eastAsia="en-US"/>
        </w:rPr>
      </w:pPr>
      <w:r w:rsidRPr="00155AB0">
        <w:rPr>
          <w:rFonts w:ascii="Arial" w:hAnsi="Arial" w:cs="Arial"/>
          <w:b/>
          <w:sz w:val="20"/>
          <w:szCs w:val="20"/>
          <w:lang w:eastAsia="en-US"/>
        </w:rPr>
        <w:t xml:space="preserve">o rudarski pravici za izkoriščanje </w:t>
      </w:r>
      <w:r>
        <w:rPr>
          <w:rFonts w:ascii="Arial" w:hAnsi="Arial" w:cs="Arial"/>
          <w:b/>
          <w:sz w:val="20"/>
          <w:szCs w:val="20"/>
          <w:lang w:eastAsia="en-US"/>
        </w:rPr>
        <w:t xml:space="preserve">mineralne surovine </w:t>
      </w:r>
      <w:r w:rsidRPr="00155AB0">
        <w:rPr>
          <w:rFonts w:ascii="Arial" w:hAnsi="Arial" w:cs="Arial"/>
          <w:b/>
          <w:sz w:val="20"/>
          <w:szCs w:val="20"/>
          <w:lang w:eastAsia="en-US"/>
        </w:rPr>
        <w:t>tehničn</w:t>
      </w:r>
      <w:r>
        <w:rPr>
          <w:rFonts w:ascii="Arial" w:hAnsi="Arial" w:cs="Arial"/>
          <w:b/>
          <w:sz w:val="20"/>
          <w:szCs w:val="20"/>
          <w:lang w:eastAsia="en-US"/>
        </w:rPr>
        <w:t>i</w:t>
      </w:r>
      <w:r w:rsidRPr="00155AB0">
        <w:rPr>
          <w:rFonts w:ascii="Arial" w:hAnsi="Arial" w:cs="Arial"/>
          <w:b/>
          <w:sz w:val="20"/>
          <w:szCs w:val="20"/>
          <w:lang w:eastAsia="en-US"/>
        </w:rPr>
        <w:t xml:space="preserve"> kam</w:t>
      </w:r>
      <w:r>
        <w:rPr>
          <w:rFonts w:ascii="Arial" w:hAnsi="Arial" w:cs="Arial"/>
          <w:b/>
          <w:sz w:val="20"/>
          <w:szCs w:val="20"/>
          <w:lang w:eastAsia="en-US"/>
        </w:rPr>
        <w:t>e</w:t>
      </w:r>
      <w:r w:rsidRPr="00155AB0">
        <w:rPr>
          <w:rFonts w:ascii="Arial" w:hAnsi="Arial" w:cs="Arial"/>
          <w:b/>
          <w:sz w:val="20"/>
          <w:szCs w:val="20"/>
          <w:lang w:eastAsia="en-US"/>
        </w:rPr>
        <w:t>n</w:t>
      </w:r>
      <w:r>
        <w:rPr>
          <w:rFonts w:ascii="Arial" w:hAnsi="Arial" w:cs="Arial"/>
          <w:b/>
          <w:sz w:val="20"/>
          <w:szCs w:val="20"/>
          <w:lang w:eastAsia="en-US"/>
        </w:rPr>
        <w:t xml:space="preserve"> </w:t>
      </w:r>
      <w:r w:rsidR="0097101D">
        <w:rPr>
          <w:rFonts w:ascii="Arial" w:hAnsi="Arial" w:cs="Arial"/>
          <w:b/>
          <w:sz w:val="20"/>
          <w:szCs w:val="20"/>
          <w:lang w:eastAsia="en-US"/>
        </w:rPr>
        <w:t xml:space="preserve">– </w:t>
      </w:r>
      <w:r>
        <w:rPr>
          <w:rFonts w:ascii="Arial" w:hAnsi="Arial" w:cs="Arial"/>
          <w:b/>
          <w:sz w:val="20"/>
          <w:szCs w:val="20"/>
          <w:lang w:eastAsia="en-US"/>
        </w:rPr>
        <w:t>dolomit</w:t>
      </w:r>
      <w:r w:rsidRPr="00155AB0">
        <w:rPr>
          <w:rFonts w:ascii="Arial" w:hAnsi="Arial" w:cs="Arial"/>
          <w:b/>
          <w:sz w:val="20"/>
          <w:szCs w:val="20"/>
          <w:lang w:eastAsia="en-US"/>
        </w:rPr>
        <w:t xml:space="preserve"> </w:t>
      </w:r>
      <w:r w:rsidRPr="00155AB0">
        <w:rPr>
          <w:rFonts w:ascii="Arial" w:hAnsi="Arial" w:cs="Arial"/>
          <w:b/>
          <w:sz w:val="20"/>
          <w:szCs w:val="20"/>
          <w:lang w:eastAsia="en-US"/>
        </w:rPr>
        <w:br/>
        <w:t xml:space="preserve">v pridobivalnem prostoru </w:t>
      </w:r>
      <w:r>
        <w:rPr>
          <w:rFonts w:ascii="Arial" w:hAnsi="Arial" w:cs="Arial"/>
          <w:b/>
          <w:sz w:val="20"/>
          <w:szCs w:val="20"/>
          <w:lang w:eastAsia="en-US"/>
        </w:rPr>
        <w:t>Ježce 2</w:t>
      </w:r>
      <w:r w:rsidRPr="00155AB0">
        <w:rPr>
          <w:rFonts w:ascii="Arial" w:hAnsi="Arial" w:cs="Arial"/>
          <w:b/>
          <w:sz w:val="20"/>
          <w:szCs w:val="20"/>
          <w:lang w:eastAsia="en-US"/>
        </w:rPr>
        <w:t xml:space="preserve"> v občini </w:t>
      </w:r>
      <w:r>
        <w:rPr>
          <w:rFonts w:ascii="Arial" w:hAnsi="Arial" w:cs="Arial"/>
          <w:b/>
          <w:sz w:val="20"/>
          <w:szCs w:val="20"/>
          <w:lang w:eastAsia="en-US"/>
        </w:rPr>
        <w:t>Šmartno pri Litiji</w:t>
      </w:r>
    </w:p>
    <w:p w14:paraId="40198C94" w14:textId="77777777" w:rsidR="00760EEB" w:rsidRPr="00155AB0" w:rsidRDefault="00760EEB" w:rsidP="00760EEB">
      <w:pPr>
        <w:tabs>
          <w:tab w:val="left" w:pos="708"/>
        </w:tabs>
        <w:suppressAutoHyphens w:val="0"/>
        <w:spacing w:line="260" w:lineRule="atLeast"/>
        <w:rPr>
          <w:rFonts w:ascii="Arial" w:hAnsi="Arial" w:cs="Arial"/>
          <w:sz w:val="20"/>
          <w:szCs w:val="20"/>
          <w:lang w:eastAsia="en-US"/>
        </w:rPr>
      </w:pPr>
    </w:p>
    <w:p w14:paraId="4C2A9BD0" w14:textId="77777777" w:rsidR="00760EEB" w:rsidRDefault="00760EEB" w:rsidP="00760EEB">
      <w:pPr>
        <w:suppressAutoHyphens w:val="0"/>
        <w:spacing w:line="260" w:lineRule="atLeast"/>
        <w:jc w:val="center"/>
        <w:outlineLvl w:val="0"/>
        <w:rPr>
          <w:rFonts w:ascii="Arial" w:hAnsi="Arial" w:cs="Arial"/>
          <w:b/>
          <w:sz w:val="20"/>
          <w:szCs w:val="20"/>
          <w:lang w:eastAsia="sl-SI"/>
        </w:rPr>
      </w:pPr>
    </w:p>
    <w:p w14:paraId="19A84592" w14:textId="77777777" w:rsidR="00760EEB" w:rsidRPr="00155AB0" w:rsidRDefault="00760EEB" w:rsidP="00760EEB">
      <w:pPr>
        <w:suppressAutoHyphens w:val="0"/>
        <w:spacing w:line="260" w:lineRule="atLeast"/>
        <w:jc w:val="center"/>
        <w:outlineLvl w:val="0"/>
        <w:rPr>
          <w:rFonts w:ascii="Arial" w:hAnsi="Arial" w:cs="Arial"/>
          <w:b/>
          <w:sz w:val="20"/>
          <w:szCs w:val="20"/>
          <w:lang w:eastAsia="sl-SI"/>
        </w:rPr>
      </w:pPr>
      <w:r w:rsidRPr="00155AB0">
        <w:rPr>
          <w:rFonts w:ascii="Arial" w:hAnsi="Arial" w:cs="Arial"/>
          <w:b/>
          <w:sz w:val="20"/>
          <w:szCs w:val="20"/>
          <w:lang w:eastAsia="sl-SI"/>
        </w:rPr>
        <w:t>I. SPLOŠNE DOLOČBE</w:t>
      </w:r>
    </w:p>
    <w:p w14:paraId="67819EB2" w14:textId="77777777" w:rsidR="00760EEB" w:rsidRPr="00155AB0" w:rsidRDefault="00760EEB" w:rsidP="00760EEB">
      <w:pPr>
        <w:tabs>
          <w:tab w:val="left" w:pos="708"/>
        </w:tabs>
        <w:suppressAutoHyphens w:val="0"/>
        <w:spacing w:line="260" w:lineRule="atLeast"/>
        <w:rPr>
          <w:rFonts w:ascii="Arial" w:hAnsi="Arial" w:cs="Arial"/>
          <w:sz w:val="20"/>
          <w:szCs w:val="20"/>
          <w:lang w:eastAsia="en-US"/>
        </w:rPr>
      </w:pPr>
    </w:p>
    <w:p w14:paraId="72B1F664" w14:textId="77777777" w:rsidR="00760EEB" w:rsidRPr="00155AB0" w:rsidRDefault="00760EEB" w:rsidP="00760EEB">
      <w:pPr>
        <w:tabs>
          <w:tab w:val="left" w:pos="708"/>
        </w:tabs>
        <w:suppressAutoHyphens w:val="0"/>
        <w:spacing w:line="260" w:lineRule="atLeast"/>
        <w:rPr>
          <w:rFonts w:ascii="Arial" w:hAnsi="Arial" w:cs="Arial"/>
          <w:sz w:val="20"/>
          <w:szCs w:val="20"/>
          <w:lang w:eastAsia="en-US"/>
        </w:rPr>
      </w:pPr>
    </w:p>
    <w:p w14:paraId="30465177" w14:textId="77777777" w:rsidR="00760EEB" w:rsidRPr="00155AB0" w:rsidRDefault="00760EEB" w:rsidP="00760EEB">
      <w:pPr>
        <w:suppressAutoHyphens w:val="0"/>
        <w:spacing w:line="260" w:lineRule="atLeast"/>
        <w:jc w:val="center"/>
        <w:outlineLvl w:val="0"/>
        <w:rPr>
          <w:rFonts w:ascii="Arial" w:hAnsi="Arial" w:cs="Arial"/>
          <w:b/>
          <w:sz w:val="20"/>
          <w:szCs w:val="20"/>
          <w:lang w:eastAsia="sl-SI"/>
        </w:rPr>
      </w:pPr>
      <w:r w:rsidRPr="00155AB0">
        <w:rPr>
          <w:rFonts w:ascii="Arial" w:hAnsi="Arial" w:cs="Arial"/>
          <w:b/>
          <w:sz w:val="20"/>
          <w:szCs w:val="20"/>
          <w:lang w:eastAsia="sl-SI"/>
        </w:rPr>
        <w:t>1. člen</w:t>
      </w:r>
    </w:p>
    <w:p w14:paraId="14B014E1" w14:textId="77777777" w:rsidR="00760EEB" w:rsidRPr="00155AB0" w:rsidRDefault="00760EEB" w:rsidP="00760EEB">
      <w:pPr>
        <w:suppressAutoHyphens w:val="0"/>
        <w:spacing w:line="260" w:lineRule="atLeast"/>
        <w:jc w:val="center"/>
        <w:rPr>
          <w:rFonts w:ascii="Arial" w:hAnsi="Arial" w:cs="Arial"/>
          <w:b/>
          <w:sz w:val="20"/>
          <w:szCs w:val="20"/>
          <w:lang w:eastAsia="sl-SI"/>
        </w:rPr>
      </w:pPr>
      <w:r w:rsidRPr="00155AB0">
        <w:rPr>
          <w:rFonts w:ascii="Arial" w:hAnsi="Arial" w:cs="Arial"/>
          <w:b/>
          <w:sz w:val="20"/>
          <w:szCs w:val="20"/>
          <w:lang w:eastAsia="sl-SI"/>
        </w:rPr>
        <w:t>(vsebina)</w:t>
      </w:r>
    </w:p>
    <w:p w14:paraId="421DBCA0" w14:textId="77777777" w:rsidR="00760EEB" w:rsidRPr="00155AB0" w:rsidRDefault="00760EEB" w:rsidP="00760EEB">
      <w:pPr>
        <w:tabs>
          <w:tab w:val="left" w:pos="708"/>
        </w:tabs>
        <w:suppressAutoHyphens w:val="0"/>
        <w:spacing w:line="260" w:lineRule="atLeast"/>
        <w:rPr>
          <w:rFonts w:ascii="Arial" w:hAnsi="Arial" w:cs="Arial"/>
          <w:sz w:val="20"/>
          <w:szCs w:val="20"/>
          <w:lang w:eastAsia="en-US"/>
        </w:rPr>
      </w:pPr>
    </w:p>
    <w:p w14:paraId="09DA2B82" w14:textId="79C61173" w:rsidR="00760EEB" w:rsidRPr="00155AB0" w:rsidRDefault="00760EEB" w:rsidP="00760EEB">
      <w:pPr>
        <w:suppressAutoHyphens w:val="0"/>
        <w:spacing w:line="260" w:lineRule="atLeast"/>
        <w:ind w:firstLine="170"/>
        <w:jc w:val="both"/>
        <w:rPr>
          <w:rFonts w:ascii="Arial" w:hAnsi="Arial" w:cs="Arial"/>
          <w:sz w:val="20"/>
          <w:szCs w:val="20"/>
          <w:lang w:eastAsia="sl-SI"/>
        </w:rPr>
      </w:pPr>
      <w:r w:rsidRPr="00155AB0">
        <w:rPr>
          <w:rFonts w:ascii="Arial" w:hAnsi="Arial" w:cs="Arial"/>
          <w:sz w:val="20"/>
          <w:szCs w:val="20"/>
          <w:lang w:eastAsia="sl-SI"/>
        </w:rPr>
        <w:t>Ta uredba je rudarski koncesijski akt, ki določa pogoje za podelitev in izvajanje rudarske pravice za izkoriščanje mineralne surovine tehnični kamen</w:t>
      </w:r>
      <w:r>
        <w:rPr>
          <w:rFonts w:ascii="Arial" w:hAnsi="Arial" w:cs="Arial"/>
          <w:snapToGrid w:val="0"/>
          <w:sz w:val="20"/>
          <w:szCs w:val="20"/>
          <w:lang w:eastAsia="sl-SI"/>
        </w:rPr>
        <w:t xml:space="preserve"> </w:t>
      </w:r>
      <w:r w:rsidR="0097101D">
        <w:rPr>
          <w:rFonts w:ascii="Arial" w:hAnsi="Arial" w:cs="Arial"/>
          <w:snapToGrid w:val="0"/>
          <w:sz w:val="20"/>
          <w:szCs w:val="20"/>
          <w:lang w:eastAsia="sl-SI"/>
        </w:rPr>
        <w:t xml:space="preserve">– </w:t>
      </w:r>
      <w:r>
        <w:rPr>
          <w:rFonts w:ascii="Arial" w:hAnsi="Arial" w:cs="Arial"/>
          <w:snapToGrid w:val="0"/>
          <w:sz w:val="20"/>
          <w:szCs w:val="20"/>
          <w:lang w:eastAsia="sl-SI"/>
        </w:rPr>
        <w:t xml:space="preserve">dolomit </w:t>
      </w:r>
      <w:r w:rsidRPr="00155AB0">
        <w:rPr>
          <w:rFonts w:ascii="Arial" w:hAnsi="Arial" w:cs="Arial"/>
          <w:sz w:val="20"/>
          <w:szCs w:val="20"/>
          <w:lang w:eastAsia="sl-SI"/>
        </w:rPr>
        <w:t xml:space="preserve">v pridobivalnem prostoru </w:t>
      </w:r>
      <w:r>
        <w:rPr>
          <w:rFonts w:ascii="Arial" w:hAnsi="Arial" w:cs="Arial"/>
          <w:sz w:val="20"/>
          <w:szCs w:val="20"/>
          <w:lang w:eastAsia="sl-SI"/>
        </w:rPr>
        <w:t xml:space="preserve">Ježce </w:t>
      </w:r>
      <w:r w:rsidRPr="00155AB0">
        <w:rPr>
          <w:rFonts w:ascii="Arial" w:hAnsi="Arial" w:cs="Arial"/>
          <w:sz w:val="20"/>
          <w:szCs w:val="20"/>
          <w:lang w:eastAsia="sl-SI"/>
        </w:rPr>
        <w:t>2 v občini</w:t>
      </w:r>
      <w:r>
        <w:rPr>
          <w:rFonts w:ascii="Arial" w:hAnsi="Arial" w:cs="Arial"/>
          <w:sz w:val="20"/>
          <w:szCs w:val="20"/>
          <w:lang w:eastAsia="sl-SI"/>
        </w:rPr>
        <w:t xml:space="preserve"> Šmartno pri Litiji</w:t>
      </w:r>
      <w:r w:rsidRPr="00155AB0">
        <w:rPr>
          <w:rFonts w:ascii="Arial" w:hAnsi="Arial" w:cs="Arial"/>
          <w:sz w:val="20"/>
          <w:szCs w:val="20"/>
          <w:lang w:eastAsia="sl-SI"/>
        </w:rPr>
        <w:t>.</w:t>
      </w:r>
    </w:p>
    <w:p w14:paraId="11C3C47D" w14:textId="77777777" w:rsidR="00760EEB" w:rsidRPr="00155AB0" w:rsidRDefault="00760EEB" w:rsidP="00760EEB">
      <w:pPr>
        <w:tabs>
          <w:tab w:val="left" w:pos="708"/>
        </w:tabs>
        <w:suppressAutoHyphens w:val="0"/>
        <w:spacing w:line="260" w:lineRule="atLeast"/>
        <w:rPr>
          <w:rFonts w:ascii="Arial" w:hAnsi="Arial" w:cs="Arial"/>
          <w:sz w:val="20"/>
          <w:szCs w:val="20"/>
          <w:lang w:eastAsia="en-US"/>
        </w:rPr>
      </w:pPr>
    </w:p>
    <w:p w14:paraId="1E55B3F9" w14:textId="77777777" w:rsidR="00760EEB" w:rsidRPr="00155AB0" w:rsidRDefault="00760EEB" w:rsidP="00760EEB">
      <w:pPr>
        <w:tabs>
          <w:tab w:val="left" w:pos="708"/>
        </w:tabs>
        <w:suppressAutoHyphens w:val="0"/>
        <w:spacing w:line="260" w:lineRule="atLeast"/>
        <w:rPr>
          <w:rFonts w:ascii="Arial" w:hAnsi="Arial" w:cs="Arial"/>
          <w:sz w:val="20"/>
          <w:szCs w:val="20"/>
          <w:lang w:eastAsia="en-US"/>
        </w:rPr>
      </w:pPr>
    </w:p>
    <w:p w14:paraId="58E612A6" w14:textId="77777777" w:rsidR="00760EEB" w:rsidRPr="00155AB0" w:rsidRDefault="00760EEB" w:rsidP="00760EEB">
      <w:pPr>
        <w:suppressAutoHyphens w:val="0"/>
        <w:spacing w:line="260" w:lineRule="atLeast"/>
        <w:jc w:val="center"/>
        <w:outlineLvl w:val="0"/>
        <w:rPr>
          <w:rFonts w:ascii="Arial" w:hAnsi="Arial" w:cs="Arial"/>
          <w:b/>
          <w:sz w:val="20"/>
          <w:szCs w:val="20"/>
          <w:lang w:eastAsia="sl-SI"/>
        </w:rPr>
      </w:pPr>
      <w:r w:rsidRPr="00155AB0">
        <w:rPr>
          <w:rFonts w:ascii="Arial" w:hAnsi="Arial" w:cs="Arial"/>
          <w:b/>
          <w:sz w:val="20"/>
          <w:szCs w:val="20"/>
          <w:lang w:eastAsia="sl-SI"/>
        </w:rPr>
        <w:t>2. člen</w:t>
      </w:r>
    </w:p>
    <w:p w14:paraId="0D66572E" w14:textId="77777777" w:rsidR="00760EEB" w:rsidRPr="00155AB0" w:rsidRDefault="00760EEB" w:rsidP="00760EEB">
      <w:pPr>
        <w:suppressAutoHyphens w:val="0"/>
        <w:spacing w:line="260" w:lineRule="atLeast"/>
        <w:jc w:val="center"/>
        <w:rPr>
          <w:rFonts w:ascii="Arial" w:hAnsi="Arial" w:cs="Arial"/>
          <w:b/>
          <w:sz w:val="20"/>
          <w:szCs w:val="20"/>
          <w:lang w:eastAsia="sl-SI"/>
        </w:rPr>
      </w:pPr>
      <w:r w:rsidRPr="00155AB0">
        <w:rPr>
          <w:rFonts w:ascii="Arial" w:hAnsi="Arial" w:cs="Arial"/>
          <w:b/>
          <w:sz w:val="20"/>
          <w:szCs w:val="20"/>
          <w:lang w:eastAsia="sl-SI"/>
        </w:rPr>
        <w:t>(koncesijska pogodba)</w:t>
      </w:r>
    </w:p>
    <w:p w14:paraId="2A2B3044" w14:textId="77777777" w:rsidR="00760EEB" w:rsidRPr="00155AB0" w:rsidRDefault="00760EEB" w:rsidP="00760EEB">
      <w:pPr>
        <w:tabs>
          <w:tab w:val="left" w:pos="708"/>
        </w:tabs>
        <w:suppressAutoHyphens w:val="0"/>
        <w:spacing w:line="260" w:lineRule="atLeast"/>
        <w:rPr>
          <w:rFonts w:ascii="Arial" w:hAnsi="Arial" w:cs="Arial"/>
          <w:sz w:val="20"/>
          <w:szCs w:val="20"/>
          <w:lang w:eastAsia="en-US"/>
        </w:rPr>
      </w:pPr>
    </w:p>
    <w:p w14:paraId="55E76F27" w14:textId="77777777" w:rsidR="00760EEB" w:rsidRPr="00155AB0" w:rsidRDefault="00760EEB" w:rsidP="00760EEB">
      <w:pPr>
        <w:suppressAutoHyphens w:val="0"/>
        <w:spacing w:line="260" w:lineRule="atLeast"/>
        <w:ind w:firstLine="170"/>
        <w:jc w:val="both"/>
        <w:rPr>
          <w:rFonts w:ascii="Arial" w:hAnsi="Arial" w:cs="Arial"/>
          <w:sz w:val="20"/>
          <w:szCs w:val="20"/>
          <w:lang w:eastAsia="sl-SI"/>
        </w:rPr>
      </w:pPr>
      <w:r w:rsidRPr="00155AB0">
        <w:rPr>
          <w:rFonts w:ascii="Arial" w:hAnsi="Arial" w:cs="Arial"/>
          <w:sz w:val="20"/>
          <w:szCs w:val="20"/>
          <w:lang w:eastAsia="sl-SI"/>
        </w:rPr>
        <w:t>Ob neskladju določb te uredbe in določb koncesijske pogodbe veljajo določbe te uredbe.</w:t>
      </w:r>
    </w:p>
    <w:p w14:paraId="2AA00BD4" w14:textId="77777777" w:rsidR="00760EEB" w:rsidRPr="00155AB0" w:rsidRDefault="00760EEB" w:rsidP="00760EEB">
      <w:pPr>
        <w:tabs>
          <w:tab w:val="left" w:pos="708"/>
        </w:tabs>
        <w:suppressAutoHyphens w:val="0"/>
        <w:spacing w:line="260" w:lineRule="atLeast"/>
        <w:jc w:val="both"/>
        <w:rPr>
          <w:rFonts w:ascii="Arial" w:hAnsi="Arial" w:cs="Arial"/>
          <w:sz w:val="20"/>
          <w:szCs w:val="20"/>
          <w:lang w:eastAsia="en-US"/>
        </w:rPr>
      </w:pPr>
    </w:p>
    <w:p w14:paraId="58F283A1" w14:textId="77777777" w:rsidR="00760EEB" w:rsidRPr="00155AB0" w:rsidRDefault="00760EEB" w:rsidP="00760EEB">
      <w:pPr>
        <w:tabs>
          <w:tab w:val="left" w:pos="708"/>
        </w:tabs>
        <w:suppressAutoHyphens w:val="0"/>
        <w:spacing w:line="260" w:lineRule="atLeast"/>
        <w:rPr>
          <w:rFonts w:ascii="Arial" w:hAnsi="Arial" w:cs="Arial"/>
          <w:sz w:val="20"/>
          <w:szCs w:val="20"/>
          <w:lang w:eastAsia="en-US"/>
        </w:rPr>
      </w:pPr>
    </w:p>
    <w:p w14:paraId="6AB0997E" w14:textId="77777777" w:rsidR="00760EEB" w:rsidRPr="00155AB0" w:rsidRDefault="00760EEB" w:rsidP="00760EEB">
      <w:pPr>
        <w:suppressAutoHyphens w:val="0"/>
        <w:spacing w:line="260" w:lineRule="atLeast"/>
        <w:jc w:val="center"/>
        <w:outlineLvl w:val="0"/>
        <w:rPr>
          <w:rFonts w:ascii="Arial" w:hAnsi="Arial" w:cs="Arial"/>
          <w:b/>
          <w:sz w:val="20"/>
          <w:szCs w:val="20"/>
          <w:lang w:eastAsia="sl-SI"/>
        </w:rPr>
      </w:pPr>
      <w:r w:rsidRPr="00155AB0">
        <w:rPr>
          <w:rFonts w:ascii="Arial" w:hAnsi="Arial" w:cs="Arial"/>
          <w:b/>
          <w:sz w:val="20"/>
          <w:szCs w:val="20"/>
          <w:lang w:eastAsia="sl-SI"/>
        </w:rPr>
        <w:t>3. člen</w:t>
      </w:r>
    </w:p>
    <w:p w14:paraId="13FD6718" w14:textId="77777777" w:rsidR="00760EEB" w:rsidRPr="00155AB0" w:rsidRDefault="00760EEB" w:rsidP="00760EEB">
      <w:pPr>
        <w:suppressAutoHyphens w:val="0"/>
        <w:spacing w:line="260" w:lineRule="atLeast"/>
        <w:jc w:val="center"/>
        <w:rPr>
          <w:rFonts w:ascii="Arial" w:hAnsi="Arial" w:cs="Arial"/>
          <w:b/>
          <w:sz w:val="20"/>
          <w:szCs w:val="20"/>
          <w:lang w:eastAsia="sl-SI"/>
        </w:rPr>
      </w:pPr>
      <w:r w:rsidRPr="00155AB0">
        <w:rPr>
          <w:rFonts w:ascii="Arial" w:hAnsi="Arial" w:cs="Arial"/>
          <w:b/>
          <w:sz w:val="20"/>
          <w:szCs w:val="20"/>
          <w:lang w:eastAsia="sl-SI"/>
        </w:rPr>
        <w:t>(splošni varstveni pogoji in ukrepi)</w:t>
      </w:r>
    </w:p>
    <w:p w14:paraId="7B68C1E8" w14:textId="77777777" w:rsidR="00760EEB" w:rsidRPr="00155AB0" w:rsidRDefault="00760EEB" w:rsidP="00760EEB">
      <w:pPr>
        <w:tabs>
          <w:tab w:val="left" w:pos="708"/>
        </w:tabs>
        <w:suppressAutoHyphens w:val="0"/>
        <w:spacing w:line="260" w:lineRule="atLeast"/>
        <w:rPr>
          <w:rFonts w:ascii="Arial" w:hAnsi="Arial" w:cs="Arial"/>
          <w:sz w:val="20"/>
          <w:szCs w:val="20"/>
          <w:lang w:eastAsia="en-US"/>
        </w:rPr>
      </w:pPr>
    </w:p>
    <w:p w14:paraId="7CE3D857" w14:textId="77777777" w:rsidR="00760EEB" w:rsidRPr="00155AB0" w:rsidRDefault="00760EEB" w:rsidP="00760EEB">
      <w:pPr>
        <w:suppressAutoHyphens w:val="0"/>
        <w:spacing w:line="260" w:lineRule="atLeast"/>
        <w:ind w:firstLine="170"/>
        <w:jc w:val="both"/>
        <w:rPr>
          <w:rFonts w:ascii="Arial" w:hAnsi="Arial" w:cs="Arial"/>
          <w:sz w:val="20"/>
          <w:szCs w:val="20"/>
          <w:lang w:eastAsia="sl-SI"/>
        </w:rPr>
      </w:pPr>
      <w:r w:rsidRPr="00155AB0">
        <w:rPr>
          <w:rFonts w:ascii="Arial" w:hAnsi="Arial" w:cs="Arial"/>
          <w:sz w:val="20"/>
          <w:szCs w:val="20"/>
          <w:lang w:eastAsia="sl-SI"/>
        </w:rPr>
        <w:t>(1) Nosilec rudarske pravice za izkoriščanje mora med izvajanjem rudarske pravice in opustitvijo izvajanja rudarskih del izpolnjevati tudi vse pogoje po predpisih, ki urejajo ceste, gozdove, varstvo okolja, ohranjanje narave, varstvo voda, varstvo kulturne dediščine, varstvo pred tehničnimi in drugimi nesrečami, ter po drugih predpisih, s katerimi se urejajo rudarska dela.</w:t>
      </w:r>
    </w:p>
    <w:p w14:paraId="4BEF7392" w14:textId="77777777" w:rsidR="00760EEB" w:rsidRPr="00155AB0" w:rsidRDefault="00760EEB" w:rsidP="00760EEB">
      <w:pPr>
        <w:suppressAutoHyphens w:val="0"/>
        <w:spacing w:line="260" w:lineRule="atLeast"/>
        <w:ind w:firstLine="170"/>
        <w:jc w:val="both"/>
        <w:rPr>
          <w:rFonts w:ascii="Arial" w:hAnsi="Arial" w:cs="Arial"/>
          <w:sz w:val="20"/>
          <w:szCs w:val="20"/>
          <w:lang w:eastAsia="sl-SI"/>
        </w:rPr>
      </w:pPr>
      <w:r w:rsidRPr="00155AB0">
        <w:rPr>
          <w:rFonts w:ascii="Arial" w:hAnsi="Arial" w:cs="Arial"/>
          <w:sz w:val="20"/>
          <w:szCs w:val="20"/>
          <w:lang w:eastAsia="sl-SI"/>
        </w:rPr>
        <w:t xml:space="preserve">(2) Poleg izpolnjevanja pogojev iz prejšnjega odstavka mora nosilec rudarske pravice za izkoriščanje zagotoviti </w:t>
      </w:r>
      <w:r>
        <w:rPr>
          <w:rFonts w:ascii="Arial" w:hAnsi="Arial" w:cs="Arial"/>
          <w:sz w:val="20"/>
          <w:szCs w:val="20"/>
          <w:lang w:eastAsia="sl-SI"/>
        </w:rPr>
        <w:t>tudi</w:t>
      </w:r>
      <w:r w:rsidRPr="00155AB0">
        <w:rPr>
          <w:rFonts w:ascii="Arial" w:hAnsi="Arial" w:cs="Arial"/>
          <w:sz w:val="20"/>
          <w:szCs w:val="20"/>
          <w:lang w:eastAsia="sl-SI"/>
        </w:rPr>
        <w:t>:</w:t>
      </w:r>
    </w:p>
    <w:p w14:paraId="3C318C85" w14:textId="77777777" w:rsidR="00760EEB" w:rsidRPr="00155AB0" w:rsidRDefault="00760EEB" w:rsidP="00760EEB">
      <w:pPr>
        <w:suppressAutoHyphens w:val="0"/>
        <w:spacing w:line="260" w:lineRule="atLeast"/>
        <w:ind w:left="397" w:hanging="227"/>
        <w:jc w:val="both"/>
        <w:rPr>
          <w:rFonts w:ascii="Arial" w:hAnsi="Arial" w:cs="Arial"/>
          <w:sz w:val="20"/>
          <w:szCs w:val="20"/>
          <w:lang w:eastAsia="sl-SI"/>
        </w:rPr>
      </w:pPr>
      <w:r w:rsidRPr="00155AB0">
        <w:rPr>
          <w:rFonts w:ascii="Arial" w:hAnsi="Arial" w:cs="Arial"/>
          <w:sz w:val="20"/>
          <w:szCs w:val="20"/>
          <w:lang w:eastAsia="sl-SI"/>
        </w:rPr>
        <w:t>1.</w:t>
      </w:r>
      <w:r w:rsidRPr="00155AB0">
        <w:rPr>
          <w:rFonts w:ascii="Arial" w:hAnsi="Arial" w:cs="Arial"/>
          <w:sz w:val="20"/>
          <w:szCs w:val="20"/>
          <w:lang w:eastAsia="sl-SI"/>
        </w:rPr>
        <w:tab/>
        <w:t>ukrepe, da se predvideni poseg v okolje izvede tako, da se čim bolj zmanjša poraba prostora in energije,</w:t>
      </w:r>
    </w:p>
    <w:p w14:paraId="53E8940C" w14:textId="77777777" w:rsidR="00760EEB" w:rsidRPr="00155AB0" w:rsidRDefault="00760EEB" w:rsidP="00760EEB">
      <w:pPr>
        <w:suppressAutoHyphens w:val="0"/>
        <w:spacing w:line="260" w:lineRule="atLeast"/>
        <w:ind w:left="397" w:hanging="227"/>
        <w:jc w:val="both"/>
        <w:rPr>
          <w:rFonts w:ascii="Arial" w:hAnsi="Arial" w:cs="Arial"/>
          <w:sz w:val="20"/>
          <w:szCs w:val="20"/>
          <w:lang w:eastAsia="sl-SI"/>
        </w:rPr>
      </w:pPr>
      <w:r w:rsidRPr="00155AB0">
        <w:rPr>
          <w:rFonts w:ascii="Arial" w:hAnsi="Arial" w:cs="Arial"/>
          <w:sz w:val="20"/>
          <w:szCs w:val="20"/>
          <w:lang w:eastAsia="sl-SI"/>
        </w:rPr>
        <w:t>2.</w:t>
      </w:r>
      <w:r w:rsidRPr="00155AB0">
        <w:rPr>
          <w:rFonts w:ascii="Arial" w:hAnsi="Arial" w:cs="Arial"/>
          <w:sz w:val="20"/>
          <w:szCs w:val="20"/>
          <w:lang w:eastAsia="sl-SI"/>
        </w:rPr>
        <w:tab/>
        <w:t>ukrepe, s katerimi se dosega največje mogoče varstvo okolja pred izpustom plinastih, tekočih ali trdnih snovi v zrak, tla, površinske vode ali podtalnico,</w:t>
      </w:r>
    </w:p>
    <w:p w14:paraId="1C846003" w14:textId="77777777" w:rsidR="00760EEB" w:rsidRPr="00155AB0" w:rsidRDefault="00760EEB" w:rsidP="00760EEB">
      <w:pPr>
        <w:suppressAutoHyphens w:val="0"/>
        <w:spacing w:line="260" w:lineRule="atLeast"/>
        <w:ind w:left="397" w:hanging="227"/>
        <w:jc w:val="both"/>
        <w:rPr>
          <w:rFonts w:ascii="Arial" w:hAnsi="Arial" w:cs="Arial"/>
          <w:sz w:val="20"/>
          <w:szCs w:val="20"/>
          <w:lang w:eastAsia="sl-SI"/>
        </w:rPr>
      </w:pPr>
      <w:r w:rsidRPr="00155AB0">
        <w:rPr>
          <w:rFonts w:ascii="Arial" w:hAnsi="Arial" w:cs="Arial"/>
          <w:sz w:val="20"/>
          <w:szCs w:val="20"/>
          <w:lang w:eastAsia="sl-SI"/>
        </w:rPr>
        <w:t>3.</w:t>
      </w:r>
      <w:r w:rsidRPr="00155AB0">
        <w:rPr>
          <w:rFonts w:ascii="Arial" w:hAnsi="Arial" w:cs="Arial"/>
          <w:sz w:val="20"/>
          <w:szCs w:val="20"/>
          <w:lang w:eastAsia="sl-SI"/>
        </w:rPr>
        <w:tab/>
        <w:t>ukrepe za preprečevanje čezmernega onesnaževanja okolja s hrupom,</w:t>
      </w:r>
    </w:p>
    <w:p w14:paraId="1D6409CA" w14:textId="77777777" w:rsidR="00760EEB" w:rsidRPr="00155AB0" w:rsidRDefault="00760EEB" w:rsidP="00760EEB">
      <w:pPr>
        <w:suppressAutoHyphens w:val="0"/>
        <w:spacing w:line="260" w:lineRule="atLeast"/>
        <w:ind w:left="397" w:hanging="227"/>
        <w:jc w:val="both"/>
        <w:rPr>
          <w:rFonts w:ascii="Arial" w:hAnsi="Arial" w:cs="Arial"/>
          <w:sz w:val="20"/>
          <w:szCs w:val="20"/>
          <w:lang w:eastAsia="sl-SI"/>
        </w:rPr>
      </w:pPr>
      <w:r w:rsidRPr="00155AB0">
        <w:rPr>
          <w:rFonts w:ascii="Arial" w:hAnsi="Arial" w:cs="Arial"/>
          <w:sz w:val="20"/>
          <w:szCs w:val="20"/>
          <w:lang w:eastAsia="sl-SI"/>
        </w:rPr>
        <w:t>4.</w:t>
      </w:r>
      <w:r w:rsidRPr="00155AB0">
        <w:rPr>
          <w:rFonts w:ascii="Arial" w:hAnsi="Arial" w:cs="Arial"/>
          <w:sz w:val="20"/>
          <w:szCs w:val="20"/>
          <w:lang w:eastAsia="sl-SI"/>
        </w:rPr>
        <w:tab/>
        <w:t>smotrno izkoriščanje mineralne surovine z uporabo ustrezne sodobne tehnologije,</w:t>
      </w:r>
    </w:p>
    <w:p w14:paraId="21D854CA" w14:textId="77777777" w:rsidR="00760EEB" w:rsidRPr="00155AB0" w:rsidRDefault="00760EEB" w:rsidP="00760EEB">
      <w:pPr>
        <w:suppressAutoHyphens w:val="0"/>
        <w:spacing w:line="260" w:lineRule="atLeast"/>
        <w:ind w:left="397" w:hanging="227"/>
        <w:jc w:val="both"/>
        <w:rPr>
          <w:rFonts w:ascii="Arial" w:hAnsi="Arial" w:cs="Arial"/>
          <w:sz w:val="20"/>
          <w:szCs w:val="20"/>
          <w:lang w:eastAsia="sl-SI"/>
        </w:rPr>
      </w:pPr>
      <w:r w:rsidRPr="00155AB0">
        <w:rPr>
          <w:rFonts w:ascii="Arial" w:hAnsi="Arial" w:cs="Arial"/>
          <w:sz w:val="20"/>
          <w:szCs w:val="20"/>
          <w:lang w:eastAsia="sl-SI"/>
        </w:rPr>
        <w:t>5.</w:t>
      </w:r>
      <w:r w:rsidRPr="00155AB0">
        <w:rPr>
          <w:rFonts w:ascii="Arial" w:hAnsi="Arial" w:cs="Arial"/>
          <w:sz w:val="20"/>
          <w:szCs w:val="20"/>
          <w:lang w:eastAsia="sl-SI"/>
        </w:rPr>
        <w:tab/>
        <w:t>upoštevanje pravil ravnanja, varstvenih režimov, izhodišč in naravovarstvenih pogojev za varstvo tehničnih vrednot in ohranjanje biotske raznovrstnosti,</w:t>
      </w:r>
    </w:p>
    <w:p w14:paraId="03398B06" w14:textId="77777777" w:rsidR="00760EEB" w:rsidRPr="00155AB0" w:rsidRDefault="00760EEB" w:rsidP="00760EEB">
      <w:pPr>
        <w:suppressAutoHyphens w:val="0"/>
        <w:spacing w:line="260" w:lineRule="atLeast"/>
        <w:ind w:left="397" w:hanging="227"/>
        <w:jc w:val="both"/>
        <w:rPr>
          <w:rFonts w:ascii="Arial" w:hAnsi="Arial" w:cs="Arial"/>
          <w:sz w:val="20"/>
          <w:szCs w:val="20"/>
          <w:lang w:eastAsia="sl-SI"/>
        </w:rPr>
      </w:pPr>
      <w:r w:rsidRPr="00155AB0">
        <w:rPr>
          <w:rFonts w:ascii="Arial" w:hAnsi="Arial" w:cs="Arial"/>
          <w:sz w:val="20"/>
          <w:szCs w:val="20"/>
          <w:lang w:eastAsia="sl-SI"/>
        </w:rPr>
        <w:t>6.</w:t>
      </w:r>
      <w:r w:rsidRPr="00155AB0">
        <w:rPr>
          <w:rFonts w:ascii="Arial" w:hAnsi="Arial" w:cs="Arial"/>
          <w:sz w:val="20"/>
          <w:szCs w:val="20"/>
          <w:lang w:eastAsia="sl-SI"/>
        </w:rPr>
        <w:tab/>
        <w:t>ukrepe pri tveganju in nevarnosti za okolje ob morebitni ekološki nesreči zaradi posega,</w:t>
      </w:r>
    </w:p>
    <w:p w14:paraId="51971D26" w14:textId="77777777" w:rsidR="00760EEB" w:rsidRPr="00155AB0" w:rsidRDefault="00760EEB" w:rsidP="00760EEB">
      <w:pPr>
        <w:suppressAutoHyphens w:val="0"/>
        <w:spacing w:line="260" w:lineRule="atLeast"/>
        <w:ind w:left="397" w:hanging="227"/>
        <w:jc w:val="both"/>
        <w:rPr>
          <w:rFonts w:ascii="Arial" w:hAnsi="Arial" w:cs="Arial"/>
          <w:sz w:val="20"/>
          <w:szCs w:val="20"/>
          <w:lang w:eastAsia="sl-SI"/>
        </w:rPr>
      </w:pPr>
      <w:r w:rsidRPr="00155AB0">
        <w:rPr>
          <w:rFonts w:ascii="Arial" w:hAnsi="Arial" w:cs="Arial"/>
          <w:sz w:val="20"/>
          <w:szCs w:val="20"/>
          <w:lang w:eastAsia="sl-SI"/>
        </w:rPr>
        <w:t>7.</w:t>
      </w:r>
      <w:r w:rsidRPr="00155AB0">
        <w:rPr>
          <w:rFonts w:ascii="Arial" w:hAnsi="Arial" w:cs="Arial"/>
          <w:sz w:val="20"/>
          <w:szCs w:val="20"/>
          <w:lang w:eastAsia="sl-SI"/>
        </w:rPr>
        <w:tab/>
        <w:t>ukrepe za zavarovanje vodnih virov, če koncesionar odkrije nahajališče vode,</w:t>
      </w:r>
    </w:p>
    <w:p w14:paraId="2D462EF3" w14:textId="77777777" w:rsidR="00760EEB" w:rsidRPr="00155AB0" w:rsidRDefault="00760EEB" w:rsidP="00760EEB">
      <w:pPr>
        <w:suppressAutoHyphens w:val="0"/>
        <w:spacing w:line="260" w:lineRule="atLeast"/>
        <w:ind w:left="397" w:hanging="227"/>
        <w:jc w:val="both"/>
        <w:rPr>
          <w:rFonts w:ascii="Arial" w:hAnsi="Arial" w:cs="Arial"/>
          <w:sz w:val="20"/>
          <w:szCs w:val="20"/>
          <w:lang w:eastAsia="sl-SI"/>
        </w:rPr>
      </w:pPr>
      <w:r w:rsidRPr="00155AB0">
        <w:rPr>
          <w:rFonts w:ascii="Arial" w:hAnsi="Arial" w:cs="Arial"/>
          <w:sz w:val="20"/>
          <w:szCs w:val="20"/>
          <w:lang w:eastAsia="sl-SI"/>
        </w:rPr>
        <w:t>8.</w:t>
      </w:r>
      <w:r w:rsidRPr="00155AB0">
        <w:rPr>
          <w:rFonts w:ascii="Arial" w:hAnsi="Arial" w:cs="Arial"/>
          <w:sz w:val="20"/>
          <w:szCs w:val="20"/>
          <w:lang w:eastAsia="sl-SI"/>
        </w:rPr>
        <w:tab/>
        <w:t>dovozne poti do kraja posega in njihovo primerno ureditev,</w:t>
      </w:r>
    </w:p>
    <w:p w14:paraId="7883D938" w14:textId="77777777" w:rsidR="00760EEB" w:rsidRPr="00155AB0" w:rsidRDefault="00760EEB" w:rsidP="00760EEB">
      <w:pPr>
        <w:suppressAutoHyphens w:val="0"/>
        <w:spacing w:line="260" w:lineRule="atLeast"/>
        <w:ind w:left="397" w:hanging="227"/>
        <w:jc w:val="both"/>
        <w:rPr>
          <w:rFonts w:ascii="Arial" w:hAnsi="Arial" w:cs="Arial"/>
          <w:sz w:val="20"/>
          <w:szCs w:val="20"/>
          <w:lang w:eastAsia="sl-SI"/>
        </w:rPr>
      </w:pPr>
      <w:r w:rsidRPr="00155AB0">
        <w:rPr>
          <w:rFonts w:ascii="Arial" w:hAnsi="Arial" w:cs="Arial"/>
          <w:sz w:val="20"/>
          <w:szCs w:val="20"/>
          <w:lang w:eastAsia="sl-SI"/>
        </w:rPr>
        <w:t>9.</w:t>
      </w:r>
      <w:r w:rsidRPr="00155AB0">
        <w:rPr>
          <w:rFonts w:ascii="Arial" w:hAnsi="Arial" w:cs="Arial"/>
          <w:sz w:val="20"/>
          <w:szCs w:val="20"/>
          <w:lang w:eastAsia="sl-SI"/>
        </w:rPr>
        <w:tab/>
        <w:t>ukrepe za preprečitev razlitja motornih olj in naftnih derivatov,</w:t>
      </w:r>
    </w:p>
    <w:p w14:paraId="75313B57" w14:textId="77777777" w:rsidR="00760EEB" w:rsidRPr="00155AB0" w:rsidRDefault="00760EEB" w:rsidP="00760EEB">
      <w:pPr>
        <w:suppressAutoHyphens w:val="0"/>
        <w:spacing w:line="260" w:lineRule="atLeast"/>
        <w:ind w:left="510" w:hanging="340"/>
        <w:jc w:val="both"/>
        <w:rPr>
          <w:rFonts w:ascii="Arial" w:hAnsi="Arial" w:cs="Arial"/>
          <w:sz w:val="20"/>
          <w:szCs w:val="20"/>
          <w:lang w:eastAsia="sl-SI"/>
        </w:rPr>
      </w:pPr>
      <w:r w:rsidRPr="00155AB0">
        <w:rPr>
          <w:rFonts w:ascii="Arial" w:hAnsi="Arial" w:cs="Arial"/>
          <w:sz w:val="20"/>
          <w:szCs w:val="20"/>
          <w:lang w:eastAsia="sl-SI"/>
        </w:rPr>
        <w:t>10.</w:t>
      </w:r>
      <w:r w:rsidRPr="00155AB0">
        <w:rPr>
          <w:rFonts w:ascii="Arial" w:hAnsi="Arial" w:cs="Arial"/>
          <w:sz w:val="20"/>
          <w:szCs w:val="20"/>
          <w:lang w:eastAsia="sl-SI"/>
        </w:rPr>
        <w:tab/>
        <w:t xml:space="preserve">ukrepe v zvezi s sanacijo in vnovično ureditvijo zemljišč med dejavnostjo in po njej, in sicer tako, da se kar najbolj vzpostavi novo ali nadomesti prejšnje </w:t>
      </w:r>
      <w:proofErr w:type="spellStart"/>
      <w:r w:rsidRPr="00155AB0">
        <w:rPr>
          <w:rFonts w:ascii="Arial" w:hAnsi="Arial" w:cs="Arial"/>
          <w:sz w:val="20"/>
          <w:szCs w:val="20"/>
          <w:lang w:eastAsia="sl-SI"/>
        </w:rPr>
        <w:t>okoljsko</w:t>
      </w:r>
      <w:proofErr w:type="spellEnd"/>
      <w:r w:rsidRPr="00155AB0">
        <w:rPr>
          <w:rFonts w:ascii="Arial" w:hAnsi="Arial" w:cs="Arial"/>
          <w:sz w:val="20"/>
          <w:szCs w:val="20"/>
          <w:lang w:eastAsia="sl-SI"/>
        </w:rPr>
        <w:t xml:space="preserve"> stanje, in</w:t>
      </w:r>
    </w:p>
    <w:p w14:paraId="7CBE7E80" w14:textId="77777777" w:rsidR="00760EEB" w:rsidRPr="00155AB0" w:rsidRDefault="00760EEB" w:rsidP="00760EEB">
      <w:pPr>
        <w:suppressAutoHyphens w:val="0"/>
        <w:spacing w:line="260" w:lineRule="atLeast"/>
        <w:ind w:left="510" w:hanging="340"/>
        <w:jc w:val="both"/>
        <w:rPr>
          <w:rFonts w:ascii="Arial" w:hAnsi="Arial" w:cs="Arial"/>
          <w:sz w:val="20"/>
          <w:szCs w:val="20"/>
          <w:lang w:eastAsia="sl-SI"/>
        </w:rPr>
      </w:pPr>
      <w:r w:rsidRPr="00155AB0">
        <w:rPr>
          <w:rFonts w:ascii="Arial" w:hAnsi="Arial" w:cs="Arial"/>
          <w:sz w:val="20"/>
          <w:szCs w:val="20"/>
          <w:lang w:eastAsia="sl-SI"/>
        </w:rPr>
        <w:lastRenderedPageBreak/>
        <w:t>11.</w:t>
      </w:r>
      <w:r w:rsidRPr="00155AB0">
        <w:rPr>
          <w:rFonts w:ascii="Arial" w:hAnsi="Arial" w:cs="Arial"/>
          <w:sz w:val="20"/>
          <w:szCs w:val="20"/>
          <w:lang w:eastAsia="sl-SI"/>
        </w:rPr>
        <w:tab/>
        <w:t>ukrepe, da se ne poslabšata stanje voda in vodni režim.</w:t>
      </w:r>
    </w:p>
    <w:p w14:paraId="3307E51E" w14:textId="77777777" w:rsidR="00760EEB" w:rsidRPr="00155AB0" w:rsidRDefault="00760EEB" w:rsidP="00760EEB">
      <w:pPr>
        <w:tabs>
          <w:tab w:val="left" w:pos="708"/>
        </w:tabs>
        <w:suppressAutoHyphens w:val="0"/>
        <w:spacing w:line="260" w:lineRule="atLeast"/>
        <w:jc w:val="both"/>
        <w:rPr>
          <w:rFonts w:ascii="Arial" w:hAnsi="Arial" w:cs="Arial"/>
          <w:sz w:val="20"/>
          <w:szCs w:val="20"/>
          <w:lang w:eastAsia="en-US"/>
        </w:rPr>
      </w:pPr>
    </w:p>
    <w:p w14:paraId="50ED8A09" w14:textId="77777777" w:rsidR="00760EEB" w:rsidRPr="00155AB0" w:rsidRDefault="00760EEB" w:rsidP="00760EEB">
      <w:pPr>
        <w:tabs>
          <w:tab w:val="left" w:pos="708"/>
        </w:tabs>
        <w:suppressAutoHyphens w:val="0"/>
        <w:spacing w:line="260" w:lineRule="atLeast"/>
        <w:rPr>
          <w:rFonts w:ascii="Arial" w:hAnsi="Arial" w:cs="Arial"/>
          <w:sz w:val="20"/>
          <w:szCs w:val="20"/>
          <w:lang w:eastAsia="en-US"/>
        </w:rPr>
      </w:pPr>
    </w:p>
    <w:p w14:paraId="43D568D1" w14:textId="77777777" w:rsidR="00760EEB" w:rsidRPr="00155AB0" w:rsidRDefault="00760EEB" w:rsidP="00760EEB">
      <w:pPr>
        <w:suppressAutoHyphens w:val="0"/>
        <w:spacing w:line="260" w:lineRule="atLeast"/>
        <w:jc w:val="center"/>
        <w:outlineLvl w:val="0"/>
        <w:rPr>
          <w:rFonts w:ascii="Arial" w:hAnsi="Arial" w:cs="Arial"/>
          <w:b/>
          <w:sz w:val="20"/>
          <w:szCs w:val="20"/>
          <w:lang w:eastAsia="sl-SI"/>
        </w:rPr>
      </w:pPr>
      <w:r w:rsidRPr="00155AB0">
        <w:rPr>
          <w:rFonts w:ascii="Arial" w:hAnsi="Arial" w:cs="Arial"/>
          <w:b/>
          <w:sz w:val="20"/>
          <w:szCs w:val="20"/>
          <w:lang w:eastAsia="sl-SI"/>
        </w:rPr>
        <w:t>4. člen</w:t>
      </w:r>
    </w:p>
    <w:p w14:paraId="6D22E2D4" w14:textId="77777777" w:rsidR="00760EEB" w:rsidRPr="00155AB0" w:rsidRDefault="00760EEB" w:rsidP="00760EEB">
      <w:pPr>
        <w:suppressAutoHyphens w:val="0"/>
        <w:spacing w:line="260" w:lineRule="atLeast"/>
        <w:jc w:val="center"/>
        <w:rPr>
          <w:rFonts w:ascii="Arial" w:hAnsi="Arial" w:cs="Arial"/>
          <w:b/>
          <w:sz w:val="20"/>
          <w:szCs w:val="20"/>
          <w:lang w:eastAsia="sl-SI"/>
        </w:rPr>
      </w:pPr>
      <w:r w:rsidRPr="00155AB0">
        <w:rPr>
          <w:rFonts w:ascii="Arial" w:hAnsi="Arial" w:cs="Arial"/>
          <w:b/>
          <w:sz w:val="20"/>
          <w:szCs w:val="20"/>
          <w:lang w:eastAsia="sl-SI"/>
        </w:rPr>
        <w:t>(zagotavljanje varnosti in zdravja pri delu)</w:t>
      </w:r>
    </w:p>
    <w:p w14:paraId="6E64D51A" w14:textId="77777777" w:rsidR="00760EEB" w:rsidRPr="00155AB0" w:rsidRDefault="00760EEB" w:rsidP="00760EEB">
      <w:pPr>
        <w:tabs>
          <w:tab w:val="left" w:pos="708"/>
        </w:tabs>
        <w:suppressAutoHyphens w:val="0"/>
        <w:spacing w:line="260" w:lineRule="atLeast"/>
        <w:rPr>
          <w:rFonts w:ascii="Arial" w:hAnsi="Arial" w:cs="Arial"/>
          <w:sz w:val="20"/>
          <w:szCs w:val="20"/>
          <w:lang w:eastAsia="en-US"/>
        </w:rPr>
      </w:pPr>
    </w:p>
    <w:p w14:paraId="2D502A7A" w14:textId="77777777" w:rsidR="00760EEB" w:rsidRPr="00155AB0" w:rsidRDefault="00760EEB" w:rsidP="00760EEB">
      <w:pPr>
        <w:suppressAutoHyphens w:val="0"/>
        <w:spacing w:line="260" w:lineRule="atLeast"/>
        <w:ind w:firstLine="170"/>
        <w:jc w:val="both"/>
        <w:rPr>
          <w:rFonts w:ascii="Arial" w:hAnsi="Arial" w:cs="Arial"/>
          <w:sz w:val="20"/>
          <w:szCs w:val="20"/>
          <w:lang w:eastAsia="sl-SI"/>
        </w:rPr>
      </w:pPr>
      <w:r w:rsidRPr="00155AB0">
        <w:rPr>
          <w:rFonts w:ascii="Arial" w:hAnsi="Arial" w:cs="Arial"/>
          <w:sz w:val="20"/>
          <w:szCs w:val="20"/>
          <w:lang w:eastAsia="sl-SI"/>
        </w:rPr>
        <w:t>Varnost in zdravje pri delu nosilec rudarske pravice za izkoriščanje zagotavlja v skladu z zakonom, ki ureja rudarstvo.</w:t>
      </w:r>
    </w:p>
    <w:p w14:paraId="777A50AD" w14:textId="77777777" w:rsidR="00760EEB" w:rsidRPr="00155AB0" w:rsidRDefault="00760EEB" w:rsidP="00760EEB">
      <w:pPr>
        <w:tabs>
          <w:tab w:val="left" w:pos="708"/>
        </w:tabs>
        <w:suppressAutoHyphens w:val="0"/>
        <w:spacing w:line="260" w:lineRule="atLeast"/>
        <w:rPr>
          <w:rFonts w:ascii="Arial" w:hAnsi="Arial" w:cs="Arial"/>
          <w:sz w:val="20"/>
          <w:szCs w:val="20"/>
          <w:lang w:eastAsia="en-US"/>
        </w:rPr>
      </w:pPr>
    </w:p>
    <w:p w14:paraId="2A75EC31" w14:textId="77777777" w:rsidR="00760EEB" w:rsidRPr="00155AB0" w:rsidRDefault="00760EEB" w:rsidP="00760EEB">
      <w:pPr>
        <w:tabs>
          <w:tab w:val="left" w:pos="708"/>
        </w:tabs>
        <w:suppressAutoHyphens w:val="0"/>
        <w:spacing w:line="260" w:lineRule="atLeast"/>
        <w:rPr>
          <w:rFonts w:ascii="Arial" w:hAnsi="Arial" w:cs="Arial"/>
          <w:sz w:val="20"/>
          <w:szCs w:val="20"/>
          <w:lang w:eastAsia="en-US"/>
        </w:rPr>
      </w:pPr>
    </w:p>
    <w:p w14:paraId="08F2EAA5" w14:textId="77777777" w:rsidR="00760EEB" w:rsidRPr="00155AB0" w:rsidRDefault="00760EEB" w:rsidP="00760EEB">
      <w:pPr>
        <w:suppressAutoHyphens w:val="0"/>
        <w:spacing w:line="260" w:lineRule="atLeast"/>
        <w:jc w:val="center"/>
        <w:outlineLvl w:val="0"/>
        <w:rPr>
          <w:rFonts w:ascii="Arial" w:hAnsi="Arial" w:cs="Arial"/>
          <w:b/>
          <w:sz w:val="20"/>
          <w:szCs w:val="20"/>
          <w:lang w:eastAsia="sl-SI"/>
        </w:rPr>
      </w:pPr>
      <w:r w:rsidRPr="00155AB0">
        <w:rPr>
          <w:rFonts w:ascii="Arial" w:hAnsi="Arial" w:cs="Arial"/>
          <w:b/>
          <w:sz w:val="20"/>
          <w:szCs w:val="20"/>
          <w:lang w:eastAsia="sl-SI"/>
        </w:rPr>
        <w:t>5. člen</w:t>
      </w:r>
    </w:p>
    <w:p w14:paraId="6A20836C" w14:textId="77777777" w:rsidR="00760EEB" w:rsidRPr="00155AB0" w:rsidRDefault="00760EEB" w:rsidP="00760EEB">
      <w:pPr>
        <w:suppressAutoHyphens w:val="0"/>
        <w:spacing w:line="260" w:lineRule="atLeast"/>
        <w:jc w:val="center"/>
        <w:rPr>
          <w:rFonts w:ascii="Arial" w:hAnsi="Arial" w:cs="Arial"/>
          <w:b/>
          <w:sz w:val="20"/>
          <w:szCs w:val="20"/>
          <w:lang w:eastAsia="sl-SI"/>
        </w:rPr>
      </w:pPr>
      <w:r w:rsidRPr="00155AB0">
        <w:rPr>
          <w:rFonts w:ascii="Arial" w:hAnsi="Arial" w:cs="Arial"/>
          <w:b/>
          <w:sz w:val="20"/>
          <w:szCs w:val="20"/>
          <w:lang w:eastAsia="sl-SI"/>
        </w:rPr>
        <w:t>(obveznost obveščanja in poročanja)</w:t>
      </w:r>
    </w:p>
    <w:p w14:paraId="7C5EAB02" w14:textId="77777777" w:rsidR="00760EEB" w:rsidRPr="00155AB0" w:rsidRDefault="00760EEB" w:rsidP="00760EEB">
      <w:pPr>
        <w:tabs>
          <w:tab w:val="left" w:pos="708"/>
        </w:tabs>
        <w:suppressAutoHyphens w:val="0"/>
        <w:spacing w:line="260" w:lineRule="atLeast"/>
        <w:rPr>
          <w:rFonts w:ascii="Arial" w:hAnsi="Arial" w:cs="Arial"/>
          <w:sz w:val="20"/>
          <w:szCs w:val="20"/>
          <w:lang w:eastAsia="en-US"/>
        </w:rPr>
      </w:pPr>
    </w:p>
    <w:p w14:paraId="56D377B1" w14:textId="77777777" w:rsidR="00760EEB" w:rsidRPr="00155AB0" w:rsidRDefault="00760EEB" w:rsidP="00760EEB">
      <w:pPr>
        <w:suppressAutoHyphens w:val="0"/>
        <w:spacing w:line="260" w:lineRule="atLeast"/>
        <w:ind w:firstLine="170"/>
        <w:jc w:val="both"/>
        <w:rPr>
          <w:rFonts w:ascii="Arial" w:hAnsi="Arial" w:cs="Arial"/>
          <w:sz w:val="20"/>
          <w:szCs w:val="20"/>
          <w:lang w:eastAsia="sl-SI"/>
        </w:rPr>
      </w:pPr>
      <w:r w:rsidRPr="00155AB0">
        <w:rPr>
          <w:rFonts w:ascii="Arial" w:hAnsi="Arial" w:cs="Arial"/>
          <w:sz w:val="20"/>
          <w:szCs w:val="20"/>
          <w:lang w:eastAsia="sl-SI"/>
        </w:rPr>
        <w:t>Nosilec rudarske pravice za izkoriščanje organom in zavodom poroča v skladu s predpisi, ki urejajo rudarstvo, vode, varstvo podzemnih jam, ohranjanje narave in varstvo okolja, ter drugimi predpisi.</w:t>
      </w:r>
    </w:p>
    <w:p w14:paraId="09A3A6D5" w14:textId="77777777" w:rsidR="00760EEB" w:rsidRPr="00155AB0" w:rsidRDefault="00760EEB" w:rsidP="00760EEB">
      <w:pPr>
        <w:tabs>
          <w:tab w:val="left" w:pos="708"/>
        </w:tabs>
        <w:suppressAutoHyphens w:val="0"/>
        <w:spacing w:line="260" w:lineRule="atLeast"/>
        <w:rPr>
          <w:rFonts w:ascii="Arial" w:hAnsi="Arial" w:cs="Arial"/>
          <w:sz w:val="20"/>
          <w:szCs w:val="20"/>
          <w:lang w:eastAsia="en-US"/>
        </w:rPr>
      </w:pPr>
    </w:p>
    <w:p w14:paraId="6643F193" w14:textId="77777777" w:rsidR="00760EEB" w:rsidRPr="00155AB0" w:rsidRDefault="00760EEB" w:rsidP="00760EEB">
      <w:pPr>
        <w:tabs>
          <w:tab w:val="left" w:pos="708"/>
        </w:tabs>
        <w:suppressAutoHyphens w:val="0"/>
        <w:spacing w:line="260" w:lineRule="atLeast"/>
        <w:rPr>
          <w:rFonts w:ascii="Arial" w:hAnsi="Arial" w:cs="Arial"/>
          <w:sz w:val="20"/>
          <w:szCs w:val="20"/>
          <w:lang w:eastAsia="en-US"/>
        </w:rPr>
      </w:pPr>
    </w:p>
    <w:p w14:paraId="57977715" w14:textId="77777777" w:rsidR="00760EEB" w:rsidRPr="00155AB0" w:rsidRDefault="00760EEB" w:rsidP="00760EEB">
      <w:pPr>
        <w:suppressAutoHyphens w:val="0"/>
        <w:spacing w:line="260" w:lineRule="atLeast"/>
        <w:jc w:val="center"/>
        <w:outlineLvl w:val="0"/>
        <w:rPr>
          <w:rFonts w:ascii="Arial" w:hAnsi="Arial" w:cs="Arial"/>
          <w:b/>
          <w:sz w:val="20"/>
          <w:szCs w:val="20"/>
          <w:lang w:eastAsia="sl-SI"/>
        </w:rPr>
      </w:pPr>
      <w:r w:rsidRPr="00155AB0">
        <w:rPr>
          <w:rFonts w:ascii="Arial" w:hAnsi="Arial" w:cs="Arial"/>
          <w:b/>
          <w:sz w:val="20"/>
          <w:szCs w:val="20"/>
          <w:lang w:eastAsia="sl-SI"/>
        </w:rPr>
        <w:t>6. člen</w:t>
      </w:r>
    </w:p>
    <w:p w14:paraId="68C042EF" w14:textId="77777777" w:rsidR="00760EEB" w:rsidRPr="00155AB0" w:rsidRDefault="00760EEB" w:rsidP="00760EEB">
      <w:pPr>
        <w:suppressAutoHyphens w:val="0"/>
        <w:spacing w:line="260" w:lineRule="atLeast"/>
        <w:jc w:val="center"/>
        <w:rPr>
          <w:rFonts w:ascii="Arial" w:hAnsi="Arial" w:cs="Arial"/>
          <w:b/>
          <w:sz w:val="20"/>
          <w:szCs w:val="20"/>
          <w:lang w:eastAsia="sl-SI"/>
        </w:rPr>
      </w:pPr>
      <w:r w:rsidRPr="00155AB0">
        <w:rPr>
          <w:rFonts w:ascii="Arial" w:hAnsi="Arial" w:cs="Arial"/>
          <w:b/>
          <w:sz w:val="20"/>
          <w:szCs w:val="20"/>
          <w:lang w:eastAsia="sl-SI"/>
        </w:rPr>
        <w:t xml:space="preserve">(obveznost plačila rudarske </w:t>
      </w:r>
      <w:proofErr w:type="spellStart"/>
      <w:r w:rsidRPr="00155AB0">
        <w:rPr>
          <w:rFonts w:ascii="Arial" w:hAnsi="Arial" w:cs="Arial"/>
          <w:b/>
          <w:sz w:val="20"/>
          <w:szCs w:val="20"/>
          <w:lang w:eastAsia="sl-SI"/>
        </w:rPr>
        <w:t>koncesnine</w:t>
      </w:r>
      <w:proofErr w:type="spellEnd"/>
      <w:r w:rsidRPr="00155AB0">
        <w:rPr>
          <w:rFonts w:ascii="Arial" w:hAnsi="Arial" w:cs="Arial"/>
          <w:b/>
          <w:sz w:val="20"/>
          <w:szCs w:val="20"/>
          <w:lang w:eastAsia="sl-SI"/>
        </w:rPr>
        <w:t xml:space="preserve"> in rezerviranih sredstev za sanacijo)</w:t>
      </w:r>
    </w:p>
    <w:p w14:paraId="32D4B0A7" w14:textId="77777777" w:rsidR="00760EEB" w:rsidRPr="00155AB0" w:rsidRDefault="00760EEB" w:rsidP="00760EEB">
      <w:pPr>
        <w:tabs>
          <w:tab w:val="left" w:pos="708"/>
        </w:tabs>
        <w:suppressAutoHyphens w:val="0"/>
        <w:spacing w:line="260" w:lineRule="atLeast"/>
        <w:rPr>
          <w:rFonts w:ascii="Arial" w:hAnsi="Arial" w:cs="Arial"/>
          <w:sz w:val="20"/>
          <w:szCs w:val="20"/>
          <w:lang w:eastAsia="en-US"/>
        </w:rPr>
      </w:pPr>
    </w:p>
    <w:p w14:paraId="2489CABD" w14:textId="77777777" w:rsidR="00760EEB" w:rsidRPr="00155AB0" w:rsidRDefault="00760EEB" w:rsidP="00760EEB">
      <w:pPr>
        <w:suppressAutoHyphens w:val="0"/>
        <w:spacing w:line="260" w:lineRule="atLeast"/>
        <w:ind w:firstLine="170"/>
        <w:jc w:val="both"/>
        <w:rPr>
          <w:rFonts w:ascii="Arial" w:hAnsi="Arial" w:cs="Arial"/>
          <w:sz w:val="20"/>
          <w:szCs w:val="20"/>
          <w:lang w:eastAsia="sl-SI"/>
        </w:rPr>
      </w:pPr>
      <w:r w:rsidRPr="00155AB0">
        <w:rPr>
          <w:rFonts w:ascii="Arial" w:hAnsi="Arial" w:cs="Arial"/>
          <w:sz w:val="20"/>
          <w:szCs w:val="20"/>
          <w:lang w:eastAsia="sl-SI"/>
        </w:rPr>
        <w:t xml:space="preserve">(1) Nosilec rudarske pravice za izkoriščanje postane zavezanec za plačevanje rudarske </w:t>
      </w:r>
      <w:proofErr w:type="spellStart"/>
      <w:r w:rsidRPr="00155AB0">
        <w:rPr>
          <w:rFonts w:ascii="Arial" w:hAnsi="Arial" w:cs="Arial"/>
          <w:sz w:val="20"/>
          <w:szCs w:val="20"/>
          <w:lang w:eastAsia="sl-SI"/>
        </w:rPr>
        <w:t>koncesnine</w:t>
      </w:r>
      <w:proofErr w:type="spellEnd"/>
      <w:r w:rsidRPr="00155AB0">
        <w:rPr>
          <w:rFonts w:ascii="Arial" w:hAnsi="Arial" w:cs="Arial"/>
          <w:sz w:val="20"/>
          <w:szCs w:val="20"/>
          <w:lang w:eastAsia="sl-SI"/>
        </w:rPr>
        <w:t xml:space="preserve"> ter za zagotavljanje in plačevanje rezerviranih sredstev za sanacijo v skladu z zakonom, ki ureja rudarstvo. </w:t>
      </w:r>
    </w:p>
    <w:p w14:paraId="553386DB" w14:textId="77777777" w:rsidR="00760EEB" w:rsidRPr="00155AB0" w:rsidRDefault="00760EEB" w:rsidP="00760EEB">
      <w:pPr>
        <w:suppressAutoHyphens w:val="0"/>
        <w:spacing w:line="260" w:lineRule="atLeast"/>
        <w:ind w:firstLine="170"/>
        <w:jc w:val="both"/>
        <w:rPr>
          <w:rFonts w:ascii="Arial" w:hAnsi="Arial" w:cs="Arial"/>
          <w:sz w:val="20"/>
          <w:szCs w:val="20"/>
          <w:lang w:eastAsia="sl-SI"/>
        </w:rPr>
      </w:pPr>
      <w:r w:rsidRPr="00155AB0">
        <w:rPr>
          <w:rFonts w:ascii="Arial" w:hAnsi="Arial" w:cs="Arial"/>
          <w:sz w:val="20"/>
          <w:szCs w:val="20"/>
          <w:lang w:eastAsia="sl-SI"/>
        </w:rPr>
        <w:t xml:space="preserve">(2) Rudarska </w:t>
      </w:r>
      <w:proofErr w:type="spellStart"/>
      <w:r w:rsidRPr="00155AB0">
        <w:rPr>
          <w:rFonts w:ascii="Arial" w:hAnsi="Arial" w:cs="Arial"/>
          <w:sz w:val="20"/>
          <w:szCs w:val="20"/>
          <w:lang w:eastAsia="sl-SI"/>
        </w:rPr>
        <w:t>koncesnina</w:t>
      </w:r>
      <w:proofErr w:type="spellEnd"/>
      <w:r w:rsidRPr="00155AB0">
        <w:rPr>
          <w:rFonts w:ascii="Arial" w:hAnsi="Arial" w:cs="Arial"/>
          <w:sz w:val="20"/>
          <w:szCs w:val="20"/>
          <w:lang w:eastAsia="sl-SI"/>
        </w:rPr>
        <w:t xml:space="preserve"> se odmerja, plačuje in usklajuje v skladu z zakonom, ki ureja rudarstvo, ter predpisom, ki ureja plačevanje rudarskih </w:t>
      </w:r>
      <w:proofErr w:type="spellStart"/>
      <w:r w:rsidRPr="00155AB0">
        <w:rPr>
          <w:rFonts w:ascii="Arial" w:hAnsi="Arial" w:cs="Arial"/>
          <w:sz w:val="20"/>
          <w:szCs w:val="20"/>
          <w:lang w:eastAsia="sl-SI"/>
        </w:rPr>
        <w:t>koncesnin</w:t>
      </w:r>
      <w:proofErr w:type="spellEnd"/>
      <w:r w:rsidRPr="00155AB0">
        <w:rPr>
          <w:rFonts w:ascii="Arial" w:hAnsi="Arial" w:cs="Arial"/>
          <w:sz w:val="20"/>
          <w:szCs w:val="20"/>
          <w:lang w:eastAsia="sl-SI"/>
        </w:rPr>
        <w:t>.</w:t>
      </w:r>
    </w:p>
    <w:p w14:paraId="34C9635D" w14:textId="77777777" w:rsidR="00760EEB" w:rsidRPr="00155AB0" w:rsidRDefault="00760EEB" w:rsidP="00760EEB">
      <w:pPr>
        <w:suppressAutoHyphens w:val="0"/>
        <w:spacing w:line="260" w:lineRule="atLeast"/>
        <w:ind w:firstLine="170"/>
        <w:jc w:val="both"/>
        <w:rPr>
          <w:rFonts w:ascii="Arial" w:hAnsi="Arial" w:cs="Arial"/>
          <w:sz w:val="20"/>
          <w:szCs w:val="20"/>
          <w:lang w:eastAsia="sl-SI"/>
        </w:rPr>
      </w:pPr>
      <w:r w:rsidRPr="00155AB0">
        <w:rPr>
          <w:rFonts w:ascii="Arial" w:hAnsi="Arial" w:cs="Arial"/>
          <w:sz w:val="20"/>
          <w:szCs w:val="20"/>
          <w:lang w:eastAsia="sl-SI"/>
        </w:rPr>
        <w:t>(3) Rezervirana sredstva za sanacijo se zagotavljajo, odmerjajo, plačujejo in usklajujejo v skladu z zakonom, ki ureja rudarstvo, ter predpisom, ki ureja plačevanje sredstev za sanacijo.</w:t>
      </w:r>
    </w:p>
    <w:p w14:paraId="2CF5BE87" w14:textId="77777777" w:rsidR="00760EEB" w:rsidRPr="00155AB0" w:rsidRDefault="00760EEB" w:rsidP="00760EEB">
      <w:pPr>
        <w:tabs>
          <w:tab w:val="left" w:pos="708"/>
        </w:tabs>
        <w:suppressAutoHyphens w:val="0"/>
        <w:spacing w:line="260" w:lineRule="atLeast"/>
        <w:rPr>
          <w:rFonts w:ascii="Arial" w:hAnsi="Arial" w:cs="Arial"/>
          <w:sz w:val="20"/>
          <w:szCs w:val="20"/>
          <w:lang w:eastAsia="en-US"/>
        </w:rPr>
      </w:pPr>
    </w:p>
    <w:p w14:paraId="6A9B0F6A" w14:textId="77777777" w:rsidR="00760EEB" w:rsidRPr="00155AB0" w:rsidRDefault="00760EEB" w:rsidP="00760EEB">
      <w:pPr>
        <w:tabs>
          <w:tab w:val="left" w:pos="708"/>
        </w:tabs>
        <w:suppressAutoHyphens w:val="0"/>
        <w:spacing w:line="260" w:lineRule="atLeast"/>
        <w:rPr>
          <w:rFonts w:ascii="Arial" w:hAnsi="Arial" w:cs="Arial"/>
          <w:sz w:val="20"/>
          <w:szCs w:val="20"/>
          <w:lang w:eastAsia="en-US"/>
        </w:rPr>
      </w:pPr>
    </w:p>
    <w:p w14:paraId="59AB558F" w14:textId="77777777" w:rsidR="00760EEB" w:rsidRPr="00155AB0" w:rsidRDefault="00760EEB" w:rsidP="00760EEB">
      <w:pPr>
        <w:suppressAutoHyphens w:val="0"/>
        <w:spacing w:line="260" w:lineRule="atLeast"/>
        <w:jc w:val="center"/>
        <w:outlineLvl w:val="0"/>
        <w:rPr>
          <w:rFonts w:ascii="Arial" w:hAnsi="Arial" w:cs="Arial"/>
          <w:b/>
          <w:sz w:val="20"/>
          <w:szCs w:val="20"/>
          <w:lang w:eastAsia="sl-SI"/>
        </w:rPr>
      </w:pPr>
      <w:r w:rsidRPr="00155AB0">
        <w:rPr>
          <w:rFonts w:ascii="Arial" w:hAnsi="Arial" w:cs="Arial"/>
          <w:b/>
          <w:sz w:val="20"/>
          <w:szCs w:val="20"/>
          <w:lang w:eastAsia="sl-SI"/>
        </w:rPr>
        <w:t>7. člen</w:t>
      </w:r>
    </w:p>
    <w:p w14:paraId="1CFE390D" w14:textId="77777777" w:rsidR="00760EEB" w:rsidRPr="00155AB0" w:rsidRDefault="00760EEB" w:rsidP="00760EEB">
      <w:pPr>
        <w:suppressAutoHyphens w:val="0"/>
        <w:spacing w:line="260" w:lineRule="atLeast"/>
        <w:jc w:val="center"/>
        <w:rPr>
          <w:rFonts w:ascii="Arial" w:hAnsi="Arial" w:cs="Arial"/>
          <w:b/>
          <w:sz w:val="20"/>
          <w:szCs w:val="20"/>
          <w:lang w:eastAsia="sl-SI"/>
        </w:rPr>
      </w:pPr>
      <w:r w:rsidRPr="00155AB0">
        <w:rPr>
          <w:rFonts w:ascii="Arial" w:hAnsi="Arial" w:cs="Arial"/>
          <w:b/>
          <w:sz w:val="20"/>
          <w:szCs w:val="20"/>
          <w:lang w:eastAsia="sl-SI"/>
        </w:rPr>
        <w:t>(prenehanje koncesijskega razmerja in koncesijske pogodbe)</w:t>
      </w:r>
    </w:p>
    <w:p w14:paraId="5FDF62FD" w14:textId="77777777" w:rsidR="00760EEB" w:rsidRPr="00155AB0" w:rsidRDefault="00760EEB" w:rsidP="00760EEB">
      <w:pPr>
        <w:tabs>
          <w:tab w:val="left" w:pos="708"/>
        </w:tabs>
        <w:suppressAutoHyphens w:val="0"/>
        <w:spacing w:line="260" w:lineRule="atLeast"/>
        <w:rPr>
          <w:rFonts w:ascii="Arial" w:hAnsi="Arial" w:cs="Arial"/>
          <w:sz w:val="20"/>
          <w:szCs w:val="20"/>
          <w:lang w:eastAsia="en-US"/>
        </w:rPr>
      </w:pPr>
    </w:p>
    <w:p w14:paraId="17E577C1" w14:textId="77777777" w:rsidR="00760EEB" w:rsidRPr="00155AB0" w:rsidRDefault="00760EEB" w:rsidP="00760EEB">
      <w:pPr>
        <w:suppressAutoHyphens w:val="0"/>
        <w:spacing w:line="260" w:lineRule="atLeast"/>
        <w:ind w:firstLine="170"/>
        <w:jc w:val="both"/>
        <w:rPr>
          <w:rFonts w:ascii="Arial" w:hAnsi="Arial" w:cs="Arial"/>
          <w:sz w:val="20"/>
          <w:szCs w:val="20"/>
          <w:lang w:eastAsia="sl-SI"/>
        </w:rPr>
      </w:pPr>
      <w:r w:rsidRPr="00155AB0">
        <w:rPr>
          <w:rFonts w:ascii="Arial" w:hAnsi="Arial" w:cs="Arial"/>
          <w:sz w:val="20"/>
          <w:szCs w:val="20"/>
          <w:lang w:eastAsia="sl-SI"/>
        </w:rPr>
        <w:t>Koncesijsko razmerje in koncesijska pogodba prenehata iz razlogov in na način, ki jih določa zakon, ki ureja rudarstvo.</w:t>
      </w:r>
    </w:p>
    <w:p w14:paraId="592FD38B" w14:textId="77777777" w:rsidR="00760EEB" w:rsidRPr="00155AB0" w:rsidRDefault="00760EEB" w:rsidP="00760EEB">
      <w:pPr>
        <w:tabs>
          <w:tab w:val="left" w:pos="708"/>
        </w:tabs>
        <w:suppressAutoHyphens w:val="0"/>
        <w:spacing w:line="260" w:lineRule="atLeast"/>
        <w:rPr>
          <w:rFonts w:ascii="Arial" w:hAnsi="Arial" w:cs="Arial"/>
          <w:sz w:val="20"/>
          <w:szCs w:val="20"/>
          <w:lang w:eastAsia="en-US"/>
        </w:rPr>
      </w:pPr>
    </w:p>
    <w:p w14:paraId="1AD370B0" w14:textId="77777777" w:rsidR="00760EEB" w:rsidRDefault="00760EEB" w:rsidP="00760EEB">
      <w:pPr>
        <w:suppressAutoHyphens w:val="0"/>
        <w:jc w:val="center"/>
        <w:outlineLvl w:val="0"/>
        <w:rPr>
          <w:rFonts w:ascii="Arial" w:hAnsi="Arial" w:cs="Arial"/>
          <w:b/>
          <w:sz w:val="20"/>
          <w:szCs w:val="20"/>
          <w:lang w:eastAsia="sl-SI"/>
        </w:rPr>
      </w:pPr>
    </w:p>
    <w:p w14:paraId="3C96C6B6" w14:textId="77777777" w:rsidR="00760EEB" w:rsidRPr="00BC2FB7" w:rsidRDefault="00760EEB" w:rsidP="00760EEB">
      <w:pPr>
        <w:suppressAutoHyphens w:val="0"/>
        <w:jc w:val="center"/>
        <w:outlineLvl w:val="0"/>
        <w:rPr>
          <w:rFonts w:ascii="Arial" w:hAnsi="Arial" w:cs="Arial"/>
          <w:b/>
          <w:sz w:val="20"/>
          <w:szCs w:val="20"/>
          <w:lang w:eastAsia="sl-SI"/>
        </w:rPr>
      </w:pPr>
      <w:r w:rsidRPr="00BC2FB7">
        <w:rPr>
          <w:rFonts w:ascii="Arial" w:hAnsi="Arial" w:cs="Arial"/>
          <w:b/>
          <w:sz w:val="20"/>
          <w:szCs w:val="20"/>
          <w:lang w:eastAsia="sl-SI"/>
        </w:rPr>
        <w:t>8. člen</w:t>
      </w:r>
    </w:p>
    <w:p w14:paraId="7F52057C" w14:textId="77777777" w:rsidR="00760EEB" w:rsidRPr="00BC2FB7" w:rsidRDefault="00760EEB" w:rsidP="00760EEB">
      <w:pPr>
        <w:suppressAutoHyphens w:val="0"/>
        <w:jc w:val="center"/>
        <w:rPr>
          <w:rFonts w:ascii="Arial" w:hAnsi="Arial" w:cs="Arial"/>
          <w:b/>
          <w:sz w:val="20"/>
          <w:szCs w:val="20"/>
          <w:lang w:eastAsia="sl-SI"/>
        </w:rPr>
      </w:pPr>
      <w:r w:rsidRPr="00BC2FB7">
        <w:rPr>
          <w:rFonts w:ascii="Arial" w:hAnsi="Arial" w:cs="Arial"/>
          <w:b/>
          <w:sz w:val="20"/>
          <w:szCs w:val="20"/>
          <w:lang w:eastAsia="sl-SI"/>
        </w:rPr>
        <w:t>(odvzem rudarske pravice)</w:t>
      </w:r>
    </w:p>
    <w:p w14:paraId="08A9704B" w14:textId="77777777" w:rsidR="00760EEB" w:rsidRPr="00BC2FB7" w:rsidRDefault="00760EEB" w:rsidP="00760EEB">
      <w:pPr>
        <w:tabs>
          <w:tab w:val="left" w:pos="708"/>
        </w:tabs>
        <w:suppressAutoHyphens w:val="0"/>
        <w:rPr>
          <w:rFonts w:ascii="Arial" w:hAnsi="Arial" w:cs="Arial"/>
          <w:sz w:val="20"/>
          <w:szCs w:val="20"/>
          <w:lang w:eastAsia="en-US"/>
        </w:rPr>
      </w:pPr>
    </w:p>
    <w:p w14:paraId="6745A5AA" w14:textId="77777777" w:rsidR="00760EEB" w:rsidRPr="00BC2FB7" w:rsidRDefault="00760EEB" w:rsidP="00760EEB">
      <w:pPr>
        <w:suppressAutoHyphens w:val="0"/>
        <w:ind w:firstLine="170"/>
        <w:jc w:val="both"/>
        <w:rPr>
          <w:rFonts w:ascii="Arial" w:eastAsia="Calibri" w:hAnsi="Arial" w:cs="Arial"/>
          <w:sz w:val="20"/>
          <w:szCs w:val="20"/>
          <w:lang w:eastAsia="en-US"/>
        </w:rPr>
      </w:pPr>
      <w:r w:rsidRPr="00BC2FB7">
        <w:rPr>
          <w:rFonts w:ascii="Arial" w:eastAsia="Calibri" w:hAnsi="Arial" w:cs="Arial"/>
          <w:sz w:val="20"/>
          <w:szCs w:val="20"/>
          <w:lang w:eastAsia="en-US"/>
        </w:rPr>
        <w:t>Rudarska pravica za izkoriščanje se odvzame iz razlogov in na način po zakonu, ki ureja rudarstvo.</w:t>
      </w:r>
    </w:p>
    <w:p w14:paraId="75F16257" w14:textId="77777777" w:rsidR="00760EEB" w:rsidRDefault="00760EEB" w:rsidP="00760EEB">
      <w:pPr>
        <w:tabs>
          <w:tab w:val="left" w:pos="708"/>
        </w:tabs>
        <w:suppressAutoHyphens w:val="0"/>
        <w:spacing w:line="260" w:lineRule="atLeast"/>
        <w:rPr>
          <w:rFonts w:ascii="Arial" w:hAnsi="Arial" w:cs="Arial"/>
          <w:sz w:val="20"/>
          <w:szCs w:val="20"/>
          <w:lang w:eastAsia="en-US"/>
        </w:rPr>
      </w:pPr>
    </w:p>
    <w:p w14:paraId="3E4194AC" w14:textId="77777777" w:rsidR="00760EEB" w:rsidRPr="00155AB0" w:rsidRDefault="00760EEB" w:rsidP="00760EEB">
      <w:pPr>
        <w:tabs>
          <w:tab w:val="left" w:pos="708"/>
        </w:tabs>
        <w:suppressAutoHyphens w:val="0"/>
        <w:spacing w:line="260" w:lineRule="atLeast"/>
        <w:rPr>
          <w:rFonts w:ascii="Arial" w:hAnsi="Arial" w:cs="Arial"/>
          <w:sz w:val="20"/>
          <w:szCs w:val="20"/>
          <w:lang w:eastAsia="en-US"/>
        </w:rPr>
      </w:pPr>
    </w:p>
    <w:p w14:paraId="74F15AF4" w14:textId="77777777" w:rsidR="00760EEB" w:rsidRPr="00155AB0" w:rsidRDefault="00760EEB" w:rsidP="00760EEB">
      <w:pPr>
        <w:suppressAutoHyphens w:val="0"/>
        <w:spacing w:line="260" w:lineRule="atLeast"/>
        <w:jc w:val="center"/>
        <w:outlineLvl w:val="0"/>
        <w:rPr>
          <w:rFonts w:ascii="Arial" w:hAnsi="Arial" w:cs="Arial"/>
          <w:b/>
          <w:sz w:val="20"/>
          <w:szCs w:val="20"/>
        </w:rPr>
      </w:pPr>
      <w:r w:rsidRPr="00155AB0">
        <w:rPr>
          <w:rFonts w:ascii="Arial" w:hAnsi="Arial" w:cs="Arial"/>
          <w:b/>
          <w:sz w:val="20"/>
          <w:szCs w:val="20"/>
        </w:rPr>
        <w:t>II. MINERALNA SUROVINA, PRIDOBIVALNI PROSTOR IN POGOJI, POD KATERIMI SE PODELJUJE RUDARSKA PRAVICA ZA IZKORIŠČANJE</w:t>
      </w:r>
    </w:p>
    <w:p w14:paraId="6A3B45FD" w14:textId="77777777" w:rsidR="00760EEB" w:rsidRPr="00155AB0" w:rsidRDefault="00760EEB" w:rsidP="00760EEB">
      <w:pPr>
        <w:tabs>
          <w:tab w:val="left" w:pos="708"/>
        </w:tabs>
        <w:suppressAutoHyphens w:val="0"/>
        <w:spacing w:line="260" w:lineRule="atLeast"/>
        <w:rPr>
          <w:rFonts w:ascii="Arial" w:hAnsi="Arial" w:cs="Arial"/>
          <w:sz w:val="20"/>
          <w:szCs w:val="20"/>
          <w:lang w:eastAsia="en-US"/>
        </w:rPr>
      </w:pPr>
    </w:p>
    <w:p w14:paraId="7EF8E4C8" w14:textId="77777777" w:rsidR="00760EEB" w:rsidRPr="00155AB0" w:rsidRDefault="00760EEB" w:rsidP="00760EEB">
      <w:pPr>
        <w:tabs>
          <w:tab w:val="left" w:pos="708"/>
        </w:tabs>
        <w:suppressAutoHyphens w:val="0"/>
        <w:spacing w:line="260" w:lineRule="atLeast"/>
        <w:rPr>
          <w:rFonts w:ascii="Arial" w:hAnsi="Arial" w:cs="Arial"/>
          <w:sz w:val="20"/>
          <w:szCs w:val="20"/>
          <w:lang w:eastAsia="en-US"/>
        </w:rPr>
      </w:pPr>
    </w:p>
    <w:p w14:paraId="2D6DBFBF" w14:textId="77777777" w:rsidR="00760EEB" w:rsidRPr="00155AB0" w:rsidRDefault="00760EEB" w:rsidP="00760EEB">
      <w:pPr>
        <w:suppressAutoHyphens w:val="0"/>
        <w:spacing w:line="260" w:lineRule="atLeast"/>
        <w:jc w:val="center"/>
        <w:outlineLvl w:val="0"/>
        <w:rPr>
          <w:rFonts w:ascii="Arial" w:hAnsi="Arial" w:cs="Arial"/>
          <w:b/>
          <w:sz w:val="20"/>
          <w:szCs w:val="20"/>
          <w:lang w:eastAsia="sl-SI"/>
        </w:rPr>
      </w:pPr>
      <w:r>
        <w:rPr>
          <w:rFonts w:ascii="Arial" w:hAnsi="Arial" w:cs="Arial"/>
          <w:b/>
          <w:sz w:val="20"/>
          <w:szCs w:val="20"/>
          <w:lang w:eastAsia="sl-SI"/>
        </w:rPr>
        <w:t>9</w:t>
      </w:r>
      <w:r w:rsidRPr="00155AB0">
        <w:rPr>
          <w:rFonts w:ascii="Arial" w:hAnsi="Arial" w:cs="Arial"/>
          <w:b/>
          <w:sz w:val="20"/>
          <w:szCs w:val="20"/>
          <w:lang w:eastAsia="sl-SI"/>
        </w:rPr>
        <w:t>. člen</w:t>
      </w:r>
    </w:p>
    <w:p w14:paraId="6661DC39" w14:textId="3301C4D9" w:rsidR="00760EEB" w:rsidRPr="00155AB0" w:rsidRDefault="00760EEB" w:rsidP="00760EEB">
      <w:pPr>
        <w:suppressAutoHyphens w:val="0"/>
        <w:spacing w:line="260" w:lineRule="atLeast"/>
        <w:jc w:val="center"/>
        <w:rPr>
          <w:rFonts w:ascii="Arial" w:hAnsi="Arial" w:cs="Arial"/>
          <w:b/>
          <w:sz w:val="20"/>
          <w:szCs w:val="20"/>
          <w:lang w:eastAsia="sl-SI"/>
        </w:rPr>
      </w:pPr>
      <w:r w:rsidRPr="00155AB0">
        <w:rPr>
          <w:rFonts w:ascii="Arial" w:hAnsi="Arial" w:cs="Arial"/>
          <w:b/>
          <w:sz w:val="20"/>
          <w:szCs w:val="20"/>
          <w:lang w:eastAsia="sl-SI"/>
        </w:rPr>
        <w:t xml:space="preserve">(izkoriščanje mineralne surovine tehnični </w:t>
      </w:r>
      <w:r>
        <w:rPr>
          <w:rFonts w:ascii="Arial" w:hAnsi="Arial" w:cs="Arial"/>
          <w:b/>
          <w:sz w:val="20"/>
          <w:szCs w:val="20"/>
          <w:lang w:eastAsia="sl-SI"/>
        </w:rPr>
        <w:t xml:space="preserve">kamen </w:t>
      </w:r>
      <w:r w:rsidR="0097101D">
        <w:rPr>
          <w:rFonts w:ascii="Arial" w:hAnsi="Arial" w:cs="Arial"/>
          <w:b/>
          <w:sz w:val="20"/>
          <w:szCs w:val="20"/>
          <w:lang w:eastAsia="sl-SI"/>
        </w:rPr>
        <w:t xml:space="preserve">– </w:t>
      </w:r>
      <w:r>
        <w:rPr>
          <w:rFonts w:ascii="Arial" w:hAnsi="Arial" w:cs="Arial"/>
          <w:b/>
          <w:sz w:val="20"/>
          <w:szCs w:val="20"/>
          <w:lang w:eastAsia="sl-SI"/>
        </w:rPr>
        <w:t>dolomit</w:t>
      </w:r>
      <w:r w:rsidRPr="00155AB0">
        <w:rPr>
          <w:rFonts w:ascii="Arial" w:hAnsi="Arial" w:cs="Arial"/>
          <w:b/>
          <w:sz w:val="20"/>
          <w:szCs w:val="20"/>
          <w:lang w:eastAsia="sl-SI"/>
        </w:rPr>
        <w:t xml:space="preserve"> </w:t>
      </w:r>
      <w:r w:rsidRPr="00155AB0">
        <w:rPr>
          <w:rFonts w:ascii="Arial" w:hAnsi="Arial" w:cs="Arial"/>
          <w:b/>
          <w:sz w:val="20"/>
          <w:szCs w:val="20"/>
          <w:lang w:eastAsia="sl-SI"/>
        </w:rPr>
        <w:br/>
        <w:t xml:space="preserve">v pridobivalnem prostoru </w:t>
      </w:r>
      <w:r>
        <w:rPr>
          <w:rFonts w:ascii="Arial" w:hAnsi="Arial" w:cs="Arial"/>
          <w:b/>
          <w:sz w:val="20"/>
          <w:szCs w:val="20"/>
          <w:lang w:eastAsia="sl-SI"/>
        </w:rPr>
        <w:t xml:space="preserve">Ježce </w:t>
      </w:r>
      <w:r w:rsidRPr="00155AB0">
        <w:rPr>
          <w:rFonts w:ascii="Arial" w:hAnsi="Arial" w:cs="Arial"/>
          <w:b/>
          <w:sz w:val="20"/>
          <w:szCs w:val="20"/>
          <w:lang w:eastAsia="sl-SI"/>
        </w:rPr>
        <w:t xml:space="preserve">2 v občini </w:t>
      </w:r>
      <w:r>
        <w:rPr>
          <w:rFonts w:ascii="Arial" w:hAnsi="Arial" w:cs="Arial"/>
          <w:b/>
          <w:sz w:val="20"/>
          <w:szCs w:val="20"/>
          <w:lang w:eastAsia="sl-SI"/>
        </w:rPr>
        <w:t>Šmartno pri Litiji</w:t>
      </w:r>
      <w:r w:rsidRPr="00155AB0">
        <w:rPr>
          <w:rFonts w:ascii="Arial" w:hAnsi="Arial" w:cs="Arial"/>
          <w:b/>
          <w:sz w:val="20"/>
          <w:szCs w:val="20"/>
          <w:lang w:eastAsia="sl-SI"/>
        </w:rPr>
        <w:t>)</w:t>
      </w:r>
    </w:p>
    <w:p w14:paraId="534A6EBE" w14:textId="77777777" w:rsidR="00760EEB" w:rsidRPr="00155AB0" w:rsidRDefault="00760EEB" w:rsidP="00760EEB">
      <w:pPr>
        <w:tabs>
          <w:tab w:val="left" w:pos="708"/>
        </w:tabs>
        <w:suppressAutoHyphens w:val="0"/>
        <w:spacing w:line="260" w:lineRule="atLeast"/>
        <w:rPr>
          <w:rFonts w:ascii="Arial" w:hAnsi="Arial" w:cs="Arial"/>
          <w:sz w:val="20"/>
          <w:szCs w:val="20"/>
          <w:lang w:eastAsia="en-US"/>
        </w:rPr>
      </w:pPr>
    </w:p>
    <w:p w14:paraId="69874869" w14:textId="3FCD8DD0" w:rsidR="00760EEB" w:rsidRPr="00155AB0" w:rsidRDefault="00760EEB" w:rsidP="00760EEB">
      <w:pPr>
        <w:suppressAutoHyphens w:val="0"/>
        <w:spacing w:line="260" w:lineRule="atLeast"/>
        <w:ind w:firstLine="170"/>
        <w:jc w:val="both"/>
        <w:rPr>
          <w:rFonts w:ascii="Arial" w:hAnsi="Arial" w:cs="Arial"/>
          <w:sz w:val="20"/>
          <w:szCs w:val="20"/>
          <w:lang w:eastAsia="sl-SI"/>
        </w:rPr>
      </w:pPr>
      <w:r w:rsidRPr="00155AB0">
        <w:rPr>
          <w:rFonts w:ascii="Arial" w:hAnsi="Arial" w:cs="Arial"/>
          <w:sz w:val="20"/>
          <w:szCs w:val="20"/>
          <w:lang w:eastAsia="sl-SI"/>
        </w:rPr>
        <w:t>(1) Predmet rudarske pravice je izkoriščanje mineralne surovine tehnični kamen</w:t>
      </w:r>
      <w:r w:rsidR="0097101D">
        <w:rPr>
          <w:rFonts w:ascii="Arial" w:hAnsi="Arial" w:cs="Arial"/>
          <w:sz w:val="20"/>
          <w:szCs w:val="20"/>
          <w:lang w:eastAsia="sl-SI"/>
        </w:rPr>
        <w:t xml:space="preserve"> – </w:t>
      </w:r>
      <w:r>
        <w:rPr>
          <w:rFonts w:ascii="Arial" w:hAnsi="Arial" w:cs="Arial"/>
          <w:snapToGrid w:val="0"/>
          <w:sz w:val="20"/>
          <w:szCs w:val="20"/>
          <w:lang w:eastAsia="sl-SI"/>
        </w:rPr>
        <w:t xml:space="preserve">dolomit </w:t>
      </w:r>
      <w:r w:rsidRPr="00155AB0">
        <w:rPr>
          <w:rFonts w:ascii="Arial" w:hAnsi="Arial" w:cs="Arial"/>
          <w:sz w:val="20"/>
          <w:szCs w:val="20"/>
          <w:lang w:eastAsia="sl-SI"/>
        </w:rPr>
        <w:t xml:space="preserve">v količini do </w:t>
      </w:r>
      <w:r>
        <w:rPr>
          <w:rFonts w:ascii="Arial" w:hAnsi="Arial" w:cs="Arial"/>
          <w:sz w:val="20"/>
          <w:szCs w:val="20"/>
          <w:lang w:eastAsia="sl-SI"/>
        </w:rPr>
        <w:t xml:space="preserve">1. 593.227 m3 </w:t>
      </w:r>
      <w:r w:rsidRPr="00155AB0">
        <w:rPr>
          <w:rFonts w:ascii="Arial" w:hAnsi="Arial" w:cs="Arial"/>
          <w:sz w:val="20"/>
          <w:szCs w:val="20"/>
          <w:lang w:eastAsia="sl-SI"/>
        </w:rPr>
        <w:t>(</w:t>
      </w:r>
      <w:r>
        <w:rPr>
          <w:rFonts w:ascii="Arial" w:hAnsi="Arial" w:cs="Arial"/>
          <w:sz w:val="20"/>
          <w:szCs w:val="20"/>
          <w:lang w:eastAsia="sl-SI"/>
        </w:rPr>
        <w:t>en milijon petsto triindevetdeset tisoč dvesto sedemindvajset</w:t>
      </w:r>
      <w:r w:rsidRPr="00155AB0">
        <w:rPr>
          <w:rFonts w:ascii="Arial" w:hAnsi="Arial" w:cs="Arial"/>
          <w:sz w:val="20"/>
          <w:szCs w:val="20"/>
          <w:lang w:eastAsia="sl-SI"/>
        </w:rPr>
        <w:t>) kubičnih metrov v raščenem stanju.</w:t>
      </w:r>
    </w:p>
    <w:p w14:paraId="05F1D8BD" w14:textId="2BBBB577" w:rsidR="00760EEB" w:rsidRPr="00155AB0" w:rsidRDefault="00760EEB" w:rsidP="00760EEB">
      <w:pPr>
        <w:suppressAutoHyphens w:val="0"/>
        <w:spacing w:line="260" w:lineRule="atLeast"/>
        <w:ind w:left="397" w:hanging="227"/>
        <w:jc w:val="both"/>
        <w:rPr>
          <w:rFonts w:ascii="Arial" w:hAnsi="Arial" w:cs="Arial"/>
          <w:sz w:val="20"/>
          <w:szCs w:val="20"/>
          <w:lang w:eastAsia="sl-SI"/>
        </w:rPr>
      </w:pPr>
      <w:r w:rsidRPr="00155AB0">
        <w:rPr>
          <w:rFonts w:ascii="Arial" w:hAnsi="Arial" w:cs="Arial"/>
          <w:sz w:val="20"/>
          <w:szCs w:val="20"/>
          <w:lang w:eastAsia="sl-SI"/>
        </w:rPr>
        <w:lastRenderedPageBreak/>
        <w:t xml:space="preserve">(2) Pridobivalni prostor </w:t>
      </w:r>
      <w:r>
        <w:rPr>
          <w:rFonts w:ascii="Arial" w:hAnsi="Arial" w:cs="Arial"/>
          <w:sz w:val="20"/>
          <w:szCs w:val="20"/>
          <w:lang w:eastAsia="sl-SI"/>
        </w:rPr>
        <w:t>Ježce 2</w:t>
      </w:r>
      <w:r w:rsidRPr="00155AB0">
        <w:rPr>
          <w:rFonts w:ascii="Arial" w:hAnsi="Arial" w:cs="Arial"/>
          <w:sz w:val="20"/>
          <w:szCs w:val="20"/>
          <w:lang w:eastAsia="sl-SI"/>
        </w:rPr>
        <w:t xml:space="preserve"> je nov pridobivalni prostor s površinskim izkoriščanjem mineralne surovine</w:t>
      </w:r>
      <w:r>
        <w:rPr>
          <w:rFonts w:ascii="Arial" w:hAnsi="Arial" w:cs="Arial"/>
          <w:sz w:val="20"/>
          <w:szCs w:val="20"/>
          <w:lang w:eastAsia="sl-SI"/>
        </w:rPr>
        <w:t xml:space="preserve">, predvsem z uporabo kombinirane etažne odkopne metode tudi z izvajanjem masovnega razstreljevanja in pridobivanja z gradbeno mehanizacijo, </w:t>
      </w:r>
      <w:r w:rsidRPr="00155AB0">
        <w:rPr>
          <w:rFonts w:ascii="Arial" w:hAnsi="Arial" w:cs="Arial"/>
          <w:sz w:val="20"/>
          <w:szCs w:val="20"/>
          <w:lang w:eastAsia="sl-SI"/>
        </w:rPr>
        <w:t>v obsegu iz tretjega</w:t>
      </w:r>
      <w:r>
        <w:rPr>
          <w:rFonts w:ascii="Arial" w:hAnsi="Arial" w:cs="Arial"/>
          <w:sz w:val="20"/>
          <w:szCs w:val="20"/>
          <w:lang w:eastAsia="sl-SI"/>
        </w:rPr>
        <w:t xml:space="preserve"> in</w:t>
      </w:r>
      <w:r w:rsidRPr="00155AB0">
        <w:rPr>
          <w:rFonts w:ascii="Arial" w:hAnsi="Arial" w:cs="Arial"/>
          <w:sz w:val="20"/>
          <w:szCs w:val="20"/>
          <w:lang w:eastAsia="sl-SI"/>
        </w:rPr>
        <w:t xml:space="preserve"> četrtega odstavka tega člena, ki </w:t>
      </w:r>
      <w:r w:rsidR="001870ED">
        <w:rPr>
          <w:rFonts w:ascii="Arial" w:hAnsi="Arial" w:cs="Arial"/>
          <w:sz w:val="20"/>
          <w:szCs w:val="20"/>
          <w:lang w:eastAsia="sl-SI"/>
        </w:rPr>
        <w:t>obsega</w:t>
      </w:r>
      <w:r w:rsidRPr="00155AB0">
        <w:rPr>
          <w:rFonts w:ascii="Arial" w:hAnsi="Arial" w:cs="Arial"/>
          <w:sz w:val="20"/>
          <w:szCs w:val="20"/>
          <w:lang w:eastAsia="sl-SI"/>
        </w:rPr>
        <w:t xml:space="preserve"> </w:t>
      </w:r>
      <w:r w:rsidR="00C30B50">
        <w:rPr>
          <w:rFonts w:ascii="Arial" w:hAnsi="Arial" w:cs="Arial"/>
          <w:sz w:val="20"/>
          <w:szCs w:val="20"/>
          <w:lang w:eastAsia="sl-SI"/>
        </w:rPr>
        <w:t xml:space="preserve">tudi </w:t>
      </w:r>
      <w:bookmarkStart w:id="1" w:name="_Hlk184201932"/>
      <w:r>
        <w:rPr>
          <w:rFonts w:ascii="Arial" w:hAnsi="Arial" w:cs="Arial"/>
          <w:sz w:val="20"/>
          <w:szCs w:val="20"/>
          <w:lang w:eastAsia="sl-SI"/>
        </w:rPr>
        <w:t>bivš</w:t>
      </w:r>
      <w:r w:rsidR="00BF409F">
        <w:rPr>
          <w:rFonts w:ascii="Arial" w:hAnsi="Arial" w:cs="Arial"/>
          <w:sz w:val="20"/>
          <w:szCs w:val="20"/>
          <w:lang w:eastAsia="sl-SI"/>
        </w:rPr>
        <w:t>i</w:t>
      </w:r>
      <w:r w:rsidRPr="00155AB0">
        <w:rPr>
          <w:rFonts w:ascii="Arial" w:hAnsi="Arial" w:cs="Arial"/>
          <w:sz w:val="20"/>
          <w:szCs w:val="20"/>
          <w:lang w:eastAsia="sl-SI"/>
        </w:rPr>
        <w:t xml:space="preserve"> pridobivaln</w:t>
      </w:r>
      <w:r w:rsidR="00BF409F">
        <w:rPr>
          <w:rFonts w:ascii="Arial" w:hAnsi="Arial" w:cs="Arial"/>
          <w:sz w:val="20"/>
          <w:szCs w:val="20"/>
          <w:lang w:eastAsia="sl-SI"/>
        </w:rPr>
        <w:t>i</w:t>
      </w:r>
      <w:r w:rsidRPr="00155AB0">
        <w:rPr>
          <w:rFonts w:ascii="Arial" w:hAnsi="Arial" w:cs="Arial"/>
          <w:sz w:val="20"/>
          <w:szCs w:val="20"/>
          <w:lang w:eastAsia="sl-SI"/>
        </w:rPr>
        <w:t xml:space="preserve"> prostor</w:t>
      </w:r>
      <w:r>
        <w:rPr>
          <w:rFonts w:ascii="Arial" w:hAnsi="Arial" w:cs="Arial"/>
          <w:sz w:val="20"/>
          <w:szCs w:val="20"/>
          <w:lang w:eastAsia="sl-SI"/>
        </w:rPr>
        <w:t xml:space="preserve"> </w:t>
      </w:r>
      <w:r w:rsidR="00BF409F">
        <w:rPr>
          <w:rFonts w:ascii="Arial" w:hAnsi="Arial" w:cs="Arial"/>
          <w:sz w:val="20"/>
          <w:szCs w:val="20"/>
          <w:lang w:eastAsia="sl-SI"/>
        </w:rPr>
        <w:t>Ježce – širitev 1</w:t>
      </w:r>
      <w:r w:rsidR="00C30B50">
        <w:rPr>
          <w:rFonts w:ascii="Arial" w:hAnsi="Arial" w:cs="Arial"/>
          <w:sz w:val="20"/>
          <w:szCs w:val="20"/>
          <w:lang w:eastAsia="sl-SI"/>
        </w:rPr>
        <w:t xml:space="preserve"> ter </w:t>
      </w:r>
      <w:r w:rsidR="00E70F6B">
        <w:rPr>
          <w:rFonts w:ascii="Arial" w:hAnsi="Arial" w:cs="Arial"/>
          <w:sz w:val="20"/>
          <w:szCs w:val="20"/>
          <w:lang w:eastAsia="sl-SI"/>
        </w:rPr>
        <w:t>obstoječ</w:t>
      </w:r>
      <w:r w:rsidR="00C30B50">
        <w:rPr>
          <w:rFonts w:ascii="Arial" w:hAnsi="Arial" w:cs="Arial"/>
          <w:sz w:val="20"/>
          <w:szCs w:val="20"/>
          <w:lang w:eastAsia="sl-SI"/>
        </w:rPr>
        <w:t>a</w:t>
      </w:r>
      <w:r w:rsidR="00E70F6B">
        <w:rPr>
          <w:rFonts w:ascii="Arial" w:hAnsi="Arial" w:cs="Arial"/>
          <w:sz w:val="20"/>
          <w:szCs w:val="20"/>
          <w:lang w:eastAsia="sl-SI"/>
        </w:rPr>
        <w:t xml:space="preserve"> </w:t>
      </w:r>
      <w:r w:rsidR="00BF409F">
        <w:rPr>
          <w:rFonts w:ascii="Arial" w:hAnsi="Arial" w:cs="Arial"/>
          <w:sz w:val="20"/>
          <w:szCs w:val="20"/>
          <w:lang w:eastAsia="sl-SI"/>
        </w:rPr>
        <w:t>pridobivaln</w:t>
      </w:r>
      <w:r w:rsidR="00C30B50">
        <w:rPr>
          <w:rFonts w:ascii="Arial" w:hAnsi="Arial" w:cs="Arial"/>
          <w:sz w:val="20"/>
          <w:szCs w:val="20"/>
          <w:lang w:eastAsia="sl-SI"/>
        </w:rPr>
        <w:t>a</w:t>
      </w:r>
      <w:r w:rsidR="00BF409F">
        <w:rPr>
          <w:rFonts w:ascii="Arial" w:hAnsi="Arial" w:cs="Arial"/>
          <w:sz w:val="20"/>
          <w:szCs w:val="20"/>
          <w:lang w:eastAsia="sl-SI"/>
        </w:rPr>
        <w:t xml:space="preserve"> prostor</w:t>
      </w:r>
      <w:r w:rsidR="00C30B50">
        <w:rPr>
          <w:rFonts w:ascii="Arial" w:hAnsi="Arial" w:cs="Arial"/>
          <w:sz w:val="20"/>
          <w:szCs w:val="20"/>
          <w:lang w:eastAsia="sl-SI"/>
        </w:rPr>
        <w:t>a</w:t>
      </w:r>
      <w:r w:rsidR="00BF409F">
        <w:rPr>
          <w:rFonts w:ascii="Arial" w:hAnsi="Arial" w:cs="Arial"/>
          <w:sz w:val="20"/>
          <w:szCs w:val="20"/>
          <w:lang w:eastAsia="sl-SI"/>
        </w:rPr>
        <w:t xml:space="preserve"> </w:t>
      </w:r>
      <w:r>
        <w:rPr>
          <w:rFonts w:ascii="Arial" w:hAnsi="Arial" w:cs="Arial"/>
          <w:sz w:val="20"/>
          <w:szCs w:val="20"/>
          <w:lang w:eastAsia="sl-SI"/>
        </w:rPr>
        <w:t>Ježce</w:t>
      </w:r>
      <w:r w:rsidR="003D5EC4">
        <w:rPr>
          <w:rFonts w:ascii="Arial" w:hAnsi="Arial" w:cs="Arial"/>
          <w:sz w:val="20"/>
          <w:szCs w:val="20"/>
          <w:lang w:eastAsia="sl-SI"/>
        </w:rPr>
        <w:t xml:space="preserve"> </w:t>
      </w:r>
      <w:r w:rsidR="001870ED">
        <w:rPr>
          <w:rFonts w:ascii="Arial" w:hAnsi="Arial" w:cs="Arial"/>
          <w:sz w:val="20"/>
          <w:szCs w:val="20"/>
          <w:lang w:eastAsia="sl-SI"/>
        </w:rPr>
        <w:t>in Ježce – širitev 2</w:t>
      </w:r>
      <w:bookmarkEnd w:id="1"/>
      <w:r w:rsidR="00C30B50">
        <w:rPr>
          <w:rFonts w:ascii="Arial" w:hAnsi="Arial" w:cs="Arial"/>
          <w:sz w:val="20"/>
          <w:szCs w:val="20"/>
          <w:lang w:eastAsia="sl-SI"/>
        </w:rPr>
        <w:t>.</w:t>
      </w:r>
    </w:p>
    <w:p w14:paraId="2A14700D" w14:textId="77777777" w:rsidR="00760EEB" w:rsidRPr="00155AB0" w:rsidRDefault="00760EEB" w:rsidP="00760EEB">
      <w:pPr>
        <w:suppressAutoHyphens w:val="0"/>
        <w:spacing w:line="260" w:lineRule="atLeast"/>
        <w:ind w:firstLine="170"/>
        <w:jc w:val="both"/>
        <w:rPr>
          <w:rFonts w:ascii="Arial" w:hAnsi="Arial" w:cs="Arial"/>
          <w:bCs/>
          <w:sz w:val="20"/>
          <w:szCs w:val="20"/>
          <w:lang w:eastAsia="sl-SI"/>
        </w:rPr>
      </w:pPr>
      <w:r w:rsidRPr="00155AB0">
        <w:rPr>
          <w:rFonts w:ascii="Arial" w:hAnsi="Arial" w:cs="Arial"/>
          <w:bCs/>
          <w:sz w:val="20"/>
          <w:szCs w:val="20"/>
          <w:lang w:eastAsia="sl-SI"/>
        </w:rPr>
        <w:t xml:space="preserve">(3) Pridobivalni prostor </w:t>
      </w:r>
      <w:r>
        <w:rPr>
          <w:rFonts w:ascii="Arial" w:hAnsi="Arial" w:cs="Arial"/>
          <w:bCs/>
          <w:sz w:val="20"/>
          <w:szCs w:val="20"/>
          <w:lang w:eastAsia="sl-SI"/>
        </w:rPr>
        <w:t>Ježce 2</w:t>
      </w:r>
      <w:r w:rsidRPr="00155AB0">
        <w:rPr>
          <w:rFonts w:ascii="Arial" w:hAnsi="Arial" w:cs="Arial"/>
          <w:bCs/>
          <w:sz w:val="20"/>
          <w:szCs w:val="20"/>
          <w:lang w:eastAsia="sl-SI"/>
        </w:rPr>
        <w:t xml:space="preserve"> obsega:</w:t>
      </w:r>
    </w:p>
    <w:p w14:paraId="49B762B6" w14:textId="77777777" w:rsidR="00C9638F" w:rsidRPr="00C9638F" w:rsidRDefault="00C9638F" w:rsidP="00C9638F">
      <w:pPr>
        <w:numPr>
          <w:ilvl w:val="0"/>
          <w:numId w:val="2"/>
        </w:numPr>
        <w:suppressAutoHyphens w:val="0"/>
        <w:spacing w:after="160" w:line="256" w:lineRule="auto"/>
        <w:contextualSpacing/>
        <w:jc w:val="both"/>
        <w:rPr>
          <w:rFonts w:ascii="Arial" w:eastAsia="Calibri" w:hAnsi="Arial" w:cs="Arial"/>
          <w:b/>
          <w:bCs/>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 xml:space="preserve">v celoti zemljišča s </w:t>
      </w:r>
      <w:proofErr w:type="spellStart"/>
      <w:r w:rsidRPr="00C9638F">
        <w:rPr>
          <w:rFonts w:ascii="Arial" w:eastAsia="Calibri" w:hAnsi="Arial" w:cs="Arial"/>
          <w:kern w:val="2"/>
          <w:sz w:val="20"/>
          <w:szCs w:val="20"/>
          <w:lang w:eastAsia="en-US"/>
          <w14:ligatures w14:val="standardContextual"/>
        </w:rPr>
        <w:t>parc</w:t>
      </w:r>
      <w:proofErr w:type="spellEnd"/>
      <w:r w:rsidRPr="00C9638F">
        <w:rPr>
          <w:rFonts w:ascii="Arial" w:eastAsia="Calibri" w:hAnsi="Arial" w:cs="Arial"/>
          <w:kern w:val="2"/>
          <w:sz w:val="20"/>
          <w:szCs w:val="20"/>
          <w:lang w:eastAsia="en-US"/>
          <w14:ligatures w14:val="standardContextual"/>
        </w:rPr>
        <w:t>. št. 222, 232, 243, 246, 219/2, 220/3, 220/6, 227/15, 227/7, 231/10, 231/5, 231/6, 231/7, 231/9, 234/2, 838/2 in 839/2, vse k. o. 1850 – Ježni Vrh,</w:t>
      </w:r>
    </w:p>
    <w:p w14:paraId="1B52AD85" w14:textId="77777777" w:rsidR="00C9638F" w:rsidRPr="00C9638F" w:rsidRDefault="00C9638F" w:rsidP="00C9638F">
      <w:pPr>
        <w:numPr>
          <w:ilvl w:val="0"/>
          <w:numId w:val="2"/>
        </w:numPr>
        <w:suppressAutoHyphens w:val="0"/>
        <w:spacing w:after="160" w:line="256" w:lineRule="auto"/>
        <w:contextualSpacing/>
        <w:jc w:val="both"/>
        <w:rPr>
          <w:rFonts w:ascii="Arial" w:eastAsia="Calibri" w:hAnsi="Arial" w:cs="Arial"/>
          <w:b/>
          <w:bCs/>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 xml:space="preserve">del zemljišča s </w:t>
      </w:r>
      <w:proofErr w:type="spellStart"/>
      <w:r w:rsidRPr="00C9638F">
        <w:rPr>
          <w:rFonts w:ascii="Arial" w:eastAsia="Calibri" w:hAnsi="Arial" w:cs="Arial"/>
          <w:kern w:val="2"/>
          <w:sz w:val="20"/>
          <w:szCs w:val="20"/>
          <w:lang w:eastAsia="en-US"/>
          <w14:ligatures w14:val="standardContextual"/>
        </w:rPr>
        <w:t>parc</w:t>
      </w:r>
      <w:proofErr w:type="spellEnd"/>
      <w:r w:rsidRPr="00C9638F">
        <w:rPr>
          <w:rFonts w:ascii="Arial" w:eastAsia="Calibri" w:hAnsi="Arial" w:cs="Arial"/>
          <w:kern w:val="2"/>
          <w:sz w:val="20"/>
          <w:szCs w:val="20"/>
          <w:lang w:eastAsia="en-US"/>
          <w14:ligatures w14:val="standardContextual"/>
        </w:rPr>
        <w:t xml:space="preserve">. št. 838/1, k. o. 1850 – Ježni Vrh, ki leži južno od daljice PP 1.1 PP 1.2, </w:t>
      </w:r>
    </w:p>
    <w:p w14:paraId="4DD79325" w14:textId="77777777" w:rsidR="00C9638F" w:rsidRPr="00C9638F" w:rsidRDefault="00C9638F" w:rsidP="00C9638F">
      <w:pPr>
        <w:numPr>
          <w:ilvl w:val="0"/>
          <w:numId w:val="2"/>
        </w:numPr>
        <w:suppressAutoHyphens w:val="0"/>
        <w:spacing w:after="160" w:line="256" w:lineRule="auto"/>
        <w:contextualSpacing/>
        <w:jc w:val="both"/>
        <w:rPr>
          <w:rFonts w:ascii="Arial" w:eastAsia="Calibri" w:hAnsi="Arial" w:cs="Arial"/>
          <w:b/>
          <w:bCs/>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 xml:space="preserve">del zemljišča s </w:t>
      </w:r>
      <w:proofErr w:type="spellStart"/>
      <w:r w:rsidRPr="00C9638F">
        <w:rPr>
          <w:rFonts w:ascii="Arial" w:eastAsia="Calibri" w:hAnsi="Arial" w:cs="Arial"/>
          <w:kern w:val="2"/>
          <w:sz w:val="20"/>
          <w:szCs w:val="20"/>
          <w:lang w:eastAsia="en-US"/>
          <w14:ligatures w14:val="standardContextual"/>
        </w:rPr>
        <w:t>parc</w:t>
      </w:r>
      <w:proofErr w:type="spellEnd"/>
      <w:r w:rsidRPr="00C9638F">
        <w:rPr>
          <w:rFonts w:ascii="Arial" w:eastAsia="Calibri" w:hAnsi="Arial" w:cs="Arial"/>
          <w:kern w:val="2"/>
          <w:sz w:val="20"/>
          <w:szCs w:val="20"/>
          <w:lang w:eastAsia="en-US"/>
          <w14:ligatures w14:val="standardContextual"/>
        </w:rPr>
        <w:t>. št. 231/8, k. o. 1850 – Ježni Vrh, ki ga na zahodu omejujeta daljice PP 1.1 PP 1.2 in poligon točk PP 2.1 - PP 2.2 -PP 2.3* na jugu pa ga omejuje premica skozi PP 7.16 in PP 7.17,</w:t>
      </w:r>
    </w:p>
    <w:p w14:paraId="6234C563" w14:textId="77777777" w:rsidR="00C9638F" w:rsidRPr="00C9638F" w:rsidRDefault="00C9638F" w:rsidP="00C9638F">
      <w:pPr>
        <w:numPr>
          <w:ilvl w:val="0"/>
          <w:numId w:val="2"/>
        </w:numPr>
        <w:suppressAutoHyphens w:val="0"/>
        <w:spacing w:after="160" w:line="256" w:lineRule="auto"/>
        <w:contextualSpacing/>
        <w:jc w:val="both"/>
        <w:rPr>
          <w:rFonts w:ascii="Arial" w:eastAsia="Calibri" w:hAnsi="Arial" w:cs="Arial"/>
          <w:b/>
          <w:bCs/>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 xml:space="preserve">deli zemljišč s </w:t>
      </w:r>
      <w:proofErr w:type="spellStart"/>
      <w:r w:rsidRPr="00C9638F">
        <w:rPr>
          <w:rFonts w:ascii="Arial" w:eastAsia="Calibri" w:hAnsi="Arial" w:cs="Arial"/>
          <w:kern w:val="2"/>
          <w:sz w:val="20"/>
          <w:szCs w:val="20"/>
          <w:lang w:eastAsia="en-US"/>
          <w14:ligatures w14:val="standardContextual"/>
        </w:rPr>
        <w:t>parc</w:t>
      </w:r>
      <w:proofErr w:type="spellEnd"/>
      <w:r w:rsidRPr="00C9638F">
        <w:rPr>
          <w:rFonts w:ascii="Arial" w:eastAsia="Calibri" w:hAnsi="Arial" w:cs="Arial"/>
          <w:kern w:val="2"/>
          <w:sz w:val="20"/>
          <w:szCs w:val="20"/>
          <w:lang w:eastAsia="en-US"/>
          <w14:ligatures w14:val="standardContextual"/>
        </w:rPr>
        <w:t>. št. 245, 248/2 in 249/2, vse k. o. 1850 – Ježni Vrh, ki ležijo vzhodno od daljice PP 3.1 PP 3.2,</w:t>
      </w:r>
    </w:p>
    <w:p w14:paraId="1D8543BA" w14:textId="77777777" w:rsidR="00C9638F" w:rsidRPr="00C9638F" w:rsidRDefault="00C9638F" w:rsidP="00C9638F">
      <w:pPr>
        <w:numPr>
          <w:ilvl w:val="0"/>
          <w:numId w:val="2"/>
        </w:numPr>
        <w:suppressAutoHyphens w:val="0"/>
        <w:spacing w:after="160" w:line="256" w:lineRule="auto"/>
        <w:contextualSpacing/>
        <w:jc w:val="both"/>
        <w:rPr>
          <w:rFonts w:ascii="Arial" w:eastAsia="Calibri" w:hAnsi="Arial" w:cs="Arial"/>
          <w:b/>
          <w:bCs/>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 xml:space="preserve">dela zemljišč s </w:t>
      </w:r>
      <w:proofErr w:type="spellStart"/>
      <w:r w:rsidRPr="00C9638F">
        <w:rPr>
          <w:rFonts w:ascii="Arial" w:eastAsia="Calibri" w:hAnsi="Arial" w:cs="Arial"/>
          <w:kern w:val="2"/>
          <w:sz w:val="20"/>
          <w:szCs w:val="20"/>
          <w:lang w:eastAsia="en-US"/>
          <w14:ligatures w14:val="standardContextual"/>
        </w:rPr>
        <w:t>parc</w:t>
      </w:r>
      <w:proofErr w:type="spellEnd"/>
      <w:r w:rsidRPr="00C9638F">
        <w:rPr>
          <w:rFonts w:ascii="Arial" w:eastAsia="Calibri" w:hAnsi="Arial" w:cs="Arial"/>
          <w:kern w:val="2"/>
          <w:sz w:val="20"/>
          <w:szCs w:val="20"/>
          <w:lang w:eastAsia="en-US"/>
          <w14:ligatures w14:val="standardContextual"/>
        </w:rPr>
        <w:t>. št. 219/5 in 219/4, obe k. o. 1850 – Ježni Vrh, ki ležita hkrati vzhodno od premice skozi PP 3.2 in PP 3.3 in jugozahodno od premice skozi PP 4.1 in PP 4.2 ter dela zemljišč št. 219/5 in 219/4, obe k. o. 1850 – Ježni Vrh, ki ležita vzhodno od premice skozi PP 5.1 in PP 5.2</w:t>
      </w:r>
    </w:p>
    <w:p w14:paraId="1C840B77" w14:textId="77777777" w:rsidR="00C9638F" w:rsidRPr="00C9638F" w:rsidRDefault="00C9638F" w:rsidP="00C9638F">
      <w:pPr>
        <w:numPr>
          <w:ilvl w:val="0"/>
          <w:numId w:val="2"/>
        </w:numPr>
        <w:suppressAutoHyphens w:val="0"/>
        <w:spacing w:after="160" w:line="256" w:lineRule="auto"/>
        <w:contextualSpacing/>
        <w:jc w:val="both"/>
        <w:rPr>
          <w:rFonts w:ascii="Arial" w:eastAsia="Calibri" w:hAnsi="Arial" w:cs="Arial"/>
          <w:b/>
          <w:bCs/>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 xml:space="preserve">dela zemljišč s </w:t>
      </w:r>
      <w:proofErr w:type="spellStart"/>
      <w:r w:rsidRPr="00C9638F">
        <w:rPr>
          <w:rFonts w:ascii="Arial" w:eastAsia="Calibri" w:hAnsi="Arial" w:cs="Arial"/>
          <w:kern w:val="2"/>
          <w:sz w:val="20"/>
          <w:szCs w:val="20"/>
          <w:lang w:eastAsia="en-US"/>
          <w14:ligatures w14:val="standardContextual"/>
        </w:rPr>
        <w:t>parc</w:t>
      </w:r>
      <w:proofErr w:type="spellEnd"/>
      <w:r w:rsidRPr="00C9638F">
        <w:rPr>
          <w:rFonts w:ascii="Arial" w:eastAsia="Calibri" w:hAnsi="Arial" w:cs="Arial"/>
          <w:kern w:val="2"/>
          <w:sz w:val="20"/>
          <w:szCs w:val="20"/>
          <w:lang w:eastAsia="en-US"/>
          <w14:ligatures w14:val="standardContextual"/>
        </w:rPr>
        <w:t>. št. 220/2, k. o. 1850 – Ježni Vrh, en del leži severno od poligona točk PP 6.1*-PP 6.2 – PP 6.3 – PP 6.4, drugi del leži južno od premice skozi PP 7.2 in PP 7.3,</w:t>
      </w:r>
    </w:p>
    <w:p w14:paraId="10B8A65B" w14:textId="77777777" w:rsidR="00C9638F" w:rsidRPr="00C9638F" w:rsidRDefault="00C9638F" w:rsidP="00C9638F">
      <w:pPr>
        <w:numPr>
          <w:ilvl w:val="0"/>
          <w:numId w:val="2"/>
        </w:numPr>
        <w:suppressAutoHyphens w:val="0"/>
        <w:spacing w:after="160" w:line="256" w:lineRule="auto"/>
        <w:contextualSpacing/>
        <w:jc w:val="both"/>
        <w:rPr>
          <w:rFonts w:ascii="Arial" w:eastAsia="Calibri" w:hAnsi="Arial" w:cs="Arial"/>
          <w:b/>
          <w:bCs/>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 xml:space="preserve">dela zemljišč s </w:t>
      </w:r>
      <w:proofErr w:type="spellStart"/>
      <w:r w:rsidRPr="00C9638F">
        <w:rPr>
          <w:rFonts w:ascii="Arial" w:eastAsia="Calibri" w:hAnsi="Arial" w:cs="Arial"/>
          <w:kern w:val="2"/>
          <w:sz w:val="20"/>
          <w:szCs w:val="20"/>
          <w:lang w:eastAsia="en-US"/>
          <w14:ligatures w14:val="standardContextual"/>
        </w:rPr>
        <w:t>parc</w:t>
      </w:r>
      <w:proofErr w:type="spellEnd"/>
      <w:r w:rsidRPr="00C9638F">
        <w:rPr>
          <w:rFonts w:ascii="Arial" w:eastAsia="Calibri" w:hAnsi="Arial" w:cs="Arial"/>
          <w:kern w:val="2"/>
          <w:sz w:val="20"/>
          <w:szCs w:val="20"/>
          <w:lang w:eastAsia="en-US"/>
          <w14:ligatures w14:val="standardContextual"/>
        </w:rPr>
        <w:t>. št. 220/4, k. o. 1850 – Ježni Vrh, en del leži severno od premice skozi PP 6.3 in PP 6.4, drugi del leži južno od premice skozi PP 6.5 in PP 7.1,</w:t>
      </w:r>
    </w:p>
    <w:p w14:paraId="16D2A789" w14:textId="77777777" w:rsidR="00C9638F" w:rsidRPr="00C9638F" w:rsidRDefault="00C9638F" w:rsidP="00C9638F">
      <w:pPr>
        <w:numPr>
          <w:ilvl w:val="0"/>
          <w:numId w:val="2"/>
        </w:numPr>
        <w:suppressAutoHyphens w:val="0"/>
        <w:spacing w:after="160" w:line="256" w:lineRule="auto"/>
        <w:contextualSpacing/>
        <w:jc w:val="both"/>
        <w:rPr>
          <w:rFonts w:ascii="Arial" w:eastAsia="Calibri" w:hAnsi="Arial" w:cs="Arial"/>
          <w:b/>
          <w:bCs/>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 xml:space="preserve">del zemljišča s </w:t>
      </w:r>
      <w:proofErr w:type="spellStart"/>
      <w:r w:rsidRPr="00C9638F">
        <w:rPr>
          <w:rFonts w:ascii="Arial" w:eastAsia="Calibri" w:hAnsi="Arial" w:cs="Arial"/>
          <w:kern w:val="2"/>
          <w:sz w:val="20"/>
          <w:szCs w:val="20"/>
          <w:lang w:eastAsia="en-US"/>
          <w14:ligatures w14:val="standardContextual"/>
        </w:rPr>
        <w:t>parc</w:t>
      </w:r>
      <w:proofErr w:type="spellEnd"/>
      <w:r w:rsidRPr="00C9638F">
        <w:rPr>
          <w:rFonts w:ascii="Arial" w:eastAsia="Calibri" w:hAnsi="Arial" w:cs="Arial"/>
          <w:kern w:val="2"/>
          <w:sz w:val="20"/>
          <w:szCs w:val="20"/>
          <w:lang w:eastAsia="en-US"/>
          <w14:ligatures w14:val="standardContextual"/>
        </w:rPr>
        <w:t>. št. 220/5, k. o. 1850 – Ježni Vrh, ki leži severno od premice skozi PP 6.3 in PP 6.4,</w:t>
      </w:r>
    </w:p>
    <w:p w14:paraId="2A71E845" w14:textId="77777777" w:rsidR="00C9638F" w:rsidRPr="00C9638F" w:rsidRDefault="00C9638F" w:rsidP="00C9638F">
      <w:pPr>
        <w:numPr>
          <w:ilvl w:val="0"/>
          <w:numId w:val="2"/>
        </w:numPr>
        <w:suppressAutoHyphens w:val="0"/>
        <w:spacing w:after="160" w:line="256" w:lineRule="auto"/>
        <w:contextualSpacing/>
        <w:jc w:val="both"/>
        <w:rPr>
          <w:rFonts w:ascii="Arial" w:eastAsia="Calibri" w:hAnsi="Arial" w:cs="Arial"/>
          <w:b/>
          <w:bCs/>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 xml:space="preserve">del zemljišča s </w:t>
      </w:r>
      <w:proofErr w:type="spellStart"/>
      <w:r w:rsidRPr="00C9638F">
        <w:rPr>
          <w:rFonts w:ascii="Arial" w:eastAsia="Calibri" w:hAnsi="Arial" w:cs="Arial"/>
          <w:kern w:val="2"/>
          <w:sz w:val="20"/>
          <w:szCs w:val="20"/>
          <w:lang w:eastAsia="en-US"/>
          <w14:ligatures w14:val="standardContextual"/>
        </w:rPr>
        <w:t>parc</w:t>
      </w:r>
      <w:proofErr w:type="spellEnd"/>
      <w:r w:rsidRPr="00C9638F">
        <w:rPr>
          <w:rFonts w:ascii="Arial" w:eastAsia="Calibri" w:hAnsi="Arial" w:cs="Arial"/>
          <w:kern w:val="2"/>
          <w:sz w:val="20"/>
          <w:szCs w:val="20"/>
          <w:lang w:eastAsia="en-US"/>
          <w14:ligatures w14:val="standardContextual"/>
        </w:rPr>
        <w:t>. št. 221, k. o. 1850 – Ježni Vrh, ki leži južno od premice skozi PP 7.2 in PP 7.3,</w:t>
      </w:r>
    </w:p>
    <w:p w14:paraId="6EE86D10" w14:textId="77777777" w:rsidR="00C9638F" w:rsidRPr="00C9638F" w:rsidRDefault="00C9638F" w:rsidP="00C9638F">
      <w:pPr>
        <w:numPr>
          <w:ilvl w:val="0"/>
          <w:numId w:val="2"/>
        </w:numPr>
        <w:suppressAutoHyphens w:val="0"/>
        <w:spacing w:after="160" w:line="256" w:lineRule="auto"/>
        <w:contextualSpacing/>
        <w:jc w:val="both"/>
        <w:rPr>
          <w:rFonts w:ascii="Arial" w:eastAsia="Calibri" w:hAnsi="Arial" w:cs="Arial"/>
          <w:b/>
          <w:bCs/>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 xml:space="preserve">del zemljišča s </w:t>
      </w:r>
      <w:proofErr w:type="spellStart"/>
      <w:r w:rsidRPr="00C9638F">
        <w:rPr>
          <w:rFonts w:ascii="Arial" w:eastAsia="Calibri" w:hAnsi="Arial" w:cs="Arial"/>
          <w:kern w:val="2"/>
          <w:sz w:val="20"/>
          <w:szCs w:val="20"/>
          <w:lang w:eastAsia="en-US"/>
          <w14:ligatures w14:val="standardContextual"/>
        </w:rPr>
        <w:t>parc</w:t>
      </w:r>
      <w:proofErr w:type="spellEnd"/>
      <w:r w:rsidRPr="00C9638F">
        <w:rPr>
          <w:rFonts w:ascii="Arial" w:eastAsia="Calibri" w:hAnsi="Arial" w:cs="Arial"/>
          <w:kern w:val="2"/>
          <w:sz w:val="20"/>
          <w:szCs w:val="20"/>
          <w:lang w:eastAsia="en-US"/>
          <w14:ligatures w14:val="standardContextual"/>
        </w:rPr>
        <w:t>. št. 391/3, k. o. 1850 – Ježni Vrh, ki leži zahodno od poligona točk PP 7.2–PP – 7.3 – PP 7.4 – PP 7.5 – PP 7.6 – PP 7.7 – PP 7.8 – PP 7.9 – PP 7.10,</w:t>
      </w:r>
    </w:p>
    <w:p w14:paraId="65AD0262" w14:textId="77777777" w:rsidR="00C9638F" w:rsidRPr="00C9638F" w:rsidRDefault="00C9638F" w:rsidP="00C9638F">
      <w:pPr>
        <w:numPr>
          <w:ilvl w:val="0"/>
          <w:numId w:val="2"/>
        </w:numPr>
        <w:suppressAutoHyphens w:val="0"/>
        <w:spacing w:after="160" w:line="256" w:lineRule="auto"/>
        <w:contextualSpacing/>
        <w:jc w:val="both"/>
        <w:rPr>
          <w:rFonts w:ascii="Arial" w:eastAsia="Calibri" w:hAnsi="Arial" w:cs="Arial"/>
          <w:b/>
          <w:bCs/>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 xml:space="preserve">deli zemljišč s </w:t>
      </w:r>
      <w:proofErr w:type="spellStart"/>
      <w:r w:rsidRPr="00C9638F">
        <w:rPr>
          <w:rFonts w:ascii="Arial" w:eastAsia="Calibri" w:hAnsi="Arial" w:cs="Arial"/>
          <w:kern w:val="2"/>
          <w:sz w:val="20"/>
          <w:szCs w:val="20"/>
          <w:lang w:eastAsia="en-US"/>
          <w14:ligatures w14:val="standardContextual"/>
        </w:rPr>
        <w:t>parc</w:t>
      </w:r>
      <w:proofErr w:type="spellEnd"/>
      <w:r w:rsidRPr="00C9638F">
        <w:rPr>
          <w:rFonts w:ascii="Arial" w:eastAsia="Calibri" w:hAnsi="Arial" w:cs="Arial"/>
          <w:kern w:val="2"/>
          <w:sz w:val="20"/>
          <w:szCs w:val="20"/>
          <w:lang w:eastAsia="en-US"/>
          <w14:ligatures w14:val="standardContextual"/>
        </w:rPr>
        <w:t>. št. 227/8, 227/16 in 227/1, vse k. o. 1850 – Ježni Vrh, ki ležijo severozahodno od poligona točk PP 7.9 – PP 7.10 – PP 7.11 – PP 7.12 – PP 7.13 – PP 7.14 – PP 7.15,</w:t>
      </w:r>
    </w:p>
    <w:p w14:paraId="3941684E" w14:textId="77777777" w:rsidR="00C9638F" w:rsidRPr="00C9638F" w:rsidRDefault="00C9638F" w:rsidP="00C9638F">
      <w:pPr>
        <w:numPr>
          <w:ilvl w:val="0"/>
          <w:numId w:val="2"/>
        </w:numPr>
        <w:suppressAutoHyphens w:val="0"/>
        <w:spacing w:after="160" w:line="256" w:lineRule="auto"/>
        <w:contextualSpacing/>
        <w:jc w:val="both"/>
        <w:rPr>
          <w:rFonts w:ascii="Arial" w:eastAsia="Calibri" w:hAnsi="Arial" w:cs="Arial"/>
          <w:b/>
          <w:bCs/>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 xml:space="preserve">del zemljišča s </w:t>
      </w:r>
      <w:proofErr w:type="spellStart"/>
      <w:r w:rsidRPr="00C9638F">
        <w:rPr>
          <w:rFonts w:ascii="Arial" w:eastAsia="Calibri" w:hAnsi="Arial" w:cs="Arial"/>
          <w:kern w:val="2"/>
          <w:sz w:val="20"/>
          <w:szCs w:val="20"/>
          <w:lang w:eastAsia="en-US"/>
          <w14:ligatures w14:val="standardContextual"/>
        </w:rPr>
        <w:t>parc</w:t>
      </w:r>
      <w:proofErr w:type="spellEnd"/>
      <w:r w:rsidRPr="00C9638F">
        <w:rPr>
          <w:rFonts w:ascii="Arial" w:eastAsia="Calibri" w:hAnsi="Arial" w:cs="Arial"/>
          <w:kern w:val="2"/>
          <w:sz w:val="20"/>
          <w:szCs w:val="20"/>
          <w:lang w:eastAsia="en-US"/>
          <w14:ligatures w14:val="standardContextual"/>
        </w:rPr>
        <w:t>. št. 227/18, k. o. 1850 – Ježni Vrh, ki ga na vzhodu in jugu omejuje poligon točk PP 7.14 – PP 7.15 – PP 7.16 – PP 7.17</w:t>
      </w:r>
    </w:p>
    <w:p w14:paraId="1D4B5819" w14:textId="77777777" w:rsidR="00C9638F" w:rsidRPr="00C9638F" w:rsidRDefault="00C9638F" w:rsidP="00C9638F">
      <w:pPr>
        <w:numPr>
          <w:ilvl w:val="0"/>
          <w:numId w:val="2"/>
        </w:numPr>
        <w:suppressAutoHyphens w:val="0"/>
        <w:spacing w:after="160" w:line="256" w:lineRule="auto"/>
        <w:contextualSpacing/>
        <w:jc w:val="both"/>
        <w:rPr>
          <w:rFonts w:ascii="Arial" w:eastAsia="Calibri" w:hAnsi="Arial" w:cs="Arial"/>
          <w:b/>
          <w:bCs/>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 xml:space="preserve">deli zemljišč s </w:t>
      </w:r>
      <w:proofErr w:type="spellStart"/>
      <w:r w:rsidRPr="00C9638F">
        <w:rPr>
          <w:rFonts w:ascii="Arial" w:eastAsia="Calibri" w:hAnsi="Arial" w:cs="Arial"/>
          <w:kern w:val="2"/>
          <w:sz w:val="20"/>
          <w:szCs w:val="20"/>
          <w:lang w:eastAsia="en-US"/>
          <w14:ligatures w14:val="standardContextual"/>
        </w:rPr>
        <w:t>parc</w:t>
      </w:r>
      <w:proofErr w:type="spellEnd"/>
      <w:r w:rsidRPr="00C9638F">
        <w:rPr>
          <w:rFonts w:ascii="Arial" w:eastAsia="Calibri" w:hAnsi="Arial" w:cs="Arial"/>
          <w:kern w:val="2"/>
          <w:sz w:val="20"/>
          <w:szCs w:val="20"/>
          <w:lang w:eastAsia="en-US"/>
          <w14:ligatures w14:val="standardContextual"/>
        </w:rPr>
        <w:t>. št. 839/4, 838/3 in 234/1 k. o. 1850 – Ježni Vrh, ki ležijo severno od premice skozi PP 7.16 in PP 7.17,</w:t>
      </w:r>
    </w:p>
    <w:p w14:paraId="6E7F6FCD" w14:textId="77777777" w:rsidR="00C9638F" w:rsidRPr="00C9638F" w:rsidRDefault="00C9638F" w:rsidP="00C9638F">
      <w:pPr>
        <w:numPr>
          <w:ilvl w:val="0"/>
          <w:numId w:val="2"/>
        </w:numPr>
        <w:suppressAutoHyphens w:val="0"/>
        <w:spacing w:after="160" w:line="256" w:lineRule="auto"/>
        <w:contextualSpacing/>
        <w:jc w:val="both"/>
        <w:rPr>
          <w:rFonts w:ascii="Arial" w:eastAsia="Calibri" w:hAnsi="Arial" w:cs="Arial"/>
          <w:b/>
          <w:bCs/>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 xml:space="preserve">dela zemljišč s </w:t>
      </w:r>
      <w:proofErr w:type="spellStart"/>
      <w:r w:rsidRPr="00C9638F">
        <w:rPr>
          <w:rFonts w:ascii="Arial" w:eastAsia="Calibri" w:hAnsi="Arial" w:cs="Arial"/>
          <w:kern w:val="2"/>
          <w:sz w:val="20"/>
          <w:szCs w:val="20"/>
          <w:lang w:eastAsia="en-US"/>
          <w14:ligatures w14:val="standardContextual"/>
        </w:rPr>
        <w:t>parc</w:t>
      </w:r>
      <w:proofErr w:type="spellEnd"/>
      <w:r w:rsidRPr="00C9638F">
        <w:rPr>
          <w:rFonts w:ascii="Arial" w:eastAsia="Calibri" w:hAnsi="Arial" w:cs="Arial"/>
          <w:kern w:val="2"/>
          <w:sz w:val="20"/>
          <w:szCs w:val="20"/>
          <w:lang w:eastAsia="en-US"/>
          <w14:ligatures w14:val="standardContextual"/>
        </w:rPr>
        <w:t>. št. 233/6 in 233/7, oba k. o. 1850 – Ježni Vrh, ki ležita severno od premice skozi PP 7.17 in PP 7.18</w:t>
      </w:r>
    </w:p>
    <w:p w14:paraId="29F0F892" w14:textId="77777777" w:rsidR="00C9638F" w:rsidRPr="00C9638F" w:rsidRDefault="00C9638F" w:rsidP="00C9638F">
      <w:pPr>
        <w:suppressAutoHyphens w:val="0"/>
        <w:spacing w:after="160" w:line="260" w:lineRule="atLeast"/>
        <w:jc w:val="both"/>
        <w:rPr>
          <w:rFonts w:ascii="Arial" w:eastAsia="Calibri" w:hAnsi="Arial" w:cs="Arial"/>
          <w:b/>
          <w:bCs/>
          <w:kern w:val="2"/>
          <w:sz w:val="20"/>
          <w:szCs w:val="20"/>
          <w:lang w:eastAsia="en-US"/>
          <w14:ligatures w14:val="standardContextual"/>
        </w:rPr>
      </w:pPr>
      <w:r w:rsidRPr="00C9638F">
        <w:rPr>
          <w:rFonts w:ascii="Arial" w:eastAsia="Calibri" w:hAnsi="Arial" w:cs="Arial"/>
          <w:kern w:val="2"/>
          <w:sz w:val="20"/>
          <w:szCs w:val="20"/>
          <w:lang w:eastAsia="sl-SI"/>
          <w14:ligatures w14:val="standardContextual"/>
        </w:rPr>
        <w:t>Koordinate točk so določene s</w:t>
      </w:r>
      <w:r w:rsidRPr="00C9638F">
        <w:rPr>
          <w:rFonts w:ascii="Arial" w:eastAsia="Calibri" w:hAnsi="Arial" w:cs="Arial"/>
          <w:bCs/>
          <w:kern w:val="2"/>
          <w:sz w:val="20"/>
          <w:szCs w:val="20"/>
          <w:lang w:eastAsia="sl-SI"/>
          <w14:ligatures w14:val="standardContextual"/>
        </w:rPr>
        <w:t xml:space="preserve"> točkami v ETRS D96/TM koordinatnem sistemu ali opisno:</w:t>
      </w:r>
    </w:p>
    <w:tbl>
      <w:tblPr>
        <w:tblpPr w:leftFromText="141" w:rightFromText="141" w:bottomFromText="160" w:vertAnchor="text" w:tblpY="1"/>
        <w:tblOverlap w:val="never"/>
        <w:tblW w:w="13569" w:type="dxa"/>
        <w:tblCellMar>
          <w:left w:w="70" w:type="dxa"/>
          <w:right w:w="70" w:type="dxa"/>
        </w:tblCellMar>
        <w:tblLook w:val="04A0" w:firstRow="1" w:lastRow="0" w:firstColumn="1" w:lastColumn="0" w:noHBand="0" w:noVBand="1"/>
      </w:tblPr>
      <w:tblGrid>
        <w:gridCol w:w="1204"/>
        <w:gridCol w:w="3969"/>
        <w:gridCol w:w="4111"/>
        <w:gridCol w:w="4285"/>
      </w:tblGrid>
      <w:tr w:rsidR="00C9638F" w:rsidRPr="00C9638F" w14:paraId="43BAEAEB" w14:textId="77777777" w:rsidTr="00C9638F">
        <w:trPr>
          <w:gridAfter w:val="1"/>
          <w:wAfter w:w="4285" w:type="dxa"/>
          <w:trHeight w:val="300"/>
        </w:trPr>
        <w:tc>
          <w:tcPr>
            <w:tcW w:w="1204" w:type="dxa"/>
            <w:tcBorders>
              <w:top w:val="single" w:sz="4" w:space="0" w:color="auto"/>
              <w:left w:val="single" w:sz="4" w:space="0" w:color="auto"/>
              <w:bottom w:val="single" w:sz="4" w:space="0" w:color="auto"/>
              <w:right w:val="single" w:sz="4" w:space="0" w:color="auto"/>
            </w:tcBorders>
            <w:noWrap/>
            <w:vAlign w:val="center"/>
            <w:hideMark/>
          </w:tcPr>
          <w:p w14:paraId="1C7CBE80" w14:textId="77777777" w:rsidR="00C9638F" w:rsidRPr="00C9638F" w:rsidRDefault="00C9638F" w:rsidP="00C9638F">
            <w:pPr>
              <w:suppressAutoHyphens w:val="0"/>
              <w:spacing w:line="256" w:lineRule="auto"/>
              <w:ind w:left="-130" w:right="-99"/>
              <w:jc w:val="center"/>
              <w:rPr>
                <w:rFonts w:ascii="Arial" w:eastAsia="Calibri" w:hAnsi="Arial" w:cs="Arial"/>
                <w:kern w:val="2"/>
                <w:sz w:val="20"/>
                <w:szCs w:val="20"/>
                <w:lang w:eastAsia="en-US"/>
                <w14:ligatures w14:val="standardContextual"/>
              </w:rPr>
            </w:pPr>
            <w:bookmarkStart w:id="2" w:name="_Hlk156073235"/>
            <w:r w:rsidRPr="00C9638F">
              <w:rPr>
                <w:rFonts w:ascii="Arial" w:eastAsia="Calibri" w:hAnsi="Arial" w:cs="Arial"/>
                <w:kern w:val="2"/>
                <w:sz w:val="20"/>
                <w:szCs w:val="20"/>
                <w:lang w:eastAsia="en-US"/>
                <w14:ligatures w14:val="standardContextual"/>
              </w:rPr>
              <w:t>TOČKA</w:t>
            </w:r>
          </w:p>
        </w:tc>
        <w:tc>
          <w:tcPr>
            <w:tcW w:w="3969" w:type="dxa"/>
            <w:tcBorders>
              <w:top w:val="single" w:sz="4" w:space="0" w:color="auto"/>
              <w:left w:val="nil"/>
              <w:bottom w:val="single" w:sz="4" w:space="0" w:color="auto"/>
              <w:right w:val="single" w:sz="4" w:space="0" w:color="auto"/>
            </w:tcBorders>
            <w:noWrap/>
            <w:vAlign w:val="center"/>
            <w:hideMark/>
          </w:tcPr>
          <w:p w14:paraId="78A4F695"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e</w:t>
            </w:r>
          </w:p>
        </w:tc>
        <w:tc>
          <w:tcPr>
            <w:tcW w:w="4111" w:type="dxa"/>
            <w:tcBorders>
              <w:top w:val="single" w:sz="4" w:space="0" w:color="auto"/>
              <w:left w:val="nil"/>
              <w:bottom w:val="single" w:sz="4" w:space="0" w:color="auto"/>
              <w:right w:val="single" w:sz="4" w:space="0" w:color="auto"/>
            </w:tcBorders>
            <w:noWrap/>
            <w:vAlign w:val="center"/>
            <w:hideMark/>
          </w:tcPr>
          <w:p w14:paraId="6B94BA45"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n</w:t>
            </w:r>
          </w:p>
        </w:tc>
      </w:tr>
      <w:tr w:rsidR="00C9638F" w:rsidRPr="00C9638F" w14:paraId="65C6004C" w14:textId="77777777" w:rsidTr="00C9638F">
        <w:trPr>
          <w:gridAfter w:val="1"/>
          <w:wAfter w:w="4285" w:type="dxa"/>
          <w:trHeight w:val="380"/>
        </w:trPr>
        <w:tc>
          <w:tcPr>
            <w:tcW w:w="1204" w:type="dxa"/>
            <w:tcBorders>
              <w:top w:val="single" w:sz="4" w:space="0" w:color="auto"/>
              <w:left w:val="single" w:sz="4" w:space="0" w:color="auto"/>
              <w:bottom w:val="single" w:sz="4" w:space="0" w:color="auto"/>
              <w:right w:val="single" w:sz="4" w:space="0" w:color="auto"/>
            </w:tcBorders>
            <w:noWrap/>
            <w:vAlign w:val="center"/>
            <w:hideMark/>
          </w:tcPr>
          <w:p w14:paraId="74D30AF7" w14:textId="77777777" w:rsidR="00C9638F" w:rsidRPr="00C9638F" w:rsidRDefault="00C9638F" w:rsidP="00C9638F">
            <w:pPr>
              <w:suppressAutoHyphens w:val="0"/>
              <w:spacing w:line="256" w:lineRule="auto"/>
              <w:ind w:left="-130" w:right="-99"/>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PP 1.1</w:t>
            </w:r>
          </w:p>
        </w:tc>
        <w:tc>
          <w:tcPr>
            <w:tcW w:w="8080" w:type="dxa"/>
            <w:gridSpan w:val="2"/>
            <w:tcBorders>
              <w:top w:val="nil"/>
              <w:left w:val="nil"/>
              <w:bottom w:val="single" w:sz="4" w:space="0" w:color="auto"/>
              <w:right w:val="single" w:sz="4" w:space="0" w:color="auto"/>
            </w:tcBorders>
            <w:noWrap/>
            <w:vAlign w:val="center"/>
            <w:hideMark/>
          </w:tcPr>
          <w:p w14:paraId="5F589E83"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 xml:space="preserve">prvo oglišče na parcelni meji med zemljišči s </w:t>
            </w:r>
            <w:proofErr w:type="spellStart"/>
            <w:r w:rsidRPr="00C9638F">
              <w:rPr>
                <w:rFonts w:ascii="Arial" w:eastAsia="Calibri" w:hAnsi="Arial" w:cs="Arial"/>
                <w:kern w:val="2"/>
                <w:sz w:val="20"/>
                <w:szCs w:val="20"/>
                <w:lang w:eastAsia="en-US"/>
                <w14:ligatures w14:val="standardContextual"/>
              </w:rPr>
              <w:t>parc</w:t>
            </w:r>
            <w:proofErr w:type="spellEnd"/>
            <w:r w:rsidRPr="00C9638F">
              <w:rPr>
                <w:rFonts w:ascii="Arial" w:eastAsia="Calibri" w:hAnsi="Arial" w:cs="Arial"/>
                <w:kern w:val="2"/>
                <w:sz w:val="20"/>
                <w:szCs w:val="20"/>
                <w:lang w:eastAsia="en-US"/>
                <w14:ligatures w14:val="standardContextual"/>
              </w:rPr>
              <w:t xml:space="preserve">. št. 233/5 in 838/1, obe k. o. 1850 – Ježni Vrh, ki leži južno od tromeje zemljišč s </w:t>
            </w:r>
            <w:proofErr w:type="spellStart"/>
            <w:r w:rsidRPr="00C9638F">
              <w:rPr>
                <w:rFonts w:ascii="Arial" w:eastAsia="Calibri" w:hAnsi="Arial" w:cs="Arial"/>
                <w:kern w:val="2"/>
                <w:sz w:val="20"/>
                <w:szCs w:val="20"/>
                <w:lang w:eastAsia="en-US"/>
                <w14:ligatures w14:val="standardContextual"/>
              </w:rPr>
              <w:t>parc</w:t>
            </w:r>
            <w:proofErr w:type="spellEnd"/>
            <w:r w:rsidRPr="00C9638F">
              <w:rPr>
                <w:rFonts w:ascii="Arial" w:eastAsia="Calibri" w:hAnsi="Arial" w:cs="Arial"/>
                <w:kern w:val="2"/>
                <w:sz w:val="20"/>
                <w:szCs w:val="20"/>
                <w:lang w:eastAsia="en-US"/>
                <w14:ligatures w14:val="standardContextual"/>
              </w:rPr>
              <w:t>. št. 231/2, 233/5 in 838/1, vse k. o. 1850 – Ježni Vrh</w:t>
            </w:r>
          </w:p>
        </w:tc>
      </w:tr>
      <w:tr w:rsidR="00C9638F" w:rsidRPr="00C9638F" w14:paraId="2FA3A65D" w14:textId="77777777" w:rsidTr="00C9638F">
        <w:trPr>
          <w:gridAfter w:val="1"/>
          <w:wAfter w:w="4285" w:type="dxa"/>
          <w:trHeight w:val="300"/>
        </w:trPr>
        <w:tc>
          <w:tcPr>
            <w:tcW w:w="1204" w:type="dxa"/>
            <w:tcBorders>
              <w:top w:val="single" w:sz="4" w:space="0" w:color="auto"/>
              <w:left w:val="single" w:sz="4" w:space="0" w:color="auto"/>
              <w:bottom w:val="single" w:sz="4" w:space="0" w:color="auto"/>
              <w:right w:val="single" w:sz="4" w:space="0" w:color="auto"/>
            </w:tcBorders>
            <w:noWrap/>
            <w:vAlign w:val="center"/>
            <w:hideMark/>
          </w:tcPr>
          <w:p w14:paraId="78065559" w14:textId="77777777" w:rsidR="00C9638F" w:rsidRPr="00C9638F" w:rsidRDefault="00C9638F" w:rsidP="00C9638F">
            <w:pPr>
              <w:suppressAutoHyphens w:val="0"/>
              <w:spacing w:line="256" w:lineRule="auto"/>
              <w:ind w:left="-130" w:right="-99"/>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PP 1.2</w:t>
            </w:r>
          </w:p>
        </w:tc>
        <w:tc>
          <w:tcPr>
            <w:tcW w:w="8080" w:type="dxa"/>
            <w:gridSpan w:val="2"/>
            <w:tcBorders>
              <w:top w:val="nil"/>
              <w:left w:val="nil"/>
              <w:bottom w:val="single" w:sz="4" w:space="0" w:color="auto"/>
              <w:right w:val="single" w:sz="4" w:space="0" w:color="auto"/>
            </w:tcBorders>
            <w:noWrap/>
            <w:vAlign w:val="center"/>
            <w:hideMark/>
          </w:tcPr>
          <w:p w14:paraId="26052D32"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skrajno južno oglišče parcele s parcelno številko 232, k. o. 1850 – Ježni Vrh</w:t>
            </w:r>
          </w:p>
        </w:tc>
      </w:tr>
      <w:tr w:rsidR="00C9638F" w:rsidRPr="00C9638F" w14:paraId="4226FBD4" w14:textId="77777777" w:rsidTr="00C9638F">
        <w:trPr>
          <w:gridAfter w:val="1"/>
          <w:wAfter w:w="4285" w:type="dxa"/>
          <w:trHeight w:val="300"/>
        </w:trPr>
        <w:tc>
          <w:tcPr>
            <w:tcW w:w="1204" w:type="dxa"/>
            <w:tcBorders>
              <w:top w:val="nil"/>
              <w:left w:val="single" w:sz="4" w:space="0" w:color="auto"/>
              <w:bottom w:val="single" w:sz="4" w:space="0" w:color="auto"/>
              <w:right w:val="single" w:sz="4" w:space="0" w:color="auto"/>
            </w:tcBorders>
            <w:noWrap/>
            <w:vAlign w:val="center"/>
            <w:hideMark/>
          </w:tcPr>
          <w:p w14:paraId="34321767" w14:textId="77777777" w:rsidR="00C9638F" w:rsidRPr="00C9638F" w:rsidRDefault="00C9638F" w:rsidP="00C9638F">
            <w:pPr>
              <w:suppressAutoHyphens w:val="0"/>
              <w:spacing w:line="256" w:lineRule="auto"/>
              <w:ind w:left="-130" w:right="-99"/>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PP 2.1</w:t>
            </w:r>
          </w:p>
        </w:tc>
        <w:tc>
          <w:tcPr>
            <w:tcW w:w="8080" w:type="dxa"/>
            <w:gridSpan w:val="2"/>
            <w:tcBorders>
              <w:top w:val="nil"/>
              <w:left w:val="nil"/>
              <w:bottom w:val="single" w:sz="4" w:space="0" w:color="auto"/>
              <w:right w:val="single" w:sz="4" w:space="0" w:color="auto"/>
            </w:tcBorders>
            <w:noWrap/>
            <w:vAlign w:val="center"/>
            <w:hideMark/>
          </w:tcPr>
          <w:p w14:paraId="00B88730"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 xml:space="preserve">SV oglišče parcele s </w:t>
            </w:r>
            <w:proofErr w:type="spellStart"/>
            <w:r w:rsidRPr="00C9638F">
              <w:rPr>
                <w:rFonts w:ascii="Arial" w:eastAsia="Calibri" w:hAnsi="Arial" w:cs="Arial"/>
                <w:kern w:val="2"/>
                <w:sz w:val="20"/>
                <w:szCs w:val="20"/>
                <w:lang w:eastAsia="en-US"/>
                <w14:ligatures w14:val="standardContextual"/>
              </w:rPr>
              <w:t>parc</w:t>
            </w:r>
            <w:proofErr w:type="spellEnd"/>
            <w:r w:rsidRPr="00C9638F">
              <w:rPr>
                <w:rFonts w:ascii="Arial" w:eastAsia="Calibri" w:hAnsi="Arial" w:cs="Arial"/>
                <w:kern w:val="2"/>
                <w:sz w:val="20"/>
                <w:szCs w:val="20"/>
                <w:lang w:eastAsia="en-US"/>
                <w14:ligatures w14:val="standardContextual"/>
              </w:rPr>
              <w:t>. št. 232, k. o. 1850 – Ježni Vrh</w:t>
            </w:r>
          </w:p>
        </w:tc>
      </w:tr>
      <w:tr w:rsidR="00C9638F" w:rsidRPr="00C9638F" w14:paraId="34E33F8D" w14:textId="77777777" w:rsidTr="00C9638F">
        <w:trPr>
          <w:gridAfter w:val="1"/>
          <w:wAfter w:w="4285" w:type="dxa"/>
          <w:trHeight w:val="300"/>
        </w:trPr>
        <w:tc>
          <w:tcPr>
            <w:tcW w:w="1204" w:type="dxa"/>
            <w:tcBorders>
              <w:top w:val="nil"/>
              <w:left w:val="single" w:sz="4" w:space="0" w:color="auto"/>
              <w:bottom w:val="single" w:sz="4" w:space="0" w:color="auto"/>
              <w:right w:val="single" w:sz="4" w:space="0" w:color="auto"/>
            </w:tcBorders>
            <w:noWrap/>
            <w:vAlign w:val="center"/>
            <w:hideMark/>
          </w:tcPr>
          <w:p w14:paraId="6C97C11E" w14:textId="77777777" w:rsidR="00C9638F" w:rsidRPr="00C9638F" w:rsidRDefault="00C9638F" w:rsidP="00C9638F">
            <w:pPr>
              <w:suppressAutoHyphens w:val="0"/>
              <w:spacing w:line="256" w:lineRule="auto"/>
              <w:ind w:left="-130" w:right="-99"/>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PP 2.2</w:t>
            </w:r>
          </w:p>
        </w:tc>
        <w:tc>
          <w:tcPr>
            <w:tcW w:w="3969" w:type="dxa"/>
            <w:tcBorders>
              <w:top w:val="nil"/>
              <w:left w:val="nil"/>
              <w:bottom w:val="single" w:sz="4" w:space="0" w:color="auto"/>
              <w:right w:val="single" w:sz="4" w:space="0" w:color="auto"/>
            </w:tcBorders>
            <w:noWrap/>
            <w:vAlign w:val="center"/>
            <w:hideMark/>
          </w:tcPr>
          <w:p w14:paraId="14D87DAF"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491432,00</w:t>
            </w:r>
          </w:p>
        </w:tc>
        <w:tc>
          <w:tcPr>
            <w:tcW w:w="4111" w:type="dxa"/>
            <w:tcBorders>
              <w:top w:val="nil"/>
              <w:left w:val="nil"/>
              <w:bottom w:val="single" w:sz="4" w:space="0" w:color="auto"/>
              <w:right w:val="single" w:sz="4" w:space="0" w:color="auto"/>
            </w:tcBorders>
            <w:noWrap/>
            <w:vAlign w:val="center"/>
            <w:hideMark/>
          </w:tcPr>
          <w:p w14:paraId="505A57B3"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95673,98</w:t>
            </w:r>
          </w:p>
        </w:tc>
      </w:tr>
      <w:tr w:rsidR="00C9638F" w:rsidRPr="00C9638F" w14:paraId="1ACEEAFC" w14:textId="77777777" w:rsidTr="00C9638F">
        <w:trPr>
          <w:gridAfter w:val="1"/>
          <w:wAfter w:w="4285" w:type="dxa"/>
          <w:trHeight w:val="300"/>
        </w:trPr>
        <w:tc>
          <w:tcPr>
            <w:tcW w:w="1204" w:type="dxa"/>
            <w:tcBorders>
              <w:top w:val="nil"/>
              <w:left w:val="single" w:sz="4" w:space="0" w:color="auto"/>
              <w:bottom w:val="single" w:sz="4" w:space="0" w:color="auto"/>
              <w:right w:val="single" w:sz="4" w:space="0" w:color="auto"/>
            </w:tcBorders>
            <w:noWrap/>
            <w:vAlign w:val="center"/>
            <w:hideMark/>
          </w:tcPr>
          <w:p w14:paraId="0D09CFAE" w14:textId="77777777" w:rsidR="00C9638F" w:rsidRPr="00C9638F" w:rsidRDefault="00C9638F" w:rsidP="00C9638F">
            <w:pPr>
              <w:suppressAutoHyphens w:val="0"/>
              <w:spacing w:line="256" w:lineRule="auto"/>
              <w:ind w:left="-130" w:right="-99"/>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PP 2.3</w:t>
            </w:r>
          </w:p>
        </w:tc>
        <w:tc>
          <w:tcPr>
            <w:tcW w:w="3969" w:type="dxa"/>
            <w:tcBorders>
              <w:top w:val="nil"/>
              <w:left w:val="nil"/>
              <w:bottom w:val="single" w:sz="4" w:space="0" w:color="auto"/>
              <w:right w:val="single" w:sz="4" w:space="0" w:color="auto"/>
            </w:tcBorders>
            <w:noWrap/>
            <w:vAlign w:val="center"/>
            <w:hideMark/>
          </w:tcPr>
          <w:p w14:paraId="4C70F651"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491455,83</w:t>
            </w:r>
          </w:p>
        </w:tc>
        <w:tc>
          <w:tcPr>
            <w:tcW w:w="4111" w:type="dxa"/>
            <w:tcBorders>
              <w:top w:val="nil"/>
              <w:left w:val="nil"/>
              <w:bottom w:val="single" w:sz="4" w:space="0" w:color="auto"/>
              <w:right w:val="single" w:sz="4" w:space="0" w:color="auto"/>
            </w:tcBorders>
            <w:noWrap/>
            <w:vAlign w:val="center"/>
            <w:hideMark/>
          </w:tcPr>
          <w:p w14:paraId="24A64C6E"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95705,39</w:t>
            </w:r>
          </w:p>
        </w:tc>
      </w:tr>
      <w:tr w:rsidR="00C9638F" w:rsidRPr="00C9638F" w14:paraId="44F69A27" w14:textId="77777777" w:rsidTr="00C9638F">
        <w:trPr>
          <w:gridAfter w:val="1"/>
          <w:wAfter w:w="4285" w:type="dxa"/>
          <w:trHeight w:val="300"/>
        </w:trPr>
        <w:tc>
          <w:tcPr>
            <w:tcW w:w="1204" w:type="dxa"/>
            <w:tcBorders>
              <w:top w:val="nil"/>
              <w:left w:val="single" w:sz="4" w:space="0" w:color="auto"/>
              <w:bottom w:val="single" w:sz="4" w:space="0" w:color="auto"/>
              <w:right w:val="single" w:sz="4" w:space="0" w:color="auto"/>
            </w:tcBorders>
            <w:noWrap/>
            <w:vAlign w:val="center"/>
            <w:hideMark/>
          </w:tcPr>
          <w:p w14:paraId="0F1982EB" w14:textId="77777777" w:rsidR="00C9638F" w:rsidRPr="00C9638F" w:rsidRDefault="00C9638F" w:rsidP="00C9638F">
            <w:pPr>
              <w:suppressAutoHyphens w:val="0"/>
              <w:spacing w:line="256" w:lineRule="auto"/>
              <w:ind w:left="-130" w:right="-99"/>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PP 2.3*</w:t>
            </w:r>
          </w:p>
        </w:tc>
        <w:tc>
          <w:tcPr>
            <w:tcW w:w="8080" w:type="dxa"/>
            <w:gridSpan w:val="2"/>
            <w:tcBorders>
              <w:top w:val="nil"/>
              <w:left w:val="nil"/>
              <w:bottom w:val="single" w:sz="4" w:space="0" w:color="auto"/>
              <w:right w:val="single" w:sz="4" w:space="0" w:color="auto"/>
            </w:tcBorders>
            <w:noWrap/>
            <w:vAlign w:val="center"/>
            <w:hideMark/>
          </w:tcPr>
          <w:p w14:paraId="60C01BC7"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 xml:space="preserve">leži na presečišču premice skozi PP 2.2 in PP 2.3 ter meje med zemljišči s </w:t>
            </w:r>
            <w:proofErr w:type="spellStart"/>
            <w:r w:rsidRPr="00C9638F">
              <w:rPr>
                <w:rFonts w:ascii="Arial" w:eastAsia="Calibri" w:hAnsi="Arial" w:cs="Arial"/>
                <w:kern w:val="2"/>
                <w:sz w:val="20"/>
                <w:szCs w:val="20"/>
                <w:lang w:eastAsia="en-US"/>
                <w14:ligatures w14:val="standardContextual"/>
              </w:rPr>
              <w:t>parc</w:t>
            </w:r>
            <w:proofErr w:type="spellEnd"/>
            <w:r w:rsidRPr="00C9638F">
              <w:rPr>
                <w:rFonts w:ascii="Arial" w:eastAsia="Calibri" w:hAnsi="Arial" w:cs="Arial"/>
                <w:kern w:val="2"/>
                <w:sz w:val="20"/>
                <w:szCs w:val="20"/>
                <w:lang w:eastAsia="en-US"/>
                <w14:ligatures w14:val="standardContextual"/>
              </w:rPr>
              <w:t>. št. 231/8 in 227/7, obe k. o. 1850 – Ježni Vrh</w:t>
            </w:r>
          </w:p>
        </w:tc>
      </w:tr>
      <w:tr w:rsidR="00C9638F" w:rsidRPr="00C9638F" w14:paraId="299FE736" w14:textId="77777777" w:rsidTr="00C9638F">
        <w:trPr>
          <w:gridAfter w:val="1"/>
          <w:wAfter w:w="4285" w:type="dxa"/>
          <w:trHeight w:val="300"/>
        </w:trPr>
        <w:tc>
          <w:tcPr>
            <w:tcW w:w="1204" w:type="dxa"/>
            <w:tcBorders>
              <w:top w:val="nil"/>
              <w:left w:val="single" w:sz="4" w:space="0" w:color="auto"/>
              <w:bottom w:val="single" w:sz="4" w:space="0" w:color="auto"/>
              <w:right w:val="single" w:sz="4" w:space="0" w:color="auto"/>
            </w:tcBorders>
            <w:noWrap/>
            <w:vAlign w:val="center"/>
            <w:hideMark/>
          </w:tcPr>
          <w:p w14:paraId="4384A37C" w14:textId="77777777" w:rsidR="00C9638F" w:rsidRPr="00C9638F" w:rsidRDefault="00C9638F" w:rsidP="00C9638F">
            <w:pPr>
              <w:suppressAutoHyphens w:val="0"/>
              <w:spacing w:line="256" w:lineRule="auto"/>
              <w:ind w:left="-130" w:right="-99"/>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PP 3.1</w:t>
            </w:r>
          </w:p>
        </w:tc>
        <w:tc>
          <w:tcPr>
            <w:tcW w:w="8080" w:type="dxa"/>
            <w:gridSpan w:val="2"/>
            <w:tcBorders>
              <w:top w:val="nil"/>
              <w:left w:val="nil"/>
              <w:bottom w:val="single" w:sz="4" w:space="0" w:color="auto"/>
              <w:right w:val="single" w:sz="4" w:space="0" w:color="auto"/>
            </w:tcBorders>
            <w:noWrap/>
            <w:vAlign w:val="center"/>
            <w:hideMark/>
          </w:tcPr>
          <w:p w14:paraId="5280934E"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 xml:space="preserve">tromeja zemljišč s </w:t>
            </w:r>
            <w:proofErr w:type="spellStart"/>
            <w:r w:rsidRPr="00C9638F">
              <w:rPr>
                <w:rFonts w:ascii="Arial" w:eastAsia="Calibri" w:hAnsi="Arial" w:cs="Arial"/>
                <w:kern w:val="2"/>
                <w:sz w:val="20"/>
                <w:szCs w:val="20"/>
                <w:lang w:eastAsia="en-US"/>
                <w14:ligatures w14:val="standardContextual"/>
              </w:rPr>
              <w:t>parc</w:t>
            </w:r>
            <w:proofErr w:type="spellEnd"/>
            <w:r w:rsidRPr="00C9638F">
              <w:rPr>
                <w:rFonts w:ascii="Arial" w:eastAsia="Calibri" w:hAnsi="Arial" w:cs="Arial"/>
                <w:kern w:val="2"/>
                <w:sz w:val="20"/>
                <w:szCs w:val="20"/>
                <w:lang w:eastAsia="en-US"/>
                <w14:ligatures w14:val="standardContextual"/>
              </w:rPr>
              <w:t>. št. 241, 243 in 245, vse k. o. 1850 – Ježni Vrh</w:t>
            </w:r>
          </w:p>
        </w:tc>
      </w:tr>
      <w:tr w:rsidR="00C9638F" w:rsidRPr="00C9638F" w14:paraId="48296E83" w14:textId="77777777" w:rsidTr="00C9638F">
        <w:trPr>
          <w:gridAfter w:val="1"/>
          <w:wAfter w:w="4285" w:type="dxa"/>
          <w:trHeight w:val="300"/>
        </w:trPr>
        <w:tc>
          <w:tcPr>
            <w:tcW w:w="1204" w:type="dxa"/>
            <w:tcBorders>
              <w:top w:val="nil"/>
              <w:left w:val="single" w:sz="4" w:space="0" w:color="auto"/>
              <w:bottom w:val="single" w:sz="4" w:space="0" w:color="auto"/>
              <w:right w:val="single" w:sz="4" w:space="0" w:color="auto"/>
            </w:tcBorders>
            <w:noWrap/>
            <w:vAlign w:val="center"/>
            <w:hideMark/>
          </w:tcPr>
          <w:p w14:paraId="7675CE38" w14:textId="77777777" w:rsidR="00C9638F" w:rsidRPr="00C9638F" w:rsidRDefault="00C9638F" w:rsidP="00C9638F">
            <w:pPr>
              <w:suppressAutoHyphens w:val="0"/>
              <w:spacing w:line="256" w:lineRule="auto"/>
              <w:ind w:left="-130" w:right="-99"/>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PP 3.2</w:t>
            </w:r>
          </w:p>
        </w:tc>
        <w:tc>
          <w:tcPr>
            <w:tcW w:w="8080" w:type="dxa"/>
            <w:gridSpan w:val="2"/>
            <w:tcBorders>
              <w:top w:val="nil"/>
              <w:left w:val="nil"/>
              <w:bottom w:val="single" w:sz="4" w:space="0" w:color="auto"/>
              <w:right w:val="single" w:sz="4" w:space="0" w:color="auto"/>
            </w:tcBorders>
            <w:noWrap/>
            <w:vAlign w:val="center"/>
            <w:hideMark/>
          </w:tcPr>
          <w:p w14:paraId="20751EC0"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 xml:space="preserve">tromeja zemljišč s </w:t>
            </w:r>
            <w:proofErr w:type="spellStart"/>
            <w:r w:rsidRPr="00C9638F">
              <w:rPr>
                <w:rFonts w:ascii="Arial" w:eastAsia="Calibri" w:hAnsi="Arial" w:cs="Arial"/>
                <w:kern w:val="2"/>
                <w:sz w:val="20"/>
                <w:szCs w:val="20"/>
                <w:lang w:eastAsia="en-US"/>
                <w14:ligatures w14:val="standardContextual"/>
              </w:rPr>
              <w:t>parc</w:t>
            </w:r>
            <w:proofErr w:type="spellEnd"/>
            <w:r w:rsidRPr="00C9638F">
              <w:rPr>
                <w:rFonts w:ascii="Arial" w:eastAsia="Calibri" w:hAnsi="Arial" w:cs="Arial"/>
                <w:kern w:val="2"/>
                <w:sz w:val="20"/>
                <w:szCs w:val="20"/>
                <w:lang w:eastAsia="en-US"/>
                <w14:ligatures w14:val="standardContextual"/>
              </w:rPr>
              <w:t>. št. 220/6, 219/5 in 249/2, vse k. o. 1850 – Ježni Vrh</w:t>
            </w:r>
          </w:p>
        </w:tc>
      </w:tr>
      <w:tr w:rsidR="00C9638F" w:rsidRPr="00C9638F" w14:paraId="6BD9E231" w14:textId="77777777" w:rsidTr="00C9638F">
        <w:trPr>
          <w:gridAfter w:val="1"/>
          <w:wAfter w:w="4285" w:type="dxa"/>
          <w:trHeight w:val="300"/>
        </w:trPr>
        <w:tc>
          <w:tcPr>
            <w:tcW w:w="1204" w:type="dxa"/>
            <w:tcBorders>
              <w:top w:val="nil"/>
              <w:left w:val="single" w:sz="4" w:space="0" w:color="auto"/>
              <w:bottom w:val="single" w:sz="4" w:space="0" w:color="auto"/>
              <w:right w:val="single" w:sz="4" w:space="0" w:color="auto"/>
            </w:tcBorders>
            <w:noWrap/>
            <w:vAlign w:val="center"/>
            <w:hideMark/>
          </w:tcPr>
          <w:p w14:paraId="78816B5B" w14:textId="77777777" w:rsidR="00C9638F" w:rsidRPr="00C9638F" w:rsidRDefault="00C9638F" w:rsidP="00C9638F">
            <w:pPr>
              <w:suppressAutoHyphens w:val="0"/>
              <w:spacing w:line="256" w:lineRule="auto"/>
              <w:ind w:left="-130" w:right="-99"/>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PP 3.3</w:t>
            </w:r>
          </w:p>
        </w:tc>
        <w:tc>
          <w:tcPr>
            <w:tcW w:w="3969" w:type="dxa"/>
            <w:tcBorders>
              <w:top w:val="nil"/>
              <w:left w:val="nil"/>
              <w:bottom w:val="single" w:sz="4" w:space="0" w:color="auto"/>
              <w:right w:val="single" w:sz="4" w:space="0" w:color="auto"/>
            </w:tcBorders>
            <w:noWrap/>
            <w:vAlign w:val="center"/>
            <w:hideMark/>
          </w:tcPr>
          <w:p w14:paraId="1800851C"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491426,99</w:t>
            </w:r>
          </w:p>
        </w:tc>
        <w:tc>
          <w:tcPr>
            <w:tcW w:w="4111" w:type="dxa"/>
            <w:tcBorders>
              <w:top w:val="nil"/>
              <w:left w:val="nil"/>
              <w:bottom w:val="single" w:sz="4" w:space="0" w:color="auto"/>
              <w:right w:val="single" w:sz="4" w:space="0" w:color="auto"/>
            </w:tcBorders>
            <w:vAlign w:val="center"/>
            <w:hideMark/>
          </w:tcPr>
          <w:p w14:paraId="66FF512C"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95904,94</w:t>
            </w:r>
          </w:p>
        </w:tc>
      </w:tr>
      <w:tr w:rsidR="00C9638F" w:rsidRPr="00C9638F" w14:paraId="7A466374" w14:textId="77777777" w:rsidTr="00C9638F">
        <w:trPr>
          <w:gridAfter w:val="1"/>
          <w:wAfter w:w="4285" w:type="dxa"/>
          <w:trHeight w:val="300"/>
        </w:trPr>
        <w:tc>
          <w:tcPr>
            <w:tcW w:w="1204" w:type="dxa"/>
            <w:tcBorders>
              <w:top w:val="nil"/>
              <w:left w:val="single" w:sz="4" w:space="0" w:color="auto"/>
              <w:bottom w:val="single" w:sz="4" w:space="0" w:color="auto"/>
              <w:right w:val="single" w:sz="4" w:space="0" w:color="auto"/>
            </w:tcBorders>
            <w:noWrap/>
            <w:vAlign w:val="center"/>
            <w:hideMark/>
          </w:tcPr>
          <w:p w14:paraId="20C77082" w14:textId="77777777" w:rsidR="00C9638F" w:rsidRPr="00C9638F" w:rsidRDefault="00C9638F" w:rsidP="00C9638F">
            <w:pPr>
              <w:suppressAutoHyphens w:val="0"/>
              <w:spacing w:line="256" w:lineRule="auto"/>
              <w:ind w:left="-130" w:right="-99"/>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PP 4.1</w:t>
            </w:r>
          </w:p>
        </w:tc>
        <w:tc>
          <w:tcPr>
            <w:tcW w:w="3969" w:type="dxa"/>
            <w:tcBorders>
              <w:top w:val="nil"/>
              <w:left w:val="nil"/>
              <w:bottom w:val="single" w:sz="4" w:space="0" w:color="auto"/>
              <w:right w:val="single" w:sz="4" w:space="0" w:color="auto"/>
            </w:tcBorders>
            <w:noWrap/>
            <w:vAlign w:val="center"/>
            <w:hideMark/>
          </w:tcPr>
          <w:p w14:paraId="1E33E4B3"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491459,04</w:t>
            </w:r>
          </w:p>
        </w:tc>
        <w:tc>
          <w:tcPr>
            <w:tcW w:w="4111" w:type="dxa"/>
            <w:tcBorders>
              <w:top w:val="nil"/>
              <w:left w:val="nil"/>
              <w:bottom w:val="single" w:sz="4" w:space="0" w:color="auto"/>
              <w:right w:val="single" w:sz="4" w:space="0" w:color="auto"/>
            </w:tcBorders>
            <w:noWrap/>
            <w:vAlign w:val="center"/>
            <w:hideMark/>
          </w:tcPr>
          <w:p w14:paraId="47D966B7"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95955,69</w:t>
            </w:r>
          </w:p>
        </w:tc>
      </w:tr>
      <w:tr w:rsidR="00C9638F" w:rsidRPr="00C9638F" w14:paraId="5DD8F40D" w14:textId="77777777" w:rsidTr="00C9638F">
        <w:trPr>
          <w:gridAfter w:val="1"/>
          <w:wAfter w:w="4285" w:type="dxa"/>
          <w:trHeight w:val="300"/>
        </w:trPr>
        <w:tc>
          <w:tcPr>
            <w:tcW w:w="1204" w:type="dxa"/>
            <w:tcBorders>
              <w:top w:val="nil"/>
              <w:left w:val="single" w:sz="4" w:space="0" w:color="auto"/>
              <w:bottom w:val="single" w:sz="4" w:space="0" w:color="auto"/>
              <w:right w:val="single" w:sz="4" w:space="0" w:color="auto"/>
            </w:tcBorders>
            <w:noWrap/>
            <w:vAlign w:val="center"/>
            <w:hideMark/>
          </w:tcPr>
          <w:p w14:paraId="79624555" w14:textId="77777777" w:rsidR="00C9638F" w:rsidRPr="00C9638F" w:rsidRDefault="00C9638F" w:rsidP="00C9638F">
            <w:pPr>
              <w:suppressAutoHyphens w:val="0"/>
              <w:spacing w:line="256" w:lineRule="auto"/>
              <w:ind w:left="-130" w:right="-99"/>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PP 4.2</w:t>
            </w:r>
          </w:p>
        </w:tc>
        <w:tc>
          <w:tcPr>
            <w:tcW w:w="3969" w:type="dxa"/>
            <w:tcBorders>
              <w:top w:val="nil"/>
              <w:left w:val="nil"/>
              <w:bottom w:val="single" w:sz="4" w:space="0" w:color="auto"/>
              <w:right w:val="single" w:sz="4" w:space="0" w:color="auto"/>
            </w:tcBorders>
            <w:noWrap/>
            <w:vAlign w:val="center"/>
            <w:hideMark/>
          </w:tcPr>
          <w:p w14:paraId="4A0AD92C"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491534,12</w:t>
            </w:r>
          </w:p>
        </w:tc>
        <w:tc>
          <w:tcPr>
            <w:tcW w:w="4111" w:type="dxa"/>
            <w:tcBorders>
              <w:top w:val="nil"/>
              <w:left w:val="nil"/>
              <w:bottom w:val="single" w:sz="4" w:space="0" w:color="auto"/>
              <w:right w:val="single" w:sz="4" w:space="0" w:color="auto"/>
            </w:tcBorders>
            <w:noWrap/>
            <w:vAlign w:val="center"/>
            <w:hideMark/>
          </w:tcPr>
          <w:p w14:paraId="1D3A3A3D"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95905,03</w:t>
            </w:r>
          </w:p>
        </w:tc>
      </w:tr>
      <w:tr w:rsidR="00C9638F" w:rsidRPr="00C9638F" w14:paraId="6BA0920F" w14:textId="77777777" w:rsidTr="00C9638F">
        <w:trPr>
          <w:gridAfter w:val="1"/>
          <w:wAfter w:w="4285" w:type="dxa"/>
          <w:trHeight w:val="300"/>
        </w:trPr>
        <w:tc>
          <w:tcPr>
            <w:tcW w:w="1204" w:type="dxa"/>
            <w:tcBorders>
              <w:top w:val="single" w:sz="4" w:space="0" w:color="auto"/>
              <w:left w:val="single" w:sz="4" w:space="0" w:color="auto"/>
              <w:bottom w:val="single" w:sz="4" w:space="0" w:color="auto"/>
              <w:right w:val="single" w:sz="4" w:space="0" w:color="auto"/>
            </w:tcBorders>
            <w:noWrap/>
            <w:vAlign w:val="center"/>
            <w:hideMark/>
          </w:tcPr>
          <w:p w14:paraId="671771E9"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lastRenderedPageBreak/>
              <w:t>PP 5.1</w:t>
            </w:r>
          </w:p>
        </w:tc>
        <w:tc>
          <w:tcPr>
            <w:tcW w:w="3969" w:type="dxa"/>
            <w:tcBorders>
              <w:top w:val="single" w:sz="4" w:space="0" w:color="auto"/>
              <w:left w:val="nil"/>
              <w:bottom w:val="single" w:sz="4" w:space="0" w:color="auto"/>
              <w:right w:val="single" w:sz="4" w:space="0" w:color="auto"/>
            </w:tcBorders>
            <w:noWrap/>
            <w:vAlign w:val="center"/>
            <w:hideMark/>
          </w:tcPr>
          <w:p w14:paraId="0979D3A9"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491600,96</w:t>
            </w:r>
          </w:p>
        </w:tc>
        <w:tc>
          <w:tcPr>
            <w:tcW w:w="4111" w:type="dxa"/>
            <w:tcBorders>
              <w:top w:val="single" w:sz="4" w:space="0" w:color="auto"/>
              <w:left w:val="nil"/>
              <w:bottom w:val="single" w:sz="4" w:space="0" w:color="auto"/>
              <w:right w:val="single" w:sz="4" w:space="0" w:color="auto"/>
            </w:tcBorders>
            <w:noWrap/>
            <w:vAlign w:val="center"/>
            <w:hideMark/>
          </w:tcPr>
          <w:p w14:paraId="21B9AFF8"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95926,19</w:t>
            </w:r>
          </w:p>
        </w:tc>
      </w:tr>
      <w:tr w:rsidR="00C9638F" w:rsidRPr="00C9638F" w14:paraId="17F96BBA" w14:textId="77777777" w:rsidTr="00C9638F">
        <w:trPr>
          <w:gridAfter w:val="1"/>
          <w:wAfter w:w="4285" w:type="dxa"/>
          <w:trHeight w:val="300"/>
        </w:trPr>
        <w:tc>
          <w:tcPr>
            <w:tcW w:w="1204" w:type="dxa"/>
            <w:tcBorders>
              <w:top w:val="single" w:sz="4" w:space="0" w:color="auto"/>
              <w:left w:val="single" w:sz="4" w:space="0" w:color="auto"/>
              <w:bottom w:val="single" w:sz="4" w:space="0" w:color="auto"/>
              <w:right w:val="single" w:sz="4" w:space="0" w:color="auto"/>
            </w:tcBorders>
            <w:noWrap/>
            <w:vAlign w:val="center"/>
            <w:hideMark/>
          </w:tcPr>
          <w:p w14:paraId="0A1048E8"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PP 5.2</w:t>
            </w:r>
          </w:p>
        </w:tc>
        <w:tc>
          <w:tcPr>
            <w:tcW w:w="3969" w:type="dxa"/>
            <w:tcBorders>
              <w:top w:val="single" w:sz="4" w:space="0" w:color="auto"/>
              <w:left w:val="nil"/>
              <w:bottom w:val="single" w:sz="4" w:space="0" w:color="auto"/>
              <w:right w:val="single" w:sz="4" w:space="0" w:color="auto"/>
            </w:tcBorders>
            <w:noWrap/>
            <w:vAlign w:val="center"/>
            <w:hideMark/>
          </w:tcPr>
          <w:p w14:paraId="2DC99EB6"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491532,30</w:t>
            </w:r>
          </w:p>
        </w:tc>
        <w:tc>
          <w:tcPr>
            <w:tcW w:w="4111" w:type="dxa"/>
            <w:tcBorders>
              <w:top w:val="single" w:sz="4" w:space="0" w:color="auto"/>
              <w:left w:val="nil"/>
              <w:bottom w:val="single" w:sz="4" w:space="0" w:color="auto"/>
              <w:right w:val="single" w:sz="4" w:space="0" w:color="auto"/>
            </w:tcBorders>
            <w:noWrap/>
            <w:vAlign w:val="center"/>
            <w:hideMark/>
          </w:tcPr>
          <w:p w14:paraId="2ADA68F6"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95972,52</w:t>
            </w:r>
          </w:p>
        </w:tc>
      </w:tr>
      <w:tr w:rsidR="00C9638F" w:rsidRPr="00C9638F" w14:paraId="52F8C007" w14:textId="77777777" w:rsidTr="00C9638F">
        <w:trPr>
          <w:gridAfter w:val="1"/>
          <w:wAfter w:w="4285" w:type="dxa"/>
          <w:trHeight w:val="300"/>
        </w:trPr>
        <w:tc>
          <w:tcPr>
            <w:tcW w:w="1204" w:type="dxa"/>
            <w:tcBorders>
              <w:top w:val="single" w:sz="4" w:space="0" w:color="auto"/>
              <w:left w:val="single" w:sz="4" w:space="0" w:color="auto"/>
              <w:bottom w:val="single" w:sz="4" w:space="0" w:color="auto"/>
              <w:right w:val="single" w:sz="4" w:space="0" w:color="auto"/>
            </w:tcBorders>
            <w:noWrap/>
            <w:vAlign w:val="center"/>
            <w:hideMark/>
          </w:tcPr>
          <w:p w14:paraId="56A6878D"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PP 6.1</w:t>
            </w:r>
          </w:p>
        </w:tc>
        <w:tc>
          <w:tcPr>
            <w:tcW w:w="3969" w:type="dxa"/>
            <w:tcBorders>
              <w:top w:val="single" w:sz="4" w:space="0" w:color="auto"/>
              <w:left w:val="nil"/>
              <w:bottom w:val="single" w:sz="4" w:space="0" w:color="auto"/>
              <w:right w:val="single" w:sz="4" w:space="0" w:color="auto"/>
            </w:tcBorders>
            <w:noWrap/>
            <w:vAlign w:val="center"/>
            <w:hideMark/>
          </w:tcPr>
          <w:p w14:paraId="4DAB02EA"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491803,26</w:t>
            </w:r>
          </w:p>
        </w:tc>
        <w:tc>
          <w:tcPr>
            <w:tcW w:w="4111" w:type="dxa"/>
            <w:tcBorders>
              <w:top w:val="single" w:sz="4" w:space="0" w:color="auto"/>
              <w:left w:val="nil"/>
              <w:bottom w:val="single" w:sz="4" w:space="0" w:color="auto"/>
              <w:right w:val="single" w:sz="4" w:space="0" w:color="auto"/>
            </w:tcBorders>
            <w:noWrap/>
            <w:vAlign w:val="center"/>
            <w:hideMark/>
          </w:tcPr>
          <w:p w14:paraId="349BAAEB"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95783,76</w:t>
            </w:r>
          </w:p>
        </w:tc>
      </w:tr>
      <w:tr w:rsidR="00C9638F" w:rsidRPr="00C9638F" w14:paraId="2B3D57C0" w14:textId="77777777" w:rsidTr="00C9638F">
        <w:trPr>
          <w:gridAfter w:val="1"/>
          <w:wAfter w:w="4285" w:type="dxa"/>
          <w:trHeight w:val="300"/>
        </w:trPr>
        <w:tc>
          <w:tcPr>
            <w:tcW w:w="1204" w:type="dxa"/>
            <w:tcBorders>
              <w:top w:val="single" w:sz="4" w:space="0" w:color="auto"/>
              <w:left w:val="single" w:sz="4" w:space="0" w:color="auto"/>
              <w:bottom w:val="single" w:sz="4" w:space="0" w:color="auto"/>
              <w:right w:val="single" w:sz="4" w:space="0" w:color="auto"/>
            </w:tcBorders>
            <w:noWrap/>
            <w:vAlign w:val="center"/>
            <w:hideMark/>
          </w:tcPr>
          <w:p w14:paraId="2BEBB166"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PP 6.1*</w:t>
            </w:r>
          </w:p>
        </w:tc>
        <w:tc>
          <w:tcPr>
            <w:tcW w:w="8080" w:type="dxa"/>
            <w:gridSpan w:val="2"/>
            <w:tcBorders>
              <w:top w:val="single" w:sz="4" w:space="0" w:color="auto"/>
              <w:left w:val="nil"/>
              <w:bottom w:val="single" w:sz="4" w:space="0" w:color="auto"/>
              <w:right w:val="single" w:sz="4" w:space="0" w:color="auto"/>
            </w:tcBorders>
            <w:noWrap/>
            <w:vAlign w:val="center"/>
            <w:hideMark/>
          </w:tcPr>
          <w:p w14:paraId="0C015C44"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 xml:space="preserve">leži na presečišču premice skozi PP 6.1 in PP 6.2 ter meje med zemljišči s </w:t>
            </w:r>
            <w:proofErr w:type="spellStart"/>
            <w:r w:rsidRPr="00C9638F">
              <w:rPr>
                <w:rFonts w:ascii="Arial" w:eastAsia="Calibri" w:hAnsi="Arial" w:cs="Arial"/>
                <w:kern w:val="2"/>
                <w:sz w:val="20"/>
                <w:szCs w:val="20"/>
                <w:lang w:eastAsia="en-US"/>
                <w14:ligatures w14:val="standardContextual"/>
              </w:rPr>
              <w:t>parc</w:t>
            </w:r>
            <w:proofErr w:type="spellEnd"/>
            <w:r w:rsidRPr="00C9638F">
              <w:rPr>
                <w:rFonts w:ascii="Arial" w:eastAsia="Calibri" w:hAnsi="Arial" w:cs="Arial"/>
                <w:kern w:val="2"/>
                <w:sz w:val="20"/>
                <w:szCs w:val="20"/>
                <w:lang w:eastAsia="en-US"/>
                <w14:ligatures w14:val="standardContextual"/>
              </w:rPr>
              <w:t>. št. 220/2 in 391/3, obe k. o. 1850 – Ježni Vrh</w:t>
            </w:r>
          </w:p>
        </w:tc>
      </w:tr>
      <w:tr w:rsidR="00C9638F" w:rsidRPr="00C9638F" w14:paraId="22DFFE44" w14:textId="77777777" w:rsidTr="00C9638F">
        <w:trPr>
          <w:gridAfter w:val="1"/>
          <w:wAfter w:w="4285" w:type="dxa"/>
          <w:trHeight w:val="300"/>
        </w:trPr>
        <w:tc>
          <w:tcPr>
            <w:tcW w:w="1204" w:type="dxa"/>
            <w:tcBorders>
              <w:top w:val="single" w:sz="4" w:space="0" w:color="auto"/>
              <w:left w:val="single" w:sz="4" w:space="0" w:color="auto"/>
              <w:bottom w:val="single" w:sz="4" w:space="0" w:color="auto"/>
              <w:right w:val="single" w:sz="4" w:space="0" w:color="auto"/>
            </w:tcBorders>
            <w:noWrap/>
            <w:vAlign w:val="center"/>
            <w:hideMark/>
          </w:tcPr>
          <w:p w14:paraId="6B5C1952"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PP 6.2</w:t>
            </w:r>
          </w:p>
        </w:tc>
        <w:tc>
          <w:tcPr>
            <w:tcW w:w="3969" w:type="dxa"/>
            <w:tcBorders>
              <w:top w:val="single" w:sz="4" w:space="0" w:color="auto"/>
              <w:left w:val="nil"/>
              <w:bottom w:val="single" w:sz="4" w:space="0" w:color="auto"/>
              <w:right w:val="single" w:sz="4" w:space="0" w:color="auto"/>
            </w:tcBorders>
            <w:noWrap/>
            <w:vAlign w:val="center"/>
            <w:hideMark/>
          </w:tcPr>
          <w:p w14:paraId="47443DF3"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491764,73</w:t>
            </w:r>
          </w:p>
        </w:tc>
        <w:tc>
          <w:tcPr>
            <w:tcW w:w="4111" w:type="dxa"/>
            <w:tcBorders>
              <w:top w:val="single" w:sz="4" w:space="0" w:color="auto"/>
              <w:left w:val="nil"/>
              <w:bottom w:val="single" w:sz="4" w:space="0" w:color="auto"/>
              <w:right w:val="single" w:sz="4" w:space="0" w:color="auto"/>
            </w:tcBorders>
            <w:vAlign w:val="center"/>
            <w:hideMark/>
          </w:tcPr>
          <w:p w14:paraId="20096121"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95809,76</w:t>
            </w:r>
          </w:p>
        </w:tc>
      </w:tr>
      <w:tr w:rsidR="00C9638F" w:rsidRPr="00C9638F" w14:paraId="7AB230BF" w14:textId="77777777" w:rsidTr="00C9638F">
        <w:trPr>
          <w:gridAfter w:val="1"/>
          <w:wAfter w:w="4285" w:type="dxa"/>
          <w:trHeight w:val="300"/>
        </w:trPr>
        <w:tc>
          <w:tcPr>
            <w:tcW w:w="1204" w:type="dxa"/>
            <w:tcBorders>
              <w:top w:val="single" w:sz="4" w:space="0" w:color="auto"/>
              <w:left w:val="single" w:sz="4" w:space="0" w:color="auto"/>
              <w:bottom w:val="single" w:sz="4" w:space="0" w:color="auto"/>
              <w:right w:val="single" w:sz="4" w:space="0" w:color="auto"/>
            </w:tcBorders>
            <w:noWrap/>
            <w:vAlign w:val="center"/>
            <w:hideMark/>
          </w:tcPr>
          <w:p w14:paraId="062A30ED"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PP 6.3</w:t>
            </w:r>
          </w:p>
        </w:tc>
        <w:tc>
          <w:tcPr>
            <w:tcW w:w="3969" w:type="dxa"/>
            <w:tcBorders>
              <w:top w:val="single" w:sz="4" w:space="0" w:color="auto"/>
              <w:left w:val="nil"/>
              <w:bottom w:val="single" w:sz="4" w:space="0" w:color="auto"/>
              <w:right w:val="single" w:sz="4" w:space="0" w:color="auto"/>
            </w:tcBorders>
            <w:noWrap/>
            <w:vAlign w:val="center"/>
            <w:hideMark/>
          </w:tcPr>
          <w:p w14:paraId="1BA3ACBF"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491764,32</w:t>
            </w:r>
          </w:p>
        </w:tc>
        <w:tc>
          <w:tcPr>
            <w:tcW w:w="4111" w:type="dxa"/>
            <w:tcBorders>
              <w:top w:val="single" w:sz="4" w:space="0" w:color="auto"/>
              <w:left w:val="nil"/>
              <w:bottom w:val="single" w:sz="4" w:space="0" w:color="auto"/>
              <w:right w:val="single" w:sz="4" w:space="0" w:color="auto"/>
            </w:tcBorders>
            <w:vAlign w:val="center"/>
            <w:hideMark/>
          </w:tcPr>
          <w:p w14:paraId="7126DB26"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95815,98</w:t>
            </w:r>
          </w:p>
        </w:tc>
      </w:tr>
      <w:tr w:rsidR="00C9638F" w:rsidRPr="00C9638F" w14:paraId="2BCBAA8E" w14:textId="77777777" w:rsidTr="00C9638F">
        <w:trPr>
          <w:gridAfter w:val="1"/>
          <w:wAfter w:w="4285" w:type="dxa"/>
          <w:trHeight w:val="300"/>
        </w:trPr>
        <w:tc>
          <w:tcPr>
            <w:tcW w:w="1204" w:type="dxa"/>
            <w:tcBorders>
              <w:top w:val="single" w:sz="4" w:space="0" w:color="auto"/>
              <w:left w:val="single" w:sz="4" w:space="0" w:color="auto"/>
              <w:bottom w:val="single" w:sz="4" w:space="0" w:color="auto"/>
              <w:right w:val="single" w:sz="4" w:space="0" w:color="auto"/>
            </w:tcBorders>
            <w:noWrap/>
            <w:vAlign w:val="center"/>
            <w:hideMark/>
          </w:tcPr>
          <w:p w14:paraId="2104F79D"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PP 6.4</w:t>
            </w:r>
          </w:p>
        </w:tc>
        <w:tc>
          <w:tcPr>
            <w:tcW w:w="3969" w:type="dxa"/>
            <w:tcBorders>
              <w:top w:val="single" w:sz="4" w:space="0" w:color="auto"/>
              <w:left w:val="nil"/>
              <w:bottom w:val="single" w:sz="4" w:space="0" w:color="auto"/>
              <w:right w:val="single" w:sz="4" w:space="0" w:color="auto"/>
            </w:tcBorders>
            <w:noWrap/>
            <w:vAlign w:val="center"/>
            <w:hideMark/>
          </w:tcPr>
          <w:p w14:paraId="569C0EFC"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491702,33</w:t>
            </w:r>
          </w:p>
        </w:tc>
        <w:tc>
          <w:tcPr>
            <w:tcW w:w="4111" w:type="dxa"/>
            <w:tcBorders>
              <w:top w:val="single" w:sz="4" w:space="0" w:color="auto"/>
              <w:left w:val="nil"/>
              <w:bottom w:val="single" w:sz="4" w:space="0" w:color="auto"/>
              <w:right w:val="single" w:sz="4" w:space="0" w:color="auto"/>
            </w:tcBorders>
            <w:vAlign w:val="center"/>
            <w:hideMark/>
          </w:tcPr>
          <w:p w14:paraId="3BF7C84B"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95857,80</w:t>
            </w:r>
          </w:p>
        </w:tc>
      </w:tr>
      <w:tr w:rsidR="00C9638F" w:rsidRPr="00C9638F" w14:paraId="5DE54F78" w14:textId="77777777" w:rsidTr="00C9638F">
        <w:trPr>
          <w:gridAfter w:val="1"/>
          <w:wAfter w:w="4285" w:type="dxa"/>
          <w:trHeight w:val="300"/>
        </w:trPr>
        <w:tc>
          <w:tcPr>
            <w:tcW w:w="1204" w:type="dxa"/>
            <w:tcBorders>
              <w:top w:val="single" w:sz="4" w:space="0" w:color="auto"/>
              <w:left w:val="single" w:sz="4" w:space="0" w:color="auto"/>
              <w:bottom w:val="single" w:sz="4" w:space="0" w:color="auto"/>
              <w:right w:val="single" w:sz="4" w:space="0" w:color="auto"/>
            </w:tcBorders>
            <w:noWrap/>
            <w:vAlign w:val="center"/>
            <w:hideMark/>
          </w:tcPr>
          <w:p w14:paraId="3F5AE41A"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PP 6.5</w:t>
            </w:r>
          </w:p>
        </w:tc>
        <w:tc>
          <w:tcPr>
            <w:tcW w:w="8080" w:type="dxa"/>
            <w:gridSpan w:val="2"/>
            <w:tcBorders>
              <w:top w:val="single" w:sz="4" w:space="0" w:color="auto"/>
              <w:left w:val="nil"/>
              <w:bottom w:val="single" w:sz="4" w:space="0" w:color="auto"/>
              <w:right w:val="single" w:sz="4" w:space="0" w:color="auto"/>
            </w:tcBorders>
            <w:noWrap/>
            <w:vAlign w:val="center"/>
            <w:hideMark/>
          </w:tcPr>
          <w:p w14:paraId="1CED7D1C"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 xml:space="preserve">leži na tromeji zemljišč s </w:t>
            </w:r>
            <w:proofErr w:type="spellStart"/>
            <w:r w:rsidRPr="00C9638F">
              <w:rPr>
                <w:rFonts w:ascii="Arial" w:eastAsia="Calibri" w:hAnsi="Arial" w:cs="Arial"/>
                <w:kern w:val="2"/>
                <w:sz w:val="20"/>
                <w:szCs w:val="20"/>
                <w:lang w:eastAsia="en-US"/>
                <w14:ligatures w14:val="standardContextual"/>
              </w:rPr>
              <w:t>parc</w:t>
            </w:r>
            <w:proofErr w:type="spellEnd"/>
            <w:r w:rsidRPr="00C9638F">
              <w:rPr>
                <w:rFonts w:ascii="Arial" w:eastAsia="Calibri" w:hAnsi="Arial" w:cs="Arial"/>
                <w:kern w:val="2"/>
                <w:sz w:val="20"/>
                <w:szCs w:val="20"/>
                <w:lang w:eastAsia="en-US"/>
                <w14:ligatures w14:val="standardContextual"/>
              </w:rPr>
              <w:t>. št. 220/5, 220/6 in 220/4, vse k. o. 1850 – Ježni Vrh</w:t>
            </w:r>
          </w:p>
        </w:tc>
      </w:tr>
      <w:tr w:rsidR="00C9638F" w:rsidRPr="00C9638F" w14:paraId="1032E713" w14:textId="77777777" w:rsidTr="00C9638F">
        <w:trPr>
          <w:gridAfter w:val="1"/>
          <w:wAfter w:w="4285" w:type="dxa"/>
          <w:trHeight w:val="300"/>
        </w:trPr>
        <w:tc>
          <w:tcPr>
            <w:tcW w:w="1204" w:type="dxa"/>
            <w:tcBorders>
              <w:top w:val="single" w:sz="4" w:space="0" w:color="auto"/>
              <w:left w:val="single" w:sz="4" w:space="0" w:color="auto"/>
              <w:bottom w:val="single" w:sz="4" w:space="0" w:color="auto"/>
              <w:right w:val="single" w:sz="4" w:space="0" w:color="auto"/>
            </w:tcBorders>
            <w:noWrap/>
            <w:vAlign w:val="center"/>
            <w:hideMark/>
          </w:tcPr>
          <w:p w14:paraId="4126A68E"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PP 7.1</w:t>
            </w:r>
          </w:p>
        </w:tc>
        <w:tc>
          <w:tcPr>
            <w:tcW w:w="8080" w:type="dxa"/>
            <w:gridSpan w:val="2"/>
            <w:tcBorders>
              <w:top w:val="single" w:sz="4" w:space="0" w:color="auto"/>
              <w:left w:val="nil"/>
              <w:bottom w:val="single" w:sz="4" w:space="0" w:color="auto"/>
              <w:right w:val="single" w:sz="4" w:space="0" w:color="auto"/>
            </w:tcBorders>
            <w:noWrap/>
            <w:vAlign w:val="center"/>
            <w:hideMark/>
          </w:tcPr>
          <w:p w14:paraId="02D06803"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 xml:space="preserve">tromeja zemljišč s </w:t>
            </w:r>
            <w:proofErr w:type="spellStart"/>
            <w:r w:rsidRPr="00C9638F">
              <w:rPr>
                <w:rFonts w:ascii="Arial" w:eastAsia="Calibri" w:hAnsi="Arial" w:cs="Arial"/>
                <w:kern w:val="2"/>
                <w:sz w:val="20"/>
                <w:szCs w:val="20"/>
                <w:lang w:eastAsia="en-US"/>
                <w14:ligatures w14:val="standardContextual"/>
              </w:rPr>
              <w:t>parc</w:t>
            </w:r>
            <w:proofErr w:type="spellEnd"/>
            <w:r w:rsidRPr="00C9638F">
              <w:rPr>
                <w:rFonts w:ascii="Arial" w:eastAsia="Calibri" w:hAnsi="Arial" w:cs="Arial"/>
                <w:kern w:val="2"/>
                <w:sz w:val="20"/>
                <w:szCs w:val="20"/>
                <w:lang w:eastAsia="en-US"/>
                <w14:ligatures w14:val="standardContextual"/>
              </w:rPr>
              <w:t>. št. 220/4, 221 in 220/2, vse k. o. 1850 – Ježni Vrh</w:t>
            </w:r>
          </w:p>
        </w:tc>
      </w:tr>
      <w:tr w:rsidR="00C9638F" w:rsidRPr="00C9638F" w14:paraId="3222459D" w14:textId="77777777" w:rsidTr="00C9638F">
        <w:trPr>
          <w:gridAfter w:val="1"/>
          <w:wAfter w:w="4285" w:type="dxa"/>
          <w:trHeight w:val="300"/>
        </w:trPr>
        <w:tc>
          <w:tcPr>
            <w:tcW w:w="1204" w:type="dxa"/>
            <w:tcBorders>
              <w:top w:val="single" w:sz="4" w:space="0" w:color="auto"/>
              <w:left w:val="single" w:sz="4" w:space="0" w:color="auto"/>
              <w:bottom w:val="single" w:sz="4" w:space="0" w:color="auto"/>
              <w:right w:val="single" w:sz="4" w:space="0" w:color="auto"/>
            </w:tcBorders>
            <w:noWrap/>
            <w:vAlign w:val="center"/>
            <w:hideMark/>
          </w:tcPr>
          <w:p w14:paraId="0BD78F49"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PP 7.2</w:t>
            </w:r>
          </w:p>
        </w:tc>
        <w:tc>
          <w:tcPr>
            <w:tcW w:w="3969" w:type="dxa"/>
            <w:tcBorders>
              <w:top w:val="single" w:sz="4" w:space="0" w:color="auto"/>
              <w:left w:val="nil"/>
              <w:bottom w:val="single" w:sz="4" w:space="0" w:color="auto"/>
              <w:right w:val="single" w:sz="4" w:space="0" w:color="auto"/>
            </w:tcBorders>
            <w:noWrap/>
            <w:vAlign w:val="center"/>
            <w:hideMark/>
          </w:tcPr>
          <w:p w14:paraId="67A0A3A8"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491726,96</w:t>
            </w:r>
          </w:p>
        </w:tc>
        <w:tc>
          <w:tcPr>
            <w:tcW w:w="4111" w:type="dxa"/>
            <w:tcBorders>
              <w:top w:val="single" w:sz="4" w:space="0" w:color="auto"/>
              <w:left w:val="nil"/>
              <w:bottom w:val="single" w:sz="4" w:space="0" w:color="auto"/>
              <w:right w:val="single" w:sz="4" w:space="0" w:color="auto"/>
            </w:tcBorders>
            <w:vAlign w:val="center"/>
            <w:hideMark/>
          </w:tcPr>
          <w:p w14:paraId="18B35075"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95774,93</w:t>
            </w:r>
          </w:p>
        </w:tc>
      </w:tr>
      <w:tr w:rsidR="00C9638F" w:rsidRPr="00C9638F" w14:paraId="2C5ED154" w14:textId="77777777" w:rsidTr="00C9638F">
        <w:trPr>
          <w:gridAfter w:val="1"/>
          <w:wAfter w:w="4285" w:type="dxa"/>
          <w:trHeight w:val="300"/>
        </w:trPr>
        <w:tc>
          <w:tcPr>
            <w:tcW w:w="1204" w:type="dxa"/>
            <w:tcBorders>
              <w:top w:val="single" w:sz="4" w:space="0" w:color="auto"/>
              <w:left w:val="single" w:sz="4" w:space="0" w:color="auto"/>
              <w:bottom w:val="single" w:sz="4" w:space="0" w:color="auto"/>
              <w:right w:val="single" w:sz="4" w:space="0" w:color="auto"/>
            </w:tcBorders>
            <w:noWrap/>
            <w:vAlign w:val="center"/>
            <w:hideMark/>
          </w:tcPr>
          <w:p w14:paraId="67D558D9"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PP 7.3</w:t>
            </w:r>
          </w:p>
        </w:tc>
        <w:tc>
          <w:tcPr>
            <w:tcW w:w="3969" w:type="dxa"/>
            <w:tcBorders>
              <w:top w:val="single" w:sz="4" w:space="0" w:color="auto"/>
              <w:left w:val="nil"/>
              <w:bottom w:val="single" w:sz="4" w:space="0" w:color="auto"/>
              <w:right w:val="single" w:sz="4" w:space="0" w:color="auto"/>
            </w:tcBorders>
            <w:noWrap/>
            <w:vAlign w:val="center"/>
            <w:hideMark/>
          </w:tcPr>
          <w:p w14:paraId="7EBE5B3D"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491801,18</w:t>
            </w:r>
          </w:p>
        </w:tc>
        <w:tc>
          <w:tcPr>
            <w:tcW w:w="4111" w:type="dxa"/>
            <w:tcBorders>
              <w:top w:val="single" w:sz="4" w:space="0" w:color="auto"/>
              <w:left w:val="nil"/>
              <w:bottom w:val="single" w:sz="4" w:space="0" w:color="auto"/>
              <w:right w:val="single" w:sz="4" w:space="0" w:color="auto"/>
            </w:tcBorders>
            <w:vAlign w:val="center"/>
            <w:hideMark/>
          </w:tcPr>
          <w:p w14:paraId="67BF2E44"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95724,85</w:t>
            </w:r>
          </w:p>
        </w:tc>
      </w:tr>
      <w:tr w:rsidR="00C9638F" w:rsidRPr="00C9638F" w14:paraId="24C3DFD6" w14:textId="77777777" w:rsidTr="00C9638F">
        <w:trPr>
          <w:gridAfter w:val="1"/>
          <w:wAfter w:w="4285" w:type="dxa"/>
          <w:trHeight w:val="300"/>
        </w:trPr>
        <w:tc>
          <w:tcPr>
            <w:tcW w:w="1204" w:type="dxa"/>
            <w:tcBorders>
              <w:top w:val="single" w:sz="4" w:space="0" w:color="auto"/>
              <w:left w:val="single" w:sz="4" w:space="0" w:color="auto"/>
              <w:bottom w:val="single" w:sz="4" w:space="0" w:color="auto"/>
              <w:right w:val="single" w:sz="4" w:space="0" w:color="auto"/>
            </w:tcBorders>
            <w:noWrap/>
            <w:vAlign w:val="center"/>
            <w:hideMark/>
          </w:tcPr>
          <w:p w14:paraId="4C914933"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PP 7.4</w:t>
            </w:r>
          </w:p>
        </w:tc>
        <w:tc>
          <w:tcPr>
            <w:tcW w:w="3969" w:type="dxa"/>
            <w:tcBorders>
              <w:top w:val="single" w:sz="4" w:space="0" w:color="auto"/>
              <w:left w:val="nil"/>
              <w:bottom w:val="single" w:sz="4" w:space="0" w:color="auto"/>
              <w:right w:val="single" w:sz="4" w:space="0" w:color="auto"/>
            </w:tcBorders>
            <w:noWrap/>
            <w:vAlign w:val="center"/>
            <w:hideMark/>
          </w:tcPr>
          <w:p w14:paraId="7CB20084"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491815,73</w:t>
            </w:r>
          </w:p>
        </w:tc>
        <w:tc>
          <w:tcPr>
            <w:tcW w:w="4111" w:type="dxa"/>
            <w:tcBorders>
              <w:top w:val="single" w:sz="4" w:space="0" w:color="auto"/>
              <w:left w:val="nil"/>
              <w:bottom w:val="single" w:sz="4" w:space="0" w:color="auto"/>
              <w:right w:val="single" w:sz="4" w:space="0" w:color="auto"/>
            </w:tcBorders>
            <w:vAlign w:val="center"/>
            <w:hideMark/>
          </w:tcPr>
          <w:p w14:paraId="53CAC3BC"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95672,64</w:t>
            </w:r>
          </w:p>
        </w:tc>
      </w:tr>
      <w:tr w:rsidR="00C9638F" w:rsidRPr="00C9638F" w14:paraId="5EB3368E" w14:textId="77777777" w:rsidTr="00C9638F">
        <w:trPr>
          <w:gridAfter w:val="1"/>
          <w:wAfter w:w="4285" w:type="dxa"/>
          <w:trHeight w:val="300"/>
        </w:trPr>
        <w:tc>
          <w:tcPr>
            <w:tcW w:w="1204" w:type="dxa"/>
            <w:tcBorders>
              <w:top w:val="single" w:sz="4" w:space="0" w:color="auto"/>
              <w:left w:val="single" w:sz="4" w:space="0" w:color="auto"/>
              <w:bottom w:val="single" w:sz="4" w:space="0" w:color="auto"/>
              <w:right w:val="single" w:sz="4" w:space="0" w:color="auto"/>
            </w:tcBorders>
            <w:noWrap/>
            <w:vAlign w:val="center"/>
            <w:hideMark/>
          </w:tcPr>
          <w:p w14:paraId="096ED4BC"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PP 7.5</w:t>
            </w:r>
          </w:p>
        </w:tc>
        <w:tc>
          <w:tcPr>
            <w:tcW w:w="3969" w:type="dxa"/>
            <w:tcBorders>
              <w:top w:val="single" w:sz="4" w:space="0" w:color="auto"/>
              <w:left w:val="nil"/>
              <w:bottom w:val="single" w:sz="4" w:space="0" w:color="auto"/>
              <w:right w:val="single" w:sz="4" w:space="0" w:color="auto"/>
            </w:tcBorders>
            <w:noWrap/>
            <w:vAlign w:val="center"/>
            <w:hideMark/>
          </w:tcPr>
          <w:p w14:paraId="7BE3E86A"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491817,02</w:t>
            </w:r>
          </w:p>
        </w:tc>
        <w:tc>
          <w:tcPr>
            <w:tcW w:w="4111" w:type="dxa"/>
            <w:tcBorders>
              <w:top w:val="single" w:sz="4" w:space="0" w:color="auto"/>
              <w:left w:val="nil"/>
              <w:bottom w:val="single" w:sz="4" w:space="0" w:color="auto"/>
              <w:right w:val="single" w:sz="4" w:space="0" w:color="auto"/>
            </w:tcBorders>
            <w:vAlign w:val="center"/>
            <w:hideMark/>
          </w:tcPr>
          <w:p w14:paraId="71582C95"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95660,29</w:t>
            </w:r>
          </w:p>
        </w:tc>
      </w:tr>
      <w:tr w:rsidR="00C9638F" w:rsidRPr="00C9638F" w14:paraId="5E56006F" w14:textId="77777777" w:rsidTr="00C9638F">
        <w:trPr>
          <w:gridAfter w:val="1"/>
          <w:wAfter w:w="4285" w:type="dxa"/>
          <w:trHeight w:val="300"/>
        </w:trPr>
        <w:tc>
          <w:tcPr>
            <w:tcW w:w="1204" w:type="dxa"/>
            <w:tcBorders>
              <w:top w:val="single" w:sz="4" w:space="0" w:color="auto"/>
              <w:left w:val="single" w:sz="4" w:space="0" w:color="auto"/>
              <w:bottom w:val="single" w:sz="4" w:space="0" w:color="auto"/>
              <w:right w:val="single" w:sz="4" w:space="0" w:color="auto"/>
            </w:tcBorders>
            <w:noWrap/>
            <w:vAlign w:val="center"/>
            <w:hideMark/>
          </w:tcPr>
          <w:p w14:paraId="1C40CB1E"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PP 7.6</w:t>
            </w:r>
          </w:p>
        </w:tc>
        <w:tc>
          <w:tcPr>
            <w:tcW w:w="3969" w:type="dxa"/>
            <w:tcBorders>
              <w:top w:val="single" w:sz="4" w:space="0" w:color="auto"/>
              <w:left w:val="nil"/>
              <w:bottom w:val="single" w:sz="4" w:space="0" w:color="auto"/>
              <w:right w:val="single" w:sz="4" w:space="0" w:color="auto"/>
            </w:tcBorders>
            <w:noWrap/>
            <w:vAlign w:val="center"/>
            <w:hideMark/>
          </w:tcPr>
          <w:p w14:paraId="7CBCF617"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491816,20</w:t>
            </w:r>
          </w:p>
        </w:tc>
        <w:tc>
          <w:tcPr>
            <w:tcW w:w="4111" w:type="dxa"/>
            <w:tcBorders>
              <w:top w:val="single" w:sz="4" w:space="0" w:color="auto"/>
              <w:left w:val="nil"/>
              <w:bottom w:val="single" w:sz="4" w:space="0" w:color="auto"/>
              <w:right w:val="single" w:sz="4" w:space="0" w:color="auto"/>
            </w:tcBorders>
            <w:vAlign w:val="center"/>
            <w:hideMark/>
          </w:tcPr>
          <w:p w14:paraId="7839D965"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95650,28</w:t>
            </w:r>
          </w:p>
        </w:tc>
      </w:tr>
      <w:tr w:rsidR="00C9638F" w:rsidRPr="00C9638F" w14:paraId="194D0BED" w14:textId="77777777" w:rsidTr="00C9638F">
        <w:trPr>
          <w:gridAfter w:val="1"/>
          <w:wAfter w:w="4285" w:type="dxa"/>
          <w:trHeight w:val="300"/>
        </w:trPr>
        <w:tc>
          <w:tcPr>
            <w:tcW w:w="1204" w:type="dxa"/>
            <w:tcBorders>
              <w:top w:val="single" w:sz="4" w:space="0" w:color="auto"/>
              <w:left w:val="single" w:sz="4" w:space="0" w:color="auto"/>
              <w:bottom w:val="single" w:sz="4" w:space="0" w:color="auto"/>
              <w:right w:val="single" w:sz="4" w:space="0" w:color="auto"/>
            </w:tcBorders>
            <w:noWrap/>
            <w:vAlign w:val="center"/>
            <w:hideMark/>
          </w:tcPr>
          <w:p w14:paraId="245B8F32"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PP 7.7</w:t>
            </w:r>
          </w:p>
        </w:tc>
        <w:tc>
          <w:tcPr>
            <w:tcW w:w="3969" w:type="dxa"/>
            <w:tcBorders>
              <w:top w:val="single" w:sz="4" w:space="0" w:color="auto"/>
              <w:left w:val="nil"/>
              <w:bottom w:val="single" w:sz="4" w:space="0" w:color="auto"/>
              <w:right w:val="single" w:sz="4" w:space="0" w:color="auto"/>
            </w:tcBorders>
            <w:noWrap/>
            <w:vAlign w:val="center"/>
            <w:hideMark/>
          </w:tcPr>
          <w:p w14:paraId="67914814"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491812,34</w:t>
            </w:r>
          </w:p>
        </w:tc>
        <w:tc>
          <w:tcPr>
            <w:tcW w:w="4111" w:type="dxa"/>
            <w:tcBorders>
              <w:top w:val="single" w:sz="4" w:space="0" w:color="auto"/>
              <w:left w:val="nil"/>
              <w:bottom w:val="single" w:sz="4" w:space="0" w:color="auto"/>
              <w:right w:val="single" w:sz="4" w:space="0" w:color="auto"/>
            </w:tcBorders>
            <w:vAlign w:val="center"/>
            <w:hideMark/>
          </w:tcPr>
          <w:p w14:paraId="4B871C14"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95639,27</w:t>
            </w:r>
          </w:p>
        </w:tc>
      </w:tr>
      <w:tr w:rsidR="00C9638F" w:rsidRPr="00C9638F" w14:paraId="594FE551" w14:textId="77777777" w:rsidTr="00C9638F">
        <w:trPr>
          <w:gridAfter w:val="1"/>
          <w:wAfter w:w="4285" w:type="dxa"/>
          <w:trHeight w:val="300"/>
        </w:trPr>
        <w:tc>
          <w:tcPr>
            <w:tcW w:w="1204" w:type="dxa"/>
            <w:tcBorders>
              <w:top w:val="single" w:sz="4" w:space="0" w:color="auto"/>
              <w:left w:val="single" w:sz="4" w:space="0" w:color="auto"/>
              <w:bottom w:val="single" w:sz="4" w:space="0" w:color="auto"/>
              <w:right w:val="single" w:sz="4" w:space="0" w:color="auto"/>
            </w:tcBorders>
            <w:noWrap/>
            <w:vAlign w:val="center"/>
            <w:hideMark/>
          </w:tcPr>
          <w:p w14:paraId="3BCF42B6"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PP 7.8</w:t>
            </w:r>
          </w:p>
        </w:tc>
        <w:tc>
          <w:tcPr>
            <w:tcW w:w="3969" w:type="dxa"/>
            <w:tcBorders>
              <w:top w:val="single" w:sz="4" w:space="0" w:color="auto"/>
              <w:left w:val="nil"/>
              <w:bottom w:val="single" w:sz="4" w:space="0" w:color="auto"/>
              <w:right w:val="single" w:sz="4" w:space="0" w:color="auto"/>
            </w:tcBorders>
            <w:noWrap/>
            <w:vAlign w:val="center"/>
            <w:hideMark/>
          </w:tcPr>
          <w:p w14:paraId="193F2220"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491807,71</w:t>
            </w:r>
          </w:p>
        </w:tc>
        <w:tc>
          <w:tcPr>
            <w:tcW w:w="4111" w:type="dxa"/>
            <w:tcBorders>
              <w:top w:val="single" w:sz="4" w:space="0" w:color="auto"/>
              <w:left w:val="nil"/>
              <w:bottom w:val="single" w:sz="4" w:space="0" w:color="auto"/>
              <w:right w:val="single" w:sz="4" w:space="0" w:color="auto"/>
            </w:tcBorders>
            <w:vAlign w:val="center"/>
            <w:hideMark/>
          </w:tcPr>
          <w:p w14:paraId="260CEF95"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95631,77</w:t>
            </w:r>
          </w:p>
        </w:tc>
      </w:tr>
      <w:tr w:rsidR="00C9638F" w:rsidRPr="00C9638F" w14:paraId="08327203" w14:textId="77777777" w:rsidTr="00C9638F">
        <w:trPr>
          <w:gridAfter w:val="1"/>
          <w:wAfter w:w="4285" w:type="dxa"/>
          <w:trHeight w:val="300"/>
        </w:trPr>
        <w:tc>
          <w:tcPr>
            <w:tcW w:w="1204" w:type="dxa"/>
            <w:tcBorders>
              <w:top w:val="single" w:sz="4" w:space="0" w:color="auto"/>
              <w:left w:val="single" w:sz="4" w:space="0" w:color="auto"/>
              <w:bottom w:val="single" w:sz="4" w:space="0" w:color="auto"/>
              <w:right w:val="single" w:sz="4" w:space="0" w:color="auto"/>
            </w:tcBorders>
            <w:noWrap/>
            <w:vAlign w:val="center"/>
            <w:hideMark/>
          </w:tcPr>
          <w:p w14:paraId="691D4B7C"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PP 7.9</w:t>
            </w:r>
          </w:p>
        </w:tc>
        <w:tc>
          <w:tcPr>
            <w:tcW w:w="3969" w:type="dxa"/>
            <w:tcBorders>
              <w:top w:val="single" w:sz="4" w:space="0" w:color="auto"/>
              <w:left w:val="nil"/>
              <w:bottom w:val="single" w:sz="4" w:space="0" w:color="auto"/>
              <w:right w:val="single" w:sz="4" w:space="0" w:color="auto"/>
            </w:tcBorders>
            <w:noWrap/>
            <w:vAlign w:val="center"/>
            <w:hideMark/>
          </w:tcPr>
          <w:p w14:paraId="23E5C5F1"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491797,16</w:t>
            </w:r>
          </w:p>
        </w:tc>
        <w:tc>
          <w:tcPr>
            <w:tcW w:w="4111" w:type="dxa"/>
            <w:tcBorders>
              <w:top w:val="single" w:sz="4" w:space="0" w:color="auto"/>
              <w:left w:val="nil"/>
              <w:bottom w:val="single" w:sz="4" w:space="0" w:color="auto"/>
              <w:right w:val="single" w:sz="4" w:space="0" w:color="auto"/>
            </w:tcBorders>
            <w:vAlign w:val="center"/>
            <w:hideMark/>
          </w:tcPr>
          <w:p w14:paraId="40E765A0"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95618,73</w:t>
            </w:r>
          </w:p>
        </w:tc>
      </w:tr>
      <w:tr w:rsidR="00C9638F" w:rsidRPr="00C9638F" w14:paraId="5A7D64FE" w14:textId="77777777" w:rsidTr="00C9638F">
        <w:trPr>
          <w:gridAfter w:val="1"/>
          <w:wAfter w:w="4285" w:type="dxa"/>
          <w:trHeight w:val="300"/>
        </w:trPr>
        <w:tc>
          <w:tcPr>
            <w:tcW w:w="1204" w:type="dxa"/>
            <w:tcBorders>
              <w:top w:val="single" w:sz="4" w:space="0" w:color="auto"/>
              <w:left w:val="single" w:sz="4" w:space="0" w:color="auto"/>
              <w:bottom w:val="single" w:sz="4" w:space="0" w:color="auto"/>
              <w:right w:val="single" w:sz="4" w:space="0" w:color="auto"/>
            </w:tcBorders>
            <w:noWrap/>
            <w:vAlign w:val="center"/>
            <w:hideMark/>
          </w:tcPr>
          <w:p w14:paraId="124C8A20"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PP 7.10</w:t>
            </w:r>
          </w:p>
        </w:tc>
        <w:tc>
          <w:tcPr>
            <w:tcW w:w="3969" w:type="dxa"/>
            <w:tcBorders>
              <w:top w:val="single" w:sz="4" w:space="0" w:color="auto"/>
              <w:left w:val="nil"/>
              <w:bottom w:val="single" w:sz="4" w:space="0" w:color="auto"/>
              <w:right w:val="single" w:sz="4" w:space="0" w:color="auto"/>
            </w:tcBorders>
            <w:noWrap/>
            <w:vAlign w:val="center"/>
            <w:hideMark/>
          </w:tcPr>
          <w:p w14:paraId="1D5BA779"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491781,15</w:t>
            </w:r>
          </w:p>
        </w:tc>
        <w:tc>
          <w:tcPr>
            <w:tcW w:w="4111" w:type="dxa"/>
            <w:tcBorders>
              <w:top w:val="single" w:sz="4" w:space="0" w:color="auto"/>
              <w:left w:val="nil"/>
              <w:bottom w:val="single" w:sz="4" w:space="0" w:color="auto"/>
              <w:right w:val="single" w:sz="4" w:space="0" w:color="auto"/>
            </w:tcBorders>
            <w:vAlign w:val="center"/>
            <w:hideMark/>
          </w:tcPr>
          <w:p w14:paraId="6034891F"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95613,50</w:t>
            </w:r>
          </w:p>
        </w:tc>
      </w:tr>
      <w:tr w:rsidR="00C9638F" w:rsidRPr="00C9638F" w14:paraId="4510B0EA" w14:textId="77777777" w:rsidTr="00C9638F">
        <w:trPr>
          <w:gridAfter w:val="1"/>
          <w:wAfter w:w="4285" w:type="dxa"/>
          <w:trHeight w:val="300"/>
        </w:trPr>
        <w:tc>
          <w:tcPr>
            <w:tcW w:w="1204" w:type="dxa"/>
            <w:tcBorders>
              <w:top w:val="single" w:sz="4" w:space="0" w:color="auto"/>
              <w:left w:val="single" w:sz="4" w:space="0" w:color="auto"/>
              <w:bottom w:val="single" w:sz="4" w:space="0" w:color="auto"/>
              <w:right w:val="single" w:sz="4" w:space="0" w:color="auto"/>
            </w:tcBorders>
            <w:noWrap/>
            <w:vAlign w:val="center"/>
            <w:hideMark/>
          </w:tcPr>
          <w:p w14:paraId="17985259"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PP 7.11</w:t>
            </w:r>
          </w:p>
        </w:tc>
        <w:tc>
          <w:tcPr>
            <w:tcW w:w="3969" w:type="dxa"/>
            <w:tcBorders>
              <w:top w:val="single" w:sz="4" w:space="0" w:color="auto"/>
              <w:left w:val="nil"/>
              <w:bottom w:val="single" w:sz="4" w:space="0" w:color="auto"/>
              <w:right w:val="single" w:sz="4" w:space="0" w:color="auto"/>
            </w:tcBorders>
            <w:noWrap/>
            <w:vAlign w:val="center"/>
            <w:hideMark/>
          </w:tcPr>
          <w:p w14:paraId="499BCD4A"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491741,87</w:t>
            </w:r>
          </w:p>
        </w:tc>
        <w:tc>
          <w:tcPr>
            <w:tcW w:w="4111" w:type="dxa"/>
            <w:tcBorders>
              <w:top w:val="single" w:sz="4" w:space="0" w:color="auto"/>
              <w:left w:val="nil"/>
              <w:bottom w:val="single" w:sz="4" w:space="0" w:color="auto"/>
              <w:right w:val="single" w:sz="4" w:space="0" w:color="auto"/>
            </w:tcBorders>
            <w:vAlign w:val="center"/>
            <w:hideMark/>
          </w:tcPr>
          <w:p w14:paraId="791F691F"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95605,00</w:t>
            </w:r>
          </w:p>
        </w:tc>
      </w:tr>
      <w:tr w:rsidR="00C9638F" w:rsidRPr="00C9638F" w14:paraId="29393A81" w14:textId="77777777" w:rsidTr="00C9638F">
        <w:trPr>
          <w:gridAfter w:val="1"/>
          <w:wAfter w:w="4285" w:type="dxa"/>
          <w:trHeight w:val="300"/>
        </w:trPr>
        <w:tc>
          <w:tcPr>
            <w:tcW w:w="1204" w:type="dxa"/>
            <w:tcBorders>
              <w:top w:val="single" w:sz="4" w:space="0" w:color="auto"/>
              <w:left w:val="single" w:sz="4" w:space="0" w:color="auto"/>
              <w:bottom w:val="single" w:sz="4" w:space="0" w:color="auto"/>
              <w:right w:val="single" w:sz="4" w:space="0" w:color="auto"/>
            </w:tcBorders>
            <w:noWrap/>
            <w:vAlign w:val="center"/>
            <w:hideMark/>
          </w:tcPr>
          <w:p w14:paraId="2C5FD527"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PP 7.12</w:t>
            </w:r>
          </w:p>
        </w:tc>
        <w:tc>
          <w:tcPr>
            <w:tcW w:w="3969" w:type="dxa"/>
            <w:tcBorders>
              <w:top w:val="single" w:sz="4" w:space="0" w:color="auto"/>
              <w:left w:val="nil"/>
              <w:bottom w:val="single" w:sz="4" w:space="0" w:color="auto"/>
              <w:right w:val="single" w:sz="4" w:space="0" w:color="auto"/>
            </w:tcBorders>
            <w:noWrap/>
            <w:vAlign w:val="center"/>
            <w:hideMark/>
          </w:tcPr>
          <w:p w14:paraId="73811254"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491700,78</w:t>
            </w:r>
          </w:p>
        </w:tc>
        <w:tc>
          <w:tcPr>
            <w:tcW w:w="4111" w:type="dxa"/>
            <w:tcBorders>
              <w:top w:val="single" w:sz="4" w:space="0" w:color="auto"/>
              <w:left w:val="nil"/>
              <w:bottom w:val="single" w:sz="4" w:space="0" w:color="auto"/>
              <w:right w:val="single" w:sz="4" w:space="0" w:color="auto"/>
            </w:tcBorders>
            <w:vAlign w:val="center"/>
            <w:hideMark/>
          </w:tcPr>
          <w:p w14:paraId="39A92690"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95588,79</w:t>
            </w:r>
          </w:p>
        </w:tc>
      </w:tr>
      <w:tr w:rsidR="00C9638F" w:rsidRPr="00C9638F" w14:paraId="7DCF996B" w14:textId="77777777" w:rsidTr="00C9638F">
        <w:trPr>
          <w:gridAfter w:val="1"/>
          <w:wAfter w:w="4285" w:type="dxa"/>
          <w:trHeight w:val="300"/>
        </w:trPr>
        <w:tc>
          <w:tcPr>
            <w:tcW w:w="1204" w:type="dxa"/>
            <w:tcBorders>
              <w:top w:val="single" w:sz="4" w:space="0" w:color="auto"/>
              <w:left w:val="single" w:sz="4" w:space="0" w:color="auto"/>
              <w:bottom w:val="single" w:sz="4" w:space="0" w:color="auto"/>
              <w:right w:val="single" w:sz="4" w:space="0" w:color="auto"/>
            </w:tcBorders>
            <w:noWrap/>
            <w:vAlign w:val="center"/>
            <w:hideMark/>
          </w:tcPr>
          <w:p w14:paraId="138638B0"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PP 7.13</w:t>
            </w:r>
          </w:p>
        </w:tc>
        <w:tc>
          <w:tcPr>
            <w:tcW w:w="3969" w:type="dxa"/>
            <w:tcBorders>
              <w:top w:val="single" w:sz="4" w:space="0" w:color="auto"/>
              <w:left w:val="nil"/>
              <w:bottom w:val="single" w:sz="4" w:space="0" w:color="auto"/>
              <w:right w:val="single" w:sz="4" w:space="0" w:color="auto"/>
            </w:tcBorders>
            <w:noWrap/>
            <w:vAlign w:val="center"/>
            <w:hideMark/>
          </w:tcPr>
          <w:p w14:paraId="1F3978E7"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491677,94</w:t>
            </w:r>
          </w:p>
        </w:tc>
        <w:tc>
          <w:tcPr>
            <w:tcW w:w="4111" w:type="dxa"/>
            <w:tcBorders>
              <w:top w:val="single" w:sz="4" w:space="0" w:color="auto"/>
              <w:left w:val="nil"/>
              <w:bottom w:val="single" w:sz="4" w:space="0" w:color="auto"/>
              <w:right w:val="single" w:sz="4" w:space="0" w:color="auto"/>
            </w:tcBorders>
            <w:vAlign w:val="center"/>
            <w:hideMark/>
          </w:tcPr>
          <w:p w14:paraId="7ADFFBE6"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95570,30</w:t>
            </w:r>
          </w:p>
        </w:tc>
      </w:tr>
      <w:tr w:rsidR="00C9638F" w:rsidRPr="00C9638F" w14:paraId="21F07B7F" w14:textId="77777777" w:rsidTr="00C9638F">
        <w:trPr>
          <w:gridAfter w:val="1"/>
          <w:wAfter w:w="4285" w:type="dxa"/>
          <w:trHeight w:val="300"/>
        </w:trPr>
        <w:tc>
          <w:tcPr>
            <w:tcW w:w="1204" w:type="dxa"/>
            <w:tcBorders>
              <w:top w:val="single" w:sz="4" w:space="0" w:color="auto"/>
              <w:left w:val="single" w:sz="4" w:space="0" w:color="auto"/>
              <w:bottom w:val="single" w:sz="4" w:space="0" w:color="auto"/>
              <w:right w:val="single" w:sz="4" w:space="0" w:color="auto"/>
            </w:tcBorders>
            <w:noWrap/>
            <w:vAlign w:val="center"/>
            <w:hideMark/>
          </w:tcPr>
          <w:p w14:paraId="203D893F"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PP 7.14</w:t>
            </w:r>
          </w:p>
        </w:tc>
        <w:tc>
          <w:tcPr>
            <w:tcW w:w="3969" w:type="dxa"/>
            <w:tcBorders>
              <w:top w:val="single" w:sz="4" w:space="0" w:color="auto"/>
              <w:left w:val="nil"/>
              <w:bottom w:val="single" w:sz="4" w:space="0" w:color="auto"/>
              <w:right w:val="single" w:sz="4" w:space="0" w:color="auto"/>
            </w:tcBorders>
            <w:noWrap/>
            <w:vAlign w:val="center"/>
            <w:hideMark/>
          </w:tcPr>
          <w:p w14:paraId="73C6F499"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491647,64</w:t>
            </w:r>
          </w:p>
        </w:tc>
        <w:tc>
          <w:tcPr>
            <w:tcW w:w="4111" w:type="dxa"/>
            <w:tcBorders>
              <w:top w:val="single" w:sz="4" w:space="0" w:color="auto"/>
              <w:left w:val="nil"/>
              <w:bottom w:val="single" w:sz="4" w:space="0" w:color="auto"/>
              <w:right w:val="single" w:sz="4" w:space="0" w:color="auto"/>
            </w:tcBorders>
            <w:vAlign w:val="center"/>
            <w:hideMark/>
          </w:tcPr>
          <w:p w14:paraId="32A2930F"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95541,08</w:t>
            </w:r>
          </w:p>
        </w:tc>
      </w:tr>
      <w:tr w:rsidR="00C9638F" w:rsidRPr="00C9638F" w14:paraId="49F45780" w14:textId="77777777" w:rsidTr="00C9638F">
        <w:trPr>
          <w:trHeight w:val="300"/>
        </w:trPr>
        <w:tc>
          <w:tcPr>
            <w:tcW w:w="1204" w:type="dxa"/>
            <w:tcBorders>
              <w:top w:val="single" w:sz="4" w:space="0" w:color="auto"/>
              <w:left w:val="single" w:sz="4" w:space="0" w:color="auto"/>
              <w:bottom w:val="single" w:sz="4" w:space="0" w:color="auto"/>
              <w:right w:val="single" w:sz="4" w:space="0" w:color="auto"/>
            </w:tcBorders>
            <w:noWrap/>
            <w:vAlign w:val="center"/>
            <w:hideMark/>
          </w:tcPr>
          <w:p w14:paraId="21BE70D5"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PP 7.15</w:t>
            </w:r>
          </w:p>
        </w:tc>
        <w:tc>
          <w:tcPr>
            <w:tcW w:w="3969" w:type="dxa"/>
            <w:tcBorders>
              <w:top w:val="single" w:sz="4" w:space="0" w:color="auto"/>
              <w:left w:val="nil"/>
              <w:bottom w:val="single" w:sz="4" w:space="0" w:color="auto"/>
              <w:right w:val="single" w:sz="4" w:space="0" w:color="auto"/>
            </w:tcBorders>
            <w:noWrap/>
            <w:vAlign w:val="center"/>
            <w:hideMark/>
          </w:tcPr>
          <w:p w14:paraId="21FB6FFA"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491627,01</w:t>
            </w:r>
          </w:p>
        </w:tc>
        <w:tc>
          <w:tcPr>
            <w:tcW w:w="4111" w:type="dxa"/>
            <w:tcBorders>
              <w:top w:val="single" w:sz="4" w:space="0" w:color="auto"/>
              <w:left w:val="nil"/>
              <w:bottom w:val="single" w:sz="4" w:space="0" w:color="auto"/>
              <w:right w:val="single" w:sz="4" w:space="0" w:color="auto"/>
            </w:tcBorders>
            <w:vAlign w:val="center"/>
            <w:hideMark/>
          </w:tcPr>
          <w:p w14:paraId="46038011"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95497,85</w:t>
            </w:r>
          </w:p>
        </w:tc>
        <w:tc>
          <w:tcPr>
            <w:tcW w:w="4285" w:type="dxa"/>
            <w:vAlign w:val="center"/>
          </w:tcPr>
          <w:p w14:paraId="0F54F980" w14:textId="77777777" w:rsidR="00C9638F" w:rsidRPr="00C9638F" w:rsidRDefault="00C9638F" w:rsidP="00C9638F">
            <w:pPr>
              <w:suppressAutoHyphens w:val="0"/>
              <w:spacing w:line="256" w:lineRule="auto"/>
              <w:rPr>
                <w:rFonts w:ascii="Arial" w:eastAsia="Calibri" w:hAnsi="Arial" w:cs="Arial"/>
                <w:kern w:val="2"/>
                <w:sz w:val="20"/>
                <w:szCs w:val="20"/>
                <w:lang w:eastAsia="en-US"/>
                <w14:ligatures w14:val="standardContextual"/>
              </w:rPr>
            </w:pPr>
          </w:p>
        </w:tc>
      </w:tr>
      <w:tr w:rsidR="00C9638F" w:rsidRPr="00C9638F" w14:paraId="4A73CA62" w14:textId="77777777" w:rsidTr="00C9638F">
        <w:trPr>
          <w:gridAfter w:val="1"/>
          <w:wAfter w:w="4285" w:type="dxa"/>
          <w:trHeight w:val="300"/>
        </w:trPr>
        <w:tc>
          <w:tcPr>
            <w:tcW w:w="1204" w:type="dxa"/>
            <w:tcBorders>
              <w:top w:val="single" w:sz="4" w:space="0" w:color="auto"/>
              <w:left w:val="single" w:sz="4" w:space="0" w:color="auto"/>
              <w:bottom w:val="single" w:sz="4" w:space="0" w:color="auto"/>
              <w:right w:val="single" w:sz="4" w:space="0" w:color="auto"/>
            </w:tcBorders>
            <w:noWrap/>
            <w:vAlign w:val="center"/>
            <w:hideMark/>
          </w:tcPr>
          <w:p w14:paraId="3DCDA596"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PP 7.16</w:t>
            </w:r>
          </w:p>
        </w:tc>
        <w:tc>
          <w:tcPr>
            <w:tcW w:w="3969" w:type="dxa"/>
            <w:tcBorders>
              <w:top w:val="single" w:sz="4" w:space="0" w:color="auto"/>
              <w:left w:val="nil"/>
              <w:bottom w:val="single" w:sz="4" w:space="0" w:color="auto"/>
              <w:right w:val="single" w:sz="4" w:space="0" w:color="auto"/>
            </w:tcBorders>
            <w:noWrap/>
            <w:vAlign w:val="center"/>
            <w:hideMark/>
          </w:tcPr>
          <w:p w14:paraId="15564E67"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491620,39</w:t>
            </w:r>
          </w:p>
        </w:tc>
        <w:tc>
          <w:tcPr>
            <w:tcW w:w="4111" w:type="dxa"/>
            <w:tcBorders>
              <w:top w:val="single" w:sz="4" w:space="0" w:color="auto"/>
              <w:left w:val="nil"/>
              <w:bottom w:val="single" w:sz="4" w:space="0" w:color="auto"/>
              <w:right w:val="single" w:sz="4" w:space="0" w:color="auto"/>
            </w:tcBorders>
            <w:vAlign w:val="center"/>
            <w:hideMark/>
          </w:tcPr>
          <w:p w14:paraId="2B0A6FE7"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95448,31</w:t>
            </w:r>
          </w:p>
        </w:tc>
      </w:tr>
      <w:tr w:rsidR="00C9638F" w:rsidRPr="00C9638F" w14:paraId="66403060" w14:textId="77777777" w:rsidTr="00C9638F">
        <w:trPr>
          <w:gridAfter w:val="1"/>
          <w:wAfter w:w="4285" w:type="dxa"/>
          <w:trHeight w:val="233"/>
        </w:trPr>
        <w:tc>
          <w:tcPr>
            <w:tcW w:w="1204" w:type="dxa"/>
            <w:tcBorders>
              <w:top w:val="single" w:sz="4" w:space="0" w:color="auto"/>
              <w:left w:val="single" w:sz="4" w:space="0" w:color="auto"/>
              <w:bottom w:val="nil"/>
              <w:right w:val="single" w:sz="4" w:space="0" w:color="auto"/>
            </w:tcBorders>
            <w:noWrap/>
            <w:vAlign w:val="center"/>
            <w:hideMark/>
          </w:tcPr>
          <w:p w14:paraId="5727E6CB"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PP 7.17</w:t>
            </w:r>
          </w:p>
        </w:tc>
        <w:tc>
          <w:tcPr>
            <w:tcW w:w="8080" w:type="dxa"/>
            <w:gridSpan w:val="2"/>
            <w:tcBorders>
              <w:top w:val="single" w:sz="4" w:space="0" w:color="auto"/>
              <w:left w:val="nil"/>
              <w:bottom w:val="nil"/>
              <w:right w:val="single" w:sz="4" w:space="0" w:color="auto"/>
            </w:tcBorders>
            <w:noWrap/>
            <w:vAlign w:val="center"/>
            <w:hideMark/>
          </w:tcPr>
          <w:p w14:paraId="30CDE7BE"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 xml:space="preserve">najbolj vzhodno oglišče parcele s </w:t>
            </w:r>
            <w:proofErr w:type="spellStart"/>
            <w:r w:rsidRPr="00C9638F">
              <w:rPr>
                <w:rFonts w:ascii="Arial" w:eastAsia="Calibri" w:hAnsi="Arial" w:cs="Arial"/>
                <w:kern w:val="2"/>
                <w:sz w:val="20"/>
                <w:szCs w:val="20"/>
                <w:lang w:eastAsia="en-US"/>
                <w14:ligatures w14:val="standardContextual"/>
              </w:rPr>
              <w:t>parc</w:t>
            </w:r>
            <w:proofErr w:type="spellEnd"/>
            <w:r w:rsidRPr="00C9638F">
              <w:rPr>
                <w:rFonts w:ascii="Arial" w:eastAsia="Calibri" w:hAnsi="Arial" w:cs="Arial"/>
                <w:kern w:val="2"/>
                <w:sz w:val="20"/>
                <w:szCs w:val="20"/>
                <w:lang w:eastAsia="en-US"/>
                <w14:ligatures w14:val="standardContextual"/>
              </w:rPr>
              <w:t>. št. 233/7, k. o. 1850 – Ježni Vrh</w:t>
            </w:r>
          </w:p>
        </w:tc>
      </w:tr>
      <w:tr w:rsidR="00C9638F" w:rsidRPr="00C9638F" w14:paraId="2CB34CB5" w14:textId="77777777" w:rsidTr="00C9638F">
        <w:trPr>
          <w:gridAfter w:val="1"/>
          <w:wAfter w:w="4285" w:type="dxa"/>
          <w:trHeight w:val="300"/>
        </w:trPr>
        <w:tc>
          <w:tcPr>
            <w:tcW w:w="1204" w:type="dxa"/>
            <w:tcBorders>
              <w:top w:val="single" w:sz="4" w:space="0" w:color="auto"/>
              <w:left w:val="single" w:sz="4" w:space="0" w:color="auto"/>
              <w:bottom w:val="single" w:sz="4" w:space="0" w:color="auto"/>
              <w:right w:val="single" w:sz="4" w:space="0" w:color="auto"/>
            </w:tcBorders>
            <w:noWrap/>
            <w:vAlign w:val="center"/>
            <w:hideMark/>
          </w:tcPr>
          <w:p w14:paraId="478CB03C"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PP 7.18</w:t>
            </w:r>
          </w:p>
        </w:tc>
        <w:tc>
          <w:tcPr>
            <w:tcW w:w="3969" w:type="dxa"/>
            <w:tcBorders>
              <w:top w:val="single" w:sz="4" w:space="0" w:color="auto"/>
              <w:left w:val="nil"/>
              <w:bottom w:val="single" w:sz="4" w:space="0" w:color="auto"/>
              <w:right w:val="single" w:sz="4" w:space="0" w:color="auto"/>
            </w:tcBorders>
            <w:noWrap/>
            <w:vAlign w:val="center"/>
            <w:hideMark/>
          </w:tcPr>
          <w:p w14:paraId="7B51D412"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491332,04</w:t>
            </w:r>
          </w:p>
        </w:tc>
        <w:tc>
          <w:tcPr>
            <w:tcW w:w="4111" w:type="dxa"/>
            <w:tcBorders>
              <w:top w:val="single" w:sz="4" w:space="0" w:color="auto"/>
              <w:left w:val="nil"/>
              <w:bottom w:val="single" w:sz="4" w:space="0" w:color="auto"/>
              <w:right w:val="single" w:sz="4" w:space="0" w:color="auto"/>
            </w:tcBorders>
            <w:vAlign w:val="center"/>
            <w:hideMark/>
          </w:tcPr>
          <w:p w14:paraId="0D41B46C" w14:textId="77777777" w:rsidR="00C9638F" w:rsidRPr="00C9638F" w:rsidRDefault="00C9638F" w:rsidP="00C9638F">
            <w:pPr>
              <w:suppressAutoHyphens w:val="0"/>
              <w:spacing w:line="256" w:lineRule="auto"/>
              <w:jc w:val="center"/>
              <w:rPr>
                <w:rFonts w:ascii="Arial" w:eastAsia="Calibri" w:hAnsi="Arial" w:cs="Arial"/>
                <w:kern w:val="2"/>
                <w:sz w:val="20"/>
                <w:szCs w:val="20"/>
                <w:lang w:eastAsia="en-US"/>
                <w14:ligatures w14:val="standardContextual"/>
              </w:rPr>
            </w:pPr>
            <w:r w:rsidRPr="00C9638F">
              <w:rPr>
                <w:rFonts w:ascii="Arial" w:eastAsia="Calibri" w:hAnsi="Arial" w:cs="Arial"/>
                <w:kern w:val="2"/>
                <w:sz w:val="20"/>
                <w:szCs w:val="20"/>
                <w:lang w:eastAsia="en-US"/>
                <w14:ligatures w14:val="standardContextual"/>
              </w:rPr>
              <w:t>95381,62</w:t>
            </w:r>
          </w:p>
        </w:tc>
      </w:tr>
    </w:tbl>
    <w:bookmarkEnd w:id="2"/>
    <w:p w14:paraId="342C0CF9" w14:textId="55CFF6C7" w:rsidR="00760EEB" w:rsidRPr="00155AB0" w:rsidRDefault="00760EEB" w:rsidP="00760EEB">
      <w:pPr>
        <w:suppressAutoHyphens w:val="0"/>
        <w:spacing w:line="260" w:lineRule="atLeast"/>
        <w:ind w:firstLine="170"/>
        <w:jc w:val="both"/>
        <w:rPr>
          <w:rFonts w:ascii="Arial" w:hAnsi="Arial" w:cs="Arial"/>
          <w:sz w:val="20"/>
          <w:szCs w:val="20"/>
          <w:lang w:eastAsia="sl-SI"/>
        </w:rPr>
      </w:pPr>
      <w:r w:rsidRPr="00155AB0">
        <w:rPr>
          <w:rFonts w:ascii="Arial" w:hAnsi="Arial" w:cs="Arial"/>
          <w:sz w:val="20"/>
          <w:szCs w:val="20"/>
          <w:lang w:eastAsia="sl-SI"/>
        </w:rPr>
        <w:t>(</w:t>
      </w:r>
      <w:r>
        <w:rPr>
          <w:rFonts w:ascii="Arial" w:hAnsi="Arial" w:cs="Arial"/>
          <w:sz w:val="20"/>
          <w:szCs w:val="20"/>
          <w:lang w:eastAsia="sl-SI"/>
        </w:rPr>
        <w:t>4</w:t>
      </w:r>
      <w:r w:rsidRPr="00155AB0">
        <w:rPr>
          <w:rFonts w:ascii="Arial" w:hAnsi="Arial" w:cs="Arial"/>
          <w:sz w:val="20"/>
          <w:szCs w:val="20"/>
          <w:lang w:eastAsia="sl-SI"/>
        </w:rPr>
        <w:t xml:space="preserve">) Pridobivalni prostor </w:t>
      </w:r>
      <w:r>
        <w:rPr>
          <w:rFonts w:ascii="Arial" w:hAnsi="Arial" w:cs="Arial"/>
          <w:sz w:val="20"/>
          <w:szCs w:val="20"/>
          <w:lang w:eastAsia="sl-SI"/>
        </w:rPr>
        <w:t>Ježce 2</w:t>
      </w:r>
      <w:r w:rsidRPr="00155AB0">
        <w:rPr>
          <w:rFonts w:ascii="Arial" w:hAnsi="Arial" w:cs="Arial"/>
          <w:bCs/>
          <w:sz w:val="20"/>
          <w:szCs w:val="20"/>
          <w:lang w:eastAsia="sl-SI"/>
        </w:rPr>
        <w:t xml:space="preserve"> </w:t>
      </w:r>
      <w:r w:rsidRPr="000A335B">
        <w:rPr>
          <w:rFonts w:ascii="Arial" w:hAnsi="Arial" w:cs="Arial"/>
          <w:sz w:val="20"/>
          <w:szCs w:val="20"/>
          <w:lang w:eastAsia="sl-SI"/>
        </w:rPr>
        <w:t>sega v najglobljem delu do k. 365</w:t>
      </w:r>
      <w:r w:rsidR="000A335B">
        <w:rPr>
          <w:rFonts w:ascii="Arial" w:hAnsi="Arial" w:cs="Arial"/>
          <w:sz w:val="20"/>
          <w:szCs w:val="20"/>
          <w:lang w:eastAsia="sl-SI"/>
        </w:rPr>
        <w:t>.</w:t>
      </w:r>
    </w:p>
    <w:p w14:paraId="18FA8B65" w14:textId="263B01D1" w:rsidR="00760EEB" w:rsidRPr="00155AB0" w:rsidRDefault="00760EEB" w:rsidP="00760EEB">
      <w:pPr>
        <w:suppressAutoHyphens w:val="0"/>
        <w:spacing w:line="260" w:lineRule="atLeast"/>
        <w:ind w:firstLine="170"/>
        <w:jc w:val="both"/>
        <w:rPr>
          <w:rFonts w:ascii="Arial" w:hAnsi="Arial" w:cs="Arial"/>
          <w:sz w:val="20"/>
          <w:szCs w:val="20"/>
          <w:lang w:eastAsia="sl-SI"/>
        </w:rPr>
      </w:pPr>
      <w:r w:rsidRPr="00155AB0">
        <w:rPr>
          <w:rFonts w:ascii="Arial" w:hAnsi="Arial" w:cs="Arial"/>
          <w:sz w:val="20"/>
          <w:szCs w:val="20"/>
          <w:lang w:eastAsia="sl-SI"/>
        </w:rPr>
        <w:t>(</w:t>
      </w:r>
      <w:r>
        <w:rPr>
          <w:rFonts w:ascii="Arial" w:hAnsi="Arial" w:cs="Arial"/>
          <w:sz w:val="20"/>
          <w:szCs w:val="20"/>
          <w:lang w:eastAsia="sl-SI"/>
        </w:rPr>
        <w:t>5</w:t>
      </w:r>
      <w:r w:rsidRPr="00155AB0">
        <w:rPr>
          <w:rFonts w:ascii="Arial" w:hAnsi="Arial" w:cs="Arial"/>
          <w:sz w:val="20"/>
          <w:szCs w:val="20"/>
          <w:lang w:eastAsia="sl-SI"/>
        </w:rPr>
        <w:t>) Pridobivalni prostor</w:t>
      </w:r>
      <w:r>
        <w:rPr>
          <w:rFonts w:ascii="Arial" w:hAnsi="Arial" w:cs="Arial"/>
          <w:sz w:val="20"/>
          <w:szCs w:val="20"/>
          <w:lang w:eastAsia="sl-SI"/>
        </w:rPr>
        <w:t xml:space="preserve"> Ježce 2 </w:t>
      </w:r>
      <w:r w:rsidRPr="00155AB0">
        <w:rPr>
          <w:rFonts w:ascii="Arial" w:hAnsi="Arial" w:cs="Arial"/>
          <w:bCs/>
          <w:sz w:val="20"/>
          <w:szCs w:val="20"/>
          <w:lang w:eastAsia="sl-SI"/>
        </w:rPr>
        <w:t xml:space="preserve">obsega </w:t>
      </w:r>
      <w:r w:rsidRPr="00852053">
        <w:rPr>
          <w:rFonts w:ascii="Arial" w:hAnsi="Arial" w:cs="Arial"/>
          <w:bCs/>
          <w:sz w:val="20"/>
          <w:szCs w:val="20"/>
          <w:lang w:eastAsia="sl-SI"/>
        </w:rPr>
        <w:t>površino 1</w:t>
      </w:r>
      <w:r>
        <w:rPr>
          <w:rFonts w:ascii="Arial" w:hAnsi="Arial" w:cs="Arial"/>
          <w:bCs/>
          <w:sz w:val="20"/>
          <w:szCs w:val="20"/>
          <w:lang w:eastAsia="sl-SI"/>
        </w:rPr>
        <w:t>9</w:t>
      </w:r>
      <w:r w:rsidRPr="00852053">
        <w:rPr>
          <w:rFonts w:ascii="Arial" w:hAnsi="Arial" w:cs="Arial"/>
          <w:bCs/>
          <w:sz w:val="20"/>
          <w:szCs w:val="20"/>
          <w:lang w:eastAsia="sl-SI"/>
        </w:rPr>
        <w:t>,</w:t>
      </w:r>
      <w:r>
        <w:rPr>
          <w:rFonts w:ascii="Arial" w:hAnsi="Arial" w:cs="Arial"/>
          <w:bCs/>
          <w:sz w:val="20"/>
          <w:szCs w:val="20"/>
          <w:lang w:eastAsia="sl-SI"/>
        </w:rPr>
        <w:t xml:space="preserve">5698 </w:t>
      </w:r>
      <w:r w:rsidRPr="00852053">
        <w:rPr>
          <w:rFonts w:ascii="Arial" w:hAnsi="Arial" w:cs="Arial"/>
          <w:bCs/>
          <w:sz w:val="20"/>
          <w:szCs w:val="20"/>
          <w:lang w:eastAsia="sl-SI"/>
        </w:rPr>
        <w:t>hektarja</w:t>
      </w:r>
      <w:r w:rsidRPr="00852053">
        <w:rPr>
          <w:rFonts w:ascii="Arial" w:hAnsi="Arial" w:cs="Arial"/>
          <w:sz w:val="20"/>
          <w:szCs w:val="20"/>
          <w:lang w:eastAsia="sl-SI"/>
        </w:rPr>
        <w:t>.</w:t>
      </w:r>
    </w:p>
    <w:p w14:paraId="5EC25A7C" w14:textId="77777777" w:rsidR="00760EEB" w:rsidRPr="00155AB0" w:rsidRDefault="00760EEB" w:rsidP="00760EEB">
      <w:pPr>
        <w:suppressAutoHyphens w:val="0"/>
        <w:spacing w:line="260" w:lineRule="atLeast"/>
        <w:ind w:firstLine="170"/>
        <w:jc w:val="both"/>
        <w:rPr>
          <w:rFonts w:ascii="Arial" w:hAnsi="Arial" w:cs="Arial"/>
          <w:sz w:val="20"/>
          <w:szCs w:val="20"/>
          <w:lang w:eastAsia="sl-SI"/>
        </w:rPr>
      </w:pPr>
      <w:r w:rsidRPr="00155AB0">
        <w:rPr>
          <w:rFonts w:ascii="Arial" w:hAnsi="Arial" w:cs="Arial"/>
          <w:sz w:val="20"/>
          <w:szCs w:val="20"/>
          <w:lang w:eastAsia="sl-SI"/>
        </w:rPr>
        <w:t>(</w:t>
      </w:r>
      <w:r>
        <w:rPr>
          <w:rFonts w:ascii="Arial" w:hAnsi="Arial" w:cs="Arial"/>
          <w:sz w:val="20"/>
          <w:szCs w:val="20"/>
          <w:lang w:eastAsia="sl-SI"/>
        </w:rPr>
        <w:t>6</w:t>
      </w:r>
      <w:r w:rsidRPr="00155AB0">
        <w:rPr>
          <w:rFonts w:ascii="Arial" w:hAnsi="Arial" w:cs="Arial"/>
          <w:sz w:val="20"/>
          <w:szCs w:val="20"/>
          <w:lang w:eastAsia="sl-SI"/>
        </w:rPr>
        <w:t xml:space="preserve">) Koncesija za izkoriščanje se podeli za </w:t>
      </w:r>
      <w:r>
        <w:rPr>
          <w:rFonts w:ascii="Arial" w:hAnsi="Arial" w:cs="Arial"/>
          <w:sz w:val="20"/>
          <w:szCs w:val="20"/>
          <w:lang w:eastAsia="sl-SI"/>
        </w:rPr>
        <w:t>31</w:t>
      </w:r>
      <w:r w:rsidRPr="00155AB0">
        <w:rPr>
          <w:rFonts w:ascii="Arial" w:hAnsi="Arial" w:cs="Arial"/>
          <w:sz w:val="20"/>
          <w:szCs w:val="20"/>
          <w:lang w:eastAsia="sl-SI"/>
        </w:rPr>
        <w:t> let. Podaljšanje rudarske pravice in koncesije se lahko izvede v skladu z zakonom, ki ureja rudarstvo.</w:t>
      </w:r>
    </w:p>
    <w:p w14:paraId="61163B1C" w14:textId="77777777" w:rsidR="00760EEB" w:rsidRDefault="00760EEB" w:rsidP="00760EEB">
      <w:pPr>
        <w:suppressAutoHyphens w:val="0"/>
        <w:spacing w:line="260" w:lineRule="atLeast"/>
        <w:ind w:firstLine="170"/>
        <w:jc w:val="both"/>
        <w:rPr>
          <w:rFonts w:ascii="Arial" w:hAnsi="Arial" w:cs="Arial"/>
          <w:sz w:val="20"/>
          <w:szCs w:val="20"/>
          <w:lang w:eastAsia="sl-SI"/>
        </w:rPr>
      </w:pPr>
      <w:r w:rsidRPr="00155AB0">
        <w:rPr>
          <w:rFonts w:ascii="Arial" w:hAnsi="Arial" w:cs="Arial"/>
          <w:sz w:val="20"/>
          <w:szCs w:val="20"/>
          <w:lang w:eastAsia="sl-SI"/>
        </w:rPr>
        <w:t>(</w:t>
      </w:r>
      <w:r>
        <w:rPr>
          <w:rFonts w:ascii="Arial" w:hAnsi="Arial" w:cs="Arial"/>
          <w:sz w:val="20"/>
          <w:szCs w:val="20"/>
          <w:lang w:eastAsia="sl-SI"/>
        </w:rPr>
        <w:t>7</w:t>
      </w:r>
      <w:r w:rsidRPr="00155AB0">
        <w:rPr>
          <w:rFonts w:ascii="Arial" w:hAnsi="Arial" w:cs="Arial"/>
          <w:sz w:val="20"/>
          <w:szCs w:val="20"/>
          <w:lang w:eastAsia="sl-SI"/>
        </w:rPr>
        <w:t xml:space="preserve">) </w:t>
      </w:r>
      <w:r>
        <w:rPr>
          <w:rFonts w:ascii="Arial" w:hAnsi="Arial" w:cs="Arial"/>
          <w:sz w:val="20"/>
          <w:szCs w:val="20"/>
          <w:lang w:eastAsia="sl-SI"/>
        </w:rPr>
        <w:t xml:space="preserve">Nosilec rudarske pravice mora do izteka koncesije iz prejšnjega odstavka izvesti tudi </w:t>
      </w:r>
      <w:r w:rsidRPr="00E23DF1">
        <w:rPr>
          <w:rFonts w:ascii="Arial" w:hAnsi="Arial" w:cs="Arial"/>
          <w:sz w:val="20"/>
          <w:szCs w:val="20"/>
          <w:lang w:eastAsia="sl-SI"/>
        </w:rPr>
        <w:t>opustitev izkoriščanja oziroma sanacij</w:t>
      </w:r>
      <w:r>
        <w:rPr>
          <w:rFonts w:ascii="Arial" w:hAnsi="Arial" w:cs="Arial"/>
          <w:sz w:val="20"/>
          <w:szCs w:val="20"/>
          <w:lang w:eastAsia="sl-SI"/>
        </w:rPr>
        <w:t>o</w:t>
      </w:r>
      <w:r w:rsidRPr="00E23DF1">
        <w:rPr>
          <w:rFonts w:ascii="Arial" w:hAnsi="Arial" w:cs="Arial"/>
          <w:sz w:val="20"/>
          <w:szCs w:val="20"/>
          <w:lang w:eastAsia="sl-SI"/>
        </w:rPr>
        <w:t xml:space="preserve"> okolja in odprav</w:t>
      </w:r>
      <w:r>
        <w:rPr>
          <w:rFonts w:ascii="Arial" w:hAnsi="Arial" w:cs="Arial"/>
          <w:sz w:val="20"/>
          <w:szCs w:val="20"/>
          <w:lang w:eastAsia="sl-SI"/>
        </w:rPr>
        <w:t>o</w:t>
      </w:r>
      <w:r w:rsidRPr="00E23DF1">
        <w:rPr>
          <w:rFonts w:ascii="Arial" w:hAnsi="Arial" w:cs="Arial"/>
          <w:sz w:val="20"/>
          <w:szCs w:val="20"/>
          <w:lang w:eastAsia="sl-SI"/>
        </w:rPr>
        <w:t xml:space="preserve"> posledic, nastalih pri izvajanju rudarskih del, izve</w:t>
      </w:r>
      <w:r>
        <w:rPr>
          <w:rFonts w:ascii="Arial" w:hAnsi="Arial" w:cs="Arial"/>
          <w:sz w:val="20"/>
          <w:szCs w:val="20"/>
          <w:lang w:eastAsia="sl-SI"/>
        </w:rPr>
        <w:t>sti</w:t>
      </w:r>
      <w:r w:rsidRPr="00E23DF1">
        <w:rPr>
          <w:rFonts w:ascii="Arial" w:hAnsi="Arial" w:cs="Arial"/>
          <w:sz w:val="20"/>
          <w:szCs w:val="20"/>
          <w:lang w:eastAsia="sl-SI"/>
        </w:rPr>
        <w:t xml:space="preserve"> ukrep</w:t>
      </w:r>
      <w:r>
        <w:rPr>
          <w:rFonts w:ascii="Arial" w:hAnsi="Arial" w:cs="Arial"/>
          <w:sz w:val="20"/>
          <w:szCs w:val="20"/>
          <w:lang w:eastAsia="sl-SI"/>
        </w:rPr>
        <w:t>e</w:t>
      </w:r>
      <w:r w:rsidRPr="00E23DF1">
        <w:rPr>
          <w:rFonts w:ascii="Arial" w:hAnsi="Arial" w:cs="Arial"/>
          <w:sz w:val="20"/>
          <w:szCs w:val="20"/>
          <w:lang w:eastAsia="sl-SI"/>
        </w:rPr>
        <w:t xml:space="preserve"> zavarovanja, da se </w:t>
      </w:r>
      <w:r>
        <w:rPr>
          <w:rFonts w:ascii="Arial" w:hAnsi="Arial" w:cs="Arial"/>
          <w:sz w:val="20"/>
          <w:szCs w:val="20"/>
          <w:lang w:eastAsia="sl-SI"/>
        </w:rPr>
        <w:t xml:space="preserve">izključi </w:t>
      </w:r>
      <w:r w:rsidRPr="00E23DF1">
        <w:rPr>
          <w:rFonts w:ascii="Arial" w:hAnsi="Arial" w:cs="Arial"/>
          <w:sz w:val="20"/>
          <w:szCs w:val="20"/>
          <w:lang w:eastAsia="sl-SI"/>
        </w:rPr>
        <w:t>nevarnost za zdravje ali življenje ljudi in živali ter mo</w:t>
      </w:r>
      <w:r>
        <w:rPr>
          <w:rFonts w:ascii="Arial" w:hAnsi="Arial" w:cs="Arial"/>
          <w:sz w:val="20"/>
          <w:szCs w:val="20"/>
          <w:lang w:eastAsia="sl-SI"/>
        </w:rPr>
        <w:t>žne</w:t>
      </w:r>
      <w:r w:rsidRPr="00E23DF1">
        <w:rPr>
          <w:rFonts w:ascii="Arial" w:hAnsi="Arial" w:cs="Arial"/>
          <w:sz w:val="20"/>
          <w:szCs w:val="20"/>
          <w:lang w:eastAsia="sl-SI"/>
        </w:rPr>
        <w:t xml:space="preserve"> povzročitelj</w:t>
      </w:r>
      <w:r>
        <w:rPr>
          <w:rFonts w:ascii="Arial" w:hAnsi="Arial" w:cs="Arial"/>
          <w:sz w:val="20"/>
          <w:szCs w:val="20"/>
          <w:lang w:eastAsia="sl-SI"/>
        </w:rPr>
        <w:t>e</w:t>
      </w:r>
      <w:r w:rsidRPr="00E23DF1">
        <w:rPr>
          <w:rFonts w:ascii="Arial" w:hAnsi="Arial" w:cs="Arial"/>
          <w:sz w:val="20"/>
          <w:szCs w:val="20"/>
          <w:lang w:eastAsia="sl-SI"/>
        </w:rPr>
        <w:t xml:space="preserve"> onesnaževanja okolja </w:t>
      </w:r>
      <w:r>
        <w:rPr>
          <w:rFonts w:ascii="Arial" w:hAnsi="Arial" w:cs="Arial"/>
          <w:sz w:val="20"/>
          <w:szCs w:val="20"/>
          <w:lang w:eastAsia="sl-SI"/>
        </w:rPr>
        <w:t>ali</w:t>
      </w:r>
      <w:r w:rsidRPr="00E23DF1">
        <w:rPr>
          <w:rFonts w:ascii="Arial" w:hAnsi="Arial" w:cs="Arial"/>
          <w:sz w:val="20"/>
          <w:szCs w:val="20"/>
          <w:lang w:eastAsia="sl-SI"/>
        </w:rPr>
        <w:t xml:space="preserve"> predvidljive škode na objektih in okolju</w:t>
      </w:r>
      <w:r>
        <w:rPr>
          <w:rFonts w:ascii="Arial" w:hAnsi="Arial" w:cs="Arial"/>
          <w:sz w:val="20"/>
          <w:szCs w:val="20"/>
          <w:lang w:eastAsia="sl-SI"/>
        </w:rPr>
        <w:t>.</w:t>
      </w:r>
    </w:p>
    <w:p w14:paraId="2CE688E0" w14:textId="77777777" w:rsidR="00760EEB" w:rsidRPr="00AE35E9" w:rsidRDefault="00760EEB" w:rsidP="00760EEB">
      <w:pPr>
        <w:suppressAutoHyphens w:val="0"/>
        <w:spacing w:line="260" w:lineRule="atLeast"/>
        <w:ind w:firstLine="170"/>
        <w:jc w:val="both"/>
        <w:rPr>
          <w:rFonts w:ascii="Arial" w:hAnsi="Arial" w:cs="Arial"/>
          <w:sz w:val="20"/>
          <w:szCs w:val="20"/>
          <w:lang w:eastAsia="sl-SI"/>
        </w:rPr>
      </w:pPr>
      <w:r>
        <w:rPr>
          <w:rFonts w:ascii="Arial" w:hAnsi="Arial" w:cs="Arial"/>
          <w:sz w:val="20"/>
          <w:szCs w:val="20"/>
          <w:lang w:eastAsia="sl-SI"/>
        </w:rPr>
        <w:t xml:space="preserve">(8) </w:t>
      </w:r>
      <w:r w:rsidRPr="00155AB0">
        <w:rPr>
          <w:rFonts w:ascii="Arial" w:hAnsi="Arial" w:cs="Arial"/>
          <w:sz w:val="20"/>
          <w:szCs w:val="20"/>
          <w:lang w:eastAsia="sl-SI"/>
        </w:rPr>
        <w:t xml:space="preserve">Rudarska pravica za izkoriščanje se podeli brez javnega razpisa pravni osebi </w:t>
      </w:r>
      <w:r>
        <w:rPr>
          <w:rFonts w:ascii="Arial" w:hAnsi="Arial" w:cs="Arial"/>
          <w:sz w:val="20"/>
          <w:szCs w:val="20"/>
          <w:lang w:eastAsia="sl-SI"/>
        </w:rPr>
        <w:t>PESKOKOP KEPA SUZANA KEPA s.p., Ježce 2, 1275 Šmartno pri Litiji</w:t>
      </w:r>
      <w:r w:rsidRPr="00155AB0">
        <w:rPr>
          <w:rFonts w:ascii="Arial" w:hAnsi="Arial" w:cs="Arial"/>
          <w:sz w:val="20"/>
          <w:szCs w:val="20"/>
          <w:lang w:eastAsia="sl-SI"/>
        </w:rPr>
        <w:t xml:space="preserve">, matična številka: </w:t>
      </w:r>
      <w:r>
        <w:rPr>
          <w:rFonts w:ascii="Arial" w:hAnsi="Arial" w:cs="Arial"/>
          <w:sz w:val="20"/>
          <w:szCs w:val="20"/>
          <w:lang w:eastAsia="sl-SI"/>
        </w:rPr>
        <w:t>3124231000</w:t>
      </w:r>
      <w:r w:rsidRPr="00155AB0">
        <w:rPr>
          <w:rFonts w:ascii="Arial" w:hAnsi="Arial" w:cs="Arial"/>
          <w:sz w:val="20"/>
          <w:szCs w:val="20"/>
          <w:lang w:eastAsia="sl-SI"/>
        </w:rPr>
        <w:t xml:space="preserve">. Rudarska pravica se podeli z dnem sklenitve koncesijske </w:t>
      </w:r>
      <w:r w:rsidRPr="00AE35E9">
        <w:rPr>
          <w:rFonts w:ascii="Arial" w:hAnsi="Arial" w:cs="Arial"/>
          <w:sz w:val="20"/>
          <w:szCs w:val="20"/>
          <w:lang w:eastAsia="sl-SI"/>
        </w:rPr>
        <w:t>pogodbe.</w:t>
      </w:r>
      <w:r w:rsidRPr="00D40A0D">
        <w:rPr>
          <w:rFonts w:ascii="Arial" w:hAnsi="Arial"/>
          <w:sz w:val="20"/>
          <w:lang w:eastAsia="en-US"/>
        </w:rPr>
        <w:t xml:space="preserve"> </w:t>
      </w:r>
      <w:r w:rsidRPr="00AE35E9">
        <w:rPr>
          <w:rFonts w:ascii="Arial" w:hAnsi="Arial" w:cs="Arial"/>
          <w:sz w:val="20"/>
          <w:szCs w:val="20"/>
          <w:lang w:eastAsia="sl-SI"/>
        </w:rPr>
        <w:t>O podelitvi rudarske pravice se izda odločba o izbiri nosilca rudarske pravice v skladu z zakonom, ki ureja rudarstvo.</w:t>
      </w:r>
    </w:p>
    <w:p w14:paraId="231DBBD7" w14:textId="77777777" w:rsidR="00760EEB" w:rsidRPr="00155AB0" w:rsidRDefault="00760EEB" w:rsidP="00760EEB">
      <w:pPr>
        <w:suppressAutoHyphens w:val="0"/>
        <w:spacing w:line="260" w:lineRule="atLeast"/>
        <w:ind w:firstLine="170"/>
        <w:jc w:val="both"/>
        <w:rPr>
          <w:rFonts w:ascii="Arial" w:hAnsi="Arial" w:cs="Arial"/>
          <w:sz w:val="20"/>
          <w:szCs w:val="20"/>
          <w:lang w:eastAsia="sl-SI"/>
        </w:rPr>
      </w:pPr>
      <w:r w:rsidRPr="00155AB0">
        <w:rPr>
          <w:rFonts w:ascii="Arial" w:hAnsi="Arial" w:cs="Arial"/>
          <w:sz w:val="20"/>
          <w:szCs w:val="20"/>
          <w:lang w:eastAsia="sl-SI"/>
        </w:rPr>
        <w:t>(</w:t>
      </w:r>
      <w:r>
        <w:rPr>
          <w:rFonts w:ascii="Arial" w:hAnsi="Arial" w:cs="Arial"/>
          <w:sz w:val="20"/>
          <w:szCs w:val="20"/>
          <w:lang w:eastAsia="sl-SI"/>
        </w:rPr>
        <w:t>9</w:t>
      </w:r>
      <w:r w:rsidRPr="00155AB0">
        <w:rPr>
          <w:rFonts w:ascii="Arial" w:hAnsi="Arial" w:cs="Arial"/>
          <w:sz w:val="20"/>
          <w:szCs w:val="20"/>
          <w:lang w:eastAsia="sl-SI"/>
        </w:rPr>
        <w:t>) Drugi pogoji s področja varstva okolja, ohranjanja narave, varstva voda, varstva kulturne dediščine, varstva pred tehničnimi in drugimi nesrečami ter druge obveznosti, ki jih mora nosilec rudarske pravice upoštevati pri njenem izvajanju, so:</w:t>
      </w:r>
    </w:p>
    <w:p w14:paraId="46BBDF00" w14:textId="77777777" w:rsidR="00760EEB" w:rsidRPr="00155AB0" w:rsidRDefault="00760EEB" w:rsidP="00760EEB">
      <w:pPr>
        <w:suppressAutoHyphens w:val="0"/>
        <w:spacing w:line="260" w:lineRule="atLeast"/>
        <w:ind w:left="397" w:hanging="227"/>
        <w:jc w:val="both"/>
        <w:rPr>
          <w:rFonts w:ascii="Arial" w:hAnsi="Arial" w:cs="Arial"/>
          <w:sz w:val="20"/>
          <w:szCs w:val="20"/>
          <w:lang w:eastAsia="sl-SI"/>
        </w:rPr>
      </w:pPr>
      <w:r w:rsidRPr="00155AB0">
        <w:rPr>
          <w:rFonts w:ascii="Arial" w:hAnsi="Arial" w:cs="Arial"/>
          <w:sz w:val="20"/>
          <w:szCs w:val="20"/>
          <w:lang w:eastAsia="sl-SI"/>
        </w:rPr>
        <w:t>a)</w:t>
      </w:r>
      <w:r w:rsidRPr="00155AB0">
        <w:rPr>
          <w:rFonts w:ascii="Arial" w:hAnsi="Arial" w:cs="Arial"/>
          <w:sz w:val="20"/>
          <w:szCs w:val="20"/>
          <w:lang w:eastAsia="sl-SI"/>
        </w:rPr>
        <w:tab/>
        <w:t xml:space="preserve">revidirani rudarski projekt za pridobitev koncesije za izkoriščanje, ki ga nosilec rudarske pravice priloži predlogu za sklenitev koncesijske pogodbe, mora biti izdelan v skladu z </w:t>
      </w:r>
      <w:r>
        <w:rPr>
          <w:rFonts w:ascii="Arial" w:hAnsi="Arial" w:cs="Arial"/>
          <w:sz w:val="20"/>
          <w:szCs w:val="20"/>
          <w:lang w:eastAsia="sl-SI"/>
        </w:rPr>
        <w:t xml:space="preserve">zakonom, ki ureja rudarstvo, na njegovi podlagi izdanimi predpisi in </w:t>
      </w:r>
      <w:r w:rsidRPr="00155AB0">
        <w:rPr>
          <w:rFonts w:ascii="Arial" w:hAnsi="Arial" w:cs="Arial"/>
          <w:sz w:val="20"/>
          <w:szCs w:val="20"/>
          <w:lang w:eastAsia="sl-SI"/>
        </w:rPr>
        <w:t>določbami te uredbe. Pridobivalni prostor in njegova raba morata biti v skladu z dokumenti urejanj</w:t>
      </w:r>
      <w:r>
        <w:rPr>
          <w:rFonts w:ascii="Arial" w:hAnsi="Arial" w:cs="Arial"/>
          <w:sz w:val="20"/>
          <w:szCs w:val="20"/>
          <w:lang w:eastAsia="sl-SI"/>
        </w:rPr>
        <w:t>a</w:t>
      </w:r>
      <w:r w:rsidRPr="00155AB0">
        <w:rPr>
          <w:rFonts w:ascii="Arial" w:hAnsi="Arial" w:cs="Arial"/>
          <w:sz w:val="20"/>
          <w:szCs w:val="20"/>
          <w:lang w:eastAsia="sl-SI"/>
        </w:rPr>
        <w:t xml:space="preserve"> prostora</w:t>
      </w:r>
      <w:r>
        <w:rPr>
          <w:rFonts w:ascii="Arial" w:hAnsi="Arial" w:cs="Arial"/>
          <w:sz w:val="20"/>
          <w:szCs w:val="20"/>
          <w:lang w:eastAsia="sl-SI"/>
        </w:rPr>
        <w:t>;</w:t>
      </w:r>
    </w:p>
    <w:p w14:paraId="3066F02C" w14:textId="77777777" w:rsidR="00760EEB" w:rsidRPr="00155AB0" w:rsidRDefault="00760EEB" w:rsidP="00760EEB">
      <w:pPr>
        <w:suppressAutoHyphens w:val="0"/>
        <w:spacing w:line="260" w:lineRule="atLeast"/>
        <w:ind w:left="397" w:hanging="227"/>
        <w:jc w:val="both"/>
        <w:rPr>
          <w:rFonts w:ascii="Arial" w:hAnsi="Arial" w:cs="Arial"/>
          <w:sz w:val="20"/>
          <w:szCs w:val="20"/>
          <w:lang w:eastAsia="sl-SI"/>
        </w:rPr>
      </w:pPr>
      <w:r w:rsidRPr="00155AB0">
        <w:rPr>
          <w:rFonts w:ascii="Arial" w:hAnsi="Arial" w:cs="Arial"/>
          <w:sz w:val="20"/>
          <w:szCs w:val="20"/>
          <w:lang w:eastAsia="sl-SI"/>
        </w:rPr>
        <w:lastRenderedPageBreak/>
        <w:t>b)</w:t>
      </w:r>
      <w:r w:rsidRPr="00155AB0">
        <w:rPr>
          <w:rFonts w:ascii="Arial" w:hAnsi="Arial" w:cs="Arial"/>
          <w:sz w:val="20"/>
          <w:szCs w:val="20"/>
          <w:lang w:eastAsia="sl-SI"/>
        </w:rPr>
        <w:tab/>
        <w:t xml:space="preserve">pridobitev soglasij, mnenj in dovoljenj pristojnih </w:t>
      </w:r>
      <w:proofErr w:type="spellStart"/>
      <w:r w:rsidRPr="00155AB0">
        <w:rPr>
          <w:rFonts w:ascii="Arial" w:hAnsi="Arial" w:cs="Arial"/>
          <w:sz w:val="20"/>
          <w:szCs w:val="20"/>
          <w:lang w:eastAsia="sl-SI"/>
        </w:rPr>
        <w:t>soglasodajalcev</w:t>
      </w:r>
      <w:proofErr w:type="spellEnd"/>
      <w:r w:rsidRPr="00155AB0">
        <w:rPr>
          <w:rFonts w:ascii="Arial" w:hAnsi="Arial" w:cs="Arial"/>
          <w:sz w:val="20"/>
          <w:szCs w:val="20"/>
          <w:lang w:eastAsia="sl-SI"/>
        </w:rPr>
        <w:t xml:space="preserve"> in </w:t>
      </w:r>
      <w:proofErr w:type="spellStart"/>
      <w:r w:rsidRPr="00155AB0">
        <w:rPr>
          <w:rFonts w:ascii="Arial" w:hAnsi="Arial" w:cs="Arial"/>
          <w:sz w:val="20"/>
          <w:szCs w:val="20"/>
          <w:lang w:eastAsia="sl-SI"/>
        </w:rPr>
        <w:t>mnenjedajalcev</w:t>
      </w:r>
      <w:proofErr w:type="spellEnd"/>
      <w:r w:rsidRPr="00155AB0">
        <w:rPr>
          <w:rFonts w:ascii="Arial" w:hAnsi="Arial" w:cs="Arial"/>
          <w:sz w:val="20"/>
          <w:szCs w:val="20"/>
          <w:lang w:eastAsia="sl-SI"/>
        </w:rPr>
        <w:t xml:space="preserve"> k rudarskemu projektu za pridobitev koncesije za izkoriščanje ter dovoljenj in drugih aktov po predpisih, ki urejajo ceste, vode, naravo, naravne vrednote, kulturno dediščino in drugo;</w:t>
      </w:r>
    </w:p>
    <w:p w14:paraId="62026479" w14:textId="3D1DE07F" w:rsidR="00760EEB" w:rsidRPr="00155AB0" w:rsidRDefault="00760EEB" w:rsidP="00760EEB">
      <w:pPr>
        <w:suppressAutoHyphens w:val="0"/>
        <w:spacing w:line="260" w:lineRule="atLeast"/>
        <w:ind w:left="397" w:hanging="227"/>
        <w:jc w:val="both"/>
        <w:rPr>
          <w:rFonts w:ascii="Arial" w:hAnsi="Arial" w:cs="Arial"/>
          <w:sz w:val="20"/>
          <w:szCs w:val="20"/>
          <w:lang w:eastAsia="sl-SI"/>
        </w:rPr>
      </w:pPr>
      <w:r w:rsidRPr="00155AB0">
        <w:rPr>
          <w:rFonts w:ascii="Arial" w:hAnsi="Arial" w:cs="Arial"/>
          <w:sz w:val="20"/>
          <w:szCs w:val="20"/>
          <w:lang w:eastAsia="sl-SI"/>
        </w:rPr>
        <w:t>c)</w:t>
      </w:r>
      <w:r>
        <w:rPr>
          <w:rFonts w:ascii="Arial" w:hAnsi="Arial" w:cs="Arial"/>
          <w:sz w:val="20"/>
          <w:szCs w:val="20"/>
          <w:lang w:eastAsia="sl-SI"/>
        </w:rPr>
        <w:t xml:space="preserve"> </w:t>
      </w:r>
      <w:r w:rsidRPr="00155AB0">
        <w:rPr>
          <w:rFonts w:ascii="Arial" w:hAnsi="Arial" w:cs="Arial"/>
          <w:sz w:val="20"/>
          <w:szCs w:val="20"/>
          <w:lang w:eastAsia="sl-SI"/>
        </w:rPr>
        <w:t>pridobitev okoljevarstvenega soglasja ali sklepa v predhodnem postopku na podlagi predpisa, ki ureja presojo vplivov na okolje;</w:t>
      </w:r>
    </w:p>
    <w:p w14:paraId="10D55831" w14:textId="1B8BBE2E" w:rsidR="00760EEB" w:rsidRDefault="000A335B" w:rsidP="00760EEB">
      <w:pPr>
        <w:suppressAutoHyphens w:val="0"/>
        <w:spacing w:line="260" w:lineRule="atLeast"/>
        <w:ind w:left="397" w:hanging="227"/>
        <w:jc w:val="both"/>
        <w:rPr>
          <w:rFonts w:ascii="Arial" w:hAnsi="Arial" w:cs="Arial"/>
          <w:sz w:val="20"/>
          <w:szCs w:val="20"/>
          <w:lang w:eastAsia="sl-SI"/>
        </w:rPr>
      </w:pPr>
      <w:r>
        <w:rPr>
          <w:rFonts w:ascii="Arial" w:hAnsi="Arial" w:cs="Arial"/>
          <w:sz w:val="20"/>
          <w:szCs w:val="20"/>
          <w:lang w:eastAsia="sl-SI"/>
        </w:rPr>
        <w:t>d</w:t>
      </w:r>
      <w:r w:rsidR="00760EEB" w:rsidRPr="00155AB0">
        <w:rPr>
          <w:rFonts w:ascii="Arial" w:hAnsi="Arial" w:cs="Arial"/>
          <w:sz w:val="20"/>
          <w:szCs w:val="20"/>
          <w:lang w:eastAsia="sl-SI"/>
        </w:rPr>
        <w:t>)</w:t>
      </w:r>
      <w:r w:rsidR="00760EEB" w:rsidRPr="00155AB0">
        <w:rPr>
          <w:rFonts w:ascii="Arial" w:hAnsi="Arial" w:cs="Arial"/>
          <w:sz w:val="20"/>
          <w:szCs w:val="20"/>
          <w:lang w:eastAsia="sl-SI"/>
        </w:rPr>
        <w:tab/>
        <w:t>izdelava elaborata o zalogah in virih mineralnih surovin v enem letu od dneva podpisa koncesijske pogodbe.</w:t>
      </w:r>
    </w:p>
    <w:p w14:paraId="63A5084B" w14:textId="26E90AE8" w:rsidR="00760EEB" w:rsidRPr="00155AB0" w:rsidRDefault="00760EEB" w:rsidP="00760EEB">
      <w:pPr>
        <w:suppressAutoHyphens w:val="0"/>
        <w:spacing w:line="260" w:lineRule="atLeast"/>
        <w:ind w:left="397" w:hanging="227"/>
        <w:jc w:val="both"/>
        <w:rPr>
          <w:rFonts w:ascii="Arial" w:hAnsi="Arial" w:cs="Arial"/>
          <w:sz w:val="20"/>
          <w:szCs w:val="20"/>
          <w:lang w:eastAsia="sl-SI"/>
        </w:rPr>
      </w:pPr>
      <w:r>
        <w:rPr>
          <w:rFonts w:ascii="Arial" w:hAnsi="Arial" w:cs="Arial"/>
          <w:sz w:val="20"/>
          <w:szCs w:val="20"/>
          <w:lang w:eastAsia="sl-SI"/>
        </w:rPr>
        <w:t xml:space="preserve">(10) Potrdilo o skladnosti pridobivalnega prostora in njegove rabe z </w:t>
      </w:r>
      <w:r w:rsidRPr="00CF1372">
        <w:rPr>
          <w:rFonts w:ascii="Arial" w:hAnsi="Arial" w:cs="Arial"/>
          <w:sz w:val="20"/>
          <w:szCs w:val="20"/>
          <w:lang w:eastAsia="sl-SI"/>
        </w:rPr>
        <w:t>dokumenti urejanj</w:t>
      </w:r>
      <w:r>
        <w:rPr>
          <w:rFonts w:ascii="Arial" w:hAnsi="Arial" w:cs="Arial"/>
          <w:sz w:val="20"/>
          <w:szCs w:val="20"/>
          <w:lang w:eastAsia="sl-SI"/>
        </w:rPr>
        <w:t>a</w:t>
      </w:r>
      <w:r w:rsidRPr="00CF1372">
        <w:rPr>
          <w:rFonts w:ascii="Arial" w:hAnsi="Arial" w:cs="Arial"/>
          <w:sz w:val="20"/>
          <w:szCs w:val="20"/>
          <w:lang w:eastAsia="sl-SI"/>
        </w:rPr>
        <w:t xml:space="preserve"> prostora </w:t>
      </w:r>
      <w:r>
        <w:rPr>
          <w:rFonts w:ascii="Arial" w:hAnsi="Arial" w:cs="Arial"/>
          <w:sz w:val="20"/>
          <w:szCs w:val="20"/>
          <w:lang w:eastAsia="sl-SI"/>
        </w:rPr>
        <w:t>iz točke a) prejšnjega odstavka ter s</w:t>
      </w:r>
      <w:r w:rsidRPr="00CF1372">
        <w:rPr>
          <w:rFonts w:ascii="Arial" w:hAnsi="Arial" w:cs="Arial"/>
          <w:sz w:val="20"/>
          <w:szCs w:val="20"/>
          <w:lang w:eastAsia="sl-SI"/>
        </w:rPr>
        <w:t>oglasja, mnenja in dovoljenja iz točk b)</w:t>
      </w:r>
      <w:r w:rsidR="000A335B">
        <w:rPr>
          <w:rFonts w:ascii="Arial" w:hAnsi="Arial" w:cs="Arial"/>
          <w:sz w:val="20"/>
          <w:szCs w:val="20"/>
          <w:lang w:eastAsia="sl-SI"/>
        </w:rPr>
        <w:t xml:space="preserve"> in</w:t>
      </w:r>
      <w:r w:rsidRPr="00CF1372">
        <w:rPr>
          <w:rFonts w:ascii="Arial" w:hAnsi="Arial" w:cs="Arial"/>
          <w:sz w:val="20"/>
          <w:szCs w:val="20"/>
          <w:lang w:eastAsia="sl-SI"/>
        </w:rPr>
        <w:t xml:space="preserve"> c) prejšnjega odstavka</w:t>
      </w:r>
      <w:r>
        <w:rPr>
          <w:rFonts w:ascii="Arial" w:hAnsi="Arial" w:cs="Arial"/>
          <w:sz w:val="20"/>
          <w:szCs w:val="20"/>
          <w:lang w:eastAsia="sl-SI"/>
        </w:rPr>
        <w:t xml:space="preserve"> morajo biti sestavni del </w:t>
      </w:r>
      <w:r w:rsidRPr="00155AB0">
        <w:rPr>
          <w:rFonts w:ascii="Arial" w:hAnsi="Arial" w:cs="Arial"/>
          <w:sz w:val="20"/>
          <w:szCs w:val="20"/>
          <w:lang w:eastAsia="sl-SI"/>
        </w:rPr>
        <w:t>revidiran</w:t>
      </w:r>
      <w:r>
        <w:rPr>
          <w:rFonts w:ascii="Arial" w:hAnsi="Arial" w:cs="Arial"/>
          <w:sz w:val="20"/>
          <w:szCs w:val="20"/>
          <w:lang w:eastAsia="sl-SI"/>
        </w:rPr>
        <w:t>ega</w:t>
      </w:r>
      <w:r w:rsidRPr="00155AB0">
        <w:rPr>
          <w:rFonts w:ascii="Arial" w:hAnsi="Arial" w:cs="Arial"/>
          <w:sz w:val="20"/>
          <w:szCs w:val="20"/>
          <w:lang w:eastAsia="sl-SI"/>
        </w:rPr>
        <w:t xml:space="preserve"> rudarsk</w:t>
      </w:r>
      <w:r>
        <w:rPr>
          <w:rFonts w:ascii="Arial" w:hAnsi="Arial" w:cs="Arial"/>
          <w:sz w:val="20"/>
          <w:szCs w:val="20"/>
          <w:lang w:eastAsia="sl-SI"/>
        </w:rPr>
        <w:t>ega</w:t>
      </w:r>
      <w:r w:rsidRPr="00155AB0">
        <w:rPr>
          <w:rFonts w:ascii="Arial" w:hAnsi="Arial" w:cs="Arial"/>
          <w:sz w:val="20"/>
          <w:szCs w:val="20"/>
          <w:lang w:eastAsia="sl-SI"/>
        </w:rPr>
        <w:t xml:space="preserve"> projekt</w:t>
      </w:r>
      <w:r>
        <w:rPr>
          <w:rFonts w:ascii="Arial" w:hAnsi="Arial" w:cs="Arial"/>
          <w:sz w:val="20"/>
          <w:szCs w:val="20"/>
          <w:lang w:eastAsia="sl-SI"/>
        </w:rPr>
        <w:t>a</w:t>
      </w:r>
      <w:r w:rsidRPr="00155AB0">
        <w:rPr>
          <w:rFonts w:ascii="Arial" w:hAnsi="Arial" w:cs="Arial"/>
          <w:sz w:val="20"/>
          <w:szCs w:val="20"/>
          <w:lang w:eastAsia="sl-SI"/>
        </w:rPr>
        <w:t xml:space="preserve"> za pridobitev koncesije za izkoriščanje</w:t>
      </w:r>
      <w:r w:rsidRPr="00CF1372">
        <w:rPr>
          <w:rFonts w:ascii="Arial" w:hAnsi="Arial" w:cs="Arial"/>
          <w:sz w:val="20"/>
          <w:szCs w:val="20"/>
          <w:lang w:eastAsia="sl-SI"/>
        </w:rPr>
        <w:t>.</w:t>
      </w:r>
    </w:p>
    <w:p w14:paraId="4D3C23CD" w14:textId="77777777" w:rsidR="00760EEB" w:rsidRPr="00155AB0" w:rsidRDefault="00760EEB" w:rsidP="00760EEB">
      <w:pPr>
        <w:suppressAutoHyphens w:val="0"/>
        <w:spacing w:line="260" w:lineRule="atLeast"/>
        <w:ind w:firstLine="170"/>
        <w:jc w:val="both"/>
        <w:rPr>
          <w:rFonts w:ascii="Arial" w:hAnsi="Arial" w:cs="Arial"/>
          <w:sz w:val="20"/>
          <w:szCs w:val="20"/>
          <w:lang w:eastAsia="sl-SI"/>
        </w:rPr>
      </w:pPr>
      <w:r w:rsidRPr="00155AB0">
        <w:rPr>
          <w:rFonts w:ascii="Arial" w:hAnsi="Arial" w:cs="Arial"/>
          <w:sz w:val="20"/>
          <w:szCs w:val="20"/>
          <w:lang w:eastAsia="sl-SI"/>
        </w:rPr>
        <w:t>(1</w:t>
      </w:r>
      <w:r>
        <w:rPr>
          <w:rFonts w:ascii="Arial" w:hAnsi="Arial" w:cs="Arial"/>
          <w:sz w:val="20"/>
          <w:szCs w:val="20"/>
          <w:lang w:eastAsia="sl-SI"/>
        </w:rPr>
        <w:t>1</w:t>
      </w:r>
      <w:r w:rsidRPr="00155AB0">
        <w:rPr>
          <w:rFonts w:ascii="Arial" w:hAnsi="Arial" w:cs="Arial"/>
          <w:sz w:val="20"/>
          <w:szCs w:val="20"/>
          <w:lang w:eastAsia="sl-SI"/>
        </w:rPr>
        <w:t>) Sanacija pridobivalnega prostora se izvede v skladu s potrjenim rudarskim projektom za pridobitev koncesije za izkoriščanje. Uporaba odpadkov za zasipanje odkopanega pridobivalnega prostora je dovoljena le v skladu s predpisi s področja odpadkov. Po dokončanih zapiralnih delih oziroma po izvedeni dokončni sanaciji okolja nosilec rudarske pravice za izkoriščanje pri ministrstvu, pristojnem za rudarstvo, vloži vlogo za izdajo odločbe o prenehanju pravic in obveznosti.</w:t>
      </w:r>
      <w:r w:rsidRPr="00155AB0" w:rsidDel="00981047">
        <w:rPr>
          <w:rFonts w:ascii="Arial" w:hAnsi="Arial" w:cs="Arial"/>
          <w:sz w:val="20"/>
          <w:szCs w:val="20"/>
          <w:lang w:eastAsia="sl-SI"/>
        </w:rPr>
        <w:t xml:space="preserve"> </w:t>
      </w:r>
    </w:p>
    <w:p w14:paraId="1736414C" w14:textId="77777777" w:rsidR="00760EEB" w:rsidRPr="00155AB0" w:rsidRDefault="00760EEB" w:rsidP="00760EEB">
      <w:pPr>
        <w:suppressAutoHyphens w:val="0"/>
        <w:spacing w:line="260" w:lineRule="atLeast"/>
        <w:ind w:firstLine="170"/>
        <w:jc w:val="both"/>
        <w:rPr>
          <w:rFonts w:ascii="Arial" w:hAnsi="Arial" w:cs="Arial"/>
          <w:sz w:val="20"/>
          <w:szCs w:val="20"/>
          <w:lang w:eastAsia="sl-SI"/>
        </w:rPr>
      </w:pPr>
      <w:r w:rsidRPr="00155AB0">
        <w:rPr>
          <w:rFonts w:ascii="Arial" w:hAnsi="Arial" w:cs="Arial"/>
          <w:sz w:val="20"/>
          <w:szCs w:val="20"/>
          <w:lang w:eastAsia="sl-SI"/>
        </w:rPr>
        <w:t>(1</w:t>
      </w:r>
      <w:r>
        <w:rPr>
          <w:rFonts w:ascii="Arial" w:hAnsi="Arial" w:cs="Arial"/>
          <w:sz w:val="20"/>
          <w:szCs w:val="20"/>
          <w:lang w:eastAsia="sl-SI"/>
        </w:rPr>
        <w:t>2</w:t>
      </w:r>
      <w:r w:rsidRPr="00155AB0">
        <w:rPr>
          <w:rFonts w:ascii="Arial" w:hAnsi="Arial" w:cs="Arial"/>
          <w:sz w:val="20"/>
          <w:szCs w:val="20"/>
          <w:lang w:eastAsia="sl-SI"/>
        </w:rPr>
        <w:t>) Vrste dejavnosti, ki se lahko opravljajo v zvezi s pridobljeno mineralno surovino, so:</w:t>
      </w:r>
    </w:p>
    <w:p w14:paraId="1773C193" w14:textId="77777777" w:rsidR="00760EEB" w:rsidRPr="00314ACC" w:rsidRDefault="00760EEB" w:rsidP="00760EEB">
      <w:pPr>
        <w:suppressAutoHyphens w:val="0"/>
        <w:spacing w:line="260" w:lineRule="atLeast"/>
        <w:ind w:left="397" w:hanging="227"/>
        <w:jc w:val="both"/>
        <w:rPr>
          <w:rFonts w:ascii="Arial" w:hAnsi="Arial" w:cs="Arial"/>
          <w:sz w:val="20"/>
          <w:szCs w:val="20"/>
          <w:lang w:eastAsia="sl-SI"/>
        </w:rPr>
      </w:pPr>
      <w:r w:rsidRPr="00574DEC">
        <w:rPr>
          <w:rFonts w:ascii="Arial" w:hAnsi="Arial" w:cs="Arial"/>
          <w:sz w:val="20"/>
          <w:szCs w:val="20"/>
          <w:lang w:eastAsia="sl-SI"/>
        </w:rPr>
        <w:t xml:space="preserve">– pridobivanje </w:t>
      </w:r>
      <w:r w:rsidRPr="00314ACC">
        <w:rPr>
          <w:rFonts w:ascii="Arial" w:hAnsi="Arial" w:cs="Arial"/>
          <w:sz w:val="20"/>
          <w:szCs w:val="20"/>
          <w:lang w:eastAsia="sl-SI"/>
        </w:rPr>
        <w:t>mineralne surovine;</w:t>
      </w:r>
    </w:p>
    <w:p w14:paraId="4ED5EA63" w14:textId="77777777" w:rsidR="00760EEB" w:rsidRPr="00314ACC" w:rsidRDefault="00760EEB" w:rsidP="00760EEB">
      <w:pPr>
        <w:suppressAutoHyphens w:val="0"/>
        <w:spacing w:line="260" w:lineRule="atLeast"/>
        <w:ind w:left="397" w:hanging="227"/>
        <w:jc w:val="both"/>
        <w:rPr>
          <w:rFonts w:ascii="Arial" w:hAnsi="Arial" w:cs="Arial"/>
          <w:sz w:val="20"/>
          <w:szCs w:val="20"/>
          <w:lang w:eastAsia="sl-SI"/>
        </w:rPr>
      </w:pPr>
      <w:r w:rsidRPr="00314ACC">
        <w:rPr>
          <w:rFonts w:ascii="Arial" w:hAnsi="Arial" w:cs="Arial"/>
          <w:sz w:val="20"/>
          <w:szCs w:val="20"/>
          <w:lang w:eastAsia="sl-SI"/>
        </w:rPr>
        <w:t>– skladiščenje in obogatitev mineralne surovine</w:t>
      </w:r>
      <w:r>
        <w:rPr>
          <w:rFonts w:ascii="Arial" w:hAnsi="Arial" w:cs="Arial"/>
          <w:sz w:val="20"/>
          <w:szCs w:val="20"/>
          <w:lang w:eastAsia="sl-SI"/>
        </w:rPr>
        <w:t>;</w:t>
      </w:r>
    </w:p>
    <w:p w14:paraId="7F8DA477" w14:textId="77777777" w:rsidR="00760EEB" w:rsidRPr="00155AB0" w:rsidRDefault="00760EEB" w:rsidP="00760EEB">
      <w:pPr>
        <w:suppressAutoHyphens w:val="0"/>
        <w:spacing w:line="260" w:lineRule="atLeast"/>
        <w:ind w:left="397" w:hanging="227"/>
        <w:jc w:val="both"/>
        <w:rPr>
          <w:rFonts w:ascii="Arial" w:hAnsi="Arial" w:cs="Arial"/>
          <w:sz w:val="20"/>
          <w:szCs w:val="20"/>
          <w:lang w:eastAsia="sl-SI"/>
        </w:rPr>
      </w:pPr>
      <w:r w:rsidRPr="00314ACC">
        <w:rPr>
          <w:rFonts w:ascii="Arial" w:hAnsi="Arial" w:cs="Arial"/>
          <w:sz w:val="20"/>
          <w:szCs w:val="20"/>
          <w:lang w:eastAsia="sl-SI"/>
        </w:rPr>
        <w:t>– uporaba mineralne surovine in proizvodov njene obogatitve za lastne potrebe in prodajo na trgu.</w:t>
      </w:r>
    </w:p>
    <w:p w14:paraId="77EB5486" w14:textId="77777777" w:rsidR="00760EEB" w:rsidRDefault="00760EEB" w:rsidP="00760EEB">
      <w:pPr>
        <w:tabs>
          <w:tab w:val="left" w:pos="708"/>
        </w:tabs>
        <w:suppressAutoHyphens w:val="0"/>
        <w:spacing w:line="260" w:lineRule="atLeast"/>
        <w:rPr>
          <w:rFonts w:ascii="Arial" w:hAnsi="Arial" w:cs="Arial"/>
          <w:sz w:val="20"/>
          <w:szCs w:val="20"/>
          <w:lang w:eastAsia="en-US"/>
        </w:rPr>
      </w:pPr>
    </w:p>
    <w:p w14:paraId="7094E09A" w14:textId="77777777" w:rsidR="00760EEB" w:rsidRPr="00155AB0" w:rsidRDefault="00760EEB" w:rsidP="00760EEB">
      <w:pPr>
        <w:tabs>
          <w:tab w:val="left" w:pos="708"/>
        </w:tabs>
        <w:suppressAutoHyphens w:val="0"/>
        <w:spacing w:line="260" w:lineRule="atLeast"/>
        <w:rPr>
          <w:rFonts w:ascii="Arial" w:hAnsi="Arial" w:cs="Arial"/>
          <w:sz w:val="20"/>
          <w:szCs w:val="20"/>
          <w:lang w:eastAsia="en-US"/>
        </w:rPr>
      </w:pPr>
    </w:p>
    <w:p w14:paraId="1A797A12" w14:textId="6F974583" w:rsidR="00760EEB" w:rsidRPr="00155AB0" w:rsidRDefault="00760EEB" w:rsidP="00760EEB">
      <w:pPr>
        <w:suppressAutoHyphens w:val="0"/>
        <w:spacing w:line="260" w:lineRule="atLeast"/>
        <w:jc w:val="center"/>
        <w:outlineLvl w:val="0"/>
        <w:rPr>
          <w:rFonts w:ascii="Arial" w:hAnsi="Arial" w:cs="Arial"/>
          <w:sz w:val="20"/>
          <w:szCs w:val="20"/>
        </w:rPr>
      </w:pPr>
      <w:r w:rsidRPr="00155AB0">
        <w:rPr>
          <w:rFonts w:ascii="Arial" w:hAnsi="Arial" w:cs="Arial"/>
          <w:b/>
          <w:sz w:val="20"/>
          <w:szCs w:val="20"/>
        </w:rPr>
        <w:t>III. </w:t>
      </w:r>
      <w:r w:rsidR="006B30B7">
        <w:rPr>
          <w:rFonts w:ascii="Arial" w:hAnsi="Arial" w:cs="Arial"/>
          <w:b/>
          <w:sz w:val="20"/>
          <w:szCs w:val="20"/>
        </w:rPr>
        <w:t xml:space="preserve">PREHODNA IN </w:t>
      </w:r>
      <w:r w:rsidRPr="00155AB0">
        <w:rPr>
          <w:rFonts w:ascii="Arial" w:hAnsi="Arial" w:cs="Arial"/>
          <w:b/>
          <w:sz w:val="20"/>
          <w:szCs w:val="20"/>
          <w:lang w:eastAsia="en-US"/>
        </w:rPr>
        <w:t>KONČNI DOLOČBI</w:t>
      </w:r>
    </w:p>
    <w:p w14:paraId="414CBD69" w14:textId="77777777" w:rsidR="00760EEB" w:rsidRDefault="00760EEB" w:rsidP="00760EEB">
      <w:pPr>
        <w:tabs>
          <w:tab w:val="left" w:pos="708"/>
        </w:tabs>
        <w:suppressAutoHyphens w:val="0"/>
        <w:spacing w:line="260" w:lineRule="atLeast"/>
        <w:rPr>
          <w:rFonts w:ascii="Arial" w:hAnsi="Arial" w:cs="Arial"/>
          <w:sz w:val="20"/>
          <w:szCs w:val="20"/>
          <w:lang w:eastAsia="en-US"/>
        </w:rPr>
      </w:pPr>
    </w:p>
    <w:p w14:paraId="380B39D0" w14:textId="77777777" w:rsidR="00760EEB" w:rsidRPr="00155AB0" w:rsidRDefault="00760EEB" w:rsidP="00760EEB">
      <w:pPr>
        <w:tabs>
          <w:tab w:val="left" w:pos="708"/>
        </w:tabs>
        <w:suppressAutoHyphens w:val="0"/>
        <w:spacing w:line="260" w:lineRule="atLeast"/>
        <w:rPr>
          <w:rFonts w:ascii="Arial" w:hAnsi="Arial" w:cs="Arial"/>
          <w:sz w:val="20"/>
          <w:szCs w:val="20"/>
          <w:lang w:eastAsia="en-US"/>
        </w:rPr>
      </w:pPr>
    </w:p>
    <w:p w14:paraId="21B5C425" w14:textId="77777777" w:rsidR="00760EEB" w:rsidRDefault="00760EEB" w:rsidP="00760EEB">
      <w:pPr>
        <w:suppressAutoHyphens w:val="0"/>
        <w:spacing w:line="260" w:lineRule="atLeast"/>
        <w:jc w:val="center"/>
        <w:outlineLvl w:val="0"/>
        <w:rPr>
          <w:rFonts w:ascii="Arial" w:hAnsi="Arial" w:cs="Arial"/>
          <w:b/>
          <w:sz w:val="20"/>
          <w:szCs w:val="20"/>
          <w:lang w:eastAsia="sl-SI"/>
        </w:rPr>
      </w:pPr>
      <w:r>
        <w:rPr>
          <w:rFonts w:ascii="Arial" w:hAnsi="Arial" w:cs="Arial"/>
          <w:b/>
          <w:sz w:val="20"/>
          <w:szCs w:val="20"/>
          <w:lang w:eastAsia="sl-SI"/>
        </w:rPr>
        <w:t>10</w:t>
      </w:r>
      <w:r w:rsidRPr="00155AB0">
        <w:rPr>
          <w:rFonts w:ascii="Arial" w:hAnsi="Arial" w:cs="Arial"/>
          <w:b/>
          <w:sz w:val="20"/>
          <w:szCs w:val="20"/>
          <w:lang w:eastAsia="sl-SI"/>
        </w:rPr>
        <w:t>. člen</w:t>
      </w:r>
    </w:p>
    <w:p w14:paraId="7ED408FB" w14:textId="107B6E10" w:rsidR="007C2425" w:rsidRDefault="007C2425" w:rsidP="00760EEB">
      <w:pPr>
        <w:suppressAutoHyphens w:val="0"/>
        <w:spacing w:line="260" w:lineRule="atLeast"/>
        <w:jc w:val="center"/>
        <w:outlineLvl w:val="0"/>
        <w:rPr>
          <w:rFonts w:ascii="Arial" w:hAnsi="Arial" w:cs="Arial"/>
          <w:b/>
          <w:sz w:val="20"/>
          <w:szCs w:val="20"/>
          <w:lang w:eastAsia="sl-SI"/>
        </w:rPr>
      </w:pPr>
      <w:r>
        <w:rPr>
          <w:rFonts w:ascii="Arial" w:hAnsi="Arial" w:cs="Arial"/>
          <w:b/>
          <w:sz w:val="20"/>
          <w:szCs w:val="20"/>
          <w:lang w:eastAsia="sl-SI"/>
        </w:rPr>
        <w:t xml:space="preserve">(obveznost sanacije in </w:t>
      </w:r>
      <w:proofErr w:type="spellStart"/>
      <w:r>
        <w:rPr>
          <w:rFonts w:ascii="Arial" w:hAnsi="Arial" w:cs="Arial"/>
          <w:b/>
          <w:sz w:val="20"/>
          <w:szCs w:val="20"/>
          <w:lang w:eastAsia="sl-SI"/>
        </w:rPr>
        <w:t>rekultivacije</w:t>
      </w:r>
      <w:proofErr w:type="spellEnd"/>
      <w:r>
        <w:rPr>
          <w:rFonts w:ascii="Arial" w:hAnsi="Arial" w:cs="Arial"/>
          <w:b/>
          <w:sz w:val="20"/>
          <w:szCs w:val="20"/>
          <w:lang w:eastAsia="sl-SI"/>
        </w:rPr>
        <w:t xml:space="preserve"> iz predhodnih rudarskih pravic)</w:t>
      </w:r>
    </w:p>
    <w:p w14:paraId="0BF9F9B5" w14:textId="77777777" w:rsidR="00236BAC" w:rsidRDefault="00236BAC" w:rsidP="007C2425">
      <w:pPr>
        <w:suppressAutoHyphens w:val="0"/>
        <w:spacing w:line="260" w:lineRule="atLeast"/>
        <w:ind w:firstLine="170"/>
        <w:jc w:val="both"/>
        <w:rPr>
          <w:rFonts w:ascii="Arial" w:hAnsi="Arial" w:cs="Arial"/>
          <w:sz w:val="20"/>
          <w:szCs w:val="20"/>
          <w:lang w:eastAsia="sl-SI"/>
        </w:rPr>
      </w:pPr>
    </w:p>
    <w:p w14:paraId="0EE6073F" w14:textId="702526D0" w:rsidR="00236BAC" w:rsidRDefault="00037774" w:rsidP="007C2425">
      <w:pPr>
        <w:suppressAutoHyphens w:val="0"/>
        <w:spacing w:line="260" w:lineRule="atLeast"/>
        <w:ind w:firstLine="170"/>
        <w:jc w:val="both"/>
        <w:rPr>
          <w:rFonts w:ascii="Arial" w:hAnsi="Arial" w:cs="Arial"/>
          <w:sz w:val="20"/>
          <w:szCs w:val="20"/>
          <w:lang w:eastAsia="sl-SI"/>
        </w:rPr>
      </w:pPr>
      <w:r>
        <w:rPr>
          <w:rFonts w:ascii="Arial" w:hAnsi="Arial" w:cs="Arial"/>
          <w:sz w:val="20"/>
          <w:szCs w:val="20"/>
          <w:lang w:eastAsia="sl-SI"/>
        </w:rPr>
        <w:t xml:space="preserve">(1) </w:t>
      </w:r>
      <w:r w:rsidR="007C2425">
        <w:rPr>
          <w:rFonts w:ascii="Arial" w:hAnsi="Arial" w:cs="Arial"/>
          <w:sz w:val="20"/>
          <w:szCs w:val="20"/>
          <w:lang w:eastAsia="sl-SI"/>
        </w:rPr>
        <w:t>Pravna oseba</w:t>
      </w:r>
      <w:r w:rsidR="007C2425" w:rsidRPr="007C2425">
        <w:t xml:space="preserve"> </w:t>
      </w:r>
      <w:r w:rsidR="007C2425" w:rsidRPr="007C2425">
        <w:rPr>
          <w:rFonts w:ascii="Arial" w:hAnsi="Arial" w:cs="Arial"/>
          <w:sz w:val="20"/>
          <w:szCs w:val="20"/>
          <w:lang w:eastAsia="sl-SI"/>
        </w:rPr>
        <w:t xml:space="preserve">PESKOKOP KEPA SUZANA KEPA </w:t>
      </w:r>
      <w:proofErr w:type="spellStart"/>
      <w:r w:rsidR="007C2425" w:rsidRPr="007C2425">
        <w:rPr>
          <w:rFonts w:ascii="Arial" w:hAnsi="Arial" w:cs="Arial"/>
          <w:sz w:val="20"/>
          <w:szCs w:val="20"/>
          <w:lang w:eastAsia="sl-SI"/>
        </w:rPr>
        <w:t>s.p</w:t>
      </w:r>
      <w:proofErr w:type="spellEnd"/>
      <w:r w:rsidR="007C2425" w:rsidRPr="007C2425">
        <w:rPr>
          <w:rFonts w:ascii="Arial" w:hAnsi="Arial" w:cs="Arial"/>
          <w:sz w:val="20"/>
          <w:szCs w:val="20"/>
          <w:lang w:eastAsia="sl-SI"/>
        </w:rPr>
        <w:t>., Ježce 2, 1275 Šmartno pri Litiji, matična številka: 3124231000</w:t>
      </w:r>
      <w:r w:rsidR="007C2425">
        <w:rPr>
          <w:rFonts w:ascii="Arial" w:hAnsi="Arial" w:cs="Arial"/>
          <w:sz w:val="20"/>
          <w:szCs w:val="20"/>
          <w:lang w:eastAsia="sl-SI"/>
        </w:rPr>
        <w:t>, mora izvesti dokončno sanacijo in rekultivacijo zemljišč pridobivaln</w:t>
      </w:r>
      <w:r w:rsidR="00236BAC">
        <w:rPr>
          <w:rFonts w:ascii="Arial" w:hAnsi="Arial" w:cs="Arial"/>
          <w:sz w:val="20"/>
          <w:szCs w:val="20"/>
          <w:lang w:eastAsia="sl-SI"/>
        </w:rPr>
        <w:t>ih</w:t>
      </w:r>
      <w:r w:rsidR="007C2425">
        <w:rPr>
          <w:rFonts w:ascii="Arial" w:hAnsi="Arial" w:cs="Arial"/>
          <w:sz w:val="20"/>
          <w:szCs w:val="20"/>
          <w:lang w:eastAsia="sl-SI"/>
        </w:rPr>
        <w:t xml:space="preserve"> prostor</w:t>
      </w:r>
      <w:r w:rsidR="00236BAC">
        <w:rPr>
          <w:rFonts w:ascii="Arial" w:hAnsi="Arial" w:cs="Arial"/>
          <w:sz w:val="20"/>
          <w:szCs w:val="20"/>
          <w:lang w:eastAsia="sl-SI"/>
        </w:rPr>
        <w:t>ov, in sicer:</w:t>
      </w:r>
    </w:p>
    <w:p w14:paraId="1C3BC1C8" w14:textId="689F409D" w:rsidR="00236BAC" w:rsidRPr="00037774" w:rsidRDefault="00236BAC" w:rsidP="00037774">
      <w:pPr>
        <w:pStyle w:val="Odstavekseznama"/>
        <w:numPr>
          <w:ilvl w:val="0"/>
          <w:numId w:val="2"/>
        </w:numPr>
        <w:suppressAutoHyphens w:val="0"/>
        <w:spacing w:line="260" w:lineRule="atLeast"/>
        <w:jc w:val="both"/>
        <w:rPr>
          <w:rFonts w:ascii="Arial" w:hAnsi="Arial" w:cs="Arial"/>
          <w:sz w:val="20"/>
          <w:szCs w:val="20"/>
          <w:lang w:eastAsia="sl-SI"/>
        </w:rPr>
      </w:pPr>
      <w:r w:rsidRPr="00236BAC">
        <w:rPr>
          <w:rFonts w:ascii="Arial" w:hAnsi="Arial" w:cs="Arial"/>
          <w:sz w:val="20"/>
          <w:szCs w:val="20"/>
          <w:lang w:eastAsia="sl-SI"/>
        </w:rPr>
        <w:t>Ježce v sklad</w:t>
      </w:r>
      <w:r>
        <w:rPr>
          <w:rFonts w:ascii="Arial" w:hAnsi="Arial" w:cs="Arial"/>
          <w:sz w:val="20"/>
          <w:szCs w:val="20"/>
          <w:lang w:eastAsia="sl-SI"/>
        </w:rPr>
        <w:t xml:space="preserve">u s koncesijsko pogodbo št. </w:t>
      </w:r>
      <w:r w:rsidRPr="00236BAC">
        <w:rPr>
          <w:rFonts w:ascii="Arial" w:hAnsi="Arial" w:cs="Arial"/>
          <w:sz w:val="20"/>
          <w:szCs w:val="20"/>
          <w:lang w:eastAsia="sl-SI"/>
        </w:rPr>
        <w:t>354-14-99/01 z dne 18.12.2001</w:t>
      </w:r>
      <w:r w:rsidRPr="00037774">
        <w:rPr>
          <w:rFonts w:ascii="Arial" w:hAnsi="Arial" w:cs="Arial"/>
          <w:sz w:val="20"/>
          <w:szCs w:val="20"/>
          <w:lang w:eastAsia="sl-SI"/>
        </w:rPr>
        <w:t>in</w:t>
      </w:r>
    </w:p>
    <w:p w14:paraId="5401322B" w14:textId="24CAC49E" w:rsidR="007C2425" w:rsidRDefault="00236BAC" w:rsidP="00236BAC">
      <w:pPr>
        <w:pStyle w:val="Odstavekseznama"/>
        <w:numPr>
          <w:ilvl w:val="0"/>
          <w:numId w:val="2"/>
        </w:numPr>
        <w:suppressAutoHyphens w:val="0"/>
        <w:spacing w:line="260" w:lineRule="atLeast"/>
        <w:jc w:val="both"/>
        <w:rPr>
          <w:rFonts w:ascii="Arial" w:hAnsi="Arial" w:cs="Arial"/>
          <w:sz w:val="20"/>
          <w:szCs w:val="20"/>
          <w:lang w:eastAsia="sl-SI"/>
        </w:rPr>
      </w:pPr>
      <w:r>
        <w:rPr>
          <w:rFonts w:ascii="Arial" w:hAnsi="Arial" w:cs="Arial"/>
          <w:sz w:val="20"/>
          <w:szCs w:val="20"/>
          <w:lang w:eastAsia="sl-SI"/>
        </w:rPr>
        <w:t>Ježce – širitev 2</w:t>
      </w:r>
      <w:r w:rsidRPr="00236BAC">
        <w:rPr>
          <w:rFonts w:ascii="Arial" w:hAnsi="Arial" w:cs="Arial"/>
          <w:sz w:val="20"/>
          <w:szCs w:val="20"/>
          <w:lang w:eastAsia="sl-SI"/>
        </w:rPr>
        <w:t xml:space="preserve"> </w:t>
      </w:r>
      <w:r w:rsidR="007C2425" w:rsidRPr="00236BAC">
        <w:rPr>
          <w:rFonts w:ascii="Arial" w:hAnsi="Arial" w:cs="Arial"/>
          <w:sz w:val="20"/>
          <w:szCs w:val="20"/>
          <w:lang w:eastAsia="sl-SI"/>
        </w:rPr>
        <w:t xml:space="preserve"> </w:t>
      </w:r>
      <w:r w:rsidRPr="00236BAC">
        <w:rPr>
          <w:rFonts w:ascii="Arial" w:hAnsi="Arial" w:cs="Arial"/>
          <w:sz w:val="20"/>
          <w:szCs w:val="20"/>
          <w:lang w:eastAsia="sl-SI"/>
        </w:rPr>
        <w:t>v skladu s koncesijsko pogodbo št.</w:t>
      </w:r>
      <w:r w:rsidRPr="00236BAC">
        <w:t xml:space="preserve"> </w:t>
      </w:r>
      <w:r w:rsidRPr="00236BAC">
        <w:rPr>
          <w:rFonts w:ascii="Arial" w:hAnsi="Arial" w:cs="Arial"/>
          <w:sz w:val="20"/>
          <w:szCs w:val="20"/>
          <w:lang w:eastAsia="sl-SI"/>
        </w:rPr>
        <w:t>0141-18/2010-DE-62 z dne 21. 5. 2015</w:t>
      </w:r>
      <w:r>
        <w:rPr>
          <w:rFonts w:ascii="Arial" w:hAnsi="Arial" w:cs="Arial"/>
          <w:sz w:val="20"/>
          <w:szCs w:val="20"/>
          <w:lang w:eastAsia="sl-SI"/>
        </w:rPr>
        <w:t>,</w:t>
      </w:r>
    </w:p>
    <w:p w14:paraId="33501BB9" w14:textId="7A450864" w:rsidR="00236BAC" w:rsidRDefault="00236BAC" w:rsidP="00236BAC">
      <w:pPr>
        <w:suppressAutoHyphens w:val="0"/>
        <w:spacing w:line="260" w:lineRule="atLeast"/>
        <w:jc w:val="both"/>
        <w:rPr>
          <w:rFonts w:ascii="Arial" w:hAnsi="Arial" w:cs="Arial"/>
          <w:sz w:val="20"/>
          <w:szCs w:val="20"/>
          <w:lang w:eastAsia="sl-SI"/>
        </w:rPr>
      </w:pPr>
      <w:r>
        <w:rPr>
          <w:rFonts w:ascii="Arial" w:hAnsi="Arial" w:cs="Arial"/>
          <w:sz w:val="20"/>
          <w:szCs w:val="20"/>
          <w:lang w:eastAsia="sl-SI"/>
        </w:rPr>
        <w:t>r</w:t>
      </w:r>
      <w:r w:rsidRPr="00236BAC">
        <w:rPr>
          <w:rFonts w:ascii="Arial" w:hAnsi="Arial" w:cs="Arial"/>
          <w:sz w:val="20"/>
          <w:szCs w:val="20"/>
          <w:lang w:eastAsia="sl-SI"/>
        </w:rPr>
        <w:t>azen če sklene novo koncesijsko pogodbo na podlagi 9. člena te uredbe.</w:t>
      </w:r>
    </w:p>
    <w:p w14:paraId="4A21AE10" w14:textId="77777777" w:rsidR="00037774" w:rsidRDefault="00037774" w:rsidP="00236BAC">
      <w:pPr>
        <w:suppressAutoHyphens w:val="0"/>
        <w:spacing w:line="260" w:lineRule="atLeast"/>
        <w:jc w:val="both"/>
        <w:rPr>
          <w:rFonts w:ascii="Arial" w:hAnsi="Arial" w:cs="Arial"/>
          <w:sz w:val="20"/>
          <w:szCs w:val="20"/>
          <w:lang w:eastAsia="sl-SI"/>
        </w:rPr>
      </w:pPr>
    </w:p>
    <w:p w14:paraId="1966DD05" w14:textId="0692B63D" w:rsidR="00037774" w:rsidRPr="00236BAC" w:rsidRDefault="00567DD6" w:rsidP="00567DD6">
      <w:pPr>
        <w:suppressAutoHyphens w:val="0"/>
        <w:spacing w:line="260" w:lineRule="atLeast"/>
        <w:ind w:firstLine="170"/>
        <w:jc w:val="both"/>
        <w:rPr>
          <w:rFonts w:ascii="Arial" w:hAnsi="Arial" w:cs="Arial"/>
          <w:sz w:val="20"/>
          <w:szCs w:val="20"/>
          <w:lang w:eastAsia="sl-SI"/>
        </w:rPr>
      </w:pPr>
      <w:r>
        <w:rPr>
          <w:rFonts w:ascii="Arial" w:hAnsi="Arial" w:cs="Arial"/>
          <w:sz w:val="20"/>
          <w:szCs w:val="20"/>
          <w:lang w:eastAsia="sl-SI"/>
        </w:rPr>
        <w:t xml:space="preserve">(2) </w:t>
      </w:r>
      <w:r w:rsidR="00037774">
        <w:rPr>
          <w:rFonts w:ascii="Arial" w:hAnsi="Arial" w:cs="Arial"/>
          <w:sz w:val="20"/>
          <w:szCs w:val="20"/>
          <w:lang w:eastAsia="sl-SI"/>
        </w:rPr>
        <w:t>Za bivši pridobivalni prostor Ježce – širitev 1 in za primer če pred sklenitvijo koncesijske pogodbe po tej uredbi poteče katera izmed koncesij iz 1. odstavka tega člena</w:t>
      </w:r>
      <w:r>
        <w:rPr>
          <w:rFonts w:ascii="Arial" w:hAnsi="Arial" w:cs="Arial"/>
          <w:sz w:val="20"/>
          <w:szCs w:val="20"/>
          <w:lang w:eastAsia="sl-SI"/>
        </w:rPr>
        <w:t xml:space="preserve"> in do sklenitve nove koncesijske pogodbe ne pride</w:t>
      </w:r>
      <w:r w:rsidR="00037774">
        <w:rPr>
          <w:rFonts w:ascii="Arial" w:hAnsi="Arial" w:cs="Arial"/>
          <w:sz w:val="20"/>
          <w:szCs w:val="20"/>
          <w:lang w:eastAsia="sl-SI"/>
        </w:rPr>
        <w:t>, je treba sanacijo in rekultivacijo izvesti na podlagi 100.a člen</w:t>
      </w:r>
      <w:r>
        <w:rPr>
          <w:rFonts w:ascii="Arial" w:hAnsi="Arial" w:cs="Arial"/>
          <w:sz w:val="20"/>
          <w:szCs w:val="20"/>
          <w:lang w:eastAsia="sl-SI"/>
        </w:rPr>
        <w:t>a</w:t>
      </w:r>
      <w:r w:rsidR="00037774">
        <w:rPr>
          <w:rFonts w:ascii="Arial" w:hAnsi="Arial" w:cs="Arial"/>
          <w:sz w:val="20"/>
          <w:szCs w:val="20"/>
          <w:lang w:eastAsia="sl-SI"/>
        </w:rPr>
        <w:t xml:space="preserve"> Zakona o rudarstvu. </w:t>
      </w:r>
    </w:p>
    <w:p w14:paraId="1B5A8F22" w14:textId="77777777" w:rsidR="007C2425" w:rsidRDefault="007C2425" w:rsidP="007C2425">
      <w:pPr>
        <w:suppressAutoHyphens w:val="0"/>
        <w:spacing w:line="260" w:lineRule="atLeast"/>
        <w:ind w:firstLine="170"/>
        <w:jc w:val="both"/>
        <w:rPr>
          <w:rFonts w:ascii="Arial" w:hAnsi="Arial" w:cs="Arial"/>
          <w:sz w:val="20"/>
          <w:szCs w:val="20"/>
          <w:lang w:eastAsia="sl-SI"/>
        </w:rPr>
      </w:pPr>
    </w:p>
    <w:p w14:paraId="501FC31D" w14:textId="77777777" w:rsidR="00EC04A2" w:rsidRDefault="00EC04A2" w:rsidP="007C2425">
      <w:pPr>
        <w:suppressAutoHyphens w:val="0"/>
        <w:spacing w:line="260" w:lineRule="atLeast"/>
        <w:ind w:firstLine="170"/>
        <w:jc w:val="both"/>
        <w:rPr>
          <w:rFonts w:ascii="Arial" w:hAnsi="Arial" w:cs="Arial"/>
          <w:sz w:val="20"/>
          <w:szCs w:val="20"/>
          <w:lang w:eastAsia="sl-SI"/>
        </w:rPr>
      </w:pPr>
    </w:p>
    <w:p w14:paraId="1F7D6E22" w14:textId="18F2C2B6" w:rsidR="007C2425" w:rsidRPr="00236BAC" w:rsidRDefault="00236BAC" w:rsidP="00236BAC">
      <w:pPr>
        <w:suppressAutoHyphens w:val="0"/>
        <w:spacing w:line="260" w:lineRule="atLeast"/>
        <w:jc w:val="center"/>
        <w:outlineLvl w:val="0"/>
        <w:rPr>
          <w:rFonts w:ascii="Arial" w:hAnsi="Arial" w:cs="Arial"/>
          <w:b/>
          <w:bCs/>
          <w:sz w:val="20"/>
          <w:szCs w:val="20"/>
          <w:lang w:eastAsia="sl-SI"/>
        </w:rPr>
      </w:pPr>
      <w:r w:rsidRPr="00236BAC">
        <w:rPr>
          <w:rFonts w:ascii="Arial" w:hAnsi="Arial" w:cs="Arial"/>
          <w:b/>
          <w:bCs/>
          <w:sz w:val="20"/>
          <w:szCs w:val="20"/>
          <w:lang w:eastAsia="sl-SI"/>
        </w:rPr>
        <w:t>11. člen</w:t>
      </w:r>
    </w:p>
    <w:p w14:paraId="200D0E13" w14:textId="066B4804" w:rsidR="00616B2B" w:rsidRPr="00616B2B" w:rsidRDefault="00760EEB" w:rsidP="00616B2B">
      <w:pPr>
        <w:suppressAutoHyphens w:val="0"/>
        <w:spacing w:line="260" w:lineRule="atLeast"/>
        <w:jc w:val="center"/>
        <w:rPr>
          <w:rFonts w:ascii="Arial" w:hAnsi="Arial" w:cs="Arial"/>
          <w:b/>
          <w:sz w:val="20"/>
          <w:szCs w:val="20"/>
          <w:lang w:eastAsia="sl-SI"/>
        </w:rPr>
      </w:pPr>
      <w:r w:rsidRPr="00616B2B">
        <w:rPr>
          <w:rFonts w:ascii="Arial" w:hAnsi="Arial" w:cs="Arial"/>
          <w:b/>
          <w:sz w:val="20"/>
          <w:szCs w:val="20"/>
          <w:lang w:eastAsia="sl-SI"/>
        </w:rPr>
        <w:t>(prenehanje veljavnosti</w:t>
      </w:r>
      <w:r w:rsidR="00616B2B" w:rsidRPr="00616B2B">
        <w:rPr>
          <w:rFonts w:ascii="Arial" w:hAnsi="Arial" w:cs="Arial"/>
          <w:b/>
          <w:sz w:val="20"/>
          <w:szCs w:val="20"/>
          <w:lang w:eastAsia="sl-SI"/>
        </w:rPr>
        <w:t xml:space="preserve"> koncesijskih aktov za pridobivalna prostora Ježce in Ježce – širitev 2 ter bivši pridobivalni prostor Ježce – širitev 1)</w:t>
      </w:r>
    </w:p>
    <w:p w14:paraId="2FE1A500" w14:textId="77777777" w:rsidR="00616B2B" w:rsidRPr="00616B2B" w:rsidRDefault="00616B2B" w:rsidP="00616B2B">
      <w:pPr>
        <w:suppressAutoHyphens w:val="0"/>
        <w:spacing w:line="260" w:lineRule="atLeast"/>
        <w:jc w:val="both"/>
        <w:rPr>
          <w:rFonts w:ascii="Arial" w:hAnsi="Arial" w:cs="Arial"/>
          <w:sz w:val="20"/>
          <w:szCs w:val="20"/>
          <w:lang w:eastAsia="sl-SI"/>
        </w:rPr>
      </w:pPr>
    </w:p>
    <w:p w14:paraId="7E83D061" w14:textId="7846CB64" w:rsidR="00616B2B" w:rsidRPr="00616B2B" w:rsidRDefault="00616B2B" w:rsidP="007C2425">
      <w:pPr>
        <w:suppressAutoHyphens w:val="0"/>
        <w:spacing w:line="260" w:lineRule="atLeast"/>
        <w:ind w:firstLine="170"/>
        <w:jc w:val="both"/>
        <w:rPr>
          <w:rFonts w:ascii="Arial" w:hAnsi="Arial" w:cs="Arial"/>
          <w:sz w:val="20"/>
          <w:szCs w:val="20"/>
          <w:lang w:eastAsia="sl-SI"/>
        </w:rPr>
      </w:pPr>
      <w:r w:rsidRPr="00616B2B">
        <w:rPr>
          <w:rFonts w:ascii="Arial" w:hAnsi="Arial" w:cs="Arial"/>
          <w:sz w:val="20"/>
          <w:szCs w:val="20"/>
          <w:lang w:eastAsia="sl-SI"/>
        </w:rPr>
        <w:t xml:space="preserve">(1) Z dnem uveljavitve te uredbe preneha veljati 126. točka iz priloge »Seznam pravnih in fizičnih oseb po drugem odstavku 2. člena uredbe - Izkoriščanje mineralnih surovin« Uredbe o podelitvi rudarske pravice imetnikom dovoljenj za raziskovanje oziroma pridobivanje mineralnih surovin (Uradni list RS, št. 103/00, 81/02, 26/18, 60/18, 62/19, 97/20, 124/20, 152/20, 168/20, 191/20, 22/21, 31/21, 31/21, 54/21, 74/21, 87/21, 6/22, 38/22, 47/22, 79/23, 47/24 in 70/24), se pa še naprej uporablja do sklenitve koncesijske pogodbe na podlagi </w:t>
      </w:r>
      <w:r>
        <w:rPr>
          <w:rFonts w:ascii="Arial" w:hAnsi="Arial" w:cs="Arial"/>
          <w:sz w:val="20"/>
          <w:szCs w:val="20"/>
          <w:lang w:eastAsia="sl-SI"/>
        </w:rPr>
        <w:t>9.</w:t>
      </w:r>
      <w:r w:rsidRPr="00616B2B">
        <w:rPr>
          <w:rFonts w:ascii="Arial" w:hAnsi="Arial" w:cs="Arial"/>
          <w:sz w:val="20"/>
          <w:szCs w:val="20"/>
          <w:lang w:eastAsia="sl-SI"/>
        </w:rPr>
        <w:t xml:space="preserve"> člena te uredbe oziroma do izdaje odločbe o prenehanju pravic in obveznosti za pridobivalni prostor Ježce, če do sklenitve koncesijske pogodbe na podlagi te uredbe ne pride.</w:t>
      </w:r>
    </w:p>
    <w:p w14:paraId="21DE2236" w14:textId="77777777" w:rsidR="00616B2B" w:rsidRPr="00616B2B" w:rsidRDefault="00616B2B" w:rsidP="00616B2B">
      <w:pPr>
        <w:suppressAutoHyphens w:val="0"/>
        <w:spacing w:line="260" w:lineRule="atLeast"/>
        <w:jc w:val="both"/>
        <w:rPr>
          <w:rFonts w:ascii="Arial" w:hAnsi="Arial" w:cs="Arial"/>
          <w:sz w:val="20"/>
          <w:szCs w:val="20"/>
          <w:lang w:eastAsia="sl-SI"/>
        </w:rPr>
      </w:pPr>
    </w:p>
    <w:p w14:paraId="61D32697" w14:textId="362C8544" w:rsidR="00616B2B" w:rsidRPr="00616B2B" w:rsidRDefault="00616B2B" w:rsidP="007C2425">
      <w:pPr>
        <w:suppressAutoHyphens w:val="0"/>
        <w:spacing w:line="260" w:lineRule="atLeast"/>
        <w:ind w:firstLine="170"/>
        <w:jc w:val="both"/>
        <w:rPr>
          <w:rFonts w:ascii="Arial" w:hAnsi="Arial" w:cs="Arial"/>
          <w:sz w:val="20"/>
          <w:szCs w:val="20"/>
          <w:lang w:eastAsia="sl-SI"/>
        </w:rPr>
      </w:pPr>
      <w:r w:rsidRPr="00616B2B">
        <w:rPr>
          <w:rFonts w:ascii="Arial" w:hAnsi="Arial" w:cs="Arial"/>
          <w:sz w:val="20"/>
          <w:szCs w:val="20"/>
          <w:lang w:eastAsia="sl-SI"/>
        </w:rPr>
        <w:lastRenderedPageBreak/>
        <w:t xml:space="preserve">(2) Z dnem uveljavitve te uredbe preneha veljati 11. člen Uredbe o rudarskih pravicah za gospodarsko izkoriščanje mineralnih surovin v pridobivalnih prostorih Laze - širitev v Občini Kočevje, Suhor pri Vinici - širitev v Občini Črnomelj, Lenart pri Gornjem Gradu 2 v Občini Gornji Grad, Ježce - širitev 2 v Občini Šmartno pri Litiji, Kmetov </w:t>
      </w:r>
      <w:proofErr w:type="spellStart"/>
      <w:r w:rsidRPr="00616B2B">
        <w:rPr>
          <w:rFonts w:ascii="Arial" w:hAnsi="Arial" w:cs="Arial"/>
          <w:sz w:val="20"/>
          <w:szCs w:val="20"/>
          <w:lang w:eastAsia="sl-SI"/>
        </w:rPr>
        <w:t>pruh</w:t>
      </w:r>
      <w:proofErr w:type="spellEnd"/>
      <w:r w:rsidRPr="00616B2B">
        <w:rPr>
          <w:rFonts w:ascii="Arial" w:hAnsi="Arial" w:cs="Arial"/>
          <w:sz w:val="20"/>
          <w:szCs w:val="20"/>
          <w:lang w:eastAsia="sl-SI"/>
        </w:rPr>
        <w:t xml:space="preserve"> - širitev v Občini Šmartno pri Litiji, Brezovica - širitev v Občini Semič, Stari Grad 2 v Občini Krško, Stari Grad 3 v Občini Krško, Gabrovec (Vrbovo) v Občini Ilirska Bistrica, Bučka - širitev v Občini Škocjan, Hrastenice v Občini Dobrova - Polhov Gradec in Vrhpeč - širitev 2 v Občini Trebnje (Uradni list RS, št. 38/10, 53/10, 68/12, 5/15, 22/21, 54/21), se pa še naprej uporablja do sklenitve koncesijske pogodbe na podlagi </w:t>
      </w:r>
      <w:r w:rsidR="007C2425">
        <w:rPr>
          <w:rFonts w:ascii="Arial" w:hAnsi="Arial" w:cs="Arial"/>
          <w:sz w:val="20"/>
          <w:szCs w:val="20"/>
          <w:lang w:eastAsia="sl-SI"/>
        </w:rPr>
        <w:t>9</w:t>
      </w:r>
      <w:r w:rsidRPr="00616B2B">
        <w:rPr>
          <w:rFonts w:ascii="Arial" w:hAnsi="Arial" w:cs="Arial"/>
          <w:sz w:val="20"/>
          <w:szCs w:val="20"/>
          <w:lang w:eastAsia="sl-SI"/>
        </w:rPr>
        <w:t>. člena te uredbe oziroma do izdaje odločbe o prenehanju pravic in obveznosti, če do sklenitve koncesijske pogodbe na podlagi te uredbe ne pride.</w:t>
      </w:r>
    </w:p>
    <w:p w14:paraId="7C7C58CD" w14:textId="77777777" w:rsidR="00616B2B" w:rsidRPr="00616B2B" w:rsidRDefault="00616B2B" w:rsidP="007C2425">
      <w:pPr>
        <w:suppressAutoHyphens w:val="0"/>
        <w:spacing w:line="260" w:lineRule="atLeast"/>
        <w:ind w:firstLine="170"/>
        <w:jc w:val="both"/>
        <w:rPr>
          <w:rFonts w:ascii="Arial" w:hAnsi="Arial" w:cs="Arial"/>
          <w:sz w:val="20"/>
          <w:szCs w:val="20"/>
          <w:lang w:eastAsia="sl-SI"/>
        </w:rPr>
      </w:pPr>
    </w:p>
    <w:p w14:paraId="2905F933" w14:textId="7C5900BF" w:rsidR="00616B2B" w:rsidRPr="00616B2B" w:rsidRDefault="00616B2B" w:rsidP="007C2425">
      <w:pPr>
        <w:suppressAutoHyphens w:val="0"/>
        <w:spacing w:line="260" w:lineRule="atLeast"/>
        <w:ind w:firstLine="170"/>
        <w:jc w:val="both"/>
        <w:rPr>
          <w:rFonts w:ascii="Arial" w:hAnsi="Arial" w:cs="Arial"/>
          <w:sz w:val="20"/>
          <w:szCs w:val="20"/>
          <w:lang w:eastAsia="sl-SI"/>
        </w:rPr>
      </w:pPr>
      <w:r w:rsidRPr="00616B2B">
        <w:rPr>
          <w:rFonts w:ascii="Arial" w:hAnsi="Arial" w:cs="Arial"/>
          <w:sz w:val="20"/>
          <w:szCs w:val="20"/>
          <w:lang w:eastAsia="sl-SI"/>
        </w:rPr>
        <w:t>(3) Z dnem uveljavitve te uredbe preneha veljati 11. člen Uredbe o rudarskih pravicah za raziskovanje ali gospodarsko izkoriščanje mineralnih surovin na raziskovalnem in pridobivalnih prostorih: Hardeška šuma, Občina Ormož; Batič, Občina Mislinja; Zabukovje, Občina Trebnje; Ježce, Občina Šmartno pri Litiji; Kresni grič, Občina</w:t>
      </w:r>
      <w:r w:rsidR="007C2425">
        <w:rPr>
          <w:rFonts w:ascii="Arial" w:hAnsi="Arial" w:cs="Arial"/>
          <w:sz w:val="20"/>
          <w:szCs w:val="20"/>
          <w:lang w:eastAsia="sl-SI"/>
        </w:rPr>
        <w:t xml:space="preserve"> </w:t>
      </w:r>
      <w:r w:rsidRPr="00616B2B">
        <w:rPr>
          <w:rFonts w:ascii="Arial" w:hAnsi="Arial" w:cs="Arial"/>
          <w:sz w:val="20"/>
          <w:szCs w:val="20"/>
          <w:lang w:eastAsia="sl-SI"/>
        </w:rPr>
        <w:t xml:space="preserve">Idrija; Pleterje, Občina Kidričevo; </w:t>
      </w:r>
      <w:proofErr w:type="spellStart"/>
      <w:r w:rsidRPr="00616B2B">
        <w:rPr>
          <w:rFonts w:ascii="Arial" w:hAnsi="Arial" w:cs="Arial"/>
          <w:sz w:val="20"/>
          <w:szCs w:val="20"/>
          <w:lang w:eastAsia="sl-SI"/>
        </w:rPr>
        <w:t>Ušenišče</w:t>
      </w:r>
      <w:proofErr w:type="spellEnd"/>
      <w:r w:rsidRPr="00616B2B">
        <w:rPr>
          <w:rFonts w:ascii="Arial" w:hAnsi="Arial" w:cs="Arial"/>
          <w:sz w:val="20"/>
          <w:szCs w:val="20"/>
          <w:lang w:eastAsia="sl-SI"/>
        </w:rPr>
        <w:t>, Občina Moravče; Cerov log, Občina Šentjernej; Boreci, Občina Križevci; Dobrovnik, Občina Dobrovnik; Bezena, Občina Ruše; Gorče pri Libeličah in Trbonje, Občina Dravograd; Melinci, Občina Beltinci; Bizeljsko, Občina Brežice; Šmiklavž, Mestna občina Celje; Gradnik, Občina Semič; Mala gora, Občina Sodražica; Godič, Občina Kamnik; Pijovci, Občina Šmarje pri Jelšah (Uradni list RS, št. 97/06, 95/07, 17/13, 5/15, 38/16, 59/18 in 47/22).</w:t>
      </w:r>
    </w:p>
    <w:p w14:paraId="02D410DD" w14:textId="77777777" w:rsidR="00760EEB" w:rsidRPr="00155AB0" w:rsidRDefault="00760EEB" w:rsidP="00760EEB">
      <w:pPr>
        <w:suppressAutoHyphens w:val="0"/>
        <w:spacing w:line="260" w:lineRule="atLeast"/>
        <w:jc w:val="both"/>
        <w:rPr>
          <w:rFonts w:ascii="Arial" w:hAnsi="Arial" w:cs="Arial"/>
          <w:sz w:val="20"/>
          <w:szCs w:val="20"/>
          <w:lang w:eastAsia="sl-SI"/>
        </w:rPr>
      </w:pPr>
    </w:p>
    <w:p w14:paraId="1C9798EC" w14:textId="77777777" w:rsidR="00760EEB" w:rsidRDefault="00760EEB" w:rsidP="00760EEB">
      <w:pPr>
        <w:suppressAutoHyphens w:val="0"/>
        <w:spacing w:line="260" w:lineRule="atLeast"/>
        <w:jc w:val="center"/>
        <w:outlineLvl w:val="0"/>
        <w:rPr>
          <w:rFonts w:ascii="Arial" w:hAnsi="Arial" w:cs="Arial"/>
          <w:b/>
          <w:sz w:val="20"/>
          <w:szCs w:val="20"/>
          <w:lang w:eastAsia="sl-SI"/>
        </w:rPr>
      </w:pPr>
    </w:p>
    <w:p w14:paraId="7ED256C5" w14:textId="7955F324" w:rsidR="00760EEB" w:rsidRPr="00155AB0" w:rsidRDefault="00760EEB" w:rsidP="00760EEB">
      <w:pPr>
        <w:suppressAutoHyphens w:val="0"/>
        <w:spacing w:line="260" w:lineRule="atLeast"/>
        <w:jc w:val="center"/>
        <w:outlineLvl w:val="0"/>
        <w:rPr>
          <w:rFonts w:ascii="Arial" w:hAnsi="Arial" w:cs="Arial"/>
          <w:b/>
          <w:sz w:val="20"/>
          <w:szCs w:val="20"/>
          <w:lang w:eastAsia="sl-SI"/>
        </w:rPr>
      </w:pPr>
      <w:r w:rsidRPr="00155AB0">
        <w:rPr>
          <w:rFonts w:ascii="Arial" w:hAnsi="Arial" w:cs="Arial"/>
          <w:b/>
          <w:sz w:val="20"/>
          <w:szCs w:val="20"/>
          <w:lang w:eastAsia="sl-SI"/>
        </w:rPr>
        <w:t>1</w:t>
      </w:r>
      <w:r w:rsidR="00236BAC">
        <w:rPr>
          <w:rFonts w:ascii="Arial" w:hAnsi="Arial" w:cs="Arial"/>
          <w:b/>
          <w:sz w:val="20"/>
          <w:szCs w:val="20"/>
          <w:lang w:eastAsia="sl-SI"/>
        </w:rPr>
        <w:t>2</w:t>
      </w:r>
      <w:r w:rsidRPr="00155AB0">
        <w:rPr>
          <w:rFonts w:ascii="Arial" w:hAnsi="Arial" w:cs="Arial"/>
          <w:b/>
          <w:sz w:val="20"/>
          <w:szCs w:val="20"/>
          <w:lang w:eastAsia="sl-SI"/>
        </w:rPr>
        <w:t>. člen</w:t>
      </w:r>
    </w:p>
    <w:p w14:paraId="6657CDE2" w14:textId="77777777" w:rsidR="00760EEB" w:rsidRPr="00155AB0" w:rsidRDefault="00760EEB" w:rsidP="00760EEB">
      <w:pPr>
        <w:suppressAutoHyphens w:val="0"/>
        <w:spacing w:line="260" w:lineRule="atLeast"/>
        <w:jc w:val="center"/>
        <w:rPr>
          <w:rFonts w:ascii="Arial" w:hAnsi="Arial" w:cs="Arial"/>
          <w:b/>
          <w:sz w:val="20"/>
          <w:szCs w:val="20"/>
          <w:lang w:eastAsia="sl-SI"/>
        </w:rPr>
      </w:pPr>
      <w:r w:rsidRPr="00155AB0">
        <w:rPr>
          <w:rFonts w:ascii="Arial" w:hAnsi="Arial" w:cs="Arial"/>
          <w:b/>
          <w:sz w:val="20"/>
          <w:szCs w:val="20"/>
          <w:lang w:eastAsia="sl-SI"/>
        </w:rPr>
        <w:t>(začetek veljavnosti)</w:t>
      </w:r>
    </w:p>
    <w:p w14:paraId="51823CEE" w14:textId="77777777" w:rsidR="00760EEB" w:rsidRPr="00155AB0" w:rsidRDefault="00760EEB" w:rsidP="00760EEB">
      <w:pPr>
        <w:suppressAutoHyphens w:val="0"/>
        <w:spacing w:line="260" w:lineRule="atLeast"/>
        <w:rPr>
          <w:rFonts w:ascii="Arial" w:hAnsi="Arial" w:cs="Arial"/>
          <w:sz w:val="20"/>
          <w:szCs w:val="20"/>
          <w:lang w:eastAsia="sl-SI"/>
        </w:rPr>
      </w:pPr>
    </w:p>
    <w:p w14:paraId="0C684A89" w14:textId="77777777" w:rsidR="00760EEB" w:rsidRPr="00155AB0" w:rsidRDefault="00760EEB" w:rsidP="00760EEB">
      <w:pPr>
        <w:suppressAutoHyphens w:val="0"/>
        <w:spacing w:line="260" w:lineRule="atLeast"/>
        <w:jc w:val="both"/>
        <w:rPr>
          <w:rFonts w:ascii="Arial" w:hAnsi="Arial" w:cs="Arial"/>
          <w:sz w:val="20"/>
          <w:szCs w:val="20"/>
          <w:lang w:eastAsia="sl-SI"/>
        </w:rPr>
      </w:pPr>
      <w:r w:rsidRPr="00155AB0">
        <w:rPr>
          <w:rFonts w:ascii="Arial" w:hAnsi="Arial" w:cs="Arial"/>
          <w:sz w:val="20"/>
          <w:szCs w:val="20"/>
          <w:lang w:eastAsia="sl-SI"/>
        </w:rPr>
        <w:t>Ta uredba začne veljati naslednji dan po objavi v Uradnem listu Republike Slovenije.</w:t>
      </w:r>
    </w:p>
    <w:p w14:paraId="1800159B" w14:textId="77777777" w:rsidR="00760EEB" w:rsidRPr="00C61773" w:rsidRDefault="00760EEB" w:rsidP="00760EEB"/>
    <w:p w14:paraId="4EB9935F" w14:textId="77777777" w:rsidR="0084229F" w:rsidRDefault="0084229F"/>
    <w:sectPr w:rsidR="0084229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AF4AD3"/>
    <w:multiLevelType w:val="hybridMultilevel"/>
    <w:tmpl w:val="F9BA19D8"/>
    <w:lvl w:ilvl="0" w:tplc="A6FC8C2C">
      <w:numFmt w:val="bullet"/>
      <w:lvlText w:val="-"/>
      <w:lvlJc w:val="left"/>
      <w:pPr>
        <w:ind w:left="720" w:hanging="360"/>
      </w:pPr>
      <w:rPr>
        <w:rFonts w:ascii="Calibri" w:eastAsia="Calibri" w:hAnsi="Calibri" w:cs="Calibri" w:hint="default"/>
        <w:b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 w15:restartNumberingAfterBreak="0">
    <w:nsid w:val="3D291890"/>
    <w:multiLevelType w:val="hybridMultilevel"/>
    <w:tmpl w:val="241CC31A"/>
    <w:lvl w:ilvl="0" w:tplc="FF38C19C">
      <w:start w:val="3"/>
      <w:numFmt w:val="bullet"/>
      <w:lvlText w:val="-"/>
      <w:lvlJc w:val="left"/>
      <w:pPr>
        <w:ind w:left="530" w:hanging="360"/>
      </w:pPr>
      <w:rPr>
        <w:rFonts w:ascii="Arial" w:eastAsia="Times New Roman" w:hAnsi="Arial" w:cs="Arial" w:hint="default"/>
      </w:rPr>
    </w:lvl>
    <w:lvl w:ilvl="1" w:tplc="04240003" w:tentative="1">
      <w:start w:val="1"/>
      <w:numFmt w:val="bullet"/>
      <w:lvlText w:val="o"/>
      <w:lvlJc w:val="left"/>
      <w:pPr>
        <w:ind w:left="1250" w:hanging="360"/>
      </w:pPr>
      <w:rPr>
        <w:rFonts w:ascii="Courier New" w:hAnsi="Courier New" w:cs="Courier New" w:hint="default"/>
      </w:rPr>
    </w:lvl>
    <w:lvl w:ilvl="2" w:tplc="04240005" w:tentative="1">
      <w:start w:val="1"/>
      <w:numFmt w:val="bullet"/>
      <w:lvlText w:val=""/>
      <w:lvlJc w:val="left"/>
      <w:pPr>
        <w:ind w:left="1970" w:hanging="360"/>
      </w:pPr>
      <w:rPr>
        <w:rFonts w:ascii="Wingdings" w:hAnsi="Wingdings" w:hint="default"/>
      </w:rPr>
    </w:lvl>
    <w:lvl w:ilvl="3" w:tplc="04240001" w:tentative="1">
      <w:start w:val="1"/>
      <w:numFmt w:val="bullet"/>
      <w:lvlText w:val=""/>
      <w:lvlJc w:val="left"/>
      <w:pPr>
        <w:ind w:left="2690" w:hanging="360"/>
      </w:pPr>
      <w:rPr>
        <w:rFonts w:ascii="Symbol" w:hAnsi="Symbol" w:hint="default"/>
      </w:rPr>
    </w:lvl>
    <w:lvl w:ilvl="4" w:tplc="04240003" w:tentative="1">
      <w:start w:val="1"/>
      <w:numFmt w:val="bullet"/>
      <w:lvlText w:val="o"/>
      <w:lvlJc w:val="left"/>
      <w:pPr>
        <w:ind w:left="3410" w:hanging="360"/>
      </w:pPr>
      <w:rPr>
        <w:rFonts w:ascii="Courier New" w:hAnsi="Courier New" w:cs="Courier New" w:hint="default"/>
      </w:rPr>
    </w:lvl>
    <w:lvl w:ilvl="5" w:tplc="04240005" w:tentative="1">
      <w:start w:val="1"/>
      <w:numFmt w:val="bullet"/>
      <w:lvlText w:val=""/>
      <w:lvlJc w:val="left"/>
      <w:pPr>
        <w:ind w:left="4130" w:hanging="360"/>
      </w:pPr>
      <w:rPr>
        <w:rFonts w:ascii="Wingdings" w:hAnsi="Wingdings" w:hint="default"/>
      </w:rPr>
    </w:lvl>
    <w:lvl w:ilvl="6" w:tplc="04240001" w:tentative="1">
      <w:start w:val="1"/>
      <w:numFmt w:val="bullet"/>
      <w:lvlText w:val=""/>
      <w:lvlJc w:val="left"/>
      <w:pPr>
        <w:ind w:left="4850" w:hanging="360"/>
      </w:pPr>
      <w:rPr>
        <w:rFonts w:ascii="Symbol" w:hAnsi="Symbol" w:hint="default"/>
      </w:rPr>
    </w:lvl>
    <w:lvl w:ilvl="7" w:tplc="04240003" w:tentative="1">
      <w:start w:val="1"/>
      <w:numFmt w:val="bullet"/>
      <w:lvlText w:val="o"/>
      <w:lvlJc w:val="left"/>
      <w:pPr>
        <w:ind w:left="5570" w:hanging="360"/>
      </w:pPr>
      <w:rPr>
        <w:rFonts w:ascii="Courier New" w:hAnsi="Courier New" w:cs="Courier New" w:hint="default"/>
      </w:rPr>
    </w:lvl>
    <w:lvl w:ilvl="8" w:tplc="04240005" w:tentative="1">
      <w:start w:val="1"/>
      <w:numFmt w:val="bullet"/>
      <w:lvlText w:val=""/>
      <w:lvlJc w:val="left"/>
      <w:pPr>
        <w:ind w:left="6290" w:hanging="360"/>
      </w:pPr>
      <w:rPr>
        <w:rFonts w:ascii="Wingdings" w:hAnsi="Wingdings" w:hint="default"/>
      </w:rPr>
    </w:lvl>
  </w:abstractNum>
  <w:num w:numId="1" w16cid:durableId="269245846">
    <w:abstractNumId w:val="1"/>
  </w:num>
  <w:num w:numId="2" w16cid:durableId="934285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EEB"/>
    <w:rsid w:val="00026225"/>
    <w:rsid w:val="00037774"/>
    <w:rsid w:val="000A335B"/>
    <w:rsid w:val="001870ED"/>
    <w:rsid w:val="001A0000"/>
    <w:rsid w:val="00236BAC"/>
    <w:rsid w:val="003D5EC4"/>
    <w:rsid w:val="00525BCA"/>
    <w:rsid w:val="0056159B"/>
    <w:rsid w:val="00567DD6"/>
    <w:rsid w:val="00616B2B"/>
    <w:rsid w:val="006B30B7"/>
    <w:rsid w:val="00741F5F"/>
    <w:rsid w:val="00760EEB"/>
    <w:rsid w:val="007C2425"/>
    <w:rsid w:val="0084229F"/>
    <w:rsid w:val="009568C2"/>
    <w:rsid w:val="0097101D"/>
    <w:rsid w:val="00BF409F"/>
    <w:rsid w:val="00C30B50"/>
    <w:rsid w:val="00C32D37"/>
    <w:rsid w:val="00C9638F"/>
    <w:rsid w:val="00CA485A"/>
    <w:rsid w:val="00DA2F80"/>
    <w:rsid w:val="00DC2709"/>
    <w:rsid w:val="00E70F6B"/>
    <w:rsid w:val="00EC04A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E9A57"/>
  <w15:chartTrackingRefBased/>
  <w15:docId w15:val="{8ECD3DA1-DC9E-462B-9F96-514424B63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60EEB"/>
    <w:pPr>
      <w:suppressAutoHyphens/>
      <w:spacing w:after="0" w:line="240" w:lineRule="auto"/>
    </w:pPr>
    <w:rPr>
      <w:rFonts w:ascii="Times New Roman" w:eastAsia="Times New Roman" w:hAnsi="Times New Roman" w:cs="Times New Roman"/>
      <w:kern w:val="0"/>
      <w:sz w:val="24"/>
      <w:szCs w:val="24"/>
      <w:lang w:eastAsia="ar-SA"/>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760EEB"/>
    <w:pPr>
      <w:ind w:left="708"/>
    </w:pPr>
  </w:style>
  <w:style w:type="character" w:styleId="Pripombasklic">
    <w:name w:val="annotation reference"/>
    <w:basedOn w:val="Privzetapisavaodstavka"/>
    <w:uiPriority w:val="99"/>
    <w:semiHidden/>
    <w:unhideWhenUsed/>
    <w:rsid w:val="009568C2"/>
    <w:rPr>
      <w:sz w:val="16"/>
      <w:szCs w:val="16"/>
    </w:rPr>
  </w:style>
  <w:style w:type="paragraph" w:styleId="Pripombabesedilo">
    <w:name w:val="annotation text"/>
    <w:basedOn w:val="Navaden"/>
    <w:link w:val="PripombabesediloZnak"/>
    <w:uiPriority w:val="99"/>
    <w:unhideWhenUsed/>
    <w:rsid w:val="009568C2"/>
    <w:rPr>
      <w:sz w:val="20"/>
      <w:szCs w:val="20"/>
    </w:rPr>
  </w:style>
  <w:style w:type="character" w:customStyle="1" w:styleId="PripombabesediloZnak">
    <w:name w:val="Pripomba – besedilo Znak"/>
    <w:basedOn w:val="Privzetapisavaodstavka"/>
    <w:link w:val="Pripombabesedilo"/>
    <w:uiPriority w:val="99"/>
    <w:rsid w:val="009568C2"/>
    <w:rPr>
      <w:rFonts w:ascii="Times New Roman" w:eastAsia="Times New Roman" w:hAnsi="Times New Roman" w:cs="Times New Roman"/>
      <w:kern w:val="0"/>
      <w:sz w:val="20"/>
      <w:szCs w:val="20"/>
      <w:lang w:eastAsia="ar-SA"/>
      <w14:ligatures w14:val="none"/>
    </w:rPr>
  </w:style>
  <w:style w:type="paragraph" w:styleId="Zadevapripombe">
    <w:name w:val="annotation subject"/>
    <w:basedOn w:val="Pripombabesedilo"/>
    <w:next w:val="Pripombabesedilo"/>
    <w:link w:val="ZadevapripombeZnak"/>
    <w:uiPriority w:val="99"/>
    <w:semiHidden/>
    <w:unhideWhenUsed/>
    <w:rsid w:val="009568C2"/>
    <w:rPr>
      <w:b/>
      <w:bCs/>
    </w:rPr>
  </w:style>
  <w:style w:type="character" w:customStyle="1" w:styleId="ZadevapripombeZnak">
    <w:name w:val="Zadeva pripombe Znak"/>
    <w:basedOn w:val="PripombabesediloZnak"/>
    <w:link w:val="Zadevapripombe"/>
    <w:uiPriority w:val="99"/>
    <w:semiHidden/>
    <w:rsid w:val="009568C2"/>
    <w:rPr>
      <w:rFonts w:ascii="Times New Roman" w:eastAsia="Times New Roman" w:hAnsi="Times New Roman" w:cs="Times New Roman"/>
      <w:b/>
      <w:bCs/>
      <w:kern w:val="0"/>
      <w:sz w:val="20"/>
      <w:szCs w:val="20"/>
      <w:lang w:eastAsia="ar-SA"/>
      <w14:ligatures w14:val="none"/>
    </w:rPr>
  </w:style>
  <w:style w:type="character" w:styleId="Hiperpovezava">
    <w:name w:val="Hyperlink"/>
    <w:basedOn w:val="Privzetapisavaodstavka"/>
    <w:uiPriority w:val="99"/>
    <w:unhideWhenUsed/>
    <w:rsid w:val="009568C2"/>
    <w:rPr>
      <w:color w:val="0563C1" w:themeColor="hyperlink"/>
      <w:u w:val="single"/>
    </w:rPr>
  </w:style>
  <w:style w:type="character" w:styleId="Nerazreenaomemba">
    <w:name w:val="Unresolved Mention"/>
    <w:basedOn w:val="Privzetapisavaodstavka"/>
    <w:uiPriority w:val="99"/>
    <w:semiHidden/>
    <w:unhideWhenUsed/>
    <w:rsid w:val="009568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1584732">
      <w:bodyDiv w:val="1"/>
      <w:marLeft w:val="0"/>
      <w:marRight w:val="0"/>
      <w:marTop w:val="0"/>
      <w:marBottom w:val="0"/>
      <w:divBdr>
        <w:top w:val="none" w:sz="0" w:space="0" w:color="auto"/>
        <w:left w:val="none" w:sz="0" w:space="0" w:color="auto"/>
        <w:bottom w:val="none" w:sz="0" w:space="0" w:color="auto"/>
        <w:right w:val="none" w:sz="0" w:space="0" w:color="auto"/>
      </w:divBdr>
    </w:div>
    <w:div w:id="1960062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2366</Words>
  <Characters>13492</Characters>
  <Application>Microsoft Office Word</Application>
  <DocSecurity>0</DocSecurity>
  <Lines>112</Lines>
  <Paragraphs>31</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15827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Natalija Kokalj</dc:creator>
  <cp:keywords/>
  <dc:description/>
  <cp:lastModifiedBy>Natalija Kokalj</cp:lastModifiedBy>
  <cp:revision>2</cp:revision>
  <dcterms:created xsi:type="dcterms:W3CDTF">2024-12-20T08:06:00Z</dcterms:created>
  <dcterms:modified xsi:type="dcterms:W3CDTF">2024-12-20T08:06:00Z</dcterms:modified>
</cp:coreProperties>
</file>