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DBFF5F" w14:textId="77777777" w:rsidR="004E26B0" w:rsidRDefault="004E26B0" w:rsidP="004E26B0">
      <w:pPr>
        <w:spacing w:after="120"/>
        <w:rPr>
          <w:rFonts w:ascii="Arial" w:hAnsi="Arial" w:cs="Arial"/>
          <w:b/>
          <w:i/>
          <w:sz w:val="22"/>
          <w:szCs w:val="22"/>
        </w:rPr>
      </w:pPr>
      <w:r w:rsidRPr="009E7866">
        <w:rPr>
          <w:rFonts w:ascii="Arial" w:hAnsi="Arial" w:cs="Arial"/>
          <w:b/>
          <w:i/>
          <w:sz w:val="22"/>
          <w:szCs w:val="22"/>
        </w:rPr>
        <w:t>Obrazložitev</w:t>
      </w:r>
      <w:r>
        <w:rPr>
          <w:rFonts w:ascii="Arial" w:hAnsi="Arial" w:cs="Arial"/>
          <w:b/>
          <w:i/>
          <w:sz w:val="22"/>
          <w:szCs w:val="22"/>
        </w:rPr>
        <w:t xml:space="preserve"> predloga sprememb pravilnika</w:t>
      </w:r>
      <w:r w:rsidRPr="009E7866">
        <w:rPr>
          <w:rFonts w:ascii="Arial" w:hAnsi="Arial" w:cs="Arial"/>
          <w:b/>
          <w:i/>
          <w:sz w:val="22"/>
          <w:szCs w:val="22"/>
        </w:rPr>
        <w:t>:</w:t>
      </w:r>
    </w:p>
    <w:p w14:paraId="3FE0A4E5" w14:textId="77777777" w:rsidR="004E26B0" w:rsidRPr="00377C63" w:rsidRDefault="004E26B0" w:rsidP="004E26B0">
      <w:pPr>
        <w:spacing w:after="120"/>
        <w:rPr>
          <w:rFonts w:ascii="Arial" w:hAnsi="Arial" w:cs="Arial"/>
          <w:b/>
          <w:i/>
          <w:sz w:val="22"/>
          <w:szCs w:val="22"/>
        </w:rPr>
      </w:pPr>
      <w:r w:rsidRPr="00377C63">
        <w:rPr>
          <w:rFonts w:ascii="Arial" w:hAnsi="Arial" w:cs="Arial"/>
          <w:b/>
          <w:i/>
          <w:sz w:val="22"/>
          <w:szCs w:val="22"/>
        </w:rPr>
        <w:t>Sprememba Pravilnika o učinkoviti rabi energije v stavbah</w:t>
      </w:r>
      <w:r>
        <w:rPr>
          <w:rFonts w:ascii="Arial" w:hAnsi="Arial" w:cs="Arial"/>
          <w:b/>
          <w:i/>
          <w:sz w:val="22"/>
          <w:szCs w:val="22"/>
        </w:rPr>
        <w:t xml:space="preserve"> - MNVP</w:t>
      </w:r>
    </w:p>
    <w:p w14:paraId="2822C6AD" w14:textId="77777777" w:rsidR="004E26B0" w:rsidRDefault="004E26B0" w:rsidP="004E26B0">
      <w:pPr>
        <w:spacing w:after="120"/>
        <w:rPr>
          <w:rFonts w:ascii="Arial" w:hAnsi="Arial" w:cs="Arial"/>
          <w:i/>
          <w:sz w:val="22"/>
          <w:szCs w:val="22"/>
        </w:rPr>
      </w:pPr>
      <w:r>
        <w:rPr>
          <w:rFonts w:ascii="Arial" w:hAnsi="Arial" w:cs="Arial"/>
          <w:i/>
          <w:sz w:val="22"/>
          <w:szCs w:val="22"/>
        </w:rPr>
        <w:t xml:space="preserve">Zaradi odziva javnosti oziroma problematiziranja zahtev 17. člena PURES-3 v delu, ki se nanaša na omejevanje vgradnje električnih bojlerjev za pripravo </w:t>
      </w:r>
      <w:proofErr w:type="spellStart"/>
      <w:r>
        <w:rPr>
          <w:rFonts w:ascii="Arial" w:hAnsi="Arial" w:cs="Arial"/>
          <w:i/>
          <w:sz w:val="22"/>
          <w:szCs w:val="22"/>
        </w:rPr>
        <w:t>TSV</w:t>
      </w:r>
      <w:proofErr w:type="spellEnd"/>
      <w:r>
        <w:rPr>
          <w:rFonts w:ascii="Arial" w:hAnsi="Arial" w:cs="Arial"/>
          <w:i/>
          <w:sz w:val="22"/>
          <w:szCs w:val="22"/>
        </w:rPr>
        <w:t xml:space="preserve">, če </w:t>
      </w:r>
      <w:r w:rsidRPr="00E40E0D">
        <w:rPr>
          <w:rFonts w:ascii="Arial" w:hAnsi="Arial" w:cs="Arial"/>
          <w:i/>
          <w:sz w:val="22"/>
          <w:szCs w:val="22"/>
        </w:rPr>
        <w:t xml:space="preserve">električno energijo dobivajo iz javnega električnega omrežja ali drugega vira, kjer električna energija ni pridobljena iz OVE, se </w:t>
      </w:r>
      <w:r>
        <w:rPr>
          <w:rFonts w:ascii="Arial" w:hAnsi="Arial" w:cs="Arial"/>
          <w:i/>
          <w:sz w:val="22"/>
          <w:szCs w:val="22"/>
        </w:rPr>
        <w:t xml:space="preserve">črta 17. člen in s tem posledično tudi 22. člen, ki določa prehodno obdobje. </w:t>
      </w:r>
    </w:p>
    <w:p w14:paraId="592C9A63" w14:textId="77777777" w:rsidR="004E26B0" w:rsidRDefault="004E26B0" w:rsidP="004E26B0">
      <w:pPr>
        <w:spacing w:after="120"/>
        <w:rPr>
          <w:rFonts w:ascii="Arial" w:hAnsi="Arial" w:cs="Arial"/>
          <w:i/>
          <w:sz w:val="22"/>
          <w:szCs w:val="22"/>
        </w:rPr>
      </w:pPr>
      <w:r>
        <w:rPr>
          <w:rFonts w:ascii="Arial" w:hAnsi="Arial" w:cs="Arial"/>
          <w:i/>
          <w:sz w:val="22"/>
          <w:szCs w:val="22"/>
        </w:rPr>
        <w:t>Omenjeni 17. člen vsebuje raznolike zahteve, ki se dotikajo različnih elementov učinkovite rabe energije, posebej tehničnih stavbnih sistemov (ogrevanje, prezračevanje, priprava tople sanitarne vode …). Tiste zahteve tega člena, ki niso oporekane, se z manjšimi korekcijami prenesejo v 10. člena pravilnika, ki je zato pridobil nekaj odstavkov.</w:t>
      </w:r>
    </w:p>
    <w:p w14:paraId="1F2BA301" w14:textId="77777777" w:rsidR="004E26B0" w:rsidRDefault="004E26B0" w:rsidP="004E26B0">
      <w:pPr>
        <w:spacing w:after="120"/>
        <w:rPr>
          <w:rFonts w:ascii="Arial" w:hAnsi="Arial" w:cs="Arial"/>
          <w:i/>
          <w:sz w:val="22"/>
          <w:szCs w:val="22"/>
        </w:rPr>
      </w:pPr>
      <w:r>
        <w:rPr>
          <w:rFonts w:ascii="Arial" w:hAnsi="Arial" w:cs="Arial"/>
          <w:i/>
          <w:sz w:val="22"/>
          <w:szCs w:val="22"/>
        </w:rPr>
        <w:t>S črtanjem 17. člena pravilnika ni več omejitev glede ponovne vgradnje električnih bojlerjev v obstoječe stavbe, če gre za vzdrževalna dela.</w:t>
      </w:r>
    </w:p>
    <w:p w14:paraId="68192B70" w14:textId="77777777" w:rsidR="004E26B0" w:rsidRDefault="004E26B0" w:rsidP="004E26B0">
      <w:pPr>
        <w:spacing w:after="120"/>
        <w:rPr>
          <w:rFonts w:ascii="Arial" w:hAnsi="Arial" w:cs="Arial"/>
          <w:i/>
          <w:sz w:val="22"/>
          <w:szCs w:val="22"/>
        </w:rPr>
      </w:pPr>
      <w:r>
        <w:rPr>
          <w:rFonts w:ascii="Arial" w:hAnsi="Arial" w:cs="Arial"/>
          <w:i/>
          <w:sz w:val="22"/>
          <w:szCs w:val="22"/>
        </w:rPr>
        <w:t xml:space="preserve">Četrti odstavek dopolnjenega 10. člena dovoljuje direktno rabo električne energije za ogrevanje in pripravo tople sanitarne vode, če gre za vzdrževanje stavbe, saj besedilo naslavlja le novogradnje in (celovite) rekonstrukcije. Dodana je tudi izjema za primere, ko pri rekonstrukciji vgradnja </w:t>
      </w:r>
      <w:r w:rsidRPr="002E6A7A">
        <w:rPr>
          <w:rFonts w:ascii="Arial" w:hAnsi="Arial" w:cs="Arial"/>
          <w:i/>
          <w:sz w:val="22"/>
          <w:szCs w:val="22"/>
        </w:rPr>
        <w:t>generatorjev toplote</w:t>
      </w:r>
      <w:r>
        <w:rPr>
          <w:rFonts w:ascii="Arial" w:hAnsi="Arial" w:cs="Arial"/>
          <w:i/>
          <w:sz w:val="22"/>
          <w:szCs w:val="22"/>
        </w:rPr>
        <w:t xml:space="preserve"> in naprav za pripravo tople sanitarne vode ni tehnično izvedljiva.</w:t>
      </w:r>
    </w:p>
    <w:p w14:paraId="28A44BDE" w14:textId="77777777" w:rsidR="004E26B0" w:rsidRDefault="004E26B0" w:rsidP="004E26B0">
      <w:pPr>
        <w:spacing w:after="120"/>
        <w:rPr>
          <w:rFonts w:ascii="Arial" w:hAnsi="Arial" w:cs="Arial"/>
          <w:i/>
          <w:sz w:val="22"/>
          <w:szCs w:val="22"/>
        </w:rPr>
      </w:pPr>
      <w:r>
        <w:rPr>
          <w:rFonts w:ascii="Arial" w:hAnsi="Arial" w:cs="Arial"/>
          <w:i/>
          <w:sz w:val="22"/>
          <w:szCs w:val="22"/>
        </w:rPr>
        <w:t xml:space="preserve">Dovoljena je tudi zamenjava </w:t>
      </w:r>
      <w:r w:rsidRPr="00EC67F5">
        <w:rPr>
          <w:rFonts w:ascii="Arial" w:hAnsi="Arial" w:cs="Arial"/>
          <w:i/>
          <w:sz w:val="22"/>
          <w:szCs w:val="22"/>
        </w:rPr>
        <w:t>plin</w:t>
      </w:r>
      <w:r>
        <w:rPr>
          <w:rFonts w:ascii="Arial" w:hAnsi="Arial" w:cs="Arial"/>
          <w:i/>
          <w:sz w:val="22"/>
          <w:szCs w:val="22"/>
        </w:rPr>
        <w:t>ske</w:t>
      </w:r>
      <w:r w:rsidRPr="00EC67F5">
        <w:rPr>
          <w:rFonts w:ascii="Arial" w:hAnsi="Arial" w:cs="Arial"/>
          <w:i/>
          <w:sz w:val="22"/>
          <w:szCs w:val="22"/>
        </w:rPr>
        <w:t xml:space="preserve"> kuriln</w:t>
      </w:r>
      <w:r>
        <w:rPr>
          <w:rFonts w:ascii="Arial" w:hAnsi="Arial" w:cs="Arial"/>
          <w:i/>
          <w:sz w:val="22"/>
          <w:szCs w:val="22"/>
        </w:rPr>
        <w:t>e</w:t>
      </w:r>
      <w:r w:rsidRPr="00EC67F5">
        <w:rPr>
          <w:rFonts w:ascii="Arial" w:hAnsi="Arial" w:cs="Arial"/>
          <w:i/>
          <w:sz w:val="22"/>
          <w:szCs w:val="22"/>
        </w:rPr>
        <w:t xml:space="preserve"> naprav</w:t>
      </w:r>
      <w:r>
        <w:rPr>
          <w:rFonts w:ascii="Arial" w:hAnsi="Arial" w:cs="Arial"/>
          <w:i/>
          <w:sz w:val="22"/>
          <w:szCs w:val="22"/>
        </w:rPr>
        <w:t>e</w:t>
      </w:r>
      <w:r w:rsidRPr="00EC67F5">
        <w:rPr>
          <w:rFonts w:ascii="Arial" w:hAnsi="Arial" w:cs="Arial"/>
          <w:i/>
          <w:sz w:val="22"/>
          <w:szCs w:val="22"/>
        </w:rPr>
        <w:t xml:space="preserve"> v </w:t>
      </w:r>
      <w:proofErr w:type="spellStart"/>
      <w:r>
        <w:rPr>
          <w:rFonts w:ascii="Arial" w:hAnsi="Arial" w:cs="Arial"/>
          <w:i/>
          <w:sz w:val="22"/>
          <w:szCs w:val="22"/>
        </w:rPr>
        <w:t>ne</w:t>
      </w:r>
      <w:r w:rsidRPr="00EC67F5">
        <w:rPr>
          <w:rFonts w:ascii="Arial" w:hAnsi="Arial" w:cs="Arial"/>
          <w:i/>
          <w:sz w:val="22"/>
          <w:szCs w:val="22"/>
        </w:rPr>
        <w:t>kondenzacijski</w:t>
      </w:r>
      <w:proofErr w:type="spellEnd"/>
      <w:r>
        <w:rPr>
          <w:rFonts w:ascii="Arial" w:hAnsi="Arial" w:cs="Arial"/>
          <w:i/>
          <w:sz w:val="22"/>
          <w:szCs w:val="22"/>
        </w:rPr>
        <w:t xml:space="preserve"> (tehnično zastareli, a v praksi obstoječi)</w:t>
      </w:r>
      <w:r w:rsidRPr="00EC67F5">
        <w:rPr>
          <w:rFonts w:ascii="Arial" w:hAnsi="Arial" w:cs="Arial"/>
          <w:i/>
          <w:sz w:val="22"/>
          <w:szCs w:val="22"/>
        </w:rPr>
        <w:t xml:space="preserve"> izvedbi</w:t>
      </w:r>
      <w:r>
        <w:rPr>
          <w:rFonts w:ascii="Arial" w:hAnsi="Arial" w:cs="Arial"/>
          <w:i/>
          <w:sz w:val="22"/>
          <w:szCs w:val="22"/>
        </w:rPr>
        <w:t xml:space="preserve">, če </w:t>
      </w:r>
      <w:r w:rsidRPr="00EC67F5">
        <w:rPr>
          <w:rFonts w:ascii="Arial" w:hAnsi="Arial" w:cs="Arial"/>
          <w:i/>
          <w:sz w:val="22"/>
          <w:szCs w:val="22"/>
        </w:rPr>
        <w:t>gre za začasno in nujno rešitev</w:t>
      </w:r>
      <w:r>
        <w:rPr>
          <w:rFonts w:ascii="Arial" w:hAnsi="Arial" w:cs="Arial"/>
          <w:i/>
          <w:sz w:val="22"/>
          <w:szCs w:val="22"/>
        </w:rPr>
        <w:t>, kar odpravlja morebitne zadrege menjav peči in (pretočnih) plinskih bojlerjev v večstanovanjskih stavbah.</w:t>
      </w:r>
    </w:p>
    <w:p w14:paraId="41FF57DE" w14:textId="77777777" w:rsidR="004E26B0" w:rsidRDefault="004E26B0" w:rsidP="004E26B0">
      <w:pPr>
        <w:spacing w:after="120"/>
        <w:rPr>
          <w:rFonts w:ascii="Arial" w:hAnsi="Arial" w:cs="Arial"/>
          <w:i/>
          <w:sz w:val="22"/>
          <w:szCs w:val="22"/>
        </w:rPr>
      </w:pPr>
      <w:r>
        <w:rPr>
          <w:rFonts w:ascii="Arial" w:hAnsi="Arial" w:cs="Arial"/>
          <w:i/>
          <w:sz w:val="22"/>
          <w:szCs w:val="22"/>
        </w:rPr>
        <w:t>Gradbeni zakon (</w:t>
      </w:r>
      <w:r w:rsidRPr="00E40E0D">
        <w:rPr>
          <w:rFonts w:ascii="Arial" w:hAnsi="Arial" w:cs="Arial"/>
          <w:i/>
          <w:sz w:val="22"/>
          <w:szCs w:val="22"/>
        </w:rPr>
        <w:t>GZ-1</w:t>
      </w:r>
      <w:r>
        <w:rPr>
          <w:rFonts w:ascii="Arial" w:hAnsi="Arial" w:cs="Arial"/>
          <w:i/>
          <w:sz w:val="22"/>
          <w:szCs w:val="22"/>
        </w:rPr>
        <w:t>)</w:t>
      </w:r>
      <w:r w:rsidRPr="00E40E0D">
        <w:rPr>
          <w:rFonts w:ascii="Arial" w:hAnsi="Arial" w:cs="Arial"/>
          <w:i/>
          <w:sz w:val="22"/>
          <w:szCs w:val="22"/>
        </w:rPr>
        <w:t xml:space="preserve"> določa, da so vzdrževalna dela </w:t>
      </w:r>
      <w:r>
        <w:rPr>
          <w:rFonts w:ascii="Arial" w:hAnsi="Arial" w:cs="Arial"/>
          <w:i/>
          <w:sz w:val="22"/>
          <w:szCs w:val="22"/>
        </w:rPr>
        <w:t>»</w:t>
      </w:r>
      <w:r w:rsidRPr="00E40E0D">
        <w:rPr>
          <w:rFonts w:ascii="Arial" w:hAnsi="Arial" w:cs="Arial"/>
          <w:i/>
          <w:sz w:val="22"/>
          <w:szCs w:val="22"/>
        </w:rPr>
        <w:t>namenjena ohranjanju uporabnosti in vrednosti objekta, izboljša</w:t>
      </w:r>
      <w:r>
        <w:rPr>
          <w:rFonts w:ascii="Arial" w:hAnsi="Arial" w:cs="Arial"/>
          <w:i/>
          <w:sz w:val="22"/>
          <w:szCs w:val="22"/>
        </w:rPr>
        <w:t>vami,</w:t>
      </w:r>
      <w:r w:rsidRPr="00E40E0D">
        <w:rPr>
          <w:rFonts w:ascii="Arial" w:hAnsi="Arial" w:cs="Arial"/>
          <w:i/>
          <w:sz w:val="22"/>
          <w:szCs w:val="22"/>
        </w:rPr>
        <w:t xml:space="preserve"> ki upoštevajo napredek tehnike, in manjši inštalacijski preboji</w:t>
      </w:r>
      <w:r>
        <w:rPr>
          <w:rFonts w:ascii="Arial" w:hAnsi="Arial" w:cs="Arial"/>
          <w:i/>
          <w:sz w:val="22"/>
          <w:szCs w:val="22"/>
        </w:rPr>
        <w:t xml:space="preserve">«. </w:t>
      </w:r>
      <w:r w:rsidRPr="00E40E0D">
        <w:rPr>
          <w:rFonts w:ascii="Arial" w:hAnsi="Arial" w:cs="Arial"/>
          <w:i/>
          <w:sz w:val="22"/>
          <w:szCs w:val="22"/>
        </w:rPr>
        <w:t xml:space="preserve"> </w:t>
      </w:r>
      <w:r>
        <w:rPr>
          <w:rFonts w:ascii="Arial" w:hAnsi="Arial" w:cs="Arial"/>
          <w:i/>
          <w:sz w:val="22"/>
          <w:szCs w:val="22"/>
        </w:rPr>
        <w:t>V</w:t>
      </w:r>
      <w:r w:rsidRPr="00E40E0D">
        <w:rPr>
          <w:rFonts w:ascii="Arial" w:hAnsi="Arial" w:cs="Arial"/>
          <w:i/>
          <w:sz w:val="22"/>
          <w:szCs w:val="22"/>
        </w:rPr>
        <w:t xml:space="preserve"> podzakonskem predpisu</w:t>
      </w:r>
      <w:r>
        <w:rPr>
          <w:rFonts w:ascii="Arial" w:hAnsi="Arial" w:cs="Arial"/>
          <w:i/>
          <w:sz w:val="22"/>
          <w:szCs w:val="22"/>
        </w:rPr>
        <w:t xml:space="preserve">, to je </w:t>
      </w:r>
      <w:r w:rsidRPr="00E40E0D">
        <w:rPr>
          <w:rFonts w:ascii="Arial" w:hAnsi="Arial" w:cs="Arial"/>
          <w:i/>
          <w:sz w:val="22"/>
          <w:szCs w:val="22"/>
        </w:rPr>
        <w:t>Uredb</w:t>
      </w:r>
      <w:r>
        <w:rPr>
          <w:rFonts w:ascii="Arial" w:hAnsi="Arial" w:cs="Arial"/>
          <w:i/>
          <w:sz w:val="22"/>
          <w:szCs w:val="22"/>
        </w:rPr>
        <w:t>i</w:t>
      </w:r>
      <w:r w:rsidRPr="00E40E0D">
        <w:rPr>
          <w:rFonts w:ascii="Arial" w:hAnsi="Arial" w:cs="Arial"/>
          <w:i/>
          <w:sz w:val="22"/>
          <w:szCs w:val="22"/>
        </w:rPr>
        <w:t xml:space="preserve"> o razvrščanju objektov</w:t>
      </w:r>
      <w:r>
        <w:rPr>
          <w:rFonts w:ascii="Arial" w:hAnsi="Arial" w:cs="Arial"/>
          <w:i/>
          <w:sz w:val="22"/>
          <w:szCs w:val="22"/>
        </w:rPr>
        <w:t xml:space="preserve"> pa je bolj natančno določeno, da se pri </w:t>
      </w:r>
      <w:proofErr w:type="spellStart"/>
      <w:r>
        <w:rPr>
          <w:rFonts w:ascii="Arial" w:hAnsi="Arial" w:cs="Arial"/>
          <w:i/>
          <w:sz w:val="22"/>
          <w:szCs w:val="22"/>
        </w:rPr>
        <w:t>TSS</w:t>
      </w:r>
      <w:proofErr w:type="spellEnd"/>
      <w:r>
        <w:rPr>
          <w:rFonts w:ascii="Arial" w:hAnsi="Arial" w:cs="Arial"/>
          <w:i/>
          <w:sz w:val="22"/>
          <w:szCs w:val="22"/>
        </w:rPr>
        <w:t xml:space="preserve"> za vzdrževalna dela štejejo tako sama popravila teh naprav in sistemov, kot tudi namestitev novih </w:t>
      </w:r>
      <w:proofErr w:type="spellStart"/>
      <w:r>
        <w:rPr>
          <w:rFonts w:ascii="Arial" w:hAnsi="Arial" w:cs="Arial"/>
          <w:i/>
          <w:sz w:val="22"/>
          <w:szCs w:val="22"/>
        </w:rPr>
        <w:t>TSS</w:t>
      </w:r>
      <w:proofErr w:type="spellEnd"/>
      <w:r>
        <w:rPr>
          <w:rFonts w:ascii="Arial" w:hAnsi="Arial" w:cs="Arial"/>
          <w:i/>
          <w:sz w:val="22"/>
          <w:szCs w:val="22"/>
        </w:rPr>
        <w:t xml:space="preserve"> (izsek iz priloge 3):</w:t>
      </w:r>
    </w:p>
    <w:tbl>
      <w:tblPr>
        <w:tblW w:w="9166" w:type="dxa"/>
        <w:tblInd w:w="40" w:type="dxa"/>
        <w:tblLayout w:type="fixed"/>
        <w:tblCellMar>
          <w:left w:w="40" w:type="dxa"/>
          <w:right w:w="40" w:type="dxa"/>
        </w:tblCellMar>
        <w:tblLook w:val="0000" w:firstRow="0" w:lastRow="0" w:firstColumn="0" w:lastColumn="0" w:noHBand="0" w:noVBand="0"/>
      </w:tblPr>
      <w:tblGrid>
        <w:gridCol w:w="426"/>
        <w:gridCol w:w="1984"/>
        <w:gridCol w:w="6756"/>
      </w:tblGrid>
      <w:tr w:rsidR="004E26B0" w:rsidRPr="00377C63" w14:paraId="6DFA8786" w14:textId="77777777" w:rsidTr="005F591C">
        <w:tc>
          <w:tcPr>
            <w:tcW w:w="426" w:type="dxa"/>
            <w:tcBorders>
              <w:top w:val="single" w:sz="6" w:space="0" w:color="auto"/>
              <w:left w:val="single" w:sz="6" w:space="0" w:color="auto"/>
              <w:bottom w:val="single" w:sz="6" w:space="0" w:color="auto"/>
              <w:right w:val="single" w:sz="6" w:space="0" w:color="auto"/>
            </w:tcBorders>
          </w:tcPr>
          <w:p w14:paraId="7BDABFC7" w14:textId="77777777" w:rsidR="004E26B0" w:rsidRPr="00377C63" w:rsidRDefault="004E26B0" w:rsidP="005F591C">
            <w:pPr>
              <w:autoSpaceDE w:val="0"/>
              <w:autoSpaceDN w:val="0"/>
              <w:spacing w:before="60" w:after="60"/>
              <w:rPr>
                <w:rFonts w:ascii="Arial" w:hAnsi="Arial" w:cs="Arial"/>
                <w:i/>
                <w:iCs/>
                <w:sz w:val="22"/>
                <w:szCs w:val="22"/>
              </w:rPr>
            </w:pPr>
            <w:r w:rsidRPr="00377C63">
              <w:rPr>
                <w:rFonts w:ascii="Arial" w:hAnsi="Arial" w:cs="Arial"/>
                <w:i/>
                <w:iCs/>
                <w:sz w:val="22"/>
                <w:szCs w:val="22"/>
              </w:rPr>
              <w:t>3</w:t>
            </w:r>
          </w:p>
        </w:tc>
        <w:tc>
          <w:tcPr>
            <w:tcW w:w="1984" w:type="dxa"/>
            <w:tcBorders>
              <w:top w:val="single" w:sz="6" w:space="0" w:color="auto"/>
              <w:left w:val="single" w:sz="6" w:space="0" w:color="auto"/>
              <w:bottom w:val="single" w:sz="6" w:space="0" w:color="auto"/>
              <w:right w:val="single" w:sz="6" w:space="0" w:color="auto"/>
            </w:tcBorders>
          </w:tcPr>
          <w:p w14:paraId="11FC3739" w14:textId="77777777" w:rsidR="004E26B0" w:rsidRPr="00377C63" w:rsidRDefault="004E26B0" w:rsidP="005F591C">
            <w:pPr>
              <w:autoSpaceDE w:val="0"/>
              <w:autoSpaceDN w:val="0"/>
              <w:spacing w:before="60" w:after="60"/>
              <w:rPr>
                <w:rFonts w:ascii="Arial" w:hAnsi="Arial" w:cs="Arial"/>
                <w:i/>
                <w:iCs/>
                <w:sz w:val="22"/>
                <w:szCs w:val="22"/>
              </w:rPr>
            </w:pPr>
            <w:r w:rsidRPr="00377C63">
              <w:rPr>
                <w:rFonts w:ascii="Arial" w:hAnsi="Arial" w:cs="Arial"/>
                <w:i/>
                <w:iCs/>
                <w:sz w:val="22"/>
                <w:szCs w:val="22"/>
              </w:rPr>
              <w:t>Vzdrževanje vgrajenih inštalacij in tehnoloških naprav, potrebnih za delovanje objekta</w:t>
            </w:r>
          </w:p>
        </w:tc>
        <w:tc>
          <w:tcPr>
            <w:tcW w:w="6756" w:type="dxa"/>
            <w:tcBorders>
              <w:top w:val="single" w:sz="6" w:space="0" w:color="auto"/>
              <w:left w:val="single" w:sz="6" w:space="0" w:color="auto"/>
              <w:bottom w:val="single" w:sz="6" w:space="0" w:color="auto"/>
              <w:right w:val="single" w:sz="6" w:space="0" w:color="auto"/>
            </w:tcBorders>
          </w:tcPr>
          <w:p w14:paraId="13DF37FD" w14:textId="77777777" w:rsidR="004E26B0" w:rsidRPr="00377C63" w:rsidRDefault="004E26B0" w:rsidP="005F591C">
            <w:pPr>
              <w:autoSpaceDE w:val="0"/>
              <w:autoSpaceDN w:val="0"/>
              <w:spacing w:before="60" w:after="60"/>
              <w:rPr>
                <w:rFonts w:ascii="Arial" w:hAnsi="Arial" w:cs="Arial"/>
                <w:i/>
                <w:iCs/>
                <w:sz w:val="22"/>
                <w:szCs w:val="22"/>
              </w:rPr>
            </w:pPr>
            <w:r w:rsidRPr="00377C63">
              <w:rPr>
                <w:rFonts w:ascii="Arial" w:hAnsi="Arial" w:cs="Arial"/>
                <w:i/>
                <w:iCs/>
                <w:sz w:val="22"/>
                <w:szCs w:val="22"/>
              </w:rPr>
              <w:t>Med ta dela med drugim spadajo: popravilo ali zamenjava naprav in z njimi povezanih napeljav na električnih, telekomunikacijskih, strelovodnih, vodovodnih, kanalizacijskih, ogrevalnih in prezračevalnih ter dimovodnih sistemih.</w:t>
            </w:r>
          </w:p>
          <w:p w14:paraId="757393D0" w14:textId="77777777" w:rsidR="004E26B0" w:rsidRPr="00377C63" w:rsidRDefault="004E26B0" w:rsidP="005F591C">
            <w:pPr>
              <w:autoSpaceDE w:val="0"/>
              <w:autoSpaceDN w:val="0"/>
              <w:spacing w:before="60" w:after="60"/>
              <w:rPr>
                <w:rFonts w:ascii="Arial" w:hAnsi="Arial" w:cs="Arial"/>
                <w:i/>
                <w:iCs/>
                <w:sz w:val="22"/>
                <w:szCs w:val="22"/>
              </w:rPr>
            </w:pPr>
            <w:r w:rsidRPr="00377C63">
              <w:rPr>
                <w:rFonts w:ascii="Arial" w:hAnsi="Arial" w:cs="Arial"/>
                <w:i/>
                <w:iCs/>
                <w:sz w:val="22"/>
                <w:szCs w:val="22"/>
              </w:rPr>
              <w:t>Med ta dela med drugim spada tudi popravilo ali zamenjava priključkov.</w:t>
            </w:r>
          </w:p>
        </w:tc>
      </w:tr>
      <w:tr w:rsidR="004E26B0" w:rsidRPr="00377C63" w14:paraId="5557B810" w14:textId="77777777" w:rsidTr="005F591C">
        <w:tc>
          <w:tcPr>
            <w:tcW w:w="426" w:type="dxa"/>
            <w:tcBorders>
              <w:top w:val="single" w:sz="6" w:space="0" w:color="auto"/>
              <w:left w:val="single" w:sz="6" w:space="0" w:color="auto"/>
              <w:bottom w:val="single" w:sz="6" w:space="0" w:color="auto"/>
              <w:right w:val="single" w:sz="6" w:space="0" w:color="auto"/>
            </w:tcBorders>
          </w:tcPr>
          <w:p w14:paraId="3F2E0E59" w14:textId="77777777" w:rsidR="004E26B0" w:rsidRPr="00377C63" w:rsidRDefault="004E26B0" w:rsidP="005F591C">
            <w:pPr>
              <w:autoSpaceDE w:val="0"/>
              <w:autoSpaceDN w:val="0"/>
              <w:spacing w:before="60" w:after="60"/>
              <w:rPr>
                <w:rFonts w:ascii="Arial" w:hAnsi="Arial" w:cs="Arial"/>
                <w:i/>
                <w:iCs/>
                <w:sz w:val="22"/>
                <w:szCs w:val="22"/>
              </w:rPr>
            </w:pPr>
            <w:r w:rsidRPr="00377C63">
              <w:rPr>
                <w:rFonts w:ascii="Arial" w:hAnsi="Arial" w:cs="Arial"/>
                <w:i/>
                <w:iCs/>
                <w:sz w:val="22"/>
                <w:szCs w:val="22"/>
              </w:rPr>
              <w:t>4</w:t>
            </w:r>
          </w:p>
        </w:tc>
        <w:tc>
          <w:tcPr>
            <w:tcW w:w="1984" w:type="dxa"/>
            <w:tcBorders>
              <w:top w:val="single" w:sz="6" w:space="0" w:color="auto"/>
              <w:left w:val="single" w:sz="6" w:space="0" w:color="auto"/>
              <w:bottom w:val="single" w:sz="6" w:space="0" w:color="auto"/>
              <w:right w:val="single" w:sz="6" w:space="0" w:color="auto"/>
            </w:tcBorders>
          </w:tcPr>
          <w:p w14:paraId="64E9511C" w14:textId="77777777" w:rsidR="004E26B0" w:rsidRPr="00377C63" w:rsidRDefault="004E26B0" w:rsidP="005F591C">
            <w:pPr>
              <w:autoSpaceDE w:val="0"/>
              <w:autoSpaceDN w:val="0"/>
              <w:spacing w:before="60" w:after="60"/>
              <w:rPr>
                <w:rFonts w:ascii="Arial" w:hAnsi="Arial" w:cs="Arial"/>
                <w:i/>
                <w:iCs/>
                <w:sz w:val="22"/>
                <w:szCs w:val="22"/>
              </w:rPr>
            </w:pPr>
            <w:r w:rsidRPr="00377C63">
              <w:rPr>
                <w:rFonts w:ascii="Arial" w:hAnsi="Arial" w:cs="Arial"/>
                <w:i/>
                <w:iCs/>
                <w:sz w:val="22"/>
                <w:szCs w:val="22"/>
              </w:rPr>
              <w:t>Namestitev novih inštalacij in tehnoloških naprav, potrebnih za delovanje objekta</w:t>
            </w:r>
          </w:p>
        </w:tc>
        <w:tc>
          <w:tcPr>
            <w:tcW w:w="6756" w:type="dxa"/>
            <w:tcBorders>
              <w:top w:val="single" w:sz="6" w:space="0" w:color="auto"/>
              <w:left w:val="single" w:sz="6" w:space="0" w:color="auto"/>
              <w:bottom w:val="single" w:sz="6" w:space="0" w:color="auto"/>
              <w:right w:val="single" w:sz="6" w:space="0" w:color="auto"/>
            </w:tcBorders>
          </w:tcPr>
          <w:p w14:paraId="65D984C6" w14:textId="77777777" w:rsidR="004E26B0" w:rsidRPr="00377C63" w:rsidRDefault="004E26B0" w:rsidP="005F591C">
            <w:pPr>
              <w:autoSpaceDE w:val="0"/>
              <w:autoSpaceDN w:val="0"/>
              <w:spacing w:before="60" w:after="60"/>
              <w:rPr>
                <w:rFonts w:ascii="Arial" w:hAnsi="Arial" w:cs="Arial"/>
                <w:i/>
                <w:iCs/>
                <w:sz w:val="22"/>
                <w:szCs w:val="22"/>
              </w:rPr>
            </w:pPr>
            <w:r w:rsidRPr="00377C63">
              <w:rPr>
                <w:rFonts w:ascii="Arial" w:hAnsi="Arial" w:cs="Arial"/>
                <w:i/>
                <w:iCs/>
                <w:sz w:val="22"/>
                <w:szCs w:val="22"/>
              </w:rPr>
              <w:t xml:space="preserve">Med ta dela med drugim spadajo: namestitev novih naprav in z njimi povezanih napeljav za ogrevanje, hlajenje, prezračevanje, pripravo tople vode in razsvetljavo, tudi za izkoriščanje obnovljivih virov energije in hranilnike energije. </w:t>
            </w:r>
          </w:p>
          <w:p w14:paraId="64C78575" w14:textId="77777777" w:rsidR="004E26B0" w:rsidRPr="00377C63" w:rsidRDefault="004E26B0" w:rsidP="005F591C">
            <w:pPr>
              <w:autoSpaceDE w:val="0"/>
              <w:autoSpaceDN w:val="0"/>
              <w:spacing w:before="60" w:after="60"/>
              <w:rPr>
                <w:rFonts w:ascii="Arial" w:hAnsi="Arial" w:cs="Arial"/>
                <w:i/>
                <w:iCs/>
                <w:sz w:val="22"/>
                <w:szCs w:val="22"/>
              </w:rPr>
            </w:pPr>
            <w:r w:rsidRPr="00377C63">
              <w:rPr>
                <w:rFonts w:ascii="Arial" w:hAnsi="Arial" w:cs="Arial"/>
                <w:i/>
                <w:iCs/>
                <w:sz w:val="22"/>
                <w:szCs w:val="22"/>
              </w:rPr>
              <w:t xml:space="preserve">Med ta dela med drugim spadajo tudi: namestitev novih električnih in telekomunikacijskih napeljav in strelovodne zaščite ter vodovoda, kanalizacije, vključno s sistemi za shranjevanje in rabo padavin,  in strojne opreme za delovanje objekta, namestitev dimniških tuljav. </w:t>
            </w:r>
          </w:p>
        </w:tc>
      </w:tr>
    </w:tbl>
    <w:p w14:paraId="213D207F" w14:textId="77777777" w:rsidR="004E26B0" w:rsidRDefault="004E26B0" w:rsidP="004E26B0">
      <w:pPr>
        <w:spacing w:after="120"/>
        <w:rPr>
          <w:rFonts w:ascii="Arial" w:hAnsi="Arial" w:cs="Arial"/>
          <w:i/>
          <w:sz w:val="22"/>
          <w:szCs w:val="22"/>
        </w:rPr>
      </w:pPr>
      <w:r>
        <w:rPr>
          <w:rFonts w:ascii="Arial" w:hAnsi="Arial" w:cs="Arial"/>
          <w:i/>
          <w:sz w:val="22"/>
          <w:szCs w:val="22"/>
        </w:rPr>
        <w:br/>
        <w:t>To pomeni, da za te posege gradbeno dovoljenje ni potrebno.</w:t>
      </w:r>
    </w:p>
    <w:p w14:paraId="41146414" w14:textId="77777777" w:rsidR="004E26B0" w:rsidRDefault="004E26B0" w:rsidP="004E26B0">
      <w:pPr>
        <w:spacing w:after="120"/>
        <w:jc w:val="both"/>
        <w:rPr>
          <w:rFonts w:ascii="Arial" w:hAnsi="Arial" w:cs="Arial"/>
          <w:i/>
          <w:sz w:val="22"/>
          <w:szCs w:val="22"/>
        </w:rPr>
      </w:pPr>
      <w:r>
        <w:rPr>
          <w:rFonts w:ascii="Arial" w:hAnsi="Arial" w:cs="Arial"/>
          <w:i/>
          <w:sz w:val="22"/>
          <w:szCs w:val="22"/>
        </w:rPr>
        <w:t>Rekonstrukcija – v tej noveli »celovita rekonstrukcija«, je sicer opredeljena v Gradbenem zakonu in je: »</w:t>
      </w:r>
      <w:r w:rsidRPr="008F0B04">
        <w:rPr>
          <w:rFonts w:ascii="Arial" w:hAnsi="Arial" w:cs="Arial"/>
          <w:i/>
          <w:sz w:val="22"/>
          <w:szCs w:val="22"/>
        </w:rPr>
        <w:t>spreminjanje tehničnih značilnosti obstoječega objekta, pri čemer se spreminjajo njegovi konstrukcijski elementi, zmogljivost ali izvedejo druge izboljšave, pri čemer se mora ohraniti vsaj del konstrukcijskih elementov obstoječega objekta,</w:t>
      </w:r>
      <w:r>
        <w:rPr>
          <w:rFonts w:ascii="Arial" w:hAnsi="Arial" w:cs="Arial"/>
          <w:i/>
          <w:sz w:val="22"/>
          <w:szCs w:val="22"/>
        </w:rPr>
        <w:t xml:space="preserve"> /…/«.</w:t>
      </w:r>
    </w:p>
    <w:p w14:paraId="46503918" w14:textId="77777777" w:rsidR="004E26B0" w:rsidRDefault="004E26B0" w:rsidP="004E26B0">
      <w:pPr>
        <w:spacing w:after="160" w:line="259" w:lineRule="auto"/>
        <w:rPr>
          <w:rFonts w:ascii="Arial" w:hAnsi="Arial" w:cs="Arial"/>
          <w:i/>
          <w:sz w:val="22"/>
          <w:szCs w:val="22"/>
        </w:rPr>
      </w:pPr>
      <w:r>
        <w:rPr>
          <w:rFonts w:ascii="Arial" w:hAnsi="Arial" w:cs="Arial"/>
          <w:i/>
          <w:sz w:val="22"/>
          <w:szCs w:val="22"/>
        </w:rPr>
        <w:br w:type="page"/>
      </w:r>
    </w:p>
    <w:p w14:paraId="0EAB21CB" w14:textId="77777777" w:rsidR="004E26B0" w:rsidRPr="00377C63" w:rsidRDefault="004E26B0" w:rsidP="004E26B0">
      <w:pPr>
        <w:spacing w:after="120"/>
        <w:rPr>
          <w:rFonts w:ascii="Arial" w:hAnsi="Arial" w:cs="Arial"/>
          <w:b/>
          <w:i/>
          <w:sz w:val="22"/>
          <w:szCs w:val="22"/>
        </w:rPr>
      </w:pPr>
      <w:r w:rsidRPr="00377C63">
        <w:rPr>
          <w:rFonts w:ascii="Arial" w:hAnsi="Arial" w:cs="Arial"/>
          <w:b/>
          <w:i/>
          <w:sz w:val="22"/>
          <w:szCs w:val="22"/>
        </w:rPr>
        <w:lastRenderedPageBreak/>
        <w:t xml:space="preserve">Spodbujevalni ukrepi - </w:t>
      </w:r>
      <w:proofErr w:type="spellStart"/>
      <w:r w:rsidRPr="00377C63">
        <w:rPr>
          <w:rFonts w:ascii="Arial" w:hAnsi="Arial" w:cs="Arial"/>
          <w:b/>
          <w:i/>
          <w:sz w:val="22"/>
          <w:szCs w:val="22"/>
        </w:rPr>
        <w:t>MOPE</w:t>
      </w:r>
      <w:proofErr w:type="spellEnd"/>
    </w:p>
    <w:p w14:paraId="563C1494" w14:textId="77777777" w:rsidR="004E26B0" w:rsidRPr="00377C63" w:rsidRDefault="004E26B0" w:rsidP="004E26B0">
      <w:pPr>
        <w:spacing w:after="120"/>
        <w:jc w:val="both"/>
        <w:rPr>
          <w:rFonts w:ascii="Arial" w:hAnsi="Arial" w:cs="Arial"/>
          <w:i/>
          <w:sz w:val="22"/>
          <w:szCs w:val="22"/>
        </w:rPr>
      </w:pPr>
      <w:r w:rsidRPr="00377C63">
        <w:rPr>
          <w:rFonts w:ascii="Arial" w:hAnsi="Arial" w:cs="Arial"/>
          <w:i/>
          <w:sz w:val="22"/>
          <w:szCs w:val="22"/>
        </w:rPr>
        <w:t>Na Ministrstvu za okolje, podnebje in energijo</w:t>
      </w:r>
      <w:r>
        <w:rPr>
          <w:rFonts w:ascii="Arial" w:hAnsi="Arial" w:cs="Arial"/>
          <w:i/>
          <w:sz w:val="22"/>
          <w:szCs w:val="22"/>
        </w:rPr>
        <w:t xml:space="preserve"> (</w:t>
      </w:r>
      <w:proofErr w:type="spellStart"/>
      <w:r>
        <w:rPr>
          <w:rFonts w:ascii="Arial" w:hAnsi="Arial" w:cs="Arial"/>
          <w:i/>
          <w:sz w:val="22"/>
          <w:szCs w:val="22"/>
        </w:rPr>
        <w:t>MOPE</w:t>
      </w:r>
      <w:proofErr w:type="spellEnd"/>
      <w:r>
        <w:rPr>
          <w:rFonts w:ascii="Arial" w:hAnsi="Arial" w:cs="Arial"/>
          <w:i/>
          <w:sz w:val="22"/>
          <w:szCs w:val="22"/>
        </w:rPr>
        <w:t>)</w:t>
      </w:r>
      <w:r w:rsidRPr="00377C63">
        <w:rPr>
          <w:rFonts w:ascii="Arial" w:hAnsi="Arial" w:cs="Arial"/>
          <w:i/>
          <w:sz w:val="22"/>
          <w:szCs w:val="22"/>
        </w:rPr>
        <w:t xml:space="preserve"> za zasledovanje cilja glede zmanjševanja rabe energije za delovanje tehničnih stavbnih sistemov (</w:t>
      </w:r>
      <w:proofErr w:type="spellStart"/>
      <w:r w:rsidRPr="00377C63">
        <w:rPr>
          <w:rFonts w:ascii="Arial" w:hAnsi="Arial" w:cs="Arial"/>
          <w:i/>
          <w:sz w:val="22"/>
          <w:szCs w:val="22"/>
        </w:rPr>
        <w:t>TSS</w:t>
      </w:r>
      <w:proofErr w:type="spellEnd"/>
      <w:r w:rsidRPr="00377C63">
        <w:rPr>
          <w:rFonts w:ascii="Arial" w:hAnsi="Arial" w:cs="Arial"/>
          <w:i/>
          <w:sz w:val="22"/>
          <w:szCs w:val="22"/>
        </w:rPr>
        <w:t xml:space="preserve">) v obstoječih stavbah (konkretno v tem primeru za zamenjavo električnih bojlerjev za </w:t>
      </w:r>
      <w:proofErr w:type="spellStart"/>
      <w:r w:rsidRPr="00377C63">
        <w:rPr>
          <w:rFonts w:ascii="Arial" w:hAnsi="Arial" w:cs="Arial"/>
          <w:i/>
          <w:sz w:val="22"/>
          <w:szCs w:val="22"/>
        </w:rPr>
        <w:t>TSV</w:t>
      </w:r>
      <w:proofErr w:type="spellEnd"/>
      <w:r w:rsidRPr="00377C63">
        <w:rPr>
          <w:rFonts w:ascii="Arial" w:hAnsi="Arial" w:cs="Arial"/>
          <w:i/>
          <w:sz w:val="22"/>
          <w:szCs w:val="22"/>
        </w:rPr>
        <w:t xml:space="preserve"> za toplotne črpalke za pripravo </w:t>
      </w:r>
      <w:proofErr w:type="spellStart"/>
      <w:r w:rsidRPr="00377C63">
        <w:rPr>
          <w:rFonts w:ascii="Arial" w:hAnsi="Arial" w:cs="Arial"/>
          <w:i/>
          <w:sz w:val="22"/>
          <w:szCs w:val="22"/>
        </w:rPr>
        <w:t>TSV</w:t>
      </w:r>
      <w:proofErr w:type="spellEnd"/>
      <w:r w:rsidRPr="00377C63">
        <w:rPr>
          <w:rFonts w:ascii="Arial" w:hAnsi="Arial" w:cs="Arial"/>
          <w:i/>
          <w:sz w:val="22"/>
          <w:szCs w:val="22"/>
        </w:rPr>
        <w:t xml:space="preserve">), pripravljajo rešitve za zagotovitev dodatnih finančnih spodbud, za zamenjavo obstoječih naprav z bolj učinkovitimi rešitvami priprave tople sanitarne vode. </w:t>
      </w:r>
      <w:proofErr w:type="spellStart"/>
      <w:r>
        <w:rPr>
          <w:rFonts w:ascii="Arial" w:hAnsi="Arial" w:cs="Arial"/>
          <w:i/>
          <w:sz w:val="22"/>
          <w:szCs w:val="22"/>
        </w:rPr>
        <w:t>MOPE</w:t>
      </w:r>
      <w:proofErr w:type="spellEnd"/>
      <w:r>
        <w:rPr>
          <w:rFonts w:ascii="Arial" w:hAnsi="Arial" w:cs="Arial"/>
          <w:i/>
          <w:sz w:val="22"/>
          <w:szCs w:val="22"/>
        </w:rPr>
        <w:t xml:space="preserve">  bo p</w:t>
      </w:r>
      <w:r w:rsidRPr="00377C63">
        <w:rPr>
          <w:rFonts w:ascii="Arial" w:hAnsi="Arial" w:cs="Arial"/>
          <w:i/>
          <w:sz w:val="22"/>
          <w:szCs w:val="22"/>
        </w:rPr>
        <w:t>osebej naslovilo tudi izvedbo naložb za odpravljanje energetske revščine.</w:t>
      </w:r>
    </w:p>
    <w:p w14:paraId="59EE5592" w14:textId="77777777" w:rsidR="004E26B0" w:rsidRPr="00377C63" w:rsidRDefault="004E26B0" w:rsidP="004E26B0">
      <w:pPr>
        <w:spacing w:after="120"/>
        <w:jc w:val="both"/>
        <w:rPr>
          <w:i/>
        </w:rPr>
      </w:pPr>
      <w:r w:rsidRPr="00377C63">
        <w:rPr>
          <w:rFonts w:ascii="Arial" w:hAnsi="Arial" w:cs="Arial"/>
          <w:i/>
          <w:sz w:val="22"/>
          <w:szCs w:val="22"/>
        </w:rPr>
        <w:t xml:space="preserve">V ta namen se bo za finančne spodbude zagotovilo tudi dodatna finančna sredstva, npr. prek </w:t>
      </w:r>
      <w:proofErr w:type="spellStart"/>
      <w:r w:rsidRPr="00377C63">
        <w:rPr>
          <w:rFonts w:ascii="Arial" w:hAnsi="Arial" w:cs="Arial"/>
          <w:i/>
          <w:sz w:val="22"/>
          <w:szCs w:val="22"/>
        </w:rPr>
        <w:t>Eko</w:t>
      </w:r>
      <w:proofErr w:type="spellEnd"/>
      <w:r w:rsidRPr="00377C63">
        <w:rPr>
          <w:rFonts w:ascii="Arial" w:hAnsi="Arial" w:cs="Arial"/>
          <w:i/>
          <w:sz w:val="22"/>
          <w:szCs w:val="22"/>
        </w:rPr>
        <w:t xml:space="preserve"> sklada, Socialn</w:t>
      </w:r>
      <w:r>
        <w:rPr>
          <w:rFonts w:ascii="Arial" w:hAnsi="Arial" w:cs="Arial"/>
          <w:i/>
          <w:sz w:val="22"/>
          <w:szCs w:val="22"/>
        </w:rPr>
        <w:t>ega</w:t>
      </w:r>
      <w:r w:rsidRPr="00377C63">
        <w:rPr>
          <w:rFonts w:ascii="Arial" w:hAnsi="Arial" w:cs="Arial"/>
          <w:i/>
          <w:sz w:val="22"/>
          <w:szCs w:val="22"/>
        </w:rPr>
        <w:t xml:space="preserve"> načrt</w:t>
      </w:r>
      <w:r>
        <w:rPr>
          <w:rFonts w:ascii="Arial" w:hAnsi="Arial" w:cs="Arial"/>
          <w:i/>
          <w:sz w:val="22"/>
          <w:szCs w:val="22"/>
        </w:rPr>
        <w:t>a</w:t>
      </w:r>
      <w:r w:rsidRPr="00377C63">
        <w:rPr>
          <w:rFonts w:ascii="Arial" w:hAnsi="Arial" w:cs="Arial"/>
          <w:i/>
          <w:sz w:val="22"/>
          <w:szCs w:val="22"/>
        </w:rPr>
        <w:t xml:space="preserve"> za podnebje,</w:t>
      </w:r>
      <w:r>
        <w:rPr>
          <w:rFonts w:ascii="Arial" w:hAnsi="Arial" w:cs="Arial"/>
          <w:i/>
          <w:sz w:val="22"/>
          <w:szCs w:val="22"/>
        </w:rPr>
        <w:t xml:space="preserve"> </w:t>
      </w:r>
      <w:r w:rsidRPr="00377C63">
        <w:rPr>
          <w:rFonts w:ascii="Arial" w:hAnsi="Arial" w:cs="Arial"/>
          <w:i/>
          <w:sz w:val="22"/>
          <w:szCs w:val="22"/>
        </w:rPr>
        <w:t>…</w:t>
      </w:r>
    </w:p>
    <w:p w14:paraId="275599C8" w14:textId="77777777" w:rsidR="004E26B0" w:rsidRPr="00377C63" w:rsidRDefault="004E26B0" w:rsidP="004E26B0">
      <w:pPr>
        <w:spacing w:after="120"/>
        <w:jc w:val="both"/>
        <w:rPr>
          <w:rFonts w:ascii="Arial" w:hAnsi="Arial" w:cs="Arial"/>
          <w:i/>
          <w:sz w:val="22"/>
          <w:szCs w:val="22"/>
        </w:rPr>
      </w:pPr>
      <w:r>
        <w:rPr>
          <w:rFonts w:ascii="Arial" w:hAnsi="Arial" w:cs="Arial"/>
          <w:i/>
          <w:sz w:val="22"/>
          <w:szCs w:val="22"/>
        </w:rPr>
        <w:t>Treba</w:t>
      </w:r>
      <w:r w:rsidRPr="00377C63">
        <w:rPr>
          <w:rFonts w:ascii="Arial" w:hAnsi="Arial" w:cs="Arial"/>
          <w:i/>
          <w:sz w:val="22"/>
          <w:szCs w:val="22"/>
        </w:rPr>
        <w:t xml:space="preserve"> je izpostaviti, da je možno že danes pridobiti nepovratne spodbude ali kredit na različnih javnih razpisih</w:t>
      </w:r>
      <w:r>
        <w:rPr>
          <w:rFonts w:ascii="Arial" w:hAnsi="Arial" w:cs="Arial"/>
          <w:i/>
          <w:sz w:val="22"/>
          <w:szCs w:val="22"/>
        </w:rPr>
        <w:t>,</w:t>
      </w:r>
      <w:r w:rsidRPr="00377C63">
        <w:rPr>
          <w:rFonts w:ascii="Arial" w:hAnsi="Arial" w:cs="Arial"/>
          <w:i/>
          <w:sz w:val="22"/>
          <w:szCs w:val="22"/>
        </w:rPr>
        <w:t xml:space="preserve"> namenjenih prenovi stavb</w:t>
      </w:r>
      <w:r>
        <w:rPr>
          <w:rFonts w:ascii="Arial" w:hAnsi="Arial" w:cs="Arial"/>
          <w:i/>
          <w:sz w:val="22"/>
          <w:szCs w:val="22"/>
        </w:rPr>
        <w:t>,</w:t>
      </w:r>
      <w:r w:rsidRPr="00377C63">
        <w:rPr>
          <w:rFonts w:ascii="Arial" w:hAnsi="Arial" w:cs="Arial"/>
          <w:i/>
          <w:sz w:val="22"/>
          <w:szCs w:val="22"/>
        </w:rPr>
        <w:t xml:space="preserve"> tako za občane, pravne osebe in lokalne skupnosti za namestitev ali zamenjavo naprave za pripravo sanitarne tople vode. Pri teh javnih razpisih se uporabljajo določbe tega pravilnika.</w:t>
      </w:r>
    </w:p>
    <w:p w14:paraId="19F95C09" w14:textId="77777777" w:rsidR="004E26B0" w:rsidRPr="00377C63" w:rsidRDefault="004E26B0" w:rsidP="004E26B0">
      <w:pPr>
        <w:spacing w:after="120"/>
        <w:jc w:val="both"/>
        <w:rPr>
          <w:rFonts w:ascii="Arial" w:hAnsi="Arial" w:cs="Arial"/>
          <w:i/>
          <w:sz w:val="22"/>
          <w:szCs w:val="22"/>
        </w:rPr>
      </w:pPr>
      <w:r w:rsidRPr="00377C63">
        <w:rPr>
          <w:rFonts w:ascii="Arial" w:hAnsi="Arial" w:cs="Arial"/>
          <w:i/>
          <w:sz w:val="22"/>
          <w:szCs w:val="22"/>
        </w:rPr>
        <w:t>Razpisi, kje je mogoče pridobiti sredstva:</w:t>
      </w:r>
    </w:p>
    <w:p w14:paraId="0E4C7899" w14:textId="77777777" w:rsidR="004E26B0" w:rsidRPr="00377C63" w:rsidRDefault="004E26B0" w:rsidP="004E26B0">
      <w:pPr>
        <w:spacing w:after="120"/>
        <w:jc w:val="both"/>
        <w:rPr>
          <w:rFonts w:ascii="Arial" w:hAnsi="Arial" w:cs="Arial"/>
          <w:i/>
          <w:sz w:val="22"/>
          <w:szCs w:val="22"/>
        </w:rPr>
      </w:pPr>
      <w:proofErr w:type="spellStart"/>
      <w:r w:rsidRPr="00377C63">
        <w:rPr>
          <w:rFonts w:ascii="Arial" w:hAnsi="Arial" w:cs="Arial"/>
          <w:i/>
          <w:sz w:val="22"/>
          <w:szCs w:val="22"/>
        </w:rPr>
        <w:t>Eko</w:t>
      </w:r>
      <w:proofErr w:type="spellEnd"/>
      <w:r w:rsidRPr="00377C63">
        <w:rPr>
          <w:rFonts w:ascii="Arial" w:hAnsi="Arial" w:cs="Arial"/>
          <w:i/>
          <w:sz w:val="22"/>
          <w:szCs w:val="22"/>
        </w:rPr>
        <w:t xml:space="preserve"> sklad</w:t>
      </w:r>
    </w:p>
    <w:p w14:paraId="26BB4952" w14:textId="77777777" w:rsidR="004E26B0" w:rsidRPr="00377C63" w:rsidRDefault="004E26B0" w:rsidP="004E26B0">
      <w:pPr>
        <w:pStyle w:val="Odstavekseznama"/>
        <w:numPr>
          <w:ilvl w:val="0"/>
          <w:numId w:val="1"/>
        </w:numPr>
        <w:spacing w:after="120"/>
        <w:ind w:left="714" w:hanging="357"/>
        <w:jc w:val="both"/>
        <w:rPr>
          <w:rFonts w:ascii="Arial" w:hAnsi="Arial" w:cs="Arial"/>
          <w:i/>
          <w:sz w:val="22"/>
          <w:szCs w:val="22"/>
        </w:rPr>
      </w:pPr>
      <w:r w:rsidRPr="00377C63">
        <w:rPr>
          <w:rFonts w:ascii="Arial" w:hAnsi="Arial" w:cs="Arial"/>
          <w:i/>
          <w:sz w:val="22"/>
          <w:szCs w:val="22"/>
        </w:rPr>
        <w:t>Javni poziv 75ob24 za kreditiranje okoljskih naložb občanov</w:t>
      </w:r>
    </w:p>
    <w:p w14:paraId="79F88A0E" w14:textId="77777777" w:rsidR="004E26B0" w:rsidRPr="00377C63" w:rsidRDefault="004E26B0" w:rsidP="004E26B0">
      <w:pPr>
        <w:pStyle w:val="Odstavekseznama"/>
        <w:numPr>
          <w:ilvl w:val="0"/>
          <w:numId w:val="1"/>
        </w:numPr>
        <w:spacing w:after="120"/>
        <w:ind w:left="714" w:hanging="357"/>
        <w:jc w:val="both"/>
        <w:rPr>
          <w:rFonts w:ascii="Arial" w:hAnsi="Arial" w:cs="Arial"/>
          <w:i/>
          <w:sz w:val="22"/>
          <w:szCs w:val="22"/>
        </w:rPr>
      </w:pPr>
      <w:r w:rsidRPr="00377C63">
        <w:rPr>
          <w:rFonts w:ascii="Arial" w:hAnsi="Arial" w:cs="Arial"/>
          <w:i/>
          <w:sz w:val="22"/>
          <w:szCs w:val="22"/>
        </w:rPr>
        <w:t xml:space="preserve">Javni poziv </w:t>
      </w:r>
      <w:proofErr w:type="spellStart"/>
      <w:r w:rsidRPr="00377C63">
        <w:rPr>
          <w:rFonts w:ascii="Arial" w:hAnsi="Arial" w:cs="Arial"/>
          <w:i/>
          <w:sz w:val="22"/>
          <w:szCs w:val="22"/>
        </w:rPr>
        <w:t>ZER</w:t>
      </w:r>
      <w:proofErr w:type="spellEnd"/>
      <w:r w:rsidRPr="00377C63">
        <w:rPr>
          <w:rFonts w:ascii="Arial" w:hAnsi="Arial" w:cs="Arial"/>
          <w:i/>
          <w:sz w:val="22"/>
          <w:szCs w:val="22"/>
        </w:rPr>
        <w:t xml:space="preserve"> 2024 nepovratne finančne spodbude za zmanjševanje energetske revščine </w:t>
      </w:r>
      <w:r w:rsidRPr="00377C63">
        <w:rPr>
          <w:rFonts w:ascii="Arial" w:hAnsi="Arial" w:cs="Arial"/>
          <w:b/>
          <w:bCs/>
          <w:i/>
          <w:sz w:val="22"/>
          <w:szCs w:val="22"/>
        </w:rPr>
        <w:t xml:space="preserve">(tukaj usmerjeno direktno na </w:t>
      </w:r>
      <w:r>
        <w:rPr>
          <w:rFonts w:ascii="Arial" w:hAnsi="Arial" w:cs="Arial"/>
          <w:b/>
          <w:bCs/>
          <w:i/>
          <w:sz w:val="22"/>
          <w:szCs w:val="22"/>
        </w:rPr>
        <w:t xml:space="preserve">energetsko </w:t>
      </w:r>
      <w:r w:rsidRPr="00377C63">
        <w:rPr>
          <w:rFonts w:ascii="Arial" w:hAnsi="Arial" w:cs="Arial"/>
          <w:b/>
          <w:bCs/>
          <w:i/>
          <w:sz w:val="22"/>
          <w:szCs w:val="22"/>
        </w:rPr>
        <w:t>revščino)</w:t>
      </w:r>
    </w:p>
    <w:p w14:paraId="4ED52EED" w14:textId="77777777" w:rsidR="004E26B0" w:rsidRPr="00377C63" w:rsidRDefault="004E26B0" w:rsidP="004E26B0">
      <w:pPr>
        <w:pStyle w:val="Odstavekseznama"/>
        <w:numPr>
          <w:ilvl w:val="0"/>
          <w:numId w:val="1"/>
        </w:numPr>
        <w:spacing w:after="120"/>
        <w:ind w:left="714" w:hanging="357"/>
        <w:jc w:val="both"/>
        <w:rPr>
          <w:rFonts w:ascii="Arial" w:hAnsi="Arial" w:cs="Arial"/>
          <w:i/>
          <w:sz w:val="22"/>
          <w:szCs w:val="22"/>
        </w:rPr>
      </w:pPr>
      <w:r w:rsidRPr="00377C63">
        <w:rPr>
          <w:rFonts w:ascii="Arial" w:hAnsi="Arial" w:cs="Arial"/>
          <w:i/>
          <w:sz w:val="22"/>
          <w:szCs w:val="22"/>
        </w:rPr>
        <w:t>Javni poziv 114sub-ob24 nepovratne finančne spodbude občanom za nove naložbe v večjo energijsko učinkovitost in rabo obnovljivih virov energije v stavbah</w:t>
      </w:r>
    </w:p>
    <w:p w14:paraId="63760D0B" w14:textId="77777777" w:rsidR="004E26B0" w:rsidRPr="00377C63" w:rsidRDefault="004E26B0" w:rsidP="004E26B0">
      <w:pPr>
        <w:pStyle w:val="Odstavekseznama"/>
        <w:numPr>
          <w:ilvl w:val="0"/>
          <w:numId w:val="1"/>
        </w:numPr>
        <w:spacing w:after="120"/>
        <w:ind w:left="714" w:hanging="357"/>
        <w:jc w:val="both"/>
        <w:rPr>
          <w:rFonts w:ascii="Arial" w:hAnsi="Arial" w:cs="Arial"/>
          <w:i/>
          <w:sz w:val="22"/>
          <w:szCs w:val="22"/>
        </w:rPr>
      </w:pPr>
      <w:r w:rsidRPr="00377C63">
        <w:rPr>
          <w:rFonts w:ascii="Arial" w:hAnsi="Arial" w:cs="Arial"/>
          <w:i/>
          <w:sz w:val="22"/>
          <w:szCs w:val="22"/>
        </w:rPr>
        <w:t>Javni poziv 120sub-sog24 nepovratne finančne spodbude za naložbe v posodobitev   ogrevalnih naprav v skupnih sistemih starejših stavb s tremi ali več posameznimi deli (objava je predvidena 6.12.2024)</w:t>
      </w:r>
    </w:p>
    <w:p w14:paraId="42DF3BC2" w14:textId="77777777" w:rsidR="004E26B0" w:rsidRPr="00377C63" w:rsidRDefault="004E26B0" w:rsidP="004E26B0">
      <w:pPr>
        <w:pStyle w:val="Odstavekseznama"/>
        <w:numPr>
          <w:ilvl w:val="0"/>
          <w:numId w:val="1"/>
        </w:numPr>
        <w:spacing w:after="120"/>
        <w:ind w:left="714" w:hanging="357"/>
        <w:jc w:val="both"/>
        <w:rPr>
          <w:rFonts w:ascii="Arial" w:hAnsi="Arial" w:cs="Arial"/>
          <w:i/>
          <w:sz w:val="22"/>
          <w:szCs w:val="22"/>
        </w:rPr>
      </w:pPr>
      <w:r w:rsidRPr="00377C63">
        <w:rPr>
          <w:rFonts w:ascii="Arial" w:hAnsi="Arial" w:cs="Arial"/>
          <w:i/>
          <w:sz w:val="22"/>
          <w:szCs w:val="22"/>
        </w:rPr>
        <w:t>Javni poziv 119sub-ls24 nepovratne finančne spodbude lokalnim skupnostim za nove naložbe v večjo energijsko učinkovitost in rabo obnovljivih virov energije v stavbah (trenutno je objavljen jp100sub-ls22 z enakimi ukrepi)</w:t>
      </w:r>
    </w:p>
    <w:p w14:paraId="09045660" w14:textId="77777777" w:rsidR="004E26B0" w:rsidRPr="00377C63" w:rsidRDefault="004E26B0" w:rsidP="004E26B0">
      <w:pPr>
        <w:pStyle w:val="Odstavekseznama"/>
        <w:numPr>
          <w:ilvl w:val="0"/>
          <w:numId w:val="1"/>
        </w:numPr>
        <w:spacing w:after="120"/>
        <w:ind w:left="714" w:hanging="357"/>
        <w:jc w:val="both"/>
        <w:rPr>
          <w:rFonts w:ascii="Arial" w:hAnsi="Arial" w:cs="Arial"/>
          <w:i/>
          <w:sz w:val="22"/>
          <w:szCs w:val="22"/>
        </w:rPr>
      </w:pPr>
      <w:r w:rsidRPr="00377C63">
        <w:rPr>
          <w:rFonts w:ascii="Arial" w:hAnsi="Arial" w:cs="Arial"/>
          <w:i/>
          <w:sz w:val="22"/>
          <w:szCs w:val="22"/>
        </w:rPr>
        <w:t>Javni poziv 118fs-po24 nepovratne finančne spodbude za nove naložbe v učinkovito rabo energije in obnovljive vire energije za poslovne subjekte (trenutno je objavljen jp106fs-po23 z enakimi ukrepi)</w:t>
      </w:r>
    </w:p>
    <w:p w14:paraId="06724CA3" w14:textId="77777777" w:rsidR="004E26B0" w:rsidRPr="00377C63" w:rsidRDefault="004E26B0" w:rsidP="004E26B0">
      <w:pPr>
        <w:pStyle w:val="Odstavekseznama"/>
        <w:numPr>
          <w:ilvl w:val="0"/>
          <w:numId w:val="1"/>
        </w:numPr>
        <w:spacing w:after="120"/>
        <w:ind w:left="714" w:hanging="357"/>
        <w:jc w:val="both"/>
        <w:rPr>
          <w:rFonts w:ascii="Arial" w:hAnsi="Arial" w:cs="Arial"/>
          <w:i/>
          <w:sz w:val="22"/>
          <w:szCs w:val="22"/>
        </w:rPr>
      </w:pPr>
      <w:r w:rsidRPr="00377C63">
        <w:rPr>
          <w:rFonts w:ascii="Arial" w:hAnsi="Arial" w:cs="Arial"/>
          <w:i/>
          <w:sz w:val="22"/>
          <w:szCs w:val="22"/>
        </w:rPr>
        <w:t xml:space="preserve">Javni poziv 105sub-snesob23 nepovratne finančne spodbude občanom za skoraj </w:t>
      </w:r>
      <w:proofErr w:type="spellStart"/>
      <w:r w:rsidRPr="00377C63">
        <w:rPr>
          <w:rFonts w:ascii="Arial" w:hAnsi="Arial" w:cs="Arial"/>
          <w:i/>
          <w:sz w:val="22"/>
          <w:szCs w:val="22"/>
        </w:rPr>
        <w:t>ničenergijske</w:t>
      </w:r>
      <w:proofErr w:type="spellEnd"/>
      <w:r w:rsidRPr="00377C63">
        <w:rPr>
          <w:rFonts w:ascii="Arial" w:hAnsi="Arial" w:cs="Arial"/>
          <w:i/>
          <w:sz w:val="22"/>
          <w:szCs w:val="22"/>
        </w:rPr>
        <w:t xml:space="preserve"> (</w:t>
      </w:r>
      <w:proofErr w:type="spellStart"/>
      <w:r w:rsidRPr="00377C63">
        <w:rPr>
          <w:rFonts w:ascii="Arial" w:hAnsi="Arial" w:cs="Arial"/>
          <w:i/>
          <w:sz w:val="22"/>
          <w:szCs w:val="22"/>
        </w:rPr>
        <w:t>snes</w:t>
      </w:r>
      <w:proofErr w:type="spellEnd"/>
      <w:r w:rsidRPr="00377C63">
        <w:rPr>
          <w:rFonts w:ascii="Arial" w:hAnsi="Arial" w:cs="Arial"/>
          <w:i/>
          <w:sz w:val="22"/>
          <w:szCs w:val="22"/>
        </w:rPr>
        <w:t>+) stavbe</w:t>
      </w:r>
    </w:p>
    <w:p w14:paraId="69F2BFAF" w14:textId="77777777" w:rsidR="004E26B0" w:rsidRPr="00377C63" w:rsidRDefault="004E26B0" w:rsidP="004E26B0">
      <w:pPr>
        <w:spacing w:after="120"/>
        <w:jc w:val="both"/>
        <w:rPr>
          <w:rFonts w:ascii="Arial" w:hAnsi="Arial" w:cs="Arial"/>
          <w:i/>
          <w:sz w:val="22"/>
          <w:szCs w:val="22"/>
        </w:rPr>
      </w:pPr>
      <w:proofErr w:type="spellStart"/>
      <w:r w:rsidRPr="00377C63">
        <w:rPr>
          <w:rFonts w:ascii="Arial" w:hAnsi="Arial" w:cs="Arial"/>
          <w:i/>
          <w:sz w:val="22"/>
          <w:szCs w:val="22"/>
        </w:rPr>
        <w:t>MOPE</w:t>
      </w:r>
      <w:proofErr w:type="spellEnd"/>
      <w:r w:rsidRPr="00377C63">
        <w:rPr>
          <w:rFonts w:ascii="Arial" w:hAnsi="Arial" w:cs="Arial"/>
          <w:i/>
          <w:sz w:val="22"/>
          <w:szCs w:val="22"/>
        </w:rPr>
        <w:t xml:space="preserve"> (ukrepi iz </w:t>
      </w:r>
      <w:proofErr w:type="spellStart"/>
      <w:r w:rsidRPr="00377C63">
        <w:rPr>
          <w:rFonts w:ascii="Arial" w:hAnsi="Arial" w:cs="Arial"/>
          <w:i/>
          <w:sz w:val="22"/>
          <w:szCs w:val="22"/>
        </w:rPr>
        <w:t>NOO</w:t>
      </w:r>
      <w:proofErr w:type="spellEnd"/>
      <w:r w:rsidRPr="00377C63">
        <w:rPr>
          <w:rFonts w:ascii="Arial" w:hAnsi="Arial" w:cs="Arial"/>
          <w:i/>
          <w:sz w:val="22"/>
          <w:szCs w:val="22"/>
        </w:rPr>
        <w:t>; Kohezijska sredstva)</w:t>
      </w:r>
    </w:p>
    <w:p w14:paraId="20B09ECD" w14:textId="77777777" w:rsidR="004E26B0" w:rsidRPr="00377C63" w:rsidRDefault="004E26B0" w:rsidP="004E26B0">
      <w:pPr>
        <w:pStyle w:val="Odstavekseznama"/>
        <w:numPr>
          <w:ilvl w:val="0"/>
          <w:numId w:val="2"/>
        </w:numPr>
        <w:ind w:left="714" w:hanging="357"/>
        <w:jc w:val="both"/>
        <w:rPr>
          <w:rFonts w:ascii="Arial" w:hAnsi="Arial" w:cs="Arial"/>
          <w:i/>
          <w:sz w:val="22"/>
          <w:szCs w:val="22"/>
        </w:rPr>
      </w:pPr>
      <w:r w:rsidRPr="00377C63">
        <w:rPr>
          <w:rFonts w:ascii="Arial" w:hAnsi="Arial" w:cs="Arial"/>
          <w:i/>
          <w:sz w:val="22"/>
          <w:szCs w:val="22"/>
        </w:rPr>
        <w:t>Javno povabilo za energetske prenove stavb izjemnega upravnega ali družbenega pomena v okviru načrta za okrevanje in odpornost, razvojnega področja "zeleni prehod"</w:t>
      </w:r>
    </w:p>
    <w:p w14:paraId="32C8EC79" w14:textId="77777777" w:rsidR="004E26B0" w:rsidRPr="00377C63" w:rsidRDefault="004E26B0" w:rsidP="004E26B0">
      <w:pPr>
        <w:pStyle w:val="Odstavekseznama"/>
        <w:numPr>
          <w:ilvl w:val="0"/>
          <w:numId w:val="2"/>
        </w:numPr>
        <w:ind w:left="714" w:hanging="357"/>
        <w:jc w:val="both"/>
        <w:rPr>
          <w:rFonts w:ascii="Arial" w:hAnsi="Arial" w:cs="Arial"/>
          <w:i/>
          <w:sz w:val="22"/>
          <w:szCs w:val="22"/>
        </w:rPr>
      </w:pPr>
      <w:r w:rsidRPr="00377C63">
        <w:rPr>
          <w:rFonts w:ascii="Arial" w:hAnsi="Arial" w:cs="Arial"/>
          <w:i/>
          <w:sz w:val="22"/>
          <w:szCs w:val="22"/>
        </w:rPr>
        <w:t>Javni razpis za energetsko prenovo stavb v lasti občin</w:t>
      </w:r>
      <w:r>
        <w:rPr>
          <w:rFonts w:ascii="Arial" w:hAnsi="Arial" w:cs="Arial"/>
          <w:i/>
          <w:sz w:val="22"/>
          <w:szCs w:val="22"/>
        </w:rPr>
        <w:t>.</w:t>
      </w:r>
    </w:p>
    <w:p w14:paraId="6124BB2B" w14:textId="77777777" w:rsidR="004E26B0" w:rsidRDefault="004E26B0" w:rsidP="004E26B0">
      <w:pPr>
        <w:pStyle w:val="Pravnapodlaga"/>
        <w:spacing w:before="0" w:after="120"/>
        <w:ind w:firstLine="0"/>
        <w:rPr>
          <w:i/>
        </w:rPr>
      </w:pPr>
    </w:p>
    <w:p w14:paraId="549CD74F" w14:textId="154EFA10" w:rsidR="00880AF8" w:rsidRDefault="00880AF8"/>
    <w:sectPr w:rsidR="00880AF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FB457D"/>
    <w:multiLevelType w:val="hybridMultilevel"/>
    <w:tmpl w:val="1B2A65B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51044953"/>
    <w:multiLevelType w:val="hybridMultilevel"/>
    <w:tmpl w:val="8A704B78"/>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16cid:durableId="502748589">
    <w:abstractNumId w:val="1"/>
  </w:num>
  <w:num w:numId="2" w16cid:durableId="7399128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26B0"/>
    <w:rsid w:val="0028711A"/>
    <w:rsid w:val="004E26B0"/>
    <w:rsid w:val="00880AF8"/>
    <w:rsid w:val="008F540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1073AF"/>
  <w15:chartTrackingRefBased/>
  <w15:docId w15:val="{80CA2E1F-FA5A-4104-8B89-37FCE0C74C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E26B0"/>
    <w:pPr>
      <w:spacing w:after="0" w:line="240" w:lineRule="auto"/>
    </w:pPr>
    <w:rPr>
      <w:rFonts w:ascii="Times New Roman" w:eastAsia="Times New Roman" w:hAnsi="Times New Roman" w:cs="Times New Roman"/>
      <w:kern w:val="0"/>
      <w:sz w:val="24"/>
      <w:szCs w:val="24"/>
      <w:lang w:eastAsia="sl-SI"/>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4E26B0"/>
    <w:pPr>
      <w:ind w:left="720"/>
      <w:contextualSpacing/>
    </w:pPr>
  </w:style>
  <w:style w:type="paragraph" w:customStyle="1" w:styleId="Pravnapodlaga">
    <w:name w:val="Pravna podlaga"/>
    <w:basedOn w:val="Navaden"/>
    <w:link w:val="PravnapodlagaZnak"/>
    <w:qFormat/>
    <w:rsid w:val="004E26B0"/>
    <w:pPr>
      <w:overflowPunct w:val="0"/>
      <w:autoSpaceDE w:val="0"/>
      <w:autoSpaceDN w:val="0"/>
      <w:adjustRightInd w:val="0"/>
      <w:spacing w:before="480"/>
      <w:ind w:firstLine="1021"/>
      <w:jc w:val="both"/>
      <w:textAlignment w:val="baseline"/>
    </w:pPr>
    <w:rPr>
      <w:rFonts w:ascii="Arial" w:hAnsi="Arial" w:cs="Arial"/>
      <w:sz w:val="22"/>
      <w:szCs w:val="22"/>
    </w:rPr>
  </w:style>
  <w:style w:type="character" w:customStyle="1" w:styleId="PravnapodlagaZnak">
    <w:name w:val="Pravna podlaga Znak"/>
    <w:basedOn w:val="Privzetapisavaodstavka"/>
    <w:link w:val="Pravnapodlaga"/>
    <w:rsid w:val="004E26B0"/>
    <w:rPr>
      <w:rFonts w:ascii="Arial" w:eastAsia="Times New Roman" w:hAnsi="Arial" w:cs="Arial"/>
      <w:kern w:val="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868</Words>
  <Characters>4953</Characters>
  <Application>Microsoft Office Word</Application>
  <DocSecurity>0</DocSecurity>
  <Lines>41</Lines>
  <Paragraphs>11</Paragraphs>
  <ScaleCrop>false</ScaleCrop>
  <Company/>
  <LinksUpToDate>false</LinksUpToDate>
  <CharactersWithSpaces>5810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Saša Galonja</dc:creator>
  <cp:keywords/>
  <dc:description/>
  <cp:lastModifiedBy>Saša Galonja</cp:lastModifiedBy>
  <cp:revision>2</cp:revision>
  <dcterms:created xsi:type="dcterms:W3CDTF">2024-11-19T09:39:00Z</dcterms:created>
  <dcterms:modified xsi:type="dcterms:W3CDTF">2024-11-19T09:40:00Z</dcterms:modified>
</cp:coreProperties>
</file>