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D49FC" w:rsidRPr="0017355E" w:rsidRDefault="003D49FC" w:rsidP="003D49FC">
      <w:pPr>
        <w:spacing w:before="100" w:beforeAutospacing="1" w:after="100" w:afterAutospacing="1"/>
        <w:rPr>
          <w:rFonts w:eastAsia="Times New Roman"/>
          <w:b/>
        </w:rPr>
      </w:pPr>
      <w:r>
        <w:br/>
      </w:r>
      <w:r w:rsidRPr="0017355E">
        <w:rPr>
          <w:rFonts w:eastAsia="Times New Roman"/>
          <w:b/>
        </w:rPr>
        <w:t>Letni program statističnih raziskovanj 2025 – RAZVOJNI DEL</w:t>
      </w:r>
      <w:r w:rsidRPr="0017355E">
        <w:rPr>
          <w:rFonts w:eastAsia="Times New Roman"/>
          <w:b/>
        </w:rPr>
        <w:tab/>
      </w:r>
      <w:r w:rsidRPr="0017355E">
        <w:rPr>
          <w:rFonts w:eastAsia="Times New Roman"/>
          <w:b/>
        </w:rPr>
        <w:tab/>
      </w:r>
      <w:r w:rsidRPr="0017355E">
        <w:rPr>
          <w:rFonts w:eastAsia="Times New Roman"/>
          <w:b/>
        </w:rPr>
        <w:tab/>
      </w:r>
      <w:r w:rsidRPr="0017355E">
        <w:rPr>
          <w:rFonts w:eastAsia="Times New Roman"/>
          <w:b/>
        </w:rPr>
        <w:tab/>
      </w:r>
      <w:r w:rsidRPr="0017355E">
        <w:rPr>
          <w:rFonts w:eastAsia="Times New Roman"/>
          <w:b/>
        </w:rPr>
        <w:tab/>
      </w:r>
      <w:r w:rsidRPr="0017355E">
        <w:rPr>
          <w:rFonts w:eastAsia="Times New Roman"/>
          <w:b/>
        </w:rPr>
        <w:tab/>
      </w:r>
      <w:r w:rsidRPr="0017355E">
        <w:rPr>
          <w:rFonts w:eastAsia="Times New Roman"/>
          <w:b/>
        </w:rPr>
        <w:tab/>
      </w:r>
      <w:r w:rsidRPr="0017355E">
        <w:rPr>
          <w:rFonts w:eastAsia="Times New Roman"/>
          <w:b/>
        </w:rPr>
        <w:tab/>
      </w:r>
      <w:r w:rsidRPr="0017355E">
        <w:rPr>
          <w:rFonts w:eastAsia="Times New Roman"/>
          <w:b/>
        </w:rPr>
        <w:tab/>
        <w:t>Priloga 2</w:t>
      </w:r>
      <w:r w:rsidRPr="0017355E">
        <w:rPr>
          <w:rFonts w:eastAsia="Times New Roman"/>
          <w:b/>
        </w:rPr>
        <w:tab/>
      </w:r>
      <w:r w:rsidRPr="0017355E">
        <w:rPr>
          <w:rFonts w:eastAsia="Times New Roman"/>
          <w:b/>
        </w:rPr>
        <w:tab/>
      </w:r>
      <w:r w:rsidRPr="0017355E">
        <w:rPr>
          <w:rFonts w:eastAsia="Times New Roman"/>
          <w:b/>
        </w:rPr>
        <w:tab/>
      </w:r>
      <w:r w:rsidRPr="0017355E">
        <w:rPr>
          <w:rFonts w:eastAsia="Times New Roman"/>
          <w:b/>
        </w:rPr>
        <w:tab/>
      </w:r>
      <w:r w:rsidRPr="0017355E">
        <w:rPr>
          <w:rFonts w:eastAsia="Times New Roman"/>
          <w:b/>
        </w:rPr>
        <w:tab/>
      </w:r>
    </w:p>
    <w:p w:rsidR="003D49FC" w:rsidRPr="0017355E" w:rsidRDefault="003D49FC" w:rsidP="003D49FC">
      <w:pPr>
        <w:spacing w:before="100" w:beforeAutospacing="1" w:after="100" w:afterAutospacing="1"/>
        <w:rPr>
          <w:rFonts w:eastAsia="Times New Roman"/>
        </w:rPr>
      </w:pPr>
      <w:r w:rsidRPr="0017355E">
        <w:rPr>
          <w:rFonts w:eastAsia="Times New Roman"/>
          <w:b/>
        </w:rPr>
        <w:tab/>
      </w:r>
      <w:r w:rsidRPr="0017355E">
        <w:rPr>
          <w:rFonts w:eastAsia="Times New Roman"/>
        </w:rPr>
        <w:br/>
      </w:r>
      <w:r w:rsidRPr="0017355E">
        <w:rPr>
          <w:rFonts w:eastAsia="Times New Roman"/>
          <w:b/>
        </w:rPr>
        <w:t>Kazalo</w:t>
      </w:r>
    </w:p>
    <w:p w:rsidR="003D49FC" w:rsidRPr="0017355E" w:rsidRDefault="003D49FC" w:rsidP="003D49FC">
      <w:pPr>
        <w:spacing w:before="100" w:beforeAutospacing="1" w:after="100" w:afterAutospacing="1"/>
        <w:rPr>
          <w:rFonts w:eastAsia="Times New Roman"/>
        </w:rPr>
      </w:pPr>
    </w:p>
    <w:tbl>
      <w:tblPr>
        <w:tblW w:w="12474" w:type="dxa"/>
        <w:tblInd w:w="70" w:type="dxa"/>
        <w:tblCellMar>
          <w:left w:w="70" w:type="dxa"/>
          <w:right w:w="70" w:type="dxa"/>
        </w:tblCellMar>
        <w:tblLook w:val="04A0" w:firstRow="1" w:lastRow="0" w:firstColumn="1" w:lastColumn="0" w:noHBand="0" w:noVBand="1"/>
      </w:tblPr>
      <w:tblGrid>
        <w:gridCol w:w="6631"/>
        <w:gridCol w:w="5843"/>
      </w:tblGrid>
      <w:tr w:rsidR="003D49FC" w:rsidRPr="0017355E" w:rsidTr="003D49FC">
        <w:trPr>
          <w:trHeight w:val="414"/>
        </w:trPr>
        <w:tc>
          <w:tcPr>
            <w:tcW w:w="6631" w:type="dxa"/>
            <w:noWrap/>
            <w:vAlign w:val="bottom"/>
            <w:hideMark/>
          </w:tcPr>
          <w:p w:rsidR="003D49FC" w:rsidRPr="0017355E" w:rsidRDefault="004312AE" w:rsidP="00DA6A79">
            <w:pPr>
              <w:spacing w:before="100" w:beforeAutospacing="1" w:after="100" w:afterAutospacing="1"/>
              <w:rPr>
                <w:rFonts w:eastAsia="Times New Roman"/>
              </w:rPr>
            </w:pPr>
            <w:r>
              <w:rPr>
                <w:rFonts w:eastAsia="Times New Roman"/>
              </w:rPr>
              <w:t>R</w:t>
            </w:r>
            <w:r w:rsidR="003D49FC" w:rsidRPr="0017355E">
              <w:rPr>
                <w:rFonts w:eastAsia="Times New Roman"/>
              </w:rPr>
              <w:t>01 Nacionalni računi</w:t>
            </w:r>
          </w:p>
        </w:tc>
        <w:tc>
          <w:tcPr>
            <w:tcW w:w="5843" w:type="dxa"/>
            <w:vAlign w:val="bottom"/>
            <w:hideMark/>
          </w:tcPr>
          <w:p w:rsidR="003D49FC" w:rsidRPr="0017355E" w:rsidRDefault="004312AE" w:rsidP="00DA6A79">
            <w:pPr>
              <w:spacing w:before="100" w:beforeAutospacing="1" w:after="100" w:afterAutospacing="1"/>
              <w:rPr>
                <w:rFonts w:eastAsia="Times New Roman"/>
              </w:rPr>
            </w:pPr>
            <w:r>
              <w:rPr>
                <w:rFonts w:eastAsia="Times New Roman"/>
              </w:rPr>
              <w:t>R</w:t>
            </w:r>
            <w:r w:rsidR="003D49FC" w:rsidRPr="0017355E">
              <w:rPr>
                <w:rFonts w:eastAsia="Times New Roman"/>
              </w:rPr>
              <w:t>15 Energetika</w:t>
            </w:r>
          </w:p>
        </w:tc>
      </w:tr>
      <w:tr w:rsidR="003D49FC" w:rsidRPr="0017355E" w:rsidTr="003D49FC">
        <w:trPr>
          <w:trHeight w:val="414"/>
        </w:trPr>
        <w:tc>
          <w:tcPr>
            <w:tcW w:w="6631" w:type="dxa"/>
            <w:noWrap/>
            <w:vAlign w:val="bottom"/>
            <w:hideMark/>
          </w:tcPr>
          <w:p w:rsidR="003D49FC" w:rsidRPr="0017355E" w:rsidRDefault="004312AE" w:rsidP="00DA6A79">
            <w:pPr>
              <w:spacing w:before="100" w:beforeAutospacing="1" w:after="100" w:afterAutospacing="1"/>
              <w:rPr>
                <w:rFonts w:eastAsia="Times New Roman"/>
              </w:rPr>
            </w:pPr>
            <w:r>
              <w:rPr>
                <w:rFonts w:eastAsia="Times New Roman"/>
              </w:rPr>
              <w:t>R</w:t>
            </w:r>
            <w:r w:rsidR="003D49FC" w:rsidRPr="0017355E">
              <w:rPr>
                <w:rFonts w:eastAsia="Times New Roman"/>
              </w:rPr>
              <w:t>03 Cene</w:t>
            </w:r>
          </w:p>
        </w:tc>
        <w:tc>
          <w:tcPr>
            <w:tcW w:w="5843" w:type="dxa"/>
            <w:vAlign w:val="bottom"/>
            <w:hideMark/>
          </w:tcPr>
          <w:p w:rsidR="003D49FC" w:rsidRPr="0017355E" w:rsidRDefault="004312AE" w:rsidP="00DA6A79">
            <w:pPr>
              <w:spacing w:before="100" w:beforeAutospacing="1" w:after="100" w:afterAutospacing="1"/>
              <w:rPr>
                <w:rFonts w:eastAsia="Times New Roman"/>
              </w:rPr>
            </w:pPr>
            <w:r>
              <w:rPr>
                <w:rFonts w:eastAsia="Times New Roman"/>
              </w:rPr>
              <w:t>R</w:t>
            </w:r>
            <w:r w:rsidR="003D49FC" w:rsidRPr="0017355E">
              <w:rPr>
                <w:rFonts w:eastAsia="Times New Roman"/>
              </w:rPr>
              <w:t>16 Gradbeništvo</w:t>
            </w:r>
          </w:p>
        </w:tc>
      </w:tr>
      <w:tr w:rsidR="003D49FC" w:rsidRPr="0017355E" w:rsidTr="003D49FC">
        <w:trPr>
          <w:trHeight w:val="414"/>
        </w:trPr>
        <w:tc>
          <w:tcPr>
            <w:tcW w:w="6631" w:type="dxa"/>
            <w:noWrap/>
            <w:vAlign w:val="bottom"/>
            <w:hideMark/>
          </w:tcPr>
          <w:p w:rsidR="003D49FC" w:rsidRPr="0017355E" w:rsidRDefault="004312AE" w:rsidP="00DA6A79">
            <w:pPr>
              <w:spacing w:before="100" w:beforeAutospacing="1" w:after="100" w:afterAutospacing="1"/>
              <w:rPr>
                <w:rFonts w:eastAsia="Times New Roman"/>
              </w:rPr>
            </w:pPr>
            <w:r>
              <w:rPr>
                <w:rFonts w:eastAsia="Times New Roman"/>
              </w:rPr>
              <w:t>R</w:t>
            </w:r>
            <w:r w:rsidR="003D49FC" w:rsidRPr="0017355E">
              <w:rPr>
                <w:rFonts w:eastAsia="Times New Roman"/>
              </w:rPr>
              <w:t>04 Prebivalstvo</w:t>
            </w:r>
          </w:p>
        </w:tc>
        <w:tc>
          <w:tcPr>
            <w:tcW w:w="5843" w:type="dxa"/>
            <w:vAlign w:val="bottom"/>
            <w:hideMark/>
          </w:tcPr>
          <w:p w:rsidR="003D49FC" w:rsidRPr="0017355E" w:rsidRDefault="004312AE" w:rsidP="00DA6A79">
            <w:pPr>
              <w:spacing w:before="100" w:beforeAutospacing="1" w:after="100" w:afterAutospacing="1"/>
              <w:rPr>
                <w:rFonts w:eastAsia="Times New Roman"/>
              </w:rPr>
            </w:pPr>
            <w:r>
              <w:rPr>
                <w:rFonts w:eastAsia="Times New Roman"/>
              </w:rPr>
              <w:t>R</w:t>
            </w:r>
            <w:r w:rsidR="003D49FC" w:rsidRPr="0017355E">
              <w:rPr>
                <w:rFonts w:eastAsia="Times New Roman"/>
              </w:rPr>
              <w:t>19 Turizem</w:t>
            </w:r>
          </w:p>
        </w:tc>
      </w:tr>
      <w:tr w:rsidR="003D49FC" w:rsidRPr="0017355E" w:rsidTr="003D49FC">
        <w:trPr>
          <w:trHeight w:val="414"/>
        </w:trPr>
        <w:tc>
          <w:tcPr>
            <w:tcW w:w="6631" w:type="dxa"/>
            <w:noWrap/>
            <w:vAlign w:val="bottom"/>
            <w:hideMark/>
          </w:tcPr>
          <w:p w:rsidR="003D49FC" w:rsidRPr="0017355E" w:rsidRDefault="004312AE" w:rsidP="00DA6A79">
            <w:pPr>
              <w:spacing w:before="100" w:beforeAutospacing="1" w:after="100" w:afterAutospacing="1"/>
              <w:rPr>
                <w:rFonts w:eastAsia="Times New Roman"/>
              </w:rPr>
            </w:pPr>
            <w:r>
              <w:rPr>
                <w:rFonts w:eastAsia="Times New Roman"/>
              </w:rPr>
              <w:t>R</w:t>
            </w:r>
            <w:r w:rsidR="003D49FC" w:rsidRPr="0017355E">
              <w:rPr>
                <w:rFonts w:eastAsia="Times New Roman"/>
              </w:rPr>
              <w:t>05 Trg dela</w:t>
            </w:r>
          </w:p>
        </w:tc>
        <w:tc>
          <w:tcPr>
            <w:tcW w:w="5843" w:type="dxa"/>
            <w:vAlign w:val="bottom"/>
            <w:hideMark/>
          </w:tcPr>
          <w:p w:rsidR="003D49FC" w:rsidRPr="0017355E" w:rsidRDefault="004312AE" w:rsidP="00DA6A79">
            <w:pPr>
              <w:spacing w:before="100" w:beforeAutospacing="1" w:after="100" w:afterAutospacing="1"/>
              <w:rPr>
                <w:rFonts w:eastAsia="Times New Roman"/>
              </w:rPr>
            </w:pPr>
            <w:r>
              <w:rPr>
                <w:rFonts w:eastAsia="Times New Roman"/>
              </w:rPr>
              <w:t>R</w:t>
            </w:r>
            <w:r w:rsidR="003D49FC" w:rsidRPr="0017355E">
              <w:rPr>
                <w:rFonts w:eastAsia="Times New Roman"/>
              </w:rPr>
              <w:t>20 Transport in komunikacije</w:t>
            </w:r>
          </w:p>
        </w:tc>
      </w:tr>
      <w:tr w:rsidR="003D49FC" w:rsidRPr="0017355E" w:rsidTr="003D49FC">
        <w:trPr>
          <w:trHeight w:val="414"/>
        </w:trPr>
        <w:tc>
          <w:tcPr>
            <w:tcW w:w="6631" w:type="dxa"/>
            <w:noWrap/>
            <w:vAlign w:val="bottom"/>
            <w:hideMark/>
          </w:tcPr>
          <w:p w:rsidR="003D49FC" w:rsidRPr="0017355E" w:rsidRDefault="004312AE" w:rsidP="00DA6A79">
            <w:pPr>
              <w:spacing w:before="100" w:beforeAutospacing="1" w:after="100" w:afterAutospacing="1"/>
              <w:rPr>
                <w:rFonts w:eastAsia="Times New Roman"/>
              </w:rPr>
            </w:pPr>
            <w:r>
              <w:rPr>
                <w:rFonts w:eastAsia="Times New Roman"/>
              </w:rPr>
              <w:t>R</w:t>
            </w:r>
            <w:r w:rsidR="003D49FC" w:rsidRPr="0017355E">
              <w:rPr>
                <w:rFonts w:eastAsia="Times New Roman"/>
              </w:rPr>
              <w:t>06 Življenjska raven</w:t>
            </w:r>
          </w:p>
        </w:tc>
        <w:tc>
          <w:tcPr>
            <w:tcW w:w="5843" w:type="dxa"/>
            <w:vAlign w:val="bottom"/>
            <w:hideMark/>
          </w:tcPr>
          <w:p w:rsidR="003D49FC" w:rsidRPr="0017355E" w:rsidRDefault="004312AE" w:rsidP="00DA6A79">
            <w:pPr>
              <w:spacing w:before="100" w:beforeAutospacing="1" w:after="100" w:afterAutospacing="1"/>
              <w:rPr>
                <w:rFonts w:eastAsia="Times New Roman"/>
              </w:rPr>
            </w:pPr>
            <w:r>
              <w:rPr>
                <w:rFonts w:eastAsia="Times New Roman"/>
              </w:rPr>
              <w:t>R</w:t>
            </w:r>
            <w:r w:rsidR="003D49FC" w:rsidRPr="0017355E">
              <w:rPr>
                <w:rFonts w:eastAsia="Times New Roman"/>
              </w:rPr>
              <w:t>21 Kmetijstvo, gozdarstvo in ribištvo</w:t>
            </w:r>
          </w:p>
        </w:tc>
      </w:tr>
      <w:tr w:rsidR="003D49FC" w:rsidRPr="0017355E" w:rsidTr="003D49FC">
        <w:trPr>
          <w:trHeight w:val="414"/>
        </w:trPr>
        <w:tc>
          <w:tcPr>
            <w:tcW w:w="6631" w:type="dxa"/>
            <w:noWrap/>
            <w:vAlign w:val="bottom"/>
            <w:hideMark/>
          </w:tcPr>
          <w:p w:rsidR="003D49FC" w:rsidRPr="0017355E" w:rsidRDefault="004312AE" w:rsidP="00DA6A79">
            <w:pPr>
              <w:spacing w:before="100" w:beforeAutospacing="1" w:after="100" w:afterAutospacing="1"/>
              <w:rPr>
                <w:rFonts w:eastAsia="Times New Roman"/>
              </w:rPr>
            </w:pPr>
            <w:r>
              <w:rPr>
                <w:rFonts w:eastAsia="Times New Roman"/>
              </w:rPr>
              <w:t>R</w:t>
            </w:r>
            <w:r w:rsidR="003D49FC" w:rsidRPr="0017355E">
              <w:rPr>
                <w:rFonts w:eastAsia="Times New Roman"/>
              </w:rPr>
              <w:t>07 Izobraževanje</w:t>
            </w:r>
          </w:p>
        </w:tc>
        <w:tc>
          <w:tcPr>
            <w:tcW w:w="5843" w:type="dxa"/>
            <w:vAlign w:val="bottom"/>
            <w:hideMark/>
          </w:tcPr>
          <w:p w:rsidR="003D49FC" w:rsidRPr="0017355E" w:rsidRDefault="004312AE" w:rsidP="00DA6A79">
            <w:pPr>
              <w:spacing w:before="100" w:beforeAutospacing="1" w:after="100" w:afterAutospacing="1"/>
              <w:rPr>
                <w:rFonts w:eastAsia="Times New Roman"/>
              </w:rPr>
            </w:pPr>
            <w:r>
              <w:rPr>
                <w:rFonts w:eastAsia="Times New Roman"/>
              </w:rPr>
              <w:t>R</w:t>
            </w:r>
            <w:r w:rsidR="003D49FC" w:rsidRPr="0017355E">
              <w:rPr>
                <w:rFonts w:eastAsia="Times New Roman"/>
              </w:rPr>
              <w:t>22 Okolje</w:t>
            </w:r>
          </w:p>
        </w:tc>
      </w:tr>
      <w:tr w:rsidR="003D49FC" w:rsidRPr="0017355E" w:rsidTr="003D49FC">
        <w:trPr>
          <w:trHeight w:val="414"/>
        </w:trPr>
        <w:tc>
          <w:tcPr>
            <w:tcW w:w="6631" w:type="dxa"/>
            <w:noWrap/>
            <w:vAlign w:val="bottom"/>
            <w:hideMark/>
          </w:tcPr>
          <w:p w:rsidR="003D49FC" w:rsidRPr="0017355E" w:rsidRDefault="004312AE" w:rsidP="00DA6A79">
            <w:pPr>
              <w:spacing w:before="100" w:beforeAutospacing="1" w:after="100" w:afterAutospacing="1"/>
              <w:rPr>
                <w:rFonts w:eastAsia="Times New Roman"/>
              </w:rPr>
            </w:pPr>
            <w:r>
              <w:rPr>
                <w:rFonts w:eastAsia="Times New Roman"/>
              </w:rPr>
              <w:t>R</w:t>
            </w:r>
            <w:r w:rsidR="003D49FC" w:rsidRPr="0017355E">
              <w:rPr>
                <w:rFonts w:eastAsia="Times New Roman"/>
              </w:rPr>
              <w:t>09 Zdravje in socialna varnost</w:t>
            </w:r>
          </w:p>
        </w:tc>
        <w:tc>
          <w:tcPr>
            <w:tcW w:w="5843" w:type="dxa"/>
            <w:vAlign w:val="bottom"/>
            <w:hideMark/>
          </w:tcPr>
          <w:p w:rsidR="003D49FC" w:rsidRPr="0017355E" w:rsidRDefault="004312AE" w:rsidP="00DA6A79">
            <w:pPr>
              <w:spacing w:before="100" w:beforeAutospacing="1" w:after="100" w:afterAutospacing="1"/>
              <w:rPr>
                <w:rFonts w:eastAsia="Times New Roman"/>
              </w:rPr>
            </w:pPr>
            <w:r>
              <w:rPr>
                <w:rFonts w:eastAsia="Times New Roman"/>
              </w:rPr>
              <w:t>R</w:t>
            </w:r>
            <w:r w:rsidR="003D49FC" w:rsidRPr="0017355E">
              <w:rPr>
                <w:rFonts w:eastAsia="Times New Roman"/>
              </w:rPr>
              <w:t xml:space="preserve">23 </w:t>
            </w:r>
            <w:proofErr w:type="spellStart"/>
            <w:r w:rsidR="003D49FC" w:rsidRPr="0017355E">
              <w:rPr>
                <w:rFonts w:eastAsia="Times New Roman"/>
              </w:rPr>
              <w:t>Medpodročni</w:t>
            </w:r>
            <w:proofErr w:type="spellEnd"/>
            <w:r w:rsidR="003D49FC" w:rsidRPr="0017355E">
              <w:rPr>
                <w:rFonts w:eastAsia="Times New Roman"/>
              </w:rPr>
              <w:t xml:space="preserve"> sistemi kazalnikov</w:t>
            </w:r>
          </w:p>
        </w:tc>
      </w:tr>
      <w:tr w:rsidR="003D49FC" w:rsidRPr="0017355E" w:rsidTr="003D49FC">
        <w:trPr>
          <w:trHeight w:val="414"/>
        </w:trPr>
        <w:tc>
          <w:tcPr>
            <w:tcW w:w="6631" w:type="dxa"/>
            <w:noWrap/>
            <w:vAlign w:val="bottom"/>
            <w:hideMark/>
          </w:tcPr>
          <w:p w:rsidR="003D49FC" w:rsidRPr="0017355E" w:rsidRDefault="004312AE" w:rsidP="00DA6A79">
            <w:pPr>
              <w:spacing w:before="100" w:beforeAutospacing="1" w:after="100" w:afterAutospacing="1"/>
              <w:rPr>
                <w:rFonts w:eastAsia="Times New Roman"/>
              </w:rPr>
            </w:pPr>
            <w:r>
              <w:rPr>
                <w:rFonts w:eastAsia="Times New Roman"/>
              </w:rPr>
              <w:t>R</w:t>
            </w:r>
            <w:r w:rsidR="003D49FC" w:rsidRPr="0017355E">
              <w:rPr>
                <w:rFonts w:eastAsia="Times New Roman"/>
              </w:rPr>
              <w:t>10 Kriminaliteta</w:t>
            </w:r>
          </w:p>
        </w:tc>
        <w:tc>
          <w:tcPr>
            <w:tcW w:w="5843" w:type="dxa"/>
            <w:vAlign w:val="bottom"/>
            <w:hideMark/>
          </w:tcPr>
          <w:p w:rsidR="003D49FC" w:rsidRPr="0017355E" w:rsidRDefault="004312AE" w:rsidP="00DA6A79">
            <w:pPr>
              <w:spacing w:before="100" w:beforeAutospacing="1" w:after="100" w:afterAutospacing="1"/>
              <w:rPr>
                <w:rFonts w:eastAsia="Times New Roman"/>
              </w:rPr>
            </w:pPr>
            <w:r>
              <w:rPr>
                <w:rFonts w:eastAsia="Times New Roman"/>
              </w:rPr>
              <w:t>R</w:t>
            </w:r>
            <w:bookmarkStart w:id="0" w:name="_GoBack"/>
            <w:bookmarkEnd w:id="0"/>
            <w:r w:rsidR="003D49FC" w:rsidRPr="0017355E">
              <w:rPr>
                <w:rFonts w:eastAsia="Times New Roman"/>
              </w:rPr>
              <w:t>25 Drugo</w:t>
            </w:r>
          </w:p>
        </w:tc>
      </w:tr>
      <w:tr w:rsidR="003D49FC" w:rsidRPr="0017355E" w:rsidTr="003D49FC">
        <w:trPr>
          <w:trHeight w:val="414"/>
        </w:trPr>
        <w:tc>
          <w:tcPr>
            <w:tcW w:w="6631" w:type="dxa"/>
            <w:noWrap/>
            <w:vAlign w:val="bottom"/>
            <w:hideMark/>
          </w:tcPr>
          <w:p w:rsidR="003D49FC" w:rsidRPr="0017355E" w:rsidRDefault="004312AE" w:rsidP="00DA6A79">
            <w:pPr>
              <w:spacing w:before="100" w:beforeAutospacing="1" w:after="100" w:afterAutospacing="1"/>
              <w:rPr>
                <w:rFonts w:eastAsia="Times New Roman"/>
              </w:rPr>
            </w:pPr>
            <w:r>
              <w:rPr>
                <w:rFonts w:eastAsia="Times New Roman"/>
              </w:rPr>
              <w:t>R</w:t>
            </w:r>
            <w:r w:rsidR="003D49FC" w:rsidRPr="0017355E">
              <w:rPr>
                <w:rFonts w:eastAsia="Times New Roman"/>
              </w:rPr>
              <w:t>11 Poslovni subjekti</w:t>
            </w:r>
          </w:p>
        </w:tc>
        <w:tc>
          <w:tcPr>
            <w:tcW w:w="5843" w:type="dxa"/>
            <w:vAlign w:val="bottom"/>
          </w:tcPr>
          <w:p w:rsidR="003D49FC" w:rsidRPr="0017355E" w:rsidRDefault="003D49FC" w:rsidP="00DA6A79">
            <w:pPr>
              <w:spacing w:before="100" w:beforeAutospacing="1" w:after="100" w:afterAutospacing="1"/>
              <w:rPr>
                <w:rFonts w:eastAsia="Times New Roman"/>
              </w:rPr>
            </w:pPr>
          </w:p>
        </w:tc>
      </w:tr>
    </w:tbl>
    <w:p w:rsidR="00A97B03" w:rsidRDefault="003D49FC">
      <w:pPr>
        <w:spacing w:before="100" w:beforeAutospacing="1" w:after="100" w:afterAutospacing="1"/>
        <w:sectPr w:rsidR="00A97B03">
          <w:footerReference w:type="default" r:id="rId6"/>
          <w:pgSz w:w="16840" w:h="11907" w:orient="landscape"/>
          <w:pgMar w:top="816" w:right="816" w:bottom="816" w:left="816" w:header="340" w:footer="340" w:gutter="0"/>
          <w:cols w:space="708"/>
          <w:rtlGutter/>
          <w:docGrid w:linePitch="360"/>
        </w:sectPr>
      </w:pPr>
      <w:r>
        <w:t xml:space="preserve"> </w:t>
      </w:r>
    </w:p>
    <w:tbl>
      <w:tblPr>
        <w:tblW w:w="15649" w:type="dxa"/>
        <w:tblInd w:w="15"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Layout w:type="fixed"/>
        <w:tblCellMar>
          <w:left w:w="0" w:type="dxa"/>
          <w:right w:w="0" w:type="dxa"/>
        </w:tblCellMar>
        <w:tblLook w:val="00A0" w:firstRow="1" w:lastRow="0" w:firstColumn="1" w:lastColumn="0" w:noHBand="0" w:noVBand="0"/>
      </w:tblPr>
      <w:tblGrid>
        <w:gridCol w:w="1011"/>
        <w:gridCol w:w="1511"/>
        <w:gridCol w:w="1990"/>
        <w:gridCol w:w="2307"/>
        <w:gridCol w:w="2307"/>
        <w:gridCol w:w="1990"/>
        <w:gridCol w:w="1511"/>
        <w:gridCol w:w="1511"/>
        <w:gridCol w:w="1511"/>
      </w:tblGrid>
      <w:tr w:rsidR="00A97B03" w:rsidTr="003D49FC">
        <w:tc>
          <w:tcPr>
            <w:tcW w:w="1011" w:type="dxa"/>
            <w:tcBorders>
              <w:top w:val="single" w:sz="12"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lastRenderedPageBreak/>
              <w:t> </w:t>
            </w:r>
          </w:p>
        </w:tc>
        <w:tc>
          <w:tcPr>
            <w:tcW w:w="1511" w:type="dxa"/>
            <w:tcBorders>
              <w:top w:val="single" w:sz="12"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pStyle w:val="modul"/>
            </w:pPr>
            <w:r>
              <w:t>R01</w:t>
            </w:r>
          </w:p>
        </w:tc>
        <w:tc>
          <w:tcPr>
            <w:tcW w:w="1990" w:type="dxa"/>
            <w:tcBorders>
              <w:top w:val="single" w:sz="12"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b/>
                <w:bCs/>
                <w:sz w:val="16"/>
                <w:szCs w:val="16"/>
              </w:rPr>
              <w:t>Nacionalni računi</w:t>
            </w:r>
          </w:p>
        </w:tc>
        <w:tc>
          <w:tcPr>
            <w:tcW w:w="2307" w:type="dxa"/>
            <w:tcBorders>
              <w:top w:val="single" w:sz="12"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 </w:t>
            </w:r>
          </w:p>
        </w:tc>
        <w:tc>
          <w:tcPr>
            <w:tcW w:w="2307" w:type="dxa"/>
            <w:tcBorders>
              <w:top w:val="single" w:sz="12"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 </w:t>
            </w:r>
          </w:p>
        </w:tc>
        <w:tc>
          <w:tcPr>
            <w:tcW w:w="1990" w:type="dxa"/>
            <w:tcBorders>
              <w:top w:val="single" w:sz="12"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 </w:t>
            </w:r>
          </w:p>
        </w:tc>
        <w:tc>
          <w:tcPr>
            <w:tcW w:w="1511" w:type="dxa"/>
            <w:tcBorders>
              <w:top w:val="single" w:sz="12"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 </w:t>
            </w:r>
          </w:p>
        </w:tc>
        <w:tc>
          <w:tcPr>
            <w:tcW w:w="1511" w:type="dxa"/>
            <w:tcBorders>
              <w:top w:val="single" w:sz="12"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 </w:t>
            </w:r>
          </w:p>
        </w:tc>
        <w:tc>
          <w:tcPr>
            <w:tcW w:w="1511" w:type="dxa"/>
            <w:tcBorders>
              <w:top w:val="single" w:sz="12"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 </w:t>
            </w:r>
          </w:p>
        </w:tc>
      </w:tr>
      <w:tr w:rsidR="00A97B03" w:rsidTr="003D49FC">
        <w:tc>
          <w:tcPr>
            <w:tcW w:w="1011" w:type="dxa"/>
            <w:tcBorders>
              <w:top w:val="single" w:sz="12"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SURS</w:t>
            </w:r>
          </w:p>
        </w:tc>
        <w:tc>
          <w:tcPr>
            <w:tcW w:w="1511" w:type="dxa"/>
            <w:tcBorders>
              <w:top w:val="single" w:sz="12"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R.01.01</w:t>
            </w:r>
          </w:p>
        </w:tc>
        <w:tc>
          <w:tcPr>
            <w:tcW w:w="1990" w:type="dxa"/>
            <w:tcBorders>
              <w:top w:val="single" w:sz="12"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Digitalne tabele ponudbe in porabe</w:t>
            </w:r>
            <w:r>
              <w:rPr>
                <w:rFonts w:eastAsia="Times New Roman"/>
                <w:sz w:val="16"/>
                <w:szCs w:val="16"/>
              </w:rPr>
              <w:br/>
              <w:t>NR – DSUT</w:t>
            </w:r>
          </w:p>
        </w:tc>
        <w:tc>
          <w:tcPr>
            <w:tcW w:w="2307" w:type="dxa"/>
            <w:tcBorders>
              <w:top w:val="single" w:sz="12"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 xml:space="preserve">Prikaz in merjenje obsega digitalnih dejavnosti in proizvodov v okviru domačega gospodarstva in v tokovih s tujino. </w:t>
            </w:r>
          </w:p>
        </w:tc>
        <w:tc>
          <w:tcPr>
            <w:tcW w:w="2307" w:type="dxa"/>
            <w:tcBorders>
              <w:top w:val="single" w:sz="12"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 xml:space="preserve">Podatki iz izkaza poslovnega izida in bilance stanja gospodarskih družb, zadrug, samostojnih podjetnikov in drugih pravnih enot, podatki iz Poslovnega registra Slovenije, podatki iz davčnih evidenc, plačilne bilance, podatki o poslovanju zavarovalnic in bank, javnofinančni podatki, podatki iz prirejanja iger na srečo, podatki statističnih raziskovanj. </w:t>
            </w:r>
          </w:p>
        </w:tc>
        <w:tc>
          <w:tcPr>
            <w:tcW w:w="1990" w:type="dxa"/>
            <w:tcBorders>
              <w:top w:val="single" w:sz="12"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 xml:space="preserve">Administrativni viri: AJPES, BS, MF, MNZ, FURS, UJP, AZN, ZZZS, MKGP, ZPIZ, ELES do 31. 5. Statistični viri. </w:t>
            </w:r>
          </w:p>
        </w:tc>
        <w:tc>
          <w:tcPr>
            <w:tcW w:w="1511" w:type="dxa"/>
            <w:tcBorders>
              <w:top w:val="single" w:sz="12"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Obvezno</w:t>
            </w:r>
          </w:p>
        </w:tc>
        <w:tc>
          <w:tcPr>
            <w:tcW w:w="1511" w:type="dxa"/>
            <w:tcBorders>
              <w:top w:val="single" w:sz="12"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proofErr w:type="spellStart"/>
            <w:r>
              <w:rPr>
                <w:rFonts w:eastAsia="Times New Roman"/>
                <w:sz w:val="16"/>
                <w:szCs w:val="16"/>
              </w:rPr>
              <w:t>n.s</w:t>
            </w:r>
            <w:proofErr w:type="spellEnd"/>
            <w:r>
              <w:rPr>
                <w:rFonts w:eastAsia="Times New Roman"/>
                <w:sz w:val="16"/>
                <w:szCs w:val="16"/>
              </w:rPr>
              <w:t>.</w:t>
            </w:r>
          </w:p>
        </w:tc>
        <w:tc>
          <w:tcPr>
            <w:tcW w:w="1511" w:type="dxa"/>
            <w:tcBorders>
              <w:top w:val="single" w:sz="12"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2025</w:t>
            </w:r>
          </w:p>
        </w:tc>
      </w:tr>
      <w:tr w:rsidR="00A97B03" w:rsidTr="003D49FC">
        <w:tc>
          <w:tcPr>
            <w:tcW w:w="10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spacing w:before="100" w:beforeAutospacing="1" w:after="100" w:afterAutospacing="1"/>
              <w:rPr>
                <w:sz w:val="16"/>
                <w:szCs w:val="16"/>
              </w:rPr>
            </w:pPr>
            <w:r>
              <w:rPr>
                <w:b/>
                <w:bCs/>
                <w:sz w:val="16"/>
                <w:szCs w:val="16"/>
              </w:rPr>
              <w:t> </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b/>
                <w:bCs/>
                <w:sz w:val="16"/>
                <w:szCs w:val="16"/>
              </w:rPr>
              <w:t> </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 </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 </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 </w:t>
            </w:r>
          </w:p>
        </w:tc>
      </w:tr>
      <w:tr w:rsidR="00A97B03" w:rsidTr="003D49FC">
        <w:tc>
          <w:tcPr>
            <w:tcW w:w="10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pStyle w:val="modul"/>
            </w:pPr>
            <w:r>
              <w:t>R03</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b/>
                <w:bCs/>
                <w:sz w:val="16"/>
                <w:szCs w:val="16"/>
              </w:rPr>
              <w:t>Cene</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 </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 </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 </w:t>
            </w:r>
          </w:p>
        </w:tc>
      </w:tr>
      <w:tr w:rsidR="00A97B03" w:rsidTr="003D49FC">
        <w:tc>
          <w:tcPr>
            <w:tcW w:w="10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SURS</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R.03.01</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Najemnine poslovnih prostorov</w:t>
            </w:r>
            <w:r>
              <w:rPr>
                <w:rFonts w:eastAsia="Times New Roman"/>
                <w:sz w:val="16"/>
                <w:szCs w:val="16"/>
              </w:rPr>
              <w:br/>
              <w:t>NAJEM-POSL/ČL</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Priprava indeksa najemnin poslovnih prostorov.</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 xml:space="preserve">Najemnine poslovnih prostorov (za pisarne in lokale), naslov, vključno z EID-ji, podatki energetskih izkaznic. </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Administrativni viri: GURS (ETN), 65 dni po zaključku četrtletja, do 15.4. letne podatke za prejšnje leto, MOPE do 30.4.2025.</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Obvezno</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Četrtletje</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2025</w:t>
            </w:r>
          </w:p>
        </w:tc>
      </w:tr>
      <w:tr w:rsidR="00A97B03" w:rsidTr="003D49FC">
        <w:tc>
          <w:tcPr>
            <w:tcW w:w="10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spacing w:before="100" w:beforeAutospacing="1" w:after="100" w:afterAutospacing="1"/>
              <w:rPr>
                <w:sz w:val="16"/>
                <w:szCs w:val="16"/>
              </w:rPr>
            </w:pPr>
            <w:r>
              <w:rPr>
                <w:b/>
                <w:bCs/>
                <w:sz w:val="16"/>
                <w:szCs w:val="16"/>
              </w:rPr>
              <w:t> </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b/>
                <w:bCs/>
                <w:sz w:val="16"/>
                <w:szCs w:val="16"/>
              </w:rPr>
              <w:t> </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 </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 </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 </w:t>
            </w:r>
          </w:p>
        </w:tc>
      </w:tr>
      <w:tr w:rsidR="00A97B03" w:rsidTr="003D49FC">
        <w:tc>
          <w:tcPr>
            <w:tcW w:w="10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pStyle w:val="modul"/>
            </w:pPr>
            <w:r>
              <w:t>R04</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b/>
                <w:bCs/>
                <w:sz w:val="16"/>
                <w:szCs w:val="16"/>
              </w:rPr>
              <w:t>Prebivalstvo</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 </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 </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 </w:t>
            </w:r>
          </w:p>
        </w:tc>
      </w:tr>
      <w:tr w:rsidR="00A97B03" w:rsidTr="003D49FC">
        <w:tc>
          <w:tcPr>
            <w:tcW w:w="10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SURS</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R.04.01</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Analiza podatkov za razvoj statistike gospodinjstev</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Priprava metodologije za prihodnji registrski popis s poudarkom na problematiki gospodinjstev.</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Osebe: EMŠO, priimek, datum rojstva, spol, EMŠO matere, EMŠO očeta, EMŠO zakonca, stalno /začasno prebivališča (naslov, vključno z EID-ji), državljanstvo, zakonski stan, število živorojenih otrok, kraj/država rojstva, kraj/država prvega prebivališča, kraj/država prejšnjega prebivališča, leto in država priselitve, leto zadnje selitve, prebivališče leto pred popisom, izobrazba, status aktivnosti, poklic, dejavnost, zaposlitveni status, institucionalni sektor, kraj/država dela, MŠ poslovnega subjekta, število zaposlenih v enoti poslovnega subjekta, vrsta pokojnine, trajanje brezposelnosti, podlaga za zavarovanje, lastništvo stanovanja, stanovanjsko razmerje. Gospodinjstva: EMŠO članov, zaporedna številka gospodinjstva, število članov, razmerje do referenčne osebe gospodinjstva, naslov (vključno z EID-ji). Stavbe in deli stavb (stanovanja): ID stavbe, ID dela stavbe (stanovanja), lokacija oz. naslov (vključno z EID-ji) vključno s številko dela stavbe, leto izgradnje stavbe, število nadstropij, površina dela stavbe, dejanska raba dela stavbe, lega v stavbi, material nosilne konstrukcije, opremljenost z inštalacijami (vodovod, elektrika, kanalizacija), vrsta ogrevanja, opremljenost s pomožnimi prostori (WC, kopalnica, kuhinja), najem stanovanja. Podatki o lastništvu: EMŠO lastnika/solastnika, MŠ podjetja, lastniški deleži</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Administrativni viri: MNZ (CRP), GURS – Kataster nepremičnin, GURS - Evidenca trga nepremičnin (ETN - najemni posli), ZPIZ - prejemniki - pokojnin, ZRSZ – brezposelne osebe, ZZZS - zavarovane osebe in njihovi družinski člani, RIC - maturanti in nacionalno preverjanje znanja, OZS, TZS in GZS - poklicno in strokovno izobraževanje, MNVP - register malih kurilnih naprav, MDDSZ - ISCSD. Statistični viri: DEMPREB/ČL, DEM-ROJ, SEL, SEL-SOC, SRDAP, DAK, ŠOL-DIPL-TERC, ŠOL-ŠTUD, ŠOL-DOTERC, RAVEN-DOH, EU-SILC, ANP, APG</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Obvezno</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1.1.2025</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2026</w:t>
            </w:r>
          </w:p>
        </w:tc>
      </w:tr>
      <w:tr w:rsidR="00A97B03" w:rsidTr="003D49FC">
        <w:tc>
          <w:tcPr>
            <w:tcW w:w="10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spacing w:before="100" w:beforeAutospacing="1" w:after="100" w:afterAutospacing="1"/>
              <w:rPr>
                <w:sz w:val="16"/>
                <w:szCs w:val="16"/>
              </w:rPr>
            </w:pPr>
            <w:r>
              <w:rPr>
                <w:b/>
                <w:bCs/>
                <w:sz w:val="16"/>
                <w:szCs w:val="16"/>
              </w:rPr>
              <w:t> </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b/>
                <w:bCs/>
                <w:sz w:val="16"/>
                <w:szCs w:val="16"/>
              </w:rPr>
              <w:t> </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 </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 </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 </w:t>
            </w:r>
          </w:p>
        </w:tc>
      </w:tr>
      <w:tr w:rsidR="00A97B03" w:rsidTr="003D49FC">
        <w:tc>
          <w:tcPr>
            <w:tcW w:w="10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pStyle w:val="modul"/>
            </w:pPr>
            <w:r>
              <w:t>R05</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b/>
                <w:bCs/>
                <w:sz w:val="16"/>
                <w:szCs w:val="16"/>
              </w:rPr>
              <w:t>Trg dela</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 </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 </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 </w:t>
            </w:r>
          </w:p>
        </w:tc>
      </w:tr>
      <w:tr w:rsidR="00A97B03" w:rsidTr="003D49FC">
        <w:tc>
          <w:tcPr>
            <w:tcW w:w="10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SURS</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R.05.01</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Analiza spletnih oglasov prostih delovnih mest</w:t>
            </w:r>
            <w:r>
              <w:rPr>
                <w:rFonts w:eastAsia="Times New Roman"/>
                <w:sz w:val="16"/>
                <w:szCs w:val="16"/>
              </w:rPr>
              <w:br/>
              <w:t>ASOPDM</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Preučitev možnosti uporabe podatkov, pridobljenih iz spletnih oglasov prostih delovnih mest.</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Podatki s spletnih strani: število PDM, naziv poslovnega subjekta, opis delovnega mesta in pogoji za prijavo, potrebna znanja in veščine, kontaktni podatki osebe, ki je zadolžena za razpisano delovno mesto, rok za prijavo, datum objave oglasa. Podatki Eurostata o prostih delovnih mestih, ki jih je postrgal s spletnih strani. Vprašalnik PDM: matična številka poslovnega subjekta, ali so pri poslovnem subjektu iskali nove kandidate, število PDM. Statistična vira: število PDM ter število enakih PDM, matična številka poslovnega subjekta, SIR_LEU poslovnega subjekta, teritorialni podatki poslovnega subjekta, dejavnost, poklic, izobrazba (raven in področje), ID vrste delovnega razmerja in delovnega časa, datum objave PDM, rok za prijavo, indikator veljavnosti, število zaposlenih oseb pri poslovnem subjektu, število zaposlenih s krajšim delovnim časom, število odsotnih pri poslovnem subjektu, število detaširanih, število zaposlenih prek javnih del, število oseb z drugimi (istočasnimi zaposlitvami), institucionalni sektor.</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Spletne strani poslovnih subjektov (mesečno) in zaposlitvenih portalov (tedensko); Eurostat: podatki o prostih delovnih mestih, ki so jih postrgali s spleta, do konca leta 2024. Statistična vira: PDM, SPRS.</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proofErr w:type="spellStart"/>
            <w:r>
              <w:rPr>
                <w:rFonts w:eastAsia="Times New Roman"/>
                <w:sz w:val="16"/>
                <w:szCs w:val="16"/>
              </w:rPr>
              <w:t>n.s</w:t>
            </w:r>
            <w:proofErr w:type="spellEnd"/>
            <w:r>
              <w:rPr>
                <w:rFonts w:eastAsia="Times New Roman"/>
                <w:sz w:val="16"/>
                <w:szCs w:val="16"/>
              </w:rPr>
              <w:t>.</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Mesec, 2020-2025</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2025</w:t>
            </w:r>
          </w:p>
        </w:tc>
      </w:tr>
      <w:tr w:rsidR="00A97B03" w:rsidTr="003D49FC">
        <w:tc>
          <w:tcPr>
            <w:tcW w:w="10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spacing w:before="100" w:beforeAutospacing="1" w:after="100" w:afterAutospacing="1"/>
              <w:rPr>
                <w:sz w:val="16"/>
                <w:szCs w:val="16"/>
              </w:rPr>
            </w:pPr>
            <w:r>
              <w:rPr>
                <w:b/>
                <w:bCs/>
                <w:sz w:val="16"/>
                <w:szCs w:val="16"/>
              </w:rPr>
              <w:t> </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b/>
                <w:bCs/>
                <w:sz w:val="16"/>
                <w:szCs w:val="16"/>
              </w:rPr>
              <w:t> </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 </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 </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 </w:t>
            </w:r>
          </w:p>
        </w:tc>
      </w:tr>
      <w:tr w:rsidR="00A97B03" w:rsidTr="003D49FC">
        <w:tc>
          <w:tcPr>
            <w:tcW w:w="10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pStyle w:val="modul"/>
            </w:pPr>
            <w:r>
              <w:t>R06</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b/>
                <w:bCs/>
                <w:sz w:val="16"/>
                <w:szCs w:val="16"/>
              </w:rPr>
              <w:t>Življenjska raven</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 </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 </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 </w:t>
            </w:r>
          </w:p>
        </w:tc>
      </w:tr>
      <w:tr w:rsidR="00A97B03" w:rsidTr="003D49FC">
        <w:tc>
          <w:tcPr>
            <w:tcW w:w="10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SURS</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R.06.01</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Poraba v gospodinjstvih</w:t>
            </w:r>
            <w:r>
              <w:rPr>
                <w:rFonts w:eastAsia="Times New Roman"/>
                <w:sz w:val="16"/>
                <w:szCs w:val="16"/>
              </w:rPr>
              <w:br/>
              <w:t>APG</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Razvoj in testiranje novih inovativnih načinov zbiranja podatkov o izdatkih gospodinjstev.</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Vprašalnik: datum rojstva, spol, ime in priimek, naslov, vključno z EID-ji, stanovanjsko razmerje, razmerje do nosilca gosp., vključenost v izobraževanje, status aktivnosti, višina porabljenih sredstev po namenu porabe (COICOP klasifikacija), količine iz lastne proizvodnje, lastnosti in lastništvo stanovanja, drugo stanovanje, opremljenost s trajnejšimi potrošnimi dobrinami, denarni prenosi med gospodinjstvi, finančni položaj gospodinjstva, mesečni neto dohodek, nadomestila iz zaposlitve, dohodek iz kmetijske dejavnosti, obdelovalna zemljišča v uporabi, spletni nakupi, sodelovanje v raziskovanju, e-naslov. Administrativni/statistični viri: EMŠO, datum rojstva, spol, ime in priimek, naslov, vključno z EID-ji.</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Izbrana gospodinjstva – v letu 2025. Administrativni viri: MNZ (CRP) - mesečno. Statistični viri: DEMPREB/ČL.</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 xml:space="preserve">Obvezno za </w:t>
            </w:r>
            <w:proofErr w:type="spellStart"/>
            <w:r>
              <w:rPr>
                <w:rFonts w:eastAsia="Times New Roman"/>
                <w:sz w:val="16"/>
                <w:szCs w:val="16"/>
              </w:rPr>
              <w:t>admin</w:t>
            </w:r>
            <w:proofErr w:type="spellEnd"/>
            <w:r>
              <w:rPr>
                <w:rFonts w:eastAsia="Times New Roman"/>
                <w:sz w:val="16"/>
                <w:szCs w:val="16"/>
              </w:rPr>
              <w:t>. vire; prostovoljno za gospodinjstva</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Tekoče leto</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2025</w:t>
            </w:r>
          </w:p>
        </w:tc>
      </w:tr>
      <w:tr w:rsidR="00A97B03" w:rsidTr="003D49FC">
        <w:tc>
          <w:tcPr>
            <w:tcW w:w="10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spacing w:before="100" w:beforeAutospacing="1" w:after="100" w:afterAutospacing="1"/>
              <w:rPr>
                <w:sz w:val="16"/>
                <w:szCs w:val="16"/>
              </w:rPr>
            </w:pPr>
            <w:r>
              <w:rPr>
                <w:b/>
                <w:bCs/>
                <w:sz w:val="16"/>
                <w:szCs w:val="16"/>
              </w:rPr>
              <w:t> </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b/>
                <w:bCs/>
                <w:sz w:val="16"/>
                <w:szCs w:val="16"/>
              </w:rPr>
              <w:t> </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 </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 </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 </w:t>
            </w:r>
          </w:p>
        </w:tc>
      </w:tr>
      <w:tr w:rsidR="00A97B03" w:rsidTr="003D49FC">
        <w:tc>
          <w:tcPr>
            <w:tcW w:w="10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pStyle w:val="modul"/>
            </w:pPr>
            <w:r>
              <w:t>R07</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b/>
                <w:bCs/>
                <w:sz w:val="16"/>
                <w:szCs w:val="16"/>
              </w:rPr>
              <w:t>Izobraževanje</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 </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 </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 </w:t>
            </w:r>
          </w:p>
        </w:tc>
      </w:tr>
      <w:tr w:rsidR="00A97B03" w:rsidTr="003D49FC">
        <w:tc>
          <w:tcPr>
            <w:tcW w:w="10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SURS</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R.07.01</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Stopnja dokončanja srednješolskega, višješolskega in visokošolskega izobraževanja in prehodi med ravnmi izobraževanja ter vstop na trg dela</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Razvoj kazalnikov o stopnji dokončanja posameznih ravni izobraževanja ter o prehodih med njimi.</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Administrativni/statistični viri: podatki o izobraževalnem zavodu, podatki o izobraževalnem programu oziroma o drugem izobraževalnem programu (če je bil študij dvopredmetni); podatki o dijaku, študentu oziroma diplomantu: EMŠO, priimek, ime, spol, datum rojstva; občina in država stalnega prebivališča, država državljanstva, država rojstva (prvega prebivališča), leto priselitve, podatki o področju znanosti, število otrok v družini, družinski status, dosežena izobrazba staršev, država rojstva (prvega prebivališča) staršev, EMŠO otroka, datum rojstva otroka; podatki o vključenosti (za študente): študijsko leto, obiskovanje programa na sedežu ali dislocirani enoti, občina in država, v kateri študent obiskuje študijski program, letnik študija, način študija, študij na daljavo, vrsta vpisa, študijsko leto prvega vpisa v ta izobraževalni program, študijsko leto prvega vpisa v katerikoli visokošolski oziroma višješolski študijski program, ali se program študentu financira iz javnih sredstev, podatki o vrsti in višini štipendije; podatki o študiju in diplomiranju (za diplomante): datum diplomiranja, način študija diplomanta, študijsko leto prvega vpisa v ta študijski program, letnik, v katerega se je diplomant vpisal ob prvem vpisu v ta program, študijsko leto prvega vpisa v katerikoli visokošolski oziroma višješolski študijski program; podatki o predhodno doseženi izobrazbi dijaka, študenta oziroma diplomanta: vrsta, leto in država dosežene izobrazbe, podatki o zavodu in programu predhodne izobrazbe; najvišja predhodno pridobljena izobrazba študenta; podatki o kratkoročni mobilnosti študenta oziroma diplomanta: države visokošolskih zavodov, kjer je bil študent oziroma diplomant na izmenjavi, datumi začetkov in zaključkov izmenjav, število doseženih kreditnih točk, vrste mednarodnih izmenjav; podatki o zaposlitvi študenta oz. diplomanta (delodajalec, poklic, dejavnost, trajanje zaposlitve), podatki o dohodkih.</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Administrativni viri: MNZ (CRP), MDDSZ (štipendije); Statistični viri: DEM-PREB/ČL, SEL-SOC, ŠOL-ŠTUD, ŠOL-DIPL-TERC, DAK, SRDAP, ŠOL-DOTERC, RAVEN-DOH.</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Obvezno</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Različna obdobja in referenčni datumi.</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2028</w:t>
            </w:r>
          </w:p>
        </w:tc>
      </w:tr>
      <w:tr w:rsidR="00A97B03" w:rsidTr="003D49FC">
        <w:tc>
          <w:tcPr>
            <w:tcW w:w="10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spacing w:before="100" w:beforeAutospacing="1" w:after="100" w:afterAutospacing="1"/>
              <w:rPr>
                <w:sz w:val="16"/>
                <w:szCs w:val="16"/>
              </w:rPr>
            </w:pPr>
            <w:r>
              <w:rPr>
                <w:b/>
                <w:bCs/>
                <w:sz w:val="16"/>
                <w:szCs w:val="16"/>
              </w:rPr>
              <w:t> </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b/>
                <w:bCs/>
                <w:sz w:val="16"/>
                <w:szCs w:val="16"/>
              </w:rPr>
              <w:t> </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 </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 </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 </w:t>
            </w:r>
          </w:p>
        </w:tc>
      </w:tr>
      <w:tr w:rsidR="00A97B03" w:rsidTr="003D49FC">
        <w:tc>
          <w:tcPr>
            <w:tcW w:w="10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pStyle w:val="modul"/>
            </w:pPr>
            <w:r>
              <w:t>R09</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b/>
                <w:bCs/>
                <w:sz w:val="16"/>
                <w:szCs w:val="16"/>
              </w:rPr>
              <w:t>Zdravje in socialna varnost</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 </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 </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 </w:t>
            </w:r>
          </w:p>
        </w:tc>
      </w:tr>
      <w:tr w:rsidR="00A97B03" w:rsidTr="003D49FC">
        <w:tc>
          <w:tcPr>
            <w:tcW w:w="10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NIJZ</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R.09.01</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Neenakosti v zdravju</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 xml:space="preserve">Prikaz neenakosti v zdravju glede na različne </w:t>
            </w:r>
            <w:proofErr w:type="spellStart"/>
            <w:r>
              <w:rPr>
                <w:rFonts w:eastAsia="Times New Roman"/>
                <w:sz w:val="16"/>
                <w:szCs w:val="16"/>
              </w:rPr>
              <w:t>sociodemografske</w:t>
            </w:r>
            <w:proofErr w:type="spellEnd"/>
            <w:r>
              <w:rPr>
                <w:rFonts w:eastAsia="Times New Roman"/>
                <w:sz w:val="16"/>
                <w:szCs w:val="16"/>
              </w:rPr>
              <w:t xml:space="preserve"> značilnosti, </w:t>
            </w:r>
            <w:proofErr w:type="spellStart"/>
            <w:r>
              <w:rPr>
                <w:rFonts w:eastAsia="Times New Roman"/>
                <w:sz w:val="16"/>
                <w:szCs w:val="16"/>
              </w:rPr>
              <w:t>socioekonomske</w:t>
            </w:r>
            <w:proofErr w:type="spellEnd"/>
            <w:r>
              <w:rPr>
                <w:rFonts w:eastAsia="Times New Roman"/>
                <w:sz w:val="16"/>
                <w:szCs w:val="16"/>
              </w:rPr>
              <w:t xml:space="preserve"> kazalnike in teritorialni vidik.</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 xml:space="preserve">EMŠO, spol, starost, stopnja dosežene izobrazbe, aktivnost, dejavnost zaposlitve, država prvega prebivališča, državljanstvo, poklic, stopnja urbanizacije bruto dohodek na člana gospodinjstva, zakonski stan, regija prebivališča, tip družine, velikost gospodinjstva, doseganje praga revščine, </w:t>
            </w:r>
            <w:proofErr w:type="spellStart"/>
            <w:r>
              <w:rPr>
                <w:rFonts w:eastAsia="Times New Roman"/>
                <w:sz w:val="16"/>
                <w:szCs w:val="16"/>
              </w:rPr>
              <w:t>kvintilni</w:t>
            </w:r>
            <w:proofErr w:type="spellEnd"/>
            <w:r>
              <w:rPr>
                <w:rFonts w:eastAsia="Times New Roman"/>
                <w:sz w:val="16"/>
                <w:szCs w:val="16"/>
              </w:rPr>
              <w:t xml:space="preserve"> razred gospodinjstva, število elementov, za katere je gospodinjstvo prikrajšano, podatki o splošnem zdravstvenem stanju, obsegu dolgotrajnih zdravstvenih težav in oviranosti pri vsakodnevnih aktivnostih zaradi zdravstvenih težav, podatki o stiku zdravstveno in zobozdravstveno službo, podatki o blaginji, podatki o bolniški odsotnosti, državljanstvo in leto priselitve, Medgeneracijski prenos prikrajšanosti, lastnosti stavbe in stanovanja, finančni položaj gospodinjstva, EMŠO staršev, običajno prebivališče (naslov vključno z EID-ji) , respondent, ki je odgovarjal v imenu izbrane osebe. Podatki o zdravju, zdravstvenem stanju in uporabi zdravstvenega sistema: absentizem (trajanje in vzrok), hospitalizacija (trajanje, glavna in spremljajoče diagnoze, opravljene storitve), umrljivost (starost v času smrti, glavni vzrok smrti, zunanji vzrok smrti), perinatalni podatki (število otrok, način poroda, spremstvo očeta), podatki o </w:t>
            </w:r>
            <w:proofErr w:type="spellStart"/>
            <w:r>
              <w:rPr>
                <w:rFonts w:eastAsia="Times New Roman"/>
                <w:sz w:val="16"/>
                <w:szCs w:val="16"/>
              </w:rPr>
              <w:t>presejanosti</w:t>
            </w:r>
            <w:proofErr w:type="spellEnd"/>
            <w:r>
              <w:rPr>
                <w:rFonts w:eastAsia="Times New Roman"/>
                <w:sz w:val="16"/>
                <w:szCs w:val="16"/>
              </w:rPr>
              <w:t xml:space="preserve"> v programu SVIT (vključitev osebe, izid </w:t>
            </w:r>
            <w:proofErr w:type="spellStart"/>
            <w:r>
              <w:rPr>
                <w:rFonts w:eastAsia="Times New Roman"/>
                <w:sz w:val="16"/>
                <w:szCs w:val="16"/>
              </w:rPr>
              <w:t>presejanja</w:t>
            </w:r>
            <w:proofErr w:type="spellEnd"/>
            <w:r>
              <w:rPr>
                <w:rFonts w:eastAsia="Times New Roman"/>
                <w:sz w:val="16"/>
                <w:szCs w:val="16"/>
              </w:rPr>
              <w:t xml:space="preserve">), podatki o izdanih zdravilih (ATC koda zdravila, količina, leto izdaje zdravila). </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 xml:space="preserve">Administrativni viri: MNZ (CRP) do 30.6. Statistični viri: DEM-PREB/ČL, SEL-SOC,EU-SILC, UMRLI, SBO, SZBO, ABSENTIZEM, ZDRAVILA, SVIT, EHIS.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Obvezno</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Prejšnje leto in predpreteklo leto za dohodek</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2025</w:t>
            </w:r>
          </w:p>
        </w:tc>
      </w:tr>
      <w:tr w:rsidR="00A97B03" w:rsidTr="003D49FC">
        <w:tc>
          <w:tcPr>
            <w:tcW w:w="10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NIJZ</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R.09.02</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proofErr w:type="spellStart"/>
            <w:r>
              <w:rPr>
                <w:rFonts w:eastAsia="Times New Roman"/>
                <w:sz w:val="16"/>
                <w:szCs w:val="16"/>
              </w:rPr>
              <w:t>Kohortna</w:t>
            </w:r>
            <w:proofErr w:type="spellEnd"/>
            <w:r>
              <w:rPr>
                <w:rFonts w:eastAsia="Times New Roman"/>
                <w:sz w:val="16"/>
                <w:szCs w:val="16"/>
              </w:rPr>
              <w:t xml:space="preserve"> študija zdravstvenega stanja prebivalcev glede na </w:t>
            </w:r>
            <w:proofErr w:type="spellStart"/>
            <w:r>
              <w:rPr>
                <w:rFonts w:eastAsia="Times New Roman"/>
                <w:sz w:val="16"/>
                <w:szCs w:val="16"/>
              </w:rPr>
              <w:t>okoljska</w:t>
            </w:r>
            <w:proofErr w:type="spellEnd"/>
            <w:r>
              <w:rPr>
                <w:rFonts w:eastAsia="Times New Roman"/>
                <w:sz w:val="16"/>
                <w:szCs w:val="16"/>
              </w:rPr>
              <w:t xml:space="preserve"> tveganja</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 xml:space="preserve">Prikaz zdravstvenega stanja in zdravstvenega varstva prebivalcev Slovenije glede na </w:t>
            </w:r>
            <w:proofErr w:type="spellStart"/>
            <w:r>
              <w:rPr>
                <w:rFonts w:eastAsia="Times New Roman"/>
                <w:sz w:val="16"/>
                <w:szCs w:val="16"/>
              </w:rPr>
              <w:t>okoljska</w:t>
            </w:r>
            <w:proofErr w:type="spellEnd"/>
            <w:r>
              <w:rPr>
                <w:rFonts w:eastAsia="Times New Roman"/>
                <w:sz w:val="16"/>
                <w:szCs w:val="16"/>
              </w:rPr>
              <w:t xml:space="preserve"> tveganja. </w:t>
            </w:r>
            <w:proofErr w:type="spellStart"/>
            <w:r>
              <w:rPr>
                <w:rFonts w:eastAsia="Times New Roman"/>
                <w:sz w:val="16"/>
                <w:szCs w:val="16"/>
              </w:rPr>
              <w:t>Validacijska</w:t>
            </w:r>
            <w:proofErr w:type="spellEnd"/>
            <w:r>
              <w:rPr>
                <w:rFonts w:eastAsia="Times New Roman"/>
                <w:sz w:val="16"/>
                <w:szCs w:val="16"/>
              </w:rPr>
              <w:t xml:space="preserve"> študija – primerjava anketnih in administrativnih virov podatkov. </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 xml:space="preserve">EMŠO, spol, starost, </w:t>
            </w:r>
            <w:proofErr w:type="spellStart"/>
            <w:r>
              <w:rPr>
                <w:rFonts w:eastAsia="Times New Roman"/>
                <w:sz w:val="16"/>
                <w:szCs w:val="16"/>
              </w:rPr>
              <w:t>zak</w:t>
            </w:r>
            <w:proofErr w:type="spellEnd"/>
            <w:r>
              <w:rPr>
                <w:rFonts w:eastAsia="Times New Roman"/>
                <w:sz w:val="16"/>
                <w:szCs w:val="16"/>
              </w:rPr>
              <w:t xml:space="preserve">. stan, izobrazba, poklic, del. aktivnost, dejavnost zaposlitve, dohodki, država rojstva osebe, matere in očeta, člani gospodinjstva, podatki o splošnem zdrav. stanju in dolgotrajnih zdrav. težavah, boleznih in bolezenskih stanjih, nezgodnih poškodbah, boleznih in delu, odsotnosti z dela, gibalnih in čutilnih funkcijah, skrbi zase, gospodinjskih aktivnostih, telesnih bolečinah, duševnem zdravju, sprejemih v bolnišnico, obiskih pri zdravnikih in drugih zdravstvenih strokovnjakih, jemanju zdravil, cepljenju, krvnem tlaku, holesterolu, krvnemu sladkorju, mamografiji, brisu materničnega vratu, prisotnosti krvi v blatu, dejavnikih tveganja socialni opori, </w:t>
            </w:r>
            <w:proofErr w:type="spellStart"/>
            <w:r>
              <w:rPr>
                <w:rFonts w:eastAsia="Times New Roman"/>
                <w:sz w:val="16"/>
                <w:szCs w:val="16"/>
              </w:rPr>
              <w:t>okoljskih</w:t>
            </w:r>
            <w:proofErr w:type="spellEnd"/>
            <w:r>
              <w:rPr>
                <w:rFonts w:eastAsia="Times New Roman"/>
                <w:sz w:val="16"/>
                <w:szCs w:val="16"/>
              </w:rPr>
              <w:t xml:space="preserve"> dejavnikih, podatki o bolnišničnih obravnavah, podatki o bolniškem staležu, podatki o izdanih zdravilih, podatki o udeležbi v programu SVIT, podatki o datumu smrti in osnovnem vzroku smrti.</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 xml:space="preserve">Administrativni viri. MNZ(CRP) do 30.9. Statistični viri: DEM-PREB/ČL, SEL-SOC, UMRLI, SBO, SZBO, ABSENTIZEM, ZDRAVILA, SVIT, EHIS.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Obvezno</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2014-2024</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2026</w:t>
            </w:r>
          </w:p>
        </w:tc>
      </w:tr>
      <w:tr w:rsidR="00A97B03" w:rsidTr="003D49FC">
        <w:tc>
          <w:tcPr>
            <w:tcW w:w="10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NIJZ</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R.09.03</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Ocena problematične uporabe drog</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Ocena pojava problematične uporabe drog, spremljanje pojava v okolju, ocena potreb za različne ciljne skupine.</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 xml:space="preserve">EMŠO, ime in priimek, SOUNDEX, STIGMA šifra, spol, državljanstvo, vrste uporabljenih drog, način uporabe drog, vrsta stika, vključenost v druge programe, obravnave, podatki o zdravljenju, podatki o okužbah, podatki o tveganih vedenjih. Podatki o izdanih zdravilih, datum smrti, osnovni in zunanji vzrok smrti. </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Administrativni viri: Programi zmanjševanja škode (</w:t>
            </w:r>
            <w:proofErr w:type="spellStart"/>
            <w:r>
              <w:rPr>
                <w:rFonts w:eastAsia="Times New Roman"/>
                <w:sz w:val="16"/>
                <w:szCs w:val="16"/>
              </w:rPr>
              <w:t>nizkopražni</w:t>
            </w:r>
            <w:proofErr w:type="spellEnd"/>
            <w:r>
              <w:rPr>
                <w:rFonts w:eastAsia="Times New Roman"/>
                <w:sz w:val="16"/>
                <w:szCs w:val="16"/>
              </w:rPr>
              <w:t xml:space="preserve"> programi): podatki o frekvenci in vrsti stika uporabnikov drog, in anketna raziskava med uporabniki, vrsta stika, uporabi drog, NIJZ 14, MNZ (CRP) do 30.6. Statistični viri: UMRLI, ZDRAVILA.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Obvezno</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2015-2024</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2025</w:t>
            </w:r>
          </w:p>
        </w:tc>
      </w:tr>
      <w:tr w:rsidR="00A97B03" w:rsidTr="003D49FC">
        <w:tc>
          <w:tcPr>
            <w:tcW w:w="10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NIJZ</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R.09.04</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Analiza odhodov in prihodov zdravstvenih delavcev</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Ocena obsega odhodov in prihodov zdravstvenih delavcev iz in v zdravstveni sistem ter odhodov zdravstvenih delavcev v tujino.</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 xml:space="preserve">Administrativni/statistični viri: Podatki o diplomantu izobraževalnega programa s področja zdravstva ali podobno: EMŠO, spol, datum diplomiranja, način študija diplomanta, podatki o izobraževalnem zavodu, podatki o izobraževalnem programu; podatki o zaposlitvi (MŠ delodajalca, občina delovnega mesta, poklicna skupina (SKP-08), dejavnost (SKD 2008), institucionalni sektor), podatki o dohodkih. Podatki o zdravstvenem delavcu: EMŠO, datum rojstva, šifra zdravstvenega delavca in sodelavca, vitalni status in datum smrti, tip prebivalca, podatki o izobrazbi, podatki o dohodkih, podlaga za zavarovanje, datum začetka in konca zavarovanja, izobrazba, dejavnost, status aktivnosti (status registrirano brezposelne osebe in obdobja brezposelnosti, status upokojenca in datum upokojitve). </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 xml:space="preserve">Administrativni viri: NIJZ (NIJZ 16, )MNZ (CRP) do 30. 6. Statistični viri: DEM-PREB/ČL, SEL-SOC, ŠOL-ŠTUD, ŠOL-DIPL-TERC, DAK, SRDAP, RAVEN-DOH, RIZDDZ.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Obvezno</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2010-2024</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2026</w:t>
            </w:r>
          </w:p>
        </w:tc>
      </w:tr>
      <w:tr w:rsidR="00A97B03" w:rsidTr="003D49FC">
        <w:tc>
          <w:tcPr>
            <w:tcW w:w="10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spacing w:before="100" w:beforeAutospacing="1" w:after="100" w:afterAutospacing="1"/>
              <w:rPr>
                <w:sz w:val="16"/>
                <w:szCs w:val="16"/>
              </w:rPr>
            </w:pPr>
            <w:r>
              <w:rPr>
                <w:b/>
                <w:bCs/>
                <w:sz w:val="16"/>
                <w:szCs w:val="16"/>
              </w:rPr>
              <w:t> </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b/>
                <w:bCs/>
                <w:sz w:val="16"/>
                <w:szCs w:val="16"/>
              </w:rPr>
              <w:t> </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 </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 </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 </w:t>
            </w:r>
          </w:p>
        </w:tc>
      </w:tr>
      <w:tr w:rsidR="00A97B03" w:rsidTr="003D49FC">
        <w:tc>
          <w:tcPr>
            <w:tcW w:w="10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pStyle w:val="modul"/>
            </w:pPr>
            <w:r>
              <w:t>R10</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b/>
                <w:bCs/>
                <w:sz w:val="16"/>
                <w:szCs w:val="16"/>
              </w:rPr>
              <w:t>Kriminaliteta</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 </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 </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 </w:t>
            </w:r>
          </w:p>
        </w:tc>
      </w:tr>
      <w:tr w:rsidR="00A97B03" w:rsidTr="003D49FC">
        <w:tc>
          <w:tcPr>
            <w:tcW w:w="10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SURS</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R.10.01</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Podatki o oškodovancih kaznivih dejanj ovadenih, obtoženih in obsojenih oseb</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Analiza novih administrativnih virov podatkov o oškodovancih kaznivih dejanj, ki so jih zagrešili ovadeni, obtoženi ali obsojeni storilci in razvoj metodologije za pripravo statističnih podatkov o oškodovancih kaznivih dejanj.</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Podatki o oškodovancih kaznivih dejanj: Vrhovno državno tožilstvo: ID oškodovanca v povezavi s spisom v sistemu DT, EMŠO, spol, ime, priimek, naslov stalnega bivališča, datum rojstva, ID kaznivega dejanja v sistemu DT, razmerje do storilca; podatki o kaznivem dejanju po kazenskem zakoniku, tipu kaznivega dejanja, datumu in občini storitve kaznivega dejanja, vrsti storilca, vrsti osebe, vložniku ovadbe, načinu vložitve ovadbe, skupini dogodka, vrsti odločbe, razlogu zavrženja in trajanju postopka. Za neznane storilce le podatki o šifri kaznivega dejanja, vložniku ovadbe in vrsti odločbe. Vrhovno sodišče RS: EMŠO, spol, ime, priimek, naslov stalnega bivališča, naslov začasnega bivališča, datum rojstva, razmerje do storilca; podatki o kaznivem dejanju po kazenskem zakoniku, sostorilstvu, priporu, datumu storitve kaznivega dejanja, steku, vrsti sodne odločbe, določeni kazenski sankciji (glavni in morebitni stranski), morebitnem varnostnem ukrepu in trajanju postopka.</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 xml:space="preserve">Administrativni viri: Vrhovno državno tožilstvo (elektronska evidenca), Vrhovno sodišče, do 15.3. MNZ (CRP) po potrebi. Statistični viri: SPR/L, DEM-PREB/ČL, SEL-SOC, KRIM-TOŽ, KRIM-SOD.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Obvezno</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proofErr w:type="spellStart"/>
            <w:r>
              <w:rPr>
                <w:rFonts w:eastAsia="Times New Roman"/>
                <w:sz w:val="16"/>
                <w:szCs w:val="16"/>
              </w:rPr>
              <w:t>n.s</w:t>
            </w:r>
            <w:proofErr w:type="spellEnd"/>
            <w:r>
              <w:rPr>
                <w:rFonts w:eastAsia="Times New Roman"/>
                <w:sz w:val="16"/>
                <w:szCs w:val="16"/>
              </w:rPr>
              <w:t>.</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2027</w:t>
            </w:r>
          </w:p>
        </w:tc>
      </w:tr>
      <w:tr w:rsidR="00A97B03" w:rsidTr="003D49FC">
        <w:tc>
          <w:tcPr>
            <w:tcW w:w="10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spacing w:before="100" w:beforeAutospacing="1" w:after="100" w:afterAutospacing="1"/>
              <w:rPr>
                <w:sz w:val="16"/>
                <w:szCs w:val="16"/>
              </w:rPr>
            </w:pPr>
            <w:r>
              <w:rPr>
                <w:b/>
                <w:bCs/>
                <w:sz w:val="16"/>
                <w:szCs w:val="16"/>
              </w:rPr>
              <w:t> </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b/>
                <w:bCs/>
                <w:sz w:val="16"/>
                <w:szCs w:val="16"/>
              </w:rPr>
              <w:t> </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 </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 </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 </w:t>
            </w:r>
          </w:p>
        </w:tc>
      </w:tr>
      <w:tr w:rsidR="00A97B03" w:rsidTr="003D49FC">
        <w:tc>
          <w:tcPr>
            <w:tcW w:w="10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pStyle w:val="modul"/>
            </w:pPr>
            <w:r>
              <w:t>R11</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b/>
                <w:bCs/>
                <w:sz w:val="16"/>
                <w:szCs w:val="16"/>
              </w:rPr>
              <w:t>Poslovni subjekti</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 </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 </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 </w:t>
            </w:r>
          </w:p>
        </w:tc>
      </w:tr>
      <w:tr w:rsidR="00A97B03" w:rsidTr="003D49FC">
        <w:tc>
          <w:tcPr>
            <w:tcW w:w="10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SURS</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R.11.01</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Študija izvedljivosti novega kazalnika kratkoročnega gibanja gospodarstva</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Izvedba študije izvedljivosti za pripravo novega kratkoročnega kazalnika o gibanju gospodarstva.</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Podatki o gibanju prihodkov ali podobnih kategorij (podatki prejemkov iz davčno potrjenih računov, podatki o davku na dodano vrednost, izvozne carinske deklaracije, prilivi v okviru plačilnega prometa, poraba električne energije) ter gibanju stroškov (podatki o davku na dodano vrednost, uvozne carinske deklaracije, odlivi v okviru plačilnega prometa, poraba električne energije).</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FURS (tedenski podatki o davčno potrjenih računih, obrazec DDV-O, carinske deklaracije - po dogovoru, podatki statistike plačilnega prometa – po dogovoru z AJPES), ELES (števci električne energije) - po dogovoru. Statistični viri.</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Obvezno</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Mesec</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2025</w:t>
            </w:r>
          </w:p>
        </w:tc>
      </w:tr>
      <w:tr w:rsidR="00A97B03" w:rsidTr="003D49FC">
        <w:tc>
          <w:tcPr>
            <w:tcW w:w="10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spacing w:before="100" w:beforeAutospacing="1" w:after="100" w:afterAutospacing="1"/>
              <w:rPr>
                <w:sz w:val="16"/>
                <w:szCs w:val="16"/>
              </w:rPr>
            </w:pPr>
            <w:r>
              <w:rPr>
                <w:b/>
                <w:bCs/>
                <w:sz w:val="16"/>
                <w:szCs w:val="16"/>
              </w:rPr>
              <w:t> </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b/>
                <w:bCs/>
                <w:sz w:val="16"/>
                <w:szCs w:val="16"/>
              </w:rPr>
              <w:t> </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 </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 </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 </w:t>
            </w:r>
          </w:p>
        </w:tc>
      </w:tr>
      <w:tr w:rsidR="00A97B03" w:rsidTr="003D49FC">
        <w:tc>
          <w:tcPr>
            <w:tcW w:w="10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pStyle w:val="modul"/>
            </w:pPr>
            <w:r>
              <w:t>R15</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b/>
                <w:bCs/>
                <w:sz w:val="16"/>
                <w:szCs w:val="16"/>
              </w:rPr>
              <w:t>Energetika</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 </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 </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 </w:t>
            </w:r>
          </w:p>
        </w:tc>
      </w:tr>
      <w:tr w:rsidR="00A97B03" w:rsidTr="003D49FC">
        <w:tc>
          <w:tcPr>
            <w:tcW w:w="10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SURS</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R.15.01</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Uporaba podatkov naprednih merilnih naprav električne energije</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Spremljanje rabe električne energije pri končnih odjemalcih z uporabo podatkov naprednih merilnih sistemov električne energije.</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 xml:space="preserve">Podatki naprednih merilnih naprav električne energije na merilno mesto natančno: DŠ plačnika, naziv in naslov plačnika, leto podatka, mesec finančne realizacije, naziv merilnega mesta, naslov merilnega mesta, tip merilnega mesta, obračunska varovalka, šifra odjemne skupine, šifra načina obračuna, odstotek izgub transformacije, šifra olajšave za obračun omrežnine, indikator ali je potreben obračun dobavitelja, vrsta tarife za obračun, šifra zaračunljivega elementa, številka števca, staro stanje odbirek, staro stanje datum stanja, novo stanje odbirek, novo stanje datum stanja, šifra načina pridobitve stanja, konstanta števca, količina porabljene električne energije, znesek porabljene električne energije, priključna moč posameznih priključkov. Osebni podatki lastnika napredne merilne naprave: DŠ, lokacija napredne merilne naprave (naslov). </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Distribucijska podjetja električne energije (podatki naprednih merilnih naprav električne energije), do 15. v mesecu. Administrativna vira: ELES, do 15. v mesecu, GURS (Kataster nepremičnin in Register naslovov), enkrat letno oz. po potrebi. Statistični vir: SPRS.</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Obvezno</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Mesec</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2026</w:t>
            </w:r>
          </w:p>
        </w:tc>
      </w:tr>
      <w:tr w:rsidR="00A97B03" w:rsidTr="003D49FC">
        <w:tc>
          <w:tcPr>
            <w:tcW w:w="10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SURS</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R.15.02</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Toplotne črpalke</w:t>
            </w:r>
            <w:r>
              <w:rPr>
                <w:rFonts w:eastAsia="Times New Roman"/>
                <w:sz w:val="16"/>
                <w:szCs w:val="16"/>
              </w:rPr>
              <w:br/>
              <w:t>E-TČ</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Dopolnitev podatkov o inštaliranih toplotnih črpalkah za potrebe nadgradnje podatkov o porabi toplote iz okolice.</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Podatki energetskih izkaznic, podatki energetskega knjigovodstva, podatki o vodnih dovoljenjih, podatki o dodeljenih subvencijah in kreditih, podatki o inštaliranih toplotnih črpalkah (vrsta, moč ipd.).</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 xml:space="preserve">Administrativni viri: MOPE, DRSV, </w:t>
            </w:r>
            <w:proofErr w:type="spellStart"/>
            <w:r>
              <w:rPr>
                <w:rFonts w:eastAsia="Times New Roman"/>
                <w:sz w:val="16"/>
                <w:szCs w:val="16"/>
              </w:rPr>
              <w:t>Eko</w:t>
            </w:r>
            <w:proofErr w:type="spellEnd"/>
            <w:r>
              <w:rPr>
                <w:rFonts w:eastAsia="Times New Roman"/>
                <w:sz w:val="16"/>
                <w:szCs w:val="16"/>
              </w:rPr>
              <w:t xml:space="preserve"> sklad, Geološki zavod, do 30. 4. 2025. Statistični viri.</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Obvezno</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Prejšnje leto</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2026</w:t>
            </w:r>
          </w:p>
        </w:tc>
      </w:tr>
      <w:tr w:rsidR="00A97B03" w:rsidTr="003D49FC">
        <w:tc>
          <w:tcPr>
            <w:tcW w:w="10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SURS</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R.15.03</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Baterijski hranilniki električne energije</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Vzpostavitev spremljanja hrambe električne energije v baterijskih hranilnikih električne energije.</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 xml:space="preserve">Podatki o hranjenju električne energije v baterijskih hranilnikih električne energije (zmogljivost shranjevanja baterij, nazivna moč baterij, električna energija, ki se dovede v omrežje iz baterij (letni nivo), električna energija, ki se iz omrežja uporablja za polnjenje baterij (letni nivo), leto vgradnje, napetostni nivo priključitve). </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Distribucijska podjetja električne energije, ostala podjetja, ki uporabljajo/imajo v lasti baterijske hranilnike, najkasneje do 30. 6. 2025. Administrativni vir: ELES, najkasneje do 30. 6. 2025.</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Obvezno</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 xml:space="preserve">Prejšnje leto, </w:t>
            </w:r>
            <w:proofErr w:type="spellStart"/>
            <w:r>
              <w:rPr>
                <w:rFonts w:eastAsia="Times New Roman"/>
                <w:sz w:val="16"/>
                <w:szCs w:val="16"/>
              </w:rPr>
              <w:t>Predprejšnje</w:t>
            </w:r>
            <w:proofErr w:type="spellEnd"/>
            <w:r>
              <w:rPr>
                <w:rFonts w:eastAsia="Times New Roman"/>
                <w:sz w:val="16"/>
                <w:szCs w:val="16"/>
              </w:rPr>
              <w:t xml:space="preserve"> leto</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2025</w:t>
            </w:r>
          </w:p>
        </w:tc>
      </w:tr>
      <w:tr w:rsidR="00A97B03" w:rsidTr="003D49FC">
        <w:tc>
          <w:tcPr>
            <w:tcW w:w="10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spacing w:before="100" w:beforeAutospacing="1" w:after="100" w:afterAutospacing="1"/>
              <w:rPr>
                <w:sz w:val="16"/>
                <w:szCs w:val="16"/>
              </w:rPr>
            </w:pPr>
            <w:r>
              <w:rPr>
                <w:b/>
                <w:bCs/>
                <w:sz w:val="16"/>
                <w:szCs w:val="16"/>
              </w:rPr>
              <w:t> </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b/>
                <w:bCs/>
                <w:sz w:val="16"/>
                <w:szCs w:val="16"/>
              </w:rPr>
              <w:t> </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 </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 </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 </w:t>
            </w:r>
          </w:p>
        </w:tc>
      </w:tr>
      <w:tr w:rsidR="00A97B03" w:rsidTr="003D49FC">
        <w:tc>
          <w:tcPr>
            <w:tcW w:w="10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pStyle w:val="modul"/>
            </w:pPr>
            <w:r>
              <w:t>R16</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b/>
                <w:bCs/>
                <w:sz w:val="16"/>
                <w:szCs w:val="16"/>
              </w:rPr>
              <w:t>Gradbeništvo</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 </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 </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 </w:t>
            </w:r>
          </w:p>
        </w:tc>
      </w:tr>
      <w:tr w:rsidR="00A97B03" w:rsidTr="003D49FC">
        <w:tc>
          <w:tcPr>
            <w:tcW w:w="10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SURS</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R.16.01</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Začetek in dokončanje gradnje stavb</w:t>
            </w:r>
            <w:r>
              <w:rPr>
                <w:rFonts w:eastAsia="Times New Roman"/>
                <w:sz w:val="16"/>
                <w:szCs w:val="16"/>
              </w:rPr>
              <w:br/>
              <w:t>GRAD-ZK/ČL</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Razvoj kazalnikov o začetku in dokončanju gradnje stavb.</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Podatki o številu in površini stavb, ki so se pričela graditi in podatki o številu in površini dokončanih stavb in stanovanj v njih, po vrsti investitorja, vrsti gradbenih del in klasifikaciji vrst objektov (CC-SI).</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Administrativni vir: MNVP (Prostorski informacijski sistem (PIS)), po dogovoru.</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Obvezno</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Četrtletje</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2025</w:t>
            </w:r>
          </w:p>
        </w:tc>
      </w:tr>
      <w:tr w:rsidR="00A97B03" w:rsidTr="003D49FC">
        <w:tc>
          <w:tcPr>
            <w:tcW w:w="10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spacing w:before="100" w:beforeAutospacing="1" w:after="100" w:afterAutospacing="1"/>
              <w:rPr>
                <w:sz w:val="16"/>
                <w:szCs w:val="16"/>
              </w:rPr>
            </w:pPr>
            <w:r>
              <w:rPr>
                <w:b/>
                <w:bCs/>
                <w:sz w:val="16"/>
                <w:szCs w:val="16"/>
              </w:rPr>
              <w:t> </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b/>
                <w:bCs/>
                <w:sz w:val="16"/>
                <w:szCs w:val="16"/>
              </w:rPr>
              <w:t> </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 </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 </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 </w:t>
            </w:r>
          </w:p>
        </w:tc>
      </w:tr>
      <w:tr w:rsidR="00A97B03" w:rsidTr="003D49FC">
        <w:tc>
          <w:tcPr>
            <w:tcW w:w="10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pStyle w:val="modul"/>
            </w:pPr>
            <w:r>
              <w:t>R19</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b/>
                <w:bCs/>
                <w:sz w:val="16"/>
                <w:szCs w:val="16"/>
              </w:rPr>
              <w:t>Turizem</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 </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 </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 </w:t>
            </w:r>
          </w:p>
        </w:tc>
      </w:tr>
      <w:tr w:rsidR="00A97B03" w:rsidTr="003D49FC">
        <w:tc>
          <w:tcPr>
            <w:tcW w:w="10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SURS</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R.19.01</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Tuji turisti</w:t>
            </w:r>
            <w:r>
              <w:rPr>
                <w:rFonts w:eastAsia="Times New Roman"/>
                <w:sz w:val="16"/>
                <w:szCs w:val="16"/>
              </w:rPr>
              <w:br/>
              <w:t>TU-TURISTI</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 xml:space="preserve">Analiza novih podatkovnih virov za prikaz osnovnih podatkov o tujih turistih v Republiki Sloveniji ter njihovih izdatkih. </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proofErr w:type="spellStart"/>
            <w:r>
              <w:rPr>
                <w:rFonts w:eastAsia="Times New Roman"/>
                <w:sz w:val="16"/>
                <w:szCs w:val="16"/>
              </w:rPr>
              <w:t>Anonimizirani</w:t>
            </w:r>
            <w:proofErr w:type="spellEnd"/>
            <w:r>
              <w:rPr>
                <w:rFonts w:eastAsia="Times New Roman"/>
                <w:sz w:val="16"/>
                <w:szCs w:val="16"/>
              </w:rPr>
              <w:t xml:space="preserve"> in agregirani podatki o gostovanju (opravljen mobilni klic, prejet/poslan SMS ter vzpostavljena podatkovna seja) tujih uporabnikov v slovenske mobilnem omrežju po državi od koder prihajajo. Glede na dolžino trajanja podatkovne seje se ti klasificirajo v turiste, </w:t>
            </w:r>
            <w:proofErr w:type="spellStart"/>
            <w:r>
              <w:rPr>
                <w:rFonts w:eastAsia="Times New Roman"/>
                <w:sz w:val="16"/>
                <w:szCs w:val="16"/>
              </w:rPr>
              <w:t>tranzitnike</w:t>
            </w:r>
            <w:proofErr w:type="spellEnd"/>
            <w:r>
              <w:rPr>
                <w:rFonts w:eastAsia="Times New Roman"/>
                <w:sz w:val="16"/>
                <w:szCs w:val="16"/>
              </w:rPr>
              <w:t xml:space="preserve"> in izletnike. Agregirani podatki o kartičnih transakcijah in dvigih gotovine (število in vrednost transakcij) nerezidentov v Republiki Sloveniji. </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Administrativni vir: AKOS (podatki mobilnih operaterjev, ki zagotavljajo javna komunikacijska omrežja in/ali izvajajo javne komunikacijske storitve) najkasneje 2 meseca po referenčnem mesecu. Statistični viri: statistika plačil, Mobilne statistike, TU/M.</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 xml:space="preserve">Obvezno za administrativni vir.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2019–2025</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2026</w:t>
            </w:r>
          </w:p>
        </w:tc>
      </w:tr>
      <w:tr w:rsidR="00A97B03" w:rsidTr="003D49FC">
        <w:tc>
          <w:tcPr>
            <w:tcW w:w="10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SURS</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R.19.02</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Tuji potniki</w:t>
            </w:r>
            <w:r>
              <w:rPr>
                <w:rFonts w:eastAsia="Times New Roman"/>
                <w:sz w:val="16"/>
                <w:szCs w:val="16"/>
              </w:rPr>
              <w:br/>
              <w:t>TU-POTNIKI</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 xml:space="preserve">Analiza novih podatkovnih virov za prikaz osnovnih podatkov o tujih potnikih v Republiki Sloveniji ter njihovih izdatkih. </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 xml:space="preserve">Podatki o prometu vozil iz avtomatskega štetja prometa (števno mesto, datum štetja, časovni interval štetja, vrsta vozila glede na vstop/izstop). </w:t>
            </w:r>
            <w:proofErr w:type="spellStart"/>
            <w:r>
              <w:rPr>
                <w:rFonts w:eastAsia="Times New Roman"/>
                <w:sz w:val="16"/>
                <w:szCs w:val="16"/>
              </w:rPr>
              <w:t>Anonimizirani</w:t>
            </w:r>
            <w:proofErr w:type="spellEnd"/>
            <w:r>
              <w:rPr>
                <w:rFonts w:eastAsia="Times New Roman"/>
                <w:sz w:val="16"/>
                <w:szCs w:val="16"/>
              </w:rPr>
              <w:t xml:space="preserve"> in agregirani podatki o gostovanju (opravljen mobilni klic, prejet/poslan SMS ter vzpostavljena podatkovna seja) tujih uporabnikov v slovenske mobilnem omrežju po državi od koder prihajajo. Glede na dolžino trajanja podatkovne seje se ti klasificirajo v turiste, </w:t>
            </w:r>
            <w:proofErr w:type="spellStart"/>
            <w:r>
              <w:rPr>
                <w:rFonts w:eastAsia="Times New Roman"/>
                <w:sz w:val="16"/>
                <w:szCs w:val="16"/>
              </w:rPr>
              <w:t>tranzitnike</w:t>
            </w:r>
            <w:proofErr w:type="spellEnd"/>
            <w:r>
              <w:rPr>
                <w:rFonts w:eastAsia="Times New Roman"/>
                <w:sz w:val="16"/>
                <w:szCs w:val="16"/>
              </w:rPr>
              <w:t xml:space="preserve"> in izletnike. Agregirani podatki o kartičnih transakcijah in dvigih gotovine (število in vrednost transakcij) nerezidentov v Republiki Sloveniji. </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Administrativna vira: MZI (DRSI) (podatki števcev prometa) – 1 mesec po referenčnem mesecu); AKOS (podatki mobilnih operaterjev, ki zagotavljajo javna komunikacijska omrežja in/ali izvajajo javne komunikacijske storitve – najkasneje 2 meseca po referenčnem mesecu). Statistični viri: statistika plačil, TR-MEJ/M, Mobilne statistike.</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Obvezno za administrativna vira.</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2019–2025</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2026</w:t>
            </w:r>
          </w:p>
        </w:tc>
      </w:tr>
      <w:tr w:rsidR="00A97B03" w:rsidTr="003D49FC">
        <w:tc>
          <w:tcPr>
            <w:tcW w:w="10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SURS</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R.19.03</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 xml:space="preserve">Prihodi in prenočitve turistov </w:t>
            </w:r>
            <w:r>
              <w:rPr>
                <w:rFonts w:eastAsia="Times New Roman"/>
                <w:sz w:val="16"/>
                <w:szCs w:val="16"/>
              </w:rPr>
              <w:br/>
              <w:t>TU/M</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Spremljanje stanja prihodov gostov in njihovih prijav ter prenočitev v nastanitvenih obratih.</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Podatki o nastanitvenih obratih (NO), njihovih značilnostih in njihovih nastanitvenih zmogljivostih ter izvajalcih nastanitvene dejavnosti (matična številka izvajalca, davčna številka izvajalca, naziv izvajalca, sedež in naslov izvajalca, vključno z EID-ji, kontaktni podatki izvajalca, ID nastanitvenega obrata, naziv NO, datum vpisa v register, naslov NO, vključno z EID-ji, status poročanja, vrsta in kategorija obrata); podatki o statusu NO; podatki o zmogljivosti NO (število nedeljivih enot, število prodanih nedeljivih nastanitvenih enot, število ležišč skupaj, število stalnih in pomožnih ležišč, ali obrat omogoča dostop in nastanitev za gibalno ovirane osebe ter koliko dni v mesecu je bil nastanitveni obrat odprt za nastanitev turistov); kontaktni podatki NO, dodatna ponudba in druga ponudba nastanitvenega obrata. Spremljanje prihodov in prenočitev turistov (števila in značilnosti) v nastanitvenih obratih. Značilnosti turista: zaporedna številka prijave gosta v nastanitvenem obratu, državljanstvo, spol, datum rojstva, datum in ura prihoda, datum in ura odhoda, višina polne turistične takse, razlog oprostitve ali delnega plačila turistične takse.</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 xml:space="preserve">Administrativna vira: AJPES – RNO (polni zajem), stanje na dan (omogočen dnevni prevzem). AJPES – </w:t>
            </w:r>
            <w:proofErr w:type="spellStart"/>
            <w:r>
              <w:rPr>
                <w:rFonts w:eastAsia="Times New Roman"/>
                <w:sz w:val="16"/>
                <w:szCs w:val="16"/>
              </w:rPr>
              <w:t>eTurizem</w:t>
            </w:r>
            <w:proofErr w:type="spellEnd"/>
            <w:r>
              <w:rPr>
                <w:rFonts w:eastAsia="Times New Roman"/>
                <w:sz w:val="16"/>
                <w:szCs w:val="16"/>
              </w:rPr>
              <w:t xml:space="preserve"> (polni zajem), dnevni podatki o prijavah gostov in mesečni podatki o nastanitvenih obratih (omogočen dnevni prevzem), najkasneje do 10. v mesecu.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Obvezno</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Kritični (presečni) čas.</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2025</w:t>
            </w:r>
          </w:p>
        </w:tc>
      </w:tr>
      <w:tr w:rsidR="00A97B03" w:rsidTr="003D49FC">
        <w:tc>
          <w:tcPr>
            <w:tcW w:w="10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SURS</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R.19.04</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Obseg sodelovalnega gospodarstva na področju kratkoročnega oddajanja turističnih nastanitev</w:t>
            </w:r>
            <w:r>
              <w:rPr>
                <w:rFonts w:eastAsia="Times New Roman"/>
                <w:sz w:val="16"/>
                <w:szCs w:val="16"/>
              </w:rPr>
              <w:br/>
              <w:t>TU-SODEL</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Analiza novih podatkovnih virov (tudi tistega po spremembi RNO) za prikaz obsega sodelovalnega gospodarstva na področju kratkoročnega oddajanja turističnih nastanitev v Republiki Sloveniji.</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 xml:space="preserve">Podatki o obsegu sodelovalnega gospodarstva: o ponudbi kratkoročnih turističnih nastanitvenih zmogljivosti in turističnem prometu (prihodi in prenočitve). </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 xml:space="preserve">Administrativna vira: AJPES – RNO (polni zajem), stanje na dan (omogočen dnevni prevzem). AJPES – </w:t>
            </w:r>
            <w:proofErr w:type="spellStart"/>
            <w:r>
              <w:rPr>
                <w:rFonts w:eastAsia="Times New Roman"/>
                <w:sz w:val="16"/>
                <w:szCs w:val="16"/>
              </w:rPr>
              <w:t>eTurizem</w:t>
            </w:r>
            <w:proofErr w:type="spellEnd"/>
            <w:r>
              <w:rPr>
                <w:rFonts w:eastAsia="Times New Roman"/>
                <w:sz w:val="16"/>
                <w:szCs w:val="16"/>
              </w:rPr>
              <w:t xml:space="preserve"> (polni zajem), dnevni podatki o prijavah gostov in mesečni podatki o nastanitvenih obratih do 10. v mesecu. FURS, do 31. 12. 2025 (finančni podatki o poslovanju pravnih in fizičnih oseb s spletnimi platformami za nudenje kratkoročnih nastanitev). EUROSTAT (podatki pridobljeni od spletnih platform za kratkoročni najem turističnih nastanitvenih obratov), do konca leta 2025 (četrtletni podatki za obdobje 2024–prvo polletje 2025). Nacionalne spletne platforme za kratkoročni najem turističnih nastanitvenih obratov, do 31. 12. 2025.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Obvezno za administrativna vira.</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2018–2025</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2026</w:t>
            </w:r>
          </w:p>
        </w:tc>
      </w:tr>
      <w:tr w:rsidR="00A97B03" w:rsidTr="003D49FC">
        <w:tc>
          <w:tcPr>
            <w:tcW w:w="10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SURS</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R.19.05</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Potovanja domačega prebivalstva</w:t>
            </w:r>
            <w:r>
              <w:rPr>
                <w:rFonts w:eastAsia="Times New Roman"/>
                <w:sz w:val="16"/>
                <w:szCs w:val="16"/>
              </w:rPr>
              <w:br/>
              <w:t>TU-ČAP</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Analiza novih podatkovnih virov za prikaz osnovnih podatkov o potovanjih domačega prebivalstva ter njihovih izdatkih.</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proofErr w:type="spellStart"/>
            <w:r>
              <w:rPr>
                <w:rFonts w:eastAsia="Times New Roman"/>
                <w:sz w:val="16"/>
                <w:szCs w:val="16"/>
              </w:rPr>
              <w:t>Anonimizirani</w:t>
            </w:r>
            <w:proofErr w:type="spellEnd"/>
            <w:r>
              <w:rPr>
                <w:rFonts w:eastAsia="Times New Roman"/>
                <w:sz w:val="16"/>
                <w:szCs w:val="16"/>
              </w:rPr>
              <w:t xml:space="preserve"> in agregirani podatki o gostovanju (opravljen mobilni klic, prejet/poslan SMS ter vzpostavljena podatkovna seja) domačih uporabnikov v tujem mobilnem omrežju po državi gostovanja. Glede na dolžino trajanja podatkovne seje se ti klasificirajo v turiste, </w:t>
            </w:r>
            <w:proofErr w:type="spellStart"/>
            <w:r>
              <w:rPr>
                <w:rFonts w:eastAsia="Times New Roman"/>
                <w:sz w:val="16"/>
                <w:szCs w:val="16"/>
              </w:rPr>
              <w:t>tranzitnike</w:t>
            </w:r>
            <w:proofErr w:type="spellEnd"/>
            <w:r>
              <w:rPr>
                <w:rFonts w:eastAsia="Times New Roman"/>
                <w:sz w:val="16"/>
                <w:szCs w:val="16"/>
              </w:rPr>
              <w:t xml:space="preserve"> in izletnike. Agregirani podatki o kartičnih transakcijah (tudi po kodi kategorije trgovca) in dvigih gotovine (število in vrednost transakcij) rezidentov.</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Administrativni vir: AKOS (podatki mobilnih operaterjev, ki zagotavljajo javna komunikacijska omrežja in/ali izvajajo javne komunikacijske storitve – najkasneje 2 meseca po referenčnem mesecu). Statistična vira: statistika plačil, Mobilne statistike.</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Obvezno za administrativni vir.</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2019–2025</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2026</w:t>
            </w:r>
          </w:p>
        </w:tc>
      </w:tr>
      <w:tr w:rsidR="00A97B03" w:rsidTr="003D49FC">
        <w:tc>
          <w:tcPr>
            <w:tcW w:w="10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spacing w:before="100" w:beforeAutospacing="1" w:after="100" w:afterAutospacing="1"/>
              <w:rPr>
                <w:sz w:val="16"/>
                <w:szCs w:val="16"/>
              </w:rPr>
            </w:pPr>
            <w:r>
              <w:rPr>
                <w:b/>
                <w:bCs/>
                <w:sz w:val="16"/>
                <w:szCs w:val="16"/>
              </w:rPr>
              <w:t> </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b/>
                <w:bCs/>
                <w:sz w:val="16"/>
                <w:szCs w:val="16"/>
              </w:rPr>
              <w:t> </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 </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 </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 </w:t>
            </w:r>
          </w:p>
        </w:tc>
      </w:tr>
      <w:tr w:rsidR="00A97B03" w:rsidTr="003D49FC">
        <w:tc>
          <w:tcPr>
            <w:tcW w:w="10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pStyle w:val="modul"/>
            </w:pPr>
            <w:r>
              <w:t>R20</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b/>
                <w:bCs/>
                <w:sz w:val="16"/>
                <w:szCs w:val="16"/>
              </w:rPr>
              <w:t>Transport in komunikacije</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 </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 </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 </w:t>
            </w:r>
          </w:p>
        </w:tc>
      </w:tr>
      <w:tr w:rsidR="00A97B03" w:rsidTr="003D49FC">
        <w:tc>
          <w:tcPr>
            <w:tcW w:w="10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SURS</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R.20.01</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proofErr w:type="spellStart"/>
            <w:r>
              <w:rPr>
                <w:rFonts w:eastAsia="Times New Roman"/>
                <w:sz w:val="16"/>
                <w:szCs w:val="16"/>
              </w:rPr>
              <w:t>Intermodalni</w:t>
            </w:r>
            <w:proofErr w:type="spellEnd"/>
            <w:r>
              <w:rPr>
                <w:rFonts w:eastAsia="Times New Roman"/>
                <w:sz w:val="16"/>
                <w:szCs w:val="16"/>
              </w:rPr>
              <w:t xml:space="preserve"> transport </w:t>
            </w:r>
            <w:r>
              <w:rPr>
                <w:rFonts w:eastAsia="Times New Roman"/>
                <w:sz w:val="16"/>
                <w:szCs w:val="16"/>
              </w:rPr>
              <w:br/>
              <w:t>TR-IMT</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 xml:space="preserve">Spremljanje obsega </w:t>
            </w:r>
            <w:proofErr w:type="spellStart"/>
            <w:r>
              <w:rPr>
                <w:rFonts w:eastAsia="Times New Roman"/>
                <w:sz w:val="16"/>
                <w:szCs w:val="16"/>
              </w:rPr>
              <w:t>intermodalnega</w:t>
            </w:r>
            <w:proofErr w:type="spellEnd"/>
            <w:r>
              <w:rPr>
                <w:rFonts w:eastAsia="Times New Roman"/>
                <w:sz w:val="16"/>
                <w:szCs w:val="16"/>
              </w:rPr>
              <w:t xml:space="preserve"> transporta v cestnem, železniškem in pomorskem prevozu ter prometu.</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 xml:space="preserve">Podatki o </w:t>
            </w:r>
            <w:proofErr w:type="spellStart"/>
            <w:r>
              <w:rPr>
                <w:rFonts w:eastAsia="Times New Roman"/>
                <w:sz w:val="16"/>
                <w:szCs w:val="16"/>
              </w:rPr>
              <w:t>intermodalnem</w:t>
            </w:r>
            <w:proofErr w:type="spellEnd"/>
            <w:r>
              <w:rPr>
                <w:rFonts w:eastAsia="Times New Roman"/>
                <w:sz w:val="16"/>
                <w:szCs w:val="16"/>
              </w:rPr>
              <w:t xml:space="preserve"> transportu, prevozu po železnici, cestah in morju – glede na vrsto in velikost transportne enote, prevožen tovor (tone, tonski kilometri), po kohezijskih regijah in državah. </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proofErr w:type="spellStart"/>
            <w:r>
              <w:rPr>
                <w:rFonts w:eastAsia="Times New Roman"/>
                <w:sz w:val="16"/>
                <w:szCs w:val="16"/>
              </w:rPr>
              <w:t>Intermodalni</w:t>
            </w:r>
            <w:proofErr w:type="spellEnd"/>
            <w:r>
              <w:rPr>
                <w:rFonts w:eastAsia="Times New Roman"/>
                <w:sz w:val="16"/>
                <w:szCs w:val="16"/>
              </w:rPr>
              <w:t xml:space="preserve"> logistični terminali, poslovni subjekti, ki izvajajo cestni, železniški in pomorski prevoz ter promet blaga – do 30. 6. 2025. Administrativna vira: MZI (MRVL) – do 10. v mesecu za prejšnji mesec. Statistični viri: TR-PRI/M, TR-POM/M, TR-LET/M, TR-LET/L, TR-CES-B/T, TR-ŽEL/ČL, TR-ŽEL/L.</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Obvezno</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2019–2025</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2026</w:t>
            </w:r>
          </w:p>
        </w:tc>
      </w:tr>
      <w:tr w:rsidR="00A97B03" w:rsidTr="003D49FC">
        <w:tc>
          <w:tcPr>
            <w:tcW w:w="10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SURS</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R.20.02</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Avtocestni promet</w:t>
            </w:r>
            <w:r>
              <w:rPr>
                <w:rFonts w:eastAsia="Times New Roman"/>
                <w:sz w:val="16"/>
                <w:szCs w:val="16"/>
              </w:rPr>
              <w:br/>
              <w:t>TR-AC</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 xml:space="preserve">Spremljanje podatkov prometu vozil iz elektronskega cestninskega sistema v prostem prometnem toku (deljeno na domača in tuja vozila) ter o prodanih elektronskih vinjetah. </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Dnevni in tedenski podatki o številu prevoženih kilometrov in številu tovornih vozil (po cestninskem razredu tovornih vozil in državi registraciji tovornega vozila) ter letni podatki o številu prodanih elektronskih vinjetah.</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Administrativni vir: DARS – dnevne in tedenske podatke do konca tekočega tedna, letne podatke do 31. 1. 2026.</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Obvezno</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Prejšnje leto, Dan, Teden, Prejšnje leto</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2026</w:t>
            </w:r>
          </w:p>
        </w:tc>
      </w:tr>
      <w:tr w:rsidR="00A97B03" w:rsidTr="003D49FC">
        <w:tc>
          <w:tcPr>
            <w:tcW w:w="10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SURS</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R.20.03</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Obseg potniškega prevoza</w:t>
            </w:r>
            <w:r>
              <w:rPr>
                <w:rFonts w:eastAsia="Times New Roman"/>
                <w:sz w:val="16"/>
                <w:szCs w:val="16"/>
              </w:rPr>
              <w:br/>
              <w:t>TR-PKM</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 xml:space="preserve">Vzpostavitev trajnega načina spremljanja obsega potniškega prevoza, izraženega v številu potniških kilometrov (PKM) z osebnimi avtomobili, avtobusi in vlaki (prikaz po </w:t>
            </w:r>
            <w:proofErr w:type="spellStart"/>
            <w:r>
              <w:rPr>
                <w:rFonts w:eastAsia="Times New Roman"/>
                <w:sz w:val="16"/>
                <w:szCs w:val="16"/>
              </w:rPr>
              <w:t>t.i</w:t>
            </w:r>
            <w:proofErr w:type="spellEnd"/>
            <w:r>
              <w:rPr>
                <w:rFonts w:eastAsia="Times New Roman"/>
                <w:sz w:val="16"/>
                <w:szCs w:val="16"/>
              </w:rPr>
              <w:t xml:space="preserve">. </w:t>
            </w:r>
            <w:proofErr w:type="spellStart"/>
            <w:r>
              <w:rPr>
                <w:rFonts w:eastAsia="Times New Roman"/>
                <w:sz w:val="16"/>
                <w:szCs w:val="16"/>
              </w:rPr>
              <w:t>modal</w:t>
            </w:r>
            <w:proofErr w:type="spellEnd"/>
            <w:r>
              <w:rPr>
                <w:rFonts w:eastAsia="Times New Roman"/>
                <w:sz w:val="16"/>
                <w:szCs w:val="16"/>
              </w:rPr>
              <w:t xml:space="preserve"> </w:t>
            </w:r>
            <w:proofErr w:type="spellStart"/>
            <w:r>
              <w:rPr>
                <w:rFonts w:eastAsia="Times New Roman"/>
                <w:sz w:val="16"/>
                <w:szCs w:val="16"/>
              </w:rPr>
              <w:t>split</w:t>
            </w:r>
            <w:proofErr w:type="spellEnd"/>
            <w:r>
              <w:rPr>
                <w:rFonts w:eastAsia="Times New Roman"/>
                <w:sz w:val="16"/>
                <w:szCs w:val="16"/>
              </w:rPr>
              <w:t xml:space="preserve">). </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Statistični viri: TR-VKM, TR-MOB, TR-ŽEL/L in TR-ŽEL/M, TR-CES-P/M in TR-CES-P/L</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 xml:space="preserve">Administrativni vir: MOPE – podatki o posebnih linijskih prevozih – 28. 2. 2025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Obvezno</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2016–2025</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2026</w:t>
            </w:r>
          </w:p>
        </w:tc>
      </w:tr>
      <w:tr w:rsidR="00A97B03" w:rsidTr="003D49FC">
        <w:tc>
          <w:tcPr>
            <w:tcW w:w="10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spacing w:before="100" w:beforeAutospacing="1" w:after="100" w:afterAutospacing="1"/>
              <w:rPr>
                <w:sz w:val="16"/>
                <w:szCs w:val="16"/>
              </w:rPr>
            </w:pPr>
            <w:r>
              <w:rPr>
                <w:b/>
                <w:bCs/>
                <w:sz w:val="16"/>
                <w:szCs w:val="16"/>
              </w:rPr>
              <w:t> </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b/>
                <w:bCs/>
                <w:sz w:val="16"/>
                <w:szCs w:val="16"/>
              </w:rPr>
              <w:t> </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 </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 </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 </w:t>
            </w:r>
          </w:p>
        </w:tc>
      </w:tr>
      <w:tr w:rsidR="00A97B03" w:rsidTr="003D49FC">
        <w:tc>
          <w:tcPr>
            <w:tcW w:w="10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pStyle w:val="modul"/>
            </w:pPr>
            <w:r>
              <w:t>R21</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b/>
                <w:bCs/>
                <w:sz w:val="16"/>
                <w:szCs w:val="16"/>
              </w:rPr>
              <w:t>Kmetijstvo, gozdarstvo in ribištvo</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 </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 </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 </w:t>
            </w:r>
          </w:p>
        </w:tc>
      </w:tr>
      <w:tr w:rsidR="00A97B03" w:rsidTr="003D49FC">
        <w:tc>
          <w:tcPr>
            <w:tcW w:w="10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SURS</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R.21.01</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Regionalni ekonomski računi za kmetijstvo</w:t>
            </w:r>
            <w:r>
              <w:rPr>
                <w:rFonts w:eastAsia="Times New Roman"/>
                <w:sz w:val="16"/>
                <w:szCs w:val="16"/>
              </w:rPr>
              <w:br/>
              <w:t>RERK</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Razvoj in vzpostavitev metodologije RERK in zagotovitev prvih izračunov RERK za dve kohezijski regiji Slovenije (NUTS 2) za referenčno leto 2023. Vzpostavitev postopkov in tehničnega okolja za izvajanje RERK.</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 xml:space="preserve">Statistični podatki, ki se neposredno ali posredno nanašajo na kmetijsko dejavnost v Sloveniji, podatki o subvencijah, podatki o kmetijskih gospodarstvih, najemnine kmetijskih zemljišč, obračun DDV, napovedi oz. odmere dohodka iz dejavnosti, trošarine, vplačila in razporeditve javnih prihodkov, letna poročila podjetij. Osebni podatki nosilca kmetijske proizvodnje na kmetijskem gospodarstvu: ime in priimek ter naslov, identifikator kmetijskega gospodarstva (KMG-MID). </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Administrativni viri na regionalni ravni: ARSKTRP (podatki o subvencijah), do 15. 9. MKGP (RKG, FADN, Evidenca dejanske rabe kmetijskih in gozdnih zemljišč, Blok/GERK), UVHVVR (CRG, EIRŽ, ERŽ, Register obratov rej za kokoši nesnice), večkrat v letu; FURS (obračun DDV, napovedi oz. odmere dohodka iz dejavnosti, trošarine), MF-UJP (vplačila in razporeditve javnih prihodkov – B2), AJPES (letna poročila), do 31. 5. Statistični viri.</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Obvezno</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Tekoče leto</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September 2025</w:t>
            </w:r>
          </w:p>
        </w:tc>
      </w:tr>
      <w:tr w:rsidR="00A97B03" w:rsidTr="003D49FC">
        <w:tc>
          <w:tcPr>
            <w:tcW w:w="10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SURS</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R.21.02</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 xml:space="preserve">Ocena podrobnih podatkov o porabi glavnih rastlinskih hranil iz mineralnih gnojil </w:t>
            </w:r>
            <w:r>
              <w:rPr>
                <w:rFonts w:eastAsia="Times New Roman"/>
                <w:sz w:val="16"/>
                <w:szCs w:val="16"/>
              </w:rPr>
              <w:br/>
              <w:t>MODEL NPK</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Preučitev možnosti spremembe metodologije za ocenjevanje porabe mineralnih gnojil po kmetijskih kulturah s ciljem izboljšanja kakovosti podatkov in razbremenitve kmetijskih gospodarstev s sporočanjem podatkov.</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 xml:space="preserve">Statistični viri: Že zbrani podatki o porabi mineralnih gnojil na družinskih kmetijah, po kmetijskih kulturah, podatki o posejanih površinah, podatki o strukturi rabe kmetijskih površin, podatki o jesenski setvi in naknadnih posevkih, podatki o številu živine; podatki o uvozu mineralnih gnojil za kmetijski namen ter podatki o porabljenih mineralnih gnojilih v kmetijstvu poslovnih subjektov. Osebni podatki: KMG_MID identifikator kmetijskega gospodarstva, statistični identifikator kmetijskega gospodarstva. Administrativni podatki: Podatki o površinah posevkov na njivah in površinah trajnih travnikov in pašnikov, podatki o dejanski rabi kmetijskih zemljišč, podatki o porabi mineralnih gnojil, podatki o številu živine, podrobni meteorološki podatki. Osebni podatki nosilca kmetijske proizvodnje na kmetijskem gospodarstvu: ime in priimek ter naslov, telefonska številka, e-naslov, identifikator kmetijskega gospodarstva (KMG-MID). </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 xml:space="preserve">Statistični viri: KME-PMG, KME-UMG, KME-JUN, KME-DEC, POPIS-VRT/3L, POPIS-SAD/5L, KME-JUNSTRK, POPIS-KME, SRKG. Administrativni podatki: MKGP (RKG, evidenca dejanske rabe), UVHVVR (CRG, CRR, CRP, EIRŽ, ERŽ), ARSKTRP (neposredna plačila, podatki o porabi mineralnih gnojil). ARSO (podrobni opazovani in merjeni meteorološki podatki). V različnih terminih v letu.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Obvezno</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proofErr w:type="spellStart"/>
            <w:r>
              <w:rPr>
                <w:rFonts w:eastAsia="Times New Roman"/>
                <w:sz w:val="16"/>
                <w:szCs w:val="16"/>
              </w:rPr>
              <w:t>n.s</w:t>
            </w:r>
            <w:proofErr w:type="spellEnd"/>
            <w:r>
              <w:rPr>
                <w:rFonts w:eastAsia="Times New Roman"/>
                <w:sz w:val="16"/>
                <w:szCs w:val="16"/>
              </w:rPr>
              <w:t>.</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2027</w:t>
            </w:r>
          </w:p>
        </w:tc>
      </w:tr>
      <w:tr w:rsidR="00A97B03" w:rsidTr="003D49FC">
        <w:tc>
          <w:tcPr>
            <w:tcW w:w="10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SURS</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R.21.03</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Podatki o upravljanju trajnega travinja</w:t>
            </w:r>
            <w:r>
              <w:rPr>
                <w:rFonts w:eastAsia="Times New Roman"/>
                <w:sz w:val="16"/>
                <w:szCs w:val="16"/>
              </w:rPr>
              <w:br/>
              <w:t>TRAVINJE</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 xml:space="preserve">Preučitev možnosti priprave metodologije za stabilno zagotavljanje novih zahtev po podatkih o upravljanju trajnega travinja. </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Različni podatki o trajnem travinju. Osebni podatki nosilca kmetijske proizvodnje na kmetijskem gospodarstvu: identifikator kmetijskega gospodarstva (KMG-MID).</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 xml:space="preserve">Statistični viri. Administrativni viri in podatki daljinskega zaznavanja: MKGP (RKG, Evidenca dejanske rabe kmetijskih in gozdnih zemljišč, Evidenca OMD, Blok/GERK, pedološka karta Slovenije, KMRS, karta talnih števil), GURS (Zemljiški kataster in Zbirka podatkov daljinskega zaznavanja- ciklično </w:t>
            </w:r>
            <w:proofErr w:type="spellStart"/>
            <w:r>
              <w:rPr>
                <w:rFonts w:eastAsia="Times New Roman"/>
                <w:sz w:val="16"/>
                <w:szCs w:val="16"/>
              </w:rPr>
              <w:t>aero</w:t>
            </w:r>
            <w:proofErr w:type="spellEnd"/>
            <w:r>
              <w:rPr>
                <w:rFonts w:eastAsia="Times New Roman"/>
                <w:sz w:val="16"/>
                <w:szCs w:val="16"/>
              </w:rPr>
              <w:t xml:space="preserve"> fotografiranje Slovenije CAS, Digitalni model višin in reliefa), ARSO (LIFE </w:t>
            </w:r>
            <w:proofErr w:type="spellStart"/>
            <w:r>
              <w:rPr>
                <w:rFonts w:eastAsia="Times New Roman"/>
                <w:sz w:val="16"/>
                <w:szCs w:val="16"/>
              </w:rPr>
              <w:t>narcIS</w:t>
            </w:r>
            <w:proofErr w:type="spellEnd"/>
            <w:r>
              <w:rPr>
                <w:rFonts w:eastAsia="Times New Roman"/>
                <w:sz w:val="16"/>
                <w:szCs w:val="16"/>
              </w:rPr>
              <w:t xml:space="preserve"> , ekološko pomembna območja, NATURA 2000, poligoni zavarovanih območij), MOP (Namenska raba prostora ), ZRSVN (podatki o stanju trajnega travinja). Podatki </w:t>
            </w:r>
            <w:proofErr w:type="spellStart"/>
            <w:r>
              <w:rPr>
                <w:rFonts w:eastAsia="Times New Roman"/>
                <w:sz w:val="16"/>
                <w:szCs w:val="16"/>
              </w:rPr>
              <w:t>Landsat</w:t>
            </w:r>
            <w:proofErr w:type="spellEnd"/>
            <w:r>
              <w:rPr>
                <w:rFonts w:eastAsia="Times New Roman"/>
                <w:sz w:val="16"/>
                <w:szCs w:val="16"/>
              </w:rPr>
              <w:t xml:space="preserve"> in </w:t>
            </w:r>
            <w:proofErr w:type="spellStart"/>
            <w:r>
              <w:rPr>
                <w:rFonts w:eastAsia="Times New Roman"/>
                <w:sz w:val="16"/>
                <w:szCs w:val="16"/>
              </w:rPr>
              <w:t>Sentinel</w:t>
            </w:r>
            <w:proofErr w:type="spellEnd"/>
            <w:r>
              <w:rPr>
                <w:rFonts w:eastAsia="Times New Roman"/>
                <w:sz w:val="16"/>
                <w:szCs w:val="16"/>
              </w:rPr>
              <w:t>. Vsi podatki po potrebi. Drugi podatkovni viri o travinju.</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proofErr w:type="spellStart"/>
            <w:r>
              <w:rPr>
                <w:rFonts w:eastAsia="Times New Roman"/>
                <w:sz w:val="16"/>
                <w:szCs w:val="16"/>
              </w:rPr>
              <w:t>n.s</w:t>
            </w:r>
            <w:proofErr w:type="spellEnd"/>
            <w:r>
              <w:rPr>
                <w:rFonts w:eastAsia="Times New Roman"/>
                <w:sz w:val="16"/>
                <w:szCs w:val="16"/>
              </w:rPr>
              <w:t>.</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proofErr w:type="spellStart"/>
            <w:r>
              <w:rPr>
                <w:rFonts w:eastAsia="Times New Roman"/>
                <w:sz w:val="16"/>
                <w:szCs w:val="16"/>
              </w:rPr>
              <w:t>n.s</w:t>
            </w:r>
            <w:proofErr w:type="spellEnd"/>
            <w:r>
              <w:rPr>
                <w:rFonts w:eastAsia="Times New Roman"/>
                <w:sz w:val="16"/>
                <w:szCs w:val="16"/>
              </w:rPr>
              <w:t>.</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2027</w:t>
            </w:r>
          </w:p>
        </w:tc>
      </w:tr>
      <w:tr w:rsidR="00A97B03" w:rsidTr="003D49FC">
        <w:tc>
          <w:tcPr>
            <w:tcW w:w="10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spacing w:before="100" w:beforeAutospacing="1" w:after="100" w:afterAutospacing="1"/>
              <w:rPr>
                <w:sz w:val="16"/>
                <w:szCs w:val="16"/>
              </w:rPr>
            </w:pPr>
            <w:r>
              <w:rPr>
                <w:b/>
                <w:bCs/>
                <w:sz w:val="16"/>
                <w:szCs w:val="16"/>
              </w:rPr>
              <w:t> </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b/>
                <w:bCs/>
                <w:sz w:val="16"/>
                <w:szCs w:val="16"/>
              </w:rPr>
              <w:t> </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 </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 </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 </w:t>
            </w:r>
          </w:p>
        </w:tc>
      </w:tr>
      <w:tr w:rsidR="00A97B03" w:rsidTr="003D49FC">
        <w:tc>
          <w:tcPr>
            <w:tcW w:w="10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pStyle w:val="modul"/>
            </w:pPr>
            <w:r>
              <w:t>R22</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b/>
                <w:bCs/>
                <w:sz w:val="16"/>
                <w:szCs w:val="16"/>
              </w:rPr>
              <w:t>Okolje</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 </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 </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 </w:t>
            </w:r>
          </w:p>
        </w:tc>
      </w:tr>
      <w:tr w:rsidR="00A97B03" w:rsidTr="003D49FC">
        <w:tc>
          <w:tcPr>
            <w:tcW w:w="10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SURS</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R.22.01</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Ekosistemski računi</w:t>
            </w:r>
            <w:r>
              <w:rPr>
                <w:rFonts w:eastAsia="Times New Roman"/>
                <w:sz w:val="16"/>
                <w:szCs w:val="16"/>
              </w:rPr>
              <w:br/>
              <w:t>EA</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Vzpostavitev ustrezne metodologije za razvoj ekosistemskih računov.</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 xml:space="preserve">Podatki o rabi in </w:t>
            </w:r>
            <w:proofErr w:type="spellStart"/>
            <w:r>
              <w:rPr>
                <w:rFonts w:eastAsia="Times New Roman"/>
                <w:sz w:val="16"/>
                <w:szCs w:val="16"/>
              </w:rPr>
              <w:t>pokrovnosti</w:t>
            </w:r>
            <w:proofErr w:type="spellEnd"/>
            <w:r>
              <w:rPr>
                <w:rFonts w:eastAsia="Times New Roman"/>
                <w:sz w:val="16"/>
                <w:szCs w:val="16"/>
              </w:rPr>
              <w:t xml:space="preserve"> tal, obsegu gozdnih, kmetijskih in urbanih površin, filtraciji emisij onesnaževal, oskrbi s kmetijskimi pridelki in oskrbi z lesom, ponorih in zalogah CO2 in opraševanju z divjimi opraševalci.</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Administrativni viri: GURS, ARSO, MOPE, GIS, KIS, DRSV, MKGP, ZRSVN in NIB, do 30. 9. 2025.</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Obvezno</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2012, 2018, 2021</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2026</w:t>
            </w:r>
          </w:p>
        </w:tc>
      </w:tr>
      <w:tr w:rsidR="00A97B03" w:rsidTr="003D49FC">
        <w:tc>
          <w:tcPr>
            <w:tcW w:w="10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SURS</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R.22.02</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Računi emisij v zrak – četrtletni podatki o emisijah toplogrednih plinov</w:t>
            </w:r>
            <w:r>
              <w:rPr>
                <w:rFonts w:eastAsia="Times New Roman"/>
                <w:sz w:val="16"/>
                <w:szCs w:val="16"/>
              </w:rPr>
              <w:br/>
              <w:t>NAMEA/ČL</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 xml:space="preserve">Vzpostavitev ustrezne metodologije računov emisij v zrak (za toplogredne pline) za </w:t>
            </w:r>
            <w:proofErr w:type="spellStart"/>
            <w:r>
              <w:rPr>
                <w:rFonts w:eastAsia="Times New Roman"/>
                <w:sz w:val="16"/>
                <w:szCs w:val="16"/>
              </w:rPr>
              <w:t>diseminacijo</w:t>
            </w:r>
            <w:proofErr w:type="spellEnd"/>
            <w:r>
              <w:rPr>
                <w:rFonts w:eastAsia="Times New Roman"/>
                <w:sz w:val="16"/>
                <w:szCs w:val="16"/>
              </w:rPr>
              <w:t xml:space="preserve"> na četrtletni ravni, preračun in priprava prvih eksperimentalnih rezultatov.</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Podatki o emisijah toplogrednih plinov preračunanih na nivo četrtletja.</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Administrativni viri: ARSO, podatkovne baze OECD, FAO in UNECE; do 30. 4. 2025. Statistični viri.</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Obvezno</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1. četrtletje 2008 – 4. četrtletje 2024.</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2025</w:t>
            </w:r>
          </w:p>
        </w:tc>
      </w:tr>
      <w:tr w:rsidR="00A97B03" w:rsidTr="003D49FC">
        <w:tc>
          <w:tcPr>
            <w:tcW w:w="10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SURS</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R.22.03</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Potencialno okolju škodljive subvencije</w:t>
            </w:r>
            <w:r>
              <w:rPr>
                <w:rFonts w:eastAsia="Times New Roman"/>
                <w:sz w:val="16"/>
                <w:szCs w:val="16"/>
              </w:rPr>
              <w:br/>
              <w:t>PEDS</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Vzpostavitev ustrezne metodologije za razvoj potencialno okolju škodljivih subvencij.</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Podatki o potencialno okolju škodljivih subvencijah.</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 xml:space="preserve">Administrativni viri: </w:t>
            </w:r>
            <w:proofErr w:type="spellStart"/>
            <w:r>
              <w:rPr>
                <w:rFonts w:eastAsia="Times New Roman"/>
                <w:sz w:val="16"/>
                <w:szCs w:val="16"/>
              </w:rPr>
              <w:t>Eko</w:t>
            </w:r>
            <w:proofErr w:type="spellEnd"/>
            <w:r>
              <w:rPr>
                <w:rFonts w:eastAsia="Times New Roman"/>
                <w:sz w:val="16"/>
                <w:szCs w:val="16"/>
              </w:rPr>
              <w:t xml:space="preserve"> sklad, MF in druge zbirke ter viri, ki razpolagajo s podatki o potencialno okolju škodljivih subvencijah, do 30. 9. 2025. Statistični viri.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Obvezno</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proofErr w:type="spellStart"/>
            <w:r>
              <w:rPr>
                <w:rFonts w:eastAsia="Times New Roman"/>
                <w:sz w:val="16"/>
                <w:szCs w:val="16"/>
              </w:rPr>
              <w:t>Predprejšnje</w:t>
            </w:r>
            <w:proofErr w:type="spellEnd"/>
            <w:r>
              <w:rPr>
                <w:rFonts w:eastAsia="Times New Roman"/>
                <w:sz w:val="16"/>
                <w:szCs w:val="16"/>
              </w:rPr>
              <w:t xml:space="preserve"> leto</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2026</w:t>
            </w:r>
          </w:p>
        </w:tc>
      </w:tr>
      <w:tr w:rsidR="00A97B03" w:rsidTr="003D49FC">
        <w:tc>
          <w:tcPr>
            <w:tcW w:w="10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spacing w:before="100" w:beforeAutospacing="1" w:after="100" w:afterAutospacing="1"/>
              <w:rPr>
                <w:sz w:val="16"/>
                <w:szCs w:val="16"/>
              </w:rPr>
            </w:pPr>
            <w:r>
              <w:rPr>
                <w:b/>
                <w:bCs/>
                <w:sz w:val="16"/>
                <w:szCs w:val="16"/>
              </w:rPr>
              <w:t> </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b/>
                <w:bCs/>
                <w:sz w:val="16"/>
                <w:szCs w:val="16"/>
              </w:rPr>
              <w:t> </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 </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 </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 </w:t>
            </w:r>
          </w:p>
        </w:tc>
      </w:tr>
      <w:tr w:rsidR="00A97B03" w:rsidTr="003D49FC">
        <w:tc>
          <w:tcPr>
            <w:tcW w:w="10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pStyle w:val="modul"/>
            </w:pPr>
            <w:r>
              <w:t>R23</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proofErr w:type="spellStart"/>
            <w:r>
              <w:rPr>
                <w:rFonts w:eastAsia="Times New Roman"/>
                <w:b/>
                <w:bCs/>
                <w:sz w:val="16"/>
                <w:szCs w:val="16"/>
              </w:rPr>
              <w:t>Medpodročni</w:t>
            </w:r>
            <w:proofErr w:type="spellEnd"/>
            <w:r>
              <w:rPr>
                <w:rFonts w:eastAsia="Times New Roman"/>
                <w:b/>
                <w:bCs/>
                <w:sz w:val="16"/>
                <w:szCs w:val="16"/>
              </w:rPr>
              <w:t xml:space="preserve"> sistemi kazalnikov</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 </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 </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 </w:t>
            </w:r>
          </w:p>
        </w:tc>
      </w:tr>
      <w:tr w:rsidR="00A97B03" w:rsidTr="003D49FC">
        <w:tc>
          <w:tcPr>
            <w:tcW w:w="10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SURS</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R.23.01</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Kazalniki podnebnih sprememb</w:t>
            </w:r>
            <w:r>
              <w:rPr>
                <w:rFonts w:eastAsia="Times New Roman"/>
                <w:sz w:val="16"/>
                <w:szCs w:val="16"/>
              </w:rPr>
              <w:br/>
              <w:t>K-PS</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Vzpostavitev metodologije in nabora kazalnikov podnebnih sprememb.</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Podatki potrebni za izračun kazalnikov podnebnih sprememb, razdeljeni v 5 sklopov: gonila, emisije, vplivi, blažitev in prilagoditev podnebnim spremembam.</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 xml:space="preserve">Administrativni viri: ARSO, MOPE, DRSV, MF, BS, NIJZ do 1. 9. 2025. Statistični viri.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Obvezno</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proofErr w:type="spellStart"/>
            <w:r>
              <w:rPr>
                <w:rFonts w:eastAsia="Times New Roman"/>
                <w:sz w:val="16"/>
                <w:szCs w:val="16"/>
              </w:rPr>
              <w:t>Predprejšnje</w:t>
            </w:r>
            <w:proofErr w:type="spellEnd"/>
            <w:r>
              <w:rPr>
                <w:rFonts w:eastAsia="Times New Roman"/>
                <w:sz w:val="16"/>
                <w:szCs w:val="16"/>
              </w:rPr>
              <w:t xml:space="preserve"> in prejšnje leto.</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2025</w:t>
            </w:r>
          </w:p>
        </w:tc>
      </w:tr>
      <w:tr w:rsidR="00A97B03" w:rsidTr="003D49FC">
        <w:tc>
          <w:tcPr>
            <w:tcW w:w="10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spacing w:before="100" w:beforeAutospacing="1" w:after="100" w:afterAutospacing="1"/>
              <w:rPr>
                <w:sz w:val="16"/>
                <w:szCs w:val="16"/>
              </w:rPr>
            </w:pPr>
            <w:r>
              <w:rPr>
                <w:b/>
                <w:bCs/>
                <w:sz w:val="16"/>
                <w:szCs w:val="16"/>
              </w:rPr>
              <w:t> </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b/>
                <w:bCs/>
                <w:sz w:val="16"/>
                <w:szCs w:val="16"/>
              </w:rPr>
              <w:t> </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 </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 </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 </w:t>
            </w:r>
          </w:p>
        </w:tc>
      </w:tr>
      <w:tr w:rsidR="00A97B03" w:rsidTr="003D49FC">
        <w:tc>
          <w:tcPr>
            <w:tcW w:w="10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pStyle w:val="modul"/>
            </w:pPr>
            <w:r>
              <w:t>R25</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b/>
                <w:bCs/>
                <w:sz w:val="16"/>
                <w:szCs w:val="16"/>
              </w:rPr>
              <w:t>Drugo</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 </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 </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 </w:t>
            </w:r>
          </w:p>
        </w:tc>
      </w:tr>
      <w:tr w:rsidR="00A97B03" w:rsidTr="003D49FC">
        <w:tc>
          <w:tcPr>
            <w:tcW w:w="10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SURS</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R.25.01</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Mobilne statistike</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Vključitev podatkov operaterjev, ki zagotavljajo javna komunikacijska omrežja in/ali izvajajo javne komunikacijske storitve, kot novega vira v uradni statistični proces z vidika natančnejše umestitve obstoječih statističnih podatkov v prostor in čas ter z vidika dodajanja novih statističnih vsebin.</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Podatki o opravljenem prometu naročnikov in predplačnikov in uporabnikov, ki gostujejo v omrežjih operaterjev, ki zagotavljajo javna komunikacijska omrežja in/ali izvajajo javne komunikacijske storitve na območju Republike Slovenije ter razporeditvi njihovih mobilnih naprav v prostoru in času, s katerimi razpolagajo operaterji, ki zagotavljajo javna komunikacijska omrežja in/ali izvajajo javne komunikacijske storitve.</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 xml:space="preserve">Operaterji, ki zagotavljajo javna komunikacijska omrežja in/ali izvajajo javne komunikacijske storitve (A1 Slovenija, d. d., Telekom Slovenije, d. d., Hot </w:t>
            </w:r>
            <w:proofErr w:type="spellStart"/>
            <w:r>
              <w:rPr>
                <w:rFonts w:eastAsia="Times New Roman"/>
                <w:sz w:val="16"/>
                <w:szCs w:val="16"/>
              </w:rPr>
              <w:t>Mobil</w:t>
            </w:r>
            <w:proofErr w:type="spellEnd"/>
            <w:r>
              <w:rPr>
                <w:rFonts w:eastAsia="Times New Roman"/>
                <w:sz w:val="16"/>
                <w:szCs w:val="16"/>
              </w:rPr>
              <w:t xml:space="preserve">, telekomunikacije in storitve d. o. o., </w:t>
            </w:r>
            <w:proofErr w:type="spellStart"/>
            <w:r>
              <w:rPr>
                <w:rFonts w:eastAsia="Times New Roman"/>
                <w:sz w:val="16"/>
                <w:szCs w:val="16"/>
              </w:rPr>
              <w:t>Mega</w:t>
            </w:r>
            <w:proofErr w:type="spellEnd"/>
            <w:r>
              <w:rPr>
                <w:rFonts w:eastAsia="Times New Roman"/>
                <w:sz w:val="16"/>
                <w:szCs w:val="16"/>
              </w:rPr>
              <w:t xml:space="preserve"> M, informacijske tehnologije d. o. o., </w:t>
            </w:r>
            <w:proofErr w:type="spellStart"/>
            <w:r>
              <w:rPr>
                <w:rFonts w:eastAsia="Times New Roman"/>
                <w:sz w:val="16"/>
                <w:szCs w:val="16"/>
              </w:rPr>
              <w:t>SoftNET</w:t>
            </w:r>
            <w:proofErr w:type="spellEnd"/>
            <w:r>
              <w:rPr>
                <w:rFonts w:eastAsia="Times New Roman"/>
                <w:sz w:val="16"/>
                <w:szCs w:val="16"/>
              </w:rPr>
              <w:t xml:space="preserve"> informacijske infrastrukture </w:t>
            </w:r>
            <w:proofErr w:type="spellStart"/>
            <w:r>
              <w:rPr>
                <w:rFonts w:eastAsia="Times New Roman"/>
                <w:sz w:val="16"/>
                <w:szCs w:val="16"/>
              </w:rPr>
              <w:t>d.o.o</w:t>
            </w:r>
            <w:proofErr w:type="spellEnd"/>
            <w:r>
              <w:rPr>
                <w:rFonts w:eastAsia="Times New Roman"/>
                <w:sz w:val="16"/>
                <w:szCs w:val="16"/>
              </w:rPr>
              <w:t xml:space="preserve">., T-2 d. o. o., Telemach Slovenija </w:t>
            </w:r>
            <w:proofErr w:type="spellStart"/>
            <w:r>
              <w:rPr>
                <w:rFonts w:eastAsia="Times New Roman"/>
                <w:sz w:val="16"/>
                <w:szCs w:val="16"/>
              </w:rPr>
              <w:t>d.o.o</w:t>
            </w:r>
            <w:proofErr w:type="spellEnd"/>
            <w:r>
              <w:rPr>
                <w:rFonts w:eastAsia="Times New Roman"/>
                <w:sz w:val="16"/>
                <w:szCs w:val="16"/>
              </w:rPr>
              <w:t>.).</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Prostovoljno</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2019–2025</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2027</w:t>
            </w:r>
          </w:p>
        </w:tc>
      </w:tr>
      <w:tr w:rsidR="00A97B03" w:rsidTr="003D49FC">
        <w:tc>
          <w:tcPr>
            <w:tcW w:w="10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SURS</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R.25.02</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Prostorska mobilnost in dostopnost</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Računanje dolžine in trajanje poti različnih skupin prebivalcev med lokacijami njihovega bivanja in različnimi drugimi lokacijami njihovega možnega dnevnega nahajanja.</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 xml:space="preserve">Podatki o lokaciji/naslovu prebivališča oseb opredeljenih po spolni, starostni in izobrazbeni strukturi, vrstah osebnih dohodkov. Podatki o delovnih migracijah. </w:t>
            </w:r>
            <w:proofErr w:type="spellStart"/>
            <w:r>
              <w:rPr>
                <w:rFonts w:eastAsia="Times New Roman"/>
                <w:sz w:val="16"/>
                <w:szCs w:val="16"/>
              </w:rPr>
              <w:t>Geoporstorski</w:t>
            </w:r>
            <w:proofErr w:type="spellEnd"/>
            <w:r>
              <w:rPr>
                <w:rFonts w:eastAsia="Times New Roman"/>
                <w:sz w:val="16"/>
                <w:szCs w:val="16"/>
              </w:rPr>
              <w:t xml:space="preserve"> podatki cestnega omrežja in cestne infrastrukture, </w:t>
            </w:r>
            <w:proofErr w:type="spellStart"/>
            <w:r>
              <w:rPr>
                <w:rFonts w:eastAsia="Times New Roman"/>
                <w:sz w:val="16"/>
                <w:szCs w:val="16"/>
              </w:rPr>
              <w:t>geoprostorski</w:t>
            </w:r>
            <w:proofErr w:type="spellEnd"/>
            <w:r>
              <w:rPr>
                <w:rFonts w:eastAsia="Times New Roman"/>
                <w:sz w:val="16"/>
                <w:szCs w:val="16"/>
              </w:rPr>
              <w:t xml:space="preserve"> podatki </w:t>
            </w:r>
            <w:proofErr w:type="spellStart"/>
            <w:r>
              <w:rPr>
                <w:rFonts w:eastAsia="Times New Roman"/>
                <w:sz w:val="16"/>
                <w:szCs w:val="16"/>
              </w:rPr>
              <w:t>pokrovnosti</w:t>
            </w:r>
            <w:proofErr w:type="spellEnd"/>
            <w:r>
              <w:rPr>
                <w:rFonts w:eastAsia="Times New Roman"/>
                <w:sz w:val="16"/>
                <w:szCs w:val="16"/>
              </w:rPr>
              <w:t xml:space="preserve">/rabe tal. Podatki o lokaciji bivanja, šolanja, delovnega mesta (naslov, vključno z EID-ji, MŠ zavoda, ID zavoda, MS_ENO), podatki o prebivalcih (EMŠO). </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 xml:space="preserve">Administrativni viri in podatki daljinskega zaznavanja: GURS (GJI, Register prostorskih enot, Register naslovov, Kataster nepremičnin, MOP (Namenska raba prostora, Evidenca dejanske rabe poseljenih zemljišč), ZGS (Pregledovalnik podatkov o gozdovih), MNZ (CRP), Evidence občin (Evidenca javnih zelenih površin, Evidenca javnih površin ob šolah in vrtcih, Evidenca občinskih gozdov), DRSI (Cestno omrežje, cestna infrastruktura, pretok prometa), DARS (Cestno omrežje, cestna infrastruktura, pretok prometa), </w:t>
            </w:r>
            <w:proofErr w:type="spellStart"/>
            <w:r>
              <w:rPr>
                <w:rFonts w:eastAsia="Times New Roman"/>
                <w:sz w:val="16"/>
                <w:szCs w:val="16"/>
              </w:rPr>
              <w:t>OpenStreetMap</w:t>
            </w:r>
            <w:proofErr w:type="spellEnd"/>
            <w:r>
              <w:rPr>
                <w:rFonts w:eastAsia="Times New Roman"/>
                <w:sz w:val="16"/>
                <w:szCs w:val="16"/>
              </w:rPr>
              <w:t xml:space="preserve"> (Cestno omrežje in cestna infrastruktura), </w:t>
            </w:r>
            <w:proofErr w:type="spellStart"/>
            <w:r>
              <w:rPr>
                <w:rFonts w:eastAsia="Times New Roman"/>
                <w:sz w:val="16"/>
                <w:szCs w:val="16"/>
              </w:rPr>
              <w:t>ArcGIS</w:t>
            </w:r>
            <w:proofErr w:type="spellEnd"/>
            <w:r>
              <w:rPr>
                <w:rFonts w:eastAsia="Times New Roman"/>
                <w:sz w:val="16"/>
                <w:szCs w:val="16"/>
              </w:rPr>
              <w:t xml:space="preserve"> </w:t>
            </w:r>
            <w:proofErr w:type="spellStart"/>
            <w:r>
              <w:rPr>
                <w:rFonts w:eastAsia="Times New Roman"/>
                <w:sz w:val="16"/>
                <w:szCs w:val="16"/>
              </w:rPr>
              <w:t>StreetMap</w:t>
            </w:r>
            <w:proofErr w:type="spellEnd"/>
            <w:r>
              <w:rPr>
                <w:rFonts w:eastAsia="Times New Roman"/>
                <w:sz w:val="16"/>
                <w:szCs w:val="16"/>
              </w:rPr>
              <w:t xml:space="preserve"> (Cestno omrežje in cestna infrastruktura). Rok: po dogovoru. Statistični viri: TR-MOB, ŠOL-DOTERC, ŠOL-ŠTUD, DAK, SRDAP, DEM-PREB/ČL, RAVEN-DOH, SEL-SOC.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Obvezno</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proofErr w:type="spellStart"/>
            <w:r>
              <w:rPr>
                <w:rFonts w:eastAsia="Times New Roman"/>
                <w:sz w:val="16"/>
                <w:szCs w:val="16"/>
              </w:rPr>
              <w:t>n.s</w:t>
            </w:r>
            <w:proofErr w:type="spellEnd"/>
            <w:r>
              <w:rPr>
                <w:rFonts w:eastAsia="Times New Roman"/>
                <w:sz w:val="16"/>
                <w:szCs w:val="16"/>
              </w:rPr>
              <w:t>.</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2025</w:t>
            </w:r>
          </w:p>
        </w:tc>
      </w:tr>
      <w:tr w:rsidR="00A97B03" w:rsidTr="003D49FC">
        <w:tc>
          <w:tcPr>
            <w:tcW w:w="10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SURS</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R.25.03</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Persone pri raziskovanjih oseb in gospodinjstev</w:t>
            </w:r>
            <w:r>
              <w:rPr>
                <w:rFonts w:eastAsia="Times New Roman"/>
                <w:sz w:val="16"/>
                <w:szCs w:val="16"/>
              </w:rPr>
              <w:br/>
              <w:t>PERSONE-OSEBE</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 xml:space="preserve">Izboljšanje kakovosti vzorčnih okvirjev in stroškovno učinkovitejše zbiranje podatkov za raziskovanja oseb in gospodinjstev, izboljšanje kakovosti rezultatov anketnih raziskovanj oseb in gospodinjstev, dvig stopnje sodelovanja (odgovora) oseb in gospodinjstev, zmanjšanje obremenjevanja oseb in gospodinjstev zaradi bolj usmerjenega komuniciranja. </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Administrativni/statistični viri: EMŠO, spol, starost, zakonski stan, status aktivnosti, izobrazba, dohodek, tip naselja/stopnja urbanizacije, vrsta gospodinjstva in tip nastanitve, regija prebivališča (NUTS3), zaposlitveni status, podatki o gospodinjstvu (število članov, razmerje do referenčne osebe v gospodinjstvu), sodelovanje v raziskovanju, šifra anketarja, telefon (podatek ali imamo tel. št. ali ne).</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Statistični viri: DEM-PREB/ČL, DAK, SEL-SOC, RAVEN-DOH, ADR-OSEBE, ANP, EU-SILC, IKT-GOSP, TU-ČAP, APG, MP, UIO, CDH, APEGG, TR-MOB. MNZ (CRP) po potrebi.</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proofErr w:type="spellStart"/>
            <w:r>
              <w:rPr>
                <w:rFonts w:eastAsia="Times New Roman"/>
                <w:sz w:val="16"/>
                <w:szCs w:val="16"/>
              </w:rPr>
              <w:t>n.s</w:t>
            </w:r>
            <w:proofErr w:type="spellEnd"/>
            <w:r>
              <w:rPr>
                <w:rFonts w:eastAsia="Times New Roman"/>
                <w:sz w:val="16"/>
                <w:szCs w:val="16"/>
              </w:rPr>
              <w:t>.</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Prejšnje leto</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2025</w:t>
            </w:r>
          </w:p>
        </w:tc>
      </w:tr>
      <w:tr w:rsidR="00A97B03" w:rsidTr="003D49FC">
        <w:tc>
          <w:tcPr>
            <w:tcW w:w="1011" w:type="dxa"/>
            <w:tcBorders>
              <w:top w:val="single" w:sz="6"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SURS</w:t>
            </w:r>
          </w:p>
        </w:tc>
        <w:tc>
          <w:tcPr>
            <w:tcW w:w="1511" w:type="dxa"/>
            <w:tcBorders>
              <w:top w:val="single" w:sz="6"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R.25.04</w:t>
            </w:r>
          </w:p>
        </w:tc>
        <w:tc>
          <w:tcPr>
            <w:tcW w:w="1990" w:type="dxa"/>
            <w:tcBorders>
              <w:top w:val="single" w:sz="6"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proofErr w:type="spellStart"/>
            <w:r>
              <w:rPr>
                <w:rFonts w:eastAsia="Times New Roman"/>
                <w:sz w:val="16"/>
                <w:szCs w:val="16"/>
              </w:rPr>
              <w:t>Geoprostorska</w:t>
            </w:r>
            <w:proofErr w:type="spellEnd"/>
            <w:r>
              <w:rPr>
                <w:rFonts w:eastAsia="Times New Roman"/>
                <w:sz w:val="16"/>
                <w:szCs w:val="16"/>
              </w:rPr>
              <w:t xml:space="preserve"> integracija števcev porabe električne energije in vode.</w:t>
            </w:r>
          </w:p>
        </w:tc>
        <w:tc>
          <w:tcPr>
            <w:tcW w:w="2307" w:type="dxa"/>
            <w:tcBorders>
              <w:top w:val="single" w:sz="6"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 xml:space="preserve">Povezovanje </w:t>
            </w:r>
            <w:proofErr w:type="spellStart"/>
            <w:r>
              <w:rPr>
                <w:rFonts w:eastAsia="Times New Roman"/>
                <w:sz w:val="16"/>
                <w:szCs w:val="16"/>
              </w:rPr>
              <w:t>georeferenciranih</w:t>
            </w:r>
            <w:proofErr w:type="spellEnd"/>
            <w:r>
              <w:rPr>
                <w:rFonts w:eastAsia="Times New Roman"/>
                <w:sz w:val="16"/>
                <w:szCs w:val="16"/>
              </w:rPr>
              <w:t xml:space="preserve"> števcev porabe električne energije in vode z </w:t>
            </w:r>
            <w:proofErr w:type="spellStart"/>
            <w:r>
              <w:rPr>
                <w:rFonts w:eastAsia="Times New Roman"/>
                <w:sz w:val="16"/>
                <w:szCs w:val="16"/>
              </w:rPr>
              <w:t>geoprostorskimi</w:t>
            </w:r>
            <w:proofErr w:type="spellEnd"/>
            <w:r>
              <w:rPr>
                <w:rFonts w:eastAsia="Times New Roman"/>
                <w:sz w:val="16"/>
                <w:szCs w:val="16"/>
              </w:rPr>
              <w:t xml:space="preserve"> podatki ter njihova integracija z nepremičninskimi evidencami in s statističnimi podatki.</w:t>
            </w:r>
          </w:p>
        </w:tc>
        <w:tc>
          <w:tcPr>
            <w:tcW w:w="2307" w:type="dxa"/>
            <w:tcBorders>
              <w:top w:val="single" w:sz="6"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 xml:space="preserve">Podatki o lokaciji (koordinata) ali naslovu števcev porabe električne energije in vode. Podatki o porabi električne energije in vode poslovnih subjektov ter fizičnih oseb. </w:t>
            </w:r>
            <w:proofErr w:type="spellStart"/>
            <w:r>
              <w:rPr>
                <w:rFonts w:eastAsia="Times New Roman"/>
                <w:sz w:val="16"/>
                <w:szCs w:val="16"/>
              </w:rPr>
              <w:t>Geoprostorski</w:t>
            </w:r>
            <w:proofErr w:type="spellEnd"/>
            <w:r>
              <w:rPr>
                <w:rFonts w:eastAsia="Times New Roman"/>
                <w:sz w:val="16"/>
                <w:szCs w:val="16"/>
              </w:rPr>
              <w:t xml:space="preserve"> podatki o parcelah, stavbah, stanovanjih, gospodarski in javni infrastrukturi. Podatki o plačniku porabe električne energije ali vode (naslov, vključno z EID-ji, DŠ), podatki o prebivalcih (DŠ, naslov, vključno z EID-ji), o nosilcu kmetijskega gospodarstva (naslov KMG, vključno z EID-ji, naslov nosilca kmetijskega gospodarstva, vključno z EID-ji). Podatki o nastanitvenih obratih (NO), njihovih značilnostih in njihovih nastanitvenih zmogljivostih ter izvajalcih nastanitvene dejavnosti (matična številka izvajalca, davčna številka izvajalca, naziv izvajalca, sedež in naslov izvajalca, kontaktni podatki izvajalca, ID nastanitvenega obrata, naziv NO, datum vpisa v register, naslov NO, status poročanja, vrsta in kategorija obrata); podatki o statusu NO; podatki o zmogljivosti NO (število nedeljivih enot, število prodanih nedeljivih nastanitvenih enot, število ležišč skupaj, število stalnih in pomožnih ležišč, ali obrat omogoča dostop in nastanitev za gibalno ovirane osebe ter koliko dni v mesecu je bil nastanitveni obrat odprt za nastanitev turistov); kontaktni podatki NO, dodatna ponudba in druga ponudba nastanitvenega obrata.</w:t>
            </w:r>
          </w:p>
        </w:tc>
        <w:tc>
          <w:tcPr>
            <w:tcW w:w="1990" w:type="dxa"/>
            <w:tcBorders>
              <w:top w:val="single" w:sz="6"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 xml:space="preserve">Upravljavci distribucije električne energije in vode. Administrativni viri in podatki daljinskega zaznavanja: MNZ (CRP), GURS (GJI, RPE, Register naslovov, Kataster nepremičnin, AJPES – RNO (polni zajem), stanje na dan (omogočen dnevni prevzem), ciklično </w:t>
            </w:r>
            <w:proofErr w:type="spellStart"/>
            <w:r>
              <w:rPr>
                <w:rFonts w:eastAsia="Times New Roman"/>
                <w:sz w:val="16"/>
                <w:szCs w:val="16"/>
              </w:rPr>
              <w:t>aerofotografiranje</w:t>
            </w:r>
            <w:proofErr w:type="spellEnd"/>
            <w:r>
              <w:rPr>
                <w:rFonts w:eastAsia="Times New Roman"/>
                <w:sz w:val="16"/>
                <w:szCs w:val="16"/>
              </w:rPr>
              <w:t xml:space="preserve"> Slovenije ter </w:t>
            </w:r>
            <w:proofErr w:type="spellStart"/>
            <w:r>
              <w:rPr>
                <w:rFonts w:eastAsia="Times New Roman"/>
                <w:sz w:val="16"/>
                <w:szCs w:val="16"/>
              </w:rPr>
              <w:t>ortofoto</w:t>
            </w:r>
            <w:proofErr w:type="spellEnd"/>
            <w:r>
              <w:rPr>
                <w:rFonts w:eastAsia="Times New Roman"/>
                <w:sz w:val="16"/>
                <w:szCs w:val="16"/>
              </w:rPr>
              <w:t xml:space="preserve">), MKGP (Evidenca dejanske rabe kmetijskih in gozdnih zemljišč, RKG), PRS, </w:t>
            </w:r>
            <w:proofErr w:type="spellStart"/>
            <w:r>
              <w:rPr>
                <w:rFonts w:eastAsia="Times New Roman"/>
                <w:sz w:val="16"/>
                <w:szCs w:val="16"/>
              </w:rPr>
              <w:t>OpenStreetMap</w:t>
            </w:r>
            <w:proofErr w:type="spellEnd"/>
            <w:r>
              <w:rPr>
                <w:rFonts w:eastAsia="Times New Roman"/>
                <w:sz w:val="16"/>
                <w:szCs w:val="16"/>
              </w:rPr>
              <w:t xml:space="preserve"> (objekti). Rok: po dogovoru. Statistični viri: SPRS, DEM-PREB/ČL, TU/M, Registrski popis. </w:t>
            </w:r>
          </w:p>
        </w:tc>
        <w:tc>
          <w:tcPr>
            <w:tcW w:w="1511" w:type="dxa"/>
            <w:tcBorders>
              <w:top w:val="single" w:sz="6"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Prostovoljno za upravljavce distribucije električne energije in vode, obvezno za administrativne vire.</w:t>
            </w:r>
          </w:p>
        </w:tc>
        <w:tc>
          <w:tcPr>
            <w:tcW w:w="1511" w:type="dxa"/>
            <w:tcBorders>
              <w:top w:val="single" w:sz="6"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proofErr w:type="spellStart"/>
            <w:r>
              <w:rPr>
                <w:rFonts w:eastAsia="Times New Roman"/>
                <w:sz w:val="16"/>
                <w:szCs w:val="16"/>
              </w:rPr>
              <w:t>n.s</w:t>
            </w:r>
            <w:proofErr w:type="spellEnd"/>
            <w:r>
              <w:rPr>
                <w:rFonts w:eastAsia="Times New Roman"/>
                <w:sz w:val="16"/>
                <w:szCs w:val="16"/>
              </w:rPr>
              <w:t>.</w:t>
            </w:r>
          </w:p>
        </w:tc>
        <w:tc>
          <w:tcPr>
            <w:tcW w:w="1511" w:type="dxa"/>
            <w:tcBorders>
              <w:top w:val="single" w:sz="6"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A97B03" w:rsidRDefault="003D49FC">
            <w:pPr>
              <w:rPr>
                <w:rFonts w:eastAsia="Times New Roman"/>
                <w:sz w:val="16"/>
                <w:szCs w:val="16"/>
              </w:rPr>
            </w:pPr>
            <w:r>
              <w:rPr>
                <w:rFonts w:eastAsia="Times New Roman"/>
                <w:sz w:val="16"/>
                <w:szCs w:val="16"/>
              </w:rPr>
              <w:t>2026</w:t>
            </w:r>
          </w:p>
        </w:tc>
      </w:tr>
    </w:tbl>
    <w:p w:rsidR="00A97B03" w:rsidRDefault="003D49FC" w:rsidP="003D49FC">
      <w:pPr>
        <w:spacing w:after="240"/>
        <w:rPr>
          <w:rFonts w:eastAsia="Times New Roman"/>
          <w:sz w:val="20"/>
          <w:szCs w:val="20"/>
        </w:rPr>
      </w:pPr>
      <w:r>
        <w:rPr>
          <w:rFonts w:eastAsia="Times New Roman"/>
          <w:sz w:val="20"/>
          <w:szCs w:val="20"/>
        </w:rPr>
        <w:t xml:space="preserve"> </w:t>
      </w:r>
    </w:p>
    <w:sectPr w:rsidR="00A97B03">
      <w:headerReference w:type="default" r:id="rId7"/>
      <w:footerReference w:type="default" r:id="rId8"/>
      <w:pgSz w:w="16840" w:h="11907" w:orient="landscape"/>
      <w:pgMar w:top="816" w:right="816" w:bottom="816" w:left="816" w:header="340" w:footer="340" w:gutter="0"/>
      <w:cols w:space="708"/>
      <w:rtlGutter/>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A97B03" w:rsidRDefault="003D49FC">
      <w:r>
        <w:separator/>
      </w:r>
    </w:p>
  </w:endnote>
  <w:endnote w:type="continuationSeparator" w:id="0">
    <w:p w:rsidR="00A97B03" w:rsidRDefault="003D49F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97B03" w:rsidRDefault="003D49FC">
    <w:pPr>
      <w:jc w:val="right"/>
      <w:rPr>
        <w:rFonts w:eastAsia="Times New Roman"/>
        <w:sz w:val="20"/>
        <w:szCs w:val="20"/>
      </w:rPr>
    </w:pPr>
    <w:r>
      <w:rPr>
        <w:rFonts w:eastAsia="Times New Roman"/>
        <w:sz w:val="20"/>
        <w:szCs w:val="20"/>
      </w:rPr>
      <w:fldChar w:fldCharType="begin"/>
    </w:r>
    <w:r>
      <w:rPr>
        <w:rFonts w:eastAsia="Times New Roman"/>
        <w:sz w:val="20"/>
        <w:szCs w:val="20"/>
      </w:rPr>
      <w:instrText xml:space="preserve"> PAGE </w:instrText>
    </w:r>
    <w:r>
      <w:rPr>
        <w:rFonts w:eastAsia="Times New Roman"/>
        <w:sz w:val="20"/>
        <w:szCs w:val="20"/>
      </w:rPr>
      <w:fldChar w:fldCharType="separate"/>
    </w:r>
    <w:r w:rsidR="004312AE">
      <w:rPr>
        <w:rFonts w:eastAsia="Times New Roman"/>
        <w:noProof/>
        <w:sz w:val="20"/>
        <w:szCs w:val="20"/>
      </w:rPr>
      <w:t>1</w:t>
    </w:r>
    <w:r>
      <w:rPr>
        <w:rFonts w:eastAsia="Times New Roman"/>
        <w:sz w:val="20"/>
        <w:szCs w:val="20"/>
      </w:rPr>
      <w:fldChar w:fldCharType="end"/>
    </w:r>
    <w:r>
      <w:rPr>
        <w:rFonts w:eastAsia="Times New Roman"/>
        <w:sz w:val="20"/>
        <w:szCs w:val="20"/>
      </w:rPr>
      <w:t xml:space="preserve"> </w: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97B03" w:rsidRDefault="003D49FC">
    <w:pPr>
      <w:jc w:val="right"/>
      <w:rPr>
        <w:rFonts w:eastAsia="Times New Roman"/>
        <w:sz w:val="20"/>
        <w:szCs w:val="20"/>
      </w:rPr>
    </w:pPr>
    <w:r>
      <w:rPr>
        <w:rFonts w:eastAsia="Times New Roman"/>
        <w:sz w:val="20"/>
        <w:szCs w:val="20"/>
      </w:rPr>
      <w:fldChar w:fldCharType="begin"/>
    </w:r>
    <w:r>
      <w:rPr>
        <w:rFonts w:eastAsia="Times New Roman"/>
        <w:sz w:val="20"/>
        <w:szCs w:val="20"/>
      </w:rPr>
      <w:instrText xml:space="preserve"> PAGE </w:instrText>
    </w:r>
    <w:r>
      <w:rPr>
        <w:rFonts w:eastAsia="Times New Roman"/>
        <w:sz w:val="20"/>
        <w:szCs w:val="20"/>
      </w:rPr>
      <w:fldChar w:fldCharType="separate"/>
    </w:r>
    <w:r w:rsidR="004312AE">
      <w:rPr>
        <w:rFonts w:eastAsia="Times New Roman"/>
        <w:noProof/>
        <w:sz w:val="20"/>
        <w:szCs w:val="20"/>
      </w:rPr>
      <w:t>2</w:t>
    </w:r>
    <w:r>
      <w:rPr>
        <w:rFonts w:eastAsia="Times New Roman"/>
        <w:sz w:val="20"/>
        <w:szCs w:val="20"/>
      </w:rPr>
      <w:fldChar w:fldCharType="end"/>
    </w:r>
    <w:r>
      <w:rPr>
        <w:rFonts w:eastAsia="Times New Roman"/>
        <w:sz w:val="20"/>
        <w:szCs w:val="20"/>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A97B03" w:rsidRDefault="003D49FC">
      <w:r>
        <w:separator/>
      </w:r>
    </w:p>
  </w:footnote>
  <w:footnote w:type="continuationSeparator" w:id="0">
    <w:p w:rsidR="00A97B03" w:rsidRDefault="003D49F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97B03" w:rsidRDefault="003D49FC">
    <w:pPr>
      <w:spacing w:after="240"/>
      <w:rPr>
        <w:rFonts w:eastAsia="Times New Roman"/>
        <w:sz w:val="15"/>
        <w:szCs w:val="15"/>
      </w:rPr>
    </w:pPr>
    <w:r>
      <w:rPr>
        <w:rFonts w:eastAsia="Times New Roman"/>
        <w:b/>
        <w:bCs/>
        <w:sz w:val="15"/>
        <w:szCs w:val="15"/>
      </w:rPr>
      <w:t>RAZVOJNA RAZISKOVANJA</w:t>
    </w:r>
  </w:p>
  <w:tbl>
    <w:tblPr>
      <w:tblW w:w="15661" w:type="dxa"/>
      <w:tblInd w:w="15"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Layout w:type="fixed"/>
      <w:tblCellMar>
        <w:left w:w="0" w:type="dxa"/>
        <w:right w:w="0" w:type="dxa"/>
      </w:tblCellMar>
      <w:tblLook w:val="00A0" w:firstRow="1" w:lastRow="0" w:firstColumn="1" w:lastColumn="0" w:noHBand="0" w:noVBand="0"/>
    </w:tblPr>
    <w:tblGrid>
      <w:gridCol w:w="1012"/>
      <w:gridCol w:w="1513"/>
      <w:gridCol w:w="1991"/>
      <w:gridCol w:w="2309"/>
      <w:gridCol w:w="2309"/>
      <w:gridCol w:w="1991"/>
      <w:gridCol w:w="1512"/>
      <w:gridCol w:w="1512"/>
      <w:gridCol w:w="1512"/>
    </w:tblGrid>
    <w:tr w:rsidR="00A97B03">
      <w:trPr>
        <w:cantSplit/>
      </w:trPr>
      <w:tc>
        <w:tcPr>
          <w:tcW w:w="720" w:type="dxa"/>
          <w:vMerge w:val="restart"/>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A97B03" w:rsidRDefault="003D49FC">
          <w:pPr>
            <w:jc w:val="center"/>
            <w:rPr>
              <w:rFonts w:eastAsia="Times New Roman"/>
              <w:sz w:val="16"/>
              <w:szCs w:val="16"/>
            </w:rPr>
          </w:pPr>
          <w:r>
            <w:rPr>
              <w:rFonts w:eastAsia="Times New Roman"/>
              <w:sz w:val="16"/>
              <w:szCs w:val="16"/>
            </w:rPr>
            <w:t>Izvajalec</w:t>
          </w:r>
        </w:p>
      </w:tc>
      <w:tc>
        <w:tcPr>
          <w:tcW w:w="1077" w:type="dxa"/>
          <w:vMerge w:val="restart"/>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A97B03" w:rsidRDefault="003D49FC">
          <w:pPr>
            <w:jc w:val="center"/>
            <w:rPr>
              <w:rFonts w:eastAsia="Times New Roman"/>
              <w:sz w:val="16"/>
              <w:szCs w:val="16"/>
            </w:rPr>
          </w:pPr>
          <w:proofErr w:type="spellStart"/>
          <w:r>
            <w:rPr>
              <w:rFonts w:eastAsia="Times New Roman"/>
              <w:sz w:val="16"/>
              <w:szCs w:val="16"/>
            </w:rPr>
            <w:t>Zap.št</w:t>
          </w:r>
          <w:proofErr w:type="spellEnd"/>
          <w:r>
            <w:rPr>
              <w:rFonts w:eastAsia="Times New Roman"/>
              <w:sz w:val="16"/>
              <w:szCs w:val="16"/>
            </w:rPr>
            <w:t>.</w:t>
          </w:r>
        </w:p>
      </w:tc>
      <w:tc>
        <w:tcPr>
          <w:tcW w:w="1418" w:type="dxa"/>
          <w:vMerge w:val="restart"/>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A97B03" w:rsidRDefault="003D49FC">
          <w:pPr>
            <w:jc w:val="center"/>
            <w:rPr>
              <w:rFonts w:eastAsia="Times New Roman"/>
              <w:sz w:val="16"/>
              <w:szCs w:val="16"/>
            </w:rPr>
          </w:pPr>
          <w:r>
            <w:rPr>
              <w:rFonts w:eastAsia="Times New Roman"/>
              <w:sz w:val="16"/>
              <w:szCs w:val="16"/>
            </w:rPr>
            <w:t>Naziv</w:t>
          </w:r>
        </w:p>
      </w:tc>
      <w:tc>
        <w:tcPr>
          <w:tcW w:w="1644" w:type="dxa"/>
          <w:vMerge w:val="restart"/>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A97B03" w:rsidRDefault="003D49FC">
          <w:pPr>
            <w:jc w:val="center"/>
            <w:rPr>
              <w:rFonts w:eastAsia="Times New Roman"/>
              <w:sz w:val="16"/>
              <w:szCs w:val="16"/>
            </w:rPr>
          </w:pPr>
          <w:r>
            <w:rPr>
              <w:rFonts w:eastAsia="Times New Roman"/>
              <w:sz w:val="16"/>
              <w:szCs w:val="16"/>
            </w:rPr>
            <w:t>Namen</w:t>
          </w:r>
        </w:p>
      </w:tc>
      <w:tc>
        <w:tcPr>
          <w:tcW w:w="5216" w:type="dxa"/>
          <w:gridSpan w:val="4"/>
          <w:tcBorders>
            <w:top w:val="single" w:sz="12"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97B03" w:rsidRDefault="003D49FC">
          <w:pPr>
            <w:jc w:val="center"/>
            <w:rPr>
              <w:rFonts w:eastAsia="Times New Roman"/>
              <w:sz w:val="16"/>
              <w:szCs w:val="16"/>
            </w:rPr>
          </w:pPr>
          <w:r>
            <w:rPr>
              <w:rFonts w:eastAsia="Times New Roman"/>
              <w:sz w:val="16"/>
              <w:szCs w:val="16"/>
            </w:rPr>
            <w:t>Podatkovni viri</w:t>
          </w:r>
        </w:p>
      </w:tc>
      <w:tc>
        <w:tcPr>
          <w:tcW w:w="1077" w:type="dxa"/>
          <w:vMerge w:val="restart"/>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A97B03" w:rsidRDefault="003D49FC">
          <w:pPr>
            <w:jc w:val="center"/>
            <w:rPr>
              <w:rFonts w:eastAsia="Times New Roman"/>
              <w:sz w:val="16"/>
              <w:szCs w:val="16"/>
            </w:rPr>
          </w:pPr>
          <w:r>
            <w:rPr>
              <w:rFonts w:eastAsia="Times New Roman"/>
              <w:sz w:val="16"/>
              <w:szCs w:val="16"/>
            </w:rPr>
            <w:t>Predviden zaključek</w:t>
          </w:r>
        </w:p>
      </w:tc>
    </w:tr>
    <w:tr w:rsidR="00A97B03">
      <w:trPr>
        <w:cantSplit/>
      </w:trPr>
      <w:tc>
        <w:tcPr>
          <w:tcW w:w="720" w:type="dxa"/>
          <w:vMerge/>
          <w:tcBorders>
            <w:top w:val="single" w:sz="12" w:space="0" w:color="000000"/>
            <w:left w:val="single" w:sz="6" w:space="0" w:color="000000"/>
            <w:bottom w:val="single" w:sz="12" w:space="0" w:color="000000"/>
            <w:right w:val="single" w:sz="6" w:space="0" w:color="000000"/>
          </w:tcBorders>
          <w:vAlign w:val="center"/>
          <w:hideMark/>
        </w:tcPr>
        <w:p w:rsidR="00A97B03" w:rsidRDefault="00A97B03">
          <w:pPr>
            <w:rPr>
              <w:rFonts w:eastAsia="Times New Roman"/>
              <w:sz w:val="16"/>
              <w:szCs w:val="16"/>
            </w:rPr>
          </w:pPr>
        </w:p>
      </w:tc>
      <w:tc>
        <w:tcPr>
          <w:tcW w:w="1077" w:type="dxa"/>
          <w:vMerge/>
          <w:tcBorders>
            <w:top w:val="single" w:sz="12" w:space="0" w:color="000000"/>
            <w:left w:val="single" w:sz="6" w:space="0" w:color="000000"/>
            <w:bottom w:val="single" w:sz="12" w:space="0" w:color="000000"/>
            <w:right w:val="single" w:sz="6" w:space="0" w:color="000000"/>
          </w:tcBorders>
          <w:vAlign w:val="center"/>
          <w:hideMark/>
        </w:tcPr>
        <w:p w:rsidR="00A97B03" w:rsidRDefault="00A97B03">
          <w:pPr>
            <w:rPr>
              <w:rFonts w:eastAsia="Times New Roman"/>
              <w:sz w:val="16"/>
              <w:szCs w:val="16"/>
            </w:rPr>
          </w:pPr>
        </w:p>
      </w:tc>
      <w:tc>
        <w:tcPr>
          <w:tcW w:w="1418" w:type="dxa"/>
          <w:vMerge/>
          <w:tcBorders>
            <w:top w:val="single" w:sz="12" w:space="0" w:color="000000"/>
            <w:left w:val="single" w:sz="6" w:space="0" w:color="000000"/>
            <w:bottom w:val="single" w:sz="12" w:space="0" w:color="000000"/>
            <w:right w:val="single" w:sz="6" w:space="0" w:color="000000"/>
          </w:tcBorders>
          <w:vAlign w:val="center"/>
          <w:hideMark/>
        </w:tcPr>
        <w:p w:rsidR="00A97B03" w:rsidRDefault="00A97B03">
          <w:pPr>
            <w:rPr>
              <w:rFonts w:eastAsia="Times New Roman"/>
              <w:sz w:val="16"/>
              <w:szCs w:val="16"/>
            </w:rPr>
          </w:pPr>
        </w:p>
      </w:tc>
      <w:tc>
        <w:tcPr>
          <w:tcW w:w="1644" w:type="dxa"/>
          <w:vMerge/>
          <w:tcBorders>
            <w:top w:val="single" w:sz="12" w:space="0" w:color="000000"/>
            <w:left w:val="single" w:sz="6" w:space="0" w:color="000000"/>
            <w:bottom w:val="single" w:sz="12" w:space="0" w:color="000000"/>
            <w:right w:val="single" w:sz="6" w:space="0" w:color="000000"/>
          </w:tcBorders>
          <w:vAlign w:val="center"/>
          <w:hideMark/>
        </w:tcPr>
        <w:p w:rsidR="00A97B03" w:rsidRDefault="00A97B03">
          <w:pPr>
            <w:rPr>
              <w:rFonts w:eastAsia="Times New Roman"/>
              <w:sz w:val="16"/>
              <w:szCs w:val="16"/>
            </w:rPr>
          </w:pPr>
        </w:p>
      </w:tc>
      <w:tc>
        <w:tcPr>
          <w:tcW w:w="1644" w:type="dxa"/>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A97B03" w:rsidRDefault="003D49FC">
          <w:pPr>
            <w:jc w:val="center"/>
            <w:rPr>
              <w:rFonts w:eastAsia="Times New Roman"/>
              <w:sz w:val="16"/>
              <w:szCs w:val="16"/>
            </w:rPr>
          </w:pPr>
          <w:r>
            <w:rPr>
              <w:rFonts w:eastAsia="Times New Roman"/>
              <w:sz w:val="16"/>
              <w:szCs w:val="16"/>
            </w:rPr>
            <w:t>Vsebina</w:t>
          </w:r>
        </w:p>
      </w:tc>
      <w:tc>
        <w:tcPr>
          <w:tcW w:w="1418" w:type="dxa"/>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A97B03" w:rsidRDefault="003D49FC">
          <w:pPr>
            <w:jc w:val="center"/>
            <w:rPr>
              <w:rFonts w:eastAsia="Times New Roman"/>
              <w:sz w:val="16"/>
              <w:szCs w:val="16"/>
            </w:rPr>
          </w:pPr>
          <w:r>
            <w:rPr>
              <w:rFonts w:eastAsia="Times New Roman"/>
              <w:sz w:val="16"/>
              <w:szCs w:val="16"/>
            </w:rPr>
            <w:t>Kdo mora dati podatke in do kdaj</w:t>
          </w:r>
        </w:p>
      </w:tc>
      <w:tc>
        <w:tcPr>
          <w:tcW w:w="1077" w:type="dxa"/>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A97B03" w:rsidRDefault="003D49FC">
          <w:pPr>
            <w:jc w:val="center"/>
            <w:rPr>
              <w:rFonts w:eastAsia="Times New Roman"/>
              <w:sz w:val="16"/>
              <w:szCs w:val="16"/>
            </w:rPr>
          </w:pPr>
          <w:r>
            <w:rPr>
              <w:rFonts w:eastAsia="Times New Roman"/>
              <w:sz w:val="16"/>
              <w:szCs w:val="16"/>
            </w:rPr>
            <w:t>Obveznost poročanja</w:t>
          </w:r>
        </w:p>
      </w:tc>
      <w:tc>
        <w:tcPr>
          <w:tcW w:w="1077" w:type="dxa"/>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A97B03" w:rsidRDefault="003D49FC">
          <w:pPr>
            <w:jc w:val="center"/>
            <w:rPr>
              <w:rFonts w:eastAsia="Times New Roman"/>
              <w:sz w:val="16"/>
              <w:szCs w:val="16"/>
            </w:rPr>
          </w:pPr>
          <w:r>
            <w:rPr>
              <w:rFonts w:eastAsia="Times New Roman"/>
              <w:sz w:val="16"/>
              <w:szCs w:val="16"/>
            </w:rPr>
            <w:t>Obdobje opazovanja</w:t>
          </w:r>
        </w:p>
      </w:tc>
      <w:tc>
        <w:tcPr>
          <w:tcW w:w="1077" w:type="dxa"/>
          <w:vMerge/>
          <w:tcBorders>
            <w:top w:val="single" w:sz="12" w:space="0" w:color="000000"/>
            <w:left w:val="single" w:sz="6" w:space="0" w:color="000000"/>
            <w:bottom w:val="single" w:sz="12" w:space="0" w:color="000000"/>
            <w:right w:val="single" w:sz="6" w:space="0" w:color="000000"/>
          </w:tcBorders>
          <w:vAlign w:val="center"/>
          <w:hideMark/>
        </w:tcPr>
        <w:p w:rsidR="00A97B03" w:rsidRDefault="00A97B03">
          <w:pPr>
            <w:rPr>
              <w:rFonts w:eastAsia="Times New Roman"/>
              <w:sz w:val="16"/>
              <w:szCs w:val="16"/>
            </w:rPr>
          </w:pPr>
        </w:p>
      </w:tc>
    </w:tr>
  </w:tbl>
  <w:p w:rsidR="00A97B03" w:rsidRDefault="00A97B03">
    <w:pPr>
      <w:rPr>
        <w:rFonts w:eastAsia="Times New Roman"/>
        <w:sz w:val="15"/>
        <w:szCs w:val="15"/>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gutterAtTop/>
  <w:proofState w:spelling="clean" w:grammar="clean"/>
  <w:defaultTabStop w:val="720"/>
  <w:hyphenationZone w:val="425"/>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901C0"/>
    <w:rsid w:val="003D49FC"/>
    <w:rsid w:val="004312AE"/>
    <w:rsid w:val="00A97B03"/>
    <w:rsid w:val="00B901C0"/>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3E89AC27"/>
  <w15:chartTrackingRefBased/>
  <w15:docId w15:val="{F786A818-1458-4683-A1D1-F58A1EC20A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sl-SI" w:eastAsia="sl-SI"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eastAsiaTheme="minorEastAsia"/>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Pr>
      <w:color w:val="0000FF"/>
      <w:u w:val="single"/>
    </w:rPr>
  </w:style>
  <w:style w:type="character" w:styleId="FollowedHyperlink">
    <w:name w:val="FollowedHyperlink"/>
    <w:basedOn w:val="DefaultParagraphFont"/>
    <w:uiPriority w:val="99"/>
    <w:semiHidden/>
    <w:unhideWhenUsed/>
    <w:rPr>
      <w:color w:val="800080"/>
      <w:u w:val="single"/>
    </w:rPr>
  </w:style>
  <w:style w:type="paragraph" w:customStyle="1" w:styleId="msonormal0">
    <w:name w:val="msonormal"/>
    <w:basedOn w:val="Normal"/>
    <w:pPr>
      <w:spacing w:before="100" w:beforeAutospacing="1" w:after="100" w:afterAutospacing="1"/>
    </w:pPr>
  </w:style>
  <w:style w:type="paragraph" w:customStyle="1" w:styleId="poglavje">
    <w:name w:val="poglavje"/>
    <w:basedOn w:val="Normal"/>
    <w:rPr>
      <w:rFonts w:eastAsia="Times New Roman"/>
      <w:b/>
      <w:bCs/>
      <w:sz w:val="20"/>
      <w:szCs w:val="20"/>
    </w:rPr>
  </w:style>
  <w:style w:type="paragraph" w:customStyle="1" w:styleId="podroje">
    <w:name w:val="podroÄŤje"/>
    <w:basedOn w:val="Normal"/>
    <w:rPr>
      <w:rFonts w:eastAsia="Times New Roman"/>
      <w:b/>
      <w:bCs/>
      <w:sz w:val="20"/>
      <w:szCs w:val="20"/>
    </w:rPr>
  </w:style>
  <w:style w:type="paragraph" w:customStyle="1" w:styleId="modul">
    <w:name w:val="modul"/>
    <w:basedOn w:val="Normal"/>
    <w:rPr>
      <w:rFonts w:eastAsia="Times New Roman"/>
      <w:b/>
      <w:bCs/>
      <w:sz w:val="20"/>
      <w:szCs w:val="20"/>
    </w:rPr>
  </w:style>
  <w:style w:type="paragraph" w:styleId="TOC1">
    <w:name w:val="toc 1"/>
    <w:basedOn w:val="Normal"/>
    <w:next w:val="Normal"/>
    <w:autoRedefine/>
    <w:uiPriority w:val="39"/>
    <w:semiHidden/>
    <w:unhideWhenUsed/>
    <w:pPr>
      <w:tabs>
        <w:tab w:val="right" w:leader="dot" w:pos="15194"/>
      </w:tabs>
      <w:jc w:val="center"/>
    </w:pPr>
    <w:rPr>
      <w:rFonts w:eastAsia="Times New Roman"/>
      <w:b/>
    </w:rPr>
  </w:style>
  <w:style w:type="paragraph" w:styleId="TOC2">
    <w:name w:val="toc 2"/>
    <w:basedOn w:val="Normal"/>
    <w:next w:val="Normal"/>
    <w:autoRedefine/>
    <w:uiPriority w:val="39"/>
    <w:semiHidden/>
    <w:unhideWhenUsed/>
    <w:pPr>
      <w:ind w:left="240"/>
    </w:pPr>
    <w:rPr>
      <w:rFonts w:eastAsia="Times New Roman"/>
    </w:rPr>
  </w:style>
  <w:style w:type="paragraph" w:styleId="TOC3">
    <w:name w:val="toc 3"/>
    <w:basedOn w:val="Normal"/>
    <w:next w:val="Normal"/>
    <w:autoRedefine/>
    <w:uiPriority w:val="39"/>
    <w:semiHidden/>
    <w:unhideWhenUsed/>
    <w:pPr>
      <w:ind w:left="480"/>
    </w:pPr>
    <w:rPr>
      <w:rFonts w:eastAsia="Times New Roman"/>
    </w:rPr>
  </w:style>
  <w:style w:type="paragraph" w:styleId="Header">
    <w:name w:val="header"/>
    <w:basedOn w:val="Normal"/>
    <w:link w:val="HeaderChar"/>
    <w:uiPriority w:val="99"/>
    <w:unhideWhenUsed/>
    <w:pPr>
      <w:tabs>
        <w:tab w:val="center" w:pos="4513"/>
        <w:tab w:val="right" w:pos="9026"/>
      </w:tabs>
    </w:pPr>
  </w:style>
  <w:style w:type="character" w:customStyle="1" w:styleId="HeaderChar">
    <w:name w:val="Header Char"/>
    <w:basedOn w:val="DefaultParagraphFont"/>
    <w:link w:val="Header"/>
    <w:uiPriority w:val="99"/>
    <w:rPr>
      <w:rFonts w:eastAsiaTheme="minorEastAsia"/>
      <w:sz w:val="24"/>
      <w:szCs w:val="24"/>
    </w:rPr>
  </w:style>
  <w:style w:type="paragraph" w:styleId="Footer">
    <w:name w:val="footer"/>
    <w:basedOn w:val="Normal"/>
    <w:link w:val="FooterChar"/>
    <w:uiPriority w:val="99"/>
    <w:unhideWhenUsed/>
    <w:pPr>
      <w:tabs>
        <w:tab w:val="center" w:pos="4513"/>
        <w:tab w:val="right" w:pos="9026"/>
      </w:tabs>
    </w:pPr>
  </w:style>
  <w:style w:type="character" w:customStyle="1" w:styleId="FooterChar">
    <w:name w:val="Footer Char"/>
    <w:basedOn w:val="DefaultParagraphFont"/>
    <w:link w:val="Footer"/>
    <w:uiPriority w:val="99"/>
    <w:rPr>
      <w:rFonts w:eastAsiaTheme="minorEastAsia"/>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encoding w:val="windows-1250"/>
  <w:allowPNG/>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webSettings" Target="webSettings.xml"/><Relationship Id="rId7"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10" Type="http://schemas.openxmlformats.org/officeDocument/2006/relationships/theme" Target="theme/theme1.xml"/><Relationship Id="rId4" Type="http://schemas.openxmlformats.org/officeDocument/2006/relationships/footnotes" Target="footnote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TotalTime>
  <Pages>18</Pages>
  <Words>4795</Words>
  <Characters>33357</Characters>
  <Application>Microsoft Office Word</Application>
  <DocSecurity>0</DocSecurity>
  <Lines>277</Lines>
  <Paragraphs>76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38076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Erika Znidarsic</dc:creator>
  <cp:keywords/>
  <dc:description/>
  <cp:lastModifiedBy>Erika Znidarsic</cp:lastModifiedBy>
  <cp:revision>4</cp:revision>
  <dcterms:created xsi:type="dcterms:W3CDTF">2024-10-24T07:22:00Z</dcterms:created>
  <dcterms:modified xsi:type="dcterms:W3CDTF">2024-10-24T10:30:00Z</dcterms:modified>
</cp:coreProperties>
</file>