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8B6A6A">
        <w:rPr>
          <w:rFonts w:cs="Arial"/>
          <w:color w:val="000000"/>
        </w:rPr>
        <w:t>2023-3130-0033</w:t>
      </w:r>
    </w:p>
    <w:p w:rsidR="00896FBD" w:rsidRDefault="00896FBD" w:rsidP="00896FBD">
      <w:pPr>
        <w:pStyle w:val="datumtevilka"/>
      </w:pPr>
      <w:r>
        <w:t xml:space="preserve">Številka: </w:t>
      </w:r>
      <w:r>
        <w:tab/>
      </w:r>
      <w:r w:rsidR="008B6A6A">
        <w:rPr>
          <w:rFonts w:cs="Arial"/>
          <w:color w:val="000000"/>
        </w:rPr>
        <w:t>00704-158/2024/12</w:t>
      </w:r>
    </w:p>
    <w:p w:rsidR="00896FBD" w:rsidRDefault="00896FBD" w:rsidP="00896FBD">
      <w:pPr>
        <w:pStyle w:val="datumtevilka"/>
      </w:pPr>
      <w:r>
        <w:t>Datum:</w:t>
      </w:r>
      <w:r>
        <w:tab/>
      </w:r>
      <w:r w:rsidR="008B6A6A">
        <w:rPr>
          <w:rFonts w:cs="Arial"/>
          <w:color w:val="000000"/>
        </w:rPr>
        <w:t>30. 10. 2024</w:t>
      </w:r>
      <w:r>
        <w:t xml:space="preserve"> </w:t>
      </w:r>
    </w:p>
    <w:p w:rsidR="00896FBD" w:rsidRDefault="00896FBD" w:rsidP="00896FBD"/>
    <w:p w:rsidR="00896FBD" w:rsidRDefault="00896FBD" w:rsidP="00896FBD">
      <w:pPr>
        <w:autoSpaceDE w:val="0"/>
        <w:autoSpaceDN w:val="0"/>
        <w:adjustRightInd w:val="0"/>
        <w:rPr>
          <w:rFonts w:cs="Arial"/>
          <w:color w:val="000000"/>
          <w:szCs w:val="20"/>
        </w:rPr>
      </w:pPr>
    </w:p>
    <w:p w:rsidR="00896FBD" w:rsidRPr="001A004C" w:rsidRDefault="0046756D" w:rsidP="001A004C">
      <w:pPr>
        <w:autoSpaceDE w:val="0"/>
        <w:autoSpaceDN w:val="0"/>
        <w:adjustRightInd w:val="0"/>
        <w:ind w:left="709" w:hanging="709"/>
        <w:jc w:val="center"/>
        <w:rPr>
          <w:rFonts w:cs="Arial"/>
          <w:b/>
          <w:color w:val="000000"/>
          <w:szCs w:val="20"/>
        </w:rPr>
      </w:pPr>
      <w:r w:rsidRPr="001A004C">
        <w:rPr>
          <w:rFonts w:cs="Arial"/>
          <w:b/>
          <w:color w:val="000000"/>
          <w:szCs w:val="20"/>
        </w:rPr>
        <w:t>Predlog</w:t>
      </w:r>
      <w:r w:rsidR="008B6A6A" w:rsidRPr="001A004C">
        <w:rPr>
          <w:rFonts w:cs="Arial"/>
          <w:b/>
          <w:color w:val="000000"/>
          <w:szCs w:val="20"/>
        </w:rPr>
        <w:t xml:space="preserve"> amandmajev k Predlogu zakona o spremembah in dopolnitvah Zakona o lokalnih volitvah</w:t>
      </w:r>
    </w:p>
    <w:p w:rsidR="00896FBD" w:rsidRDefault="00896FBD" w:rsidP="00896FBD">
      <w:pPr>
        <w:autoSpaceDE w:val="0"/>
        <w:autoSpaceDN w:val="0"/>
        <w:adjustRightInd w:val="0"/>
        <w:rPr>
          <w:rFonts w:cs="Arial"/>
          <w:color w:val="000000"/>
          <w:szCs w:val="20"/>
        </w:rPr>
      </w:pPr>
    </w:p>
    <w:p w:rsidR="00896FBD" w:rsidRDefault="00896FBD" w:rsidP="00896FBD">
      <w:pPr>
        <w:autoSpaceDE w:val="0"/>
        <w:autoSpaceDN w:val="0"/>
        <w:adjustRightInd w:val="0"/>
        <w:rPr>
          <w:rFonts w:cs="Arial"/>
          <w:color w:val="000000"/>
          <w:szCs w:val="20"/>
        </w:rPr>
      </w:pPr>
    </w:p>
    <w:p w:rsidR="00896FBD" w:rsidRDefault="00896FBD" w:rsidP="00896FBD">
      <w:pPr>
        <w:autoSpaceDE w:val="0"/>
        <w:autoSpaceDN w:val="0"/>
        <w:adjustRightInd w:val="0"/>
        <w:rPr>
          <w:rFonts w:cs="Arial"/>
          <w:color w:val="000000"/>
          <w:szCs w:val="20"/>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2. členu:</w:t>
      </w:r>
    </w:p>
    <w:p w:rsidR="001A004C" w:rsidRDefault="001A004C" w:rsidP="001A004C">
      <w:pPr>
        <w:spacing w:line="240" w:lineRule="auto"/>
        <w:jc w:val="both"/>
        <w:rPr>
          <w:rFonts w:eastAsia="Calibri" w:cs="Arial"/>
          <w:kern w:val="2"/>
          <w:szCs w:val="20"/>
        </w:rPr>
      </w:pPr>
      <w:r>
        <w:rPr>
          <w:rFonts w:eastAsia="Calibri" w:cs="Arial"/>
          <w:kern w:val="2"/>
          <w:szCs w:val="20"/>
        </w:rPr>
        <w:t>Besedilo 2. člena se spremeni tako, da se glasi:</w:t>
      </w:r>
    </w:p>
    <w:p w:rsidR="001A004C" w:rsidRDefault="001A004C" w:rsidP="001A004C">
      <w:pPr>
        <w:autoSpaceDE w:val="0"/>
        <w:autoSpaceDN w:val="0"/>
        <w:adjustRightInd w:val="0"/>
        <w:spacing w:line="240" w:lineRule="auto"/>
        <w:jc w:val="both"/>
        <w:rPr>
          <w:rFonts w:eastAsia="Calibri" w:cs="Arial"/>
          <w:kern w:val="2"/>
          <w:szCs w:val="20"/>
        </w:rPr>
      </w:pPr>
    </w:p>
    <w:p w:rsidR="001A004C" w:rsidRDefault="001A004C" w:rsidP="001A004C">
      <w:pPr>
        <w:autoSpaceDE w:val="0"/>
        <w:autoSpaceDN w:val="0"/>
        <w:adjustRightInd w:val="0"/>
        <w:spacing w:line="240" w:lineRule="auto"/>
        <w:jc w:val="both"/>
        <w:rPr>
          <w:rFonts w:eastAsia="Calibri" w:cs="Arial"/>
          <w:szCs w:val="20"/>
        </w:rPr>
      </w:pPr>
      <w:r>
        <w:rPr>
          <w:rFonts w:eastAsia="Calibri" w:cs="Arial"/>
          <w:kern w:val="2"/>
          <w:szCs w:val="20"/>
        </w:rPr>
        <w:t>»</w:t>
      </w:r>
      <w:r>
        <w:rPr>
          <w:rFonts w:eastAsia="Calibri" w:cs="Arial"/>
          <w:szCs w:val="20"/>
        </w:rPr>
        <w:t>V 5. členu se v drugem odstavku črta besedilo »pod pogoji iz prvega odstavka tega člena« in na koncu pred piko doda besedilo »ter je na dan glasovanja dopolnil 18 let starosti«.«</w:t>
      </w:r>
    </w:p>
    <w:p w:rsidR="001A004C" w:rsidRDefault="001A004C" w:rsidP="001A004C">
      <w:pPr>
        <w:autoSpaceDE w:val="0"/>
        <w:autoSpaceDN w:val="0"/>
        <w:adjustRightInd w:val="0"/>
        <w:spacing w:line="240" w:lineRule="auto"/>
        <w:jc w:val="both"/>
        <w:rPr>
          <w:rFonts w:eastAsia="Calibri" w:cs="Arial"/>
          <w:szCs w:val="20"/>
        </w:rPr>
      </w:pPr>
    </w:p>
    <w:p w:rsidR="001A004C" w:rsidRDefault="001A004C" w:rsidP="001A004C">
      <w:pPr>
        <w:spacing w:line="240" w:lineRule="auto"/>
        <w:jc w:val="both"/>
        <w:rPr>
          <w:rFonts w:eastAsia="Calibri" w:cs="Arial"/>
          <w:kern w:val="2"/>
          <w:szCs w:val="20"/>
        </w:rPr>
      </w:pPr>
      <w:r>
        <w:rPr>
          <w:rFonts w:eastAsia="Calibri" w:cs="Arial"/>
          <w:szCs w:val="20"/>
        </w:rPr>
        <w:t>Šesti odstavek se črta.</w:t>
      </w:r>
    </w:p>
    <w:p w:rsidR="001A004C" w:rsidRDefault="001A004C" w:rsidP="001A004C">
      <w:pPr>
        <w:spacing w:line="240" w:lineRule="auto"/>
        <w:jc w:val="both"/>
        <w:rPr>
          <w:rFonts w:eastAsia="Calibri" w:cs="Arial"/>
          <w:b/>
          <w:bCs/>
          <w:kern w:val="2"/>
          <w:szCs w:val="20"/>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spacing w:line="240" w:lineRule="auto"/>
        <w:jc w:val="both"/>
        <w:rPr>
          <w:rFonts w:eastAsia="Calibri" w:cs="Arial"/>
          <w:kern w:val="2"/>
          <w:szCs w:val="20"/>
        </w:rPr>
      </w:pPr>
      <w:r>
        <w:rPr>
          <w:rFonts w:eastAsia="Calibri" w:cs="Arial"/>
          <w:kern w:val="2"/>
          <w:szCs w:val="20"/>
        </w:rPr>
        <w:t>Amandma sledi mnenju Zakonodajno pravne službe Državnega zbora RS. Besedo »ki« se nadomesti s prirednim veznikom »ter«.</w:t>
      </w:r>
    </w:p>
    <w:p w:rsidR="001A004C" w:rsidRDefault="001A004C" w:rsidP="001A004C">
      <w:pPr>
        <w:spacing w:line="240" w:lineRule="auto"/>
        <w:jc w:val="both"/>
        <w:rPr>
          <w:rFonts w:eastAsia="Calibri" w:cs="Arial"/>
          <w:kern w:val="2"/>
          <w:szCs w:val="20"/>
        </w:rPr>
      </w:pPr>
    </w:p>
    <w:p w:rsidR="001A004C" w:rsidRDefault="001A004C" w:rsidP="001A004C">
      <w:pPr>
        <w:spacing w:line="240" w:lineRule="auto"/>
        <w:jc w:val="both"/>
        <w:rPr>
          <w:rFonts w:eastAsia="Calibri" w:cs="Arial"/>
          <w:b/>
          <w:bCs/>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5. členu:</w:t>
      </w:r>
    </w:p>
    <w:p w:rsidR="001A004C" w:rsidRDefault="001A004C" w:rsidP="001A004C">
      <w:pPr>
        <w:spacing w:line="240" w:lineRule="auto"/>
        <w:jc w:val="both"/>
        <w:rPr>
          <w:rFonts w:eastAsia="Calibri" w:cs="Arial"/>
          <w:kern w:val="2"/>
          <w:szCs w:val="20"/>
        </w:rPr>
      </w:pPr>
      <w:r>
        <w:rPr>
          <w:rFonts w:eastAsia="Calibri" w:cs="Arial"/>
          <w:kern w:val="2"/>
          <w:szCs w:val="20"/>
        </w:rPr>
        <w:t>Besedilo 5. člena se spremeni tako, da se glasi:</w:t>
      </w:r>
    </w:p>
    <w:p w:rsidR="001A004C" w:rsidRDefault="001A004C" w:rsidP="001A004C">
      <w:pPr>
        <w:autoSpaceDE w:val="0"/>
        <w:autoSpaceDN w:val="0"/>
        <w:adjustRightInd w:val="0"/>
        <w:spacing w:line="240" w:lineRule="auto"/>
        <w:jc w:val="both"/>
        <w:rPr>
          <w:rFonts w:eastAsia="Calibri" w:cs="Arial"/>
          <w:kern w:val="2"/>
          <w:szCs w:val="20"/>
        </w:rPr>
      </w:pPr>
    </w:p>
    <w:p w:rsidR="001A004C" w:rsidRDefault="001A004C" w:rsidP="001A004C">
      <w:pPr>
        <w:autoSpaceDE w:val="0"/>
        <w:autoSpaceDN w:val="0"/>
        <w:adjustRightInd w:val="0"/>
        <w:spacing w:line="240" w:lineRule="auto"/>
        <w:jc w:val="both"/>
        <w:rPr>
          <w:rFonts w:eastAsia="Calibri" w:cs="Arial"/>
          <w:kern w:val="2"/>
          <w:szCs w:val="20"/>
        </w:rPr>
      </w:pPr>
      <w:r>
        <w:rPr>
          <w:rFonts w:eastAsia="Calibri" w:cs="Arial"/>
          <w:kern w:val="2"/>
          <w:szCs w:val="20"/>
        </w:rPr>
        <w:t>»</w:t>
      </w:r>
      <w:r>
        <w:rPr>
          <w:rFonts w:eastAsia="Calibri" w:cs="Arial"/>
          <w:szCs w:val="20"/>
        </w:rPr>
        <w:t>V 30. členu se v prvem in tretjem odstavku besedilo »potrditve mandata« nadomesti z besedilom »seznanitve občinskega sveta z aktom o izidu volitev, s katerim je ugotovljena njegova izvolitev«.«</w:t>
      </w:r>
    </w:p>
    <w:p w:rsidR="001A004C" w:rsidRDefault="001A004C" w:rsidP="001A004C">
      <w:pPr>
        <w:spacing w:line="240" w:lineRule="auto"/>
        <w:jc w:val="both"/>
        <w:rPr>
          <w:rFonts w:eastAsia="Calibri" w:cs="Arial"/>
          <w:kern w:val="2"/>
          <w:szCs w:val="20"/>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spacing w:line="240" w:lineRule="auto"/>
        <w:jc w:val="both"/>
        <w:rPr>
          <w:rFonts w:eastAsia="Calibri" w:cs="Arial"/>
          <w:kern w:val="2"/>
          <w:szCs w:val="20"/>
        </w:rPr>
      </w:pPr>
      <w:r>
        <w:rPr>
          <w:rFonts w:eastAsia="Calibri" w:cs="Arial"/>
          <w:kern w:val="2"/>
          <w:szCs w:val="20"/>
        </w:rPr>
        <w:t>Amandma je redakcijske narave in sledi mnenju Zakonodajno pravne službe Državnega zbora RS. Besedilo »seznanitve občinskega sveta z njegovo izvolitvijo« se nadomesti z besedilom »</w:t>
      </w:r>
      <w:r>
        <w:rPr>
          <w:rFonts w:eastAsia="Calibri" w:cs="Arial"/>
          <w:szCs w:val="20"/>
        </w:rPr>
        <w:t>seznanitve občinskega sveta z aktom o izidu volitev, s katerim je ugotovljena njegova izvolitev«.</w:t>
      </w:r>
      <w:r>
        <w:rPr>
          <w:rFonts w:eastAsia="Calibri" w:cs="Arial"/>
          <w:kern w:val="2"/>
          <w:szCs w:val="20"/>
        </w:rPr>
        <w:t xml:space="preserve"> </w:t>
      </w: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b/>
          <w:bCs/>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6. členu:</w:t>
      </w:r>
    </w:p>
    <w:p w:rsidR="001A004C" w:rsidRDefault="001A004C" w:rsidP="001A004C">
      <w:pPr>
        <w:shd w:val="clear" w:color="auto" w:fill="FFFFFF"/>
        <w:spacing w:line="240" w:lineRule="auto"/>
        <w:jc w:val="both"/>
        <w:rPr>
          <w:rFonts w:eastAsia="Calibri" w:cs="Arial"/>
          <w:kern w:val="2"/>
          <w:szCs w:val="20"/>
        </w:rPr>
      </w:pPr>
      <w:r>
        <w:rPr>
          <w:rFonts w:eastAsia="Calibri" w:cs="Arial"/>
          <w:kern w:val="2"/>
          <w:szCs w:val="20"/>
        </w:rPr>
        <w:t xml:space="preserve">V 6. členu se besedilo prvega odstavka spremeni tako, da se glasi: </w:t>
      </w:r>
    </w:p>
    <w:p w:rsidR="001A004C" w:rsidRDefault="001A004C" w:rsidP="001A004C">
      <w:pPr>
        <w:shd w:val="clear" w:color="auto" w:fill="FFFFFF"/>
        <w:spacing w:line="240" w:lineRule="auto"/>
        <w:jc w:val="both"/>
        <w:rPr>
          <w:rFonts w:eastAsia="Calibri" w:cs="Arial"/>
          <w:kern w:val="2"/>
          <w:szCs w:val="20"/>
        </w:rPr>
      </w:pPr>
    </w:p>
    <w:p w:rsidR="001A004C" w:rsidRDefault="001A004C" w:rsidP="001A004C">
      <w:pPr>
        <w:shd w:val="clear" w:color="auto" w:fill="FFFFFF"/>
        <w:spacing w:line="240" w:lineRule="auto"/>
        <w:jc w:val="both"/>
        <w:rPr>
          <w:rFonts w:eastAsia="Calibri" w:cs="Arial"/>
          <w:kern w:val="2"/>
          <w:szCs w:val="20"/>
        </w:rPr>
      </w:pPr>
      <w:r>
        <w:rPr>
          <w:rFonts w:eastAsia="Calibri" w:cs="Arial"/>
          <w:kern w:val="2"/>
          <w:szCs w:val="20"/>
        </w:rPr>
        <w:t>»V 35. členu se drugi odstavek spremeni tako, da se glasi:</w:t>
      </w:r>
    </w:p>
    <w:p w:rsidR="001A004C" w:rsidRDefault="001A004C" w:rsidP="001A004C">
      <w:pPr>
        <w:shd w:val="clear" w:color="auto" w:fill="FFFFFF"/>
        <w:spacing w:line="240" w:lineRule="auto"/>
        <w:jc w:val="both"/>
        <w:rPr>
          <w:rFonts w:eastAsia="Calibri" w:cs="Arial"/>
          <w:kern w:val="2"/>
          <w:szCs w:val="20"/>
        </w:rPr>
      </w:pPr>
    </w:p>
    <w:p w:rsidR="001A004C" w:rsidRDefault="001A004C" w:rsidP="001A004C">
      <w:pPr>
        <w:shd w:val="clear" w:color="auto" w:fill="FFFFFF"/>
        <w:spacing w:line="240" w:lineRule="auto"/>
        <w:jc w:val="both"/>
        <w:rPr>
          <w:rFonts w:eastAsia="Calibri" w:cs="Arial"/>
          <w:kern w:val="2"/>
          <w:szCs w:val="20"/>
        </w:rPr>
      </w:pPr>
      <w:r>
        <w:rPr>
          <w:rFonts w:eastAsia="Calibri" w:cs="Arial"/>
          <w:kern w:val="2"/>
          <w:szCs w:val="20"/>
        </w:rPr>
        <w:t>»Predsednik občinske volilne komisije in njegov namestnik se imenujeta izmed sodnikov ali drugih oseb, ki imajo v Republiki Sloveniji pridobljeno najmanj pravno izobrazbo po študijskem programu prve in druge stopnje oziroma pravno izobrazbo, ki ustreza ravni izobrazbe, pridobljeni po študijskih programih druge stopnje, in je v skladu z zakonom, ki ureja slovensko ogrodje klasifikacij, uvrščena na 8. raven.«.«</w:t>
      </w:r>
    </w:p>
    <w:p w:rsidR="001A004C" w:rsidRDefault="001A004C" w:rsidP="001A004C">
      <w:pPr>
        <w:shd w:val="clear" w:color="auto" w:fill="FFFFFF"/>
        <w:spacing w:line="240" w:lineRule="auto"/>
        <w:jc w:val="both"/>
        <w:rPr>
          <w:rFonts w:eastAsia="Calibri" w:cs="Arial"/>
          <w:kern w:val="2"/>
          <w:szCs w:val="20"/>
        </w:rPr>
      </w:pPr>
    </w:p>
    <w:p w:rsidR="001A004C" w:rsidRDefault="001A004C" w:rsidP="001A004C">
      <w:pPr>
        <w:spacing w:line="240" w:lineRule="auto"/>
        <w:jc w:val="both"/>
        <w:rPr>
          <w:rFonts w:eastAsia="Calibri" w:cs="Arial"/>
          <w:kern w:val="2"/>
          <w:szCs w:val="20"/>
        </w:rPr>
      </w:pPr>
      <w:r>
        <w:rPr>
          <w:rFonts w:eastAsia="Calibri" w:cs="Arial"/>
          <w:kern w:val="2"/>
          <w:szCs w:val="20"/>
        </w:rPr>
        <w:t>V besedilu drugega odstavka 6. člena se beseda »politično« črta.</w:t>
      </w:r>
    </w:p>
    <w:p w:rsidR="001A004C" w:rsidRDefault="001A004C" w:rsidP="001A004C">
      <w:pPr>
        <w:spacing w:line="240" w:lineRule="auto"/>
        <w:jc w:val="both"/>
        <w:rPr>
          <w:rFonts w:eastAsia="Calibri" w:cs="Arial"/>
          <w:b/>
          <w:bCs/>
          <w:kern w:val="2"/>
          <w:szCs w:val="20"/>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tabs>
          <w:tab w:val="left" w:pos="3463"/>
        </w:tabs>
        <w:spacing w:line="240" w:lineRule="auto"/>
        <w:jc w:val="both"/>
        <w:rPr>
          <w:rFonts w:eastAsia="Calibri" w:cs="Arial"/>
          <w:kern w:val="2"/>
          <w:szCs w:val="20"/>
        </w:rPr>
      </w:pPr>
      <w:r>
        <w:rPr>
          <w:rFonts w:eastAsia="Calibri" w:cs="Arial"/>
          <w:kern w:val="2"/>
          <w:szCs w:val="20"/>
        </w:rPr>
        <w:t xml:space="preserve">Predlagani amandma k prvemu odstavku odpravlja administrativno obremenjujoč, dvofazni sistem iskanja kandidatov. Obstajajo številni primeri OVK, ki jim predsedujejo pravniki, ki niso sodniki, in ki izkazujejo visoko stopnjo integritete ter strokovnosti, nenazadnje preverjene tudi v okviru postopkov pred Upravnim sodiščem. Eden boljših primerov je ravno primer Mestne občine </w:t>
      </w:r>
      <w:r>
        <w:rPr>
          <w:rFonts w:eastAsia="Calibri" w:cs="Arial"/>
          <w:kern w:val="2"/>
          <w:szCs w:val="20"/>
        </w:rPr>
        <w:lastRenderedPageBreak/>
        <w:t>Ljubljana. Poleg tega je število sodnikov omejeno in so že imenovani na položaje predsednikov volilnih komisij volilnih enot in volilnih okrajev za volitve na ravni države oziroma EU. Obstaja tudi tveganje, da bi kdaj v prihodnosti lokalne volitve potekale istočasno z državnimi in bi bili posamezni sodniki tako v funkciji predsednika na ravni OVK, kot tudi v volilnih organih za izvedbo državnih volitev.</w:t>
      </w:r>
    </w:p>
    <w:p w:rsidR="001A004C" w:rsidRDefault="001A004C" w:rsidP="001A004C">
      <w:pPr>
        <w:spacing w:line="240" w:lineRule="auto"/>
        <w:jc w:val="both"/>
        <w:rPr>
          <w:rFonts w:eastAsia="Calibri" w:cs="Arial"/>
          <w:kern w:val="2"/>
          <w:szCs w:val="20"/>
        </w:rPr>
      </w:pPr>
    </w:p>
    <w:p w:rsidR="001A004C" w:rsidRDefault="001A004C" w:rsidP="001A004C">
      <w:pPr>
        <w:spacing w:line="240" w:lineRule="auto"/>
        <w:jc w:val="both"/>
        <w:rPr>
          <w:rFonts w:eastAsia="Calibri" w:cs="Arial"/>
          <w:kern w:val="2"/>
          <w:szCs w:val="20"/>
        </w:rPr>
      </w:pPr>
      <w:r>
        <w:rPr>
          <w:rFonts w:eastAsia="Calibri" w:cs="Arial"/>
          <w:kern w:val="2"/>
          <w:szCs w:val="20"/>
        </w:rPr>
        <w:t xml:space="preserve">Amandma k tretjemu odstavku sledi mnenju Zakonodajno pravne službe Državnega zbora RS. Beseda »politično« preveč poudarja politično pluralnost, ki naj bi izvirala iz narave političnih strank. Ker pri lokalnih volitvah sodeluje daleč več kandidatov s podpisi volivcev kot kandidatov političnih strank, je namen zakonodajalca, da se tudi na lokalni ravni zagotovi interesno in mnenjsko raznolika sestava volilnih organov, tako volilnih komisij kot tudi volilnih odborov. Izraz »pluralna sestava« odraža oboje, tako člane, ki jih predlagajo politične stranke, kot tudi člane, ki jih predlagajo drugi predlagatelji. Optimalna sestava takega volilnega organa je, da vsakega od članov in namestnikov predlaga, če je le mogoče, drug predlagatelj. </w:t>
      </w: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b/>
          <w:bCs/>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7. členu:</w:t>
      </w:r>
    </w:p>
    <w:p w:rsidR="001A004C" w:rsidRDefault="001A004C" w:rsidP="001A004C">
      <w:pPr>
        <w:spacing w:line="240" w:lineRule="auto"/>
        <w:jc w:val="both"/>
        <w:rPr>
          <w:rFonts w:eastAsia="Calibri" w:cs="Arial"/>
          <w:kern w:val="2"/>
          <w:szCs w:val="20"/>
        </w:rPr>
      </w:pPr>
      <w:r>
        <w:rPr>
          <w:rFonts w:eastAsia="Calibri" w:cs="Arial"/>
          <w:kern w:val="2"/>
          <w:szCs w:val="20"/>
        </w:rPr>
        <w:t xml:space="preserve">V 7. členu se v besedilu prvega odstavka beseda »politično« črta. </w:t>
      </w:r>
    </w:p>
    <w:p w:rsidR="001A004C" w:rsidRDefault="001A004C" w:rsidP="001A004C">
      <w:pPr>
        <w:spacing w:line="240" w:lineRule="auto"/>
        <w:jc w:val="both"/>
        <w:rPr>
          <w:rFonts w:eastAsia="Calibri" w:cs="Arial"/>
          <w:b/>
          <w:bCs/>
          <w:kern w:val="2"/>
          <w:szCs w:val="20"/>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spacing w:line="240" w:lineRule="auto"/>
        <w:jc w:val="both"/>
        <w:rPr>
          <w:rFonts w:eastAsia="Calibri" w:cs="Arial"/>
          <w:kern w:val="2"/>
          <w:szCs w:val="20"/>
        </w:rPr>
      </w:pPr>
      <w:r>
        <w:rPr>
          <w:rFonts w:eastAsia="Calibri" w:cs="Arial"/>
          <w:kern w:val="2"/>
          <w:szCs w:val="20"/>
        </w:rPr>
        <w:t>Amandma sledi mnenju Zakonodajno pravne službe Državnega zbora RS. Utemeljitev pa je identična tisti k drugemu amandmaju drugega odstavka 6. člena.</w:t>
      </w: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b/>
          <w:bCs/>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8. členu:</w:t>
      </w:r>
    </w:p>
    <w:p w:rsidR="001A004C" w:rsidRDefault="001A004C" w:rsidP="001A004C">
      <w:pPr>
        <w:spacing w:line="240" w:lineRule="auto"/>
        <w:jc w:val="both"/>
        <w:rPr>
          <w:rFonts w:eastAsia="Calibri" w:cs="Arial"/>
          <w:kern w:val="2"/>
          <w:szCs w:val="20"/>
        </w:rPr>
      </w:pPr>
      <w:r>
        <w:rPr>
          <w:rFonts w:eastAsia="Calibri" w:cs="Arial"/>
          <w:kern w:val="2"/>
          <w:szCs w:val="20"/>
        </w:rPr>
        <w:t>Besedilo tretjega odstavka 8. člena se spremeni tako, da se glasi:</w:t>
      </w:r>
    </w:p>
    <w:p w:rsidR="001A004C" w:rsidRDefault="001A004C" w:rsidP="001A004C">
      <w:pPr>
        <w:autoSpaceDE w:val="0"/>
        <w:autoSpaceDN w:val="0"/>
        <w:adjustRightInd w:val="0"/>
        <w:spacing w:line="240" w:lineRule="auto"/>
        <w:jc w:val="both"/>
        <w:rPr>
          <w:rFonts w:eastAsia="Calibri" w:cs="Arial"/>
          <w:szCs w:val="20"/>
        </w:rPr>
      </w:pPr>
    </w:p>
    <w:p w:rsidR="001A004C" w:rsidRDefault="001A004C" w:rsidP="001A004C">
      <w:pPr>
        <w:autoSpaceDE w:val="0"/>
        <w:autoSpaceDN w:val="0"/>
        <w:adjustRightInd w:val="0"/>
        <w:spacing w:line="240" w:lineRule="auto"/>
        <w:jc w:val="both"/>
        <w:rPr>
          <w:rFonts w:eastAsia="Calibri" w:cs="Arial"/>
          <w:szCs w:val="20"/>
        </w:rPr>
      </w:pPr>
      <w:r>
        <w:rPr>
          <w:rFonts w:eastAsia="Calibri" w:cs="Arial"/>
          <w:szCs w:val="20"/>
        </w:rPr>
        <w:t>»Za četrtim odstavkom se doda nov, peti odstavek, ki se glasi:</w:t>
      </w:r>
    </w:p>
    <w:p w:rsidR="001A004C" w:rsidRDefault="001A004C" w:rsidP="001A004C">
      <w:pPr>
        <w:autoSpaceDE w:val="0"/>
        <w:autoSpaceDN w:val="0"/>
        <w:adjustRightInd w:val="0"/>
        <w:spacing w:line="240" w:lineRule="auto"/>
        <w:jc w:val="both"/>
        <w:rPr>
          <w:rFonts w:eastAsia="Calibri" w:cs="Arial"/>
          <w:kern w:val="2"/>
          <w:szCs w:val="20"/>
        </w:rPr>
      </w:pPr>
      <w:r>
        <w:rPr>
          <w:rFonts w:eastAsia="Calibri" w:cs="Arial"/>
          <w:szCs w:val="20"/>
        </w:rPr>
        <w:t>»Če članom občinske volilne komisije preneha mandat pred razpisom volitev in občinski svet do objave razpisa volitev ne imenuje občinske volilne komisije, jo imenuje Državna volilna komisija.«.«</w:t>
      </w:r>
      <w:r>
        <w:rPr>
          <w:rFonts w:eastAsia="Calibri" w:cs="Arial"/>
          <w:kern w:val="2"/>
          <w:szCs w:val="20"/>
        </w:rPr>
        <w:t xml:space="preserve"> </w:t>
      </w:r>
    </w:p>
    <w:p w:rsidR="001A004C" w:rsidRDefault="001A004C" w:rsidP="001A004C">
      <w:pPr>
        <w:spacing w:line="240" w:lineRule="auto"/>
        <w:jc w:val="both"/>
        <w:rPr>
          <w:rFonts w:eastAsia="Calibri" w:cs="Arial"/>
          <w:b/>
          <w:bCs/>
          <w:kern w:val="2"/>
          <w:szCs w:val="20"/>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spacing w:line="240" w:lineRule="auto"/>
        <w:jc w:val="both"/>
        <w:rPr>
          <w:rFonts w:eastAsia="Calibri" w:cs="Arial"/>
          <w:kern w:val="2"/>
          <w:szCs w:val="20"/>
        </w:rPr>
      </w:pPr>
      <w:r>
        <w:rPr>
          <w:rFonts w:eastAsia="Calibri" w:cs="Arial"/>
          <w:kern w:val="2"/>
          <w:szCs w:val="20"/>
        </w:rPr>
        <w:t xml:space="preserve">Amandma sledi mnenju Zakonodajno pravne službe Državnega zbora RS. Besedilo je iz pogojnika spremenjeno v nevtralni sedanjik. </w:t>
      </w: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b/>
          <w:bCs/>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9. členu:</w:t>
      </w:r>
    </w:p>
    <w:p w:rsidR="001A004C" w:rsidRDefault="001A004C" w:rsidP="001A004C">
      <w:pPr>
        <w:spacing w:line="240" w:lineRule="auto"/>
        <w:jc w:val="both"/>
        <w:rPr>
          <w:rFonts w:eastAsia="Calibri" w:cs="Arial"/>
          <w:kern w:val="2"/>
          <w:szCs w:val="20"/>
        </w:rPr>
      </w:pPr>
      <w:r>
        <w:rPr>
          <w:rFonts w:eastAsia="Calibri" w:cs="Arial"/>
          <w:kern w:val="2"/>
          <w:szCs w:val="20"/>
        </w:rPr>
        <w:t>Besedilo 9. člena se spremeni tako, da se glasi:</w:t>
      </w:r>
    </w:p>
    <w:p w:rsidR="001A004C" w:rsidRDefault="001A004C" w:rsidP="001A004C">
      <w:pPr>
        <w:autoSpaceDE w:val="0"/>
        <w:autoSpaceDN w:val="0"/>
        <w:adjustRightInd w:val="0"/>
        <w:spacing w:line="240" w:lineRule="auto"/>
        <w:jc w:val="both"/>
        <w:rPr>
          <w:rFonts w:eastAsia="Calibri" w:cs="Arial"/>
          <w:szCs w:val="20"/>
        </w:rPr>
      </w:pPr>
    </w:p>
    <w:p w:rsidR="001A004C" w:rsidRDefault="001A004C" w:rsidP="001A004C">
      <w:pPr>
        <w:autoSpaceDE w:val="0"/>
        <w:autoSpaceDN w:val="0"/>
        <w:adjustRightInd w:val="0"/>
        <w:spacing w:line="240" w:lineRule="auto"/>
        <w:jc w:val="both"/>
        <w:rPr>
          <w:rFonts w:eastAsia="Calibri" w:cs="Arial"/>
          <w:szCs w:val="20"/>
        </w:rPr>
      </w:pPr>
      <w:r>
        <w:rPr>
          <w:rFonts w:eastAsia="Calibri" w:cs="Arial"/>
          <w:szCs w:val="20"/>
        </w:rPr>
        <w:t>»V 39. členu se za besedilom člena, ki postane prvi odstavek, doda nov, drugi odstavek, ki se glasi:</w:t>
      </w:r>
    </w:p>
    <w:p w:rsidR="001A004C" w:rsidRDefault="001A004C" w:rsidP="001A004C">
      <w:pPr>
        <w:autoSpaceDE w:val="0"/>
        <w:autoSpaceDN w:val="0"/>
        <w:adjustRightInd w:val="0"/>
        <w:spacing w:line="240" w:lineRule="auto"/>
        <w:jc w:val="both"/>
        <w:rPr>
          <w:rFonts w:eastAsia="Calibri" w:cs="Arial"/>
          <w:szCs w:val="20"/>
        </w:rPr>
      </w:pPr>
      <w:r>
        <w:rPr>
          <w:rFonts w:eastAsia="Calibri" w:cs="Arial"/>
          <w:szCs w:val="20"/>
        </w:rPr>
        <w:t>»Tajnik ne more biti hkrati kandidat ali predstavnik oziroma zaupnik kandidata ali liste kandidatov.</w:t>
      </w:r>
    </w:p>
    <w:p w:rsidR="001A004C" w:rsidRDefault="001A004C" w:rsidP="001A004C">
      <w:pPr>
        <w:spacing w:line="240" w:lineRule="auto"/>
        <w:jc w:val="both"/>
        <w:rPr>
          <w:rFonts w:eastAsia="Calibri" w:cs="Arial"/>
          <w:kern w:val="2"/>
          <w:szCs w:val="20"/>
        </w:rPr>
      </w:pPr>
      <w:r>
        <w:rPr>
          <w:rFonts w:eastAsia="Calibri" w:cs="Arial"/>
          <w:szCs w:val="20"/>
        </w:rPr>
        <w:t>Če tajnik postane kandidat ali predstavnik oziroma zaupnik kandidata ali liste kandidatov, mu preneha funkcija tajnika.«.</w:t>
      </w:r>
      <w:r>
        <w:rPr>
          <w:rFonts w:eastAsia="Calibri" w:cs="Arial"/>
          <w:kern w:val="2"/>
          <w:szCs w:val="20"/>
        </w:rPr>
        <w:t>«</w:t>
      </w:r>
    </w:p>
    <w:p w:rsidR="001A004C" w:rsidRDefault="001A004C" w:rsidP="001A004C">
      <w:pPr>
        <w:spacing w:line="240" w:lineRule="auto"/>
        <w:jc w:val="both"/>
        <w:rPr>
          <w:rFonts w:eastAsia="Calibri" w:cs="Arial"/>
          <w:kern w:val="2"/>
          <w:szCs w:val="20"/>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autoSpaceDE w:val="0"/>
        <w:autoSpaceDN w:val="0"/>
        <w:adjustRightInd w:val="0"/>
        <w:spacing w:line="240" w:lineRule="auto"/>
        <w:jc w:val="both"/>
        <w:rPr>
          <w:rFonts w:eastAsia="Calibri" w:cs="Arial"/>
          <w:kern w:val="2"/>
          <w:szCs w:val="20"/>
        </w:rPr>
      </w:pPr>
      <w:bookmarkStart w:id="0" w:name="_Hlk181091977"/>
      <w:r>
        <w:rPr>
          <w:rFonts w:eastAsia="Calibri" w:cs="Arial"/>
          <w:kern w:val="2"/>
          <w:szCs w:val="20"/>
        </w:rPr>
        <w:t xml:space="preserve">Amandma sledi mnenju Zakonodajno pravne komisije Državnega zbora RS. </w:t>
      </w:r>
      <w:bookmarkEnd w:id="0"/>
      <w:r>
        <w:rPr>
          <w:rFonts w:eastAsia="Calibri" w:cs="Arial"/>
          <w:kern w:val="2"/>
          <w:szCs w:val="20"/>
        </w:rPr>
        <w:t xml:space="preserve">Člen izrecneje določa omejitev, ki se nanaša na hkratno opravljanje funkcije tajnika občinske volilne komisije z drugimi vlogami v volilnem procesu. </w:t>
      </w:r>
    </w:p>
    <w:p w:rsidR="001A004C" w:rsidRDefault="001A004C" w:rsidP="001A004C">
      <w:pPr>
        <w:autoSpaceDE w:val="0"/>
        <w:autoSpaceDN w:val="0"/>
        <w:adjustRightInd w:val="0"/>
        <w:spacing w:line="240" w:lineRule="auto"/>
        <w:jc w:val="both"/>
        <w:rPr>
          <w:rFonts w:eastAsia="Calibri" w:cs="Arial"/>
          <w:kern w:val="2"/>
          <w:szCs w:val="20"/>
        </w:rPr>
      </w:pP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14. členu</w:t>
      </w:r>
    </w:p>
    <w:p w:rsidR="001A004C" w:rsidRDefault="001A004C" w:rsidP="001A004C">
      <w:pPr>
        <w:spacing w:line="240" w:lineRule="auto"/>
        <w:jc w:val="both"/>
        <w:rPr>
          <w:rFonts w:eastAsia="Calibri" w:cs="Arial"/>
          <w:kern w:val="2"/>
          <w:szCs w:val="20"/>
        </w:rPr>
      </w:pPr>
      <w:r>
        <w:rPr>
          <w:rFonts w:eastAsia="Calibri" w:cs="Arial"/>
          <w:kern w:val="2"/>
          <w:szCs w:val="20"/>
        </w:rPr>
        <w:t>Tretji odstavek novega 72.a člena se spremeni tako, da se glasi:</w:t>
      </w:r>
    </w:p>
    <w:p w:rsidR="001A004C" w:rsidRDefault="001A004C" w:rsidP="001A004C">
      <w:pPr>
        <w:shd w:val="clear" w:color="auto" w:fill="FFFFFF"/>
        <w:spacing w:line="240" w:lineRule="auto"/>
        <w:jc w:val="both"/>
        <w:rPr>
          <w:rFonts w:cs="Arial"/>
          <w:szCs w:val="20"/>
          <w:lang w:eastAsia="sl-SI"/>
        </w:rPr>
      </w:pPr>
    </w:p>
    <w:p w:rsidR="001A004C" w:rsidRDefault="001A004C" w:rsidP="001A004C">
      <w:pPr>
        <w:shd w:val="clear" w:color="auto" w:fill="FFFFFF"/>
        <w:spacing w:line="240" w:lineRule="auto"/>
        <w:jc w:val="both"/>
        <w:rPr>
          <w:rFonts w:cs="Arial"/>
          <w:szCs w:val="20"/>
          <w:lang w:eastAsia="sl-SI"/>
        </w:rPr>
      </w:pPr>
      <w:r>
        <w:rPr>
          <w:rFonts w:cs="Arial"/>
          <w:szCs w:val="20"/>
          <w:lang w:eastAsia="sl-SI"/>
        </w:rPr>
        <w:t>»Zbirka kandidatur oziroma list kandidatov, razen podatka o EMŠO, se hrani od vložitve kandidatur oziroma list kandidatov do izteka mandatne dobe župana oziroma občinskega sveta, v zvezi z volitvami katerega so osebe kandidirale. Podatek o EMŠO posameznega kandidata se hrani do pridobitve mandata.«</w:t>
      </w:r>
    </w:p>
    <w:p w:rsidR="001A004C" w:rsidRDefault="001A004C" w:rsidP="001A004C">
      <w:pPr>
        <w:shd w:val="clear" w:color="auto" w:fill="FFFFFF"/>
        <w:spacing w:line="240" w:lineRule="auto"/>
        <w:jc w:val="both"/>
        <w:rPr>
          <w:rFonts w:cs="Arial"/>
          <w:szCs w:val="20"/>
          <w:lang w:eastAsia="sl-SI"/>
        </w:rPr>
      </w:pPr>
    </w:p>
    <w:p w:rsidR="001A004C" w:rsidRDefault="001A004C" w:rsidP="001A004C">
      <w:pPr>
        <w:spacing w:line="240" w:lineRule="auto"/>
        <w:jc w:val="both"/>
        <w:rPr>
          <w:rFonts w:eastAsia="Calibri" w:cs="Arial"/>
          <w:kern w:val="2"/>
          <w:szCs w:val="20"/>
        </w:rPr>
      </w:pPr>
      <w:r>
        <w:rPr>
          <w:rFonts w:eastAsia="Calibri" w:cs="Arial"/>
          <w:kern w:val="2"/>
          <w:szCs w:val="20"/>
        </w:rPr>
        <w:lastRenderedPageBreak/>
        <w:t>Za tretjim odstavkom se dodata novi četrti in peti odstavek, ki se glasita:</w:t>
      </w:r>
    </w:p>
    <w:p w:rsidR="001A004C" w:rsidRDefault="001A004C" w:rsidP="001A004C">
      <w:pPr>
        <w:spacing w:line="240" w:lineRule="auto"/>
        <w:jc w:val="both"/>
        <w:rPr>
          <w:rFonts w:eastAsia="Calibri" w:cs="Arial"/>
          <w:kern w:val="2"/>
          <w:szCs w:val="20"/>
        </w:rPr>
      </w:pPr>
    </w:p>
    <w:p w:rsidR="001A004C" w:rsidRDefault="001A004C" w:rsidP="001A004C">
      <w:pPr>
        <w:spacing w:line="240" w:lineRule="auto"/>
        <w:jc w:val="both"/>
        <w:rPr>
          <w:rFonts w:cs="Arial"/>
          <w:szCs w:val="20"/>
          <w:lang w:eastAsia="sl-SI"/>
        </w:rPr>
      </w:pPr>
      <w:r>
        <w:rPr>
          <w:rFonts w:eastAsia="Calibri" w:cs="Arial"/>
          <w:kern w:val="2"/>
          <w:szCs w:val="20"/>
        </w:rPr>
        <w:t>»Zbirka predlaganih članov volilnih odborov se hrani do izteka mandatne dobe župana oziroma občinskega sveta, v</w:t>
      </w:r>
      <w:r>
        <w:rPr>
          <w:rFonts w:cs="Arial"/>
          <w:szCs w:val="20"/>
          <w:lang w:eastAsia="sl-SI"/>
        </w:rPr>
        <w:t xml:space="preserve"> zvezi z volitvami katerega so bile osebe predlagane. </w:t>
      </w:r>
    </w:p>
    <w:p w:rsidR="001A004C" w:rsidRDefault="001A004C" w:rsidP="001A004C">
      <w:pPr>
        <w:spacing w:line="240" w:lineRule="auto"/>
        <w:jc w:val="both"/>
        <w:rPr>
          <w:rFonts w:cs="Arial"/>
          <w:szCs w:val="20"/>
          <w:lang w:eastAsia="sl-SI"/>
        </w:rPr>
      </w:pPr>
    </w:p>
    <w:p w:rsidR="001A004C" w:rsidRDefault="001A004C" w:rsidP="001A004C">
      <w:pPr>
        <w:spacing w:line="240" w:lineRule="auto"/>
        <w:jc w:val="both"/>
        <w:rPr>
          <w:rFonts w:eastAsia="Calibri" w:cs="Arial"/>
          <w:kern w:val="2"/>
          <w:szCs w:val="20"/>
          <w:lang w:eastAsia="sl-SI"/>
        </w:rPr>
      </w:pPr>
      <w:r>
        <w:rPr>
          <w:rFonts w:eastAsia="Calibri" w:cs="Arial"/>
          <w:kern w:val="2"/>
          <w:szCs w:val="20"/>
          <w:lang w:eastAsia="sl-SI"/>
        </w:rPr>
        <w:t>Podatki iz zbirke kandidatur oziroma list kandidatov in iz zbirke predlaganih članov volilnih odborov se po preteku roka hrambe arhivirajo v neaktivni del zbirk in se nato hranijo še eno leto, po tem pa jih tajnik občinske volilne komisije po uradni dolžnosti izbriše.«.</w:t>
      </w:r>
    </w:p>
    <w:p w:rsidR="001A004C" w:rsidRDefault="001A004C" w:rsidP="001A004C">
      <w:pPr>
        <w:spacing w:line="240" w:lineRule="auto"/>
        <w:jc w:val="both"/>
        <w:rPr>
          <w:rFonts w:eastAsia="Calibri" w:cs="Arial"/>
          <w:kern w:val="2"/>
          <w:szCs w:val="20"/>
          <w:lang w:eastAsia="sl-SI"/>
        </w:rPr>
      </w:pPr>
    </w:p>
    <w:p w:rsidR="001A004C" w:rsidRDefault="001A004C" w:rsidP="001A004C">
      <w:pPr>
        <w:spacing w:line="240" w:lineRule="auto"/>
        <w:jc w:val="both"/>
        <w:rPr>
          <w:rFonts w:eastAsia="Calibri" w:cs="Arial"/>
          <w:kern w:val="2"/>
          <w:szCs w:val="20"/>
        </w:rPr>
      </w:pPr>
      <w:r>
        <w:rPr>
          <w:rFonts w:eastAsia="Calibri" w:cs="Arial"/>
          <w:kern w:val="2"/>
          <w:szCs w:val="20"/>
          <w:lang w:eastAsia="sl-SI"/>
        </w:rPr>
        <w:t>Dosedanji četrti in peti odstavek postaneta šesti in sedmi odstavek.</w:t>
      </w: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spacing w:line="240" w:lineRule="auto"/>
        <w:jc w:val="both"/>
        <w:rPr>
          <w:rFonts w:eastAsia="Calibri" w:cs="Arial"/>
          <w:b/>
          <w:bCs/>
          <w:kern w:val="2"/>
          <w:szCs w:val="20"/>
          <w:u w:val="single"/>
        </w:rPr>
      </w:pPr>
      <w:r>
        <w:rPr>
          <w:rFonts w:eastAsia="Calibri" w:cs="Arial"/>
          <w:kern w:val="2"/>
          <w:szCs w:val="20"/>
        </w:rPr>
        <w:t>Amandma sledi mnenju Zakonodajno pravne komisije Državnega zbora RS.</w:t>
      </w:r>
    </w:p>
    <w:p w:rsidR="001A004C" w:rsidRDefault="001A004C" w:rsidP="001A004C">
      <w:pPr>
        <w:spacing w:line="240" w:lineRule="auto"/>
        <w:jc w:val="both"/>
        <w:rPr>
          <w:rFonts w:eastAsia="Calibri" w:cs="Arial"/>
          <w:b/>
          <w:bCs/>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15. členu</w:t>
      </w:r>
    </w:p>
    <w:p w:rsidR="001A004C" w:rsidRDefault="001A004C" w:rsidP="001A004C">
      <w:pPr>
        <w:spacing w:line="240" w:lineRule="auto"/>
        <w:jc w:val="both"/>
        <w:rPr>
          <w:rFonts w:eastAsia="Calibri" w:cs="Arial"/>
          <w:kern w:val="2"/>
          <w:szCs w:val="20"/>
        </w:rPr>
      </w:pPr>
      <w:r>
        <w:rPr>
          <w:rFonts w:eastAsia="Calibri" w:cs="Arial"/>
          <w:kern w:val="2"/>
          <w:szCs w:val="20"/>
        </w:rPr>
        <w:t>15. člen se spremeni tako, da se glasi:</w:t>
      </w:r>
    </w:p>
    <w:p w:rsidR="001A004C" w:rsidRDefault="001A004C" w:rsidP="001A004C">
      <w:pPr>
        <w:spacing w:line="240" w:lineRule="auto"/>
        <w:jc w:val="both"/>
        <w:rPr>
          <w:rFonts w:cs="Arial"/>
          <w:szCs w:val="20"/>
          <w:lang w:eastAsia="sl-SI"/>
        </w:rPr>
      </w:pPr>
    </w:p>
    <w:p w:rsidR="001A004C" w:rsidRDefault="001A004C" w:rsidP="001A004C">
      <w:pPr>
        <w:spacing w:line="240" w:lineRule="auto"/>
        <w:jc w:val="both"/>
        <w:rPr>
          <w:rFonts w:cs="Arial"/>
          <w:szCs w:val="20"/>
          <w:lang w:eastAsia="sl-SI"/>
        </w:rPr>
      </w:pPr>
      <w:r>
        <w:rPr>
          <w:rFonts w:cs="Arial"/>
          <w:szCs w:val="20"/>
          <w:lang w:eastAsia="sl-SI"/>
        </w:rPr>
        <w:t>»V 74. členu se za drugim odstavkom doda nov, tretji odstavek, ki se glasi:</w:t>
      </w:r>
    </w:p>
    <w:p w:rsidR="001A004C" w:rsidRDefault="001A004C" w:rsidP="001A004C">
      <w:pPr>
        <w:spacing w:line="240" w:lineRule="auto"/>
        <w:jc w:val="both"/>
        <w:rPr>
          <w:rFonts w:cs="Arial"/>
          <w:szCs w:val="20"/>
          <w:lang w:eastAsia="sl-SI"/>
        </w:rPr>
      </w:pPr>
      <w:r>
        <w:rPr>
          <w:rFonts w:cs="Arial"/>
          <w:szCs w:val="20"/>
          <w:lang w:eastAsia="sl-SI"/>
        </w:rPr>
        <w:t xml:space="preserve">»Z namenom informiranja volivcev in splošne seznanitve javnosti se podatki o imenu in priimku potrjenega kandidata, naslovu njegovega stalnega prebivališča oziroma naslovu začasnega prebivališča, če gre za državljana druge države članice Evropske unije, ki </w:t>
      </w:r>
      <w:r>
        <w:rPr>
          <w:rFonts w:eastAsia="Calibri" w:cs="Arial"/>
          <w:szCs w:val="20"/>
        </w:rPr>
        <w:t>nima prijavljenega stalnega prebivališča v Republiki Sloveniji,</w:t>
      </w:r>
      <w:r>
        <w:rPr>
          <w:rFonts w:cs="Arial"/>
          <w:szCs w:val="20"/>
          <w:lang w:eastAsia="sl-SI"/>
        </w:rPr>
        <w:t xml:space="preserve"> in letnica njegovega rojstva ter ime predlagatelja objavijo </w:t>
      </w:r>
      <w:r>
        <w:rPr>
          <w:rFonts w:cs="Arial"/>
          <w:szCs w:val="20"/>
        </w:rPr>
        <w:t>na spletnih straneh Državne volilne komisije in so objavljeni do naslednjih rednih volitev</w:t>
      </w:r>
      <w:r>
        <w:rPr>
          <w:rFonts w:cs="Arial"/>
          <w:szCs w:val="20"/>
          <w:lang w:eastAsia="sl-SI"/>
        </w:rPr>
        <w:t>.«.«</w:t>
      </w:r>
    </w:p>
    <w:p w:rsidR="001A004C" w:rsidRDefault="001A004C" w:rsidP="001A004C">
      <w:pPr>
        <w:spacing w:line="240" w:lineRule="auto"/>
        <w:jc w:val="both"/>
        <w:rPr>
          <w:rFonts w:eastAsia="Calibri" w:cs="Arial"/>
          <w:kern w:val="2"/>
          <w:szCs w:val="20"/>
        </w:rPr>
      </w:pPr>
    </w:p>
    <w:p w:rsidR="001A004C" w:rsidRDefault="001A004C" w:rsidP="001A004C">
      <w:pPr>
        <w:spacing w:line="240" w:lineRule="auto"/>
        <w:jc w:val="both"/>
        <w:rPr>
          <w:rFonts w:eastAsia="Calibri" w:cs="Arial"/>
          <w:b/>
          <w:bCs/>
          <w:kern w:val="2"/>
          <w:szCs w:val="20"/>
          <w:lang w:eastAsia="sl-SI"/>
        </w:rPr>
      </w:pPr>
      <w:r>
        <w:rPr>
          <w:rFonts w:eastAsia="Calibri" w:cs="Arial"/>
          <w:b/>
          <w:bCs/>
          <w:kern w:val="2"/>
          <w:szCs w:val="20"/>
          <w:lang w:eastAsia="sl-SI"/>
        </w:rPr>
        <w:t>Obrazložitev:</w:t>
      </w:r>
    </w:p>
    <w:p w:rsidR="001A004C" w:rsidRDefault="001A004C" w:rsidP="001A004C">
      <w:pPr>
        <w:spacing w:line="240" w:lineRule="auto"/>
        <w:jc w:val="both"/>
        <w:rPr>
          <w:rFonts w:eastAsia="Calibri" w:cs="Arial"/>
          <w:kern w:val="2"/>
          <w:szCs w:val="20"/>
        </w:rPr>
      </w:pPr>
      <w:r>
        <w:rPr>
          <w:rFonts w:eastAsia="Calibri" w:cs="Arial"/>
          <w:kern w:val="2"/>
          <w:szCs w:val="20"/>
        </w:rPr>
        <w:t xml:space="preserve">Amandma sledi mnenju Zakonodajno pravne komisije Državnega zbora RS. Podatki o kandidatih se objavijo z namenom informiranja volivcev in splošne seznanitve javnosti. Zato so podatki objavljeni zgolj na spletnih staranih Državne volilne komisije v informacijskem sistemu </w:t>
      </w:r>
      <w:proofErr w:type="spellStart"/>
      <w:r>
        <w:rPr>
          <w:rFonts w:eastAsia="Calibri" w:cs="Arial"/>
          <w:kern w:val="2"/>
          <w:szCs w:val="20"/>
        </w:rPr>
        <w:t>isDVK</w:t>
      </w:r>
      <w:proofErr w:type="spellEnd"/>
      <w:r>
        <w:rPr>
          <w:rFonts w:eastAsia="Calibri" w:cs="Arial"/>
          <w:kern w:val="2"/>
          <w:szCs w:val="20"/>
        </w:rPr>
        <w:t>, občine pa lahko na svojih spletnih straneh naredijo povezavo nanj.</w:t>
      </w: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17. členu:</w:t>
      </w:r>
    </w:p>
    <w:p w:rsidR="001A004C" w:rsidRDefault="001A004C" w:rsidP="001A004C">
      <w:pPr>
        <w:spacing w:line="240" w:lineRule="auto"/>
        <w:jc w:val="both"/>
        <w:rPr>
          <w:rFonts w:eastAsia="Calibri" w:cs="Arial"/>
          <w:kern w:val="2"/>
          <w:szCs w:val="20"/>
        </w:rPr>
      </w:pPr>
    </w:p>
    <w:p w:rsidR="001A004C" w:rsidRDefault="001A004C" w:rsidP="001A004C">
      <w:pPr>
        <w:spacing w:line="240" w:lineRule="auto"/>
        <w:jc w:val="both"/>
        <w:rPr>
          <w:rFonts w:eastAsia="Calibri" w:cs="Arial"/>
          <w:kern w:val="2"/>
          <w:szCs w:val="20"/>
        </w:rPr>
      </w:pPr>
      <w:r>
        <w:rPr>
          <w:rFonts w:eastAsia="Calibri" w:cs="Arial"/>
          <w:kern w:val="2"/>
          <w:szCs w:val="20"/>
        </w:rPr>
        <w:t>Besedilo 17. člena se spremeni tako, da se glasi:</w:t>
      </w:r>
    </w:p>
    <w:p w:rsidR="001A004C" w:rsidRDefault="001A004C" w:rsidP="001A004C">
      <w:pPr>
        <w:autoSpaceDE w:val="0"/>
        <w:autoSpaceDN w:val="0"/>
        <w:adjustRightInd w:val="0"/>
        <w:spacing w:line="240" w:lineRule="auto"/>
        <w:jc w:val="both"/>
        <w:rPr>
          <w:rFonts w:eastAsia="Calibri" w:cs="Arial"/>
          <w:szCs w:val="20"/>
        </w:rPr>
      </w:pPr>
      <w:r>
        <w:rPr>
          <w:rFonts w:eastAsia="Calibri" w:cs="Arial"/>
          <w:szCs w:val="20"/>
        </w:rPr>
        <w:t>»93. člen se spremeni tako, da se glasi:</w:t>
      </w:r>
    </w:p>
    <w:p w:rsidR="001A004C" w:rsidRDefault="001A004C" w:rsidP="001A004C">
      <w:pPr>
        <w:autoSpaceDE w:val="0"/>
        <w:autoSpaceDN w:val="0"/>
        <w:adjustRightInd w:val="0"/>
        <w:spacing w:line="240" w:lineRule="auto"/>
        <w:jc w:val="both"/>
        <w:rPr>
          <w:rFonts w:eastAsia="Calibri" w:cs="Arial"/>
          <w:szCs w:val="20"/>
        </w:rPr>
      </w:pPr>
    </w:p>
    <w:p w:rsidR="001A004C" w:rsidRDefault="001A004C" w:rsidP="001A004C">
      <w:pPr>
        <w:autoSpaceDE w:val="0"/>
        <w:autoSpaceDN w:val="0"/>
        <w:adjustRightInd w:val="0"/>
        <w:spacing w:line="240" w:lineRule="auto"/>
        <w:jc w:val="center"/>
        <w:rPr>
          <w:rFonts w:eastAsia="Calibri" w:cs="Arial"/>
          <w:szCs w:val="20"/>
        </w:rPr>
      </w:pPr>
      <w:r>
        <w:rPr>
          <w:rFonts w:eastAsia="Calibri" w:cs="Arial"/>
          <w:szCs w:val="20"/>
        </w:rPr>
        <w:t>»93. člen</w:t>
      </w:r>
    </w:p>
    <w:p w:rsidR="001A004C" w:rsidRDefault="001A004C" w:rsidP="001A004C">
      <w:pPr>
        <w:autoSpaceDE w:val="0"/>
        <w:autoSpaceDN w:val="0"/>
        <w:adjustRightInd w:val="0"/>
        <w:spacing w:line="240" w:lineRule="auto"/>
        <w:jc w:val="both"/>
        <w:rPr>
          <w:rFonts w:eastAsia="Calibri" w:cs="Arial"/>
          <w:szCs w:val="20"/>
        </w:rPr>
      </w:pPr>
    </w:p>
    <w:p w:rsidR="001A004C" w:rsidRDefault="001A004C" w:rsidP="001A004C">
      <w:pPr>
        <w:spacing w:line="240" w:lineRule="auto"/>
        <w:jc w:val="both"/>
        <w:rPr>
          <w:rFonts w:eastAsia="Calibri" w:cs="Arial"/>
          <w:kern w:val="2"/>
          <w:szCs w:val="20"/>
        </w:rPr>
      </w:pPr>
      <w:r>
        <w:rPr>
          <w:rFonts w:eastAsia="Calibri" w:cs="Arial"/>
          <w:szCs w:val="20"/>
        </w:rPr>
        <w:t>Ponovne volitve se opravijo v primerih iz šestega odstavka 98. člena in prvega odstavka 102.c člena tega zakona.«</w:t>
      </w:r>
      <w:r>
        <w:rPr>
          <w:rFonts w:eastAsia="Calibri" w:cs="Arial"/>
          <w:kern w:val="2"/>
          <w:szCs w:val="20"/>
        </w:rPr>
        <w:t>.«</w:t>
      </w:r>
    </w:p>
    <w:p w:rsidR="001A004C" w:rsidRDefault="001A004C" w:rsidP="001A004C">
      <w:pPr>
        <w:spacing w:line="240" w:lineRule="auto"/>
        <w:jc w:val="both"/>
        <w:rPr>
          <w:rFonts w:eastAsia="Calibri" w:cs="Arial"/>
          <w:b/>
          <w:bCs/>
          <w:kern w:val="2"/>
          <w:szCs w:val="20"/>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spacing w:line="240" w:lineRule="auto"/>
        <w:jc w:val="both"/>
        <w:rPr>
          <w:rFonts w:eastAsia="Calibri" w:cs="Arial"/>
          <w:kern w:val="2"/>
          <w:szCs w:val="20"/>
        </w:rPr>
      </w:pPr>
      <w:r>
        <w:rPr>
          <w:rFonts w:eastAsia="Calibri" w:cs="Arial"/>
          <w:kern w:val="2"/>
          <w:szCs w:val="20"/>
        </w:rPr>
        <w:t>Amandma sledi mnenju Zakonodajno pravne komisije Državnega zbora RS. Vsebinsko gre za konkretizacijo sklica na določbo prvega odstavka 102.c člena ZLV.</w:t>
      </w:r>
    </w:p>
    <w:p w:rsidR="001A004C" w:rsidRDefault="001A004C" w:rsidP="001A004C">
      <w:pPr>
        <w:shd w:val="clear" w:color="auto" w:fill="FFFFFF"/>
        <w:spacing w:line="240" w:lineRule="auto"/>
        <w:jc w:val="both"/>
        <w:rPr>
          <w:rFonts w:eastAsia="Calibri" w:cs="Arial"/>
          <w:kern w:val="2"/>
          <w:szCs w:val="20"/>
          <w:u w:val="single"/>
        </w:rPr>
      </w:pPr>
    </w:p>
    <w:p w:rsidR="001A004C" w:rsidRDefault="001A004C" w:rsidP="001A004C">
      <w:pPr>
        <w:shd w:val="clear" w:color="auto" w:fill="FFFFFF"/>
        <w:spacing w:line="240" w:lineRule="auto"/>
        <w:jc w:val="both"/>
        <w:rPr>
          <w:rFonts w:eastAsia="Calibri" w:cs="Arial"/>
          <w:kern w:val="2"/>
          <w:szCs w:val="20"/>
          <w:u w:val="single"/>
        </w:rPr>
      </w:pPr>
    </w:p>
    <w:p w:rsidR="001A004C" w:rsidRDefault="001A004C" w:rsidP="001A004C">
      <w:pPr>
        <w:shd w:val="clear" w:color="auto" w:fill="FFFFFF"/>
        <w:spacing w:line="240" w:lineRule="auto"/>
        <w:jc w:val="both"/>
        <w:rPr>
          <w:rFonts w:eastAsia="Calibri" w:cs="Arial"/>
          <w:b/>
          <w:bCs/>
          <w:kern w:val="2"/>
          <w:szCs w:val="20"/>
          <w:u w:val="single"/>
        </w:rPr>
      </w:pPr>
      <w:r>
        <w:rPr>
          <w:rFonts w:eastAsia="Calibri" w:cs="Arial"/>
          <w:b/>
          <w:bCs/>
          <w:kern w:val="2"/>
          <w:szCs w:val="20"/>
          <w:u w:val="single"/>
        </w:rPr>
        <w:t>K 21. členu:</w:t>
      </w:r>
    </w:p>
    <w:p w:rsidR="001A004C" w:rsidRDefault="001A004C" w:rsidP="001A004C">
      <w:pPr>
        <w:shd w:val="clear" w:color="auto" w:fill="FFFFFF"/>
        <w:spacing w:line="240" w:lineRule="auto"/>
        <w:jc w:val="both"/>
        <w:rPr>
          <w:rFonts w:eastAsia="Calibri" w:cs="Arial"/>
          <w:kern w:val="2"/>
          <w:szCs w:val="20"/>
        </w:rPr>
      </w:pPr>
      <w:r>
        <w:rPr>
          <w:rFonts w:eastAsia="Calibri" w:cs="Arial"/>
          <w:kern w:val="2"/>
          <w:szCs w:val="20"/>
        </w:rPr>
        <w:t>V prvem odstavku 99. člena se v drugem stavku beseda »tega« črta.</w:t>
      </w:r>
    </w:p>
    <w:p w:rsidR="001A004C" w:rsidRDefault="001A004C" w:rsidP="001A004C">
      <w:pPr>
        <w:shd w:val="clear" w:color="auto" w:fill="FFFFFF"/>
        <w:spacing w:line="240" w:lineRule="auto"/>
        <w:jc w:val="both"/>
        <w:rPr>
          <w:rFonts w:eastAsia="Calibri" w:cs="Arial"/>
          <w:kern w:val="2"/>
          <w:szCs w:val="20"/>
        </w:rPr>
      </w:pPr>
    </w:p>
    <w:p w:rsidR="001A004C" w:rsidRDefault="001A004C" w:rsidP="001A004C">
      <w:pPr>
        <w:shd w:val="clear" w:color="auto" w:fill="FFFFFF"/>
        <w:spacing w:line="240" w:lineRule="auto"/>
        <w:jc w:val="both"/>
        <w:rPr>
          <w:rFonts w:eastAsia="Calibri" w:cs="Arial"/>
          <w:kern w:val="2"/>
          <w:szCs w:val="20"/>
        </w:rPr>
      </w:pPr>
      <w:r>
        <w:rPr>
          <w:rFonts w:eastAsia="Calibri" w:cs="Arial"/>
          <w:kern w:val="2"/>
          <w:szCs w:val="20"/>
        </w:rPr>
        <w:t>V drugem odstavku 99. člena se za besedilom »iz drugega odstavka prejšnjega člena« beseda »tega« črta.</w:t>
      </w:r>
    </w:p>
    <w:p w:rsidR="001A004C" w:rsidRDefault="001A004C" w:rsidP="001A004C">
      <w:pPr>
        <w:tabs>
          <w:tab w:val="left" w:pos="993"/>
        </w:tabs>
        <w:spacing w:line="240" w:lineRule="auto"/>
        <w:jc w:val="both"/>
        <w:rPr>
          <w:rFonts w:eastAsia="Calibri" w:cs="Arial"/>
          <w:kern w:val="2"/>
          <w:szCs w:val="20"/>
        </w:rPr>
      </w:pPr>
    </w:p>
    <w:p w:rsidR="001A004C" w:rsidRDefault="001A004C" w:rsidP="001A004C">
      <w:pPr>
        <w:tabs>
          <w:tab w:val="left" w:pos="993"/>
        </w:tabs>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tabs>
          <w:tab w:val="left" w:pos="3463"/>
        </w:tabs>
        <w:spacing w:line="240" w:lineRule="auto"/>
        <w:jc w:val="both"/>
        <w:rPr>
          <w:rFonts w:eastAsia="Calibri" w:cs="Arial"/>
          <w:kern w:val="2"/>
          <w:szCs w:val="20"/>
        </w:rPr>
      </w:pPr>
      <w:r>
        <w:rPr>
          <w:rFonts w:eastAsia="Calibri" w:cs="Arial"/>
          <w:kern w:val="2"/>
          <w:szCs w:val="20"/>
        </w:rPr>
        <w:t>Gre za odpravo slovničnih napak, ki vplivata na nejasnost določbe, zato je besedi v obeh odstavkih treba črtati.</w:t>
      </w: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22. členu:</w:t>
      </w:r>
    </w:p>
    <w:p w:rsidR="001A004C" w:rsidRDefault="001A004C" w:rsidP="001A004C">
      <w:pPr>
        <w:shd w:val="clear" w:color="auto" w:fill="FFFFFF"/>
        <w:spacing w:line="240" w:lineRule="auto"/>
        <w:jc w:val="both"/>
        <w:rPr>
          <w:rFonts w:eastAsia="Calibri" w:cs="Arial"/>
          <w:kern w:val="2"/>
          <w:szCs w:val="20"/>
        </w:rPr>
      </w:pPr>
      <w:r>
        <w:rPr>
          <w:rFonts w:eastAsia="Calibri" w:cs="Arial"/>
          <w:kern w:val="2"/>
          <w:szCs w:val="20"/>
        </w:rPr>
        <w:t xml:space="preserve">V besedilu 22. člena se prvi odstavek 100. člena spremeni tako, da se glasi: </w:t>
      </w:r>
    </w:p>
    <w:p w:rsidR="001A004C" w:rsidRDefault="001A004C" w:rsidP="001A004C">
      <w:pPr>
        <w:tabs>
          <w:tab w:val="left" w:pos="0"/>
        </w:tabs>
        <w:spacing w:line="240" w:lineRule="auto"/>
        <w:jc w:val="both"/>
        <w:rPr>
          <w:rFonts w:eastAsia="Calibri" w:cs="Arial"/>
          <w:kern w:val="2"/>
          <w:szCs w:val="20"/>
        </w:rPr>
      </w:pPr>
    </w:p>
    <w:p w:rsidR="001A004C" w:rsidRDefault="001A004C" w:rsidP="001A004C">
      <w:pPr>
        <w:tabs>
          <w:tab w:val="left" w:pos="0"/>
        </w:tabs>
        <w:spacing w:line="240" w:lineRule="auto"/>
        <w:jc w:val="both"/>
        <w:rPr>
          <w:rFonts w:eastAsia="Calibri" w:cs="Arial"/>
          <w:kern w:val="2"/>
          <w:szCs w:val="20"/>
        </w:rPr>
      </w:pPr>
      <w:r>
        <w:rPr>
          <w:rFonts w:eastAsia="Calibri" w:cs="Arial"/>
          <w:kern w:val="2"/>
          <w:szCs w:val="20"/>
        </w:rPr>
        <w:t>»V postopku pred sodiščem lahko stranka opravlja procesna dejanja samo po pooblaščencu, ki je odvetnik ali odvetniška družba, razen, če je stranka sama odvetnik, občinska volilna komisija ali občina, pa tudi po občinskem odvetniku ali drugi pooblaščeni osebi, zaposleni na občini, ki izpolnjuje pogoje za občinskega odvetnika v skladu z zakonom, ki ureja lokalno samoupravo. Če tožba ni vložena po pooblaščencu, ki je oseba iz prejšnjega stavka, sodišče ravna v skladu s 102.a členom tega zakona, preostalih vlog, ki niso vložene po pooblaščencu, ki je oseba iz prejšnjega stavka, pa ne upošteva.«</w:t>
      </w:r>
    </w:p>
    <w:p w:rsidR="001A004C" w:rsidRDefault="001A004C" w:rsidP="001A004C">
      <w:pPr>
        <w:tabs>
          <w:tab w:val="left" w:pos="0"/>
        </w:tabs>
        <w:spacing w:line="240" w:lineRule="auto"/>
        <w:jc w:val="both"/>
        <w:rPr>
          <w:rFonts w:eastAsia="Calibri" w:cs="Arial"/>
          <w:kern w:val="2"/>
          <w:szCs w:val="20"/>
        </w:rPr>
      </w:pPr>
    </w:p>
    <w:p w:rsidR="001A004C" w:rsidRDefault="001A004C" w:rsidP="001A004C">
      <w:pPr>
        <w:autoSpaceDE w:val="0"/>
        <w:autoSpaceDN w:val="0"/>
        <w:adjustRightInd w:val="0"/>
        <w:spacing w:line="240" w:lineRule="auto"/>
        <w:jc w:val="both"/>
        <w:rPr>
          <w:rFonts w:eastAsia="Calibri" w:cs="Arial"/>
          <w:kern w:val="2"/>
          <w:szCs w:val="20"/>
        </w:rPr>
      </w:pPr>
      <w:r>
        <w:rPr>
          <w:rFonts w:eastAsia="Calibri" w:cs="Arial"/>
          <w:kern w:val="2"/>
          <w:szCs w:val="20"/>
        </w:rPr>
        <w:t>Šesti odstavek 100. člena se spremeni tako, da se glasi:</w:t>
      </w:r>
    </w:p>
    <w:p w:rsidR="001A004C" w:rsidRDefault="001A004C" w:rsidP="001A004C">
      <w:pPr>
        <w:autoSpaceDE w:val="0"/>
        <w:autoSpaceDN w:val="0"/>
        <w:adjustRightInd w:val="0"/>
        <w:spacing w:line="240" w:lineRule="auto"/>
        <w:jc w:val="both"/>
        <w:rPr>
          <w:rFonts w:eastAsia="Calibri" w:cs="Arial"/>
          <w:kern w:val="2"/>
          <w:szCs w:val="20"/>
        </w:rPr>
      </w:pPr>
    </w:p>
    <w:p w:rsidR="001A004C" w:rsidRDefault="001A004C" w:rsidP="001A004C">
      <w:pPr>
        <w:autoSpaceDE w:val="0"/>
        <w:autoSpaceDN w:val="0"/>
        <w:adjustRightInd w:val="0"/>
        <w:spacing w:line="240" w:lineRule="auto"/>
        <w:jc w:val="both"/>
        <w:rPr>
          <w:rFonts w:eastAsia="Calibri" w:cs="Arial"/>
          <w:kern w:val="2"/>
          <w:szCs w:val="20"/>
        </w:rPr>
      </w:pPr>
      <w:r>
        <w:rPr>
          <w:rFonts w:eastAsia="Calibri" w:cs="Arial"/>
          <w:szCs w:val="20"/>
        </w:rPr>
        <w:t>»Ne glede na prejšnji odstavek se lahko nova dejstva in dokazi navajajo do konca naroka za glavno obravnavo, če jih stranke brez svoje krivde niso mogle navesti v tožbi oziroma v odgovoru na tožbo oziroma v opredelitvi iz drugega odstavka tega člena ali če njihova dopustitev po presoji sodišča ne bi zavlekla reševanja spora.«.</w:t>
      </w:r>
    </w:p>
    <w:p w:rsidR="001A004C" w:rsidRDefault="001A004C" w:rsidP="001A004C">
      <w:pPr>
        <w:autoSpaceDE w:val="0"/>
        <w:autoSpaceDN w:val="0"/>
        <w:adjustRightInd w:val="0"/>
        <w:spacing w:line="240" w:lineRule="auto"/>
        <w:jc w:val="both"/>
        <w:rPr>
          <w:rFonts w:eastAsia="Calibri" w:cs="Arial"/>
          <w:kern w:val="2"/>
          <w:szCs w:val="20"/>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tabs>
          <w:tab w:val="left" w:pos="3463"/>
        </w:tabs>
        <w:spacing w:line="240" w:lineRule="auto"/>
        <w:jc w:val="both"/>
        <w:rPr>
          <w:rFonts w:eastAsia="Calibri" w:cs="Arial"/>
          <w:kern w:val="2"/>
          <w:szCs w:val="20"/>
        </w:rPr>
      </w:pPr>
      <w:r>
        <w:rPr>
          <w:rFonts w:eastAsia="Calibri" w:cs="Arial"/>
          <w:kern w:val="2"/>
          <w:szCs w:val="20"/>
        </w:rPr>
        <w:t xml:space="preserve">Amandma k prvemu odstavku omogoča občinam, da jih na sodišču predstavljajo tudi drugi zaposleni v občinski upravi, pod pogojem, da imajo opravljen pravniški  državni izpit. Številne manjše občine nimajo zaposlenih občinskih odvetnikov, imajo pa zaposlene pravnike z navedenim izpitom.  Amandma k šestemu odstavku sledi mnenju Zakonodajno pravne komisije Državnega zbora RS, tako je omogočeno, da se nova dejstva in dokazi navajajo do konca naroka za glavno obravnavo, </w:t>
      </w:r>
      <w:r>
        <w:rPr>
          <w:rFonts w:eastAsia="Calibri" w:cs="Arial"/>
          <w:szCs w:val="20"/>
        </w:rPr>
        <w:t>če jih stranke brez svoje krivde niso mogle navesti v tožbi oziroma v odgovoru na tožbo.</w:t>
      </w: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kern w:val="2"/>
          <w:szCs w:val="20"/>
          <w:u w:val="single"/>
        </w:rPr>
      </w:pPr>
    </w:p>
    <w:p w:rsidR="001A004C" w:rsidRDefault="001A004C" w:rsidP="001A004C">
      <w:pPr>
        <w:spacing w:line="240" w:lineRule="auto"/>
        <w:jc w:val="both"/>
        <w:rPr>
          <w:rFonts w:eastAsia="Calibri" w:cs="Arial"/>
          <w:b/>
          <w:bCs/>
          <w:kern w:val="2"/>
          <w:szCs w:val="20"/>
          <w:u w:val="single"/>
        </w:rPr>
      </w:pPr>
      <w:r>
        <w:rPr>
          <w:rFonts w:eastAsia="Calibri" w:cs="Arial"/>
          <w:b/>
          <w:bCs/>
          <w:kern w:val="2"/>
          <w:szCs w:val="20"/>
          <w:u w:val="single"/>
        </w:rPr>
        <w:t>K 29. členu:</w:t>
      </w:r>
    </w:p>
    <w:p w:rsidR="001A004C" w:rsidRDefault="001A004C" w:rsidP="001A004C">
      <w:pPr>
        <w:autoSpaceDE w:val="0"/>
        <w:autoSpaceDN w:val="0"/>
        <w:adjustRightInd w:val="0"/>
        <w:spacing w:line="240" w:lineRule="auto"/>
        <w:jc w:val="both"/>
        <w:rPr>
          <w:rFonts w:eastAsia="Calibri" w:cs="Arial"/>
          <w:kern w:val="2"/>
          <w:szCs w:val="20"/>
        </w:rPr>
      </w:pPr>
      <w:r>
        <w:rPr>
          <w:rFonts w:eastAsia="Calibri" w:cs="Arial"/>
          <w:kern w:val="2"/>
          <w:szCs w:val="20"/>
        </w:rPr>
        <w:t xml:space="preserve">V 29. členu se v 3. točki v besedilu prve alineje za besedo »seznanitvi« dodata besedi »občinskega sveta«. </w:t>
      </w:r>
    </w:p>
    <w:p w:rsidR="001A004C" w:rsidRDefault="001A004C" w:rsidP="001A004C">
      <w:pPr>
        <w:autoSpaceDE w:val="0"/>
        <w:autoSpaceDN w:val="0"/>
        <w:adjustRightInd w:val="0"/>
        <w:spacing w:line="240" w:lineRule="auto"/>
        <w:jc w:val="both"/>
        <w:rPr>
          <w:rFonts w:eastAsia="Calibri" w:cs="Arial"/>
          <w:kern w:val="2"/>
          <w:szCs w:val="20"/>
        </w:rPr>
      </w:pPr>
    </w:p>
    <w:p w:rsidR="001A004C" w:rsidRDefault="001A004C" w:rsidP="001A004C">
      <w:pPr>
        <w:autoSpaceDE w:val="0"/>
        <w:autoSpaceDN w:val="0"/>
        <w:adjustRightInd w:val="0"/>
        <w:spacing w:line="240" w:lineRule="auto"/>
        <w:jc w:val="both"/>
        <w:rPr>
          <w:rFonts w:eastAsia="Calibri" w:cs="Arial"/>
          <w:kern w:val="2"/>
          <w:szCs w:val="20"/>
        </w:rPr>
      </w:pPr>
      <w:r>
        <w:rPr>
          <w:rFonts w:eastAsia="Calibri" w:cs="Arial"/>
          <w:kern w:val="2"/>
          <w:szCs w:val="20"/>
        </w:rPr>
        <w:t>V 29. členu se v 3. točki besedilo četrte alineje spremeni tako, da se glasi:</w:t>
      </w:r>
    </w:p>
    <w:p w:rsidR="001A004C" w:rsidRDefault="001A004C" w:rsidP="001A004C">
      <w:pPr>
        <w:autoSpaceDE w:val="0"/>
        <w:autoSpaceDN w:val="0"/>
        <w:adjustRightInd w:val="0"/>
        <w:spacing w:line="240" w:lineRule="auto"/>
        <w:jc w:val="both"/>
        <w:rPr>
          <w:rFonts w:eastAsia="Calibri" w:cs="Arial"/>
          <w:szCs w:val="20"/>
        </w:rPr>
      </w:pPr>
      <w:r>
        <w:rPr>
          <w:rFonts w:eastAsia="Calibri" w:cs="Arial"/>
          <w:kern w:val="2"/>
          <w:szCs w:val="20"/>
          <w:shd w:val="clear" w:color="auto" w:fill="FFFFFF"/>
        </w:rPr>
        <w:t>»</w:t>
      </w:r>
      <w:r>
        <w:rPr>
          <w:rFonts w:eastAsia="Calibri" w:cs="Arial"/>
          <w:szCs w:val="20"/>
        </w:rPr>
        <w:t>– dosedanji peti odstavek, ki postane šesti odstavek, se spremeni tako, da se glasi:</w:t>
      </w:r>
    </w:p>
    <w:p w:rsidR="001A004C" w:rsidRDefault="001A004C" w:rsidP="001A004C">
      <w:pPr>
        <w:autoSpaceDE w:val="0"/>
        <w:autoSpaceDN w:val="0"/>
        <w:adjustRightInd w:val="0"/>
        <w:spacing w:line="240" w:lineRule="auto"/>
        <w:jc w:val="both"/>
        <w:rPr>
          <w:rFonts w:eastAsia="Calibri" w:cs="Arial"/>
          <w:kern w:val="2"/>
          <w:szCs w:val="20"/>
          <w:shd w:val="clear" w:color="auto" w:fill="FFFFFF"/>
        </w:rPr>
      </w:pPr>
      <w:r>
        <w:rPr>
          <w:rFonts w:eastAsia="Calibri" w:cs="Arial"/>
          <w:szCs w:val="20"/>
        </w:rPr>
        <w:t>»</w:t>
      </w:r>
      <w:r>
        <w:rPr>
          <w:rFonts w:eastAsia="Calibri" w:cs="Arial"/>
          <w:kern w:val="2"/>
          <w:szCs w:val="20"/>
          <w:shd w:val="clear" w:color="auto" w:fill="FFFFFF"/>
        </w:rPr>
        <w:t>Postopki za nadomestitev člana občinskega sveta ali izvolitev novega župana se lahko začno po preteku roka za vložitev tožbe, če tožba ni vložena, po preteku roka za vložitev pritožbe zoper odločitev upravnega sodišča, če pritožba ni vložena, oziroma po pravnomočni odločitvi sodišča. Ta odstavek se ne uporablja za primere iz tretjega odstavka tega člena.«.«</w:t>
      </w:r>
    </w:p>
    <w:p w:rsidR="001A004C" w:rsidRDefault="001A004C" w:rsidP="001A004C">
      <w:pPr>
        <w:autoSpaceDE w:val="0"/>
        <w:autoSpaceDN w:val="0"/>
        <w:adjustRightInd w:val="0"/>
        <w:spacing w:line="240" w:lineRule="auto"/>
        <w:jc w:val="both"/>
        <w:rPr>
          <w:rFonts w:eastAsia="Calibri" w:cs="Arial"/>
          <w:kern w:val="2"/>
          <w:szCs w:val="20"/>
        </w:rPr>
      </w:pPr>
    </w:p>
    <w:p w:rsidR="001A004C" w:rsidRDefault="001A004C" w:rsidP="001A004C">
      <w:pPr>
        <w:spacing w:line="240" w:lineRule="auto"/>
        <w:jc w:val="both"/>
        <w:rPr>
          <w:rFonts w:eastAsia="Calibri" w:cs="Arial"/>
          <w:b/>
          <w:bCs/>
          <w:kern w:val="2"/>
          <w:szCs w:val="20"/>
        </w:rPr>
      </w:pPr>
      <w:r>
        <w:rPr>
          <w:rFonts w:eastAsia="Calibri" w:cs="Arial"/>
          <w:b/>
          <w:bCs/>
          <w:kern w:val="2"/>
          <w:szCs w:val="20"/>
        </w:rPr>
        <w:t>Obrazložitev:</w:t>
      </w:r>
    </w:p>
    <w:p w:rsidR="001A004C" w:rsidRDefault="001A004C" w:rsidP="001A004C">
      <w:pPr>
        <w:spacing w:line="288" w:lineRule="auto"/>
        <w:rPr>
          <w:rFonts w:cs="Arial"/>
          <w:szCs w:val="22"/>
          <w:highlight w:val="green"/>
        </w:rPr>
      </w:pPr>
      <w:r>
        <w:rPr>
          <w:rFonts w:eastAsia="Calibri" w:cs="Arial"/>
          <w:kern w:val="2"/>
          <w:szCs w:val="20"/>
        </w:rPr>
        <w:t>Amandma sledi mnenju Zakonodajno pravne komisije Državnega zbora RS.</w:t>
      </w:r>
    </w:p>
    <w:p w:rsidR="001A004C" w:rsidRDefault="001A004C" w:rsidP="001A004C">
      <w:pPr>
        <w:spacing w:line="288" w:lineRule="auto"/>
        <w:rPr>
          <w:rFonts w:cs="Arial"/>
          <w:szCs w:val="22"/>
          <w:highlight w:val="green"/>
        </w:rPr>
      </w:pPr>
    </w:p>
    <w:p w:rsidR="00782FD4" w:rsidRPr="00EC13B0" w:rsidRDefault="00782FD4" w:rsidP="001A004C">
      <w:pPr>
        <w:autoSpaceDE w:val="0"/>
        <w:autoSpaceDN w:val="0"/>
        <w:adjustRightInd w:val="0"/>
      </w:pPr>
      <w:bookmarkStart w:id="1" w:name="_GoBack"/>
      <w:bookmarkEnd w:id="1"/>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7AAD" w:rsidRDefault="00567AAD" w:rsidP="00767987">
      <w:pPr>
        <w:spacing w:line="240" w:lineRule="auto"/>
      </w:pPr>
      <w:r>
        <w:separator/>
      </w:r>
    </w:p>
  </w:endnote>
  <w:endnote w:type="continuationSeparator" w:id="0">
    <w:p w:rsidR="00567AAD" w:rsidRDefault="00567AAD"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7FB" w:rsidRDefault="005A17F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7FB" w:rsidRDefault="005A17F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7FB" w:rsidRDefault="005A17F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7AAD" w:rsidRDefault="00567AAD" w:rsidP="00767987">
      <w:pPr>
        <w:spacing w:line="240" w:lineRule="auto"/>
      </w:pPr>
      <w:r>
        <w:separator/>
      </w:r>
    </w:p>
  </w:footnote>
  <w:footnote w:type="continuationSeparator" w:id="0">
    <w:p w:rsidR="00567AAD" w:rsidRDefault="00567AAD"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7FB" w:rsidRDefault="005A17F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7FB" w:rsidRDefault="005A17F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004C"/>
    <w:rsid w:val="001A2469"/>
    <w:rsid w:val="00204177"/>
    <w:rsid w:val="00366636"/>
    <w:rsid w:val="00367DE6"/>
    <w:rsid w:val="003B3E19"/>
    <w:rsid w:val="004076C6"/>
    <w:rsid w:val="0046756D"/>
    <w:rsid w:val="004B7F76"/>
    <w:rsid w:val="004E1BCE"/>
    <w:rsid w:val="0056541B"/>
    <w:rsid w:val="00567AAD"/>
    <w:rsid w:val="00592079"/>
    <w:rsid w:val="005A17FB"/>
    <w:rsid w:val="005D5957"/>
    <w:rsid w:val="00676475"/>
    <w:rsid w:val="00682FFE"/>
    <w:rsid w:val="006C69EC"/>
    <w:rsid w:val="007039D0"/>
    <w:rsid w:val="00710C90"/>
    <w:rsid w:val="00767987"/>
    <w:rsid w:val="00782FD4"/>
    <w:rsid w:val="00811140"/>
    <w:rsid w:val="00896FBD"/>
    <w:rsid w:val="008A3F94"/>
    <w:rsid w:val="008B6A6A"/>
    <w:rsid w:val="00904A48"/>
    <w:rsid w:val="009510F6"/>
    <w:rsid w:val="00980294"/>
    <w:rsid w:val="009C5392"/>
    <w:rsid w:val="00A50E4B"/>
    <w:rsid w:val="00A9231D"/>
    <w:rsid w:val="00B40287"/>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1917089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1455</Words>
  <Characters>8295</Characters>
  <Application>Microsoft Office Word</Application>
  <DocSecurity>0</DocSecurity>
  <Lines>69</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2024-10-30T08:52:00Z</dcterms:created>
  <dcterms:modified xsi:type="dcterms:W3CDTF">2024-10-30T08:52:00Z</dcterms:modified>
</cp:coreProperties>
</file>