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343A15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54154">
        <w:rPr>
          <w:rFonts w:cs="Arial"/>
          <w:color w:val="000000"/>
        </w:rPr>
        <w:t>2024-1611-0045</w:t>
      </w:r>
    </w:p>
    <w:p w:rsidR="00896FBD" w:rsidRDefault="00896FBD" w:rsidP="00343A15">
      <w:pPr>
        <w:pStyle w:val="datumtevilka"/>
      </w:pPr>
      <w:r>
        <w:t xml:space="preserve">Številka: </w:t>
      </w:r>
      <w:r>
        <w:tab/>
      </w:r>
      <w:r w:rsidR="00754154">
        <w:rPr>
          <w:rFonts w:cs="Arial"/>
          <w:color w:val="000000"/>
        </w:rPr>
        <w:t>00704-243/2024/12</w:t>
      </w:r>
    </w:p>
    <w:p w:rsidR="00896FBD" w:rsidRDefault="00896FBD" w:rsidP="00343A15">
      <w:pPr>
        <w:pStyle w:val="datumtevilka"/>
      </w:pPr>
      <w:r>
        <w:t>Datum:</w:t>
      </w:r>
      <w:r>
        <w:tab/>
      </w:r>
      <w:r w:rsidR="00754154">
        <w:rPr>
          <w:rFonts w:cs="Arial"/>
          <w:color w:val="000000"/>
        </w:rPr>
        <w:t>24. 10. 2024</w:t>
      </w:r>
      <w:r>
        <w:t xml:space="preserve"> </w:t>
      </w:r>
    </w:p>
    <w:p w:rsidR="00896FBD" w:rsidRDefault="00896FBD" w:rsidP="00343A15"/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Pr="00C12F43" w:rsidRDefault="00754154" w:rsidP="00C12F43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 w:rsidRPr="00C12F43">
        <w:rPr>
          <w:rFonts w:cs="Arial"/>
          <w:b/>
          <w:color w:val="000000"/>
          <w:szCs w:val="20"/>
        </w:rPr>
        <w:t>Predlog amandmajev k Predlogu zakona o spremembah in dopolnitvah Zakona o davčnem potrjevanju računov</w:t>
      </w:r>
    </w:p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896FBD" w:rsidRDefault="00896FBD" w:rsidP="00343A1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12F43" w:rsidRDefault="00C12F43" w:rsidP="00C12F43">
      <w:pPr>
        <w:spacing w:line="260" w:lineRule="atLeast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>K 1. členu:</w:t>
      </w:r>
    </w:p>
    <w:p w:rsidR="00C12F43" w:rsidRDefault="00C12F43" w:rsidP="00C12F43">
      <w:pPr>
        <w:shd w:val="clear" w:color="auto" w:fill="FFFFFF"/>
        <w:spacing w:line="240" w:lineRule="auto"/>
        <w:jc w:val="center"/>
        <w:rPr>
          <w:rFonts w:eastAsia="Calibri" w:cs="Arial"/>
          <w:b/>
          <w:szCs w:val="20"/>
          <w:lang w:eastAsia="sl-SI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Zakonu o davčnem potrjevanju računov (Uradni list RS, </w:t>
      </w:r>
      <w:r w:rsidRPr="00C12F43">
        <w:rPr>
          <w:rFonts w:cs="Arial"/>
          <w:szCs w:val="20"/>
        </w:rPr>
        <w:t>št. </w:t>
      </w:r>
      <w:hyperlink r:id="rId7" w:tgtFrame="_blank" w:tooltip="Zakon o davčnem potrjevanju računov (ZDavPR)" w:history="1">
        <w:r w:rsidRPr="00C12F43">
          <w:rPr>
            <w:rStyle w:val="Hiperpovezava"/>
            <w:rFonts w:cs="Arial"/>
            <w:color w:val="auto"/>
            <w:szCs w:val="20"/>
            <w:u w:val="none"/>
          </w:rPr>
          <w:t>57/15</w:t>
        </w:r>
      </w:hyperlink>
      <w:r w:rsidRPr="00C12F43">
        <w:rPr>
          <w:rFonts w:cs="Arial"/>
          <w:szCs w:val="20"/>
        </w:rPr>
        <w:t>, </w:t>
      </w:r>
      <w:hyperlink r:id="rId8" w:tgtFrame="_blank" w:tooltip="Zakon o spremembah in dopolnitvah Zakona o davčnem potrjevanju računov (ZDavPR-A)" w:history="1">
        <w:r w:rsidRPr="00C12F43">
          <w:rPr>
            <w:rStyle w:val="Hiperpovezava"/>
            <w:rFonts w:cs="Arial"/>
            <w:color w:val="auto"/>
            <w:szCs w:val="20"/>
            <w:u w:val="none"/>
          </w:rPr>
          <w:t>69/17</w:t>
        </w:r>
      </w:hyperlink>
      <w:r w:rsidRPr="00C12F43">
        <w:rPr>
          <w:rFonts w:cs="Arial"/>
          <w:szCs w:val="20"/>
        </w:rPr>
        <w:t>, </w:t>
      </w:r>
      <w:hyperlink r:id="rId9" w:tgtFrame="_blank" w:tooltip="Zakon o spremembah in dopolnitvah Zakona o davku na dodano vrednost (ZDDV-1M)" w:history="1">
        <w:r w:rsidRPr="00C12F43">
          <w:rPr>
            <w:rStyle w:val="Hiperpovezava"/>
            <w:rFonts w:cs="Arial"/>
            <w:color w:val="auto"/>
            <w:szCs w:val="20"/>
            <w:u w:val="none"/>
          </w:rPr>
          <w:t>3/22</w:t>
        </w:r>
      </w:hyperlink>
      <w:r w:rsidRPr="00C12F43">
        <w:rPr>
          <w:rFonts w:cs="Arial"/>
          <w:szCs w:val="20"/>
        </w:rPr>
        <w:t> – ZDDV-1M in </w:t>
      </w:r>
      <w:hyperlink r:id="rId10" w:tgtFrame="_blank" w:tooltip="Zakon o spremembah in dopolnitvah Zakona o davčnem potrjevanju računov (ZDavPR-B)" w:history="1">
        <w:r w:rsidRPr="00C12F43">
          <w:rPr>
            <w:rStyle w:val="Hiperpovezava"/>
            <w:rFonts w:cs="Arial"/>
            <w:color w:val="auto"/>
            <w:szCs w:val="20"/>
            <w:u w:val="none"/>
          </w:rPr>
          <w:t>40/23</w:t>
        </w:r>
      </w:hyperlink>
      <w:r w:rsidRPr="00C12F43">
        <w:rPr>
          <w:rFonts w:cs="Arial"/>
          <w:szCs w:val="20"/>
        </w:rPr>
        <w:t xml:space="preserve">) se v 1. členu črta besedilo »zavezance za izvajanje postopka potrjevanja računov, izvajanje postopka potrjevanja računov, vsebino računa za namene izvajanja postopka </w:t>
      </w:r>
      <w:r>
        <w:rPr>
          <w:rFonts w:cs="Arial"/>
          <w:szCs w:val="20"/>
        </w:rPr>
        <w:t>davčnega potrjevanja računov, rok za izdajo računov, tehnične zahteve, obveznost zadržanja izdanega računa pri gotovinskem poslovanju za kupca,«, besedilo »nadzor nad izvajanjem tega zakona« pa se nadomesti z besedilom »sporočanja podatkov o prodaji prek avtomatov«.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  <w:u w:val="single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Z amandmajem se sledi pripombam Zakonodajno pravne službe Državnega zbora (v nadaljnjem besedilu: ZPS). Predlagana sprememba je </w:t>
      </w:r>
      <w:proofErr w:type="spellStart"/>
      <w:r>
        <w:rPr>
          <w:rFonts w:cs="Arial"/>
          <w:szCs w:val="20"/>
        </w:rPr>
        <w:t>nomotehnične</w:t>
      </w:r>
      <w:proofErr w:type="spellEnd"/>
      <w:r>
        <w:rPr>
          <w:rFonts w:cs="Arial"/>
          <w:szCs w:val="20"/>
        </w:rPr>
        <w:t xml:space="preserve"> narave, z namenom poenostavitve že obstoječe določbe 1. člena Zakona o davčnem potrjevanju računov. 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60" w:lineRule="atLeast"/>
        <w:jc w:val="both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>K 2. členu</w:t>
      </w:r>
    </w:p>
    <w:p w:rsidR="00C12F43" w:rsidRDefault="00C12F43" w:rsidP="00C12F43">
      <w:pPr>
        <w:spacing w:line="260" w:lineRule="atLeast"/>
        <w:jc w:val="both"/>
        <w:rPr>
          <w:rFonts w:cs="Arial"/>
          <w:bCs/>
          <w:szCs w:val="20"/>
          <w:u w:val="single"/>
        </w:rPr>
      </w:pPr>
    </w:p>
    <w:p w:rsidR="00C12F43" w:rsidRDefault="00C12F43" w:rsidP="00C12F43">
      <w:pPr>
        <w:spacing w:line="240" w:lineRule="auto"/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2. člen se spremni tako, da se glasi:</w:t>
      </w:r>
    </w:p>
    <w:p w:rsidR="00C12F43" w:rsidRDefault="00C12F43" w:rsidP="00C12F43">
      <w:pPr>
        <w:spacing w:line="260" w:lineRule="atLeast"/>
        <w:jc w:val="both"/>
        <w:rPr>
          <w:rFonts w:cs="Arial"/>
          <w:bCs/>
          <w:szCs w:val="20"/>
          <w:u w:val="single"/>
        </w:rPr>
      </w:pPr>
    </w:p>
    <w:p w:rsidR="00C12F43" w:rsidRDefault="00C12F43" w:rsidP="00C12F43">
      <w:pPr>
        <w:spacing w:line="240" w:lineRule="auto"/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»V 14. členu se naslov člena spremeni tako, da se glasi:</w:t>
      </w:r>
    </w:p>
    <w:p w:rsidR="00C12F43" w:rsidRDefault="00C12F43" w:rsidP="00C12F43">
      <w:pPr>
        <w:spacing w:line="240" w:lineRule="auto"/>
        <w:jc w:val="both"/>
        <w:rPr>
          <w:rFonts w:eastAsia="Arial"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»(obveznost proizvajalca, dobavitelja oziroma vzdrževalca programske opreme).«.</w:t>
      </w: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prvem odstavku se za besedilom »ali informacijskega sistema za izdajo računov« doda besedilo »oziroma sporočanje podatkov o prodaji preko avtomatov«, za besedilom »in kopij računov« pa se doda besedilo »oziroma sporočanja podatkov o prodaji preko avtomatov«.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Z amandmajem se sledi pripombam ZPS. Predlagana sprememba je </w:t>
      </w:r>
      <w:proofErr w:type="spellStart"/>
      <w:r>
        <w:rPr>
          <w:rFonts w:cs="Arial"/>
          <w:szCs w:val="20"/>
        </w:rPr>
        <w:t>nomotehnične</w:t>
      </w:r>
      <w:proofErr w:type="spellEnd"/>
      <w:r>
        <w:rPr>
          <w:rFonts w:cs="Arial"/>
          <w:szCs w:val="20"/>
        </w:rPr>
        <w:t xml:space="preserve"> narave, z namenom uskladitve naslova člena z vsebino določbe ter dopolnitvijo obstoječe določbe namesto dodajanja novega odstavka.  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60" w:lineRule="atLeast"/>
        <w:jc w:val="both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>K 3. členu</w:t>
      </w:r>
    </w:p>
    <w:p w:rsidR="00C12F43" w:rsidRDefault="00C12F43" w:rsidP="00C12F43">
      <w:pPr>
        <w:spacing w:line="260" w:lineRule="atLeast"/>
        <w:jc w:val="both"/>
        <w:rPr>
          <w:rFonts w:cs="Arial"/>
          <w:bCs/>
          <w:szCs w:val="20"/>
          <w:u w:val="single"/>
        </w:rPr>
      </w:pP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  <w:u w:val="single"/>
        </w:rPr>
      </w:pPr>
      <w:r>
        <w:rPr>
          <w:rFonts w:cs="Arial"/>
          <w:szCs w:val="20"/>
          <w:u w:val="single"/>
        </w:rPr>
        <w:t>Nov 14.a člen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  <w:u w:val="single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3. členu se v prvem odstavku novega 14.a člena se črta besedilo »iz prvega odstavka 3. člena tega zakona«.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>V drugem odstavku se črta besedilo »ki opravlja prodajo blaga ali storitev prek avtomatov za plačilo z gotovino«.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60" w:lineRule="atLeast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V četrtem odstavku se v napovednem stavku črta besedilo »iz drugega odstavka tega člena«.</w:t>
      </w:r>
    </w:p>
    <w:p w:rsidR="00C12F43" w:rsidRDefault="00C12F43" w:rsidP="00C12F43">
      <w:pPr>
        <w:spacing w:line="260" w:lineRule="atLeast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60" w:lineRule="atLeast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V 2. točki četrtega odstavka se besedilo »kot jo določajo predpisi o dohodnini« nadomesti z besedilom »kot jo določa </w:t>
      </w:r>
      <w:bookmarkStart w:id="1" w:name="_Hlk180506894"/>
      <w:r>
        <w:rPr>
          <w:rFonts w:cs="Arial"/>
          <w:bCs/>
          <w:szCs w:val="20"/>
        </w:rPr>
        <w:t>zakon, ki ureja dohodnino</w:t>
      </w:r>
      <w:bookmarkEnd w:id="1"/>
      <w:r>
        <w:rPr>
          <w:rFonts w:cs="Arial"/>
          <w:bCs/>
          <w:szCs w:val="20"/>
        </w:rPr>
        <w:t>«, besedilo »kot jih določajo predpisi o dohodnini« pa se nadomesti z besedilom »kot jih določa zakon, ki ureja dohodnino«.</w:t>
      </w: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C12F43" w:rsidRDefault="00C12F43" w:rsidP="00C12F43">
      <w:pPr>
        <w:spacing w:line="260" w:lineRule="atLeast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Z amandmajem prvega odstavka se sledi pripombam ZPS. Predlagana sprememba je </w:t>
      </w:r>
      <w:proofErr w:type="spellStart"/>
      <w:r>
        <w:rPr>
          <w:rFonts w:cs="Arial"/>
          <w:bCs/>
          <w:szCs w:val="20"/>
        </w:rPr>
        <w:t>nomotehnične</w:t>
      </w:r>
      <w:proofErr w:type="spellEnd"/>
      <w:r>
        <w:rPr>
          <w:rFonts w:cs="Arial"/>
          <w:bCs/>
          <w:szCs w:val="20"/>
        </w:rPr>
        <w:t xml:space="preserve"> narave, z namenom odprave sklicevanja. Pojem zavezanca je v </w:t>
      </w:r>
      <w:proofErr w:type="spellStart"/>
      <w:r>
        <w:rPr>
          <w:rFonts w:cs="Arial"/>
          <w:bCs/>
          <w:szCs w:val="20"/>
        </w:rPr>
        <w:t>ZDavPR</w:t>
      </w:r>
      <w:proofErr w:type="spellEnd"/>
      <w:r>
        <w:rPr>
          <w:rFonts w:cs="Arial"/>
          <w:bCs/>
          <w:szCs w:val="20"/>
        </w:rPr>
        <w:t xml:space="preserve"> že opredeljen, zato je dodatno sklicevanje na konkretno določbo nepotrebno. </w:t>
      </w:r>
    </w:p>
    <w:p w:rsidR="00C12F43" w:rsidRDefault="00C12F43" w:rsidP="00C12F43">
      <w:pPr>
        <w:spacing w:line="260" w:lineRule="atLeast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Z amandmajem drugega odstavka se sledi pripombam ZPS. Predlagana sprememba je </w:t>
      </w:r>
      <w:proofErr w:type="spellStart"/>
      <w:r>
        <w:rPr>
          <w:rFonts w:cs="Arial"/>
          <w:bCs/>
          <w:szCs w:val="20"/>
        </w:rPr>
        <w:t>nomotehnične</w:t>
      </w:r>
      <w:proofErr w:type="spellEnd"/>
      <w:r>
        <w:rPr>
          <w:rFonts w:cs="Arial"/>
          <w:bCs/>
          <w:szCs w:val="20"/>
        </w:rPr>
        <w:t xml:space="preserve"> narave, z namenom poenostavitve besedila, saj je v prvem odstavku že opredeljen pojem zavezanca za sporočanje. 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trike/>
          <w:szCs w:val="20"/>
        </w:rPr>
      </w:pPr>
      <w:r>
        <w:rPr>
          <w:rFonts w:cs="Arial"/>
          <w:bCs/>
          <w:szCs w:val="20"/>
        </w:rPr>
        <w:t xml:space="preserve">Z amandmajem četrtega odstavka se sledi pripombam ZPS. Predlagana sprememba v napovednem stavku četrtega odstavka odpravlja nejasnost pri sklicevanju in ni potrebna. Prav tako se v skladu s pripombo ZPS v drugi točki četrtega odstavka sklic na predpise o dohodnini nadomesti s sklicem na zakon, ki ureja dohodnino, saj se zakon ne more sklicevati na hierarhično nižje akte. 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  <w:u w:val="single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Nov 14.b člen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  <w:u w:val="single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V novem 14.b členu se v drugem stavku tretjega odstavka in v tretjem ter četrtem stavku šestega odstavka za besedo »zavezanec« doda besedilo » za sporočanje«.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Z amandmajem se sledi pripombam ZPS. Predlagana sprememba je potrebna, saj se določba 14.b člena nanaša na zavezanca za sporočanje in ne zavezanca. Pojem zavezanca se nanaša na davčno potrjevanje računov. 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  <w:u w:val="single"/>
        </w:rPr>
      </w:pPr>
      <w:r>
        <w:rPr>
          <w:rFonts w:cs="Arial"/>
          <w:bCs/>
          <w:szCs w:val="20"/>
          <w:u w:val="single"/>
        </w:rPr>
        <w:t>Nov 14.c člen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  <w:u w:val="single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V drugem odstavku novega 14.c člena se za piko doda naslednje besedilo: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»Zavezanec za sporočanje mora hraniti podatke o enkratni identifikacijski oznaki skupaj s kopijo poslanih podatkov o prodaji prek avtomata iz prejšnjega odstavka v skladu z zakonom, ki ureja davčni postopek.«.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  <w:u w:val="single"/>
        </w:rPr>
      </w:pPr>
      <w:r>
        <w:rPr>
          <w:rFonts w:cs="Arial"/>
          <w:bCs/>
          <w:szCs w:val="20"/>
          <w:u w:val="single"/>
        </w:rPr>
        <w:t>Obrazložitev: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Z amandmajem se določba 14.c člena, ki določa, da davčni organ poslanim podatkom dodeli enkratno identifikacijsko oznako, dopolni z obveznostjo zavezanca za sporočanje, da to oznako in kopijo poslanih podatkov hrani v skladu z zakonom, ki ureja davčni postopek. Identifikacijska oznaka služi zavezancu za sporočanje kot dokazilo v postopkih davčnega nadzora, da je davčni organ prejel posredovane podatke o prodajah prek avtomata, zato mora identifikacijsko oznako ter sporočene podatke tudi ustrezno hraniti. Primerljiva določba je že vsebovana tudi v 7., 9. in 10. členu zakona, ki urejajo pravila glede davčnega potrjevanja računov. 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  <w:u w:val="single"/>
        </w:rPr>
      </w:pPr>
      <w:r>
        <w:rPr>
          <w:rFonts w:cs="Arial"/>
          <w:szCs w:val="20"/>
          <w:u w:val="single"/>
        </w:rPr>
        <w:t xml:space="preserve">Nov 14.č člen </w:t>
      </w:r>
    </w:p>
    <w:p w:rsidR="00C12F43" w:rsidRDefault="00C12F43" w:rsidP="00C12F43">
      <w:pPr>
        <w:spacing w:line="240" w:lineRule="auto"/>
        <w:jc w:val="both"/>
        <w:rPr>
          <w:rFonts w:cs="Arial"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V tretjem odstavku novega 14.č člena se besedilo »drugega odstavka tega člena« nadomesti z besedilom »prejšnjega odstavka«.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Za petim odstavkom se doda nov 6. odstavek, ki se glasi: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»(6) Zavezanec za sporočanje mora hraniti podatke o enkratni identifikacijski oznaki iz prejšnjega odstavka skupaj s kopijo poslanih podatkov o prodaji prek avtomata iz drugega in tretjega odstavka tega člena v skladu z zakonom, ki ureja davčni postopek.«.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Z amandmajem k tretjemu odstavku se sledi pripombam ZPS. Predlagana sprememba je </w:t>
      </w:r>
      <w:proofErr w:type="spellStart"/>
      <w:r>
        <w:rPr>
          <w:rFonts w:cs="Arial"/>
          <w:bCs/>
          <w:szCs w:val="20"/>
        </w:rPr>
        <w:t>nomotehnične</w:t>
      </w:r>
      <w:proofErr w:type="spellEnd"/>
      <w:r>
        <w:rPr>
          <w:rFonts w:cs="Arial"/>
          <w:bCs/>
          <w:szCs w:val="20"/>
        </w:rPr>
        <w:t xml:space="preserve"> narave, z namenom poenotenja besedila novele.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Z novim šestim odstavkom se določba 14.č člena dopolni z obveznostjo zavezanca za sporočanje, da hrani enkratno identifikacijsko oznako, ki mu jo dodeli davčni organ, skupaj s kopijami poslanih podatkov, v skladu z zakonom, ki urejajo davčni postopek. Identifikacijska oznaka služi zavezancu za sporočanje kot dokazilo v postopkih davčnega nadzora, da je davčni organ prejel posredovane podatke o prodajah prek avtomata, zato mora identifikacijsko oznako ter sporočene podatke tudi ustrezno hraniti. Primerljiva določba je že vsebovana tudi v 7., 9. in 10. členu zakona, ki urejajo pravila glede davčnega potrjevanja računov. </w:t>
      </w:r>
    </w:p>
    <w:p w:rsidR="00C12F43" w:rsidRDefault="00C12F43" w:rsidP="00C12F43">
      <w:pPr>
        <w:spacing w:line="240" w:lineRule="auto"/>
        <w:jc w:val="both"/>
        <w:rPr>
          <w:rFonts w:cs="Arial"/>
          <w:b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  <w:u w:val="single"/>
        </w:rPr>
      </w:pPr>
      <w:r>
        <w:rPr>
          <w:rFonts w:cs="Arial"/>
          <w:szCs w:val="20"/>
          <w:u w:val="single"/>
        </w:rPr>
        <w:t>Nov 14.d člen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V novem 14.d členu se za drugim odstavkom doda nov tretji odstavek, ki se glasi: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»(3) Zavezanec za sporočanje mora hraniti podatke o enkratni identifikacijski oznaki iz prejšnjega odstavka skupaj s kopijo poslanih podatkov o prodaji prek avtomata iz prvega odstavka tega člena v skladu z zakonom, ki ureja davčni postopek.«.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Z novim tretjim odstavkom se določba 14.d člena dopolni z obveznostjo zavezanca za sporočanje, da hrani enkratno identifikacijsko oznako, ki mu jo dodeli davčni organ, skupaj s kopijami poslanih podatkov, v skladu z zakonom, ki urejajo davčni postopek. Identifikacijska oznaka služi zavezancu za sporočanje kot dokazilo v postopkih davčnega nadzora, da je davčni organ prejel posredovane podatke o prodajah prek avtomata, zato mora identifikacijsko oznako ter sporočene podatke tudi ustrezno hraniti. Primerljiva določba je že vsebovana tudi v 7., 9. in 10. členu zakona, ki urejajo pravila glede davčnega potrjevanja računov. 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K 4. členu</w:t>
      </w:r>
    </w:p>
    <w:p w:rsidR="00C12F43" w:rsidRDefault="00C12F43" w:rsidP="00C12F43">
      <w:pPr>
        <w:spacing w:line="240" w:lineRule="auto"/>
        <w:jc w:val="both"/>
        <w:rPr>
          <w:rFonts w:cs="Arial"/>
          <w:b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4. člen se spremni tako, da se glasi:</w:t>
      </w:r>
    </w:p>
    <w:p w:rsidR="00C12F43" w:rsidRDefault="00C12F43" w:rsidP="00C12F43">
      <w:pPr>
        <w:spacing w:line="240" w:lineRule="auto"/>
        <w:jc w:val="both"/>
        <w:rPr>
          <w:rFonts w:cs="Arial"/>
          <w:b/>
          <w:szCs w:val="20"/>
        </w:rPr>
      </w:pPr>
    </w:p>
    <w:p w:rsidR="00C12F43" w:rsidRDefault="00C12F43" w:rsidP="00C12F43">
      <w:pPr>
        <w:pStyle w:val="Poglavje"/>
        <w:spacing w:before="0" w:after="0" w:line="260" w:lineRule="exact"/>
        <w:jc w:val="both"/>
        <w:rPr>
          <w:b w:val="0"/>
          <w:sz w:val="20"/>
          <w:szCs w:val="20"/>
          <w:lang w:eastAsia="en-US"/>
        </w:rPr>
      </w:pPr>
      <w:r>
        <w:rPr>
          <w:b w:val="0"/>
          <w:sz w:val="20"/>
          <w:szCs w:val="20"/>
          <w:lang w:eastAsia="en-US"/>
        </w:rPr>
        <w:t>»V 18. členu se v 7. točki prvega odstavka za besedo »računov« doda besedilo »oziroma dodeljenih enkratnih identifikacijskih oznakah skupaj s kopijami poslanih podatkov o prodaji prek avtomata«, v oklepaju se beseda »in« nadomesti z vejico, za besedilom »10. člena« pa se doda besedilo »drugi odstavek 14.c člena, šesti odstavek 14.č člena in tretji odstavek 14.d člena«.</w:t>
      </w:r>
    </w:p>
    <w:p w:rsidR="00C12F43" w:rsidRDefault="00C12F43" w:rsidP="00C12F43">
      <w:pPr>
        <w:pStyle w:val="Poglavje"/>
        <w:spacing w:before="0" w:after="0" w:line="260" w:lineRule="exact"/>
        <w:jc w:val="both"/>
        <w:rPr>
          <w:b w:val="0"/>
          <w:sz w:val="20"/>
          <w:szCs w:val="20"/>
          <w:lang w:eastAsia="en-US"/>
        </w:rPr>
      </w:pPr>
    </w:p>
    <w:p w:rsidR="00C12F43" w:rsidRDefault="00C12F43" w:rsidP="00C12F43">
      <w:pPr>
        <w:pStyle w:val="Poglavje"/>
        <w:spacing w:before="0" w:after="0" w:line="260" w:lineRule="exact"/>
        <w:jc w:val="both"/>
        <w:rPr>
          <w:b w:val="0"/>
          <w:sz w:val="20"/>
          <w:szCs w:val="20"/>
          <w:lang w:eastAsia="en-US"/>
        </w:rPr>
      </w:pPr>
      <w:r>
        <w:rPr>
          <w:b w:val="0"/>
          <w:sz w:val="20"/>
          <w:szCs w:val="20"/>
          <w:lang w:eastAsia="en-US"/>
        </w:rPr>
        <w:t>Na koncu 11. točke se pika nadomesti s podpičjem in se dodajo nove, 12. do 14. točka, ki se glasijo:</w:t>
      </w:r>
    </w:p>
    <w:p w:rsidR="00C12F43" w:rsidRDefault="00C12F43" w:rsidP="00C12F43">
      <w:pPr>
        <w:pStyle w:val="Poglavje"/>
        <w:spacing w:before="0" w:after="0" w:line="260" w:lineRule="exact"/>
        <w:jc w:val="both"/>
        <w:rPr>
          <w:b w:val="0"/>
          <w:sz w:val="20"/>
          <w:szCs w:val="20"/>
          <w:lang w:eastAsia="en-US"/>
        </w:rPr>
      </w:pPr>
    </w:p>
    <w:p w:rsidR="00C12F43" w:rsidRDefault="00C12F43" w:rsidP="00C12F43">
      <w:pPr>
        <w:pStyle w:val="Poglavje"/>
        <w:spacing w:before="0" w:after="0" w:line="260" w:lineRule="exact"/>
        <w:jc w:val="both"/>
        <w:rPr>
          <w:b w:val="0"/>
          <w:sz w:val="20"/>
          <w:szCs w:val="20"/>
          <w:lang w:eastAsia="en-US"/>
        </w:rPr>
      </w:pPr>
      <w:r>
        <w:rPr>
          <w:b w:val="0"/>
          <w:sz w:val="20"/>
          <w:szCs w:val="20"/>
          <w:lang w:eastAsia="en-US"/>
        </w:rPr>
        <w:t>»12. ne označi avtomata na vidnem mestu z identifikacijsko oznako (drugi stavek sedmega odstavka 14.b člena);</w:t>
      </w:r>
    </w:p>
    <w:p w:rsidR="00C12F43" w:rsidRDefault="00C12F43" w:rsidP="00C12F43">
      <w:pPr>
        <w:pStyle w:val="Poglavje"/>
        <w:spacing w:before="0" w:after="0" w:line="260" w:lineRule="exact"/>
        <w:jc w:val="both"/>
        <w:rPr>
          <w:b w:val="0"/>
          <w:sz w:val="20"/>
          <w:szCs w:val="20"/>
          <w:lang w:eastAsia="en-US"/>
        </w:rPr>
      </w:pPr>
      <w:r>
        <w:rPr>
          <w:b w:val="0"/>
          <w:sz w:val="20"/>
          <w:szCs w:val="20"/>
          <w:lang w:eastAsia="en-US"/>
        </w:rPr>
        <w:t>13. v predpisanem roku ne vzpostavi prekinjene elektronske povezave in ne pošlje podatkov o vseh prodajah prek avtomata (drugi in tretji odstavek 14.č člena);</w:t>
      </w:r>
    </w:p>
    <w:p w:rsidR="00C12F43" w:rsidRDefault="00C12F43" w:rsidP="00C12F43">
      <w:pPr>
        <w:pStyle w:val="Poglavje"/>
        <w:spacing w:before="0" w:after="0" w:line="260" w:lineRule="exact"/>
        <w:jc w:val="both"/>
        <w:rPr>
          <w:b w:val="0"/>
          <w:sz w:val="20"/>
          <w:szCs w:val="20"/>
          <w:lang w:eastAsia="en-US"/>
        </w:rPr>
      </w:pPr>
      <w:r>
        <w:rPr>
          <w:b w:val="0"/>
          <w:sz w:val="20"/>
          <w:szCs w:val="20"/>
          <w:lang w:eastAsia="en-US"/>
        </w:rPr>
        <w:t>14. v predpisanem roku ne pošlje podatkov o vseh prodajah prek avtomata, kadar vzpostavitev elektronske povezave na lokaciji avtomata ni mogoča (prvi odstavek 14.d člena).«.</w:t>
      </w:r>
    </w:p>
    <w:p w:rsidR="00C12F43" w:rsidRDefault="00C12F43" w:rsidP="00C12F43">
      <w:pPr>
        <w:spacing w:line="240" w:lineRule="auto"/>
        <w:jc w:val="both"/>
        <w:rPr>
          <w:rFonts w:cs="Arial"/>
          <w:b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  <w:u w:val="single"/>
        </w:rPr>
      </w:pPr>
      <w:r>
        <w:rPr>
          <w:rFonts w:cs="Arial"/>
          <w:szCs w:val="20"/>
          <w:u w:val="single"/>
        </w:rPr>
        <w:t>Obrazložitev:</w:t>
      </w:r>
    </w:p>
    <w:p w:rsidR="00C12F43" w:rsidRDefault="00C12F43" w:rsidP="00C12F43">
      <w:pPr>
        <w:pStyle w:val="Poglavje"/>
        <w:spacing w:before="0" w:after="0" w:line="260" w:lineRule="exact"/>
        <w:jc w:val="both"/>
        <w:rPr>
          <w:b w:val="0"/>
          <w:sz w:val="20"/>
          <w:szCs w:val="20"/>
          <w:lang w:eastAsia="en-US"/>
        </w:rPr>
      </w:pPr>
      <w:r>
        <w:rPr>
          <w:b w:val="0"/>
          <w:sz w:val="20"/>
          <w:szCs w:val="20"/>
          <w:lang w:eastAsia="en-US"/>
        </w:rPr>
        <w:lastRenderedPageBreak/>
        <w:t xml:space="preserve">Amandma je potreben zaradi dopolnitve 14.c, 14.č in 14.d člena zakona z obveznostjo zavezanca za sporočanje, da mora hraniti podatke o enkratni identifikacijski oznaki skupaj s kopijo poslanih podatkov o prodaji prek avtomata. S to določbo se dopolnjujejo tudi </w:t>
      </w:r>
      <w:proofErr w:type="spellStart"/>
      <w:r>
        <w:rPr>
          <w:b w:val="0"/>
          <w:sz w:val="20"/>
          <w:szCs w:val="20"/>
          <w:lang w:eastAsia="en-US"/>
        </w:rPr>
        <w:t>prekrškovne</w:t>
      </w:r>
      <w:proofErr w:type="spellEnd"/>
      <w:r>
        <w:rPr>
          <w:b w:val="0"/>
          <w:sz w:val="20"/>
          <w:szCs w:val="20"/>
          <w:lang w:eastAsia="en-US"/>
        </w:rPr>
        <w:t xml:space="preserve"> določbe, s predpisano sankcijo, če zavezanec za sporočanje ne izpolni navedene obveznosti. </w:t>
      </w:r>
    </w:p>
    <w:p w:rsidR="00C12F43" w:rsidRDefault="00C12F43" w:rsidP="00C12F43">
      <w:pPr>
        <w:pStyle w:val="Poglavje"/>
        <w:spacing w:before="0" w:after="0" w:line="260" w:lineRule="exact"/>
        <w:jc w:val="both"/>
        <w:rPr>
          <w:b w:val="0"/>
          <w:sz w:val="20"/>
          <w:szCs w:val="20"/>
          <w:lang w:eastAsia="en-US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K 6. členu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t>6</w:t>
      </w:r>
      <w:r>
        <w:rPr>
          <w:rFonts w:cs="Arial"/>
          <w:bCs/>
          <w:szCs w:val="20"/>
        </w:rPr>
        <w:t xml:space="preserve">. člen se spremeni tako, da se glasi: 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»Minister, pristojen za finance, izda predpis iz devetega odstavka 14.b člena in petega odstavka 14.c člena zakona v treh mesecih po uveljavitvi tega zakona.«.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  <w:u w:val="single"/>
        </w:rPr>
      </w:pPr>
      <w:r>
        <w:rPr>
          <w:rFonts w:cs="Arial"/>
          <w:bCs/>
          <w:szCs w:val="20"/>
          <w:u w:val="single"/>
        </w:rPr>
        <w:t>Obrazložitev: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 xml:space="preserve">Z amandmajem se sledi pripombam ZPS. Predlagana sprememba je </w:t>
      </w:r>
      <w:proofErr w:type="spellStart"/>
      <w:r>
        <w:rPr>
          <w:rFonts w:cs="Arial"/>
          <w:bCs/>
          <w:szCs w:val="20"/>
        </w:rPr>
        <w:t>nomotehnične</w:t>
      </w:r>
      <w:proofErr w:type="spellEnd"/>
      <w:r>
        <w:rPr>
          <w:rFonts w:cs="Arial"/>
          <w:bCs/>
          <w:szCs w:val="20"/>
        </w:rPr>
        <w:t xml:space="preserve"> narave.</w:t>
      </w: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cs="Arial"/>
          <w:bCs/>
          <w:szCs w:val="20"/>
        </w:rPr>
      </w:pPr>
    </w:p>
    <w:p w:rsidR="00C12F43" w:rsidRDefault="00C12F43" w:rsidP="00C12F43">
      <w:pPr>
        <w:spacing w:line="240" w:lineRule="auto"/>
        <w:jc w:val="both"/>
        <w:rPr>
          <w:rFonts w:eastAsia="Calibri" w:cs="Arial"/>
          <w:szCs w:val="20"/>
          <w:u w:val="single"/>
        </w:rPr>
      </w:pPr>
    </w:p>
    <w:p w:rsidR="00782FD4" w:rsidRPr="00EC13B0" w:rsidRDefault="00782FD4" w:rsidP="00C12F43">
      <w:pPr>
        <w:autoSpaceDE w:val="0"/>
        <w:autoSpaceDN w:val="0"/>
        <w:adjustRightInd w:val="0"/>
      </w:pPr>
    </w:p>
    <w:sectPr w:rsidR="00782FD4" w:rsidRPr="00EC13B0" w:rsidSect="005D595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8DF" w:rsidRDefault="009A68DF" w:rsidP="00767987">
      <w:pPr>
        <w:spacing w:line="240" w:lineRule="auto"/>
      </w:pPr>
      <w:r>
        <w:separator/>
      </w:r>
    </w:p>
  </w:endnote>
  <w:endnote w:type="continuationSeparator" w:id="0">
    <w:p w:rsidR="009A68DF" w:rsidRDefault="009A68D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0F" w:rsidRDefault="0057580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0F" w:rsidRDefault="0057580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0F" w:rsidRDefault="0057580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8DF" w:rsidRDefault="009A68DF" w:rsidP="00767987">
      <w:pPr>
        <w:spacing w:line="240" w:lineRule="auto"/>
      </w:pPr>
      <w:r>
        <w:separator/>
      </w:r>
    </w:p>
  </w:footnote>
  <w:footnote w:type="continuationSeparator" w:id="0">
    <w:p w:rsidR="009A68DF" w:rsidRDefault="009A68D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0F" w:rsidRDefault="0057580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80F" w:rsidRDefault="0057580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43A15"/>
    <w:rsid w:val="00366636"/>
    <w:rsid w:val="00367DE6"/>
    <w:rsid w:val="003B3E19"/>
    <w:rsid w:val="004076C6"/>
    <w:rsid w:val="004B7F76"/>
    <w:rsid w:val="004E1BCE"/>
    <w:rsid w:val="0056541B"/>
    <w:rsid w:val="0057580F"/>
    <w:rsid w:val="00592079"/>
    <w:rsid w:val="005D5957"/>
    <w:rsid w:val="00676475"/>
    <w:rsid w:val="00682FFE"/>
    <w:rsid w:val="006C69EC"/>
    <w:rsid w:val="007039D0"/>
    <w:rsid w:val="00710C90"/>
    <w:rsid w:val="00754154"/>
    <w:rsid w:val="00767987"/>
    <w:rsid w:val="00782FD4"/>
    <w:rsid w:val="00811140"/>
    <w:rsid w:val="00896FBD"/>
    <w:rsid w:val="008A3F94"/>
    <w:rsid w:val="00904A48"/>
    <w:rsid w:val="009510F6"/>
    <w:rsid w:val="00980294"/>
    <w:rsid w:val="009A68DF"/>
    <w:rsid w:val="009C5392"/>
    <w:rsid w:val="00A50E4B"/>
    <w:rsid w:val="00A9231D"/>
    <w:rsid w:val="00B40287"/>
    <w:rsid w:val="00C0216A"/>
    <w:rsid w:val="00C12F43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paragraph" w:customStyle="1" w:styleId="Poglavje">
    <w:name w:val="Poglavje"/>
    <w:basedOn w:val="Navaden"/>
    <w:qFormat/>
    <w:rsid w:val="00C12F43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cs="Arial"/>
      <w:b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84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17-01-3270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15-01-2372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www.uradni-list.si/glasilo-uradni-list-rs/vsebina/2023-01-11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radni-list.si/glasilo-uradni-list-rs/vsebina/2022-01-0015" TargetMode="Externa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1350</Words>
  <Characters>7695</Characters>
  <Application>Microsoft Office Word</Application>
  <DocSecurity>0</DocSecurity>
  <Lines>64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2024-10-24T06:56:00Z</dcterms:created>
  <dcterms:modified xsi:type="dcterms:W3CDTF">2024-10-24T06:56:00Z</dcterms:modified>
</cp:coreProperties>
</file>