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7644FB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F72A9">
        <w:rPr>
          <w:rFonts w:cs="Arial"/>
          <w:color w:val="000000"/>
        </w:rPr>
        <w:t>2024-1611-0043</w:t>
      </w:r>
    </w:p>
    <w:p w:rsidR="00896FBD" w:rsidRDefault="00896FBD" w:rsidP="007644FB">
      <w:pPr>
        <w:pStyle w:val="datumtevilka"/>
      </w:pPr>
      <w:r>
        <w:t xml:space="preserve">Številka: </w:t>
      </w:r>
      <w:r>
        <w:tab/>
      </w:r>
      <w:r w:rsidR="005F72A9">
        <w:rPr>
          <w:rFonts w:cs="Arial"/>
          <w:color w:val="000000"/>
        </w:rPr>
        <w:t>00704-242/2024/12</w:t>
      </w:r>
    </w:p>
    <w:p w:rsidR="00896FBD" w:rsidRDefault="00896FBD" w:rsidP="007644FB">
      <w:pPr>
        <w:pStyle w:val="datumtevilka"/>
      </w:pPr>
      <w:r>
        <w:t>Datum:</w:t>
      </w:r>
      <w:r>
        <w:tab/>
      </w:r>
      <w:r w:rsidR="005F72A9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7644FB"/>
    <w:p w:rsidR="00896FBD" w:rsidRPr="00C90249" w:rsidRDefault="00896FBD" w:rsidP="00C90249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896FBD" w:rsidRPr="00C90249" w:rsidRDefault="007644FB" w:rsidP="00C90249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C90249">
        <w:rPr>
          <w:rFonts w:cs="Arial"/>
          <w:b/>
          <w:color w:val="000000"/>
          <w:szCs w:val="20"/>
        </w:rPr>
        <w:t>Predlog</w:t>
      </w:r>
      <w:r w:rsidR="005F72A9" w:rsidRPr="00C90249">
        <w:rPr>
          <w:rFonts w:cs="Arial"/>
          <w:b/>
          <w:color w:val="000000"/>
          <w:szCs w:val="20"/>
        </w:rPr>
        <w:t xml:space="preserve"> amandmajev k Predlogu zakona o spremembah in dopolnitvah Zakona o množičnem vrednotenju nepremičnin</w:t>
      </w: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644F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b/>
          <w:bCs/>
          <w:szCs w:val="20"/>
          <w:u w:val="single"/>
        </w:rPr>
        <w:t>K 4. členu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Besedilo 4. člena se spremeni tako, da se glasi: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»V 17. členu se besedilo tretjega odstavka spremeni tako, da se glasi:</w:t>
      </w: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szCs w:val="20"/>
        </w:rPr>
        <w:t>»(3) Organ vrednotenja upošteva pripombe občin in strokovne javnosti, ki so v skladu z merili določanja modelov vrednotenja iz 5. do 9. člena tega zakona, ter pripravi predlog modelov vrednotenja.«.«.</w:t>
      </w: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76" w:lineRule="auto"/>
        <w:rPr>
          <w:rFonts w:eastAsiaTheme="minorHAnsi" w:cs="Arial"/>
          <w:szCs w:val="20"/>
        </w:rPr>
      </w:pPr>
      <w:r>
        <w:rPr>
          <w:rFonts w:cs="Arial"/>
          <w:szCs w:val="20"/>
        </w:rPr>
        <w:t>Na podlagi mnenja ZPS se vsebina predlagane spremembe 18. člena ZMVN-1 prenese v tretji odstavek 17. člena, kamor vsebinsko sodi.</w:t>
      </w: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b/>
          <w:bCs/>
          <w:szCs w:val="20"/>
          <w:u w:val="single"/>
        </w:rPr>
        <w:t>K 5. členu</w:t>
      </w: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Besedilo 5. člena se spremeni tako, da se glasi: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»18. člen se črta.«.</w:t>
      </w: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76" w:lineRule="auto"/>
        <w:rPr>
          <w:rFonts w:eastAsiaTheme="minorHAnsi" w:cs="Arial"/>
          <w:szCs w:val="20"/>
        </w:rPr>
      </w:pPr>
      <w:r>
        <w:rPr>
          <w:rFonts w:cs="Arial"/>
          <w:szCs w:val="20"/>
        </w:rPr>
        <w:t>Amandma je povezan z amandmajem k 4. členu.</w:t>
      </w: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b/>
          <w:bCs/>
          <w:szCs w:val="20"/>
          <w:u w:val="single"/>
        </w:rPr>
        <w:t>K 6. členu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  <w:highlight w:val="yellow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V 6. členu se v novem tretjem odstavku 19. člena črta beseda »končnega«.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76" w:lineRule="auto"/>
        <w:rPr>
          <w:rFonts w:eastAsiaTheme="minorHAnsi" w:cs="Arial"/>
          <w:szCs w:val="20"/>
        </w:rPr>
      </w:pPr>
      <w:r>
        <w:rPr>
          <w:rFonts w:eastAsia="Calibri" w:cs="Arial"/>
          <w:szCs w:val="20"/>
        </w:rPr>
        <w:t xml:space="preserve">S popravkom besedila je jasneje določeno, da organ vrednotenja pripombe upošteva pri pripravi predloga modelov vrednotenja iz tretjega odstavka 17. člena ZMVN-1. </w:t>
      </w: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  <w:highlight w:val="yellow"/>
          <w:u w:val="single"/>
        </w:rPr>
      </w:pP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  <w:highlight w:val="yellow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b/>
          <w:bCs/>
          <w:szCs w:val="20"/>
          <w:u w:val="single"/>
        </w:rPr>
        <w:t>K 7. členu</w:t>
      </w:r>
    </w:p>
    <w:p w:rsidR="00C90249" w:rsidRDefault="00C90249" w:rsidP="00C90249">
      <w:pPr>
        <w:spacing w:line="276" w:lineRule="auto"/>
        <w:rPr>
          <w:rFonts w:eastAsiaTheme="minorHAnsi" w:cs="Arial"/>
          <w:b/>
          <w:bCs/>
          <w:szCs w:val="20"/>
          <w:highlight w:val="yellow"/>
          <w:u w:val="single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V 7. členu se besedilo »iz 18. člena« nadomesti z besedilom »iz tretjega odstavka 17. člena«.</w:t>
      </w:r>
    </w:p>
    <w:p w:rsidR="00C90249" w:rsidRDefault="00C90249" w:rsidP="00C90249">
      <w:pPr>
        <w:spacing w:line="276" w:lineRule="auto"/>
        <w:rPr>
          <w:rFonts w:eastAsiaTheme="minorHAnsi" w:cs="Arial"/>
          <w:b/>
          <w:bCs/>
          <w:szCs w:val="20"/>
          <w:highlight w:val="yellow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76" w:lineRule="auto"/>
        <w:rPr>
          <w:rFonts w:eastAsiaTheme="minorHAnsi" w:cs="Arial"/>
          <w:szCs w:val="20"/>
        </w:rPr>
      </w:pPr>
      <w:r>
        <w:rPr>
          <w:rFonts w:cs="Arial"/>
          <w:szCs w:val="20"/>
        </w:rPr>
        <w:t>Amandma je povezan z amandmajem k 4. členu.</w:t>
      </w: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  <w:highlight w:val="yellow"/>
          <w:u w:val="single"/>
        </w:rPr>
      </w:pP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  <w:highlight w:val="yellow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b/>
          <w:bCs/>
          <w:szCs w:val="20"/>
          <w:u w:val="single"/>
        </w:rPr>
        <w:lastRenderedPageBreak/>
        <w:t>K 10. členu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  <w:highlight w:val="yellow"/>
        </w:rPr>
      </w:pP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V 10. členu se v novem drugem odstavku 28. člena beseda »neomejeno« nadomesti z besedo »neobremenjeno«.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76" w:lineRule="auto"/>
        <w:rPr>
          <w:rFonts w:eastAsiaTheme="minorHAnsi" w:cs="Arial"/>
          <w:szCs w:val="20"/>
        </w:rPr>
      </w:pPr>
      <w:r>
        <w:rPr>
          <w:rFonts w:cs="Arial"/>
          <w:szCs w:val="20"/>
        </w:rPr>
        <w:t xml:space="preserve">Poročilo o vplivu posebne okoliščine (individualna cenitev) mora biti izdelano pod podobnimi predpostavkami, kot veljajo za množično vrednotenje, da je rezultat mogoče sistemsko umestiti v sistem množičnega vrednotenja. Ena od predpostavk je, da je pri cenitvi potrebno upoštevati lastninsko pravico na nepremičnini, ki ni omejena z drugimi stvarnimi pravicami (npr. s služnostjo ali zastavno pravico). Zato se v drugem odstavku spremenjenega člena uporabi izraz »neobremenjena lastninska pravica«. 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Theme="minorHAnsi" w:cs="Arial"/>
          <w:b/>
          <w:bCs/>
          <w:szCs w:val="20"/>
          <w:highlight w:val="yellow"/>
          <w:u w:val="single"/>
        </w:rPr>
      </w:pP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  <w:u w:val="single"/>
        </w:rPr>
      </w:pPr>
      <w:r>
        <w:rPr>
          <w:rFonts w:cs="Arial"/>
          <w:b/>
          <w:bCs/>
          <w:szCs w:val="20"/>
          <w:u w:val="single"/>
        </w:rPr>
        <w:t>K 15. členu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15. člen se črta.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76" w:lineRule="auto"/>
        <w:rPr>
          <w:rFonts w:eastAsiaTheme="minorHAnsi" w:cs="Arial"/>
          <w:szCs w:val="20"/>
        </w:rPr>
      </w:pPr>
    </w:p>
    <w:p w:rsidR="00C90249" w:rsidRDefault="00C90249" w:rsidP="00C90249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>Trenutna ureditev predstavlja mehanizem za spremljanje konkretnih pravnih poslov na nepremičninskem trgu preko identifikatorja posamezne nepremičnine, ki bi lahko preko vpogleda v druge javne evidence (zemljiška knjiga) predstavljal dostop do osebnih podatkov. Ker je omejitev dostopa do osebnih podatkov že ustrezno urejena s področno zakonodajo, ki ureja uporabo osebnih podatkov o lastnikih nepremičnin, ki se vodijo v zemljiški knjigi, dodatno omejevanje povezovanja in dostopanja do podatkov o lastnikih nepremičnin, kot je bilo predlagano, ni potrebno.</w:t>
      </w:r>
    </w:p>
    <w:p w:rsidR="00C90249" w:rsidRDefault="00C90249" w:rsidP="00C90249">
      <w:pPr>
        <w:spacing w:line="276" w:lineRule="auto"/>
        <w:rPr>
          <w:rFonts w:cs="Arial"/>
          <w:szCs w:val="20"/>
        </w:rPr>
      </w:pP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  <w:u w:val="single"/>
        </w:rPr>
      </w:pPr>
      <w:r>
        <w:rPr>
          <w:rFonts w:cs="Arial"/>
          <w:b/>
          <w:bCs/>
          <w:szCs w:val="20"/>
          <w:u w:val="single"/>
        </w:rPr>
        <w:t>K 16. členu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16. člen se črta.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Amandma je vsebinsko povezan z amandmajem k 15. členu, ki se črta.</w:t>
      </w: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Theme="minorHAnsi" w:cs="Arial"/>
          <w:b/>
          <w:bCs/>
          <w:szCs w:val="20"/>
          <w:u w:val="single"/>
        </w:rPr>
      </w:pPr>
      <w:r>
        <w:rPr>
          <w:rFonts w:cs="Arial"/>
          <w:b/>
          <w:bCs/>
          <w:szCs w:val="20"/>
          <w:u w:val="single"/>
        </w:rPr>
        <w:t>K 17. členu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17. člen se črta.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56" w:lineRule="auto"/>
        <w:rPr>
          <w:rFonts w:eastAsiaTheme="minorHAnsi" w:cs="Arial"/>
          <w:szCs w:val="20"/>
        </w:rPr>
      </w:pPr>
      <w:r>
        <w:rPr>
          <w:rFonts w:cs="Arial"/>
          <w:szCs w:val="20"/>
        </w:rPr>
        <w:t xml:space="preserve">Prehodna določba 52. člena </w:t>
      </w:r>
      <w:r>
        <w:rPr>
          <w:rFonts w:eastAsia="Calibri" w:cs="Arial"/>
          <w:szCs w:val="20"/>
        </w:rPr>
        <w:t>veljavnega ZMVN-1</w:t>
      </w:r>
      <w:r>
        <w:rPr>
          <w:rFonts w:cs="Arial"/>
          <w:color w:val="000000"/>
          <w:szCs w:val="20"/>
          <w:lang w:eastAsia="sl-SI"/>
        </w:rPr>
        <w:t xml:space="preserve"> je vezana na veljavnost 24. člena veljavnega ZMVN-1. S prenehanjem veljavnosti določbe 24. člena samodejno preneha tudi veljavnosti določbe 52. člena in tega ni potrebno posebej urejati. </w:t>
      </w: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b/>
          <w:bCs/>
          <w:szCs w:val="20"/>
          <w:u w:val="single"/>
        </w:rPr>
        <w:t>K 20. členu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  <w:highlight w:val="yellow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Besedilo 20. člena se spremeni tako, da se glasi: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»</w:t>
      </w:r>
      <w:bookmarkStart w:id="0" w:name="_Hlk180154155"/>
      <w:r>
        <w:rPr>
          <w:rFonts w:eastAsia="Calibri" w:cs="Arial"/>
          <w:szCs w:val="20"/>
        </w:rPr>
        <w:t xml:space="preserve">Zbirno potrdilo o podatkih evidence vrednotenja </w:t>
      </w:r>
      <w:bookmarkEnd w:id="0"/>
      <w:r>
        <w:rPr>
          <w:rFonts w:eastAsia="Calibri" w:cs="Arial"/>
          <w:szCs w:val="20"/>
        </w:rPr>
        <w:t>organ vrednotenja pošlje vsem lastnikom nepremičnin do 31. decembra 2025.«.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lastRenderedPageBreak/>
        <w:t>Obrazložitev:</w:t>
      </w:r>
    </w:p>
    <w:p w:rsidR="00C90249" w:rsidRDefault="00C90249" w:rsidP="00C90249">
      <w:pPr>
        <w:spacing w:line="276" w:lineRule="auto"/>
        <w:rPr>
          <w:rFonts w:eastAsiaTheme="minorHAnsi" w:cs="Arial"/>
          <w:szCs w:val="20"/>
        </w:rPr>
      </w:pPr>
      <w:r>
        <w:rPr>
          <w:rFonts w:cs="Arial"/>
          <w:szCs w:val="20"/>
        </w:rPr>
        <w:t xml:space="preserve">Na podlagi mnenja ZPS bo z uveljavitvijo te novele, na podlagi katere bosta prenehala veljati prvi odstavek 24. člena in 52. člen </w:t>
      </w:r>
      <w:r>
        <w:rPr>
          <w:rFonts w:eastAsia="Calibri" w:cs="Arial"/>
          <w:szCs w:val="20"/>
        </w:rPr>
        <w:t>Zakona o množičnem vrednotenju nepremičnin (</w:t>
      </w:r>
      <w:r>
        <w:rPr>
          <w:rFonts w:cs="Arial"/>
          <w:color w:val="000000"/>
          <w:szCs w:val="20"/>
          <w:lang w:eastAsia="sl-SI"/>
        </w:rPr>
        <w:t xml:space="preserve">Uradni list RS, št. 77/17, 33/19, 66/19 in 54/23 – </w:t>
      </w:r>
      <w:proofErr w:type="spellStart"/>
      <w:r>
        <w:rPr>
          <w:rFonts w:cs="Arial"/>
          <w:color w:val="000000"/>
          <w:szCs w:val="20"/>
          <w:lang w:eastAsia="sl-SI"/>
        </w:rPr>
        <w:t>odl</w:t>
      </w:r>
      <w:proofErr w:type="spellEnd"/>
      <w:r>
        <w:rPr>
          <w:rFonts w:cs="Arial"/>
          <w:color w:val="000000"/>
          <w:szCs w:val="20"/>
          <w:lang w:eastAsia="sl-SI"/>
        </w:rPr>
        <w:t xml:space="preserve">. US), na katera je vezana določba 53. člena Zakona o obnovi, razvoju in zagotavljanju finančnih sredstev (ZORZFS), slednja prenehala veljati, zato predlagano besedilo v 20. členu ni potrebno. Namesto tega se jasneje zapiše, da bodo v letu 2025 vsi lastniki nepremičnin prejeli zbirno potrdilo o podatkih evidence vrednotenja. </w:t>
      </w: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</w:rPr>
      </w:pPr>
    </w:p>
    <w:p w:rsidR="00C90249" w:rsidRDefault="00C90249" w:rsidP="00C90249">
      <w:pPr>
        <w:spacing w:line="276" w:lineRule="auto"/>
        <w:rPr>
          <w:rFonts w:cs="Arial"/>
          <w:b/>
          <w:bCs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b/>
          <w:bCs/>
          <w:szCs w:val="20"/>
          <w:u w:val="single"/>
        </w:rPr>
        <w:t>K 23. členu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  <w:highlight w:val="yellow"/>
        </w:rPr>
      </w:pP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V 23. členu se besedilo »razen 8. in 17. člena tega zakona, ki začneta veljati 1. januarja 2026« nadomesti z besedilom »določbi 24. in 52. člena Zakona o množičnem vrednotenju nepremičnin (</w:t>
      </w:r>
      <w:r>
        <w:rPr>
          <w:rFonts w:cs="Arial"/>
          <w:color w:val="000000"/>
          <w:szCs w:val="20"/>
          <w:lang w:eastAsia="sl-SI"/>
        </w:rPr>
        <w:t xml:space="preserve">Uradni list RS, št. 77/17, 33/19, 66/19 in 54/23 – </w:t>
      </w:r>
      <w:proofErr w:type="spellStart"/>
      <w:r>
        <w:rPr>
          <w:rFonts w:cs="Arial"/>
          <w:color w:val="000000"/>
          <w:szCs w:val="20"/>
          <w:lang w:eastAsia="sl-SI"/>
        </w:rPr>
        <w:t>odl</w:t>
      </w:r>
      <w:proofErr w:type="spellEnd"/>
      <w:r>
        <w:rPr>
          <w:rFonts w:cs="Arial"/>
          <w:color w:val="000000"/>
          <w:szCs w:val="20"/>
          <w:lang w:eastAsia="sl-SI"/>
        </w:rPr>
        <w:t>. US) pa se uporabljata do 31</w:t>
      </w:r>
      <w:r>
        <w:rPr>
          <w:rFonts w:eastAsia="Calibri" w:cs="Arial"/>
          <w:szCs w:val="20"/>
        </w:rPr>
        <w:t>. decembra 2025«.</w:t>
      </w:r>
    </w:p>
    <w:p w:rsidR="00C90249" w:rsidRDefault="00C90249" w:rsidP="00C90249">
      <w:pPr>
        <w:spacing w:line="256" w:lineRule="auto"/>
        <w:rPr>
          <w:rFonts w:eastAsia="Calibri" w:cs="Arial"/>
          <w:szCs w:val="20"/>
        </w:rPr>
      </w:pPr>
    </w:p>
    <w:p w:rsidR="00C90249" w:rsidRDefault="00C90249" w:rsidP="00C90249">
      <w:pPr>
        <w:spacing w:line="276" w:lineRule="auto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C90249" w:rsidRDefault="00C90249" w:rsidP="00C90249">
      <w:pPr>
        <w:spacing w:line="276" w:lineRule="auto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Na predlog ZPS se vse določbe zakona uveljavijo v petnajstdnevnem roku, hkrati pa se podaljša uporabo 24. člena in 52. člena veljavnega ZMVN-1 za namen prvega pošiljanja potrdil. </w:t>
      </w:r>
    </w:p>
    <w:p w:rsidR="00C90249" w:rsidRDefault="00C90249" w:rsidP="00C90249">
      <w:pPr>
        <w:spacing w:line="276" w:lineRule="auto"/>
        <w:jc w:val="center"/>
        <w:rPr>
          <w:rFonts w:eastAsia="Calibri" w:cs="Arial"/>
          <w:szCs w:val="20"/>
        </w:rPr>
      </w:pPr>
    </w:p>
    <w:p w:rsidR="00782FD4" w:rsidRPr="00EC13B0" w:rsidRDefault="00782FD4" w:rsidP="00C90249">
      <w:pPr>
        <w:autoSpaceDE w:val="0"/>
        <w:autoSpaceDN w:val="0"/>
        <w:adjustRightInd w:val="0"/>
      </w:pPr>
      <w:bookmarkStart w:id="1" w:name="_GoBack"/>
      <w:bookmarkEnd w:id="1"/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49B7" w:rsidRDefault="00CE49B7" w:rsidP="00767987">
      <w:pPr>
        <w:spacing w:line="240" w:lineRule="auto"/>
      </w:pPr>
      <w:r>
        <w:separator/>
      </w:r>
    </w:p>
  </w:endnote>
  <w:endnote w:type="continuationSeparator" w:id="0">
    <w:p w:rsidR="00CE49B7" w:rsidRDefault="00CE49B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49B7" w:rsidRDefault="00CE49B7" w:rsidP="00767987">
      <w:pPr>
        <w:spacing w:line="240" w:lineRule="auto"/>
      </w:pPr>
      <w:r>
        <w:separator/>
      </w:r>
    </w:p>
  </w:footnote>
  <w:footnote w:type="continuationSeparator" w:id="0">
    <w:p w:rsidR="00CE49B7" w:rsidRDefault="00CE49B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4609" w:rsidRDefault="0024460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244609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5F72A9"/>
    <w:rsid w:val="00676475"/>
    <w:rsid w:val="00682FFE"/>
    <w:rsid w:val="006C69EC"/>
    <w:rsid w:val="007039D0"/>
    <w:rsid w:val="00710C90"/>
    <w:rsid w:val="007644FB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90249"/>
    <w:rsid w:val="00CD6077"/>
    <w:rsid w:val="00CE234E"/>
    <w:rsid w:val="00CE49B7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75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2024-10-24T06:51:00Z</dcterms:created>
  <dcterms:modified xsi:type="dcterms:W3CDTF">2024-10-24T06:51:00Z</dcterms:modified>
</cp:coreProperties>
</file>