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5658BD">
      <w:pPr>
        <w:pStyle w:val="datumtevilka"/>
      </w:pPr>
      <w:r>
        <w:rPr>
          <w:rFonts w:cs="Arial"/>
          <w:color w:val="000000"/>
        </w:rPr>
        <w:t>EVA:</w:t>
      </w:r>
      <w:r>
        <w:rPr>
          <w:rFonts w:cs="Arial"/>
          <w:color w:val="000000"/>
        </w:rPr>
        <w:tab/>
      </w:r>
      <w:r w:rsidR="00806570">
        <w:rPr>
          <w:rFonts w:cs="Arial"/>
          <w:color w:val="000000"/>
        </w:rPr>
        <w:t>2024-1611-0040</w:t>
      </w:r>
    </w:p>
    <w:p w:rsidR="00896FBD" w:rsidRDefault="00896FBD" w:rsidP="005658BD">
      <w:pPr>
        <w:pStyle w:val="datumtevilka"/>
      </w:pPr>
      <w:r>
        <w:t xml:space="preserve">Številka: </w:t>
      </w:r>
      <w:r>
        <w:tab/>
      </w:r>
      <w:r w:rsidR="00806570">
        <w:rPr>
          <w:rFonts w:cs="Arial"/>
          <w:color w:val="000000"/>
        </w:rPr>
        <w:t>00704-214/2024/20</w:t>
      </w:r>
    </w:p>
    <w:p w:rsidR="00896FBD" w:rsidRDefault="00896FBD" w:rsidP="005658BD">
      <w:pPr>
        <w:pStyle w:val="datumtevilka"/>
      </w:pPr>
      <w:r>
        <w:t>Datum:</w:t>
      </w:r>
      <w:r>
        <w:tab/>
      </w:r>
      <w:r w:rsidR="00806570">
        <w:rPr>
          <w:rFonts w:cs="Arial"/>
          <w:color w:val="000000"/>
        </w:rPr>
        <w:t>24. 10. 2024</w:t>
      </w:r>
      <w:r>
        <w:t xml:space="preserve"> </w:t>
      </w:r>
    </w:p>
    <w:p w:rsidR="00896FBD" w:rsidRDefault="00896FBD" w:rsidP="005658BD"/>
    <w:p w:rsidR="00896FBD" w:rsidRDefault="00896FBD" w:rsidP="005658BD">
      <w:pPr>
        <w:autoSpaceDE w:val="0"/>
        <w:autoSpaceDN w:val="0"/>
        <w:adjustRightInd w:val="0"/>
        <w:rPr>
          <w:rFonts w:cs="Arial"/>
          <w:color w:val="000000"/>
          <w:szCs w:val="20"/>
        </w:rPr>
      </w:pPr>
    </w:p>
    <w:p w:rsidR="00896FBD" w:rsidRPr="00384505" w:rsidRDefault="005658BD" w:rsidP="00384505">
      <w:pPr>
        <w:autoSpaceDE w:val="0"/>
        <w:autoSpaceDN w:val="0"/>
        <w:adjustRightInd w:val="0"/>
        <w:ind w:left="709" w:hanging="709"/>
        <w:jc w:val="center"/>
        <w:rPr>
          <w:rFonts w:cs="Arial"/>
          <w:b/>
          <w:color w:val="000000"/>
          <w:szCs w:val="20"/>
        </w:rPr>
      </w:pPr>
      <w:r w:rsidRPr="00384505">
        <w:rPr>
          <w:rFonts w:cs="Arial"/>
          <w:b/>
          <w:color w:val="000000"/>
          <w:szCs w:val="20"/>
        </w:rPr>
        <w:t>Predlog</w:t>
      </w:r>
      <w:r w:rsidR="00806570" w:rsidRPr="00384505">
        <w:rPr>
          <w:rFonts w:cs="Arial"/>
          <w:b/>
          <w:color w:val="000000"/>
          <w:szCs w:val="20"/>
        </w:rPr>
        <w:t xml:space="preserve"> amandmajev k Predlogu zakona o spremembah in dopolnitvah Zakona o dohodnini</w:t>
      </w:r>
    </w:p>
    <w:p w:rsidR="00896FBD" w:rsidRDefault="00896FBD" w:rsidP="005658BD">
      <w:pPr>
        <w:autoSpaceDE w:val="0"/>
        <w:autoSpaceDN w:val="0"/>
        <w:adjustRightInd w:val="0"/>
        <w:rPr>
          <w:rFonts w:cs="Arial"/>
          <w:color w:val="000000"/>
          <w:szCs w:val="20"/>
        </w:rPr>
      </w:pPr>
    </w:p>
    <w:p w:rsidR="00896FBD" w:rsidRDefault="00896FBD" w:rsidP="005658BD">
      <w:pPr>
        <w:autoSpaceDE w:val="0"/>
        <w:autoSpaceDN w:val="0"/>
        <w:adjustRightInd w:val="0"/>
        <w:rPr>
          <w:rFonts w:cs="Arial"/>
          <w:color w:val="000000"/>
          <w:szCs w:val="20"/>
        </w:rPr>
      </w:pPr>
    </w:p>
    <w:p w:rsidR="00384505" w:rsidRDefault="00384505" w:rsidP="00384505">
      <w:pPr>
        <w:spacing w:line="276" w:lineRule="auto"/>
        <w:rPr>
          <w:rFonts w:eastAsia="Calibri" w:cs="Arial"/>
          <w:b/>
          <w:bCs/>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4. členu</w:t>
      </w:r>
    </w:p>
    <w:p w:rsidR="00384505" w:rsidRDefault="00384505" w:rsidP="00384505">
      <w:pPr>
        <w:spacing w:line="276" w:lineRule="auto"/>
        <w:rPr>
          <w:rFonts w:eastAsia="Calibri" w:cs="Arial"/>
          <w:szCs w:val="20"/>
        </w:rPr>
      </w:pPr>
      <w:r>
        <w:rPr>
          <w:rFonts w:eastAsia="Calibri" w:cs="Arial"/>
          <w:szCs w:val="20"/>
        </w:rPr>
        <w:t>V 4. členu se črta besedilo »vključno z zamudnimi obrestmi,«.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 xml:space="preserve">Amandma sledi mnenju Zakonodajno-pravne službe Državnega zbora RS in se črta del besedila, ki odpade na zamudne obresti, ki so že ustrezno urejene v 1. točki 30. člena Zakona o dohodnini (Uradni list RS, št. 13/11 – uradno prečiščeno besedilo, 9/11 – ZUKD-1, 9/12 – </w:t>
      </w:r>
      <w:proofErr w:type="spellStart"/>
      <w:r>
        <w:rPr>
          <w:rFonts w:eastAsia="Calibri" w:cs="Arial"/>
          <w:szCs w:val="20"/>
        </w:rPr>
        <w:t>odl</w:t>
      </w:r>
      <w:proofErr w:type="spellEnd"/>
      <w:r>
        <w:rPr>
          <w:rFonts w:eastAsia="Calibri" w:cs="Arial"/>
          <w:szCs w:val="20"/>
        </w:rPr>
        <w:t xml:space="preserve">. US, 24/12, 30/12, 40/12 – ZUJF, 75/12, 94/12, 96/13, 29/14 – </w:t>
      </w:r>
      <w:proofErr w:type="spellStart"/>
      <w:r>
        <w:rPr>
          <w:rFonts w:eastAsia="Calibri" w:cs="Arial"/>
          <w:szCs w:val="20"/>
        </w:rPr>
        <w:t>odl</w:t>
      </w:r>
      <w:proofErr w:type="spellEnd"/>
      <w:r>
        <w:rPr>
          <w:rFonts w:eastAsia="Calibri" w:cs="Arial"/>
          <w:szCs w:val="20"/>
        </w:rPr>
        <w:t xml:space="preserve">. US, 50/14, 23/15, 55/15, 63/16, 69/17, 21/19, 28/19, 66/19, 39/22, 132/22 – </w:t>
      </w:r>
      <w:proofErr w:type="spellStart"/>
      <w:r>
        <w:rPr>
          <w:rFonts w:eastAsia="Calibri" w:cs="Arial"/>
          <w:szCs w:val="20"/>
        </w:rPr>
        <w:t>odl</w:t>
      </w:r>
      <w:proofErr w:type="spellEnd"/>
      <w:r>
        <w:rPr>
          <w:rFonts w:eastAsia="Calibri" w:cs="Arial"/>
          <w:szCs w:val="20"/>
        </w:rPr>
        <w:t xml:space="preserve">. US, 158/22 in 131/23 – ZORZFS; v nadaljnjem besedilu: ZDoh-2), zato podvajanje ni potrebno. </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6. členu</w:t>
      </w:r>
    </w:p>
    <w:p w:rsidR="00384505" w:rsidRDefault="00384505" w:rsidP="00384505">
      <w:pPr>
        <w:spacing w:line="276" w:lineRule="auto"/>
        <w:rPr>
          <w:rFonts w:eastAsia="Calibri" w:cs="Arial"/>
          <w:szCs w:val="20"/>
        </w:rPr>
      </w:pPr>
      <w:r>
        <w:rPr>
          <w:rFonts w:eastAsia="Calibri" w:cs="Arial"/>
          <w:szCs w:val="20"/>
        </w:rPr>
        <w:t>6. člen se spremeni tako, da se glasi: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»V 39. členu se v tretjem odstavku na koncu 7. točke pika nadomesti s podpičjem ter dodata novi, 8. in 9. točka, ki se glasita: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»8. zagotavljanje električne energije delojemalcu za polnjenje osebnih vozil delojemalca na nekomercialnih polnilnih postajah delodajalca;</w:t>
      </w:r>
    </w:p>
    <w:p w:rsidR="00384505" w:rsidRDefault="00384505" w:rsidP="00384505">
      <w:pPr>
        <w:spacing w:line="276" w:lineRule="auto"/>
        <w:rPr>
          <w:rFonts w:eastAsia="Calibri" w:cs="Arial"/>
          <w:szCs w:val="20"/>
        </w:rPr>
      </w:pPr>
      <w:r>
        <w:rPr>
          <w:rFonts w:eastAsia="Calibri" w:cs="Arial"/>
          <w:szCs w:val="20"/>
        </w:rPr>
        <w:t>9. kolo ali kolo-rikša, kot sta opredeljena po zakonu, ki ureja pravila cestnega prometa, ki ga delodajalec zagotovi delojemalcu, vendar na posameznega delojemalca največ eno kolo ali kolo-rikša v petih letih, če nabavna vrednost, vključno z davkom na dodano vrednost, ne presega 2.000 eurov.«.«.</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 xml:space="preserve">Amandma sledi mnenju Zakonodajno-pravne službe Državnega zbora RS in se ustrezno ločita dve nepovezani vsebini na dve točki, dodatno pa se ustrezno preuredi nova 9. točka na način, da se jasneje zapiše vsebina bonitete v obliki kolesa oziroma kolesa-rikše. </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8. členu</w:t>
      </w:r>
    </w:p>
    <w:p w:rsidR="00384505" w:rsidRDefault="00384505" w:rsidP="00384505">
      <w:pPr>
        <w:spacing w:line="276" w:lineRule="auto"/>
        <w:rPr>
          <w:rFonts w:eastAsia="Calibri" w:cs="Arial"/>
          <w:szCs w:val="20"/>
        </w:rPr>
      </w:pPr>
      <w:r>
        <w:rPr>
          <w:rFonts w:eastAsia="Calibri" w:cs="Arial"/>
          <w:szCs w:val="20"/>
        </w:rPr>
        <w:t>V 8. členu se v desetem odstavku besedilo »članov organov vodenja in nadzora« nadomesti z besedilom »poslovodstva ali članov organov nadzora«.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szCs w:val="20"/>
        </w:rPr>
      </w:pPr>
      <w:r>
        <w:rPr>
          <w:rFonts w:eastAsia="Calibri" w:cs="Arial"/>
          <w:b/>
          <w:szCs w:val="20"/>
        </w:rPr>
        <w:t>Obrazložitev:</w:t>
      </w:r>
    </w:p>
    <w:p w:rsidR="00384505" w:rsidRDefault="00384505" w:rsidP="00384505">
      <w:pPr>
        <w:spacing w:line="276" w:lineRule="auto"/>
        <w:rPr>
          <w:rFonts w:eastAsia="Calibri" w:cs="Arial"/>
          <w:szCs w:val="20"/>
        </w:rPr>
      </w:pPr>
      <w:r>
        <w:rPr>
          <w:rFonts w:eastAsia="Calibri" w:cs="Arial"/>
          <w:szCs w:val="20"/>
        </w:rPr>
        <w:t xml:space="preserve">Amandma sledi mnenju Zakonodajno-pravne službe Državnega zbora RS in razrešuje dilemo, </w:t>
      </w:r>
      <w:bookmarkStart w:id="0" w:name="_Hlk180056070"/>
      <w:r>
        <w:rPr>
          <w:rFonts w:eastAsia="Calibri" w:cs="Arial"/>
          <w:szCs w:val="20"/>
        </w:rPr>
        <w:t xml:space="preserve">ali gre pri urejanju te vsebine zgolj za zavezance, člane organa vodenja in nadzora v delniški družbi. Določba se ustrezno popravi tako, da iz nje jasno izhaja, da gre za vse osebe, ki so pooblaščene, da vodijo posle, in za vse osebe, ki opravljajo nadzorno funkcijo v pravni osebi. </w:t>
      </w:r>
      <w:r>
        <w:rPr>
          <w:rFonts w:eastAsia="Calibri" w:cs="Arial"/>
          <w:szCs w:val="20"/>
        </w:rPr>
        <w:lastRenderedPageBreak/>
        <w:t>Pri tem je dodati, da se vsebina nanaša na vse zavezance, za katere je pravna oseba, v kateri ti zavezanci vodijo posle oziroma opravljajo nadzorno funkcijo, sklenila skupinsko zavarovanje njihove odgovornosti (torej odgovornosti, ki jim je naložena po posebnih predpisih).</w:t>
      </w:r>
    </w:p>
    <w:bookmarkEnd w:id="0"/>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9. členu</w:t>
      </w:r>
    </w:p>
    <w:p w:rsidR="00384505" w:rsidRDefault="00384505" w:rsidP="00384505">
      <w:pPr>
        <w:spacing w:line="276" w:lineRule="auto"/>
        <w:rPr>
          <w:rFonts w:eastAsia="Calibri" w:cs="Arial"/>
          <w:szCs w:val="20"/>
        </w:rPr>
      </w:pPr>
      <w:r>
        <w:rPr>
          <w:rFonts w:eastAsia="Calibri" w:cs="Arial"/>
          <w:szCs w:val="20"/>
        </w:rPr>
        <w:t>Besedilo 9. člena se spremeni tako, da se glasi: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»V 45. členu se v prvem odstavku za besedo »podlagi« doda besedilo »3. točke prvega odstavka in«.«.</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 xml:space="preserve">Z amandmajem se predlaga črtanje odprave </w:t>
      </w:r>
      <w:proofErr w:type="spellStart"/>
      <w:r>
        <w:rPr>
          <w:rFonts w:eastAsia="Calibri" w:cs="Arial"/>
          <w:szCs w:val="20"/>
        </w:rPr>
        <w:t>nevštevanja</w:t>
      </w:r>
      <w:proofErr w:type="spellEnd"/>
      <w:r>
        <w:rPr>
          <w:rFonts w:eastAsia="Calibri" w:cs="Arial"/>
          <w:szCs w:val="20"/>
        </w:rPr>
        <w:t xml:space="preserve"> v davčno osnovo povišane višine priznanih stroškov prehrane med delom za zavezanca, ki prejema dohodek iz delovnega razmerja s tujim delodajalcem za delo v tujini. V davčno osnovo od dohodka iz delovnega razmerja s tujim delodajalcem za delo v tujini se tako še naprej ne bo všteval dohodek v višini stroška prehrane med delom glede na dejansko prisotnost na delovnem mestu v tujini, pod pogoji in do višine, ki jih na podlagi 3. točke prvega odstavka in drugega odstavka 44. člena tega zakona določi vlada, pri čemer se stroški prehrane med delom priznajo do višine, povečane za 80 % glede na višino, ki jo določi vlada.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10. členu</w:t>
      </w:r>
    </w:p>
    <w:p w:rsidR="00384505" w:rsidRDefault="00384505" w:rsidP="00384505">
      <w:pPr>
        <w:spacing w:line="276" w:lineRule="auto"/>
        <w:rPr>
          <w:rFonts w:eastAsia="Calibri" w:cs="Arial"/>
          <w:szCs w:val="20"/>
        </w:rPr>
      </w:pPr>
      <w:r>
        <w:rPr>
          <w:rFonts w:eastAsia="Calibri" w:cs="Arial"/>
          <w:szCs w:val="20"/>
        </w:rPr>
        <w:t>V 10. členu se  v tretjem odstavku črta beseda »(boniteta)«.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V petem odstavku se v prvi alineji beseda »družbe« nadomesti z besedilom »gospodarske družbe«, beseda »družba« pa se nadomesti z besedilom »gospodarska družba«.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V sedmem odstavku se beseda »družbe« nadomesti z besedilom »gospodarske družbe«.</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Amandma sledi mnenju Zakonodajno-pravne službe Državnega zbora RS in se črta nepotrebno navajanje pojasnjevalne besede boniteta, dodatno pa se zaradi konsistentnosti besedila vse besede družbe nadomestilo z ustrezno navedbo gospodarskih družb.</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11. členu:</w:t>
      </w:r>
    </w:p>
    <w:p w:rsidR="00384505" w:rsidRDefault="00384505" w:rsidP="00384505">
      <w:pPr>
        <w:spacing w:line="276" w:lineRule="auto"/>
        <w:rPr>
          <w:rFonts w:eastAsia="Calibri" w:cs="Arial"/>
          <w:szCs w:val="20"/>
        </w:rPr>
      </w:pPr>
      <w:r>
        <w:rPr>
          <w:rFonts w:eastAsia="Calibri" w:cs="Arial"/>
          <w:szCs w:val="20"/>
        </w:rPr>
        <w:t>V 11. členu se v petnajstem odstavku besedilo »povezano osebo in z osebo, s katero je v delovnem razmerju na podlagi sklenjene« nadomesti z besedilom »povezano osebo ali z delodajalcem, s katerim je v delovnem razmerju na podlagi«.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bookmarkStart w:id="1" w:name="_Hlk179979923"/>
      <w:bookmarkStart w:id="2" w:name="_Hlk180058659"/>
      <w:r>
        <w:rPr>
          <w:rFonts w:eastAsia="Calibri" w:cs="Arial"/>
          <w:szCs w:val="20"/>
        </w:rPr>
        <w:t>Amandma sledi mnenju Zakonodajno-pravne službe Državnega zbora RS</w:t>
      </w:r>
      <w:bookmarkEnd w:id="1"/>
      <w:r>
        <w:rPr>
          <w:rFonts w:eastAsia="Calibri" w:cs="Arial"/>
          <w:szCs w:val="20"/>
        </w:rPr>
        <w:t>. Odpravlja se nejasnost glede subjektov, v zvezi s katerimi se zahteva poročanje o prihodkih z določenimi osebami. Jasno se zapiše, da se poročajo prihodki, ki jih zavezanec doseže s povezano osebo (kot je opredeljena po tretjem odstavku 16. člena ZDoh-2, in prihodki, ki jih zavezanec doseže z delodajalcem, s katerim je v delovnem razmerju na podlagi pogodbe o zaposlitvi (in ne morebiti z vsemi delodajalci, kot je ta pojem opredeljen v četrtem odstavku 35. člena ZDoh-2). Navedeno torej pomeni, da se ne poročajo morebitni prihodki zavezanca, ki jih ta doseže z delodajalcem, s katerim dosega dohodke iz zaposlitve na podlagi drugih pogodb o delu, ki niso pogodba o zaposlitvi.</w:t>
      </w:r>
    </w:p>
    <w:bookmarkEnd w:id="2"/>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15. členu</w:t>
      </w:r>
    </w:p>
    <w:p w:rsidR="00384505" w:rsidRDefault="00384505" w:rsidP="00384505">
      <w:pPr>
        <w:spacing w:line="276" w:lineRule="auto"/>
        <w:rPr>
          <w:rFonts w:eastAsia="Calibri" w:cs="Arial"/>
          <w:szCs w:val="20"/>
        </w:rPr>
      </w:pPr>
      <w:r>
        <w:rPr>
          <w:rFonts w:eastAsia="Calibri" w:cs="Arial"/>
          <w:szCs w:val="20"/>
        </w:rPr>
        <w:t>15. člen se spremeni tako, da se glasi: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lastRenderedPageBreak/>
        <w:t>»V 66. členu se v drugem odstavku v 1. točki za besedilom »za te namene« dodata vejica in besedilo »ter drugim nevladnim organizacijam na področju varstva pred naravnimi in drugimi nesrečami, ki delujejo v javnem interesu za te namene«.«.</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 xml:space="preserve">Amandma sledi mnenju Zakonodajno-pravne službe Državnega zbora RS </w:t>
      </w:r>
      <w:bookmarkStart w:id="3" w:name="_Hlk180058941"/>
      <w:r>
        <w:rPr>
          <w:rFonts w:eastAsia="Calibri" w:cs="Arial"/>
          <w:szCs w:val="20"/>
        </w:rPr>
        <w:t xml:space="preserve">in se besedilo ustrezno preoblikuje na način, da upošteva ustrezno sistematiko 66. člena ZDoh-2 in se črta </w:t>
      </w:r>
      <w:proofErr w:type="spellStart"/>
      <w:r>
        <w:rPr>
          <w:rFonts w:eastAsia="Calibri" w:cs="Arial"/>
          <w:szCs w:val="20"/>
        </w:rPr>
        <w:t>preobsežnost</w:t>
      </w:r>
      <w:proofErr w:type="spellEnd"/>
      <w:r>
        <w:rPr>
          <w:rFonts w:eastAsia="Calibri" w:cs="Arial"/>
          <w:szCs w:val="20"/>
        </w:rPr>
        <w:t xml:space="preserve"> besedila.</w:t>
      </w:r>
      <w:bookmarkEnd w:id="3"/>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17. členu</w:t>
      </w:r>
    </w:p>
    <w:p w:rsidR="00384505" w:rsidRDefault="00384505" w:rsidP="00384505">
      <w:pPr>
        <w:spacing w:line="276" w:lineRule="auto"/>
        <w:rPr>
          <w:rFonts w:eastAsia="Calibri" w:cs="Arial"/>
          <w:szCs w:val="20"/>
        </w:rPr>
      </w:pPr>
      <w:r>
        <w:rPr>
          <w:rFonts w:eastAsia="Calibri" w:cs="Arial"/>
          <w:szCs w:val="20"/>
        </w:rPr>
        <w:t>V 17. členu se v prvem odstavku v četrti alineji na dveh mestih besedilo »z zakonom o obdavčenju« nadomesti z besedilom »s tem zakonom, ali zakonom, ki ureja davek od dohodkov pravnih oseb,«.</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V drugem odstavku se na koncu doda nov stavek, ki se glasi:</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eastAsia="Calibri" w:cs="Arial"/>
          <w:szCs w:val="20"/>
        </w:rPr>
        <w:t>»Šteje se, da je pogoj iz četrte alineje prejšnjega odstavka izpolnjen, če ima zavezanec sklenjeno delovno razmerje v Sloveniji najmanj 10 mesecev v posameznem davčnem letu.«.</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Z amandmajem se v novem 113.a členu v prvem odstavku v četrti alineji sledi mnenju Zakonodajno-pravne službe Državnega zbora RS in se ustrezno nadomesti besedilo (iz zakona o obdavčenju v ustrezno navedbo delodajalca v skladu s tozadevnim zakonom oziroma zakonom, ki ureja davek od dohodkov pravnih oseb).</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Theme="minorHAnsi" w:cs="Arial"/>
          <w:szCs w:val="20"/>
        </w:rPr>
      </w:pPr>
      <w:r>
        <w:rPr>
          <w:rFonts w:eastAsia="Calibri" w:cs="Arial"/>
          <w:szCs w:val="20"/>
        </w:rPr>
        <w:t xml:space="preserve">Z amandmajem se v drugem odstavku dodaja nov stavek z namenom, da bo olajšava na voljo osebam, ki bodo veliko večino davčnega leta imeli sklenjeno delovno razmerje v Sloveniji </w:t>
      </w:r>
      <w:r>
        <w:rPr>
          <w:rFonts w:cs="Arial"/>
          <w:szCs w:val="20"/>
        </w:rPr>
        <w:t>z delodajalcem, ki je v skladu z zakonom o obdavčenju rezident Slovenije ali nerezident Slovenije (ki ima v skladu z zakonom o obdavčenju poslovno enoto nerezidenta v Sloveniji ali ima v skladu s predpisi, ki urejajo ustanovitev in poslovanje v Sloveniji, podružnico v Sloveniji)</w:t>
      </w:r>
      <w:r>
        <w:rPr>
          <w:rFonts w:eastAsia="Calibri" w:cs="Arial"/>
          <w:szCs w:val="20"/>
        </w:rPr>
        <w:t xml:space="preserve">, omogoči pa se, da morebitne fluktuacije zavezanca med delodajalci v Sloveniji in nekonsistentnosti med zaporednostjo različnih pogodb o zaposlitvi ne bo imela vpliva na možnost uveljavljanja olajšave. Pri tem pa je treba dodati, da mora tak zavezanec še vedno celo davčno leto (izvzemši davčnega leta nastopa dela v Sloveniji) izpolnjevati pogoj rezidentstva Slovenije in pa višino plače v vsakokratni aktualni pogodbi o zaposlitvi (najmanj 2-kratnik zadnje znanje povprečne </w:t>
      </w:r>
      <w:r>
        <w:rPr>
          <w:rFonts w:cs="Arial"/>
          <w:szCs w:val="20"/>
        </w:rPr>
        <w:t>letne plače zaposlenih v Sloveniji, ki jo objavi Statistični urad Republike Slovenije, preračunane na mesec).</w:t>
      </w:r>
    </w:p>
    <w:p w:rsidR="00384505" w:rsidRDefault="00384505" w:rsidP="00384505">
      <w:pPr>
        <w:spacing w:line="276" w:lineRule="auto"/>
        <w:rPr>
          <w:rFonts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21. členu</w:t>
      </w:r>
    </w:p>
    <w:p w:rsidR="00384505" w:rsidRDefault="00384505" w:rsidP="00384505">
      <w:pPr>
        <w:spacing w:line="276" w:lineRule="auto"/>
        <w:rPr>
          <w:rFonts w:eastAsia="Calibri" w:cs="Arial"/>
          <w:szCs w:val="20"/>
        </w:rPr>
      </w:pPr>
      <w:r>
        <w:rPr>
          <w:rFonts w:eastAsia="Calibri" w:cs="Arial"/>
          <w:szCs w:val="20"/>
        </w:rPr>
        <w:t xml:space="preserve">V 21. členu se </w:t>
      </w:r>
      <w:bookmarkStart w:id="4" w:name="_Hlk180408224"/>
      <w:r>
        <w:rPr>
          <w:rFonts w:eastAsia="Calibri" w:cs="Arial"/>
          <w:szCs w:val="20"/>
        </w:rPr>
        <w:t>pred prvim odstavkom doda nov prvi odstavek, ki se glasi:</w:t>
      </w:r>
      <w:bookmarkEnd w:id="4"/>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szCs w:val="20"/>
        </w:rPr>
      </w:pPr>
      <w:r>
        <w:rPr>
          <w:rFonts w:cs="Arial"/>
          <w:szCs w:val="20"/>
        </w:rPr>
        <w:t>»V 127. členu se v prvem odstavku besedilo »45.a« nadomesti z besedilom »45.b«.</w:t>
      </w:r>
    </w:p>
    <w:p w:rsidR="00384505" w:rsidRDefault="00384505" w:rsidP="00384505">
      <w:pPr>
        <w:spacing w:line="276" w:lineRule="auto"/>
        <w:rPr>
          <w:rFonts w:eastAsia="Calibri" w:cs="Arial"/>
          <w:szCs w:val="20"/>
        </w:rPr>
      </w:pPr>
      <w:bookmarkStart w:id="5" w:name="_Hlk180408279"/>
    </w:p>
    <w:p w:rsidR="00384505" w:rsidRDefault="00384505" w:rsidP="00384505">
      <w:pPr>
        <w:spacing w:line="276" w:lineRule="auto"/>
        <w:rPr>
          <w:rFonts w:eastAsia="Calibri" w:cs="Arial"/>
          <w:szCs w:val="20"/>
        </w:rPr>
      </w:pPr>
      <w:r>
        <w:rPr>
          <w:rFonts w:eastAsia="Calibri" w:cs="Arial"/>
          <w:szCs w:val="20"/>
        </w:rPr>
        <w:t>Dosedanji prvi odstavek se spremeni tako, da se glasi:</w:t>
      </w:r>
    </w:p>
    <w:bookmarkEnd w:id="5"/>
    <w:p w:rsidR="00384505" w:rsidRDefault="00384505" w:rsidP="00384505">
      <w:pPr>
        <w:spacing w:line="276" w:lineRule="auto"/>
        <w:rPr>
          <w:rFonts w:eastAsiaTheme="minorHAnsi" w:cs="Arial"/>
          <w:szCs w:val="20"/>
        </w:rPr>
      </w:pPr>
    </w:p>
    <w:p w:rsidR="00384505" w:rsidRDefault="00384505" w:rsidP="00384505">
      <w:pPr>
        <w:spacing w:line="276" w:lineRule="auto"/>
        <w:rPr>
          <w:rFonts w:cs="Arial"/>
          <w:szCs w:val="20"/>
        </w:rPr>
      </w:pPr>
      <w:r>
        <w:rPr>
          <w:rFonts w:cs="Arial"/>
          <w:szCs w:val="20"/>
        </w:rPr>
        <w:t>»V petem odstavku se na koncu doda nov stavek, ki se glasi:</w:t>
      </w:r>
    </w:p>
    <w:p w:rsidR="00384505" w:rsidRDefault="00384505" w:rsidP="00384505">
      <w:pPr>
        <w:spacing w:line="276" w:lineRule="auto"/>
        <w:rPr>
          <w:rFonts w:cs="Arial"/>
          <w:szCs w:val="20"/>
        </w:rPr>
      </w:pPr>
    </w:p>
    <w:p w:rsidR="00384505" w:rsidRDefault="00384505" w:rsidP="00384505">
      <w:pPr>
        <w:spacing w:line="276" w:lineRule="auto"/>
        <w:rPr>
          <w:rFonts w:cs="Arial"/>
          <w:szCs w:val="20"/>
        </w:rPr>
      </w:pPr>
      <w:bookmarkStart w:id="6" w:name="_Hlk180408360"/>
      <w:r>
        <w:rPr>
          <w:rFonts w:cs="Arial"/>
          <w:szCs w:val="20"/>
        </w:rPr>
        <w:t>»Za dohodek po tem odstavku se šteje tudi dohodek iz 45.b člena tega zakona.«.«.</w:t>
      </w:r>
    </w:p>
    <w:bookmarkEnd w:id="6"/>
    <w:p w:rsidR="00384505" w:rsidRDefault="00384505" w:rsidP="00384505">
      <w:pPr>
        <w:spacing w:line="276" w:lineRule="auto"/>
        <w:rPr>
          <w:rFonts w:cs="Arial"/>
          <w:szCs w:val="20"/>
        </w:rPr>
      </w:pPr>
    </w:p>
    <w:p w:rsidR="00384505" w:rsidRDefault="00384505" w:rsidP="00384505">
      <w:pPr>
        <w:spacing w:line="276" w:lineRule="auto"/>
        <w:rPr>
          <w:rFonts w:cs="Arial"/>
          <w:b/>
          <w:bCs/>
          <w:szCs w:val="20"/>
        </w:rPr>
      </w:pPr>
      <w:r>
        <w:rPr>
          <w:rFonts w:cs="Arial"/>
          <w:b/>
          <w:bCs/>
          <w:szCs w:val="20"/>
        </w:rPr>
        <w:t>Obrazložitev:</w:t>
      </w:r>
    </w:p>
    <w:p w:rsidR="00384505" w:rsidRDefault="00384505" w:rsidP="00384505">
      <w:pPr>
        <w:spacing w:line="276" w:lineRule="auto"/>
        <w:rPr>
          <w:rFonts w:eastAsia="Calibri" w:cs="Arial"/>
          <w:szCs w:val="20"/>
        </w:rPr>
      </w:pPr>
      <w:r>
        <w:rPr>
          <w:rFonts w:eastAsia="Calibri" w:cs="Arial"/>
          <w:szCs w:val="20"/>
        </w:rPr>
        <w:t xml:space="preserve">Amandma </w:t>
      </w:r>
      <w:bookmarkStart w:id="7" w:name="_Hlk180064997"/>
      <w:r>
        <w:rPr>
          <w:rFonts w:eastAsia="Calibri" w:cs="Arial"/>
          <w:szCs w:val="20"/>
        </w:rPr>
        <w:t>sledi mnenju Zakonodajno-pravne službe Državnega zbora RS</w:t>
      </w:r>
      <w:bookmarkEnd w:id="7"/>
      <w:r>
        <w:rPr>
          <w:rFonts w:eastAsia="Calibri" w:cs="Arial"/>
          <w:szCs w:val="20"/>
        </w:rPr>
        <w:t xml:space="preserve"> in se v prvi odstavek 127. člena ZDoh-2 ustrezno umesti nov 45.b člen, saj gre tudi v tem primeru za dohodek iz </w:t>
      </w:r>
      <w:r>
        <w:rPr>
          <w:rFonts w:eastAsia="Calibri" w:cs="Arial"/>
          <w:szCs w:val="20"/>
        </w:rPr>
        <w:lastRenderedPageBreak/>
        <w:t>zaposlitve in je treba ustrezno urediti izračun akontacije dohodnine tudi od tega dohodka, za katerega se določa posebna davčna obravnava.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u w:val="single"/>
        </w:rPr>
      </w:pPr>
      <w:r>
        <w:rPr>
          <w:rFonts w:eastAsia="Calibri" w:cs="Arial"/>
          <w:b/>
          <w:bCs/>
          <w:szCs w:val="20"/>
          <w:u w:val="single"/>
        </w:rPr>
        <w:t>K 22. členu</w:t>
      </w:r>
    </w:p>
    <w:p w:rsidR="00384505" w:rsidRDefault="00384505" w:rsidP="00384505">
      <w:pPr>
        <w:spacing w:line="276" w:lineRule="auto"/>
        <w:rPr>
          <w:rFonts w:eastAsia="Calibri" w:cs="Arial"/>
          <w:szCs w:val="20"/>
        </w:rPr>
      </w:pPr>
      <w:r>
        <w:rPr>
          <w:rFonts w:eastAsia="Calibri" w:cs="Arial"/>
          <w:szCs w:val="20"/>
        </w:rPr>
        <w:t>22. člen se črta.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Calibri" w:cs="Arial"/>
          <w:szCs w:val="20"/>
        </w:rPr>
      </w:pPr>
      <w:r>
        <w:rPr>
          <w:rFonts w:eastAsia="Calibri" w:cs="Arial"/>
          <w:szCs w:val="20"/>
        </w:rPr>
        <w:t>Amandma sledi mnenju Zakonodajno-pravne službe Državnega zbora RS in se vsebina tega člena (zamik začetka uporabe spremenjenega 42. člena ZDoh-2) prenese v končno določbo tega zakona.</w:t>
      </w:r>
    </w:p>
    <w:p w:rsidR="00384505" w:rsidRDefault="00384505" w:rsidP="00384505">
      <w:pPr>
        <w:spacing w:line="276" w:lineRule="auto"/>
        <w:rPr>
          <w:rFonts w:eastAsia="Calibri" w:cs="Arial"/>
          <w:szCs w:val="20"/>
        </w:rPr>
      </w:pPr>
    </w:p>
    <w:p w:rsidR="00384505" w:rsidRDefault="00384505" w:rsidP="00384505">
      <w:pPr>
        <w:spacing w:line="276" w:lineRule="auto"/>
        <w:rPr>
          <w:rFonts w:eastAsiaTheme="minorHAnsi" w:cs="Arial"/>
          <w:b/>
          <w:bCs/>
          <w:szCs w:val="20"/>
          <w:u w:val="single"/>
        </w:rPr>
      </w:pPr>
      <w:r>
        <w:rPr>
          <w:rFonts w:cs="Arial"/>
          <w:b/>
          <w:bCs/>
          <w:szCs w:val="20"/>
          <w:u w:val="single"/>
        </w:rPr>
        <w:t>K 23. členu</w:t>
      </w:r>
    </w:p>
    <w:p w:rsidR="00384505" w:rsidRDefault="00384505" w:rsidP="00384505">
      <w:pPr>
        <w:spacing w:line="276" w:lineRule="auto"/>
        <w:rPr>
          <w:rFonts w:cs="Arial"/>
          <w:szCs w:val="20"/>
        </w:rPr>
      </w:pPr>
    </w:p>
    <w:p w:rsidR="00384505" w:rsidRDefault="00384505" w:rsidP="00384505">
      <w:pPr>
        <w:spacing w:line="276" w:lineRule="auto"/>
        <w:rPr>
          <w:rFonts w:cs="Arial"/>
          <w:szCs w:val="20"/>
        </w:rPr>
      </w:pPr>
      <w:r>
        <w:rPr>
          <w:rFonts w:cs="Arial"/>
          <w:szCs w:val="20"/>
        </w:rPr>
        <w:t>V 23. členu  se besedilo »če delojemalec zagotovi osebno motorno vozilo ne električni pogon« nadomesti z besedilom »če delodajalec zagotovi osebno motorno vozilo na električni pogon«.</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rPr>
      </w:pPr>
      <w:r>
        <w:rPr>
          <w:rFonts w:cs="Arial"/>
          <w:b/>
          <w:bCs/>
          <w:szCs w:val="20"/>
        </w:rPr>
        <w:t>Obrazložitev:</w:t>
      </w:r>
    </w:p>
    <w:p w:rsidR="00384505" w:rsidRDefault="00384505" w:rsidP="00384505">
      <w:pPr>
        <w:spacing w:line="276" w:lineRule="auto"/>
        <w:rPr>
          <w:rFonts w:cs="Arial"/>
          <w:szCs w:val="20"/>
        </w:rPr>
      </w:pPr>
      <w:r>
        <w:rPr>
          <w:rFonts w:cs="Arial"/>
          <w:szCs w:val="20"/>
        </w:rPr>
        <w:t>S predlaganim amandmajem se pravilno označi dajalca bonitete, ki je v skladu z ZDoh-2 po naravi stvari lahko le delodajalec, in ne delojemalec, ki je lahko le prejemnik dohodka v obliki bonitete, ter se ustrezno slovnično popravi besedilo.</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u w:val="single"/>
        </w:rPr>
      </w:pPr>
      <w:r>
        <w:rPr>
          <w:rFonts w:cs="Arial"/>
          <w:b/>
          <w:bCs/>
          <w:szCs w:val="20"/>
          <w:u w:val="single"/>
        </w:rPr>
        <w:t>K 25. členu</w:t>
      </w:r>
    </w:p>
    <w:p w:rsidR="00384505" w:rsidRDefault="00384505" w:rsidP="00384505">
      <w:pPr>
        <w:spacing w:line="276" w:lineRule="auto"/>
        <w:rPr>
          <w:rFonts w:cs="Arial"/>
          <w:szCs w:val="20"/>
        </w:rPr>
      </w:pPr>
      <w:r>
        <w:rPr>
          <w:rFonts w:cs="Arial"/>
          <w:szCs w:val="20"/>
        </w:rPr>
        <w:t>V 25. členu se leto »2031« nadomesti z letom »2029«.</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rPr>
      </w:pPr>
      <w:r>
        <w:rPr>
          <w:rFonts w:cs="Arial"/>
          <w:b/>
          <w:bCs/>
          <w:szCs w:val="20"/>
        </w:rPr>
        <w:t>Obrazložitev:</w:t>
      </w:r>
    </w:p>
    <w:p w:rsidR="00384505" w:rsidRDefault="00384505" w:rsidP="00384505">
      <w:pPr>
        <w:spacing w:line="276" w:lineRule="auto"/>
        <w:rPr>
          <w:rFonts w:cs="Arial"/>
          <w:szCs w:val="20"/>
        </w:rPr>
      </w:pPr>
      <w:r>
        <w:rPr>
          <w:rFonts w:cs="Arial"/>
          <w:szCs w:val="20"/>
        </w:rPr>
        <w:t>S predlaganim amandmajem se izenačuje obdobje uveljavljanja olajšave za natečene izgube, ki so nastale do uveljavitve tega zakona, z obdobjem uveljavljanja olajšav za izgube, ki bodo nastale od vključno davčnega leta 2025 dalje, pri čemer je treba izpostaviti, da za vse izgube, ki so bile natečene do vključno davčnega leta 2024, velja doba uveljavljanja teh izgub, ki je daljša od petih davčnih let, za vse izgube od vključno davčnega leta 2024 dalje pa stopa v veljavo omejitev uveljavljanja olajšave v naslednjih petih davčnih letih. Navedeno se ureja z namenom izboljšanja poslovnih praks in zasledovanja javnofinančne učinkovitosti.</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u w:val="single"/>
        </w:rPr>
      </w:pPr>
      <w:r>
        <w:rPr>
          <w:rFonts w:cs="Arial"/>
          <w:b/>
          <w:bCs/>
          <w:szCs w:val="20"/>
          <w:u w:val="single"/>
        </w:rPr>
        <w:t>K 26. členu</w:t>
      </w:r>
    </w:p>
    <w:p w:rsidR="00384505" w:rsidRDefault="00384505" w:rsidP="00384505">
      <w:pPr>
        <w:spacing w:line="276" w:lineRule="auto"/>
        <w:rPr>
          <w:rFonts w:cs="Arial"/>
          <w:szCs w:val="20"/>
        </w:rPr>
      </w:pPr>
      <w:r>
        <w:rPr>
          <w:rFonts w:cs="Arial"/>
          <w:szCs w:val="20"/>
        </w:rPr>
        <w:t xml:space="preserve">V 26. členu se besedilo »iz spremenjenega 65.a člena zakona« nadomesti z besedilom »iz 65.a člena Zakona o dohodnini (Uradni list RS, št. 13/11 – uradno prečiščeno besedilo, 9/11 – ZUKD-1, 9/12 – </w:t>
      </w:r>
      <w:proofErr w:type="spellStart"/>
      <w:r>
        <w:rPr>
          <w:rFonts w:cs="Arial"/>
          <w:szCs w:val="20"/>
        </w:rPr>
        <w:t>odl</w:t>
      </w:r>
      <w:proofErr w:type="spellEnd"/>
      <w:r>
        <w:rPr>
          <w:rFonts w:cs="Arial"/>
          <w:szCs w:val="20"/>
        </w:rPr>
        <w:t xml:space="preserve">. US, 24/12, 30/12, 40/12 – ZUJF, 75/12, 94/12, 96/13, 29/14 – </w:t>
      </w:r>
      <w:proofErr w:type="spellStart"/>
      <w:r>
        <w:rPr>
          <w:rFonts w:cs="Arial"/>
          <w:szCs w:val="20"/>
        </w:rPr>
        <w:t>odl</w:t>
      </w:r>
      <w:proofErr w:type="spellEnd"/>
      <w:r>
        <w:rPr>
          <w:rFonts w:cs="Arial"/>
          <w:szCs w:val="20"/>
        </w:rPr>
        <w:t xml:space="preserve">. US, 50/14, 23/15, 55/15, 63/16, 69/17, 21/19, 28/19, 66/19, 39/22, 132/22 – </w:t>
      </w:r>
      <w:proofErr w:type="spellStart"/>
      <w:r>
        <w:rPr>
          <w:rFonts w:cs="Arial"/>
          <w:szCs w:val="20"/>
        </w:rPr>
        <w:t>odl</w:t>
      </w:r>
      <w:proofErr w:type="spellEnd"/>
      <w:r>
        <w:rPr>
          <w:rFonts w:cs="Arial"/>
          <w:szCs w:val="20"/>
        </w:rPr>
        <w:t>. US, 158/22 in 131/23 – ZORZFS)«.</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rPr>
      </w:pPr>
      <w:r>
        <w:rPr>
          <w:rFonts w:cs="Arial"/>
          <w:b/>
          <w:bCs/>
          <w:szCs w:val="20"/>
        </w:rPr>
        <w:t>Obrazložitev:</w:t>
      </w:r>
    </w:p>
    <w:p w:rsidR="00384505" w:rsidRDefault="00384505" w:rsidP="00384505">
      <w:pPr>
        <w:spacing w:line="276" w:lineRule="auto"/>
        <w:rPr>
          <w:rFonts w:cs="Arial"/>
          <w:szCs w:val="20"/>
        </w:rPr>
      </w:pPr>
      <w:r>
        <w:rPr>
          <w:rFonts w:cs="Arial"/>
          <w:szCs w:val="20"/>
        </w:rPr>
        <w:t xml:space="preserve">Amandma sledi mnenju Zakonodajno-pravne službe Državnega zbora in se uredi sklicevanje na ustrezno vsebino, saj je treba v okviru te prehodne določbe nasloviti olajšavo iz 65.a člena Zakona o dohodnini (Uradni list RS, št. 13/11 – uradno prečiščeno besedilo, 9/11 – ZUKD-1, 9/12 – </w:t>
      </w:r>
      <w:proofErr w:type="spellStart"/>
      <w:r>
        <w:rPr>
          <w:rFonts w:cs="Arial"/>
          <w:szCs w:val="20"/>
        </w:rPr>
        <w:t>odl</w:t>
      </w:r>
      <w:proofErr w:type="spellEnd"/>
      <w:r>
        <w:rPr>
          <w:rFonts w:cs="Arial"/>
          <w:szCs w:val="20"/>
        </w:rPr>
        <w:t xml:space="preserve">. US, 24/12, 30/12, 40/12 – ZUJF, 75/12, 94/12, 96/13, 29/14 – </w:t>
      </w:r>
      <w:proofErr w:type="spellStart"/>
      <w:r>
        <w:rPr>
          <w:rFonts w:cs="Arial"/>
          <w:szCs w:val="20"/>
        </w:rPr>
        <w:t>odl</w:t>
      </w:r>
      <w:proofErr w:type="spellEnd"/>
      <w:r>
        <w:rPr>
          <w:rFonts w:cs="Arial"/>
          <w:szCs w:val="20"/>
        </w:rPr>
        <w:t xml:space="preserve">. US, 50/14, 23/15, 55/15, 63/16, 69/17, 21/19, 28/19, 66/19, 39/22, 132/22 – </w:t>
      </w:r>
      <w:proofErr w:type="spellStart"/>
      <w:r>
        <w:rPr>
          <w:rFonts w:cs="Arial"/>
          <w:szCs w:val="20"/>
        </w:rPr>
        <w:t>odl</w:t>
      </w:r>
      <w:proofErr w:type="spellEnd"/>
      <w:r>
        <w:rPr>
          <w:rFonts w:cs="Arial"/>
          <w:szCs w:val="20"/>
        </w:rPr>
        <w:t>. US, 158/22 in 131/23 – ZORZFS), ne na olajšavo iz spremenjenega 65. a člena, ki se predlaga s tem zakonom.</w:t>
      </w:r>
    </w:p>
    <w:p w:rsidR="00384505" w:rsidRDefault="00384505" w:rsidP="00384505">
      <w:pPr>
        <w:spacing w:line="276" w:lineRule="auto"/>
        <w:rPr>
          <w:rFonts w:cs="Arial"/>
          <w:szCs w:val="20"/>
        </w:rPr>
      </w:pPr>
    </w:p>
    <w:p w:rsidR="00384505" w:rsidRDefault="00384505" w:rsidP="00384505">
      <w:pPr>
        <w:spacing w:line="276" w:lineRule="auto"/>
        <w:rPr>
          <w:rFonts w:cs="Arial"/>
          <w:b/>
          <w:bCs/>
          <w:szCs w:val="20"/>
          <w:u w:val="single"/>
        </w:rPr>
      </w:pPr>
      <w:r>
        <w:rPr>
          <w:rFonts w:cs="Arial"/>
          <w:b/>
          <w:bCs/>
          <w:szCs w:val="20"/>
          <w:u w:val="single"/>
        </w:rPr>
        <w:t>K 28. členu</w:t>
      </w:r>
    </w:p>
    <w:p w:rsidR="00384505" w:rsidRDefault="00384505" w:rsidP="00384505">
      <w:pPr>
        <w:spacing w:line="256" w:lineRule="auto"/>
        <w:rPr>
          <w:rFonts w:eastAsia="Calibri" w:cs="Arial"/>
          <w:szCs w:val="20"/>
        </w:rPr>
      </w:pPr>
      <w:r>
        <w:rPr>
          <w:rFonts w:eastAsia="Calibri" w:cs="Arial"/>
          <w:szCs w:val="20"/>
        </w:rPr>
        <w:t>Besedilo 28. člena se spremeni tako, da se glasi:</w:t>
      </w:r>
    </w:p>
    <w:p w:rsidR="00384505" w:rsidRDefault="00384505" w:rsidP="00384505">
      <w:pPr>
        <w:spacing w:line="256" w:lineRule="auto"/>
        <w:rPr>
          <w:rFonts w:eastAsia="Calibri" w:cs="Arial"/>
          <w:szCs w:val="20"/>
        </w:rPr>
      </w:pPr>
    </w:p>
    <w:p w:rsidR="00384505" w:rsidRDefault="00384505" w:rsidP="00384505">
      <w:pPr>
        <w:spacing w:line="256" w:lineRule="auto"/>
        <w:rPr>
          <w:rFonts w:eastAsia="Calibri" w:cs="Arial"/>
          <w:szCs w:val="20"/>
        </w:rPr>
      </w:pPr>
      <w:r>
        <w:rPr>
          <w:rFonts w:eastAsia="Calibri" w:cs="Arial"/>
          <w:szCs w:val="20"/>
        </w:rPr>
        <w:t xml:space="preserve">»(1) Ta zakon začne veljati naslednji dan po objavi v Uradnem listu Republike Slovenije, novi dvanajsti odstavek 16. člena, spremenjeni 26. člen, nova 8. točka tretjega odstavka 39. člena, </w:t>
      </w:r>
      <w:r>
        <w:rPr>
          <w:rFonts w:eastAsia="Calibri" w:cs="Arial"/>
          <w:szCs w:val="20"/>
        </w:rPr>
        <w:lastRenderedPageBreak/>
        <w:t>spremenjena 43. in 45. člen, novi 45.b člen, spremenjeni 48., 59., 60., 65.a in 66. člen, novi deseti odstavek 98. člena, novi 113.a člen ter spremenjeni 116., 120. in 127. člen zakona pa se uporabljajo za davčna leta, ki se začnejo od vključno 1. januarja 2025, razen spremenjenega 42. člena zakona, ki se začne uporabljati za davčna leta od vključno 1. januarja 2026.</w:t>
      </w:r>
    </w:p>
    <w:p w:rsidR="00384505" w:rsidRDefault="00384505" w:rsidP="00384505">
      <w:pPr>
        <w:spacing w:line="256" w:lineRule="auto"/>
        <w:rPr>
          <w:rFonts w:eastAsia="Calibri" w:cs="Arial"/>
          <w:szCs w:val="20"/>
        </w:rPr>
      </w:pPr>
    </w:p>
    <w:p w:rsidR="00384505" w:rsidRDefault="00384505" w:rsidP="00384505">
      <w:pPr>
        <w:spacing w:line="256" w:lineRule="auto"/>
        <w:rPr>
          <w:rFonts w:eastAsia="Calibri" w:cs="Arial"/>
          <w:szCs w:val="20"/>
        </w:rPr>
      </w:pPr>
      <w:r>
        <w:rPr>
          <w:rFonts w:eastAsia="Calibri" w:cs="Arial"/>
          <w:szCs w:val="20"/>
        </w:rPr>
        <w:t xml:space="preserve">(2) Do začetka uporabe spremenjenih 16., 26., 39., 42., 43., 45., 48., 59., 60., 65.a, 66., 98., 116., 120. in 127. člena zakona se uporabljajo 16., 26., 39., 42., 43., 45., 48., 59., 60., 65.a, 66., 98., 116., 120. in 127. člen Zakona o dohodnini (Uradni list RS, št. 13/11 – uradno prečiščeno besedilo, 9/11 – ZUKD-1, 9/12 – </w:t>
      </w:r>
      <w:proofErr w:type="spellStart"/>
      <w:r>
        <w:rPr>
          <w:rFonts w:eastAsia="Calibri" w:cs="Arial"/>
          <w:szCs w:val="20"/>
        </w:rPr>
        <w:t>odl</w:t>
      </w:r>
      <w:proofErr w:type="spellEnd"/>
      <w:r>
        <w:rPr>
          <w:rFonts w:eastAsia="Calibri" w:cs="Arial"/>
          <w:szCs w:val="20"/>
        </w:rPr>
        <w:t xml:space="preserve">. US, 24/12, 30/12, 40/12 – ZUJF, 75/12, 94/12, 96/13, 29/14 – </w:t>
      </w:r>
      <w:proofErr w:type="spellStart"/>
      <w:r>
        <w:rPr>
          <w:rFonts w:eastAsia="Calibri" w:cs="Arial"/>
          <w:szCs w:val="20"/>
        </w:rPr>
        <w:t>odl</w:t>
      </w:r>
      <w:proofErr w:type="spellEnd"/>
      <w:r>
        <w:rPr>
          <w:rFonts w:eastAsia="Calibri" w:cs="Arial"/>
          <w:szCs w:val="20"/>
        </w:rPr>
        <w:t xml:space="preserve">. US, 50/14, 23/15, 55/15, 63/16, 69/17, 21/19, 28/19, 66/19, 39/22, 132/22 – </w:t>
      </w:r>
      <w:proofErr w:type="spellStart"/>
      <w:r>
        <w:rPr>
          <w:rFonts w:eastAsia="Calibri" w:cs="Arial"/>
          <w:szCs w:val="20"/>
        </w:rPr>
        <w:t>odl</w:t>
      </w:r>
      <w:proofErr w:type="spellEnd"/>
      <w:r>
        <w:rPr>
          <w:rFonts w:eastAsia="Calibri" w:cs="Arial"/>
          <w:szCs w:val="20"/>
        </w:rPr>
        <w:t>. US, 158/22 in 131/23 – ZORZFS).«.</w:t>
      </w:r>
    </w:p>
    <w:p w:rsidR="00384505" w:rsidRDefault="00384505" w:rsidP="00384505">
      <w:pPr>
        <w:spacing w:line="256" w:lineRule="auto"/>
        <w:rPr>
          <w:rFonts w:eastAsia="Calibri" w:cs="Arial"/>
          <w:szCs w:val="20"/>
        </w:rPr>
      </w:pPr>
    </w:p>
    <w:p w:rsidR="00384505" w:rsidRDefault="00384505" w:rsidP="00384505">
      <w:pPr>
        <w:spacing w:line="276" w:lineRule="auto"/>
        <w:rPr>
          <w:rFonts w:eastAsia="Calibri" w:cs="Arial"/>
          <w:b/>
          <w:bCs/>
          <w:szCs w:val="20"/>
        </w:rPr>
      </w:pPr>
      <w:r>
        <w:rPr>
          <w:rFonts w:eastAsia="Calibri" w:cs="Arial"/>
          <w:b/>
          <w:bCs/>
          <w:szCs w:val="20"/>
        </w:rPr>
        <w:t>Obrazložitev:</w:t>
      </w:r>
    </w:p>
    <w:p w:rsidR="00384505" w:rsidRDefault="00384505" w:rsidP="00384505">
      <w:pPr>
        <w:spacing w:line="276" w:lineRule="auto"/>
        <w:rPr>
          <w:rFonts w:eastAsiaTheme="minorHAnsi" w:cs="Arial"/>
          <w:szCs w:val="20"/>
        </w:rPr>
      </w:pPr>
      <w:r>
        <w:rPr>
          <w:rFonts w:eastAsia="Calibri" w:cs="Arial"/>
          <w:szCs w:val="20"/>
        </w:rPr>
        <w:t>Amandma sledi mnenju Zakonodajno-pravne službe Državnega zbora RS glede začetka uporabe spremenjenega 42. člena ZDoh-2.</w:t>
      </w:r>
    </w:p>
    <w:p w:rsidR="00384505" w:rsidRDefault="00384505" w:rsidP="00384505">
      <w:pPr>
        <w:spacing w:line="276" w:lineRule="auto"/>
        <w:rPr>
          <w:rFonts w:cs="Arial"/>
          <w:szCs w:val="20"/>
        </w:rPr>
      </w:pPr>
    </w:p>
    <w:p w:rsidR="00384505" w:rsidRDefault="00384505" w:rsidP="00384505">
      <w:pPr>
        <w:spacing w:line="276" w:lineRule="auto"/>
        <w:rPr>
          <w:rFonts w:cs="Arial"/>
          <w:szCs w:val="20"/>
        </w:rPr>
      </w:pPr>
      <w:r>
        <w:rPr>
          <w:rFonts w:cs="Arial"/>
          <w:szCs w:val="20"/>
        </w:rPr>
        <w:t xml:space="preserve">Zaradi morebitnih nejasnosti pri začetku uporabe določenih členov oziroma novih odstavkov v obstoječih členih, je treba končno določbo preurediti tako, da iz nje jasno izhaja, da se vse nove vsebine zakona začnejo uporabljati za davčna leta, ki se začnejo od vključno 1. januarja 2025 (razen spremenjenega 42. člena, ki se bo uporabljal od davčnega leta 2026 dalje) in da se do začetka uporabe uporabljajo določbe </w:t>
      </w:r>
      <w:r>
        <w:rPr>
          <w:rFonts w:eastAsia="Calibri" w:cs="Arial"/>
          <w:szCs w:val="20"/>
        </w:rPr>
        <w:t xml:space="preserve">Zakona o dohodnini (Uradni list RS, št. 13/11 – uradno prečiščeno besedilo, 9/11 – ZUKD-1, 9/12 – </w:t>
      </w:r>
      <w:proofErr w:type="spellStart"/>
      <w:r>
        <w:rPr>
          <w:rFonts w:eastAsia="Calibri" w:cs="Arial"/>
          <w:szCs w:val="20"/>
        </w:rPr>
        <w:t>odl</w:t>
      </w:r>
      <w:proofErr w:type="spellEnd"/>
      <w:r>
        <w:rPr>
          <w:rFonts w:eastAsia="Calibri" w:cs="Arial"/>
          <w:szCs w:val="20"/>
        </w:rPr>
        <w:t xml:space="preserve">. US, 24/12, 30/12, 40/12 – ZUJF, 75/12, 94/12, 96/13, 29/14 – </w:t>
      </w:r>
      <w:proofErr w:type="spellStart"/>
      <w:r>
        <w:rPr>
          <w:rFonts w:eastAsia="Calibri" w:cs="Arial"/>
          <w:szCs w:val="20"/>
        </w:rPr>
        <w:t>odl</w:t>
      </w:r>
      <w:proofErr w:type="spellEnd"/>
      <w:r>
        <w:rPr>
          <w:rFonts w:eastAsia="Calibri" w:cs="Arial"/>
          <w:szCs w:val="20"/>
        </w:rPr>
        <w:t xml:space="preserve">. US, 50/14, 23/15, 55/15, 63/16, 69/17, 21/19, 28/19, 66/19, 39/22, 132/22 – </w:t>
      </w:r>
      <w:proofErr w:type="spellStart"/>
      <w:r>
        <w:rPr>
          <w:rFonts w:eastAsia="Calibri" w:cs="Arial"/>
          <w:szCs w:val="20"/>
        </w:rPr>
        <w:t>odl</w:t>
      </w:r>
      <w:proofErr w:type="spellEnd"/>
      <w:r>
        <w:rPr>
          <w:rFonts w:eastAsia="Calibri" w:cs="Arial"/>
          <w:szCs w:val="20"/>
        </w:rPr>
        <w:t>. US, 158/22 in 131/23 – ZORZFS)</w:t>
      </w:r>
      <w:r>
        <w:rPr>
          <w:rFonts w:cs="Arial"/>
          <w:szCs w:val="20"/>
        </w:rPr>
        <w:t>. Navedeno se nanaša na 16. člen, novi 45.b člen, 98. člen in novi 113.a člen.</w:t>
      </w:r>
    </w:p>
    <w:p w:rsidR="00384505" w:rsidRDefault="00384505" w:rsidP="00384505">
      <w:pPr>
        <w:spacing w:line="276" w:lineRule="auto"/>
        <w:rPr>
          <w:rFonts w:cs="Arial"/>
          <w:szCs w:val="20"/>
        </w:rPr>
      </w:pPr>
    </w:p>
    <w:p w:rsidR="00782FD4" w:rsidRPr="00EC13B0" w:rsidRDefault="00782FD4" w:rsidP="00384505">
      <w:pPr>
        <w:autoSpaceDE w:val="0"/>
        <w:autoSpaceDN w:val="0"/>
        <w:adjustRightInd w:val="0"/>
      </w:pPr>
      <w:bookmarkStart w:id="8" w:name="_GoBack"/>
      <w:bookmarkEnd w:id="8"/>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63A5" w:rsidRDefault="00BA63A5" w:rsidP="00767987">
      <w:pPr>
        <w:spacing w:line="240" w:lineRule="auto"/>
      </w:pPr>
      <w:r>
        <w:separator/>
      </w:r>
    </w:p>
  </w:endnote>
  <w:endnote w:type="continuationSeparator" w:id="0">
    <w:p w:rsidR="00BA63A5" w:rsidRDefault="00BA63A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428" w:rsidRDefault="004E142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428" w:rsidRDefault="004E142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428" w:rsidRDefault="004E14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63A5" w:rsidRDefault="00BA63A5" w:rsidP="00767987">
      <w:pPr>
        <w:spacing w:line="240" w:lineRule="auto"/>
      </w:pPr>
      <w:r>
        <w:separator/>
      </w:r>
    </w:p>
  </w:footnote>
  <w:footnote w:type="continuationSeparator" w:id="0">
    <w:p w:rsidR="00BA63A5" w:rsidRDefault="00BA63A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428" w:rsidRDefault="004E142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428" w:rsidRDefault="004E142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84505"/>
    <w:rsid w:val="003B3E19"/>
    <w:rsid w:val="004076C6"/>
    <w:rsid w:val="004B7F76"/>
    <w:rsid w:val="004E1428"/>
    <w:rsid w:val="004E1BCE"/>
    <w:rsid w:val="0056541B"/>
    <w:rsid w:val="005658BD"/>
    <w:rsid w:val="00592079"/>
    <w:rsid w:val="005D5957"/>
    <w:rsid w:val="00676475"/>
    <w:rsid w:val="00682FFE"/>
    <w:rsid w:val="006C69EC"/>
    <w:rsid w:val="007039D0"/>
    <w:rsid w:val="00710C90"/>
    <w:rsid w:val="00767987"/>
    <w:rsid w:val="00782FD4"/>
    <w:rsid w:val="00806570"/>
    <w:rsid w:val="00811140"/>
    <w:rsid w:val="00896FBD"/>
    <w:rsid w:val="008A3F94"/>
    <w:rsid w:val="00904A48"/>
    <w:rsid w:val="009510F6"/>
    <w:rsid w:val="00980294"/>
    <w:rsid w:val="009C5392"/>
    <w:rsid w:val="00A50E4B"/>
    <w:rsid w:val="00A9231D"/>
    <w:rsid w:val="00B40287"/>
    <w:rsid w:val="00BA63A5"/>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531500232">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1837</Words>
  <Characters>10472</Characters>
  <Application>Microsoft Office Word</Application>
  <DocSecurity>0</DocSecurity>
  <Lines>87</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2024-10-24T06:47:00Z</dcterms:created>
  <dcterms:modified xsi:type="dcterms:W3CDTF">2024-10-24T06:47:00Z</dcterms:modified>
</cp:coreProperties>
</file>