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D78D8E" w14:textId="77777777" w:rsidR="0006445B" w:rsidRPr="000337F4" w:rsidRDefault="0006445B" w:rsidP="00493E98">
      <w:pPr>
        <w:suppressAutoHyphens/>
        <w:overflowPunct w:val="0"/>
        <w:autoSpaceDE w:val="0"/>
        <w:autoSpaceDN w:val="0"/>
        <w:adjustRightInd w:val="0"/>
        <w:spacing w:before="480" w:after="0" w:line="240" w:lineRule="auto"/>
        <w:jc w:val="center"/>
        <w:textAlignment w:val="baseline"/>
      </w:pPr>
    </w:p>
    <w:p w14:paraId="5B5E3B7A" w14:textId="77777777" w:rsidR="0006445B" w:rsidRPr="000337F4" w:rsidRDefault="0006445B" w:rsidP="00493E98">
      <w:pPr>
        <w:suppressAutoHyphens/>
        <w:overflowPunct w:val="0"/>
        <w:autoSpaceDE w:val="0"/>
        <w:autoSpaceDN w:val="0"/>
        <w:adjustRightInd w:val="0"/>
        <w:spacing w:before="480" w:after="0" w:line="240" w:lineRule="auto"/>
        <w:jc w:val="center"/>
        <w:textAlignment w:val="baseline"/>
      </w:pPr>
    </w:p>
    <w:p w14:paraId="491CAEAE" w14:textId="77777777" w:rsidR="0006445B" w:rsidRPr="000337F4" w:rsidRDefault="0006445B" w:rsidP="00493E98">
      <w:pPr>
        <w:suppressAutoHyphens/>
        <w:overflowPunct w:val="0"/>
        <w:autoSpaceDE w:val="0"/>
        <w:autoSpaceDN w:val="0"/>
        <w:adjustRightInd w:val="0"/>
        <w:spacing w:before="480" w:after="0" w:line="240" w:lineRule="auto"/>
        <w:jc w:val="center"/>
        <w:textAlignment w:val="baseline"/>
      </w:pPr>
    </w:p>
    <w:p w14:paraId="6C66309C" w14:textId="77777777" w:rsidR="0006445B" w:rsidRPr="00493E98" w:rsidRDefault="0006445B" w:rsidP="00493E98">
      <w:pPr>
        <w:spacing w:before="40" w:after="40" w:line="240" w:lineRule="auto"/>
        <w:jc w:val="both"/>
        <w:rPr>
          <w:rFonts w:ascii="Arial" w:eastAsia="Times New Roman" w:hAnsi="Arial" w:cs="Times New Roman"/>
          <w:b/>
          <w:kern w:val="0"/>
          <w:sz w:val="20"/>
          <w:szCs w:val="24"/>
          <w:u w:val="single"/>
          <w14:ligatures w14:val="none"/>
        </w:rPr>
      </w:pPr>
      <w:r w:rsidRPr="00493E98">
        <w:rPr>
          <w:rFonts w:ascii="Arial" w:hAnsi="Arial"/>
          <w:b/>
          <w:kern w:val="0"/>
          <w:sz w:val="20"/>
          <w:u w:val="single"/>
          <w14:ligatures w14:val="none"/>
        </w:rPr>
        <w:t>Ime predpisa:</w:t>
      </w:r>
    </w:p>
    <w:p w14:paraId="2763C3FD" w14:textId="026B10AA" w:rsidR="0006445B" w:rsidRPr="00B74958" w:rsidRDefault="0006445B" w:rsidP="00493E98">
      <w:pPr>
        <w:spacing w:before="40" w:after="40" w:line="240" w:lineRule="auto"/>
        <w:jc w:val="both"/>
        <w:rPr>
          <w:rFonts w:ascii="Arial" w:eastAsia="Times New Roman" w:hAnsi="Arial" w:cs="Times New Roman"/>
          <w:b/>
          <w:bCs/>
          <w:kern w:val="0"/>
          <w:sz w:val="20"/>
          <w:szCs w:val="24"/>
          <w14:ligatures w14:val="none"/>
        </w:rPr>
      </w:pPr>
      <w:bookmarkStart w:id="0" w:name="_Hlk122703052"/>
      <w:r w:rsidRPr="00B74958">
        <w:rPr>
          <w:rFonts w:ascii="Arial" w:hAnsi="Arial"/>
          <w:b/>
          <w:bCs/>
          <w:kern w:val="0"/>
          <w:sz w:val="20"/>
          <w14:ligatures w14:val="none"/>
        </w:rPr>
        <w:t>Uredba o opravljanju obvezne državne gospodarske javne službe sežiganja komunalnih odpadkov</w:t>
      </w:r>
      <w:r w:rsidRPr="00B74958" w:rsidDel="00307E0C">
        <w:rPr>
          <w:rFonts w:ascii="Arial" w:hAnsi="Arial"/>
          <w:b/>
          <w:bCs/>
          <w:kern w:val="0"/>
          <w:sz w:val="20"/>
          <w14:ligatures w14:val="none"/>
        </w:rPr>
        <w:t xml:space="preserve"> </w:t>
      </w:r>
      <w:r w:rsidR="00802ECA" w:rsidRPr="00B74958">
        <w:rPr>
          <w:rFonts w:ascii="Arial" w:hAnsi="Arial"/>
          <w:b/>
          <w:bCs/>
          <w:kern w:val="0"/>
          <w:sz w:val="20"/>
          <w14:ligatures w14:val="none"/>
        </w:rPr>
        <w:t>–</w:t>
      </w:r>
      <w:r w:rsidRPr="00B74958">
        <w:rPr>
          <w:rFonts w:ascii="Arial" w:hAnsi="Arial"/>
          <w:b/>
          <w:bCs/>
          <w:kern w:val="0"/>
          <w:sz w:val="20"/>
          <w14:ligatures w14:val="none"/>
        </w:rPr>
        <w:t xml:space="preserve"> osnutek</w:t>
      </w:r>
      <w:r w:rsidR="00802ECA" w:rsidRPr="00B74958">
        <w:rPr>
          <w:rFonts w:ascii="Arial" w:hAnsi="Arial"/>
          <w:b/>
          <w:bCs/>
          <w:kern w:val="0"/>
          <w:sz w:val="20"/>
          <w14:ligatures w14:val="none"/>
        </w:rPr>
        <w:t xml:space="preserve"> za podaljšano javno obravnavo</w:t>
      </w:r>
    </w:p>
    <w:bookmarkEnd w:id="0"/>
    <w:p w14:paraId="3962895E" w14:textId="77777777" w:rsidR="0006445B" w:rsidRPr="00493E98" w:rsidRDefault="0006445B" w:rsidP="00493E98">
      <w:pPr>
        <w:spacing w:before="40" w:after="40" w:line="240" w:lineRule="auto"/>
        <w:jc w:val="both"/>
        <w:rPr>
          <w:rFonts w:ascii="Arial" w:hAnsi="Arial"/>
          <w:kern w:val="0"/>
          <w:sz w:val="20"/>
          <w14:ligatures w14:val="none"/>
        </w:rPr>
      </w:pPr>
    </w:p>
    <w:p w14:paraId="143CA76E" w14:textId="77777777" w:rsidR="0006445B" w:rsidRPr="00493E98" w:rsidRDefault="0006445B" w:rsidP="00493E98">
      <w:pPr>
        <w:spacing w:before="40" w:after="40" w:line="240" w:lineRule="auto"/>
        <w:jc w:val="both"/>
        <w:rPr>
          <w:rFonts w:ascii="Arial" w:eastAsia="Times New Roman" w:hAnsi="Arial" w:cs="Times New Roman"/>
          <w:b/>
          <w:kern w:val="0"/>
          <w:sz w:val="20"/>
          <w:szCs w:val="24"/>
          <w:u w:val="single"/>
          <w14:ligatures w14:val="none"/>
        </w:rPr>
      </w:pPr>
      <w:r w:rsidRPr="00493E98">
        <w:rPr>
          <w:rFonts w:ascii="Arial" w:hAnsi="Arial"/>
          <w:b/>
          <w:kern w:val="0"/>
          <w:sz w:val="20"/>
          <w:u w:val="single"/>
          <w14:ligatures w14:val="none"/>
        </w:rPr>
        <w:t xml:space="preserve">Št. zadeve: </w:t>
      </w:r>
    </w:p>
    <w:p w14:paraId="75EFD6FD" w14:textId="77777777" w:rsidR="0006445B" w:rsidRPr="00493E98" w:rsidRDefault="0006445B" w:rsidP="00493E98">
      <w:pPr>
        <w:shd w:val="clear" w:color="auto" w:fill="FFFFFF"/>
        <w:tabs>
          <w:tab w:val="left" w:pos="567"/>
        </w:tabs>
        <w:spacing w:after="0" w:line="260" w:lineRule="exact"/>
        <w:jc w:val="both"/>
        <w:rPr>
          <w:rFonts w:ascii="Arial" w:hAnsi="Arial" w:cs="Times New Roman"/>
          <w:kern w:val="0"/>
          <w:sz w:val="20"/>
          <w:szCs w:val="24"/>
          <w14:ligatures w14:val="none"/>
        </w:rPr>
      </w:pPr>
      <w:r w:rsidRPr="00493E98">
        <w:rPr>
          <w:rFonts w:ascii="Arial" w:hAnsi="Arial"/>
          <w:kern w:val="0"/>
          <w:sz w:val="20"/>
          <w14:ligatures w14:val="none"/>
        </w:rPr>
        <w:t>007-93/2024</w:t>
      </w:r>
    </w:p>
    <w:p w14:paraId="0D179250" w14:textId="77777777" w:rsidR="0006445B" w:rsidRPr="00493E98" w:rsidRDefault="0006445B" w:rsidP="00493E98">
      <w:pPr>
        <w:spacing w:after="0" w:line="260" w:lineRule="atLeast"/>
        <w:jc w:val="both"/>
        <w:rPr>
          <w:rFonts w:ascii="Arial" w:hAnsi="Arial"/>
          <w:kern w:val="0"/>
          <w:sz w:val="20"/>
          <w14:ligatures w14:val="none"/>
        </w:rPr>
      </w:pPr>
    </w:p>
    <w:p w14:paraId="5C54B7D7" w14:textId="77777777" w:rsidR="0006445B" w:rsidRPr="00493E98" w:rsidRDefault="0006445B" w:rsidP="00493E98">
      <w:pPr>
        <w:spacing w:after="0" w:line="260" w:lineRule="atLeast"/>
        <w:jc w:val="both"/>
        <w:rPr>
          <w:rFonts w:ascii="Arial" w:eastAsia="Times New Roman" w:hAnsi="Arial" w:cs="Times New Roman"/>
          <w:kern w:val="0"/>
          <w:sz w:val="20"/>
          <w:szCs w:val="24"/>
          <w14:ligatures w14:val="none"/>
        </w:rPr>
      </w:pPr>
      <w:r w:rsidRPr="00493E98">
        <w:rPr>
          <w:rFonts w:ascii="Arial" w:hAnsi="Arial"/>
          <w:kern w:val="0"/>
          <w:sz w:val="20"/>
          <w14:ligatures w14:val="none"/>
        </w:rPr>
        <w:t>EVA 2024-2570-0037</w:t>
      </w:r>
    </w:p>
    <w:p w14:paraId="391D9676" w14:textId="77777777" w:rsidR="0006445B" w:rsidRPr="00493E98" w:rsidRDefault="0006445B" w:rsidP="00493E98">
      <w:pPr>
        <w:spacing w:before="40" w:after="40" w:line="240" w:lineRule="auto"/>
        <w:jc w:val="both"/>
        <w:rPr>
          <w:rFonts w:ascii="Arial" w:hAnsi="Arial"/>
          <w:kern w:val="0"/>
          <w:sz w:val="20"/>
          <w14:ligatures w14:val="none"/>
        </w:rPr>
      </w:pPr>
    </w:p>
    <w:p w14:paraId="3F220129" w14:textId="77777777" w:rsidR="0006445B" w:rsidRPr="00493E98" w:rsidRDefault="0006445B" w:rsidP="00493E98">
      <w:pPr>
        <w:spacing w:before="40" w:after="40" w:line="240" w:lineRule="auto"/>
        <w:jc w:val="both"/>
        <w:rPr>
          <w:rFonts w:ascii="Arial" w:eastAsia="Times New Roman" w:hAnsi="Arial" w:cs="Times New Roman"/>
          <w:b/>
          <w:kern w:val="0"/>
          <w:sz w:val="20"/>
          <w:szCs w:val="24"/>
          <w:u w:val="single"/>
          <w14:ligatures w14:val="none"/>
        </w:rPr>
      </w:pPr>
      <w:r w:rsidRPr="00493E98">
        <w:rPr>
          <w:rFonts w:ascii="Arial" w:hAnsi="Arial"/>
          <w:b/>
          <w:kern w:val="0"/>
          <w:sz w:val="20"/>
          <w:u w:val="single"/>
          <w14:ligatures w14:val="none"/>
        </w:rPr>
        <w:t xml:space="preserve">Datum objave: </w:t>
      </w:r>
    </w:p>
    <w:p w14:paraId="16936900" w14:textId="6CEE669D" w:rsidR="0006445B" w:rsidRPr="00493E98" w:rsidRDefault="00802ECA" w:rsidP="00493E98">
      <w:pPr>
        <w:spacing w:before="40" w:after="40" w:line="240" w:lineRule="auto"/>
        <w:jc w:val="both"/>
        <w:rPr>
          <w:rFonts w:ascii="Arial" w:hAnsi="Arial"/>
          <w:kern w:val="0"/>
          <w:sz w:val="20"/>
          <w14:ligatures w14:val="none"/>
        </w:rPr>
      </w:pPr>
      <w:r>
        <w:rPr>
          <w:rFonts w:ascii="Arial" w:hAnsi="Arial"/>
          <w:kern w:val="0"/>
          <w:sz w:val="20"/>
          <w14:ligatures w14:val="none"/>
        </w:rPr>
        <w:t>24</w:t>
      </w:r>
      <w:r w:rsidR="00344765">
        <w:rPr>
          <w:rFonts w:ascii="Arial" w:hAnsi="Arial"/>
          <w:kern w:val="0"/>
          <w:sz w:val="20"/>
          <w14:ligatures w14:val="none"/>
        </w:rPr>
        <w:t>.</w:t>
      </w:r>
      <w:r w:rsidR="00344765" w:rsidRPr="00344765">
        <w:rPr>
          <w:rFonts w:ascii="Arial" w:hAnsi="Arial"/>
          <w:kern w:val="0"/>
          <w:sz w:val="20"/>
          <w14:ligatures w14:val="none"/>
        </w:rPr>
        <w:t xml:space="preserve"> </w:t>
      </w:r>
      <w:r w:rsidR="00344765" w:rsidRPr="00493E98">
        <w:rPr>
          <w:rFonts w:ascii="Arial" w:hAnsi="Arial"/>
          <w:kern w:val="0"/>
          <w:sz w:val="20"/>
          <w14:ligatures w14:val="none"/>
        </w:rPr>
        <w:t> </w:t>
      </w:r>
      <w:r w:rsidR="00344765">
        <w:rPr>
          <w:rFonts w:ascii="Arial" w:hAnsi="Arial"/>
          <w:kern w:val="0"/>
          <w:sz w:val="20"/>
          <w14:ligatures w14:val="none"/>
        </w:rPr>
        <w:t>10.</w:t>
      </w:r>
      <w:r w:rsidR="00344765" w:rsidRPr="00344765">
        <w:rPr>
          <w:rFonts w:ascii="Arial" w:hAnsi="Arial"/>
          <w:kern w:val="0"/>
          <w:sz w:val="20"/>
          <w14:ligatures w14:val="none"/>
        </w:rPr>
        <w:t xml:space="preserve"> </w:t>
      </w:r>
      <w:r w:rsidR="00344765" w:rsidRPr="00493E98">
        <w:rPr>
          <w:rFonts w:ascii="Arial" w:hAnsi="Arial"/>
          <w:kern w:val="0"/>
          <w:sz w:val="20"/>
          <w14:ligatures w14:val="none"/>
        </w:rPr>
        <w:t> </w:t>
      </w:r>
      <w:r w:rsidR="0006445B" w:rsidRPr="00493E98">
        <w:rPr>
          <w:rFonts w:ascii="Arial" w:hAnsi="Arial"/>
          <w:kern w:val="0"/>
          <w:sz w:val="20"/>
          <w14:ligatures w14:val="none"/>
        </w:rPr>
        <w:t>2024</w:t>
      </w:r>
    </w:p>
    <w:p w14:paraId="302FD614" w14:textId="77777777" w:rsidR="0006445B" w:rsidRPr="00493E98" w:rsidRDefault="0006445B" w:rsidP="00493E98">
      <w:pPr>
        <w:spacing w:before="40" w:after="40" w:line="240" w:lineRule="auto"/>
        <w:jc w:val="both"/>
        <w:rPr>
          <w:rFonts w:ascii="Arial" w:hAnsi="Arial"/>
          <w:kern w:val="0"/>
          <w:sz w:val="20"/>
          <w14:ligatures w14:val="none"/>
        </w:rPr>
      </w:pPr>
    </w:p>
    <w:p w14:paraId="36349622" w14:textId="77777777" w:rsidR="0006445B" w:rsidRPr="00493E98" w:rsidRDefault="0006445B" w:rsidP="00493E98">
      <w:pPr>
        <w:spacing w:before="40" w:after="40" w:line="240" w:lineRule="auto"/>
        <w:jc w:val="both"/>
        <w:rPr>
          <w:rFonts w:ascii="Arial" w:eastAsia="Times New Roman" w:hAnsi="Arial" w:cs="Times New Roman"/>
          <w:b/>
          <w:kern w:val="0"/>
          <w:sz w:val="20"/>
          <w:szCs w:val="24"/>
          <w:u w:val="single"/>
          <w14:ligatures w14:val="none"/>
        </w:rPr>
      </w:pPr>
      <w:r w:rsidRPr="00493E98">
        <w:rPr>
          <w:rFonts w:ascii="Arial" w:hAnsi="Arial"/>
          <w:b/>
          <w:kern w:val="0"/>
          <w:sz w:val="20"/>
          <w:u w:val="single"/>
          <w14:ligatures w14:val="none"/>
        </w:rPr>
        <w:t xml:space="preserve">Rok za sprejem mnenj in pripomb: </w:t>
      </w:r>
    </w:p>
    <w:p w14:paraId="1A705A2A" w14:textId="3DE18B63" w:rsidR="0006445B" w:rsidRPr="00493E98" w:rsidRDefault="00FC38C4" w:rsidP="00493E98">
      <w:pPr>
        <w:spacing w:before="40" w:after="40" w:line="240" w:lineRule="auto"/>
        <w:jc w:val="both"/>
        <w:rPr>
          <w:rFonts w:ascii="Arial" w:hAnsi="Arial"/>
          <w:kern w:val="0"/>
          <w:sz w:val="20"/>
          <w14:ligatures w14:val="none"/>
        </w:rPr>
      </w:pPr>
      <w:r>
        <w:rPr>
          <w:rFonts w:ascii="Arial" w:hAnsi="Arial"/>
          <w:kern w:val="0"/>
          <w:sz w:val="20"/>
          <w14:ligatures w14:val="none"/>
        </w:rPr>
        <w:t>8</w:t>
      </w:r>
      <w:r w:rsidR="0006445B" w:rsidRPr="00493E98">
        <w:rPr>
          <w:rFonts w:ascii="Arial" w:hAnsi="Arial"/>
          <w:kern w:val="0"/>
          <w:sz w:val="20"/>
          <w14:ligatures w14:val="none"/>
        </w:rPr>
        <w:t>.</w:t>
      </w:r>
      <w:r w:rsidR="00344765" w:rsidRPr="00344765">
        <w:rPr>
          <w:rFonts w:ascii="Arial" w:hAnsi="Arial"/>
          <w:kern w:val="0"/>
          <w:sz w:val="20"/>
          <w14:ligatures w14:val="none"/>
        </w:rPr>
        <w:t xml:space="preserve"> </w:t>
      </w:r>
      <w:r w:rsidR="00344765" w:rsidRPr="00493E98">
        <w:rPr>
          <w:rFonts w:ascii="Arial" w:hAnsi="Arial"/>
          <w:kern w:val="0"/>
          <w:sz w:val="20"/>
          <w14:ligatures w14:val="none"/>
        </w:rPr>
        <w:t> </w:t>
      </w:r>
      <w:r w:rsidR="00344765">
        <w:rPr>
          <w:rFonts w:ascii="Arial" w:hAnsi="Arial"/>
          <w:kern w:val="0"/>
          <w:sz w:val="20"/>
          <w14:ligatures w14:val="none"/>
        </w:rPr>
        <w:t>11.</w:t>
      </w:r>
      <w:r w:rsidR="0006445B" w:rsidRPr="00493E98">
        <w:rPr>
          <w:rFonts w:ascii="Arial" w:hAnsi="Arial"/>
          <w:kern w:val="0"/>
          <w:sz w:val="20"/>
          <w14:ligatures w14:val="none"/>
        </w:rPr>
        <w:t xml:space="preserve"> 2024 </w:t>
      </w:r>
    </w:p>
    <w:p w14:paraId="633FBF7E" w14:textId="77777777" w:rsidR="0006445B" w:rsidRPr="00493E98" w:rsidRDefault="0006445B" w:rsidP="00493E98">
      <w:pPr>
        <w:spacing w:before="40" w:after="40" w:line="240" w:lineRule="auto"/>
        <w:jc w:val="both"/>
        <w:rPr>
          <w:rFonts w:ascii="Arial" w:hAnsi="Arial"/>
          <w:kern w:val="0"/>
          <w:sz w:val="20"/>
          <w14:ligatures w14:val="none"/>
        </w:rPr>
      </w:pPr>
    </w:p>
    <w:p w14:paraId="1FA2347E" w14:textId="77777777" w:rsidR="0006445B" w:rsidRPr="00493E98" w:rsidRDefault="0006445B" w:rsidP="00493E98">
      <w:pPr>
        <w:spacing w:before="40" w:after="40" w:line="240" w:lineRule="auto"/>
        <w:jc w:val="both"/>
        <w:rPr>
          <w:rFonts w:ascii="Arial" w:eastAsia="Times New Roman" w:hAnsi="Arial" w:cs="Times New Roman"/>
          <w:b/>
          <w:kern w:val="0"/>
          <w:sz w:val="20"/>
          <w:szCs w:val="24"/>
          <w:u w:val="single"/>
          <w14:ligatures w14:val="none"/>
        </w:rPr>
      </w:pPr>
      <w:r w:rsidRPr="00493E98">
        <w:rPr>
          <w:rFonts w:ascii="Arial" w:hAnsi="Arial"/>
          <w:b/>
          <w:kern w:val="0"/>
          <w:sz w:val="20"/>
          <w:u w:val="single"/>
          <w14:ligatures w14:val="none"/>
        </w:rPr>
        <w:t>E-naslov za pripombe iz javne obravnave:</w:t>
      </w:r>
    </w:p>
    <w:p w14:paraId="2CC498F2" w14:textId="77777777" w:rsidR="0006445B" w:rsidRPr="00493E98" w:rsidRDefault="00FC38C4" w:rsidP="00493E98">
      <w:pPr>
        <w:spacing w:before="40" w:after="40" w:line="240" w:lineRule="auto"/>
        <w:jc w:val="both"/>
        <w:rPr>
          <w:rFonts w:ascii="Arial" w:hAnsi="Arial"/>
          <w:kern w:val="0"/>
          <w:sz w:val="20"/>
          <w14:ligatures w14:val="none"/>
        </w:rPr>
      </w:pPr>
      <w:hyperlink r:id="rId8" w:history="1">
        <w:r w:rsidR="0006445B" w:rsidRPr="00493E98">
          <w:rPr>
            <w:rFonts w:ascii="Arial" w:hAnsi="Arial"/>
            <w:kern w:val="0"/>
            <w:sz w:val="20"/>
            <w14:ligatures w14:val="none"/>
          </w:rPr>
          <w:t>gp.mope@gov.si</w:t>
        </w:r>
      </w:hyperlink>
    </w:p>
    <w:p w14:paraId="0D2C4738" w14:textId="77777777" w:rsidR="0006445B" w:rsidRPr="00493E98" w:rsidRDefault="0006445B" w:rsidP="00493E98">
      <w:pPr>
        <w:tabs>
          <w:tab w:val="left" w:pos="708"/>
        </w:tabs>
        <w:spacing w:after="0" w:line="260" w:lineRule="atLeast"/>
        <w:ind w:left="6012"/>
        <w:jc w:val="right"/>
        <w:rPr>
          <w:rFonts w:ascii="Arial" w:hAnsi="Arial"/>
          <w:b/>
          <w:kern w:val="0"/>
          <w:sz w:val="20"/>
          <w14:ligatures w14:val="none"/>
        </w:rPr>
      </w:pPr>
    </w:p>
    <w:p w14:paraId="76B4F7DF" w14:textId="77777777" w:rsidR="0006445B" w:rsidRPr="00493E98" w:rsidRDefault="0006445B" w:rsidP="00493E98">
      <w:pPr>
        <w:tabs>
          <w:tab w:val="left" w:pos="708"/>
        </w:tabs>
        <w:spacing w:after="0" w:line="260" w:lineRule="atLeast"/>
        <w:ind w:left="6012"/>
        <w:jc w:val="right"/>
        <w:rPr>
          <w:rFonts w:ascii="Arial" w:hAnsi="Arial"/>
          <w:b/>
          <w:kern w:val="0"/>
          <w:sz w:val="20"/>
          <w14:ligatures w14:val="none"/>
        </w:rPr>
      </w:pPr>
    </w:p>
    <w:p w14:paraId="17961FA0" w14:textId="77777777" w:rsidR="0006445B" w:rsidRPr="00493E98" w:rsidRDefault="0006445B" w:rsidP="00493E98">
      <w:pPr>
        <w:tabs>
          <w:tab w:val="left" w:pos="708"/>
        </w:tabs>
        <w:spacing w:after="0" w:line="260" w:lineRule="atLeast"/>
        <w:ind w:left="6012"/>
        <w:jc w:val="right"/>
        <w:rPr>
          <w:rFonts w:ascii="Arial" w:hAnsi="Arial"/>
          <w:b/>
          <w:kern w:val="0"/>
          <w:sz w:val="20"/>
          <w14:ligatures w14:val="none"/>
        </w:rPr>
      </w:pPr>
    </w:p>
    <w:p w14:paraId="01A4E644" w14:textId="77777777" w:rsidR="00802ECA" w:rsidRPr="00312205" w:rsidRDefault="0006445B" w:rsidP="00802ECA">
      <w:pPr>
        <w:tabs>
          <w:tab w:val="left" w:pos="284"/>
          <w:tab w:val="right" w:pos="9638"/>
        </w:tabs>
        <w:spacing w:before="240" w:after="240" w:line="240" w:lineRule="auto"/>
        <w:jc w:val="both"/>
        <w:rPr>
          <w:rFonts w:cs="Arial"/>
          <w:b/>
          <w:bCs/>
          <w:szCs w:val="20"/>
        </w:rPr>
      </w:pPr>
      <w:r w:rsidRPr="00F67DBD">
        <w:rPr>
          <w:rFonts w:ascii="Arial" w:hAnsi="Arial"/>
          <w:b/>
          <w:kern w:val="0"/>
          <w:sz w:val="20"/>
          <w14:ligatures w14:val="none"/>
        </w:rPr>
        <w:br w:type="page"/>
      </w:r>
      <w:r w:rsidR="00802ECA" w:rsidRPr="00312205">
        <w:rPr>
          <w:rFonts w:cs="Arial"/>
          <w:b/>
          <w:bCs/>
          <w:szCs w:val="20"/>
        </w:rPr>
        <w:lastRenderedPageBreak/>
        <w:t>OBRAZLOŽITEV</w:t>
      </w:r>
      <w:r w:rsidR="00802ECA" w:rsidRPr="00312205">
        <w:rPr>
          <w:rFonts w:cs="Arial"/>
          <w:b/>
          <w:bCs/>
          <w:szCs w:val="20"/>
        </w:rPr>
        <w:tab/>
      </w:r>
    </w:p>
    <w:p w14:paraId="2E227CBF" w14:textId="77777777" w:rsidR="00802ECA" w:rsidRPr="00312205" w:rsidRDefault="00802ECA" w:rsidP="00802ECA">
      <w:pPr>
        <w:tabs>
          <w:tab w:val="left" w:pos="284"/>
          <w:tab w:val="right" w:pos="9638"/>
        </w:tabs>
        <w:spacing w:before="240" w:after="240" w:line="240" w:lineRule="auto"/>
        <w:jc w:val="both"/>
        <w:rPr>
          <w:rFonts w:cs="Arial"/>
          <w:b/>
          <w:bCs/>
          <w:szCs w:val="20"/>
        </w:rPr>
      </w:pPr>
      <w:r w:rsidRPr="00312205">
        <w:rPr>
          <w:rFonts w:cs="Arial"/>
          <w:b/>
          <w:bCs/>
          <w:szCs w:val="20"/>
        </w:rPr>
        <w:t xml:space="preserve">I. </w:t>
      </w:r>
      <w:r w:rsidRPr="00312205">
        <w:rPr>
          <w:rFonts w:cs="Arial"/>
          <w:b/>
          <w:bCs/>
          <w:szCs w:val="20"/>
        </w:rPr>
        <w:tab/>
        <w:t>UVOD</w:t>
      </w:r>
    </w:p>
    <w:p w14:paraId="7C186E25" w14:textId="77777777" w:rsidR="00802ECA" w:rsidRDefault="00802ECA" w:rsidP="00802ECA">
      <w:pPr>
        <w:tabs>
          <w:tab w:val="left" w:pos="284"/>
          <w:tab w:val="right" w:pos="9638"/>
        </w:tabs>
        <w:spacing w:before="240" w:after="240" w:line="240" w:lineRule="auto"/>
        <w:jc w:val="both"/>
        <w:rPr>
          <w:rFonts w:cs="Arial"/>
          <w:b/>
          <w:bCs/>
          <w:szCs w:val="20"/>
        </w:rPr>
      </w:pPr>
      <w:r w:rsidRPr="00312205">
        <w:rPr>
          <w:rFonts w:cs="Arial"/>
          <w:b/>
          <w:bCs/>
          <w:szCs w:val="20"/>
        </w:rPr>
        <w:t>1.</w:t>
      </w:r>
      <w:r w:rsidRPr="00312205">
        <w:rPr>
          <w:rFonts w:cs="Arial"/>
          <w:b/>
          <w:bCs/>
          <w:szCs w:val="20"/>
        </w:rPr>
        <w:tab/>
        <w:t>Pravna podlaga</w:t>
      </w:r>
    </w:p>
    <w:p w14:paraId="50468713" w14:textId="77777777" w:rsidR="00802ECA" w:rsidRPr="00312205" w:rsidRDefault="00802ECA" w:rsidP="00802ECA">
      <w:r w:rsidRPr="00312205">
        <w:t xml:space="preserve">Pravna podlaga za Uredbo o opravljanju obvezne državne gospodarske javne službe sežiganja komunalnih odpadkov so šesti odstavek 24. člena, prvi odstavek 175. člena in prvi in deveti odstavek </w:t>
      </w:r>
      <w:r>
        <w:t>232</w:t>
      </w:r>
      <w:r w:rsidRPr="00312205">
        <w:t>. člena Zakona o varstvu okolja (Uradni list RS, št.</w:t>
      </w:r>
      <w:r w:rsidRPr="00794B4B">
        <w:t xml:space="preserve"> </w:t>
      </w:r>
      <w:r w:rsidRPr="00312205">
        <w:t>44/22, 18/23 – ZDU-1O, 78/23 – ZUNPEOVE in 23/24).</w:t>
      </w:r>
    </w:p>
    <w:p w14:paraId="3CB8CF46" w14:textId="77777777" w:rsidR="00802ECA" w:rsidRPr="00312205" w:rsidRDefault="00802ECA" w:rsidP="00802ECA">
      <w:pPr>
        <w:tabs>
          <w:tab w:val="left" w:pos="284"/>
          <w:tab w:val="right" w:pos="9638"/>
        </w:tabs>
        <w:spacing w:before="240" w:after="240" w:line="240" w:lineRule="auto"/>
        <w:jc w:val="both"/>
        <w:rPr>
          <w:rFonts w:cs="Arial"/>
          <w:b/>
          <w:bCs/>
          <w:szCs w:val="20"/>
        </w:rPr>
      </w:pPr>
      <w:r w:rsidRPr="00312205">
        <w:rPr>
          <w:rFonts w:cs="Arial"/>
          <w:b/>
          <w:bCs/>
          <w:szCs w:val="20"/>
        </w:rPr>
        <w:t>2.</w:t>
      </w:r>
      <w:r w:rsidRPr="00312205">
        <w:rPr>
          <w:rFonts w:cs="Arial"/>
          <w:b/>
          <w:bCs/>
          <w:szCs w:val="20"/>
        </w:rPr>
        <w:tab/>
        <w:t>Splošna obrazložitev predloga uredbe</w:t>
      </w:r>
    </w:p>
    <w:p w14:paraId="18F49570" w14:textId="77777777" w:rsidR="00802ECA" w:rsidRPr="00794B4B" w:rsidRDefault="00802ECA" w:rsidP="00802ECA">
      <w:r w:rsidRPr="00794B4B">
        <w:t xml:space="preserve">Zakon o varstvu okolja (Uradni list RS, št. 44/22, 18/23 – ZDU-1O in 78/23 – ZUNPEOVE) v 1. točki prvega odstavka 232. člena določa obvezno državno gospodarsko javno službo varstva okolja sežiganje določenih vrst komunalnih odpadkov in v devetem odstavku, da Vlada Republike Slovenije podrobneje predpiše dejavnosti in določi način opravljanja obvezne gospodarske javne službe skladno z zakonom. </w:t>
      </w:r>
    </w:p>
    <w:p w14:paraId="7A159777" w14:textId="77777777" w:rsidR="00802ECA" w:rsidRPr="00794B4B" w:rsidRDefault="00802ECA" w:rsidP="00802ECA">
      <w:r w:rsidRPr="00794B4B">
        <w:t>To področje trenutno ureja Uredba o opravljanju obvezne državne gospodarske javne službe sežiganja komunalnih odpadkov (Uradni list RS, št. 67/22), ki jo nadomesti predlagani predpis.</w:t>
      </w:r>
    </w:p>
    <w:p w14:paraId="2960AFC3" w14:textId="77777777" w:rsidR="00802ECA" w:rsidRPr="00794B4B" w:rsidRDefault="00802ECA" w:rsidP="00802ECA">
      <w:r w:rsidRPr="00794B4B">
        <w:t>Z osnutkom Uredbe o opravljanju obvezne državne gospodarske javne službe sežiganja komunalnih odpadkov se podrobneje predpisuje dejavnost opravljanja državne javne službe sežiganja gorljivih komunalnih odpadkov, določa način njenega opravljanja, pogoje za zagotavljanje in uporabo storitev javne službe, pravice in obveznosti uporabnikov, druge elemente, pomembne za opravljanje državne javne službe, finančno jamstvo za opravljanje dejavnosti državne javne službe in oblikovanje cene storitev državne javne službe.</w:t>
      </w:r>
    </w:p>
    <w:p w14:paraId="7D43854E" w14:textId="77777777" w:rsidR="00802ECA" w:rsidRPr="00794B4B" w:rsidRDefault="00802ECA" w:rsidP="00802ECA">
      <w:r w:rsidRPr="00794B4B">
        <w:t>Osnutek uredbe je tudi koncesijski akt, s katerim se določijo predmet in pogoji za podelitev koncesije za izvajanje državne javne službe in predpišejo razlogi za odvzem koncesije.</w:t>
      </w:r>
    </w:p>
    <w:p w14:paraId="225E0DC1" w14:textId="77777777" w:rsidR="00802ECA" w:rsidRPr="00794B4B" w:rsidRDefault="00802ECA" w:rsidP="00802ECA">
      <w:r w:rsidRPr="00794B4B">
        <w:t>S to uredbo želi Republika Slovenija zagotoviti izgradnjo primernih objektov, ki bodo omogočali sežig gorljivih komunalnih odpadkov, nastalih na ozemlju RS, primernih za energijsko izrabo ter tako poleg ostalega povišali prepotrebno samozadostnost in prilagodljivost države na  področju ravnanja z odpadki.</w:t>
      </w:r>
    </w:p>
    <w:p w14:paraId="0D4267E1" w14:textId="77777777" w:rsidR="00802ECA" w:rsidRPr="00794B4B" w:rsidRDefault="00802ECA" w:rsidP="00802ECA">
      <w:r w:rsidRPr="00794B4B">
        <w:t>RS na področju predelave in odstranjevanja odpadkov s termično obdelavo namreč ni samozadostna in je odvisna od objektov v tujini, kar potrjuje podatek o izvozu v postopke termične obdelave v tujino približno 165.000 ton (gorivo iz odpadkov 19 12 10 in drugih odpadkov iz mehanske obdelave odpadkov s številko 19 12 12, ki so gorljivi) leta 2017, v letu 2021 pa ta količina že presegla 212.000 ton (od tega 173.160 t  odpadka z oznako 19 12 12)</w:t>
      </w:r>
    </w:p>
    <w:p w14:paraId="4797D025" w14:textId="77777777" w:rsidR="00802ECA" w:rsidRPr="00794B4B" w:rsidRDefault="00802ECA" w:rsidP="00802ECA">
      <w:r w:rsidRPr="00794B4B">
        <w:t xml:space="preserve">Ker je edina trenutno delujoča namenska naprava za termično obdelavo gorljivih nereciklabilnih odpadkov iz mehanske obdelave komunalnih odpadkov v letu 2021 sprejela 24.886,89 t tovrstnih odpadkov to pomeni, da je bilo v tem letu pokritih manj kot 15 odstotkov potreb in posledično samozadostnost Slovenije na tem področju ni zagotovljena. </w:t>
      </w:r>
    </w:p>
    <w:p w14:paraId="2618F821" w14:textId="77777777" w:rsidR="00802ECA" w:rsidRPr="00794B4B" w:rsidRDefault="00802ECA" w:rsidP="00802ECA">
      <w:r w:rsidRPr="00794B4B">
        <w:t xml:space="preserve">Logistične težave pri čezmejnem premeščanju odpadkov na energetsko izrabo odpadkov v tujino (težave s pridobivanjem soglasij, zmanjšana ponudba prostih kapacitet) so to problematiko še nekoliko zaostrile, zato so se ti odpadki začeli prekomerno kopičiti in neustrezno skladiščiti na različnih lokacijah po Sloveniji. </w:t>
      </w:r>
    </w:p>
    <w:p w14:paraId="26F3D7EA" w14:textId="77777777" w:rsidR="00802ECA" w:rsidRPr="00794B4B" w:rsidRDefault="00802ECA" w:rsidP="00802ECA">
      <w:r w:rsidRPr="00794B4B">
        <w:t>Pri nadaljevanju teh trendov je možno pričakovati škodljive vplive tako na okolje kot na zdravje ljudi zaradi kopičenja gorljivih odpadkov pri izvajalcih obdelave mešanih komunalnih odpadkov ali njihovega odlaganja v nasprotju s sprejetimi pravili.</w:t>
      </w:r>
    </w:p>
    <w:p w14:paraId="73AF023F" w14:textId="77777777" w:rsidR="00802ECA" w:rsidRPr="00794B4B" w:rsidRDefault="00802ECA" w:rsidP="00802ECA">
      <w:r w:rsidRPr="00794B4B">
        <w:t>Postopki termične obdelave odpadkov imajo v hierarhiji ravnanja z odpadki prednost pred odstranjevanjem s postopkom odlaganja, hierarhična prednost pa je dana preprečevanju nastajanja, ponovni uporabi in recikliranju odpadkov. Slovenija ne sledi praksam »tradicionalno sežigalniških« držav, kjer so mešani komunalni odpadki sežgani brez ali z minimalno stopnjo obdelave. Vzpostavljena je infrastruktura centrov za ravnanje s komunalnimi odpadki, v katerih se mešani komunalni odpadki mehansko in biološko obdelajo, pri čemer so frakcije odpadkov, primernih za recikliranje v okviru izvajanja javne službe obdelave komunalnih odpadkov, izločene iz toka odpadkov in predane v postopke nadaljnje predelave.</w:t>
      </w:r>
    </w:p>
    <w:p w14:paraId="1BF62DB7" w14:textId="77777777" w:rsidR="00802ECA" w:rsidRPr="00794B4B" w:rsidRDefault="00802ECA" w:rsidP="00802ECA">
      <w:r w:rsidRPr="00794B4B">
        <w:t>V postopke termične obdelave bodo v okviru javne službe zato usmerjeni le odpadki oz. frakcije, ki jih ni možno reciklirati in presegajo parametre za odlaganje na odlagališčih za nenevarne odpadke.</w:t>
      </w:r>
    </w:p>
    <w:p w14:paraId="4E447EA6" w14:textId="77777777" w:rsidR="00802ECA" w:rsidRPr="00794B4B" w:rsidRDefault="00802ECA" w:rsidP="00802ECA">
      <w:r w:rsidRPr="00794B4B">
        <w:t>Skladno z dokumentom Komisije COM(2017) 34 final bi morale države članice pri pregledu nacionalnih načrtov za ravnanje z odpadki in ocenjevanju potrebe po dodatni zmogljivosti za pridobivanje energije iz odpadkov za obdelavo odpadkov, ki jih ni mogoče reciklirati (npr. sežiganje), upoštevati dolgoročno perspektivo ter natančno proučiti naslednje dejavnike:</w:t>
      </w:r>
    </w:p>
    <w:p w14:paraId="34BB96D9" w14:textId="77777777" w:rsidR="00802ECA" w:rsidRPr="00794B4B" w:rsidRDefault="00802ECA" w:rsidP="00802ECA">
      <w:r w:rsidRPr="00794B4B">
        <w:t>- vpliv obstoječih in predlaganih obveznosti ločenega zbiranja in ciljev glede recikliranja na razpoložljivost surovin za obratovanje novih sežigalnic v njihovi celotni življenjski dobi (20–30 let);</w:t>
      </w:r>
    </w:p>
    <w:p w14:paraId="1B96D5EE" w14:textId="77777777" w:rsidR="00802ECA" w:rsidRPr="00794B4B" w:rsidRDefault="00802ECA" w:rsidP="00802ECA">
      <w:r w:rsidRPr="00794B4B">
        <w:t xml:space="preserve">- razpoložljivo zmogljivost za sosežiganje v kurilnih napravah ter v cementnih in apnenih pečeh ali pri drugih ustreznih industrijskih postopkih ter </w:t>
      </w:r>
    </w:p>
    <w:p w14:paraId="0499CFCD" w14:textId="77777777" w:rsidR="00802ECA" w:rsidRPr="00794B4B" w:rsidRDefault="00802ECA" w:rsidP="00802ECA">
      <w:r w:rsidRPr="00794B4B">
        <w:t>- načrtovano ali obstoječo zmogljivost v sosednjih državah.</w:t>
      </w:r>
    </w:p>
    <w:p w14:paraId="1BC591C3" w14:textId="77777777" w:rsidR="00802ECA" w:rsidRPr="00794B4B" w:rsidRDefault="00802ECA" w:rsidP="00802ECA">
      <w:r w:rsidRPr="00794B4B">
        <w:t>Glede na naštete dejavnike pri ocenjevanju potrebe po dodatni zmogljivosti naprav za pridobivanje energije iz odpadkov, ki jih ni mogoče reciklirati, ugotavljamo:</w:t>
      </w:r>
    </w:p>
    <w:p w14:paraId="0575B8B7" w14:textId="77777777" w:rsidR="00802ECA" w:rsidRPr="00794B4B" w:rsidRDefault="00802ECA" w:rsidP="00802ECA">
      <w:r w:rsidRPr="00794B4B">
        <w:t>- vpliv obstoječih in predlaganih obveznosti ločenega zbiranja in ciljev glede recikliranja na razpoložljivost surovin za obratovanje novih naprav v njihovi celotni življenjski dobi je upoštevan. V tem programu je upoštevan model (scenarij) doseganja ciljev recikliranja za Slovenijo, ki je na podlagi podatkov izhodiščnega leta 2021 realno izvedljiv, s poudarkom na potencialu možnega recikliranja komunalnih odpadkov in z določeno maksimalno količino sežiganja komunalnih odpadkov. Tudi ob doseženih ciljih recikliranja bo količina goriva iz komunalnih odpadkov, izračunana za leto 2030, ustrezno visoka, da bo zagotovljeno obratovanje vseh obstoječih in novih naprav;</w:t>
      </w:r>
    </w:p>
    <w:p w14:paraId="103BF3EA" w14:textId="77777777" w:rsidR="00802ECA" w:rsidRPr="00794B4B" w:rsidRDefault="00802ECA" w:rsidP="00802ECA">
      <w:r w:rsidRPr="00794B4B">
        <w:t xml:space="preserve">- razpoložljiva zmogljivost za sosežiganje v kurilnih napravah ter v cementnih in apnenih pečeh ali pri drugih ustreznih industrijskih postopkih ni v celoti na voljo, poleg tega je treba upoštevati, da se bo zaradi boljšega ločevanja in višje stopnje recikliranja zniževala tudi kalorična vrednost </w:t>
      </w:r>
      <w:bookmarkStart w:id="1" w:name="_Hlk179324694"/>
      <w:r w:rsidRPr="00794B4B">
        <w:t>gorljivih odpadkov</w:t>
      </w:r>
      <w:bookmarkEnd w:id="1"/>
      <w:r w:rsidRPr="00794B4B">
        <w:t>, nastalih z mehansko obdelavo mešanih komunalnih odpadkov (ocena zniževanja s 16 MJ/kg na 11 MJ/kg), in bo posledično še težje najti rešitev za predelavo v industrijskih napravah, ki za sosežig pričakujejo visokokakovostno (in kalorično) gorivo;</w:t>
      </w:r>
    </w:p>
    <w:p w14:paraId="67090AA8" w14:textId="77777777" w:rsidR="00802ECA" w:rsidRPr="00794B4B" w:rsidRDefault="00802ECA" w:rsidP="00802ECA">
      <w:r w:rsidRPr="00794B4B">
        <w:t>- ob upoštevanju zmogljivosti za energetsko izrabo odpadkov v sosednjih državah je treba upoštevati tudi dejstvo, da se dostop do teh naprav zaradi ohranjanja samozadostnosti v sprejemnih državah omejuje. Kot navedeno v prejšnjem odstavku, bo znižana kalorična vrednost goriva zaradi boljše stopnje recikliranja odpadkov predstavljala težavo pri pošiljanju teh odpadkov na obdelavo v industrijske naprave zunaj Slovenije. Prav tako ni zanemarljiv vpliv transporta. Ocenjena količina gorljivih odpadkov, nastalih z mehansko obdelavo komunalnih odpadkov in poslanih na postopke (termične) predelave oziroma odstranjevanja zunaj Slovenije (173.000 ton), predstavlja 8.600 vozil letno za transport odpadkov na relaciji do povprečne lokacije naprave za termično obdelavo, oddaljeni 420 kilometrov.</w:t>
      </w:r>
    </w:p>
    <w:p w14:paraId="60EAC724" w14:textId="77777777" w:rsidR="00802ECA" w:rsidRPr="00794B4B" w:rsidRDefault="00802ECA" w:rsidP="00802ECA">
      <w:pPr>
        <w:rPr>
          <w:b/>
        </w:rPr>
      </w:pPr>
      <w:r w:rsidRPr="00794B4B">
        <w:rPr>
          <w:b/>
        </w:rPr>
        <w:t>Vsebina Uredbe:</w:t>
      </w:r>
    </w:p>
    <w:p w14:paraId="29E69070" w14:textId="77777777" w:rsidR="00802ECA" w:rsidRPr="00794B4B" w:rsidRDefault="00802ECA" w:rsidP="00802ECA">
      <w:pPr>
        <w:rPr>
          <w:b/>
        </w:rPr>
      </w:pPr>
    </w:p>
    <w:p w14:paraId="7431270B" w14:textId="309C9655" w:rsidR="0027563B" w:rsidRDefault="00802ECA" w:rsidP="00802ECA">
      <w:pPr>
        <w:numPr>
          <w:ilvl w:val="0"/>
          <w:numId w:val="15"/>
        </w:numPr>
        <w:spacing w:after="0" w:line="260" w:lineRule="atLeast"/>
      </w:pPr>
      <w:r w:rsidRPr="00794B4B">
        <w:t xml:space="preserve">V osnutku novega predpisa (6. ČLEN) </w:t>
      </w:r>
      <w:r w:rsidR="0027563B">
        <w:t>se</w:t>
      </w:r>
      <w:r w:rsidRPr="00794B4B">
        <w:t xml:space="preserve"> </w:t>
      </w:r>
      <w:r w:rsidR="0027563B">
        <w:t>n</w:t>
      </w:r>
      <w:r w:rsidR="0027563B" w:rsidRPr="0027563B">
        <w:t>ajvečja letna količina gorljivih komunalnih odpadkov za posamezno območje izvajanja državne javne službe določi iz največje letne količine gorljivih sestavin za celotno ozemlje Republike Slovenije glede na delež prebivalcev, ki imajo stalno prebivališče v posameznem območju izvajanja državne javne službe</w:t>
      </w:r>
      <w:r w:rsidR="0027563B">
        <w:t>.</w:t>
      </w:r>
    </w:p>
    <w:p w14:paraId="0D3FE2CC" w14:textId="1CB3D506" w:rsidR="00802ECA" w:rsidRPr="00794B4B" w:rsidRDefault="00802ECA" w:rsidP="0027563B">
      <w:pPr>
        <w:spacing w:after="0" w:line="260" w:lineRule="atLeast"/>
      </w:pPr>
      <w:r w:rsidRPr="00794B4B">
        <w:t>V uredbi sprejeti maja 2022 je predvidena količina za izvajanje javne službe določena na 180.000 t letno</w:t>
      </w:r>
    </w:p>
    <w:p w14:paraId="66EC51DF" w14:textId="71C71467" w:rsidR="00802ECA" w:rsidRDefault="00802ECA" w:rsidP="00802ECA">
      <w:r w:rsidRPr="00794B4B">
        <w:t>Količine predvidene za javno službo</w:t>
      </w:r>
      <w:r w:rsidR="00E955A2">
        <w:t xml:space="preserve"> 161.000 t </w:t>
      </w:r>
      <w:r w:rsidRPr="00794B4B">
        <w:t xml:space="preserve"> izhajajo iz Programa ravnanja z odpadki in program preprečevanja odpadkov Republike Slovenije 2022 (OPRO 2022), ki ga je MOP pripravilo za izvrševanje obveznosti iz predpisov EU, ki se nanašajo na oblikovanje programov na področju varstva okolja. Program sledi strateškim usmeritvam evropskih politik, ki ob poudarjanju preprečevanja nastajanja odpadkov dajejo prednost pripravi odpadkov za ponovno uporabo in njihovemu recikliranju pred energetsko predelavo odpadkov, predelavi odpadkov pa prednost pred njihovim odstranjevanjem, če in kjer je to najboljša možnost z vidika varstva okolja, ob upoštevanju tehnične izvedljivosti in ekonomske smiselnosti.</w:t>
      </w:r>
    </w:p>
    <w:p w14:paraId="576D5592" w14:textId="77B00B50" w:rsidR="00CA4551" w:rsidRDefault="00CA4551" w:rsidP="00CA4551">
      <w:r>
        <w:t>Uredba  vsebuje postopek izračuna največje količine gorljivih sestavin za mešane komunalne odpadke s številko 20 03 01 (MKO) , ki se lahko v posameznem koledarskem letu sežgejo v okviru storitev državne javne službe. Največja letna količine papirja, tekstila, lesa, plastike in gorljivih drugih odpadkov v MKO se v posameznem koledarskem letu za območje posamezne občine izračuna na podlagi povprečnih deležev teh odpadkov  v MKO je ocenjenem na podlagi rezultatov sortirnih analiz MKO, izdelanih za izhodiščno leto modelnega izračuna scenarijev razvoja ravnanja s komunalnimi odpadki.</w:t>
      </w:r>
    </w:p>
    <w:p w14:paraId="130DC6D5" w14:textId="77777777" w:rsidR="00802ECA" w:rsidRDefault="00802ECA" w:rsidP="00802ECA">
      <w:r w:rsidRPr="00794B4B">
        <w:t>V tem programu je za ravnanje s komunalnimi odpadki predviden scenarij izvedljivega obsega priprave za ponovno uporabo in recikliranja komunalnih odpadkov, ki je ciljni scenarij za Slovenijo in na podlagi podatkov izhodiščnega leta 2019 realno izvedljiv, s poudarkom na potencialu možnega recikliranja komunalnih odpadkov in z določeno maksimalno količino sežiganja komunalnih odpadkov. Scenarij ob upoštevanju ukrepov tega programa zagotavlja, da bo Slovenija dosegla vse EU okoljske cilje s področja ravnanja s komunalnimi odpadki.</w:t>
      </w:r>
    </w:p>
    <w:p w14:paraId="1291A5A9" w14:textId="77777777" w:rsidR="00802ECA" w:rsidRPr="00794B4B" w:rsidRDefault="00802ECA" w:rsidP="00802ECA"/>
    <w:p w14:paraId="788CF46C" w14:textId="77777777" w:rsidR="00802ECA" w:rsidRDefault="00802ECA" w:rsidP="00802ECA">
      <w:r w:rsidRPr="00794B4B">
        <w:rPr>
          <w:noProof/>
        </w:rPr>
        <w:drawing>
          <wp:inline distT="0" distB="0" distL="0" distR="0" wp14:anchorId="1386E8EE" wp14:editId="5D907607">
            <wp:extent cx="5021580" cy="3277235"/>
            <wp:effectExtent l="0" t="0" r="0" b="0"/>
            <wp:docPr id="185276178"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21580" cy="3277235"/>
                    </a:xfrm>
                    <a:prstGeom prst="rect">
                      <a:avLst/>
                    </a:prstGeom>
                    <a:noFill/>
                    <a:ln>
                      <a:noFill/>
                    </a:ln>
                  </pic:spPr>
                </pic:pic>
              </a:graphicData>
            </a:graphic>
          </wp:inline>
        </w:drawing>
      </w:r>
    </w:p>
    <w:p w14:paraId="5289BDA2" w14:textId="77777777" w:rsidR="00802ECA" w:rsidRPr="00794B4B" w:rsidRDefault="00802ECA" w:rsidP="00802ECA"/>
    <w:p w14:paraId="093CC6FF" w14:textId="77777777" w:rsidR="00802ECA" w:rsidRPr="00794B4B" w:rsidRDefault="00802ECA" w:rsidP="00802ECA">
      <w:r w:rsidRPr="00794B4B">
        <w:t>Pri določanju količine 161.000 t, ki je določena kot maksimalna za GJS sežig v osnutku uredbe in je manjša od 180.000 t, ki jo navaja OPRO (ki sicer določa zmogljivost energetske obdelave komunalnih odpadkov in NE ZMOGLJIVOSTI JAVNE SLUŽBE) smo upoštevali:</w:t>
      </w:r>
    </w:p>
    <w:p w14:paraId="7BAAE1A0" w14:textId="77777777" w:rsidR="00802ECA" w:rsidRPr="00794B4B" w:rsidRDefault="00802ECA" w:rsidP="00802ECA">
      <w:pPr>
        <w:numPr>
          <w:ilvl w:val="0"/>
          <w:numId w:val="14"/>
        </w:numPr>
        <w:spacing w:after="0" w:line="260" w:lineRule="atLeast"/>
      </w:pPr>
      <w:r w:rsidRPr="00794B4B">
        <w:t>Uveljavitev Uredbe o zmanjšanju vpliva nekaterih plastičnih proizvodov na okolje</w:t>
      </w:r>
    </w:p>
    <w:p w14:paraId="659EB1C8" w14:textId="77777777" w:rsidR="00802ECA" w:rsidRPr="00794B4B" w:rsidRDefault="00802ECA" w:rsidP="00802ECA">
      <w:pPr>
        <w:numPr>
          <w:ilvl w:val="0"/>
          <w:numId w:val="14"/>
        </w:numPr>
        <w:spacing w:after="0" w:line="260" w:lineRule="atLeast"/>
      </w:pPr>
      <w:r w:rsidRPr="00794B4B">
        <w:t xml:space="preserve">Uredbo (EU) o embalaži in odpadni embalaži, ki je sicer v fazi predloga vendar lahko pričakujemo sprejem pred postavitvijo dodatnih naprav. Cilj predloga uredbe je zaustaviti in obrniti letni trend naraščanja količine odpadne embalaže. Zajete so prepovedi določenih oblik  embalaže, ukrepi za spodbujanje omogočanja embalaže primerne za ponovno uporabo ali ponovno polnjenje, določila o minimalni vsebnosti recikliranih materialov, uvedba kavcijskega sistema za plastenke in pločevinke, </w:t>
      </w:r>
    </w:p>
    <w:p w14:paraId="14172CD6" w14:textId="77777777" w:rsidR="00802ECA" w:rsidRPr="00794B4B" w:rsidRDefault="00802ECA" w:rsidP="00802ECA">
      <w:pPr>
        <w:numPr>
          <w:ilvl w:val="0"/>
          <w:numId w:val="14"/>
        </w:numPr>
        <w:spacing w:after="0" w:line="260" w:lineRule="atLeast"/>
      </w:pPr>
      <w:r w:rsidRPr="00794B4B">
        <w:t>Predlog direktive Evropskega parlamenta in Sveta o spremembi Direktive 2008/98/ES o odpadkih ki je bil pripravljen v luči nujnih prizadevanj za preprečevanje odpadnega tekstila in odpadne hrane ter učinkovitega ravnanja s tema tokovoma odpadkov. Glede na študijo Skupnega raziskovalnega središča (JRC) se trenutno približno 78 % popotrošniškega odpadnega tekstila, ki zajema oblačila in obutev, tekstil iz gospodinjstev in tehnične tekstilne izdelke, ne zbira ločeno in konča v mešanih gospodinjskih odpadkih, namenjenih sežiganju ali odlaganju na odlagališčih.</w:t>
      </w:r>
    </w:p>
    <w:p w14:paraId="581FC5CA" w14:textId="77777777" w:rsidR="00802ECA" w:rsidRPr="00794B4B" w:rsidRDefault="00802ECA" w:rsidP="00802ECA">
      <w:pPr>
        <w:numPr>
          <w:ilvl w:val="0"/>
          <w:numId w:val="14"/>
        </w:numPr>
        <w:spacing w:after="0" w:line="260" w:lineRule="atLeast"/>
      </w:pPr>
      <w:r w:rsidRPr="00794B4B">
        <w:t>Ukrepe za doseganje ciljev Programa preprečevanja odpadkov (tabela 106 OPRO), ki vodijo v zmanjšanje količine odpadkov v gospodinjstvih.</w:t>
      </w:r>
    </w:p>
    <w:p w14:paraId="55F3AB20" w14:textId="77777777" w:rsidR="00802ECA" w:rsidRPr="00794B4B" w:rsidRDefault="00802ECA" w:rsidP="00802ECA">
      <w:pPr>
        <w:numPr>
          <w:ilvl w:val="0"/>
          <w:numId w:val="14"/>
        </w:numPr>
        <w:spacing w:after="0" w:line="260" w:lineRule="atLeast"/>
      </w:pPr>
      <w:r w:rsidRPr="00794B4B">
        <w:t>Ukrepe Programa ravnanja z odpadki za doseganje ciljev zbiranja, recikliranja in odlaganja odpadkov (tabela 107 OPRO) med drugim uvedba dodatnih ukrepov v občinah, kjer izvajanje obvezne občinske gospodarske javne službe zbiranja komunalnih odpadkov izkazuje podpovprečne rezultate pri ločenem zbiranju komunalnih odpadkov. Izmenjava dobrih praks.</w:t>
      </w:r>
    </w:p>
    <w:p w14:paraId="7FF8D52B" w14:textId="77777777" w:rsidR="00802ECA" w:rsidRPr="00794B4B" w:rsidRDefault="00802ECA" w:rsidP="00802ECA">
      <w:pPr>
        <w:numPr>
          <w:ilvl w:val="0"/>
          <w:numId w:val="14"/>
        </w:numPr>
        <w:spacing w:after="0" w:line="260" w:lineRule="atLeast"/>
      </w:pPr>
      <w:r w:rsidRPr="00794B4B">
        <w:t>Dejstvo, da je osnovna naloga izvajalcev GJS obdelave določenih vrst komunalnih odpadkov obdelava MKO. Ločeno zbrane frakcije komunalnih odpadkov ne končajo nujno v regijskih centrih saj zakonodaja izvajalcem občinskih javnih služb zbiranja komunalnih odpadkov omogoča, da ločeno zbrane frakcije oddajajo neposredno osebam vpisanim v evidenco zbiralcev oziroma osebam z OVD za predelavo teh odpadkov.</w:t>
      </w:r>
    </w:p>
    <w:p w14:paraId="0816DE11" w14:textId="77777777" w:rsidR="00802ECA" w:rsidRPr="00794B4B" w:rsidRDefault="00802ECA" w:rsidP="00802ECA">
      <w:pPr>
        <w:numPr>
          <w:ilvl w:val="0"/>
          <w:numId w:val="14"/>
        </w:numPr>
        <w:spacing w:after="0" w:line="260" w:lineRule="atLeast"/>
      </w:pPr>
      <w:r w:rsidRPr="00794B4B">
        <w:t xml:space="preserve">kemična reciklaža </w:t>
      </w:r>
    </w:p>
    <w:p w14:paraId="7051E6FF" w14:textId="77777777" w:rsidR="00802ECA" w:rsidRPr="00794B4B" w:rsidRDefault="00802ECA" w:rsidP="00802ECA">
      <w:r w:rsidRPr="00794B4B">
        <w:t xml:space="preserve">Izvedbeni akti nekaterih evropskih predpisov (SUP, Uredba o plastičnih materialih za stik z živili, …) poleg mehanskega recikliranja že vsebujejo tudi dodatne vrste recikliranja vključno s kemičnim recikliranjem. V postopkih kot so depoleimerizacija, piroliza, … lahko kot produkt nastaja gorivo (kar ni opredeljeno kot recikliranje) ali surovina, ki je osnova za izdelavo novih izdelkov iz plastike (v tem primeru je postopek opredeljen kot recikliranje). Združenje PLASTICS EUROPE napoveduje obsežne investicije (2,6 MRD EUR do 2025) v obrate za kemično reciklažo (vir </w:t>
      </w:r>
      <w:hyperlink r:id="rId10" w:history="1">
        <w:r w:rsidRPr="00794B4B">
          <w:rPr>
            <w:rStyle w:val="Hiperpovezava"/>
          </w:rPr>
          <w:t>https://plasticseurope.org</w:t>
        </w:r>
      </w:hyperlink>
      <w:r w:rsidRPr="00794B4B">
        <w:t>). Zato lahko pričakujemo, da bo nereciklabilni del plastičnih odpadkov preusmerjen v te postopke.</w:t>
      </w:r>
    </w:p>
    <w:p w14:paraId="1117C704" w14:textId="77777777" w:rsidR="00802ECA" w:rsidRPr="00794B4B" w:rsidRDefault="00802ECA" w:rsidP="00802ECA">
      <w:pPr>
        <w:numPr>
          <w:ilvl w:val="0"/>
          <w:numId w:val="14"/>
        </w:numPr>
        <w:spacing w:after="0" w:line="260" w:lineRule="atLeast"/>
      </w:pPr>
      <w:r w:rsidRPr="00794B4B">
        <w:t>Prav tako je v uredbi, ki ureja zbiranje komunalnih odpadkov določena obveznost izvajalca, da v zbirnem centru omogoči izvajalcu priprave za ponovno uporabo, da vsaj iz prevzetega odpadnega tekstila, oblačil in kosovnih odpadkov izloči odpadke, primerne za pripravo za ponovno uporabo, in mu jih odda.</w:t>
      </w:r>
    </w:p>
    <w:p w14:paraId="583A9A07" w14:textId="77777777" w:rsidR="00802ECA" w:rsidRPr="00794B4B" w:rsidRDefault="00802ECA" w:rsidP="00802ECA">
      <w:pPr>
        <w:numPr>
          <w:ilvl w:val="0"/>
          <w:numId w:val="15"/>
        </w:numPr>
        <w:spacing w:after="0" w:line="260" w:lineRule="atLeast"/>
      </w:pPr>
      <w:r w:rsidRPr="00794B4B">
        <w:t xml:space="preserve">Osnutek vsebuje tudi metodologijo določanja cen storitev javne službe (13. - 22. ČLEN) s poudarkom, da morajo prihodki prodaje nastale toplote, elektrike in morebitnih posebnih storitev prispevati k zmanjševanju izračunane lastne cene. Uredba vsebuje člene, ki določajo metodologijo za oblikovanje cene storitve javne službe in poročanje v zvezi s tem. Dodana je tudi določba o finančnem jamstvu (36. ČLEN) za zavarovanje izvedbe ukrepov, ki jih mora upravljavec izvajati v primeru prekomerne obremenitve okolja. </w:t>
      </w:r>
    </w:p>
    <w:p w14:paraId="373B4050" w14:textId="7E8D27DA" w:rsidR="00802ECA" w:rsidRPr="00802ECA" w:rsidRDefault="00802ECA" w:rsidP="00802ECA">
      <w:pPr>
        <w:numPr>
          <w:ilvl w:val="0"/>
          <w:numId w:val="15"/>
        </w:numPr>
        <w:spacing w:after="0" w:line="260" w:lineRule="atLeast"/>
      </w:pPr>
      <w:r>
        <w:t xml:space="preserve">Med merili za izbor koncesionarja v konkurenčnem postopku je dodana </w:t>
      </w:r>
      <w:r w:rsidRPr="00802ECA">
        <w:t>ocena osnovnih značilnosti lokacije predvidene sežigalnice na podlagi gostote naseljenosti, geografske lege in meteoroloških pogojev ter obstoječega stanja okolja</w:t>
      </w:r>
      <w:r>
        <w:t>.</w:t>
      </w:r>
    </w:p>
    <w:p w14:paraId="5B33D383" w14:textId="26D43D2A" w:rsidR="00802ECA" w:rsidRPr="00802ECA" w:rsidRDefault="00802ECA" w:rsidP="00802ECA">
      <w:pPr>
        <w:numPr>
          <w:ilvl w:val="0"/>
          <w:numId w:val="15"/>
        </w:numPr>
        <w:spacing w:after="0" w:line="260" w:lineRule="atLeast"/>
        <w:rPr>
          <w:lang w:val="it-IT"/>
        </w:rPr>
      </w:pPr>
      <w:r w:rsidRPr="00794B4B">
        <w:t>Omejena je tudi maksimalna kapaciteta novih naprav. (29. ČLEN, veljavna uredba tega določila ne vsebuje)</w:t>
      </w:r>
      <w:r>
        <w:t>.</w:t>
      </w:r>
    </w:p>
    <w:p w14:paraId="07BDFA4B" w14:textId="77777777" w:rsidR="00EC6AE9" w:rsidRDefault="00EC6AE9" w:rsidP="00F6651D"/>
    <w:p w14:paraId="4D441DD2" w14:textId="77777777" w:rsidR="00F92ED4" w:rsidRDefault="00F92ED4" w:rsidP="00F6651D"/>
    <w:p w14:paraId="2754DA7A" w14:textId="77777777" w:rsidR="00F92ED4" w:rsidRDefault="00F92ED4" w:rsidP="00F6651D"/>
    <w:p w14:paraId="406CE12A" w14:textId="77777777" w:rsidR="00F92ED4" w:rsidRDefault="00F92ED4" w:rsidP="00F6651D"/>
    <w:p w14:paraId="1C0ECDEF" w14:textId="77777777" w:rsidR="00F92ED4" w:rsidRDefault="00F92ED4" w:rsidP="00F6651D"/>
    <w:p w14:paraId="1878F6F0" w14:textId="77777777" w:rsidR="00F92ED4" w:rsidRDefault="00F92ED4" w:rsidP="00F6651D"/>
    <w:p w14:paraId="471C8B99" w14:textId="77777777" w:rsidR="00F92ED4" w:rsidRDefault="00F92ED4" w:rsidP="00F6651D"/>
    <w:p w14:paraId="6324751D" w14:textId="77777777" w:rsidR="00F92ED4" w:rsidRDefault="00F92ED4" w:rsidP="00F6651D"/>
    <w:p w14:paraId="0B9BF1FB" w14:textId="77777777" w:rsidR="00F92ED4" w:rsidRDefault="00F92ED4" w:rsidP="00F6651D"/>
    <w:p w14:paraId="01E3EB7C" w14:textId="77777777" w:rsidR="00F92ED4" w:rsidRDefault="00F92ED4" w:rsidP="00F6651D"/>
    <w:p w14:paraId="2EBA9BB4" w14:textId="77777777" w:rsidR="00F92ED4" w:rsidRDefault="00F92ED4" w:rsidP="00F6651D"/>
    <w:p w14:paraId="771D994A" w14:textId="77777777" w:rsidR="00F92ED4" w:rsidRDefault="00F92ED4" w:rsidP="00F6651D"/>
    <w:p w14:paraId="0D69B9F2" w14:textId="77777777" w:rsidR="00F92ED4" w:rsidRDefault="00F92ED4" w:rsidP="00F6651D"/>
    <w:p w14:paraId="5FCA4B9B" w14:textId="47BD8289" w:rsidR="00B74958" w:rsidRDefault="00B74958">
      <w:r>
        <w:br w:type="page"/>
      </w:r>
    </w:p>
    <w:p w14:paraId="1E7EEE34" w14:textId="77777777" w:rsidR="00B74958" w:rsidRPr="00B74958" w:rsidRDefault="00B74958" w:rsidP="00B74958">
      <w:pPr>
        <w:tabs>
          <w:tab w:val="left" w:pos="708"/>
        </w:tabs>
        <w:spacing w:after="0" w:line="260" w:lineRule="atLeast"/>
        <w:ind w:left="6012"/>
        <w:jc w:val="right"/>
        <w:rPr>
          <w:rFonts w:ascii="Arial" w:eastAsia="Times New Roman" w:hAnsi="Arial" w:cs="Arial"/>
          <w:b/>
          <w:kern w:val="0"/>
          <w:sz w:val="20"/>
          <w:szCs w:val="20"/>
          <w14:ligatures w14:val="none"/>
        </w:rPr>
      </w:pPr>
      <w:bookmarkStart w:id="2" w:name="_Hlk180654372"/>
      <w:r w:rsidRPr="00B74958">
        <w:rPr>
          <w:rFonts w:ascii="Arial" w:eastAsia="Times New Roman" w:hAnsi="Arial" w:cs="Arial"/>
          <w:b/>
          <w:kern w:val="0"/>
          <w:sz w:val="20"/>
          <w:szCs w:val="20"/>
          <w14:ligatures w14:val="none"/>
        </w:rPr>
        <w:t>PREDLOG</w:t>
      </w:r>
    </w:p>
    <w:p w14:paraId="068505F1" w14:textId="77777777" w:rsidR="00B74958" w:rsidRPr="00B74958" w:rsidRDefault="00B74958" w:rsidP="00B74958">
      <w:pPr>
        <w:spacing w:after="0" w:line="260" w:lineRule="atLeast"/>
        <w:ind w:left="5664" w:firstLine="708"/>
        <w:rPr>
          <w:rFonts w:ascii="Arial" w:eastAsia="Times New Roman" w:hAnsi="Arial" w:cs="Arial"/>
          <w:kern w:val="0"/>
          <w:sz w:val="20"/>
          <w:szCs w:val="20"/>
          <w14:ligatures w14:val="none"/>
        </w:rPr>
      </w:pPr>
      <w:r w:rsidRPr="00B74958">
        <w:rPr>
          <w:rFonts w:ascii="Arial" w:eastAsia="Times New Roman" w:hAnsi="Arial" w:cs="Arial"/>
          <w:bCs/>
          <w:kern w:val="0"/>
          <w:sz w:val="20"/>
          <w:szCs w:val="20"/>
          <w14:ligatures w14:val="none"/>
        </w:rPr>
        <w:t>(</w:t>
      </w:r>
      <w:r w:rsidRPr="00B74958">
        <w:rPr>
          <w:rFonts w:ascii="Arial" w:eastAsia="Times New Roman" w:hAnsi="Arial" w:cs="Times New Roman"/>
          <w:bCs/>
          <w:kern w:val="0"/>
          <w:sz w:val="20"/>
          <w:szCs w:val="24"/>
          <w14:ligatures w14:val="none"/>
        </w:rPr>
        <w:t xml:space="preserve">EVA </w:t>
      </w:r>
      <w:r w:rsidRPr="00B74958">
        <w:rPr>
          <w:rFonts w:ascii="Arial" w:eastAsia="Times New Roman" w:hAnsi="Arial" w:cs="Arial"/>
          <w:kern w:val="0"/>
          <w:sz w:val="20"/>
          <w:szCs w:val="20"/>
          <w14:ligatures w14:val="none"/>
        </w:rPr>
        <w:t>2024-2570-0037)</w:t>
      </w:r>
    </w:p>
    <w:p w14:paraId="38419D7F" w14:textId="77777777" w:rsidR="00B74958" w:rsidRPr="00B74958" w:rsidRDefault="00B74958" w:rsidP="00B74958">
      <w:pPr>
        <w:spacing w:after="0" w:line="260" w:lineRule="atLeast"/>
        <w:rPr>
          <w:rFonts w:eastAsia="Times New Roman"/>
          <w:kern w:val="0"/>
          <w14:ligatures w14:val="none"/>
        </w:rPr>
      </w:pPr>
    </w:p>
    <w:p w14:paraId="4843D00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 podlagi šestega odstavka 24. člena, prvega odstavka 175. člena in devetega odstavka 232. člena Zakona o varstvu okolja (Uradni list RS, št. 44/22, 18/23 – ZDU-1O, 78/23 – ZUNPEOVE in 23/24) Vlada Republike Slovenije izdaja</w:t>
      </w:r>
    </w:p>
    <w:p w14:paraId="6C90E8F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E45798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A544CB8" w14:textId="77777777" w:rsidR="00B74958" w:rsidRPr="00B74958" w:rsidRDefault="00B74958" w:rsidP="00E6133C">
      <w:pPr>
        <w:tabs>
          <w:tab w:val="left" w:pos="708"/>
        </w:tabs>
        <w:spacing w:before="40" w:after="40" w:line="240" w:lineRule="auto"/>
        <w:jc w:val="center"/>
        <w:rPr>
          <w:rFonts w:ascii="Arial" w:eastAsia="Times New Roman" w:hAnsi="Arial" w:cs="Times New Roman"/>
          <w:b/>
          <w:bCs/>
          <w:kern w:val="0"/>
          <w:sz w:val="20"/>
          <w:szCs w:val="24"/>
          <w14:ligatures w14:val="none"/>
        </w:rPr>
      </w:pPr>
      <w:r w:rsidRPr="00B74958">
        <w:rPr>
          <w:rFonts w:ascii="Arial" w:eastAsia="Times New Roman" w:hAnsi="Arial" w:cs="Times New Roman"/>
          <w:b/>
          <w:bCs/>
          <w:kern w:val="0"/>
          <w:sz w:val="20"/>
          <w:szCs w:val="24"/>
          <w14:ligatures w14:val="none"/>
        </w:rPr>
        <w:t>UREDBO</w:t>
      </w:r>
    </w:p>
    <w:p w14:paraId="2F10016B" w14:textId="53F6A3DC" w:rsidR="00B74958" w:rsidRPr="00B74958" w:rsidRDefault="00B74958" w:rsidP="00E6133C">
      <w:pPr>
        <w:tabs>
          <w:tab w:val="left" w:pos="708"/>
        </w:tabs>
        <w:spacing w:before="40" w:after="40" w:line="240" w:lineRule="auto"/>
        <w:jc w:val="center"/>
        <w:rPr>
          <w:rFonts w:ascii="Arial" w:eastAsia="Times New Roman" w:hAnsi="Arial" w:cs="Times New Roman"/>
          <w:b/>
          <w:bCs/>
          <w:kern w:val="0"/>
          <w:sz w:val="20"/>
          <w:szCs w:val="24"/>
          <w14:ligatures w14:val="none"/>
        </w:rPr>
      </w:pPr>
      <w:r w:rsidRPr="00B74958">
        <w:rPr>
          <w:rFonts w:ascii="Arial" w:eastAsia="Times New Roman" w:hAnsi="Arial" w:cs="Times New Roman"/>
          <w:b/>
          <w:bCs/>
          <w:kern w:val="0"/>
          <w:sz w:val="20"/>
          <w:szCs w:val="24"/>
          <w14:ligatures w14:val="none"/>
        </w:rPr>
        <w:t>o opravljanju obvezne državne gospodarske javne službe</w:t>
      </w:r>
    </w:p>
    <w:p w14:paraId="14131FCB" w14:textId="37F9119A" w:rsidR="00B74958" w:rsidRPr="00B74958" w:rsidRDefault="00B74958" w:rsidP="00E6133C">
      <w:pPr>
        <w:tabs>
          <w:tab w:val="left" w:pos="708"/>
        </w:tabs>
        <w:spacing w:before="40" w:after="40" w:line="240" w:lineRule="auto"/>
        <w:jc w:val="center"/>
        <w:rPr>
          <w:rFonts w:ascii="Arial" w:eastAsia="Times New Roman" w:hAnsi="Arial" w:cs="Times New Roman"/>
          <w:b/>
          <w:bCs/>
          <w:kern w:val="0"/>
          <w:sz w:val="20"/>
          <w:szCs w:val="24"/>
          <w14:ligatures w14:val="none"/>
        </w:rPr>
      </w:pPr>
      <w:r w:rsidRPr="00B74958">
        <w:rPr>
          <w:rFonts w:ascii="Arial" w:eastAsia="Times New Roman" w:hAnsi="Arial" w:cs="Times New Roman"/>
          <w:b/>
          <w:bCs/>
          <w:kern w:val="0"/>
          <w:sz w:val="20"/>
          <w:szCs w:val="24"/>
          <w14:ligatures w14:val="none"/>
        </w:rPr>
        <w:t>sežiganja komunalnih odpadkov</w:t>
      </w:r>
    </w:p>
    <w:p w14:paraId="3CB771E2" w14:textId="77777777" w:rsidR="00B74958" w:rsidRPr="00B74958" w:rsidRDefault="00B74958" w:rsidP="00E6133C">
      <w:pPr>
        <w:tabs>
          <w:tab w:val="left" w:pos="708"/>
        </w:tabs>
        <w:spacing w:before="40" w:after="40" w:line="240" w:lineRule="auto"/>
        <w:jc w:val="center"/>
        <w:rPr>
          <w:rFonts w:ascii="Arial" w:eastAsia="Times New Roman" w:hAnsi="Arial" w:cs="Times New Roman"/>
          <w:b/>
          <w:bCs/>
          <w:kern w:val="0"/>
          <w:sz w:val="20"/>
          <w:szCs w:val="24"/>
          <w14:ligatures w14:val="none"/>
        </w:rPr>
      </w:pPr>
    </w:p>
    <w:p w14:paraId="6498BB5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I.</w:t>
      </w:r>
      <w:r w:rsidRPr="00B74958">
        <w:rPr>
          <w:rFonts w:ascii="Arial" w:eastAsia="Times New Roman" w:hAnsi="Arial" w:cs="Times New Roman"/>
          <w:kern w:val="0"/>
          <w:sz w:val="20"/>
          <w:szCs w:val="24"/>
          <w14:ligatures w14:val="none"/>
        </w:rPr>
        <w:tab/>
        <w:t>SPLOŠNE DOLOČBE</w:t>
      </w:r>
    </w:p>
    <w:p w14:paraId="525833C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CC72918"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w:t>
      </w:r>
      <w:r w:rsidRPr="00B74958">
        <w:rPr>
          <w:rFonts w:ascii="Arial" w:hAnsi="Arial"/>
          <w:b/>
          <w:kern w:val="0"/>
          <w:sz w:val="20"/>
          <w14:ligatures w14:val="none"/>
        </w:rPr>
        <w:tab/>
        <w:t>člen</w:t>
      </w:r>
    </w:p>
    <w:p w14:paraId="1F80425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(vsebina uredbe)</w:t>
      </w:r>
    </w:p>
    <w:p w14:paraId="167E5F3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917D0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S to uredbo se podrobneje predpisuje izvajanje obvezne državne gospodarske javne službe sežiganja komunalnih odpadkov (v nadaljnjem besedilu: državna javna služba), določa način njenega opravljanja, pogoje za zagotavljanje in uporabo njenih storitev, pravice in obveznosti uporabnikov, finančno jamstvo in druge pomembne elemente.</w:t>
      </w:r>
    </w:p>
    <w:p w14:paraId="7197000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8E83E0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Ta uredba je tudi koncesijski akt, s katerim se določijo predmet in pogoji za podelitev koncesije za izvajanje državne javne službe.</w:t>
      </w:r>
    </w:p>
    <w:p w14:paraId="10A011D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7DA597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S to uredbo se zasleduje cilje samozadostnosti Republike Slovenije glede zagotavljanja omrežja naprav za obdelavo komunalnih odpadkov ter doseganje ciljev v zvezi z recikliranjem in ponovno uporabo komunalnih odpadkov. Pri tem se zasleduje količino sežiga odpadkov z oksidacijo ali z drugimi postopki toplotne obdelave v povprečju okoli 161.000 ton letno  do leta 2035.</w:t>
      </w:r>
    </w:p>
    <w:p w14:paraId="3EA853E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AA7749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w:t>
      </w:r>
      <w:r w:rsidRPr="00B74958">
        <w:rPr>
          <w:rFonts w:ascii="Arial" w:hAnsi="Arial"/>
          <w:b/>
          <w:kern w:val="0"/>
          <w:sz w:val="20"/>
          <w14:ligatures w14:val="none"/>
        </w:rPr>
        <w:tab/>
        <w:t>člen</w:t>
      </w:r>
    </w:p>
    <w:p w14:paraId="652FF2F5"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(predmet državne javne službe)</w:t>
      </w:r>
    </w:p>
    <w:p w14:paraId="7B888CB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08C833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Predmet državne javne službe je sežiganje gorljivih komunalnih odpadkov oziroma njihovih sestavin, ki izpolnjujejo naslednje pogoje:</w:t>
      </w:r>
    </w:p>
    <w:p w14:paraId="6993546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nastale so  z mehansko obdelavo komunalnih odpadkov, ki so zbrani od izvornih povzročiteljev komunalnih odpadkov v okviru izvajanja storitev obvezne občinske gospodarske javne službe zbiranje določenih vrst komunalnih odpadkov;</w:t>
      </w:r>
    </w:p>
    <w:p w14:paraId="541A222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nastale so na območju Republike Slovenije; </w:t>
      </w:r>
    </w:p>
    <w:p w14:paraId="099CFC2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niso primerne za oddajo v recikliranje ali za oddajo v pripravo za ponovno uporabo;</w:t>
      </w:r>
    </w:p>
    <w:p w14:paraId="668115D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razvrščajo se med gorljive odpadke s številko 19 12 10 ali med druge odpadke s številko 19 12 12, ki so gorljivi in jih zaradi prevelike kurilne vrednosti (več kot 6.000 KJ/kg suhe snovi) ni dovoljeno odlagati v skladu s predpisi, ki urejajo odlagališča odpadkov;</w:t>
      </w:r>
    </w:p>
    <w:p w14:paraId="012EC3A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nastale so po mehanski obdelavi naslednjih vrst komunalnih odpadkov:</w:t>
      </w:r>
    </w:p>
    <w:p w14:paraId="7A139CA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r>
      <w:r w:rsidRPr="00B74958">
        <w:rPr>
          <w:rFonts w:ascii="Arial" w:eastAsia="Times New Roman" w:hAnsi="Arial" w:cs="Times New Roman"/>
          <w:kern w:val="0"/>
          <w:sz w:val="20"/>
          <w:szCs w:val="24"/>
          <w14:ligatures w14:val="none"/>
        </w:rPr>
        <w:tab/>
        <w:t>a) mešanih komunalnih odpadkov s številko 20 03 01;</w:t>
      </w:r>
    </w:p>
    <w:p w14:paraId="5D6D901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r>
      <w:r w:rsidRPr="00B74958">
        <w:rPr>
          <w:rFonts w:ascii="Arial" w:eastAsia="Times New Roman" w:hAnsi="Arial" w:cs="Times New Roman"/>
          <w:kern w:val="0"/>
          <w:sz w:val="20"/>
          <w:szCs w:val="24"/>
          <w14:ligatures w14:val="none"/>
        </w:rPr>
        <w:tab/>
        <w:t>b) kosovnih odpadkov s številko 20 03 07;</w:t>
      </w:r>
    </w:p>
    <w:p w14:paraId="4F3E2E4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c) ločeno zbranega papirja, kartona in lepenke s številko 20 01 01;</w:t>
      </w:r>
    </w:p>
    <w:p w14:paraId="1F833FA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č) ločeno zbrane plastike s številko 20 01 39;</w:t>
      </w:r>
    </w:p>
    <w:p w14:paraId="092DB0E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 ločeno zbranega lesa s številko 20 01 38;</w:t>
      </w:r>
    </w:p>
    <w:p w14:paraId="38E943F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e) ločeno zbranega tekstila s številko 20 01 11.</w:t>
      </w:r>
    </w:p>
    <w:p w14:paraId="67E1730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F07EAD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Poleg storitev državne javne službe se v sežigalnicah, v katerih se izvaja ta služba, lahko opravljajo tudi posebne storitve pod pogoji, ki jih določa ta uredba. </w:t>
      </w:r>
    </w:p>
    <w:p w14:paraId="7DC9965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9989B8F"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w:t>
      </w:r>
      <w:r w:rsidRPr="00B74958">
        <w:rPr>
          <w:rFonts w:ascii="Arial" w:hAnsi="Arial"/>
          <w:b/>
          <w:kern w:val="0"/>
          <w:sz w:val="20"/>
          <w14:ligatures w14:val="none"/>
        </w:rPr>
        <w:tab/>
        <w:t>člen</w:t>
      </w:r>
    </w:p>
    <w:p w14:paraId="2E9499C9"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(izrazi)</w:t>
      </w:r>
    </w:p>
    <w:p w14:paraId="15DC8FE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9889F1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Izrazi, uporabljeni v tej uredbi, pomenijo:</w:t>
      </w:r>
    </w:p>
    <w:p w14:paraId="194C85A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7B0566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komunalni odpadki so vsi odpadki, ki so prevzeti od izvornih povzročiteljev odpadkov na območju Republike Slovenije in se razvrščajo v skupino odpadkov s številko 20 ali v podskupino odpadkov s številko 15 01, razen odpadkov s številkami 20 02 02, 20 03 04 in 20 03 06.</w:t>
      </w:r>
    </w:p>
    <w:p w14:paraId="32EE5A4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mešani komunalni odpadki so komunalni odpadki s številko 20 03 01, pri čemer se: </w:t>
      </w:r>
    </w:p>
    <w:p w14:paraId="7D09E82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njihova sestava nanaša na sestavo, ki se v skladu s predpisom, ki ureja obvezno občinsko gospodarsko javno službo zbiranja komunalnih odpadkov, ugotavlja s sortirno analizo v okviru izvajanja storitev obvezne občinske gospodarske javne službe zbiranje določenih vrst komunalnih odpadkov (v nadaljnjem besedilu: javna služba zbiranja), </w:t>
      </w:r>
    </w:p>
    <w:p w14:paraId="001BE6E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njihova letna količina nanaša na letno količino mešanih komunalnih odpadkov, iz katerih so v okviru mehanske obdelave mešanih komunalnih odpadkov pred postopkom odstranjevanja z oznako D8 izločene reciklabilne sestavine.</w:t>
      </w:r>
    </w:p>
    <w:p w14:paraId="4975F16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mehanska obdelava komunalnih odpadkov sta: </w:t>
      </w:r>
    </w:p>
    <w:p w14:paraId="4CB9D85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postopek predelave z oznako R12 ločeno zbranih frakcij komunalnih odpadkov iz podskupine s številko 20 01, embalaže iz podskupine s številko 15 01 in kosovnih odpadkov s številko 20 03 07, ki pomeni razgradnjo, razvrščanje, drobljenje, stiskanje, peletiranje, sušenje, mletje, kondicioniranje, ponovno pakiranje, ločevanje, spajanje ali mešanje odpadkov pred njihovo oddajo v recikliranje ali v pripravo za ponovno uporabo, in</w:t>
      </w:r>
    </w:p>
    <w:p w14:paraId="10ACD85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postopek odstranjevanja z oznako D13 mešanih komunalnih odpadkov s številko 20 03 01, ki je predhodni postopek pred obdelavo mešanih komunalnih odpadkov s postopkom odstranjevanja z oznako D8 in vključuje razvrščanje, drobljenje, sušenje, mletje, kondicioniranje ali ločevanje z namenom izločanja reciklabilnih ter gorljivih sestavin iz mešanih komunalnih odpadkov.</w:t>
      </w:r>
    </w:p>
    <w:p w14:paraId="51F3986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sežiganje komunalnih odpadkov je uporaba gorljivih sestavin komunalnih odpadkov kot gorivo v sežigalnici odpadkov (v nadaljnjem besedilu: sežigalnica), če je sežigalnica sestavni del energetske infrastrukture v skladu z zakonom, ki ureja energetiko,</w:t>
      </w:r>
    </w:p>
    <w:p w14:paraId="092AA6B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sežigalnica je:</w:t>
      </w:r>
    </w:p>
    <w:p w14:paraId="444AD1F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tehnična enota in oprema, namenjena toplotni obdelavi odpadkov z izkoriščanjem pridobljene zgorevalne toplote ali brez njega, s sežigom z oksidacijo odpadkov in drugimi postopki toplotne obdelave, kot so piroliza, uplinjanje ali obdelava v plazmi, če se snovi, ki nastanejo pri obdelavi, naknadno sežgejo, ali</w:t>
      </w:r>
    </w:p>
    <w:p w14:paraId="0566950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tehnična enota in oprema za sosežig odpadkov, katere glavni namen je proizvodnja energije in ki uporablja odpadke kot običajno ali dodatno gorivo ali v kateri se odpadki termično obdelajo s sežigom z oksidacijo odpadkov in drugimi postopki toplotne obdelave, kot so piroliza, uplinjanje ali obdelava v plazmi, če se snovi, ki nastanejo pri obdelavi, naknadno sežgejo.</w:t>
      </w:r>
    </w:p>
    <w:p w14:paraId="4B6FF74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ostanki sežiga gorljivih komunalnih odpadkov so odpadki, ki v skladu s Sklepom Komisije 2014/955/EU z dne 18. decembra 2014 o spremembi Odločbe Komisije 2000/532/ES o seznamu odpadkov v skladu z Direktivo 2008/98/ES Evropskega parlamenta in Sveta (UL L št. 370 z dne 30.12.2014, str. 44) spadajo v skupino odpadkov iz podpoglavja 19 01.</w:t>
      </w:r>
    </w:p>
    <w:p w14:paraId="216E081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uporabniki storitev državne javne službe so:</w:t>
      </w:r>
    </w:p>
    <w:p w14:paraId="1538C45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izvajalci mehanske obdelave mešanih komunalnih odpadkov s številko 20 03 01 pred odlaganjem na odlagališču, ki v okviru storitev obvezne občinske gospodarske javne službe obdelave določenih vrst komunalnih odpadkov mehansko obdeluje te komunalne odpadke, prevzete od izvajalca javne službe zbiranja ali neposredno od izvornega povzročitelja teh odpadkov, in</w:t>
      </w:r>
    </w:p>
    <w:p w14:paraId="3DD094E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izvajalci mehanske obdelave preostalih komunalnih odpadkov iz 1. točke  tega odstavka, ki so bili prevzeti v mehansko obdelavo od izvajalca javne službe zbiranja ali neposredno od izvornega povzročitelja teh odpadkov.</w:t>
      </w:r>
    </w:p>
    <w:p w14:paraId="05EDE36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 predvidena letna količina gorljivih sestavin komunalnih odpadkov je količina komunalnih odpadkov, ki je ob podpisu pogodbe o uporabi storitev državne javne službe določena kot največja letna količina komunalnih odpadkov v času podpisa te pogodbe in za katero je predvideno, da se bo v času obratovanja sežigalnice zmanjševala zaradi ukrepov preprečevanja nastajanja komunalnih odpadkov ali povečevanja deleža komunalnih odpadkov, ki jih je mogoče ponovno uporabiti ali reciklirati.</w:t>
      </w:r>
    </w:p>
    <w:p w14:paraId="123891D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9. posebne storitve so storitve:</w:t>
      </w:r>
    </w:p>
    <w:p w14:paraId="1F3FFF9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sežiganja gorljivih komunalnih odpadkov  ki nastanejo z mehansko obdelavo ločeno zbrane odpadne embalaže iz podskupine odpadkov s številko 15 01, ki je nastala na območju Republike Slovenije in</w:t>
      </w:r>
    </w:p>
    <w:p w14:paraId="753DCBF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sežiganja blat komunalnih čistilnih naprav s številko 19 08 05, ki so nastala na območju Republike Slovenije.</w:t>
      </w:r>
    </w:p>
    <w:p w14:paraId="5EC71A8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Te storitve se ob soglasju koncedenta lahko izvajajo na infrastrukturi, namenjeni izvajanju državne javne službe, vendar niso storitve te službe. </w:t>
      </w:r>
    </w:p>
    <w:p w14:paraId="1751655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10. izvajalec javne službe je koncesionar, ki je bil izbran v konkurenčnem postopku</w:t>
      </w:r>
    </w:p>
    <w:p w14:paraId="28A897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6D0FF4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Drugi izrazi, uporabljeni v tej uredbi, imajo enak pomen, kot ga določajo zakon, ki ureja varstvo okolja, zakon, ki ureja gospodarske javne službe, zakon, ki ureja javno-zasebno partnerstvo, in zakon, ki ureja nekatere koncesijske pogodbe, in na njihovi podlagi sprejeti predpisi.</w:t>
      </w:r>
    </w:p>
    <w:p w14:paraId="7ADF13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AEF75E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F8AB639"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w:t>
      </w:r>
      <w:r w:rsidRPr="00B74958">
        <w:rPr>
          <w:rFonts w:ascii="Arial" w:hAnsi="Arial"/>
          <w:b/>
          <w:kern w:val="0"/>
          <w:sz w:val="20"/>
          <w14:ligatures w14:val="none"/>
        </w:rPr>
        <w:tab/>
        <w:t>člen</w:t>
      </w:r>
    </w:p>
    <w:p w14:paraId="777D6EF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(uporaba predpisov)</w:t>
      </w:r>
    </w:p>
    <w:p w14:paraId="2217C84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56B736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Za vprašanja v zvezi z izvajanjem državne javne službe, ki niso urejena s to uredbo, se uporabljajo določbe predpisov, ki urejajo varstvo okolja, predpisov, ki urejajo gospodarske javne službe, predpisov, ki urejajo javno-zasebno partnerstvo, in predpisov, ki ureja nekatere koncesijske pogodbe. </w:t>
      </w:r>
    </w:p>
    <w:p w14:paraId="0637434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11D0D9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29EBA3D" w14:textId="77777777" w:rsidR="00B74958" w:rsidRPr="00B74958" w:rsidRDefault="00B74958" w:rsidP="00B74958">
      <w:pPr>
        <w:suppressAutoHyphens/>
        <w:overflowPunct w:val="0"/>
        <w:autoSpaceDE w:val="0"/>
        <w:autoSpaceDN w:val="0"/>
        <w:adjustRightInd w:val="0"/>
        <w:spacing w:before="360" w:after="60" w:line="200" w:lineRule="exact"/>
        <w:jc w:val="center"/>
        <w:textAlignment w:val="baseline"/>
        <w:outlineLvl w:val="3"/>
        <w:rPr>
          <w:rFonts w:ascii="Arial" w:eastAsia="Times New Roman" w:hAnsi="Arial" w:cs="Arial"/>
          <w:kern w:val="0"/>
          <w:lang w:eastAsia="sl-SI"/>
          <w14:ligatures w14:val="none"/>
        </w:rPr>
      </w:pPr>
      <w:r w:rsidRPr="00B74958">
        <w:rPr>
          <w:rFonts w:ascii="Arial" w:eastAsia="Times New Roman" w:hAnsi="Arial" w:cs="Arial"/>
          <w:kern w:val="0"/>
          <w:lang w:eastAsia="sl-SI"/>
          <w14:ligatures w14:val="none"/>
        </w:rPr>
        <w:t>II</w:t>
      </w:r>
      <w:r w:rsidRPr="00B74958">
        <w:rPr>
          <w:rFonts w:ascii="Arial" w:eastAsia="Times New Roman" w:hAnsi="Arial" w:cs="Arial"/>
          <w:kern w:val="0"/>
          <w:lang w:eastAsia="sl-SI"/>
          <w14:ligatures w14:val="none"/>
        </w:rPr>
        <w:tab/>
        <w:t>OPRAVLJANJE DRŽAVNE JAVNE SLUŽBE</w:t>
      </w:r>
    </w:p>
    <w:p w14:paraId="3E5B76F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5F00CDE"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1.</w:t>
      </w:r>
      <w:r w:rsidRPr="00B74958">
        <w:rPr>
          <w:rFonts w:ascii="Arial" w:eastAsia="Times New Roman" w:hAnsi="Arial" w:cs="Times New Roman"/>
          <w:kern w:val="0"/>
          <w:sz w:val="20"/>
          <w14:ligatures w14:val="none"/>
        </w:rPr>
        <w:tab/>
        <w:t>Organizacijska in prostorska zasnova opravljanja državne javne službe</w:t>
      </w:r>
    </w:p>
    <w:p w14:paraId="752A7564"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p>
    <w:p w14:paraId="78E667DF"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w:t>
      </w:r>
      <w:r w:rsidRPr="00B74958">
        <w:rPr>
          <w:rFonts w:ascii="Arial" w:hAnsi="Arial"/>
          <w:b/>
          <w:kern w:val="0"/>
          <w:sz w:val="20"/>
          <w14:ligatures w14:val="none"/>
        </w:rPr>
        <w:tab/>
        <w:t>člen</w:t>
      </w:r>
    </w:p>
    <w:p w14:paraId="3A2BE19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(oblika zagotavljanja državne javne službe)</w:t>
      </w:r>
    </w:p>
    <w:p w14:paraId="407ABA1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F41184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Državna javna služba se opravlja kot koncesionirana gospodarska javna služba.</w:t>
      </w:r>
    </w:p>
    <w:p w14:paraId="3F4E6B6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E7A82E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Območja izvajanja državne javne službe so naslednja tri območja, v katera se uvrščajo občine, kjer so zbrani komunalni odpadki iz 2. člena te uredbe v okviru izvajanja storitev javne službe zbiranja (v nadaljnjem besedilu: območje izvajanja državne javne službe):</w:t>
      </w:r>
    </w:p>
    <w:p w14:paraId="7CFC3B1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372FDF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območje izvajanja državne javne službe: občine Osrednjeslovenske, Gorenjske, Goriške, Obalno-kraško, Primorsko-notranjske, Posavske in Zasavske statistične regije ter statistične regije Jugovzhodna Slovenija,</w:t>
      </w:r>
    </w:p>
    <w:p w14:paraId="1D87258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območje izvajanja državne javne službe: občine Savinjsko statistične regije in </w:t>
      </w:r>
    </w:p>
    <w:p w14:paraId="64B7C30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območje izvajanja državne javne službe: občine Koroške, Podravske in Pomurske statistične regije. </w:t>
      </w:r>
    </w:p>
    <w:p w14:paraId="78C1973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5D40C1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Storitve državne javne službe se lahko izvajajo samo v sežigalnicah, ki v skladu z Direktivo 2008/98/ES Evropskega parlamenta in Sveta z dne 19. novembra 2008 o odpadkih in razveljavitvi nekaterih direktiv (UL L št. 312 z dne 22.11.2008, str. 3), zadnjič spremenjeno z Uredbo (EU) 2023/1542 Evropskega parlamenta in Sveta z dne 12. julija 2023 o baterijah in odpadnih baterijah, spremembi Direktive 2008/98/ES in Uredbe (EU) 2019/1020 ter razveljavitvi Direktive 2006/66/ES (UL L št. 191 z dne 28.7.2023, str.1), izpolnjujejo vse pogoje, da se postopek sežiganja gorljivih sestavin komunalnih odpadkov uvršča med postopke predelave odpadkov R1 »Uporaba predvsem kot gorivo ali drugače za pridobivanje energije«.</w:t>
      </w:r>
    </w:p>
    <w:p w14:paraId="22E10E8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w:t>
      </w:r>
    </w:p>
    <w:p w14:paraId="2EF7E72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w:t>
      </w:r>
      <w:r w:rsidRPr="00B74958">
        <w:rPr>
          <w:rFonts w:ascii="Arial" w:hAnsi="Arial"/>
          <w:b/>
          <w:kern w:val="0"/>
          <w:sz w:val="20"/>
          <w14:ligatures w14:val="none"/>
        </w:rPr>
        <w:tab/>
        <w:t>člen</w:t>
      </w:r>
    </w:p>
    <w:p w14:paraId="776C8CC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(največja letna količina sežiganja gorljivih sestavin v okviru državne javne službe)</w:t>
      </w:r>
    </w:p>
    <w:p w14:paraId="1A61898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AE6EFB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Način izračuna največje letne količine gorljivih sestavin, ki nastajajo po mehanski obdelavi  komunalnih odpadkov ter se jih lahko sežge v okviru storitev državne javne službe in v okviru posebnih storitev, so za posamezne vrste komunalnih odpadkov določene v Prilogi 1, ki je sestavni del te uredbe.</w:t>
      </w:r>
    </w:p>
    <w:p w14:paraId="7887253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3AC3BE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w:t>
      </w:r>
      <w:bookmarkStart w:id="3" w:name="_Hlk180651641"/>
      <w:r w:rsidRPr="00B74958">
        <w:rPr>
          <w:rFonts w:ascii="Arial" w:eastAsia="Times New Roman" w:hAnsi="Arial" w:cs="Times New Roman"/>
          <w:kern w:val="0"/>
          <w:sz w:val="20"/>
          <w:szCs w:val="24"/>
          <w14:ligatures w14:val="none"/>
        </w:rPr>
        <w:t>Največja letna količina gorljivih komunalnih odpadkov iz prejšnjega odstavka se za posamezno območje izvajanja državne javne službe določi iz največje letne količine gorljivih sestavin za celotno ozemlje Republike Slovenije glede na delež prebivalcev, ki imajo stalno prebivališče v posameznem območju izvajanja državne javne službe</w:t>
      </w:r>
      <w:bookmarkEnd w:id="3"/>
      <w:r w:rsidRPr="00B74958">
        <w:rPr>
          <w:rFonts w:ascii="Arial" w:eastAsia="Times New Roman" w:hAnsi="Arial" w:cs="Times New Roman"/>
          <w:kern w:val="0"/>
          <w:sz w:val="20"/>
          <w:szCs w:val="24"/>
          <w14:ligatures w14:val="none"/>
        </w:rPr>
        <w:t>.</w:t>
      </w:r>
    </w:p>
    <w:p w14:paraId="3182BCF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F977A6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Izvajalec državne javne službe prosto zmogljivost infrastrukture za izvajanje državne javne službe lahko uporabi le za opravljanje posebne storitve, ki jih na infrastrukturi izvaja le v soglasju s koncedentom. Največjo količino izvajanja posebnih storitev izvajalcu javne službe določi koncendent v tekočem letu za prihodnje leto na prošnjo koncesionarja, kar se navede tudi v koncesijski pogodbi. </w:t>
      </w:r>
    </w:p>
    <w:p w14:paraId="713F061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w:t>
      </w:r>
    </w:p>
    <w:p w14:paraId="19D8E62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(4) Uporabnik storitev državne javne službe mora začeti oddajati gorljive sestavine komunalnih odpadkov iz 2. člena te uredbe  posameznim izvajalcem državne javne službe v sorazmernem deležu glede na prevzete komunalne odpadke iz posameznih območij izvajanja državne javne službe, kar se navede tudi v pogodbi iz 22. člena te uredbe. </w:t>
      </w:r>
    </w:p>
    <w:p w14:paraId="3101A17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69BF00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(5) Podatke o največjih letnih količinah gorljivih sestavin iz prvega in drugega odstavka tega člena po posameznih območjih izvajanja državne javne službe ter delež oddaje v recikliranje ali v pripravo za ponovno uporabo ločeno zbranih odpadkov iz plastike iz Priloge 1 te uredbe objavi ministrstvo, pristojno za okolje (v nadaljnjem besedilu: ministrstvo), na svojih spletnih straneh do 1. oktobra v tekočem koledarskem letu za prihodnje koledarsko leto.  Izhodiščno leto za modelni izračun scenarijev razvoja ravnanja s komunalnimi odpadki ne sme biti starejše od treh let. Ministrstvo do 1. oktobra v tekočem koledarskem letu na tabelah iz Priloge 2, ki je sestavni del te uredbe, objavi tudi informacijo o predvidenih največjih količinah gorljivih sestavin za 10-letno obdobje po tekočem koledarskem letu, ter podatke o predvidenem izpolnjevanju ciljev recikliranja odpadkov, ki se nanašajo na komunalne odpadke. </w:t>
      </w:r>
    </w:p>
    <w:p w14:paraId="475507C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4191E9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(6) Storitve državne javne službe se izvajajo v sežigalnicah, pri čemer koncedent ni zavezan zagotoviti predvidenih količin odpadkov iz tretjega odstavka 1. člena te uredbe niti ni kakorkoli odgovoren v primeru, da pride do odstopanj količin gorljivih sestavin komunalnih odpadkov, kar se navede v koncesijski pogodbi. Skupna kapaciteta naprav namenjena izavjanju  storitev državne javne službe ne presega 161.000 t. </w:t>
      </w:r>
    </w:p>
    <w:p w14:paraId="72B7358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98DA8D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Uporabnik državne javne službe mora začeti oddajati gorljive sestavine, ki nastanejo po mehanski obdelavi komunalnih odpadkov, izvajalcu državne javne službe po začetku izvajanja storitev državne javne službe na posameznem območju.</w:t>
      </w:r>
    </w:p>
    <w:p w14:paraId="4A92A1C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6547A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(8) V koncesijski pogodbi se navede, da objava največjih letnih količin gorljivih sestavin po petem odstavku tega člena hkrati predstavlja največjo količino gorljivih komunalnih odpadkov, ki se lahko sežgejo po posameznih območjih pri izvajalcih državne javne službe sežiga komunalnih odpadkov in pri drugih izvajalcih sežiga komunalnih odpadkov. </w:t>
      </w:r>
    </w:p>
    <w:p w14:paraId="21DCFD2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5E7B22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(9) Koncesionar do 1. novembra tekočega leta za prihodnje leto določi največjo količino gorljivih komunalnih odpadkov za prihodnje leto po posameznih območjih izvajanja državne javne službe, ki jih lahko kot izvajalec državne javne službe sežge na podlagi objave največjih letnih količin gorljivih sestavin po petem odstavku tega člena in ob upoštevanju razpoložljivih podatkov o količinah gorljivih komunalnih odpadkov, ki se sežigajo pri drugih izvajalcih sežiga komunalnih odpadkov, kar se navede tudi v koncesijski pogodbi.</w:t>
      </w:r>
    </w:p>
    <w:p w14:paraId="14A97F5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587274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CFA1C70"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2.</w:t>
      </w:r>
      <w:r w:rsidRPr="00B74958">
        <w:rPr>
          <w:rFonts w:ascii="Arial" w:eastAsia="Times New Roman" w:hAnsi="Arial" w:cs="Times New Roman"/>
          <w:kern w:val="0"/>
          <w:sz w:val="20"/>
          <w14:ligatures w14:val="none"/>
        </w:rPr>
        <w:tab/>
        <w:t>Vrsta storitev državne javne službe</w:t>
      </w:r>
    </w:p>
    <w:p w14:paraId="5221F27E"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p>
    <w:p w14:paraId="7B60A4B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7.</w:t>
      </w:r>
      <w:r w:rsidRPr="00B74958">
        <w:rPr>
          <w:rFonts w:ascii="Arial" w:hAnsi="Arial"/>
          <w:b/>
          <w:kern w:val="0"/>
          <w:sz w:val="20"/>
          <w14:ligatures w14:val="none"/>
        </w:rPr>
        <w:tab/>
        <w:t>člen</w:t>
      </w:r>
    </w:p>
    <w:p w14:paraId="459BCB4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(storitve državne javne službe)</w:t>
      </w:r>
    </w:p>
    <w:p w14:paraId="04D1879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54C1CF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Državna javna služba obsega naslednje storitve:</w:t>
      </w:r>
    </w:p>
    <w:p w14:paraId="04006A3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sprejem gorljivih komunalnih odpadkov;</w:t>
      </w:r>
    </w:p>
    <w:p w14:paraId="1EF810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skladiščenje gorljivih  komunalnih odpadkov na območju sežigalnice; </w:t>
      </w:r>
    </w:p>
    <w:p w14:paraId="2DAF515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predobdelavo gorljivih  komunalnih odpadkov na območju sežigalnice, če je ta potrebna;</w:t>
      </w:r>
    </w:p>
    <w:p w14:paraId="39D00AE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varen, zanesljiv in energetsko učinkovit sežig gorljivih komunalnih odpadkov v sežigalnici v skladu z izvedbenim sklepom komisije (EU) 2019/2010) z dne 12. novembra 2019</w:t>
      </w:r>
    </w:p>
    <w:p w14:paraId="7D3F6F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o določitvi zaključkov o najboljših razpoložljivih tehnikah (v nadaljnjem besedilu: BAT) za sežiganje odpadkov na podlagi Direktive 2010/75/EU Evropskega parlamenta in Sveta z dne 24. novembra 2010 o industrijskih emisijah (celovito preprečevanje in nadzorovanje onesnaževanja) (UL L št. 334 z dne 17.12.2010, str. 17), zadnjič popravljene s Popravkom (UL L št. 158 z dne19.6.2012, str. 25)  in referenčnim dokumentom o BAT, ki ureja sežiganje odpadkov;</w:t>
      </w:r>
    </w:p>
    <w:p w14:paraId="059605D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5. zagotavljanje obdelave ostankov sežiga gorljivih komunalnih odpadkov; </w:t>
      </w:r>
    </w:p>
    <w:p w14:paraId="676B21B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obveščanje javnosti in uporabnikov o izvajanju državne javne službe ter</w:t>
      </w:r>
    </w:p>
    <w:p w14:paraId="13FA033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7. vzdrževanje infrastrukture, potrebne za izvajanje državne javne službe. </w:t>
      </w:r>
    </w:p>
    <w:p w14:paraId="795A074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DD5444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Gorljive komunalne odpadke, ki nastanejo po njihovi mehanski obdelavi, je uporabnik državne javne službe dolžan oddati izvajalcu državne javne službe. </w:t>
      </w:r>
    </w:p>
    <w:p w14:paraId="49A7F3A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B3A8A62"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3.</w:t>
      </w:r>
      <w:r w:rsidRPr="00B74958">
        <w:rPr>
          <w:rFonts w:ascii="Arial" w:eastAsia="Times New Roman" w:hAnsi="Arial" w:cs="Times New Roman"/>
          <w:kern w:val="0"/>
          <w:sz w:val="20"/>
          <w14:ligatures w14:val="none"/>
        </w:rPr>
        <w:tab/>
        <w:t>Pravila izvajanja državne javne službe</w:t>
      </w:r>
    </w:p>
    <w:p w14:paraId="1FDBA7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8A62739"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8.</w:t>
      </w:r>
      <w:r w:rsidRPr="00B74958">
        <w:rPr>
          <w:rFonts w:ascii="Arial" w:hAnsi="Arial"/>
          <w:b/>
          <w:kern w:val="0"/>
          <w:sz w:val="20"/>
          <w14:ligatures w14:val="none"/>
        </w:rPr>
        <w:tab/>
        <w:t>člen</w:t>
      </w:r>
    </w:p>
    <w:p w14:paraId="293B97F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(pravila izvajanja državne javne službe)</w:t>
      </w:r>
    </w:p>
    <w:p w14:paraId="6E40B10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42D4F18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E43801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Obveznosti izvajalca državne javne službe so:</w:t>
      </w:r>
    </w:p>
    <w:p w14:paraId="7E96ED3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zagotoviti mora, da se državna javna služba izvaja kontinuirano in da se prevzeti gorljivi komunalni odpadki sežigajo redno in brez zastojev, ki bi povzročili njihovo kopičenje; </w:t>
      </w:r>
    </w:p>
    <w:p w14:paraId="7F16590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v času izvajanja državne javne službe mora zagotavljati čim višjo energetsko učinkovitost sežigalnice na način, da je zagotovljena predelava po postopku R1;</w:t>
      </w:r>
    </w:p>
    <w:p w14:paraId="17622E7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o morebitnih zastojih zaradi okvar ali nezmožnosti zagotavljanja izvajanja državne javne službe mora v najkrajšem možnem času oziroma najkasneje v 48 urah od nastanka zastoja ali nezmožnosti zagotavljanja storitev obvestiti ministrstvo, uporabnike storitev državne javne službe in lokalno skupnost, na območju katere se sežigalnica nahaja; </w:t>
      </w:r>
    </w:p>
    <w:p w14:paraId="2C9E869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o načrtovanem rednem ali izrednem vzdrževanju sežigalnice se mora uskladiti z uporabniki storitev državne javne službe ter o tem obvestiti ministrstvo, inšpekcijo, pristojno za okolje, in lokalno skupnost, na območju katere se sežigalnica nahaja, ter informacijo objaviti na svoji spletni strani;</w:t>
      </w:r>
    </w:p>
    <w:p w14:paraId="589E417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zagotavljati mora površine za procesno skladiščenje in predobdelavo gorljivih komunalnih odpadkov na lokaciji sežigalnice: zagotovljena  morajo biti zaščita gorljivih komunalnih odpadkov pred vremenskimi vplivi in omogočeno skladiščenje in predobdelava najmanj tiste količine gorljivih komunalnih odpadkov, ki jih lahko izvajalec državne javne službe sežge v petih dneh, ob upoštevanju nazivne zmogljivosti sežigalnice;</w:t>
      </w:r>
    </w:p>
    <w:p w14:paraId="4A437B8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ob prevzemu gorljivih komunalnih odpadkov mora opraviti njihovo tehtanje in vizualni pregled njihove istovetnosti glede na vrsto in količino. Če komunalni odpadki ne izpolnjujejo pogojev iz 2. člena te uredbe, izvajalec državne javne službe te odpadke zavrne;</w:t>
      </w:r>
    </w:p>
    <w:p w14:paraId="19E6D47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za ostanke sežiga gorljivih komunalnih odpadkov mora zagotoviti predelavo, če to ni mogoče, pa njihovo odstranitev, v skladu s predpisom, ki ureja ravnanje z odpadki.</w:t>
      </w:r>
    </w:p>
    <w:p w14:paraId="4770CA3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D099D2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4DEDBD4"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4.</w:t>
      </w:r>
      <w:r w:rsidRPr="00B74958">
        <w:rPr>
          <w:rFonts w:ascii="Arial" w:eastAsia="Times New Roman" w:hAnsi="Arial" w:cs="Times New Roman"/>
          <w:kern w:val="0"/>
          <w:sz w:val="20"/>
          <w14:ligatures w14:val="none"/>
        </w:rPr>
        <w:tab/>
        <w:t>Status naprav, potrebnih za izvajanje državne javne službe</w:t>
      </w:r>
    </w:p>
    <w:p w14:paraId="74A414C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5BD078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9.</w:t>
      </w:r>
      <w:r w:rsidRPr="00B74958">
        <w:rPr>
          <w:rFonts w:ascii="Arial" w:hAnsi="Arial"/>
          <w:b/>
          <w:kern w:val="0"/>
          <w:sz w:val="20"/>
          <w14:ligatures w14:val="none"/>
        </w:rPr>
        <w:tab/>
        <w:t>člen</w:t>
      </w:r>
    </w:p>
    <w:p w14:paraId="4FD7AB8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(infrastruktura državnega pomena)</w:t>
      </w:r>
    </w:p>
    <w:p w14:paraId="1FDC24D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B7D70C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Objekti in naprave sežigalnice imajo status infrastrukture državnega pomena za čas izvajanja državne javne službe.</w:t>
      </w:r>
    </w:p>
    <w:p w14:paraId="765BFF4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25DD642"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 xml:space="preserve">5. </w:t>
      </w:r>
      <w:r w:rsidRPr="00B74958">
        <w:rPr>
          <w:rFonts w:ascii="Arial" w:eastAsia="Times New Roman" w:hAnsi="Arial" w:cs="Times New Roman"/>
          <w:kern w:val="0"/>
          <w:sz w:val="20"/>
          <w14:ligatures w14:val="none"/>
        </w:rPr>
        <w:tab/>
        <w:t>Pravila ravnanja za uporabnike storitev državne javne službe</w:t>
      </w:r>
    </w:p>
    <w:p w14:paraId="24F17F1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10.</w:t>
      </w:r>
      <w:r w:rsidRPr="00B74958">
        <w:rPr>
          <w:rFonts w:ascii="Arial" w:hAnsi="Arial"/>
          <w:b/>
          <w:kern w:val="0"/>
          <w:sz w:val="20"/>
          <w14:ligatures w14:val="none"/>
        </w:rPr>
        <w:tab/>
        <w:t xml:space="preserve"> člen</w:t>
      </w:r>
    </w:p>
    <w:p w14:paraId="5FA64CE8"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(pravila ravnanja za uporabnike storitev državne javne službe)</w:t>
      </w:r>
    </w:p>
    <w:p w14:paraId="09E1442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200B79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Uporaba storitev državne javne službe je v skladu s 6. členom te uredbe obvezna za vse uporabnike storitev državne javne službe v Republiki Sloveniji. </w:t>
      </w:r>
    </w:p>
    <w:p w14:paraId="10907F9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27A916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V času, ko izvajalec državne javne službe zaradi okvare ali izrednega dogodka ne more zagotoviti njenega izvajanja, lahko njeni uporabniki  gorljive komunalne odpadke predajo v sežig drugemu izvajalcu državne javne službe, ki ima proste zmogljivosti za njihov sprejem. Če sežigalnica kljub okvari ali izrednemu dogodku lahko obratuje z zmanjšano zmogljivostjo, lahko uporabniki storitev državne javne službe drugemu izvajalcu te službe predajo zgolj presežne  količine gorljivih komunalnih odpadkov, za katere izvajalec državne javne službe iz 6. člena te uredbe ne more zagotoviti izvajanja storitev državne javne službe.</w:t>
      </w:r>
    </w:p>
    <w:p w14:paraId="0327F67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F268D2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Uporabniki storitev državne javne službe morajo gorljive komunalne odpadke, skladiščiti tako, da niso neposredno izpostavljeni padavinam ali drugim vplivom, ki bi lahko vplivali na njihove lastnosti, pomembne za sežig. </w:t>
      </w:r>
    </w:p>
    <w:p w14:paraId="750279F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B0E1DA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Obveznosti izvajalca mehanske obdelave komunalnih odpadkov, ki je uporabnik storitve državne javne službe, so:</w:t>
      </w:r>
    </w:p>
    <w:p w14:paraId="67943B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Izvajalec mehanske obdelave komunalnih odpadkov mora izpolnjevati vse predpisane obveznosti predelovalca odpadkov, če gre za mehansko obdelavo ločeno zbranih komunalnih odpadkov iz podskupin odpadkov 20 01 in 15 01 ali kosovnih odpadkov s številko 20 03 07, oziroma vse predpisane obveznosti odstranjevalca odpadkov, če gre za mehansko obdelavo mešanih komunalnih odpadkov s številko 20 03 01, ter:</w:t>
      </w:r>
    </w:p>
    <w:p w14:paraId="3CB001E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7459D6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t>a). prevzemati v mehansko obdelavo komunalne odpadke od izvajalcev javne službe zbiranja in voditi evidence o tem prevzemu ločeno po občinah, kjer so ti komunalni odpadki nastali in sicer ločeno po naslednjih vrstah komunalnih odpadkov :</w:t>
      </w:r>
    </w:p>
    <w:p w14:paraId="54B3A7B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t>-  mešani komunalni odpadki s številko 20 03 01,</w:t>
      </w:r>
    </w:p>
    <w:p w14:paraId="0B3625F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mešanica ločeno zbranega papirja, kartona in lepenke s številko 20 01 01 ter ločeno zbrane papirne in kartonske embalaže ter embalaže iz lepenke s številko 15 01 01,</w:t>
      </w:r>
    </w:p>
    <w:p w14:paraId="375C6D8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ločeno zbrana papirna in kartonska embalaža ter embalaže iz lepenke s številko 15 01 01,</w:t>
      </w:r>
    </w:p>
    <w:p w14:paraId="6FE3596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mešanica ločeno zbrane plastike s številko 20 01 39 ter ločeno zbrane plastične embalaže s številko 15 01 02,</w:t>
      </w:r>
    </w:p>
    <w:p w14:paraId="7FE940B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ločeno zbrana plastična embalaža s številko 15 01 02,</w:t>
      </w:r>
    </w:p>
    <w:p w14:paraId="3265BD2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mešanica ločeno zbranega lesa s številko 20 01 38 ter ločeno zbrane lesene embalaže s številko 15 01 03,</w:t>
      </w:r>
    </w:p>
    <w:p w14:paraId="041531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ločeno zbrana lesena embalaža s številko 15 01 03,</w:t>
      </w:r>
    </w:p>
    <w:p w14:paraId="3C092F9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mešanice ločeno zbranega tekstila s številko 20 01 11 ter ločeno zbrane embalaže iz tekstila s številko 15 01 09 in</w:t>
      </w:r>
    </w:p>
    <w:p w14:paraId="4773DE2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ločeno zbrana mešana embalaža s številko 15 01 06;</w:t>
      </w:r>
    </w:p>
    <w:p w14:paraId="431EEC7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461763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b) zagotoviti, da: </w:t>
      </w:r>
    </w:p>
    <w:p w14:paraId="7A0089D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se z mehansko obdelavo mešanice komunalnih odpadkov iz druge, pete, sedme, devete alineje prejšnje točke  in z razvrščanjem pridobijo odpadki, ki mešanico sestavljajo, ter da se evidentirajo količine in drugi parametri teh odpadkov, če je to zahtevano s predpisi, ki urejajo razširjeno odgovornost proizvajalcev proizvodov, iz katerih po uporabi nastanejo odpadki, </w:t>
      </w:r>
    </w:p>
    <w:p w14:paraId="01B5255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z mehansko obdelavo ločeno zbrane mešane embalaže s številko 15 01 06 (zadnja alineja prejšnje točke) je treba zagotoviti, da se odpadki, ki to mešanico sestavljajo, vključno s sestavljeno (kompozitno) embalažo s številko 15 01 05, razvrstijo: med odpadke iz tretje alineje prejšnje podtočke, če jih pretežno sestavlja papir, med odpadke iz šeste alineje prejšnje podtočke, če jih pretežno sestavlja plastika, med ločeno zbrano embalažo iz tekstila s številko 15 01 09 iz devete alineje prejšnje podtočke, če jih pretežno sestavlja tekstil, ali med odpadno embalažo iz negorljivih materialov, če jih pretežno sestavljajo kovine, steklo ali keramika;</w:t>
      </w:r>
    </w:p>
    <w:p w14:paraId="1D658C6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BC7846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c). zagotoviti mehansko obdelavo komunalnih odpadkov in voditi evidenco o tej obdelavi:</w:t>
      </w:r>
    </w:p>
    <w:p w14:paraId="102EB35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ločeno po občinah, kjer so bili ti odpadki zbrani, če gre za mešane komunalne odpadke s številko 20 03 01, vključno s podatki o izločenih reciklabilnih in gorljivih sestavinah iz mešanih komunalnih odpadkov, in</w:t>
      </w:r>
    </w:p>
    <w:p w14:paraId="6AA1ECB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ločeno po občinah, kjer so bili ti odpadki zbrani, če gre za odpadno embalažo iz podskupine odpadkov s številko 15 01, ločeno zbrane frakcije iz podskupine odpadkov s številko 20 01 ali za kosovne odpadke s številko 20 03 07;</w:t>
      </w:r>
    </w:p>
    <w:p w14:paraId="6103DEF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C8E389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č) zagotoviti za gorljive sestavine, ki nastajajo po mehanski obdelavi komunalnih odpadkov in niso primerne za oddajo v recikliranje ali v pripravo za ponovno uporabo:</w:t>
      </w:r>
    </w:p>
    <w:p w14:paraId="271E114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vodenje evidence o njihovi količini ter vrsti komunalnih odpadkov, iz katerih so nastale po mehanski obdelavi, </w:t>
      </w:r>
    </w:p>
    <w:p w14:paraId="4788FC8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skladiščenje v pokritih prostorih velikosti, ki zadostuje za obdobje najmanj treh mesecev načrtovanega nastajanja gorljivih sestavin;</w:t>
      </w:r>
    </w:p>
    <w:p w14:paraId="6D4B87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589D6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d). oddajati gorljive sestavine, ki nastajajo po mehanski obdelavi komunalnih odpadkov iz 5. točke prvega odstavka 2. člena te uredbe, v sežiganje tistemu izvajalcu državne javne službe, ki s svojimi storitvami državne javne službe pokriva območje, kjer so bili ti komunalni odpadki zbrani; </w:t>
      </w:r>
    </w:p>
    <w:p w14:paraId="13EA099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47F854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e). Količine gorljivih sestavin iz prejšnjega odstavka oddanih v sežiganje ne smejo presegati sorazmernega deleža največje letne količine, ki je določena in objavljena skladno s petim odstavkom 6. člena te uredbe za kosovne odpadke s številko 20 03 07 ter za ločeno zbrane frakcije komunalnih odpadkov s številkami 20 01 01, 20 01 39, 20 01 38 in 20 01 11;</w:t>
      </w:r>
    </w:p>
    <w:p w14:paraId="7B28EC4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BFE3B4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f). oddajati gorljive sestavine, ki nastajajo po mehanski obdelavi odpadne embalaže iz podskupine 15 01, v sežiganje kot posebno storitev kateremu koli izvajalcu državne javne službe ali v sežiganje v katero koli drugo sežigalnico, ki izpolnjuje pogoj iz tretjega odstavka 5. člena te uredbe. </w:t>
      </w:r>
    </w:p>
    <w:p w14:paraId="133630E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0FFA4E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g). Količine oddanih gorljivih sestavin v sežiganje iz prejšnjega odstavka ne smejo presegati sorazmernega deleža največje letne količine, ki je za odpadno embalažo iz podskupine 15 01, zbrano v okviru občinske javne službe zbiranja komunalnih odpadkov in za odpadno embalažo iz podskupine 15 01, ki ni zbrana v okviru občinske javne službe zbiranja komunalnih odpadkov, določena in objavljena skladno s petim odstavkom 6. člena  te uredbe;.</w:t>
      </w:r>
    </w:p>
    <w:p w14:paraId="0A6508B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10CC23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h). poročati v informacijski sistem okolja podatke v zvezi z mehansko obdelavo odpadkov v obsegu, ki je določen v Prilogi 3, ki je sestavni del te uredbe.</w:t>
      </w:r>
    </w:p>
    <w:p w14:paraId="418412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2B9F96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Če na posameznem območju izvajanja državne javne službe ta služba ni vzpostavljena ali se storitve  državne javne službe na tem območju ne izvajajo, mora o tem izvajalec mehanske obdelave komunalnih odpadkov obvestiti ministrstvo.</w:t>
      </w:r>
    </w:p>
    <w:p w14:paraId="33A2A37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165D00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Če v primerih iz prejšnjega odstavka ministrstvo ne odredi sežiga gorljivih sestavin, nastalih po mehanski obdelavi komunalnih odpadkov, pri enem od preostalih dveh izvajalcev storitev državne javne službe, mora izvajalec mehanske obdelave komunalnih odpadkov zagotoviti sežiganje teh gorljivih sestavin v drugi državi članici Evropske Unije ob upoštevanju določb Uredbe (EU) 2024/1157 Evropskega parlamenta in Sveta z dne 11. aprila 2024 o pošiljkah odpadkov, spremembi uredb (EU) št. 1257/2013 in (EU) 2020/1056 in razveljavitvi Uredbe (ES) št. 1013/2006 (UL L št. 2024/1157 z dne 30.4.2024), zadnjič spremenjene z Delegirano uredbo Komisije (EU) 2024/2571 z dne 19. julija 2024 o dopolnitvi Uredbe (EU) 2024/1157 Evropskega parlamenta in Sveta z določitvijo informacij, ki jih je treba navesti v potrdilu o dokončanju nadaljnjega vmesnega ali nevmesnega postopka predelave ali nadaljnjega vmesnega ali nevmesnega postopka odstranjevanja (UL L št. 2024/2571 z dne 27.9.2024) (v nadaljnjem besedilu: Uredba (ES) 2024/1157).  </w:t>
      </w:r>
    </w:p>
    <w:p w14:paraId="39EB0F3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9B45774"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11.</w:t>
      </w:r>
      <w:r w:rsidRPr="00B74958">
        <w:rPr>
          <w:rFonts w:ascii="Arial" w:hAnsi="Arial"/>
          <w:b/>
          <w:kern w:val="0"/>
          <w:sz w:val="20"/>
          <w14:ligatures w14:val="none"/>
        </w:rPr>
        <w:tab/>
        <w:t xml:space="preserve"> člen</w:t>
      </w:r>
    </w:p>
    <w:p w14:paraId="668BB63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(posredovanje podatkov o količinah gorljivih komunalnih odpadkov)</w:t>
      </w:r>
    </w:p>
    <w:p w14:paraId="18DB056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569E4B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Uporabniki storitev državne javne službe morajo ministrstvu na njegovo zahtevo v roku 30 dni  posredovati podatke o količinah posameznih vrst gorljivih komunalnih odpadkov za predhodna tri koledarska leta, ki so jih sprejeli in poslali v sežig v sežigalnico. Ti podatki se pripravijo na podlagi izračunanih deležev vhodnih količin določenih vrst komunalnih odpadkov, ki jih je uporabnik storitev državne javne službe prevzel od posamezne lokalne skupnosti in obdelal v svojem centru za ravnanje s komunalnimi odpadki. </w:t>
      </w:r>
    </w:p>
    <w:p w14:paraId="6A789DE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04E2A5E"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6.</w:t>
      </w:r>
      <w:r w:rsidRPr="00B74958">
        <w:rPr>
          <w:rFonts w:ascii="Arial" w:eastAsia="Times New Roman" w:hAnsi="Arial" w:cs="Times New Roman"/>
          <w:kern w:val="0"/>
          <w:sz w:val="20"/>
          <w14:ligatures w14:val="none"/>
        </w:rPr>
        <w:tab/>
        <w:t>Viri financiranja državne javne službe</w:t>
      </w:r>
    </w:p>
    <w:p w14:paraId="41BC194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821F34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12.</w:t>
      </w:r>
      <w:r w:rsidRPr="00B74958">
        <w:rPr>
          <w:rFonts w:ascii="Arial" w:hAnsi="Arial"/>
          <w:b/>
          <w:kern w:val="0"/>
          <w:sz w:val="20"/>
          <w14:ligatures w14:val="none"/>
        </w:rPr>
        <w:tab/>
        <w:t xml:space="preserve"> člen</w:t>
      </w:r>
    </w:p>
    <w:p w14:paraId="797E1599"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(viri financiranja)</w:t>
      </w:r>
    </w:p>
    <w:p w14:paraId="750F7AA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DE049A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Državna javna služba se financira iz plačil uporabnikov za storitve izvajalca državne javne službe in iz prihodkov od prodaje proizvodov sežiganja odpadkov.</w:t>
      </w:r>
    </w:p>
    <w:p w14:paraId="507588E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8127AB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w:t>
      </w:r>
      <w:r w:rsidRPr="00B74958">
        <w:rPr>
          <w:rFonts w:ascii="Arial" w:eastAsia="Times New Roman" w:hAnsi="Arial" w:cs="Times New Roman"/>
          <w:kern w:val="0"/>
          <w:sz w:val="20"/>
          <w:szCs w:val="24"/>
          <w14:ligatures w14:val="none"/>
        </w:rPr>
        <w:tab/>
        <w:t>Cena storitev državne javne službe</w:t>
      </w:r>
    </w:p>
    <w:p w14:paraId="07FA5BB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A9CDC1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13.</w:t>
      </w:r>
      <w:r w:rsidRPr="00B74958">
        <w:rPr>
          <w:rFonts w:ascii="Arial" w:hAnsi="Arial"/>
          <w:b/>
          <w:kern w:val="0"/>
          <w:sz w:val="20"/>
          <w14:ligatures w14:val="none"/>
        </w:rPr>
        <w:tab/>
        <w:t xml:space="preserve"> člen</w:t>
      </w:r>
    </w:p>
    <w:p w14:paraId="5EB40DB5"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(oblikovanje cene storitev državne javne službe)</w:t>
      </w:r>
    </w:p>
    <w:p w14:paraId="3C7ED12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82B0E2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Ceno storitev državne javne službe (v nadaljnjem besedilu: cena) določi Vlada Republike Slovenije (v nadaljnjem besedilu: vlada) s sklepom.</w:t>
      </w:r>
    </w:p>
    <w:p w14:paraId="56C9C19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Cena se določi v eurih na eno tono prevzetih gorljivih komunalnih odpadkov.</w:t>
      </w:r>
    </w:p>
    <w:p w14:paraId="15154B4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Vlada izvajalcu državne javne službe določi ceno v zadnjem letu tekočega triletnega obračunskega obdobja za naslednje triletno obračunsko obdobje.</w:t>
      </w:r>
    </w:p>
    <w:p w14:paraId="6CF6835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Ne glede na določbo prejšnjega odstavka vlada izvajalcu državne javne službe, ki to službo začne izvajati, določi ceno za prvo triletno obdobje najpozneje pred začetkom izvajanja državne javne službe.</w:t>
      </w:r>
    </w:p>
    <w:p w14:paraId="48198D8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758384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14. člen</w:t>
      </w:r>
    </w:p>
    <w:p w14:paraId="2E73143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(predlog cene)</w:t>
      </w:r>
    </w:p>
    <w:p w14:paraId="0FDC675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5744B4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Predlog cene pripravi ministrstvo tako, da se zagotavlja učinkovito izvajanje storitev državne javne službe in dolgoročna stabilnost cene, pri čemer upošteva:</w:t>
      </w:r>
    </w:p>
    <w:p w14:paraId="29785C6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projekcijo rasti cen življenjskih potrebščin iz zadnjega proračunskega memoranduma,</w:t>
      </w:r>
    </w:p>
    <w:p w14:paraId="097E8A9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projekcijo sestave in količine komunalnih odpadkov iz operativnega programa, ki ureja  ravnanje s komunalnimi odpadki in</w:t>
      </w:r>
    </w:p>
    <w:p w14:paraId="5697267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obračunski in predračunski izkaz stanja in uspeha poslovnoizidne enote, ki izvaja državno javno službo (v nadaljnjem besedilu: poslovnoizidna enota), za preteklo in naslednje triletno obračunsko obdobje, ki ju pripravi izvajalec državne javne službe in pošlje ministrstvu do 30. junija v zadnjem letu tekočega triletnega obračunskega obdobja.</w:t>
      </w:r>
    </w:p>
    <w:p w14:paraId="7FAB366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653472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Preteklo triletno obračunsko obdobje je obdobje treh koledarskih let pred tekočim koledarskim letom, naslednje triletno obračunsko obdobje pa obdobje treh koledarskih let, ki sledijo tekočemu koledarskemu letu.</w:t>
      </w:r>
    </w:p>
    <w:p w14:paraId="23DDFB3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5FA2D9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V obračunskem izkazu iz tretje alineje prvega odstavka tega člena se razkrijejo tudi stroški iz drugega in tretjega odstavka 19. člena te uredbe. Predračunski izkaz iz tretje alineje prvega odstavka tega člena pa mora vsebovati predlog cene in prikaz njenega izračuna v skladu s to uredbo.</w:t>
      </w:r>
    </w:p>
    <w:p w14:paraId="39B4BD5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5CFD2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Elementi predlagane cene in njen izračun temeljijo na revidiranih računovodskih izkazih in potrjenih letnih poročilih poslovnoizidne enote za preteklo triletno obračunsko obdobje ter na predračunskih izkazih poslovnoizidne enote za naslednje triletno obdobje.</w:t>
      </w:r>
    </w:p>
    <w:p w14:paraId="70BBE4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342464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Če gre za predlog cene za izvajalca državne javne službe, ki bo šele začel izvajati javno službo, ministrstvo ne glede na določbo tretje alineje prvega odstavka tega člena pri pripravi predloga cene upošteva le predračunski izkaz stanja in uspeha poslovnoizidne enote, ki ga pripravi izvajalec javne službe in pošlje ministrstvu najpozneje tri mesece pred začetkom izvajanja javne službe.</w:t>
      </w:r>
    </w:p>
    <w:p w14:paraId="508FE1B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AD24EE5"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15.</w:t>
      </w:r>
      <w:r w:rsidRPr="00B74958">
        <w:rPr>
          <w:rFonts w:ascii="Arial" w:hAnsi="Arial"/>
          <w:b/>
          <w:kern w:val="0"/>
          <w:sz w:val="20"/>
          <w14:ligatures w14:val="none"/>
        </w:rPr>
        <w:tab/>
        <w:t xml:space="preserve"> člen</w:t>
      </w:r>
    </w:p>
    <w:p w14:paraId="312969E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(poziv izvajalcu državne javne službe)</w:t>
      </w:r>
    </w:p>
    <w:p w14:paraId="1CCFA98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5A7F3F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Če ministrstvo pri pripravi predloga cene ugotovi, da elementi predlagane cene ali njen izračun v predračunskem izkazu iz prvega ali petega odstavka prejšnjega člena niso oblikovani v skladu s to uredbo, izvajalca državne javne službe pozove, da mu v enem mesecu pošlje popravljen ali dopolnjen predračunski izkaz in predlog cene.</w:t>
      </w:r>
    </w:p>
    <w:p w14:paraId="774632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AFCE93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Če izvajalec državne javne službe v roku iz prejšnjega odstavka ne pošlje popravljenega ali dopolnjenega predračunskega izkaza in predloga cene, lahko ministrstvo pripravi predlog cene brez upoštevanja izkaza iz prvega ali petega odstavka prejšnjega člena.</w:t>
      </w:r>
    </w:p>
    <w:p w14:paraId="338B877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AD8F20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Če ministrstvo pri pripravi predloga cene ugotovi, da predstavlja rast  , ki za več kot tri odstotne točke letno presega indeks rasti cen življenjskih potrebščin, objavljen na spletni strani organa, pristojnega za statistiko, v preteklem triletnem obdobju, od izvajalca državne javne službe zahteva, da ob upoštevanju vzdržnosti izvajanja državne javne službe pripravi načrt za povečanje stroškovne učinkovitosti in ga v enem mesecu od poziva pošlje ministrstvu skupaj z novim predračunskim izkazom iz prvega odstavka prejšnjega člena in novim predlogom cene.</w:t>
      </w:r>
    </w:p>
    <w:p w14:paraId="3FCA559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042EB5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Če izvajalec državne javne službe ne ravna v skladu s prejšnjim odstavkom ali ministrstvo ugotovi, da novi predlog cene še vedno predstavlja njeno rast , v skladu s prejšnjim odstavkom, samo pripravi predlog cene tako, da njena rast ni večja od treh odstotnih točk iz prejšnjega odstavka.</w:t>
      </w:r>
    </w:p>
    <w:p w14:paraId="324AF56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0B5E60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V primeru iz drugega in četrtega odstavka tega člena se morebitna negativna razlika med prihodki in upravičenimi stroški, ki nastane zaradi nižje cene, ne šteje kot regulacijski popravek iz prvega odstavka 2019. člena te uredbe in ga izvajalec državne javne službe ne sme vključiti kot odbitno postavko v izračun predloga cene za naslednje triletno regulacijsko obdobje.</w:t>
      </w:r>
    </w:p>
    <w:p w14:paraId="5D46AAC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B12876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Ne glede na četrti in peti odstavek tega člena lahko vlada določi ceno, ki presega omejitev rasti cene, če soglaša s predloženim načrtom za povečanje stroškovne učinkovitosti izvajanja državne javne službe, ki ga je predložil njen izvajalec.</w:t>
      </w:r>
    </w:p>
    <w:p w14:paraId="10E09FE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46350F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16.</w:t>
      </w:r>
      <w:r w:rsidRPr="00B74958">
        <w:rPr>
          <w:rFonts w:ascii="Arial" w:hAnsi="Arial"/>
          <w:b/>
          <w:kern w:val="0"/>
          <w:sz w:val="20"/>
          <w14:ligatures w14:val="none"/>
        </w:rPr>
        <w:tab/>
        <w:t xml:space="preserve"> člen</w:t>
      </w:r>
    </w:p>
    <w:p w14:paraId="4124CFD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(stroški izvajanja državne javne službe)</w:t>
      </w:r>
    </w:p>
    <w:p w14:paraId="3C4758D5"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1827AD6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Stroški izvajanja državne javne službe, ki so podlaga za oblikovanje cene, vsebinsko obsegajo predvsem:</w:t>
      </w:r>
    </w:p>
    <w:p w14:paraId="45345A4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 stroške prevzemanja odpadkov, prevažanja odpadkov od prevzemnega mesta do sežigalnice in njihove obdelave pred sežiganjem, in sicer:</w:t>
      </w:r>
    </w:p>
    <w:p w14:paraId="04792EE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stroške sežiganja odpadkov,</w:t>
      </w:r>
    </w:p>
    <w:p w14:paraId="380992E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stroške predelave in odlaganja in</w:t>
      </w:r>
    </w:p>
    <w:p w14:paraId="6255CE8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stroške vzdrževanja objektov infrastrukture državne  javne službe ter</w:t>
      </w:r>
    </w:p>
    <w:p w14:paraId="10E21C9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b) dopustni donos na vložena poslovno potrebna sredstva izvajalca državne javne službe za izvajanje storitev državne javne službe.</w:t>
      </w:r>
    </w:p>
    <w:p w14:paraId="4D6FA22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EAB743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Pri določanju stroškov iz prejšnjega odstavka se upoštevajo zahteve v zvezi z izvajanjem državne javne službe iz te uredbe in predpisov, ki urejajo odpadke, njihovo sežiganje in odlaganje.</w:t>
      </w:r>
    </w:p>
    <w:p w14:paraId="22969D4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71D70B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17.</w:t>
      </w:r>
      <w:r w:rsidRPr="00B74958">
        <w:rPr>
          <w:rFonts w:ascii="Arial" w:hAnsi="Arial"/>
          <w:b/>
          <w:kern w:val="0"/>
          <w:sz w:val="20"/>
          <w14:ligatures w14:val="none"/>
        </w:rPr>
        <w:tab/>
        <w:t xml:space="preserve"> člen</w:t>
      </w:r>
    </w:p>
    <w:p w14:paraId="0F79B28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(elementi cene)</w:t>
      </w:r>
    </w:p>
    <w:p w14:paraId="4AC20E8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1B3263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Elementi cene so upravičeni stroški iz 18. člena te uredbe in odbitne postavke iz 19. člena te uredbe.</w:t>
      </w:r>
    </w:p>
    <w:p w14:paraId="20CD93B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Cena se izračuna kot kalkulacija polne lastne cene količinske enote poslovnega učinka izvajanja državne javne službe v skladu s slovenskimi računovodskimi standardi in v skladu z zahtevami iz te uredbe po naslednji enačbi:</w:t>
      </w:r>
    </w:p>
    <w:p w14:paraId="09A808B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E62B09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Cena storitve javne službe = (upravičeni stroški – odbitne postavke) / količina prevzetih odpadkov</w:t>
      </w:r>
    </w:p>
    <w:p w14:paraId="7B1D6A7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28A60B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1AD7F0A"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18.</w:t>
      </w:r>
      <w:r w:rsidRPr="00B74958">
        <w:rPr>
          <w:rFonts w:ascii="Arial" w:hAnsi="Arial"/>
          <w:b/>
          <w:kern w:val="0"/>
          <w:sz w:val="20"/>
          <w14:ligatures w14:val="none"/>
        </w:rPr>
        <w:tab/>
        <w:t xml:space="preserve"> člen</w:t>
      </w:r>
    </w:p>
    <w:p w14:paraId="77EF505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(upravičeni stroški)</w:t>
      </w:r>
    </w:p>
    <w:p w14:paraId="32E9EBC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308124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Upravičeni stroški so stroški, ki jih je mogoče povezati z izvajanjem storitev državne javne službe v skladu s prejšnjim  členom , in vključujejo:</w:t>
      </w:r>
    </w:p>
    <w:p w14:paraId="77B222D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neposredne stroške materiala in storitev,</w:t>
      </w:r>
    </w:p>
    <w:p w14:paraId="07EF149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neposredne stroške dela,</w:t>
      </w:r>
    </w:p>
    <w:p w14:paraId="79F54B7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druge neposredne stroške,</w:t>
      </w:r>
    </w:p>
    <w:p w14:paraId="525C8B3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splošne (posredne) proizvajalne stroške, ki vključujejo stroške materiala, amortizacije poslovno potrebnih osnovnih sredstev, storitev in dela,</w:t>
      </w:r>
    </w:p>
    <w:p w14:paraId="435684C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splošne nabavno-prodajne stroške, ki vključujejo stroške materiala, amortizacije poslovno potrebnih osnovnih sredstev, storitev in dela,</w:t>
      </w:r>
    </w:p>
    <w:p w14:paraId="69312D3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splošne upravne stroške, ki vključujejo stroške materiala, amortizacije poslovno potrebnih osnovnih sredstev, storitev in dela,</w:t>
      </w:r>
    </w:p>
    <w:p w14:paraId="1EA0B68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obresti zaradi financiranja opravljanja storitev državne javne službe,</w:t>
      </w:r>
    </w:p>
    <w:p w14:paraId="168641B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neposredne stroške prodaje in</w:t>
      </w:r>
    </w:p>
    <w:p w14:paraId="3792DA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donos izvajalca državne javne službe.</w:t>
      </w:r>
    </w:p>
    <w:p w14:paraId="17C4DC4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6434D4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V izračun upravičenih stroškov se kot kalkulativni element cene do višine, ki predstavlja 0,5 % upravičenih stroškov iz prejšnjega odstavka, kumulativno lahko vključijo:</w:t>
      </w:r>
    </w:p>
    <w:p w14:paraId="0EF9AE6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BA4BC6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reklame,</w:t>
      </w:r>
    </w:p>
    <w:p w14:paraId="19DC6F1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članarin v organizacijah ali združenjih in stroški potovanj, povezanih s članstvom v teh organizacijah ali združenjih,</w:t>
      </w:r>
    </w:p>
    <w:p w14:paraId="389FB87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povezani s službenimi stanovanji, in</w:t>
      </w:r>
    </w:p>
    <w:p w14:paraId="6274ED5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svetovalnih in drugih zunanjih storitev, ki niso vezane na zagotavljanje varnega obratovanja, njihov nastanek in obseg pa sta odvisna predvsem od odločitev poslovodstva izvajalca javne službe.</w:t>
      </w:r>
    </w:p>
    <w:p w14:paraId="3AC23EA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8EB80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V izračun upravičenih stroškov se kot kalkulativni element cene ne uvrščajo naslednji stroški:</w:t>
      </w:r>
    </w:p>
    <w:p w14:paraId="0DB793B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6AB2D1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odškodnin in povračil za škodo, ki jo povzroči izvajalec javne službe,</w:t>
      </w:r>
    </w:p>
    <w:p w14:paraId="7FECF7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glob,</w:t>
      </w:r>
    </w:p>
    <w:p w14:paraId="40F16BD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reprezentance,</w:t>
      </w:r>
    </w:p>
    <w:p w14:paraId="08C2D81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sponzorstva in donacij,</w:t>
      </w:r>
    </w:p>
    <w:p w14:paraId="35E7F08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izobraževanj in drugih programov, ki niso povezani z izobraževanjem zaposlenih za namene opravljanja državne javne službe,</w:t>
      </w:r>
    </w:p>
    <w:p w14:paraId="1E03112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oblačil, opreme, najema, vzdrževanja, popravil in drugi stroški, povezani z družbenimi, kulturnimi, športnimi, rekreacijskimi ali drugimi podobnimi nameni zaposlenih,</w:t>
      </w:r>
    </w:p>
    <w:p w14:paraId="76B6FD0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potovanj in z njimi povezanih aktivnosti, ki niso povezane s službenimi potovanji zaposlenih,</w:t>
      </w:r>
    </w:p>
    <w:p w14:paraId="651513C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dela plač zaposlenih na poslovnoizidni enoti, ki presegajo sistem nagrajevanja po kolektivni pogodbi komunalnih dejavnosti in na njeni podlagi sprejeti podjetniški pogodbi, ter</w:t>
      </w:r>
    </w:p>
    <w:p w14:paraId="74A3F82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stroški nagrad zaposlenim, razen tistih, ki jih določajo predpisi, ki urejajo nagrajevanje zaposlenih, ali kolektivne pogodbe.</w:t>
      </w:r>
    </w:p>
    <w:p w14:paraId="5174DC7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B3AC6D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Za obračun amortizacije osnovnih sredstev, ki se uporabljajo za izvajanje državne javne službe, se uporablja metoda enakomernega časovnega amortiziranja, za izračun stroškov amortizacije teh sredstev pa se uporabljajo amortizacijske stopnje, določene v Prilogi 4, ki je sestavni del te uredbe. Za osnovna sredstva iz prejšnjega stavka, za katera amortizacijska stopnja ni določena v prilogi 4 te uredbe, se za določitev amortizacijskih stopenj uporablja Pravilnik o načinu in stopnjah odpisa neopredmetenih osnovnih sredstev in opredmetenih osnovnih sredstev (Uradni list RS, št. 45/05, 138/06, 120/07, 48/09, 112/09, 58/10, 108/13 in 100/15).</w:t>
      </w:r>
    </w:p>
    <w:p w14:paraId="68EA87A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864282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Ustreznost razporejanja stroškov iz drugega in tretjega odstavka tega člena za revidirano obdobje vsako leto ob letni reviziji računovodskih izkazov preveri revizor in o tem izda na podlagi ustrezne pogodbe posebno poročilo o opravljenih dogovorjenih postopkih. Če izvajalec državne javne službe ni zavezan k obvezni reviziji računovodskih izkazov, mora preverjanje ustreznosti razporejanja stroškov iz drugega in tretjega odstavka tega člena zagotoviti s pogodbo s pooblaščenim revizorjem najpozneje do 30. aprila tekočega koledarskega leta za preteklo koledarsko leto.</w:t>
      </w:r>
    </w:p>
    <w:p w14:paraId="0565495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9BC75E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Če ima izvajalec državne javne službe infrastrukturo iz 9. člena te uredbe v celoti ali delno v najemu, se najemnina obračuna v višini stroškov amortizacije najete infrastrukture.</w:t>
      </w:r>
    </w:p>
    <w:p w14:paraId="6E035E0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23B273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Donos izvajalca državne javne službe iz devete alineje prvega odstavka tega člena ne sme presegati 2 % vrednosti poslovno potrebnih osnovnih sredstev za neposredno opravljanje državne javne službe in se določi glede na delež prihodkov od prodaje proizvedene električne ali toplotne energije. Višina donosa izvajalca državne javne službe se določi glede na delež prihodkov od prodaje proizvedene električne ali toplotne energije po naslednji enačbi:</w:t>
      </w:r>
    </w:p>
    <w:p w14:paraId="025BEF0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BEE948D" w14:textId="77777777" w:rsidR="00B74958" w:rsidRPr="00B74958" w:rsidRDefault="00B74958" w:rsidP="00B74958">
      <w:pPr>
        <w:pBdr>
          <w:top w:val="single" w:sz="4" w:space="1" w:color="auto"/>
          <w:left w:val="single" w:sz="4" w:space="4" w:color="auto"/>
          <w:bottom w:val="single" w:sz="4" w:space="1" w:color="auto"/>
          <w:right w:val="single" w:sz="4" w:space="4" w:color="auto"/>
        </w:pBdr>
        <w:tabs>
          <w:tab w:val="left" w:pos="426"/>
        </w:tabs>
        <w:spacing w:after="0" w:line="260" w:lineRule="exact"/>
        <w:jc w:val="center"/>
        <w:rPr>
          <w:rFonts w:ascii="Arial" w:hAnsi="Arial"/>
          <w:b/>
          <w:bCs/>
          <w:i/>
          <w:iCs/>
          <w:kern w:val="0"/>
          <w:sz w:val="24"/>
          <w:szCs w:val="28"/>
          <w14:ligatures w14:val="none"/>
        </w:rPr>
      </w:pPr>
      <w:r w:rsidRPr="00B74958">
        <w:rPr>
          <w:rFonts w:ascii="Arial" w:hAnsi="Arial"/>
          <w:b/>
          <w:bCs/>
          <w:i/>
          <w:iCs/>
          <w:kern w:val="0"/>
          <w:sz w:val="24"/>
          <w:szCs w:val="28"/>
          <w14:ligatures w14:val="none"/>
        </w:rPr>
        <w:t>D= TR x 3 / TC</w:t>
      </w:r>
    </w:p>
    <w:p w14:paraId="2AC59C0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9FE6E0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0CF43E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pri čemer je:</w:t>
      </w:r>
    </w:p>
    <w:p w14:paraId="1A6CD47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 – donos izvajalca državne javne službe v  odstotkih,</w:t>
      </w:r>
    </w:p>
    <w:p w14:paraId="5C1F305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TR – prihodki izvajalca od prodaje proizvedene električne in toplotne energije,</w:t>
      </w:r>
    </w:p>
    <w:p w14:paraId="338D8CE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TC – celotni stroški poslovnoizidne enote, ki izvaja državno javno službo, ki se določijo v skladu s to uredbo in slovenskimi računovodskimi standardi.</w:t>
      </w:r>
    </w:p>
    <w:p w14:paraId="5862A4C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w:t>
      </w:r>
    </w:p>
    <w:p w14:paraId="5B59191F"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19.</w:t>
      </w:r>
      <w:r w:rsidRPr="00B74958">
        <w:rPr>
          <w:rFonts w:ascii="Arial" w:hAnsi="Arial"/>
          <w:b/>
          <w:kern w:val="0"/>
          <w:sz w:val="20"/>
          <w14:ligatures w14:val="none"/>
        </w:rPr>
        <w:tab/>
        <w:t xml:space="preserve"> člen</w:t>
      </w:r>
    </w:p>
    <w:p w14:paraId="0425B38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(odbitne postavke)</w:t>
      </w:r>
    </w:p>
    <w:p w14:paraId="3563E4E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452577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Odbitne postavke za izračun cene vključujejo:</w:t>
      </w:r>
    </w:p>
    <w:p w14:paraId="75F2B51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B192D8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prihodke od prodaje proizvedene električne ali toplotne energije ali drugih proizvodov sežiganja odpadkov,</w:t>
      </w:r>
    </w:p>
    <w:p w14:paraId="0FF4AB0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t>- regulacijski popravek zadnjega preteklega triletnega obdobja,</w:t>
      </w:r>
    </w:p>
    <w:p w14:paraId="3851DF5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t>- za preteklo triletno obračunsko obdobje ugotovljene neupravičene elemente cene,</w:t>
      </w:r>
    </w:p>
    <w:p w14:paraId="37F113F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t>- druge prihodke, ki nastanejo pri izvajanju državne javne službe in</w:t>
      </w:r>
    </w:p>
    <w:p w14:paraId="3698005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t>- druge prihodke, ki nastanejo pri izvajanju posebnih storitev.</w:t>
      </w:r>
    </w:p>
    <w:p w14:paraId="0052BF8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r>
    </w:p>
    <w:p w14:paraId="0189C24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Regulacijski popravek iz druge alineje prejšnjega odstavka se določi tako, da se na podlagi revidiranih računovodskih izkazov in potrjenih letnih poročil, evidenčnih listov in drugih uradnih poročil za preteklo triletno obračunsko obdobje izračuna razlika med prihodki in upravičenimi stroški storitev državne javne službe v navedenem obdobju, pri čemer se izračunana pozitivna razlika upošteva kot odbitna postavka, ki ceno zmanjšuje, izračunana negativna razlika pa kot odbitna postavka, ki ceno povečuje.</w:t>
      </w:r>
    </w:p>
    <w:p w14:paraId="1CEE244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6F1EEB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V primeru iz tretje alineje prvega odstavka tega člena se stroški ali poraba sredstev, ki so bili neupravičeno vključeni v ceno, ali prihodki, ki niso bili upoštevani v ceni, upoštevajo kot odbitna postavka, ki ceno zmanjšuje.</w:t>
      </w:r>
    </w:p>
    <w:p w14:paraId="3A6020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4C01B1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20.</w:t>
      </w:r>
      <w:r w:rsidRPr="00B74958">
        <w:rPr>
          <w:rFonts w:ascii="Arial" w:hAnsi="Arial"/>
          <w:b/>
          <w:kern w:val="0"/>
          <w:sz w:val="20"/>
          <w14:ligatures w14:val="none"/>
        </w:rPr>
        <w:tab/>
        <w:t xml:space="preserve"> člen</w:t>
      </w:r>
    </w:p>
    <w:p w14:paraId="28DB538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(poročila izvajalca)</w:t>
      </w:r>
    </w:p>
    <w:p w14:paraId="011F977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4037A8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Izvajalec državne javne službe mora najpozneje do 30. junija tekočega leta za preteklo poslovno leto ministrstvu poslati poročilo o poslovanju poslovnoizidne enote, ki vsebuje:</w:t>
      </w:r>
    </w:p>
    <w:p w14:paraId="047FE73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9D5A5A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obračunske kalkulacije polne lastne cene količinske enote poslovnega učinka izvajanja državne javne službe v skladu z 18. členom te uredbe, skupaj s pisnim mnenjem revizorja iz sedmega odstavka 40. člena te uredbe in pisnim mnenjem revizorja iz petega odstavka 19. člena te uredbe,</w:t>
      </w:r>
    </w:p>
    <w:p w14:paraId="544094C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obračunski izkaz uspeha poslovnoizidne enote, pripravljen v skladu s slovenskimi računovodskimi standardi, in</w:t>
      </w:r>
    </w:p>
    <w:p w14:paraId="4C9872C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obračunski izkaz stanja poslovnoizidne enote, pripravljen v skladu s slovenskimi računovodskimi standardi.</w:t>
      </w:r>
    </w:p>
    <w:p w14:paraId="0F77358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B4C2BB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Izvajalec državne javne službe mora najpozneje do 31. decembra tekočega leta za prihodnje poslovno leto ministrstvu poslati poročilo o predvidenem poslovanju poslovnoizidne enote, ki vsebuje:</w:t>
      </w:r>
    </w:p>
    <w:p w14:paraId="6436F35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B22FA7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predračunske kalkulacije polne lastne cene količinske enote poslovnega učinka izvajanja kot je določena v 19. členu te uredbe,</w:t>
      </w:r>
    </w:p>
    <w:p w14:paraId="77EEC2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predračunski izkaz uspeha poslovnoizidne enote, pripravljen v skladu s slovenskimi računovodskimi standardi, in</w:t>
      </w:r>
    </w:p>
    <w:p w14:paraId="1D984AD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predračunski izkaz stanja poslovnoizidne enote, pripravljen v skladu s slovenskimi računovodskimi standardi.</w:t>
      </w:r>
    </w:p>
    <w:p w14:paraId="767CD2C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DAF1BF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Izvajalec državne javne službe mora najpozneje do 30. junija tekočega leta ministrstvu poslati revidirano letno poročilo družbe, v okviru katere je poslovnoizidna enota, za preteklo poslovno leto.</w:t>
      </w:r>
    </w:p>
    <w:p w14:paraId="31D0E6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62FCA5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Ne glede na določbe drugega odstavka 15. člena te uredbe ministrstvo predlaga vladi, da določi novo ceno za obdobje do konca tekočega triletnega obdobja, če na podlagi predloženih poročil iz prvega, drugega ali tretjega odstavka tega člena ugotovi, da so prihodki poslovnoizidne enote za več kot deset odstotkov odstopali od upravičenih stroškov.</w:t>
      </w:r>
    </w:p>
    <w:p w14:paraId="6272D0A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9BBC7C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21.</w:t>
      </w:r>
      <w:r w:rsidRPr="00B74958">
        <w:rPr>
          <w:rFonts w:ascii="Arial" w:hAnsi="Arial"/>
          <w:b/>
          <w:kern w:val="0"/>
          <w:sz w:val="20"/>
          <w14:ligatures w14:val="none"/>
        </w:rPr>
        <w:tab/>
        <w:t>člen</w:t>
      </w:r>
    </w:p>
    <w:p w14:paraId="63ECC63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(posebne storitve)</w:t>
      </w:r>
    </w:p>
    <w:p w14:paraId="0D7DBF9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C2AFA5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Izvajalec državne javne službe lahko posebne storitve izvaja na infrastrukturi le v soglasju s koncedentom.</w:t>
      </w:r>
    </w:p>
    <w:p w14:paraId="07D38F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A3D0F5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Izvajanje posebnih storitev ne sme ustvarjati negativne razlike med prihodki in odhodki. Prihodki posebnih storitev se upoštevajo tako, da se zmanjša lastna cena državne javne službe.</w:t>
      </w:r>
    </w:p>
    <w:p w14:paraId="738318E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75E757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Izvajanje posebnih storitev je omejeno na odpadke, nastale v Republiki Sloveniji.</w:t>
      </w:r>
    </w:p>
    <w:p w14:paraId="4DCDF8B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1CBD9E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Stroški izvajanja posebnih storitev ne bremenijo uporabnikov storitev javne službe zbiranja.</w:t>
      </w:r>
    </w:p>
    <w:p w14:paraId="34724C3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FE23B0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4FFA16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w:t>
      </w:r>
      <w:r w:rsidRPr="00B74958">
        <w:rPr>
          <w:rFonts w:ascii="Arial" w:eastAsia="Times New Roman" w:hAnsi="Arial" w:cs="Times New Roman"/>
          <w:kern w:val="0"/>
          <w:sz w:val="20"/>
          <w:szCs w:val="24"/>
          <w14:ligatures w14:val="none"/>
        </w:rPr>
        <w:tab/>
        <w:t>Pogodba o uporabi storitev državne javne službe in plačila uporabnikov storitev državne javne službe</w:t>
      </w:r>
    </w:p>
    <w:p w14:paraId="1DE0FF0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BA3C7D7"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22.</w:t>
      </w:r>
      <w:r w:rsidRPr="00B74958">
        <w:rPr>
          <w:rFonts w:ascii="Arial" w:hAnsi="Arial"/>
          <w:b/>
          <w:kern w:val="0"/>
          <w:sz w:val="20"/>
          <w14:ligatures w14:val="none"/>
        </w:rPr>
        <w:tab/>
        <w:t xml:space="preserve"> člen</w:t>
      </w:r>
    </w:p>
    <w:p w14:paraId="3536745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(pogodba o uporabi storitev državne javne službe in plačila uporabnikov)</w:t>
      </w:r>
    </w:p>
    <w:p w14:paraId="0519593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38813EC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151DB9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Uporabnik in izvajalec državne javne službe morata skleniti pogodbo o opravljanju storitev državne javne službe. </w:t>
      </w:r>
    </w:p>
    <w:p w14:paraId="4C62096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80F43D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S pogodbo iz prejšnjega odstavka se določijo zlasti:</w:t>
      </w:r>
    </w:p>
    <w:p w14:paraId="2CAAEC1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predvidena letna količina gorljivih komunalnih odpadkov, </w:t>
      </w:r>
    </w:p>
    <w:p w14:paraId="342F3B4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čas trajanja pogodbe, ki je enak času trajanja koncesijske pogodbe za območje izvajanja državne javne službe, in</w:t>
      </w:r>
    </w:p>
    <w:p w14:paraId="1301798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medsebojna razmerja v zvezi z izvajanjem državne javne službe.</w:t>
      </w:r>
    </w:p>
    <w:p w14:paraId="3AA09B2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E6D9A0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Uporabo storitev državne javne službe plačujejo uporabniki mesečno na podlagi predanih količin gorljivih komunalnih odpadkov izvajalcu državne javne službe v skladu s 6. členom te uredbe.</w:t>
      </w:r>
    </w:p>
    <w:p w14:paraId="0DBA335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B4F762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2758EAF" w14:textId="77777777" w:rsidR="00B74958" w:rsidRPr="00B74958" w:rsidRDefault="00B74958" w:rsidP="00B74958">
      <w:pPr>
        <w:suppressAutoHyphens/>
        <w:overflowPunct w:val="0"/>
        <w:autoSpaceDE w:val="0"/>
        <w:autoSpaceDN w:val="0"/>
        <w:adjustRightInd w:val="0"/>
        <w:spacing w:before="360" w:after="60" w:line="200" w:lineRule="exact"/>
        <w:jc w:val="center"/>
        <w:textAlignment w:val="baseline"/>
        <w:outlineLvl w:val="3"/>
        <w:rPr>
          <w:rFonts w:ascii="Arial" w:eastAsia="Times New Roman" w:hAnsi="Arial" w:cs="Arial"/>
          <w:kern w:val="0"/>
          <w:lang w:eastAsia="sl-SI"/>
          <w14:ligatures w14:val="none"/>
        </w:rPr>
      </w:pPr>
      <w:r w:rsidRPr="00B74958">
        <w:rPr>
          <w:rFonts w:ascii="Arial" w:eastAsia="Times New Roman" w:hAnsi="Arial" w:cs="Arial"/>
          <w:kern w:val="0"/>
          <w:lang w:eastAsia="sl-SI"/>
          <w14:ligatures w14:val="none"/>
        </w:rPr>
        <w:t>III</w:t>
      </w:r>
      <w:r w:rsidRPr="00B74958">
        <w:rPr>
          <w:rFonts w:ascii="Arial" w:eastAsia="Times New Roman" w:hAnsi="Arial" w:cs="Arial"/>
          <w:kern w:val="0"/>
          <w:lang w:eastAsia="sl-SI"/>
          <w14:ligatures w14:val="none"/>
        </w:rPr>
        <w:tab/>
        <w:t>KONCESIJA</w:t>
      </w:r>
    </w:p>
    <w:p w14:paraId="22EFD6D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6110AE2"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1.</w:t>
      </w:r>
      <w:r w:rsidRPr="00B74958">
        <w:rPr>
          <w:rFonts w:ascii="Arial" w:eastAsia="Times New Roman" w:hAnsi="Arial" w:cs="Times New Roman"/>
          <w:kern w:val="0"/>
          <w:sz w:val="20"/>
          <w14:ligatures w14:val="none"/>
        </w:rPr>
        <w:tab/>
        <w:t>Podelitev koncesije</w:t>
      </w:r>
    </w:p>
    <w:p w14:paraId="36DB5C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8809F7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23.</w:t>
      </w:r>
      <w:r w:rsidRPr="00B74958">
        <w:rPr>
          <w:rFonts w:ascii="Arial" w:hAnsi="Arial"/>
          <w:b/>
          <w:kern w:val="0"/>
          <w:sz w:val="20"/>
          <w14:ligatures w14:val="none"/>
        </w:rPr>
        <w:tab/>
        <w:t xml:space="preserve"> člen</w:t>
      </w:r>
    </w:p>
    <w:p w14:paraId="1971660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(podelitev koncesije)</w:t>
      </w:r>
    </w:p>
    <w:p w14:paraId="2E64DCD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E77D41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Za izvajanje državne javne službe Republika Slovenija kot koncedent podeli koncesijo največ trem koncesionarjem, ki izpolnjujejo pogoje in merila iz te uredbe in so sposobni zagotavljati izvajanje storitev državne javne službe v skladu s to uredbo.</w:t>
      </w:r>
    </w:p>
    <w:p w14:paraId="0610E0A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087669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Naloge koncedenta v postopku podelitve koncesije in koncesijskem razmerju izvaja ministrstvo.</w:t>
      </w:r>
    </w:p>
    <w:p w14:paraId="7576CB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95E4D6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1CC3538"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2.</w:t>
      </w:r>
      <w:r w:rsidRPr="00B74958">
        <w:rPr>
          <w:rFonts w:ascii="Arial" w:eastAsia="Times New Roman" w:hAnsi="Arial" w:cs="Times New Roman"/>
          <w:kern w:val="0"/>
          <w:sz w:val="20"/>
          <w14:ligatures w14:val="none"/>
        </w:rPr>
        <w:tab/>
        <w:t>Pogoji, ki jih mora izpolnjevati koncesionar</w:t>
      </w:r>
    </w:p>
    <w:p w14:paraId="7222862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18153B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97593AF"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24.</w:t>
      </w:r>
      <w:r w:rsidRPr="00B74958">
        <w:rPr>
          <w:rFonts w:ascii="Arial" w:hAnsi="Arial"/>
          <w:b/>
          <w:kern w:val="0"/>
          <w:sz w:val="20"/>
          <w14:ligatures w14:val="none"/>
        </w:rPr>
        <w:tab/>
        <w:t xml:space="preserve"> člen</w:t>
      </w:r>
    </w:p>
    <w:p w14:paraId="3EAF723F"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(status koncesionarja)</w:t>
      </w:r>
    </w:p>
    <w:p w14:paraId="6BBEB44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E16D60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Koncesionar je lahko fizična ali pravna oseba, če izpolnjuje s to uredbo predpisane pogoje za izvajanje državne javne službe. </w:t>
      </w:r>
    </w:p>
    <w:p w14:paraId="1D1D499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79C320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E37A457"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25.</w:t>
      </w:r>
      <w:r w:rsidRPr="00B74958">
        <w:rPr>
          <w:rFonts w:ascii="Arial" w:hAnsi="Arial"/>
          <w:b/>
          <w:kern w:val="0"/>
          <w:sz w:val="20"/>
          <w14:ligatures w14:val="none"/>
        </w:rPr>
        <w:tab/>
        <w:t xml:space="preserve"> člen</w:t>
      </w:r>
    </w:p>
    <w:p w14:paraId="07A84BC4"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(pogoji, ki jih mora izpolnjevati koncesionar)</w:t>
      </w:r>
    </w:p>
    <w:p w14:paraId="5E6F4D7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EFC591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Pogoji, ki jih mora izpolnjevati koncesionar pred začetkom izvajanja državne javne službe in med njenim izvajanjem, so:</w:t>
      </w:r>
    </w:p>
    <w:p w14:paraId="61F3FA9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da je registriran za izvajanje dejavnosti ravnanja z nenevarnimi odpadki v skladu s predpisi, ki veljajo v Republiki Sloveniji;</w:t>
      </w:r>
    </w:p>
    <w:p w14:paraId="67E238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da je sežigalnica, ki jo namerava upravljati, namenjena termični obdelavi odpadkov z izkoriščanjem zgorevalne toplote za daljinsko ogrevanje v okviru izvajanja lokalne javne službe oskrbe s toplotno energijo oziroma soproizvodnjo toplotne in električne energije, in da se v času obratovanja poleg uporabe proizvedene toplotne in električne energije za lastno samooskrbno uporabo uporablja za navedeni namen; </w:t>
      </w:r>
    </w:p>
    <w:p w14:paraId="6CA6C2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dDa v okviru izvajanja državne javne službe lahko zagotovi sprejem odpadkov s kurilno vrednostjo višjo od 6.000 kJ/kg suhe snovi, ki je mejna vrednost za komunalne odpadke, ki se odlagajo na odlagališču za nenevarne odpadke;</w:t>
      </w:r>
    </w:p>
    <w:p w14:paraId="5492223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4. da ima pridobljeno ustrezno okoljevarstveno dovoljenje na podlagi zakona, ki ureja varstvo okolja, in druga predpisana dovoljenja in soglasja; </w:t>
      </w:r>
    </w:p>
    <w:p w14:paraId="0537A9D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da zagotovi finančno jamstvo za zavarovanje izvajanja ukrepov, določenih v okoljevarstvenem dovoljenju, in za primere, določene s to uredbo, za čas trajanja koncesijskega razmerja in izvajanja državne javne službe;.</w:t>
      </w:r>
    </w:p>
    <w:p w14:paraId="437C763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da po tem, ko mu je podeljena koncesija, koncesionar, prevzame pravno obliko družbe, po kateri ustanovitelji družbe za obveznosti družbe odgovarjajo z vsem svojim premoženjem;.</w:t>
      </w:r>
    </w:p>
    <w:p w14:paraId="18D05AF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7. da obveznosti do virov sredstev ne porežejo 66% sredstev v bilanci stanja koncesionarja;. </w:t>
      </w:r>
    </w:p>
    <w:p w14:paraId="0C3EDC6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 da od države, lokalne skupnosti ali družb v katerih je kot lastnik udeležena občina ali država, nima pridobljenega poroštva za obveznosti iz naslova zadolževanja.</w:t>
      </w:r>
    </w:p>
    <w:p w14:paraId="6299012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Koncesionar začne izvajati državno javno službo po pridobitvi pravnomočnega uporabnega in pravnomočnega okoljevarstvenega dovoljenja za obratovanje sežigalnice in izpolnitvi drugih pogojev iz te uredbe. </w:t>
      </w:r>
    </w:p>
    <w:p w14:paraId="22CE0A7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5733949"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p>
    <w:p w14:paraId="4069941D"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3.</w:t>
      </w:r>
      <w:r w:rsidRPr="00B74958">
        <w:rPr>
          <w:rFonts w:ascii="Arial" w:eastAsia="Times New Roman" w:hAnsi="Arial" w:cs="Times New Roman"/>
          <w:kern w:val="0"/>
          <w:sz w:val="20"/>
          <w14:ligatures w14:val="none"/>
        </w:rPr>
        <w:tab/>
        <w:t xml:space="preserve">Začetek in čas izvajanja koncesije </w:t>
      </w:r>
    </w:p>
    <w:p w14:paraId="2D63FA4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26.</w:t>
      </w:r>
      <w:r w:rsidRPr="00B74958">
        <w:rPr>
          <w:rFonts w:ascii="Arial" w:hAnsi="Arial"/>
          <w:b/>
          <w:kern w:val="0"/>
          <w:sz w:val="20"/>
          <w14:ligatures w14:val="none"/>
        </w:rPr>
        <w:tab/>
        <w:t xml:space="preserve"> člen</w:t>
      </w:r>
    </w:p>
    <w:p w14:paraId="6F850BD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(začetek koncesije)</w:t>
      </w:r>
    </w:p>
    <w:p w14:paraId="5E23609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0E3C56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Koncesijsko razmerje se začne s podpisom koncesijske pogodbe.</w:t>
      </w:r>
    </w:p>
    <w:p w14:paraId="3BBFB22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4218CE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6276FD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27.</w:t>
      </w:r>
      <w:r w:rsidRPr="00B74958">
        <w:rPr>
          <w:rFonts w:ascii="Arial" w:hAnsi="Arial"/>
          <w:b/>
          <w:kern w:val="0"/>
          <w:sz w:val="20"/>
          <w14:ligatures w14:val="none"/>
        </w:rPr>
        <w:tab/>
        <w:t xml:space="preserve"> člen</w:t>
      </w:r>
    </w:p>
    <w:p w14:paraId="41FAFAA7"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(čas izvajanja koncesije državne javne službe)</w:t>
      </w:r>
    </w:p>
    <w:p w14:paraId="546EA73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410EA6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Čas izvajanja koncesije je do 30 let od pridobitve pravnomočnega uporabnega dovoljenja za sežigalnico.</w:t>
      </w:r>
    </w:p>
    <w:p w14:paraId="07FE397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EEEF986"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4.</w:t>
      </w:r>
      <w:r w:rsidRPr="00B74958">
        <w:rPr>
          <w:rFonts w:ascii="Arial" w:eastAsia="Times New Roman" w:hAnsi="Arial" w:cs="Times New Roman"/>
          <w:kern w:val="0"/>
          <w:sz w:val="20"/>
          <w14:ligatures w14:val="none"/>
        </w:rPr>
        <w:tab/>
        <w:t>Postopek izbire koncesionarja</w:t>
      </w:r>
    </w:p>
    <w:p w14:paraId="70E7501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4F9387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28.</w:t>
      </w:r>
      <w:r w:rsidRPr="00B74958">
        <w:rPr>
          <w:rFonts w:ascii="Arial" w:hAnsi="Arial"/>
          <w:b/>
          <w:kern w:val="0"/>
          <w:sz w:val="20"/>
          <w14:ligatures w14:val="none"/>
        </w:rPr>
        <w:tab/>
        <w:t xml:space="preserve"> člen</w:t>
      </w:r>
    </w:p>
    <w:p w14:paraId="17F8BFB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(oblika in postopek javnega razpisa)</w:t>
      </w:r>
    </w:p>
    <w:p w14:paraId="3CDED0A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AF6767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Koncesija se podeli na podlagi javnega razpisa. </w:t>
      </w:r>
    </w:p>
    <w:p w14:paraId="6C2BCC7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74F8FC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Obvestilo o javnem razpisu za podelitev koncesije se objavi na portalu javnih naročil in v Uradnem listu Evropske unije ter na uradni spletni strani koncedenta. </w:t>
      </w:r>
    </w:p>
    <w:p w14:paraId="724C898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D44187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Postopek izvedbe javnega razpisa se izvede po postopku konkurenčnega dialoga v skladu z določbami zakona, ki ureja javno -zasebno partnerstvo, in zakona, ki ureja nekatere koncesijske pogodbe. </w:t>
      </w:r>
    </w:p>
    <w:p w14:paraId="386C72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379A15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Obvestilo o javnem razpisu za podelitev koncesije in razpisna koncesijska dokumentacija vsebujeta zlasti:</w:t>
      </w:r>
    </w:p>
    <w:p w14:paraId="5C2F255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navedbo in sedež koncedenta;</w:t>
      </w:r>
    </w:p>
    <w:p w14:paraId="17B7CD2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podatke o objavi koncesijskega akta;</w:t>
      </w:r>
    </w:p>
    <w:p w14:paraId="014514A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predmet in obseg koncesije;</w:t>
      </w:r>
    </w:p>
    <w:p w14:paraId="5235FDD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4. začetek in predvideni čas trajanja koncesije; </w:t>
      </w:r>
    </w:p>
    <w:p w14:paraId="7C5823A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postopek izbire koncesionarja;</w:t>
      </w:r>
    </w:p>
    <w:p w14:paraId="5C5BCCD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razloge za izključitev in pogoje za sodelovanje;</w:t>
      </w:r>
    </w:p>
    <w:p w14:paraId="48CDA5E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7. cilje koncedenta v zvezi s predmetom koncesije; </w:t>
      </w:r>
    </w:p>
    <w:p w14:paraId="1461597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 merila za izbor koncesionarja;</w:t>
      </w:r>
    </w:p>
    <w:p w14:paraId="75B1206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9. način dokazovanja izpolnjevanja pogojev za sodelovanje;</w:t>
      </w:r>
    </w:p>
    <w:p w14:paraId="2736411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10. pogoje za predložitev skupne vloge in vloge za izvajanje koncesije s podizvajalci;</w:t>
      </w:r>
    </w:p>
    <w:p w14:paraId="676C692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11. druge obvezne sestavine prijave in drugo potrebno dokumentacijo;</w:t>
      </w:r>
    </w:p>
    <w:p w14:paraId="450B97F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12. način zavarovanja resnosti prijave in obveznost zavarovanja za dobro izvedbo pogodbenih obveznosti s finančnim zavarovanjem, unovčljivim na prvi poziv;</w:t>
      </w:r>
    </w:p>
    <w:p w14:paraId="68D10C6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13. kraj in rok za predložitev prijav, zahteve za njihovo predložitev;</w:t>
      </w:r>
    </w:p>
    <w:p w14:paraId="36D4F3E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14. naslov, prostor, datum in uro javnega odpiranja prijav;</w:t>
      </w:r>
    </w:p>
    <w:p w14:paraId="229DB8C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15. rok, v katerem bodo kandidati obveščeni o izbiri koncesionarja oziroma izidu postopka, in okvirni rok za končanje postopka;</w:t>
      </w:r>
    </w:p>
    <w:p w14:paraId="17C5F47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16. pravila za sporočanje, zahteve in obvestila o dodatnih informacijah in kontaktne osebe za informacije med postopkom izbire koncesionarja;</w:t>
      </w:r>
    </w:p>
    <w:p w14:paraId="204175F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17. osnutek koncesijske pogodbe;</w:t>
      </w:r>
    </w:p>
    <w:p w14:paraId="0A5675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18. druge podatke v skladu s predpisi, ki urejajo koncesije javnih služb varstva okolja, in naravo stvari, potrebnih za izvedbo javnega razpisa.</w:t>
      </w:r>
    </w:p>
    <w:p w14:paraId="31D9CB9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B631E1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Obvestilo o javnem razpisu za podelitev koncesije in razpisna koncesijska dokumentacija morata biti medsebojno skladna.</w:t>
      </w:r>
    </w:p>
    <w:p w14:paraId="74863CD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CD8A77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Koncedent od dneva objave obvestila o javnem razpisu za podelitev koncesije omogoči neomejen, popoln, neposreden in brezplačen dostop do razpisne koncesijske dokumentacije. V besedilu obvestila o javnem razpisu za podelitev koncesije se navede spletni naslov, na katerem je dostopna razpisna koncesijska dokumentacija.</w:t>
      </w:r>
    </w:p>
    <w:p w14:paraId="7E9D9C9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F8DC35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V razpisni koncesijski dokumentaciji morajo biti navedeni vsi podatki, ki bodo omogočili kandidatu izdelati popolno prijavo.</w:t>
      </w:r>
    </w:p>
    <w:p w14:paraId="7C8CDE1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33001D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 Rok za oddajo prijav je najmanj 180 dni od obvezne objave iz drugega odstavka tega člena.</w:t>
      </w:r>
    </w:p>
    <w:p w14:paraId="23C2D8C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5038EC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48865F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29.</w:t>
      </w:r>
      <w:r w:rsidRPr="00B74958">
        <w:rPr>
          <w:rFonts w:ascii="Arial" w:hAnsi="Arial"/>
          <w:b/>
          <w:kern w:val="0"/>
          <w:sz w:val="20"/>
          <w14:ligatures w14:val="none"/>
        </w:rPr>
        <w:tab/>
        <w:t xml:space="preserve"> člen</w:t>
      </w:r>
    </w:p>
    <w:p w14:paraId="2FBD9FF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(pogoji za sodelovanje v postopku javnega razpisa za podelitev koncesije)</w:t>
      </w:r>
    </w:p>
    <w:p w14:paraId="18AF50C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8BBA28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V postopku javnega razpisa za podelitev koncesije lahko sodelujejo pravne osebe ali skupine pravnih oseb. </w:t>
      </w:r>
    </w:p>
    <w:p w14:paraId="7157485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C7F4B5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Vsaka oseba lahko vloži le eno vlogo (prijavo). V primeru skupne prijave sme biti ista oseba ali njena povezana družba udeležena le pri eni (skupni) prijavi. Če ista oseba sodeluje na več vlogah, je vsaka taka vloga nepravilna.</w:t>
      </w:r>
    </w:p>
    <w:p w14:paraId="7A7AD7C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5B4881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V prijavi na javni razpis mora prijavitelj dokazati, da izpolnjuje pogoje, potrebne za udeležbo, določene s smiselno uporabo določb zakona, ki ureja postopek oddaje javnih naročil, ob tem pa mora prijavitelj dokazati oziroma mora predložiti listine:</w:t>
      </w:r>
    </w:p>
    <w:p w14:paraId="09D6C1F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da koncesionarju ali osebi, ki je članica upravnega, vodstvenega ali nadzornega organa tega koncesionarja ali ima pooblastila za njegovo zastopanje, ali odločanje, ali nadzor v njem, ni bila izrečena pravnomočna sodba zaradi kaznivih dejanj, navedenih v prvem odstavku 75. člena Zakona o javnem naročanju (Uradni list RS, št. 91/15, 14/18, 121/21, 10/22,  74/22 – odl. US, 100/22 – ZNUZSZS, 28/23 in 88/23 – ZOPNN-F, v nadaljnjem besedilu: ZJN-3);</w:t>
      </w:r>
    </w:p>
    <w:p w14:paraId="0EDAE24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da ima izpolnjene obvezne dajatve in druge denarne nedavčne obveznosti v skladu z zakonom, ki ureja finančno upravo, v skladu s predpisi države, v kateri ima sedež, ali predpisi države koncedenta; </w:t>
      </w:r>
    </w:p>
    <w:p w14:paraId="7E27088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da je na dan oddaje vloge ali prijave imel predložene vse obračune davčnih odtegljajev za dohodke iz delovnega razmerja za zadnjih pet let do dne oddaje vloge ali prijave; </w:t>
      </w:r>
    </w:p>
    <w:p w14:paraId="3A7EAA8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4. da ni uvrščen v evidenco gospodarskih subjektov z negativnimi referencami; </w:t>
      </w:r>
    </w:p>
    <w:p w14:paraId="286129E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5. da mu v zadnjih treh letih pred potekom roka za oddajo prijav ni bila s pravnomočno odločbo pristojnega organa Republike Slovenije, ali druge države članice, ali tretje države dvakrat izrečena globa zaradi prekrška v zvezi s plačilom za delo, počitki, opravljanjem dela na podlagi pogodb civilnega prava kljub obstoju elementov delovnega razmerja ali v zvezi z zaposlovanjem na črno; </w:t>
      </w:r>
    </w:p>
    <w:p w14:paraId="32915E7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6. da nad njim ni začet postopek zaradi insolventnosti ali prisilnega prenehanja po zakonu, ki ureja postopek zaradi insolventnosti in prisilnega prenehanja, ali postopek likvidacije po zakonu, ki ureja gospodarske družbe, da prijaviteljevih sredstev ali poslovanja ne upravlja upravitelj ali sodišče, da prijaviteljeve poslovne dejavnosti začasno niso ustavljene, da v skladu s predpisi druge države nad koncesionarjem ni začet postopek ali pa je nastal položaj z enakimi pravnimi posledicami; </w:t>
      </w:r>
    </w:p>
    <w:p w14:paraId="0DE26D2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7. da ni uvrščen v evidenco poslovnih subjektov, ki jim je prepovedano poslovanje s koncedentom na podlagi zakona, ki ureja integriteto in preprečevanje korupcije; </w:t>
      </w:r>
    </w:p>
    <w:p w14:paraId="42831EA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8. da v zadnjih 12 mesecih pred izdajo dokazila ni imel blokiranih poslovnih računov; </w:t>
      </w:r>
    </w:p>
    <w:p w14:paraId="3B3CD00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9. da predloži finančni načrt, iz katerega so razvidni vsi stroški izvedbe projekta, da navede vire financiranja za pokritje predvidenih stroškov in izkaže, da razpolaga s finančnimi sredstvi, potrebnimi za izvedbo predvidene investicije v infrastrukturo, ki je potrebna za izvajanje storitev državne javne službe, ter izkaže predlagano dolžino izvajanja koncesije; </w:t>
      </w:r>
    </w:p>
    <w:p w14:paraId="2706709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10. da predloži načrt, iz katerega je razvidno kako bo izpolnil zahteve iz 2 točke prvega odstavka 26. člena. Načrt med drugim vsebuje tudi že obstoječe vire toplote za daljinsko ogrevanje z navedbo podatka ali jih nova sežigalnica nadomešča ali dopolnjuje. Poleg mora biti  načrt vsebovati podatek ali je za dosego ciljev potrebna širitev omrežja daljinskega ogrevanja. </w:t>
      </w:r>
    </w:p>
    <w:p w14:paraId="3D194F7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11. da poda pisno izjavo, da bo, če bo izbran, sprejel vse obveznosti, določene s tem koncesijskim aktom, razpisno koncesijsko dokumentacijo in vzorcem koncesijske pogodbe;</w:t>
      </w:r>
    </w:p>
    <w:p w14:paraId="0F09FAB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12. da izkaže druge pogoje, določene v razpisni koncesijski dokumentaciji v zvezi z oddajo prijave. </w:t>
      </w:r>
    </w:p>
    <w:p w14:paraId="0CE5308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F846FC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(4) Oseba iz prejšnjega odstavka, ki še nima sežigalnice odpadkov iz 2. točke prvega odstavka 25. člena te uredbe, lahko sodeluje v postopku javnega razpisa za podelitev koncesije, če poda izjavo, v kateri se zaveže, da bo sežigalnico za sežiganje gorljivih komunalnih odpadkov zgradila in začela opravljanje državne javne službe najkasneje v sedmih letih od podelitve koncesije. </w:t>
      </w:r>
    </w:p>
    <w:p w14:paraId="26C12E5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w:t>
      </w:r>
      <w:r w:rsidRPr="00B74958">
        <w:rPr>
          <w:rFonts w:ascii="Arial" w:eastAsia="Times New Roman" w:hAnsi="Arial" w:cs="Times New Roman"/>
          <w:kern w:val="0"/>
          <w:sz w:val="20"/>
          <w:szCs w:val="24"/>
          <w14:ligatures w14:val="none"/>
        </w:rPr>
        <w:tab/>
        <w:t>Nazivna zmogljivost sežiganja posamezne nove sežigalnice iz prejšnjega odstavka ne sme presegati razpisane količine odpadkov za izvajanje državne javne službe za več kot 25 odstotkov. Skupna zmogljivost obstoječih in novih sežigalnic s podeljenimi koncesijami ne sme presegati letne količine iz šestega odstavka 6. člena te uredbe za več kot 25 odstotkov.</w:t>
      </w:r>
    </w:p>
    <w:p w14:paraId="5C1B7B8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55F8FB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(6) Prijavitelj mora izpolnjevati tudi morebitne druge pogoje za izvajanje dejavnosti, ki jih določajo predpisi, ki urejajo koncesije javnih služb varstva okolja, predpisi, ki urejajo javno-zasebno partnerstvo, predpisi, ki urejajo nekatere koncesijske pogodbe in drugi predpisi, ki urejajo podeljevanje koncesij. </w:t>
      </w:r>
    </w:p>
    <w:p w14:paraId="5E18270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F9D49E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30.</w:t>
      </w:r>
      <w:r w:rsidRPr="00B74958">
        <w:rPr>
          <w:rFonts w:ascii="Arial" w:hAnsi="Arial"/>
          <w:b/>
          <w:kern w:val="0"/>
          <w:sz w:val="20"/>
          <w14:ligatures w14:val="none"/>
        </w:rPr>
        <w:tab/>
        <w:t xml:space="preserve"> člen</w:t>
      </w:r>
    </w:p>
    <w:p w14:paraId="3029C68A"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(merila za izbiro koncesionarja)</w:t>
      </w:r>
    </w:p>
    <w:p w14:paraId="4DB273E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521426C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Za izvajanje koncesije se izbere najugodnejša ponudba na podlagi naslednjih meril:</w:t>
      </w:r>
    </w:p>
    <w:p w14:paraId="6A1F6D7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projektirane vrednosti emisij onesnaževal v okolje, ki  morajo biti utemeljene z opisom čistilnih sistemov emisij in podatki o njihovi učinkovitosti za posamezna onesnaževala (ponudnik, ki ponudi najnižje vrednosti oziroma najnižje projektirane vrednosti onesnaževal v okolje, lahko doseže največje število točk); </w:t>
      </w:r>
    </w:p>
    <w:p w14:paraId="52B64BC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ocena osnovnih značilnosti lokacije predvidene sežigalnice na podlagi gostote naseljenosti, geografske lege in meteoroloških pogojev ter obstoječega stanja okolja (predhodna onesnaženost oziroma drugi viri onesnaženja);</w:t>
      </w:r>
    </w:p>
    <w:p w14:paraId="36863FA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energijska učinkovitost sežiganja odpadkov, podana kot bruto energijski izkoristek ali bruto električni izkoristek, določen v skladu z Izvedbenim sklepom Komisije (EU) 2019/2010 z dne 12. novembra 2019 o določitvi zaključkov o najboljših razpoložljivih tehnikah (BAT) za sežiganje odpadkov na podlagi Direktive 2010/75/EU Evropskega parlamenta in Sveta o industrijskih emisijah (celovito preprečevanje in nadzorovanje onesnaževanja) (UL L št. 334 z dne 17.12.2010, str. 17), zadnjič spremenjene z Direktivo (EU) 2024/1785 Evropskega parlamenta in Sveta z dne 24. aprila 2024 o spremembi Direktive 2010/75/EU Evropskega parlamenta in Sveta o industrijskih emisijah (celovito preprečevanje in nadzorovanje onesnaževanja) in Direktivo Sveta 1999/31/ES o odlagališčih odpadkov (UL L št. 2024/1785 z dne 15.7.2024) (v okviru tega merila največja ponujena energijska učinkovitost lahko doseže največje število točk);</w:t>
      </w:r>
    </w:p>
    <w:p w14:paraId="5744B72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energetska učinkovitost sežigalnice, določena v skladu s predpisom, ki ureja ravnanje z odpadki (v okviru tega merila lahko največja ponujena energetska učinkovitost doseže največje število točk);</w:t>
      </w:r>
    </w:p>
    <w:p w14:paraId="0232D93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čas vzpostavitve izvajanja storitev državne javne službe (ponudnik, ki ponudi najkrajši čas vzpostavitve državne javne službe, lahko doseže največje število točk);</w:t>
      </w:r>
    </w:p>
    <w:p w14:paraId="73C4C7F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predvidena cena storitev državne javne službe na tono sežganih gorljivih komunalnih odpadkov (ponudnik, ki ponudi najnižjo ceno za opravljanje storitev javne službe, lahko doseže največje število točk).</w:t>
      </w:r>
    </w:p>
    <w:p w14:paraId="5F38EBA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5B680F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Vrstni red in utež posameznih meril iz prejšnjega odstavka ter minimalno število točk za prehajanje med fazami konkurenčnega dialoga in za izbor se določijo v razpisni koncesijski dokumentaciji. Pri tem posamezno merilo ne more prevladati vseh ostalih meril. </w:t>
      </w:r>
    </w:p>
    <w:p w14:paraId="657DC51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4FEE2E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Ponudba se šteje za nedopustno, če čas vzpostavitve državne javne službe presega sedem let. </w:t>
      </w:r>
    </w:p>
    <w:p w14:paraId="61530F0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A7392D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Merila, po katerih koncedent izbira najugodnejšo prijavo, morajo biti v razpisni koncesijski dokumentaciji opisana in ovrednotena (določen način njihove uporabe).</w:t>
      </w:r>
    </w:p>
    <w:p w14:paraId="4ED46CF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665F29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(5) Ponudba je za predlagatelja zavezujoča, neizpolnjevanje ponudbe v času izvajanja koncesije pa razlog za prekinitev koncesijskega razmerja iz krivdnih razlogov koncesionarja. </w:t>
      </w:r>
    </w:p>
    <w:p w14:paraId="5017512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9924DD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CC216A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w:t>
      </w:r>
      <w:r w:rsidRPr="00B74958">
        <w:rPr>
          <w:rFonts w:ascii="Arial" w:eastAsia="Times New Roman" w:hAnsi="Arial" w:cs="Times New Roman"/>
          <w:kern w:val="0"/>
          <w:sz w:val="20"/>
          <w:szCs w:val="24"/>
          <w14:ligatures w14:val="none"/>
        </w:rPr>
        <w:tab/>
        <w:t>Organ, ki opravi izbor koncesionarja, in organ, pristojen za sklenitev koncesijske pogodbe</w:t>
      </w:r>
    </w:p>
    <w:p w14:paraId="6CEC498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FCCBA4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31.</w:t>
      </w:r>
      <w:r w:rsidRPr="00B74958">
        <w:rPr>
          <w:rFonts w:ascii="Arial" w:hAnsi="Arial"/>
          <w:b/>
          <w:kern w:val="0"/>
          <w:sz w:val="20"/>
          <w14:ligatures w14:val="none"/>
        </w:rPr>
        <w:tab/>
        <w:t xml:space="preserve"> člen</w:t>
      </w:r>
    </w:p>
    <w:p w14:paraId="2C13C6C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(uspešnost javnega razpisa)</w:t>
      </w:r>
    </w:p>
    <w:p w14:paraId="0DBCCF7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F6F59D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Javni razpis je uspešen, če je prispela vsaj ena pravočasna in dopustna prijava.</w:t>
      </w:r>
    </w:p>
    <w:p w14:paraId="0DD6C95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3F659C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Prijava je dopustna, če vsebuje vse v javnem razpisu zahtevane podatke, prijavitelj pa izpolnjuje pogoje za sodelovanje in ni izključen iz postopka izbire koncesionarja.</w:t>
      </w:r>
    </w:p>
    <w:p w14:paraId="1CDF255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7A7A88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Če koncedent ne pridobi nobene prijave ali pa so te nedopustne, se javni razpis ponovi.</w:t>
      </w:r>
    </w:p>
    <w:p w14:paraId="35FA53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F6C23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Javni razpis se ponovi tudi, če koncesionar ni bil izbran ali če z osebo, ki je bila v predpisanem roku izbrana za koncesionarja, ni bila sklenjena koncesijska pogodba.</w:t>
      </w:r>
    </w:p>
    <w:p w14:paraId="528F40A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CB1354A"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32.</w:t>
      </w:r>
      <w:r w:rsidRPr="00B74958">
        <w:rPr>
          <w:rFonts w:ascii="Arial" w:hAnsi="Arial"/>
          <w:b/>
          <w:kern w:val="0"/>
          <w:sz w:val="20"/>
          <w14:ligatures w14:val="none"/>
        </w:rPr>
        <w:tab/>
        <w:t xml:space="preserve"> člen</w:t>
      </w:r>
    </w:p>
    <w:p w14:paraId="15564F2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(izbira koncesionarja)</w:t>
      </w:r>
    </w:p>
    <w:p w14:paraId="2B28050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956BB2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Odpiranje prijav, njihovo strokovno presojo, izbiro kandidatov, s katerimi se vodi dialog, namenjen ugotovitvi in opredelitvi sredstev ter najprimernejših rešitev za zadovoljitev ciljev in potreb koncedenta, vodenje dialoga, poziv kandidatom, da predložijo ponudbe, pripravljene ob upoštevanju rešitev, predstavljenih in opredeljenih med dialogom, poziv ponudnikom, da svoje ponudbe pojasnijo, podrobno opišejo in v podrobnostih uskladijo s koncedentovimi potrebami, oceno ponudb na podlagi meril, ki so bila za oceno določena v javnem razpisu, ter sestavo poročila za koncedenta po končanem pregledu in vrednotenju končne ponudbe opravi strokovna komisija.</w:t>
      </w:r>
    </w:p>
    <w:p w14:paraId="4F56DBE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23EF5B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Strokovno komisijo iz prejšnjega odstavka imenuje vlada. Strokovno komisijo sestavljajo predsednik in pet članov oziroma članic (v nadaljnjem besedilu: član): po dva predstavnika ministrstva in ministrstva, pristojnega za finance, ter en predstavnik ministrstva, pristojnega za zdravje in ministrstva pristojnega za prostor. Predsednika strokovne komisije, ki vodi in usklajuje njeno delo, imenuje vlada izmed predstavnikov ministrstva..</w:t>
      </w:r>
    </w:p>
    <w:p w14:paraId="54668F8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D9C300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Pri imenovanju predsednika in članov strokovne komisije je treba upoštevati določbe o preprečevanju nasprotja interesov iz 91. člena ZJN-3. Izpolnjevanje teh pogojev potrdi vsak član strokovne komisije s pisno izjavo. Če član strokovne komisije naknadno izve za katero od dejstev, ki bi lahko predstavljalo to nasprotje interesov, mora takoj predlagati svojo izločitev, vlada pa na predlog pristojnega ministrstva imenuje nadomestnega člana. Člani strokovne komisije ne smejo neposredno komunicirati s prijavitelji, ampak le preko koncedenta. </w:t>
      </w:r>
    </w:p>
    <w:p w14:paraId="6BEACF5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A21E86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Postopek izbire koncesionarja vodi ministrstvo.</w:t>
      </w:r>
    </w:p>
    <w:p w14:paraId="71DD3AC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F2537E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Ministrstvo odloči o izboru koncesionarja z odločitvijo o izbiri koncesionarja, ki je akt poslovanja, v zvezi s katerim se uporablja zakon, ki ureja nekatere koncesijske pogodbe.</w:t>
      </w:r>
    </w:p>
    <w:p w14:paraId="61DDFDD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C6117E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Koncedent izbere enega ali več prijaviteljev ali skupino prijaviteljev na podlagi meril, ki so določena s to uredbo, če so izpolnjeni vsi naslednji pogoji:</w:t>
      </w:r>
    </w:p>
    <w:p w14:paraId="53DE9BC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- 1. ponudba je v skladu z minimalnimi zahtevami, ki so določene s to uredbo,</w:t>
      </w:r>
    </w:p>
    <w:p w14:paraId="1E0A4D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- 2. ponudnik izpolnjuje pogoje za sodelovanje in</w:t>
      </w:r>
    </w:p>
    <w:p w14:paraId="0C3BA57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- 3. ponudnik ni izključen iz sodelovanja v postopku izbire koncesionarja.</w:t>
      </w:r>
    </w:p>
    <w:p w14:paraId="6746F48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820EC3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Odločitev o izboru preneha veljati, če v 30 dneh od pravnomočnosti obvestila o izboru ni sklenjena koncesijska pogodba iz razlogov, ki so na strani koncesionarja, kar se tudi izrecno navede v razpisni dokumentaciji in obvestilu o izboru.</w:t>
      </w:r>
    </w:p>
    <w:p w14:paraId="1213B54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91E4BD2"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6.</w:t>
      </w:r>
      <w:r w:rsidRPr="00B74958">
        <w:rPr>
          <w:rFonts w:ascii="Arial" w:eastAsia="Times New Roman" w:hAnsi="Arial" w:cs="Times New Roman"/>
          <w:kern w:val="0"/>
          <w:sz w:val="20"/>
          <w14:ligatures w14:val="none"/>
        </w:rPr>
        <w:tab/>
        <w:t>Koncesijsko razmerje</w:t>
      </w:r>
    </w:p>
    <w:p w14:paraId="3A4F87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81820D4"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33.</w:t>
      </w:r>
      <w:r w:rsidRPr="00B74958">
        <w:rPr>
          <w:rFonts w:ascii="Arial" w:hAnsi="Arial"/>
          <w:b/>
          <w:kern w:val="0"/>
          <w:sz w:val="20"/>
          <w14:ligatures w14:val="none"/>
        </w:rPr>
        <w:tab/>
        <w:t xml:space="preserve"> člen</w:t>
      </w:r>
    </w:p>
    <w:p w14:paraId="70B0287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(razporeditev tveganj)</w:t>
      </w:r>
    </w:p>
    <w:p w14:paraId="310CAFE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4EC4E89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Koncesionar med trajanjem koncesije prevzema večino operativnih tveganj, povezanih z izvajanjem koncesije, ki se podrobneje določijo s koncesijsko pogodbo. </w:t>
      </w:r>
    </w:p>
    <w:p w14:paraId="731BC11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ACC9B0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34.</w:t>
      </w:r>
      <w:r w:rsidRPr="00B74958">
        <w:rPr>
          <w:rFonts w:ascii="Arial" w:hAnsi="Arial"/>
          <w:b/>
          <w:kern w:val="0"/>
          <w:sz w:val="20"/>
          <w14:ligatures w14:val="none"/>
        </w:rPr>
        <w:tab/>
        <w:t xml:space="preserve"> člen</w:t>
      </w:r>
    </w:p>
    <w:p w14:paraId="6665250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(sklenitev koncesijske pogodbe)</w:t>
      </w:r>
    </w:p>
    <w:p w14:paraId="514964B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07A89F2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Koncesionar pridobi pravice in dolžnosti iz koncesijskega razmerja s sklenitvijo koncesijske pogodbe v pisni obliki. Veljavnost koncesijske pogodbe je vezana na predložitev finančnega jamstva za pravočasen začetek izvajanja pogodbenih obveznosti v višini in pod pogoji, ki se podrobneje določi v razpisni koncesijski dokumentaciji in vzorcu koncesijske pogodbe.</w:t>
      </w:r>
    </w:p>
    <w:p w14:paraId="6AEEBE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420BFC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Najkasneje osem dni po pravnomočnosti odločitve o izboru pošlje koncedent izbranemu koncesionarju v podpis koncesijsko pogodbo, ki ne sme bistveno odstopati od vzorca koncesijske pogodbe iz koncesijske dokumentacije, razen če je bila v postopku izbire koncesionarja posamezna določba osnutka pogodbe predmet pogajanj med koncedentom in koncesionarjem. Koncesijsko pogodbo mora koncesionar skleniti v 45 dneh od prejema. Koncesijska pogodba začne veljati z dnem podpisa obeh pogodbenih strank.</w:t>
      </w:r>
    </w:p>
    <w:p w14:paraId="5769279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8212CA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35.</w:t>
      </w:r>
      <w:r w:rsidRPr="00B74958">
        <w:rPr>
          <w:rFonts w:ascii="Arial" w:hAnsi="Arial"/>
          <w:b/>
          <w:kern w:val="0"/>
          <w:sz w:val="20"/>
          <w14:ligatures w14:val="none"/>
        </w:rPr>
        <w:tab/>
        <w:t xml:space="preserve"> člen</w:t>
      </w:r>
    </w:p>
    <w:p w14:paraId="2BBA666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(koncesijska pogodba)</w:t>
      </w:r>
    </w:p>
    <w:p w14:paraId="28F804C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DDCA52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S koncesijsko pogodbo koncedent in koncesionar podrobno uredita medsebojna razmerja v zvezi z izvajanjem predmeta koncesije. S to pogodbo se uredijo tudi vsa vprašanja v zvezi z izvajanjem državne javne službe. Koncesijska pogodba mora vsebovati vse, kar kot obvezne sestavine koncesijske pogodbe določa zakon, ki ureja nekatere koncesijske pogodbe.</w:t>
      </w:r>
    </w:p>
    <w:p w14:paraId="24B7C47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8F9157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V koncesijski pogodbi se določijo predvidene letne količine gorljivih komunalnih odpadkov, ki jih koncesionarju zagotavljajo uporabniki iz posameznih centrov za ravnanje s komunalnimi odpadki.</w:t>
      </w:r>
    </w:p>
    <w:p w14:paraId="46BA842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C6D806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V koncesijski pogodbi se glede izvajanja državne javne službe določijo finančna jamstva, ki jih mora koncesionar zagotoviti za primere zastojev pri termični obdelavi gorljivih komunalnih odpadkov v sežigalnici, zaradi katerih se lahko ti kopičijo.</w:t>
      </w:r>
    </w:p>
    <w:p w14:paraId="0FE4936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EF81DC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V koncesijski pogodbi se določijo tudi pogoji in način izvajanja državne javne službe za primer nastanka višje sile in izrednih razmer.</w:t>
      </w:r>
    </w:p>
    <w:p w14:paraId="1F9C289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4CD66D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6EF455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36.</w:t>
      </w:r>
      <w:r w:rsidRPr="00B74958">
        <w:rPr>
          <w:rFonts w:ascii="Arial" w:hAnsi="Arial"/>
          <w:b/>
          <w:kern w:val="0"/>
          <w:sz w:val="20"/>
          <w14:ligatures w14:val="none"/>
        </w:rPr>
        <w:tab/>
        <w:t xml:space="preserve"> člen</w:t>
      </w:r>
    </w:p>
    <w:p w14:paraId="7443B80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(finančno jamstvo)</w:t>
      </w:r>
    </w:p>
    <w:p w14:paraId="64F8B35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404408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Koncesionar mora za čas trajanja koncesijskega razmerja za izvajanje državne javne službe zagotavljati finančno jamstvo za zavarovanje izvedbe ukrepov, določenih v okoljevarstvenem dovoljenju (v nadaljnjem besedilu: finančno jamstvo), in če:</w:t>
      </w:r>
    </w:p>
    <w:p w14:paraId="222B8E6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pride do čezmerne obremenitve okolja, da se zagotovi izvedbo ukrepov za odpravo čezmerne obremenitve okolja; </w:t>
      </w:r>
    </w:p>
    <w:p w14:paraId="7C02AA5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koncesionar preneha opravljati dejavnost ali pride do prenehanja koncesionarja in koncesionar ni poskrbel za ostanke sežiga gorljivih komunalnih odpadkov v skladu s predpisi, ki urejajo odpadke, ali ni zagotovil sežiga gorljivih komunalnih odpadkov, ki jih je prevzel; </w:t>
      </w:r>
    </w:p>
    <w:p w14:paraId="0D4E53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koncesionar ne zagotovi izvajanja obratovalnega monitoringa in ne zagotovi spremljanja stanja okolja, če je to predpisano v okoljevarstvenem dovoljenju; </w:t>
      </w:r>
    </w:p>
    <w:p w14:paraId="10F78AE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koncesionar ne izvrši pravnomočne odločbe o dovolitvi izvršbe pristojne inšpekcijske službe in</w:t>
      </w:r>
    </w:p>
    <w:p w14:paraId="0397F8B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5. koncesionar ne začne izvajati državne javne službe v roku iz ponudbe ali koncesijske pogodbe, pri čemer velja krajši rok. </w:t>
      </w:r>
    </w:p>
    <w:p w14:paraId="782E2F1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ED0992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Ministrstvo v imenu koncedenta na podlagi ugotovitev pristojne inšpekcije unovči finančno jamstvo. </w:t>
      </w:r>
    </w:p>
    <w:p w14:paraId="439088A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AD6F81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Finančno jamstvo se zagotovi kot bančna garancija na prvi poziv ali zavarovalna polica in se unovči, če koncesionar ne izvede predpisanih ukrepov in obveznosti v primerih iz prvega odstavka tega člena. </w:t>
      </w:r>
    </w:p>
    <w:p w14:paraId="43F91FA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740A04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Višina finančnega jamstva se določi v koncesijski pogodbi in se izračuna na podlagi naslednje enačbe:</w:t>
      </w:r>
    </w:p>
    <w:p w14:paraId="15510C9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15C1BE6" w14:textId="77777777" w:rsidR="00B74958" w:rsidRPr="00B74958" w:rsidRDefault="00B74958" w:rsidP="00B74958">
      <w:pPr>
        <w:pBdr>
          <w:top w:val="single" w:sz="4" w:space="1" w:color="auto"/>
          <w:left w:val="single" w:sz="4" w:space="4" w:color="auto"/>
          <w:bottom w:val="single" w:sz="4" w:space="1" w:color="auto"/>
          <w:right w:val="single" w:sz="4" w:space="4" w:color="auto"/>
        </w:pBdr>
        <w:tabs>
          <w:tab w:val="left" w:pos="708"/>
        </w:tabs>
        <w:spacing w:before="40" w:after="40" w:line="240" w:lineRule="auto"/>
        <w:jc w:val="center"/>
        <w:rPr>
          <w:rFonts w:ascii="Arial" w:eastAsia="Times New Roman" w:hAnsi="Arial" w:cs="Times New Roman"/>
          <w:b/>
          <w:bCs/>
          <w:i/>
          <w:iCs/>
          <w:kern w:val="0"/>
          <w:szCs w:val="28"/>
          <w14:ligatures w14:val="none"/>
        </w:rPr>
      </w:pPr>
      <w:r w:rsidRPr="00B74958">
        <w:rPr>
          <w:rFonts w:ascii="Arial" w:eastAsia="Times New Roman" w:hAnsi="Arial" w:cs="Times New Roman"/>
          <w:b/>
          <w:bCs/>
          <w:i/>
          <w:iCs/>
          <w:kern w:val="0"/>
          <w:szCs w:val="28"/>
          <w14:ligatures w14:val="none"/>
        </w:rPr>
        <w:t>višina finančnega jamstva = Q x C x 0,5</w:t>
      </w:r>
    </w:p>
    <w:p w14:paraId="25A71EB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753573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v kateri je:</w:t>
      </w:r>
    </w:p>
    <w:p w14:paraId="73457394" w14:textId="77777777" w:rsidR="00B74958" w:rsidRPr="00B74958" w:rsidRDefault="00B74958" w:rsidP="00B74958">
      <w:pPr>
        <w:spacing w:after="0" w:line="260" w:lineRule="atLeast"/>
        <w:rPr>
          <w:rFonts w:ascii="Arial" w:eastAsia="Times New Roman" w:hAnsi="Arial" w:cs="Times New Roman"/>
          <w:kern w:val="0"/>
          <w:sz w:val="20"/>
          <w:szCs w:val="24"/>
          <w14:ligatures w14:val="none"/>
        </w:rPr>
      </w:pPr>
      <w:r w:rsidRPr="00B74958">
        <w:rPr>
          <w:rFonts w:ascii="Arial" w:eastAsia="Times New Roman" w:hAnsi="Arial" w:cs="Times New Roman"/>
          <w:b/>
          <w:bCs/>
          <w:kern w:val="0"/>
          <w:sz w:val="20"/>
          <w:szCs w:val="24"/>
          <w14:ligatures w14:val="none"/>
        </w:rPr>
        <w:t xml:space="preserve">Q </w:t>
      </w:r>
      <w:r w:rsidRPr="00B74958">
        <w:rPr>
          <w:rFonts w:ascii="Arial" w:eastAsia="Times New Roman" w:hAnsi="Arial" w:cs="Times New Roman"/>
          <w:kern w:val="0"/>
          <w:sz w:val="20"/>
          <w:szCs w:val="24"/>
          <w14:ligatures w14:val="none"/>
        </w:rPr>
        <w:t xml:space="preserve">– </w:t>
      </w:r>
      <w:r w:rsidRPr="00B74958">
        <w:rPr>
          <w:rFonts w:ascii="Arial" w:eastAsia="Times New Roman" w:hAnsi="Arial" w:cs="Times New Roman"/>
          <w:kern w:val="0"/>
          <w:sz w:val="20"/>
          <w:szCs w:val="24"/>
          <w14:ligatures w14:val="none"/>
        </w:rPr>
        <w:tab/>
        <w:t>predvidena letna količina sežganih komunalnih odpadkov po koncesijski pogodbi (v tonah),</w:t>
      </w:r>
    </w:p>
    <w:p w14:paraId="4A6FE11D" w14:textId="77777777" w:rsidR="00B74958" w:rsidRPr="00B74958" w:rsidRDefault="00B74958" w:rsidP="00B74958">
      <w:pPr>
        <w:spacing w:after="0" w:line="260" w:lineRule="atLeast"/>
        <w:rPr>
          <w:rFonts w:ascii="Arial" w:eastAsia="Times New Roman" w:hAnsi="Arial" w:cs="Times New Roman"/>
          <w:kern w:val="0"/>
          <w:sz w:val="20"/>
          <w:szCs w:val="24"/>
          <w14:ligatures w14:val="none"/>
        </w:rPr>
      </w:pPr>
      <w:r w:rsidRPr="00B74958">
        <w:rPr>
          <w:rFonts w:ascii="Arial" w:eastAsia="Times New Roman" w:hAnsi="Arial" w:cs="Times New Roman"/>
          <w:b/>
          <w:bCs/>
          <w:kern w:val="0"/>
          <w:sz w:val="20"/>
          <w:szCs w:val="24"/>
          <w14:ligatures w14:val="none"/>
        </w:rPr>
        <w:t xml:space="preserve">C </w:t>
      </w:r>
      <w:r w:rsidRPr="00B74958">
        <w:rPr>
          <w:rFonts w:ascii="Arial" w:eastAsia="Times New Roman" w:hAnsi="Arial" w:cs="Times New Roman"/>
          <w:kern w:val="0"/>
          <w:sz w:val="20"/>
          <w:szCs w:val="24"/>
          <w14:ligatures w14:val="none"/>
        </w:rPr>
        <w:t xml:space="preserve">– </w:t>
      </w:r>
      <w:r w:rsidRPr="00B74958">
        <w:rPr>
          <w:rFonts w:ascii="Arial" w:eastAsia="Times New Roman" w:hAnsi="Arial" w:cs="Times New Roman"/>
          <w:kern w:val="0"/>
          <w:sz w:val="20"/>
          <w:szCs w:val="24"/>
          <w14:ligatures w14:val="none"/>
        </w:rPr>
        <w:tab/>
        <w:t xml:space="preserve">cena storitve državne javne službe sežiganja gorljivih komunalnih odpadkov (euro/tono), določena s sklepom Vlade o določitvi cene državne javne službe, </w:t>
      </w:r>
    </w:p>
    <w:p w14:paraId="411BE230" w14:textId="77777777" w:rsidR="00B74958" w:rsidRPr="00B74958" w:rsidRDefault="00B74958" w:rsidP="00B74958">
      <w:pPr>
        <w:spacing w:after="0" w:line="260" w:lineRule="atLeast"/>
        <w:rPr>
          <w:rFonts w:ascii="Arial" w:eastAsia="Times New Roman" w:hAnsi="Arial" w:cs="Times New Roman"/>
          <w:kern w:val="0"/>
          <w:sz w:val="20"/>
          <w:szCs w:val="24"/>
          <w14:ligatures w14:val="none"/>
        </w:rPr>
      </w:pPr>
      <w:r w:rsidRPr="00B74958">
        <w:rPr>
          <w:rFonts w:ascii="Arial" w:eastAsia="Times New Roman" w:hAnsi="Arial" w:cs="Times New Roman"/>
          <w:b/>
          <w:bCs/>
          <w:kern w:val="0"/>
          <w:sz w:val="20"/>
          <w:szCs w:val="24"/>
          <w14:ligatures w14:val="none"/>
        </w:rPr>
        <w:t>0,5</w:t>
      </w:r>
      <w:r w:rsidRPr="00B74958">
        <w:rPr>
          <w:rFonts w:ascii="Arial" w:eastAsia="Times New Roman" w:hAnsi="Arial" w:cs="Times New Roman"/>
          <w:kern w:val="0"/>
          <w:sz w:val="20"/>
          <w:szCs w:val="24"/>
          <w14:ligatures w14:val="none"/>
        </w:rPr>
        <w:t xml:space="preserve"> – </w:t>
      </w:r>
      <w:r w:rsidRPr="00B74958">
        <w:rPr>
          <w:rFonts w:ascii="Arial" w:eastAsia="Times New Roman" w:hAnsi="Arial" w:cs="Times New Roman"/>
          <w:kern w:val="0"/>
          <w:sz w:val="20"/>
          <w:szCs w:val="24"/>
          <w14:ligatures w14:val="none"/>
        </w:rPr>
        <w:tab/>
        <w:t>korekcijski faktor.</w:t>
      </w:r>
    </w:p>
    <w:p w14:paraId="65C11E4E" w14:textId="77777777" w:rsidR="00B74958" w:rsidRPr="00B74958" w:rsidRDefault="00B74958" w:rsidP="00B74958">
      <w:pPr>
        <w:spacing w:after="0" w:line="260" w:lineRule="atLeast"/>
        <w:rPr>
          <w:rFonts w:ascii="Arial" w:eastAsia="Times New Roman" w:hAnsi="Arial" w:cs="Times New Roman"/>
          <w:kern w:val="0"/>
          <w:sz w:val="20"/>
          <w:szCs w:val="24"/>
          <w14:ligatures w14:val="none"/>
        </w:rPr>
      </w:pPr>
    </w:p>
    <w:p w14:paraId="3CB4927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Finančno jamstvo se izda za celotno obdobje trajanja koncesijskega razmerja. Če se finančno jamstvo unovči, mora koncesionar zagotoviti novo finančno jamstvo v 30 dneh od unovčitve prejšnjega. Če koncesionar ne zagotovi novega finančnega jamstva, lahko koncedent razdre koncesijsko pogodbo, koncesionar pa ni upravičen do odškodnine.</w:t>
      </w:r>
    </w:p>
    <w:p w14:paraId="7664C4C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2DE4B2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Upravičenec do sredstev finančnega jamstva iz tega člena je ministrstvo, pri čemer se sredstva finančnega zavarovanja porabijo najkasneje v roku dveh let za plačilo nastalih stroškov zaradi izvedbe naslednjih ukrepov:</w:t>
      </w:r>
    </w:p>
    <w:p w14:paraId="74F5116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odprava čezmerne obremenitve okolja;</w:t>
      </w:r>
    </w:p>
    <w:p w14:paraId="78AA2D4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zagotovitev sežiga gorljivih komunalnih odpadkov, ki jih je koncesionar prevzel, vendar jih ni sežgal;</w:t>
      </w:r>
    </w:p>
    <w:p w14:paraId="3398F7D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zagotovitev odstranitve ostankov sežiga gorljivih komunalnih odpadkov v skladu s predpisi, ki urejajo odpadke;</w:t>
      </w:r>
    </w:p>
    <w:p w14:paraId="0E69636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izvedba ukrepov, ki jih je z odločbo koncesionarju naložil inšpektor, pristojen za okolje, če jih koncesionar ni izvedel v roku, ki mu je bil določen z odločbo o dovolitvi izvršbe.</w:t>
      </w:r>
    </w:p>
    <w:p w14:paraId="7C172DE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048B55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(7) Če višina finančnega jamstva ne zadošča za plačilo vseh nastalih stroškov, je izvajalec državne javne službe dolžan plačati razliko do polne višine nastalih stroškov. Pri tem za obveznosti koncesionarja solidarno odgovarjajo njegovi ustanovitelji. </w:t>
      </w:r>
    </w:p>
    <w:p w14:paraId="2061638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3352B1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 Unovčenje finančnega jamstva ne odvezuje koncesionarja odgovornosti za morebitno povzročeno okoljsko škodo. Za morebitno povzročeno okoljsko škodo,  solidarno odgovarjajo tudi ustanovitelji koncesionarja.</w:t>
      </w:r>
    </w:p>
    <w:p w14:paraId="39C29F1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A5D323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(9) Koncesionar mora finančno jamstvo predložiti koncedentu najkasneje v 30 dneh pred začetkom izvajanja državne javne službe. Predložitev finančnega jamstva je pogoj za veljavnost koncesijske pogodbe in izvajanje državne javne službe. </w:t>
      </w:r>
    </w:p>
    <w:p w14:paraId="645CE03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A1295A4"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37.</w:t>
      </w:r>
      <w:r w:rsidRPr="00B74958">
        <w:rPr>
          <w:rFonts w:ascii="Arial" w:hAnsi="Arial"/>
          <w:b/>
          <w:kern w:val="0"/>
          <w:sz w:val="20"/>
          <w14:ligatures w14:val="none"/>
        </w:rPr>
        <w:tab/>
        <w:t xml:space="preserve"> člen</w:t>
      </w:r>
    </w:p>
    <w:p w14:paraId="1603917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 xml:space="preserve">(koncesionarjev pravni monopol) </w:t>
      </w:r>
    </w:p>
    <w:p w14:paraId="21F14B3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0E0536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Koncesionar ima na podlagi koncesijske pogodbe na območju izvajanja državne javne službe, za katero ima pridobljeno koncesijo, posebno oziroma izključno pravico opravljati storitve, ki so predmet državne javne službe.</w:t>
      </w:r>
    </w:p>
    <w:p w14:paraId="78EC740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22B1F2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Storitve iz prejšnjega odstavka mora koncesionar opravljati v svojem imenu in za svoj račun.</w:t>
      </w:r>
    </w:p>
    <w:p w14:paraId="6B58193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DCCA707"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38.</w:t>
      </w:r>
      <w:r w:rsidRPr="00B74958">
        <w:rPr>
          <w:rFonts w:ascii="Arial" w:hAnsi="Arial"/>
          <w:b/>
          <w:kern w:val="0"/>
          <w:sz w:val="20"/>
          <w14:ligatures w14:val="none"/>
        </w:rPr>
        <w:tab/>
        <w:t xml:space="preserve"> člen</w:t>
      </w:r>
    </w:p>
    <w:p w14:paraId="1F30932F"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(razmerje med koncesijsko pogodbo in koncesijskim aktom)</w:t>
      </w:r>
    </w:p>
    <w:p w14:paraId="258B2B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703FA3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V primeru neskladja med koncesijskim aktom in koncesijsko pogodbo velja koncesijski akt. Koncesijska pogodba, ki je v nasprotju s predpisi, ki urejajo koncesijske pogodbe  ali to uredbo, je v tem delu neveljavna.</w:t>
      </w:r>
    </w:p>
    <w:p w14:paraId="1EA2276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DCD9E9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39.</w:t>
      </w:r>
      <w:r w:rsidRPr="00B74958">
        <w:rPr>
          <w:rFonts w:ascii="Arial" w:hAnsi="Arial"/>
          <w:b/>
          <w:kern w:val="0"/>
          <w:sz w:val="20"/>
          <w14:ligatures w14:val="none"/>
        </w:rPr>
        <w:tab/>
        <w:t xml:space="preserve"> člen</w:t>
      </w:r>
    </w:p>
    <w:p w14:paraId="6448CA7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(sprememba koncesijskega akta po sklenitvi koncesijske pogodbe)</w:t>
      </w:r>
    </w:p>
    <w:p w14:paraId="578CDE8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52418E9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Po sklenitvi koncesijske pogodbe lahko koncedent spremeni koncesijski akt, če je treba v javnem interesu spremeniti način in pogoje izvajanja koncesije ali izvesti druge ukrepe v javnem interesu ali zaradi sprememb količin trdnih gorljivih odpadkov, ki nastajajo na območju Republike Slovenije, vse v skladu s predpisi s področja podeljevanja koncesij. Spremembe koncesijskega akta so v tem primeru lahko podlaga za spremembo koncesijske pogodbe.</w:t>
      </w:r>
    </w:p>
    <w:p w14:paraId="38086E3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678ACF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E8F4A2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40.</w:t>
      </w:r>
      <w:r w:rsidRPr="00B74958">
        <w:rPr>
          <w:rFonts w:ascii="Arial" w:hAnsi="Arial"/>
          <w:b/>
          <w:kern w:val="0"/>
          <w:sz w:val="20"/>
          <w14:ligatures w14:val="none"/>
        </w:rPr>
        <w:tab/>
        <w:t xml:space="preserve"> člen</w:t>
      </w:r>
    </w:p>
    <w:p w14:paraId="6A1D9C2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(trajanje koncesijske pogodbe)</w:t>
      </w:r>
    </w:p>
    <w:p w14:paraId="0CFB7A8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6984D0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Trajanje koncesijskega razmerja je opredeljeno s koncesijsko pogodbo.</w:t>
      </w:r>
    </w:p>
    <w:p w14:paraId="3BD00A6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72B7A0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Koncesijsko obdobje začne teči z dnem začetka veljavnosti koncesijske pogodbe.</w:t>
      </w:r>
    </w:p>
    <w:p w14:paraId="19F5B81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2A2FCE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V koncesijski rok se ne šteje čas, ko zaradi višje sile ali razlogov na strani koncedenta koncesionar ne more opravljati dejavnosti državne javne službe, ki je predmet koncesijskega razmerja.</w:t>
      </w:r>
    </w:p>
    <w:p w14:paraId="41CD018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0BFBF0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710687B"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7.</w:t>
      </w:r>
      <w:r w:rsidRPr="00B74958">
        <w:rPr>
          <w:rFonts w:ascii="Arial" w:eastAsia="Times New Roman" w:hAnsi="Arial" w:cs="Times New Roman"/>
          <w:kern w:val="0"/>
          <w:sz w:val="20"/>
          <w14:ligatures w14:val="none"/>
        </w:rPr>
        <w:tab/>
        <w:t>Razmerja koncesionarja do uporabnikov in koncedenta</w:t>
      </w:r>
    </w:p>
    <w:p w14:paraId="1B84F0C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614ED2F"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41.</w:t>
      </w:r>
      <w:r w:rsidRPr="00B74958">
        <w:rPr>
          <w:rFonts w:ascii="Arial" w:hAnsi="Arial"/>
          <w:b/>
          <w:kern w:val="0"/>
          <w:sz w:val="20"/>
          <w14:ligatures w14:val="none"/>
        </w:rPr>
        <w:tab/>
        <w:t xml:space="preserve"> člen</w:t>
      </w:r>
    </w:p>
    <w:p w14:paraId="7BDC127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(izvajanje dejavnosti državne javne službe)</w:t>
      </w:r>
    </w:p>
    <w:p w14:paraId="44BC683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AF801A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Koncesionar je dolžan izvajati dejavnost državne javne službe tako, kot je določeno v predpisih ki urejajo izvajanje javnih služb varstva okolja, v predpisih, ki urejajo koncesije in s koncesijsko pogodbo. </w:t>
      </w:r>
    </w:p>
    <w:p w14:paraId="6763D8B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C7E43D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Koncesionar nosi vse stroške v zvezi z izvajanjem državne javne službe.</w:t>
      </w:r>
    </w:p>
    <w:p w14:paraId="12FD7B0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1649E6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Koncesionar mora izvajati državno javno službo s svojimi kadrovskimi, finančnimi in tehničnimi zmogljivostmi redno in nemoteno ves čas veljavnosti koncesijske pogodbe.</w:t>
      </w:r>
    </w:p>
    <w:p w14:paraId="2C1E4C8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16AD93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(4) Koncesionar mora zagotoviti izvajanje državne javne službe v polnem obsegu tudi v primeru stavke pri njem zaposlenih delavcev. </w:t>
      </w:r>
    </w:p>
    <w:p w14:paraId="1B1B1A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9C8D17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Če koncesionar po preteku sedmih dni od začetka stavke ne more zagotoviti izvajanja državne javne službe, koncedent odloči, da:</w:t>
      </w:r>
    </w:p>
    <w:p w14:paraId="2819CD1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za njegove uporabnike storitev državne javne službe opravlja te storitve drug izvajalec javne službe ali</w:t>
      </w:r>
    </w:p>
    <w:p w14:paraId="00DE41E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mora predati koncedentu za čas stavke na voljo opremo, objekte, naprave in vozila za izvajanje državne javne službe za plačilo za njihovo uporabo v skladu s koncesijsko pogodbo.</w:t>
      </w:r>
    </w:p>
    <w:p w14:paraId="699209A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288953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42.</w:t>
      </w:r>
      <w:r w:rsidRPr="00B74958">
        <w:rPr>
          <w:rFonts w:ascii="Arial" w:hAnsi="Arial"/>
          <w:b/>
          <w:kern w:val="0"/>
          <w:sz w:val="20"/>
          <w14:ligatures w14:val="none"/>
        </w:rPr>
        <w:tab/>
        <w:t xml:space="preserve"> člen</w:t>
      </w:r>
    </w:p>
    <w:p w14:paraId="6CD0827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(obveščanje koncedenta)</w:t>
      </w:r>
    </w:p>
    <w:p w14:paraId="16291CB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24069E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Koncesionar mora pisno obveščati  koncedenta o vseh pomembnih dogodkih in okoliščinah, ki bi lahko vplivali na izvajanje koncesije, kot so: </w:t>
      </w:r>
    </w:p>
    <w:p w14:paraId="3C2ADA2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postopki poravnave, arbitražni postopki ali sodni spori koncesionarja v zvezi s koncesijo; </w:t>
      </w:r>
    </w:p>
    <w:p w14:paraId="5300800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stavke in drugi dogodki, zaradi katerih pride do motenj v izvajanju koncesije; </w:t>
      </w:r>
    </w:p>
    <w:p w14:paraId="553BA52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poškodbe infrastrukture, ki onemogočajo izvajanje koncesije; </w:t>
      </w:r>
    </w:p>
    <w:p w14:paraId="6C3B3CC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vsi primeri višje sile.</w:t>
      </w:r>
    </w:p>
    <w:p w14:paraId="379885C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7151D0BA"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43.</w:t>
      </w:r>
      <w:r w:rsidRPr="00B74958">
        <w:rPr>
          <w:rFonts w:ascii="Arial" w:hAnsi="Arial"/>
          <w:b/>
          <w:kern w:val="0"/>
          <w:sz w:val="20"/>
          <w14:ligatures w14:val="none"/>
        </w:rPr>
        <w:tab/>
        <w:t xml:space="preserve"> člen</w:t>
      </w:r>
    </w:p>
    <w:p w14:paraId="6AC165C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(odgovornost koncesionarja)</w:t>
      </w:r>
    </w:p>
    <w:p w14:paraId="186B81F4"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6F65399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Za izvajanje koncesije v skladu s predpisi, ki urejajo izvajanje javnih služb varstva okolja in predpisi, ki urejajo koncesijo, je odgovoren koncesionar.</w:t>
      </w:r>
    </w:p>
    <w:p w14:paraId="1960434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D01F5C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Koncesionar je v skladu s predpisi odgovoren za vso škodo, ki jo pri opravljanju oziroma izvajanju ali v zvezi z izvajanjem koncesije povzročijo pri njem zaposleni delavci ali pogodbeni (pod)izvajalci koncedentu, uporabnikom ali tretjim osebam. Koncedent za to škodo ne odgovarja.</w:t>
      </w:r>
    </w:p>
    <w:p w14:paraId="6F3DA35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AB0EDB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Koncesionar je hkrati s sklenitvijo koncesijske pogodbe dolžan na podlagi splošne civilne odgovornosti z zavarovalnico skleniti zavarovalno pogodbo za škodo z najnižjo višino enotne zavarovalne vsote, ki bo določena s koncesijsko pogodbo – zavarovanje dejavnosti. Zavarovalna pogodba mora vsebovati klavzulo ali drugo dokazilo o vinkulaciji zavarovalne police v korist koncedenta..</w:t>
      </w:r>
    </w:p>
    <w:p w14:paraId="609D6C7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256CDE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726B585"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44.</w:t>
      </w:r>
      <w:r w:rsidRPr="00B74958">
        <w:rPr>
          <w:rFonts w:ascii="Arial" w:hAnsi="Arial"/>
          <w:b/>
          <w:kern w:val="0"/>
          <w:sz w:val="20"/>
          <w14:ligatures w14:val="none"/>
        </w:rPr>
        <w:tab/>
        <w:t xml:space="preserve"> člen</w:t>
      </w:r>
    </w:p>
    <w:p w14:paraId="130E808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(dolžnosti in pravice koncedenta)</w:t>
      </w:r>
    </w:p>
    <w:p w14:paraId="2E66041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AB733D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Dolžnosti koncedenta so zlasti: </w:t>
      </w:r>
    </w:p>
    <w:p w14:paraId="014D221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zagotavljanje pogojev za izvajanje državne javne službe tako, kot je določeno v predpisih ki urejajo izvajanje javnih služb varstva okolja, v predpisih, ki urejajo koncesije in drugih zavezujočih aktih,</w:t>
      </w:r>
    </w:p>
    <w:p w14:paraId="0720A0E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pisno obveščanje koncesionarja o morebitnih ugovorih oziroma pritožbah uporabnikov. </w:t>
      </w:r>
    </w:p>
    <w:p w14:paraId="09CA40C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F24A6E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Pravice koncedenta so zlasti: </w:t>
      </w:r>
    </w:p>
    <w:p w14:paraId="2C2353A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1.vsebinski in finančni nadzor nad izvajanjem državne javne službe; </w:t>
      </w:r>
    </w:p>
    <w:p w14:paraId="624E0A0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druge pravice, določene predpisih ki urejajo izvajanje javnih služb varstva okolja, v predpisih, ki urejajo koncesije in koncesijsko pogodbo. </w:t>
      </w:r>
    </w:p>
    <w:p w14:paraId="66E449A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EEAABB7"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45.</w:t>
      </w:r>
      <w:r w:rsidRPr="00B74958">
        <w:rPr>
          <w:rFonts w:ascii="Arial" w:hAnsi="Arial"/>
          <w:b/>
          <w:kern w:val="0"/>
          <w:sz w:val="20"/>
          <w14:ligatures w14:val="none"/>
        </w:rPr>
        <w:tab/>
        <w:t xml:space="preserve"> člen</w:t>
      </w:r>
    </w:p>
    <w:p w14:paraId="6BCA64B8"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(pravice uporabnikov)</w:t>
      </w:r>
    </w:p>
    <w:p w14:paraId="4E86CD7F"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2486554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Uporabniki imajo v razmerju do koncesionarja zlasti pravico do: </w:t>
      </w:r>
    </w:p>
    <w:p w14:paraId="5082845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trajnega, rednega in nemotenega zagotavljanja storitev državne javne službe; </w:t>
      </w:r>
    </w:p>
    <w:p w14:paraId="3A1B1D7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enake obravnave glede kakovosti in dostopnosti storitev državne javne službe; </w:t>
      </w:r>
    </w:p>
    <w:p w14:paraId="3D4683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uporabljanja storitve državne javne službe pod pogoji, določenimi v predpisih ki urejajo izvajanje javnih služb varstva okolja.</w:t>
      </w:r>
    </w:p>
    <w:p w14:paraId="551F3AC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A1DE99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895FEEB"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8.</w:t>
      </w:r>
      <w:r w:rsidRPr="00B74958">
        <w:rPr>
          <w:rFonts w:ascii="Arial" w:eastAsia="Times New Roman" w:hAnsi="Arial" w:cs="Times New Roman"/>
          <w:kern w:val="0"/>
          <w:sz w:val="20"/>
          <w14:ligatures w14:val="none"/>
        </w:rPr>
        <w:tab/>
        <w:t>Pravice in obveznosti koncesionarja</w:t>
      </w:r>
    </w:p>
    <w:p w14:paraId="0D6173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EA2B30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46.</w:t>
      </w:r>
      <w:r w:rsidRPr="00B74958">
        <w:rPr>
          <w:rFonts w:ascii="Arial" w:hAnsi="Arial"/>
          <w:b/>
          <w:kern w:val="0"/>
          <w:sz w:val="20"/>
          <w14:ligatures w14:val="none"/>
        </w:rPr>
        <w:tab/>
        <w:t xml:space="preserve"> člen</w:t>
      </w:r>
    </w:p>
    <w:p w14:paraId="72BA7C9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(pravice koncesionarja)</w:t>
      </w:r>
    </w:p>
    <w:p w14:paraId="774B7D0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609833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Koncesionar lahko hkrati z izvajanjem državne javne službe opravlja tudi drugo dejavnost, za katero je registriran, če to ne vpliva na izvajanje državne javne službe, pri čemer se med druge dejavnosti šteje tudi sežiganje odpadkov, ki ni predmet izvajanja državne javne službe.</w:t>
      </w:r>
    </w:p>
    <w:p w14:paraId="55FAA11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B02518A"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47.</w:t>
      </w:r>
      <w:r w:rsidRPr="00B74958">
        <w:rPr>
          <w:rFonts w:ascii="Arial" w:hAnsi="Arial"/>
          <w:b/>
          <w:kern w:val="0"/>
          <w:sz w:val="20"/>
          <w14:ligatures w14:val="none"/>
        </w:rPr>
        <w:tab/>
        <w:t xml:space="preserve"> člen</w:t>
      </w:r>
    </w:p>
    <w:p w14:paraId="72FEC35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(obveznosti koncesionarja)</w:t>
      </w:r>
    </w:p>
    <w:p w14:paraId="3299DBB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38FE5C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Koncesionar ne sme opravljati dejavnosti, ki bi bila v nasprotju z namenom ali načinom izvajanja državne javne službe.</w:t>
      </w:r>
    </w:p>
    <w:p w14:paraId="526E263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6BD8EB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Če koncesionar izvaja tudi drugo dejavnost iz prejšnjega člena, mora za izvajanje državne javne službe voditi ločeno računovodstvo in zagotoviti ločeno spremljanje stroškov izvajanja državne javne službe in stroškov druge dejavnosti, ki jo izvaja.</w:t>
      </w:r>
    </w:p>
    <w:p w14:paraId="1118977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7775E4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Za vodenje ločenih računovodskih evidenc iz prejšnjega odstavka se uporabljajo ista sodila, za vsako poslovno leto. Sodila, ki so namenjena razporejanju posrednih stroškov po dejavnostih, morajo temeljiti na računovodskih načelih.</w:t>
      </w:r>
    </w:p>
    <w:p w14:paraId="3969F1B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06BAF0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Sodila za razporejanje posrednih stroškov morajo temeljiti na aktivnostih, ki te stroške povzročajo. Če teh aktivnosti ni mogoče določiti, se uporabijo sodila delitve posrednih stroškov na podlagi deleža neposrednih stroškov.</w:t>
      </w:r>
    </w:p>
    <w:p w14:paraId="2E25C74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A5AC9A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Sodila in njihovo spremembo sprejme organ nadzora koncesionarja na predlog organa vodenja koncesionarja.</w:t>
      </w:r>
    </w:p>
    <w:p w14:paraId="07F7FE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FF3788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Sodila in pravilnost njihove uporabe ob letni reviziji računovodskih izkazov preveri pooblaščeni revizor in pri prvi preveritvi ali spremembi sodil ali njihove uporabe izda na podlagi Mednarodnega standarda sorodnih storitev 4400 (Posli opravljanja dogovorjenih postopkov) pisno poročilo o njihovi ustreznosti. Če revizor ugotovi, da organizacija v povezavi s sodili ni upoštevala zakonov in drugih predpisov, oceni učinek neupoštevanja na računovodske izkaze, in če je učinek pomemben, izrazi v skladu z MSR 705 (Prilagoditve mnenja v poročilu neodvisnega revizorja) v svojem poročilu o računovodskih izkazih mnenje s pridržki ali odklonilno mnenje. Če revizor v povezavi s sodili nima pripomb k upoštevanju predpisov, doda v revizorjevo poročilo poseben odstavek o poudarjanju zadeve, ki vsebuje ustrezno pojasnilo.</w:t>
      </w:r>
    </w:p>
    <w:p w14:paraId="4A64199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D37101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Če koncesionar ni zavezan k obvezni reviziji računovodskih izkazov, revizor ustreznost sodil in pravilnost njihove uporabe preveri na podlagi pogodbe najpozneje do konca aprila tekočega leta za preteklo leto.</w:t>
      </w:r>
    </w:p>
    <w:p w14:paraId="447253A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100C23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 Koncesionar mora zagotoviti tudi, da:</w:t>
      </w:r>
    </w:p>
    <w:p w14:paraId="4528159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se gorljivi komunalni odpadki pred sežigom zaradi kontinuiranega procesa redno prevzemajo in prehodno hranijo v zalogovnikih na okolju neškodljiv način;</w:t>
      </w:r>
    </w:p>
    <w:p w14:paraId="2DD233A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se pred prevzemom teh odpadkov ugotovijo njihove kemijske in fizikalne lastnosti v skladu s predpisi, ki urejajo sežiganje odpadkov v sežigalnicah;</w:t>
      </w:r>
    </w:p>
    <w:p w14:paraId="74136A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sežig poteka v skladu s predpisi, ki urejajo sežiganje odpadkov v sežigalnicah;</w:t>
      </w:r>
    </w:p>
    <w:p w14:paraId="27DD0D2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je uporabnikom storitev državne javne službe na voljo celotna, s koncesijo določena zmogljivost zgrajene infrastrukture državne javne službe;</w:t>
      </w:r>
    </w:p>
    <w:p w14:paraId="664E4BA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so uporabniki storitev državne javne službe stalno in pravočasno oskrbljeni s storitvami državne javne službe;</w:t>
      </w:r>
    </w:p>
    <w:p w14:paraId="64BA737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izvaja koncesijo skrbno in strokovno v skladu s predpisi, ki urejajo izvajanje javnih služb varstva okolja, s predpisi, ki urejajo koncesije in s koncesijsko pogodbo;</w:t>
      </w:r>
    </w:p>
    <w:p w14:paraId="5FEC252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ves čas izpolnjuje pogoje, določene v 25. členu te uredbe;</w:t>
      </w:r>
    </w:p>
    <w:p w14:paraId="0159EDE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 vodi obratovalni dnevnik v skladu s predpisom, ki ureja sežiganje odpadkov v sežigalnicah;</w:t>
      </w:r>
    </w:p>
    <w:p w14:paraId="7207D11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9. redno izvaja meritve proizvedene toplotne in električne energije z merili, ki morajo biti redno overjena v skladu s predpisom, ki ureja postopek overitve meril, ko obstaja predpis, ki ureja tehnične in meroslovne zahteve za ta merila, ali z napravami, ki morajo biti redno kalibrirane, v primerih, ko ne obstaja predpis, ki bi urejal tehnične in meroslovne zahteve za te naprave;</w:t>
      </w:r>
    </w:p>
    <w:p w14:paraId="30ED3EF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10. upošteva tehnične in druge normative in standarde, povezane z izvajanjem državne javne službe;</w:t>
      </w:r>
    </w:p>
    <w:p w14:paraId="1895666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11. sprotno in strokovno vodi poslovne knjige;</w:t>
      </w:r>
    </w:p>
    <w:p w14:paraId="3686E4C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12. pripravi poslovne načrte in letna poročila;</w:t>
      </w:r>
    </w:p>
    <w:p w14:paraId="70043C5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13. poroča koncedentu o izvajanju koncesije;</w:t>
      </w:r>
    </w:p>
    <w:p w14:paraId="6D8C252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14. redno izvaja obratovalni monitoring v skladu z okoljevarstvenim dovoljenjem in spremlja stanja okolja, če je to predpisano v okoljevarstvenem dovoljenju, in</w:t>
      </w:r>
    </w:p>
    <w:p w14:paraId="347A4F1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15. omogoča nemoten nadzor nad izvajanjem državne javne službe.</w:t>
      </w:r>
    </w:p>
    <w:p w14:paraId="5338096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7CE9B0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C1E1BC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48.</w:t>
      </w:r>
      <w:r w:rsidRPr="00B74958">
        <w:rPr>
          <w:rFonts w:ascii="Arial" w:hAnsi="Arial"/>
          <w:b/>
          <w:kern w:val="0"/>
          <w:sz w:val="20"/>
          <w14:ligatures w14:val="none"/>
        </w:rPr>
        <w:tab/>
        <w:t xml:space="preserve"> člen</w:t>
      </w:r>
    </w:p>
    <w:p w14:paraId="6A1BAE8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(obveščanje javnosti)</w:t>
      </w:r>
    </w:p>
    <w:p w14:paraId="43025A3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4C4BB12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Koncesionar mora na svoji spletni strani obveščati javnost o izvajanju državne javne službe. Obveščanje javnosti zajema podatke o:</w:t>
      </w:r>
    </w:p>
    <w:p w14:paraId="0ED8998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monitoringu emisij snovi v zrak in podatke glede dodatne obremenitve zunanjega zraka, če gre za sežigalnico, za katero je treba zagotoviti ocenjevanje kakovosti zunanjega zraka v skladu s predpisom, ki ureja emisijo snovi v zrak iz nepremičnih virov onesnaževanja, na način da so podatki tekoče objavljeni in dostopni javnosti;</w:t>
      </w:r>
    </w:p>
    <w:p w14:paraId="2685F6B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monitoringu emisij snovi in toplote v vode ali kanalizacijo in spremljanju stanja kakovosti voda, če pri obratovanju sežigalnice nastaja odpadna industrijska voda, ki se odvaja v vode pod pogoji, zaradi katerih je to spremljanje določeno z okoljevarstvenim dovoljenjem na podlagi predpisov, ki urejajo emisijo snovi in toplote pri odvajanju odpadnih voda v vode in javno kanalizacijo;</w:t>
      </w:r>
    </w:p>
    <w:p w14:paraId="7C5729F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ocenjevanju hrupa, kot je določeno z okoljevarstvenim dovoljenjem na podlagi predpisov, ki urejajo mejne vrednosti kazalcev hrupa v okolju;</w:t>
      </w:r>
    </w:p>
    <w:p w14:paraId="36F2C8B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4. prevzetih količinah posamezne vrste gorljivih komunalnih odpadkov od posameznih uporabnikov državne javne službe, pri čemer morajo biti podatki podani po posameznih občinah; </w:t>
      </w:r>
    </w:p>
    <w:p w14:paraId="1B0C085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sežganih količinah posamezne vrste gorljivih komunalnih odpadkov;</w:t>
      </w:r>
    </w:p>
    <w:p w14:paraId="37A92AA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količini odpadkov, ki nastanejo po sežigu gorljivih komunalnih odpadkov;</w:t>
      </w:r>
    </w:p>
    <w:p w14:paraId="6FD721B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količini proizvedene toplotne energije;</w:t>
      </w:r>
    </w:p>
    <w:p w14:paraId="2B352E6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 količini proizvedene električne energije;</w:t>
      </w:r>
    </w:p>
    <w:p w14:paraId="3242768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9. načrtovanih ali nenačrtovanih izrednih zastojih pri obratovanju sežigalnice in</w:t>
      </w:r>
    </w:p>
    <w:p w14:paraId="3ACA8A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10. druge podatke, ki se določijo v koncesijski pogodbi.</w:t>
      </w:r>
    </w:p>
    <w:p w14:paraId="073A33A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EDB8AB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Vsi podatki in dokumenti iz prejšnjega odstavka morajo biti uporabnikom in javnosti dostopni na spletni strani koncesionarja še najmanj dve leti po prenehanju izvajanja državne javne službe.</w:t>
      </w:r>
    </w:p>
    <w:p w14:paraId="2764950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w:t>
      </w:r>
    </w:p>
    <w:p w14:paraId="58B5D02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Letna poročila iz vseh monitoringov, ki so zahtevana v okoljevarstvenem dovoljenju za obratovanje sežigalnice, se pošljejo tudi lokalni skupnosti, na območju katere se nahaja sežigalnica.</w:t>
      </w:r>
    </w:p>
    <w:p w14:paraId="51FF8B9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39AD96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9.</w:t>
      </w:r>
      <w:r w:rsidRPr="00B74958">
        <w:rPr>
          <w:rFonts w:ascii="Arial" w:eastAsia="Times New Roman" w:hAnsi="Arial" w:cs="Times New Roman"/>
          <w:kern w:val="0"/>
          <w:sz w:val="20"/>
          <w:szCs w:val="24"/>
          <w14:ligatures w14:val="none"/>
        </w:rPr>
        <w:tab/>
        <w:t>Enostranski ukrepi v javnem interesu</w:t>
      </w:r>
    </w:p>
    <w:p w14:paraId="76930B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21CBCC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49.</w:t>
      </w:r>
      <w:r w:rsidRPr="00B74958">
        <w:rPr>
          <w:rFonts w:ascii="Arial" w:hAnsi="Arial"/>
          <w:b/>
          <w:kern w:val="0"/>
          <w:sz w:val="20"/>
          <w14:ligatures w14:val="none"/>
        </w:rPr>
        <w:tab/>
        <w:t xml:space="preserve"> člen</w:t>
      </w:r>
    </w:p>
    <w:p w14:paraId="238224D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(enostranski ukrepi v javnem interesu)</w:t>
      </w:r>
    </w:p>
    <w:p w14:paraId="52CBEEB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4921CE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Koncedent lahko da z enostranskim ukrepom poseže v vzpostavljeno koncesijsko razmerje, ko je to nujno potrebno, da se zavaruje javni interes in doseže namen sklenjene koncesijske pogodbe. </w:t>
      </w:r>
    </w:p>
    <w:p w14:paraId="246BA0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003206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Kot enostranski ukrep iz prejšnjega odstavka lahko koncedent uporabi: </w:t>
      </w:r>
    </w:p>
    <w:p w14:paraId="22FEAE7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uvedbo izrednega nadzora nad izvajanjem koncesijske pogodbe; </w:t>
      </w:r>
    </w:p>
    <w:p w14:paraId="1F76E0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izdajo navodil, ki jih mora koncesionar obvezno upoštevati; </w:t>
      </w:r>
    </w:p>
    <w:p w14:paraId="2E82B78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enostransko odpoved pogodbe. </w:t>
      </w:r>
    </w:p>
    <w:p w14:paraId="67C76A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855E2E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Ukrep koncedenta mora biti skladen z načelom sorazmernosti in ne sme čezmerno obremenjevati koncesionarja. </w:t>
      </w:r>
    </w:p>
    <w:p w14:paraId="41EF358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0E6367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Način in pogoji uveljavitve enostranskih ukrepov v javnem interesu se podrobneje opredelijo s koncesijsko pogodbo.</w:t>
      </w:r>
    </w:p>
    <w:p w14:paraId="6AC36D2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6407FA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36D68B4"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10.</w:t>
      </w:r>
      <w:r w:rsidRPr="00B74958">
        <w:rPr>
          <w:rFonts w:ascii="Arial" w:eastAsia="Times New Roman" w:hAnsi="Arial" w:cs="Times New Roman"/>
          <w:kern w:val="0"/>
          <w:sz w:val="20"/>
          <w14:ligatures w14:val="none"/>
        </w:rPr>
        <w:tab/>
        <w:t>Poročanje in nadzor</w:t>
      </w:r>
    </w:p>
    <w:p w14:paraId="2756AF1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387B5D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50.</w:t>
      </w:r>
      <w:r w:rsidRPr="00B74958">
        <w:rPr>
          <w:rFonts w:ascii="Arial" w:hAnsi="Arial"/>
          <w:b/>
          <w:kern w:val="0"/>
          <w:sz w:val="20"/>
          <w14:ligatures w14:val="none"/>
        </w:rPr>
        <w:tab/>
        <w:t xml:space="preserve"> člen</w:t>
      </w:r>
    </w:p>
    <w:p w14:paraId="48579A39"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(vodenje evidenc)</w:t>
      </w:r>
    </w:p>
    <w:p w14:paraId="63C4617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FDCB7A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Koncesionar je dolžan vse potrebne evidence, poročila in drugo potrebno dokumentacijo, ki jih določajo ta uredba, koncesijska pogodba in okoljevarstveno dovoljenje, na zahtevo koncedenta predložiti koncedentu v 15 dneh.</w:t>
      </w:r>
    </w:p>
    <w:p w14:paraId="517E40D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38A0A0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Koncesionar mora zagotavljati vodenje evidenc v skladu s predpisi, ki urejajo odpadke in sežigalnice. Prav tako mora zagotoviti vodenje evidence o:</w:t>
      </w:r>
    </w:p>
    <w:p w14:paraId="11AEFEB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količini proizvedene toplote,</w:t>
      </w:r>
    </w:p>
    <w:p w14:paraId="016F770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količini porabljene in količini oddane toplote,</w:t>
      </w:r>
    </w:p>
    <w:p w14:paraId="2C34E26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količini proizvedene električne energije in </w:t>
      </w:r>
    </w:p>
    <w:p w14:paraId="03DEC4D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količini porabljene in količini oddane električne energije.</w:t>
      </w:r>
    </w:p>
    <w:p w14:paraId="14314FC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2CDFF7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(3) Koncesionar mora ministrstvu letno poročati o poslovanju poslovnoizidne enote, na način in v rokih, določenih s to uredbo. </w:t>
      </w:r>
    </w:p>
    <w:p w14:paraId="73CF221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C5C57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Koncesionar mora podatke v evidencah iz drugega odstavka tega člena hraniti do iztekov roka hrambe v skladu s predpisi, ki urejajo delovno področje, razen če niso na podlagi zakona, ki ureja arhivsko gradivo in arhive, opredeljeni kot arhivsko gradivo.</w:t>
      </w:r>
    </w:p>
    <w:p w14:paraId="2D864C8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4318C1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51.</w:t>
      </w:r>
      <w:r w:rsidRPr="00B74958">
        <w:rPr>
          <w:rFonts w:ascii="Arial" w:hAnsi="Arial"/>
          <w:b/>
          <w:kern w:val="0"/>
          <w:sz w:val="20"/>
          <w14:ligatures w14:val="none"/>
        </w:rPr>
        <w:tab/>
        <w:t xml:space="preserve"> člen</w:t>
      </w:r>
    </w:p>
    <w:p w14:paraId="4BD7192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(poročanje)</w:t>
      </w:r>
    </w:p>
    <w:p w14:paraId="15EDCB9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EA8E79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Koncesionar mora najmanj enkrat letno pripraviti skupno poročilo o izpolnjevanju obveznosti iz koncesijske pogodbe do 31. maja tekočega leta za preteklo leto (v nadaljnjem besedilu: letno poročilo) in ga posreduje koncedentu.</w:t>
      </w:r>
    </w:p>
    <w:p w14:paraId="10C9E7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CB64FD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Letno poročilo mora obsegati vse predpisane podatke, ki se nanašajo na izvajanje koncesijske pogodbe in opravljanje državne javne službe.</w:t>
      </w:r>
    </w:p>
    <w:p w14:paraId="692292B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E62A67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Koncesionar mora na zahtevo koncedenta pripraviti pisno izredno poročilo o stanju, opravljenih in potrebnih delih, potrebnih investicijah, organizacijskih ukrepih in kakovosti izvajanja prevzetih obveznosti.</w:t>
      </w:r>
    </w:p>
    <w:p w14:paraId="5998B0A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1BD71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Podrobneje se obseg in način poročanja uredita v koncesijski pogodbi.</w:t>
      </w:r>
    </w:p>
    <w:p w14:paraId="6BAC816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3ED180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9BF5C4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52.</w:t>
      </w:r>
      <w:r w:rsidRPr="00B74958">
        <w:rPr>
          <w:rFonts w:ascii="Arial" w:hAnsi="Arial"/>
          <w:b/>
          <w:kern w:val="0"/>
          <w:sz w:val="20"/>
          <w14:ligatures w14:val="none"/>
        </w:rPr>
        <w:tab/>
        <w:t xml:space="preserve"> člen</w:t>
      </w:r>
    </w:p>
    <w:p w14:paraId="4D449957"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(poročilo o poslovanju)</w:t>
      </w:r>
    </w:p>
    <w:p w14:paraId="5BBB6E4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08190A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Izvajalec državne javne službe mora najkasneje do 30. junija tekočega leta za preteklo poslovno leto ministrstvu poslati poročilo o poslovanju poslovnoizidne enote, ki vsebuje:</w:t>
      </w:r>
    </w:p>
    <w:p w14:paraId="4598074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obračunske kalkulacije polne lastne cene količinske enote poslovnega učinka izvajanja javne službe v skladu s to uredbo;</w:t>
      </w:r>
    </w:p>
    <w:p w14:paraId="745B0A3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obračunski izkaz uspeha poslovnoizidne enote, pripravljen v skladu s slovenskimi računovodskimi standardi; in</w:t>
      </w:r>
    </w:p>
    <w:p w14:paraId="63A5179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obračunski izkaz stanja poslovnoizidne enote, pripravljen v skladu s slovenskimi računovodskimi standardi.</w:t>
      </w:r>
    </w:p>
    <w:p w14:paraId="4F86A35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B35363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Izvajalec državne javne službe mora najpozneje do 31. decembra tekočega leta za prihodnje poslovno leto ministrstvu poslati poročilo o predvidenem poslovanju poslovnoizidne enote, ki vsebuje:</w:t>
      </w:r>
    </w:p>
    <w:p w14:paraId="436EC91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predračunske kalkulacije polne lastne cene količinske enote poslovnega učinka izvajanja, kot je določeno v tej uredbi;</w:t>
      </w:r>
    </w:p>
    <w:p w14:paraId="0C25EFE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predračunski izkaz uspeha poslovnoizidne enote, pripravljen v skladu s slovenskimi računovodskimi standardi; in</w:t>
      </w:r>
    </w:p>
    <w:p w14:paraId="2670EAE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predračunski izkaz stanja poslovnoizidne enote, pripravljen v skladu s slovenskimi računovodskimi standardi.</w:t>
      </w:r>
    </w:p>
    <w:p w14:paraId="54F14B8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7EC6F0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Izvajalec državne javne službe mora najpozneje do 30. junija tekočega leta za preteklo poslovno leto ministrstvu poslati revidirano letno poročilo družbe, v okviru katere obratuje poslovnoizidna enota, iz katerega bodo razvidna sodila in ločeno poslovanje.</w:t>
      </w:r>
    </w:p>
    <w:p w14:paraId="546C8E0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392642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2185D4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53.</w:t>
      </w:r>
      <w:r w:rsidRPr="00B74958">
        <w:rPr>
          <w:rFonts w:ascii="Arial" w:hAnsi="Arial"/>
          <w:b/>
          <w:kern w:val="0"/>
          <w:sz w:val="20"/>
          <w14:ligatures w14:val="none"/>
        </w:rPr>
        <w:tab/>
        <w:t xml:space="preserve"> člen</w:t>
      </w:r>
    </w:p>
    <w:p w14:paraId="7BBEEFA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(nadzor)</w:t>
      </w:r>
    </w:p>
    <w:p w14:paraId="66FC3CA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5B0780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Nadzor nad izvajanjem državne javne službe in koncesije v okviru svojih pristojnosti opravljata ministrstvo in inšpektorat, pristojen za okolje. </w:t>
      </w:r>
    </w:p>
    <w:p w14:paraId="0DF8E9A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128682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Ministrstvo ima pravico neposredno pri koncesionarju nadzirati izvajanje državne javne službe in drugih obveznosti koncesionarja, določenih s koncesijsko pogodbo. Nadzor po tem odstavku opravlja oseba, ki jo pooblasti minister, pristojen za okolje (v nadaljnjem besedilu: pooblaščena oseba).</w:t>
      </w:r>
    </w:p>
    <w:p w14:paraId="262FD09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36234C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Pristojnosti pooblaščene osebe v postopku nadzora nad zakonitostjo ter strokovnega in finančnega nadzora ne posegajo v pristojnosti drugih organov.</w:t>
      </w:r>
    </w:p>
    <w:p w14:paraId="399097A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B16D32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Koncesionar mora pooblaščeni osebi omogočiti nadzor, vstop v svoje poslovne prostore in vpogled v dokumentacijo, zbirke podatkov ter dati zahtevane podatke in pojasnila.</w:t>
      </w:r>
    </w:p>
    <w:p w14:paraId="35B0930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205758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Nadzor je lahko napovedan ali nenapovedan.</w:t>
      </w:r>
    </w:p>
    <w:p w14:paraId="367B34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FAB5E3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Napovedani nadzor se opravi s poprejšnjo napovedjo, praviloma najmanj 15 dni prej, preden se opravi. Nadzor mora potekati tako, da ne ovira opravljanja redne dejavnosti koncesionarja in tretjih oseb, praviloma le v poslovnem času koncesionarja. Pooblaščena oseba se izkaže s pooblastilom ministra, pristojnega za okolje.</w:t>
      </w:r>
    </w:p>
    <w:p w14:paraId="5C4A3B3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6CDD77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O opravljenem nadzoru se izdela zapisnik, ki ga podpišeta predstavnika koncesionarja in pooblaščena oseba.</w:t>
      </w:r>
    </w:p>
    <w:p w14:paraId="41D0A69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C93899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312D33A"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11.</w:t>
      </w:r>
      <w:r w:rsidRPr="00B74958">
        <w:rPr>
          <w:rFonts w:ascii="Arial" w:eastAsia="Times New Roman" w:hAnsi="Arial" w:cs="Times New Roman"/>
          <w:kern w:val="0"/>
          <w:sz w:val="20"/>
          <w14:ligatures w14:val="none"/>
        </w:rPr>
        <w:tab/>
        <w:t>Prenos koncesijskega razmerja</w:t>
      </w:r>
    </w:p>
    <w:p w14:paraId="443E42B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3916C59"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54.</w:t>
      </w:r>
      <w:r w:rsidRPr="00B74958">
        <w:rPr>
          <w:rFonts w:ascii="Arial" w:hAnsi="Arial"/>
          <w:b/>
          <w:kern w:val="0"/>
          <w:sz w:val="20"/>
          <w14:ligatures w14:val="none"/>
        </w:rPr>
        <w:tab/>
        <w:t xml:space="preserve"> člen</w:t>
      </w:r>
    </w:p>
    <w:p w14:paraId="1CF66954"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(prenos koncesije)</w:t>
      </w:r>
    </w:p>
    <w:p w14:paraId="34336A9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38C3F9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Koncesionar lahko prenese izvajanje javne službe na drugo osebo samo z dovoljenjem koncedenta.</w:t>
      </w:r>
    </w:p>
    <w:p w14:paraId="266FD0C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AA85A9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Koncedent lahko v celoti ali delno prenese izvajanje javne službe samo v primerih, ki so določeni s to uredbo, .</w:t>
      </w:r>
    </w:p>
    <w:p w14:paraId="17A87B4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58ED2AD"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12.</w:t>
      </w:r>
      <w:r w:rsidRPr="00B74958">
        <w:rPr>
          <w:rFonts w:ascii="Arial" w:eastAsia="Times New Roman" w:hAnsi="Arial" w:cs="Times New Roman"/>
          <w:kern w:val="0"/>
          <w:sz w:val="20"/>
          <w14:ligatures w14:val="none"/>
        </w:rPr>
        <w:tab/>
        <w:t>Prenehanje koncesijskega razmerja</w:t>
      </w:r>
    </w:p>
    <w:p w14:paraId="4334F5F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1CBCFC7"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55.</w:t>
      </w:r>
      <w:r w:rsidRPr="00B74958">
        <w:rPr>
          <w:rFonts w:ascii="Arial" w:hAnsi="Arial"/>
          <w:b/>
          <w:kern w:val="0"/>
          <w:sz w:val="20"/>
          <w14:ligatures w14:val="none"/>
        </w:rPr>
        <w:tab/>
        <w:t xml:space="preserve"> člen</w:t>
      </w:r>
    </w:p>
    <w:p w14:paraId="62EEEC18"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(prenehanje koncesijskega razmerja)</w:t>
      </w:r>
    </w:p>
    <w:p w14:paraId="02E436A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81167A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Koncesijsko razmerje preneha:</w:t>
      </w:r>
    </w:p>
    <w:p w14:paraId="1EC25A5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s prenehanjem koncesijske pogodbe,</w:t>
      </w:r>
    </w:p>
    <w:p w14:paraId="2110C94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s prenehanjem koncesionarja, razen v primeru univerzalnega pravnega nasledstva,</w:t>
      </w:r>
    </w:p>
    <w:p w14:paraId="1C06D29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z odkupom koncesije.</w:t>
      </w:r>
    </w:p>
    <w:p w14:paraId="4CCAD87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CDF465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56.</w:t>
      </w:r>
      <w:r w:rsidRPr="00B74958">
        <w:rPr>
          <w:rFonts w:ascii="Arial" w:hAnsi="Arial"/>
          <w:b/>
          <w:kern w:val="0"/>
          <w:sz w:val="20"/>
          <w14:ligatures w14:val="none"/>
        </w:rPr>
        <w:tab/>
        <w:t xml:space="preserve"> člen</w:t>
      </w:r>
    </w:p>
    <w:p w14:paraId="3C9AC94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(prenehanje koncesijske pogodbe)</w:t>
      </w:r>
    </w:p>
    <w:p w14:paraId="1927A54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0FD108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Koncesijska pogodba preneha:</w:t>
      </w:r>
    </w:p>
    <w:p w14:paraId="2770D70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po preteku časa, za katerega je bila sklenjena,</w:t>
      </w:r>
    </w:p>
    <w:p w14:paraId="2EF6E1C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z enostranskim razdrtjem,</w:t>
      </w:r>
    </w:p>
    <w:p w14:paraId="5040FAF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z odstopom od koncesijske pogodbe,</w:t>
      </w:r>
    </w:p>
    <w:p w14:paraId="67E7D35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s sporazumno razvezo.</w:t>
      </w:r>
    </w:p>
    <w:p w14:paraId="43A421C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AB183D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Razlogi in pogoji za odpoved in razdrtje pogodbe ter druge medsebojne pravice in obveznosti ob odpovedi oziroma razdrtju pogodbe se določijo v koncesijski pogodbi.</w:t>
      </w:r>
    </w:p>
    <w:p w14:paraId="571BF58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6A6D96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9EF9924"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57.</w:t>
      </w:r>
      <w:r w:rsidRPr="00B74958">
        <w:rPr>
          <w:rFonts w:ascii="Arial" w:hAnsi="Arial"/>
          <w:b/>
          <w:kern w:val="0"/>
          <w:sz w:val="20"/>
          <w14:ligatures w14:val="none"/>
        </w:rPr>
        <w:tab/>
        <w:t xml:space="preserve"> člen</w:t>
      </w:r>
    </w:p>
    <w:p w14:paraId="67D2C78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(potek roka koncesije)</w:t>
      </w:r>
    </w:p>
    <w:p w14:paraId="1C3E656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20C42F6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Koncesijska pogodba preneha s pretekom časa, za katerega je bila sklenjena.</w:t>
      </w:r>
    </w:p>
    <w:p w14:paraId="215C45B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BEC0EA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58.</w:t>
      </w:r>
      <w:r w:rsidRPr="00B74958">
        <w:rPr>
          <w:rFonts w:ascii="Arial" w:hAnsi="Arial"/>
          <w:b/>
          <w:kern w:val="0"/>
          <w:sz w:val="20"/>
          <w14:ligatures w14:val="none"/>
        </w:rPr>
        <w:tab/>
        <w:t xml:space="preserve"> člen</w:t>
      </w:r>
    </w:p>
    <w:p w14:paraId="59FB9A0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(razdrtje koncesijske pogodbe)</w:t>
      </w:r>
    </w:p>
    <w:p w14:paraId="244FD0C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509803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Koncesijska pogodba lahko z enostranskim koncedentovim razdrtjem preneha:</w:t>
      </w:r>
    </w:p>
    <w:p w14:paraId="7889A07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če koncesionar ne zgradi sežigalnice in v roku iz tretjega odstavka 30. člena te uredbe ne vzpostavi državne javne službe; </w:t>
      </w:r>
    </w:p>
    <w:p w14:paraId="52DDDC2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v primeru postopka zaradi insolventnosti, drugega postopka prisilnega prenehanja ali likvidacijskega postopka pri koncesionarju;</w:t>
      </w:r>
    </w:p>
    <w:p w14:paraId="2454C0B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če koncesionar koncesijsko pogodbo krši tako, da nastaja ali bi lahko nastala večja škoda koncedentu ali tretjim osebam;</w:t>
      </w:r>
    </w:p>
    <w:p w14:paraId="62728E9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če koncesionar kljub pisnemu opozorilu koncedenta ne izpolnjuje prevzetih obveznosti tako, kot je določeno s tem koncesijskim aktom in koncesijsko pogodbo;</w:t>
      </w:r>
    </w:p>
    <w:p w14:paraId="5FD5FE3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če je po sklenitvi koncesijske pogodbe ugotovljeno, da je koncesionar dal zavajajoče in neresnične podatke, ki so vplivali na podelitev koncesije;</w:t>
      </w:r>
    </w:p>
    <w:p w14:paraId="2F86746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če se z dokumentiranimi ugotovitvami nadzora ugotovi, da koncesionar v bistvenem delu ni ali ne bo izpolnil svoje obveznosti iz koncesijske pogodbe;</w:t>
      </w:r>
    </w:p>
    <w:p w14:paraId="542B4C0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v drugih primerih, določenih s koncesijsko pogodbo.</w:t>
      </w:r>
    </w:p>
    <w:p w14:paraId="1C10C1D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9E96DB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Razlogi iz prejšnjega odstavka in postopek razdrtja se podrobneje določijo v koncesijski pogodbi.</w:t>
      </w:r>
    </w:p>
    <w:p w14:paraId="1B239F3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09FB34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Koncesionar lahko razdre koncesijsko pogodbo, če koncedent ne izpolnjuje svojih obveznosti iz koncesijske pogodbe, tako da to koncesionarju onemogoča izvajanje koncesijske pogodbe.</w:t>
      </w:r>
    </w:p>
    <w:p w14:paraId="49ACC03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357FF7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Koncedentovo enostransko razdrtje koncesijske pogodbe ni dopustno v primeru, če so okoliščine, ki bi takšno prenehanje utemeljevale, nastale zaradi višje sile ali drugih nepredvidljivih in nepremagljivih okoliščin, ki jih ni mogoče pripisati koncesionarju.</w:t>
      </w:r>
    </w:p>
    <w:p w14:paraId="61F126A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B643F4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Koncesionar je dolžan koncedentu povrniti škodo, ki je koncedentu nastala zaradi razdrtja koncesijske pogodbe zaradi razlogov na strani koncesionarja. Prav tako je koncedent dolžan koncesionarju povrniti škodo v primeru iz tretjega odstavka tega člena.</w:t>
      </w:r>
    </w:p>
    <w:p w14:paraId="4FDDC2D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987B55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59.</w:t>
      </w:r>
      <w:r w:rsidRPr="00B74958">
        <w:rPr>
          <w:rFonts w:ascii="Arial" w:hAnsi="Arial"/>
          <w:b/>
          <w:kern w:val="0"/>
          <w:sz w:val="20"/>
          <w14:ligatures w14:val="none"/>
        </w:rPr>
        <w:tab/>
        <w:t xml:space="preserve"> člen</w:t>
      </w:r>
    </w:p>
    <w:p w14:paraId="364506FA"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(odstop od pogodbe)</w:t>
      </w:r>
    </w:p>
    <w:p w14:paraId="1129710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DE1C29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Vsaka stranka lahko odstopi od koncesijske pogodbe: </w:t>
      </w:r>
    </w:p>
    <w:p w14:paraId="58F37C7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če je to v koncesijski pogodbi izrecno določeno, </w:t>
      </w:r>
    </w:p>
    <w:p w14:paraId="0FFAB8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če druga stranka krši koncesijsko pogodbo pod pogoji in tako, kot je v pogodbi določeno. </w:t>
      </w:r>
    </w:p>
    <w:p w14:paraId="2074786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F3B2C6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Za kršitev koncesijske pogodbe se ne štejejo koncedentovi enostranski ukrepi v javnem interesu iz 41. člena te uredbe. </w:t>
      </w:r>
    </w:p>
    <w:p w14:paraId="0C226AD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F699FA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21DE86A"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60.</w:t>
      </w:r>
      <w:r w:rsidRPr="00B74958">
        <w:rPr>
          <w:rFonts w:ascii="Arial" w:hAnsi="Arial"/>
          <w:b/>
          <w:kern w:val="0"/>
          <w:sz w:val="20"/>
          <w14:ligatures w14:val="none"/>
        </w:rPr>
        <w:tab/>
        <w:t xml:space="preserve"> člen</w:t>
      </w:r>
    </w:p>
    <w:p w14:paraId="4069E6D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(sporazumna razveza)</w:t>
      </w:r>
    </w:p>
    <w:p w14:paraId="39C90E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14FB2D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Pogodbeni stranki lahko med trajanjem koncesije tudi sporazumno razvežeta koncesijsko pogodbo.</w:t>
      </w:r>
    </w:p>
    <w:p w14:paraId="198C697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w:t>
      </w:r>
    </w:p>
    <w:p w14:paraId="3AB6332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Stranki se sporazumeta za razvezo koncesijske pogodbe, če ugotovita, da je zaradi bistveno spremenjenih okoliščin ekonomskega ali sistemskega značaja ali drugih enakovredno ocenjenih okoliščin nadaljnje opravljanje dejavnosti iz koncesijske pogodbe ekonomsko nevzdržno ali nemogoče.</w:t>
      </w:r>
    </w:p>
    <w:p w14:paraId="7AD41E0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68FDBD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7F27C7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61.</w:t>
      </w:r>
      <w:r w:rsidRPr="00B74958">
        <w:rPr>
          <w:rFonts w:ascii="Arial" w:hAnsi="Arial"/>
          <w:b/>
          <w:kern w:val="0"/>
          <w:sz w:val="20"/>
          <w14:ligatures w14:val="none"/>
        </w:rPr>
        <w:tab/>
        <w:t xml:space="preserve"> člen</w:t>
      </w:r>
    </w:p>
    <w:p w14:paraId="3C9E7AA9"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(prenehanje koncesionarja)</w:t>
      </w:r>
    </w:p>
    <w:p w14:paraId="26D4888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286626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Koncesijsko razmerje preneha v primeru prenehanja koncesionarja.</w:t>
      </w:r>
    </w:p>
    <w:p w14:paraId="387B096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32570E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Koncesijsko razmerje ne preneha, če so izpolnjeni z zakonom in koncesijsko pogodbo določeni pogoji za nadaljevanje koncesije s koncesionarjevim univerzalnim pravnim naslednikom. </w:t>
      </w:r>
    </w:p>
    <w:p w14:paraId="2E69A47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5D637F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Koncesijsko razmerje preneha z dnem, ko po zakonu, ki ureja finančno poslovanje, postopke zaradi insolventnosti in prisilno prenehanje, nastanejo pravne posledice začetka stečajnega postopka.</w:t>
      </w:r>
    </w:p>
    <w:p w14:paraId="262D484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239E3C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71E4B816"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62.</w:t>
      </w:r>
      <w:r w:rsidRPr="00B74958">
        <w:rPr>
          <w:rFonts w:ascii="Arial" w:hAnsi="Arial"/>
          <w:b/>
          <w:kern w:val="0"/>
          <w:sz w:val="20"/>
          <w14:ligatures w14:val="none"/>
        </w:rPr>
        <w:tab/>
        <w:t xml:space="preserve"> člen</w:t>
      </w:r>
    </w:p>
    <w:p w14:paraId="6E771FEC"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(odkup koncesije)</w:t>
      </w:r>
    </w:p>
    <w:p w14:paraId="6B108B5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4BF0E2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Koncedent in koncesionar se lahko dogovorita o odkupu koncesije. </w:t>
      </w:r>
    </w:p>
    <w:p w14:paraId="608FD8B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97AEFB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Z odkupom koncesije preneha koncesijsko razmerje, tako da koncesionar preneha opravljati koncesijo, koncedent pa prevzame vso infrastrukturo, ki je predmet koncesije, in naslednje obveznosti:</w:t>
      </w:r>
    </w:p>
    <w:p w14:paraId="4C4B925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izplačilo dokazanih neamortiziranih vlaganj koncesionarja v specializirano opremo ali objekte, ki jih koncesionar ne bo mogel povrniti v okviru svoje druge dejavnosti;</w:t>
      </w:r>
    </w:p>
    <w:p w14:paraId="0A397F9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povrnitev nastale dejanske škode in izgubljenega dobička za obdobje do rednega prenehanja koncesijske pogodbe.</w:t>
      </w:r>
    </w:p>
    <w:p w14:paraId="5AE0FDA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470C1A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4C2A591"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13.</w:t>
      </w:r>
      <w:r w:rsidRPr="00B74958">
        <w:rPr>
          <w:rFonts w:ascii="Arial" w:eastAsia="Times New Roman" w:hAnsi="Arial" w:cs="Times New Roman"/>
          <w:kern w:val="0"/>
          <w:sz w:val="20"/>
          <w14:ligatures w14:val="none"/>
        </w:rPr>
        <w:tab/>
        <w:t>Višja sila in spremenjene okoliščine</w:t>
      </w:r>
    </w:p>
    <w:p w14:paraId="6A56B3D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B3D5AC7"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63.</w:t>
      </w:r>
      <w:r w:rsidRPr="00B74958">
        <w:rPr>
          <w:rFonts w:ascii="Arial" w:hAnsi="Arial"/>
          <w:b/>
          <w:kern w:val="0"/>
          <w:sz w:val="20"/>
          <w14:ligatures w14:val="none"/>
        </w:rPr>
        <w:tab/>
        <w:t xml:space="preserve"> člen</w:t>
      </w:r>
    </w:p>
    <w:p w14:paraId="1BD055D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(višja sila)</w:t>
      </w:r>
    </w:p>
    <w:p w14:paraId="2278FE6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16C3A5B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Koncesionar mora v okviru objektivnih možnosti opravljati storitve državne javne službe tudi ob nepredvidljivih okoliščinah, nastalih zaradi višje sile, v skladu z izdelanimi načrti nujnih ukrepov za tiste javne službe, kjer so načrti ukrepov predpisani, za druge javne službe pa v skladu s posameznimi programi izvajanja javne službe. Ob nastopu okoliščin, ki pomenijo višjo silo, se morata stranki nemudoma medsebojno obvestiti in dogovoriti o izvajanju državne javne službe v takih pogojih.</w:t>
      </w:r>
    </w:p>
    <w:p w14:paraId="6AB8DBC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0D3747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V primeru iz prejšnjega odstavka ima koncesionar pravico zahtevati od koncedenta povračilo stroškov, ki so nastali zaradi opravljanja državne javne službe v nepredvidljivih okoliščinah.</w:t>
      </w:r>
    </w:p>
    <w:p w14:paraId="5B290FD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152886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Zaradi nepredvidljivih okoliščin, ki so nastale zaradi višje sile, lahko koncesijsko razmerje preneha, vendar samo sporazumno med koncedentom in koncesionarjem.</w:t>
      </w:r>
    </w:p>
    <w:p w14:paraId="664869B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30D044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568D28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64.</w:t>
      </w:r>
      <w:r w:rsidRPr="00B74958">
        <w:rPr>
          <w:rFonts w:ascii="Arial" w:hAnsi="Arial"/>
          <w:b/>
          <w:kern w:val="0"/>
          <w:sz w:val="20"/>
          <w14:ligatures w14:val="none"/>
        </w:rPr>
        <w:tab/>
        <w:t xml:space="preserve"> člen</w:t>
      </w:r>
    </w:p>
    <w:p w14:paraId="4160951A"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(spremenjene okoliščine)</w:t>
      </w:r>
    </w:p>
    <w:p w14:paraId="3144E90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BAD731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Če nastanejo po sklenitvi koncesijske pogodbe okoliščine, ki bistveno otežujejo izpolnjevanje obveznosti katere od pogodbenih strank, in to v takšni meri, da bi bilo kljub posebni naravi koncesijske pogodbe nepravično pogodbena tveganja prevaliti pretežno ali izključno le na eno od strank, ima druga stranka pravico zahtevati spremembo koncesijske pogodbe tako, kot je to določeno v koncesijski pogodbi.</w:t>
      </w:r>
    </w:p>
    <w:p w14:paraId="0823F06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5CA4CB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O nastopu spremenjenih okoliščin se morata stranki nemudoma medsebojno obvestiti in dogovoriti o izvajanju koncesijske pogodbe v takih pogojih. Kljub spremenjenim okoliščinam je koncesionar dolžan v okviru objektivnih možnosti opravljati državno javno službo. </w:t>
      </w:r>
    </w:p>
    <w:p w14:paraId="1CEF377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02FC8A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4311172"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14.</w:t>
      </w:r>
      <w:r w:rsidRPr="00B74958">
        <w:rPr>
          <w:rFonts w:ascii="Arial" w:eastAsia="Times New Roman" w:hAnsi="Arial" w:cs="Times New Roman"/>
          <w:kern w:val="0"/>
          <w:sz w:val="20"/>
          <w14:ligatures w14:val="none"/>
        </w:rPr>
        <w:tab/>
        <w:t>Uporaba prava in reševanje sporov</w:t>
      </w:r>
    </w:p>
    <w:p w14:paraId="4977226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A6F70A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65.</w:t>
      </w:r>
      <w:r w:rsidRPr="00B74958">
        <w:rPr>
          <w:rFonts w:ascii="Arial" w:hAnsi="Arial"/>
          <w:b/>
          <w:kern w:val="0"/>
          <w:sz w:val="20"/>
          <w14:ligatures w14:val="none"/>
        </w:rPr>
        <w:tab/>
        <w:t xml:space="preserve"> člen</w:t>
      </w:r>
    </w:p>
    <w:p w14:paraId="2042A3F2"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(uporaba prava)</w:t>
      </w:r>
    </w:p>
    <w:p w14:paraId="3798419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71862E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Za vsa civilnopravna razmerja med koncedentom in koncesionarjem ter koncesionarjem in uporabniki storitev državne javne službe se lahko dogovori izključno uporaba pravnega reda Republike Slovenije.</w:t>
      </w:r>
    </w:p>
    <w:p w14:paraId="2D96B16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920777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D93C8C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66.</w:t>
      </w:r>
      <w:r w:rsidRPr="00B74958">
        <w:rPr>
          <w:rFonts w:ascii="Arial" w:hAnsi="Arial"/>
          <w:b/>
          <w:kern w:val="0"/>
          <w:sz w:val="20"/>
          <w14:ligatures w14:val="none"/>
        </w:rPr>
        <w:tab/>
        <w:t xml:space="preserve"> člen</w:t>
      </w:r>
    </w:p>
    <w:p w14:paraId="698B3FA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(prepoved prorogacije tujega sodišča ali arbitraže)</w:t>
      </w:r>
    </w:p>
    <w:p w14:paraId="1E14F78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2569C3E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V razmerjih med koncedentom in koncesionarjem ter razmerjih med koncesionarjem in uporabniki storitev državne javne službe se ni dopustno dogovoriti, da o sporih iz teh razmerij odločajo tuja sodišča ali domača ali tuja arbitraža.</w:t>
      </w:r>
    </w:p>
    <w:p w14:paraId="658E1D8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810D53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8D03F6C" w14:textId="77777777" w:rsidR="00B74958" w:rsidRPr="00B74958" w:rsidRDefault="00B74958" w:rsidP="00B74958">
      <w:pPr>
        <w:suppressAutoHyphens/>
        <w:overflowPunct w:val="0"/>
        <w:autoSpaceDE w:val="0"/>
        <w:autoSpaceDN w:val="0"/>
        <w:adjustRightInd w:val="0"/>
        <w:spacing w:before="360" w:after="60" w:line="200" w:lineRule="exact"/>
        <w:jc w:val="center"/>
        <w:textAlignment w:val="baseline"/>
        <w:outlineLvl w:val="3"/>
        <w:rPr>
          <w:rFonts w:ascii="Arial" w:eastAsia="Times New Roman" w:hAnsi="Arial" w:cs="Arial"/>
          <w:kern w:val="0"/>
          <w:lang w:eastAsia="sl-SI"/>
          <w14:ligatures w14:val="none"/>
        </w:rPr>
      </w:pPr>
      <w:r w:rsidRPr="00B74958">
        <w:rPr>
          <w:rFonts w:ascii="Arial" w:eastAsia="Times New Roman" w:hAnsi="Arial" w:cs="Arial"/>
          <w:kern w:val="0"/>
          <w:lang w:eastAsia="sl-SI"/>
          <w14:ligatures w14:val="none"/>
        </w:rPr>
        <w:t>IV.</w:t>
      </w:r>
      <w:r w:rsidRPr="00B74958">
        <w:rPr>
          <w:rFonts w:ascii="Arial" w:eastAsia="Times New Roman" w:hAnsi="Arial" w:cs="Arial"/>
          <w:kern w:val="0"/>
          <w:lang w:eastAsia="sl-SI"/>
          <w14:ligatures w14:val="none"/>
        </w:rPr>
        <w:tab/>
        <w:t>KAZENSKE DOLOČBE</w:t>
      </w:r>
    </w:p>
    <w:p w14:paraId="481E050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2B39B82" w14:textId="77777777" w:rsidR="00B74958" w:rsidRPr="00B74958" w:rsidRDefault="00B74958" w:rsidP="00B74958">
      <w:pPr>
        <w:suppressAutoHyphens/>
        <w:overflowPunct w:val="0"/>
        <w:autoSpaceDE w:val="0"/>
        <w:autoSpaceDN w:val="0"/>
        <w:adjustRightInd w:val="0"/>
        <w:spacing w:before="280" w:after="60" w:line="200" w:lineRule="exact"/>
        <w:textAlignment w:val="baseline"/>
        <w:outlineLvl w:val="3"/>
        <w:rPr>
          <w:rFonts w:ascii="Arial" w:eastAsia="Times New Roman" w:hAnsi="Arial" w:cs="Times New Roman"/>
          <w:kern w:val="0"/>
          <w:sz w:val="20"/>
          <w14:ligatures w14:val="none"/>
        </w:rPr>
      </w:pPr>
      <w:r w:rsidRPr="00B74958">
        <w:rPr>
          <w:rFonts w:ascii="Arial" w:eastAsia="Times New Roman" w:hAnsi="Arial" w:cs="Times New Roman"/>
          <w:kern w:val="0"/>
          <w:sz w:val="20"/>
          <w14:ligatures w14:val="none"/>
        </w:rPr>
        <w:t>1.</w:t>
      </w:r>
      <w:r w:rsidRPr="00B74958">
        <w:rPr>
          <w:rFonts w:ascii="Arial" w:eastAsia="Times New Roman" w:hAnsi="Arial" w:cs="Times New Roman"/>
          <w:kern w:val="0"/>
          <w:sz w:val="20"/>
          <w14:ligatures w14:val="none"/>
        </w:rPr>
        <w:tab/>
        <w:t xml:space="preserve"> Prekrški uporabnika storitev državne javne službe</w:t>
      </w:r>
    </w:p>
    <w:p w14:paraId="7F61AC6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11F037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DD5D528"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67.</w:t>
      </w:r>
      <w:r w:rsidRPr="00B74958">
        <w:rPr>
          <w:rFonts w:ascii="Arial" w:hAnsi="Arial"/>
          <w:b/>
          <w:kern w:val="0"/>
          <w:sz w:val="20"/>
          <w14:ligatures w14:val="none"/>
        </w:rPr>
        <w:tab/>
        <w:t xml:space="preserve"> člen</w:t>
      </w:r>
    </w:p>
    <w:p w14:paraId="0F5F5E5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(prekrški uporabnika storitev državne javne službe)</w:t>
      </w:r>
    </w:p>
    <w:p w14:paraId="58B1E36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3B6EA79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Z globo 45.000 eurov se za prekršek kaznuje pravna oseba, ki je uporabnik storitev državne javne službe, če:</w:t>
      </w:r>
    </w:p>
    <w:p w14:paraId="1F1F066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 preda komunalnih odpadkov izvajalcu državne javne službe po tej uredbi (drugi odstavek 7. člena te uredbe);</w:t>
      </w:r>
    </w:p>
    <w:p w14:paraId="04461F2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 prevzeme v mehansko obdelavo komunalnih odpadkov od izvajalcev občinske javne službe zbiranja komunalnih odpadkov ali ne voditi evidence o tem prevzemu (prva točka alineje (a) prvega odstavka 8. člena te uredbe);</w:t>
      </w:r>
    </w:p>
    <w:p w14:paraId="1126AED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 zagotovi, da se z mehansko obdelavo mešanice komunalnih odpadkov iz podtočk</w:t>
      </w:r>
    </w:p>
    <w:p w14:paraId="140DDEA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1(b), 1(d), 1(f), 1(h) in 1(i) prve točke alineje (a) prvega odstavka 8. člena te uredbe z razvrščanjem pridobijo odpadki, ki mešanico sestavljajo (druga točka alineje (a) prvega odstavka 8. člena te uredbe);</w:t>
      </w:r>
    </w:p>
    <w:p w14:paraId="7324364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 vodi evidence o mehanski obdelavi komunalnih odpadkov ločeno po občinah, kjer so bili ti odpadki zbrani, če gre za mešane komunalne odpadke s številko 20 03 01, ločeno po občinah, kjer so bili ti odpadki zbrani, če gre za odpadno embalažo iz podskupine odpadkov s številko 15 01, ločeno zbrane frakcije iz podskupine odpadkov s številko 20 01 ali za kosovne odpadke s številko 20 03 07 (tretja točka alineje (a) prvega odstavka 8. člena te uredbe);</w:t>
      </w:r>
    </w:p>
    <w:p w14:paraId="4F438B8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 zagotovi vodenja evidence o količini in vrsti komunalnih odpadkov, iz katerih so nastale gorljive sestavine, ki nastajajo po mehanski obdelavi komunalnih odpadkov in niso primerne za oddajo v recikliranje ali v pripravo za ponovno uporabo, (četrta točka alineje (a) prvega odstavka 8. člena te uredbe);</w:t>
      </w:r>
    </w:p>
    <w:p w14:paraId="6D4B867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 zagotovi skladiščenja za gorljive sestavine, ki nastajajo po mehanski obdelavi komunalnih odpadkov, v pokritih prostorih velikosti, ki zadostuje za obdobje najmanj treh mesecev načrtovanega nastajanja gorljivih sestavin (četrta točka alineje (a) prvega odstavka 8. člena te uredbe);</w:t>
      </w:r>
    </w:p>
    <w:p w14:paraId="057167D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ne poroča v informacijski sistem okolja podatkov v zvezi z mehansko obdelavo odpadkov v obsegu, ki je določen v prilogi 3(deveta točka alineje (a) prvega odstavka 8. člena te uredbe);</w:t>
      </w:r>
    </w:p>
    <w:p w14:paraId="6AA914A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389D59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9D4891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Z globo 4.000 eurov se za prekršek iz prejšnjega odstavka tega člena kaznuje tudi odgovorna oseba pravne osebe, ki je uporabnik storitev državne javne službe.</w:t>
      </w:r>
    </w:p>
    <w:p w14:paraId="399BA22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2A87C8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4BCF52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016551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Prekrški izvajalca državne javne službe</w:t>
      </w:r>
    </w:p>
    <w:p w14:paraId="03CAADA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17544F4"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5AE2F139"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68.</w:t>
      </w:r>
      <w:r w:rsidRPr="00B74958">
        <w:rPr>
          <w:rFonts w:ascii="Arial" w:hAnsi="Arial"/>
          <w:b/>
          <w:kern w:val="0"/>
          <w:sz w:val="20"/>
          <w14:ligatures w14:val="none"/>
        </w:rPr>
        <w:tab/>
        <w:t xml:space="preserve"> člen</w:t>
      </w:r>
    </w:p>
    <w:p w14:paraId="4F4CF478"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(prekrški izvajalca državne javne službe)</w:t>
      </w:r>
    </w:p>
    <w:p w14:paraId="564B747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7C0B18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(1) Z globo 40.000 eurov se za prekršek kaznuje pravna oseba, ki je izvajalec državne javne službe, če: </w:t>
      </w:r>
    </w:p>
    <w:p w14:paraId="26678B3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v 48 urah od nastanka zastoja zaradi okvar ali nezmožnosti zagotavljanja izvajanja storitev javne službe ne obvesti ministrstva ali uporabnikov z objavo na svoji spletni strani (tretji odstavek 8. člena te uredbe);</w:t>
      </w:r>
    </w:p>
    <w:p w14:paraId="6D55A56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se o načrtovanem rednem ali izrednem vzdrževanju sežigalnice ne uskladi z uporabniki storitev državne javne službe ali če o tem ne obvesti ministrstva, inšpekcije, pristojne za okolje, ali tega ne objavi na svoji spletni strani (četrti odstavek 8. člena te uredbe);</w:t>
      </w:r>
    </w:p>
    <w:p w14:paraId="09B694F8" w14:textId="77777777" w:rsidR="00B74958" w:rsidRPr="00B74958" w:rsidRDefault="00B74958" w:rsidP="00B74958">
      <w:pPr>
        <w:spacing w:after="0" w:line="260" w:lineRule="atLeast"/>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v okviru izvajanja storitev državne javne službe ali v okviru izvajanja posebnih storitev, za posamezno območje sežge večjo letno količina gorljivih sestavin, ki nastajajo po mehanski obdelavi komunalnih odpadkov, kot je to dovoljeno (deveti odstavek 6. člena te uredbe);</w:t>
      </w:r>
    </w:p>
    <w:p w14:paraId="3C7DA50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B3069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B56397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Z globo 2.500 eurov se za prekršek iz prejšnjega odstavka tega člena kaznuje tudi odgovorna oseba pravne osebe, ki je izvajalec državne javne službe.</w:t>
      </w:r>
    </w:p>
    <w:p w14:paraId="45E7DCC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B0DA7D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5EDC6DE" w14:textId="77777777" w:rsidR="00B74958" w:rsidRPr="00B74958" w:rsidRDefault="00B74958" w:rsidP="00B74958">
      <w:pPr>
        <w:suppressAutoHyphens/>
        <w:overflowPunct w:val="0"/>
        <w:autoSpaceDE w:val="0"/>
        <w:autoSpaceDN w:val="0"/>
        <w:adjustRightInd w:val="0"/>
        <w:spacing w:before="360" w:after="60" w:line="200" w:lineRule="exact"/>
        <w:jc w:val="center"/>
        <w:textAlignment w:val="baseline"/>
        <w:outlineLvl w:val="3"/>
        <w:rPr>
          <w:rFonts w:ascii="Arial" w:eastAsia="Times New Roman" w:hAnsi="Arial" w:cs="Arial"/>
          <w:kern w:val="0"/>
          <w:lang w:eastAsia="sl-SI"/>
          <w14:ligatures w14:val="none"/>
        </w:rPr>
      </w:pPr>
      <w:r w:rsidRPr="00B74958">
        <w:rPr>
          <w:rFonts w:ascii="Arial" w:eastAsia="Times New Roman" w:hAnsi="Arial" w:cs="Arial"/>
          <w:kern w:val="0"/>
          <w:lang w:eastAsia="sl-SI"/>
          <w14:ligatures w14:val="none"/>
        </w:rPr>
        <w:t>V.</w:t>
      </w:r>
      <w:r w:rsidRPr="00B74958">
        <w:rPr>
          <w:rFonts w:ascii="Arial" w:eastAsia="Times New Roman" w:hAnsi="Arial" w:cs="Arial"/>
          <w:kern w:val="0"/>
          <w:lang w:eastAsia="sl-SI"/>
          <w14:ligatures w14:val="none"/>
        </w:rPr>
        <w:tab/>
        <w:t>PREHODNI IN KONČNI DOLOČBI</w:t>
      </w:r>
    </w:p>
    <w:p w14:paraId="0DF2F69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CEB8ED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3D3DBF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1A9A6D5"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69.</w:t>
      </w:r>
      <w:r w:rsidRPr="00B74958">
        <w:rPr>
          <w:rFonts w:ascii="Arial" w:hAnsi="Arial"/>
          <w:b/>
          <w:kern w:val="0"/>
          <w:sz w:val="20"/>
          <w14:ligatures w14:val="none"/>
        </w:rPr>
        <w:tab/>
        <w:t xml:space="preserve"> člen</w:t>
      </w:r>
    </w:p>
    <w:p w14:paraId="4472240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(sklenitev pogodb o uporabi storitev državne javne službe)</w:t>
      </w:r>
    </w:p>
    <w:p w14:paraId="69DC000B"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37FAA35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Uporabnik storitev državne javne službe in izvajalec državne javne službe sežiganja gorljivih komunalnih odpadkov morata najkasneje do začetka obratovanja sežigalnice skleniti pogodbo o opravljanju storitev državne javne službe iz 22. člena te uredbe. </w:t>
      </w:r>
    </w:p>
    <w:p w14:paraId="2559891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6EDFA1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29F6AE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8D48B7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CF7178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70.</w:t>
      </w:r>
      <w:r w:rsidRPr="00B74958">
        <w:rPr>
          <w:rFonts w:ascii="Arial" w:hAnsi="Arial"/>
          <w:b/>
          <w:kern w:val="0"/>
          <w:sz w:val="20"/>
          <w14:ligatures w14:val="none"/>
        </w:rPr>
        <w:tab/>
        <w:t xml:space="preserve"> člen</w:t>
      </w:r>
    </w:p>
    <w:p w14:paraId="5E4E012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(obstoječa sežigalnica)</w:t>
      </w:r>
    </w:p>
    <w:p w14:paraId="718E81FD"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031DC4C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813593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Koncesijo po tej uredbi lahko pridobi tudi koncesionar, ki upravlja z obstoječo sežigalnico odpadkov, ki izvaja državno javno službo sežiganja komunalnih odpadkov na območju občin Savinjske regije, v skladu s predpisi iz prejšnjega člena, če se v ponudbi iz 30. in 32. člena te uredbe zaveže, da bo sežigalnico prilagodil pogojem iz te uredbe najkasneje do izteka koncesije iz drugega odstavka prejšnjega člena, pri čemer to obdobje ne sme preseči roka iz tretjega odstavka 30. člena te uredbe.</w:t>
      </w:r>
    </w:p>
    <w:p w14:paraId="0952790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BFA27E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(2) Koncedent lahko razdre koncesijsko pogodbo, sklenjeno s koncesionarjem iz prejšnjega odstavka na podlagi te uredbe, poleg razlogov iz 2. do 7. točke prvega odstavka 58. člena te uredbe, tudi v primeru, če koncesionar najkasneje do izteka roka iz tretjega odstavka 30. člena te uredbe sežigalnice ne prilagodi pogojem iz te uredbe. </w:t>
      </w:r>
    </w:p>
    <w:p w14:paraId="06D8EC3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AEB793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71.</w:t>
      </w:r>
      <w:r w:rsidRPr="00B74958">
        <w:rPr>
          <w:rFonts w:ascii="Arial" w:hAnsi="Arial"/>
          <w:b/>
          <w:kern w:val="0"/>
          <w:sz w:val="20"/>
          <w14:ligatures w14:val="none"/>
        </w:rPr>
        <w:tab/>
        <w:t>člen</w:t>
      </w:r>
    </w:p>
    <w:p w14:paraId="4694F38A"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(podaljšanje uporabe)</w:t>
      </w:r>
    </w:p>
    <w:p w14:paraId="5B4FCB73"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1F3CDE3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Do prenehanja koncesije, podeljene na njuni podlagi, se uporabljajo določbe: </w:t>
      </w:r>
    </w:p>
    <w:p w14:paraId="7D25728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Uredbe o načinu opravljanja obvezne državne gospodarske javne službe sežiganja komunalnih odpadkov (Uradni list RS, št. 123/04, 106/05 in 6/16) in</w:t>
      </w:r>
    </w:p>
    <w:p w14:paraId="20A714F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Uredbe o načinu, predmetu in pogojih opravljanja obvezne državne gospodarske javne službe sežiganja komunalnih odpadkov na območju občin Savinjske regije (Uradni list RS, št. 109/05, 62/08 in 6/16),</w:t>
      </w:r>
    </w:p>
    <w:p w14:paraId="44DAEC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ki jima je bila uporabnost podaljšana z Uredbo o opravljanju obvezne državne gospodarske javne službe sežiganja komunalnih odpadkov (Uradni list RS, št. 67/22).</w:t>
      </w:r>
    </w:p>
    <w:p w14:paraId="1DB804C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79CB13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1468FA7"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72.</w:t>
      </w:r>
      <w:r w:rsidRPr="00B74958">
        <w:rPr>
          <w:rFonts w:ascii="Arial" w:hAnsi="Arial"/>
          <w:b/>
          <w:kern w:val="0"/>
          <w:sz w:val="20"/>
          <w14:ligatures w14:val="none"/>
        </w:rPr>
        <w:tab/>
        <w:t>člen</w:t>
      </w:r>
    </w:p>
    <w:p w14:paraId="5B01ADE4"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(prenehanje veljavnosti)</w:t>
      </w:r>
    </w:p>
    <w:p w14:paraId="6A78F4D1"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p>
    <w:p w14:paraId="3D54F2D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Z dnem uveljavitve te uredbe preneha veljati Uredba o opravljanju obvezne državne gospodarske javne službe sežiganja komunalnih odpadkov (Uradni list RS, št. 67/22).</w:t>
      </w:r>
    </w:p>
    <w:p w14:paraId="7EF4A75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AC4F69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135096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AB6624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1E4F79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7FA2AE0"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73.</w:t>
      </w:r>
      <w:r w:rsidRPr="00B74958">
        <w:rPr>
          <w:rFonts w:ascii="Arial" w:hAnsi="Arial"/>
          <w:b/>
          <w:kern w:val="0"/>
          <w:sz w:val="20"/>
          <w14:ligatures w14:val="none"/>
        </w:rPr>
        <w:tab/>
        <w:t xml:space="preserve"> člen</w:t>
      </w:r>
    </w:p>
    <w:p w14:paraId="134BABDE" w14:textId="77777777" w:rsidR="00B74958" w:rsidRPr="00B74958" w:rsidRDefault="00B74958" w:rsidP="00B74958">
      <w:pPr>
        <w:overflowPunct w:val="0"/>
        <w:autoSpaceDE w:val="0"/>
        <w:autoSpaceDN w:val="0"/>
        <w:adjustRightInd w:val="0"/>
        <w:spacing w:after="0" w:line="260" w:lineRule="exact"/>
        <w:ind w:left="284" w:hanging="284"/>
        <w:jc w:val="center"/>
        <w:textAlignment w:val="baseline"/>
        <w:rPr>
          <w:rFonts w:ascii="Arial" w:hAnsi="Arial"/>
          <w:b/>
          <w:kern w:val="0"/>
          <w:sz w:val="20"/>
          <w14:ligatures w14:val="none"/>
        </w:rPr>
      </w:pPr>
      <w:r w:rsidRPr="00B74958">
        <w:rPr>
          <w:rFonts w:ascii="Arial" w:hAnsi="Arial"/>
          <w:b/>
          <w:kern w:val="0"/>
          <w:sz w:val="20"/>
          <w14:ligatures w14:val="none"/>
        </w:rPr>
        <w:t>(začetek veljavnosti)</w:t>
      </w:r>
    </w:p>
    <w:p w14:paraId="590D2AF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936B60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Ta uredba začne veljati petnajsti dan po objavi v Uradnem listu Republike Slovenije.</w:t>
      </w:r>
    </w:p>
    <w:p w14:paraId="72F1F20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6DEB4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Določba iz točke c prvega odstavka 8. člena, ki se nanašajo na upoštevanje določb Uredbe (ES) 2024/1157, se začne uporabljati od 21. maja 2026.</w:t>
      </w:r>
    </w:p>
    <w:p w14:paraId="68D100A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513FFB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B459D31" w14:textId="77777777" w:rsidR="00B74958" w:rsidRPr="00B74958" w:rsidRDefault="00B74958" w:rsidP="00B74958">
      <w:pPr>
        <w:tabs>
          <w:tab w:val="left" w:pos="708"/>
        </w:tabs>
        <w:spacing w:before="40" w:after="40" w:line="240" w:lineRule="auto"/>
        <w:rPr>
          <w:rFonts w:ascii="Arial" w:eastAsia="Times New Roman" w:hAnsi="Arial" w:cs="Times New Roman"/>
          <w:bCs/>
          <w:kern w:val="0"/>
          <w:sz w:val="20"/>
          <w:szCs w:val="24"/>
          <w14:ligatures w14:val="none"/>
        </w:rPr>
      </w:pPr>
      <w:r w:rsidRPr="00B74958">
        <w:rPr>
          <w:rFonts w:ascii="Arial" w:eastAsia="Times New Roman" w:hAnsi="Arial" w:cs="Times New Roman"/>
          <w:bCs/>
          <w:kern w:val="0"/>
          <w:sz w:val="20"/>
          <w:szCs w:val="24"/>
          <w14:ligatures w14:val="none"/>
        </w:rPr>
        <w:t>Št.</w:t>
      </w:r>
    </w:p>
    <w:p w14:paraId="18AC43D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Cs/>
          <w:kern w:val="0"/>
          <w:sz w:val="20"/>
          <w:szCs w:val="24"/>
          <w14:ligatures w14:val="none"/>
        </w:rPr>
        <w:t>Ljubljana, dne 15. december 2024</w:t>
      </w:r>
    </w:p>
    <w:p w14:paraId="23B40758" w14:textId="77777777" w:rsidR="00B74958" w:rsidRPr="00B74958" w:rsidRDefault="00B74958" w:rsidP="00B74958">
      <w:pPr>
        <w:tabs>
          <w:tab w:val="left" w:pos="708"/>
        </w:tabs>
        <w:spacing w:before="40" w:after="40" w:line="240" w:lineRule="auto"/>
        <w:rPr>
          <w:rFonts w:ascii="Arial" w:eastAsia="Times New Roman" w:hAnsi="Arial" w:cs="Times New Roman"/>
          <w:bCs/>
          <w:kern w:val="0"/>
          <w:sz w:val="20"/>
          <w:szCs w:val="24"/>
          <w14:ligatures w14:val="none"/>
        </w:rPr>
      </w:pPr>
      <w:r w:rsidRPr="00B74958">
        <w:rPr>
          <w:rFonts w:ascii="Arial" w:eastAsia="Times New Roman" w:hAnsi="Arial" w:cs="Times New Roman"/>
          <w:kern w:val="0"/>
          <w:sz w:val="20"/>
          <w:szCs w:val="24"/>
          <w14:ligatures w14:val="none"/>
        </w:rPr>
        <w:t>EVA 2024-2570-0037</w:t>
      </w:r>
    </w:p>
    <w:p w14:paraId="4C8A8C31" w14:textId="77777777" w:rsidR="00B74958" w:rsidRPr="00B74958" w:rsidRDefault="00B74958" w:rsidP="00B74958">
      <w:pPr>
        <w:tabs>
          <w:tab w:val="left" w:pos="708"/>
        </w:tabs>
        <w:spacing w:before="40" w:after="40" w:line="240" w:lineRule="auto"/>
        <w:jc w:val="center"/>
        <w:rPr>
          <w:rFonts w:ascii="Arial" w:eastAsia="Times New Roman" w:hAnsi="Arial" w:cs="Times New Roman"/>
          <w:b/>
          <w:bCs/>
          <w:kern w:val="0"/>
          <w:sz w:val="20"/>
          <w:szCs w:val="24"/>
          <w14:ligatures w14:val="none"/>
        </w:rPr>
      </w:pP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t>Vlada Republike Slovenije</w:t>
      </w:r>
    </w:p>
    <w:p w14:paraId="7A3109BE" w14:textId="77777777" w:rsidR="00B74958" w:rsidRPr="00B74958" w:rsidRDefault="00B74958" w:rsidP="00B74958">
      <w:pPr>
        <w:tabs>
          <w:tab w:val="left" w:pos="708"/>
        </w:tabs>
        <w:spacing w:before="40" w:after="40" w:line="240" w:lineRule="auto"/>
        <w:jc w:val="center"/>
        <w:rPr>
          <w:rFonts w:ascii="Arial" w:eastAsia="Times New Roman" w:hAnsi="Arial" w:cs="Times New Roman"/>
          <w:b/>
          <w:bCs/>
          <w:kern w:val="0"/>
          <w:sz w:val="20"/>
          <w:szCs w:val="24"/>
          <w14:ligatures w14:val="none"/>
        </w:rPr>
      </w:pP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t>dr. Robert Golob</w:t>
      </w:r>
    </w:p>
    <w:p w14:paraId="464FA4FA" w14:textId="77777777" w:rsidR="00B74958" w:rsidRPr="00B74958" w:rsidRDefault="00B74958" w:rsidP="00B74958">
      <w:pPr>
        <w:tabs>
          <w:tab w:val="left" w:pos="708"/>
        </w:tabs>
        <w:spacing w:before="40" w:after="40" w:line="240" w:lineRule="auto"/>
        <w:jc w:val="center"/>
        <w:rPr>
          <w:rFonts w:ascii="Arial" w:eastAsia="Times New Roman" w:hAnsi="Arial" w:cs="Times New Roman"/>
          <w:b/>
          <w:bCs/>
          <w:kern w:val="0"/>
          <w:sz w:val="20"/>
          <w:szCs w:val="24"/>
          <w14:ligatures w14:val="none"/>
        </w:rPr>
      </w:pP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r>
      <w:r w:rsidRPr="00B74958">
        <w:rPr>
          <w:rFonts w:ascii="Arial" w:eastAsia="Times New Roman" w:hAnsi="Arial" w:cs="Times New Roman"/>
          <w:b/>
          <w:bCs/>
          <w:kern w:val="0"/>
          <w:sz w:val="20"/>
          <w:szCs w:val="24"/>
          <w14:ligatures w14:val="none"/>
        </w:rPr>
        <w:tab/>
        <w:t>predsednik</w:t>
      </w:r>
    </w:p>
    <w:p w14:paraId="7878D47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br w:type="page"/>
      </w:r>
    </w:p>
    <w:p w14:paraId="4E7C150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93E825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PRILOGA 1</w:t>
      </w:r>
    </w:p>
    <w:p w14:paraId="3E1ACED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57E17C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1. del - mešani komunalni odpadki s številko 20 03 01</w:t>
      </w:r>
    </w:p>
    <w:p w14:paraId="7161EE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4F73A2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4" w:name="_Hlk176720489"/>
      <w:r w:rsidRPr="00B74958">
        <w:rPr>
          <w:rFonts w:ascii="Arial" w:eastAsia="Times New Roman" w:hAnsi="Arial" w:cs="Times New Roman"/>
          <w:kern w:val="0"/>
          <w:sz w:val="20"/>
          <w:szCs w:val="24"/>
          <w14:ligatures w14:val="none"/>
        </w:rPr>
        <w:t xml:space="preserve">Za </w:t>
      </w:r>
      <w:bookmarkStart w:id="5" w:name="_Hlk176721936"/>
      <w:r w:rsidRPr="00B74958">
        <w:rPr>
          <w:rFonts w:ascii="Arial" w:eastAsia="Times New Roman" w:hAnsi="Arial" w:cs="Times New Roman"/>
          <w:kern w:val="0"/>
          <w:sz w:val="20"/>
          <w:szCs w:val="24"/>
          <w14:ligatures w14:val="none"/>
        </w:rPr>
        <w:t xml:space="preserve">mešane komunalne odpadke s številko 20 03 01 </w:t>
      </w:r>
      <w:bookmarkStart w:id="6" w:name="_Hlk174287400"/>
      <w:bookmarkEnd w:id="4"/>
      <w:bookmarkEnd w:id="5"/>
      <w:r w:rsidRPr="00B74958">
        <w:rPr>
          <w:rFonts w:ascii="Arial" w:eastAsia="Times New Roman" w:hAnsi="Arial" w:cs="Times New Roman"/>
          <w:kern w:val="0"/>
          <w:sz w:val="20"/>
          <w:szCs w:val="24"/>
          <w14:ligatures w14:val="none"/>
        </w:rPr>
        <w:t xml:space="preserve">(v nadaljnjem besedilu MKO) se največja količina gorljivih sestavin, ki se v posameznem koledarskem letu sežgejo v okviru storitev državne javne službe, določi za vsako občino posebej kot vsota: </w:t>
      </w:r>
      <w:bookmarkEnd w:id="6"/>
    </w:p>
    <w:p w14:paraId="2B7DB4C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08CA69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7" w:name="_Hlk174293103"/>
      <w:bookmarkStart w:id="8" w:name="_Hlk174282121"/>
      <w:r w:rsidRPr="00B74958">
        <w:rPr>
          <w:rFonts w:ascii="Arial" w:eastAsia="Times New Roman" w:hAnsi="Arial" w:cs="Times New Roman"/>
          <w:kern w:val="0"/>
          <w:sz w:val="20"/>
          <w:szCs w:val="24"/>
          <w14:ligatures w14:val="none"/>
        </w:rPr>
        <w:tab/>
        <w:t xml:space="preserve">- največje </w:t>
      </w:r>
      <w:bookmarkStart w:id="9" w:name="_Hlk174282463"/>
      <w:r w:rsidRPr="00B74958">
        <w:rPr>
          <w:rFonts w:ascii="Arial" w:eastAsia="Times New Roman" w:hAnsi="Arial" w:cs="Times New Roman"/>
          <w:kern w:val="0"/>
          <w:sz w:val="20"/>
          <w:szCs w:val="24"/>
          <w14:ligatures w14:val="none"/>
        </w:rPr>
        <w:t xml:space="preserve">letne količine papirja </w:t>
      </w:r>
      <w:bookmarkEnd w:id="9"/>
      <w:r w:rsidRPr="00B74958">
        <w:rPr>
          <w:rFonts w:ascii="Arial" w:eastAsia="Times New Roman" w:hAnsi="Arial" w:cs="Times New Roman"/>
          <w:kern w:val="0"/>
          <w:sz w:val="20"/>
          <w:szCs w:val="24"/>
          <w14:ligatures w14:val="none"/>
        </w:rPr>
        <w:t>v MKO,</w:t>
      </w:r>
    </w:p>
    <w:bookmarkEnd w:id="7"/>
    <w:p w14:paraId="7EDE903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t>- največje letne količine tekstila v MKO,</w:t>
      </w:r>
    </w:p>
    <w:p w14:paraId="3B5081A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it-IT"/>
          <w14:ligatures w14:val="none"/>
        </w:rPr>
      </w:pPr>
      <w:r w:rsidRPr="00B74958">
        <w:rPr>
          <w:rFonts w:ascii="Arial" w:eastAsia="Times New Roman" w:hAnsi="Arial" w:cs="Times New Roman"/>
          <w:kern w:val="0"/>
          <w:sz w:val="20"/>
          <w:szCs w:val="24"/>
          <w14:ligatures w14:val="none"/>
        </w:rPr>
        <w:tab/>
        <w:t>- največje letne količine lesa v MKO,</w:t>
      </w:r>
    </w:p>
    <w:bookmarkEnd w:id="8"/>
    <w:p w14:paraId="1A89AE9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t xml:space="preserve">- največje letne količine plastike v MKO in </w:t>
      </w:r>
    </w:p>
    <w:p w14:paraId="2EFAC98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b/>
        <w:t>- največje letne količine gorljivih drugih odpadkov v MKO.</w:t>
      </w:r>
    </w:p>
    <w:p w14:paraId="66129D4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10" w:name="_Hlk174290878"/>
    </w:p>
    <w:p w14:paraId="7329A1E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količine papirja, tekstila, lesa, plastike in gorljivih drugih odpadkov v MKO se v posameznem koledarskem letu za območje posamezne občine izračuna na podlagi naslednje enačbe:</w:t>
      </w:r>
    </w:p>
    <w:p w14:paraId="1F363D8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EE3D0BD"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i </w:t>
      </w:r>
      <w:r w:rsidRPr="00B74958">
        <w:rPr>
          <w:rFonts w:ascii="Arial" w:eastAsia="Times New Roman" w:hAnsi="Arial" w:cs="Times New Roman"/>
          <w:b/>
          <w:kern w:val="0"/>
          <w:sz w:val="20"/>
          <w:szCs w:val="24"/>
          <w14:ligatures w14:val="none"/>
        </w:rPr>
        <w:t>= (</w:t>
      </w:r>
      <w:bookmarkStart w:id="11" w:name="_Hlk174283726"/>
      <w:r w:rsidRPr="00B74958">
        <w:rPr>
          <w:rFonts w:ascii="Arial" w:eastAsia="Times New Roman" w:hAnsi="Arial" w:cs="Times New Roman"/>
          <w:b/>
          <w:kern w:val="0"/>
          <w:sz w:val="20"/>
          <w:szCs w:val="24"/>
          <w14:ligatures w14:val="none"/>
        </w:rPr>
        <w:t>letna količina MKO</w:t>
      </w:r>
      <w:bookmarkEnd w:id="11"/>
      <w:r w:rsidRPr="00B74958">
        <w:rPr>
          <w:rFonts w:ascii="Arial" w:eastAsia="Times New Roman" w:hAnsi="Arial" w:cs="Times New Roman"/>
          <w:b/>
          <w:kern w:val="0"/>
          <w:sz w:val="20"/>
          <w:szCs w:val="24"/>
          <w14:ligatures w14:val="none"/>
        </w:rPr>
        <w:t>) * (delež odpadka »i«) * (delež prebivalcev v občini)</w:t>
      </w:r>
    </w:p>
    <w:p w14:paraId="04CBDB4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BA8B7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3287CE2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57"/>
        <w:gridCol w:w="6307"/>
        <w:gridCol w:w="134"/>
      </w:tblGrid>
      <w:tr w:rsidR="00B74958" w:rsidRPr="00B74958" w14:paraId="54D690CA" w14:textId="77777777" w:rsidTr="00F17B26">
        <w:trPr>
          <w:gridAfter w:val="1"/>
          <w:wAfter w:w="140" w:type="dxa"/>
        </w:trPr>
        <w:tc>
          <w:tcPr>
            <w:tcW w:w="2093" w:type="dxa"/>
            <w:shd w:val="clear" w:color="auto" w:fill="auto"/>
          </w:tcPr>
          <w:p w14:paraId="1EFD813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i</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7E53184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odpadka z oznako »i« v MKO</w:t>
            </w:r>
          </w:p>
        </w:tc>
      </w:tr>
      <w:tr w:rsidR="00B74958" w:rsidRPr="00B74958" w14:paraId="03430393" w14:textId="77777777" w:rsidTr="00F17B26">
        <w:trPr>
          <w:gridAfter w:val="1"/>
          <w:wAfter w:w="140" w:type="dxa"/>
        </w:trPr>
        <w:tc>
          <w:tcPr>
            <w:tcW w:w="2093" w:type="dxa"/>
            <w:shd w:val="clear" w:color="auto" w:fill="auto"/>
          </w:tcPr>
          <w:p w14:paraId="467D761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odpadek »i«   </w:t>
            </w:r>
            <w:r w:rsidRPr="00B74958">
              <w:rPr>
                <w:rFonts w:ascii="Arial" w:eastAsia="Times New Roman" w:hAnsi="Arial" w:cs="Times New Roman"/>
                <w:kern w:val="0"/>
                <w:sz w:val="20"/>
                <w:szCs w:val="24"/>
                <w14:ligatures w14:val="none"/>
              </w:rPr>
              <w:t xml:space="preserve">         </w:t>
            </w:r>
          </w:p>
        </w:tc>
        <w:tc>
          <w:tcPr>
            <w:tcW w:w="6545" w:type="dxa"/>
            <w:shd w:val="clear" w:color="auto" w:fill="auto"/>
            <w:vAlign w:val="center"/>
          </w:tcPr>
          <w:p w14:paraId="5629237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it-IT"/>
                <w14:ligatures w14:val="none"/>
              </w:rPr>
            </w:pPr>
            <w:r w:rsidRPr="00B74958">
              <w:rPr>
                <w:rFonts w:ascii="Arial" w:eastAsia="Times New Roman" w:hAnsi="Arial" w:cs="Times New Roman"/>
                <w:kern w:val="0"/>
                <w:sz w:val="20"/>
                <w:szCs w:val="24"/>
                <w14:ligatures w14:val="none"/>
              </w:rPr>
              <w:t>i = 1 za papir, i = 2 za tekstil, i = 3 za les, i = 4 za plastiko in i = 5 za gorljive druge odpadke</w:t>
            </w:r>
          </w:p>
        </w:tc>
      </w:tr>
      <w:tr w:rsidR="00B74958" w:rsidRPr="00B74958" w14:paraId="53A7EB2B" w14:textId="77777777" w:rsidTr="00F17B26">
        <w:trPr>
          <w:gridAfter w:val="1"/>
          <w:wAfter w:w="140" w:type="dxa"/>
        </w:trPr>
        <w:tc>
          <w:tcPr>
            <w:tcW w:w="2093" w:type="dxa"/>
            <w:shd w:val="clear" w:color="auto" w:fill="auto"/>
          </w:tcPr>
          <w:p w14:paraId="3CECC25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letna količina MKO</w:t>
            </w:r>
          </w:p>
        </w:tc>
        <w:tc>
          <w:tcPr>
            <w:tcW w:w="6545" w:type="dxa"/>
            <w:shd w:val="clear" w:color="auto" w:fill="auto"/>
            <w:vAlign w:val="center"/>
          </w:tcPr>
          <w:p w14:paraId="61E9712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MKO, ki nastanejo v posameznem koledarskem letu na ozemlju R Slovenije na podlagi modelnega izračuna scenarijev razvoja ravnanja s komunalnimi odpadki</w:t>
            </w:r>
          </w:p>
        </w:tc>
      </w:tr>
      <w:tr w:rsidR="00B74958" w:rsidRPr="00B74958" w14:paraId="607D92FF" w14:textId="77777777" w:rsidTr="00F17B26">
        <w:tc>
          <w:tcPr>
            <w:tcW w:w="2093" w:type="dxa"/>
            <w:shd w:val="clear" w:color="auto" w:fill="auto"/>
          </w:tcPr>
          <w:p w14:paraId="6BF5BB5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6545" w:type="dxa"/>
            <w:gridSpan w:val="2"/>
            <w:shd w:val="clear" w:color="auto" w:fill="auto"/>
            <w:vAlign w:val="center"/>
          </w:tcPr>
          <w:p w14:paraId="4D20057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r>
      <w:tr w:rsidR="00B74958" w:rsidRPr="00B74958" w14:paraId="305A8A66" w14:textId="77777777" w:rsidTr="00F17B26">
        <w:trPr>
          <w:gridAfter w:val="1"/>
          <w:wAfter w:w="140" w:type="dxa"/>
        </w:trPr>
        <w:tc>
          <w:tcPr>
            <w:tcW w:w="2093" w:type="dxa"/>
            <w:shd w:val="clear" w:color="auto" w:fill="auto"/>
          </w:tcPr>
          <w:p w14:paraId="4C7D1D6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odpadka »i«</w:t>
            </w:r>
          </w:p>
        </w:tc>
        <w:tc>
          <w:tcPr>
            <w:tcW w:w="6545" w:type="dxa"/>
            <w:shd w:val="clear" w:color="auto" w:fill="auto"/>
            <w:vAlign w:val="center"/>
          </w:tcPr>
          <w:p w14:paraId="76DDA6F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povprečni delež odpadka »i« v MKO, ki nastanejo v posameznem koledarskem letu na ozemlju R Slovenije, in je ocenjen na podlagi rezultatov sortirnih analiz MKO, izdelanih za izhodiščno leto modelnega izračuna scenarijev razvoja ravnanja s komunalnimi odpadki</w:t>
            </w:r>
          </w:p>
        </w:tc>
      </w:tr>
      <w:tr w:rsidR="00B74958" w:rsidRPr="00B74958" w14:paraId="0D1F414E" w14:textId="77777777" w:rsidTr="00F17B26">
        <w:trPr>
          <w:gridAfter w:val="1"/>
          <w:wAfter w:w="140" w:type="dxa"/>
        </w:trPr>
        <w:tc>
          <w:tcPr>
            <w:tcW w:w="2093" w:type="dxa"/>
            <w:shd w:val="clear" w:color="auto" w:fill="auto"/>
          </w:tcPr>
          <w:p w14:paraId="1C7C47E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delež prebivalcev v občini</w:t>
            </w:r>
          </w:p>
        </w:tc>
        <w:tc>
          <w:tcPr>
            <w:tcW w:w="6545" w:type="dxa"/>
            <w:shd w:val="clear" w:color="auto" w:fill="auto"/>
          </w:tcPr>
          <w:p w14:paraId="66DED1B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prebivalcev s stalnim prebivališčem v občini, za območje katere se določa največja letna količina odpadka z oznako »i« v MKO</w:t>
            </w:r>
          </w:p>
        </w:tc>
      </w:tr>
    </w:tbl>
    <w:p w14:paraId="0319043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1C2576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bookmarkEnd w:id="10"/>
    <w:p w14:paraId="47A05D4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Če je na podlagi rezultatov sortirnih analiz MKO, izdelanih za izhodiščno leto modelnega izračuna scenarijev razvoja ravnanja s komunalnimi odpadki, za območje posamezne občine ugotovljeno, da je bilo v izhodiščenem koledarskem letu zbrano več MKO na prebivalca, kot je </w:t>
      </w:r>
      <w:bookmarkStart w:id="12" w:name="_Hlk177305427"/>
      <w:r w:rsidRPr="00B74958">
        <w:rPr>
          <w:rFonts w:ascii="Arial" w:eastAsia="Times New Roman" w:hAnsi="Arial" w:cs="Times New Roman"/>
          <w:kern w:val="0"/>
          <w:sz w:val="20"/>
          <w:szCs w:val="24"/>
          <w14:ligatures w14:val="none"/>
        </w:rPr>
        <w:t xml:space="preserve">referenčna vrednost kazalnika za R Slovenijo »količina MKO na prebivalca«, </w:t>
      </w:r>
      <w:bookmarkEnd w:id="12"/>
      <w:r w:rsidRPr="00B74958">
        <w:rPr>
          <w:rFonts w:ascii="Arial" w:eastAsia="Times New Roman" w:hAnsi="Arial" w:cs="Times New Roman"/>
          <w:kern w:val="0"/>
          <w:sz w:val="20"/>
          <w:szCs w:val="24"/>
          <w14:ligatures w14:val="none"/>
        </w:rPr>
        <w:t>se morajo MKO iz območja te občine pred oddajo gorljivih sestavin v obdelavo v okviru storitev državne javne službe dodatno mehansko obdelati tako, da:</w:t>
      </w:r>
    </w:p>
    <w:p w14:paraId="6E26EFD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6CCDC4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it-IT"/>
          <w14:ligatures w14:val="none"/>
        </w:rPr>
      </w:pPr>
      <w:r w:rsidRPr="00B74958">
        <w:rPr>
          <w:rFonts w:ascii="Arial" w:eastAsia="Times New Roman" w:hAnsi="Arial" w:cs="Times New Roman"/>
          <w:kern w:val="0"/>
          <w:sz w:val="20"/>
          <w:szCs w:val="24"/>
          <w14:ligatures w14:val="none"/>
        </w:rPr>
        <w:tab/>
        <w:t>- se iz MKO izločijo reciklabilne sestavine in oddajo v recikliranje in</w:t>
      </w:r>
    </w:p>
    <w:p w14:paraId="5C2B9EA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it-IT"/>
          <w14:ligatures w14:val="none"/>
        </w:rPr>
      </w:pPr>
      <w:r w:rsidRPr="00B74958">
        <w:rPr>
          <w:rFonts w:ascii="Arial" w:eastAsia="Times New Roman" w:hAnsi="Arial" w:cs="Times New Roman"/>
          <w:kern w:val="0"/>
          <w:sz w:val="20"/>
          <w:szCs w:val="24"/>
          <w14:ligatures w14:val="none"/>
        </w:rPr>
        <w:t>- se celotna letna količina MKO na prebivalca, ki je nastala na območju te občine, zmanjša najmanj na referenčno vrednost kazalnika za R Slovenijo »količina MKO na prebivalca«;</w:t>
      </w:r>
    </w:p>
    <w:p w14:paraId="107361F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581F1A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520AB5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2. del - kosovni odpadki s številko 20 03 07</w:t>
      </w:r>
    </w:p>
    <w:p w14:paraId="61595B3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C0CC1B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Za kosovne odpadke s številko 20 03 07 se največja količina gorljivih sestavin, </w:t>
      </w:r>
      <w:bookmarkStart w:id="13" w:name="_Hlk174291057"/>
      <w:r w:rsidRPr="00B74958">
        <w:rPr>
          <w:rFonts w:ascii="Arial" w:eastAsia="Times New Roman" w:hAnsi="Arial" w:cs="Times New Roman"/>
          <w:kern w:val="0"/>
          <w:sz w:val="20"/>
          <w:szCs w:val="24"/>
          <w14:ligatures w14:val="none"/>
        </w:rPr>
        <w:t xml:space="preserve">ki se v posameznem koledarskem letu sežgejo v okviru storitev državne javne službe, </w:t>
      </w:r>
      <w:bookmarkEnd w:id="13"/>
      <w:r w:rsidRPr="00B74958">
        <w:rPr>
          <w:rFonts w:ascii="Arial" w:eastAsia="Times New Roman" w:hAnsi="Arial" w:cs="Times New Roman"/>
          <w:kern w:val="0"/>
          <w:sz w:val="20"/>
          <w:szCs w:val="24"/>
          <w14:ligatures w14:val="none"/>
        </w:rPr>
        <w:t>določi na podlagi podatkov o:</w:t>
      </w:r>
    </w:p>
    <w:p w14:paraId="5071666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973134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letni količini zbranih kosovnih odpadkov v izhodiščnem letu modelnega izračuna scenarijev razvoja ravnanja s komunalnimi odpadki,</w:t>
      </w:r>
    </w:p>
    <w:p w14:paraId="3EB66C2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sestavi kosovnih odpadkov v izhodiščnem letu modelnega izračuna scenarijev razvoja ravnanja s komunalnimi odpadki,</w:t>
      </w:r>
    </w:p>
    <w:p w14:paraId="7760995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ocenjenemu deležu </w:t>
      </w:r>
      <w:bookmarkStart w:id="14" w:name="_Hlk174290967"/>
      <w:r w:rsidRPr="00B74958">
        <w:rPr>
          <w:rFonts w:ascii="Arial" w:eastAsia="Times New Roman" w:hAnsi="Arial" w:cs="Times New Roman"/>
          <w:kern w:val="0"/>
          <w:sz w:val="20"/>
          <w:szCs w:val="24"/>
          <w14:ligatures w14:val="none"/>
        </w:rPr>
        <w:t xml:space="preserve">gorljivih sestavin v kosovnih odpadkih v izhodiščnem letu </w:t>
      </w:r>
      <w:bookmarkEnd w:id="14"/>
      <w:r w:rsidRPr="00B74958">
        <w:rPr>
          <w:rFonts w:ascii="Arial" w:eastAsia="Times New Roman" w:hAnsi="Arial" w:cs="Times New Roman"/>
          <w:kern w:val="0"/>
          <w:sz w:val="20"/>
          <w:szCs w:val="24"/>
          <w14:ligatures w14:val="none"/>
        </w:rPr>
        <w:t>ter</w:t>
      </w:r>
    </w:p>
    <w:p w14:paraId="4FE88CA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predpostavki, da se reciklira 30 % gorljivih sestavin v kosovnih odpadkih, ki se oddajo v predelavo v letu 2025, pri čemer se stopnja recikliranja gorljivih sestavin v kosovnih odpadkih do leta 2035 poveča na 40 %,</w:t>
      </w:r>
    </w:p>
    <w:p w14:paraId="2767E27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767D13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gorljivih sestavin v kosovnih odpadkih, ki se v posameznem koledarskem letu sežge v okviru storitev državne javne službe, se izračuna na podlagi naslednje enačbe:</w:t>
      </w:r>
    </w:p>
    <w:p w14:paraId="44D2DB1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82CCC1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kosovni </w:t>
      </w:r>
      <w:r w:rsidRPr="00B74958">
        <w:rPr>
          <w:rFonts w:ascii="Arial" w:eastAsia="Times New Roman" w:hAnsi="Arial" w:cs="Times New Roman"/>
          <w:b/>
          <w:kern w:val="0"/>
          <w:sz w:val="20"/>
          <w:szCs w:val="24"/>
          <w14:ligatures w14:val="none"/>
        </w:rPr>
        <w:t>= (letna količina) * (delež gorljivih sestavin) * (1 – delež recikliranja)</w:t>
      </w:r>
    </w:p>
    <w:p w14:paraId="199E5F0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BB1679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0FE0CF7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74"/>
        <w:gridCol w:w="6424"/>
      </w:tblGrid>
      <w:tr w:rsidR="00B74958" w:rsidRPr="00B74958" w14:paraId="5B0DAA99" w14:textId="77777777" w:rsidTr="00F17B26">
        <w:tc>
          <w:tcPr>
            <w:tcW w:w="2093" w:type="dxa"/>
            <w:shd w:val="clear" w:color="auto" w:fill="auto"/>
          </w:tcPr>
          <w:p w14:paraId="3E841BE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kosovni</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6D2FBA5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gorljivih sestavin v kosovnih odpadkih, ki se v posameznem koledarskem letu sežge v okviru storitev državne javne službe</w:t>
            </w:r>
          </w:p>
        </w:tc>
      </w:tr>
      <w:tr w:rsidR="00B74958" w:rsidRPr="00B74958" w14:paraId="145DA556" w14:textId="77777777" w:rsidTr="00F17B26">
        <w:tc>
          <w:tcPr>
            <w:tcW w:w="2093" w:type="dxa"/>
            <w:shd w:val="clear" w:color="auto" w:fill="auto"/>
          </w:tcPr>
          <w:p w14:paraId="3656929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letna količina </w:t>
            </w:r>
          </w:p>
        </w:tc>
        <w:tc>
          <w:tcPr>
            <w:tcW w:w="6545" w:type="dxa"/>
            <w:shd w:val="clear" w:color="auto" w:fill="auto"/>
            <w:vAlign w:val="center"/>
          </w:tcPr>
          <w:p w14:paraId="3241762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kosovnih odpadkov, ki nastanejo v posameznem koledarskem letu na ozemlju R Slovenije na podlagi modelnega izračuna scenarijev razvoja ravnanja s komunalnimi odpadki</w:t>
            </w:r>
          </w:p>
        </w:tc>
      </w:tr>
      <w:tr w:rsidR="00B74958" w:rsidRPr="00B74958" w14:paraId="0C886094" w14:textId="77777777" w:rsidTr="00F17B26">
        <w:tc>
          <w:tcPr>
            <w:tcW w:w="2093" w:type="dxa"/>
            <w:shd w:val="clear" w:color="auto" w:fill="auto"/>
          </w:tcPr>
          <w:p w14:paraId="679C837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gorljivih sestavin</w:t>
            </w:r>
          </w:p>
        </w:tc>
        <w:tc>
          <w:tcPr>
            <w:tcW w:w="6545" w:type="dxa"/>
            <w:shd w:val="clear" w:color="auto" w:fill="auto"/>
            <w:vAlign w:val="center"/>
          </w:tcPr>
          <w:p w14:paraId="7A6B96E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povprečni delež gorljivih sestavin v kosovnih odpadkih, ki nastanejo v posameznem koledarskem letu na ozemlju R Slovenije, in je ocenjen na podlagi rezultatov obdelave kosovnih odpadkov, izdelanih za izhodiščno leto modelnega izračuna scenarijev razvoja ravnanja s komunalnimi odpadki</w:t>
            </w:r>
          </w:p>
        </w:tc>
      </w:tr>
      <w:tr w:rsidR="00B74958" w:rsidRPr="00B74958" w14:paraId="153BD4AF" w14:textId="77777777" w:rsidTr="00F17B26">
        <w:tc>
          <w:tcPr>
            <w:tcW w:w="2093" w:type="dxa"/>
            <w:shd w:val="clear" w:color="auto" w:fill="auto"/>
          </w:tcPr>
          <w:p w14:paraId="66EDC6A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recikliranja</w:t>
            </w:r>
          </w:p>
        </w:tc>
        <w:tc>
          <w:tcPr>
            <w:tcW w:w="6545" w:type="dxa"/>
            <w:shd w:val="clear" w:color="auto" w:fill="auto"/>
          </w:tcPr>
          <w:p w14:paraId="4AEA2FE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recikliranja gorljivih sestavin v kosovnih odpadkih, ki se oddajo v predelavo v izhodiščnem letu, pri čemer je najmanjši delež recikliranja gorljivih sestavin v kosovnih odpadkih v letu 2025 enak 30 % in se do leta 2035 poveča na 40%.</w:t>
            </w:r>
          </w:p>
        </w:tc>
      </w:tr>
    </w:tbl>
    <w:p w14:paraId="335B006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52B96E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44834A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119526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bookmarkStart w:id="15" w:name="_Hlk176723294"/>
      <w:r w:rsidRPr="00B74958">
        <w:rPr>
          <w:rFonts w:ascii="Arial" w:eastAsia="Times New Roman" w:hAnsi="Arial" w:cs="Times New Roman"/>
          <w:b/>
          <w:kern w:val="0"/>
          <w:sz w:val="20"/>
          <w:szCs w:val="24"/>
          <w14:ligatures w14:val="none"/>
        </w:rPr>
        <w:t>3. del – ločeno zbrani komunalni odpadki iz papirja, kartona in lepenke s številko 20 01 01</w:t>
      </w:r>
    </w:p>
    <w:bookmarkEnd w:id="15"/>
    <w:p w14:paraId="537BCBF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F4C3DD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16" w:name="_Hlk176720664"/>
      <w:r w:rsidRPr="00B74958">
        <w:rPr>
          <w:rFonts w:ascii="Arial" w:eastAsia="Times New Roman" w:hAnsi="Arial" w:cs="Times New Roman"/>
          <w:kern w:val="0"/>
          <w:sz w:val="20"/>
          <w:szCs w:val="24"/>
          <w14:ligatures w14:val="none"/>
        </w:rPr>
        <w:t xml:space="preserve">Za ločeno zbran papir, karton in lepenko s številko 20 01 01 </w:t>
      </w:r>
      <w:bookmarkEnd w:id="16"/>
      <w:r w:rsidRPr="00B74958">
        <w:rPr>
          <w:rFonts w:ascii="Arial" w:eastAsia="Times New Roman" w:hAnsi="Arial" w:cs="Times New Roman"/>
          <w:kern w:val="0"/>
          <w:sz w:val="20"/>
          <w:szCs w:val="24"/>
          <w14:ligatures w14:val="none"/>
        </w:rPr>
        <w:t xml:space="preserve">se največja letna količina </w:t>
      </w:r>
      <w:bookmarkStart w:id="17" w:name="_Hlk176757422"/>
      <w:r w:rsidRPr="00B74958">
        <w:rPr>
          <w:rFonts w:ascii="Arial" w:eastAsia="Times New Roman" w:hAnsi="Arial" w:cs="Times New Roman"/>
          <w:kern w:val="0"/>
          <w:sz w:val="20"/>
          <w:szCs w:val="24"/>
          <w14:ligatures w14:val="none"/>
        </w:rPr>
        <w:t>gorljivih sestavin</w:t>
      </w:r>
      <w:bookmarkEnd w:id="17"/>
      <w:r w:rsidRPr="00B74958">
        <w:rPr>
          <w:rFonts w:ascii="Arial" w:eastAsia="Times New Roman" w:hAnsi="Arial" w:cs="Times New Roman"/>
          <w:kern w:val="0"/>
          <w:sz w:val="20"/>
          <w:szCs w:val="24"/>
          <w14:ligatures w14:val="none"/>
        </w:rPr>
        <w:t>, ki se v posameznem koledarskem letu sežge v okviru storitev državne javne službe, določi na podlagi podatkov o:</w:t>
      </w:r>
    </w:p>
    <w:p w14:paraId="3AEE022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7D66FB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18" w:name="_Hlk176137136"/>
      <w:r w:rsidRPr="00B74958">
        <w:rPr>
          <w:rFonts w:ascii="Arial" w:eastAsia="Times New Roman" w:hAnsi="Arial" w:cs="Times New Roman"/>
          <w:kern w:val="0"/>
          <w:sz w:val="20"/>
          <w:szCs w:val="24"/>
          <w14:ligatures w14:val="none"/>
        </w:rPr>
        <w:t xml:space="preserve">- letni količini </w:t>
      </w:r>
      <w:bookmarkStart w:id="19" w:name="_Hlk174294311"/>
      <w:r w:rsidRPr="00B74958">
        <w:rPr>
          <w:rFonts w:ascii="Arial" w:eastAsia="Times New Roman" w:hAnsi="Arial" w:cs="Times New Roman"/>
          <w:kern w:val="0"/>
          <w:sz w:val="20"/>
          <w:szCs w:val="24"/>
          <w14:ligatures w14:val="none"/>
        </w:rPr>
        <w:t xml:space="preserve">ločeno zbranih odpadkov iz papirja, kartona in lepenke </w:t>
      </w:r>
      <w:bookmarkEnd w:id="19"/>
      <w:r w:rsidRPr="00B74958">
        <w:rPr>
          <w:rFonts w:ascii="Arial" w:eastAsia="Times New Roman" w:hAnsi="Arial" w:cs="Times New Roman"/>
          <w:kern w:val="0"/>
          <w:sz w:val="20"/>
          <w:szCs w:val="24"/>
          <w14:ligatures w14:val="none"/>
        </w:rPr>
        <w:t xml:space="preserve">v izhodiščnem letu modelnega izračuna scenarijev razvoja ravnanja s komunalnimi odpadki </w:t>
      </w:r>
      <w:bookmarkEnd w:id="18"/>
      <w:r w:rsidRPr="00B74958">
        <w:rPr>
          <w:rFonts w:ascii="Arial" w:eastAsia="Times New Roman" w:hAnsi="Arial" w:cs="Times New Roman"/>
          <w:kern w:val="0"/>
          <w:sz w:val="20"/>
          <w:szCs w:val="24"/>
          <w14:ligatures w14:val="none"/>
        </w:rPr>
        <w:t>ter</w:t>
      </w:r>
    </w:p>
    <w:p w14:paraId="58885A2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predpostavki, da se v izhodiščnem letu odda v recikliranje ali v pripravo za ponovno uporabo več kot 75 % teh ločeno zbranih odpadkov, pri čemer se delež recikliranja in priprave za ponovno uporabo do leta 2030 na 85 % in do leta 2035 poveča na 95 %.</w:t>
      </w:r>
    </w:p>
    <w:p w14:paraId="01F77D7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E95C66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20" w:name="_Hlk176757097"/>
      <w:r w:rsidRPr="00B74958">
        <w:rPr>
          <w:rFonts w:ascii="Arial" w:eastAsia="Times New Roman" w:hAnsi="Arial" w:cs="Times New Roman"/>
          <w:kern w:val="0"/>
          <w:sz w:val="20"/>
          <w:szCs w:val="24"/>
          <w14:ligatures w14:val="none"/>
        </w:rPr>
        <w:t xml:space="preserve">Največja letna količina </w:t>
      </w:r>
      <w:bookmarkStart w:id="21" w:name="_Hlk176757642"/>
      <w:r w:rsidRPr="00B74958">
        <w:rPr>
          <w:rFonts w:ascii="Arial" w:eastAsia="Times New Roman" w:hAnsi="Arial" w:cs="Times New Roman"/>
          <w:kern w:val="0"/>
          <w:sz w:val="20"/>
          <w:szCs w:val="24"/>
          <w14:ligatures w14:val="none"/>
        </w:rPr>
        <w:t xml:space="preserve">gorljivih sestavin, ki nastanejo ob mehanski obdelavi </w:t>
      </w:r>
      <w:bookmarkEnd w:id="21"/>
      <w:r w:rsidRPr="00B74958">
        <w:rPr>
          <w:rFonts w:ascii="Arial" w:eastAsia="Times New Roman" w:hAnsi="Arial" w:cs="Times New Roman"/>
          <w:kern w:val="0"/>
          <w:sz w:val="20"/>
          <w:szCs w:val="24"/>
          <w14:ligatures w14:val="none"/>
        </w:rPr>
        <w:t>ločeno zbranih odpadkov iz papirja, kartona in lepenke s številko 20 01 01 in se v posameznem koledarskem letu sežgejo v okviru storitev državne javne službe, se izračuna na podlagi naslednje enačbe:</w:t>
      </w:r>
    </w:p>
    <w:p w14:paraId="22EA2F4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D245B9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it-IT"/>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papir </w:t>
      </w:r>
      <w:r w:rsidRPr="00B74958">
        <w:rPr>
          <w:rFonts w:ascii="Arial" w:eastAsia="Times New Roman" w:hAnsi="Arial" w:cs="Times New Roman"/>
          <w:b/>
          <w:kern w:val="0"/>
          <w:sz w:val="20"/>
          <w:szCs w:val="24"/>
          <w14:ligatures w14:val="none"/>
        </w:rPr>
        <w:t>= (letna količina) * (1 – delež recikliranja)</w:t>
      </w:r>
    </w:p>
    <w:p w14:paraId="46DA441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E72DB7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575ACF3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74"/>
        <w:gridCol w:w="6424"/>
      </w:tblGrid>
      <w:tr w:rsidR="00B74958" w:rsidRPr="00B74958" w14:paraId="00AF5AB7" w14:textId="77777777" w:rsidTr="00F17B26">
        <w:tc>
          <w:tcPr>
            <w:tcW w:w="2093" w:type="dxa"/>
            <w:shd w:val="clear" w:color="auto" w:fill="auto"/>
          </w:tcPr>
          <w:p w14:paraId="51CBEFB5"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papir</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17B7C93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gorljivih sestavin, ki nastanejo ob mehanski obdelavi ločeno zbranih odpadkov iz papirja, kartona in lepenke in se v posameznem koledarskem letu sežgejo v okviru storitev državne javne službe</w:t>
            </w:r>
          </w:p>
        </w:tc>
      </w:tr>
      <w:tr w:rsidR="00B74958" w:rsidRPr="00B74958" w14:paraId="656DAEA6" w14:textId="77777777" w:rsidTr="00F17B26">
        <w:tc>
          <w:tcPr>
            <w:tcW w:w="2093" w:type="dxa"/>
            <w:shd w:val="clear" w:color="auto" w:fill="auto"/>
          </w:tcPr>
          <w:p w14:paraId="6237CB2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letna količina </w:t>
            </w:r>
          </w:p>
        </w:tc>
        <w:tc>
          <w:tcPr>
            <w:tcW w:w="6545" w:type="dxa"/>
            <w:shd w:val="clear" w:color="auto" w:fill="auto"/>
            <w:vAlign w:val="center"/>
          </w:tcPr>
          <w:p w14:paraId="1178E17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ločeno zbranih odpadkov iz papirja, kartona in lepenke, ki se ločeno zberejo v posameznem koledarskem letu na ozemlju R Slovenije v okviru občinske javne službe zbiranja na podlagi modelnega izračuna scenarijev razvoja ravnanja s komunalnimi odpadki</w:t>
            </w:r>
          </w:p>
        </w:tc>
      </w:tr>
      <w:tr w:rsidR="00B74958" w:rsidRPr="00B74958" w14:paraId="6F01675B" w14:textId="77777777" w:rsidTr="00F17B26">
        <w:tc>
          <w:tcPr>
            <w:tcW w:w="2093" w:type="dxa"/>
            <w:shd w:val="clear" w:color="auto" w:fill="auto"/>
          </w:tcPr>
          <w:p w14:paraId="3BD2072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recikliranja</w:t>
            </w:r>
          </w:p>
        </w:tc>
        <w:tc>
          <w:tcPr>
            <w:tcW w:w="6545" w:type="dxa"/>
            <w:shd w:val="clear" w:color="auto" w:fill="auto"/>
          </w:tcPr>
          <w:p w14:paraId="0369056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recikliranja in priprave za ponovno uporabo ločeno zbranih odpadkov iz papirja, kartona in lepenke v izhodiščnem letu, pri čemer je delež recikliranja in priprave za ponovno uporabo v letu 2025 enak 75 % in se do leta 2030 poveča na 85% ter do leta 2035 na 95 %.</w:t>
            </w:r>
          </w:p>
        </w:tc>
      </w:tr>
      <w:bookmarkEnd w:id="20"/>
    </w:tbl>
    <w:p w14:paraId="23E7029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05A864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BDD8F6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22" w:name="_Hlk176759062"/>
      <w:r w:rsidRPr="00B74958">
        <w:rPr>
          <w:rFonts w:ascii="Arial" w:eastAsia="Times New Roman" w:hAnsi="Arial" w:cs="Times New Roman"/>
          <w:kern w:val="0"/>
          <w:sz w:val="20"/>
          <w:szCs w:val="24"/>
          <w14:ligatures w14:val="none"/>
        </w:rPr>
        <w:t>Največja letna količina gorljivih sestavin, ki nastanejo ob mehanski obdelavi ločeno zbrane papirne in kartonske embalažo ter embalaže iz lepenke s številko 15 01 01, embalaže, ki je pretežno iz papirja in je z mehansko obdelavo izločena iz ločeno zbrane mešane embalaže s številko 15 01 06 in iz sestavljene (kompozitne) embalaže s številko 15 01 05, ter za mešanico vseh teh vrst komunalnih odpadkov in se v posameznem koledarskem letu kot posebna storitev državne javne službe sežge v sežigalnici, se izračuna na podlagi naslednje enačbe:</w:t>
      </w:r>
    </w:p>
    <w:p w14:paraId="5DD3655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1E2BAC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it-IT"/>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papir </w:t>
      </w:r>
      <w:r w:rsidRPr="00B74958">
        <w:rPr>
          <w:rFonts w:ascii="Arial" w:eastAsia="Times New Roman" w:hAnsi="Arial" w:cs="Times New Roman"/>
          <w:b/>
          <w:kern w:val="0"/>
          <w:sz w:val="20"/>
          <w:szCs w:val="24"/>
          <w14:ligatures w14:val="none"/>
        </w:rPr>
        <w:t>= (letna količina) * (1 – delež recikliranja)</w:t>
      </w:r>
    </w:p>
    <w:p w14:paraId="422442C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422A80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409414C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74"/>
        <w:gridCol w:w="6424"/>
      </w:tblGrid>
      <w:tr w:rsidR="00B74958" w:rsidRPr="00B74958" w14:paraId="1C6AA6AF" w14:textId="77777777" w:rsidTr="00F17B26">
        <w:tc>
          <w:tcPr>
            <w:tcW w:w="2093" w:type="dxa"/>
            <w:shd w:val="clear" w:color="auto" w:fill="auto"/>
          </w:tcPr>
          <w:p w14:paraId="0BEE6ED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papir</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551EDF5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največja letna količina gorljivih sestavin, ki se v posameznem koledarskem letu kot posebna storitev državne javne službe sežge v sežigalnici </w:t>
            </w:r>
          </w:p>
        </w:tc>
      </w:tr>
      <w:tr w:rsidR="00B74958" w:rsidRPr="00B74958" w14:paraId="39942F46" w14:textId="77777777" w:rsidTr="00F17B26">
        <w:tc>
          <w:tcPr>
            <w:tcW w:w="2093" w:type="dxa"/>
            <w:shd w:val="clear" w:color="auto" w:fill="auto"/>
          </w:tcPr>
          <w:p w14:paraId="4289432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letna količina </w:t>
            </w:r>
          </w:p>
        </w:tc>
        <w:tc>
          <w:tcPr>
            <w:tcW w:w="6545" w:type="dxa"/>
            <w:shd w:val="clear" w:color="auto" w:fill="auto"/>
            <w:vAlign w:val="center"/>
          </w:tcPr>
          <w:p w14:paraId="26E1A56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ločeno zbrane papirne in kartonske embalažo ter embalaže iz lepenke s številko 15 01 01, embalaže, ki je pretežno iz papirja in je z mehansko obdelavo izločena iz ločeno zbrane mešane embalaže s številko 15 01 06 in iz sestavljene (kompozitne) embalaže s številko 15 01 05, ki je ocenjena na podlagi modelnega izračuna scenarijev razvoja ravnanja s komunalnimi odpadki</w:t>
            </w:r>
          </w:p>
        </w:tc>
      </w:tr>
      <w:tr w:rsidR="00B74958" w:rsidRPr="00B74958" w14:paraId="38BF65F0" w14:textId="77777777" w:rsidTr="00F17B26">
        <w:tc>
          <w:tcPr>
            <w:tcW w:w="2093" w:type="dxa"/>
            <w:shd w:val="clear" w:color="auto" w:fill="auto"/>
          </w:tcPr>
          <w:p w14:paraId="04E660C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recikliranja</w:t>
            </w:r>
          </w:p>
        </w:tc>
        <w:tc>
          <w:tcPr>
            <w:tcW w:w="6545" w:type="dxa"/>
            <w:shd w:val="clear" w:color="auto" w:fill="auto"/>
          </w:tcPr>
          <w:p w14:paraId="151A9B2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recikliranja in priprave za ponovno uporabo ločeno zbranih odpadkov iz papirja, kartona in lepenke v izhodiščnem letu, pri čemer je delež recikliranja in priprave za ponovno uporabo v letu 2025 enak 75 % in se do leta 2030 poveča na 85% ter do leta 2035 na 95 %.</w:t>
            </w:r>
          </w:p>
        </w:tc>
      </w:tr>
      <w:bookmarkEnd w:id="22"/>
    </w:tbl>
    <w:p w14:paraId="21B66D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E87FC2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1E1D1C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bookmarkStart w:id="23" w:name="_Hlk176723873"/>
      <w:r w:rsidRPr="00B74958">
        <w:rPr>
          <w:rFonts w:ascii="Arial" w:eastAsia="Times New Roman" w:hAnsi="Arial" w:cs="Times New Roman"/>
          <w:b/>
          <w:kern w:val="0"/>
          <w:sz w:val="20"/>
          <w:szCs w:val="24"/>
          <w14:ligatures w14:val="none"/>
        </w:rPr>
        <w:t>4. del – ločeno zbrani komunalni odpadki iz plastike s številko 20 01 39</w:t>
      </w:r>
    </w:p>
    <w:bookmarkEnd w:id="23"/>
    <w:p w14:paraId="7F39257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E5E46C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24" w:name="_Hlk176721146"/>
      <w:r w:rsidRPr="00B74958">
        <w:rPr>
          <w:rFonts w:ascii="Arial" w:eastAsia="Times New Roman" w:hAnsi="Arial" w:cs="Times New Roman"/>
          <w:kern w:val="0"/>
          <w:sz w:val="20"/>
          <w:szCs w:val="24"/>
          <w14:ligatures w14:val="none"/>
        </w:rPr>
        <w:t>Za ločeno zbrano plastiko s številko 20 01 39</w:t>
      </w:r>
      <w:bookmarkEnd w:id="24"/>
      <w:r w:rsidRPr="00B74958">
        <w:rPr>
          <w:rFonts w:ascii="Arial" w:eastAsia="Times New Roman" w:hAnsi="Arial" w:cs="Times New Roman"/>
          <w:kern w:val="0"/>
          <w:sz w:val="20"/>
          <w:szCs w:val="24"/>
          <w14:ligatures w14:val="none"/>
        </w:rPr>
        <w:t xml:space="preserve"> se največja letna količina gorljivih sestavin, ki se v posameznem koledarskem letu sežge v okviru storitev državne javne službe, določi na podlagi podatkov o:</w:t>
      </w:r>
    </w:p>
    <w:p w14:paraId="11CE1B5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AFB59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letni količini ločeno zbranih odpadkov iz plastike v izhodiščnem letu modelnega izračuna scenarijev razvoja ravnanja s komunalnimi odpadki ter</w:t>
      </w:r>
    </w:p>
    <w:p w14:paraId="07B6C9D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predpostavki, da se v izhodiščnem letu odda v recikliranje ali v pripravo za ponovno uporabo najmanj 50 % teh ločeno zbranih odpadkov, pri čemer se delež oddaje v recikliranje ali v pripravo za ponovno uporabo do leta 2030 poveča na 55 % in do leta 2035 na 65 %.</w:t>
      </w:r>
    </w:p>
    <w:p w14:paraId="0A69518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568C85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Največja letna količina </w:t>
      </w:r>
      <w:bookmarkStart w:id="25" w:name="_Hlk176757858"/>
      <w:r w:rsidRPr="00B74958">
        <w:rPr>
          <w:rFonts w:ascii="Arial" w:eastAsia="Times New Roman" w:hAnsi="Arial" w:cs="Times New Roman"/>
          <w:kern w:val="0"/>
          <w:sz w:val="20"/>
          <w:szCs w:val="24"/>
          <w14:ligatures w14:val="none"/>
        </w:rPr>
        <w:t xml:space="preserve">gorljivih sestavin, ki nastanejo ob mehanski obdelavi </w:t>
      </w:r>
      <w:bookmarkEnd w:id="25"/>
      <w:r w:rsidRPr="00B74958">
        <w:rPr>
          <w:rFonts w:ascii="Arial" w:eastAsia="Times New Roman" w:hAnsi="Arial" w:cs="Times New Roman"/>
          <w:kern w:val="0"/>
          <w:sz w:val="20"/>
          <w:szCs w:val="24"/>
          <w14:ligatures w14:val="none"/>
        </w:rPr>
        <w:t>ločeno zbranih odpadkov iz plastike s številko 20 01 39 in se v posameznem koledarskem letu sežgejo v okviru storitev državne javne službe, se izračuna na podlagi naslednje enačbe:</w:t>
      </w:r>
    </w:p>
    <w:p w14:paraId="1FDB4CF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B25380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it-IT"/>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plastika </w:t>
      </w:r>
      <w:r w:rsidRPr="00B74958">
        <w:rPr>
          <w:rFonts w:ascii="Arial" w:eastAsia="Times New Roman" w:hAnsi="Arial" w:cs="Times New Roman"/>
          <w:b/>
          <w:kern w:val="0"/>
          <w:sz w:val="20"/>
          <w:szCs w:val="24"/>
          <w14:ligatures w14:val="none"/>
        </w:rPr>
        <w:t>= (letna količina) * (1 – delež recikliranja)</w:t>
      </w:r>
    </w:p>
    <w:p w14:paraId="1DE39EF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056409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47F80EE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74"/>
        <w:gridCol w:w="6424"/>
      </w:tblGrid>
      <w:tr w:rsidR="00B74958" w:rsidRPr="00B74958" w14:paraId="3E0F9022" w14:textId="77777777" w:rsidTr="00F17B26">
        <w:tc>
          <w:tcPr>
            <w:tcW w:w="2093" w:type="dxa"/>
            <w:shd w:val="clear" w:color="auto" w:fill="auto"/>
          </w:tcPr>
          <w:p w14:paraId="125FD8E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plastike</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0210155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gorljivih sestavin, ki nastanejo ob mehanski obdelavi ločeno zbranih odpadkov iz plastike in se v posameznem koledarskem letu sežgejo v okviru storitev državne javne službe</w:t>
            </w:r>
          </w:p>
        </w:tc>
      </w:tr>
      <w:tr w:rsidR="00B74958" w:rsidRPr="00B74958" w14:paraId="33DD39C2" w14:textId="77777777" w:rsidTr="00F17B26">
        <w:tc>
          <w:tcPr>
            <w:tcW w:w="2093" w:type="dxa"/>
            <w:shd w:val="clear" w:color="auto" w:fill="auto"/>
          </w:tcPr>
          <w:p w14:paraId="761946E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letna količina </w:t>
            </w:r>
          </w:p>
        </w:tc>
        <w:tc>
          <w:tcPr>
            <w:tcW w:w="6545" w:type="dxa"/>
            <w:shd w:val="clear" w:color="auto" w:fill="auto"/>
            <w:vAlign w:val="center"/>
          </w:tcPr>
          <w:p w14:paraId="42C2525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ločeno zbranih odpadkov iz plastike, ki se ločeno zberejo v posameznem koledarskem letu na ozemlju R Slovenije v okviru občinske javne službe zbiranja na podlagi modelnega izračuna scenarijev razvoja ravnanja s komunalnimi odpadki</w:t>
            </w:r>
          </w:p>
        </w:tc>
      </w:tr>
      <w:tr w:rsidR="00B74958" w:rsidRPr="00B74958" w14:paraId="71B4F5C1" w14:textId="77777777" w:rsidTr="00F17B26">
        <w:tc>
          <w:tcPr>
            <w:tcW w:w="2093" w:type="dxa"/>
            <w:shd w:val="clear" w:color="auto" w:fill="auto"/>
          </w:tcPr>
          <w:p w14:paraId="48FD87C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recikliranja</w:t>
            </w:r>
          </w:p>
        </w:tc>
        <w:tc>
          <w:tcPr>
            <w:tcW w:w="6545" w:type="dxa"/>
            <w:shd w:val="clear" w:color="auto" w:fill="auto"/>
          </w:tcPr>
          <w:p w14:paraId="414E3E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oddaje v recikliranje ali v pripravo za ponovno uporabo ločeno zbranih odpadkov iz plastike v izhodiščnem letu, pri čemer delež oddaje v recikliranje ali v pripravo za ponovno uporabo v letu 2025 ni manjši od 50 % in se do leta 2030 poveča najmanj na 55  % ter do leta 2035 najmanj na 65 %.</w:t>
            </w:r>
          </w:p>
        </w:tc>
      </w:tr>
    </w:tbl>
    <w:p w14:paraId="4644D50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9ADB8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87B89C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26" w:name="_Hlk176759650"/>
      <w:r w:rsidRPr="00B74958">
        <w:rPr>
          <w:rFonts w:ascii="Arial" w:eastAsia="Times New Roman" w:hAnsi="Arial" w:cs="Times New Roman"/>
          <w:kern w:val="0"/>
          <w:sz w:val="20"/>
          <w:szCs w:val="24"/>
          <w14:ligatures w14:val="none"/>
        </w:rPr>
        <w:t>Največja letna količina gorljivih sestavin, ki nastanejo ob mehanski obdelavi ločeno zbrane embalaže iz plastike</w:t>
      </w:r>
      <w:r w:rsidRPr="00B74958">
        <w:rPr>
          <w:rFonts w:ascii="Arial" w:eastAsia="Times New Roman" w:hAnsi="Arial" w:cs="Times New Roman"/>
          <w:b/>
          <w:kern w:val="0"/>
          <w:sz w:val="20"/>
          <w:szCs w:val="24"/>
          <w14:ligatures w14:val="none"/>
        </w:rPr>
        <w:t xml:space="preserve"> </w:t>
      </w:r>
      <w:r w:rsidRPr="00B74958">
        <w:rPr>
          <w:rFonts w:ascii="Arial" w:eastAsia="Times New Roman" w:hAnsi="Arial" w:cs="Times New Roman"/>
          <w:kern w:val="0"/>
          <w:sz w:val="20"/>
          <w:szCs w:val="24"/>
          <w14:ligatures w14:val="none"/>
        </w:rPr>
        <w:t>s številko 15 01 02 in za embalažo, ki je pretežno iz plastike in je z mehansko obdelavo izločena iz ločeno zbrane mešane embalaže s številko 15 01 06 in iz sestavljene (kompozitne) embalaže s številko 15 01 05, ter za mešanico vseh teh vrst komunalnih odpadkov in se v posameznem koledarskem letu kot posebna storitev državne javne službe sežge v sežigalnici, se izračuna na podlagi naslednje enačbe:</w:t>
      </w:r>
    </w:p>
    <w:p w14:paraId="36610E6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471618D"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it-IT"/>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plastika </w:t>
      </w:r>
      <w:r w:rsidRPr="00B74958">
        <w:rPr>
          <w:rFonts w:ascii="Arial" w:eastAsia="Times New Roman" w:hAnsi="Arial" w:cs="Times New Roman"/>
          <w:b/>
          <w:kern w:val="0"/>
          <w:sz w:val="20"/>
          <w:szCs w:val="24"/>
          <w14:ligatures w14:val="none"/>
        </w:rPr>
        <w:t>= (letna količina) * (1 – delež recikliranja)</w:t>
      </w:r>
    </w:p>
    <w:p w14:paraId="4CB82E8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0DE7FE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02DDD95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74"/>
        <w:gridCol w:w="6424"/>
      </w:tblGrid>
      <w:tr w:rsidR="00B74958" w:rsidRPr="00B74958" w14:paraId="6D3881B3" w14:textId="77777777" w:rsidTr="00F17B26">
        <w:tc>
          <w:tcPr>
            <w:tcW w:w="2093" w:type="dxa"/>
            <w:shd w:val="clear" w:color="auto" w:fill="auto"/>
          </w:tcPr>
          <w:p w14:paraId="13E70A2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plastika</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217DABE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največja letna količina gorljivih sestavin, ki se v posameznem koledarskem letu kot posebna storitev državne javne službe sežge v sežigalnici </w:t>
            </w:r>
          </w:p>
        </w:tc>
      </w:tr>
      <w:tr w:rsidR="00B74958" w:rsidRPr="00B74958" w14:paraId="69349448" w14:textId="77777777" w:rsidTr="00F17B26">
        <w:tc>
          <w:tcPr>
            <w:tcW w:w="2093" w:type="dxa"/>
            <w:shd w:val="clear" w:color="auto" w:fill="auto"/>
          </w:tcPr>
          <w:p w14:paraId="2BD4A67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letna količina </w:t>
            </w:r>
          </w:p>
        </w:tc>
        <w:tc>
          <w:tcPr>
            <w:tcW w:w="6545" w:type="dxa"/>
            <w:shd w:val="clear" w:color="auto" w:fill="auto"/>
            <w:vAlign w:val="center"/>
          </w:tcPr>
          <w:p w14:paraId="1803E9F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ločeno zbrane embalaže iz plastike s številko 15 01 02 in za embalažo, ki je pretežno iz plastike in je z mehansko obdelavo izločena iz ločeno zbrane mešane emblaže s številko 15 01 06 in iz sestavljene (kompozitne) embalaže s številko 15 01 05, ter za mešanico vseh teh vrst komunalnih odpadkov, ki je ocenjena na podlagi modelnega izračuna scenarijev razvoja ravnanja s komunalnimi odpadki</w:t>
            </w:r>
          </w:p>
        </w:tc>
      </w:tr>
      <w:tr w:rsidR="00B74958" w:rsidRPr="00B74958" w14:paraId="287B4D29" w14:textId="77777777" w:rsidTr="00F17B26">
        <w:tc>
          <w:tcPr>
            <w:tcW w:w="2093" w:type="dxa"/>
            <w:shd w:val="clear" w:color="auto" w:fill="auto"/>
          </w:tcPr>
          <w:p w14:paraId="2129744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recikliranja</w:t>
            </w:r>
          </w:p>
        </w:tc>
        <w:tc>
          <w:tcPr>
            <w:tcW w:w="6545" w:type="dxa"/>
            <w:shd w:val="clear" w:color="auto" w:fill="auto"/>
          </w:tcPr>
          <w:p w14:paraId="4E5EDE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oddaje v recikliranje ali v pripravo za ponovno uporabo ločeno zbranih odpadkov iz plastike v izhodiščnem letu, pri čemer delež oddaje v recikliranje ali v pripravo za ponovno uporabo v letu 2025 ni manjši 50 % in da se do leta 2030 poveča najmanj na 55 % ter do leta 2035 najmanj na 65 %.</w:t>
            </w:r>
          </w:p>
        </w:tc>
      </w:tr>
    </w:tbl>
    <w:p w14:paraId="1D4BDCD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263C76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Če je treba zaradi doseganja ciljev recikliranja odpadne embalaže v skladu z </w:t>
      </w:r>
      <w:r w:rsidRPr="00B74958">
        <w:rPr>
          <w:rFonts w:ascii="Arial" w:eastAsia="Times New Roman" w:hAnsi="Arial" w:cs="Times New Roman"/>
          <w:i/>
          <w:kern w:val="0"/>
          <w:sz w:val="20"/>
          <w:szCs w:val="24"/>
          <w14:ligatures w14:val="none"/>
        </w:rPr>
        <w:t>Uredbo (EU)</w:t>
      </w:r>
      <w:r w:rsidRPr="00B74958">
        <w:rPr>
          <w:rFonts w:ascii="Arial" w:eastAsia="Times New Roman" w:hAnsi="Arial" w:cs="Times New Roman"/>
          <w:kern w:val="0"/>
          <w:sz w:val="20"/>
          <w:szCs w:val="24"/>
          <w14:ligatures w14:val="none"/>
        </w:rPr>
        <w:t xml:space="preserve"> </w:t>
      </w:r>
      <w:r w:rsidRPr="00B74958">
        <w:rPr>
          <w:rFonts w:ascii="Arial" w:eastAsia="Times New Roman" w:hAnsi="Arial" w:cs="Times New Roman"/>
          <w:i/>
          <w:kern w:val="0"/>
          <w:sz w:val="20"/>
          <w:szCs w:val="24"/>
          <w14:ligatures w14:val="none"/>
        </w:rPr>
        <w:t>2024/NN/EU</w:t>
      </w:r>
      <w:r w:rsidRPr="00B74958">
        <w:rPr>
          <w:rFonts w:ascii="Arial" w:eastAsia="Times New Roman" w:hAnsi="Arial" w:cs="Times New Roman"/>
          <w:kern w:val="0"/>
          <w:sz w:val="20"/>
          <w:szCs w:val="24"/>
          <w14:ligatures w14:val="none"/>
        </w:rPr>
        <w:t xml:space="preserve"> povečati delež oddaje v recikliranje ali v pripravo za ponovno uporabo ločeno zbranih odpadkov iz plastike, povečano vrednost deleža za leto 2025 ter v letih 2030 in 2035 določi ministrstvo, pristojno za okolje, in objavi na način iz petega odstavka 6. člena te uredbe.</w:t>
      </w:r>
    </w:p>
    <w:p w14:paraId="48E55CB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223797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bookmarkEnd w:id="26"/>
    <w:p w14:paraId="45F844B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07102E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5. del – ločeno zbrani komunalni odpadki iz lesa s številko 20 01 38</w:t>
      </w:r>
    </w:p>
    <w:p w14:paraId="6A8A7E9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E2732A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27" w:name="_Hlk176721340"/>
      <w:r w:rsidRPr="00B74958">
        <w:rPr>
          <w:rFonts w:ascii="Arial" w:eastAsia="Times New Roman" w:hAnsi="Arial" w:cs="Times New Roman"/>
          <w:kern w:val="0"/>
          <w:sz w:val="20"/>
          <w:szCs w:val="24"/>
          <w14:ligatures w14:val="none"/>
        </w:rPr>
        <w:t xml:space="preserve">Za ločeno zbran les s številko 20 01 38 </w:t>
      </w:r>
      <w:bookmarkStart w:id="28" w:name="_Hlk174296808"/>
      <w:bookmarkEnd w:id="27"/>
      <w:r w:rsidRPr="00B74958">
        <w:rPr>
          <w:rFonts w:ascii="Arial" w:eastAsia="Times New Roman" w:hAnsi="Arial" w:cs="Times New Roman"/>
          <w:kern w:val="0"/>
          <w:sz w:val="20"/>
          <w:szCs w:val="24"/>
          <w14:ligatures w14:val="none"/>
        </w:rPr>
        <w:t>se največja letna količina gorljivih sestavin, ki se v posameznem koledarskem letu sežge v okviru storitev državne javne službe, določi na podlagi podatkov o:</w:t>
      </w:r>
    </w:p>
    <w:p w14:paraId="20D0368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EC869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letni količini ločeno zbranih odpadkov iz lesa v izhodiščnem letu modelnega izračuna scenarijev razvoja ravnanja s komunalnimi odpadki ter</w:t>
      </w:r>
    </w:p>
    <w:p w14:paraId="1973F92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predpostavki, da se v izhodiščnem letu odda v recikliranje ali v pripravo za ponovno uporabo okoli 25 % teh ločeno zbranih odpadkov, pri čemer se stopnja oddaje v recikliranje ali v pripravo za ponovno uporabo do leta 2030 poveča na nekaj več kot 30 % in do leta 2035 poveča na 38 %.</w:t>
      </w:r>
    </w:p>
    <w:p w14:paraId="112A6C1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381922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gorljivih sestavin, ki nastanejo ob mehanski obdelavi ločeno zbranih odpadkov iz lesa s številko 20 01 38 in se v posameznem koledarskem letu sežgejo v okviru storitev državne javne službe, se izračuna na podlagi naslednje enačbe:</w:t>
      </w:r>
    </w:p>
    <w:p w14:paraId="3CD106A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9F8699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it-IT"/>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les </w:t>
      </w:r>
      <w:r w:rsidRPr="00B74958">
        <w:rPr>
          <w:rFonts w:ascii="Arial" w:eastAsia="Times New Roman" w:hAnsi="Arial" w:cs="Times New Roman"/>
          <w:b/>
          <w:kern w:val="0"/>
          <w:sz w:val="20"/>
          <w:szCs w:val="24"/>
          <w14:ligatures w14:val="none"/>
        </w:rPr>
        <w:t>= (letna količina) * (1 – delež recikliranja)</w:t>
      </w:r>
    </w:p>
    <w:p w14:paraId="09F79F8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BB0819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3D6885D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74"/>
        <w:gridCol w:w="6424"/>
      </w:tblGrid>
      <w:tr w:rsidR="00B74958" w:rsidRPr="00B74958" w14:paraId="0B576906" w14:textId="77777777" w:rsidTr="00F17B26">
        <w:tc>
          <w:tcPr>
            <w:tcW w:w="2093" w:type="dxa"/>
            <w:shd w:val="clear" w:color="auto" w:fill="auto"/>
          </w:tcPr>
          <w:p w14:paraId="6DE3C9B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les</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56BF7E2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gorljivih sestavin, ki nastanejo ob mehanski obdelavi ločeno zbranih odpadkov iz lesa in se v posameznem koledarskem letu sežgejo v okviru storitev državne javne službe</w:t>
            </w:r>
          </w:p>
        </w:tc>
      </w:tr>
      <w:tr w:rsidR="00B74958" w:rsidRPr="00B74958" w14:paraId="52AB7B16" w14:textId="77777777" w:rsidTr="00F17B26">
        <w:tc>
          <w:tcPr>
            <w:tcW w:w="2093" w:type="dxa"/>
            <w:shd w:val="clear" w:color="auto" w:fill="auto"/>
          </w:tcPr>
          <w:p w14:paraId="3364D04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letna količina </w:t>
            </w:r>
          </w:p>
        </w:tc>
        <w:tc>
          <w:tcPr>
            <w:tcW w:w="6545" w:type="dxa"/>
            <w:shd w:val="clear" w:color="auto" w:fill="auto"/>
            <w:vAlign w:val="center"/>
          </w:tcPr>
          <w:p w14:paraId="3D96865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ločeno zbranih odpadkov iz lesa, ki se ločeno zberejo v posameznem koledarskem letu na ozemlju R Slovenije v okviru občinske javne službe zbiranja na podlagi modelnega izračuna scenarijev razvoja ravnanja s komunalnimi odpadki</w:t>
            </w:r>
          </w:p>
        </w:tc>
      </w:tr>
      <w:tr w:rsidR="00B74958" w:rsidRPr="00B74958" w14:paraId="21B3418D" w14:textId="77777777" w:rsidTr="00F17B26">
        <w:tc>
          <w:tcPr>
            <w:tcW w:w="2093" w:type="dxa"/>
            <w:shd w:val="clear" w:color="auto" w:fill="auto"/>
          </w:tcPr>
          <w:p w14:paraId="179DD48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recikliranja</w:t>
            </w:r>
          </w:p>
        </w:tc>
        <w:tc>
          <w:tcPr>
            <w:tcW w:w="6545" w:type="dxa"/>
            <w:shd w:val="clear" w:color="auto" w:fill="auto"/>
          </w:tcPr>
          <w:p w14:paraId="1CEF419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recikliranja in priprave za ponovno uporabo ločeno zbranih odpadkov iz lesa v izhodiščnem letu, pri čemer je delež oddaje v recikliranje ali v pripravo za ponovno uporabo v izhodiščnem letu okoli 25 %, ki se do leta 2030 poveča na 30 % in do leta 2035 na 38 %.</w:t>
            </w:r>
          </w:p>
        </w:tc>
      </w:tr>
      <w:bookmarkEnd w:id="28"/>
    </w:tbl>
    <w:p w14:paraId="74E68AF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B6D661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EF35EA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29" w:name="_Hlk177745110"/>
      <w:r w:rsidRPr="00B74958">
        <w:rPr>
          <w:rFonts w:ascii="Arial" w:eastAsia="Times New Roman" w:hAnsi="Arial" w:cs="Times New Roman"/>
          <w:kern w:val="0"/>
          <w:sz w:val="20"/>
          <w:szCs w:val="24"/>
          <w14:ligatures w14:val="none"/>
        </w:rPr>
        <w:t>Največja letna količina gorljivih sestavin, ki nastanejo ob mehanski obdelavi ločeno zbrane embalaže iz lesa s številko 15 01 03 in se v posameznem koledarskem letu kot posebna storitev državne javne službe sežge v sežigalnici, se izračuna na podlagi naslednje enačbe:</w:t>
      </w:r>
    </w:p>
    <w:p w14:paraId="1982C04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818141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it-IT"/>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plastika </w:t>
      </w:r>
      <w:r w:rsidRPr="00B74958">
        <w:rPr>
          <w:rFonts w:ascii="Arial" w:eastAsia="Times New Roman" w:hAnsi="Arial" w:cs="Times New Roman"/>
          <w:b/>
          <w:kern w:val="0"/>
          <w:sz w:val="20"/>
          <w:szCs w:val="24"/>
          <w14:ligatures w14:val="none"/>
        </w:rPr>
        <w:t>= (letna količina) * (1 – delež recikliranja)</w:t>
      </w:r>
    </w:p>
    <w:p w14:paraId="5EC70F6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5A65E2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2A76A41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74"/>
        <w:gridCol w:w="6424"/>
      </w:tblGrid>
      <w:tr w:rsidR="00B74958" w:rsidRPr="00B74958" w14:paraId="3751E71F" w14:textId="77777777" w:rsidTr="00F17B26">
        <w:tc>
          <w:tcPr>
            <w:tcW w:w="2093" w:type="dxa"/>
            <w:shd w:val="clear" w:color="auto" w:fill="auto"/>
          </w:tcPr>
          <w:p w14:paraId="2481900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plastika</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197EFA3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največja letna količina gorljivih sestavin, ki se v posameznem koledarskem letu kot posebna storitev državne javne službe sežge v sežigalnici </w:t>
            </w:r>
          </w:p>
        </w:tc>
      </w:tr>
      <w:tr w:rsidR="00B74958" w:rsidRPr="00B74958" w14:paraId="02CD9568" w14:textId="77777777" w:rsidTr="00F17B26">
        <w:tc>
          <w:tcPr>
            <w:tcW w:w="2093" w:type="dxa"/>
            <w:shd w:val="clear" w:color="auto" w:fill="auto"/>
          </w:tcPr>
          <w:p w14:paraId="5C1C739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letna količina </w:t>
            </w:r>
          </w:p>
        </w:tc>
        <w:tc>
          <w:tcPr>
            <w:tcW w:w="6545" w:type="dxa"/>
            <w:shd w:val="clear" w:color="auto" w:fill="auto"/>
            <w:vAlign w:val="center"/>
          </w:tcPr>
          <w:p w14:paraId="4A8C48B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ločeno zbrane embalaže iz lesa s številko 15 01 03, ki je ocenjena na podlagi modelnega izračuna scenarijev razvoja ravnanja s komunalnimi odpadki</w:t>
            </w:r>
          </w:p>
        </w:tc>
      </w:tr>
      <w:tr w:rsidR="00B74958" w:rsidRPr="00B74958" w14:paraId="23FC8F33" w14:textId="77777777" w:rsidTr="00F17B26">
        <w:tc>
          <w:tcPr>
            <w:tcW w:w="2093" w:type="dxa"/>
            <w:shd w:val="clear" w:color="auto" w:fill="auto"/>
          </w:tcPr>
          <w:p w14:paraId="23E967D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recikliranja</w:t>
            </w:r>
          </w:p>
        </w:tc>
        <w:tc>
          <w:tcPr>
            <w:tcW w:w="6545" w:type="dxa"/>
            <w:shd w:val="clear" w:color="auto" w:fill="auto"/>
          </w:tcPr>
          <w:p w14:paraId="4C423BC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recikliranja in priprave za ponovno uporabo ločeno zbranih odpadkov iz lesa v izhodiščnem letu, pri čemer je delež oddaje v recikliranje ali v pripravo za ponovno uporabo v izhodiščnem letu 30 %, ki se do leta 2030 poveča na 30 % in do leta 2035 na 38 %.</w:t>
            </w:r>
          </w:p>
        </w:tc>
      </w:tr>
    </w:tbl>
    <w:p w14:paraId="2B0E50B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bookmarkEnd w:id="29"/>
    <w:p w14:paraId="5F3AAD3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9139D5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it-IT"/>
          <w14:ligatures w14:val="none"/>
        </w:rPr>
      </w:pPr>
      <w:r w:rsidRPr="00B74958">
        <w:rPr>
          <w:rFonts w:ascii="Arial" w:eastAsia="Times New Roman" w:hAnsi="Arial" w:cs="Times New Roman"/>
          <w:b/>
          <w:kern w:val="0"/>
          <w:sz w:val="20"/>
          <w:szCs w:val="24"/>
          <w14:ligatures w14:val="none"/>
        </w:rPr>
        <w:t>6. del – ločeno zbrani odpadki iz tekstila s številko 20 01 11</w:t>
      </w:r>
    </w:p>
    <w:p w14:paraId="30884A0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778CE18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Za ločeno zbran tekstil s številko 20 01 11</w:t>
      </w:r>
      <w:r w:rsidRPr="00B74958">
        <w:rPr>
          <w:rFonts w:ascii="Arial" w:eastAsia="Times New Roman" w:hAnsi="Arial" w:cs="Times New Roman"/>
          <w:b/>
          <w:kern w:val="0"/>
          <w:sz w:val="20"/>
          <w:szCs w:val="24"/>
          <w14:ligatures w14:val="none"/>
        </w:rPr>
        <w:t xml:space="preserve"> </w:t>
      </w:r>
      <w:r w:rsidRPr="00B74958">
        <w:rPr>
          <w:rFonts w:ascii="Arial" w:eastAsia="Times New Roman" w:hAnsi="Arial" w:cs="Times New Roman"/>
          <w:kern w:val="0"/>
          <w:sz w:val="20"/>
          <w:szCs w:val="24"/>
          <w14:ligatures w14:val="none"/>
        </w:rPr>
        <w:t>se največja letna količina gorljivih sestavin, ki se lahko odda v posameznem koledarskem letu v obdelavo v okviru storitev državne javne službe, določi na podlagi podatkov o:</w:t>
      </w:r>
    </w:p>
    <w:p w14:paraId="72B5FDD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AD7373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letni količini ločeno zbranih odpadkov iz tekstila v izhodiščnem letu modelnega izračuna scenarijev razvoja ravnanja s komunalnimi odpadki ter</w:t>
      </w:r>
    </w:p>
    <w:p w14:paraId="3D6EB97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predpostavki, da se v izhodiščnem letu odda v recikliranje ali v pripravo za ponovno uporabo več kot 50 % teh ločeno zbranih odpadkov, pri čemer se stopnja oddaje v recikliranje ali v pripravo za ponovno uporabo do leta 2035 poveča na 70 %,</w:t>
      </w:r>
    </w:p>
    <w:p w14:paraId="5BCDB45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D8C4A9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ločeno zbranih odpadkov iz tekstila s številko 20 01 11, ki se lahko odda v posameznem koledarskem letu v obdelavo v okviru storitev državne javne službe, se izračuna na podlagi naslednje enačbe:</w:t>
      </w:r>
    </w:p>
    <w:p w14:paraId="0A166CA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9532EC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it-IT"/>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tekstil </w:t>
      </w:r>
      <w:r w:rsidRPr="00B74958">
        <w:rPr>
          <w:rFonts w:ascii="Arial" w:eastAsia="Times New Roman" w:hAnsi="Arial" w:cs="Times New Roman"/>
          <w:b/>
          <w:kern w:val="0"/>
          <w:sz w:val="20"/>
          <w:szCs w:val="24"/>
          <w14:ligatures w14:val="none"/>
        </w:rPr>
        <w:t>= (letna količina) * (1 – delež recikliranja)</w:t>
      </w:r>
    </w:p>
    <w:p w14:paraId="2736D95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E3CD64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7EF4CB9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74"/>
        <w:gridCol w:w="6424"/>
      </w:tblGrid>
      <w:tr w:rsidR="00B74958" w:rsidRPr="00B74958" w14:paraId="636E767F" w14:textId="77777777" w:rsidTr="00F17B26">
        <w:tc>
          <w:tcPr>
            <w:tcW w:w="2093" w:type="dxa"/>
            <w:shd w:val="clear" w:color="auto" w:fill="auto"/>
          </w:tcPr>
          <w:p w14:paraId="103428D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tekstil</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3C10969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gorljivih sestavin, ki se v posameznem koledarskem letu kot posebna storitev državne javne službe sežge v sežigalnici</w:t>
            </w:r>
          </w:p>
        </w:tc>
      </w:tr>
      <w:tr w:rsidR="00B74958" w:rsidRPr="00B74958" w14:paraId="25D62B86" w14:textId="77777777" w:rsidTr="00F17B26">
        <w:tc>
          <w:tcPr>
            <w:tcW w:w="2093" w:type="dxa"/>
            <w:shd w:val="clear" w:color="auto" w:fill="auto"/>
          </w:tcPr>
          <w:p w14:paraId="1FC4DD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letna količina </w:t>
            </w:r>
          </w:p>
        </w:tc>
        <w:tc>
          <w:tcPr>
            <w:tcW w:w="6545" w:type="dxa"/>
            <w:shd w:val="clear" w:color="auto" w:fill="auto"/>
            <w:vAlign w:val="center"/>
          </w:tcPr>
          <w:p w14:paraId="5E66B90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ločeno zbranih odpadkov iz tekstila, ki se ločeno zberejo v posameznem koledarskem letu na ozemlju R Slovenije v okviru občinske javne službe zbiranja na podlagi modelnega izračuna scenarijev razvoja ravnanja s komunalnimi odpadki</w:t>
            </w:r>
          </w:p>
        </w:tc>
      </w:tr>
      <w:tr w:rsidR="00B74958" w:rsidRPr="00B74958" w14:paraId="053334F7" w14:textId="77777777" w:rsidTr="00F17B26">
        <w:tc>
          <w:tcPr>
            <w:tcW w:w="2093" w:type="dxa"/>
            <w:shd w:val="clear" w:color="auto" w:fill="auto"/>
          </w:tcPr>
          <w:p w14:paraId="24507A9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recikliranje</w:t>
            </w:r>
          </w:p>
        </w:tc>
        <w:tc>
          <w:tcPr>
            <w:tcW w:w="6545" w:type="dxa"/>
            <w:shd w:val="clear" w:color="auto" w:fill="auto"/>
          </w:tcPr>
          <w:p w14:paraId="3E7AB9B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recikliranja in priprave za ponovno uporabo ločeno zbranih odpadkov iz tekstila v izhodiščnem letu, pri čemer je delež recikliranja in priprave za ponovno uporabo v izhodiščnem letu 50 %, ki se do leta 2035 poveča na 70 %.</w:t>
            </w:r>
          </w:p>
        </w:tc>
      </w:tr>
    </w:tbl>
    <w:p w14:paraId="1883A3E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D3382E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C3285C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Največja letna količina gorljivih sestavin, ki nastanejo ob mehanski obdelavi ločeno zbrane embalaže iz tekstila s številko 15 01 09 in se v posameznem koledarskem letu kot posebna storitev državne javne službe sežge v sežigalnici, se izračuna na podlagi naslednje enačbe:</w:t>
      </w:r>
    </w:p>
    <w:p w14:paraId="0944032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139EEC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it-IT"/>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 xml:space="preserve">letna, tekstil </w:t>
      </w:r>
      <w:r w:rsidRPr="00B74958">
        <w:rPr>
          <w:rFonts w:ascii="Arial" w:eastAsia="Times New Roman" w:hAnsi="Arial" w:cs="Times New Roman"/>
          <w:b/>
          <w:kern w:val="0"/>
          <w:sz w:val="20"/>
          <w:szCs w:val="24"/>
          <w14:ligatures w14:val="none"/>
        </w:rPr>
        <w:t>= (letna količina) * (1 – delež recikliranja)</w:t>
      </w:r>
    </w:p>
    <w:p w14:paraId="7689E23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2B8525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kjer je:</w:t>
      </w:r>
    </w:p>
    <w:p w14:paraId="143B9EE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0" w:type="auto"/>
        <w:tblLook w:val="04A0" w:firstRow="1" w:lastRow="0" w:firstColumn="1" w:lastColumn="0" w:noHBand="0" w:noVBand="1"/>
      </w:tblPr>
      <w:tblGrid>
        <w:gridCol w:w="2074"/>
        <w:gridCol w:w="6424"/>
      </w:tblGrid>
      <w:tr w:rsidR="00B74958" w:rsidRPr="00B74958" w14:paraId="27F9E77E" w14:textId="77777777" w:rsidTr="00F17B26">
        <w:tc>
          <w:tcPr>
            <w:tcW w:w="2093" w:type="dxa"/>
            <w:shd w:val="clear" w:color="auto" w:fill="auto"/>
          </w:tcPr>
          <w:p w14:paraId="4E4C192D"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M </w:t>
            </w:r>
            <w:r w:rsidRPr="00B74958">
              <w:rPr>
                <w:rFonts w:ascii="Arial" w:eastAsia="Times New Roman" w:hAnsi="Arial" w:cs="Times New Roman"/>
                <w:b/>
                <w:kern w:val="0"/>
                <w:sz w:val="20"/>
                <w:szCs w:val="24"/>
                <w:vertAlign w:val="subscript"/>
                <w14:ligatures w14:val="none"/>
              </w:rPr>
              <w:t>letna, tekstil</w:t>
            </w:r>
            <w:r w:rsidRPr="00B74958">
              <w:rPr>
                <w:rFonts w:ascii="Arial" w:eastAsia="Times New Roman" w:hAnsi="Arial" w:cs="Times New Roman"/>
                <w:b/>
                <w:kern w:val="0"/>
                <w:sz w:val="20"/>
                <w:szCs w:val="24"/>
                <w14:ligatures w14:val="none"/>
              </w:rPr>
              <w:t xml:space="preserve">  </w:t>
            </w:r>
          </w:p>
        </w:tc>
        <w:tc>
          <w:tcPr>
            <w:tcW w:w="6545" w:type="dxa"/>
            <w:shd w:val="clear" w:color="auto" w:fill="auto"/>
            <w:vAlign w:val="center"/>
          </w:tcPr>
          <w:p w14:paraId="586EA69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največja letna količina gorljivih sestavin, ki se v posameznem koledarskem letu kot posebna storitev državne javne službe sežge v sežigalnici </w:t>
            </w:r>
          </w:p>
        </w:tc>
      </w:tr>
      <w:tr w:rsidR="00B74958" w:rsidRPr="00B74958" w14:paraId="5113FA6A" w14:textId="77777777" w:rsidTr="00F17B26">
        <w:tc>
          <w:tcPr>
            <w:tcW w:w="2093" w:type="dxa"/>
            <w:shd w:val="clear" w:color="auto" w:fill="auto"/>
          </w:tcPr>
          <w:p w14:paraId="3932912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letna količina </w:t>
            </w:r>
          </w:p>
        </w:tc>
        <w:tc>
          <w:tcPr>
            <w:tcW w:w="6545" w:type="dxa"/>
            <w:shd w:val="clear" w:color="auto" w:fill="auto"/>
            <w:vAlign w:val="center"/>
          </w:tcPr>
          <w:p w14:paraId="63F88BB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letna količina ločeno zbrane embalaže iz tekstila s številko 15 01 09, ki je ocenjena na podlagi modelnega izračuna scenarijev razvoja ravnanja s komunalnimi odpadki</w:t>
            </w:r>
          </w:p>
        </w:tc>
      </w:tr>
      <w:tr w:rsidR="00B74958" w:rsidRPr="00B74958" w14:paraId="3D12C11C" w14:textId="77777777" w:rsidTr="00F17B26">
        <w:tc>
          <w:tcPr>
            <w:tcW w:w="2093" w:type="dxa"/>
            <w:shd w:val="clear" w:color="auto" w:fill="auto"/>
          </w:tcPr>
          <w:p w14:paraId="067A8AA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delež recikliranja</w:t>
            </w:r>
          </w:p>
        </w:tc>
        <w:tc>
          <w:tcPr>
            <w:tcW w:w="6545" w:type="dxa"/>
            <w:shd w:val="clear" w:color="auto" w:fill="auto"/>
          </w:tcPr>
          <w:p w14:paraId="2626E45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delež recikliranja in priprave za ponovno uporabo ločeno zbranih odpadkov iz tekstila v izhodiščnem letu, pri čemer je delež oddaje v recikliranje ali v pripravo za ponovno uporabo v izhodiščnem letu 50 %, ki se do leta 2035 na 70 %.</w:t>
            </w:r>
          </w:p>
        </w:tc>
      </w:tr>
    </w:tbl>
    <w:p w14:paraId="1387316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47F1B4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B464AFB" w14:textId="77777777" w:rsidR="00B74958" w:rsidRPr="00B74958" w:rsidRDefault="00B74958" w:rsidP="00B74958">
      <w:pPr>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br w:type="page"/>
      </w:r>
    </w:p>
    <w:p w14:paraId="32B7775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36B387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PRILOGA 2</w:t>
      </w:r>
    </w:p>
    <w:p w14:paraId="0362664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70FB8AD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Največje letne količine gorljivih sestavin komunalnih odpadkov, ki se sežigajo v okviru storitev državne javne službe ali kot posebna storitev državne javne službe</w:t>
      </w:r>
    </w:p>
    <w:p w14:paraId="7D0A1F0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855A0A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1. del</w:t>
      </w:r>
      <w:r w:rsidRPr="00B74958">
        <w:rPr>
          <w:rFonts w:ascii="Arial" w:eastAsia="Times New Roman" w:hAnsi="Arial" w:cs="Times New Roman"/>
          <w:kern w:val="0"/>
          <w:sz w:val="20"/>
          <w:szCs w:val="24"/>
          <w14:ligatures w14:val="none"/>
        </w:rPr>
        <w:t xml:space="preserve"> - največja letna količina gorljivih sestavin, ki nastanejo po mehanski obdelavi mešanih komunalnih odpadkov in se sežigajo kot storitev državne javne službe, je v tekočem letu za naslednje leto navedena </w:t>
      </w:r>
      <w:bookmarkStart w:id="30" w:name="_Hlk179304359"/>
      <w:r w:rsidRPr="00B74958">
        <w:rPr>
          <w:rFonts w:ascii="Arial" w:eastAsia="Times New Roman" w:hAnsi="Arial" w:cs="Times New Roman"/>
          <w:kern w:val="0"/>
          <w:sz w:val="20"/>
          <w:szCs w:val="24"/>
          <w14:ligatures w14:val="none"/>
        </w:rPr>
        <w:t>v obliki in s podatki iz spodnje tabele.</w:t>
      </w:r>
      <w:bookmarkEnd w:id="30"/>
    </w:p>
    <w:p w14:paraId="5801987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8774" w:type="dxa"/>
        <w:tblInd w:w="85" w:type="dxa"/>
        <w:tblCellMar>
          <w:left w:w="70" w:type="dxa"/>
          <w:right w:w="70" w:type="dxa"/>
        </w:tblCellMar>
        <w:tblLook w:val="04A0" w:firstRow="1" w:lastRow="0" w:firstColumn="1" w:lastColumn="0" w:noHBand="0" w:noVBand="1"/>
      </w:tblPr>
      <w:tblGrid>
        <w:gridCol w:w="1340"/>
        <w:gridCol w:w="1263"/>
        <w:gridCol w:w="1263"/>
        <w:gridCol w:w="1263"/>
        <w:gridCol w:w="1275"/>
        <w:gridCol w:w="1276"/>
        <w:gridCol w:w="1276"/>
      </w:tblGrid>
      <w:tr w:rsidR="00B74958" w:rsidRPr="00B74958" w14:paraId="44A4C601" w14:textId="77777777" w:rsidTr="00F17B26">
        <w:trPr>
          <w:trHeight w:val="1800"/>
        </w:trPr>
        <w:tc>
          <w:tcPr>
            <w:tcW w:w="1240" w:type="dxa"/>
            <w:tcBorders>
              <w:top w:val="single" w:sz="12" w:space="0" w:color="auto"/>
              <w:left w:val="single" w:sz="12" w:space="0" w:color="auto"/>
              <w:bottom w:val="nil"/>
              <w:right w:val="nil"/>
            </w:tcBorders>
            <w:shd w:val="clear" w:color="auto" w:fill="auto"/>
            <w:vAlign w:val="bottom"/>
            <w:hideMark/>
          </w:tcPr>
          <w:p w14:paraId="5042C6A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bookmarkStart w:id="31" w:name="_Hlk179304532"/>
            <w:r w:rsidRPr="00B74958">
              <w:rPr>
                <w:rFonts w:ascii="Arial" w:eastAsia="Times New Roman" w:hAnsi="Arial" w:cs="Times New Roman"/>
                <w:b/>
                <w:kern w:val="0"/>
                <w:sz w:val="20"/>
                <w:szCs w:val="24"/>
                <w14:ligatures w14:val="none"/>
              </w:rPr>
              <w:t> </w:t>
            </w:r>
          </w:p>
        </w:tc>
        <w:tc>
          <w:tcPr>
            <w:tcW w:w="1240" w:type="dxa"/>
            <w:tcBorders>
              <w:top w:val="single" w:sz="12" w:space="0" w:color="auto"/>
              <w:left w:val="single" w:sz="12" w:space="0" w:color="auto"/>
              <w:bottom w:val="nil"/>
              <w:right w:val="single" w:sz="4" w:space="0" w:color="auto"/>
            </w:tcBorders>
            <w:shd w:val="clear" w:color="auto" w:fill="auto"/>
            <w:vAlign w:val="bottom"/>
            <w:hideMark/>
          </w:tcPr>
          <w:p w14:paraId="2CCAC73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največja letna količina goriva iz mešanih komunalnih odpadkov </w:t>
            </w:r>
          </w:p>
          <w:p w14:paraId="7A49295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20" w:type="dxa"/>
            <w:tcBorders>
              <w:top w:val="single" w:sz="12" w:space="0" w:color="auto"/>
              <w:left w:val="nil"/>
              <w:bottom w:val="nil"/>
              <w:right w:val="single" w:sz="4" w:space="0" w:color="auto"/>
            </w:tcBorders>
            <w:shd w:val="clear" w:color="auto" w:fill="auto"/>
            <w:vAlign w:val="bottom"/>
            <w:hideMark/>
          </w:tcPr>
          <w:p w14:paraId="63C4272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 xml:space="preserve">največja letna količina goriva iz mešanih komunalnih odpadkov </w:t>
            </w:r>
          </w:p>
          <w:p w14:paraId="771EEBB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47" w:type="dxa"/>
            <w:tcBorders>
              <w:top w:val="single" w:sz="12" w:space="0" w:color="auto"/>
              <w:left w:val="nil"/>
              <w:bottom w:val="nil"/>
              <w:right w:val="single" w:sz="4" w:space="0" w:color="auto"/>
            </w:tcBorders>
            <w:shd w:val="clear" w:color="auto" w:fill="auto"/>
            <w:vAlign w:val="bottom"/>
            <w:hideMark/>
          </w:tcPr>
          <w:p w14:paraId="7844CE0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 xml:space="preserve">največja letna količina goriva iz mešanih komunalnih odpadkov </w:t>
            </w:r>
          </w:p>
          <w:p w14:paraId="02A1A02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5" w:type="dxa"/>
            <w:tcBorders>
              <w:top w:val="single" w:sz="12" w:space="0" w:color="auto"/>
              <w:left w:val="nil"/>
              <w:bottom w:val="nil"/>
              <w:right w:val="single" w:sz="4" w:space="0" w:color="auto"/>
            </w:tcBorders>
            <w:shd w:val="clear" w:color="auto" w:fill="auto"/>
            <w:vAlign w:val="bottom"/>
            <w:hideMark/>
          </w:tcPr>
          <w:p w14:paraId="0D8A443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 xml:space="preserve">največja letna količina goriva iz mešanih komunalnih odpadkov </w:t>
            </w:r>
          </w:p>
          <w:p w14:paraId="0C67235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6" w:type="dxa"/>
            <w:tcBorders>
              <w:top w:val="single" w:sz="12" w:space="0" w:color="auto"/>
              <w:left w:val="nil"/>
              <w:bottom w:val="nil"/>
              <w:right w:val="single" w:sz="4" w:space="0" w:color="auto"/>
            </w:tcBorders>
            <w:shd w:val="clear" w:color="auto" w:fill="auto"/>
            <w:vAlign w:val="bottom"/>
            <w:hideMark/>
          </w:tcPr>
          <w:p w14:paraId="6BC262D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 xml:space="preserve">največja letna količina goriva iz mešanih komunalnih odpadkov </w:t>
            </w:r>
          </w:p>
          <w:p w14:paraId="1B55D2F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6" w:type="dxa"/>
            <w:tcBorders>
              <w:top w:val="single" w:sz="12" w:space="0" w:color="auto"/>
              <w:left w:val="nil"/>
              <w:bottom w:val="nil"/>
              <w:right w:val="single" w:sz="12" w:space="0" w:color="auto"/>
            </w:tcBorders>
            <w:shd w:val="clear" w:color="auto" w:fill="auto"/>
            <w:vAlign w:val="bottom"/>
            <w:hideMark/>
          </w:tcPr>
          <w:p w14:paraId="468AAB3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 xml:space="preserve">največja letna količina goriva iz mešanih komunalnih odpadkov </w:t>
            </w:r>
          </w:p>
          <w:p w14:paraId="50D6346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r>
      <w:tr w:rsidR="00B74958" w:rsidRPr="00B74958" w14:paraId="06A27C60" w14:textId="77777777" w:rsidTr="00F17B26">
        <w:trPr>
          <w:trHeight w:val="345"/>
        </w:trPr>
        <w:tc>
          <w:tcPr>
            <w:tcW w:w="1240" w:type="dxa"/>
            <w:tcBorders>
              <w:top w:val="nil"/>
              <w:left w:val="single" w:sz="12" w:space="0" w:color="auto"/>
              <w:bottom w:val="single" w:sz="12" w:space="0" w:color="auto"/>
              <w:right w:val="nil"/>
            </w:tcBorders>
            <w:shd w:val="clear" w:color="auto" w:fill="auto"/>
            <w:noWrap/>
            <w:vAlign w:val="bottom"/>
            <w:hideMark/>
          </w:tcPr>
          <w:p w14:paraId="004D00DD"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Leto</w:t>
            </w:r>
          </w:p>
        </w:tc>
        <w:tc>
          <w:tcPr>
            <w:tcW w:w="1240" w:type="dxa"/>
            <w:tcBorders>
              <w:top w:val="nil"/>
              <w:left w:val="single" w:sz="12" w:space="0" w:color="auto"/>
              <w:bottom w:val="single" w:sz="12" w:space="0" w:color="auto"/>
              <w:right w:val="single" w:sz="4" w:space="0" w:color="auto"/>
            </w:tcBorders>
            <w:shd w:val="clear" w:color="auto" w:fill="auto"/>
            <w:noWrap/>
            <w:vAlign w:val="bottom"/>
            <w:hideMark/>
          </w:tcPr>
          <w:p w14:paraId="2526D25D"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papir</w:t>
            </w:r>
          </w:p>
        </w:tc>
        <w:tc>
          <w:tcPr>
            <w:tcW w:w="1220" w:type="dxa"/>
            <w:tcBorders>
              <w:top w:val="nil"/>
              <w:left w:val="nil"/>
              <w:bottom w:val="single" w:sz="12" w:space="0" w:color="auto"/>
              <w:right w:val="single" w:sz="4" w:space="0" w:color="auto"/>
            </w:tcBorders>
            <w:shd w:val="clear" w:color="auto" w:fill="auto"/>
            <w:noWrap/>
            <w:vAlign w:val="bottom"/>
            <w:hideMark/>
          </w:tcPr>
          <w:p w14:paraId="5D60F67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 xml:space="preserve">plastika  </w:t>
            </w:r>
          </w:p>
        </w:tc>
        <w:tc>
          <w:tcPr>
            <w:tcW w:w="1247" w:type="dxa"/>
            <w:tcBorders>
              <w:top w:val="nil"/>
              <w:left w:val="nil"/>
              <w:bottom w:val="single" w:sz="12" w:space="0" w:color="auto"/>
              <w:right w:val="single" w:sz="4" w:space="0" w:color="auto"/>
            </w:tcBorders>
            <w:shd w:val="clear" w:color="auto" w:fill="auto"/>
            <w:noWrap/>
            <w:vAlign w:val="bottom"/>
            <w:hideMark/>
          </w:tcPr>
          <w:p w14:paraId="6BDC937D"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les</w:t>
            </w:r>
          </w:p>
        </w:tc>
        <w:tc>
          <w:tcPr>
            <w:tcW w:w="1275" w:type="dxa"/>
            <w:tcBorders>
              <w:top w:val="nil"/>
              <w:left w:val="nil"/>
              <w:bottom w:val="single" w:sz="12" w:space="0" w:color="auto"/>
              <w:right w:val="single" w:sz="4" w:space="0" w:color="auto"/>
            </w:tcBorders>
            <w:shd w:val="clear" w:color="auto" w:fill="auto"/>
            <w:noWrap/>
            <w:vAlign w:val="bottom"/>
            <w:hideMark/>
          </w:tcPr>
          <w:p w14:paraId="0813153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tekstil</w:t>
            </w:r>
          </w:p>
        </w:tc>
        <w:tc>
          <w:tcPr>
            <w:tcW w:w="1276" w:type="dxa"/>
            <w:tcBorders>
              <w:top w:val="nil"/>
              <w:left w:val="nil"/>
              <w:bottom w:val="single" w:sz="12" w:space="0" w:color="auto"/>
              <w:right w:val="single" w:sz="4" w:space="0" w:color="auto"/>
            </w:tcBorders>
            <w:shd w:val="clear" w:color="auto" w:fill="auto"/>
            <w:noWrap/>
            <w:vAlign w:val="bottom"/>
            <w:hideMark/>
          </w:tcPr>
          <w:p w14:paraId="5F2129D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drugi gorljivi</w:t>
            </w:r>
          </w:p>
        </w:tc>
        <w:tc>
          <w:tcPr>
            <w:tcW w:w="1276" w:type="dxa"/>
            <w:tcBorders>
              <w:top w:val="nil"/>
              <w:left w:val="nil"/>
              <w:bottom w:val="single" w:sz="12" w:space="0" w:color="auto"/>
              <w:right w:val="single" w:sz="12" w:space="0" w:color="auto"/>
            </w:tcBorders>
            <w:shd w:val="clear" w:color="auto" w:fill="auto"/>
            <w:noWrap/>
            <w:vAlign w:val="bottom"/>
            <w:hideMark/>
          </w:tcPr>
          <w:p w14:paraId="164F98B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skupaj</w:t>
            </w:r>
          </w:p>
        </w:tc>
      </w:tr>
      <w:tr w:rsidR="00B74958" w:rsidRPr="00B74958" w14:paraId="13E40F41" w14:textId="77777777" w:rsidTr="00F17B26">
        <w:trPr>
          <w:trHeight w:val="34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228A24D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izhodiščno leto </w:t>
            </w:r>
            <w:r w:rsidRPr="00B74958">
              <w:rPr>
                <w:rFonts w:ascii="Arial" w:eastAsia="Times New Roman" w:hAnsi="Arial" w:cs="Times New Roman"/>
                <w:b/>
                <w:kern w:val="0"/>
                <w:sz w:val="20"/>
                <w:szCs w:val="24"/>
                <w:vertAlign w:val="superscript"/>
                <w14:ligatures w14:val="none"/>
              </w:rPr>
              <w:t>(a)</w:t>
            </w:r>
          </w:p>
        </w:tc>
        <w:tc>
          <w:tcPr>
            <w:tcW w:w="1240" w:type="dxa"/>
            <w:tcBorders>
              <w:top w:val="nil"/>
              <w:left w:val="nil"/>
              <w:bottom w:val="single" w:sz="4" w:space="0" w:color="auto"/>
              <w:right w:val="single" w:sz="4" w:space="0" w:color="auto"/>
            </w:tcBorders>
            <w:shd w:val="clear" w:color="auto" w:fill="auto"/>
            <w:noWrap/>
            <w:vAlign w:val="bottom"/>
            <w:hideMark/>
          </w:tcPr>
          <w:p w14:paraId="28B3841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hideMark/>
          </w:tcPr>
          <w:p w14:paraId="09DF9DE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62BA8E0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29E8535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50D27A3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35A8482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1C3485B3"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2F29EE5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naslednje leto </w:t>
            </w:r>
            <w:r w:rsidRPr="00B74958">
              <w:rPr>
                <w:rFonts w:ascii="Arial" w:eastAsia="Times New Roman" w:hAnsi="Arial" w:cs="Times New Roman"/>
                <w:b/>
                <w:kern w:val="0"/>
                <w:sz w:val="20"/>
                <w:szCs w:val="24"/>
                <w:vertAlign w:val="superscript"/>
                <w14:ligatures w14:val="none"/>
              </w:rPr>
              <w:t>(b)</w:t>
            </w:r>
            <w:r w:rsidRPr="00B74958">
              <w:rPr>
                <w:rFonts w:ascii="Arial" w:eastAsia="Times New Roman" w:hAnsi="Arial" w:cs="Times New Roman"/>
                <w:b/>
                <w:kern w:val="0"/>
                <w:sz w:val="20"/>
                <w:szCs w:val="24"/>
                <w14:ligatures w14:val="none"/>
              </w:rPr>
              <w:t xml:space="preserve"> </w:t>
            </w:r>
            <w:r w:rsidRPr="00B74958">
              <w:rPr>
                <w:rFonts w:ascii="Arial" w:eastAsia="Times New Roman" w:hAnsi="Arial" w:cs="Times New Roman"/>
                <w:kern w:val="0"/>
                <w:sz w:val="20"/>
                <w:szCs w:val="24"/>
                <w14:ligatures w14:val="none"/>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76A9E64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hideMark/>
          </w:tcPr>
          <w:p w14:paraId="6EF548F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52FC93F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3EC5C7D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4490842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7729DDF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4045E554"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25F9F66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bookmarkStart w:id="32" w:name="_Hlk179303727"/>
            <w:r w:rsidRPr="00B74958">
              <w:rPr>
                <w:rFonts w:ascii="Arial" w:eastAsia="Times New Roman" w:hAnsi="Arial" w:cs="Times New Roman"/>
                <w:b/>
                <w:kern w:val="0"/>
                <w:sz w:val="20"/>
                <w:szCs w:val="24"/>
                <w14:ligatures w14:val="none"/>
              </w:rPr>
              <w:t xml:space="preserve">prvo leto desetletja </w:t>
            </w:r>
            <w:r w:rsidRPr="00B74958">
              <w:rPr>
                <w:rFonts w:ascii="Arial" w:eastAsia="Times New Roman" w:hAnsi="Arial" w:cs="Times New Roman"/>
                <w:b/>
                <w:kern w:val="0"/>
                <w:sz w:val="20"/>
                <w:szCs w:val="24"/>
                <w:vertAlign w:val="superscript"/>
                <w14:ligatures w14:val="none"/>
              </w:rPr>
              <w:t>(c)</w:t>
            </w:r>
            <w:bookmarkEnd w:id="32"/>
          </w:p>
        </w:tc>
        <w:tc>
          <w:tcPr>
            <w:tcW w:w="1240" w:type="dxa"/>
            <w:tcBorders>
              <w:top w:val="nil"/>
              <w:left w:val="nil"/>
              <w:bottom w:val="single" w:sz="4" w:space="0" w:color="auto"/>
              <w:right w:val="single" w:sz="4" w:space="0" w:color="auto"/>
            </w:tcBorders>
            <w:shd w:val="clear" w:color="auto" w:fill="auto"/>
            <w:noWrap/>
            <w:vAlign w:val="bottom"/>
            <w:hideMark/>
          </w:tcPr>
          <w:p w14:paraId="016D8C4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hideMark/>
          </w:tcPr>
          <w:p w14:paraId="62AA691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3E8F4CA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1A7CCD8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40E4AD1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1FD16CC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4AECF81B"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547BB0B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w:t>
            </w:r>
          </w:p>
        </w:tc>
        <w:tc>
          <w:tcPr>
            <w:tcW w:w="1240" w:type="dxa"/>
            <w:tcBorders>
              <w:top w:val="nil"/>
              <w:left w:val="nil"/>
              <w:bottom w:val="single" w:sz="4" w:space="0" w:color="auto"/>
              <w:right w:val="single" w:sz="4" w:space="0" w:color="auto"/>
            </w:tcBorders>
            <w:shd w:val="clear" w:color="auto" w:fill="auto"/>
            <w:noWrap/>
            <w:vAlign w:val="bottom"/>
          </w:tcPr>
          <w:p w14:paraId="2837373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tcPr>
          <w:p w14:paraId="694E37E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tcPr>
          <w:p w14:paraId="78C3B3F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06DB1DA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tcPr>
          <w:p w14:paraId="1F0CBE1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tcPr>
          <w:p w14:paraId="46E499C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433B25E7"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7FF70B35"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w:t>
            </w:r>
          </w:p>
        </w:tc>
        <w:tc>
          <w:tcPr>
            <w:tcW w:w="1240" w:type="dxa"/>
            <w:tcBorders>
              <w:top w:val="nil"/>
              <w:left w:val="nil"/>
              <w:bottom w:val="single" w:sz="4" w:space="0" w:color="auto"/>
              <w:right w:val="single" w:sz="4" w:space="0" w:color="auto"/>
            </w:tcBorders>
            <w:shd w:val="clear" w:color="auto" w:fill="auto"/>
            <w:noWrap/>
            <w:vAlign w:val="bottom"/>
          </w:tcPr>
          <w:p w14:paraId="4375E39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tcPr>
          <w:p w14:paraId="1CA8207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tcPr>
          <w:p w14:paraId="78F3746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2EC5DCE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tcPr>
          <w:p w14:paraId="77B84E0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tcPr>
          <w:p w14:paraId="749640A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4A0A348C"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4F29E3A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zadnje leto desetletja </w:t>
            </w:r>
            <w:r w:rsidRPr="00B74958">
              <w:rPr>
                <w:rFonts w:ascii="Arial" w:eastAsia="Times New Roman" w:hAnsi="Arial" w:cs="Times New Roman"/>
                <w:b/>
                <w:kern w:val="0"/>
                <w:sz w:val="20"/>
                <w:szCs w:val="24"/>
                <w:vertAlign w:val="superscript"/>
                <w14:ligatures w14:val="none"/>
              </w:rPr>
              <w:t>(d)</w:t>
            </w:r>
          </w:p>
        </w:tc>
        <w:tc>
          <w:tcPr>
            <w:tcW w:w="1240" w:type="dxa"/>
            <w:tcBorders>
              <w:top w:val="nil"/>
              <w:left w:val="nil"/>
              <w:bottom w:val="single" w:sz="4" w:space="0" w:color="auto"/>
              <w:right w:val="single" w:sz="4" w:space="0" w:color="auto"/>
            </w:tcBorders>
            <w:shd w:val="clear" w:color="auto" w:fill="auto"/>
            <w:noWrap/>
            <w:vAlign w:val="bottom"/>
            <w:hideMark/>
          </w:tcPr>
          <w:p w14:paraId="150FB4F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hideMark/>
          </w:tcPr>
          <w:p w14:paraId="169D66A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2F77099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04B82DF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28C922F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474F58B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bl>
    <w:p w14:paraId="048ECC2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753BDB1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(a) </w:t>
      </w:r>
      <w:r w:rsidRPr="00B74958">
        <w:rPr>
          <w:rFonts w:ascii="Arial" w:eastAsia="Times New Roman" w:hAnsi="Arial" w:cs="Times New Roman"/>
          <w:kern w:val="0"/>
          <w:sz w:val="20"/>
          <w:szCs w:val="24"/>
          <w14:ligatures w14:val="none"/>
        </w:rPr>
        <w:t>izhodiščno leto za izračun scenarijev razvoja ravnanja s komunalnimi odpadki,</w:t>
      </w:r>
    </w:p>
    <w:p w14:paraId="145043F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(b)</w:t>
      </w:r>
      <w:r w:rsidRPr="00B74958">
        <w:rPr>
          <w:rFonts w:ascii="Arial" w:eastAsia="Times New Roman" w:hAnsi="Arial" w:cs="Times New Roman"/>
          <w:kern w:val="0"/>
          <w:sz w:val="20"/>
          <w:szCs w:val="24"/>
          <w14:ligatures w14:val="none"/>
        </w:rPr>
        <w:t xml:space="preserve"> naslednje leto je leto, za katerega je določena največja letna količina gorljivih sestavin komunalnih odpadkov,</w:t>
      </w:r>
    </w:p>
    <w:p w14:paraId="664D23E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(c) </w:t>
      </w:r>
      <w:r w:rsidRPr="00B74958">
        <w:rPr>
          <w:rFonts w:ascii="Arial" w:eastAsia="Times New Roman" w:hAnsi="Arial" w:cs="Times New Roman"/>
          <w:kern w:val="0"/>
          <w:sz w:val="20"/>
          <w:szCs w:val="24"/>
          <w14:ligatures w14:val="none"/>
        </w:rPr>
        <w:t>prvo leto desetletja po letu, za katerega je določena največja letna količina gorljivih sestavin komunalnih odpadkov,</w:t>
      </w:r>
    </w:p>
    <w:p w14:paraId="3866B9A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(d) </w:t>
      </w:r>
      <w:r w:rsidRPr="00B74958">
        <w:rPr>
          <w:rFonts w:ascii="Arial" w:eastAsia="Times New Roman" w:hAnsi="Arial" w:cs="Times New Roman"/>
          <w:kern w:val="0"/>
          <w:sz w:val="20"/>
          <w:szCs w:val="24"/>
          <w14:ligatures w14:val="none"/>
        </w:rPr>
        <w:t>zadnje leto desetletja po letu, za katerega je določena največja letna količina gorljivih sestavin komunalnih odpadkov.</w:t>
      </w:r>
    </w:p>
    <w:bookmarkEnd w:id="31"/>
    <w:p w14:paraId="57ECC44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132FA1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Največje letne količine gorljivih sestavin iz papirja, plastike, lesa, tekstila in drugih gorljivih sestavin mešanih komunalnih odpadkov so podane kot indikativne vrednosti, ki ne smejo biti presežene za več kot 25 %. Če so te indikativne vrednosti presežene za več kot 25 % mora izvajalec mehanske obdelave mešanih komunalnih odpadkov:</w:t>
      </w:r>
    </w:p>
    <w:p w14:paraId="0BB1087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19E9B5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 ugotoviti, ali so ti mešani komunalni odpadki nastali na območju občine, za katero je bilo ocenjeno na podlagi rezultatov sortirnih analiz MKO, izdelanih za izhodiščno leto modelnega izračuna scenarijev razvoja ravnanja s komunalnimi odpadki, da letna količina zbranih mešanih komunalnih, preračunana na prebivalca, presega referenčno vrednost kazalnika za R Slovenijo »količina MKO na prebivalca«;</w:t>
      </w:r>
      <w:r w:rsidRPr="00B74958" w:rsidDel="007E37A7">
        <w:rPr>
          <w:rFonts w:ascii="Arial" w:eastAsia="Times New Roman" w:hAnsi="Arial" w:cs="Times New Roman"/>
          <w:kern w:val="0"/>
          <w:sz w:val="20"/>
          <w:szCs w:val="24"/>
          <w14:ligatures w14:val="none"/>
        </w:rPr>
        <w:t xml:space="preserve"> </w:t>
      </w:r>
    </w:p>
    <w:p w14:paraId="5CBA37D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(b) opozoriti izvajalca občinske javne službe zbiranja komunalnih odpadkov, ki je take mešane komunalne odpadke predal v mehansko obdelavo, na izvajanje ukrepov za bolj učinkovito ločeno zbiranje komunalnih odpadkov;</w:t>
      </w:r>
    </w:p>
    <w:p w14:paraId="6EFD07C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(c) povečati učinkovitost izločevanja reciklabilnih odpadnih snovi iz prevzetih mešanih komunalnih odpadkov, z namenom, da za papir, plastiko, les in tekstil največje letne količine gorljivih sestavin ne presegajo v zgornji tabeli navedenih indikativnih vrednosti za več kot 25 %.</w:t>
      </w:r>
    </w:p>
    <w:p w14:paraId="7C201A8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6A5D67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322CE4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2. del</w:t>
      </w:r>
      <w:r w:rsidRPr="00B74958">
        <w:rPr>
          <w:rFonts w:ascii="Arial" w:eastAsia="Times New Roman" w:hAnsi="Arial" w:cs="Times New Roman"/>
          <w:kern w:val="0"/>
          <w:sz w:val="20"/>
          <w:szCs w:val="24"/>
          <w14:ligatures w14:val="none"/>
        </w:rPr>
        <w:t xml:space="preserve"> - največja letna količina gorljivih sestavin, ki nastanejo po mehanski obdelavi kosovnih odpadkov s številko 20 03 07, ločeno zbranega papirja, kartona in lepenke s številko 20 01 01, ločeno zbrane plastike s številko 20 01 39, ločeno zbranega lesa s številko 20 01 38 in ločeno zbranega tekstila s številko 20 01 11, zbranih v okviru storitev občinske javne službe zbiranja komunalnih odpadkov, in se sežigajo kot storitev državne javne službe, </w:t>
      </w:r>
      <w:bookmarkStart w:id="33" w:name="_Hlk179305121"/>
      <w:r w:rsidRPr="00B74958">
        <w:rPr>
          <w:rFonts w:ascii="Arial" w:eastAsia="Times New Roman" w:hAnsi="Arial" w:cs="Times New Roman"/>
          <w:kern w:val="0"/>
          <w:sz w:val="20"/>
          <w:szCs w:val="24"/>
          <w14:ligatures w14:val="none"/>
        </w:rPr>
        <w:t>je v tekočem letu za naslednje leto navedena v obliki in s podatki iz spodnje tabele.</w:t>
      </w:r>
    </w:p>
    <w:bookmarkEnd w:id="33"/>
    <w:p w14:paraId="79507BA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8774" w:type="dxa"/>
        <w:tblInd w:w="85" w:type="dxa"/>
        <w:tblCellMar>
          <w:left w:w="70" w:type="dxa"/>
          <w:right w:w="70" w:type="dxa"/>
        </w:tblCellMar>
        <w:tblLook w:val="04A0" w:firstRow="1" w:lastRow="0" w:firstColumn="1" w:lastColumn="0" w:noHBand="0" w:noVBand="1"/>
      </w:tblPr>
      <w:tblGrid>
        <w:gridCol w:w="1340"/>
        <w:gridCol w:w="1263"/>
        <w:gridCol w:w="1263"/>
        <w:gridCol w:w="1263"/>
        <w:gridCol w:w="1275"/>
        <w:gridCol w:w="1276"/>
        <w:gridCol w:w="1276"/>
      </w:tblGrid>
      <w:tr w:rsidR="00B74958" w:rsidRPr="00B74958" w14:paraId="218EDB51" w14:textId="77777777" w:rsidTr="00F17B26">
        <w:trPr>
          <w:trHeight w:val="1800"/>
        </w:trPr>
        <w:tc>
          <w:tcPr>
            <w:tcW w:w="1240" w:type="dxa"/>
            <w:tcBorders>
              <w:top w:val="single" w:sz="12" w:space="0" w:color="auto"/>
              <w:left w:val="single" w:sz="12" w:space="0" w:color="auto"/>
              <w:bottom w:val="nil"/>
              <w:right w:val="nil"/>
            </w:tcBorders>
            <w:shd w:val="clear" w:color="auto" w:fill="auto"/>
            <w:vAlign w:val="bottom"/>
            <w:hideMark/>
          </w:tcPr>
          <w:p w14:paraId="1FA43A7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w:t>
            </w:r>
          </w:p>
        </w:tc>
        <w:tc>
          <w:tcPr>
            <w:tcW w:w="1240" w:type="dxa"/>
            <w:tcBorders>
              <w:top w:val="single" w:sz="12" w:space="0" w:color="auto"/>
              <w:left w:val="single" w:sz="12" w:space="0" w:color="auto"/>
              <w:bottom w:val="nil"/>
              <w:right w:val="single" w:sz="4" w:space="0" w:color="auto"/>
            </w:tcBorders>
            <w:shd w:val="clear" w:color="auto" w:fill="auto"/>
            <w:vAlign w:val="bottom"/>
            <w:hideMark/>
          </w:tcPr>
          <w:p w14:paraId="7A63B2A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zbranih komunalnih odpadkov</w:t>
            </w:r>
          </w:p>
          <w:p w14:paraId="5DCABA0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20" w:type="dxa"/>
            <w:tcBorders>
              <w:top w:val="single" w:sz="12" w:space="0" w:color="auto"/>
              <w:left w:val="nil"/>
              <w:right w:val="single" w:sz="4" w:space="0" w:color="auto"/>
            </w:tcBorders>
            <w:shd w:val="clear" w:color="auto" w:fill="auto"/>
            <w:vAlign w:val="bottom"/>
            <w:hideMark/>
          </w:tcPr>
          <w:p w14:paraId="4550032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p w14:paraId="2995A9C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47" w:type="dxa"/>
            <w:tcBorders>
              <w:top w:val="single" w:sz="12" w:space="0" w:color="auto"/>
              <w:left w:val="nil"/>
              <w:bottom w:val="nil"/>
              <w:right w:val="single" w:sz="4" w:space="0" w:color="auto"/>
            </w:tcBorders>
            <w:shd w:val="clear" w:color="auto" w:fill="auto"/>
            <w:vAlign w:val="bottom"/>
            <w:hideMark/>
          </w:tcPr>
          <w:p w14:paraId="6D9E795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p w14:paraId="73A15D0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5" w:type="dxa"/>
            <w:tcBorders>
              <w:top w:val="single" w:sz="12" w:space="0" w:color="auto"/>
              <w:left w:val="nil"/>
              <w:bottom w:val="nil"/>
              <w:right w:val="single" w:sz="4" w:space="0" w:color="auto"/>
            </w:tcBorders>
            <w:shd w:val="clear" w:color="auto" w:fill="auto"/>
            <w:vAlign w:val="bottom"/>
            <w:hideMark/>
          </w:tcPr>
          <w:p w14:paraId="107B141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p w14:paraId="5CBE668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6" w:type="dxa"/>
            <w:tcBorders>
              <w:top w:val="single" w:sz="12" w:space="0" w:color="auto"/>
              <w:left w:val="nil"/>
              <w:bottom w:val="nil"/>
              <w:right w:val="single" w:sz="4" w:space="0" w:color="auto"/>
            </w:tcBorders>
            <w:shd w:val="clear" w:color="auto" w:fill="auto"/>
            <w:vAlign w:val="bottom"/>
            <w:hideMark/>
          </w:tcPr>
          <w:p w14:paraId="0F7067B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p w14:paraId="6648B2E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6" w:type="dxa"/>
            <w:tcBorders>
              <w:top w:val="single" w:sz="12" w:space="0" w:color="auto"/>
              <w:left w:val="nil"/>
              <w:bottom w:val="nil"/>
              <w:right w:val="single" w:sz="4" w:space="0" w:color="auto"/>
            </w:tcBorders>
            <w:shd w:val="clear" w:color="auto" w:fill="auto"/>
            <w:vAlign w:val="bottom"/>
            <w:hideMark/>
          </w:tcPr>
          <w:p w14:paraId="0E04EBD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p w14:paraId="6DD8645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r>
      <w:tr w:rsidR="00B74958" w:rsidRPr="00B74958" w14:paraId="49C50C46" w14:textId="77777777" w:rsidTr="00F17B26">
        <w:trPr>
          <w:trHeight w:val="345"/>
        </w:trPr>
        <w:tc>
          <w:tcPr>
            <w:tcW w:w="1240" w:type="dxa"/>
            <w:tcBorders>
              <w:top w:val="nil"/>
              <w:left w:val="single" w:sz="12" w:space="0" w:color="auto"/>
              <w:bottom w:val="single" w:sz="12" w:space="0" w:color="auto"/>
              <w:right w:val="nil"/>
            </w:tcBorders>
            <w:shd w:val="clear" w:color="auto" w:fill="auto"/>
            <w:noWrap/>
            <w:vAlign w:val="bottom"/>
            <w:hideMark/>
          </w:tcPr>
          <w:p w14:paraId="0080676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Leto</w:t>
            </w:r>
          </w:p>
        </w:tc>
        <w:tc>
          <w:tcPr>
            <w:tcW w:w="1240" w:type="dxa"/>
            <w:tcBorders>
              <w:top w:val="nil"/>
              <w:left w:val="single" w:sz="12" w:space="0" w:color="auto"/>
              <w:bottom w:val="single" w:sz="12" w:space="0" w:color="auto"/>
              <w:right w:val="single" w:sz="6" w:space="0" w:color="auto"/>
            </w:tcBorders>
            <w:shd w:val="clear" w:color="auto" w:fill="auto"/>
            <w:noWrap/>
            <w:vAlign w:val="bottom"/>
            <w:hideMark/>
          </w:tcPr>
          <w:p w14:paraId="590B9E0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kosovni odpadki</w:t>
            </w:r>
          </w:p>
        </w:tc>
        <w:tc>
          <w:tcPr>
            <w:tcW w:w="1220" w:type="dxa"/>
            <w:tcBorders>
              <w:top w:val="nil"/>
              <w:left w:val="single" w:sz="6" w:space="0" w:color="auto"/>
              <w:bottom w:val="single" w:sz="12" w:space="0" w:color="auto"/>
              <w:right w:val="single" w:sz="4" w:space="0" w:color="auto"/>
            </w:tcBorders>
            <w:shd w:val="clear" w:color="auto" w:fill="auto"/>
            <w:noWrap/>
            <w:vAlign w:val="bottom"/>
            <w:hideMark/>
          </w:tcPr>
          <w:p w14:paraId="2DB9601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Papir</w:t>
            </w:r>
          </w:p>
        </w:tc>
        <w:tc>
          <w:tcPr>
            <w:tcW w:w="1247" w:type="dxa"/>
            <w:tcBorders>
              <w:top w:val="nil"/>
              <w:left w:val="nil"/>
              <w:bottom w:val="single" w:sz="12" w:space="0" w:color="auto"/>
              <w:right w:val="single" w:sz="4" w:space="0" w:color="auto"/>
            </w:tcBorders>
            <w:shd w:val="clear" w:color="auto" w:fill="auto"/>
            <w:noWrap/>
            <w:vAlign w:val="bottom"/>
            <w:hideMark/>
          </w:tcPr>
          <w:p w14:paraId="3BA700A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 xml:space="preserve">plastika  </w:t>
            </w:r>
          </w:p>
        </w:tc>
        <w:tc>
          <w:tcPr>
            <w:tcW w:w="1275" w:type="dxa"/>
            <w:tcBorders>
              <w:top w:val="nil"/>
              <w:left w:val="nil"/>
              <w:bottom w:val="single" w:sz="12" w:space="0" w:color="auto"/>
              <w:right w:val="single" w:sz="4" w:space="0" w:color="auto"/>
            </w:tcBorders>
            <w:shd w:val="clear" w:color="auto" w:fill="auto"/>
            <w:noWrap/>
            <w:vAlign w:val="bottom"/>
            <w:hideMark/>
          </w:tcPr>
          <w:p w14:paraId="10D010E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les</w:t>
            </w:r>
          </w:p>
        </w:tc>
        <w:tc>
          <w:tcPr>
            <w:tcW w:w="1276" w:type="dxa"/>
            <w:tcBorders>
              <w:top w:val="nil"/>
              <w:left w:val="nil"/>
              <w:bottom w:val="single" w:sz="12" w:space="0" w:color="auto"/>
              <w:right w:val="single" w:sz="4" w:space="0" w:color="auto"/>
            </w:tcBorders>
            <w:shd w:val="clear" w:color="auto" w:fill="auto"/>
            <w:noWrap/>
            <w:vAlign w:val="bottom"/>
            <w:hideMark/>
          </w:tcPr>
          <w:p w14:paraId="1924734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tekstil</w:t>
            </w:r>
          </w:p>
        </w:tc>
        <w:tc>
          <w:tcPr>
            <w:tcW w:w="1276" w:type="dxa"/>
            <w:tcBorders>
              <w:top w:val="nil"/>
              <w:left w:val="nil"/>
              <w:bottom w:val="single" w:sz="12" w:space="0" w:color="auto"/>
              <w:right w:val="single" w:sz="12" w:space="0" w:color="auto"/>
            </w:tcBorders>
            <w:shd w:val="clear" w:color="auto" w:fill="auto"/>
            <w:noWrap/>
            <w:vAlign w:val="bottom"/>
            <w:hideMark/>
          </w:tcPr>
          <w:p w14:paraId="26669DE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skupaj</w:t>
            </w:r>
          </w:p>
        </w:tc>
      </w:tr>
      <w:tr w:rsidR="00B74958" w:rsidRPr="00B74958" w14:paraId="7C7A2342" w14:textId="77777777" w:rsidTr="00F17B26">
        <w:trPr>
          <w:trHeight w:val="34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2774B35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izhodiščno leto </w:t>
            </w:r>
            <w:r w:rsidRPr="00B74958">
              <w:rPr>
                <w:rFonts w:ascii="Arial" w:eastAsia="Times New Roman" w:hAnsi="Arial" w:cs="Times New Roman"/>
                <w:b/>
                <w:kern w:val="0"/>
                <w:sz w:val="20"/>
                <w:szCs w:val="24"/>
                <w:vertAlign w:val="superscript"/>
                <w14:ligatures w14:val="none"/>
              </w:rPr>
              <w:t>(a)</w:t>
            </w:r>
          </w:p>
        </w:tc>
        <w:tc>
          <w:tcPr>
            <w:tcW w:w="1240" w:type="dxa"/>
            <w:tcBorders>
              <w:top w:val="nil"/>
              <w:left w:val="nil"/>
              <w:bottom w:val="single" w:sz="4" w:space="0" w:color="auto"/>
              <w:right w:val="single" w:sz="4" w:space="0" w:color="auto"/>
            </w:tcBorders>
            <w:shd w:val="clear" w:color="auto" w:fill="auto"/>
            <w:noWrap/>
            <w:vAlign w:val="bottom"/>
            <w:hideMark/>
          </w:tcPr>
          <w:p w14:paraId="43110F9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hideMark/>
          </w:tcPr>
          <w:p w14:paraId="0090A8F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48ADF42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547C446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3E58E64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7386265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4BBF70EE"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74A78FC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naslednje leto </w:t>
            </w:r>
            <w:r w:rsidRPr="00B74958">
              <w:rPr>
                <w:rFonts w:ascii="Arial" w:eastAsia="Times New Roman" w:hAnsi="Arial" w:cs="Times New Roman"/>
                <w:b/>
                <w:kern w:val="0"/>
                <w:sz w:val="20"/>
                <w:szCs w:val="24"/>
                <w:vertAlign w:val="superscript"/>
                <w14:ligatures w14:val="none"/>
              </w:rPr>
              <w:t>(b)</w:t>
            </w:r>
            <w:r w:rsidRPr="00B74958">
              <w:rPr>
                <w:rFonts w:ascii="Arial" w:eastAsia="Times New Roman" w:hAnsi="Arial" w:cs="Times New Roman"/>
                <w:b/>
                <w:kern w:val="0"/>
                <w:sz w:val="20"/>
                <w:szCs w:val="24"/>
                <w14:ligatures w14:val="none"/>
              </w:rPr>
              <w:t xml:space="preserve"> </w:t>
            </w:r>
            <w:r w:rsidRPr="00B74958">
              <w:rPr>
                <w:rFonts w:ascii="Arial" w:eastAsia="Times New Roman" w:hAnsi="Arial" w:cs="Times New Roman"/>
                <w:kern w:val="0"/>
                <w:sz w:val="20"/>
                <w:szCs w:val="24"/>
                <w14:ligatures w14:val="none"/>
              </w:rPr>
              <w:t xml:space="preserve"> </w:t>
            </w:r>
          </w:p>
        </w:tc>
        <w:tc>
          <w:tcPr>
            <w:tcW w:w="1240" w:type="dxa"/>
            <w:tcBorders>
              <w:top w:val="nil"/>
              <w:left w:val="nil"/>
              <w:bottom w:val="single" w:sz="4" w:space="0" w:color="auto"/>
              <w:right w:val="single" w:sz="4" w:space="0" w:color="auto"/>
            </w:tcBorders>
            <w:shd w:val="clear" w:color="auto" w:fill="auto"/>
            <w:noWrap/>
            <w:vAlign w:val="bottom"/>
            <w:hideMark/>
          </w:tcPr>
          <w:p w14:paraId="5B44191D"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hideMark/>
          </w:tcPr>
          <w:p w14:paraId="5E845A8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1692DE7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1B6C5B4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26F5D46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3FE1928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2338CD42"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0A5C282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prvo leto desetletja </w:t>
            </w:r>
            <w:r w:rsidRPr="00B74958">
              <w:rPr>
                <w:rFonts w:ascii="Arial" w:eastAsia="Times New Roman" w:hAnsi="Arial" w:cs="Times New Roman"/>
                <w:b/>
                <w:kern w:val="0"/>
                <w:sz w:val="20"/>
                <w:szCs w:val="24"/>
                <w:vertAlign w:val="superscript"/>
                <w14:ligatures w14:val="none"/>
              </w:rPr>
              <w:t>(c)</w:t>
            </w:r>
          </w:p>
        </w:tc>
        <w:tc>
          <w:tcPr>
            <w:tcW w:w="1240" w:type="dxa"/>
            <w:tcBorders>
              <w:top w:val="nil"/>
              <w:left w:val="nil"/>
              <w:bottom w:val="single" w:sz="4" w:space="0" w:color="auto"/>
              <w:right w:val="single" w:sz="4" w:space="0" w:color="auto"/>
            </w:tcBorders>
            <w:shd w:val="clear" w:color="auto" w:fill="auto"/>
            <w:noWrap/>
            <w:vAlign w:val="bottom"/>
            <w:hideMark/>
          </w:tcPr>
          <w:p w14:paraId="0C7D949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hideMark/>
          </w:tcPr>
          <w:p w14:paraId="48BA740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3402A84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64FDB2C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73C0957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3E321AB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5A9EE50C"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5527157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w:t>
            </w:r>
          </w:p>
        </w:tc>
        <w:tc>
          <w:tcPr>
            <w:tcW w:w="1240" w:type="dxa"/>
            <w:tcBorders>
              <w:top w:val="nil"/>
              <w:left w:val="nil"/>
              <w:bottom w:val="single" w:sz="4" w:space="0" w:color="auto"/>
              <w:right w:val="single" w:sz="4" w:space="0" w:color="auto"/>
            </w:tcBorders>
            <w:shd w:val="clear" w:color="auto" w:fill="auto"/>
            <w:noWrap/>
            <w:vAlign w:val="bottom"/>
          </w:tcPr>
          <w:p w14:paraId="576F9B2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tcPr>
          <w:p w14:paraId="6F9FD2A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tcPr>
          <w:p w14:paraId="61602B7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416FC73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tcPr>
          <w:p w14:paraId="7839C2F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tcPr>
          <w:p w14:paraId="5AFA97D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69DD2367"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1CC5D91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w:t>
            </w:r>
          </w:p>
        </w:tc>
        <w:tc>
          <w:tcPr>
            <w:tcW w:w="1240" w:type="dxa"/>
            <w:tcBorders>
              <w:top w:val="nil"/>
              <w:left w:val="nil"/>
              <w:bottom w:val="single" w:sz="4" w:space="0" w:color="auto"/>
              <w:right w:val="single" w:sz="4" w:space="0" w:color="auto"/>
            </w:tcBorders>
            <w:shd w:val="clear" w:color="auto" w:fill="auto"/>
            <w:noWrap/>
            <w:vAlign w:val="bottom"/>
          </w:tcPr>
          <w:p w14:paraId="6D256DF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tcPr>
          <w:p w14:paraId="4FF8822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tcPr>
          <w:p w14:paraId="0BA71CD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25094C4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tcPr>
          <w:p w14:paraId="70C0FFA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tcPr>
          <w:p w14:paraId="371CE07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13B7F524"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63A41A4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zadnje leto desetletja </w:t>
            </w:r>
            <w:r w:rsidRPr="00B74958">
              <w:rPr>
                <w:rFonts w:ascii="Arial" w:eastAsia="Times New Roman" w:hAnsi="Arial" w:cs="Times New Roman"/>
                <w:b/>
                <w:kern w:val="0"/>
                <w:sz w:val="20"/>
                <w:szCs w:val="24"/>
                <w:vertAlign w:val="superscript"/>
                <w14:ligatures w14:val="none"/>
              </w:rPr>
              <w:t>(d)</w:t>
            </w:r>
          </w:p>
        </w:tc>
        <w:tc>
          <w:tcPr>
            <w:tcW w:w="1240" w:type="dxa"/>
            <w:tcBorders>
              <w:top w:val="nil"/>
              <w:left w:val="nil"/>
              <w:bottom w:val="single" w:sz="4" w:space="0" w:color="auto"/>
              <w:right w:val="single" w:sz="4" w:space="0" w:color="auto"/>
            </w:tcBorders>
            <w:shd w:val="clear" w:color="auto" w:fill="auto"/>
            <w:noWrap/>
            <w:vAlign w:val="bottom"/>
            <w:hideMark/>
          </w:tcPr>
          <w:p w14:paraId="299028C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20" w:type="dxa"/>
            <w:tcBorders>
              <w:top w:val="nil"/>
              <w:left w:val="nil"/>
              <w:bottom w:val="single" w:sz="4" w:space="0" w:color="auto"/>
              <w:right w:val="single" w:sz="4" w:space="0" w:color="auto"/>
            </w:tcBorders>
            <w:shd w:val="clear" w:color="auto" w:fill="auto"/>
            <w:noWrap/>
            <w:vAlign w:val="bottom"/>
            <w:hideMark/>
          </w:tcPr>
          <w:p w14:paraId="1A7902C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2F6B834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4A96FF9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1DD95AA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3677244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bl>
    <w:p w14:paraId="134419C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369DCDD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(a) </w:t>
      </w:r>
      <w:r w:rsidRPr="00B74958">
        <w:rPr>
          <w:rFonts w:ascii="Arial" w:eastAsia="Times New Roman" w:hAnsi="Arial" w:cs="Times New Roman"/>
          <w:kern w:val="0"/>
          <w:sz w:val="20"/>
          <w:szCs w:val="24"/>
          <w14:ligatures w14:val="none"/>
        </w:rPr>
        <w:t>izhodiščno leto za izračun scenarijev razvoja ravnanja s komunalnimi odpadki,</w:t>
      </w:r>
    </w:p>
    <w:p w14:paraId="5EEFB10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(b)</w:t>
      </w:r>
      <w:r w:rsidRPr="00B74958">
        <w:rPr>
          <w:rFonts w:ascii="Arial" w:eastAsia="Times New Roman" w:hAnsi="Arial" w:cs="Times New Roman"/>
          <w:kern w:val="0"/>
          <w:sz w:val="20"/>
          <w:szCs w:val="24"/>
          <w14:ligatures w14:val="none"/>
        </w:rPr>
        <w:t xml:space="preserve"> naslednje leto je leto, za katerega je določena največja letna količina gorljivih sestavin komunalnih odpadkov,</w:t>
      </w:r>
    </w:p>
    <w:p w14:paraId="2C679BF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(c) </w:t>
      </w:r>
      <w:r w:rsidRPr="00B74958">
        <w:rPr>
          <w:rFonts w:ascii="Arial" w:eastAsia="Times New Roman" w:hAnsi="Arial" w:cs="Times New Roman"/>
          <w:kern w:val="0"/>
          <w:sz w:val="20"/>
          <w:szCs w:val="24"/>
          <w14:ligatures w14:val="none"/>
        </w:rPr>
        <w:t>prvo leto desetletja po letu, za katerega je določena največja letna količina gorljivih sestavin komunalnih odpadkov,</w:t>
      </w:r>
    </w:p>
    <w:p w14:paraId="1DD7D3B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(d) </w:t>
      </w:r>
      <w:r w:rsidRPr="00B74958">
        <w:rPr>
          <w:rFonts w:ascii="Arial" w:eastAsia="Times New Roman" w:hAnsi="Arial" w:cs="Times New Roman"/>
          <w:kern w:val="0"/>
          <w:sz w:val="20"/>
          <w:szCs w:val="24"/>
          <w14:ligatures w14:val="none"/>
        </w:rPr>
        <w:t>zadnje leto desetletja po letu, za katerega je določena največja letna količina gorljivih sestavin komunalnih odpadkov.</w:t>
      </w:r>
    </w:p>
    <w:p w14:paraId="7BE2AE2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241279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8981ED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3. del - </w:t>
      </w:r>
      <w:r w:rsidRPr="00B74958">
        <w:rPr>
          <w:rFonts w:ascii="Arial" w:eastAsia="Times New Roman" w:hAnsi="Arial" w:cs="Times New Roman"/>
          <w:kern w:val="0"/>
          <w:sz w:val="20"/>
          <w:szCs w:val="24"/>
          <w14:ligatures w14:val="none"/>
        </w:rPr>
        <w:t>največja letna količina gorljivih sestavin, ki nastanejo po mehanski obdelavi ločeno zbrane odpadne embalaže, ki je zbrana v okviru storitev občinske javne službe zbiranja komunalnih odpadkov, in se lahko sežigajo kot posebna storitev državne javne službe, je v tekočem letu za naslednje leto navedena v obliki in s podatki iz spodnje tabele.</w:t>
      </w:r>
    </w:p>
    <w:p w14:paraId="5EE3581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7534" w:type="dxa"/>
        <w:tblInd w:w="85" w:type="dxa"/>
        <w:tblCellMar>
          <w:left w:w="70" w:type="dxa"/>
          <w:right w:w="70" w:type="dxa"/>
        </w:tblCellMar>
        <w:tblLook w:val="04A0" w:firstRow="1" w:lastRow="0" w:firstColumn="1" w:lastColumn="0" w:noHBand="0" w:noVBand="1"/>
      </w:tblPr>
      <w:tblGrid>
        <w:gridCol w:w="1340"/>
        <w:gridCol w:w="1220"/>
        <w:gridCol w:w="1247"/>
        <w:gridCol w:w="1275"/>
        <w:gridCol w:w="1276"/>
        <w:gridCol w:w="1276"/>
      </w:tblGrid>
      <w:tr w:rsidR="00B74958" w:rsidRPr="00B74958" w14:paraId="49F2CC79" w14:textId="77777777" w:rsidTr="00F17B26">
        <w:trPr>
          <w:trHeight w:val="1800"/>
        </w:trPr>
        <w:tc>
          <w:tcPr>
            <w:tcW w:w="1240" w:type="dxa"/>
            <w:tcBorders>
              <w:top w:val="single" w:sz="12" w:space="0" w:color="auto"/>
              <w:left w:val="single" w:sz="12" w:space="0" w:color="auto"/>
              <w:bottom w:val="nil"/>
              <w:right w:val="single" w:sz="12" w:space="0" w:color="auto"/>
            </w:tcBorders>
            <w:shd w:val="clear" w:color="auto" w:fill="auto"/>
            <w:vAlign w:val="bottom"/>
            <w:hideMark/>
          </w:tcPr>
          <w:p w14:paraId="52B8847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bookmarkStart w:id="34" w:name="_Hlk179305730"/>
            <w:r w:rsidRPr="00B74958">
              <w:rPr>
                <w:rFonts w:ascii="Arial" w:eastAsia="Times New Roman" w:hAnsi="Arial" w:cs="Times New Roman"/>
                <w:b/>
                <w:kern w:val="0"/>
                <w:sz w:val="20"/>
                <w:szCs w:val="24"/>
                <w14:ligatures w14:val="none"/>
              </w:rPr>
              <w:t> </w:t>
            </w:r>
          </w:p>
        </w:tc>
        <w:tc>
          <w:tcPr>
            <w:tcW w:w="1220" w:type="dxa"/>
            <w:tcBorders>
              <w:top w:val="single" w:sz="12" w:space="0" w:color="auto"/>
              <w:left w:val="single" w:sz="12" w:space="0" w:color="auto"/>
              <w:bottom w:val="nil"/>
              <w:right w:val="single" w:sz="4" w:space="0" w:color="auto"/>
            </w:tcBorders>
            <w:shd w:val="clear" w:color="auto" w:fill="auto"/>
            <w:vAlign w:val="bottom"/>
            <w:hideMark/>
          </w:tcPr>
          <w:p w14:paraId="0BBD9B1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zbrane odpadne embalaže</w:t>
            </w:r>
          </w:p>
          <w:p w14:paraId="03F3E2D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47" w:type="dxa"/>
            <w:tcBorders>
              <w:top w:val="single" w:sz="12" w:space="0" w:color="auto"/>
              <w:left w:val="single" w:sz="6" w:space="0" w:color="auto"/>
              <w:bottom w:val="nil"/>
              <w:right w:val="single" w:sz="4" w:space="0" w:color="auto"/>
            </w:tcBorders>
            <w:shd w:val="clear" w:color="auto" w:fill="auto"/>
            <w:vAlign w:val="bottom"/>
            <w:hideMark/>
          </w:tcPr>
          <w:p w14:paraId="3E51A33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zbrane odpadne embalaže</w:t>
            </w:r>
          </w:p>
          <w:p w14:paraId="5CEEC09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5" w:type="dxa"/>
            <w:tcBorders>
              <w:top w:val="single" w:sz="12" w:space="0" w:color="auto"/>
              <w:left w:val="single" w:sz="6" w:space="0" w:color="auto"/>
              <w:bottom w:val="nil"/>
              <w:right w:val="single" w:sz="4" w:space="0" w:color="auto"/>
            </w:tcBorders>
            <w:shd w:val="clear" w:color="auto" w:fill="auto"/>
            <w:vAlign w:val="bottom"/>
            <w:hideMark/>
          </w:tcPr>
          <w:p w14:paraId="4E5FD56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zbrane odpadne embalaže</w:t>
            </w:r>
          </w:p>
          <w:p w14:paraId="4D8B654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6" w:type="dxa"/>
            <w:tcBorders>
              <w:top w:val="single" w:sz="12" w:space="0" w:color="auto"/>
              <w:left w:val="single" w:sz="6" w:space="0" w:color="auto"/>
              <w:bottom w:val="nil"/>
              <w:right w:val="single" w:sz="4" w:space="0" w:color="auto"/>
            </w:tcBorders>
            <w:shd w:val="clear" w:color="auto" w:fill="auto"/>
            <w:vAlign w:val="bottom"/>
            <w:hideMark/>
          </w:tcPr>
          <w:p w14:paraId="77B934D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zbrane odpadne embalaže</w:t>
            </w:r>
          </w:p>
          <w:p w14:paraId="172D63C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6" w:type="dxa"/>
            <w:tcBorders>
              <w:top w:val="single" w:sz="12" w:space="0" w:color="auto"/>
              <w:left w:val="single" w:sz="6" w:space="0" w:color="auto"/>
              <w:bottom w:val="nil"/>
              <w:right w:val="single" w:sz="12" w:space="0" w:color="auto"/>
            </w:tcBorders>
            <w:shd w:val="clear" w:color="auto" w:fill="auto"/>
            <w:vAlign w:val="bottom"/>
            <w:hideMark/>
          </w:tcPr>
          <w:p w14:paraId="435A191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letna količina goriva iz obdelave v okviru občinske JS ločeno zbrane odpadne embalaže</w:t>
            </w:r>
          </w:p>
          <w:p w14:paraId="7280957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r>
      <w:tr w:rsidR="00B74958" w:rsidRPr="00B74958" w14:paraId="20B94EFB" w14:textId="77777777" w:rsidTr="00F17B26">
        <w:trPr>
          <w:trHeight w:val="345"/>
        </w:trPr>
        <w:tc>
          <w:tcPr>
            <w:tcW w:w="1240" w:type="dxa"/>
            <w:tcBorders>
              <w:top w:val="nil"/>
              <w:left w:val="single" w:sz="12" w:space="0" w:color="auto"/>
              <w:bottom w:val="single" w:sz="12" w:space="0" w:color="auto"/>
              <w:right w:val="single" w:sz="12" w:space="0" w:color="auto"/>
            </w:tcBorders>
            <w:shd w:val="clear" w:color="auto" w:fill="auto"/>
            <w:noWrap/>
            <w:vAlign w:val="bottom"/>
            <w:hideMark/>
          </w:tcPr>
          <w:p w14:paraId="029B1A7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Leto</w:t>
            </w:r>
          </w:p>
        </w:tc>
        <w:tc>
          <w:tcPr>
            <w:tcW w:w="1220" w:type="dxa"/>
            <w:tcBorders>
              <w:top w:val="nil"/>
              <w:left w:val="single" w:sz="12" w:space="0" w:color="auto"/>
              <w:bottom w:val="single" w:sz="12" w:space="0" w:color="auto"/>
              <w:right w:val="single" w:sz="4" w:space="0" w:color="auto"/>
            </w:tcBorders>
            <w:shd w:val="clear" w:color="auto" w:fill="auto"/>
            <w:noWrap/>
            <w:vAlign w:val="bottom"/>
            <w:hideMark/>
          </w:tcPr>
          <w:p w14:paraId="13543A2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papir</w:t>
            </w:r>
          </w:p>
        </w:tc>
        <w:tc>
          <w:tcPr>
            <w:tcW w:w="1247" w:type="dxa"/>
            <w:tcBorders>
              <w:top w:val="nil"/>
              <w:left w:val="nil"/>
              <w:bottom w:val="single" w:sz="12" w:space="0" w:color="auto"/>
              <w:right w:val="single" w:sz="4" w:space="0" w:color="auto"/>
            </w:tcBorders>
            <w:shd w:val="clear" w:color="auto" w:fill="auto"/>
            <w:noWrap/>
            <w:vAlign w:val="bottom"/>
            <w:hideMark/>
          </w:tcPr>
          <w:p w14:paraId="2146BC1D"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 xml:space="preserve">plastika  </w:t>
            </w:r>
          </w:p>
        </w:tc>
        <w:tc>
          <w:tcPr>
            <w:tcW w:w="1275" w:type="dxa"/>
            <w:tcBorders>
              <w:top w:val="nil"/>
              <w:left w:val="nil"/>
              <w:bottom w:val="single" w:sz="12" w:space="0" w:color="auto"/>
              <w:right w:val="single" w:sz="4" w:space="0" w:color="auto"/>
            </w:tcBorders>
            <w:shd w:val="clear" w:color="auto" w:fill="auto"/>
            <w:noWrap/>
            <w:vAlign w:val="bottom"/>
            <w:hideMark/>
          </w:tcPr>
          <w:p w14:paraId="31AB70E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les</w:t>
            </w:r>
          </w:p>
        </w:tc>
        <w:tc>
          <w:tcPr>
            <w:tcW w:w="1276" w:type="dxa"/>
            <w:tcBorders>
              <w:top w:val="nil"/>
              <w:left w:val="nil"/>
              <w:bottom w:val="single" w:sz="12" w:space="0" w:color="auto"/>
              <w:right w:val="single" w:sz="4" w:space="0" w:color="auto"/>
            </w:tcBorders>
            <w:shd w:val="clear" w:color="auto" w:fill="auto"/>
            <w:noWrap/>
            <w:vAlign w:val="bottom"/>
            <w:hideMark/>
          </w:tcPr>
          <w:p w14:paraId="191691D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tekstil</w:t>
            </w:r>
          </w:p>
        </w:tc>
        <w:tc>
          <w:tcPr>
            <w:tcW w:w="1276" w:type="dxa"/>
            <w:tcBorders>
              <w:top w:val="nil"/>
              <w:left w:val="nil"/>
              <w:bottom w:val="single" w:sz="12" w:space="0" w:color="auto"/>
              <w:right w:val="single" w:sz="12" w:space="0" w:color="auto"/>
            </w:tcBorders>
            <w:shd w:val="clear" w:color="auto" w:fill="auto"/>
            <w:noWrap/>
            <w:vAlign w:val="bottom"/>
            <w:hideMark/>
          </w:tcPr>
          <w:p w14:paraId="11E531E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skupaj</w:t>
            </w:r>
          </w:p>
        </w:tc>
      </w:tr>
      <w:tr w:rsidR="00B74958" w:rsidRPr="00B74958" w14:paraId="52A283CA" w14:textId="77777777" w:rsidTr="00F17B26">
        <w:trPr>
          <w:trHeight w:val="34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0017ACA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izhodiščno leto </w:t>
            </w:r>
            <w:r w:rsidRPr="00B74958">
              <w:rPr>
                <w:rFonts w:ascii="Arial" w:eastAsia="Times New Roman" w:hAnsi="Arial" w:cs="Times New Roman"/>
                <w:b/>
                <w:kern w:val="0"/>
                <w:sz w:val="20"/>
                <w:szCs w:val="24"/>
                <w:vertAlign w:val="superscript"/>
                <w14:ligatures w14:val="none"/>
              </w:rPr>
              <w:t>(a)</w:t>
            </w:r>
          </w:p>
        </w:tc>
        <w:tc>
          <w:tcPr>
            <w:tcW w:w="1220" w:type="dxa"/>
            <w:tcBorders>
              <w:top w:val="nil"/>
              <w:left w:val="nil"/>
              <w:bottom w:val="single" w:sz="4" w:space="0" w:color="auto"/>
              <w:right w:val="single" w:sz="4" w:space="0" w:color="auto"/>
            </w:tcBorders>
            <w:shd w:val="clear" w:color="auto" w:fill="auto"/>
            <w:noWrap/>
            <w:vAlign w:val="bottom"/>
            <w:hideMark/>
          </w:tcPr>
          <w:p w14:paraId="274768B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798943D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21FBA2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4D9FD3C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078D4BD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7B41A847"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3FA6C7A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naslednje leto </w:t>
            </w:r>
            <w:r w:rsidRPr="00B74958">
              <w:rPr>
                <w:rFonts w:ascii="Arial" w:eastAsia="Times New Roman" w:hAnsi="Arial" w:cs="Times New Roman"/>
                <w:b/>
                <w:kern w:val="0"/>
                <w:sz w:val="20"/>
                <w:szCs w:val="24"/>
                <w:vertAlign w:val="superscript"/>
                <w14:ligatures w14:val="none"/>
              </w:rPr>
              <w:t>(b)</w:t>
            </w:r>
            <w:r w:rsidRPr="00B74958">
              <w:rPr>
                <w:rFonts w:ascii="Arial" w:eastAsia="Times New Roman" w:hAnsi="Arial" w:cs="Times New Roman"/>
                <w:b/>
                <w:kern w:val="0"/>
                <w:sz w:val="20"/>
                <w:szCs w:val="24"/>
                <w14:ligatures w14:val="none"/>
              </w:rPr>
              <w:t xml:space="preserve"> </w:t>
            </w:r>
            <w:r w:rsidRPr="00B74958">
              <w:rPr>
                <w:rFonts w:ascii="Arial" w:eastAsia="Times New Roman" w:hAnsi="Arial" w:cs="Times New Roman"/>
                <w:kern w:val="0"/>
                <w:sz w:val="20"/>
                <w:szCs w:val="24"/>
                <w14:ligatures w14:val="none"/>
              </w:rPr>
              <w:t xml:space="preserve"> </w:t>
            </w:r>
          </w:p>
        </w:tc>
        <w:tc>
          <w:tcPr>
            <w:tcW w:w="1220" w:type="dxa"/>
            <w:tcBorders>
              <w:top w:val="nil"/>
              <w:left w:val="nil"/>
              <w:bottom w:val="single" w:sz="4" w:space="0" w:color="auto"/>
              <w:right w:val="single" w:sz="4" w:space="0" w:color="auto"/>
            </w:tcBorders>
            <w:shd w:val="clear" w:color="auto" w:fill="auto"/>
            <w:noWrap/>
            <w:vAlign w:val="bottom"/>
            <w:hideMark/>
          </w:tcPr>
          <w:p w14:paraId="7C473C3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53DF152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303B521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6EC9C6F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4DE23CC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209ABD82"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20E1A8C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prvo leto desetletja </w:t>
            </w:r>
            <w:r w:rsidRPr="00B74958">
              <w:rPr>
                <w:rFonts w:ascii="Arial" w:eastAsia="Times New Roman" w:hAnsi="Arial" w:cs="Times New Roman"/>
                <w:b/>
                <w:kern w:val="0"/>
                <w:sz w:val="20"/>
                <w:szCs w:val="24"/>
                <w:vertAlign w:val="superscript"/>
                <w14:ligatures w14:val="none"/>
              </w:rPr>
              <w:t>(c)</w:t>
            </w:r>
          </w:p>
        </w:tc>
        <w:tc>
          <w:tcPr>
            <w:tcW w:w="1220" w:type="dxa"/>
            <w:tcBorders>
              <w:top w:val="nil"/>
              <w:left w:val="nil"/>
              <w:bottom w:val="single" w:sz="4" w:space="0" w:color="auto"/>
              <w:right w:val="single" w:sz="4" w:space="0" w:color="auto"/>
            </w:tcBorders>
            <w:shd w:val="clear" w:color="auto" w:fill="auto"/>
            <w:noWrap/>
            <w:vAlign w:val="bottom"/>
            <w:hideMark/>
          </w:tcPr>
          <w:p w14:paraId="0C148CE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0B6D11C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725056D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0F21260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05BC371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37400817"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6B64EEA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w:t>
            </w:r>
          </w:p>
        </w:tc>
        <w:tc>
          <w:tcPr>
            <w:tcW w:w="1220" w:type="dxa"/>
            <w:tcBorders>
              <w:top w:val="nil"/>
              <w:left w:val="nil"/>
              <w:bottom w:val="single" w:sz="4" w:space="0" w:color="auto"/>
              <w:right w:val="single" w:sz="4" w:space="0" w:color="auto"/>
            </w:tcBorders>
            <w:shd w:val="clear" w:color="auto" w:fill="auto"/>
            <w:noWrap/>
            <w:vAlign w:val="bottom"/>
          </w:tcPr>
          <w:p w14:paraId="1A237E7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tcPr>
          <w:p w14:paraId="5EB85FB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623DF02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tcPr>
          <w:p w14:paraId="7D33438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tcPr>
          <w:p w14:paraId="32B3D00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7DE63C86"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2E831DA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w:t>
            </w:r>
          </w:p>
        </w:tc>
        <w:tc>
          <w:tcPr>
            <w:tcW w:w="1220" w:type="dxa"/>
            <w:tcBorders>
              <w:top w:val="nil"/>
              <w:left w:val="nil"/>
              <w:bottom w:val="single" w:sz="4" w:space="0" w:color="auto"/>
              <w:right w:val="single" w:sz="4" w:space="0" w:color="auto"/>
            </w:tcBorders>
            <w:shd w:val="clear" w:color="auto" w:fill="auto"/>
            <w:noWrap/>
            <w:vAlign w:val="bottom"/>
          </w:tcPr>
          <w:p w14:paraId="7714FA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tcPr>
          <w:p w14:paraId="7AE4F10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3C00038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tcPr>
          <w:p w14:paraId="6794CF8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tcPr>
          <w:p w14:paraId="52EA345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39C36A9F"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04ACE1D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zadnje leto desetletja </w:t>
            </w:r>
            <w:r w:rsidRPr="00B74958">
              <w:rPr>
                <w:rFonts w:ascii="Arial" w:eastAsia="Times New Roman" w:hAnsi="Arial" w:cs="Times New Roman"/>
                <w:b/>
                <w:kern w:val="0"/>
                <w:sz w:val="20"/>
                <w:szCs w:val="24"/>
                <w:vertAlign w:val="superscript"/>
                <w14:ligatures w14:val="none"/>
              </w:rPr>
              <w:t>(d)</w:t>
            </w:r>
          </w:p>
        </w:tc>
        <w:tc>
          <w:tcPr>
            <w:tcW w:w="1220" w:type="dxa"/>
            <w:tcBorders>
              <w:top w:val="nil"/>
              <w:left w:val="nil"/>
              <w:bottom w:val="single" w:sz="4" w:space="0" w:color="auto"/>
              <w:right w:val="single" w:sz="4" w:space="0" w:color="auto"/>
            </w:tcBorders>
            <w:shd w:val="clear" w:color="auto" w:fill="auto"/>
            <w:noWrap/>
            <w:vAlign w:val="bottom"/>
            <w:hideMark/>
          </w:tcPr>
          <w:p w14:paraId="77616E1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6FC958E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1A6442C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4" w:space="0" w:color="auto"/>
            </w:tcBorders>
            <w:shd w:val="clear" w:color="auto" w:fill="auto"/>
            <w:noWrap/>
            <w:vAlign w:val="bottom"/>
            <w:hideMark/>
          </w:tcPr>
          <w:p w14:paraId="136384D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6BEB37A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bl>
    <w:p w14:paraId="18DE24F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1D3CCAF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(a) </w:t>
      </w:r>
      <w:r w:rsidRPr="00B74958">
        <w:rPr>
          <w:rFonts w:ascii="Arial" w:eastAsia="Times New Roman" w:hAnsi="Arial" w:cs="Times New Roman"/>
          <w:kern w:val="0"/>
          <w:sz w:val="20"/>
          <w:szCs w:val="24"/>
          <w14:ligatures w14:val="none"/>
        </w:rPr>
        <w:t>izhodiščno leto za izračun scenarijev razvoja ravnanja s komunalnimi odpadki,</w:t>
      </w:r>
    </w:p>
    <w:p w14:paraId="4043E25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(b)</w:t>
      </w:r>
      <w:r w:rsidRPr="00B74958">
        <w:rPr>
          <w:rFonts w:ascii="Arial" w:eastAsia="Times New Roman" w:hAnsi="Arial" w:cs="Times New Roman"/>
          <w:kern w:val="0"/>
          <w:sz w:val="20"/>
          <w:szCs w:val="24"/>
          <w14:ligatures w14:val="none"/>
        </w:rPr>
        <w:t xml:space="preserve"> naslednje leto je leto, za katerega je določena največja letna količina gorljivih sestavin komunalnih odpadkov,</w:t>
      </w:r>
    </w:p>
    <w:p w14:paraId="074DFCD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(c) </w:t>
      </w:r>
      <w:r w:rsidRPr="00B74958">
        <w:rPr>
          <w:rFonts w:ascii="Arial" w:eastAsia="Times New Roman" w:hAnsi="Arial" w:cs="Times New Roman"/>
          <w:kern w:val="0"/>
          <w:sz w:val="20"/>
          <w:szCs w:val="24"/>
          <w14:ligatures w14:val="none"/>
        </w:rPr>
        <w:t>prvo leto desetletja po letu, za katerega je določena največja letna količina gorljivih sestavin komunalnih odđadkov,</w:t>
      </w:r>
    </w:p>
    <w:p w14:paraId="55E8AB0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(d) </w:t>
      </w:r>
      <w:r w:rsidRPr="00B74958">
        <w:rPr>
          <w:rFonts w:ascii="Arial" w:eastAsia="Times New Roman" w:hAnsi="Arial" w:cs="Times New Roman"/>
          <w:kern w:val="0"/>
          <w:sz w:val="20"/>
          <w:szCs w:val="24"/>
          <w14:ligatures w14:val="none"/>
        </w:rPr>
        <w:t>zadnje leto desetletja po letu, za katerega je določena največja letna količina gorljivih sestavin komunalnih odpadkov.</w:t>
      </w:r>
    </w:p>
    <w:p w14:paraId="59F601D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DB2385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bookmarkEnd w:id="34"/>
    <w:p w14:paraId="4928AFF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4. del - </w:t>
      </w:r>
      <w:r w:rsidRPr="00B74958">
        <w:rPr>
          <w:rFonts w:ascii="Arial" w:eastAsia="Times New Roman" w:hAnsi="Arial" w:cs="Times New Roman"/>
          <w:kern w:val="0"/>
          <w:sz w:val="20"/>
          <w:szCs w:val="24"/>
          <w14:ligatures w14:val="none"/>
        </w:rPr>
        <w:t>največja letna količina gorljivih sestavin, ki nastanejo po mehanski obdelavi ločeno zbranih frakcij komunalnih odpadkov, ki so zbrani izven okvira storitev občinske javne službe zbiranja komunalnih odpadkov, in se lahko sežigajo kot posebna storitev državne javne službe, je v tekočem letu za naslednje leto navedena v obliki in s podatki iz spodnje tabele.</w:t>
      </w:r>
    </w:p>
    <w:p w14:paraId="38F32CF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bl>
      <w:tblPr>
        <w:tblW w:w="6258" w:type="dxa"/>
        <w:tblInd w:w="85" w:type="dxa"/>
        <w:tblCellMar>
          <w:left w:w="70" w:type="dxa"/>
          <w:right w:w="70" w:type="dxa"/>
        </w:tblCellMar>
        <w:tblLook w:val="04A0" w:firstRow="1" w:lastRow="0" w:firstColumn="1" w:lastColumn="0" w:noHBand="0" w:noVBand="1"/>
      </w:tblPr>
      <w:tblGrid>
        <w:gridCol w:w="1340"/>
        <w:gridCol w:w="1263"/>
        <w:gridCol w:w="1263"/>
        <w:gridCol w:w="1275"/>
        <w:gridCol w:w="1276"/>
      </w:tblGrid>
      <w:tr w:rsidR="00B74958" w:rsidRPr="00B74958" w14:paraId="621B712E" w14:textId="77777777" w:rsidTr="00F17B26">
        <w:trPr>
          <w:trHeight w:val="1800"/>
        </w:trPr>
        <w:tc>
          <w:tcPr>
            <w:tcW w:w="1240" w:type="dxa"/>
            <w:tcBorders>
              <w:top w:val="single" w:sz="12" w:space="0" w:color="auto"/>
              <w:left w:val="single" w:sz="12" w:space="0" w:color="auto"/>
              <w:bottom w:val="nil"/>
              <w:right w:val="single" w:sz="12" w:space="0" w:color="auto"/>
            </w:tcBorders>
            <w:shd w:val="clear" w:color="auto" w:fill="auto"/>
            <w:vAlign w:val="bottom"/>
            <w:hideMark/>
          </w:tcPr>
          <w:p w14:paraId="6411975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w:t>
            </w:r>
          </w:p>
        </w:tc>
        <w:tc>
          <w:tcPr>
            <w:tcW w:w="1220" w:type="dxa"/>
            <w:tcBorders>
              <w:top w:val="single" w:sz="12" w:space="0" w:color="auto"/>
              <w:left w:val="nil"/>
              <w:bottom w:val="nil"/>
              <w:right w:val="single" w:sz="4" w:space="0" w:color="auto"/>
            </w:tcBorders>
            <w:shd w:val="clear" w:color="auto" w:fill="auto"/>
            <w:vAlign w:val="bottom"/>
            <w:hideMark/>
          </w:tcPr>
          <w:p w14:paraId="11E8A02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največja količina goriva iz obdelave izven občinske JS ločeno zbranih komunalnih odpadkov</w:t>
            </w:r>
          </w:p>
          <w:p w14:paraId="2453E78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47" w:type="dxa"/>
            <w:tcBorders>
              <w:top w:val="single" w:sz="12" w:space="0" w:color="auto"/>
              <w:left w:val="nil"/>
              <w:bottom w:val="nil"/>
              <w:right w:val="single" w:sz="4" w:space="0" w:color="auto"/>
            </w:tcBorders>
            <w:shd w:val="clear" w:color="auto" w:fill="auto"/>
            <w:vAlign w:val="bottom"/>
            <w:hideMark/>
          </w:tcPr>
          <w:p w14:paraId="41E71D0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količina goriva iz obdelave izven občinske JS ločeno zbranih komunalnih odpadkov</w:t>
            </w:r>
          </w:p>
          <w:p w14:paraId="5A52A68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5" w:type="dxa"/>
            <w:tcBorders>
              <w:top w:val="single" w:sz="12" w:space="0" w:color="auto"/>
              <w:left w:val="nil"/>
              <w:bottom w:val="nil"/>
              <w:right w:val="single" w:sz="4" w:space="0" w:color="auto"/>
            </w:tcBorders>
            <w:shd w:val="clear" w:color="auto" w:fill="auto"/>
            <w:vAlign w:val="bottom"/>
            <w:hideMark/>
          </w:tcPr>
          <w:p w14:paraId="2FCC9B2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količina goriva iz obdelave izven občinske JS ločeno zbranih komunalnih odpadkov</w:t>
            </w:r>
          </w:p>
          <w:p w14:paraId="576A2EB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c>
          <w:tcPr>
            <w:tcW w:w="1276" w:type="dxa"/>
            <w:tcBorders>
              <w:top w:val="single" w:sz="12" w:space="0" w:color="auto"/>
              <w:left w:val="nil"/>
              <w:bottom w:val="nil"/>
              <w:right w:val="single" w:sz="4" w:space="0" w:color="auto"/>
            </w:tcBorders>
            <w:shd w:val="clear" w:color="auto" w:fill="auto"/>
            <w:vAlign w:val="bottom"/>
            <w:hideMark/>
          </w:tcPr>
          <w:p w14:paraId="1F90129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največja količina goriva iz obdelave izven občinske JS ločeno zbranih komunalnih odpadkov</w:t>
            </w:r>
          </w:p>
          <w:p w14:paraId="7526872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(t/leto)</w:t>
            </w:r>
          </w:p>
        </w:tc>
      </w:tr>
      <w:tr w:rsidR="00B74958" w:rsidRPr="00B74958" w14:paraId="3CC92DEE" w14:textId="77777777" w:rsidTr="00F17B26">
        <w:trPr>
          <w:trHeight w:val="345"/>
        </w:trPr>
        <w:tc>
          <w:tcPr>
            <w:tcW w:w="1240" w:type="dxa"/>
            <w:tcBorders>
              <w:top w:val="nil"/>
              <w:left w:val="single" w:sz="12" w:space="0" w:color="auto"/>
              <w:bottom w:val="single" w:sz="12" w:space="0" w:color="auto"/>
              <w:right w:val="single" w:sz="12" w:space="0" w:color="auto"/>
            </w:tcBorders>
            <w:shd w:val="clear" w:color="auto" w:fill="auto"/>
            <w:noWrap/>
            <w:vAlign w:val="bottom"/>
            <w:hideMark/>
          </w:tcPr>
          <w:p w14:paraId="51D1CA5A"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Leto</w:t>
            </w:r>
          </w:p>
        </w:tc>
        <w:tc>
          <w:tcPr>
            <w:tcW w:w="1220" w:type="dxa"/>
            <w:tcBorders>
              <w:top w:val="nil"/>
              <w:left w:val="single" w:sz="12" w:space="0" w:color="auto"/>
              <w:bottom w:val="single" w:sz="12" w:space="0" w:color="auto"/>
              <w:right w:val="single" w:sz="4" w:space="0" w:color="auto"/>
            </w:tcBorders>
            <w:shd w:val="clear" w:color="auto" w:fill="auto"/>
            <w:noWrap/>
            <w:vAlign w:val="bottom"/>
            <w:hideMark/>
          </w:tcPr>
          <w:p w14:paraId="784CB3F6"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papir</w:t>
            </w:r>
          </w:p>
        </w:tc>
        <w:tc>
          <w:tcPr>
            <w:tcW w:w="1247" w:type="dxa"/>
            <w:tcBorders>
              <w:top w:val="nil"/>
              <w:left w:val="nil"/>
              <w:bottom w:val="single" w:sz="12" w:space="0" w:color="auto"/>
              <w:right w:val="single" w:sz="4" w:space="0" w:color="auto"/>
            </w:tcBorders>
            <w:shd w:val="clear" w:color="auto" w:fill="auto"/>
            <w:noWrap/>
            <w:vAlign w:val="bottom"/>
            <w:hideMark/>
          </w:tcPr>
          <w:p w14:paraId="31A0D955"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 xml:space="preserve">plastika  </w:t>
            </w:r>
          </w:p>
        </w:tc>
        <w:tc>
          <w:tcPr>
            <w:tcW w:w="1275" w:type="dxa"/>
            <w:tcBorders>
              <w:top w:val="nil"/>
              <w:left w:val="nil"/>
              <w:bottom w:val="single" w:sz="12" w:space="0" w:color="auto"/>
              <w:right w:val="single" w:sz="4" w:space="0" w:color="auto"/>
            </w:tcBorders>
            <w:shd w:val="clear" w:color="auto" w:fill="auto"/>
            <w:noWrap/>
            <w:vAlign w:val="bottom"/>
            <w:hideMark/>
          </w:tcPr>
          <w:p w14:paraId="02BE5A3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les</w:t>
            </w:r>
          </w:p>
        </w:tc>
        <w:tc>
          <w:tcPr>
            <w:tcW w:w="1276" w:type="dxa"/>
            <w:tcBorders>
              <w:top w:val="nil"/>
              <w:left w:val="nil"/>
              <w:bottom w:val="single" w:sz="12" w:space="0" w:color="auto"/>
              <w:right w:val="single" w:sz="12" w:space="0" w:color="auto"/>
            </w:tcBorders>
            <w:shd w:val="clear" w:color="auto" w:fill="auto"/>
            <w:noWrap/>
            <w:vAlign w:val="bottom"/>
            <w:hideMark/>
          </w:tcPr>
          <w:p w14:paraId="5B96A1C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lang w:val="en-US"/>
                <w14:ligatures w14:val="none"/>
              </w:rPr>
            </w:pPr>
            <w:r w:rsidRPr="00B74958">
              <w:rPr>
                <w:rFonts w:ascii="Arial" w:eastAsia="Times New Roman" w:hAnsi="Arial" w:cs="Times New Roman"/>
                <w:b/>
                <w:kern w:val="0"/>
                <w:sz w:val="20"/>
                <w:szCs w:val="24"/>
                <w14:ligatures w14:val="none"/>
              </w:rPr>
              <w:t>skupaj</w:t>
            </w:r>
          </w:p>
        </w:tc>
      </w:tr>
      <w:tr w:rsidR="00B74958" w:rsidRPr="00B74958" w14:paraId="1ED26B07" w14:textId="77777777" w:rsidTr="00F17B26">
        <w:trPr>
          <w:trHeight w:val="34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0CF3DDC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izhodiščno leto </w:t>
            </w:r>
            <w:r w:rsidRPr="00B74958">
              <w:rPr>
                <w:rFonts w:ascii="Arial" w:eastAsia="Times New Roman" w:hAnsi="Arial" w:cs="Times New Roman"/>
                <w:b/>
                <w:kern w:val="0"/>
                <w:sz w:val="20"/>
                <w:szCs w:val="24"/>
                <w:vertAlign w:val="superscript"/>
                <w14:ligatures w14:val="none"/>
              </w:rPr>
              <w:t>(a)</w:t>
            </w:r>
          </w:p>
        </w:tc>
        <w:tc>
          <w:tcPr>
            <w:tcW w:w="1220" w:type="dxa"/>
            <w:tcBorders>
              <w:top w:val="nil"/>
              <w:left w:val="nil"/>
              <w:bottom w:val="single" w:sz="4" w:space="0" w:color="auto"/>
              <w:right w:val="single" w:sz="4" w:space="0" w:color="auto"/>
            </w:tcBorders>
            <w:shd w:val="clear" w:color="auto" w:fill="auto"/>
            <w:noWrap/>
            <w:vAlign w:val="bottom"/>
            <w:hideMark/>
          </w:tcPr>
          <w:p w14:paraId="028EE3D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3EC8A2A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3215975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015B18C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3B276BF9"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0960B221"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naslednje leto </w:t>
            </w:r>
            <w:r w:rsidRPr="00B74958">
              <w:rPr>
                <w:rFonts w:ascii="Arial" w:eastAsia="Times New Roman" w:hAnsi="Arial" w:cs="Times New Roman"/>
                <w:b/>
                <w:kern w:val="0"/>
                <w:sz w:val="20"/>
                <w:szCs w:val="24"/>
                <w:vertAlign w:val="superscript"/>
                <w14:ligatures w14:val="none"/>
              </w:rPr>
              <w:t>(b)</w:t>
            </w:r>
            <w:r w:rsidRPr="00B74958">
              <w:rPr>
                <w:rFonts w:ascii="Arial" w:eastAsia="Times New Roman" w:hAnsi="Arial" w:cs="Times New Roman"/>
                <w:b/>
                <w:kern w:val="0"/>
                <w:sz w:val="20"/>
                <w:szCs w:val="24"/>
                <w14:ligatures w14:val="none"/>
              </w:rPr>
              <w:t xml:space="preserve"> </w:t>
            </w:r>
            <w:r w:rsidRPr="00B74958">
              <w:rPr>
                <w:rFonts w:ascii="Arial" w:eastAsia="Times New Roman" w:hAnsi="Arial" w:cs="Times New Roman"/>
                <w:kern w:val="0"/>
                <w:sz w:val="20"/>
                <w:szCs w:val="24"/>
                <w14:ligatures w14:val="none"/>
              </w:rPr>
              <w:t xml:space="preserve"> </w:t>
            </w:r>
          </w:p>
        </w:tc>
        <w:tc>
          <w:tcPr>
            <w:tcW w:w="1220" w:type="dxa"/>
            <w:tcBorders>
              <w:top w:val="nil"/>
              <w:left w:val="nil"/>
              <w:bottom w:val="single" w:sz="4" w:space="0" w:color="auto"/>
              <w:right w:val="single" w:sz="4" w:space="0" w:color="auto"/>
            </w:tcBorders>
            <w:shd w:val="clear" w:color="auto" w:fill="auto"/>
            <w:noWrap/>
            <w:vAlign w:val="bottom"/>
            <w:hideMark/>
          </w:tcPr>
          <w:p w14:paraId="5D9E5F0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1FAFCF1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36A7A095"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57C8531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0198099A"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7265FD2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prvo leto desetletja </w:t>
            </w:r>
            <w:r w:rsidRPr="00B74958">
              <w:rPr>
                <w:rFonts w:ascii="Arial" w:eastAsia="Times New Roman" w:hAnsi="Arial" w:cs="Times New Roman"/>
                <w:b/>
                <w:kern w:val="0"/>
                <w:sz w:val="20"/>
                <w:szCs w:val="24"/>
                <w:vertAlign w:val="superscript"/>
                <w14:ligatures w14:val="none"/>
              </w:rPr>
              <w:t>(c)</w:t>
            </w:r>
          </w:p>
        </w:tc>
        <w:tc>
          <w:tcPr>
            <w:tcW w:w="1220" w:type="dxa"/>
            <w:tcBorders>
              <w:top w:val="nil"/>
              <w:left w:val="nil"/>
              <w:bottom w:val="single" w:sz="4" w:space="0" w:color="auto"/>
              <w:right w:val="single" w:sz="4" w:space="0" w:color="auto"/>
            </w:tcBorders>
            <w:shd w:val="clear" w:color="auto" w:fill="auto"/>
            <w:noWrap/>
            <w:vAlign w:val="bottom"/>
            <w:hideMark/>
          </w:tcPr>
          <w:p w14:paraId="4DADCF3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1FF3F34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6CC8093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51172FF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16F212E1"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40B4F78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w:t>
            </w:r>
          </w:p>
        </w:tc>
        <w:tc>
          <w:tcPr>
            <w:tcW w:w="1220" w:type="dxa"/>
            <w:tcBorders>
              <w:top w:val="nil"/>
              <w:left w:val="nil"/>
              <w:bottom w:val="single" w:sz="4" w:space="0" w:color="auto"/>
              <w:right w:val="single" w:sz="4" w:space="0" w:color="auto"/>
            </w:tcBorders>
            <w:shd w:val="clear" w:color="auto" w:fill="auto"/>
            <w:noWrap/>
            <w:vAlign w:val="bottom"/>
          </w:tcPr>
          <w:p w14:paraId="798860F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tcPr>
          <w:p w14:paraId="7FFDADA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41FB3D6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tcPr>
          <w:p w14:paraId="5E70582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40334AE7"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tcPr>
          <w:p w14:paraId="5FCB053F"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w:t>
            </w:r>
          </w:p>
        </w:tc>
        <w:tc>
          <w:tcPr>
            <w:tcW w:w="1220" w:type="dxa"/>
            <w:tcBorders>
              <w:top w:val="nil"/>
              <w:left w:val="nil"/>
              <w:bottom w:val="single" w:sz="4" w:space="0" w:color="auto"/>
              <w:right w:val="single" w:sz="4" w:space="0" w:color="auto"/>
            </w:tcBorders>
            <w:shd w:val="clear" w:color="auto" w:fill="auto"/>
            <w:noWrap/>
            <w:vAlign w:val="bottom"/>
          </w:tcPr>
          <w:p w14:paraId="0A9534F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tcPr>
          <w:p w14:paraId="191E34A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tcPr>
          <w:p w14:paraId="36D7091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tcPr>
          <w:p w14:paraId="7283AA90"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r w:rsidR="00B74958" w:rsidRPr="00B74958" w14:paraId="45DE9F58" w14:textId="77777777" w:rsidTr="00F17B26">
        <w:trPr>
          <w:trHeight w:val="34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0ACD4BAD"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 xml:space="preserve">zadnje leto desetletja </w:t>
            </w:r>
            <w:r w:rsidRPr="00B74958">
              <w:rPr>
                <w:rFonts w:ascii="Arial" w:eastAsia="Times New Roman" w:hAnsi="Arial" w:cs="Times New Roman"/>
                <w:b/>
                <w:kern w:val="0"/>
                <w:sz w:val="20"/>
                <w:szCs w:val="24"/>
                <w:vertAlign w:val="superscript"/>
                <w14:ligatures w14:val="none"/>
              </w:rPr>
              <w:t>(d)</w:t>
            </w:r>
          </w:p>
        </w:tc>
        <w:tc>
          <w:tcPr>
            <w:tcW w:w="1220" w:type="dxa"/>
            <w:tcBorders>
              <w:top w:val="nil"/>
              <w:left w:val="nil"/>
              <w:bottom w:val="single" w:sz="4" w:space="0" w:color="auto"/>
              <w:right w:val="single" w:sz="4" w:space="0" w:color="auto"/>
            </w:tcBorders>
            <w:shd w:val="clear" w:color="auto" w:fill="auto"/>
            <w:noWrap/>
            <w:vAlign w:val="bottom"/>
            <w:hideMark/>
          </w:tcPr>
          <w:p w14:paraId="00DCD17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47" w:type="dxa"/>
            <w:tcBorders>
              <w:top w:val="nil"/>
              <w:left w:val="nil"/>
              <w:bottom w:val="single" w:sz="4" w:space="0" w:color="auto"/>
              <w:right w:val="single" w:sz="4" w:space="0" w:color="auto"/>
            </w:tcBorders>
            <w:shd w:val="clear" w:color="auto" w:fill="auto"/>
            <w:noWrap/>
            <w:vAlign w:val="bottom"/>
            <w:hideMark/>
          </w:tcPr>
          <w:p w14:paraId="325C7CC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5" w:type="dxa"/>
            <w:tcBorders>
              <w:top w:val="nil"/>
              <w:left w:val="nil"/>
              <w:bottom w:val="single" w:sz="4" w:space="0" w:color="auto"/>
              <w:right w:val="single" w:sz="4" w:space="0" w:color="auto"/>
            </w:tcBorders>
            <w:shd w:val="clear" w:color="auto" w:fill="auto"/>
            <w:noWrap/>
            <w:vAlign w:val="bottom"/>
            <w:hideMark/>
          </w:tcPr>
          <w:p w14:paraId="212AA64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tc>
        <w:tc>
          <w:tcPr>
            <w:tcW w:w="1276" w:type="dxa"/>
            <w:tcBorders>
              <w:top w:val="nil"/>
              <w:left w:val="nil"/>
              <w:bottom w:val="single" w:sz="4" w:space="0" w:color="auto"/>
              <w:right w:val="single" w:sz="12" w:space="0" w:color="auto"/>
            </w:tcBorders>
            <w:shd w:val="clear" w:color="auto" w:fill="auto"/>
            <w:noWrap/>
            <w:vAlign w:val="bottom"/>
            <w:hideMark/>
          </w:tcPr>
          <w:p w14:paraId="7C398635"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c>
      </w:tr>
    </w:tbl>
    <w:p w14:paraId="0893CD6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293BF1D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(a) </w:t>
      </w:r>
      <w:r w:rsidRPr="00B74958">
        <w:rPr>
          <w:rFonts w:ascii="Arial" w:eastAsia="Times New Roman" w:hAnsi="Arial" w:cs="Times New Roman"/>
          <w:kern w:val="0"/>
          <w:sz w:val="20"/>
          <w:szCs w:val="24"/>
          <w14:ligatures w14:val="none"/>
        </w:rPr>
        <w:t>izhodiščno leto za izračun scenarijev razvoja ravnanja s komunalnimi odpadki,</w:t>
      </w:r>
    </w:p>
    <w:p w14:paraId="7BB97D8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(b)</w:t>
      </w:r>
      <w:r w:rsidRPr="00B74958">
        <w:rPr>
          <w:rFonts w:ascii="Arial" w:eastAsia="Times New Roman" w:hAnsi="Arial" w:cs="Times New Roman"/>
          <w:kern w:val="0"/>
          <w:sz w:val="20"/>
          <w:szCs w:val="24"/>
          <w14:ligatures w14:val="none"/>
        </w:rPr>
        <w:t xml:space="preserve"> naslednje leto je leto, za katerega je določena največja letna količina gorljivih sestavin komunalnih odpadkov,</w:t>
      </w:r>
    </w:p>
    <w:p w14:paraId="1611754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(c) </w:t>
      </w:r>
      <w:r w:rsidRPr="00B74958">
        <w:rPr>
          <w:rFonts w:ascii="Arial" w:eastAsia="Times New Roman" w:hAnsi="Arial" w:cs="Times New Roman"/>
          <w:kern w:val="0"/>
          <w:sz w:val="20"/>
          <w:szCs w:val="24"/>
          <w14:ligatures w14:val="none"/>
        </w:rPr>
        <w:t>prvo leto desetletja po letu, za katerega je določena največja letna količina gorljivih sestavin komunalnih odđadkov,</w:t>
      </w:r>
    </w:p>
    <w:p w14:paraId="36CC87A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vertAlign w:val="superscript"/>
          <w14:ligatures w14:val="none"/>
        </w:rPr>
        <w:t xml:space="preserve">(d) </w:t>
      </w:r>
      <w:r w:rsidRPr="00B74958">
        <w:rPr>
          <w:rFonts w:ascii="Arial" w:eastAsia="Times New Roman" w:hAnsi="Arial" w:cs="Times New Roman"/>
          <w:kern w:val="0"/>
          <w:sz w:val="20"/>
          <w:szCs w:val="24"/>
          <w14:ligatures w14:val="none"/>
        </w:rPr>
        <w:t>zadnje leto desetletja po letu, za katerega je določena največja letna količina gorljivih sestavin komunalnih odpadkov.</w:t>
      </w:r>
    </w:p>
    <w:p w14:paraId="5F7CABE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4CDB39B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5. del – </w:t>
      </w:r>
      <w:r w:rsidRPr="00B74958">
        <w:rPr>
          <w:rFonts w:ascii="Arial" w:eastAsia="Times New Roman" w:hAnsi="Arial" w:cs="Times New Roman"/>
          <w:kern w:val="0"/>
          <w:sz w:val="20"/>
          <w:szCs w:val="24"/>
          <w14:ligatures w14:val="none"/>
        </w:rPr>
        <w:t xml:space="preserve">grafični prikaz predvidenga izpolnjevanja ciljev recikliranja odpadkov iz </w:t>
      </w:r>
      <w:r w:rsidRPr="00B74958">
        <w:rPr>
          <w:rFonts w:ascii="Arial" w:eastAsia="Times New Roman" w:hAnsi="Arial" w:cs="Times New Roman"/>
          <w:i/>
          <w:kern w:val="0"/>
          <w:sz w:val="20"/>
          <w:szCs w:val="24"/>
          <w14:ligatures w14:val="none"/>
        </w:rPr>
        <w:t>Direktive 2008/98/ES</w:t>
      </w:r>
      <w:r w:rsidRPr="00B74958">
        <w:rPr>
          <w:rFonts w:ascii="Arial" w:eastAsia="Times New Roman" w:hAnsi="Arial" w:cs="Times New Roman"/>
          <w:kern w:val="0"/>
          <w:sz w:val="20"/>
          <w:szCs w:val="24"/>
          <w14:ligatures w14:val="none"/>
        </w:rPr>
        <w:t xml:space="preserve">, ki se nanašajo na komunalne odpadke, ter ciljev recikliranja celotne odpadne embalaže in odpadne embalaže iz papirja, plastike in lesa iz </w:t>
      </w:r>
      <w:r w:rsidRPr="00B74958">
        <w:rPr>
          <w:rFonts w:ascii="Arial" w:eastAsia="Times New Roman" w:hAnsi="Arial" w:cs="Times New Roman"/>
          <w:i/>
          <w:kern w:val="0"/>
          <w:sz w:val="20"/>
          <w:szCs w:val="24"/>
          <w14:ligatures w14:val="none"/>
        </w:rPr>
        <w:t>Uredbe (EU) 2024/NN/EU</w:t>
      </w:r>
      <w:r w:rsidRPr="00B74958">
        <w:rPr>
          <w:rFonts w:ascii="Arial" w:eastAsia="Times New Roman" w:hAnsi="Arial" w:cs="Times New Roman"/>
          <w:kern w:val="0"/>
          <w:sz w:val="20"/>
          <w:szCs w:val="24"/>
          <w14:ligatures w14:val="none"/>
        </w:rPr>
        <w:t>.</w:t>
      </w:r>
    </w:p>
    <w:p w14:paraId="114142C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FAB68F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b/>
          <w:kern w:val="0"/>
          <w:sz w:val="20"/>
          <w:szCs w:val="24"/>
          <w14:ligatures w14:val="none"/>
        </w:rPr>
        <w:t xml:space="preserve">6. del – </w:t>
      </w:r>
      <w:r w:rsidRPr="00B74958">
        <w:rPr>
          <w:rFonts w:ascii="Arial" w:eastAsia="Times New Roman" w:hAnsi="Arial" w:cs="Times New Roman"/>
          <w:kern w:val="0"/>
          <w:sz w:val="20"/>
          <w:szCs w:val="24"/>
          <w14:ligatures w14:val="none"/>
        </w:rPr>
        <w:t>grafični prikaz scenarija največjih letnih količin gorljivih sestavin, ki nastanejo po mehanski obdelavi komunalnih odpadkov, ki so zbrani v okviru občinske javne službe zbiranja komunalnih odpadkov, in se sežigajo v sežigalnicah državne javne službe kot storitev državne javne službe za obdobje najmanj naslednjih 10 let po letu, za katerega so določene največje letne količine gorljivih sestavin.</w:t>
      </w:r>
    </w:p>
    <w:p w14:paraId="3DE7A18E"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7A2D90C9"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411864CF" w14:textId="77777777" w:rsidR="00B74958" w:rsidRPr="00B74958" w:rsidRDefault="00B74958" w:rsidP="00B74958">
      <w:pPr>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br w:type="page"/>
      </w:r>
    </w:p>
    <w:p w14:paraId="5FE0215B"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PRILOGA 3</w:t>
      </w:r>
    </w:p>
    <w:p w14:paraId="346C76D4"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40176387"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Obseg podatkov, ki jih morajo poročati izvajalci mehanske obdelave komunalnih odpadkov v informacijski sistem okolja</w:t>
      </w:r>
    </w:p>
    <w:p w14:paraId="5C521AF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noProof/>
          <w:kern w:val="0"/>
          <w:sz w:val="20"/>
          <w:szCs w:val="24"/>
          <w:lang w:val="en-US"/>
          <w14:ligatures w14:val="none"/>
        </w:rPr>
        <w:drawing>
          <wp:inline distT="0" distB="0" distL="0" distR="0" wp14:anchorId="12C2D3B8" wp14:editId="5740EA52">
            <wp:extent cx="4587875" cy="2991485"/>
            <wp:effectExtent l="0" t="0" r="0" b="0"/>
            <wp:docPr id="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87875" cy="2991485"/>
                    </a:xfrm>
                    <a:prstGeom prst="rect">
                      <a:avLst/>
                    </a:prstGeom>
                    <a:noFill/>
                    <a:ln>
                      <a:noFill/>
                    </a:ln>
                  </pic:spPr>
                </pic:pic>
              </a:graphicData>
            </a:graphic>
          </wp:inline>
        </w:drawing>
      </w:r>
    </w:p>
    <w:p w14:paraId="54E074C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lang w:val="en-US"/>
          <w14:ligatures w14:val="none"/>
        </w:rPr>
      </w:pPr>
      <w:r w:rsidRPr="00B74958">
        <w:rPr>
          <w:rFonts w:ascii="Arial" w:eastAsia="Times New Roman" w:hAnsi="Arial" w:cs="Times New Roman"/>
          <w:kern w:val="0"/>
          <w:sz w:val="20"/>
          <w:szCs w:val="24"/>
          <w14:ligatures w14:val="none"/>
        </w:rPr>
        <w:t>Izvajalci mehanske obdelave dnevno poročajo v informacijski sistem okolja o pošiljkah odpadkov:</w:t>
      </w:r>
    </w:p>
    <w:p w14:paraId="41ECDF5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740FFC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 ki jih prevzamejo v mehansko obdelavo od izvajalcev storitev občinske javne službe zbiranja komunalnih odpadkov;</w:t>
      </w:r>
    </w:p>
    <w:p w14:paraId="53A1095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(b) ki jih prevzamejo v mehansko obdelavo od zbiralcev odpadkov, ki v imenu in za račun „organizacije, pristojne za odgovornost proizvajalcev“ (PRO organizacija) zbirajo odpadno embalažo, ki nastaja zaradi izvajanja trgovinske in turistične dejavnosti;</w:t>
      </w:r>
    </w:p>
    <w:p w14:paraId="63F1756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(c) </w:t>
      </w:r>
      <w:bookmarkStart w:id="35" w:name="_Hlk177312792"/>
      <w:r w:rsidRPr="00B74958">
        <w:rPr>
          <w:rFonts w:ascii="Arial" w:eastAsia="Times New Roman" w:hAnsi="Arial" w:cs="Times New Roman"/>
          <w:kern w:val="0"/>
          <w:sz w:val="20"/>
          <w:szCs w:val="24"/>
          <w14:ligatures w14:val="none"/>
        </w:rPr>
        <w:t>ki jih oddajo v recikliranje ali v pripravo za ponovno uporabo, razvrščene po velikosti ali drugih fizikalnih lastnostih ali vrstah materialov, kot</w:t>
      </w:r>
      <w:bookmarkEnd w:id="35"/>
      <w:r w:rsidRPr="00B74958">
        <w:rPr>
          <w:rFonts w:ascii="Arial" w:eastAsia="Times New Roman" w:hAnsi="Arial" w:cs="Times New Roman"/>
          <w:kern w:val="0"/>
          <w:sz w:val="20"/>
          <w:szCs w:val="24"/>
          <w14:ligatures w14:val="none"/>
        </w:rPr>
        <w:t xml:space="preserve"> odpadke iz papirja, plastike, kovin, stekla, lesa in tekstila iz podskupine odpadkov s številko 19 12, če gre za mehansko obdelavo ločeno zbranih frakcij komunalnih odpadkov iz papirja, plastike, kovin, stekla, lesa in tekstila iz podskupin odpadkov s številko 20 01 in 15 01;</w:t>
      </w:r>
    </w:p>
    <w:p w14:paraId="4132B05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(d) ki jih oddajo v recikliranje ali v pripravo za ponovno uporabo, razvrščene po velikosti ali drugih fizikalnih lastnostih ali vrstah materialov, kot odpadke iz papirja, plastike, kovin, stekla in tekstila iz podskupine odpadkov s številko 19 12, če gre za mehansko obdelavo kompozitne embalaže in mešane embalaže;</w:t>
      </w:r>
    </w:p>
    <w:p w14:paraId="50A4AA7D"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(e) ki jih oddajo v recikliranje kot odpadke iz papirja, plastike, kovin, stekla, lesa, tekstila in mineralov iz podskupine odpadkov s številko 19 12, če gre za mehansko obdelavo mešanih komunalnih odpadkov in kosovnih odpadkov;</w:t>
      </w:r>
    </w:p>
    <w:p w14:paraId="582D5AE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(f) ki jih oddajo v odlaganje kot odpadke iz mineralov s številko 19 12 09, če so nastali po mehanski obdelavi mešanih komunalnih odpadkov in kosovnih odpadkov;</w:t>
      </w:r>
    </w:p>
    <w:p w14:paraId="5F05DD9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(g) ki jih oddajo v biološko aerobno ali anaerobno obdelavo zaradi biološke stabilizacije pred odlaganjem kot mešane komunalne odpadke po njihovi mehanski obdelavi; </w:t>
      </w:r>
    </w:p>
    <w:p w14:paraId="7F1292C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(h) ki jih oddajo v sežig izvajalcu državne javne službe kot gorljivo sestavino komunalnih odpadkov, ki ni reciklabilna in ni primerna za ponovno uporabo in nastane po </w:t>
      </w:r>
      <w:bookmarkStart w:id="36" w:name="_Hlk177319131"/>
      <w:r w:rsidRPr="00B74958">
        <w:rPr>
          <w:rFonts w:ascii="Arial" w:eastAsia="Times New Roman" w:hAnsi="Arial" w:cs="Times New Roman"/>
          <w:kern w:val="0"/>
          <w:sz w:val="20"/>
          <w:szCs w:val="24"/>
          <w14:ligatures w14:val="none"/>
        </w:rPr>
        <w:t xml:space="preserve">mehanski obdelavi komunalnih odpadkov </w:t>
      </w:r>
      <w:bookmarkEnd w:id="36"/>
      <w:r w:rsidRPr="00B74958">
        <w:rPr>
          <w:rFonts w:ascii="Arial" w:eastAsia="Times New Roman" w:hAnsi="Arial" w:cs="Times New Roman"/>
          <w:kern w:val="0"/>
          <w:sz w:val="20"/>
          <w:szCs w:val="24"/>
          <w14:ligatures w14:val="none"/>
        </w:rPr>
        <w:t>iz točke (c), (d) in (e) tega odstavka,</w:t>
      </w:r>
    </w:p>
    <w:p w14:paraId="069549C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(i) ki jih oddajo v sežigalnice, ki jih ne upravljajo izvajalci državne javne službe, kot gorljivo sestavino komunalnih odpadkov, ki ni reciklabilna in ni primerna za ponovno uporabo in nastane po mehanski obdelavi odpadne enbalaže iz točke (b), (c) in (d) tega odstavka.</w:t>
      </w:r>
    </w:p>
    <w:p w14:paraId="283C831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347E698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Izvajalci mehanske obdelave v zvezi s pošiljkami iz prejšnjega odstavka v informacijski sistem okolja poročajo poleg podatkov iz evidenčnega lista tudi o:</w:t>
      </w:r>
    </w:p>
    <w:p w14:paraId="70A3BEF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54E17F1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 občinah, kjer so bili komunalni odpadki, ki so prevzeti v mehansko obdelavo, zbrani, če gre za pošiljke iz točke (a) in (b) iz prvega odstavka te priloge,</w:t>
      </w:r>
    </w:p>
    <w:p w14:paraId="69D5774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bookmarkStart w:id="37" w:name="_Hlk177321535"/>
      <w:r w:rsidRPr="00B74958">
        <w:rPr>
          <w:rFonts w:ascii="Arial" w:eastAsia="Times New Roman" w:hAnsi="Arial" w:cs="Times New Roman"/>
          <w:kern w:val="0"/>
          <w:sz w:val="20"/>
          <w:szCs w:val="24"/>
          <w14:ligatures w14:val="none"/>
        </w:rPr>
        <w:t>(b) občinah, kjer so bili komunalni odpadki, ki so mehansko obdelani, zbrani, če gre za pošiljke iz točk (c), (d), (e)</w:t>
      </w:r>
      <w:bookmarkStart w:id="38" w:name="_Hlk177319237"/>
      <w:r w:rsidRPr="00B74958">
        <w:rPr>
          <w:rFonts w:ascii="Arial" w:eastAsia="Times New Roman" w:hAnsi="Arial" w:cs="Times New Roman"/>
          <w:kern w:val="0"/>
          <w:sz w:val="20"/>
          <w:szCs w:val="24"/>
          <w14:ligatures w14:val="none"/>
        </w:rPr>
        <w:t>, (f) in (g) iz prvega odstavka te priloge</w:t>
      </w:r>
      <w:bookmarkEnd w:id="38"/>
      <w:r w:rsidRPr="00B74958">
        <w:rPr>
          <w:rFonts w:ascii="Arial" w:eastAsia="Times New Roman" w:hAnsi="Arial" w:cs="Times New Roman"/>
          <w:kern w:val="0"/>
          <w:sz w:val="20"/>
          <w:szCs w:val="24"/>
          <w14:ligatures w14:val="none"/>
        </w:rPr>
        <w:t>,</w:t>
      </w:r>
    </w:p>
    <w:bookmarkEnd w:id="37"/>
    <w:p w14:paraId="3D4E14D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(c) občinah, kjer so bili komunalni odpadki zbrani, in vrsti komunalnega odpadka, ki je bil mehansko obdelan, če gre gorljivo sestavino komunalnih odpadkov iz prvega odstavka 2. člena te uredbe in pošiljko iz točke (h) in (i) iz prvega odstavka te priloge.</w:t>
      </w:r>
    </w:p>
    <w:p w14:paraId="7783715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 xml:space="preserve"> </w:t>
      </w:r>
    </w:p>
    <w:p w14:paraId="089F4D7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Izvajalec mehanske obdelave mora zagotoviti za prevzete mešane komunalne odpadke ločeno za vsako občino izvedbo sortirne analize mešanih komunalnih odpadkov v skladu s predpisom, ki ureja tovrstno analizo, in o rezultatih sortirne analize poročati v informacijski sistem okolja.</w:t>
      </w:r>
    </w:p>
    <w:p w14:paraId="626C105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6BCD83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75BE94C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2B5FAE3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10AAD50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04BB9370" w14:textId="77777777" w:rsidR="00B74958" w:rsidRPr="00B74958" w:rsidRDefault="00B74958" w:rsidP="00B74958">
      <w:pPr>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br w:type="page"/>
      </w:r>
    </w:p>
    <w:p w14:paraId="2B13E902"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PRILOGA 4</w:t>
      </w:r>
    </w:p>
    <w:p w14:paraId="35DEC9D8"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p w14:paraId="3EF22E53"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r w:rsidRPr="00B74958">
        <w:rPr>
          <w:rFonts w:ascii="Arial" w:eastAsia="Times New Roman" w:hAnsi="Arial" w:cs="Times New Roman"/>
          <w:b/>
          <w:kern w:val="0"/>
          <w:sz w:val="20"/>
          <w:szCs w:val="24"/>
          <w14:ligatures w14:val="none"/>
        </w:rPr>
        <w:t>AMORTIZACIJSKE STOPNJE OPREDMETENIH OSNOVNIH SREDSTEV, KI SE UPORABLJAJO ZA OPRAVLJANJE JAVNE SLUŽBE</w:t>
      </w:r>
    </w:p>
    <w:p w14:paraId="6BE7EB3C" w14:textId="77777777" w:rsidR="00B74958" w:rsidRPr="00B74958" w:rsidRDefault="00B74958" w:rsidP="00B74958">
      <w:pPr>
        <w:tabs>
          <w:tab w:val="left" w:pos="708"/>
        </w:tabs>
        <w:spacing w:before="40" w:after="40" w:line="240" w:lineRule="auto"/>
        <w:rPr>
          <w:rFonts w:ascii="Arial" w:eastAsia="Times New Roman" w:hAnsi="Arial" w:cs="Times New Roman"/>
          <w:b/>
          <w:kern w:val="0"/>
          <w:sz w:val="20"/>
          <w:szCs w:val="24"/>
          <w14:ligatures w14:val="none"/>
        </w:rPr>
      </w:pPr>
    </w:p>
    <w:tbl>
      <w:tblPr>
        <w:tblW w:w="0" w:type="auto"/>
        <w:tblInd w:w="40" w:type="dxa"/>
        <w:tblLayout w:type="fixed"/>
        <w:tblCellMar>
          <w:left w:w="40" w:type="dxa"/>
          <w:right w:w="40" w:type="dxa"/>
        </w:tblCellMar>
        <w:tblLook w:val="0000" w:firstRow="0" w:lastRow="0" w:firstColumn="0" w:lastColumn="0" w:noHBand="0" w:noVBand="0"/>
      </w:tblPr>
      <w:tblGrid>
        <w:gridCol w:w="4584"/>
        <w:gridCol w:w="1536"/>
        <w:gridCol w:w="1992"/>
      </w:tblGrid>
      <w:tr w:rsidR="00B74958" w:rsidRPr="00B74958" w14:paraId="067DC345" w14:textId="77777777" w:rsidTr="00F17B26">
        <w:tc>
          <w:tcPr>
            <w:tcW w:w="8112" w:type="dxa"/>
            <w:gridSpan w:val="3"/>
            <w:tcBorders>
              <w:top w:val="single" w:sz="6" w:space="0" w:color="auto"/>
              <w:left w:val="single" w:sz="6" w:space="0" w:color="auto"/>
              <w:bottom w:val="single" w:sz="6" w:space="0" w:color="auto"/>
              <w:right w:val="single" w:sz="6" w:space="0" w:color="auto"/>
            </w:tcBorders>
          </w:tcPr>
          <w:p w14:paraId="3B3848C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AMORTIZACIJSKE STOPNJE OPREDMETENIH OSNOVNIH SREDSTEV, KI SE UPORABLJAJO</w:t>
            </w:r>
          </w:p>
          <w:p w14:paraId="794C7DA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ZA OPRAVLJANJE JAVNE SLUŽBE</w:t>
            </w:r>
          </w:p>
        </w:tc>
      </w:tr>
      <w:tr w:rsidR="00B74958" w:rsidRPr="00B74958" w14:paraId="0967B674" w14:textId="77777777" w:rsidTr="00F17B26">
        <w:tc>
          <w:tcPr>
            <w:tcW w:w="4584" w:type="dxa"/>
            <w:tcBorders>
              <w:top w:val="single" w:sz="6" w:space="0" w:color="auto"/>
              <w:left w:val="single" w:sz="6" w:space="0" w:color="auto"/>
              <w:bottom w:val="single" w:sz="6" w:space="0" w:color="auto"/>
              <w:right w:val="single" w:sz="6" w:space="0" w:color="auto"/>
            </w:tcBorders>
            <w:vAlign w:val="center"/>
          </w:tcPr>
          <w:p w14:paraId="21B8DFB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Amortizacijska skupina</w:t>
            </w:r>
          </w:p>
        </w:tc>
        <w:tc>
          <w:tcPr>
            <w:tcW w:w="1536" w:type="dxa"/>
            <w:tcBorders>
              <w:top w:val="single" w:sz="6" w:space="0" w:color="auto"/>
              <w:left w:val="single" w:sz="6" w:space="0" w:color="auto"/>
              <w:bottom w:val="single" w:sz="6" w:space="0" w:color="auto"/>
              <w:right w:val="single" w:sz="6" w:space="0" w:color="auto"/>
            </w:tcBorders>
            <w:vAlign w:val="center"/>
          </w:tcPr>
          <w:p w14:paraId="4C6C664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Življenjska doba (v letih)</w:t>
            </w:r>
          </w:p>
        </w:tc>
        <w:tc>
          <w:tcPr>
            <w:tcW w:w="1992" w:type="dxa"/>
            <w:tcBorders>
              <w:top w:val="single" w:sz="6" w:space="0" w:color="auto"/>
              <w:left w:val="single" w:sz="6" w:space="0" w:color="auto"/>
              <w:bottom w:val="single" w:sz="6" w:space="0" w:color="auto"/>
              <w:right w:val="single" w:sz="6" w:space="0" w:color="auto"/>
            </w:tcBorders>
            <w:vAlign w:val="center"/>
          </w:tcPr>
          <w:p w14:paraId="759C54A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Amortizacijska stopnja (v %)</w:t>
            </w:r>
          </w:p>
        </w:tc>
      </w:tr>
      <w:tr w:rsidR="00B74958" w:rsidRPr="00B74958" w14:paraId="2AC21C66" w14:textId="77777777" w:rsidTr="00F17B26">
        <w:tc>
          <w:tcPr>
            <w:tcW w:w="4584" w:type="dxa"/>
            <w:tcBorders>
              <w:top w:val="single" w:sz="6" w:space="0" w:color="auto"/>
              <w:left w:val="single" w:sz="6" w:space="0" w:color="auto"/>
              <w:bottom w:val="single" w:sz="6" w:space="0" w:color="auto"/>
              <w:right w:val="single" w:sz="6" w:space="0" w:color="auto"/>
            </w:tcBorders>
            <w:vAlign w:val="center"/>
          </w:tcPr>
          <w:p w14:paraId="6ACF2D5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   Naprava za sežig odpadkov (sprejemnica, kurišče, parni kotel)</w:t>
            </w:r>
          </w:p>
        </w:tc>
        <w:tc>
          <w:tcPr>
            <w:tcW w:w="1536" w:type="dxa"/>
            <w:tcBorders>
              <w:top w:val="single" w:sz="6" w:space="0" w:color="auto"/>
              <w:left w:val="single" w:sz="6" w:space="0" w:color="auto"/>
              <w:bottom w:val="single" w:sz="6" w:space="0" w:color="auto"/>
              <w:right w:val="single" w:sz="6" w:space="0" w:color="auto"/>
            </w:tcBorders>
            <w:vAlign w:val="center"/>
          </w:tcPr>
          <w:p w14:paraId="290A90E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c>
          <w:tcPr>
            <w:tcW w:w="1992" w:type="dxa"/>
            <w:tcBorders>
              <w:top w:val="single" w:sz="6" w:space="0" w:color="auto"/>
              <w:left w:val="single" w:sz="6" w:space="0" w:color="auto"/>
              <w:bottom w:val="single" w:sz="6" w:space="0" w:color="auto"/>
              <w:right w:val="single" w:sz="6" w:space="0" w:color="auto"/>
            </w:tcBorders>
            <w:vAlign w:val="center"/>
          </w:tcPr>
          <w:p w14:paraId="1566FB4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r>
      <w:tr w:rsidR="00B74958" w:rsidRPr="00B74958" w14:paraId="1A84F3A4" w14:textId="77777777" w:rsidTr="00F17B26">
        <w:tc>
          <w:tcPr>
            <w:tcW w:w="4584" w:type="dxa"/>
            <w:tcBorders>
              <w:top w:val="single" w:sz="6" w:space="0" w:color="auto"/>
              <w:left w:val="nil"/>
              <w:bottom w:val="single" w:sz="6" w:space="0" w:color="auto"/>
              <w:right w:val="single" w:sz="6" w:space="0" w:color="auto"/>
            </w:tcBorders>
          </w:tcPr>
          <w:p w14:paraId="73C82D7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1.1. Dozirni sistem sprejemnice</w:t>
            </w:r>
          </w:p>
        </w:tc>
        <w:tc>
          <w:tcPr>
            <w:tcW w:w="1536" w:type="dxa"/>
            <w:tcBorders>
              <w:top w:val="single" w:sz="6" w:space="0" w:color="auto"/>
              <w:left w:val="single" w:sz="6" w:space="0" w:color="auto"/>
              <w:bottom w:val="single" w:sz="6" w:space="0" w:color="auto"/>
              <w:right w:val="single" w:sz="6" w:space="0" w:color="auto"/>
            </w:tcBorders>
          </w:tcPr>
          <w:p w14:paraId="6185728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c>
          <w:tcPr>
            <w:tcW w:w="1992" w:type="dxa"/>
            <w:tcBorders>
              <w:top w:val="single" w:sz="6" w:space="0" w:color="auto"/>
              <w:left w:val="single" w:sz="6" w:space="0" w:color="auto"/>
              <w:bottom w:val="single" w:sz="6" w:space="0" w:color="auto"/>
              <w:right w:val="nil"/>
            </w:tcBorders>
          </w:tcPr>
          <w:p w14:paraId="5788147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r>
      <w:tr w:rsidR="00B74958" w:rsidRPr="00B74958" w14:paraId="03E80D7E" w14:textId="77777777" w:rsidTr="00F17B26">
        <w:tc>
          <w:tcPr>
            <w:tcW w:w="4584" w:type="dxa"/>
            <w:tcBorders>
              <w:top w:val="single" w:sz="6" w:space="0" w:color="auto"/>
              <w:left w:val="single" w:sz="6" w:space="0" w:color="auto"/>
              <w:bottom w:val="single" w:sz="6" w:space="0" w:color="auto"/>
              <w:right w:val="single" w:sz="6" w:space="0" w:color="auto"/>
            </w:tcBorders>
            <w:vAlign w:val="center"/>
          </w:tcPr>
          <w:p w14:paraId="7983A41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1.2. Dozirni sistem za dovod goriva v kurišče (polži, dozirke)</w:t>
            </w:r>
          </w:p>
        </w:tc>
        <w:tc>
          <w:tcPr>
            <w:tcW w:w="1536" w:type="dxa"/>
            <w:tcBorders>
              <w:top w:val="single" w:sz="6" w:space="0" w:color="auto"/>
              <w:left w:val="single" w:sz="6" w:space="0" w:color="auto"/>
              <w:bottom w:val="single" w:sz="6" w:space="0" w:color="auto"/>
              <w:right w:val="single" w:sz="6" w:space="0" w:color="auto"/>
            </w:tcBorders>
            <w:vAlign w:val="center"/>
          </w:tcPr>
          <w:p w14:paraId="4A3A9AB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c>
          <w:tcPr>
            <w:tcW w:w="1992" w:type="dxa"/>
            <w:tcBorders>
              <w:top w:val="single" w:sz="6" w:space="0" w:color="auto"/>
              <w:left w:val="single" w:sz="6" w:space="0" w:color="auto"/>
              <w:bottom w:val="single" w:sz="6" w:space="0" w:color="auto"/>
              <w:right w:val="single" w:sz="6" w:space="0" w:color="auto"/>
            </w:tcBorders>
            <w:vAlign w:val="center"/>
          </w:tcPr>
          <w:p w14:paraId="454F07B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r>
      <w:tr w:rsidR="00B74958" w:rsidRPr="00B74958" w14:paraId="6391BDF2" w14:textId="77777777" w:rsidTr="00F17B26">
        <w:tc>
          <w:tcPr>
            <w:tcW w:w="4584" w:type="dxa"/>
            <w:tcBorders>
              <w:top w:val="single" w:sz="6" w:space="0" w:color="auto"/>
              <w:left w:val="single" w:sz="6" w:space="0" w:color="auto"/>
              <w:bottom w:val="single" w:sz="6" w:space="0" w:color="auto"/>
              <w:right w:val="single" w:sz="6" w:space="0" w:color="auto"/>
            </w:tcBorders>
            <w:vAlign w:val="center"/>
          </w:tcPr>
          <w:p w14:paraId="785A409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1.3. Ventilatorji za dovod/odvod zraka kurišča</w:t>
            </w:r>
          </w:p>
        </w:tc>
        <w:tc>
          <w:tcPr>
            <w:tcW w:w="1536" w:type="dxa"/>
            <w:tcBorders>
              <w:top w:val="single" w:sz="6" w:space="0" w:color="auto"/>
              <w:left w:val="single" w:sz="6" w:space="0" w:color="auto"/>
              <w:bottom w:val="single" w:sz="6" w:space="0" w:color="auto"/>
              <w:right w:val="single" w:sz="6" w:space="0" w:color="auto"/>
            </w:tcBorders>
            <w:vAlign w:val="center"/>
          </w:tcPr>
          <w:p w14:paraId="396D967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c>
          <w:tcPr>
            <w:tcW w:w="1992" w:type="dxa"/>
            <w:tcBorders>
              <w:top w:val="single" w:sz="6" w:space="0" w:color="auto"/>
              <w:left w:val="single" w:sz="6" w:space="0" w:color="auto"/>
              <w:bottom w:val="single" w:sz="6" w:space="0" w:color="auto"/>
              <w:right w:val="single" w:sz="6" w:space="0" w:color="auto"/>
            </w:tcBorders>
            <w:vAlign w:val="center"/>
          </w:tcPr>
          <w:p w14:paraId="3C31F50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r>
      <w:tr w:rsidR="00B74958" w:rsidRPr="00B74958" w14:paraId="1A5968A7" w14:textId="77777777" w:rsidTr="00F17B26">
        <w:tc>
          <w:tcPr>
            <w:tcW w:w="4584" w:type="dxa"/>
            <w:tcBorders>
              <w:top w:val="single" w:sz="6" w:space="0" w:color="auto"/>
              <w:left w:val="single" w:sz="6" w:space="0" w:color="auto"/>
              <w:bottom w:val="single" w:sz="6" w:space="0" w:color="auto"/>
              <w:right w:val="single" w:sz="6" w:space="0" w:color="auto"/>
            </w:tcBorders>
            <w:vAlign w:val="center"/>
          </w:tcPr>
          <w:p w14:paraId="6930D3C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1.4. Sistem za odstranjevanje pepela iz kurišča (polži, rešetke)</w:t>
            </w:r>
          </w:p>
        </w:tc>
        <w:tc>
          <w:tcPr>
            <w:tcW w:w="1536" w:type="dxa"/>
            <w:tcBorders>
              <w:top w:val="single" w:sz="6" w:space="0" w:color="auto"/>
              <w:left w:val="single" w:sz="6" w:space="0" w:color="auto"/>
              <w:bottom w:val="single" w:sz="6" w:space="0" w:color="auto"/>
              <w:right w:val="single" w:sz="6" w:space="0" w:color="auto"/>
            </w:tcBorders>
            <w:vAlign w:val="center"/>
          </w:tcPr>
          <w:p w14:paraId="1139D549"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c>
          <w:tcPr>
            <w:tcW w:w="1992" w:type="dxa"/>
            <w:tcBorders>
              <w:top w:val="single" w:sz="6" w:space="0" w:color="auto"/>
              <w:left w:val="single" w:sz="6" w:space="0" w:color="auto"/>
              <w:bottom w:val="single" w:sz="6" w:space="0" w:color="auto"/>
              <w:right w:val="single" w:sz="6" w:space="0" w:color="auto"/>
            </w:tcBorders>
            <w:vAlign w:val="center"/>
          </w:tcPr>
          <w:p w14:paraId="72B8106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r>
      <w:tr w:rsidR="00B74958" w:rsidRPr="00B74958" w14:paraId="5D0BF301" w14:textId="77777777" w:rsidTr="00F17B26">
        <w:tc>
          <w:tcPr>
            <w:tcW w:w="4584" w:type="dxa"/>
            <w:tcBorders>
              <w:top w:val="single" w:sz="6" w:space="0" w:color="auto"/>
              <w:left w:val="single" w:sz="6" w:space="0" w:color="auto"/>
              <w:bottom w:val="single" w:sz="6" w:space="0" w:color="auto"/>
              <w:right w:val="single" w:sz="6" w:space="0" w:color="auto"/>
            </w:tcBorders>
          </w:tcPr>
          <w:p w14:paraId="73109B9E"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1.5. Šamotna obloga kurišča</w:t>
            </w:r>
          </w:p>
        </w:tc>
        <w:tc>
          <w:tcPr>
            <w:tcW w:w="1536" w:type="dxa"/>
            <w:tcBorders>
              <w:top w:val="single" w:sz="6" w:space="0" w:color="auto"/>
              <w:left w:val="single" w:sz="6" w:space="0" w:color="auto"/>
              <w:bottom w:val="single" w:sz="6" w:space="0" w:color="auto"/>
              <w:right w:val="single" w:sz="6" w:space="0" w:color="auto"/>
            </w:tcBorders>
          </w:tcPr>
          <w:p w14:paraId="5F2EEB24"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c>
          <w:tcPr>
            <w:tcW w:w="1992" w:type="dxa"/>
            <w:tcBorders>
              <w:top w:val="single" w:sz="6" w:space="0" w:color="auto"/>
              <w:left w:val="single" w:sz="6" w:space="0" w:color="auto"/>
              <w:bottom w:val="single" w:sz="6" w:space="0" w:color="auto"/>
              <w:right w:val="single" w:sz="6" w:space="0" w:color="auto"/>
            </w:tcBorders>
          </w:tcPr>
          <w:p w14:paraId="25FFAFE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r>
      <w:tr w:rsidR="00B74958" w:rsidRPr="00B74958" w14:paraId="2392751C" w14:textId="77777777" w:rsidTr="00F17B26">
        <w:tc>
          <w:tcPr>
            <w:tcW w:w="4584" w:type="dxa"/>
            <w:tcBorders>
              <w:top w:val="single" w:sz="6" w:space="0" w:color="auto"/>
              <w:left w:val="single" w:sz="6" w:space="0" w:color="auto"/>
              <w:bottom w:val="single" w:sz="6" w:space="0" w:color="auto"/>
              <w:right w:val="single" w:sz="6" w:space="0" w:color="auto"/>
            </w:tcBorders>
          </w:tcPr>
          <w:p w14:paraId="2E764F25"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   Sistem čiščenja dimnih plinov</w:t>
            </w:r>
          </w:p>
        </w:tc>
        <w:tc>
          <w:tcPr>
            <w:tcW w:w="1536" w:type="dxa"/>
            <w:tcBorders>
              <w:top w:val="single" w:sz="6" w:space="0" w:color="auto"/>
              <w:left w:val="single" w:sz="6" w:space="0" w:color="auto"/>
              <w:bottom w:val="single" w:sz="6" w:space="0" w:color="auto"/>
              <w:right w:val="single" w:sz="6" w:space="0" w:color="auto"/>
            </w:tcBorders>
          </w:tcPr>
          <w:p w14:paraId="0BC719D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c>
          <w:tcPr>
            <w:tcW w:w="1992" w:type="dxa"/>
            <w:tcBorders>
              <w:top w:val="single" w:sz="6" w:space="0" w:color="auto"/>
              <w:left w:val="single" w:sz="6" w:space="0" w:color="auto"/>
              <w:bottom w:val="single" w:sz="6" w:space="0" w:color="auto"/>
              <w:right w:val="single" w:sz="6" w:space="0" w:color="auto"/>
            </w:tcBorders>
          </w:tcPr>
          <w:p w14:paraId="7037B11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r>
      <w:tr w:rsidR="00B74958" w:rsidRPr="00B74958" w14:paraId="32B34AED" w14:textId="77777777" w:rsidTr="00F17B26">
        <w:tc>
          <w:tcPr>
            <w:tcW w:w="4584" w:type="dxa"/>
            <w:tcBorders>
              <w:top w:val="single" w:sz="6" w:space="0" w:color="auto"/>
              <w:left w:val="single" w:sz="6" w:space="0" w:color="auto"/>
              <w:bottom w:val="single" w:sz="6" w:space="0" w:color="auto"/>
              <w:right w:val="single" w:sz="6" w:space="0" w:color="auto"/>
            </w:tcBorders>
          </w:tcPr>
          <w:p w14:paraId="44A3896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3.   Sistem trajnega monitoringa</w:t>
            </w:r>
          </w:p>
        </w:tc>
        <w:tc>
          <w:tcPr>
            <w:tcW w:w="1536" w:type="dxa"/>
            <w:tcBorders>
              <w:top w:val="single" w:sz="6" w:space="0" w:color="auto"/>
              <w:left w:val="single" w:sz="6" w:space="0" w:color="auto"/>
              <w:bottom w:val="single" w:sz="6" w:space="0" w:color="auto"/>
              <w:right w:val="single" w:sz="6" w:space="0" w:color="auto"/>
            </w:tcBorders>
          </w:tcPr>
          <w:p w14:paraId="50DB83F8"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c>
          <w:tcPr>
            <w:tcW w:w="1992" w:type="dxa"/>
            <w:tcBorders>
              <w:top w:val="single" w:sz="6" w:space="0" w:color="auto"/>
              <w:left w:val="single" w:sz="6" w:space="0" w:color="auto"/>
              <w:bottom w:val="single" w:sz="6" w:space="0" w:color="auto"/>
              <w:right w:val="single" w:sz="6" w:space="0" w:color="auto"/>
            </w:tcBorders>
          </w:tcPr>
          <w:p w14:paraId="1062A07B"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r>
      <w:tr w:rsidR="00B74958" w:rsidRPr="00B74958" w14:paraId="5D6E3F57" w14:textId="77777777" w:rsidTr="00F17B26">
        <w:tc>
          <w:tcPr>
            <w:tcW w:w="4584" w:type="dxa"/>
            <w:tcBorders>
              <w:top w:val="single" w:sz="6" w:space="0" w:color="auto"/>
              <w:left w:val="single" w:sz="6" w:space="0" w:color="auto"/>
              <w:bottom w:val="single" w:sz="6" w:space="0" w:color="auto"/>
              <w:right w:val="single" w:sz="6" w:space="0" w:color="auto"/>
            </w:tcBorders>
            <w:vAlign w:val="center"/>
          </w:tcPr>
          <w:p w14:paraId="234E417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4.   Parna turbina z generatorjem in pripadajočo stikalno opremo ter kondenzatorjem</w:t>
            </w:r>
          </w:p>
        </w:tc>
        <w:tc>
          <w:tcPr>
            <w:tcW w:w="1536" w:type="dxa"/>
            <w:tcBorders>
              <w:top w:val="single" w:sz="6" w:space="0" w:color="auto"/>
              <w:left w:val="single" w:sz="6" w:space="0" w:color="auto"/>
              <w:bottom w:val="single" w:sz="6" w:space="0" w:color="auto"/>
              <w:right w:val="single" w:sz="6" w:space="0" w:color="auto"/>
            </w:tcBorders>
            <w:vAlign w:val="center"/>
          </w:tcPr>
          <w:p w14:paraId="0C312947"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c>
          <w:tcPr>
            <w:tcW w:w="1992" w:type="dxa"/>
            <w:tcBorders>
              <w:top w:val="single" w:sz="6" w:space="0" w:color="auto"/>
              <w:left w:val="single" w:sz="6" w:space="0" w:color="auto"/>
              <w:bottom w:val="single" w:sz="6" w:space="0" w:color="auto"/>
              <w:right w:val="single" w:sz="6" w:space="0" w:color="auto"/>
            </w:tcBorders>
            <w:vAlign w:val="center"/>
          </w:tcPr>
          <w:p w14:paraId="5509362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r>
      <w:tr w:rsidR="00B74958" w:rsidRPr="00B74958" w14:paraId="2A4FFE8F" w14:textId="77777777" w:rsidTr="00F17B26">
        <w:tc>
          <w:tcPr>
            <w:tcW w:w="4584" w:type="dxa"/>
            <w:tcBorders>
              <w:top w:val="single" w:sz="6" w:space="0" w:color="auto"/>
              <w:left w:val="single" w:sz="6" w:space="0" w:color="auto"/>
              <w:bottom w:val="single" w:sz="6" w:space="0" w:color="auto"/>
              <w:right w:val="single" w:sz="6" w:space="0" w:color="auto"/>
            </w:tcBorders>
          </w:tcPr>
          <w:p w14:paraId="6980E50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   Reducirno hladilna postaja s toplotno postajo</w:t>
            </w:r>
          </w:p>
        </w:tc>
        <w:tc>
          <w:tcPr>
            <w:tcW w:w="1536" w:type="dxa"/>
            <w:tcBorders>
              <w:top w:val="single" w:sz="6" w:space="0" w:color="auto"/>
              <w:left w:val="single" w:sz="6" w:space="0" w:color="auto"/>
              <w:bottom w:val="single" w:sz="6" w:space="0" w:color="auto"/>
              <w:right w:val="single" w:sz="6" w:space="0" w:color="auto"/>
            </w:tcBorders>
          </w:tcPr>
          <w:p w14:paraId="10DEA05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c>
          <w:tcPr>
            <w:tcW w:w="1992" w:type="dxa"/>
            <w:tcBorders>
              <w:top w:val="single" w:sz="6" w:space="0" w:color="auto"/>
              <w:left w:val="single" w:sz="6" w:space="0" w:color="auto"/>
              <w:bottom w:val="single" w:sz="6" w:space="0" w:color="auto"/>
              <w:right w:val="single" w:sz="6" w:space="0" w:color="auto"/>
            </w:tcBorders>
          </w:tcPr>
          <w:p w14:paraId="47B949C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r>
      <w:tr w:rsidR="00B74958" w:rsidRPr="00B74958" w14:paraId="5AB93B62" w14:textId="77777777" w:rsidTr="00F17B26">
        <w:tc>
          <w:tcPr>
            <w:tcW w:w="4584" w:type="dxa"/>
            <w:tcBorders>
              <w:top w:val="single" w:sz="6" w:space="0" w:color="auto"/>
              <w:left w:val="single" w:sz="6" w:space="0" w:color="auto"/>
              <w:bottom w:val="single" w:sz="6" w:space="0" w:color="auto"/>
              <w:right w:val="single" w:sz="6" w:space="0" w:color="auto"/>
            </w:tcBorders>
          </w:tcPr>
          <w:p w14:paraId="59E56E51"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6.   Sistem za zbiranje kondenza</w:t>
            </w:r>
          </w:p>
        </w:tc>
        <w:tc>
          <w:tcPr>
            <w:tcW w:w="1536" w:type="dxa"/>
            <w:tcBorders>
              <w:top w:val="single" w:sz="6" w:space="0" w:color="auto"/>
              <w:left w:val="single" w:sz="6" w:space="0" w:color="auto"/>
              <w:bottom w:val="single" w:sz="6" w:space="0" w:color="auto"/>
              <w:right w:val="single" w:sz="6" w:space="0" w:color="auto"/>
            </w:tcBorders>
          </w:tcPr>
          <w:p w14:paraId="51C6065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c>
          <w:tcPr>
            <w:tcW w:w="1992" w:type="dxa"/>
            <w:tcBorders>
              <w:top w:val="single" w:sz="6" w:space="0" w:color="auto"/>
              <w:left w:val="single" w:sz="6" w:space="0" w:color="auto"/>
              <w:bottom w:val="single" w:sz="6" w:space="0" w:color="auto"/>
              <w:right w:val="single" w:sz="6" w:space="0" w:color="auto"/>
            </w:tcBorders>
          </w:tcPr>
          <w:p w14:paraId="34EF4866"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r>
      <w:tr w:rsidR="00B74958" w:rsidRPr="00B74958" w14:paraId="29CE7146" w14:textId="77777777" w:rsidTr="00F17B26">
        <w:tc>
          <w:tcPr>
            <w:tcW w:w="4584" w:type="dxa"/>
            <w:tcBorders>
              <w:top w:val="single" w:sz="6" w:space="0" w:color="auto"/>
              <w:left w:val="single" w:sz="6" w:space="0" w:color="auto"/>
              <w:bottom w:val="single" w:sz="6" w:space="0" w:color="auto"/>
              <w:right w:val="single" w:sz="6" w:space="0" w:color="auto"/>
            </w:tcBorders>
          </w:tcPr>
          <w:p w14:paraId="0F27FFA3"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7. Dimniki</w:t>
            </w:r>
          </w:p>
        </w:tc>
        <w:tc>
          <w:tcPr>
            <w:tcW w:w="1536" w:type="dxa"/>
            <w:tcBorders>
              <w:top w:val="single" w:sz="6" w:space="0" w:color="auto"/>
              <w:left w:val="single" w:sz="6" w:space="0" w:color="auto"/>
              <w:bottom w:val="single" w:sz="6" w:space="0" w:color="auto"/>
              <w:right w:val="single" w:sz="6" w:space="0" w:color="auto"/>
            </w:tcBorders>
          </w:tcPr>
          <w:p w14:paraId="0C86CC50"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c>
          <w:tcPr>
            <w:tcW w:w="1992" w:type="dxa"/>
            <w:tcBorders>
              <w:top w:val="single" w:sz="6" w:space="0" w:color="auto"/>
              <w:left w:val="single" w:sz="6" w:space="0" w:color="auto"/>
              <w:bottom w:val="single" w:sz="6" w:space="0" w:color="auto"/>
              <w:right w:val="single" w:sz="6" w:space="0" w:color="auto"/>
            </w:tcBorders>
          </w:tcPr>
          <w:p w14:paraId="2A58C01A"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r>
      <w:tr w:rsidR="00B74958" w:rsidRPr="00B74958" w14:paraId="6549061C" w14:textId="77777777" w:rsidTr="00F17B26">
        <w:tc>
          <w:tcPr>
            <w:tcW w:w="4584" w:type="dxa"/>
            <w:tcBorders>
              <w:top w:val="single" w:sz="6" w:space="0" w:color="auto"/>
              <w:left w:val="single" w:sz="6" w:space="0" w:color="auto"/>
              <w:bottom w:val="single" w:sz="6" w:space="0" w:color="auto"/>
              <w:right w:val="single" w:sz="6" w:space="0" w:color="auto"/>
            </w:tcBorders>
          </w:tcPr>
          <w:p w14:paraId="6FDC5D5F"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8.   Parni razvod</w:t>
            </w:r>
          </w:p>
        </w:tc>
        <w:tc>
          <w:tcPr>
            <w:tcW w:w="1536" w:type="dxa"/>
            <w:tcBorders>
              <w:top w:val="single" w:sz="6" w:space="0" w:color="auto"/>
              <w:left w:val="single" w:sz="6" w:space="0" w:color="auto"/>
              <w:bottom w:val="single" w:sz="6" w:space="0" w:color="auto"/>
              <w:right w:val="single" w:sz="6" w:space="0" w:color="auto"/>
            </w:tcBorders>
          </w:tcPr>
          <w:p w14:paraId="73F708A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20,00</w:t>
            </w:r>
          </w:p>
        </w:tc>
        <w:tc>
          <w:tcPr>
            <w:tcW w:w="1992" w:type="dxa"/>
            <w:tcBorders>
              <w:top w:val="single" w:sz="6" w:space="0" w:color="auto"/>
              <w:left w:val="single" w:sz="6" w:space="0" w:color="auto"/>
              <w:bottom w:val="single" w:sz="6" w:space="0" w:color="auto"/>
              <w:right w:val="single" w:sz="6" w:space="0" w:color="auto"/>
            </w:tcBorders>
          </w:tcPr>
          <w:p w14:paraId="67132A42"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t>5,00</w:t>
            </w:r>
          </w:p>
        </w:tc>
      </w:tr>
    </w:tbl>
    <w:p w14:paraId="3D7C3BBC" w14:textId="77777777" w:rsidR="00B74958" w:rsidRPr="00B74958" w:rsidRDefault="00B74958" w:rsidP="00B74958">
      <w:pPr>
        <w:tabs>
          <w:tab w:val="left" w:pos="708"/>
        </w:tabs>
        <w:spacing w:before="40" w:after="40" w:line="240" w:lineRule="auto"/>
        <w:rPr>
          <w:rFonts w:ascii="Arial" w:eastAsia="Times New Roman" w:hAnsi="Arial" w:cs="Times New Roman"/>
          <w:kern w:val="0"/>
          <w:sz w:val="20"/>
          <w:szCs w:val="24"/>
          <w14:ligatures w14:val="none"/>
        </w:rPr>
      </w:pPr>
    </w:p>
    <w:p w14:paraId="620C73C9" w14:textId="77777777" w:rsidR="00B74958" w:rsidRPr="00B74958" w:rsidRDefault="00B74958" w:rsidP="00B74958">
      <w:pPr>
        <w:rPr>
          <w:rFonts w:ascii="Arial" w:eastAsia="Times New Roman" w:hAnsi="Arial" w:cs="Times New Roman"/>
          <w:kern w:val="0"/>
          <w:sz w:val="20"/>
          <w:szCs w:val="24"/>
          <w14:ligatures w14:val="none"/>
        </w:rPr>
      </w:pPr>
      <w:r w:rsidRPr="00B74958">
        <w:rPr>
          <w:rFonts w:ascii="Arial" w:eastAsia="Times New Roman" w:hAnsi="Arial" w:cs="Times New Roman"/>
          <w:kern w:val="0"/>
          <w:sz w:val="20"/>
          <w:szCs w:val="24"/>
          <w14:ligatures w14:val="none"/>
        </w:rPr>
        <w:br w:type="page"/>
      </w:r>
    </w:p>
    <w:bookmarkEnd w:id="2"/>
    <w:p w14:paraId="7DF6DCBF" w14:textId="77777777" w:rsidR="00510685" w:rsidRPr="00510685" w:rsidRDefault="00510685" w:rsidP="00510685">
      <w:pPr>
        <w:tabs>
          <w:tab w:val="left" w:pos="284"/>
          <w:tab w:val="right" w:pos="9638"/>
        </w:tabs>
        <w:spacing w:before="240" w:after="240" w:line="240" w:lineRule="auto"/>
        <w:jc w:val="both"/>
        <w:rPr>
          <w:rFonts w:ascii="Arial" w:eastAsia="Times New Roman" w:hAnsi="Arial" w:cs="Arial"/>
          <w:b/>
          <w:bCs/>
          <w:kern w:val="0"/>
          <w:sz w:val="20"/>
          <w:szCs w:val="20"/>
          <w14:ligatures w14:val="none"/>
        </w:rPr>
      </w:pPr>
      <w:r w:rsidRPr="00510685">
        <w:rPr>
          <w:rFonts w:ascii="Arial" w:eastAsia="Times New Roman" w:hAnsi="Arial" w:cs="Arial"/>
          <w:b/>
          <w:bCs/>
          <w:kern w:val="0"/>
          <w:sz w:val="20"/>
          <w:szCs w:val="20"/>
          <w14:ligatures w14:val="none"/>
        </w:rPr>
        <w:t>. VSEBINSKA OBRAZLOŽITEV PREDLAGANIH REŠITEV</w:t>
      </w:r>
    </w:p>
    <w:p w14:paraId="027F8AE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720112D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I.</w:t>
      </w:r>
      <w:r w:rsidRPr="00510685">
        <w:rPr>
          <w:rFonts w:ascii="Arial" w:eastAsia="Times New Roman" w:hAnsi="Arial" w:cs="Times New Roman"/>
          <w:b/>
          <w:kern w:val="0"/>
          <w:sz w:val="20"/>
          <w:szCs w:val="24"/>
          <w14:ligatures w14:val="none"/>
        </w:rPr>
        <w:tab/>
        <w:t>Splošne določbe</w:t>
      </w:r>
    </w:p>
    <w:p w14:paraId="2E3CA82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680C069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 členu</w:t>
      </w:r>
    </w:p>
    <w:p w14:paraId="30656C3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V tem členu je določena vsebina uredbe, in sicer podrobnejša pravila za izvajanja obvezne državne gospodarske javne službe sežiganja gorljivih komunalnih odpadkov, hkrati pa ta člen tudi določa, da je uredba tudi koncesijski akt za podelitev koncesije za izvajanje omenjene državne javne službe. </w:t>
      </w:r>
    </w:p>
    <w:p w14:paraId="3DF5CEB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A079CD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 členu</w:t>
      </w:r>
    </w:p>
    <w:p w14:paraId="3119C37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V tem členu je določen predmet državne javne službe sežiganja gorljivih komunalnih odpadkov, in sicer vrste komunalnih odpadkov, ki se sežigajo v okviru državne javne službe. Glede na to, da gre za državno javno gospodarsko službo, ta člen določa, da se lahko v okviru izvajanja državne javne službe sežigajo samo odpadki, ki nastajajo na območju Republike Slovenije, in sicer le tisti, ki niso primerni za recikliranje. </w:t>
      </w:r>
    </w:p>
    <w:p w14:paraId="446BBB3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b/>
          <w:kern w:val="0"/>
          <w:sz w:val="20"/>
          <w:szCs w:val="24"/>
          <w14:ligatures w14:val="none"/>
        </w:rPr>
        <w:t>K 3. členu</w:t>
      </w:r>
    </w:p>
    <w:p w14:paraId="73FAF04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V tem členu je določen pomen nekaterih izrazov, ki so uporabljeni v uredbi. </w:t>
      </w:r>
    </w:p>
    <w:p w14:paraId="7CE164F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DEBD53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4. členu</w:t>
      </w:r>
    </w:p>
    <w:p w14:paraId="0B5F655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V tem členu je določeno, kateri zakoni in podzakonski predpisi se uporabljajo za vprašanja, ki niso določena s to uredbo, so pa z njo povezana. </w:t>
      </w:r>
    </w:p>
    <w:p w14:paraId="65BF83A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7F2AC80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II. Način opravljanja državne javne službe</w:t>
      </w:r>
    </w:p>
    <w:p w14:paraId="27499CE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E14047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1.</w:t>
      </w:r>
      <w:r w:rsidRPr="00510685">
        <w:rPr>
          <w:rFonts w:ascii="Arial" w:eastAsia="Times New Roman" w:hAnsi="Arial" w:cs="Times New Roman"/>
          <w:b/>
          <w:kern w:val="0"/>
          <w:sz w:val="20"/>
          <w:szCs w:val="24"/>
          <w14:ligatures w14:val="none"/>
        </w:rPr>
        <w:tab/>
        <w:t>Organizacijska in prostorska zasnova opravljanja državne javne službe</w:t>
      </w:r>
    </w:p>
    <w:p w14:paraId="70FCCAF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2D03F96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 členu</w:t>
      </w:r>
    </w:p>
    <w:p w14:paraId="0C83551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V tem členu je določeno, da državne javne službe ne bo izvajala država neposredno, temveč bo zanjo podelila koncesijo.</w:t>
      </w:r>
    </w:p>
    <w:p w14:paraId="2562F13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FCCEA3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6. členu</w:t>
      </w:r>
    </w:p>
    <w:p w14:paraId="5341A63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V tem členu je določeno, da bodo gorljive komunalne odpadke na območju Republike Slovenije sežigale največ tri sežigalnice. </w:t>
      </w:r>
    </w:p>
    <w:p w14:paraId="1892068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tudi največjo letno količino. Ta količina je določena na podlagi podatkov o količinah mešanih komunalnih odpadkov in nekaterih vrst ločeno zbranih komunalnih odpadkov, nastalih v Republiki Sloveniji, ter na podlagi ciljev recikliranja komunalnih odpadkov iz Direktive 2008/98/ES, do katerih bo mogoče priti z natančnejšim ločevanjem odpadkov na izvoru in drugimi ukrepi. Iz sortirnih analiz mešanih komunalnih odpadkov namreč izhaja, da je na ravni slovenskega povprečja v mešanih komunalnih odpadkih še vedno znaten delež frakcij, ki bi jih bilo mogoče ločiti na izvoru in tako povečati delež odpadkov, ki jih je mogoče reciklirati. </w:t>
      </w:r>
    </w:p>
    <w:p w14:paraId="35109F7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9C263D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Ker obstaja tveganje, da bodo zaradi spremenjenih in spremenljivih razmer v drugih državah tokovi za termično obdelavo preostanka komunalnih odpadkov zastajali, s čimer že imamo slabe izkušnje in kar ima negativne posledice za okolje, se s to uredbo vzpostavlja sistemska rešitev za sežiganje ostankov komunalnih odpadkov, ki jih ni mogoče reciklirati. Edina trenutno delujoča namenska naprava za termično obdelavo gorljivih odpadkov, nastalih po obdelavi komunalnih odpadkov, ki jih ni mogoče reciklirati, ima zmogljivost 40.000 t/leto (pri čemer del te zmogljivosti odpade na sežiganje odpadnega blata iz komunalnih čistilnih naprav, ki niso komunalni odpadek) in tako zadošča za manj kot 17 odstotkov trenutnih slovenskih potreb, zato ne zagotavlja samozadostnosti Slovenije na tem področju. </w:t>
      </w:r>
    </w:p>
    <w:p w14:paraId="117CC6C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Glede na zahteve po čim večjem recikliranju komunalnih odpadkov ambicioznejši scenarij razvoja ravnanja s komunalnimi odpadki predvideva manjšo potrebo po energetski predelavi gorljivih odpadkov, nastalih po mehanski obdelavi komunalnih odpadkov, vendar zmogljivost zaradi izvedljivosti ukrepov ravnanja s komunalnimi odpadki ne sme biti manjša od 161.000 t/leto energetske obdelave teh gorljivih odpadkov. Navedena količina predstavlja konzervativno oceno glede na projekcije zahtev recikliranja, ki so izdelane za dva scenarija (scenarij I je ohlapnejši, scenarij II pa ambicioznejši), ki oba zagotavljata doseganje ciljev recikliranja iz Direktive o odpadkih 2008/98/ES. </w:t>
      </w:r>
    </w:p>
    <w:p w14:paraId="7AE2CFC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A49FF6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 </w:t>
      </w:r>
    </w:p>
    <w:p w14:paraId="33D8D56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tudi določa, prispevna območja, za katera se išče koncesionar, ki bo od posameznih centrov za ravnanje s komunalnimi odpadki v okviru javne službe prevzemal gorljive nereciklabilne komunalne odpadke. </w:t>
      </w:r>
    </w:p>
    <w:p w14:paraId="2080DF3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 </w:t>
      </w:r>
    </w:p>
    <w:p w14:paraId="0AFF027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2.</w:t>
      </w:r>
      <w:r w:rsidRPr="00510685">
        <w:rPr>
          <w:rFonts w:ascii="Arial" w:eastAsia="Times New Roman" w:hAnsi="Arial" w:cs="Times New Roman"/>
          <w:b/>
          <w:kern w:val="0"/>
          <w:sz w:val="20"/>
          <w:szCs w:val="24"/>
          <w14:ligatures w14:val="none"/>
        </w:rPr>
        <w:tab/>
        <w:t>Vrsta in obseg storitev državne javne službe</w:t>
      </w:r>
    </w:p>
    <w:p w14:paraId="740D5FE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024D2E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7. členu</w:t>
      </w:r>
    </w:p>
    <w:p w14:paraId="5FBB7B0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V tem členu so podrobneje določene posamezne storitve, ki skupaj sestavljajo državno javno službo sežiganja gorljivih komunalnih odpadkov. Tako mora poleg postopkov povezanih s termično obdelavo odpadkov zagotoviti tudi obdelavo ostankov sežiga, ustrezno obveščanje javnosti ter vzdrževanje infrastrukture. </w:t>
      </w:r>
    </w:p>
    <w:p w14:paraId="366B7B3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4636F68"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3.</w:t>
      </w:r>
      <w:r w:rsidRPr="00510685">
        <w:rPr>
          <w:rFonts w:ascii="Arial" w:eastAsia="Times New Roman" w:hAnsi="Arial" w:cs="Times New Roman"/>
          <w:b/>
          <w:kern w:val="0"/>
          <w:sz w:val="20"/>
          <w:szCs w:val="24"/>
          <w14:ligatures w14:val="none"/>
        </w:rPr>
        <w:tab/>
        <w:t>Pravila izvajanja državne javne službe</w:t>
      </w:r>
    </w:p>
    <w:p w14:paraId="05B5D4F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BB85FC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8. členu</w:t>
      </w:r>
    </w:p>
    <w:p w14:paraId="5B3E15E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V tem členu so določena pravila za izvajanje državne javne službe, med njimi, da se javna služba izvaja kontinuirano in da se prevzeti gorljivi komunalni odpadki sežigajo redno in brez zastojev, ki bi povzročili kopičenje gorljivih komunalnih odpadkov ter da je pri sežiganju treba zagotavljati ustrezno energetsko učinkovitost (proizvodnjo toplotne ali električne energije) da je proces okarakteriziran kot energetska izraba (R1) in ne kot odstranjevanje s sežigom (D10). </w:t>
      </w:r>
    </w:p>
    <w:p w14:paraId="77DC026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E5448E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4.</w:t>
      </w:r>
      <w:r w:rsidRPr="00510685">
        <w:rPr>
          <w:rFonts w:ascii="Arial" w:eastAsia="Times New Roman" w:hAnsi="Arial" w:cs="Times New Roman"/>
          <w:b/>
          <w:kern w:val="0"/>
          <w:sz w:val="20"/>
          <w:szCs w:val="24"/>
          <w14:ligatures w14:val="none"/>
        </w:rPr>
        <w:tab/>
        <w:t>Vrsta in obseg objektov in naprav, potrebnih za izvajanje državne javne službe</w:t>
      </w:r>
    </w:p>
    <w:p w14:paraId="127DEE4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42B1F9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9. členu</w:t>
      </w:r>
    </w:p>
    <w:p w14:paraId="0568B39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V tem členu je določeno, da imajo objekti in naprave sežigalnice status infrastrukture državnega pomena (torej jih prištevamo med ključne infrastrukturne objekte in omrežja, ki so strateškega pomena za državo) za čas izvajanja koncesije državne javne službe ne glede na to, ali so v lasti oseb zasebnega ali javnega prava. </w:t>
      </w:r>
    </w:p>
    <w:p w14:paraId="1CBF3EE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FDC74C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5.</w:t>
      </w:r>
      <w:r w:rsidRPr="00510685">
        <w:rPr>
          <w:rFonts w:ascii="Arial" w:eastAsia="Times New Roman" w:hAnsi="Arial" w:cs="Times New Roman"/>
          <w:b/>
          <w:kern w:val="0"/>
          <w:sz w:val="20"/>
          <w:szCs w:val="24"/>
          <w14:ligatures w14:val="none"/>
        </w:rPr>
        <w:tab/>
        <w:t xml:space="preserve">Pravila ravnanja za uporabnike storitev državne javne službe </w:t>
      </w:r>
    </w:p>
    <w:p w14:paraId="7779398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00A1E43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10. členu</w:t>
      </w:r>
    </w:p>
    <w:p w14:paraId="5DBCCD8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člena določa, da je uporaba storitev državne javne službe obvezna za vse uporabnike državne javne službe v Republiki Sloveniji, to je za vse centre za ravnanje s komunalnimi odpadki. To določilo je skladno s 5. členom zakona o gospodarskih javnih službah, ki določa da je uporaba javnih dobrin, ki se zagotavljajo z obveznimi gospodarskimi javnimi službami, obvezna. Ta člen ureja tudi položaj, ko izvajalec državne javne službe zaradi okvare ali izrednega dogodka ne more zagotoviti izvajanja državne javne službe. </w:t>
      </w:r>
    </w:p>
    <w:p w14:paraId="2F265D3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Uporabnik javne službe (izvajalec obdelave) mora zagotoviti skladiščenje odpadkov pred oddajo izvajalcu javne službe sežiga, ki onemogoča negativne vplive na primernost odpadkov za sežig. </w:t>
      </w:r>
    </w:p>
    <w:p w14:paraId="6DD2AE6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67920F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11. členu</w:t>
      </w:r>
    </w:p>
    <w:p w14:paraId="2FF3BB6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da morajo centri za ravnanje s komunalnimi odpadki kot uporabniki državne javne službe posredovati podatke o količinah sprejetih komunalnih odpadkov in količinah posameznih vrst gorljivih komunalnih odpadkov, ki so jih oddali v sežig. </w:t>
      </w:r>
    </w:p>
    <w:p w14:paraId="3469B71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6A292B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6.</w:t>
      </w:r>
      <w:r w:rsidRPr="00510685">
        <w:rPr>
          <w:rFonts w:ascii="Arial" w:eastAsia="Times New Roman" w:hAnsi="Arial" w:cs="Times New Roman"/>
          <w:b/>
          <w:kern w:val="0"/>
          <w:sz w:val="20"/>
          <w:szCs w:val="24"/>
          <w14:ligatures w14:val="none"/>
        </w:rPr>
        <w:tab/>
        <w:t>Viri financiranja državne javne službe</w:t>
      </w:r>
    </w:p>
    <w:p w14:paraId="35E2BB9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6434C2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12. členu</w:t>
      </w:r>
    </w:p>
    <w:p w14:paraId="6ECE164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načine financiranja državne javne službe. Ta se financira s plačili uporabnikov in prihodki od prodaje toplotne ali električne energije. </w:t>
      </w:r>
    </w:p>
    <w:p w14:paraId="7339FAB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253EC4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7.</w:t>
      </w:r>
      <w:r w:rsidRPr="00510685">
        <w:rPr>
          <w:rFonts w:ascii="Arial" w:eastAsia="Times New Roman" w:hAnsi="Arial" w:cs="Times New Roman"/>
          <w:b/>
          <w:kern w:val="0"/>
          <w:sz w:val="20"/>
          <w:szCs w:val="24"/>
          <w14:ligatures w14:val="none"/>
        </w:rPr>
        <w:tab/>
        <w:t>Cena storitev državne javne službe</w:t>
      </w:r>
    </w:p>
    <w:p w14:paraId="389B9F9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545D76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13. členu</w:t>
      </w:r>
    </w:p>
    <w:p w14:paraId="2365F7D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 xml:space="preserve">Ta člen daje Vladi RS pooblastilo, da s sklepom določi ceno storitve. Določa tudi daje cena oblikovana na enoto storitve (EUR/t). Določeno je tudi obdobje za katerega se določi cena. </w:t>
      </w:r>
    </w:p>
    <w:p w14:paraId="19E2CAE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C8DDB4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922F05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C6B0B8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K 14. členu</w:t>
      </w:r>
    </w:p>
    <w:p w14:paraId="21A51BC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kdo pripravi predlog cene, kaj mora upoštevati (projekcija rasti cen , projekcija sestave komunalnih odpadkov, obračunski izkaz naprave v preteklem obdobju).  Določa, da morajo elementi cene temeljiti na revidiranih računovodski izkazih. Določa tudi postopek določanja cene za izvajalca, ki šele začenja izvajati dejavnost (in ne poseduje podatkov za predhodno triletno obdobje).  </w:t>
      </w:r>
    </w:p>
    <w:p w14:paraId="562822F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CD2775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15. členu</w:t>
      </w:r>
    </w:p>
    <w:p w14:paraId="1138DFA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Člen določa postopek ravnanja v primeru, če ministrstvo pri pripravi predloga cene ugotovi, da elementi predlagane cene ali njen niso oblikovani v skladu s to uredbo in posledično pozove izvajalca k predložitvi popravljenega ali dopolnjenega izkaza in predloga cene. Ministrstvo lahko na podlagi tega člena pozove izvajalca k pripravi in predložitvi načrta za povečanje stroškovne učinkovitosti izvajanja javne službe. Če izvajalec ne predloži ustreznega načrta lahko ministrstvo samo pripravi tak predlog cene, da njena rast ni večja od treh odstotnih točk indeksa rasti cen življenjskih potrebščin.</w:t>
      </w:r>
    </w:p>
    <w:p w14:paraId="4DE8F97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DB6FE0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16. členu</w:t>
      </w:r>
    </w:p>
    <w:p w14:paraId="703B59E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Člen določa kateri stroški so podlaga za oblikovanje cene. Poleg stroškov vezanih na prevzem (transport , morebitna obdelava pred sežiganjem) in obdelavo (sežiganje, obdelava ostankov po sežigu, vzdrževanje objektov infrastrukture ) je vključen tudi dopustni donos, ki ga lahko izvajalec javne službe doseže na vložena sredstva.</w:t>
      </w:r>
    </w:p>
    <w:p w14:paraId="2FF508B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665B98C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17. členu</w:t>
      </w:r>
    </w:p>
    <w:p w14:paraId="6300539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Člen pojasnjuje elemente cene med katere sodijo upravičeni stroški in odbitne postavke, ki so podrobneje opisani v 18. in 19. členu. Cena storitve se izračuna kot razlika vrednosti upravičenih stroškov in odbitnih postavk, ter deli s količino prevzetih odpadkov.</w:t>
      </w:r>
    </w:p>
    <w:p w14:paraId="1E93D77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8BEDE7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18. členu</w:t>
      </w:r>
    </w:p>
    <w:p w14:paraId="3D69E92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Člen pojasnjuje kateri stroški so upravičeni (torej jih je mogoče povezati z izvajanjem storitev javne službe) in našteva skupine v katere se ti stroški razvrstijo. </w:t>
      </w:r>
    </w:p>
    <w:p w14:paraId="232165A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Določa tudi druge stroške (reklame, članarine, stroške svetovalnih storitev, …), ki jih izvajalec kot kalkulativni element lahko uvrsti v izračun do višine, ki predstavlja 0,5 % upravičenih stroškov.</w:t>
      </w:r>
    </w:p>
    <w:p w14:paraId="5345F9F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Določene so tudi vrste stroškov, ki jih izvajalec ne sme uvrstiti kot kalkulativni element cene v izračun upravičenih stroškov. </w:t>
      </w:r>
    </w:p>
    <w:p w14:paraId="3E93059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Člen podaja navodila glede amortizacije osnovnih sredstev in uporabe amortizacijskih stopenj iz priloge tega predpisa. </w:t>
      </w:r>
    </w:p>
    <w:p w14:paraId="294B618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 xml:space="preserve">Ustreznost razporejanja stroškov mora preveriti revizor in o tem izdati posebno poročilo. </w:t>
      </w:r>
    </w:p>
    <w:p w14:paraId="4BE95DC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 xml:space="preserve">Določa tudi, da mora biti, v primeru ko izvajalec infrastrukturo najema, najemnina obračunana v višini stroškov amortizacije najete infrastrukture . </w:t>
      </w:r>
    </w:p>
    <w:p w14:paraId="52C0283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Določa tudi enačbo za izračun donosa izvajalca javne službe ter omejuje maksimalno vrednost tega donosa na 2 % vrednosti poslovno potrebnih osnovnih sredstev.</w:t>
      </w:r>
    </w:p>
    <w:p w14:paraId="30D375F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B60354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19. členu</w:t>
      </w:r>
    </w:p>
    <w:p w14:paraId="74E7D9D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Člen pojasnjuje katere odbitne postavke izvajalec vključi v izračun cene (prihodke od prodaje proizvedene električne ali toplotne energije ali drugih proizvodov sežiganja). Med odbitne postavke mora izvajalec všteti tudi regulacijski popravek (razlika med prihodki in upravičenimi stroški za preteklo obdobje, ki ceno lahko zmanjšuje ali povečuje), neupravičene elemente cene ter druge prihodke iz preteklega obračunskega obdobja.</w:t>
      </w:r>
    </w:p>
    <w:p w14:paraId="7D9E495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C70FFF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20. členu</w:t>
      </w:r>
    </w:p>
    <w:p w14:paraId="5617E9A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Člen ureja poročanje izvajalca ministrstvu o poslovanju za preteklo poslovno leto in podrobneje našteva elemente poročila ter rok za oddajo.</w:t>
      </w:r>
    </w:p>
    <w:p w14:paraId="6E6BF72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Prav tako določa rok za oddajo in elemente poročila o predvidenem poslovanju za prihodnje poslovno leto. </w:t>
      </w:r>
    </w:p>
    <w:p w14:paraId="3EF639B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Izvajalec mora ministrstvu predložiti tudi revidirano letno poročilo družbe, v okviru katere je poslovnoizidna enota, ki izvaja javno službo. </w:t>
      </w:r>
    </w:p>
    <w:p w14:paraId="0710D62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BF48A9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Na podlagi predloženih poročil lahko ministrstvo predlaga Vladi, določitev nove cene do konca tekočega obdobja, če na podlagi predloženih poročil ugotovi, da so prihodki za več kot deset odstotkov odstopali od upravičenih stroškov.</w:t>
      </w:r>
    </w:p>
    <w:p w14:paraId="5F76407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694CFA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21. členu</w:t>
      </w:r>
    </w:p>
    <w:p w14:paraId="25EE33A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Člen ureja storitve, ki jih ob uporabi javne infrastrukture izvaja izvajalec javne službe in niso storitve javne službe – posebne storitve. Te storitve lahko izvaja le ob soglasju koncedenta. Izvajanje takih storitev je namenjeno zmanjšanju cene storitve javne službe. </w:t>
      </w:r>
    </w:p>
    <w:p w14:paraId="3E3F365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Člen izrecno določa da je izvajanje posebnih storitev </w:t>
      </w:r>
      <w:r w:rsidRPr="00510685">
        <w:rPr>
          <w:rFonts w:ascii="Arial" w:eastAsia="Times New Roman" w:hAnsi="Arial" w:cs="Times New Roman"/>
          <w:b/>
          <w:kern w:val="0"/>
          <w:sz w:val="20"/>
          <w:szCs w:val="24"/>
          <w14:ligatures w14:val="none"/>
        </w:rPr>
        <w:t>omejeno na odpadke nastale v Republiki Sloveniji</w:t>
      </w:r>
      <w:r w:rsidRPr="00510685">
        <w:rPr>
          <w:rFonts w:ascii="Arial" w:eastAsia="Times New Roman" w:hAnsi="Arial" w:cs="Times New Roman"/>
          <w:kern w:val="0"/>
          <w:sz w:val="20"/>
          <w:szCs w:val="24"/>
          <w14:ligatures w14:val="none"/>
        </w:rPr>
        <w:t>.</w:t>
      </w:r>
    </w:p>
    <w:p w14:paraId="1A13E6A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8840F4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D4AC74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8.</w:t>
      </w:r>
      <w:r w:rsidRPr="00510685">
        <w:rPr>
          <w:rFonts w:ascii="Arial" w:eastAsia="Times New Roman" w:hAnsi="Arial" w:cs="Times New Roman"/>
          <w:b/>
          <w:kern w:val="0"/>
          <w:sz w:val="20"/>
          <w:szCs w:val="24"/>
          <w14:ligatures w14:val="none"/>
        </w:rPr>
        <w:tab/>
        <w:t xml:space="preserve">Pogodba o uporabi storitev državne javne službe in plačila uporabnikov storitev državne javne službe </w:t>
      </w:r>
    </w:p>
    <w:p w14:paraId="48CB8FE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445CC26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22. členu</w:t>
      </w:r>
    </w:p>
    <w:p w14:paraId="359B8ED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Člen določa obveznost izvajalca in uporabnika storitev javne službe k sklenitvi pogodbe.</w:t>
      </w:r>
    </w:p>
    <w:p w14:paraId="2BC38D4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V pogodbi o opravljanju storitve se določijo zlasti: predvidena letna količina odpadkov in čas trajanja (enak trajanju koncesijske pogodbe) ter medsebojna razmerja v zvezi z izvajanjem javne službe.</w:t>
      </w:r>
    </w:p>
    <w:p w14:paraId="080F6EA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Določa tudi mesečno plačilo storitev javne službe na podlagi oddanih količin odpadkov izvajalcu.</w:t>
      </w:r>
    </w:p>
    <w:p w14:paraId="5313D2C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3A8B0B2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33749E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III</w:t>
      </w:r>
      <w:r w:rsidRPr="00510685">
        <w:rPr>
          <w:rFonts w:ascii="Arial" w:eastAsia="Times New Roman" w:hAnsi="Arial" w:cs="Times New Roman"/>
          <w:b/>
          <w:kern w:val="0"/>
          <w:sz w:val="20"/>
          <w:szCs w:val="24"/>
          <w14:ligatures w14:val="none"/>
        </w:rPr>
        <w:tab/>
        <w:t>Koncesija</w:t>
      </w:r>
    </w:p>
    <w:p w14:paraId="7B1B1D5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A41D7E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1.</w:t>
      </w:r>
      <w:r w:rsidRPr="00510685">
        <w:rPr>
          <w:rFonts w:ascii="Arial" w:eastAsia="Times New Roman" w:hAnsi="Arial" w:cs="Times New Roman"/>
          <w:b/>
          <w:kern w:val="0"/>
          <w:sz w:val="20"/>
          <w:szCs w:val="24"/>
          <w14:ligatures w14:val="none"/>
        </w:rPr>
        <w:tab/>
        <w:t>Podelitev koncesije</w:t>
      </w:r>
    </w:p>
    <w:p w14:paraId="2B0440A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D307BE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K 23. členu</w:t>
      </w:r>
    </w:p>
    <w:p w14:paraId="280DA90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Ta člen določa, da se koncesija lahko podeli največ trem koncesionarjem (en koncesionar na eno sežigalnico), kar lahko tudi pomeni, da en koncesionar upravlja več sežigalnic. Določa todi, da naloge koncedenta izvaja ministrstvo pristojno za okolje.</w:t>
      </w:r>
    </w:p>
    <w:p w14:paraId="2F1A4B2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EC220A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86BD92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2.</w:t>
      </w:r>
      <w:r w:rsidRPr="00510685">
        <w:rPr>
          <w:rFonts w:ascii="Arial" w:eastAsia="Times New Roman" w:hAnsi="Arial" w:cs="Times New Roman"/>
          <w:b/>
          <w:kern w:val="0"/>
          <w:sz w:val="20"/>
          <w:szCs w:val="24"/>
          <w14:ligatures w14:val="none"/>
        </w:rPr>
        <w:tab/>
        <w:t>Pogoji, ki jih mora izpolnjevati koncesionar</w:t>
      </w:r>
    </w:p>
    <w:p w14:paraId="7C7653E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27DC19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24. členu</w:t>
      </w:r>
    </w:p>
    <w:p w14:paraId="0D78EE0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da je lahko koncesionar fizična ali pravna oseba, če izpolnjuje pogoje, določene s to uredbo za izvajanje državne javne službe. </w:t>
      </w:r>
    </w:p>
    <w:p w14:paraId="734FC45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62C93A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25. členu</w:t>
      </w:r>
    </w:p>
    <w:p w14:paraId="072A2BB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pogoje, ki jih mora izpolnjevati koncesionar.</w:t>
      </w:r>
    </w:p>
    <w:p w14:paraId="77DCCDF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Poleg registracije za ravnanje z odpadki ter pridobitve vseh ustreznih dovoljenj in soglasij so med pogoii tudi:</w:t>
      </w:r>
    </w:p>
    <w:p w14:paraId="6CD69AE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Zagotovitev sprejema odpadkov s kurilno vrednostjo nad 6.000 kJ/kg. s.s. Odpadkov s tako kurilno vrednostjo  ni dovoljeno odlagati na odlagališča nenevarnih odpadkov, naprave, ki obratujejo na trgu (cementarne , …) pa kot pogoj za sprejem zahtevajo precej višjo kurilno vrednost.</w:t>
      </w:r>
    </w:p>
    <w:p w14:paraId="00017AD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da, prevzame pravno obliko družbe po kateri ustanovitelji družbe za obveznosti družbe odgovarjajo z vsem svojim premoženjem.</w:t>
      </w:r>
    </w:p>
    <w:p w14:paraId="53D26BB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 xml:space="preserve">da obveznosti do virov sredstev ne porežejo 66% sredstev v bilanci stanja koncesionarja. </w:t>
      </w:r>
    </w:p>
    <w:p w14:paraId="4A7BFF2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da od države, lokalne skupnosti ali družb v katerih je kot lastnik udeležena občina ali država nima pridobljenega poroštva za obveznosti iz naslova zadolževanja.</w:t>
      </w:r>
    </w:p>
    <w:p w14:paraId="11F7C26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8E89C7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EC8496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4B557D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3.</w:t>
      </w:r>
      <w:r w:rsidRPr="00510685">
        <w:rPr>
          <w:rFonts w:ascii="Arial" w:eastAsia="Times New Roman" w:hAnsi="Arial" w:cs="Times New Roman"/>
          <w:b/>
          <w:kern w:val="0"/>
          <w:sz w:val="20"/>
          <w:szCs w:val="24"/>
          <w14:ligatures w14:val="none"/>
        </w:rPr>
        <w:tab/>
        <w:t>Začetek in čas izvajanja koncesije državne javne službe</w:t>
      </w:r>
    </w:p>
    <w:p w14:paraId="5BF71E3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24EA7F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26. členu</w:t>
      </w:r>
    </w:p>
    <w:p w14:paraId="0E8E072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da se koncesijsko razmerje začne s podpisom koncesijske pogodbe.</w:t>
      </w:r>
    </w:p>
    <w:p w14:paraId="79B5DA0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 </w:t>
      </w:r>
    </w:p>
    <w:p w14:paraId="507B385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27. členu</w:t>
      </w:r>
    </w:p>
    <w:p w14:paraId="222CE86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da je čas izvajanja koncesije državne javne službe do 30 let. Tridesetletno obdobje je bilo kot najdaljše določeno na podlagi študije upravičenosti. Čas trajanja koncesije se bo določil s koncesijsko pogodbo po izvedenem postopku konkurenčnega dialoga in izbiri koncesionarja. Pri določitvi časa trajanja koncesije se bodo upoštevali ekonomika izvajanja dejavnosti državne javne službe, ponujena cena za izvajanje storitev državne javne službe in parametri iz 23. člena ZNKP, ki določa, da pri koncesijah, ki trajajo dlje od pet let, koncesija traja največ tako dolgo, da ne presega obdobja, v katerem lahko koncesionar upravičeno pričakuje, da se mu bodo povrnile naložbe, izvedene za izvajanje gradenj in storitev, pri čemer se upošteva primeren dobiček. Koncedent pri izračunu upošteva začetne in naknadne naložbe, potrebne za uresničitev določenih pogodbenih ciljev; isti člen tudi določa: 3) Za primeren dobiček iz prejšnjega odstavka velja opredelitev iz Uredbe 1370/2007/ES, ki primeren dobiček določa kot stopnjo donosa kapitala, ki je običajna za sektor v tej državi članici EU in ki mora upoštevati operativno tveganje ter tveganje ali odsotnost tveganja koncesionarja zaradi posegov organov oblasti.</w:t>
      </w:r>
    </w:p>
    <w:p w14:paraId="2FDD656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B87148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4.</w:t>
      </w:r>
      <w:r w:rsidRPr="00510685">
        <w:rPr>
          <w:rFonts w:ascii="Arial" w:eastAsia="Times New Roman" w:hAnsi="Arial" w:cs="Times New Roman"/>
          <w:b/>
          <w:kern w:val="0"/>
          <w:sz w:val="20"/>
          <w:szCs w:val="24"/>
          <w14:ligatures w14:val="none"/>
        </w:rPr>
        <w:tab/>
        <w:t>Postopek izbire koncesionarja</w:t>
      </w:r>
    </w:p>
    <w:p w14:paraId="682B542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61488FE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28. členu</w:t>
      </w:r>
    </w:p>
    <w:p w14:paraId="37C6213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Ta člen določa obliko in postopek javnega razpisa. Koncesija se lahko podeli zgolj na podlagi javnega razpisa. Izbira koncesionarja poteka s postopkom konkurenčnega dialoga (v skladu z določbami zakona, ki ureja javno-zasebno partnerstvo, in zakona, ki ureja nekatere koncesijske pogodbe), tako da bo mogoče v njegovem okviru opredeliti vse končne vsebine koncesijskega razmerja. V skladu z ZNKP postopek izbire ni več (posebni) upravni postopek, temveč je akt izbora akt poslovanja, ki se izpodbija v postopku revizije pred Državno revizijsko komisijo. Zoper odločitev slednje je dopusten upravni spor. Ne glede na to predlog uredbe določa vsebino javnega razpisa, pogoje in merila že na ravni uredbe kot predpisa materialnega prava in tako v bistvenem opredeljuje vsebino bodočega koncesijskega razmerja. Posebej so pogoji in/oziroma merila opredeljeni v 29. in 30. členu predloga uredbe.</w:t>
      </w:r>
    </w:p>
    <w:p w14:paraId="46F4CB3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825CCF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D34BF2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29. členu</w:t>
      </w:r>
    </w:p>
    <w:p w14:paraId="0B950C9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pogoje za sodelovanje v postopku javnega razpisa za podelitev koncesije. V skladu z ZNKP izbira ni več upravna zadeva, temveč je akt izbora akt poslovanja, ki se izpodbija v postopku revizije pred Državno revizijsko komisijo. Ne glede na to predlog uredbe določa vsebino javnega razpisa, pogoje in merila že na ravni uredbe kot predpisa materialnega prava, četudi je v skladu s členi 46.–50. ZNKP to lahko urejeno v javnem razpisu. Glede pogojev, ki so urejeni v 21. členu predloga uredbe (točka 1. do 10. tretjega odstavka), 46. člen ZNKP pooblašča koncedenta, da se ti določijo v obvestilu o koncesiji (to je v javnem razpisu), v naslednjem 47. členu ZNKP pa, da v obvestilu o koncesiji določi dokazila za izpolnjevanje pogojev. Pogoji in dokazila, ki niso določeni v 29. členu, bodo določeni v razpisni dokumentaciji v skladu z napotilom iz 12. točke tretjega odstavka in šestim odstavkom tega člena. Če oseba še nima sežigalnice odpadkov, lahko kljub temu sodeluje v postopku javnega razpisa za podelitev koncesije, če poda izjavo, v kateri se zaveže, da bo sežigalnico za sežiganje gorljivih komunalnih odpadkov zgradila in začela opravljati državno javno službo e najkasneje v sedmih letih od podelitve koncesije. Predlog uredbe sicer v drugem odstavku še povzema omejitev iz 38. člena ZJZP, ki preprečuje isti osebi, da v več prijavah nastopa v različnih vlogah. Prijavitelj mora sicer izpolnjevati tudi morebitne druge pogoje za izvajanje dejavnosti, ki jih določajo drugi predpisi.</w:t>
      </w:r>
    </w:p>
    <w:p w14:paraId="7010A7C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Člen vsebuje tudi omejitev nazivne kapacitete sežigalnice, ki lahko razpisano letno količino presega za največ 20%.</w:t>
      </w:r>
    </w:p>
    <w:p w14:paraId="4A01CD4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22D991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A565E2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30. členu</w:t>
      </w:r>
    </w:p>
    <w:p w14:paraId="0E668F0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merila, na podlagi katerih se bodo v postopku izbire koncesionarja izbrale najugodnejše prijave. Ne glede na to, da po ZNKP izbira ni več upravna zadeva, predlog uredbe določa vsebino javnega razpisa, pogoje in merila že na ravni uredbe kot predpisa materialnega prava, četudi je v skladu s členi 46.–50. ZNKP to lahko urejeno v javnem razpisu. Glede meril, ki so urejena v 22. členu predloga uredbe, 49. in 50. člen ZNKP določata, da se določijo v obvestilu o koncesiji (to je javnem razpisu). ZNKP natančneje v 50. členu ureja, da se koncesionar izbere na podlagi meril za izbor, ki jih določi koncedent, ta pa mora v obvestilu o koncesiji zagotoviti opis koncesije, minimalne zahteve, ki morajo biti izpolnjene, pogoje za sodelovanje in opis meril za izbor. To pomeni, da se pri razpisu določijo vsi parametri meril vključno z utežmi za oceno meril. Med merila so dodane tudi projektirane vrednosti emisij onesnaževal v okolje, četudi bodo morale vse sežigalnice obratovati znotraj mejnih vrednosti, kot jih določajo Zaključki o BAT za sežiganje odpadkov. Mejne vrednosti torej niso vprašanje, temveč nuja. Merilo vzpodbuja ponudnike k načrtovanju naprav, ki bodo zagotavljale čim nižje vrednosti onesnaževal v okolje</w:t>
      </w:r>
    </w:p>
    <w:p w14:paraId="0F89D45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 </w:t>
      </w:r>
    </w:p>
    <w:p w14:paraId="35A4BEF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5.</w:t>
      </w:r>
      <w:r w:rsidRPr="00510685">
        <w:rPr>
          <w:rFonts w:ascii="Arial" w:eastAsia="Times New Roman" w:hAnsi="Arial" w:cs="Times New Roman"/>
          <w:b/>
          <w:kern w:val="0"/>
          <w:sz w:val="20"/>
          <w:szCs w:val="24"/>
          <w14:ligatures w14:val="none"/>
        </w:rPr>
        <w:tab/>
        <w:t>Organ, ki opravi izbor koncesionarja, in organ, pristojen za sklenitev koncesijske pogodbe</w:t>
      </w:r>
    </w:p>
    <w:p w14:paraId="0C3DDE2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C800CE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31. členu</w:t>
      </w:r>
    </w:p>
    <w:p w14:paraId="177CD7F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kdaj se šteje, da je razpis uspešen, in primere, ko je treba razpis ponoviti.</w:t>
      </w:r>
    </w:p>
    <w:p w14:paraId="2B76AA0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264987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32. členu</w:t>
      </w:r>
    </w:p>
    <w:p w14:paraId="6839FE9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postopek izbire koncesionarja (odpiranje prijav, sestavo strokovne komisije za izbor, odločitev o izbiri,veljavnost…)</w:t>
      </w:r>
    </w:p>
    <w:p w14:paraId="13E9069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6DAF3CA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6.</w:t>
      </w:r>
      <w:r w:rsidRPr="00510685">
        <w:rPr>
          <w:rFonts w:ascii="Arial" w:eastAsia="Times New Roman" w:hAnsi="Arial" w:cs="Times New Roman"/>
          <w:b/>
          <w:kern w:val="0"/>
          <w:sz w:val="20"/>
          <w:szCs w:val="24"/>
          <w14:ligatures w14:val="none"/>
        </w:rPr>
        <w:tab/>
        <w:t>Koncesijsko razmerje</w:t>
      </w:r>
    </w:p>
    <w:p w14:paraId="76B7A6E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E8B58C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33. členu</w:t>
      </w:r>
    </w:p>
    <w:p w14:paraId="42D9377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kern w:val="0"/>
          <w:sz w:val="20"/>
          <w:szCs w:val="24"/>
          <w14:ligatures w14:val="none"/>
        </w:rPr>
        <w:t xml:space="preserve">Ta člen določa, da koncesionar v skladu z ureditvijo v predpisih, ki urejajo javno-zasebno partnerstvo, prevzema večino operativnih tveganj, povezanih z izvajanjem koncesije. </w:t>
      </w:r>
    </w:p>
    <w:p w14:paraId="2232799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05709FF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34. členu</w:t>
      </w:r>
    </w:p>
    <w:p w14:paraId="4CB6242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postopek za sklenitev koncesijske pogodbe, pri čemer je veljavnost koncesijske pogodbe vezana na predložitev finančnega jamstva za pravočasen začetek izvajanja pogodbenih obveznosti.</w:t>
      </w:r>
    </w:p>
    <w:p w14:paraId="02956F9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9E7C18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35. členu</w:t>
      </w:r>
    </w:p>
    <w:p w14:paraId="0AF7928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obvezne vsebine koncesijske pogodbe. V koncesijski pogodbi se določi tudi večina operativnih tveganj iz 25. člena te uredbe. Vsebino koncesijske pogodbe podrobneje določajo 57. in naslednji členi ZNKP.</w:t>
      </w:r>
    </w:p>
    <w:p w14:paraId="56BC86D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98E3C2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36. členu</w:t>
      </w:r>
    </w:p>
    <w:p w14:paraId="00A7622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da mora koncesionar za čas trajanja koncesijskega razmerja za izvajanje državne javne službe zagotavljati finančno jamstvo za zavarovanje izvedbe ukrepov, določenih v okoljevarstvenem dovoljenju, in za primere kot je morebitna čezmerna obremenitev okolja in ostale iz prvega odstavka tega člena. Upravičenec do sredstev finančnega jamstva iz tega člena je ministrstvo. Ta člen določa tudi način izračuna višine finančnega jamstva, ki je vezana na predvideno letno količino in ceno storitve. </w:t>
      </w:r>
    </w:p>
    <w:p w14:paraId="306DBA9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C9C7B8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A3B469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F0EEF2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AFAB4F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EFE42B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B5293D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9FF6B6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6C88B1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68CB31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EBE788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C23B03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02BCC2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B44BBE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6E979C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5F2116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291654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EE7CAC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D5B410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noProof/>
          <w:kern w:val="0"/>
          <w:sz w:val="20"/>
          <w:szCs w:val="24"/>
          <w14:ligatures w14:val="none"/>
        </w:rPr>
        <w:drawing>
          <wp:anchor distT="0" distB="0" distL="114300" distR="114300" simplePos="0" relativeHeight="251661312" behindDoc="0" locked="0" layoutInCell="1" allowOverlap="1" wp14:anchorId="2E1549E1" wp14:editId="10AD25D1">
            <wp:simplePos x="0" y="0"/>
            <wp:positionH relativeFrom="column">
              <wp:posOffset>4386</wp:posOffset>
            </wp:positionH>
            <wp:positionV relativeFrom="paragraph">
              <wp:posOffset>-2952056</wp:posOffset>
            </wp:positionV>
            <wp:extent cx="5047615" cy="3086735"/>
            <wp:effectExtent l="0" t="0" r="635" b="0"/>
            <wp:wrapSquare wrapText="bothSides"/>
            <wp:docPr id="3"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7615" cy="3086735"/>
                    </a:xfrm>
                    <a:prstGeom prst="rect">
                      <a:avLst/>
                    </a:prstGeom>
                    <a:noFill/>
                    <a:ln>
                      <a:noFill/>
                    </a:ln>
                  </pic:spPr>
                </pic:pic>
              </a:graphicData>
            </a:graphic>
          </wp:anchor>
        </w:drawing>
      </w:r>
    </w:p>
    <w:p w14:paraId="70D9DF3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Predložitev finančnega jamstva je pogoj za veljavnost koncesijske pogodbe in izvajanje državne javne službe.</w:t>
      </w:r>
    </w:p>
    <w:p w14:paraId="715513A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7DEC87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37. členu</w:t>
      </w:r>
    </w:p>
    <w:p w14:paraId="68BCD03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da ima koncesionar na podlagi koncesijske pogodbe posebno oziroma izključno pravico opravljati storitve, ki so predmet državne javne službe na območju izvajanja javne službe iz 6. člena te uredbe, te storitve pa mora opravljati v svojem imenu in za svoj račun.</w:t>
      </w:r>
    </w:p>
    <w:p w14:paraId="2E8C080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4D1BA8D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38. členu</w:t>
      </w:r>
    </w:p>
    <w:p w14:paraId="392811F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da ob neskladju med koncesijskim aktom in koncesijsko pogodbo velja koncesijski akt, koncesijska pogodba, ki je v nasprotju z zakonom ali to uredbo, pa je v tem delu neveljavna.</w:t>
      </w:r>
    </w:p>
    <w:p w14:paraId="5146523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1CC591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39. členu</w:t>
      </w:r>
    </w:p>
    <w:p w14:paraId="678212F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da lahko po sklenitvi koncesijske pogodbe koncedent spremeni koncesijski akt, če je treba v javnem interesu spremeniti način in pogoje izvajanja koncesije ali izvesti druge ukrepe v javnem interesu, kar vključuje tudi spremembo te uredbe zaradi spremembe količin trdnih gorljivih odpadkov, ki nastajajo na območju Republike Slovenije.</w:t>
      </w:r>
    </w:p>
    <w:p w14:paraId="041F024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Ob neskladju med koncesijskim aktom in koncesijsko pogodbo velja koncesijski akt, koncesijska pogodba, ki je v nasprotju z zakonom ali to uredbo, pa je v tem delu neveljavna.</w:t>
      </w:r>
    </w:p>
    <w:p w14:paraId="34A7F2A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A14D0B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40. členu</w:t>
      </w:r>
    </w:p>
    <w:p w14:paraId="7B98442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da je trajanje koncesijskega razmerja opredeljeno s koncesijsko pogodbo ter da začne teči z dnem začetka veljavnosti koncesijske pogodbe.</w:t>
      </w:r>
    </w:p>
    <w:p w14:paraId="1B7BDBD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9AEC0F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7.</w:t>
      </w:r>
      <w:r w:rsidRPr="00510685">
        <w:rPr>
          <w:rFonts w:ascii="Arial" w:eastAsia="Times New Roman" w:hAnsi="Arial" w:cs="Times New Roman"/>
          <w:b/>
          <w:kern w:val="0"/>
          <w:sz w:val="20"/>
          <w:szCs w:val="24"/>
          <w14:ligatures w14:val="none"/>
        </w:rPr>
        <w:tab/>
        <w:t>Razmerja koncesionarja do uporabnikov in koncedenta</w:t>
      </w:r>
    </w:p>
    <w:p w14:paraId="402DC47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6D698B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41. členu</w:t>
      </w:r>
    </w:p>
    <w:p w14:paraId="61AE7B8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pravila za izvajanje dejavnosti državne javne službe. Zahtevana je skladnost z zakoni, podzakonskimi predpisih in splošnimi pravnimi akti. Koncesionar nosi vse stroške v zvezi z izvajanjem javne službe ter zagotovi  ustrezne finančne, kadrovske in tehnične zmogljivosti za njeno izvajanje.</w:t>
      </w:r>
    </w:p>
    <w:p w14:paraId="7DC4CC7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Določa tudi obveznost zagotovitve delovanja javne službe v primeru stavke zaposlenih delavcev.</w:t>
      </w:r>
    </w:p>
    <w:p w14:paraId="01E4F1D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71D605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42. členu</w:t>
      </w:r>
    </w:p>
    <w:p w14:paraId="4D06217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zahteve koncesionarju za obveščanje koncedenta o vseh pomembnih dogodkih in okoliščinah, ki bi lahko vplivali na izvajanje koncesije. </w:t>
      </w:r>
    </w:p>
    <w:p w14:paraId="7F3F52C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B57C07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43. členu</w:t>
      </w:r>
    </w:p>
    <w:p w14:paraId="307F47C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razmejuje odgovornosti koncendenta in koncesionarja v zvezi z izvajanjem državne javne službe.</w:t>
      </w:r>
    </w:p>
    <w:p w14:paraId="1DF29AF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F304D4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K 44. členu</w:t>
      </w:r>
    </w:p>
    <w:p w14:paraId="7B124CB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Ta člen določa dolžnosti in pravice koncendenta.</w:t>
      </w:r>
    </w:p>
    <w:p w14:paraId="0815650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7D20DC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45. členu</w:t>
      </w:r>
    </w:p>
    <w:p w14:paraId="10670FF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pravice upravljavcev centrov za ravnanje s komunalnimi odpadki, ki so uporabniki storitve (nemoteno zagotavljanje storitve, enako obravnavo, uporabo storitve pod pogoji iz predpisa, možnost pritožbe na izvedbo storitve)</w:t>
      </w:r>
    </w:p>
    <w:p w14:paraId="5CDB4E1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44EC0E2"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8.</w:t>
      </w:r>
      <w:r w:rsidRPr="00510685">
        <w:rPr>
          <w:rFonts w:ascii="Arial" w:eastAsia="Times New Roman" w:hAnsi="Arial" w:cs="Times New Roman"/>
          <w:b/>
          <w:kern w:val="0"/>
          <w:sz w:val="20"/>
          <w:szCs w:val="24"/>
          <w14:ligatures w14:val="none"/>
        </w:rPr>
        <w:tab/>
        <w:t>Pravice in obveznosti koncesionarja</w:t>
      </w:r>
    </w:p>
    <w:p w14:paraId="3C4A8EB8"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135202E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K 46. členu</w:t>
      </w:r>
    </w:p>
    <w:p w14:paraId="4C4664D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pravice koncesionarja. Lahko izvaja tudi drugo dejavnost če to ne vpliva na izvajanje javne službe.</w:t>
      </w:r>
    </w:p>
    <w:p w14:paraId="439818F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D01F1A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K 47. členu</w:t>
      </w:r>
    </w:p>
    <w:p w14:paraId="0E9F6EA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Ta člen določa obveznosti  koncesionarja. Poleg rednega izvajanja dejavnosti, obratovalnega monoitoringa priprave poročil in poslovnih načrtov mora v primeru izvajanja druge dejavnosti voditi ločeno računovodstvo in ločeno spremljanje stroškov izvajanja. Zagotoviti mora, da sodila za razdelitev stroškov med obe dejavnosti preveri revizor.</w:t>
      </w:r>
    </w:p>
    <w:p w14:paraId="1565BDB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B2CBBC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7E2D6D8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48. členu</w:t>
      </w:r>
    </w:p>
    <w:p w14:paraId="2FCFCDF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obveznost obveščanja javnosti in nabor podatkov, o katerih mora javnost obveščati, vsi omenjeni podatki pa morajo biti javno dostopni na spletni strani še najmanj dve leti po prenehanju izvajanja državne javne službe.</w:t>
      </w:r>
    </w:p>
    <w:p w14:paraId="521CD17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369DD66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9.</w:t>
      </w:r>
      <w:r w:rsidRPr="00510685">
        <w:rPr>
          <w:rFonts w:ascii="Arial" w:eastAsia="Times New Roman" w:hAnsi="Arial" w:cs="Times New Roman"/>
          <w:b/>
          <w:kern w:val="0"/>
          <w:sz w:val="20"/>
          <w:szCs w:val="24"/>
          <w14:ligatures w14:val="none"/>
        </w:rPr>
        <w:tab/>
        <w:t>Enostranski ukrepi v javnem interesu</w:t>
      </w:r>
    </w:p>
    <w:p w14:paraId="6036B1B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D4B945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49. členu</w:t>
      </w:r>
    </w:p>
    <w:p w14:paraId="47869A8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da lahko koncendent enostransko (v obliki izrednega nadzora ali navodil) poseže v koncesijsko razmerje, če je treba zavarovati javni interes. </w:t>
      </w:r>
    </w:p>
    <w:p w14:paraId="11E4285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8EC0A2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10.</w:t>
      </w:r>
      <w:r w:rsidRPr="00510685">
        <w:rPr>
          <w:rFonts w:ascii="Arial" w:eastAsia="Times New Roman" w:hAnsi="Arial" w:cs="Times New Roman"/>
          <w:b/>
          <w:kern w:val="0"/>
          <w:sz w:val="20"/>
          <w:szCs w:val="24"/>
          <w14:ligatures w14:val="none"/>
        </w:rPr>
        <w:tab/>
        <w:t>Poročanje in nadzor</w:t>
      </w:r>
    </w:p>
    <w:p w14:paraId="124FADF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15D12D4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50. členu</w:t>
      </w:r>
    </w:p>
    <w:p w14:paraId="14C3BDA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zahteve glede vodenja evidenc, poročanja ministrstvu in hrambe podatkov.</w:t>
      </w:r>
    </w:p>
    <w:p w14:paraId="344EE7D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21FE8F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51. členu</w:t>
      </w:r>
    </w:p>
    <w:p w14:paraId="2D39DDE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podrobnejše zahteve glede poročanja ter tudi, da se posamezne podrobnosti glede poročanja uredijo v koncesijski pogodbi.</w:t>
      </w:r>
    </w:p>
    <w:p w14:paraId="2002659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6FF618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52. členu</w:t>
      </w:r>
    </w:p>
    <w:p w14:paraId="5E4DBA4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rok za pošiljanje letnih poročil o poslovanju ministrstvu, in sicer za poslovanje za preteklo poslovno leto in za predvideno poslovanje za prihodnje poslovno leto ter revidirano poročilo iz katerega so razvidna sodila in ločeno poslovanje.</w:t>
      </w:r>
    </w:p>
    <w:p w14:paraId="66EF489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4C1E30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53. členu</w:t>
      </w:r>
    </w:p>
    <w:p w14:paraId="1D2ECF7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 xml:space="preserve">Ta člen določa, da nadzor nad izvajanjem državne javne službe in koncesije opravljata ministrstvo pristojno za okolje ter inšpektorat, pristojen za okolje. Določa tudi zahtevo po omogočanju nadzora in način izvedbe nadzora. </w:t>
      </w:r>
    </w:p>
    <w:p w14:paraId="27D9FF38"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7120CBE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11.</w:t>
      </w:r>
      <w:r w:rsidRPr="00510685">
        <w:rPr>
          <w:rFonts w:ascii="Arial" w:eastAsia="Times New Roman" w:hAnsi="Arial" w:cs="Times New Roman"/>
          <w:b/>
          <w:kern w:val="0"/>
          <w:sz w:val="20"/>
          <w:szCs w:val="24"/>
          <w14:ligatures w14:val="none"/>
        </w:rPr>
        <w:tab/>
        <w:t>Prenos koncesijskega razmerja</w:t>
      </w:r>
    </w:p>
    <w:p w14:paraId="123B3E7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5D894F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54. členu</w:t>
      </w:r>
    </w:p>
    <w:p w14:paraId="60D81FA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ureja možnost prenosa koncesije na drugo osebo ob pridobljenem soglasju koncedenta. Ta možnost se podrobneje določi s koncesijsko pogodbo. </w:t>
      </w:r>
    </w:p>
    <w:p w14:paraId="5E43F60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7043587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12.</w:t>
      </w:r>
      <w:r w:rsidRPr="00510685">
        <w:rPr>
          <w:rFonts w:ascii="Arial" w:eastAsia="Times New Roman" w:hAnsi="Arial" w:cs="Times New Roman"/>
          <w:b/>
          <w:kern w:val="0"/>
          <w:sz w:val="20"/>
          <w:szCs w:val="24"/>
          <w14:ligatures w14:val="none"/>
        </w:rPr>
        <w:tab/>
        <w:t>Prenehanje koncesijskega razmerja</w:t>
      </w:r>
    </w:p>
    <w:p w14:paraId="62A6B8B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108D6F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55. členu</w:t>
      </w:r>
    </w:p>
    <w:p w14:paraId="3B2C7C9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tri možnosti za prenehanje koncesijskega razmerja: prenehanje koncesijske pogodbe, prenehanje koncesionarja ali odkup koncesije. </w:t>
      </w:r>
    </w:p>
    <w:p w14:paraId="34B41D5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7CD6A22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56. členu</w:t>
      </w:r>
    </w:p>
    <w:p w14:paraId="5118265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štiri pogoje za prenehanje koncesijske pogodbe, ki se podrobneje opredelijo v koncesijski pogodbi. </w:t>
      </w:r>
    </w:p>
    <w:p w14:paraId="2684701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1CBEB1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57. členu</w:t>
      </w:r>
    </w:p>
    <w:p w14:paraId="4706533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da koncesijska pogodba poteče s potekom roka, za katerega je bila sklenjena. </w:t>
      </w:r>
    </w:p>
    <w:p w14:paraId="58B3C6A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3D9457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58. členu</w:t>
      </w:r>
    </w:p>
    <w:p w14:paraId="414BD58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kdaj lahko koncesijsko pogodbo razdre koncendent ali koncesionar. Člen tudi določa, da je ob enostranskem razdrtju koncesijske pogodbe druga stran upravičena do povračila škode, ki je nastala zaradi takšnega razdrtja. </w:t>
      </w:r>
    </w:p>
    <w:p w14:paraId="154B855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D46562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59. členu</w:t>
      </w:r>
    </w:p>
    <w:p w14:paraId="5E632AC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da lahko vsaka stranka odstopi od koncesijske pogodbe, če je to v koncesijski pogodbi izrecno določeno in če druga stranka krši koncesijsko pogodbo, določa pa tudi, kaj se ne šteje za kršitev pogodbe na strani koncendenta. </w:t>
      </w:r>
    </w:p>
    <w:p w14:paraId="1D6DA2C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20AC83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60. členu</w:t>
      </w:r>
    </w:p>
    <w:p w14:paraId="42AFE5F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da lahko koncesijska pogodba zaradi bistveno spremenjenih okoliščin ekonomskega ali sistemskega značaja preneha tudi na podlagi sporazuma obeh pogodbenih strank.</w:t>
      </w:r>
    </w:p>
    <w:p w14:paraId="7115CB2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C1EBD1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61. členu</w:t>
      </w:r>
    </w:p>
    <w:p w14:paraId="7249820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da koncesijsko razmerje preneha ob prenehanju koncesionarja, če ta nima univerzalnega pravnega naslednika, in ob stečaju. </w:t>
      </w:r>
    </w:p>
    <w:p w14:paraId="090F5DC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D8D7D8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K 62. členu</w:t>
      </w:r>
    </w:p>
    <w:p w14:paraId="28155C8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 xml:space="preserve">Ta člen določa, da se lahko koncedent in koncesionar dogovorita o odkupu koncesije. Odkup je mogoč le tako, da vsa infrastruktura in obveznosti preidejo na koncendenta. </w:t>
      </w:r>
    </w:p>
    <w:p w14:paraId="568BF25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1DC2BF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13.</w:t>
      </w:r>
      <w:r w:rsidRPr="00510685">
        <w:rPr>
          <w:rFonts w:ascii="Arial" w:eastAsia="Times New Roman" w:hAnsi="Arial" w:cs="Times New Roman"/>
          <w:b/>
          <w:kern w:val="0"/>
          <w:sz w:val="20"/>
          <w:szCs w:val="24"/>
          <w14:ligatures w14:val="none"/>
        </w:rPr>
        <w:tab/>
        <w:t>Višja sila in spremenjene okoliščine</w:t>
      </w:r>
    </w:p>
    <w:p w14:paraId="068FD6C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72FA30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K 63. členu</w:t>
      </w:r>
    </w:p>
    <w:p w14:paraId="598D29D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ureja izvajanje koncesijskih obveznosti ob nastanku višje sile, pri čemer lahko to vodi tudi v sporazumno prenehanje koncesijskega razmerja. Koncesionarju daj možnost zahtevka za povračilo stroškov, ki so nastali zaradi opravljanja državne javne službe v nepredvidljivih okoliščinah.</w:t>
      </w:r>
    </w:p>
    <w:p w14:paraId="178BEE9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E4CA82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64. členu</w:t>
      </w:r>
    </w:p>
    <w:p w14:paraId="0DDC2B8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ureja stanje, če po sklenitvi koncesijske pogodbe nastanejo okoliščine, ki bistveno otežujejo izpolnjevanje obveznosti koncesionarja ali koncendenta, in sicer v taki meri, da bi bilo pogodbena tveganja nepravično prevaliti pretežno ali izključno le na eno od strank. </w:t>
      </w:r>
    </w:p>
    <w:p w14:paraId="527E8C9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BE57A8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14.</w:t>
      </w:r>
      <w:r w:rsidRPr="00510685">
        <w:rPr>
          <w:rFonts w:ascii="Arial" w:eastAsia="Times New Roman" w:hAnsi="Arial" w:cs="Times New Roman"/>
          <w:b/>
          <w:kern w:val="0"/>
          <w:sz w:val="20"/>
          <w:szCs w:val="24"/>
          <w14:ligatures w14:val="none"/>
        </w:rPr>
        <w:tab/>
        <w:t>Uporaba prava in reševanje sporov</w:t>
      </w:r>
    </w:p>
    <w:p w14:paraId="0D9AE49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A4124C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it-IT"/>
          <w14:ligatures w14:val="none"/>
        </w:rPr>
      </w:pPr>
      <w:r w:rsidRPr="00510685">
        <w:rPr>
          <w:rFonts w:ascii="Arial" w:eastAsia="Times New Roman" w:hAnsi="Arial" w:cs="Times New Roman"/>
          <w:b/>
          <w:kern w:val="0"/>
          <w:sz w:val="20"/>
          <w:szCs w:val="24"/>
          <w14:ligatures w14:val="none"/>
        </w:rPr>
        <w:t>K 65. členu</w:t>
      </w:r>
    </w:p>
    <w:p w14:paraId="002C42D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 xml:space="preserve">Ta člen določa izključno uporabo pravnega reda Republike Slovenije za vsa civilnopravna razmerja. </w:t>
      </w:r>
    </w:p>
    <w:p w14:paraId="3D0D8242" w14:textId="77777777" w:rsidR="00510685" w:rsidRPr="00510685" w:rsidRDefault="00510685" w:rsidP="00510685">
      <w:pPr>
        <w:tabs>
          <w:tab w:val="left" w:pos="708"/>
        </w:tabs>
        <w:spacing w:before="40" w:after="40" w:line="240" w:lineRule="auto"/>
        <w:rPr>
          <w:rFonts w:ascii="Arial" w:eastAsia="Times New Roman" w:hAnsi="Arial" w:cs="Times New Roman"/>
          <w:i/>
          <w:kern w:val="0"/>
          <w:sz w:val="20"/>
          <w:szCs w:val="24"/>
          <w14:ligatures w14:val="none"/>
        </w:rPr>
      </w:pPr>
    </w:p>
    <w:p w14:paraId="4A4AE862"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66. členu</w:t>
      </w:r>
    </w:p>
    <w:p w14:paraId="36C1C7A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da o sporih iz razmerij, povezanih z izvajanjem državne javne službe, ne morejo odločati tuja sodišča ali domača ali tuja arbitraža. </w:t>
      </w:r>
    </w:p>
    <w:p w14:paraId="43141EA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5E93BE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b/>
          <w:kern w:val="0"/>
          <w:sz w:val="20"/>
          <w:szCs w:val="24"/>
          <w14:ligatures w14:val="none"/>
        </w:rPr>
        <w:t>IV.</w:t>
      </w:r>
      <w:r w:rsidRPr="00510685">
        <w:rPr>
          <w:rFonts w:ascii="Arial" w:eastAsia="Times New Roman" w:hAnsi="Arial" w:cs="Times New Roman"/>
          <w:b/>
          <w:kern w:val="0"/>
          <w:sz w:val="20"/>
          <w:szCs w:val="24"/>
          <w14:ligatures w14:val="none"/>
        </w:rPr>
        <w:tab/>
        <w:t>Kazenske določbe</w:t>
      </w:r>
    </w:p>
    <w:p w14:paraId="0FAC904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A268DB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1. Prekrški uporabnika storitev državne javne službe</w:t>
      </w:r>
    </w:p>
    <w:p w14:paraId="641679B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4D4961F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67. členu</w:t>
      </w:r>
    </w:p>
    <w:p w14:paraId="133F0DF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 xml:space="preserve">Ta člen določa prekrške centrov za ravnanje s komunalnimi odpadki (primer, ko odpadkov ne odda izvajalcu javne službe). Poleg pravne osebe se kaznuje tudi odgovorna oseba pravne osebe. </w:t>
      </w:r>
    </w:p>
    <w:p w14:paraId="7507145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BA4517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2. Prekrški izvajalca državne javne službe</w:t>
      </w:r>
    </w:p>
    <w:p w14:paraId="59D6A98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B32BC0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68. členu</w:t>
      </w:r>
    </w:p>
    <w:p w14:paraId="0464D29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it-IT"/>
          <w14:ligatures w14:val="none"/>
        </w:rPr>
      </w:pPr>
      <w:r w:rsidRPr="00510685">
        <w:rPr>
          <w:rFonts w:ascii="Arial" w:eastAsia="Times New Roman" w:hAnsi="Arial" w:cs="Times New Roman"/>
          <w:kern w:val="0"/>
          <w:sz w:val="20"/>
          <w:szCs w:val="24"/>
          <w14:ligatures w14:val="none"/>
        </w:rPr>
        <w:t>Ta člen določa prekrške izvajalca državne javne službe (primer, ko o zastoju ne obvesti ministrstva ali uporabnikov ali vzdževanja ne uskladi z uporabniki). Poleg pravne osebe se kaznuje tudi odgovorna oseba pravne osebe.</w:t>
      </w:r>
    </w:p>
    <w:p w14:paraId="2AEF56C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3AE0D00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V.</w:t>
      </w:r>
      <w:r w:rsidRPr="00510685">
        <w:rPr>
          <w:rFonts w:ascii="Arial" w:eastAsia="Times New Roman" w:hAnsi="Arial" w:cs="Times New Roman"/>
          <w:b/>
          <w:kern w:val="0"/>
          <w:sz w:val="20"/>
          <w:szCs w:val="24"/>
          <w14:ligatures w14:val="none"/>
        </w:rPr>
        <w:tab/>
        <w:t>Prehodne in končne določbe</w:t>
      </w:r>
    </w:p>
    <w:p w14:paraId="5D9A990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EED899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69. členu</w:t>
      </w:r>
    </w:p>
    <w:p w14:paraId="49C557B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rok za sklenitev pogodbe o opravljanju storitev državne javne službe iz 14. člena te uredbe.</w:t>
      </w:r>
    </w:p>
    <w:p w14:paraId="32C25E0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59EBB0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70. členu</w:t>
      </w:r>
    </w:p>
    <w:p w14:paraId="157A4FD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Ta člen določa, kateri predpisi prenehajo veljati z uveljavitvijo te uredbe. Določa pa tudi, da se določbe predpisov, ki prenehajo veljati z uveljavitvijo te uredbe, uporabljajo do izteka obstoječe koncesijske pogodbe sežiganja komunalnih odpadkov na območju občin Savinjske regije ali do zaključka postopkov podaljšanja koncesije, sproženih na podlagi predpisov, ki prenehajo veljati z uveljavitvijo te uredbe. </w:t>
      </w:r>
    </w:p>
    <w:p w14:paraId="1054CEF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094522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71. členu</w:t>
      </w:r>
    </w:p>
    <w:p w14:paraId="7520E1D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ureja pridobitev koncesije po tej uredbi tudi za obstoječo sežigalnico v Celju, če se bo ta prilagodila pogojem iz te uredbe po izteku obstoječe koncesije, pridobljene na podlagi Uredbe o načinu, predmetu in pogojih opravljanja obvezne državne gospodarske javne službe sežiganja komunalnih odpadkov na območju občin Savinjske regije (Uradni list RS, št. 109/05, 62/08 in 6/16).</w:t>
      </w:r>
    </w:p>
    <w:p w14:paraId="09849AA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3F2D85E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72. členu</w:t>
      </w:r>
    </w:p>
    <w:p w14:paraId="5077DB1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Ta člen določa začetek veljavnosti te uredbe.</w:t>
      </w:r>
    </w:p>
    <w:p w14:paraId="211C12B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D05B8E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Prilogi 1</w:t>
      </w:r>
    </w:p>
    <w:p w14:paraId="6F93ADB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F7C34F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bookmarkStart w:id="39" w:name="_Hlk180654217"/>
      <w:r w:rsidRPr="00510685">
        <w:rPr>
          <w:rFonts w:ascii="Arial" w:eastAsia="Times New Roman" w:hAnsi="Arial" w:cs="Times New Roman"/>
          <w:kern w:val="0"/>
          <w:sz w:val="20"/>
          <w:szCs w:val="24"/>
          <w14:ligatures w14:val="none"/>
        </w:rPr>
        <w:t xml:space="preserve">Priloga 1 vsebuje postopek izračuna največje količine gorljivih sestavin za mešane komunalne odpadke s številko 20 03 01 (MKO) , ki se lahko v posameznem koledarskem letu sežgejo v okviru storitev državne javne službe (za vsako občino posebej). </w:t>
      </w:r>
    </w:p>
    <w:p w14:paraId="2B09191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Največja letna količine papirja, tekstila, lesa, plastike in gorljivih drugih odpadkov v MKO se v posameznem koledarskem letu za območje posamezne občine izračuna na podlagi </w:t>
      </w:r>
    </w:p>
    <w:p w14:paraId="171438A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povprečnih deležev teh odpadkov  v MKO je ocenjenem na podlagi rezultatov sortirnih analiz MKO, izdelanih za izhodiščno leto modelnega izračuna scenarijev razvoja ravnanja s komunalnimi odpadki.</w:t>
      </w:r>
    </w:p>
    <w:bookmarkEnd w:id="39"/>
    <w:p w14:paraId="7DCE72C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4170048"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K Prilogi 2</w:t>
      </w:r>
    </w:p>
    <w:p w14:paraId="3172B3E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86BA3F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Primer prikaza podatkov o največjih količinah gorljivih sestavin je izdelan za leto 2025 na podlagi podatkov o ravnanju s komunalnimi odpadki v izhodiščnem letu 2021.</w:t>
      </w:r>
    </w:p>
    <w:p w14:paraId="747E23C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62F7C7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6C6756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06922B7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1. del - največja letna količina gorljivih sestavin, ki nastanejo po mehanski obdelavi mešanih komunalnih odpadkov in se sežigajo kot storitev državne javne službe, je za leto 2025 navedena v spodnji tabeli:</w:t>
      </w:r>
    </w:p>
    <w:p w14:paraId="309B09B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tbl>
      <w:tblPr>
        <w:tblW w:w="9360" w:type="dxa"/>
        <w:tblInd w:w="85" w:type="dxa"/>
        <w:tblCellMar>
          <w:left w:w="70" w:type="dxa"/>
          <w:right w:w="70" w:type="dxa"/>
        </w:tblCellMar>
        <w:tblLook w:val="04A0" w:firstRow="1" w:lastRow="0" w:firstColumn="1" w:lastColumn="0" w:noHBand="0" w:noVBand="1"/>
      </w:tblPr>
      <w:tblGrid>
        <w:gridCol w:w="1240"/>
        <w:gridCol w:w="1263"/>
        <w:gridCol w:w="1263"/>
        <w:gridCol w:w="1320"/>
        <w:gridCol w:w="1480"/>
        <w:gridCol w:w="1440"/>
        <w:gridCol w:w="1420"/>
      </w:tblGrid>
      <w:tr w:rsidR="00510685" w:rsidRPr="00510685" w14:paraId="4FE1A361" w14:textId="77777777" w:rsidTr="00F17B26">
        <w:trPr>
          <w:trHeight w:val="1800"/>
        </w:trPr>
        <w:tc>
          <w:tcPr>
            <w:tcW w:w="1240" w:type="dxa"/>
            <w:tcBorders>
              <w:top w:val="single" w:sz="12" w:space="0" w:color="auto"/>
              <w:left w:val="single" w:sz="12" w:space="0" w:color="auto"/>
              <w:bottom w:val="nil"/>
              <w:right w:val="nil"/>
            </w:tcBorders>
            <w:shd w:val="clear" w:color="000000" w:fill="64FC68"/>
            <w:vAlign w:val="bottom"/>
            <w:hideMark/>
          </w:tcPr>
          <w:p w14:paraId="46CF966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w:t>
            </w:r>
          </w:p>
        </w:tc>
        <w:tc>
          <w:tcPr>
            <w:tcW w:w="1240" w:type="dxa"/>
            <w:tcBorders>
              <w:top w:val="single" w:sz="12" w:space="0" w:color="auto"/>
              <w:left w:val="single" w:sz="12" w:space="0" w:color="auto"/>
              <w:bottom w:val="nil"/>
              <w:right w:val="single" w:sz="4" w:space="0" w:color="auto"/>
            </w:tcBorders>
            <w:shd w:val="clear" w:color="000000" w:fill="64FC68"/>
            <w:vAlign w:val="bottom"/>
            <w:hideMark/>
          </w:tcPr>
          <w:p w14:paraId="24C8E13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xml:space="preserve">največja letna količina goriva iz mešanih komunalnih odpadkov </w:t>
            </w:r>
          </w:p>
        </w:tc>
        <w:tc>
          <w:tcPr>
            <w:tcW w:w="1220" w:type="dxa"/>
            <w:tcBorders>
              <w:top w:val="single" w:sz="12" w:space="0" w:color="auto"/>
              <w:left w:val="nil"/>
              <w:bottom w:val="nil"/>
              <w:right w:val="single" w:sz="4" w:space="0" w:color="auto"/>
            </w:tcBorders>
            <w:shd w:val="clear" w:color="000000" w:fill="64FC68"/>
            <w:vAlign w:val="bottom"/>
            <w:hideMark/>
          </w:tcPr>
          <w:p w14:paraId="49754DA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xml:space="preserve">največja letna količina goriva iz mešanih komunalnih odpadkov </w:t>
            </w:r>
          </w:p>
        </w:tc>
        <w:tc>
          <w:tcPr>
            <w:tcW w:w="1320" w:type="dxa"/>
            <w:tcBorders>
              <w:top w:val="single" w:sz="12" w:space="0" w:color="auto"/>
              <w:left w:val="nil"/>
              <w:bottom w:val="nil"/>
              <w:right w:val="single" w:sz="4" w:space="0" w:color="auto"/>
            </w:tcBorders>
            <w:shd w:val="clear" w:color="000000" w:fill="64FC68"/>
            <w:vAlign w:val="bottom"/>
            <w:hideMark/>
          </w:tcPr>
          <w:p w14:paraId="3431DD5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xml:space="preserve">največja letna količina goriva iz mešanih komunalnih odpadkov </w:t>
            </w:r>
          </w:p>
        </w:tc>
        <w:tc>
          <w:tcPr>
            <w:tcW w:w="1480" w:type="dxa"/>
            <w:tcBorders>
              <w:top w:val="single" w:sz="12" w:space="0" w:color="auto"/>
              <w:left w:val="nil"/>
              <w:bottom w:val="nil"/>
              <w:right w:val="single" w:sz="4" w:space="0" w:color="auto"/>
            </w:tcBorders>
            <w:shd w:val="clear" w:color="000000" w:fill="64FC68"/>
            <w:vAlign w:val="bottom"/>
            <w:hideMark/>
          </w:tcPr>
          <w:p w14:paraId="7805E16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xml:space="preserve">največja letna količina goriva iz mešanih komunalnih odpadkov </w:t>
            </w:r>
          </w:p>
        </w:tc>
        <w:tc>
          <w:tcPr>
            <w:tcW w:w="1440" w:type="dxa"/>
            <w:tcBorders>
              <w:top w:val="single" w:sz="12" w:space="0" w:color="auto"/>
              <w:left w:val="nil"/>
              <w:bottom w:val="nil"/>
              <w:right w:val="single" w:sz="4" w:space="0" w:color="auto"/>
            </w:tcBorders>
            <w:shd w:val="clear" w:color="000000" w:fill="64FC68"/>
            <w:vAlign w:val="bottom"/>
            <w:hideMark/>
          </w:tcPr>
          <w:p w14:paraId="14A4CAC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xml:space="preserve">največja letna količina goriva iz mešanih komunalnih odpadkov </w:t>
            </w:r>
          </w:p>
        </w:tc>
        <w:tc>
          <w:tcPr>
            <w:tcW w:w="1420" w:type="dxa"/>
            <w:tcBorders>
              <w:top w:val="single" w:sz="12" w:space="0" w:color="auto"/>
              <w:left w:val="nil"/>
              <w:bottom w:val="nil"/>
              <w:right w:val="single" w:sz="12" w:space="0" w:color="auto"/>
            </w:tcBorders>
            <w:shd w:val="clear" w:color="000000" w:fill="64FC68"/>
            <w:vAlign w:val="bottom"/>
            <w:hideMark/>
          </w:tcPr>
          <w:p w14:paraId="11038A6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xml:space="preserve">največja letna količina goriva iz mešanih komunalnih odpadkov </w:t>
            </w:r>
          </w:p>
        </w:tc>
      </w:tr>
      <w:tr w:rsidR="00510685" w:rsidRPr="00510685" w14:paraId="73AE1706" w14:textId="77777777" w:rsidTr="00F17B26">
        <w:trPr>
          <w:trHeight w:val="345"/>
        </w:trPr>
        <w:tc>
          <w:tcPr>
            <w:tcW w:w="1240" w:type="dxa"/>
            <w:tcBorders>
              <w:top w:val="nil"/>
              <w:left w:val="single" w:sz="12" w:space="0" w:color="auto"/>
              <w:bottom w:val="single" w:sz="12" w:space="0" w:color="auto"/>
              <w:right w:val="nil"/>
            </w:tcBorders>
            <w:shd w:val="clear" w:color="000000" w:fill="64FC68"/>
            <w:noWrap/>
            <w:vAlign w:val="bottom"/>
            <w:hideMark/>
          </w:tcPr>
          <w:p w14:paraId="1E4593C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leto</w:t>
            </w:r>
          </w:p>
        </w:tc>
        <w:tc>
          <w:tcPr>
            <w:tcW w:w="1240" w:type="dxa"/>
            <w:tcBorders>
              <w:top w:val="nil"/>
              <w:left w:val="single" w:sz="12" w:space="0" w:color="auto"/>
              <w:bottom w:val="single" w:sz="12" w:space="0" w:color="auto"/>
              <w:right w:val="single" w:sz="4" w:space="0" w:color="auto"/>
            </w:tcBorders>
            <w:shd w:val="clear" w:color="000000" w:fill="64FC68"/>
            <w:noWrap/>
            <w:vAlign w:val="bottom"/>
            <w:hideMark/>
          </w:tcPr>
          <w:p w14:paraId="6E434DC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papir</w:t>
            </w:r>
          </w:p>
        </w:tc>
        <w:tc>
          <w:tcPr>
            <w:tcW w:w="1220" w:type="dxa"/>
            <w:tcBorders>
              <w:top w:val="nil"/>
              <w:left w:val="nil"/>
              <w:bottom w:val="single" w:sz="12" w:space="0" w:color="auto"/>
              <w:right w:val="single" w:sz="4" w:space="0" w:color="auto"/>
            </w:tcBorders>
            <w:shd w:val="clear" w:color="000000" w:fill="64FC68"/>
            <w:noWrap/>
            <w:vAlign w:val="bottom"/>
            <w:hideMark/>
          </w:tcPr>
          <w:p w14:paraId="270C8BC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plastika</w:t>
            </w:r>
          </w:p>
        </w:tc>
        <w:tc>
          <w:tcPr>
            <w:tcW w:w="1320" w:type="dxa"/>
            <w:tcBorders>
              <w:top w:val="nil"/>
              <w:left w:val="nil"/>
              <w:bottom w:val="single" w:sz="12" w:space="0" w:color="auto"/>
              <w:right w:val="single" w:sz="4" w:space="0" w:color="auto"/>
            </w:tcBorders>
            <w:shd w:val="clear" w:color="000000" w:fill="64FC68"/>
            <w:noWrap/>
            <w:vAlign w:val="bottom"/>
            <w:hideMark/>
          </w:tcPr>
          <w:p w14:paraId="275A8D0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les</w:t>
            </w:r>
          </w:p>
        </w:tc>
        <w:tc>
          <w:tcPr>
            <w:tcW w:w="1480" w:type="dxa"/>
            <w:tcBorders>
              <w:top w:val="nil"/>
              <w:left w:val="nil"/>
              <w:bottom w:val="single" w:sz="12" w:space="0" w:color="auto"/>
              <w:right w:val="single" w:sz="4" w:space="0" w:color="auto"/>
            </w:tcBorders>
            <w:shd w:val="clear" w:color="000000" w:fill="64FC68"/>
            <w:noWrap/>
            <w:vAlign w:val="bottom"/>
            <w:hideMark/>
          </w:tcPr>
          <w:p w14:paraId="57E159E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tekstil</w:t>
            </w:r>
          </w:p>
        </w:tc>
        <w:tc>
          <w:tcPr>
            <w:tcW w:w="1440" w:type="dxa"/>
            <w:tcBorders>
              <w:top w:val="nil"/>
              <w:left w:val="nil"/>
              <w:bottom w:val="single" w:sz="12" w:space="0" w:color="auto"/>
              <w:right w:val="single" w:sz="4" w:space="0" w:color="auto"/>
            </w:tcBorders>
            <w:shd w:val="clear" w:color="000000" w:fill="64FC68"/>
            <w:noWrap/>
            <w:vAlign w:val="bottom"/>
            <w:hideMark/>
          </w:tcPr>
          <w:p w14:paraId="7B42BF4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drugi gorljivi</w:t>
            </w:r>
          </w:p>
        </w:tc>
        <w:tc>
          <w:tcPr>
            <w:tcW w:w="1420" w:type="dxa"/>
            <w:tcBorders>
              <w:top w:val="nil"/>
              <w:left w:val="nil"/>
              <w:bottom w:val="single" w:sz="12" w:space="0" w:color="auto"/>
              <w:right w:val="single" w:sz="12" w:space="0" w:color="auto"/>
            </w:tcBorders>
            <w:shd w:val="clear" w:color="000000" w:fill="64FC68"/>
            <w:noWrap/>
            <w:vAlign w:val="bottom"/>
            <w:hideMark/>
          </w:tcPr>
          <w:p w14:paraId="4AB0976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skupaj</w:t>
            </w:r>
          </w:p>
        </w:tc>
      </w:tr>
      <w:tr w:rsidR="00510685" w:rsidRPr="00510685" w14:paraId="7A653D7A" w14:textId="77777777" w:rsidTr="00F17B26">
        <w:trPr>
          <w:trHeight w:val="330"/>
        </w:trPr>
        <w:tc>
          <w:tcPr>
            <w:tcW w:w="12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78B626A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2021 (*)</w:t>
            </w:r>
          </w:p>
        </w:tc>
        <w:tc>
          <w:tcPr>
            <w:tcW w:w="1240" w:type="dxa"/>
            <w:tcBorders>
              <w:top w:val="nil"/>
              <w:left w:val="nil"/>
              <w:bottom w:val="single" w:sz="4" w:space="0" w:color="auto"/>
              <w:right w:val="single" w:sz="4" w:space="0" w:color="auto"/>
            </w:tcBorders>
            <w:shd w:val="clear" w:color="auto" w:fill="auto"/>
            <w:noWrap/>
            <w:vAlign w:val="bottom"/>
            <w:hideMark/>
          </w:tcPr>
          <w:p w14:paraId="7EF4EC9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28.018</w:t>
            </w:r>
          </w:p>
        </w:tc>
        <w:tc>
          <w:tcPr>
            <w:tcW w:w="1220" w:type="dxa"/>
            <w:tcBorders>
              <w:top w:val="nil"/>
              <w:left w:val="nil"/>
              <w:bottom w:val="single" w:sz="4" w:space="0" w:color="auto"/>
              <w:right w:val="single" w:sz="4" w:space="0" w:color="auto"/>
            </w:tcBorders>
            <w:shd w:val="clear" w:color="auto" w:fill="auto"/>
            <w:noWrap/>
            <w:vAlign w:val="bottom"/>
            <w:hideMark/>
          </w:tcPr>
          <w:p w14:paraId="152551A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34.994</w:t>
            </w:r>
          </w:p>
        </w:tc>
        <w:tc>
          <w:tcPr>
            <w:tcW w:w="1320" w:type="dxa"/>
            <w:tcBorders>
              <w:top w:val="nil"/>
              <w:left w:val="nil"/>
              <w:bottom w:val="single" w:sz="4" w:space="0" w:color="auto"/>
              <w:right w:val="single" w:sz="4" w:space="0" w:color="auto"/>
            </w:tcBorders>
            <w:shd w:val="clear" w:color="auto" w:fill="auto"/>
            <w:noWrap/>
            <w:vAlign w:val="bottom"/>
            <w:hideMark/>
          </w:tcPr>
          <w:p w14:paraId="53BAEDD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2.478</w:t>
            </w:r>
          </w:p>
        </w:tc>
        <w:tc>
          <w:tcPr>
            <w:tcW w:w="1480" w:type="dxa"/>
            <w:tcBorders>
              <w:top w:val="nil"/>
              <w:left w:val="nil"/>
              <w:bottom w:val="single" w:sz="4" w:space="0" w:color="auto"/>
              <w:right w:val="single" w:sz="4" w:space="0" w:color="auto"/>
            </w:tcBorders>
            <w:shd w:val="clear" w:color="auto" w:fill="auto"/>
            <w:noWrap/>
            <w:vAlign w:val="bottom"/>
            <w:hideMark/>
          </w:tcPr>
          <w:p w14:paraId="4543B12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22.499</w:t>
            </w:r>
          </w:p>
        </w:tc>
        <w:tc>
          <w:tcPr>
            <w:tcW w:w="1440" w:type="dxa"/>
            <w:tcBorders>
              <w:top w:val="nil"/>
              <w:left w:val="nil"/>
              <w:bottom w:val="single" w:sz="4" w:space="0" w:color="auto"/>
              <w:right w:val="single" w:sz="4" w:space="0" w:color="auto"/>
            </w:tcBorders>
            <w:shd w:val="clear" w:color="auto" w:fill="auto"/>
            <w:noWrap/>
            <w:vAlign w:val="bottom"/>
            <w:hideMark/>
          </w:tcPr>
          <w:p w14:paraId="50EF8FF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51.450</w:t>
            </w:r>
          </w:p>
        </w:tc>
        <w:tc>
          <w:tcPr>
            <w:tcW w:w="1420" w:type="dxa"/>
            <w:tcBorders>
              <w:top w:val="nil"/>
              <w:left w:val="nil"/>
              <w:bottom w:val="single" w:sz="4" w:space="0" w:color="auto"/>
              <w:right w:val="single" w:sz="12" w:space="0" w:color="auto"/>
            </w:tcBorders>
            <w:shd w:val="clear" w:color="auto" w:fill="auto"/>
            <w:noWrap/>
            <w:vAlign w:val="bottom"/>
            <w:hideMark/>
          </w:tcPr>
          <w:p w14:paraId="1172C11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139.439</w:t>
            </w:r>
          </w:p>
        </w:tc>
      </w:tr>
      <w:tr w:rsidR="00510685" w:rsidRPr="00510685" w14:paraId="26088863" w14:textId="77777777" w:rsidTr="00F17B26">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18F47A2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2025 (**)</w:t>
            </w:r>
          </w:p>
        </w:tc>
        <w:tc>
          <w:tcPr>
            <w:tcW w:w="1240" w:type="dxa"/>
            <w:tcBorders>
              <w:top w:val="nil"/>
              <w:left w:val="nil"/>
              <w:bottom w:val="single" w:sz="4" w:space="0" w:color="auto"/>
              <w:right w:val="single" w:sz="4" w:space="0" w:color="auto"/>
            </w:tcBorders>
            <w:shd w:val="clear" w:color="auto" w:fill="auto"/>
            <w:noWrap/>
            <w:vAlign w:val="bottom"/>
            <w:hideMark/>
          </w:tcPr>
          <w:p w14:paraId="75FE84A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26.207</w:t>
            </w:r>
          </w:p>
        </w:tc>
        <w:tc>
          <w:tcPr>
            <w:tcW w:w="1220" w:type="dxa"/>
            <w:tcBorders>
              <w:top w:val="nil"/>
              <w:left w:val="nil"/>
              <w:bottom w:val="single" w:sz="4" w:space="0" w:color="auto"/>
              <w:right w:val="single" w:sz="4" w:space="0" w:color="auto"/>
            </w:tcBorders>
            <w:shd w:val="clear" w:color="auto" w:fill="auto"/>
            <w:noWrap/>
            <w:vAlign w:val="bottom"/>
            <w:hideMark/>
          </w:tcPr>
          <w:p w14:paraId="4032EE4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26.501</w:t>
            </w:r>
          </w:p>
        </w:tc>
        <w:tc>
          <w:tcPr>
            <w:tcW w:w="1320" w:type="dxa"/>
            <w:tcBorders>
              <w:top w:val="nil"/>
              <w:left w:val="nil"/>
              <w:bottom w:val="single" w:sz="4" w:space="0" w:color="auto"/>
              <w:right w:val="single" w:sz="4" w:space="0" w:color="auto"/>
            </w:tcBorders>
            <w:shd w:val="clear" w:color="auto" w:fill="auto"/>
            <w:noWrap/>
            <w:vAlign w:val="bottom"/>
            <w:hideMark/>
          </w:tcPr>
          <w:p w14:paraId="7CEAFE7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2.683</w:t>
            </w:r>
          </w:p>
        </w:tc>
        <w:tc>
          <w:tcPr>
            <w:tcW w:w="1480" w:type="dxa"/>
            <w:tcBorders>
              <w:top w:val="nil"/>
              <w:left w:val="nil"/>
              <w:bottom w:val="single" w:sz="4" w:space="0" w:color="auto"/>
              <w:right w:val="single" w:sz="4" w:space="0" w:color="auto"/>
            </w:tcBorders>
            <w:shd w:val="clear" w:color="auto" w:fill="auto"/>
            <w:noWrap/>
            <w:vAlign w:val="bottom"/>
            <w:hideMark/>
          </w:tcPr>
          <w:p w14:paraId="5E3106A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22.406</w:t>
            </w:r>
          </w:p>
        </w:tc>
        <w:tc>
          <w:tcPr>
            <w:tcW w:w="1440" w:type="dxa"/>
            <w:tcBorders>
              <w:top w:val="nil"/>
              <w:left w:val="nil"/>
              <w:bottom w:val="single" w:sz="4" w:space="0" w:color="auto"/>
              <w:right w:val="single" w:sz="4" w:space="0" w:color="auto"/>
            </w:tcBorders>
            <w:shd w:val="clear" w:color="auto" w:fill="auto"/>
            <w:noWrap/>
            <w:vAlign w:val="bottom"/>
            <w:hideMark/>
          </w:tcPr>
          <w:p w14:paraId="19DA06F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53.712</w:t>
            </w:r>
          </w:p>
        </w:tc>
        <w:tc>
          <w:tcPr>
            <w:tcW w:w="1420" w:type="dxa"/>
            <w:tcBorders>
              <w:top w:val="nil"/>
              <w:left w:val="nil"/>
              <w:bottom w:val="single" w:sz="4" w:space="0" w:color="auto"/>
              <w:right w:val="single" w:sz="12" w:space="0" w:color="auto"/>
            </w:tcBorders>
            <w:shd w:val="clear" w:color="auto" w:fill="auto"/>
            <w:noWrap/>
            <w:vAlign w:val="bottom"/>
            <w:hideMark/>
          </w:tcPr>
          <w:p w14:paraId="5C4A360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131.509</w:t>
            </w:r>
          </w:p>
        </w:tc>
      </w:tr>
      <w:tr w:rsidR="00510685" w:rsidRPr="00510685" w14:paraId="4FBC8C86" w14:textId="77777777" w:rsidTr="00F17B26">
        <w:trPr>
          <w:trHeight w:val="46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3064F48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2026</w:t>
            </w:r>
          </w:p>
        </w:tc>
        <w:tc>
          <w:tcPr>
            <w:tcW w:w="1240" w:type="dxa"/>
            <w:tcBorders>
              <w:top w:val="nil"/>
              <w:left w:val="nil"/>
              <w:bottom w:val="single" w:sz="4" w:space="0" w:color="auto"/>
              <w:right w:val="single" w:sz="4" w:space="0" w:color="auto"/>
            </w:tcBorders>
            <w:shd w:val="clear" w:color="auto" w:fill="auto"/>
            <w:noWrap/>
            <w:vAlign w:val="bottom"/>
            <w:hideMark/>
          </w:tcPr>
          <w:p w14:paraId="2C05286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25.208</w:t>
            </w:r>
          </w:p>
        </w:tc>
        <w:tc>
          <w:tcPr>
            <w:tcW w:w="1220" w:type="dxa"/>
            <w:tcBorders>
              <w:top w:val="nil"/>
              <w:left w:val="nil"/>
              <w:bottom w:val="single" w:sz="4" w:space="0" w:color="auto"/>
              <w:right w:val="single" w:sz="4" w:space="0" w:color="auto"/>
            </w:tcBorders>
            <w:shd w:val="clear" w:color="auto" w:fill="auto"/>
            <w:noWrap/>
            <w:vAlign w:val="bottom"/>
            <w:hideMark/>
          </w:tcPr>
          <w:p w14:paraId="5CEC811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23.665</w:t>
            </w:r>
          </w:p>
        </w:tc>
        <w:tc>
          <w:tcPr>
            <w:tcW w:w="1320" w:type="dxa"/>
            <w:tcBorders>
              <w:top w:val="nil"/>
              <w:left w:val="nil"/>
              <w:bottom w:val="single" w:sz="4" w:space="0" w:color="auto"/>
              <w:right w:val="single" w:sz="4" w:space="0" w:color="auto"/>
            </w:tcBorders>
            <w:shd w:val="clear" w:color="auto" w:fill="auto"/>
            <w:noWrap/>
            <w:vAlign w:val="bottom"/>
            <w:hideMark/>
          </w:tcPr>
          <w:p w14:paraId="7822131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2.736</w:t>
            </w:r>
          </w:p>
        </w:tc>
        <w:tc>
          <w:tcPr>
            <w:tcW w:w="1480" w:type="dxa"/>
            <w:tcBorders>
              <w:top w:val="nil"/>
              <w:left w:val="nil"/>
              <w:bottom w:val="single" w:sz="4" w:space="0" w:color="auto"/>
              <w:right w:val="single" w:sz="4" w:space="0" w:color="auto"/>
            </w:tcBorders>
            <w:shd w:val="clear" w:color="auto" w:fill="auto"/>
            <w:noWrap/>
            <w:vAlign w:val="bottom"/>
            <w:hideMark/>
          </w:tcPr>
          <w:p w14:paraId="4E44611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21.561</w:t>
            </w:r>
          </w:p>
        </w:tc>
        <w:tc>
          <w:tcPr>
            <w:tcW w:w="1440" w:type="dxa"/>
            <w:tcBorders>
              <w:top w:val="nil"/>
              <w:left w:val="nil"/>
              <w:bottom w:val="single" w:sz="4" w:space="0" w:color="auto"/>
              <w:right w:val="single" w:sz="4" w:space="0" w:color="auto"/>
            </w:tcBorders>
            <w:shd w:val="clear" w:color="auto" w:fill="auto"/>
            <w:noWrap/>
            <w:vAlign w:val="bottom"/>
            <w:hideMark/>
          </w:tcPr>
          <w:p w14:paraId="304D2DC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54.787</w:t>
            </w:r>
          </w:p>
        </w:tc>
        <w:tc>
          <w:tcPr>
            <w:tcW w:w="1420" w:type="dxa"/>
            <w:tcBorders>
              <w:top w:val="nil"/>
              <w:left w:val="nil"/>
              <w:bottom w:val="single" w:sz="4" w:space="0" w:color="auto"/>
              <w:right w:val="single" w:sz="12" w:space="0" w:color="auto"/>
            </w:tcBorders>
            <w:shd w:val="clear" w:color="auto" w:fill="auto"/>
            <w:noWrap/>
            <w:vAlign w:val="bottom"/>
            <w:hideMark/>
          </w:tcPr>
          <w:p w14:paraId="1BE2329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127.957</w:t>
            </w:r>
          </w:p>
        </w:tc>
      </w:tr>
      <w:tr w:rsidR="00510685" w:rsidRPr="00510685" w14:paraId="1A3994F3" w14:textId="77777777" w:rsidTr="00F17B26">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0F67C23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2027</w:t>
            </w:r>
          </w:p>
        </w:tc>
        <w:tc>
          <w:tcPr>
            <w:tcW w:w="1240" w:type="dxa"/>
            <w:tcBorders>
              <w:top w:val="nil"/>
              <w:left w:val="nil"/>
              <w:bottom w:val="single" w:sz="4" w:space="0" w:color="auto"/>
              <w:right w:val="single" w:sz="4" w:space="0" w:color="auto"/>
            </w:tcBorders>
            <w:shd w:val="clear" w:color="auto" w:fill="auto"/>
            <w:noWrap/>
            <w:vAlign w:val="bottom"/>
            <w:hideMark/>
          </w:tcPr>
          <w:p w14:paraId="1A92105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24.179</w:t>
            </w:r>
          </w:p>
        </w:tc>
        <w:tc>
          <w:tcPr>
            <w:tcW w:w="1220" w:type="dxa"/>
            <w:tcBorders>
              <w:top w:val="nil"/>
              <w:left w:val="nil"/>
              <w:bottom w:val="single" w:sz="4" w:space="0" w:color="auto"/>
              <w:right w:val="single" w:sz="4" w:space="0" w:color="auto"/>
            </w:tcBorders>
            <w:shd w:val="clear" w:color="auto" w:fill="auto"/>
            <w:noWrap/>
            <w:vAlign w:val="bottom"/>
            <w:hideMark/>
          </w:tcPr>
          <w:p w14:paraId="7089D66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20.683</w:t>
            </w:r>
          </w:p>
        </w:tc>
        <w:tc>
          <w:tcPr>
            <w:tcW w:w="1320" w:type="dxa"/>
            <w:tcBorders>
              <w:top w:val="nil"/>
              <w:left w:val="nil"/>
              <w:bottom w:val="single" w:sz="4" w:space="0" w:color="auto"/>
              <w:right w:val="single" w:sz="4" w:space="0" w:color="auto"/>
            </w:tcBorders>
            <w:shd w:val="clear" w:color="auto" w:fill="auto"/>
            <w:noWrap/>
            <w:vAlign w:val="bottom"/>
            <w:hideMark/>
          </w:tcPr>
          <w:p w14:paraId="72F451B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2.759</w:t>
            </w:r>
          </w:p>
        </w:tc>
        <w:tc>
          <w:tcPr>
            <w:tcW w:w="1480" w:type="dxa"/>
            <w:tcBorders>
              <w:top w:val="nil"/>
              <w:left w:val="nil"/>
              <w:bottom w:val="single" w:sz="4" w:space="0" w:color="auto"/>
              <w:right w:val="single" w:sz="4" w:space="0" w:color="auto"/>
            </w:tcBorders>
            <w:shd w:val="clear" w:color="auto" w:fill="auto"/>
            <w:noWrap/>
            <w:vAlign w:val="bottom"/>
            <w:hideMark/>
          </w:tcPr>
          <w:p w14:paraId="21EEC66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20.472</w:t>
            </w:r>
          </w:p>
        </w:tc>
        <w:tc>
          <w:tcPr>
            <w:tcW w:w="1440" w:type="dxa"/>
            <w:tcBorders>
              <w:top w:val="nil"/>
              <w:left w:val="nil"/>
              <w:bottom w:val="single" w:sz="4" w:space="0" w:color="auto"/>
              <w:right w:val="single" w:sz="4" w:space="0" w:color="auto"/>
            </w:tcBorders>
            <w:shd w:val="clear" w:color="auto" w:fill="auto"/>
            <w:noWrap/>
            <w:vAlign w:val="bottom"/>
            <w:hideMark/>
          </w:tcPr>
          <w:p w14:paraId="603DFB7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55.882</w:t>
            </w:r>
          </w:p>
        </w:tc>
        <w:tc>
          <w:tcPr>
            <w:tcW w:w="1420" w:type="dxa"/>
            <w:tcBorders>
              <w:top w:val="nil"/>
              <w:left w:val="nil"/>
              <w:bottom w:val="single" w:sz="4" w:space="0" w:color="auto"/>
              <w:right w:val="single" w:sz="12" w:space="0" w:color="auto"/>
            </w:tcBorders>
            <w:shd w:val="clear" w:color="auto" w:fill="auto"/>
            <w:noWrap/>
            <w:vAlign w:val="bottom"/>
            <w:hideMark/>
          </w:tcPr>
          <w:p w14:paraId="44E4D7D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123.975</w:t>
            </w:r>
          </w:p>
        </w:tc>
      </w:tr>
      <w:tr w:rsidR="00510685" w:rsidRPr="00510685" w14:paraId="2FBC2802" w14:textId="77777777" w:rsidTr="00F17B26">
        <w:trPr>
          <w:trHeight w:val="48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2E13DE1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2028</w:t>
            </w:r>
          </w:p>
        </w:tc>
        <w:tc>
          <w:tcPr>
            <w:tcW w:w="1240" w:type="dxa"/>
            <w:tcBorders>
              <w:top w:val="nil"/>
              <w:left w:val="nil"/>
              <w:bottom w:val="single" w:sz="4" w:space="0" w:color="auto"/>
              <w:right w:val="single" w:sz="4" w:space="0" w:color="auto"/>
            </w:tcBorders>
            <w:shd w:val="clear" w:color="auto" w:fill="auto"/>
            <w:noWrap/>
            <w:vAlign w:val="bottom"/>
            <w:hideMark/>
          </w:tcPr>
          <w:p w14:paraId="4B3BA11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23.119</w:t>
            </w:r>
          </w:p>
        </w:tc>
        <w:tc>
          <w:tcPr>
            <w:tcW w:w="1220" w:type="dxa"/>
            <w:tcBorders>
              <w:top w:val="nil"/>
              <w:left w:val="nil"/>
              <w:bottom w:val="single" w:sz="4" w:space="0" w:color="auto"/>
              <w:right w:val="single" w:sz="4" w:space="0" w:color="auto"/>
            </w:tcBorders>
            <w:shd w:val="clear" w:color="auto" w:fill="auto"/>
            <w:noWrap/>
            <w:vAlign w:val="bottom"/>
            <w:hideMark/>
          </w:tcPr>
          <w:p w14:paraId="49A105C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17.548</w:t>
            </w:r>
          </w:p>
        </w:tc>
        <w:tc>
          <w:tcPr>
            <w:tcW w:w="1320" w:type="dxa"/>
            <w:tcBorders>
              <w:top w:val="nil"/>
              <w:left w:val="nil"/>
              <w:bottom w:val="single" w:sz="4" w:space="0" w:color="auto"/>
              <w:right w:val="single" w:sz="4" w:space="0" w:color="auto"/>
            </w:tcBorders>
            <w:shd w:val="clear" w:color="auto" w:fill="auto"/>
            <w:noWrap/>
            <w:vAlign w:val="bottom"/>
            <w:hideMark/>
          </w:tcPr>
          <w:p w14:paraId="4167126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2.531</w:t>
            </w:r>
          </w:p>
        </w:tc>
        <w:tc>
          <w:tcPr>
            <w:tcW w:w="1480" w:type="dxa"/>
            <w:tcBorders>
              <w:top w:val="nil"/>
              <w:left w:val="nil"/>
              <w:bottom w:val="single" w:sz="4" w:space="0" w:color="auto"/>
              <w:right w:val="single" w:sz="4" w:space="0" w:color="auto"/>
            </w:tcBorders>
            <w:shd w:val="clear" w:color="auto" w:fill="auto"/>
            <w:noWrap/>
            <w:vAlign w:val="bottom"/>
            <w:hideMark/>
          </w:tcPr>
          <w:p w14:paraId="2A3B0B2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19.078</w:t>
            </w:r>
          </w:p>
        </w:tc>
        <w:tc>
          <w:tcPr>
            <w:tcW w:w="1440" w:type="dxa"/>
            <w:tcBorders>
              <w:top w:val="nil"/>
              <w:left w:val="nil"/>
              <w:bottom w:val="single" w:sz="4" w:space="0" w:color="auto"/>
              <w:right w:val="single" w:sz="4" w:space="0" w:color="auto"/>
            </w:tcBorders>
            <w:shd w:val="clear" w:color="auto" w:fill="auto"/>
            <w:noWrap/>
            <w:vAlign w:val="bottom"/>
            <w:hideMark/>
          </w:tcPr>
          <w:p w14:paraId="3628E24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57.000</w:t>
            </w:r>
          </w:p>
        </w:tc>
        <w:tc>
          <w:tcPr>
            <w:tcW w:w="1420" w:type="dxa"/>
            <w:tcBorders>
              <w:top w:val="nil"/>
              <w:left w:val="nil"/>
              <w:bottom w:val="single" w:sz="4" w:space="0" w:color="auto"/>
              <w:right w:val="single" w:sz="12" w:space="0" w:color="auto"/>
            </w:tcBorders>
            <w:shd w:val="clear" w:color="auto" w:fill="auto"/>
            <w:noWrap/>
            <w:vAlign w:val="bottom"/>
            <w:hideMark/>
          </w:tcPr>
          <w:p w14:paraId="597D1C8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119.276</w:t>
            </w:r>
          </w:p>
        </w:tc>
      </w:tr>
      <w:tr w:rsidR="00510685" w:rsidRPr="00510685" w14:paraId="7AD3119B" w14:textId="77777777" w:rsidTr="00F17B26">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60579AB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2029</w:t>
            </w:r>
          </w:p>
        </w:tc>
        <w:tc>
          <w:tcPr>
            <w:tcW w:w="1240" w:type="dxa"/>
            <w:tcBorders>
              <w:top w:val="nil"/>
              <w:left w:val="nil"/>
              <w:bottom w:val="single" w:sz="4" w:space="0" w:color="auto"/>
              <w:right w:val="single" w:sz="4" w:space="0" w:color="auto"/>
            </w:tcBorders>
            <w:shd w:val="clear" w:color="auto" w:fill="auto"/>
            <w:noWrap/>
            <w:vAlign w:val="bottom"/>
            <w:hideMark/>
          </w:tcPr>
          <w:p w14:paraId="1BD7049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22.026</w:t>
            </w:r>
          </w:p>
        </w:tc>
        <w:tc>
          <w:tcPr>
            <w:tcW w:w="1220" w:type="dxa"/>
            <w:tcBorders>
              <w:top w:val="nil"/>
              <w:left w:val="nil"/>
              <w:bottom w:val="single" w:sz="4" w:space="0" w:color="auto"/>
              <w:right w:val="single" w:sz="4" w:space="0" w:color="auto"/>
            </w:tcBorders>
            <w:shd w:val="clear" w:color="auto" w:fill="auto"/>
            <w:noWrap/>
            <w:vAlign w:val="bottom"/>
            <w:hideMark/>
          </w:tcPr>
          <w:p w14:paraId="22D90CB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14.252</w:t>
            </w:r>
          </w:p>
        </w:tc>
        <w:tc>
          <w:tcPr>
            <w:tcW w:w="1320" w:type="dxa"/>
            <w:tcBorders>
              <w:top w:val="nil"/>
              <w:left w:val="nil"/>
              <w:bottom w:val="single" w:sz="4" w:space="0" w:color="auto"/>
              <w:right w:val="single" w:sz="4" w:space="0" w:color="auto"/>
            </w:tcBorders>
            <w:shd w:val="clear" w:color="auto" w:fill="auto"/>
            <w:noWrap/>
            <w:vAlign w:val="bottom"/>
            <w:hideMark/>
          </w:tcPr>
          <w:p w14:paraId="7BC8E6B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2.289</w:t>
            </w:r>
          </w:p>
        </w:tc>
        <w:tc>
          <w:tcPr>
            <w:tcW w:w="1480" w:type="dxa"/>
            <w:tcBorders>
              <w:top w:val="nil"/>
              <w:left w:val="nil"/>
              <w:bottom w:val="single" w:sz="4" w:space="0" w:color="auto"/>
              <w:right w:val="single" w:sz="4" w:space="0" w:color="auto"/>
            </w:tcBorders>
            <w:shd w:val="clear" w:color="auto" w:fill="auto"/>
            <w:noWrap/>
            <w:vAlign w:val="bottom"/>
            <w:hideMark/>
          </w:tcPr>
          <w:p w14:paraId="6547394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17.303</w:t>
            </w:r>
          </w:p>
        </w:tc>
        <w:tc>
          <w:tcPr>
            <w:tcW w:w="1440" w:type="dxa"/>
            <w:tcBorders>
              <w:top w:val="nil"/>
              <w:left w:val="nil"/>
              <w:bottom w:val="single" w:sz="4" w:space="0" w:color="auto"/>
              <w:right w:val="single" w:sz="4" w:space="0" w:color="auto"/>
            </w:tcBorders>
            <w:shd w:val="clear" w:color="auto" w:fill="auto"/>
            <w:noWrap/>
            <w:vAlign w:val="bottom"/>
            <w:hideMark/>
          </w:tcPr>
          <w:p w14:paraId="786DCB2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58.140</w:t>
            </w:r>
          </w:p>
        </w:tc>
        <w:tc>
          <w:tcPr>
            <w:tcW w:w="1420" w:type="dxa"/>
            <w:tcBorders>
              <w:top w:val="nil"/>
              <w:left w:val="nil"/>
              <w:bottom w:val="single" w:sz="4" w:space="0" w:color="auto"/>
              <w:right w:val="single" w:sz="12" w:space="0" w:color="auto"/>
            </w:tcBorders>
            <w:shd w:val="clear" w:color="auto" w:fill="auto"/>
            <w:noWrap/>
            <w:vAlign w:val="bottom"/>
            <w:hideMark/>
          </w:tcPr>
          <w:p w14:paraId="2718BB38"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114.011</w:t>
            </w:r>
          </w:p>
        </w:tc>
      </w:tr>
      <w:tr w:rsidR="00510685" w:rsidRPr="00510685" w14:paraId="353C51E5" w14:textId="77777777" w:rsidTr="00F17B26">
        <w:trPr>
          <w:trHeight w:val="30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0E57655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2030</w:t>
            </w:r>
          </w:p>
        </w:tc>
        <w:tc>
          <w:tcPr>
            <w:tcW w:w="1240" w:type="dxa"/>
            <w:tcBorders>
              <w:top w:val="nil"/>
              <w:left w:val="nil"/>
              <w:bottom w:val="single" w:sz="4" w:space="0" w:color="auto"/>
              <w:right w:val="single" w:sz="4" w:space="0" w:color="auto"/>
            </w:tcBorders>
            <w:shd w:val="clear" w:color="auto" w:fill="auto"/>
            <w:noWrap/>
            <w:vAlign w:val="bottom"/>
            <w:hideMark/>
          </w:tcPr>
          <w:p w14:paraId="49D7822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20.901</w:t>
            </w:r>
          </w:p>
        </w:tc>
        <w:tc>
          <w:tcPr>
            <w:tcW w:w="1220" w:type="dxa"/>
            <w:tcBorders>
              <w:top w:val="nil"/>
              <w:left w:val="nil"/>
              <w:bottom w:val="single" w:sz="4" w:space="0" w:color="auto"/>
              <w:right w:val="single" w:sz="4" w:space="0" w:color="auto"/>
            </w:tcBorders>
            <w:shd w:val="clear" w:color="auto" w:fill="auto"/>
            <w:noWrap/>
            <w:vAlign w:val="bottom"/>
            <w:hideMark/>
          </w:tcPr>
          <w:p w14:paraId="6BA94AA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10.787</w:t>
            </w:r>
          </w:p>
        </w:tc>
        <w:tc>
          <w:tcPr>
            <w:tcW w:w="1320" w:type="dxa"/>
            <w:tcBorders>
              <w:top w:val="nil"/>
              <w:left w:val="nil"/>
              <w:bottom w:val="single" w:sz="4" w:space="0" w:color="auto"/>
              <w:right w:val="single" w:sz="4" w:space="0" w:color="auto"/>
            </w:tcBorders>
            <w:shd w:val="clear" w:color="auto" w:fill="auto"/>
            <w:noWrap/>
            <w:vAlign w:val="bottom"/>
            <w:hideMark/>
          </w:tcPr>
          <w:p w14:paraId="58A1570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2.045</w:t>
            </w:r>
          </w:p>
        </w:tc>
        <w:tc>
          <w:tcPr>
            <w:tcW w:w="1480" w:type="dxa"/>
            <w:tcBorders>
              <w:top w:val="nil"/>
              <w:left w:val="nil"/>
              <w:bottom w:val="single" w:sz="4" w:space="0" w:color="auto"/>
              <w:right w:val="single" w:sz="4" w:space="0" w:color="auto"/>
            </w:tcBorders>
            <w:shd w:val="clear" w:color="auto" w:fill="auto"/>
            <w:noWrap/>
            <w:vAlign w:val="bottom"/>
            <w:hideMark/>
          </w:tcPr>
          <w:p w14:paraId="4095C06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15.052</w:t>
            </w:r>
          </w:p>
        </w:tc>
        <w:tc>
          <w:tcPr>
            <w:tcW w:w="1440" w:type="dxa"/>
            <w:tcBorders>
              <w:top w:val="nil"/>
              <w:left w:val="nil"/>
              <w:bottom w:val="single" w:sz="4" w:space="0" w:color="auto"/>
              <w:right w:val="single" w:sz="4" w:space="0" w:color="auto"/>
            </w:tcBorders>
            <w:shd w:val="clear" w:color="auto" w:fill="auto"/>
            <w:noWrap/>
            <w:vAlign w:val="bottom"/>
            <w:hideMark/>
          </w:tcPr>
          <w:p w14:paraId="4C03F79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59.303</w:t>
            </w:r>
          </w:p>
        </w:tc>
        <w:tc>
          <w:tcPr>
            <w:tcW w:w="1420" w:type="dxa"/>
            <w:tcBorders>
              <w:top w:val="nil"/>
              <w:left w:val="nil"/>
              <w:bottom w:val="single" w:sz="4" w:space="0" w:color="auto"/>
              <w:right w:val="single" w:sz="12" w:space="0" w:color="auto"/>
            </w:tcBorders>
            <w:shd w:val="clear" w:color="auto" w:fill="auto"/>
            <w:noWrap/>
            <w:vAlign w:val="bottom"/>
            <w:hideMark/>
          </w:tcPr>
          <w:p w14:paraId="4F3EBF4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108.088</w:t>
            </w:r>
          </w:p>
        </w:tc>
      </w:tr>
      <w:tr w:rsidR="00510685" w:rsidRPr="00510685" w14:paraId="31E4B572" w14:textId="77777777" w:rsidTr="00F17B26">
        <w:trPr>
          <w:trHeight w:val="30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661E8EE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2031</w:t>
            </w:r>
          </w:p>
        </w:tc>
        <w:tc>
          <w:tcPr>
            <w:tcW w:w="1240" w:type="dxa"/>
            <w:tcBorders>
              <w:top w:val="nil"/>
              <w:left w:val="nil"/>
              <w:bottom w:val="single" w:sz="4" w:space="0" w:color="auto"/>
              <w:right w:val="single" w:sz="4" w:space="0" w:color="auto"/>
            </w:tcBorders>
            <w:shd w:val="clear" w:color="auto" w:fill="auto"/>
            <w:noWrap/>
            <w:vAlign w:val="bottom"/>
            <w:hideMark/>
          </w:tcPr>
          <w:p w14:paraId="3D5C8C5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19.743</w:t>
            </w:r>
          </w:p>
        </w:tc>
        <w:tc>
          <w:tcPr>
            <w:tcW w:w="1220" w:type="dxa"/>
            <w:tcBorders>
              <w:top w:val="nil"/>
              <w:left w:val="nil"/>
              <w:bottom w:val="single" w:sz="4" w:space="0" w:color="auto"/>
              <w:right w:val="single" w:sz="4" w:space="0" w:color="auto"/>
            </w:tcBorders>
            <w:shd w:val="clear" w:color="auto" w:fill="auto"/>
            <w:noWrap/>
            <w:vAlign w:val="bottom"/>
            <w:hideMark/>
          </w:tcPr>
          <w:p w14:paraId="22815C7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7.145</w:t>
            </w:r>
          </w:p>
        </w:tc>
        <w:tc>
          <w:tcPr>
            <w:tcW w:w="1320" w:type="dxa"/>
            <w:tcBorders>
              <w:top w:val="nil"/>
              <w:left w:val="nil"/>
              <w:bottom w:val="single" w:sz="4" w:space="0" w:color="auto"/>
              <w:right w:val="single" w:sz="4" w:space="0" w:color="auto"/>
            </w:tcBorders>
            <w:shd w:val="clear" w:color="auto" w:fill="auto"/>
            <w:noWrap/>
            <w:vAlign w:val="bottom"/>
            <w:hideMark/>
          </w:tcPr>
          <w:p w14:paraId="57C63B0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1.799</w:t>
            </w:r>
          </w:p>
        </w:tc>
        <w:tc>
          <w:tcPr>
            <w:tcW w:w="1480" w:type="dxa"/>
            <w:tcBorders>
              <w:top w:val="nil"/>
              <w:left w:val="nil"/>
              <w:bottom w:val="single" w:sz="4" w:space="0" w:color="auto"/>
              <w:right w:val="single" w:sz="4" w:space="0" w:color="auto"/>
            </w:tcBorders>
            <w:shd w:val="clear" w:color="auto" w:fill="auto"/>
            <w:noWrap/>
            <w:vAlign w:val="bottom"/>
            <w:hideMark/>
          </w:tcPr>
          <w:p w14:paraId="6AD3023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12.205</w:t>
            </w:r>
          </w:p>
        </w:tc>
        <w:tc>
          <w:tcPr>
            <w:tcW w:w="1440" w:type="dxa"/>
            <w:tcBorders>
              <w:top w:val="nil"/>
              <w:left w:val="nil"/>
              <w:bottom w:val="single" w:sz="4" w:space="0" w:color="auto"/>
              <w:right w:val="single" w:sz="4" w:space="0" w:color="auto"/>
            </w:tcBorders>
            <w:shd w:val="clear" w:color="auto" w:fill="auto"/>
            <w:noWrap/>
            <w:vAlign w:val="bottom"/>
            <w:hideMark/>
          </w:tcPr>
          <w:p w14:paraId="3C08B1D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60.489</w:t>
            </w:r>
          </w:p>
        </w:tc>
        <w:tc>
          <w:tcPr>
            <w:tcW w:w="1420" w:type="dxa"/>
            <w:tcBorders>
              <w:top w:val="nil"/>
              <w:left w:val="nil"/>
              <w:bottom w:val="single" w:sz="4" w:space="0" w:color="auto"/>
              <w:right w:val="single" w:sz="12" w:space="0" w:color="auto"/>
            </w:tcBorders>
            <w:shd w:val="clear" w:color="auto" w:fill="auto"/>
            <w:noWrap/>
            <w:vAlign w:val="bottom"/>
            <w:hideMark/>
          </w:tcPr>
          <w:p w14:paraId="349ACE2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101.380</w:t>
            </w:r>
          </w:p>
        </w:tc>
      </w:tr>
      <w:tr w:rsidR="00510685" w:rsidRPr="00510685" w14:paraId="321711B8" w14:textId="77777777" w:rsidTr="00F17B26">
        <w:trPr>
          <w:trHeight w:val="30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2E119E1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2032</w:t>
            </w:r>
          </w:p>
        </w:tc>
        <w:tc>
          <w:tcPr>
            <w:tcW w:w="1240" w:type="dxa"/>
            <w:tcBorders>
              <w:top w:val="nil"/>
              <w:left w:val="nil"/>
              <w:bottom w:val="single" w:sz="4" w:space="0" w:color="auto"/>
              <w:right w:val="single" w:sz="4" w:space="0" w:color="auto"/>
            </w:tcBorders>
            <w:shd w:val="clear" w:color="auto" w:fill="auto"/>
            <w:noWrap/>
            <w:vAlign w:val="bottom"/>
            <w:hideMark/>
          </w:tcPr>
          <w:p w14:paraId="74EBDE9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18.550</w:t>
            </w:r>
          </w:p>
        </w:tc>
        <w:tc>
          <w:tcPr>
            <w:tcW w:w="1220" w:type="dxa"/>
            <w:tcBorders>
              <w:top w:val="nil"/>
              <w:left w:val="nil"/>
              <w:bottom w:val="single" w:sz="4" w:space="0" w:color="auto"/>
              <w:right w:val="single" w:sz="4" w:space="0" w:color="auto"/>
            </w:tcBorders>
            <w:shd w:val="clear" w:color="auto" w:fill="auto"/>
            <w:noWrap/>
            <w:vAlign w:val="bottom"/>
            <w:hideMark/>
          </w:tcPr>
          <w:p w14:paraId="17C6D35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5.986</w:t>
            </w:r>
          </w:p>
        </w:tc>
        <w:tc>
          <w:tcPr>
            <w:tcW w:w="1320" w:type="dxa"/>
            <w:tcBorders>
              <w:top w:val="nil"/>
              <w:left w:val="nil"/>
              <w:bottom w:val="single" w:sz="4" w:space="0" w:color="auto"/>
              <w:right w:val="single" w:sz="4" w:space="0" w:color="auto"/>
            </w:tcBorders>
            <w:shd w:val="clear" w:color="auto" w:fill="auto"/>
            <w:noWrap/>
            <w:vAlign w:val="bottom"/>
            <w:hideMark/>
          </w:tcPr>
          <w:p w14:paraId="41A7A3E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1.549</w:t>
            </w:r>
          </w:p>
        </w:tc>
        <w:tc>
          <w:tcPr>
            <w:tcW w:w="1480" w:type="dxa"/>
            <w:tcBorders>
              <w:top w:val="nil"/>
              <w:left w:val="nil"/>
              <w:bottom w:val="single" w:sz="4" w:space="0" w:color="auto"/>
              <w:right w:val="single" w:sz="4" w:space="0" w:color="auto"/>
            </w:tcBorders>
            <w:shd w:val="clear" w:color="auto" w:fill="auto"/>
            <w:noWrap/>
            <w:vAlign w:val="bottom"/>
            <w:hideMark/>
          </w:tcPr>
          <w:p w14:paraId="5746A35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8.613</w:t>
            </w:r>
          </w:p>
        </w:tc>
        <w:tc>
          <w:tcPr>
            <w:tcW w:w="1440" w:type="dxa"/>
            <w:tcBorders>
              <w:top w:val="nil"/>
              <w:left w:val="nil"/>
              <w:bottom w:val="single" w:sz="4" w:space="0" w:color="auto"/>
              <w:right w:val="single" w:sz="4" w:space="0" w:color="auto"/>
            </w:tcBorders>
            <w:shd w:val="clear" w:color="auto" w:fill="auto"/>
            <w:noWrap/>
            <w:vAlign w:val="bottom"/>
            <w:hideMark/>
          </w:tcPr>
          <w:p w14:paraId="4BF507B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61.699</w:t>
            </w:r>
          </w:p>
        </w:tc>
        <w:tc>
          <w:tcPr>
            <w:tcW w:w="1420" w:type="dxa"/>
            <w:tcBorders>
              <w:top w:val="nil"/>
              <w:left w:val="nil"/>
              <w:bottom w:val="single" w:sz="4" w:space="0" w:color="auto"/>
              <w:right w:val="single" w:sz="12" w:space="0" w:color="auto"/>
            </w:tcBorders>
            <w:shd w:val="clear" w:color="auto" w:fill="auto"/>
            <w:noWrap/>
            <w:vAlign w:val="bottom"/>
            <w:hideMark/>
          </w:tcPr>
          <w:p w14:paraId="1235B96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96.397</w:t>
            </w:r>
          </w:p>
        </w:tc>
      </w:tr>
      <w:tr w:rsidR="00510685" w:rsidRPr="00510685" w14:paraId="15D06E10" w14:textId="77777777" w:rsidTr="00F17B26">
        <w:trPr>
          <w:trHeight w:val="300"/>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3A0F7D2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2033</w:t>
            </w:r>
          </w:p>
        </w:tc>
        <w:tc>
          <w:tcPr>
            <w:tcW w:w="1240" w:type="dxa"/>
            <w:tcBorders>
              <w:top w:val="nil"/>
              <w:left w:val="nil"/>
              <w:bottom w:val="single" w:sz="4" w:space="0" w:color="auto"/>
              <w:right w:val="single" w:sz="4" w:space="0" w:color="auto"/>
            </w:tcBorders>
            <w:shd w:val="clear" w:color="auto" w:fill="auto"/>
            <w:noWrap/>
            <w:vAlign w:val="bottom"/>
            <w:hideMark/>
          </w:tcPr>
          <w:p w14:paraId="7F40718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17.322</w:t>
            </w:r>
          </w:p>
        </w:tc>
        <w:tc>
          <w:tcPr>
            <w:tcW w:w="1220" w:type="dxa"/>
            <w:tcBorders>
              <w:top w:val="nil"/>
              <w:left w:val="nil"/>
              <w:bottom w:val="single" w:sz="4" w:space="0" w:color="auto"/>
              <w:right w:val="single" w:sz="4" w:space="0" w:color="auto"/>
            </w:tcBorders>
            <w:shd w:val="clear" w:color="auto" w:fill="auto"/>
            <w:noWrap/>
            <w:vAlign w:val="bottom"/>
            <w:hideMark/>
          </w:tcPr>
          <w:p w14:paraId="664FD1E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5.992</w:t>
            </w:r>
          </w:p>
        </w:tc>
        <w:tc>
          <w:tcPr>
            <w:tcW w:w="1320" w:type="dxa"/>
            <w:tcBorders>
              <w:top w:val="nil"/>
              <w:left w:val="nil"/>
              <w:bottom w:val="single" w:sz="4" w:space="0" w:color="auto"/>
              <w:right w:val="single" w:sz="4" w:space="0" w:color="auto"/>
            </w:tcBorders>
            <w:shd w:val="clear" w:color="auto" w:fill="auto"/>
            <w:noWrap/>
            <w:vAlign w:val="bottom"/>
            <w:hideMark/>
          </w:tcPr>
          <w:p w14:paraId="1F3596C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1.298</w:t>
            </w:r>
          </w:p>
        </w:tc>
        <w:tc>
          <w:tcPr>
            <w:tcW w:w="1480" w:type="dxa"/>
            <w:tcBorders>
              <w:top w:val="nil"/>
              <w:left w:val="nil"/>
              <w:bottom w:val="single" w:sz="4" w:space="0" w:color="auto"/>
              <w:right w:val="single" w:sz="4" w:space="0" w:color="auto"/>
            </w:tcBorders>
            <w:shd w:val="clear" w:color="auto" w:fill="auto"/>
            <w:noWrap/>
            <w:vAlign w:val="bottom"/>
            <w:hideMark/>
          </w:tcPr>
          <w:p w14:paraId="65E5A7F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4.793</w:t>
            </w:r>
          </w:p>
        </w:tc>
        <w:tc>
          <w:tcPr>
            <w:tcW w:w="1440" w:type="dxa"/>
            <w:tcBorders>
              <w:top w:val="nil"/>
              <w:left w:val="nil"/>
              <w:bottom w:val="single" w:sz="4" w:space="0" w:color="auto"/>
              <w:right w:val="single" w:sz="4" w:space="0" w:color="auto"/>
            </w:tcBorders>
            <w:shd w:val="clear" w:color="auto" w:fill="auto"/>
            <w:noWrap/>
            <w:vAlign w:val="bottom"/>
            <w:hideMark/>
          </w:tcPr>
          <w:p w14:paraId="366A2CA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62.933</w:t>
            </w:r>
          </w:p>
        </w:tc>
        <w:tc>
          <w:tcPr>
            <w:tcW w:w="1420" w:type="dxa"/>
            <w:tcBorders>
              <w:top w:val="nil"/>
              <w:left w:val="nil"/>
              <w:bottom w:val="single" w:sz="4" w:space="0" w:color="auto"/>
              <w:right w:val="single" w:sz="12" w:space="0" w:color="auto"/>
            </w:tcBorders>
            <w:shd w:val="clear" w:color="auto" w:fill="auto"/>
            <w:noWrap/>
            <w:vAlign w:val="bottom"/>
            <w:hideMark/>
          </w:tcPr>
          <w:p w14:paraId="22403F7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92.337</w:t>
            </w:r>
          </w:p>
        </w:tc>
      </w:tr>
      <w:tr w:rsidR="00510685" w:rsidRPr="00510685" w14:paraId="5F2EFCF7" w14:textId="77777777" w:rsidTr="00F17B26">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781B128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2034</w:t>
            </w:r>
          </w:p>
        </w:tc>
        <w:tc>
          <w:tcPr>
            <w:tcW w:w="1240" w:type="dxa"/>
            <w:tcBorders>
              <w:top w:val="nil"/>
              <w:left w:val="nil"/>
              <w:bottom w:val="single" w:sz="4" w:space="0" w:color="auto"/>
              <w:right w:val="single" w:sz="4" w:space="0" w:color="auto"/>
            </w:tcBorders>
            <w:shd w:val="clear" w:color="auto" w:fill="auto"/>
            <w:noWrap/>
            <w:vAlign w:val="bottom"/>
            <w:hideMark/>
          </w:tcPr>
          <w:p w14:paraId="41A1F5F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16.058</w:t>
            </w:r>
          </w:p>
        </w:tc>
        <w:tc>
          <w:tcPr>
            <w:tcW w:w="1220" w:type="dxa"/>
            <w:tcBorders>
              <w:top w:val="nil"/>
              <w:left w:val="nil"/>
              <w:bottom w:val="single" w:sz="4" w:space="0" w:color="auto"/>
              <w:right w:val="single" w:sz="4" w:space="0" w:color="auto"/>
            </w:tcBorders>
            <w:shd w:val="clear" w:color="auto" w:fill="auto"/>
            <w:noWrap/>
            <w:vAlign w:val="bottom"/>
            <w:hideMark/>
          </w:tcPr>
          <w:p w14:paraId="7D66F95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5.998</w:t>
            </w:r>
          </w:p>
        </w:tc>
        <w:tc>
          <w:tcPr>
            <w:tcW w:w="1320" w:type="dxa"/>
            <w:tcBorders>
              <w:top w:val="nil"/>
              <w:left w:val="nil"/>
              <w:bottom w:val="single" w:sz="4" w:space="0" w:color="auto"/>
              <w:right w:val="single" w:sz="4" w:space="0" w:color="auto"/>
            </w:tcBorders>
            <w:shd w:val="clear" w:color="auto" w:fill="auto"/>
            <w:noWrap/>
            <w:vAlign w:val="bottom"/>
            <w:hideMark/>
          </w:tcPr>
          <w:p w14:paraId="7278B0A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1.043</w:t>
            </w:r>
          </w:p>
        </w:tc>
        <w:tc>
          <w:tcPr>
            <w:tcW w:w="1480" w:type="dxa"/>
            <w:tcBorders>
              <w:top w:val="nil"/>
              <w:left w:val="nil"/>
              <w:bottom w:val="single" w:sz="4" w:space="0" w:color="auto"/>
              <w:right w:val="single" w:sz="4" w:space="0" w:color="auto"/>
            </w:tcBorders>
            <w:shd w:val="clear" w:color="auto" w:fill="auto"/>
            <w:noWrap/>
            <w:vAlign w:val="bottom"/>
            <w:hideMark/>
          </w:tcPr>
          <w:p w14:paraId="1B1D26D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4.679</w:t>
            </w:r>
          </w:p>
        </w:tc>
        <w:tc>
          <w:tcPr>
            <w:tcW w:w="1440" w:type="dxa"/>
            <w:tcBorders>
              <w:top w:val="nil"/>
              <w:left w:val="nil"/>
              <w:bottom w:val="single" w:sz="4" w:space="0" w:color="auto"/>
              <w:right w:val="single" w:sz="4" w:space="0" w:color="auto"/>
            </w:tcBorders>
            <w:shd w:val="clear" w:color="auto" w:fill="auto"/>
            <w:noWrap/>
            <w:vAlign w:val="bottom"/>
            <w:hideMark/>
          </w:tcPr>
          <w:p w14:paraId="486901C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64.191</w:t>
            </w:r>
          </w:p>
        </w:tc>
        <w:tc>
          <w:tcPr>
            <w:tcW w:w="1420" w:type="dxa"/>
            <w:tcBorders>
              <w:top w:val="nil"/>
              <w:left w:val="nil"/>
              <w:bottom w:val="single" w:sz="4" w:space="0" w:color="auto"/>
              <w:right w:val="single" w:sz="12" w:space="0" w:color="auto"/>
            </w:tcBorders>
            <w:shd w:val="clear" w:color="auto" w:fill="auto"/>
            <w:noWrap/>
            <w:vAlign w:val="bottom"/>
            <w:hideMark/>
          </w:tcPr>
          <w:p w14:paraId="7F75A45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91.970</w:t>
            </w:r>
          </w:p>
        </w:tc>
      </w:tr>
      <w:tr w:rsidR="00510685" w:rsidRPr="00510685" w14:paraId="35655BC6" w14:textId="77777777" w:rsidTr="00F17B26">
        <w:trPr>
          <w:trHeight w:val="315"/>
        </w:trPr>
        <w:tc>
          <w:tcPr>
            <w:tcW w:w="1240" w:type="dxa"/>
            <w:tcBorders>
              <w:top w:val="nil"/>
              <w:left w:val="single" w:sz="12" w:space="0" w:color="auto"/>
              <w:bottom w:val="single" w:sz="4" w:space="0" w:color="auto"/>
              <w:right w:val="single" w:sz="12" w:space="0" w:color="auto"/>
            </w:tcBorders>
            <w:shd w:val="clear" w:color="auto" w:fill="auto"/>
            <w:noWrap/>
            <w:vAlign w:val="bottom"/>
            <w:hideMark/>
          </w:tcPr>
          <w:p w14:paraId="28AB7BB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2035</w:t>
            </w:r>
          </w:p>
        </w:tc>
        <w:tc>
          <w:tcPr>
            <w:tcW w:w="1240" w:type="dxa"/>
            <w:tcBorders>
              <w:top w:val="nil"/>
              <w:left w:val="nil"/>
              <w:bottom w:val="single" w:sz="4" w:space="0" w:color="auto"/>
              <w:right w:val="single" w:sz="4" w:space="0" w:color="auto"/>
            </w:tcBorders>
            <w:shd w:val="clear" w:color="auto" w:fill="auto"/>
            <w:noWrap/>
            <w:vAlign w:val="bottom"/>
            <w:hideMark/>
          </w:tcPr>
          <w:p w14:paraId="55B5786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14.758</w:t>
            </w:r>
          </w:p>
        </w:tc>
        <w:tc>
          <w:tcPr>
            <w:tcW w:w="1220" w:type="dxa"/>
            <w:tcBorders>
              <w:top w:val="nil"/>
              <w:left w:val="nil"/>
              <w:bottom w:val="single" w:sz="4" w:space="0" w:color="auto"/>
              <w:right w:val="single" w:sz="4" w:space="0" w:color="auto"/>
            </w:tcBorders>
            <w:shd w:val="clear" w:color="auto" w:fill="auto"/>
            <w:noWrap/>
            <w:vAlign w:val="bottom"/>
            <w:hideMark/>
          </w:tcPr>
          <w:p w14:paraId="2DD9540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6.004</w:t>
            </w:r>
          </w:p>
        </w:tc>
        <w:tc>
          <w:tcPr>
            <w:tcW w:w="1320" w:type="dxa"/>
            <w:tcBorders>
              <w:top w:val="nil"/>
              <w:left w:val="nil"/>
              <w:bottom w:val="single" w:sz="4" w:space="0" w:color="auto"/>
              <w:right w:val="single" w:sz="4" w:space="0" w:color="auto"/>
            </w:tcBorders>
            <w:shd w:val="clear" w:color="auto" w:fill="auto"/>
            <w:noWrap/>
            <w:vAlign w:val="bottom"/>
            <w:hideMark/>
          </w:tcPr>
          <w:p w14:paraId="057A2C8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786</w:t>
            </w:r>
          </w:p>
        </w:tc>
        <w:tc>
          <w:tcPr>
            <w:tcW w:w="1480" w:type="dxa"/>
            <w:tcBorders>
              <w:top w:val="nil"/>
              <w:left w:val="nil"/>
              <w:bottom w:val="single" w:sz="4" w:space="0" w:color="auto"/>
              <w:right w:val="single" w:sz="4" w:space="0" w:color="auto"/>
            </w:tcBorders>
            <w:shd w:val="clear" w:color="auto" w:fill="auto"/>
            <w:noWrap/>
            <w:vAlign w:val="bottom"/>
            <w:hideMark/>
          </w:tcPr>
          <w:p w14:paraId="3B0AD43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4.564</w:t>
            </w:r>
          </w:p>
        </w:tc>
        <w:tc>
          <w:tcPr>
            <w:tcW w:w="1440" w:type="dxa"/>
            <w:tcBorders>
              <w:top w:val="nil"/>
              <w:left w:val="nil"/>
              <w:bottom w:val="single" w:sz="4" w:space="0" w:color="auto"/>
              <w:right w:val="single" w:sz="4" w:space="0" w:color="auto"/>
            </w:tcBorders>
            <w:shd w:val="clear" w:color="auto" w:fill="auto"/>
            <w:noWrap/>
            <w:vAlign w:val="bottom"/>
            <w:hideMark/>
          </w:tcPr>
          <w:p w14:paraId="297B288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65.475</w:t>
            </w:r>
          </w:p>
        </w:tc>
        <w:tc>
          <w:tcPr>
            <w:tcW w:w="1420" w:type="dxa"/>
            <w:tcBorders>
              <w:top w:val="nil"/>
              <w:left w:val="nil"/>
              <w:bottom w:val="single" w:sz="4" w:space="0" w:color="auto"/>
              <w:right w:val="single" w:sz="12" w:space="0" w:color="auto"/>
            </w:tcBorders>
            <w:shd w:val="clear" w:color="auto" w:fill="auto"/>
            <w:noWrap/>
            <w:vAlign w:val="bottom"/>
            <w:hideMark/>
          </w:tcPr>
          <w:p w14:paraId="74CE9CE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91.588</w:t>
            </w:r>
          </w:p>
        </w:tc>
      </w:tr>
    </w:tbl>
    <w:p w14:paraId="0C7E947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6F129BC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kern w:val="0"/>
          <w:sz w:val="20"/>
          <w:szCs w:val="24"/>
          <w14:ligatures w14:val="none"/>
        </w:rPr>
        <w:t>(*) izhodiščno leto za izračun scenarija razvoja ravnanja s komunalnimi odpadki;</w:t>
      </w:r>
    </w:p>
    <w:p w14:paraId="37EE24F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leto za katerega je določena največja letna količina gorljivih sestavin, ki nastanejo po mehanski obdelavi mešanih komunalnih odpadkov.</w:t>
      </w:r>
    </w:p>
    <w:p w14:paraId="460DCAB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A2688E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Največje letne količine gorljivih sestavin iz papirja, plastike, lesa, tekstila in drugih gorljivih sestavin mešanih komunalnih odpadkov so podane kot indikativne vrednosti, ki ne smejo biti presežene za več kot 25 %. Če so te indikativne vrednosti presežene za več kot 25 % mora izvajalec mehanske obdelave mešanih komunalnih odpadkov:</w:t>
      </w:r>
    </w:p>
    <w:p w14:paraId="535FB9A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A61EF1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(a) ugotoviti, ali so ti mešani komunalni odpadki nastali na območju občine, za katero je bilo ocenjeno na podlagi rezultatov sortirnih analiz MKO, izdelanih za izhodiščno leto modelnega izračuna scenarijev razvoja ravnanja s komunalnimi odpadki, da letna količina zbranih mešanih komunalnih, preračunana na prebivalca, presega referenčno vrednost kazalnika za R Slovenijo »količina MKO na prebivalca«;</w:t>
      </w:r>
      <w:r w:rsidRPr="00510685" w:rsidDel="007E37A7">
        <w:rPr>
          <w:rFonts w:ascii="Arial" w:eastAsia="Times New Roman" w:hAnsi="Arial" w:cs="Times New Roman"/>
          <w:kern w:val="0"/>
          <w:sz w:val="20"/>
          <w:szCs w:val="24"/>
          <w14:ligatures w14:val="none"/>
        </w:rPr>
        <w:t xml:space="preserve"> </w:t>
      </w:r>
    </w:p>
    <w:p w14:paraId="3A1D503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(b) opozoriti izvajalca občinske javne službe zbiranja komunalnih odpadkov, ki je take mešane komunalne odpadke predal v mehansko obdelavo, na izvajanje ukrepov za bolj učinkovito ločeno zbiranje komunalnih odpadkov;</w:t>
      </w:r>
    </w:p>
    <w:p w14:paraId="119C380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(c) povečati učinkovitost izločevanja reciklabilnih odpadnih snovi iz prevzetih mešanih komunalnih odpadkov, z namenom, da za papir, plastiko, les in tekstil največje letne količine gorljivih sestavin ne presegajo v zgornji tabeli navedenih indikativnih vrednosti za več kot 25 %.</w:t>
      </w:r>
    </w:p>
    <w:p w14:paraId="311E7F1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9FF978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D65435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xml:space="preserve">2. del - največja letna količina gorljivih sestavin, ki nastanejo po mehanski obdelavi kosovnih odpadkov </w:t>
      </w:r>
      <w:bookmarkStart w:id="40" w:name="_Hlk177853977"/>
      <w:r w:rsidRPr="00510685">
        <w:rPr>
          <w:rFonts w:ascii="Arial" w:eastAsia="Times New Roman" w:hAnsi="Arial" w:cs="Times New Roman"/>
          <w:b/>
          <w:kern w:val="0"/>
          <w:sz w:val="20"/>
          <w:szCs w:val="24"/>
          <w14:ligatures w14:val="none"/>
        </w:rPr>
        <w:t>s številko 20 03 07, ločeno zbranega papirja, kartona in lepenke s številko 20 01 01, ločeno zbrane plastike s številko 20 01 39, ločeno zbranega lesa s številko 20 01 38 in ločeno zbranega tekstila s številko 20 01 11</w:t>
      </w:r>
      <w:bookmarkEnd w:id="40"/>
      <w:r w:rsidRPr="00510685">
        <w:rPr>
          <w:rFonts w:ascii="Arial" w:eastAsia="Times New Roman" w:hAnsi="Arial" w:cs="Times New Roman"/>
          <w:b/>
          <w:kern w:val="0"/>
          <w:sz w:val="20"/>
          <w:szCs w:val="24"/>
          <w14:ligatures w14:val="none"/>
        </w:rPr>
        <w:t>, zbranih v okviru storitev občinske javne službe zbiranja komunalnih odpadkov, in se sežigajo kot storitev državne javne službe, je za leto 2025 navedena v spodnji tabeli:</w:t>
      </w:r>
    </w:p>
    <w:p w14:paraId="10D5B2C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xml:space="preserve">  </w:t>
      </w:r>
    </w:p>
    <w:p w14:paraId="7138696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tbl>
      <w:tblPr>
        <w:tblW w:w="8490" w:type="dxa"/>
        <w:tblInd w:w="85" w:type="dxa"/>
        <w:tblCellMar>
          <w:left w:w="70" w:type="dxa"/>
          <w:right w:w="70" w:type="dxa"/>
        </w:tblCellMar>
        <w:tblLook w:val="04A0" w:firstRow="1" w:lastRow="0" w:firstColumn="1" w:lastColumn="0" w:noHBand="0" w:noVBand="1"/>
      </w:tblPr>
      <w:tblGrid>
        <w:gridCol w:w="978"/>
        <w:gridCol w:w="1275"/>
        <w:gridCol w:w="1276"/>
        <w:gridCol w:w="1276"/>
        <w:gridCol w:w="1276"/>
        <w:gridCol w:w="1275"/>
        <w:gridCol w:w="1263"/>
      </w:tblGrid>
      <w:tr w:rsidR="00510685" w:rsidRPr="00510685" w14:paraId="3BE2D0B0" w14:textId="77777777" w:rsidTr="00F17B26">
        <w:trPr>
          <w:trHeight w:val="1800"/>
        </w:trPr>
        <w:tc>
          <w:tcPr>
            <w:tcW w:w="978" w:type="dxa"/>
            <w:tcBorders>
              <w:top w:val="single" w:sz="12" w:space="0" w:color="auto"/>
              <w:left w:val="single" w:sz="12" w:space="0" w:color="auto"/>
              <w:bottom w:val="nil"/>
              <w:right w:val="nil"/>
            </w:tcBorders>
            <w:shd w:val="clear" w:color="000000" w:fill="64FC68"/>
            <w:vAlign w:val="bottom"/>
            <w:hideMark/>
          </w:tcPr>
          <w:p w14:paraId="1C2FE6C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w:t>
            </w:r>
          </w:p>
        </w:tc>
        <w:tc>
          <w:tcPr>
            <w:tcW w:w="1275" w:type="dxa"/>
            <w:tcBorders>
              <w:top w:val="single" w:sz="12" w:space="0" w:color="auto"/>
              <w:left w:val="single" w:sz="12" w:space="0" w:color="auto"/>
              <w:bottom w:val="nil"/>
              <w:right w:val="single" w:sz="4" w:space="0" w:color="auto"/>
            </w:tcBorders>
            <w:shd w:val="clear" w:color="000000" w:fill="64FC68"/>
            <w:vAlign w:val="bottom"/>
            <w:hideMark/>
          </w:tcPr>
          <w:p w14:paraId="74B5958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zbranih komunalnih odpadkov</w:t>
            </w:r>
          </w:p>
        </w:tc>
        <w:tc>
          <w:tcPr>
            <w:tcW w:w="1276" w:type="dxa"/>
            <w:tcBorders>
              <w:top w:val="single" w:sz="12" w:space="0" w:color="auto"/>
              <w:left w:val="nil"/>
              <w:bottom w:val="nil"/>
              <w:right w:val="single" w:sz="4" w:space="0" w:color="auto"/>
            </w:tcBorders>
            <w:shd w:val="clear" w:color="000000" w:fill="64FC68"/>
            <w:vAlign w:val="bottom"/>
            <w:hideMark/>
          </w:tcPr>
          <w:p w14:paraId="7536DE3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tc>
        <w:tc>
          <w:tcPr>
            <w:tcW w:w="1276" w:type="dxa"/>
            <w:tcBorders>
              <w:top w:val="single" w:sz="12" w:space="0" w:color="auto"/>
              <w:left w:val="nil"/>
              <w:bottom w:val="nil"/>
              <w:right w:val="single" w:sz="4" w:space="0" w:color="auto"/>
            </w:tcBorders>
            <w:shd w:val="clear" w:color="000000" w:fill="64FC68"/>
            <w:vAlign w:val="bottom"/>
            <w:hideMark/>
          </w:tcPr>
          <w:p w14:paraId="54F8EE5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tc>
        <w:tc>
          <w:tcPr>
            <w:tcW w:w="1276" w:type="dxa"/>
            <w:tcBorders>
              <w:top w:val="single" w:sz="12" w:space="0" w:color="auto"/>
              <w:left w:val="nil"/>
              <w:bottom w:val="nil"/>
              <w:right w:val="single" w:sz="4" w:space="0" w:color="auto"/>
            </w:tcBorders>
            <w:shd w:val="clear" w:color="000000" w:fill="64FC68"/>
            <w:vAlign w:val="bottom"/>
            <w:hideMark/>
          </w:tcPr>
          <w:p w14:paraId="6CDBE57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tc>
        <w:tc>
          <w:tcPr>
            <w:tcW w:w="1275" w:type="dxa"/>
            <w:tcBorders>
              <w:top w:val="single" w:sz="12" w:space="0" w:color="auto"/>
              <w:left w:val="nil"/>
              <w:bottom w:val="nil"/>
              <w:right w:val="single" w:sz="4" w:space="0" w:color="auto"/>
            </w:tcBorders>
            <w:shd w:val="clear" w:color="000000" w:fill="64FC68"/>
            <w:vAlign w:val="bottom"/>
            <w:hideMark/>
          </w:tcPr>
          <w:p w14:paraId="4AFE8448"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tc>
        <w:tc>
          <w:tcPr>
            <w:tcW w:w="1134" w:type="dxa"/>
            <w:tcBorders>
              <w:top w:val="single" w:sz="12" w:space="0" w:color="auto"/>
              <w:left w:val="nil"/>
              <w:bottom w:val="nil"/>
              <w:right w:val="single" w:sz="12" w:space="0" w:color="auto"/>
            </w:tcBorders>
            <w:shd w:val="clear" w:color="000000" w:fill="64FC68"/>
            <w:vAlign w:val="bottom"/>
            <w:hideMark/>
          </w:tcPr>
          <w:p w14:paraId="2125A2C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zbranih komunalnih odpadkov, ki niso odpadna embalaža</w:t>
            </w:r>
          </w:p>
        </w:tc>
      </w:tr>
      <w:tr w:rsidR="00510685" w:rsidRPr="00510685" w14:paraId="21C48A1C" w14:textId="77777777" w:rsidTr="00F17B26">
        <w:trPr>
          <w:trHeight w:val="345"/>
        </w:trPr>
        <w:tc>
          <w:tcPr>
            <w:tcW w:w="978" w:type="dxa"/>
            <w:tcBorders>
              <w:top w:val="nil"/>
              <w:left w:val="single" w:sz="12" w:space="0" w:color="auto"/>
              <w:bottom w:val="single" w:sz="12" w:space="0" w:color="auto"/>
              <w:right w:val="nil"/>
            </w:tcBorders>
            <w:shd w:val="clear" w:color="000000" w:fill="64FC68"/>
            <w:noWrap/>
            <w:vAlign w:val="bottom"/>
            <w:hideMark/>
          </w:tcPr>
          <w:p w14:paraId="076CB75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leto</w:t>
            </w:r>
          </w:p>
        </w:tc>
        <w:tc>
          <w:tcPr>
            <w:tcW w:w="1275" w:type="dxa"/>
            <w:tcBorders>
              <w:top w:val="nil"/>
              <w:left w:val="single" w:sz="12" w:space="0" w:color="auto"/>
              <w:bottom w:val="single" w:sz="12" w:space="0" w:color="auto"/>
              <w:right w:val="single" w:sz="4" w:space="0" w:color="auto"/>
            </w:tcBorders>
            <w:shd w:val="clear" w:color="000000" w:fill="64FC68"/>
            <w:noWrap/>
            <w:vAlign w:val="bottom"/>
            <w:hideMark/>
          </w:tcPr>
          <w:p w14:paraId="70C288C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kosovni odpadki</w:t>
            </w:r>
          </w:p>
        </w:tc>
        <w:tc>
          <w:tcPr>
            <w:tcW w:w="1276" w:type="dxa"/>
            <w:tcBorders>
              <w:top w:val="nil"/>
              <w:left w:val="nil"/>
              <w:bottom w:val="single" w:sz="12" w:space="0" w:color="auto"/>
              <w:right w:val="single" w:sz="4" w:space="0" w:color="auto"/>
            </w:tcBorders>
            <w:shd w:val="clear" w:color="000000" w:fill="64FC68"/>
            <w:noWrap/>
            <w:vAlign w:val="bottom"/>
            <w:hideMark/>
          </w:tcPr>
          <w:p w14:paraId="7206240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papir</w:t>
            </w:r>
          </w:p>
        </w:tc>
        <w:tc>
          <w:tcPr>
            <w:tcW w:w="1276" w:type="dxa"/>
            <w:tcBorders>
              <w:top w:val="nil"/>
              <w:left w:val="nil"/>
              <w:bottom w:val="single" w:sz="12" w:space="0" w:color="auto"/>
              <w:right w:val="single" w:sz="4" w:space="0" w:color="auto"/>
            </w:tcBorders>
            <w:shd w:val="clear" w:color="000000" w:fill="64FC68"/>
            <w:noWrap/>
            <w:vAlign w:val="bottom"/>
            <w:hideMark/>
          </w:tcPr>
          <w:p w14:paraId="70A092A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plastika</w:t>
            </w:r>
          </w:p>
        </w:tc>
        <w:tc>
          <w:tcPr>
            <w:tcW w:w="1276" w:type="dxa"/>
            <w:tcBorders>
              <w:top w:val="nil"/>
              <w:left w:val="nil"/>
              <w:bottom w:val="single" w:sz="12" w:space="0" w:color="auto"/>
              <w:right w:val="single" w:sz="4" w:space="0" w:color="auto"/>
            </w:tcBorders>
            <w:shd w:val="clear" w:color="000000" w:fill="64FC68"/>
            <w:noWrap/>
            <w:vAlign w:val="bottom"/>
            <w:hideMark/>
          </w:tcPr>
          <w:p w14:paraId="5B28065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les</w:t>
            </w:r>
          </w:p>
        </w:tc>
        <w:tc>
          <w:tcPr>
            <w:tcW w:w="1275" w:type="dxa"/>
            <w:tcBorders>
              <w:top w:val="nil"/>
              <w:left w:val="nil"/>
              <w:bottom w:val="single" w:sz="12" w:space="0" w:color="auto"/>
              <w:right w:val="single" w:sz="4" w:space="0" w:color="auto"/>
            </w:tcBorders>
            <w:shd w:val="clear" w:color="000000" w:fill="64FC68"/>
            <w:noWrap/>
            <w:vAlign w:val="bottom"/>
            <w:hideMark/>
          </w:tcPr>
          <w:p w14:paraId="2987E51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tekstil</w:t>
            </w:r>
          </w:p>
        </w:tc>
        <w:tc>
          <w:tcPr>
            <w:tcW w:w="1134" w:type="dxa"/>
            <w:tcBorders>
              <w:top w:val="nil"/>
              <w:left w:val="nil"/>
              <w:bottom w:val="single" w:sz="12" w:space="0" w:color="auto"/>
              <w:right w:val="single" w:sz="12" w:space="0" w:color="auto"/>
            </w:tcBorders>
            <w:shd w:val="clear" w:color="000000" w:fill="64FC68"/>
            <w:noWrap/>
            <w:vAlign w:val="bottom"/>
            <w:hideMark/>
          </w:tcPr>
          <w:p w14:paraId="5D6C60A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skupaj</w:t>
            </w:r>
          </w:p>
        </w:tc>
      </w:tr>
      <w:tr w:rsidR="00510685" w:rsidRPr="00510685" w14:paraId="40F3D4F5" w14:textId="77777777" w:rsidTr="00F17B26">
        <w:trPr>
          <w:trHeight w:val="330"/>
        </w:trPr>
        <w:tc>
          <w:tcPr>
            <w:tcW w:w="978"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0BF32AC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2021 (*)</w:t>
            </w:r>
          </w:p>
        </w:tc>
        <w:tc>
          <w:tcPr>
            <w:tcW w:w="1275" w:type="dxa"/>
            <w:tcBorders>
              <w:top w:val="nil"/>
              <w:left w:val="nil"/>
              <w:bottom w:val="single" w:sz="4" w:space="0" w:color="auto"/>
              <w:right w:val="single" w:sz="4" w:space="0" w:color="auto"/>
            </w:tcBorders>
            <w:shd w:val="clear" w:color="auto" w:fill="auto"/>
            <w:noWrap/>
            <w:vAlign w:val="bottom"/>
            <w:hideMark/>
          </w:tcPr>
          <w:p w14:paraId="0ABD605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20.528</w:t>
            </w:r>
          </w:p>
        </w:tc>
        <w:tc>
          <w:tcPr>
            <w:tcW w:w="1276" w:type="dxa"/>
            <w:tcBorders>
              <w:top w:val="nil"/>
              <w:left w:val="nil"/>
              <w:bottom w:val="single" w:sz="4" w:space="0" w:color="auto"/>
              <w:right w:val="single" w:sz="4" w:space="0" w:color="auto"/>
            </w:tcBorders>
            <w:shd w:val="clear" w:color="auto" w:fill="auto"/>
            <w:noWrap/>
            <w:vAlign w:val="bottom"/>
            <w:hideMark/>
          </w:tcPr>
          <w:p w14:paraId="1E251AE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5.637</w:t>
            </w:r>
          </w:p>
        </w:tc>
        <w:tc>
          <w:tcPr>
            <w:tcW w:w="1276" w:type="dxa"/>
            <w:tcBorders>
              <w:top w:val="nil"/>
              <w:left w:val="nil"/>
              <w:bottom w:val="single" w:sz="4" w:space="0" w:color="auto"/>
              <w:right w:val="single" w:sz="4" w:space="0" w:color="auto"/>
            </w:tcBorders>
            <w:shd w:val="clear" w:color="auto" w:fill="auto"/>
            <w:noWrap/>
            <w:vAlign w:val="bottom"/>
            <w:hideMark/>
          </w:tcPr>
          <w:p w14:paraId="108700F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951</w:t>
            </w:r>
          </w:p>
        </w:tc>
        <w:tc>
          <w:tcPr>
            <w:tcW w:w="1276" w:type="dxa"/>
            <w:tcBorders>
              <w:top w:val="nil"/>
              <w:left w:val="nil"/>
              <w:bottom w:val="single" w:sz="4" w:space="0" w:color="auto"/>
              <w:right w:val="single" w:sz="4" w:space="0" w:color="auto"/>
            </w:tcBorders>
            <w:shd w:val="clear" w:color="auto" w:fill="auto"/>
            <w:noWrap/>
            <w:vAlign w:val="bottom"/>
            <w:hideMark/>
          </w:tcPr>
          <w:p w14:paraId="263BE74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34.558</w:t>
            </w:r>
          </w:p>
        </w:tc>
        <w:tc>
          <w:tcPr>
            <w:tcW w:w="1275" w:type="dxa"/>
            <w:tcBorders>
              <w:top w:val="nil"/>
              <w:left w:val="nil"/>
              <w:bottom w:val="single" w:sz="4" w:space="0" w:color="auto"/>
              <w:right w:val="single" w:sz="4" w:space="0" w:color="auto"/>
            </w:tcBorders>
            <w:shd w:val="clear" w:color="auto" w:fill="auto"/>
            <w:noWrap/>
            <w:vAlign w:val="bottom"/>
            <w:hideMark/>
          </w:tcPr>
          <w:p w14:paraId="632484C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807</w:t>
            </w:r>
          </w:p>
        </w:tc>
        <w:tc>
          <w:tcPr>
            <w:tcW w:w="1134" w:type="dxa"/>
            <w:tcBorders>
              <w:top w:val="nil"/>
              <w:left w:val="nil"/>
              <w:bottom w:val="single" w:sz="4" w:space="0" w:color="auto"/>
              <w:right w:val="single" w:sz="12" w:space="0" w:color="auto"/>
            </w:tcBorders>
            <w:shd w:val="clear" w:color="auto" w:fill="auto"/>
            <w:noWrap/>
            <w:vAlign w:val="bottom"/>
            <w:hideMark/>
          </w:tcPr>
          <w:p w14:paraId="0B07AFE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62.481</w:t>
            </w:r>
          </w:p>
        </w:tc>
      </w:tr>
      <w:tr w:rsidR="00510685" w:rsidRPr="00510685" w14:paraId="1ACB05CC" w14:textId="77777777" w:rsidTr="00F17B26">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653DA301"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2025 (**)</w:t>
            </w:r>
          </w:p>
        </w:tc>
        <w:tc>
          <w:tcPr>
            <w:tcW w:w="1275" w:type="dxa"/>
            <w:tcBorders>
              <w:top w:val="nil"/>
              <w:left w:val="nil"/>
              <w:bottom w:val="single" w:sz="4" w:space="0" w:color="auto"/>
              <w:right w:val="single" w:sz="4" w:space="0" w:color="auto"/>
            </w:tcBorders>
            <w:shd w:val="clear" w:color="auto" w:fill="auto"/>
            <w:noWrap/>
            <w:vAlign w:val="bottom"/>
            <w:hideMark/>
          </w:tcPr>
          <w:p w14:paraId="08A33BB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21.374</w:t>
            </w:r>
          </w:p>
        </w:tc>
        <w:tc>
          <w:tcPr>
            <w:tcW w:w="1276" w:type="dxa"/>
            <w:tcBorders>
              <w:top w:val="nil"/>
              <w:left w:val="nil"/>
              <w:bottom w:val="single" w:sz="4" w:space="0" w:color="auto"/>
              <w:right w:val="single" w:sz="4" w:space="0" w:color="auto"/>
            </w:tcBorders>
            <w:shd w:val="clear" w:color="auto" w:fill="auto"/>
            <w:noWrap/>
            <w:vAlign w:val="bottom"/>
            <w:hideMark/>
          </w:tcPr>
          <w:p w14:paraId="79360FC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4.879</w:t>
            </w:r>
          </w:p>
        </w:tc>
        <w:tc>
          <w:tcPr>
            <w:tcW w:w="1276" w:type="dxa"/>
            <w:tcBorders>
              <w:top w:val="nil"/>
              <w:left w:val="nil"/>
              <w:bottom w:val="single" w:sz="4" w:space="0" w:color="auto"/>
              <w:right w:val="single" w:sz="4" w:space="0" w:color="auto"/>
            </w:tcBorders>
            <w:shd w:val="clear" w:color="auto" w:fill="auto"/>
            <w:noWrap/>
            <w:vAlign w:val="bottom"/>
            <w:hideMark/>
          </w:tcPr>
          <w:p w14:paraId="2A091A2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1.151</w:t>
            </w:r>
          </w:p>
        </w:tc>
        <w:tc>
          <w:tcPr>
            <w:tcW w:w="1276" w:type="dxa"/>
            <w:tcBorders>
              <w:top w:val="nil"/>
              <w:left w:val="nil"/>
              <w:bottom w:val="single" w:sz="4" w:space="0" w:color="auto"/>
              <w:right w:val="single" w:sz="4" w:space="0" w:color="auto"/>
            </w:tcBorders>
            <w:shd w:val="clear" w:color="auto" w:fill="auto"/>
            <w:noWrap/>
            <w:vAlign w:val="bottom"/>
            <w:hideMark/>
          </w:tcPr>
          <w:p w14:paraId="3A3CBBD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33.241</w:t>
            </w:r>
          </w:p>
        </w:tc>
        <w:tc>
          <w:tcPr>
            <w:tcW w:w="1275" w:type="dxa"/>
            <w:tcBorders>
              <w:top w:val="nil"/>
              <w:left w:val="nil"/>
              <w:bottom w:val="single" w:sz="4" w:space="0" w:color="auto"/>
              <w:right w:val="single" w:sz="4" w:space="0" w:color="auto"/>
            </w:tcBorders>
            <w:shd w:val="clear" w:color="auto" w:fill="auto"/>
            <w:noWrap/>
            <w:vAlign w:val="bottom"/>
            <w:hideMark/>
          </w:tcPr>
          <w:p w14:paraId="46FFA62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1.760</w:t>
            </w:r>
          </w:p>
        </w:tc>
        <w:tc>
          <w:tcPr>
            <w:tcW w:w="1134" w:type="dxa"/>
            <w:tcBorders>
              <w:top w:val="nil"/>
              <w:left w:val="nil"/>
              <w:bottom w:val="single" w:sz="4" w:space="0" w:color="auto"/>
              <w:right w:val="single" w:sz="12" w:space="0" w:color="auto"/>
            </w:tcBorders>
            <w:shd w:val="clear" w:color="auto" w:fill="auto"/>
            <w:noWrap/>
            <w:vAlign w:val="bottom"/>
            <w:hideMark/>
          </w:tcPr>
          <w:p w14:paraId="5896586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62.405</w:t>
            </w:r>
          </w:p>
        </w:tc>
      </w:tr>
      <w:tr w:rsidR="00510685" w:rsidRPr="00510685" w14:paraId="3C1606A3" w14:textId="77777777" w:rsidTr="00F17B26">
        <w:trPr>
          <w:trHeight w:val="46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79AA1F6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2026</w:t>
            </w:r>
          </w:p>
        </w:tc>
        <w:tc>
          <w:tcPr>
            <w:tcW w:w="1275" w:type="dxa"/>
            <w:tcBorders>
              <w:top w:val="nil"/>
              <w:left w:val="nil"/>
              <w:bottom w:val="single" w:sz="4" w:space="0" w:color="auto"/>
              <w:right w:val="single" w:sz="4" w:space="0" w:color="auto"/>
            </w:tcBorders>
            <w:shd w:val="clear" w:color="auto" w:fill="auto"/>
            <w:noWrap/>
            <w:vAlign w:val="bottom"/>
            <w:hideMark/>
          </w:tcPr>
          <w:p w14:paraId="0E847AE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21.586</w:t>
            </w:r>
          </w:p>
        </w:tc>
        <w:tc>
          <w:tcPr>
            <w:tcW w:w="1276" w:type="dxa"/>
            <w:tcBorders>
              <w:top w:val="nil"/>
              <w:left w:val="nil"/>
              <w:bottom w:val="single" w:sz="4" w:space="0" w:color="auto"/>
              <w:right w:val="single" w:sz="4" w:space="0" w:color="auto"/>
            </w:tcBorders>
            <w:shd w:val="clear" w:color="auto" w:fill="auto"/>
            <w:noWrap/>
            <w:vAlign w:val="bottom"/>
            <w:hideMark/>
          </w:tcPr>
          <w:p w14:paraId="0B6BD5C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4.665</w:t>
            </w:r>
          </w:p>
        </w:tc>
        <w:tc>
          <w:tcPr>
            <w:tcW w:w="1276" w:type="dxa"/>
            <w:tcBorders>
              <w:top w:val="nil"/>
              <w:left w:val="nil"/>
              <w:bottom w:val="single" w:sz="4" w:space="0" w:color="auto"/>
              <w:right w:val="single" w:sz="4" w:space="0" w:color="auto"/>
            </w:tcBorders>
            <w:shd w:val="clear" w:color="auto" w:fill="auto"/>
            <w:noWrap/>
            <w:vAlign w:val="bottom"/>
            <w:hideMark/>
          </w:tcPr>
          <w:p w14:paraId="42F3D47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1.207</w:t>
            </w:r>
          </w:p>
        </w:tc>
        <w:tc>
          <w:tcPr>
            <w:tcW w:w="1276" w:type="dxa"/>
            <w:tcBorders>
              <w:top w:val="nil"/>
              <w:left w:val="nil"/>
              <w:bottom w:val="single" w:sz="4" w:space="0" w:color="auto"/>
              <w:right w:val="single" w:sz="4" w:space="0" w:color="auto"/>
            </w:tcBorders>
            <w:shd w:val="clear" w:color="auto" w:fill="auto"/>
            <w:noWrap/>
            <w:vAlign w:val="bottom"/>
            <w:hideMark/>
          </w:tcPr>
          <w:p w14:paraId="1F2A5EB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33.177</w:t>
            </w:r>
          </w:p>
        </w:tc>
        <w:tc>
          <w:tcPr>
            <w:tcW w:w="1275" w:type="dxa"/>
            <w:tcBorders>
              <w:top w:val="nil"/>
              <w:left w:val="nil"/>
              <w:bottom w:val="single" w:sz="4" w:space="0" w:color="auto"/>
              <w:right w:val="single" w:sz="4" w:space="0" w:color="auto"/>
            </w:tcBorders>
            <w:shd w:val="clear" w:color="auto" w:fill="auto"/>
            <w:noWrap/>
            <w:vAlign w:val="bottom"/>
            <w:hideMark/>
          </w:tcPr>
          <w:p w14:paraId="377FDCD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2.134</w:t>
            </w:r>
          </w:p>
        </w:tc>
        <w:tc>
          <w:tcPr>
            <w:tcW w:w="1134" w:type="dxa"/>
            <w:tcBorders>
              <w:top w:val="nil"/>
              <w:left w:val="nil"/>
              <w:bottom w:val="single" w:sz="4" w:space="0" w:color="auto"/>
              <w:right w:val="single" w:sz="12" w:space="0" w:color="auto"/>
            </w:tcBorders>
            <w:shd w:val="clear" w:color="auto" w:fill="auto"/>
            <w:noWrap/>
            <w:vAlign w:val="bottom"/>
            <w:hideMark/>
          </w:tcPr>
          <w:p w14:paraId="3F47AF1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62.768</w:t>
            </w:r>
          </w:p>
        </w:tc>
      </w:tr>
      <w:tr w:rsidR="00510685" w:rsidRPr="00510685" w14:paraId="3F4F601D" w14:textId="77777777" w:rsidTr="00F17B26">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340974E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2027</w:t>
            </w:r>
          </w:p>
        </w:tc>
        <w:tc>
          <w:tcPr>
            <w:tcW w:w="1275" w:type="dxa"/>
            <w:tcBorders>
              <w:top w:val="nil"/>
              <w:left w:val="nil"/>
              <w:bottom w:val="single" w:sz="4" w:space="0" w:color="auto"/>
              <w:right w:val="single" w:sz="4" w:space="0" w:color="auto"/>
            </w:tcBorders>
            <w:shd w:val="clear" w:color="auto" w:fill="auto"/>
            <w:noWrap/>
            <w:vAlign w:val="bottom"/>
            <w:hideMark/>
          </w:tcPr>
          <w:p w14:paraId="69D6AC0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21.797</w:t>
            </w:r>
          </w:p>
        </w:tc>
        <w:tc>
          <w:tcPr>
            <w:tcW w:w="1276" w:type="dxa"/>
            <w:tcBorders>
              <w:top w:val="nil"/>
              <w:left w:val="nil"/>
              <w:bottom w:val="single" w:sz="4" w:space="0" w:color="auto"/>
              <w:right w:val="single" w:sz="4" w:space="0" w:color="auto"/>
            </w:tcBorders>
            <w:shd w:val="clear" w:color="auto" w:fill="auto"/>
            <w:noWrap/>
            <w:vAlign w:val="bottom"/>
            <w:hideMark/>
          </w:tcPr>
          <w:p w14:paraId="6B91F71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4.441</w:t>
            </w:r>
          </w:p>
        </w:tc>
        <w:tc>
          <w:tcPr>
            <w:tcW w:w="1276" w:type="dxa"/>
            <w:tcBorders>
              <w:top w:val="nil"/>
              <w:left w:val="nil"/>
              <w:bottom w:val="single" w:sz="4" w:space="0" w:color="auto"/>
              <w:right w:val="single" w:sz="4" w:space="0" w:color="auto"/>
            </w:tcBorders>
            <w:shd w:val="clear" w:color="auto" w:fill="auto"/>
            <w:noWrap/>
            <w:vAlign w:val="bottom"/>
            <w:hideMark/>
          </w:tcPr>
          <w:p w14:paraId="59C0D47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1.266</w:t>
            </w:r>
          </w:p>
        </w:tc>
        <w:tc>
          <w:tcPr>
            <w:tcW w:w="1276" w:type="dxa"/>
            <w:tcBorders>
              <w:top w:val="nil"/>
              <w:left w:val="nil"/>
              <w:bottom w:val="single" w:sz="4" w:space="0" w:color="auto"/>
              <w:right w:val="single" w:sz="4" w:space="0" w:color="auto"/>
            </w:tcBorders>
            <w:shd w:val="clear" w:color="auto" w:fill="auto"/>
            <w:noWrap/>
            <w:vAlign w:val="bottom"/>
            <w:hideMark/>
          </w:tcPr>
          <w:p w14:paraId="55A3D28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33.106</w:t>
            </w:r>
          </w:p>
        </w:tc>
        <w:tc>
          <w:tcPr>
            <w:tcW w:w="1275" w:type="dxa"/>
            <w:tcBorders>
              <w:top w:val="nil"/>
              <w:left w:val="nil"/>
              <w:bottom w:val="single" w:sz="4" w:space="0" w:color="auto"/>
              <w:right w:val="single" w:sz="4" w:space="0" w:color="auto"/>
            </w:tcBorders>
            <w:shd w:val="clear" w:color="auto" w:fill="auto"/>
            <w:noWrap/>
            <w:vAlign w:val="bottom"/>
            <w:hideMark/>
          </w:tcPr>
          <w:p w14:paraId="08D0D4E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2.585</w:t>
            </w:r>
          </w:p>
        </w:tc>
        <w:tc>
          <w:tcPr>
            <w:tcW w:w="1134" w:type="dxa"/>
            <w:tcBorders>
              <w:top w:val="nil"/>
              <w:left w:val="nil"/>
              <w:bottom w:val="single" w:sz="4" w:space="0" w:color="auto"/>
              <w:right w:val="single" w:sz="12" w:space="0" w:color="auto"/>
            </w:tcBorders>
            <w:shd w:val="clear" w:color="auto" w:fill="auto"/>
            <w:noWrap/>
            <w:vAlign w:val="bottom"/>
            <w:hideMark/>
          </w:tcPr>
          <w:p w14:paraId="4E842A1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63.195</w:t>
            </w:r>
          </w:p>
        </w:tc>
      </w:tr>
      <w:tr w:rsidR="00510685" w:rsidRPr="00510685" w14:paraId="5BE42BB9" w14:textId="77777777" w:rsidTr="00F17B26">
        <w:trPr>
          <w:trHeight w:val="48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6327155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2028</w:t>
            </w:r>
          </w:p>
        </w:tc>
        <w:tc>
          <w:tcPr>
            <w:tcW w:w="1275" w:type="dxa"/>
            <w:tcBorders>
              <w:top w:val="nil"/>
              <w:left w:val="nil"/>
              <w:bottom w:val="single" w:sz="4" w:space="0" w:color="auto"/>
              <w:right w:val="single" w:sz="4" w:space="0" w:color="auto"/>
            </w:tcBorders>
            <w:shd w:val="clear" w:color="auto" w:fill="auto"/>
            <w:noWrap/>
            <w:vAlign w:val="bottom"/>
            <w:hideMark/>
          </w:tcPr>
          <w:p w14:paraId="6D6BB95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22.008</w:t>
            </w:r>
          </w:p>
        </w:tc>
        <w:tc>
          <w:tcPr>
            <w:tcW w:w="1276" w:type="dxa"/>
            <w:tcBorders>
              <w:top w:val="nil"/>
              <w:left w:val="nil"/>
              <w:bottom w:val="single" w:sz="4" w:space="0" w:color="auto"/>
              <w:right w:val="single" w:sz="4" w:space="0" w:color="auto"/>
            </w:tcBorders>
            <w:shd w:val="clear" w:color="auto" w:fill="auto"/>
            <w:noWrap/>
            <w:vAlign w:val="bottom"/>
            <w:hideMark/>
          </w:tcPr>
          <w:p w14:paraId="58B365E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4.205</w:t>
            </w:r>
          </w:p>
        </w:tc>
        <w:tc>
          <w:tcPr>
            <w:tcW w:w="1276" w:type="dxa"/>
            <w:tcBorders>
              <w:top w:val="nil"/>
              <w:left w:val="nil"/>
              <w:bottom w:val="single" w:sz="4" w:space="0" w:color="auto"/>
              <w:right w:val="single" w:sz="4" w:space="0" w:color="auto"/>
            </w:tcBorders>
            <w:shd w:val="clear" w:color="auto" w:fill="auto"/>
            <w:noWrap/>
            <w:vAlign w:val="bottom"/>
            <w:hideMark/>
          </w:tcPr>
          <w:p w14:paraId="75581FA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1.328</w:t>
            </w:r>
          </w:p>
        </w:tc>
        <w:tc>
          <w:tcPr>
            <w:tcW w:w="1276" w:type="dxa"/>
            <w:tcBorders>
              <w:top w:val="nil"/>
              <w:left w:val="nil"/>
              <w:bottom w:val="single" w:sz="4" w:space="0" w:color="auto"/>
              <w:right w:val="single" w:sz="4" w:space="0" w:color="auto"/>
            </w:tcBorders>
            <w:shd w:val="clear" w:color="auto" w:fill="auto"/>
            <w:noWrap/>
            <w:vAlign w:val="bottom"/>
            <w:hideMark/>
          </w:tcPr>
          <w:p w14:paraId="50C375B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33.029</w:t>
            </w:r>
          </w:p>
        </w:tc>
        <w:tc>
          <w:tcPr>
            <w:tcW w:w="1275" w:type="dxa"/>
            <w:tcBorders>
              <w:top w:val="nil"/>
              <w:left w:val="nil"/>
              <w:bottom w:val="single" w:sz="4" w:space="0" w:color="auto"/>
              <w:right w:val="single" w:sz="4" w:space="0" w:color="auto"/>
            </w:tcBorders>
            <w:shd w:val="clear" w:color="auto" w:fill="auto"/>
            <w:noWrap/>
            <w:vAlign w:val="bottom"/>
            <w:hideMark/>
          </w:tcPr>
          <w:p w14:paraId="7587560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3.129</w:t>
            </w:r>
          </w:p>
        </w:tc>
        <w:tc>
          <w:tcPr>
            <w:tcW w:w="1134" w:type="dxa"/>
            <w:tcBorders>
              <w:top w:val="nil"/>
              <w:left w:val="nil"/>
              <w:bottom w:val="single" w:sz="4" w:space="0" w:color="auto"/>
              <w:right w:val="single" w:sz="12" w:space="0" w:color="auto"/>
            </w:tcBorders>
            <w:shd w:val="clear" w:color="auto" w:fill="auto"/>
            <w:noWrap/>
            <w:vAlign w:val="bottom"/>
            <w:hideMark/>
          </w:tcPr>
          <w:p w14:paraId="63FC2A0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63.700</w:t>
            </w:r>
          </w:p>
        </w:tc>
      </w:tr>
      <w:tr w:rsidR="00510685" w:rsidRPr="00510685" w14:paraId="703AAF6E" w14:textId="77777777" w:rsidTr="00F17B26">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5B6E3D5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2029</w:t>
            </w:r>
          </w:p>
        </w:tc>
        <w:tc>
          <w:tcPr>
            <w:tcW w:w="1275" w:type="dxa"/>
            <w:tcBorders>
              <w:top w:val="nil"/>
              <w:left w:val="nil"/>
              <w:bottom w:val="single" w:sz="4" w:space="0" w:color="auto"/>
              <w:right w:val="single" w:sz="4" w:space="0" w:color="auto"/>
            </w:tcBorders>
            <w:shd w:val="clear" w:color="auto" w:fill="auto"/>
            <w:noWrap/>
            <w:vAlign w:val="bottom"/>
            <w:hideMark/>
          </w:tcPr>
          <w:p w14:paraId="2F34D48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22.095</w:t>
            </w:r>
          </w:p>
        </w:tc>
        <w:tc>
          <w:tcPr>
            <w:tcW w:w="1276" w:type="dxa"/>
            <w:tcBorders>
              <w:top w:val="nil"/>
              <w:left w:val="nil"/>
              <w:bottom w:val="single" w:sz="4" w:space="0" w:color="auto"/>
              <w:right w:val="single" w:sz="4" w:space="0" w:color="auto"/>
            </w:tcBorders>
            <w:shd w:val="clear" w:color="auto" w:fill="auto"/>
            <w:noWrap/>
            <w:vAlign w:val="bottom"/>
            <w:hideMark/>
          </w:tcPr>
          <w:p w14:paraId="18C929C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3.958</w:t>
            </w:r>
          </w:p>
        </w:tc>
        <w:tc>
          <w:tcPr>
            <w:tcW w:w="1276" w:type="dxa"/>
            <w:tcBorders>
              <w:top w:val="nil"/>
              <w:left w:val="nil"/>
              <w:bottom w:val="single" w:sz="4" w:space="0" w:color="auto"/>
              <w:right w:val="single" w:sz="4" w:space="0" w:color="auto"/>
            </w:tcBorders>
            <w:shd w:val="clear" w:color="auto" w:fill="auto"/>
            <w:noWrap/>
            <w:vAlign w:val="bottom"/>
            <w:hideMark/>
          </w:tcPr>
          <w:p w14:paraId="7854E47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1.393</w:t>
            </w:r>
          </w:p>
        </w:tc>
        <w:tc>
          <w:tcPr>
            <w:tcW w:w="1276" w:type="dxa"/>
            <w:tcBorders>
              <w:top w:val="nil"/>
              <w:left w:val="nil"/>
              <w:bottom w:val="single" w:sz="4" w:space="0" w:color="auto"/>
              <w:right w:val="single" w:sz="4" w:space="0" w:color="auto"/>
            </w:tcBorders>
            <w:shd w:val="clear" w:color="auto" w:fill="auto"/>
            <w:noWrap/>
            <w:vAlign w:val="bottom"/>
            <w:hideMark/>
          </w:tcPr>
          <w:p w14:paraId="6BCD073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32.947</w:t>
            </w:r>
          </w:p>
        </w:tc>
        <w:tc>
          <w:tcPr>
            <w:tcW w:w="1275" w:type="dxa"/>
            <w:tcBorders>
              <w:top w:val="nil"/>
              <w:left w:val="nil"/>
              <w:bottom w:val="single" w:sz="4" w:space="0" w:color="auto"/>
              <w:right w:val="single" w:sz="4" w:space="0" w:color="auto"/>
            </w:tcBorders>
            <w:shd w:val="clear" w:color="auto" w:fill="auto"/>
            <w:noWrap/>
            <w:vAlign w:val="bottom"/>
            <w:hideMark/>
          </w:tcPr>
          <w:p w14:paraId="339A912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3.783</w:t>
            </w:r>
          </w:p>
        </w:tc>
        <w:tc>
          <w:tcPr>
            <w:tcW w:w="1134" w:type="dxa"/>
            <w:tcBorders>
              <w:top w:val="nil"/>
              <w:left w:val="nil"/>
              <w:bottom w:val="single" w:sz="4" w:space="0" w:color="auto"/>
              <w:right w:val="single" w:sz="12" w:space="0" w:color="auto"/>
            </w:tcBorders>
            <w:shd w:val="clear" w:color="auto" w:fill="auto"/>
            <w:noWrap/>
            <w:vAlign w:val="bottom"/>
            <w:hideMark/>
          </w:tcPr>
          <w:p w14:paraId="4BBEC28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64.176</w:t>
            </w:r>
          </w:p>
        </w:tc>
      </w:tr>
      <w:tr w:rsidR="00510685" w:rsidRPr="00510685" w14:paraId="1934385B" w14:textId="77777777" w:rsidTr="00F17B26">
        <w:trPr>
          <w:trHeight w:val="30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1668F3B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2030</w:t>
            </w:r>
          </w:p>
        </w:tc>
        <w:tc>
          <w:tcPr>
            <w:tcW w:w="1275" w:type="dxa"/>
            <w:tcBorders>
              <w:top w:val="nil"/>
              <w:left w:val="nil"/>
              <w:bottom w:val="single" w:sz="4" w:space="0" w:color="auto"/>
              <w:right w:val="single" w:sz="4" w:space="0" w:color="auto"/>
            </w:tcBorders>
            <w:shd w:val="clear" w:color="auto" w:fill="auto"/>
            <w:noWrap/>
            <w:vAlign w:val="bottom"/>
            <w:hideMark/>
          </w:tcPr>
          <w:p w14:paraId="535B7F5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22.020</w:t>
            </w:r>
          </w:p>
        </w:tc>
        <w:tc>
          <w:tcPr>
            <w:tcW w:w="1276" w:type="dxa"/>
            <w:tcBorders>
              <w:top w:val="nil"/>
              <w:left w:val="nil"/>
              <w:bottom w:val="single" w:sz="4" w:space="0" w:color="auto"/>
              <w:right w:val="single" w:sz="4" w:space="0" w:color="auto"/>
            </w:tcBorders>
            <w:shd w:val="clear" w:color="auto" w:fill="auto"/>
            <w:noWrap/>
            <w:vAlign w:val="bottom"/>
            <w:hideMark/>
          </w:tcPr>
          <w:p w14:paraId="7830F2B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3.700</w:t>
            </w:r>
          </w:p>
        </w:tc>
        <w:tc>
          <w:tcPr>
            <w:tcW w:w="1276" w:type="dxa"/>
            <w:tcBorders>
              <w:top w:val="nil"/>
              <w:left w:val="nil"/>
              <w:bottom w:val="single" w:sz="4" w:space="0" w:color="auto"/>
              <w:right w:val="single" w:sz="4" w:space="0" w:color="auto"/>
            </w:tcBorders>
            <w:shd w:val="clear" w:color="auto" w:fill="auto"/>
            <w:noWrap/>
            <w:vAlign w:val="bottom"/>
            <w:hideMark/>
          </w:tcPr>
          <w:p w14:paraId="08DD171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1.461</w:t>
            </w:r>
          </w:p>
        </w:tc>
        <w:tc>
          <w:tcPr>
            <w:tcW w:w="1276" w:type="dxa"/>
            <w:tcBorders>
              <w:top w:val="nil"/>
              <w:left w:val="nil"/>
              <w:bottom w:val="single" w:sz="4" w:space="0" w:color="auto"/>
              <w:right w:val="single" w:sz="4" w:space="0" w:color="auto"/>
            </w:tcBorders>
            <w:shd w:val="clear" w:color="auto" w:fill="auto"/>
            <w:noWrap/>
            <w:vAlign w:val="bottom"/>
            <w:hideMark/>
          </w:tcPr>
          <w:p w14:paraId="24CBFD3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32.858</w:t>
            </w:r>
          </w:p>
        </w:tc>
        <w:tc>
          <w:tcPr>
            <w:tcW w:w="1275" w:type="dxa"/>
            <w:tcBorders>
              <w:top w:val="nil"/>
              <w:left w:val="nil"/>
              <w:bottom w:val="single" w:sz="4" w:space="0" w:color="auto"/>
              <w:right w:val="single" w:sz="4" w:space="0" w:color="auto"/>
            </w:tcBorders>
            <w:shd w:val="clear" w:color="auto" w:fill="auto"/>
            <w:noWrap/>
            <w:vAlign w:val="bottom"/>
            <w:hideMark/>
          </w:tcPr>
          <w:p w14:paraId="40BDE65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4.568</w:t>
            </w:r>
          </w:p>
        </w:tc>
        <w:tc>
          <w:tcPr>
            <w:tcW w:w="1134" w:type="dxa"/>
            <w:tcBorders>
              <w:top w:val="nil"/>
              <w:left w:val="nil"/>
              <w:bottom w:val="single" w:sz="4" w:space="0" w:color="auto"/>
              <w:right w:val="single" w:sz="12" w:space="0" w:color="auto"/>
            </w:tcBorders>
            <w:shd w:val="clear" w:color="auto" w:fill="auto"/>
            <w:noWrap/>
            <w:vAlign w:val="bottom"/>
            <w:hideMark/>
          </w:tcPr>
          <w:p w14:paraId="503B979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64.608</w:t>
            </w:r>
          </w:p>
        </w:tc>
      </w:tr>
      <w:tr w:rsidR="00510685" w:rsidRPr="00510685" w14:paraId="58DC132B" w14:textId="77777777" w:rsidTr="00F17B26">
        <w:trPr>
          <w:trHeight w:val="30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0362B82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2031</w:t>
            </w:r>
          </w:p>
        </w:tc>
        <w:tc>
          <w:tcPr>
            <w:tcW w:w="1275" w:type="dxa"/>
            <w:tcBorders>
              <w:top w:val="nil"/>
              <w:left w:val="nil"/>
              <w:bottom w:val="single" w:sz="4" w:space="0" w:color="auto"/>
              <w:right w:val="single" w:sz="4" w:space="0" w:color="auto"/>
            </w:tcBorders>
            <w:shd w:val="clear" w:color="auto" w:fill="auto"/>
            <w:noWrap/>
            <w:vAlign w:val="bottom"/>
            <w:hideMark/>
          </w:tcPr>
          <w:p w14:paraId="7D3E7EE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21.943</w:t>
            </w:r>
          </w:p>
        </w:tc>
        <w:tc>
          <w:tcPr>
            <w:tcW w:w="1276" w:type="dxa"/>
            <w:tcBorders>
              <w:top w:val="nil"/>
              <w:left w:val="nil"/>
              <w:bottom w:val="single" w:sz="4" w:space="0" w:color="auto"/>
              <w:right w:val="single" w:sz="4" w:space="0" w:color="auto"/>
            </w:tcBorders>
            <w:shd w:val="clear" w:color="auto" w:fill="auto"/>
            <w:noWrap/>
            <w:vAlign w:val="bottom"/>
            <w:hideMark/>
          </w:tcPr>
          <w:p w14:paraId="6196AD7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3.430</w:t>
            </w:r>
          </w:p>
        </w:tc>
        <w:tc>
          <w:tcPr>
            <w:tcW w:w="1276" w:type="dxa"/>
            <w:tcBorders>
              <w:top w:val="nil"/>
              <w:left w:val="nil"/>
              <w:bottom w:val="single" w:sz="4" w:space="0" w:color="auto"/>
              <w:right w:val="single" w:sz="4" w:space="0" w:color="auto"/>
            </w:tcBorders>
            <w:shd w:val="clear" w:color="auto" w:fill="auto"/>
            <w:noWrap/>
            <w:vAlign w:val="bottom"/>
            <w:hideMark/>
          </w:tcPr>
          <w:p w14:paraId="6C88C64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1.532</w:t>
            </w:r>
          </w:p>
        </w:tc>
        <w:tc>
          <w:tcPr>
            <w:tcW w:w="1276" w:type="dxa"/>
            <w:tcBorders>
              <w:top w:val="nil"/>
              <w:left w:val="nil"/>
              <w:bottom w:val="single" w:sz="4" w:space="0" w:color="auto"/>
              <w:right w:val="single" w:sz="4" w:space="0" w:color="auto"/>
            </w:tcBorders>
            <w:shd w:val="clear" w:color="auto" w:fill="auto"/>
            <w:noWrap/>
            <w:vAlign w:val="bottom"/>
            <w:hideMark/>
          </w:tcPr>
          <w:p w14:paraId="562C7AA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32.763</w:t>
            </w:r>
          </w:p>
        </w:tc>
        <w:tc>
          <w:tcPr>
            <w:tcW w:w="1275" w:type="dxa"/>
            <w:tcBorders>
              <w:top w:val="nil"/>
              <w:left w:val="nil"/>
              <w:bottom w:val="single" w:sz="4" w:space="0" w:color="auto"/>
              <w:right w:val="single" w:sz="4" w:space="0" w:color="auto"/>
            </w:tcBorders>
            <w:shd w:val="clear" w:color="auto" w:fill="auto"/>
            <w:noWrap/>
            <w:vAlign w:val="bottom"/>
            <w:hideMark/>
          </w:tcPr>
          <w:p w14:paraId="036A03C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5.510</w:t>
            </w:r>
          </w:p>
        </w:tc>
        <w:tc>
          <w:tcPr>
            <w:tcW w:w="1134" w:type="dxa"/>
            <w:tcBorders>
              <w:top w:val="nil"/>
              <w:left w:val="nil"/>
              <w:bottom w:val="single" w:sz="4" w:space="0" w:color="auto"/>
              <w:right w:val="single" w:sz="12" w:space="0" w:color="auto"/>
            </w:tcBorders>
            <w:shd w:val="clear" w:color="auto" w:fill="auto"/>
            <w:noWrap/>
            <w:vAlign w:val="bottom"/>
            <w:hideMark/>
          </w:tcPr>
          <w:p w14:paraId="151EC79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65.179</w:t>
            </w:r>
          </w:p>
        </w:tc>
      </w:tr>
      <w:tr w:rsidR="00510685" w:rsidRPr="00510685" w14:paraId="6F2A7452" w14:textId="77777777" w:rsidTr="00F17B26">
        <w:trPr>
          <w:trHeight w:val="30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0DD8499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2032</w:t>
            </w:r>
          </w:p>
        </w:tc>
        <w:tc>
          <w:tcPr>
            <w:tcW w:w="1275" w:type="dxa"/>
            <w:tcBorders>
              <w:top w:val="nil"/>
              <w:left w:val="nil"/>
              <w:bottom w:val="single" w:sz="4" w:space="0" w:color="auto"/>
              <w:right w:val="single" w:sz="4" w:space="0" w:color="auto"/>
            </w:tcBorders>
            <w:shd w:val="clear" w:color="auto" w:fill="auto"/>
            <w:noWrap/>
            <w:vAlign w:val="bottom"/>
            <w:hideMark/>
          </w:tcPr>
          <w:p w14:paraId="3D8CE29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21.864</w:t>
            </w:r>
          </w:p>
        </w:tc>
        <w:tc>
          <w:tcPr>
            <w:tcW w:w="1276" w:type="dxa"/>
            <w:tcBorders>
              <w:top w:val="nil"/>
              <w:left w:val="nil"/>
              <w:bottom w:val="single" w:sz="4" w:space="0" w:color="auto"/>
              <w:right w:val="single" w:sz="4" w:space="0" w:color="auto"/>
            </w:tcBorders>
            <w:shd w:val="clear" w:color="auto" w:fill="auto"/>
            <w:noWrap/>
            <w:vAlign w:val="bottom"/>
            <w:hideMark/>
          </w:tcPr>
          <w:p w14:paraId="60DD19B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3.148</w:t>
            </w:r>
          </w:p>
        </w:tc>
        <w:tc>
          <w:tcPr>
            <w:tcW w:w="1276" w:type="dxa"/>
            <w:tcBorders>
              <w:top w:val="nil"/>
              <w:left w:val="nil"/>
              <w:bottom w:val="single" w:sz="4" w:space="0" w:color="auto"/>
              <w:right w:val="single" w:sz="4" w:space="0" w:color="auto"/>
            </w:tcBorders>
            <w:shd w:val="clear" w:color="auto" w:fill="auto"/>
            <w:noWrap/>
            <w:vAlign w:val="bottom"/>
            <w:hideMark/>
          </w:tcPr>
          <w:p w14:paraId="1D31369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1.555</w:t>
            </w:r>
          </w:p>
        </w:tc>
        <w:tc>
          <w:tcPr>
            <w:tcW w:w="1276" w:type="dxa"/>
            <w:tcBorders>
              <w:top w:val="nil"/>
              <w:left w:val="nil"/>
              <w:bottom w:val="single" w:sz="4" w:space="0" w:color="auto"/>
              <w:right w:val="single" w:sz="4" w:space="0" w:color="auto"/>
            </w:tcBorders>
            <w:shd w:val="clear" w:color="auto" w:fill="auto"/>
            <w:noWrap/>
            <w:vAlign w:val="bottom"/>
            <w:hideMark/>
          </w:tcPr>
          <w:p w14:paraId="0406F00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32.662</w:t>
            </w:r>
          </w:p>
        </w:tc>
        <w:tc>
          <w:tcPr>
            <w:tcW w:w="1275" w:type="dxa"/>
            <w:tcBorders>
              <w:top w:val="nil"/>
              <w:left w:val="nil"/>
              <w:bottom w:val="single" w:sz="4" w:space="0" w:color="auto"/>
              <w:right w:val="single" w:sz="4" w:space="0" w:color="auto"/>
            </w:tcBorders>
            <w:shd w:val="clear" w:color="auto" w:fill="auto"/>
            <w:noWrap/>
            <w:vAlign w:val="bottom"/>
            <w:hideMark/>
          </w:tcPr>
          <w:p w14:paraId="1934165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6.637</w:t>
            </w:r>
          </w:p>
        </w:tc>
        <w:tc>
          <w:tcPr>
            <w:tcW w:w="1134" w:type="dxa"/>
            <w:tcBorders>
              <w:top w:val="nil"/>
              <w:left w:val="nil"/>
              <w:bottom w:val="single" w:sz="4" w:space="0" w:color="auto"/>
              <w:right w:val="single" w:sz="12" w:space="0" w:color="auto"/>
            </w:tcBorders>
            <w:shd w:val="clear" w:color="auto" w:fill="auto"/>
            <w:noWrap/>
            <w:vAlign w:val="bottom"/>
            <w:hideMark/>
          </w:tcPr>
          <w:p w14:paraId="7E49C57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65.866</w:t>
            </w:r>
          </w:p>
        </w:tc>
      </w:tr>
      <w:tr w:rsidR="00510685" w:rsidRPr="00510685" w14:paraId="64569916" w14:textId="77777777" w:rsidTr="00F17B26">
        <w:trPr>
          <w:trHeight w:val="300"/>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4ABD703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2033</w:t>
            </w:r>
          </w:p>
        </w:tc>
        <w:tc>
          <w:tcPr>
            <w:tcW w:w="1275" w:type="dxa"/>
            <w:tcBorders>
              <w:top w:val="nil"/>
              <w:left w:val="nil"/>
              <w:bottom w:val="single" w:sz="4" w:space="0" w:color="auto"/>
              <w:right w:val="single" w:sz="4" w:space="0" w:color="auto"/>
            </w:tcBorders>
            <w:shd w:val="clear" w:color="auto" w:fill="auto"/>
            <w:noWrap/>
            <w:vAlign w:val="bottom"/>
            <w:hideMark/>
          </w:tcPr>
          <w:p w14:paraId="6087B72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21.783</w:t>
            </w:r>
          </w:p>
        </w:tc>
        <w:tc>
          <w:tcPr>
            <w:tcW w:w="1276" w:type="dxa"/>
            <w:tcBorders>
              <w:top w:val="nil"/>
              <w:left w:val="nil"/>
              <w:bottom w:val="single" w:sz="4" w:space="0" w:color="auto"/>
              <w:right w:val="single" w:sz="4" w:space="0" w:color="auto"/>
            </w:tcBorders>
            <w:shd w:val="clear" w:color="auto" w:fill="auto"/>
            <w:noWrap/>
            <w:vAlign w:val="bottom"/>
            <w:hideMark/>
          </w:tcPr>
          <w:p w14:paraId="5189B7E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2.853</w:t>
            </w:r>
          </w:p>
        </w:tc>
        <w:tc>
          <w:tcPr>
            <w:tcW w:w="1276" w:type="dxa"/>
            <w:tcBorders>
              <w:top w:val="nil"/>
              <w:left w:val="nil"/>
              <w:bottom w:val="single" w:sz="4" w:space="0" w:color="auto"/>
              <w:right w:val="single" w:sz="4" w:space="0" w:color="auto"/>
            </w:tcBorders>
            <w:shd w:val="clear" w:color="auto" w:fill="auto"/>
            <w:noWrap/>
            <w:vAlign w:val="bottom"/>
            <w:hideMark/>
          </w:tcPr>
          <w:p w14:paraId="2B60A18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1.554</w:t>
            </w:r>
          </w:p>
        </w:tc>
        <w:tc>
          <w:tcPr>
            <w:tcW w:w="1276" w:type="dxa"/>
            <w:tcBorders>
              <w:top w:val="nil"/>
              <w:left w:val="nil"/>
              <w:bottom w:val="single" w:sz="4" w:space="0" w:color="auto"/>
              <w:right w:val="single" w:sz="4" w:space="0" w:color="auto"/>
            </w:tcBorders>
            <w:shd w:val="clear" w:color="auto" w:fill="auto"/>
            <w:noWrap/>
            <w:vAlign w:val="bottom"/>
            <w:hideMark/>
          </w:tcPr>
          <w:p w14:paraId="3521DA5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32.555</w:t>
            </w:r>
          </w:p>
        </w:tc>
        <w:tc>
          <w:tcPr>
            <w:tcW w:w="1275" w:type="dxa"/>
            <w:tcBorders>
              <w:top w:val="nil"/>
              <w:left w:val="nil"/>
              <w:bottom w:val="single" w:sz="4" w:space="0" w:color="auto"/>
              <w:right w:val="single" w:sz="4" w:space="0" w:color="auto"/>
            </w:tcBorders>
            <w:shd w:val="clear" w:color="auto" w:fill="auto"/>
            <w:noWrap/>
            <w:vAlign w:val="bottom"/>
            <w:hideMark/>
          </w:tcPr>
          <w:p w14:paraId="6EC1FFB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7.743</w:t>
            </w:r>
          </w:p>
        </w:tc>
        <w:tc>
          <w:tcPr>
            <w:tcW w:w="1134" w:type="dxa"/>
            <w:tcBorders>
              <w:top w:val="nil"/>
              <w:left w:val="nil"/>
              <w:bottom w:val="single" w:sz="4" w:space="0" w:color="auto"/>
              <w:right w:val="single" w:sz="12" w:space="0" w:color="auto"/>
            </w:tcBorders>
            <w:shd w:val="clear" w:color="auto" w:fill="auto"/>
            <w:noWrap/>
            <w:vAlign w:val="bottom"/>
            <w:hideMark/>
          </w:tcPr>
          <w:p w14:paraId="237BED98"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66.488</w:t>
            </w:r>
          </w:p>
        </w:tc>
      </w:tr>
      <w:tr w:rsidR="00510685" w:rsidRPr="00510685" w14:paraId="596AC904" w14:textId="77777777" w:rsidTr="00F17B26">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693BDC0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2034</w:t>
            </w:r>
          </w:p>
        </w:tc>
        <w:tc>
          <w:tcPr>
            <w:tcW w:w="1275" w:type="dxa"/>
            <w:tcBorders>
              <w:top w:val="nil"/>
              <w:left w:val="nil"/>
              <w:bottom w:val="single" w:sz="4" w:space="0" w:color="auto"/>
              <w:right w:val="single" w:sz="4" w:space="0" w:color="auto"/>
            </w:tcBorders>
            <w:shd w:val="clear" w:color="auto" w:fill="auto"/>
            <w:noWrap/>
            <w:vAlign w:val="bottom"/>
            <w:hideMark/>
          </w:tcPr>
          <w:p w14:paraId="3874B5C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21.700</w:t>
            </w:r>
          </w:p>
        </w:tc>
        <w:tc>
          <w:tcPr>
            <w:tcW w:w="1276" w:type="dxa"/>
            <w:tcBorders>
              <w:top w:val="nil"/>
              <w:left w:val="nil"/>
              <w:bottom w:val="single" w:sz="4" w:space="0" w:color="auto"/>
              <w:right w:val="single" w:sz="4" w:space="0" w:color="auto"/>
            </w:tcBorders>
            <w:shd w:val="clear" w:color="auto" w:fill="auto"/>
            <w:noWrap/>
            <w:vAlign w:val="bottom"/>
            <w:hideMark/>
          </w:tcPr>
          <w:p w14:paraId="706DBCA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2.544</w:t>
            </w:r>
          </w:p>
        </w:tc>
        <w:tc>
          <w:tcPr>
            <w:tcW w:w="1276" w:type="dxa"/>
            <w:tcBorders>
              <w:top w:val="nil"/>
              <w:left w:val="nil"/>
              <w:bottom w:val="single" w:sz="4" w:space="0" w:color="auto"/>
              <w:right w:val="single" w:sz="4" w:space="0" w:color="auto"/>
            </w:tcBorders>
            <w:shd w:val="clear" w:color="auto" w:fill="auto"/>
            <w:noWrap/>
            <w:vAlign w:val="bottom"/>
            <w:hideMark/>
          </w:tcPr>
          <w:p w14:paraId="3CEC139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1.554</w:t>
            </w:r>
          </w:p>
        </w:tc>
        <w:tc>
          <w:tcPr>
            <w:tcW w:w="1276" w:type="dxa"/>
            <w:tcBorders>
              <w:top w:val="nil"/>
              <w:left w:val="nil"/>
              <w:bottom w:val="single" w:sz="4" w:space="0" w:color="auto"/>
              <w:right w:val="single" w:sz="4" w:space="0" w:color="auto"/>
            </w:tcBorders>
            <w:shd w:val="clear" w:color="auto" w:fill="auto"/>
            <w:noWrap/>
            <w:vAlign w:val="bottom"/>
            <w:hideMark/>
          </w:tcPr>
          <w:p w14:paraId="47B83A2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32.441</w:t>
            </w:r>
          </w:p>
        </w:tc>
        <w:tc>
          <w:tcPr>
            <w:tcW w:w="1275" w:type="dxa"/>
            <w:tcBorders>
              <w:top w:val="nil"/>
              <w:left w:val="nil"/>
              <w:bottom w:val="single" w:sz="4" w:space="0" w:color="auto"/>
              <w:right w:val="single" w:sz="4" w:space="0" w:color="auto"/>
            </w:tcBorders>
            <w:shd w:val="clear" w:color="auto" w:fill="auto"/>
            <w:noWrap/>
            <w:vAlign w:val="bottom"/>
            <w:hideMark/>
          </w:tcPr>
          <w:p w14:paraId="019AFFA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7.521</w:t>
            </w:r>
          </w:p>
        </w:tc>
        <w:tc>
          <w:tcPr>
            <w:tcW w:w="1134" w:type="dxa"/>
            <w:tcBorders>
              <w:top w:val="nil"/>
              <w:left w:val="nil"/>
              <w:bottom w:val="single" w:sz="4" w:space="0" w:color="auto"/>
              <w:right w:val="single" w:sz="12" w:space="0" w:color="auto"/>
            </w:tcBorders>
            <w:shd w:val="clear" w:color="auto" w:fill="auto"/>
            <w:noWrap/>
            <w:vAlign w:val="bottom"/>
            <w:hideMark/>
          </w:tcPr>
          <w:p w14:paraId="324D455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65.761</w:t>
            </w:r>
          </w:p>
        </w:tc>
      </w:tr>
      <w:tr w:rsidR="00510685" w:rsidRPr="00510685" w14:paraId="6DEF1D62" w14:textId="77777777" w:rsidTr="00F17B26">
        <w:trPr>
          <w:trHeight w:val="315"/>
        </w:trPr>
        <w:tc>
          <w:tcPr>
            <w:tcW w:w="978" w:type="dxa"/>
            <w:tcBorders>
              <w:top w:val="nil"/>
              <w:left w:val="single" w:sz="12" w:space="0" w:color="auto"/>
              <w:bottom w:val="single" w:sz="4" w:space="0" w:color="auto"/>
              <w:right w:val="single" w:sz="12" w:space="0" w:color="auto"/>
            </w:tcBorders>
            <w:shd w:val="clear" w:color="auto" w:fill="auto"/>
            <w:noWrap/>
            <w:vAlign w:val="bottom"/>
            <w:hideMark/>
          </w:tcPr>
          <w:p w14:paraId="70AE87B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2035</w:t>
            </w:r>
          </w:p>
        </w:tc>
        <w:tc>
          <w:tcPr>
            <w:tcW w:w="1275" w:type="dxa"/>
            <w:tcBorders>
              <w:top w:val="nil"/>
              <w:left w:val="nil"/>
              <w:bottom w:val="single" w:sz="4" w:space="0" w:color="auto"/>
              <w:right w:val="single" w:sz="4" w:space="0" w:color="auto"/>
            </w:tcBorders>
            <w:shd w:val="clear" w:color="auto" w:fill="auto"/>
            <w:noWrap/>
            <w:vAlign w:val="bottom"/>
            <w:hideMark/>
          </w:tcPr>
          <w:p w14:paraId="72985C6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21.614</w:t>
            </w:r>
          </w:p>
        </w:tc>
        <w:tc>
          <w:tcPr>
            <w:tcW w:w="1276" w:type="dxa"/>
            <w:tcBorders>
              <w:top w:val="nil"/>
              <w:left w:val="nil"/>
              <w:bottom w:val="single" w:sz="4" w:space="0" w:color="auto"/>
              <w:right w:val="single" w:sz="4" w:space="0" w:color="auto"/>
            </w:tcBorders>
            <w:shd w:val="clear" w:color="auto" w:fill="auto"/>
            <w:noWrap/>
            <w:vAlign w:val="bottom"/>
            <w:hideMark/>
          </w:tcPr>
          <w:p w14:paraId="5A1CCF6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2.223</w:t>
            </w:r>
          </w:p>
        </w:tc>
        <w:tc>
          <w:tcPr>
            <w:tcW w:w="1276" w:type="dxa"/>
            <w:tcBorders>
              <w:top w:val="nil"/>
              <w:left w:val="nil"/>
              <w:bottom w:val="single" w:sz="4" w:space="0" w:color="auto"/>
              <w:right w:val="single" w:sz="4" w:space="0" w:color="auto"/>
            </w:tcBorders>
            <w:shd w:val="clear" w:color="auto" w:fill="auto"/>
            <w:noWrap/>
            <w:vAlign w:val="bottom"/>
            <w:hideMark/>
          </w:tcPr>
          <w:p w14:paraId="1E4C837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1.554</w:t>
            </w:r>
          </w:p>
        </w:tc>
        <w:tc>
          <w:tcPr>
            <w:tcW w:w="1276" w:type="dxa"/>
            <w:tcBorders>
              <w:top w:val="nil"/>
              <w:left w:val="nil"/>
              <w:bottom w:val="single" w:sz="4" w:space="0" w:color="auto"/>
              <w:right w:val="single" w:sz="4" w:space="0" w:color="auto"/>
            </w:tcBorders>
            <w:shd w:val="clear" w:color="auto" w:fill="auto"/>
            <w:noWrap/>
            <w:vAlign w:val="bottom"/>
            <w:hideMark/>
          </w:tcPr>
          <w:p w14:paraId="785D6F0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32.320</w:t>
            </w:r>
          </w:p>
        </w:tc>
        <w:tc>
          <w:tcPr>
            <w:tcW w:w="1275" w:type="dxa"/>
            <w:tcBorders>
              <w:top w:val="nil"/>
              <w:left w:val="nil"/>
              <w:bottom w:val="single" w:sz="4" w:space="0" w:color="auto"/>
              <w:right w:val="single" w:sz="4" w:space="0" w:color="auto"/>
            </w:tcBorders>
            <w:shd w:val="clear" w:color="auto" w:fill="auto"/>
            <w:noWrap/>
            <w:vAlign w:val="bottom"/>
            <w:hideMark/>
          </w:tcPr>
          <w:p w14:paraId="337891B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7.294</w:t>
            </w:r>
          </w:p>
        </w:tc>
        <w:tc>
          <w:tcPr>
            <w:tcW w:w="1134" w:type="dxa"/>
            <w:tcBorders>
              <w:top w:val="nil"/>
              <w:left w:val="nil"/>
              <w:bottom w:val="single" w:sz="4" w:space="0" w:color="auto"/>
              <w:right w:val="single" w:sz="12" w:space="0" w:color="auto"/>
            </w:tcBorders>
            <w:shd w:val="clear" w:color="auto" w:fill="auto"/>
            <w:noWrap/>
            <w:vAlign w:val="bottom"/>
            <w:hideMark/>
          </w:tcPr>
          <w:p w14:paraId="337A17C8"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65.006</w:t>
            </w:r>
          </w:p>
        </w:tc>
      </w:tr>
    </w:tbl>
    <w:p w14:paraId="09472E9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AD41A2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bookmarkStart w:id="41" w:name="_Hlk177751185"/>
      <w:r w:rsidRPr="00510685">
        <w:rPr>
          <w:rFonts w:ascii="Arial" w:eastAsia="Times New Roman" w:hAnsi="Arial" w:cs="Times New Roman"/>
          <w:kern w:val="0"/>
          <w:sz w:val="20"/>
          <w:szCs w:val="24"/>
          <w14:ligatures w14:val="none"/>
        </w:rPr>
        <w:t>(*) izhodiščno leto za izračun scenarija razvoja ravnanja s komunalnimi odpadki;</w:t>
      </w:r>
    </w:p>
    <w:p w14:paraId="05FCDB5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leto za katerega je določena največja letna količina gorljivih sestavin, ki nastanejo po mehanski obdelavi ločeno zbranih komunalnih odpadkov, ki so prevzeti v okviru storitev občinske javne službe zbiranja komunalnih odpadkov.</w:t>
      </w:r>
    </w:p>
    <w:bookmarkEnd w:id="41"/>
    <w:p w14:paraId="507815F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9EE76E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C541FC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bookmarkStart w:id="42" w:name="_Hlk179305080"/>
      <w:r w:rsidRPr="00510685">
        <w:rPr>
          <w:rFonts w:ascii="Arial" w:eastAsia="Times New Roman" w:hAnsi="Arial" w:cs="Times New Roman"/>
          <w:b/>
          <w:kern w:val="0"/>
          <w:sz w:val="20"/>
          <w:szCs w:val="24"/>
          <w14:ligatures w14:val="none"/>
        </w:rPr>
        <w:t>3. del - največja letna količina gorljivih sestavin, ki nastanejo po mehanski obdelavi ločeno zbrane odpadne embalaže, ki je zbrana v okviru storitev občinske javne službe zbiranja komunalnih odpadkov, in se lahko sežigajo kot posebna storitev državne javne službe, je za leto 2025 navedena v spodnji tabeli:</w:t>
      </w:r>
    </w:p>
    <w:p w14:paraId="0255224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tbl>
      <w:tblPr>
        <w:tblW w:w="8920" w:type="dxa"/>
        <w:tblInd w:w="85" w:type="dxa"/>
        <w:tblCellMar>
          <w:left w:w="70" w:type="dxa"/>
          <w:right w:w="70" w:type="dxa"/>
        </w:tblCellMar>
        <w:tblLook w:val="04A0" w:firstRow="1" w:lastRow="0" w:firstColumn="1" w:lastColumn="0" w:noHBand="0" w:noVBand="1"/>
      </w:tblPr>
      <w:tblGrid>
        <w:gridCol w:w="1340"/>
        <w:gridCol w:w="1420"/>
        <w:gridCol w:w="1540"/>
        <w:gridCol w:w="1540"/>
        <w:gridCol w:w="1540"/>
        <w:gridCol w:w="1540"/>
      </w:tblGrid>
      <w:tr w:rsidR="00510685" w:rsidRPr="00510685" w14:paraId="31C4C52B" w14:textId="77777777" w:rsidTr="00F17B26">
        <w:trPr>
          <w:trHeight w:val="1800"/>
        </w:trPr>
        <w:tc>
          <w:tcPr>
            <w:tcW w:w="1340" w:type="dxa"/>
            <w:tcBorders>
              <w:top w:val="single" w:sz="12" w:space="0" w:color="auto"/>
              <w:left w:val="single" w:sz="12" w:space="0" w:color="auto"/>
              <w:bottom w:val="nil"/>
              <w:right w:val="nil"/>
            </w:tcBorders>
            <w:shd w:val="clear" w:color="000000" w:fill="64FC68"/>
            <w:vAlign w:val="bottom"/>
            <w:hideMark/>
          </w:tcPr>
          <w:p w14:paraId="17104AE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w:t>
            </w:r>
          </w:p>
        </w:tc>
        <w:tc>
          <w:tcPr>
            <w:tcW w:w="1420" w:type="dxa"/>
            <w:tcBorders>
              <w:top w:val="single" w:sz="12" w:space="0" w:color="auto"/>
              <w:left w:val="nil"/>
              <w:bottom w:val="nil"/>
              <w:right w:val="single" w:sz="4" w:space="0" w:color="auto"/>
            </w:tcBorders>
            <w:shd w:val="clear" w:color="000000" w:fill="64FC68"/>
            <w:vAlign w:val="bottom"/>
            <w:hideMark/>
          </w:tcPr>
          <w:p w14:paraId="6716E66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zbrane odpadne embalaže</w:t>
            </w:r>
          </w:p>
        </w:tc>
        <w:tc>
          <w:tcPr>
            <w:tcW w:w="1540" w:type="dxa"/>
            <w:tcBorders>
              <w:top w:val="single" w:sz="12" w:space="0" w:color="auto"/>
              <w:left w:val="nil"/>
              <w:bottom w:val="nil"/>
              <w:right w:val="single" w:sz="4" w:space="0" w:color="auto"/>
            </w:tcBorders>
            <w:shd w:val="clear" w:color="000000" w:fill="64FC68"/>
            <w:vAlign w:val="bottom"/>
            <w:hideMark/>
          </w:tcPr>
          <w:p w14:paraId="7491BD6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zbrane odpadne embalaže</w:t>
            </w:r>
          </w:p>
        </w:tc>
        <w:tc>
          <w:tcPr>
            <w:tcW w:w="1540" w:type="dxa"/>
            <w:tcBorders>
              <w:top w:val="single" w:sz="12" w:space="0" w:color="auto"/>
              <w:left w:val="nil"/>
              <w:bottom w:val="nil"/>
              <w:right w:val="single" w:sz="4" w:space="0" w:color="auto"/>
            </w:tcBorders>
            <w:shd w:val="clear" w:color="000000" w:fill="64FC68"/>
            <w:vAlign w:val="bottom"/>
            <w:hideMark/>
          </w:tcPr>
          <w:p w14:paraId="161C1D4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zbrane odpadne embalaže</w:t>
            </w:r>
          </w:p>
        </w:tc>
        <w:tc>
          <w:tcPr>
            <w:tcW w:w="1540" w:type="dxa"/>
            <w:tcBorders>
              <w:top w:val="single" w:sz="12" w:space="0" w:color="auto"/>
              <w:left w:val="nil"/>
              <w:bottom w:val="nil"/>
              <w:right w:val="single" w:sz="4" w:space="0" w:color="auto"/>
            </w:tcBorders>
            <w:shd w:val="clear" w:color="000000" w:fill="64FC68"/>
            <w:vAlign w:val="bottom"/>
            <w:hideMark/>
          </w:tcPr>
          <w:p w14:paraId="4F9B957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zbrane odpadne embalaže</w:t>
            </w:r>
          </w:p>
        </w:tc>
        <w:tc>
          <w:tcPr>
            <w:tcW w:w="1540" w:type="dxa"/>
            <w:tcBorders>
              <w:top w:val="single" w:sz="12" w:space="0" w:color="auto"/>
              <w:left w:val="nil"/>
              <w:bottom w:val="nil"/>
              <w:right w:val="single" w:sz="12" w:space="0" w:color="auto"/>
            </w:tcBorders>
            <w:shd w:val="clear" w:color="000000" w:fill="64FC68"/>
            <w:vAlign w:val="bottom"/>
            <w:hideMark/>
          </w:tcPr>
          <w:p w14:paraId="1EC2C9C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letna količina goriva iz obdelave v okviru občinske JS ločeno zbrane odpadne embalaže</w:t>
            </w:r>
          </w:p>
        </w:tc>
      </w:tr>
      <w:tr w:rsidR="00510685" w:rsidRPr="00510685" w14:paraId="033BABE9" w14:textId="77777777" w:rsidTr="00F17B26">
        <w:trPr>
          <w:trHeight w:val="345"/>
        </w:trPr>
        <w:tc>
          <w:tcPr>
            <w:tcW w:w="1340" w:type="dxa"/>
            <w:tcBorders>
              <w:top w:val="nil"/>
              <w:left w:val="single" w:sz="12" w:space="0" w:color="auto"/>
              <w:bottom w:val="single" w:sz="12" w:space="0" w:color="auto"/>
              <w:right w:val="nil"/>
            </w:tcBorders>
            <w:shd w:val="clear" w:color="000000" w:fill="64FC68"/>
            <w:noWrap/>
            <w:vAlign w:val="bottom"/>
            <w:hideMark/>
          </w:tcPr>
          <w:p w14:paraId="64CCDA9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leto</w:t>
            </w:r>
          </w:p>
        </w:tc>
        <w:tc>
          <w:tcPr>
            <w:tcW w:w="1420" w:type="dxa"/>
            <w:tcBorders>
              <w:top w:val="nil"/>
              <w:left w:val="nil"/>
              <w:bottom w:val="single" w:sz="12" w:space="0" w:color="auto"/>
              <w:right w:val="single" w:sz="4" w:space="0" w:color="auto"/>
            </w:tcBorders>
            <w:shd w:val="clear" w:color="000000" w:fill="64FC68"/>
            <w:noWrap/>
            <w:vAlign w:val="bottom"/>
            <w:hideMark/>
          </w:tcPr>
          <w:p w14:paraId="21EA8FC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papir</w:t>
            </w:r>
          </w:p>
        </w:tc>
        <w:tc>
          <w:tcPr>
            <w:tcW w:w="1540" w:type="dxa"/>
            <w:tcBorders>
              <w:top w:val="nil"/>
              <w:left w:val="nil"/>
              <w:bottom w:val="single" w:sz="12" w:space="0" w:color="auto"/>
              <w:right w:val="single" w:sz="4" w:space="0" w:color="auto"/>
            </w:tcBorders>
            <w:shd w:val="clear" w:color="000000" w:fill="64FC68"/>
            <w:noWrap/>
            <w:vAlign w:val="bottom"/>
            <w:hideMark/>
          </w:tcPr>
          <w:p w14:paraId="3E9A6C42"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plastika</w:t>
            </w:r>
          </w:p>
        </w:tc>
        <w:tc>
          <w:tcPr>
            <w:tcW w:w="1540" w:type="dxa"/>
            <w:tcBorders>
              <w:top w:val="nil"/>
              <w:left w:val="nil"/>
              <w:bottom w:val="single" w:sz="12" w:space="0" w:color="auto"/>
              <w:right w:val="single" w:sz="4" w:space="0" w:color="auto"/>
            </w:tcBorders>
            <w:shd w:val="clear" w:color="000000" w:fill="64FC68"/>
            <w:noWrap/>
            <w:vAlign w:val="bottom"/>
            <w:hideMark/>
          </w:tcPr>
          <w:p w14:paraId="4537E4D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les</w:t>
            </w:r>
          </w:p>
        </w:tc>
        <w:tc>
          <w:tcPr>
            <w:tcW w:w="1540" w:type="dxa"/>
            <w:tcBorders>
              <w:top w:val="nil"/>
              <w:left w:val="nil"/>
              <w:bottom w:val="single" w:sz="12" w:space="0" w:color="auto"/>
              <w:right w:val="single" w:sz="4" w:space="0" w:color="auto"/>
            </w:tcBorders>
            <w:shd w:val="clear" w:color="000000" w:fill="64FC68"/>
            <w:noWrap/>
            <w:vAlign w:val="bottom"/>
            <w:hideMark/>
          </w:tcPr>
          <w:p w14:paraId="0C52BCD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tekstil</w:t>
            </w:r>
          </w:p>
        </w:tc>
        <w:tc>
          <w:tcPr>
            <w:tcW w:w="1540" w:type="dxa"/>
            <w:tcBorders>
              <w:top w:val="nil"/>
              <w:left w:val="nil"/>
              <w:bottom w:val="single" w:sz="12" w:space="0" w:color="auto"/>
              <w:right w:val="single" w:sz="12" w:space="0" w:color="auto"/>
            </w:tcBorders>
            <w:shd w:val="clear" w:color="000000" w:fill="64FC68"/>
            <w:noWrap/>
            <w:vAlign w:val="bottom"/>
            <w:hideMark/>
          </w:tcPr>
          <w:p w14:paraId="5D222D9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skupaj</w:t>
            </w:r>
          </w:p>
        </w:tc>
      </w:tr>
      <w:tr w:rsidR="00510685" w:rsidRPr="00510685" w14:paraId="308B1133" w14:textId="77777777" w:rsidTr="00F17B26">
        <w:trPr>
          <w:trHeight w:val="330"/>
        </w:trPr>
        <w:tc>
          <w:tcPr>
            <w:tcW w:w="13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233ECA0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2021 (*)</w:t>
            </w:r>
          </w:p>
        </w:tc>
        <w:tc>
          <w:tcPr>
            <w:tcW w:w="1420" w:type="dxa"/>
            <w:tcBorders>
              <w:top w:val="nil"/>
              <w:left w:val="nil"/>
              <w:bottom w:val="single" w:sz="4" w:space="0" w:color="auto"/>
              <w:right w:val="single" w:sz="4" w:space="0" w:color="auto"/>
            </w:tcBorders>
            <w:shd w:val="clear" w:color="auto" w:fill="auto"/>
            <w:noWrap/>
            <w:vAlign w:val="bottom"/>
            <w:hideMark/>
          </w:tcPr>
          <w:p w14:paraId="3AD889B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13.032</w:t>
            </w:r>
          </w:p>
        </w:tc>
        <w:tc>
          <w:tcPr>
            <w:tcW w:w="1540" w:type="dxa"/>
            <w:tcBorders>
              <w:top w:val="nil"/>
              <w:left w:val="nil"/>
              <w:bottom w:val="single" w:sz="4" w:space="0" w:color="auto"/>
              <w:right w:val="single" w:sz="4" w:space="0" w:color="auto"/>
            </w:tcBorders>
            <w:shd w:val="clear" w:color="auto" w:fill="auto"/>
            <w:noWrap/>
            <w:vAlign w:val="bottom"/>
            <w:hideMark/>
          </w:tcPr>
          <w:p w14:paraId="2027296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17.968</w:t>
            </w:r>
          </w:p>
        </w:tc>
        <w:tc>
          <w:tcPr>
            <w:tcW w:w="1540" w:type="dxa"/>
            <w:tcBorders>
              <w:top w:val="nil"/>
              <w:left w:val="nil"/>
              <w:bottom w:val="single" w:sz="4" w:space="0" w:color="auto"/>
              <w:right w:val="single" w:sz="4" w:space="0" w:color="auto"/>
            </w:tcBorders>
            <w:shd w:val="clear" w:color="auto" w:fill="auto"/>
            <w:noWrap/>
            <w:vAlign w:val="bottom"/>
            <w:hideMark/>
          </w:tcPr>
          <w:p w14:paraId="196C806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1.366</w:t>
            </w:r>
          </w:p>
        </w:tc>
        <w:tc>
          <w:tcPr>
            <w:tcW w:w="1540" w:type="dxa"/>
            <w:tcBorders>
              <w:top w:val="nil"/>
              <w:left w:val="nil"/>
              <w:bottom w:val="single" w:sz="4" w:space="0" w:color="auto"/>
              <w:right w:val="single" w:sz="4" w:space="0" w:color="auto"/>
            </w:tcBorders>
            <w:shd w:val="clear" w:color="auto" w:fill="auto"/>
            <w:noWrap/>
            <w:vAlign w:val="bottom"/>
            <w:hideMark/>
          </w:tcPr>
          <w:p w14:paraId="7285DDE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5</w:t>
            </w:r>
          </w:p>
        </w:tc>
        <w:tc>
          <w:tcPr>
            <w:tcW w:w="1540" w:type="dxa"/>
            <w:tcBorders>
              <w:top w:val="nil"/>
              <w:left w:val="nil"/>
              <w:bottom w:val="single" w:sz="4" w:space="0" w:color="auto"/>
              <w:right w:val="single" w:sz="12" w:space="0" w:color="auto"/>
            </w:tcBorders>
            <w:shd w:val="clear" w:color="auto" w:fill="auto"/>
            <w:noWrap/>
            <w:vAlign w:val="bottom"/>
            <w:hideMark/>
          </w:tcPr>
          <w:p w14:paraId="149EF0D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32.371</w:t>
            </w:r>
          </w:p>
        </w:tc>
      </w:tr>
      <w:tr w:rsidR="00510685" w:rsidRPr="00510685" w14:paraId="449845F7" w14:textId="77777777" w:rsidTr="00F17B26">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621F8CD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2025 (**)</w:t>
            </w:r>
          </w:p>
        </w:tc>
        <w:tc>
          <w:tcPr>
            <w:tcW w:w="1420" w:type="dxa"/>
            <w:tcBorders>
              <w:top w:val="nil"/>
              <w:left w:val="nil"/>
              <w:bottom w:val="single" w:sz="4" w:space="0" w:color="auto"/>
              <w:right w:val="single" w:sz="4" w:space="0" w:color="auto"/>
            </w:tcBorders>
            <w:shd w:val="clear" w:color="auto" w:fill="auto"/>
            <w:noWrap/>
            <w:vAlign w:val="bottom"/>
            <w:hideMark/>
          </w:tcPr>
          <w:p w14:paraId="6F6C1B7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11.280</w:t>
            </w:r>
          </w:p>
        </w:tc>
        <w:tc>
          <w:tcPr>
            <w:tcW w:w="1540" w:type="dxa"/>
            <w:tcBorders>
              <w:top w:val="nil"/>
              <w:left w:val="nil"/>
              <w:bottom w:val="single" w:sz="4" w:space="0" w:color="auto"/>
              <w:right w:val="single" w:sz="4" w:space="0" w:color="auto"/>
            </w:tcBorders>
            <w:shd w:val="clear" w:color="auto" w:fill="auto"/>
            <w:noWrap/>
            <w:vAlign w:val="bottom"/>
            <w:hideMark/>
          </w:tcPr>
          <w:p w14:paraId="2166262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21.742</w:t>
            </w:r>
          </w:p>
        </w:tc>
        <w:tc>
          <w:tcPr>
            <w:tcW w:w="1540" w:type="dxa"/>
            <w:tcBorders>
              <w:top w:val="nil"/>
              <w:left w:val="nil"/>
              <w:bottom w:val="single" w:sz="4" w:space="0" w:color="auto"/>
              <w:right w:val="single" w:sz="4" w:space="0" w:color="auto"/>
            </w:tcBorders>
            <w:shd w:val="clear" w:color="auto" w:fill="auto"/>
            <w:noWrap/>
            <w:vAlign w:val="bottom"/>
            <w:hideMark/>
          </w:tcPr>
          <w:p w14:paraId="66D3820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1.314</w:t>
            </w:r>
          </w:p>
        </w:tc>
        <w:tc>
          <w:tcPr>
            <w:tcW w:w="1540" w:type="dxa"/>
            <w:tcBorders>
              <w:top w:val="nil"/>
              <w:left w:val="nil"/>
              <w:bottom w:val="single" w:sz="4" w:space="0" w:color="auto"/>
              <w:right w:val="single" w:sz="4" w:space="0" w:color="auto"/>
            </w:tcBorders>
            <w:shd w:val="clear" w:color="auto" w:fill="auto"/>
            <w:noWrap/>
            <w:vAlign w:val="bottom"/>
            <w:hideMark/>
          </w:tcPr>
          <w:p w14:paraId="5B316100"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12</w:t>
            </w:r>
          </w:p>
        </w:tc>
        <w:tc>
          <w:tcPr>
            <w:tcW w:w="1540" w:type="dxa"/>
            <w:tcBorders>
              <w:top w:val="nil"/>
              <w:left w:val="nil"/>
              <w:bottom w:val="single" w:sz="4" w:space="0" w:color="auto"/>
              <w:right w:val="single" w:sz="12" w:space="0" w:color="auto"/>
            </w:tcBorders>
            <w:shd w:val="clear" w:color="auto" w:fill="auto"/>
            <w:noWrap/>
            <w:vAlign w:val="bottom"/>
            <w:hideMark/>
          </w:tcPr>
          <w:p w14:paraId="106317E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34.348</w:t>
            </w:r>
          </w:p>
        </w:tc>
      </w:tr>
      <w:tr w:rsidR="00510685" w:rsidRPr="00510685" w14:paraId="26751AD0" w14:textId="77777777" w:rsidTr="00F17B26">
        <w:trPr>
          <w:trHeight w:val="46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20C1012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2026</w:t>
            </w:r>
          </w:p>
        </w:tc>
        <w:tc>
          <w:tcPr>
            <w:tcW w:w="1420" w:type="dxa"/>
            <w:tcBorders>
              <w:top w:val="nil"/>
              <w:left w:val="nil"/>
              <w:bottom w:val="single" w:sz="4" w:space="0" w:color="auto"/>
              <w:right w:val="single" w:sz="4" w:space="0" w:color="auto"/>
            </w:tcBorders>
            <w:shd w:val="clear" w:color="auto" w:fill="auto"/>
            <w:noWrap/>
            <w:vAlign w:val="bottom"/>
            <w:hideMark/>
          </w:tcPr>
          <w:p w14:paraId="275608A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10.785</w:t>
            </w:r>
          </w:p>
        </w:tc>
        <w:tc>
          <w:tcPr>
            <w:tcW w:w="1540" w:type="dxa"/>
            <w:tcBorders>
              <w:top w:val="nil"/>
              <w:left w:val="nil"/>
              <w:bottom w:val="single" w:sz="4" w:space="0" w:color="auto"/>
              <w:right w:val="single" w:sz="4" w:space="0" w:color="auto"/>
            </w:tcBorders>
            <w:shd w:val="clear" w:color="auto" w:fill="auto"/>
            <w:noWrap/>
            <w:vAlign w:val="bottom"/>
            <w:hideMark/>
          </w:tcPr>
          <w:p w14:paraId="2A963C6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22.804</w:t>
            </w:r>
          </w:p>
        </w:tc>
        <w:tc>
          <w:tcPr>
            <w:tcW w:w="1540" w:type="dxa"/>
            <w:tcBorders>
              <w:top w:val="nil"/>
              <w:left w:val="nil"/>
              <w:bottom w:val="single" w:sz="4" w:space="0" w:color="auto"/>
              <w:right w:val="single" w:sz="4" w:space="0" w:color="auto"/>
            </w:tcBorders>
            <w:shd w:val="clear" w:color="auto" w:fill="auto"/>
            <w:noWrap/>
            <w:vAlign w:val="bottom"/>
            <w:hideMark/>
          </w:tcPr>
          <w:p w14:paraId="6097A6B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1.311</w:t>
            </w:r>
          </w:p>
        </w:tc>
        <w:tc>
          <w:tcPr>
            <w:tcW w:w="1540" w:type="dxa"/>
            <w:tcBorders>
              <w:top w:val="nil"/>
              <w:left w:val="nil"/>
              <w:bottom w:val="single" w:sz="4" w:space="0" w:color="auto"/>
              <w:right w:val="single" w:sz="4" w:space="0" w:color="auto"/>
            </w:tcBorders>
            <w:shd w:val="clear" w:color="auto" w:fill="auto"/>
            <w:noWrap/>
            <w:vAlign w:val="bottom"/>
            <w:hideMark/>
          </w:tcPr>
          <w:p w14:paraId="34E4756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14</w:t>
            </w:r>
          </w:p>
        </w:tc>
        <w:tc>
          <w:tcPr>
            <w:tcW w:w="1540" w:type="dxa"/>
            <w:tcBorders>
              <w:top w:val="nil"/>
              <w:left w:val="nil"/>
              <w:bottom w:val="single" w:sz="4" w:space="0" w:color="auto"/>
              <w:right w:val="single" w:sz="12" w:space="0" w:color="auto"/>
            </w:tcBorders>
            <w:shd w:val="clear" w:color="auto" w:fill="auto"/>
            <w:noWrap/>
            <w:vAlign w:val="bottom"/>
            <w:hideMark/>
          </w:tcPr>
          <w:p w14:paraId="3B78DAF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34.914</w:t>
            </w:r>
          </w:p>
        </w:tc>
      </w:tr>
      <w:tr w:rsidR="00510685" w:rsidRPr="00510685" w14:paraId="4E2B8C29" w14:textId="77777777" w:rsidTr="00F17B26">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7592524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2027</w:t>
            </w:r>
          </w:p>
        </w:tc>
        <w:tc>
          <w:tcPr>
            <w:tcW w:w="1420" w:type="dxa"/>
            <w:tcBorders>
              <w:top w:val="nil"/>
              <w:left w:val="nil"/>
              <w:bottom w:val="single" w:sz="4" w:space="0" w:color="auto"/>
              <w:right w:val="single" w:sz="4" w:space="0" w:color="auto"/>
            </w:tcBorders>
            <w:shd w:val="clear" w:color="auto" w:fill="auto"/>
            <w:noWrap/>
            <w:vAlign w:val="bottom"/>
            <w:hideMark/>
          </w:tcPr>
          <w:p w14:paraId="096C9C1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10.266</w:t>
            </w:r>
          </w:p>
        </w:tc>
        <w:tc>
          <w:tcPr>
            <w:tcW w:w="1540" w:type="dxa"/>
            <w:tcBorders>
              <w:top w:val="nil"/>
              <w:left w:val="nil"/>
              <w:bottom w:val="single" w:sz="4" w:space="0" w:color="auto"/>
              <w:right w:val="single" w:sz="4" w:space="0" w:color="auto"/>
            </w:tcBorders>
            <w:shd w:val="clear" w:color="auto" w:fill="auto"/>
            <w:noWrap/>
            <w:vAlign w:val="bottom"/>
            <w:hideMark/>
          </w:tcPr>
          <w:p w14:paraId="26AD97F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23.917</w:t>
            </w:r>
          </w:p>
        </w:tc>
        <w:tc>
          <w:tcPr>
            <w:tcW w:w="1540" w:type="dxa"/>
            <w:tcBorders>
              <w:top w:val="nil"/>
              <w:left w:val="nil"/>
              <w:bottom w:val="single" w:sz="4" w:space="0" w:color="auto"/>
              <w:right w:val="single" w:sz="4" w:space="0" w:color="auto"/>
            </w:tcBorders>
            <w:shd w:val="clear" w:color="auto" w:fill="auto"/>
            <w:noWrap/>
            <w:vAlign w:val="bottom"/>
            <w:hideMark/>
          </w:tcPr>
          <w:p w14:paraId="6CAAD41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1.309</w:t>
            </w:r>
          </w:p>
        </w:tc>
        <w:tc>
          <w:tcPr>
            <w:tcW w:w="1540" w:type="dxa"/>
            <w:tcBorders>
              <w:top w:val="nil"/>
              <w:left w:val="nil"/>
              <w:bottom w:val="single" w:sz="4" w:space="0" w:color="auto"/>
              <w:right w:val="single" w:sz="4" w:space="0" w:color="auto"/>
            </w:tcBorders>
            <w:shd w:val="clear" w:color="auto" w:fill="auto"/>
            <w:noWrap/>
            <w:vAlign w:val="bottom"/>
            <w:hideMark/>
          </w:tcPr>
          <w:p w14:paraId="7098350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17</w:t>
            </w:r>
          </w:p>
        </w:tc>
        <w:tc>
          <w:tcPr>
            <w:tcW w:w="1540" w:type="dxa"/>
            <w:tcBorders>
              <w:top w:val="nil"/>
              <w:left w:val="nil"/>
              <w:bottom w:val="single" w:sz="4" w:space="0" w:color="auto"/>
              <w:right w:val="single" w:sz="12" w:space="0" w:color="auto"/>
            </w:tcBorders>
            <w:shd w:val="clear" w:color="auto" w:fill="auto"/>
            <w:noWrap/>
            <w:vAlign w:val="bottom"/>
            <w:hideMark/>
          </w:tcPr>
          <w:p w14:paraId="1A3714F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35.508</w:t>
            </w:r>
          </w:p>
        </w:tc>
      </w:tr>
      <w:tr w:rsidR="00510685" w:rsidRPr="00510685" w14:paraId="6B72EB15" w14:textId="77777777" w:rsidTr="00F17B26">
        <w:trPr>
          <w:trHeight w:val="48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77ACF19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2028</w:t>
            </w:r>
          </w:p>
        </w:tc>
        <w:tc>
          <w:tcPr>
            <w:tcW w:w="1420" w:type="dxa"/>
            <w:tcBorders>
              <w:top w:val="nil"/>
              <w:left w:val="nil"/>
              <w:bottom w:val="single" w:sz="4" w:space="0" w:color="auto"/>
              <w:right w:val="single" w:sz="4" w:space="0" w:color="auto"/>
            </w:tcBorders>
            <w:shd w:val="clear" w:color="auto" w:fill="auto"/>
            <w:noWrap/>
            <w:vAlign w:val="bottom"/>
            <w:hideMark/>
          </w:tcPr>
          <w:p w14:paraId="40BCE88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9.721</w:t>
            </w:r>
          </w:p>
        </w:tc>
        <w:tc>
          <w:tcPr>
            <w:tcW w:w="1540" w:type="dxa"/>
            <w:tcBorders>
              <w:top w:val="nil"/>
              <w:left w:val="nil"/>
              <w:bottom w:val="single" w:sz="4" w:space="0" w:color="auto"/>
              <w:right w:val="single" w:sz="4" w:space="0" w:color="auto"/>
            </w:tcBorders>
            <w:shd w:val="clear" w:color="auto" w:fill="auto"/>
            <w:noWrap/>
            <w:vAlign w:val="bottom"/>
            <w:hideMark/>
          </w:tcPr>
          <w:p w14:paraId="2A313F3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25.084</w:t>
            </w:r>
          </w:p>
        </w:tc>
        <w:tc>
          <w:tcPr>
            <w:tcW w:w="1540" w:type="dxa"/>
            <w:tcBorders>
              <w:top w:val="nil"/>
              <w:left w:val="nil"/>
              <w:bottom w:val="single" w:sz="4" w:space="0" w:color="auto"/>
              <w:right w:val="single" w:sz="4" w:space="0" w:color="auto"/>
            </w:tcBorders>
            <w:shd w:val="clear" w:color="auto" w:fill="auto"/>
            <w:noWrap/>
            <w:vAlign w:val="bottom"/>
            <w:hideMark/>
          </w:tcPr>
          <w:p w14:paraId="3E52CEF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1.306</w:t>
            </w:r>
          </w:p>
        </w:tc>
        <w:tc>
          <w:tcPr>
            <w:tcW w:w="1540" w:type="dxa"/>
            <w:tcBorders>
              <w:top w:val="nil"/>
              <w:left w:val="nil"/>
              <w:bottom w:val="single" w:sz="4" w:space="0" w:color="auto"/>
              <w:right w:val="single" w:sz="4" w:space="0" w:color="auto"/>
            </w:tcBorders>
            <w:shd w:val="clear" w:color="auto" w:fill="auto"/>
            <w:noWrap/>
            <w:vAlign w:val="bottom"/>
            <w:hideMark/>
          </w:tcPr>
          <w:p w14:paraId="09DB879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w:t>
            </w:r>
          </w:p>
        </w:tc>
        <w:tc>
          <w:tcPr>
            <w:tcW w:w="1540" w:type="dxa"/>
            <w:tcBorders>
              <w:top w:val="nil"/>
              <w:left w:val="nil"/>
              <w:bottom w:val="single" w:sz="4" w:space="0" w:color="auto"/>
              <w:right w:val="single" w:sz="12" w:space="0" w:color="auto"/>
            </w:tcBorders>
            <w:shd w:val="clear" w:color="auto" w:fill="auto"/>
            <w:noWrap/>
            <w:vAlign w:val="bottom"/>
            <w:hideMark/>
          </w:tcPr>
          <w:p w14:paraId="45EE8BB8"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36.132</w:t>
            </w:r>
          </w:p>
        </w:tc>
      </w:tr>
      <w:tr w:rsidR="00510685" w:rsidRPr="00510685" w14:paraId="37E7A231" w14:textId="77777777" w:rsidTr="00F17B26">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32B16B4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2029</w:t>
            </w:r>
          </w:p>
        </w:tc>
        <w:tc>
          <w:tcPr>
            <w:tcW w:w="1420" w:type="dxa"/>
            <w:tcBorders>
              <w:top w:val="nil"/>
              <w:left w:val="nil"/>
              <w:bottom w:val="single" w:sz="4" w:space="0" w:color="auto"/>
              <w:right w:val="single" w:sz="4" w:space="0" w:color="auto"/>
            </w:tcBorders>
            <w:shd w:val="clear" w:color="auto" w:fill="auto"/>
            <w:noWrap/>
            <w:vAlign w:val="bottom"/>
            <w:hideMark/>
          </w:tcPr>
          <w:p w14:paraId="5B6D7D4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9.151</w:t>
            </w:r>
          </w:p>
        </w:tc>
        <w:tc>
          <w:tcPr>
            <w:tcW w:w="1540" w:type="dxa"/>
            <w:tcBorders>
              <w:top w:val="nil"/>
              <w:left w:val="nil"/>
              <w:bottom w:val="single" w:sz="4" w:space="0" w:color="auto"/>
              <w:right w:val="single" w:sz="4" w:space="0" w:color="auto"/>
            </w:tcBorders>
            <w:shd w:val="clear" w:color="auto" w:fill="auto"/>
            <w:noWrap/>
            <w:vAlign w:val="bottom"/>
            <w:hideMark/>
          </w:tcPr>
          <w:p w14:paraId="126CCC2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26.309</w:t>
            </w:r>
          </w:p>
        </w:tc>
        <w:tc>
          <w:tcPr>
            <w:tcW w:w="1540" w:type="dxa"/>
            <w:tcBorders>
              <w:top w:val="nil"/>
              <w:left w:val="nil"/>
              <w:bottom w:val="single" w:sz="4" w:space="0" w:color="auto"/>
              <w:right w:val="single" w:sz="4" w:space="0" w:color="auto"/>
            </w:tcBorders>
            <w:shd w:val="clear" w:color="auto" w:fill="auto"/>
            <w:noWrap/>
            <w:vAlign w:val="bottom"/>
            <w:hideMark/>
          </w:tcPr>
          <w:p w14:paraId="72E03A6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1.302</w:t>
            </w:r>
          </w:p>
        </w:tc>
        <w:tc>
          <w:tcPr>
            <w:tcW w:w="1540" w:type="dxa"/>
            <w:tcBorders>
              <w:top w:val="nil"/>
              <w:left w:val="nil"/>
              <w:bottom w:val="single" w:sz="4" w:space="0" w:color="auto"/>
              <w:right w:val="single" w:sz="4" w:space="0" w:color="auto"/>
            </w:tcBorders>
            <w:shd w:val="clear" w:color="auto" w:fill="auto"/>
            <w:noWrap/>
            <w:vAlign w:val="bottom"/>
            <w:hideMark/>
          </w:tcPr>
          <w:p w14:paraId="1F2D332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25</w:t>
            </w:r>
          </w:p>
        </w:tc>
        <w:tc>
          <w:tcPr>
            <w:tcW w:w="1540" w:type="dxa"/>
            <w:tcBorders>
              <w:top w:val="nil"/>
              <w:left w:val="nil"/>
              <w:bottom w:val="single" w:sz="4" w:space="0" w:color="auto"/>
              <w:right w:val="single" w:sz="12" w:space="0" w:color="auto"/>
            </w:tcBorders>
            <w:shd w:val="clear" w:color="auto" w:fill="auto"/>
            <w:noWrap/>
            <w:vAlign w:val="bottom"/>
            <w:hideMark/>
          </w:tcPr>
          <w:p w14:paraId="2410E9D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36.787</w:t>
            </w:r>
          </w:p>
        </w:tc>
      </w:tr>
      <w:tr w:rsidR="00510685" w:rsidRPr="00510685" w14:paraId="7470C18E" w14:textId="77777777" w:rsidTr="00F17B26">
        <w:trPr>
          <w:trHeight w:val="30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4C45F76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2030</w:t>
            </w:r>
          </w:p>
        </w:tc>
        <w:tc>
          <w:tcPr>
            <w:tcW w:w="1420" w:type="dxa"/>
            <w:tcBorders>
              <w:top w:val="nil"/>
              <w:left w:val="nil"/>
              <w:bottom w:val="single" w:sz="4" w:space="0" w:color="auto"/>
              <w:right w:val="single" w:sz="4" w:space="0" w:color="auto"/>
            </w:tcBorders>
            <w:shd w:val="clear" w:color="auto" w:fill="auto"/>
            <w:noWrap/>
            <w:vAlign w:val="bottom"/>
            <w:hideMark/>
          </w:tcPr>
          <w:p w14:paraId="3331472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8.554</w:t>
            </w:r>
          </w:p>
        </w:tc>
        <w:tc>
          <w:tcPr>
            <w:tcW w:w="1540" w:type="dxa"/>
            <w:tcBorders>
              <w:top w:val="nil"/>
              <w:left w:val="nil"/>
              <w:bottom w:val="single" w:sz="4" w:space="0" w:color="auto"/>
              <w:right w:val="single" w:sz="4" w:space="0" w:color="auto"/>
            </w:tcBorders>
            <w:shd w:val="clear" w:color="auto" w:fill="auto"/>
            <w:noWrap/>
            <w:vAlign w:val="bottom"/>
            <w:hideMark/>
          </w:tcPr>
          <w:p w14:paraId="0484162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27.593</w:t>
            </w:r>
          </w:p>
        </w:tc>
        <w:tc>
          <w:tcPr>
            <w:tcW w:w="1540" w:type="dxa"/>
            <w:tcBorders>
              <w:top w:val="nil"/>
              <w:left w:val="nil"/>
              <w:bottom w:val="single" w:sz="4" w:space="0" w:color="auto"/>
              <w:right w:val="single" w:sz="4" w:space="0" w:color="auto"/>
            </w:tcBorders>
            <w:shd w:val="clear" w:color="auto" w:fill="auto"/>
            <w:noWrap/>
            <w:vAlign w:val="bottom"/>
            <w:hideMark/>
          </w:tcPr>
          <w:p w14:paraId="5A52FF0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1.299</w:t>
            </w:r>
          </w:p>
        </w:tc>
        <w:tc>
          <w:tcPr>
            <w:tcW w:w="1540" w:type="dxa"/>
            <w:tcBorders>
              <w:top w:val="nil"/>
              <w:left w:val="nil"/>
              <w:bottom w:val="single" w:sz="4" w:space="0" w:color="auto"/>
              <w:right w:val="single" w:sz="4" w:space="0" w:color="auto"/>
            </w:tcBorders>
            <w:shd w:val="clear" w:color="auto" w:fill="auto"/>
            <w:noWrap/>
            <w:vAlign w:val="bottom"/>
            <w:hideMark/>
          </w:tcPr>
          <w:p w14:paraId="3D0FA5F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30</w:t>
            </w:r>
          </w:p>
        </w:tc>
        <w:tc>
          <w:tcPr>
            <w:tcW w:w="1540" w:type="dxa"/>
            <w:tcBorders>
              <w:top w:val="nil"/>
              <w:left w:val="nil"/>
              <w:bottom w:val="single" w:sz="4" w:space="0" w:color="auto"/>
              <w:right w:val="single" w:sz="12" w:space="0" w:color="auto"/>
            </w:tcBorders>
            <w:shd w:val="clear" w:color="auto" w:fill="auto"/>
            <w:noWrap/>
            <w:vAlign w:val="bottom"/>
            <w:hideMark/>
          </w:tcPr>
          <w:p w14:paraId="1C5E9B1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37.476</w:t>
            </w:r>
          </w:p>
        </w:tc>
      </w:tr>
      <w:tr w:rsidR="00510685" w:rsidRPr="00510685" w14:paraId="607E1ED7" w14:textId="77777777" w:rsidTr="00F17B26">
        <w:trPr>
          <w:trHeight w:val="30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24BE5CA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2031</w:t>
            </w:r>
          </w:p>
        </w:tc>
        <w:tc>
          <w:tcPr>
            <w:tcW w:w="1420" w:type="dxa"/>
            <w:tcBorders>
              <w:top w:val="nil"/>
              <w:left w:val="nil"/>
              <w:bottom w:val="single" w:sz="4" w:space="0" w:color="auto"/>
              <w:right w:val="single" w:sz="4" w:space="0" w:color="auto"/>
            </w:tcBorders>
            <w:shd w:val="clear" w:color="auto" w:fill="auto"/>
            <w:noWrap/>
            <w:vAlign w:val="bottom"/>
            <w:hideMark/>
          </w:tcPr>
          <w:p w14:paraId="35F4194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7.930</w:t>
            </w:r>
          </w:p>
        </w:tc>
        <w:tc>
          <w:tcPr>
            <w:tcW w:w="1540" w:type="dxa"/>
            <w:tcBorders>
              <w:top w:val="nil"/>
              <w:left w:val="nil"/>
              <w:bottom w:val="single" w:sz="4" w:space="0" w:color="auto"/>
              <w:right w:val="single" w:sz="4" w:space="0" w:color="auto"/>
            </w:tcBorders>
            <w:shd w:val="clear" w:color="auto" w:fill="auto"/>
            <w:noWrap/>
            <w:vAlign w:val="bottom"/>
            <w:hideMark/>
          </w:tcPr>
          <w:p w14:paraId="707B7B2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28.939</w:t>
            </w:r>
          </w:p>
        </w:tc>
        <w:tc>
          <w:tcPr>
            <w:tcW w:w="1540" w:type="dxa"/>
            <w:tcBorders>
              <w:top w:val="nil"/>
              <w:left w:val="nil"/>
              <w:bottom w:val="single" w:sz="4" w:space="0" w:color="auto"/>
              <w:right w:val="single" w:sz="4" w:space="0" w:color="auto"/>
            </w:tcBorders>
            <w:shd w:val="clear" w:color="auto" w:fill="auto"/>
            <w:noWrap/>
            <w:vAlign w:val="bottom"/>
            <w:hideMark/>
          </w:tcPr>
          <w:p w14:paraId="4C2FB13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1.295</w:t>
            </w:r>
          </w:p>
        </w:tc>
        <w:tc>
          <w:tcPr>
            <w:tcW w:w="1540" w:type="dxa"/>
            <w:tcBorders>
              <w:top w:val="nil"/>
              <w:left w:val="nil"/>
              <w:bottom w:val="single" w:sz="4" w:space="0" w:color="auto"/>
              <w:right w:val="single" w:sz="4" w:space="0" w:color="auto"/>
            </w:tcBorders>
            <w:shd w:val="clear" w:color="auto" w:fill="auto"/>
            <w:noWrap/>
            <w:vAlign w:val="bottom"/>
            <w:hideMark/>
          </w:tcPr>
          <w:p w14:paraId="5CAECAD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37</w:t>
            </w:r>
          </w:p>
        </w:tc>
        <w:tc>
          <w:tcPr>
            <w:tcW w:w="1540" w:type="dxa"/>
            <w:tcBorders>
              <w:top w:val="nil"/>
              <w:left w:val="nil"/>
              <w:bottom w:val="single" w:sz="4" w:space="0" w:color="auto"/>
              <w:right w:val="single" w:sz="12" w:space="0" w:color="auto"/>
            </w:tcBorders>
            <w:shd w:val="clear" w:color="auto" w:fill="auto"/>
            <w:noWrap/>
            <w:vAlign w:val="bottom"/>
            <w:hideMark/>
          </w:tcPr>
          <w:p w14:paraId="38A9ADD2"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38.201</w:t>
            </w:r>
          </w:p>
        </w:tc>
      </w:tr>
      <w:tr w:rsidR="00510685" w:rsidRPr="00510685" w14:paraId="7713DE76" w14:textId="77777777" w:rsidTr="00F17B26">
        <w:trPr>
          <w:trHeight w:val="30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6171F7D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2032</w:t>
            </w:r>
          </w:p>
        </w:tc>
        <w:tc>
          <w:tcPr>
            <w:tcW w:w="1420" w:type="dxa"/>
            <w:tcBorders>
              <w:top w:val="nil"/>
              <w:left w:val="nil"/>
              <w:bottom w:val="single" w:sz="4" w:space="0" w:color="auto"/>
              <w:right w:val="single" w:sz="4" w:space="0" w:color="auto"/>
            </w:tcBorders>
            <w:shd w:val="clear" w:color="auto" w:fill="auto"/>
            <w:noWrap/>
            <w:vAlign w:val="bottom"/>
            <w:hideMark/>
          </w:tcPr>
          <w:p w14:paraId="6C3EF0B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7.277</w:t>
            </w:r>
          </w:p>
        </w:tc>
        <w:tc>
          <w:tcPr>
            <w:tcW w:w="1540" w:type="dxa"/>
            <w:tcBorders>
              <w:top w:val="nil"/>
              <w:left w:val="nil"/>
              <w:bottom w:val="single" w:sz="4" w:space="0" w:color="auto"/>
              <w:right w:val="single" w:sz="4" w:space="0" w:color="auto"/>
            </w:tcBorders>
            <w:shd w:val="clear" w:color="auto" w:fill="auto"/>
            <w:noWrap/>
            <w:vAlign w:val="bottom"/>
            <w:hideMark/>
          </w:tcPr>
          <w:p w14:paraId="45A579F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29.366</w:t>
            </w:r>
          </w:p>
        </w:tc>
        <w:tc>
          <w:tcPr>
            <w:tcW w:w="1540" w:type="dxa"/>
            <w:tcBorders>
              <w:top w:val="nil"/>
              <w:left w:val="nil"/>
              <w:bottom w:val="single" w:sz="4" w:space="0" w:color="auto"/>
              <w:right w:val="single" w:sz="4" w:space="0" w:color="auto"/>
            </w:tcBorders>
            <w:shd w:val="clear" w:color="auto" w:fill="auto"/>
            <w:noWrap/>
            <w:vAlign w:val="bottom"/>
            <w:hideMark/>
          </w:tcPr>
          <w:p w14:paraId="7845D31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1.291</w:t>
            </w:r>
          </w:p>
        </w:tc>
        <w:tc>
          <w:tcPr>
            <w:tcW w:w="1540" w:type="dxa"/>
            <w:tcBorders>
              <w:top w:val="nil"/>
              <w:left w:val="nil"/>
              <w:bottom w:val="single" w:sz="4" w:space="0" w:color="auto"/>
              <w:right w:val="single" w:sz="4" w:space="0" w:color="auto"/>
            </w:tcBorders>
            <w:shd w:val="clear" w:color="auto" w:fill="auto"/>
            <w:noWrap/>
            <w:vAlign w:val="bottom"/>
            <w:hideMark/>
          </w:tcPr>
          <w:p w14:paraId="29C141E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44</w:t>
            </w:r>
          </w:p>
        </w:tc>
        <w:tc>
          <w:tcPr>
            <w:tcW w:w="1540" w:type="dxa"/>
            <w:tcBorders>
              <w:top w:val="nil"/>
              <w:left w:val="nil"/>
              <w:bottom w:val="single" w:sz="4" w:space="0" w:color="auto"/>
              <w:right w:val="single" w:sz="12" w:space="0" w:color="auto"/>
            </w:tcBorders>
            <w:shd w:val="clear" w:color="auto" w:fill="auto"/>
            <w:noWrap/>
            <w:vAlign w:val="bottom"/>
            <w:hideMark/>
          </w:tcPr>
          <w:p w14:paraId="7609F54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37.978</w:t>
            </w:r>
          </w:p>
        </w:tc>
      </w:tr>
      <w:tr w:rsidR="00510685" w:rsidRPr="00510685" w14:paraId="277E4290" w14:textId="77777777" w:rsidTr="00F17B26">
        <w:trPr>
          <w:trHeight w:val="300"/>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504A594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2033</w:t>
            </w:r>
          </w:p>
        </w:tc>
        <w:tc>
          <w:tcPr>
            <w:tcW w:w="1420" w:type="dxa"/>
            <w:tcBorders>
              <w:top w:val="nil"/>
              <w:left w:val="nil"/>
              <w:bottom w:val="single" w:sz="4" w:space="0" w:color="auto"/>
              <w:right w:val="single" w:sz="4" w:space="0" w:color="auto"/>
            </w:tcBorders>
            <w:shd w:val="clear" w:color="auto" w:fill="auto"/>
            <w:noWrap/>
            <w:vAlign w:val="bottom"/>
            <w:hideMark/>
          </w:tcPr>
          <w:p w14:paraId="4F4F5E0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6.594</w:t>
            </w:r>
          </w:p>
        </w:tc>
        <w:tc>
          <w:tcPr>
            <w:tcW w:w="1540" w:type="dxa"/>
            <w:tcBorders>
              <w:top w:val="nil"/>
              <w:left w:val="nil"/>
              <w:bottom w:val="single" w:sz="4" w:space="0" w:color="auto"/>
              <w:right w:val="single" w:sz="4" w:space="0" w:color="auto"/>
            </w:tcBorders>
            <w:shd w:val="clear" w:color="auto" w:fill="auto"/>
            <w:noWrap/>
            <w:vAlign w:val="bottom"/>
            <w:hideMark/>
          </w:tcPr>
          <w:p w14:paraId="32D7ABC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29.362</w:t>
            </w:r>
          </w:p>
        </w:tc>
        <w:tc>
          <w:tcPr>
            <w:tcW w:w="1540" w:type="dxa"/>
            <w:tcBorders>
              <w:top w:val="nil"/>
              <w:left w:val="nil"/>
              <w:bottom w:val="single" w:sz="4" w:space="0" w:color="auto"/>
              <w:right w:val="single" w:sz="4" w:space="0" w:color="auto"/>
            </w:tcBorders>
            <w:shd w:val="clear" w:color="auto" w:fill="auto"/>
            <w:noWrap/>
            <w:vAlign w:val="bottom"/>
            <w:hideMark/>
          </w:tcPr>
          <w:p w14:paraId="16E4EA3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1.287</w:t>
            </w:r>
          </w:p>
        </w:tc>
        <w:tc>
          <w:tcPr>
            <w:tcW w:w="1540" w:type="dxa"/>
            <w:tcBorders>
              <w:top w:val="nil"/>
              <w:left w:val="nil"/>
              <w:bottom w:val="single" w:sz="4" w:space="0" w:color="auto"/>
              <w:right w:val="single" w:sz="4" w:space="0" w:color="auto"/>
            </w:tcBorders>
            <w:shd w:val="clear" w:color="auto" w:fill="auto"/>
            <w:noWrap/>
            <w:vAlign w:val="bottom"/>
            <w:hideMark/>
          </w:tcPr>
          <w:p w14:paraId="66F96D4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51</w:t>
            </w:r>
          </w:p>
        </w:tc>
        <w:tc>
          <w:tcPr>
            <w:tcW w:w="1540" w:type="dxa"/>
            <w:tcBorders>
              <w:top w:val="nil"/>
              <w:left w:val="nil"/>
              <w:bottom w:val="single" w:sz="4" w:space="0" w:color="auto"/>
              <w:right w:val="single" w:sz="12" w:space="0" w:color="auto"/>
            </w:tcBorders>
            <w:shd w:val="clear" w:color="auto" w:fill="auto"/>
            <w:noWrap/>
            <w:vAlign w:val="bottom"/>
            <w:hideMark/>
          </w:tcPr>
          <w:p w14:paraId="09E168C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37.295</w:t>
            </w:r>
          </w:p>
        </w:tc>
      </w:tr>
      <w:tr w:rsidR="00510685" w:rsidRPr="00510685" w14:paraId="7752D8FE" w14:textId="77777777" w:rsidTr="00F17B26">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31CC49B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2034</w:t>
            </w:r>
          </w:p>
        </w:tc>
        <w:tc>
          <w:tcPr>
            <w:tcW w:w="1420" w:type="dxa"/>
            <w:tcBorders>
              <w:top w:val="nil"/>
              <w:left w:val="nil"/>
              <w:bottom w:val="single" w:sz="4" w:space="0" w:color="auto"/>
              <w:right w:val="single" w:sz="4" w:space="0" w:color="auto"/>
            </w:tcBorders>
            <w:shd w:val="clear" w:color="auto" w:fill="auto"/>
            <w:noWrap/>
            <w:vAlign w:val="bottom"/>
            <w:hideMark/>
          </w:tcPr>
          <w:p w14:paraId="0535665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5.882</w:t>
            </w:r>
          </w:p>
        </w:tc>
        <w:tc>
          <w:tcPr>
            <w:tcW w:w="1540" w:type="dxa"/>
            <w:tcBorders>
              <w:top w:val="nil"/>
              <w:left w:val="nil"/>
              <w:bottom w:val="single" w:sz="4" w:space="0" w:color="auto"/>
              <w:right w:val="single" w:sz="4" w:space="0" w:color="auto"/>
            </w:tcBorders>
            <w:shd w:val="clear" w:color="auto" w:fill="auto"/>
            <w:noWrap/>
            <w:vAlign w:val="bottom"/>
            <w:hideMark/>
          </w:tcPr>
          <w:p w14:paraId="6CA42EE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29.358</w:t>
            </w:r>
          </w:p>
        </w:tc>
        <w:tc>
          <w:tcPr>
            <w:tcW w:w="1540" w:type="dxa"/>
            <w:tcBorders>
              <w:top w:val="nil"/>
              <w:left w:val="nil"/>
              <w:bottom w:val="single" w:sz="4" w:space="0" w:color="auto"/>
              <w:right w:val="single" w:sz="4" w:space="0" w:color="auto"/>
            </w:tcBorders>
            <w:shd w:val="clear" w:color="auto" w:fill="auto"/>
            <w:noWrap/>
            <w:vAlign w:val="bottom"/>
            <w:hideMark/>
          </w:tcPr>
          <w:p w14:paraId="71A78A0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1.282</w:t>
            </w:r>
          </w:p>
        </w:tc>
        <w:tc>
          <w:tcPr>
            <w:tcW w:w="1540" w:type="dxa"/>
            <w:tcBorders>
              <w:top w:val="nil"/>
              <w:left w:val="nil"/>
              <w:bottom w:val="single" w:sz="4" w:space="0" w:color="auto"/>
              <w:right w:val="single" w:sz="4" w:space="0" w:color="auto"/>
            </w:tcBorders>
            <w:shd w:val="clear" w:color="auto" w:fill="auto"/>
            <w:noWrap/>
            <w:vAlign w:val="bottom"/>
            <w:hideMark/>
          </w:tcPr>
          <w:p w14:paraId="436777E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50</w:t>
            </w:r>
          </w:p>
        </w:tc>
        <w:tc>
          <w:tcPr>
            <w:tcW w:w="1540" w:type="dxa"/>
            <w:tcBorders>
              <w:top w:val="nil"/>
              <w:left w:val="nil"/>
              <w:bottom w:val="single" w:sz="4" w:space="0" w:color="auto"/>
              <w:right w:val="single" w:sz="12" w:space="0" w:color="auto"/>
            </w:tcBorders>
            <w:shd w:val="clear" w:color="auto" w:fill="auto"/>
            <w:noWrap/>
            <w:vAlign w:val="bottom"/>
            <w:hideMark/>
          </w:tcPr>
          <w:p w14:paraId="736EA8E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36.572</w:t>
            </w:r>
          </w:p>
        </w:tc>
      </w:tr>
      <w:tr w:rsidR="00510685" w:rsidRPr="00510685" w14:paraId="009EC8F5" w14:textId="77777777" w:rsidTr="00F17B26">
        <w:trPr>
          <w:trHeight w:val="315"/>
        </w:trPr>
        <w:tc>
          <w:tcPr>
            <w:tcW w:w="1340" w:type="dxa"/>
            <w:tcBorders>
              <w:top w:val="nil"/>
              <w:left w:val="single" w:sz="12" w:space="0" w:color="auto"/>
              <w:bottom w:val="single" w:sz="4" w:space="0" w:color="auto"/>
              <w:right w:val="single" w:sz="12" w:space="0" w:color="auto"/>
            </w:tcBorders>
            <w:shd w:val="clear" w:color="auto" w:fill="auto"/>
            <w:noWrap/>
            <w:vAlign w:val="bottom"/>
            <w:hideMark/>
          </w:tcPr>
          <w:p w14:paraId="405B8D4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2035</w:t>
            </w:r>
          </w:p>
        </w:tc>
        <w:tc>
          <w:tcPr>
            <w:tcW w:w="1420" w:type="dxa"/>
            <w:tcBorders>
              <w:top w:val="nil"/>
              <w:left w:val="nil"/>
              <w:bottom w:val="single" w:sz="4" w:space="0" w:color="auto"/>
              <w:right w:val="single" w:sz="4" w:space="0" w:color="auto"/>
            </w:tcBorders>
            <w:shd w:val="clear" w:color="auto" w:fill="auto"/>
            <w:noWrap/>
            <w:vAlign w:val="bottom"/>
            <w:hideMark/>
          </w:tcPr>
          <w:p w14:paraId="134779C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5.139</w:t>
            </w:r>
          </w:p>
        </w:tc>
        <w:tc>
          <w:tcPr>
            <w:tcW w:w="1540" w:type="dxa"/>
            <w:tcBorders>
              <w:top w:val="nil"/>
              <w:left w:val="nil"/>
              <w:bottom w:val="single" w:sz="4" w:space="0" w:color="auto"/>
              <w:right w:val="single" w:sz="4" w:space="0" w:color="auto"/>
            </w:tcBorders>
            <w:shd w:val="clear" w:color="auto" w:fill="auto"/>
            <w:noWrap/>
            <w:vAlign w:val="bottom"/>
            <w:hideMark/>
          </w:tcPr>
          <w:p w14:paraId="38181F8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29.354</w:t>
            </w:r>
          </w:p>
        </w:tc>
        <w:tc>
          <w:tcPr>
            <w:tcW w:w="1540" w:type="dxa"/>
            <w:tcBorders>
              <w:top w:val="nil"/>
              <w:left w:val="nil"/>
              <w:bottom w:val="single" w:sz="4" w:space="0" w:color="auto"/>
              <w:right w:val="single" w:sz="4" w:space="0" w:color="auto"/>
            </w:tcBorders>
            <w:shd w:val="clear" w:color="auto" w:fill="auto"/>
            <w:noWrap/>
            <w:vAlign w:val="bottom"/>
            <w:hideMark/>
          </w:tcPr>
          <w:p w14:paraId="107EACD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1.278</w:t>
            </w:r>
          </w:p>
        </w:tc>
        <w:tc>
          <w:tcPr>
            <w:tcW w:w="1540" w:type="dxa"/>
            <w:tcBorders>
              <w:top w:val="nil"/>
              <w:left w:val="nil"/>
              <w:bottom w:val="single" w:sz="4" w:space="0" w:color="auto"/>
              <w:right w:val="single" w:sz="4" w:space="0" w:color="auto"/>
            </w:tcBorders>
            <w:shd w:val="clear" w:color="auto" w:fill="auto"/>
            <w:noWrap/>
            <w:vAlign w:val="bottom"/>
            <w:hideMark/>
          </w:tcPr>
          <w:p w14:paraId="66B9F81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48</w:t>
            </w:r>
          </w:p>
        </w:tc>
        <w:tc>
          <w:tcPr>
            <w:tcW w:w="1540" w:type="dxa"/>
            <w:tcBorders>
              <w:top w:val="nil"/>
              <w:left w:val="nil"/>
              <w:bottom w:val="single" w:sz="4" w:space="0" w:color="auto"/>
              <w:right w:val="single" w:sz="12" w:space="0" w:color="auto"/>
            </w:tcBorders>
            <w:shd w:val="clear" w:color="auto" w:fill="auto"/>
            <w:noWrap/>
            <w:vAlign w:val="bottom"/>
            <w:hideMark/>
          </w:tcPr>
          <w:p w14:paraId="0770775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35.818</w:t>
            </w:r>
          </w:p>
        </w:tc>
      </w:tr>
      <w:bookmarkEnd w:id="42"/>
    </w:tbl>
    <w:p w14:paraId="669000A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D75A92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kern w:val="0"/>
          <w:sz w:val="20"/>
          <w:szCs w:val="24"/>
          <w14:ligatures w14:val="none"/>
        </w:rPr>
        <w:t>(*) izhodiščno leto za izračun scenarija razvoja ravnanja s komunalnimi odpadki;</w:t>
      </w:r>
    </w:p>
    <w:p w14:paraId="65E677E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leto za katerega je določena največja letna količina gorljivih sestavin, ki nastanejo po mehanski obdelavi ločeno zbrane embalaže, ki je prevzeta v okviru storitev občinske javne službe zbiranja komunalnih odpadkov.</w:t>
      </w:r>
    </w:p>
    <w:p w14:paraId="5593EBF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6CFF19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bookmarkStart w:id="43" w:name="_Hlk179305575"/>
    </w:p>
    <w:p w14:paraId="1273202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4. del - največja letna količina gorljivih sestavin, ki nastanejo po mehanski obdelavi ločeno zbranih frakcij komunalnih odpadkov, ki so zbrani izven okvira storitev občinske javne službe zbiranja komunalnih odpadkov, in se lahko sežigajo kot posebna storitev državne javne službe, je za leto 2025 navedena v spodnji tabeli:</w:t>
      </w:r>
    </w:p>
    <w:p w14:paraId="65A5D8F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tbl>
      <w:tblPr>
        <w:tblW w:w="7600" w:type="dxa"/>
        <w:tblInd w:w="85" w:type="dxa"/>
        <w:tblCellMar>
          <w:left w:w="70" w:type="dxa"/>
          <w:right w:w="70" w:type="dxa"/>
        </w:tblCellMar>
        <w:tblLook w:val="04A0" w:firstRow="1" w:lastRow="0" w:firstColumn="1" w:lastColumn="0" w:noHBand="0" w:noVBand="1"/>
      </w:tblPr>
      <w:tblGrid>
        <w:gridCol w:w="1540"/>
        <w:gridCol w:w="1540"/>
        <w:gridCol w:w="1540"/>
        <w:gridCol w:w="1540"/>
        <w:gridCol w:w="1440"/>
      </w:tblGrid>
      <w:tr w:rsidR="00510685" w:rsidRPr="00510685" w14:paraId="039F809F" w14:textId="77777777" w:rsidTr="00F17B26">
        <w:trPr>
          <w:trHeight w:val="1800"/>
        </w:trPr>
        <w:tc>
          <w:tcPr>
            <w:tcW w:w="1540" w:type="dxa"/>
            <w:tcBorders>
              <w:top w:val="single" w:sz="12" w:space="0" w:color="auto"/>
              <w:left w:val="single" w:sz="12" w:space="0" w:color="auto"/>
              <w:bottom w:val="nil"/>
              <w:right w:val="nil"/>
            </w:tcBorders>
            <w:shd w:val="clear" w:color="000000" w:fill="64FC68"/>
            <w:vAlign w:val="bottom"/>
            <w:hideMark/>
          </w:tcPr>
          <w:p w14:paraId="2680DF7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w:t>
            </w:r>
          </w:p>
        </w:tc>
        <w:tc>
          <w:tcPr>
            <w:tcW w:w="1540" w:type="dxa"/>
            <w:tcBorders>
              <w:top w:val="single" w:sz="12" w:space="0" w:color="auto"/>
              <w:left w:val="single" w:sz="12" w:space="0" w:color="auto"/>
              <w:bottom w:val="nil"/>
              <w:right w:val="single" w:sz="4" w:space="0" w:color="auto"/>
            </w:tcBorders>
            <w:shd w:val="clear" w:color="000000" w:fill="64FC68"/>
            <w:vAlign w:val="bottom"/>
            <w:hideMark/>
          </w:tcPr>
          <w:p w14:paraId="390A5F8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količina goriva iz obdelave izven občinske JS ločeno zbranih komunalnih odpadkov</w:t>
            </w:r>
          </w:p>
        </w:tc>
        <w:tc>
          <w:tcPr>
            <w:tcW w:w="1540" w:type="dxa"/>
            <w:tcBorders>
              <w:top w:val="single" w:sz="12" w:space="0" w:color="auto"/>
              <w:left w:val="nil"/>
              <w:bottom w:val="nil"/>
              <w:right w:val="single" w:sz="4" w:space="0" w:color="auto"/>
            </w:tcBorders>
            <w:shd w:val="clear" w:color="000000" w:fill="64FC68"/>
            <w:vAlign w:val="bottom"/>
            <w:hideMark/>
          </w:tcPr>
          <w:p w14:paraId="5DFFA2D2"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količina goriva iz obdelave izven občinske JS ločeno zbranih komunalnih odpadkov</w:t>
            </w:r>
          </w:p>
        </w:tc>
        <w:tc>
          <w:tcPr>
            <w:tcW w:w="1540" w:type="dxa"/>
            <w:tcBorders>
              <w:top w:val="single" w:sz="12" w:space="0" w:color="auto"/>
              <w:left w:val="nil"/>
              <w:bottom w:val="nil"/>
              <w:right w:val="single" w:sz="4" w:space="0" w:color="auto"/>
            </w:tcBorders>
            <w:shd w:val="clear" w:color="000000" w:fill="64FC68"/>
            <w:vAlign w:val="bottom"/>
            <w:hideMark/>
          </w:tcPr>
          <w:p w14:paraId="331637E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količina goriva iz obdelave izven občinske JS ločeno zbranih komunalnih odpadkov</w:t>
            </w:r>
          </w:p>
        </w:tc>
        <w:tc>
          <w:tcPr>
            <w:tcW w:w="1440" w:type="dxa"/>
            <w:tcBorders>
              <w:top w:val="single" w:sz="12" w:space="0" w:color="auto"/>
              <w:left w:val="nil"/>
              <w:bottom w:val="nil"/>
              <w:right w:val="single" w:sz="12" w:space="0" w:color="auto"/>
            </w:tcBorders>
            <w:shd w:val="clear" w:color="000000" w:fill="64FC68"/>
            <w:vAlign w:val="bottom"/>
            <w:hideMark/>
          </w:tcPr>
          <w:p w14:paraId="766B0B5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največja količina goriva iz obdelave izven občinske JS ločeno zbranih komunalnih odpadkov</w:t>
            </w:r>
          </w:p>
        </w:tc>
      </w:tr>
      <w:tr w:rsidR="00510685" w:rsidRPr="00510685" w14:paraId="0ABD3B25" w14:textId="77777777" w:rsidTr="00F17B26">
        <w:trPr>
          <w:trHeight w:val="345"/>
        </w:trPr>
        <w:tc>
          <w:tcPr>
            <w:tcW w:w="1540" w:type="dxa"/>
            <w:tcBorders>
              <w:top w:val="nil"/>
              <w:left w:val="single" w:sz="12" w:space="0" w:color="auto"/>
              <w:bottom w:val="single" w:sz="12" w:space="0" w:color="auto"/>
              <w:right w:val="nil"/>
            </w:tcBorders>
            <w:shd w:val="clear" w:color="000000" w:fill="64FC68"/>
            <w:noWrap/>
            <w:vAlign w:val="bottom"/>
            <w:hideMark/>
          </w:tcPr>
          <w:p w14:paraId="1916103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Leto</w:t>
            </w:r>
          </w:p>
        </w:tc>
        <w:tc>
          <w:tcPr>
            <w:tcW w:w="1540" w:type="dxa"/>
            <w:tcBorders>
              <w:top w:val="nil"/>
              <w:left w:val="single" w:sz="12" w:space="0" w:color="auto"/>
              <w:bottom w:val="single" w:sz="12" w:space="0" w:color="auto"/>
              <w:right w:val="single" w:sz="4" w:space="0" w:color="auto"/>
            </w:tcBorders>
            <w:shd w:val="clear" w:color="000000" w:fill="64FC68"/>
            <w:noWrap/>
            <w:vAlign w:val="bottom"/>
            <w:hideMark/>
          </w:tcPr>
          <w:p w14:paraId="7E79714F"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papir</w:t>
            </w:r>
          </w:p>
        </w:tc>
        <w:tc>
          <w:tcPr>
            <w:tcW w:w="1540" w:type="dxa"/>
            <w:tcBorders>
              <w:top w:val="nil"/>
              <w:left w:val="nil"/>
              <w:bottom w:val="single" w:sz="12" w:space="0" w:color="auto"/>
              <w:right w:val="single" w:sz="4" w:space="0" w:color="auto"/>
            </w:tcBorders>
            <w:shd w:val="clear" w:color="000000" w:fill="64FC68"/>
            <w:noWrap/>
            <w:vAlign w:val="bottom"/>
            <w:hideMark/>
          </w:tcPr>
          <w:p w14:paraId="13FCE7A7"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plastika</w:t>
            </w:r>
          </w:p>
        </w:tc>
        <w:tc>
          <w:tcPr>
            <w:tcW w:w="1540" w:type="dxa"/>
            <w:tcBorders>
              <w:top w:val="nil"/>
              <w:left w:val="nil"/>
              <w:bottom w:val="single" w:sz="12" w:space="0" w:color="auto"/>
              <w:right w:val="single" w:sz="4" w:space="0" w:color="auto"/>
            </w:tcBorders>
            <w:shd w:val="clear" w:color="000000" w:fill="64FC68"/>
            <w:noWrap/>
            <w:vAlign w:val="bottom"/>
            <w:hideMark/>
          </w:tcPr>
          <w:p w14:paraId="684FA032"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les</w:t>
            </w:r>
          </w:p>
        </w:tc>
        <w:tc>
          <w:tcPr>
            <w:tcW w:w="1440" w:type="dxa"/>
            <w:tcBorders>
              <w:top w:val="nil"/>
              <w:left w:val="nil"/>
              <w:bottom w:val="single" w:sz="12" w:space="0" w:color="auto"/>
              <w:right w:val="single" w:sz="12" w:space="0" w:color="auto"/>
            </w:tcBorders>
            <w:shd w:val="clear" w:color="000000" w:fill="64FC68"/>
            <w:noWrap/>
            <w:vAlign w:val="bottom"/>
            <w:hideMark/>
          </w:tcPr>
          <w:p w14:paraId="51C196A6"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skupaj</w:t>
            </w:r>
          </w:p>
        </w:tc>
      </w:tr>
      <w:tr w:rsidR="00510685" w:rsidRPr="00510685" w14:paraId="58629A09" w14:textId="77777777" w:rsidTr="00F17B26">
        <w:trPr>
          <w:trHeight w:val="330"/>
        </w:trPr>
        <w:tc>
          <w:tcPr>
            <w:tcW w:w="15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14:paraId="1892AFF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2021 (*)</w:t>
            </w:r>
          </w:p>
        </w:tc>
        <w:tc>
          <w:tcPr>
            <w:tcW w:w="1540" w:type="dxa"/>
            <w:tcBorders>
              <w:top w:val="nil"/>
              <w:left w:val="nil"/>
              <w:bottom w:val="single" w:sz="4" w:space="0" w:color="auto"/>
              <w:right w:val="single" w:sz="4" w:space="0" w:color="auto"/>
            </w:tcBorders>
            <w:shd w:val="clear" w:color="auto" w:fill="auto"/>
            <w:noWrap/>
            <w:vAlign w:val="bottom"/>
            <w:hideMark/>
          </w:tcPr>
          <w:p w14:paraId="4E747E8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29.185</w:t>
            </w:r>
          </w:p>
        </w:tc>
        <w:tc>
          <w:tcPr>
            <w:tcW w:w="1540" w:type="dxa"/>
            <w:tcBorders>
              <w:top w:val="nil"/>
              <w:left w:val="nil"/>
              <w:bottom w:val="single" w:sz="4" w:space="0" w:color="auto"/>
              <w:right w:val="single" w:sz="4" w:space="0" w:color="auto"/>
            </w:tcBorders>
            <w:shd w:val="clear" w:color="auto" w:fill="auto"/>
            <w:noWrap/>
            <w:vAlign w:val="bottom"/>
            <w:hideMark/>
          </w:tcPr>
          <w:p w14:paraId="6627C46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9.838</w:t>
            </w:r>
          </w:p>
        </w:tc>
        <w:tc>
          <w:tcPr>
            <w:tcW w:w="1540" w:type="dxa"/>
            <w:tcBorders>
              <w:top w:val="nil"/>
              <w:left w:val="nil"/>
              <w:bottom w:val="single" w:sz="4" w:space="0" w:color="auto"/>
              <w:right w:val="single" w:sz="4" w:space="0" w:color="auto"/>
            </w:tcBorders>
            <w:shd w:val="clear" w:color="auto" w:fill="auto"/>
            <w:noWrap/>
            <w:vAlign w:val="bottom"/>
            <w:hideMark/>
          </w:tcPr>
          <w:p w14:paraId="1EA7AEA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22.471</w:t>
            </w:r>
          </w:p>
        </w:tc>
        <w:tc>
          <w:tcPr>
            <w:tcW w:w="1440" w:type="dxa"/>
            <w:tcBorders>
              <w:top w:val="nil"/>
              <w:left w:val="nil"/>
              <w:bottom w:val="single" w:sz="4" w:space="0" w:color="auto"/>
              <w:right w:val="single" w:sz="12" w:space="0" w:color="auto"/>
            </w:tcBorders>
            <w:shd w:val="clear" w:color="auto" w:fill="auto"/>
            <w:noWrap/>
            <w:vAlign w:val="bottom"/>
            <w:hideMark/>
          </w:tcPr>
          <w:p w14:paraId="21E48F8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61.495</w:t>
            </w:r>
          </w:p>
        </w:tc>
      </w:tr>
      <w:tr w:rsidR="00510685" w:rsidRPr="00510685" w14:paraId="1F7C0AE2" w14:textId="77777777" w:rsidTr="00F17B26">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59BC385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2025 (**)</w:t>
            </w:r>
          </w:p>
        </w:tc>
        <w:tc>
          <w:tcPr>
            <w:tcW w:w="1540" w:type="dxa"/>
            <w:tcBorders>
              <w:top w:val="nil"/>
              <w:left w:val="nil"/>
              <w:bottom w:val="single" w:sz="4" w:space="0" w:color="auto"/>
              <w:right w:val="single" w:sz="4" w:space="0" w:color="auto"/>
            </w:tcBorders>
            <w:shd w:val="clear" w:color="auto" w:fill="auto"/>
            <w:noWrap/>
            <w:vAlign w:val="bottom"/>
            <w:hideMark/>
          </w:tcPr>
          <w:p w14:paraId="24CB339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23.999</w:t>
            </w:r>
          </w:p>
        </w:tc>
        <w:tc>
          <w:tcPr>
            <w:tcW w:w="1540" w:type="dxa"/>
            <w:tcBorders>
              <w:top w:val="nil"/>
              <w:left w:val="nil"/>
              <w:bottom w:val="single" w:sz="4" w:space="0" w:color="auto"/>
              <w:right w:val="single" w:sz="4" w:space="0" w:color="auto"/>
            </w:tcBorders>
            <w:shd w:val="clear" w:color="auto" w:fill="auto"/>
            <w:noWrap/>
            <w:vAlign w:val="bottom"/>
            <w:hideMark/>
          </w:tcPr>
          <w:p w14:paraId="2287A9C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9.833</w:t>
            </w:r>
          </w:p>
        </w:tc>
        <w:tc>
          <w:tcPr>
            <w:tcW w:w="1540" w:type="dxa"/>
            <w:tcBorders>
              <w:top w:val="nil"/>
              <w:left w:val="nil"/>
              <w:bottom w:val="single" w:sz="4" w:space="0" w:color="auto"/>
              <w:right w:val="single" w:sz="4" w:space="0" w:color="auto"/>
            </w:tcBorders>
            <w:shd w:val="clear" w:color="auto" w:fill="auto"/>
            <w:noWrap/>
            <w:vAlign w:val="bottom"/>
            <w:hideMark/>
          </w:tcPr>
          <w:p w14:paraId="49885942"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22.032</w:t>
            </w:r>
          </w:p>
        </w:tc>
        <w:tc>
          <w:tcPr>
            <w:tcW w:w="1440" w:type="dxa"/>
            <w:tcBorders>
              <w:top w:val="nil"/>
              <w:left w:val="nil"/>
              <w:bottom w:val="single" w:sz="4" w:space="0" w:color="auto"/>
              <w:right w:val="single" w:sz="12" w:space="0" w:color="auto"/>
            </w:tcBorders>
            <w:shd w:val="clear" w:color="auto" w:fill="auto"/>
            <w:noWrap/>
            <w:vAlign w:val="bottom"/>
            <w:hideMark/>
          </w:tcPr>
          <w:p w14:paraId="0ED5146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55.864</w:t>
            </w:r>
          </w:p>
        </w:tc>
      </w:tr>
      <w:tr w:rsidR="00510685" w:rsidRPr="00510685" w14:paraId="5F4EB723" w14:textId="77777777" w:rsidTr="00F17B26">
        <w:trPr>
          <w:trHeight w:val="46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74BA4FA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2026</w:t>
            </w:r>
          </w:p>
        </w:tc>
        <w:tc>
          <w:tcPr>
            <w:tcW w:w="1540" w:type="dxa"/>
            <w:tcBorders>
              <w:top w:val="nil"/>
              <w:left w:val="nil"/>
              <w:bottom w:val="single" w:sz="4" w:space="0" w:color="auto"/>
              <w:right w:val="single" w:sz="4" w:space="0" w:color="auto"/>
            </w:tcBorders>
            <w:shd w:val="clear" w:color="auto" w:fill="auto"/>
            <w:noWrap/>
            <w:vAlign w:val="bottom"/>
            <w:hideMark/>
          </w:tcPr>
          <w:p w14:paraId="2A8F75F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22.653</w:t>
            </w:r>
          </w:p>
        </w:tc>
        <w:tc>
          <w:tcPr>
            <w:tcW w:w="1540" w:type="dxa"/>
            <w:tcBorders>
              <w:top w:val="nil"/>
              <w:left w:val="nil"/>
              <w:bottom w:val="single" w:sz="4" w:space="0" w:color="auto"/>
              <w:right w:val="single" w:sz="4" w:space="0" w:color="auto"/>
            </w:tcBorders>
            <w:shd w:val="clear" w:color="auto" w:fill="auto"/>
            <w:noWrap/>
            <w:vAlign w:val="bottom"/>
            <w:hideMark/>
          </w:tcPr>
          <w:p w14:paraId="5CAC6D2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9.832</w:t>
            </w:r>
          </w:p>
        </w:tc>
        <w:tc>
          <w:tcPr>
            <w:tcW w:w="1540" w:type="dxa"/>
            <w:tcBorders>
              <w:top w:val="nil"/>
              <w:left w:val="nil"/>
              <w:bottom w:val="single" w:sz="4" w:space="0" w:color="auto"/>
              <w:right w:val="single" w:sz="4" w:space="0" w:color="auto"/>
            </w:tcBorders>
            <w:shd w:val="clear" w:color="auto" w:fill="auto"/>
            <w:noWrap/>
            <w:vAlign w:val="bottom"/>
            <w:hideMark/>
          </w:tcPr>
          <w:p w14:paraId="5DE4396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21.916</w:t>
            </w:r>
          </w:p>
        </w:tc>
        <w:tc>
          <w:tcPr>
            <w:tcW w:w="1440" w:type="dxa"/>
            <w:tcBorders>
              <w:top w:val="nil"/>
              <w:left w:val="nil"/>
              <w:bottom w:val="single" w:sz="4" w:space="0" w:color="auto"/>
              <w:right w:val="single" w:sz="12" w:space="0" w:color="auto"/>
            </w:tcBorders>
            <w:shd w:val="clear" w:color="auto" w:fill="auto"/>
            <w:noWrap/>
            <w:vAlign w:val="bottom"/>
            <w:hideMark/>
          </w:tcPr>
          <w:p w14:paraId="177ADBC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54.401</w:t>
            </w:r>
          </w:p>
        </w:tc>
      </w:tr>
      <w:tr w:rsidR="00510685" w:rsidRPr="00510685" w14:paraId="0E586DF0" w14:textId="77777777" w:rsidTr="00F17B26">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69D4A2F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2027</w:t>
            </w:r>
          </w:p>
        </w:tc>
        <w:tc>
          <w:tcPr>
            <w:tcW w:w="1540" w:type="dxa"/>
            <w:tcBorders>
              <w:top w:val="nil"/>
              <w:left w:val="nil"/>
              <w:bottom w:val="single" w:sz="4" w:space="0" w:color="auto"/>
              <w:right w:val="single" w:sz="4" w:space="0" w:color="auto"/>
            </w:tcBorders>
            <w:shd w:val="clear" w:color="auto" w:fill="auto"/>
            <w:noWrap/>
            <w:vAlign w:val="bottom"/>
            <w:hideMark/>
          </w:tcPr>
          <w:p w14:paraId="1D7DA59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21.288</w:t>
            </w:r>
          </w:p>
        </w:tc>
        <w:tc>
          <w:tcPr>
            <w:tcW w:w="1540" w:type="dxa"/>
            <w:tcBorders>
              <w:top w:val="nil"/>
              <w:left w:val="nil"/>
              <w:bottom w:val="single" w:sz="4" w:space="0" w:color="auto"/>
              <w:right w:val="single" w:sz="4" w:space="0" w:color="auto"/>
            </w:tcBorders>
            <w:shd w:val="clear" w:color="auto" w:fill="auto"/>
            <w:noWrap/>
            <w:vAlign w:val="bottom"/>
            <w:hideMark/>
          </w:tcPr>
          <w:p w14:paraId="784772D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9.831</w:t>
            </w:r>
          </w:p>
        </w:tc>
        <w:tc>
          <w:tcPr>
            <w:tcW w:w="1540" w:type="dxa"/>
            <w:tcBorders>
              <w:top w:val="nil"/>
              <w:left w:val="nil"/>
              <w:bottom w:val="single" w:sz="4" w:space="0" w:color="auto"/>
              <w:right w:val="single" w:sz="4" w:space="0" w:color="auto"/>
            </w:tcBorders>
            <w:shd w:val="clear" w:color="auto" w:fill="auto"/>
            <w:noWrap/>
            <w:vAlign w:val="bottom"/>
            <w:hideMark/>
          </w:tcPr>
          <w:p w14:paraId="680D972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21.797</w:t>
            </w:r>
          </w:p>
        </w:tc>
        <w:tc>
          <w:tcPr>
            <w:tcW w:w="1440" w:type="dxa"/>
            <w:tcBorders>
              <w:top w:val="nil"/>
              <w:left w:val="nil"/>
              <w:bottom w:val="single" w:sz="4" w:space="0" w:color="auto"/>
              <w:right w:val="single" w:sz="12" w:space="0" w:color="auto"/>
            </w:tcBorders>
            <w:shd w:val="clear" w:color="auto" w:fill="auto"/>
            <w:noWrap/>
            <w:vAlign w:val="bottom"/>
            <w:hideMark/>
          </w:tcPr>
          <w:p w14:paraId="6C6C35CA"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52.915</w:t>
            </w:r>
          </w:p>
        </w:tc>
      </w:tr>
      <w:tr w:rsidR="00510685" w:rsidRPr="00510685" w14:paraId="5D7A404B" w14:textId="77777777" w:rsidTr="00F17B26">
        <w:trPr>
          <w:trHeight w:val="48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717E44D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2028</w:t>
            </w:r>
          </w:p>
        </w:tc>
        <w:tc>
          <w:tcPr>
            <w:tcW w:w="1540" w:type="dxa"/>
            <w:tcBorders>
              <w:top w:val="nil"/>
              <w:left w:val="nil"/>
              <w:bottom w:val="single" w:sz="4" w:space="0" w:color="auto"/>
              <w:right w:val="single" w:sz="4" w:space="0" w:color="auto"/>
            </w:tcBorders>
            <w:shd w:val="clear" w:color="auto" w:fill="auto"/>
            <w:noWrap/>
            <w:vAlign w:val="bottom"/>
            <w:hideMark/>
          </w:tcPr>
          <w:p w14:paraId="1424A05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19.902</w:t>
            </w:r>
          </w:p>
        </w:tc>
        <w:tc>
          <w:tcPr>
            <w:tcW w:w="1540" w:type="dxa"/>
            <w:tcBorders>
              <w:top w:val="nil"/>
              <w:left w:val="nil"/>
              <w:bottom w:val="single" w:sz="4" w:space="0" w:color="auto"/>
              <w:right w:val="single" w:sz="4" w:space="0" w:color="auto"/>
            </w:tcBorders>
            <w:shd w:val="clear" w:color="auto" w:fill="auto"/>
            <w:noWrap/>
            <w:vAlign w:val="bottom"/>
            <w:hideMark/>
          </w:tcPr>
          <w:p w14:paraId="5C28CDC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9.829</w:t>
            </w:r>
          </w:p>
        </w:tc>
        <w:tc>
          <w:tcPr>
            <w:tcW w:w="1540" w:type="dxa"/>
            <w:tcBorders>
              <w:top w:val="nil"/>
              <w:left w:val="nil"/>
              <w:bottom w:val="single" w:sz="4" w:space="0" w:color="auto"/>
              <w:right w:val="single" w:sz="4" w:space="0" w:color="auto"/>
            </w:tcBorders>
            <w:shd w:val="clear" w:color="auto" w:fill="auto"/>
            <w:noWrap/>
            <w:vAlign w:val="bottom"/>
            <w:hideMark/>
          </w:tcPr>
          <w:p w14:paraId="246A20E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21.675</w:t>
            </w:r>
          </w:p>
        </w:tc>
        <w:tc>
          <w:tcPr>
            <w:tcW w:w="1440" w:type="dxa"/>
            <w:tcBorders>
              <w:top w:val="nil"/>
              <w:left w:val="nil"/>
              <w:bottom w:val="single" w:sz="4" w:space="0" w:color="auto"/>
              <w:right w:val="single" w:sz="12" w:space="0" w:color="auto"/>
            </w:tcBorders>
            <w:shd w:val="clear" w:color="auto" w:fill="auto"/>
            <w:noWrap/>
            <w:vAlign w:val="bottom"/>
            <w:hideMark/>
          </w:tcPr>
          <w:p w14:paraId="167D3C2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51.406</w:t>
            </w:r>
          </w:p>
        </w:tc>
      </w:tr>
      <w:tr w:rsidR="00510685" w:rsidRPr="00510685" w14:paraId="2D9390B6" w14:textId="77777777" w:rsidTr="00F17B26">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3601750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2029</w:t>
            </w:r>
          </w:p>
        </w:tc>
        <w:tc>
          <w:tcPr>
            <w:tcW w:w="1540" w:type="dxa"/>
            <w:tcBorders>
              <w:top w:val="nil"/>
              <w:left w:val="nil"/>
              <w:bottom w:val="single" w:sz="4" w:space="0" w:color="auto"/>
              <w:right w:val="single" w:sz="4" w:space="0" w:color="auto"/>
            </w:tcBorders>
            <w:shd w:val="clear" w:color="auto" w:fill="auto"/>
            <w:noWrap/>
            <w:vAlign w:val="bottom"/>
            <w:hideMark/>
          </w:tcPr>
          <w:p w14:paraId="70F484E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18.496</w:t>
            </w:r>
          </w:p>
        </w:tc>
        <w:tc>
          <w:tcPr>
            <w:tcW w:w="1540" w:type="dxa"/>
            <w:tcBorders>
              <w:top w:val="nil"/>
              <w:left w:val="nil"/>
              <w:bottom w:val="single" w:sz="4" w:space="0" w:color="auto"/>
              <w:right w:val="single" w:sz="4" w:space="0" w:color="auto"/>
            </w:tcBorders>
            <w:shd w:val="clear" w:color="auto" w:fill="auto"/>
            <w:noWrap/>
            <w:vAlign w:val="bottom"/>
            <w:hideMark/>
          </w:tcPr>
          <w:p w14:paraId="6F9C9F6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9.828</w:t>
            </w:r>
          </w:p>
        </w:tc>
        <w:tc>
          <w:tcPr>
            <w:tcW w:w="1540" w:type="dxa"/>
            <w:tcBorders>
              <w:top w:val="nil"/>
              <w:left w:val="nil"/>
              <w:bottom w:val="single" w:sz="4" w:space="0" w:color="auto"/>
              <w:right w:val="single" w:sz="4" w:space="0" w:color="auto"/>
            </w:tcBorders>
            <w:shd w:val="clear" w:color="auto" w:fill="auto"/>
            <w:noWrap/>
            <w:vAlign w:val="bottom"/>
            <w:hideMark/>
          </w:tcPr>
          <w:p w14:paraId="669C703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21.550</w:t>
            </w:r>
          </w:p>
        </w:tc>
        <w:tc>
          <w:tcPr>
            <w:tcW w:w="1440" w:type="dxa"/>
            <w:tcBorders>
              <w:top w:val="nil"/>
              <w:left w:val="nil"/>
              <w:bottom w:val="single" w:sz="4" w:space="0" w:color="auto"/>
              <w:right w:val="single" w:sz="12" w:space="0" w:color="auto"/>
            </w:tcBorders>
            <w:shd w:val="clear" w:color="auto" w:fill="auto"/>
            <w:noWrap/>
            <w:vAlign w:val="bottom"/>
            <w:hideMark/>
          </w:tcPr>
          <w:p w14:paraId="1A89A53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49.874</w:t>
            </w:r>
          </w:p>
        </w:tc>
      </w:tr>
      <w:tr w:rsidR="00510685" w:rsidRPr="00510685" w14:paraId="209D4D29" w14:textId="77777777" w:rsidTr="00F17B26">
        <w:trPr>
          <w:trHeight w:val="30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1123614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2030</w:t>
            </w:r>
          </w:p>
        </w:tc>
        <w:tc>
          <w:tcPr>
            <w:tcW w:w="1540" w:type="dxa"/>
            <w:tcBorders>
              <w:top w:val="nil"/>
              <w:left w:val="nil"/>
              <w:bottom w:val="single" w:sz="4" w:space="0" w:color="auto"/>
              <w:right w:val="single" w:sz="4" w:space="0" w:color="auto"/>
            </w:tcBorders>
            <w:shd w:val="clear" w:color="auto" w:fill="auto"/>
            <w:noWrap/>
            <w:vAlign w:val="bottom"/>
            <w:hideMark/>
          </w:tcPr>
          <w:p w14:paraId="1557750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17.069</w:t>
            </w:r>
          </w:p>
        </w:tc>
        <w:tc>
          <w:tcPr>
            <w:tcW w:w="1540" w:type="dxa"/>
            <w:tcBorders>
              <w:top w:val="nil"/>
              <w:left w:val="nil"/>
              <w:bottom w:val="single" w:sz="4" w:space="0" w:color="auto"/>
              <w:right w:val="single" w:sz="4" w:space="0" w:color="auto"/>
            </w:tcBorders>
            <w:shd w:val="clear" w:color="auto" w:fill="auto"/>
            <w:noWrap/>
            <w:vAlign w:val="bottom"/>
            <w:hideMark/>
          </w:tcPr>
          <w:p w14:paraId="573142A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9.827</w:t>
            </w:r>
          </w:p>
        </w:tc>
        <w:tc>
          <w:tcPr>
            <w:tcW w:w="1540" w:type="dxa"/>
            <w:tcBorders>
              <w:top w:val="nil"/>
              <w:left w:val="nil"/>
              <w:bottom w:val="single" w:sz="4" w:space="0" w:color="auto"/>
              <w:right w:val="single" w:sz="4" w:space="0" w:color="auto"/>
            </w:tcBorders>
            <w:shd w:val="clear" w:color="auto" w:fill="auto"/>
            <w:noWrap/>
            <w:vAlign w:val="bottom"/>
            <w:hideMark/>
          </w:tcPr>
          <w:p w14:paraId="17D76BA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21.423</w:t>
            </w:r>
          </w:p>
        </w:tc>
        <w:tc>
          <w:tcPr>
            <w:tcW w:w="1440" w:type="dxa"/>
            <w:tcBorders>
              <w:top w:val="nil"/>
              <w:left w:val="nil"/>
              <w:bottom w:val="single" w:sz="4" w:space="0" w:color="auto"/>
              <w:right w:val="single" w:sz="12" w:space="0" w:color="auto"/>
            </w:tcBorders>
            <w:shd w:val="clear" w:color="auto" w:fill="auto"/>
            <w:noWrap/>
            <w:vAlign w:val="bottom"/>
            <w:hideMark/>
          </w:tcPr>
          <w:p w14:paraId="3E49646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48.318</w:t>
            </w:r>
          </w:p>
        </w:tc>
      </w:tr>
      <w:tr w:rsidR="00510685" w:rsidRPr="00510685" w14:paraId="2EE7089E" w14:textId="77777777" w:rsidTr="00F17B26">
        <w:trPr>
          <w:trHeight w:val="30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4DA5E8E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2031</w:t>
            </w:r>
          </w:p>
        </w:tc>
        <w:tc>
          <w:tcPr>
            <w:tcW w:w="1540" w:type="dxa"/>
            <w:tcBorders>
              <w:top w:val="nil"/>
              <w:left w:val="nil"/>
              <w:bottom w:val="single" w:sz="4" w:space="0" w:color="auto"/>
              <w:right w:val="single" w:sz="4" w:space="0" w:color="auto"/>
            </w:tcBorders>
            <w:shd w:val="clear" w:color="auto" w:fill="auto"/>
            <w:noWrap/>
            <w:vAlign w:val="bottom"/>
            <w:hideMark/>
          </w:tcPr>
          <w:p w14:paraId="70E4929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15.621</w:t>
            </w:r>
          </w:p>
        </w:tc>
        <w:tc>
          <w:tcPr>
            <w:tcW w:w="1540" w:type="dxa"/>
            <w:tcBorders>
              <w:top w:val="nil"/>
              <w:left w:val="nil"/>
              <w:bottom w:val="single" w:sz="4" w:space="0" w:color="auto"/>
              <w:right w:val="single" w:sz="4" w:space="0" w:color="auto"/>
            </w:tcBorders>
            <w:shd w:val="clear" w:color="auto" w:fill="auto"/>
            <w:noWrap/>
            <w:vAlign w:val="bottom"/>
            <w:hideMark/>
          </w:tcPr>
          <w:p w14:paraId="0BD7F52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9.825</w:t>
            </w:r>
          </w:p>
        </w:tc>
        <w:tc>
          <w:tcPr>
            <w:tcW w:w="1540" w:type="dxa"/>
            <w:tcBorders>
              <w:top w:val="nil"/>
              <w:left w:val="nil"/>
              <w:bottom w:val="single" w:sz="4" w:space="0" w:color="auto"/>
              <w:right w:val="single" w:sz="4" w:space="0" w:color="auto"/>
            </w:tcBorders>
            <w:shd w:val="clear" w:color="auto" w:fill="auto"/>
            <w:noWrap/>
            <w:vAlign w:val="bottom"/>
            <w:hideMark/>
          </w:tcPr>
          <w:p w14:paraId="76E3EA3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21.293</w:t>
            </w:r>
          </w:p>
        </w:tc>
        <w:tc>
          <w:tcPr>
            <w:tcW w:w="1440" w:type="dxa"/>
            <w:tcBorders>
              <w:top w:val="nil"/>
              <w:left w:val="nil"/>
              <w:bottom w:val="single" w:sz="4" w:space="0" w:color="auto"/>
              <w:right w:val="single" w:sz="12" w:space="0" w:color="auto"/>
            </w:tcBorders>
            <w:shd w:val="clear" w:color="auto" w:fill="auto"/>
            <w:noWrap/>
            <w:vAlign w:val="bottom"/>
            <w:hideMark/>
          </w:tcPr>
          <w:p w14:paraId="209C7FF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46.739</w:t>
            </w:r>
          </w:p>
        </w:tc>
      </w:tr>
      <w:tr w:rsidR="00510685" w:rsidRPr="00510685" w14:paraId="118B2704" w14:textId="77777777" w:rsidTr="00F17B26">
        <w:trPr>
          <w:trHeight w:val="30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70426AF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2032</w:t>
            </w:r>
          </w:p>
        </w:tc>
        <w:tc>
          <w:tcPr>
            <w:tcW w:w="1540" w:type="dxa"/>
            <w:tcBorders>
              <w:top w:val="nil"/>
              <w:left w:val="nil"/>
              <w:bottom w:val="single" w:sz="4" w:space="0" w:color="auto"/>
              <w:right w:val="single" w:sz="4" w:space="0" w:color="auto"/>
            </w:tcBorders>
            <w:shd w:val="clear" w:color="auto" w:fill="auto"/>
            <w:noWrap/>
            <w:vAlign w:val="bottom"/>
            <w:hideMark/>
          </w:tcPr>
          <w:p w14:paraId="3F0E703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14.152</w:t>
            </w:r>
          </w:p>
        </w:tc>
        <w:tc>
          <w:tcPr>
            <w:tcW w:w="1540" w:type="dxa"/>
            <w:tcBorders>
              <w:top w:val="nil"/>
              <w:left w:val="nil"/>
              <w:bottom w:val="single" w:sz="4" w:space="0" w:color="auto"/>
              <w:right w:val="single" w:sz="4" w:space="0" w:color="auto"/>
            </w:tcBorders>
            <w:shd w:val="clear" w:color="auto" w:fill="auto"/>
            <w:noWrap/>
            <w:vAlign w:val="bottom"/>
            <w:hideMark/>
          </w:tcPr>
          <w:p w14:paraId="27F3591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9.824</w:t>
            </w:r>
          </w:p>
        </w:tc>
        <w:tc>
          <w:tcPr>
            <w:tcW w:w="1540" w:type="dxa"/>
            <w:tcBorders>
              <w:top w:val="nil"/>
              <w:left w:val="nil"/>
              <w:bottom w:val="single" w:sz="4" w:space="0" w:color="auto"/>
              <w:right w:val="single" w:sz="4" w:space="0" w:color="auto"/>
            </w:tcBorders>
            <w:shd w:val="clear" w:color="auto" w:fill="auto"/>
            <w:noWrap/>
            <w:vAlign w:val="bottom"/>
            <w:hideMark/>
          </w:tcPr>
          <w:p w14:paraId="3DAD141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21.160</w:t>
            </w:r>
          </w:p>
        </w:tc>
        <w:tc>
          <w:tcPr>
            <w:tcW w:w="1440" w:type="dxa"/>
            <w:tcBorders>
              <w:top w:val="nil"/>
              <w:left w:val="nil"/>
              <w:bottom w:val="single" w:sz="4" w:space="0" w:color="auto"/>
              <w:right w:val="single" w:sz="12" w:space="0" w:color="auto"/>
            </w:tcBorders>
            <w:shd w:val="clear" w:color="auto" w:fill="auto"/>
            <w:noWrap/>
            <w:vAlign w:val="bottom"/>
            <w:hideMark/>
          </w:tcPr>
          <w:p w14:paraId="33E9205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45.136</w:t>
            </w:r>
          </w:p>
        </w:tc>
      </w:tr>
      <w:tr w:rsidR="00510685" w:rsidRPr="00510685" w14:paraId="1D530F90" w14:textId="77777777" w:rsidTr="00F17B26">
        <w:trPr>
          <w:trHeight w:val="300"/>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226483C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2033</w:t>
            </w:r>
          </w:p>
        </w:tc>
        <w:tc>
          <w:tcPr>
            <w:tcW w:w="1540" w:type="dxa"/>
            <w:tcBorders>
              <w:top w:val="nil"/>
              <w:left w:val="nil"/>
              <w:bottom w:val="single" w:sz="4" w:space="0" w:color="auto"/>
              <w:right w:val="single" w:sz="4" w:space="0" w:color="auto"/>
            </w:tcBorders>
            <w:shd w:val="clear" w:color="auto" w:fill="auto"/>
            <w:noWrap/>
            <w:vAlign w:val="bottom"/>
            <w:hideMark/>
          </w:tcPr>
          <w:p w14:paraId="051FE2B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12.662</w:t>
            </w:r>
          </w:p>
        </w:tc>
        <w:tc>
          <w:tcPr>
            <w:tcW w:w="1540" w:type="dxa"/>
            <w:tcBorders>
              <w:top w:val="nil"/>
              <w:left w:val="nil"/>
              <w:bottom w:val="single" w:sz="4" w:space="0" w:color="auto"/>
              <w:right w:val="single" w:sz="4" w:space="0" w:color="auto"/>
            </w:tcBorders>
            <w:shd w:val="clear" w:color="auto" w:fill="auto"/>
            <w:noWrap/>
            <w:vAlign w:val="bottom"/>
            <w:hideMark/>
          </w:tcPr>
          <w:p w14:paraId="3348C77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9.823</w:t>
            </w:r>
          </w:p>
        </w:tc>
        <w:tc>
          <w:tcPr>
            <w:tcW w:w="1540" w:type="dxa"/>
            <w:tcBorders>
              <w:top w:val="nil"/>
              <w:left w:val="nil"/>
              <w:bottom w:val="single" w:sz="4" w:space="0" w:color="auto"/>
              <w:right w:val="single" w:sz="4" w:space="0" w:color="auto"/>
            </w:tcBorders>
            <w:shd w:val="clear" w:color="auto" w:fill="auto"/>
            <w:noWrap/>
            <w:vAlign w:val="bottom"/>
            <w:hideMark/>
          </w:tcPr>
          <w:p w14:paraId="0A19034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21.024</w:t>
            </w:r>
          </w:p>
        </w:tc>
        <w:tc>
          <w:tcPr>
            <w:tcW w:w="1440" w:type="dxa"/>
            <w:tcBorders>
              <w:top w:val="nil"/>
              <w:left w:val="nil"/>
              <w:bottom w:val="single" w:sz="4" w:space="0" w:color="auto"/>
              <w:right w:val="single" w:sz="12" w:space="0" w:color="auto"/>
            </w:tcBorders>
            <w:shd w:val="clear" w:color="auto" w:fill="auto"/>
            <w:noWrap/>
            <w:vAlign w:val="bottom"/>
            <w:hideMark/>
          </w:tcPr>
          <w:p w14:paraId="7C9FE64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43.508</w:t>
            </w:r>
          </w:p>
        </w:tc>
      </w:tr>
      <w:tr w:rsidR="00510685" w:rsidRPr="00510685" w14:paraId="2DA3A2E1" w14:textId="77777777" w:rsidTr="00F17B26">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1688B6E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2034</w:t>
            </w:r>
          </w:p>
        </w:tc>
        <w:tc>
          <w:tcPr>
            <w:tcW w:w="1540" w:type="dxa"/>
            <w:tcBorders>
              <w:top w:val="nil"/>
              <w:left w:val="nil"/>
              <w:bottom w:val="single" w:sz="4" w:space="0" w:color="auto"/>
              <w:right w:val="single" w:sz="4" w:space="0" w:color="auto"/>
            </w:tcBorders>
            <w:shd w:val="clear" w:color="auto" w:fill="auto"/>
            <w:noWrap/>
            <w:vAlign w:val="bottom"/>
            <w:hideMark/>
          </w:tcPr>
          <w:p w14:paraId="15DD2FC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11.150</w:t>
            </w:r>
          </w:p>
        </w:tc>
        <w:tc>
          <w:tcPr>
            <w:tcW w:w="1540" w:type="dxa"/>
            <w:tcBorders>
              <w:top w:val="nil"/>
              <w:left w:val="nil"/>
              <w:bottom w:val="single" w:sz="4" w:space="0" w:color="auto"/>
              <w:right w:val="single" w:sz="4" w:space="0" w:color="auto"/>
            </w:tcBorders>
            <w:shd w:val="clear" w:color="auto" w:fill="auto"/>
            <w:noWrap/>
            <w:vAlign w:val="bottom"/>
            <w:hideMark/>
          </w:tcPr>
          <w:p w14:paraId="617ED52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9.821</w:t>
            </w:r>
          </w:p>
        </w:tc>
        <w:tc>
          <w:tcPr>
            <w:tcW w:w="1540" w:type="dxa"/>
            <w:tcBorders>
              <w:top w:val="nil"/>
              <w:left w:val="nil"/>
              <w:bottom w:val="single" w:sz="4" w:space="0" w:color="auto"/>
              <w:right w:val="single" w:sz="4" w:space="0" w:color="auto"/>
            </w:tcBorders>
            <w:shd w:val="clear" w:color="auto" w:fill="auto"/>
            <w:noWrap/>
            <w:vAlign w:val="bottom"/>
            <w:hideMark/>
          </w:tcPr>
          <w:p w14:paraId="59C4670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20.885</w:t>
            </w:r>
          </w:p>
        </w:tc>
        <w:tc>
          <w:tcPr>
            <w:tcW w:w="1440" w:type="dxa"/>
            <w:tcBorders>
              <w:top w:val="nil"/>
              <w:left w:val="nil"/>
              <w:bottom w:val="single" w:sz="4" w:space="0" w:color="auto"/>
              <w:right w:val="single" w:sz="12" w:space="0" w:color="auto"/>
            </w:tcBorders>
            <w:shd w:val="clear" w:color="auto" w:fill="auto"/>
            <w:noWrap/>
            <w:vAlign w:val="bottom"/>
            <w:hideMark/>
          </w:tcPr>
          <w:p w14:paraId="5EB0546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41.856</w:t>
            </w:r>
          </w:p>
        </w:tc>
      </w:tr>
      <w:tr w:rsidR="00510685" w:rsidRPr="00510685" w14:paraId="5AE66BCA" w14:textId="77777777" w:rsidTr="00F17B26">
        <w:trPr>
          <w:trHeight w:val="315"/>
        </w:trPr>
        <w:tc>
          <w:tcPr>
            <w:tcW w:w="1540" w:type="dxa"/>
            <w:tcBorders>
              <w:top w:val="nil"/>
              <w:left w:val="single" w:sz="12" w:space="0" w:color="auto"/>
              <w:bottom w:val="single" w:sz="4" w:space="0" w:color="auto"/>
              <w:right w:val="single" w:sz="12" w:space="0" w:color="auto"/>
            </w:tcBorders>
            <w:shd w:val="clear" w:color="auto" w:fill="auto"/>
            <w:noWrap/>
            <w:vAlign w:val="bottom"/>
            <w:hideMark/>
          </w:tcPr>
          <w:p w14:paraId="79AC5DF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2035</w:t>
            </w:r>
          </w:p>
        </w:tc>
        <w:tc>
          <w:tcPr>
            <w:tcW w:w="1540" w:type="dxa"/>
            <w:tcBorders>
              <w:top w:val="nil"/>
              <w:left w:val="nil"/>
              <w:bottom w:val="single" w:sz="4" w:space="0" w:color="auto"/>
              <w:right w:val="single" w:sz="4" w:space="0" w:color="auto"/>
            </w:tcBorders>
            <w:shd w:val="clear" w:color="auto" w:fill="auto"/>
            <w:noWrap/>
            <w:vAlign w:val="bottom"/>
            <w:hideMark/>
          </w:tcPr>
          <w:p w14:paraId="649CB5F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9.616</w:t>
            </w:r>
          </w:p>
        </w:tc>
        <w:tc>
          <w:tcPr>
            <w:tcW w:w="1540" w:type="dxa"/>
            <w:tcBorders>
              <w:top w:val="nil"/>
              <w:left w:val="nil"/>
              <w:bottom w:val="single" w:sz="4" w:space="0" w:color="auto"/>
              <w:right w:val="single" w:sz="4" w:space="0" w:color="auto"/>
            </w:tcBorders>
            <w:shd w:val="clear" w:color="auto" w:fill="auto"/>
            <w:noWrap/>
            <w:vAlign w:val="bottom"/>
            <w:hideMark/>
          </w:tcPr>
          <w:p w14:paraId="6AFDFFF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9.820</w:t>
            </w:r>
          </w:p>
        </w:tc>
        <w:tc>
          <w:tcPr>
            <w:tcW w:w="1540" w:type="dxa"/>
            <w:tcBorders>
              <w:top w:val="nil"/>
              <w:left w:val="nil"/>
              <w:bottom w:val="single" w:sz="4" w:space="0" w:color="auto"/>
              <w:right w:val="single" w:sz="4" w:space="0" w:color="auto"/>
            </w:tcBorders>
            <w:shd w:val="clear" w:color="auto" w:fill="auto"/>
            <w:noWrap/>
            <w:vAlign w:val="bottom"/>
            <w:hideMark/>
          </w:tcPr>
          <w:p w14:paraId="2D51F09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kern w:val="0"/>
                <w:sz w:val="20"/>
                <w:szCs w:val="24"/>
                <w14:ligatures w14:val="none"/>
              </w:rPr>
              <w:t>20.743</w:t>
            </w:r>
          </w:p>
        </w:tc>
        <w:tc>
          <w:tcPr>
            <w:tcW w:w="1440" w:type="dxa"/>
            <w:tcBorders>
              <w:top w:val="nil"/>
              <w:left w:val="nil"/>
              <w:bottom w:val="single" w:sz="4" w:space="0" w:color="auto"/>
              <w:right w:val="single" w:sz="12" w:space="0" w:color="auto"/>
            </w:tcBorders>
            <w:shd w:val="clear" w:color="auto" w:fill="auto"/>
            <w:noWrap/>
            <w:vAlign w:val="bottom"/>
            <w:hideMark/>
          </w:tcPr>
          <w:p w14:paraId="3B87918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lang w:val="en-US"/>
                <w14:ligatures w14:val="none"/>
              </w:rPr>
            </w:pPr>
            <w:r w:rsidRPr="00510685">
              <w:rPr>
                <w:rFonts w:ascii="Arial" w:eastAsia="Times New Roman" w:hAnsi="Arial" w:cs="Times New Roman"/>
                <w:b/>
                <w:kern w:val="0"/>
                <w:sz w:val="20"/>
                <w:szCs w:val="24"/>
                <w14:ligatures w14:val="none"/>
              </w:rPr>
              <w:t>40.179</w:t>
            </w:r>
          </w:p>
        </w:tc>
      </w:tr>
      <w:bookmarkEnd w:id="43"/>
    </w:tbl>
    <w:p w14:paraId="54C2015E"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31BB5CF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kern w:val="0"/>
          <w:sz w:val="20"/>
          <w:szCs w:val="24"/>
          <w14:ligatures w14:val="none"/>
        </w:rPr>
        <w:t>(*) izhodiščno leto za izračun scenarija razvoja ravnanja s komunalnimi odpadki;</w:t>
      </w:r>
    </w:p>
    <w:p w14:paraId="7BE99C0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kern w:val="0"/>
          <w:sz w:val="20"/>
          <w:szCs w:val="24"/>
          <w14:ligatures w14:val="none"/>
        </w:rPr>
        <w:t>(**) leto za katerega je določena največja letna količina gorljivih sestavin, ki nastanejo po mehanski obdelavi ločeno zbranih komunalnih odpadkov, ki so prevzeti izven okvira storitev občinske javne službe zbiranja komunalnih odpadkov.</w:t>
      </w:r>
    </w:p>
    <w:p w14:paraId="4C13E33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2011FE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030E59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5. del - predvideno izpolnjevanje ciljev recikliranja odpadkov, ki se nanašajo na komunalne odpadke</w:t>
      </w:r>
    </w:p>
    <w:p w14:paraId="1EE4861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FF89E55"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xml:space="preserve">Izpolnjevanje cilja </w:t>
      </w:r>
      <w:r w:rsidRPr="00510685">
        <w:rPr>
          <w:rFonts w:ascii="Arial" w:eastAsia="Times New Roman" w:hAnsi="Arial" w:cs="Times New Roman"/>
          <w:b/>
          <w:i/>
          <w:kern w:val="0"/>
          <w:sz w:val="20"/>
          <w:szCs w:val="24"/>
          <w14:ligatures w14:val="none"/>
        </w:rPr>
        <w:t>Direktive 2008/98/ES</w:t>
      </w:r>
      <w:r w:rsidRPr="00510685">
        <w:rPr>
          <w:rFonts w:ascii="Arial" w:eastAsia="Times New Roman" w:hAnsi="Arial" w:cs="Times New Roman"/>
          <w:b/>
          <w:kern w:val="0"/>
          <w:sz w:val="20"/>
          <w:szCs w:val="24"/>
          <w14:ligatures w14:val="none"/>
        </w:rPr>
        <w:t>:</w:t>
      </w:r>
      <w:bookmarkStart w:id="44" w:name="_Hlk177308598"/>
    </w:p>
    <w:bookmarkEnd w:id="44"/>
    <w:p w14:paraId="3FDF006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91ECA2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noProof/>
          <w:kern w:val="0"/>
          <w:sz w:val="20"/>
          <w:szCs w:val="24"/>
          <w:lang w:val="en-US"/>
          <w14:ligatures w14:val="none"/>
        </w:rPr>
        <w:drawing>
          <wp:anchor distT="0" distB="0" distL="114300" distR="114300" simplePos="0" relativeHeight="251659264" behindDoc="0" locked="0" layoutInCell="1" allowOverlap="1" wp14:anchorId="3DD3841B" wp14:editId="767FDDC5">
            <wp:simplePos x="0" y="0"/>
            <wp:positionH relativeFrom="column">
              <wp:posOffset>0</wp:posOffset>
            </wp:positionH>
            <wp:positionV relativeFrom="paragraph">
              <wp:posOffset>0</wp:posOffset>
            </wp:positionV>
            <wp:extent cx="4943475" cy="2990850"/>
            <wp:effectExtent l="0" t="0" r="0" b="0"/>
            <wp:wrapNone/>
            <wp:docPr id="43"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43475" cy="2990850"/>
                    </a:xfrm>
                    <a:prstGeom prst="rect">
                      <a:avLst/>
                    </a:prstGeom>
                    <a:noFill/>
                  </pic:spPr>
                </pic:pic>
              </a:graphicData>
            </a:graphic>
            <wp14:sizeRelH relativeFrom="page">
              <wp14:pctWidth>0</wp14:pctWidth>
            </wp14:sizeRelH>
            <wp14:sizeRelV relativeFrom="page">
              <wp14:pctHeight>0</wp14:pctHeight>
            </wp14:sizeRelV>
          </wp:anchor>
        </w:drawing>
      </w:r>
    </w:p>
    <w:p w14:paraId="5D3F15F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83B452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4D7E1F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905D9C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07FFDD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93AA99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A895A2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2536E0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5B07AF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E6A956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9F24CF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F7F4A3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14EF972"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DC45F9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194AB4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F7C9BA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A6D8C4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7AC260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23C0CB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4C0ECCD"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784934FC"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2B829073"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r w:rsidRPr="00510685">
        <w:rPr>
          <w:rFonts w:ascii="Arial" w:eastAsia="Times New Roman" w:hAnsi="Arial" w:cs="Times New Roman"/>
          <w:b/>
          <w:kern w:val="0"/>
          <w:sz w:val="20"/>
          <w:szCs w:val="24"/>
          <w14:ligatures w14:val="none"/>
        </w:rPr>
        <w:t xml:space="preserve">Izpolnjevanje ciljev </w:t>
      </w:r>
      <w:r w:rsidRPr="00510685">
        <w:rPr>
          <w:rFonts w:ascii="Arial" w:eastAsia="Times New Roman" w:hAnsi="Arial" w:cs="Times New Roman"/>
          <w:b/>
          <w:i/>
          <w:kern w:val="0"/>
          <w:sz w:val="20"/>
          <w:szCs w:val="24"/>
          <w14:ligatures w14:val="none"/>
        </w:rPr>
        <w:t>Uredbe (EU) o embalaži in odpadni embalaži 2024/NN/ES</w:t>
      </w:r>
      <w:r w:rsidRPr="00510685">
        <w:rPr>
          <w:rFonts w:ascii="Arial" w:eastAsia="Times New Roman" w:hAnsi="Arial" w:cs="Times New Roman"/>
          <w:b/>
          <w:kern w:val="0"/>
          <w:sz w:val="20"/>
          <w:szCs w:val="24"/>
          <w14:ligatures w14:val="none"/>
        </w:rPr>
        <w:t>:</w:t>
      </w:r>
    </w:p>
    <w:p w14:paraId="4AEC4AA4"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65F85EA0" w14:textId="77777777" w:rsidR="00510685" w:rsidRPr="00510685" w:rsidRDefault="00510685" w:rsidP="00510685">
      <w:pPr>
        <w:tabs>
          <w:tab w:val="left" w:pos="708"/>
        </w:tabs>
        <w:spacing w:before="40" w:after="40" w:line="240" w:lineRule="auto"/>
        <w:rPr>
          <w:rFonts w:ascii="Arial" w:eastAsia="Times New Roman" w:hAnsi="Arial" w:cs="Times New Roman"/>
          <w:b/>
          <w:bCs/>
          <w:kern w:val="0"/>
          <w:sz w:val="20"/>
          <w:szCs w:val="24"/>
          <w14:ligatures w14:val="none"/>
        </w:rPr>
      </w:pPr>
      <w:r w:rsidRPr="00510685">
        <w:rPr>
          <w:rFonts w:ascii="Arial" w:eastAsia="Times New Roman" w:hAnsi="Arial" w:cs="Times New Roman"/>
          <w:noProof/>
          <w:kern w:val="0"/>
          <w:sz w:val="20"/>
          <w:szCs w:val="24"/>
          <w:lang w:val="en-US"/>
          <w14:ligatures w14:val="none"/>
        </w:rPr>
        <w:drawing>
          <wp:anchor distT="0" distB="0" distL="114300" distR="114300" simplePos="0" relativeHeight="251660288" behindDoc="0" locked="0" layoutInCell="1" allowOverlap="1" wp14:anchorId="226BB6DE" wp14:editId="1953367F">
            <wp:simplePos x="0" y="0"/>
            <wp:positionH relativeFrom="column">
              <wp:posOffset>100965</wp:posOffset>
            </wp:positionH>
            <wp:positionV relativeFrom="paragraph">
              <wp:posOffset>78105</wp:posOffset>
            </wp:positionV>
            <wp:extent cx="3502660" cy="2252980"/>
            <wp:effectExtent l="0" t="0" r="0" b="0"/>
            <wp:wrapNone/>
            <wp:docPr id="44"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02660" cy="2252980"/>
                    </a:xfrm>
                    <a:prstGeom prst="rect">
                      <a:avLst/>
                    </a:prstGeom>
                    <a:noFill/>
                  </pic:spPr>
                </pic:pic>
              </a:graphicData>
            </a:graphic>
            <wp14:sizeRelH relativeFrom="page">
              <wp14:pctWidth>0</wp14:pctWidth>
            </wp14:sizeRelH>
            <wp14:sizeRelV relativeFrom="page">
              <wp14:pctHeight>0</wp14:pctHeight>
            </wp14:sizeRelV>
          </wp:anchor>
        </w:drawing>
      </w:r>
    </w:p>
    <w:p w14:paraId="0453134B"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0217DEB2"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p>
    <w:p w14:paraId="68C6F9D9"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46BF9F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D613413"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0517915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42FD20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99865EC"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68B0ECA"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FC31F1E"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B8DA388"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3C765F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39F41C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FAAED6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B630D5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5202C866"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noProof/>
          <w:kern w:val="0"/>
          <w:sz w:val="20"/>
          <w:szCs w:val="24"/>
          <w14:ligatures w14:val="none"/>
        </w:rPr>
        <w:drawing>
          <wp:inline distT="0" distB="0" distL="0" distR="0" wp14:anchorId="285E636E" wp14:editId="48193CC4">
            <wp:extent cx="3757930" cy="2463165"/>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57930" cy="2463165"/>
                    </a:xfrm>
                    <a:prstGeom prst="rect">
                      <a:avLst/>
                    </a:prstGeom>
                    <a:noFill/>
                    <a:ln>
                      <a:noFill/>
                    </a:ln>
                  </pic:spPr>
                </pic:pic>
              </a:graphicData>
            </a:graphic>
          </wp:inline>
        </w:drawing>
      </w:r>
    </w:p>
    <w:p w14:paraId="4FCEC12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49D4D5AD"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noProof/>
          <w:kern w:val="0"/>
          <w:sz w:val="20"/>
          <w:szCs w:val="24"/>
          <w14:ligatures w14:val="none"/>
        </w:rPr>
        <w:drawing>
          <wp:inline distT="0" distB="0" distL="0" distR="0" wp14:anchorId="0B3D01D3" wp14:editId="3E7BAE3B">
            <wp:extent cx="3879850" cy="2536825"/>
            <wp:effectExtent l="0" t="0" r="0" b="0"/>
            <wp:docPr id="5"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79850" cy="2536825"/>
                    </a:xfrm>
                    <a:prstGeom prst="rect">
                      <a:avLst/>
                    </a:prstGeom>
                    <a:noFill/>
                    <a:ln>
                      <a:noFill/>
                    </a:ln>
                  </pic:spPr>
                </pic:pic>
              </a:graphicData>
            </a:graphic>
          </wp:inline>
        </w:drawing>
      </w:r>
    </w:p>
    <w:p w14:paraId="051625E4"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DB85FB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p>
    <w:p w14:paraId="653CB8AF"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r w:rsidRPr="00510685">
        <w:rPr>
          <w:rFonts w:ascii="Arial" w:eastAsia="Times New Roman" w:hAnsi="Arial" w:cs="Times New Roman"/>
          <w:noProof/>
          <w:kern w:val="0"/>
          <w:sz w:val="20"/>
          <w:szCs w:val="24"/>
          <w14:ligatures w14:val="none"/>
        </w:rPr>
        <w:drawing>
          <wp:inline distT="0" distB="0" distL="0" distR="0" wp14:anchorId="29D7D837" wp14:editId="588E7418">
            <wp:extent cx="4133215" cy="2404745"/>
            <wp:effectExtent l="0" t="0" r="0" b="0"/>
            <wp:docPr id="6"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133215" cy="2404745"/>
                    </a:xfrm>
                    <a:prstGeom prst="rect">
                      <a:avLst/>
                    </a:prstGeom>
                    <a:noFill/>
                    <a:ln>
                      <a:noFill/>
                    </a:ln>
                  </pic:spPr>
                </pic:pic>
              </a:graphicData>
            </a:graphic>
          </wp:inline>
        </w:drawing>
      </w:r>
    </w:p>
    <w:p w14:paraId="6585FD2B"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604E548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380DAD30"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7FB9E4B9" w14:textId="77777777" w:rsidR="00510685" w:rsidRPr="00510685" w:rsidRDefault="00510685" w:rsidP="00510685">
      <w:pPr>
        <w:tabs>
          <w:tab w:val="left" w:pos="708"/>
        </w:tabs>
        <w:spacing w:before="40" w:after="40" w:line="240" w:lineRule="auto"/>
        <w:rPr>
          <w:rFonts w:ascii="Arial" w:eastAsia="Times New Roman" w:hAnsi="Arial" w:cs="Times New Roman"/>
          <w:b/>
          <w:kern w:val="0"/>
          <w:sz w:val="20"/>
          <w:szCs w:val="24"/>
          <w14:ligatures w14:val="none"/>
        </w:rPr>
      </w:pPr>
      <w:bookmarkStart w:id="45" w:name="_Hlk179306295"/>
      <w:r w:rsidRPr="00510685">
        <w:rPr>
          <w:rFonts w:ascii="Arial" w:eastAsia="Times New Roman" w:hAnsi="Arial" w:cs="Times New Roman"/>
          <w:b/>
          <w:kern w:val="0"/>
          <w:sz w:val="20"/>
          <w:szCs w:val="24"/>
          <w14:ligatures w14:val="none"/>
        </w:rPr>
        <w:t>6. del – grafični prikaz največjih letnih količin gorljivih sestavin, ki nastanejo po mehanski obdelavi komunalnih odpadkov, ki so zbrani v okviru občinske javne službe zbiranja komunalnih odpadkov, in se sežigajo v sežigalnicah državne javne službe kot storitev državne javne službe:</w:t>
      </w:r>
    </w:p>
    <w:bookmarkEnd w:id="45"/>
    <w:p w14:paraId="198888B1"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25F0AEF7"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14:ligatures w14:val="none"/>
        </w:rPr>
      </w:pPr>
    </w:p>
    <w:p w14:paraId="1D750A35" w14:textId="77777777" w:rsidR="00510685" w:rsidRPr="00510685" w:rsidRDefault="00510685" w:rsidP="00510685">
      <w:pPr>
        <w:tabs>
          <w:tab w:val="left" w:pos="708"/>
        </w:tabs>
        <w:spacing w:before="40" w:after="40" w:line="240" w:lineRule="auto"/>
        <w:rPr>
          <w:rFonts w:ascii="Arial" w:eastAsia="Times New Roman" w:hAnsi="Arial" w:cs="Times New Roman"/>
          <w:kern w:val="0"/>
          <w:sz w:val="20"/>
          <w:szCs w:val="24"/>
          <w:lang w:val="en-US"/>
          <w14:ligatures w14:val="none"/>
        </w:rPr>
      </w:pPr>
      <w:r w:rsidRPr="00510685">
        <w:rPr>
          <w:rFonts w:ascii="Arial" w:eastAsia="Times New Roman" w:hAnsi="Arial" w:cs="Times New Roman"/>
          <w:noProof/>
          <w:kern w:val="0"/>
          <w:sz w:val="20"/>
          <w:szCs w:val="24"/>
          <w:lang w:val="en-US"/>
          <w14:ligatures w14:val="none"/>
        </w:rPr>
        <w:drawing>
          <wp:inline distT="0" distB="0" distL="0" distR="0" wp14:anchorId="6C08ACCF" wp14:editId="23DA7737">
            <wp:extent cx="4958080" cy="3208020"/>
            <wp:effectExtent l="0" t="0" r="0" b="0"/>
            <wp:docPr id="7"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58080" cy="3208020"/>
                    </a:xfrm>
                    <a:prstGeom prst="rect">
                      <a:avLst/>
                    </a:prstGeom>
                    <a:noFill/>
                    <a:ln>
                      <a:noFill/>
                    </a:ln>
                  </pic:spPr>
                </pic:pic>
              </a:graphicData>
            </a:graphic>
          </wp:inline>
        </w:drawing>
      </w:r>
    </w:p>
    <w:p w14:paraId="4C45A74C" w14:textId="77777777" w:rsidR="00F92ED4" w:rsidRDefault="00F92ED4" w:rsidP="00F6651D"/>
    <w:sectPr w:rsidR="00F92ED4" w:rsidSect="0006445B">
      <w:headerReference w:type="default" r:id="rId19"/>
      <w:footerReference w:type="default" r:id="rId20"/>
      <w:headerReference w:type="first" r:id="rId21"/>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7553FA" w14:textId="77777777" w:rsidR="00A211EE" w:rsidRDefault="00A211EE" w:rsidP="00C9644F">
      <w:pPr>
        <w:spacing w:after="0" w:line="240" w:lineRule="auto"/>
      </w:pPr>
      <w:r>
        <w:separator/>
      </w:r>
    </w:p>
  </w:endnote>
  <w:endnote w:type="continuationSeparator" w:id="0">
    <w:p w14:paraId="123737E5" w14:textId="77777777" w:rsidR="00A211EE" w:rsidRDefault="00A211EE" w:rsidP="00C9644F">
      <w:pPr>
        <w:spacing w:after="0" w:line="240" w:lineRule="auto"/>
      </w:pPr>
      <w:r>
        <w:continuationSeparator/>
      </w:r>
    </w:p>
  </w:endnote>
  <w:endnote w:type="continuationNotice" w:id="1">
    <w:p w14:paraId="1182C0E1" w14:textId="77777777" w:rsidR="00A211EE" w:rsidRDefault="00A211EE" w:rsidP="00C964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Garamond">
    <w:panose1 w:val="02020404030301010803"/>
    <w:charset w:val="EE"/>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D5FD6F" w14:textId="77777777" w:rsidR="00BC5F9B" w:rsidRDefault="00BC5F9B">
    <w:pPr>
      <w:pStyle w:val="Noga"/>
    </w:pPr>
    <w:r>
      <w:fldChar w:fldCharType="begin"/>
    </w:r>
    <w:r>
      <w:instrText>PAGE   \* MERGEFORMAT</w:instrText>
    </w:r>
    <w:r>
      <w:fldChar w:fldCharType="separate"/>
    </w:r>
    <w:r>
      <w:rPr>
        <w:lang w:val="sl-SI"/>
      </w:rPr>
      <w:t>2</w:t>
    </w:r>
    <w:r>
      <w:fldChar w:fldCharType="end"/>
    </w:r>
  </w:p>
  <w:p w14:paraId="2B6853B5" w14:textId="77777777" w:rsidR="00BC5F9B" w:rsidRDefault="00BC5F9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2DB659" w14:textId="77777777" w:rsidR="00A211EE" w:rsidRDefault="00A211EE" w:rsidP="00C9644F">
      <w:pPr>
        <w:spacing w:after="0" w:line="240" w:lineRule="auto"/>
      </w:pPr>
      <w:r>
        <w:separator/>
      </w:r>
    </w:p>
  </w:footnote>
  <w:footnote w:type="continuationSeparator" w:id="0">
    <w:p w14:paraId="759AF755" w14:textId="77777777" w:rsidR="00A211EE" w:rsidRDefault="00A211EE" w:rsidP="00C9644F">
      <w:pPr>
        <w:spacing w:after="0" w:line="240" w:lineRule="auto"/>
      </w:pPr>
      <w:r>
        <w:continuationSeparator/>
      </w:r>
    </w:p>
  </w:footnote>
  <w:footnote w:type="continuationNotice" w:id="1">
    <w:p w14:paraId="4E89E346" w14:textId="77777777" w:rsidR="00A211EE" w:rsidRDefault="00A211EE" w:rsidP="00C9644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2ED91" w14:textId="77777777" w:rsidR="0058062E" w:rsidRPr="00110CBD" w:rsidRDefault="0058062E"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B9C53" w14:textId="77777777" w:rsidR="0058062E" w:rsidRPr="00A211EE" w:rsidRDefault="0058062E" w:rsidP="00B77473">
    <w:pPr>
      <w:autoSpaceDE w:val="0"/>
      <w:autoSpaceDN w:val="0"/>
      <w:adjustRightInd w:val="0"/>
      <w:spacing w:line="240" w:lineRule="auto"/>
      <w:rPr>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262690"/>
    <w:multiLevelType w:val="hybridMultilevel"/>
    <w:tmpl w:val="9C34F16E"/>
    <w:lvl w:ilvl="0" w:tplc="57ACECCA">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6A5FCF"/>
    <w:multiLevelType w:val="hybridMultilevel"/>
    <w:tmpl w:val="28B2862E"/>
    <w:lvl w:ilvl="0" w:tplc="80D01F6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D6E436E"/>
    <w:multiLevelType w:val="hybridMultilevel"/>
    <w:tmpl w:val="0810BF2E"/>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0244675"/>
    <w:multiLevelType w:val="hybridMultilevel"/>
    <w:tmpl w:val="9B5A59E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65E0EDB"/>
    <w:multiLevelType w:val="hybridMultilevel"/>
    <w:tmpl w:val="2EAA7F66"/>
    <w:lvl w:ilvl="0" w:tplc="03041DE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49F3EB8"/>
    <w:multiLevelType w:val="hybridMultilevel"/>
    <w:tmpl w:val="8E34C60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1091C2A"/>
    <w:multiLevelType w:val="hybridMultilevel"/>
    <w:tmpl w:val="66F2EFC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4" w15:restartNumberingAfterBreak="0">
    <w:nsid w:val="5B050C0A"/>
    <w:multiLevelType w:val="hybridMultilevel"/>
    <w:tmpl w:val="26D072E0"/>
    <w:styleLink w:val="Alinejazaodstavkom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E6763DF"/>
    <w:multiLevelType w:val="multilevel"/>
    <w:tmpl w:val="FB0C90BA"/>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6" w15:restartNumberingAfterBreak="0">
    <w:nsid w:val="62035DE7"/>
    <w:multiLevelType w:val="hybridMultilevel"/>
    <w:tmpl w:val="1B98DAD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B31162B"/>
    <w:multiLevelType w:val="hybridMultilevel"/>
    <w:tmpl w:val="F114167A"/>
    <w:lvl w:ilvl="0" w:tplc="0424000F">
      <w:start w:val="1"/>
      <w:numFmt w:val="decimal"/>
      <w:lvlText w:val="%1."/>
      <w:lvlJc w:val="left"/>
      <w:pPr>
        <w:ind w:left="475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CC05673"/>
    <w:multiLevelType w:val="hybridMultilevel"/>
    <w:tmpl w:val="7DCA2528"/>
    <w:lvl w:ilvl="0" w:tplc="1EF8846A">
      <w:start w:val="1"/>
      <w:numFmt w:val="upperRoman"/>
      <w:lvlText w:val="%1."/>
      <w:lvlJc w:val="left"/>
      <w:pPr>
        <w:ind w:left="1080" w:hanging="720"/>
      </w:pPr>
      <w:rPr>
        <w:rFonts w:hint="default"/>
      </w:rPr>
    </w:lvl>
    <w:lvl w:ilvl="1" w:tplc="C492980E">
      <w:numFmt w:val="bullet"/>
      <w:lvlText w:val="-"/>
      <w:lvlJc w:val="left"/>
      <w:pPr>
        <w:ind w:left="1935" w:hanging="855"/>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F172150"/>
    <w:multiLevelType w:val="hybridMultilevel"/>
    <w:tmpl w:val="2CD097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9AD40DD"/>
    <w:multiLevelType w:val="hybridMultilevel"/>
    <w:tmpl w:val="5D3A065E"/>
    <w:lvl w:ilvl="0" w:tplc="04240001">
      <w:start w:val="1"/>
      <w:numFmt w:val="bullet"/>
      <w:lvlText w:val=""/>
      <w:lvlJc w:val="left"/>
      <w:pPr>
        <w:ind w:left="351" w:hanging="705"/>
      </w:pPr>
      <w:rPr>
        <w:rFonts w:ascii="Symbol" w:hAnsi="Symbol" w:hint="default"/>
      </w:rPr>
    </w:lvl>
    <w:lvl w:ilvl="1" w:tplc="FFFFFFFF" w:tentative="1">
      <w:start w:val="1"/>
      <w:numFmt w:val="bullet"/>
      <w:lvlText w:val="o"/>
      <w:lvlJc w:val="left"/>
      <w:pPr>
        <w:ind w:left="726" w:hanging="360"/>
      </w:pPr>
      <w:rPr>
        <w:rFonts w:ascii="Courier New" w:hAnsi="Courier New" w:cs="Courier New" w:hint="default"/>
      </w:rPr>
    </w:lvl>
    <w:lvl w:ilvl="2" w:tplc="FFFFFFFF" w:tentative="1">
      <w:start w:val="1"/>
      <w:numFmt w:val="bullet"/>
      <w:lvlText w:val=""/>
      <w:lvlJc w:val="left"/>
      <w:pPr>
        <w:ind w:left="1446" w:hanging="360"/>
      </w:pPr>
      <w:rPr>
        <w:rFonts w:ascii="Wingdings" w:hAnsi="Wingdings" w:hint="default"/>
      </w:rPr>
    </w:lvl>
    <w:lvl w:ilvl="3" w:tplc="FFFFFFFF" w:tentative="1">
      <w:start w:val="1"/>
      <w:numFmt w:val="bullet"/>
      <w:lvlText w:val=""/>
      <w:lvlJc w:val="left"/>
      <w:pPr>
        <w:ind w:left="2166" w:hanging="360"/>
      </w:pPr>
      <w:rPr>
        <w:rFonts w:ascii="Symbol" w:hAnsi="Symbol" w:hint="default"/>
      </w:rPr>
    </w:lvl>
    <w:lvl w:ilvl="4" w:tplc="FFFFFFFF" w:tentative="1">
      <w:start w:val="1"/>
      <w:numFmt w:val="bullet"/>
      <w:lvlText w:val="o"/>
      <w:lvlJc w:val="left"/>
      <w:pPr>
        <w:ind w:left="2886" w:hanging="360"/>
      </w:pPr>
      <w:rPr>
        <w:rFonts w:ascii="Courier New" w:hAnsi="Courier New" w:cs="Courier New" w:hint="default"/>
      </w:rPr>
    </w:lvl>
    <w:lvl w:ilvl="5" w:tplc="FFFFFFFF" w:tentative="1">
      <w:start w:val="1"/>
      <w:numFmt w:val="bullet"/>
      <w:lvlText w:val=""/>
      <w:lvlJc w:val="left"/>
      <w:pPr>
        <w:ind w:left="3606" w:hanging="360"/>
      </w:pPr>
      <w:rPr>
        <w:rFonts w:ascii="Wingdings" w:hAnsi="Wingdings" w:hint="default"/>
      </w:rPr>
    </w:lvl>
    <w:lvl w:ilvl="6" w:tplc="FFFFFFFF" w:tentative="1">
      <w:start w:val="1"/>
      <w:numFmt w:val="bullet"/>
      <w:lvlText w:val=""/>
      <w:lvlJc w:val="left"/>
      <w:pPr>
        <w:ind w:left="4326" w:hanging="360"/>
      </w:pPr>
      <w:rPr>
        <w:rFonts w:ascii="Symbol" w:hAnsi="Symbol" w:hint="default"/>
      </w:rPr>
    </w:lvl>
    <w:lvl w:ilvl="7" w:tplc="FFFFFFFF" w:tentative="1">
      <w:start w:val="1"/>
      <w:numFmt w:val="bullet"/>
      <w:lvlText w:val="o"/>
      <w:lvlJc w:val="left"/>
      <w:pPr>
        <w:ind w:left="5046" w:hanging="360"/>
      </w:pPr>
      <w:rPr>
        <w:rFonts w:ascii="Courier New" w:hAnsi="Courier New" w:cs="Courier New" w:hint="default"/>
      </w:rPr>
    </w:lvl>
    <w:lvl w:ilvl="8" w:tplc="FFFFFFFF" w:tentative="1">
      <w:start w:val="1"/>
      <w:numFmt w:val="bullet"/>
      <w:lvlText w:val=""/>
      <w:lvlJc w:val="left"/>
      <w:pPr>
        <w:ind w:left="5766" w:hanging="360"/>
      </w:pPr>
      <w:rPr>
        <w:rFonts w:ascii="Wingdings" w:hAnsi="Wingdings" w:hint="default"/>
      </w:rPr>
    </w:lvl>
  </w:abstractNum>
  <w:abstractNum w:abstractNumId="21" w15:restartNumberingAfterBreak="0">
    <w:nsid w:val="7C0D61B6"/>
    <w:multiLevelType w:val="hybridMultilevel"/>
    <w:tmpl w:val="B6C680D6"/>
    <w:lvl w:ilvl="0" w:tplc="76AC1A70">
      <w:start w:val="49"/>
      <w:numFmt w:val="bullet"/>
      <w:lvlText w:val=""/>
      <w:lvlJc w:val="left"/>
      <w:pPr>
        <w:ind w:left="1004" w:hanging="360"/>
      </w:pPr>
      <w:rPr>
        <w:rFonts w:ascii="Symbol" w:eastAsia="Times New Roman" w:hAnsi="Symbol"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2"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425613061">
    <w:abstractNumId w:val="10"/>
  </w:num>
  <w:num w:numId="2" w16cid:durableId="410087176">
    <w:abstractNumId w:val="7"/>
  </w:num>
  <w:num w:numId="3" w16cid:durableId="1635213215">
    <w:abstractNumId w:val="14"/>
  </w:num>
  <w:num w:numId="4" w16cid:durableId="1923223263">
    <w:abstractNumId w:val="8"/>
    <w:lvlOverride w:ilvl="0">
      <w:startOverride w:val="1"/>
    </w:lvlOverride>
  </w:num>
  <w:num w:numId="5" w16cid:durableId="594902098">
    <w:abstractNumId w:val="8"/>
  </w:num>
  <w:num w:numId="6" w16cid:durableId="639379501">
    <w:abstractNumId w:val="13"/>
  </w:num>
  <w:num w:numId="7" w16cid:durableId="1879976267">
    <w:abstractNumId w:val="4"/>
  </w:num>
  <w:num w:numId="8" w16cid:durableId="1312827420">
    <w:abstractNumId w:val="6"/>
  </w:num>
  <w:num w:numId="9" w16cid:durableId="1984504313">
    <w:abstractNumId w:val="22"/>
  </w:num>
  <w:num w:numId="10" w16cid:durableId="2075656800">
    <w:abstractNumId w:val="21"/>
  </w:num>
  <w:num w:numId="11" w16cid:durableId="1248155802">
    <w:abstractNumId w:val="17"/>
  </w:num>
  <w:num w:numId="12" w16cid:durableId="517158735">
    <w:abstractNumId w:val="18"/>
  </w:num>
  <w:num w:numId="13" w16cid:durableId="550045847">
    <w:abstractNumId w:val="5"/>
  </w:num>
  <w:num w:numId="14" w16cid:durableId="1771854648">
    <w:abstractNumId w:val="20"/>
  </w:num>
  <w:num w:numId="15" w16cid:durableId="1066999847">
    <w:abstractNumId w:val="19"/>
  </w:num>
  <w:num w:numId="16" w16cid:durableId="792480123">
    <w:abstractNumId w:val="9"/>
  </w:num>
  <w:num w:numId="17" w16cid:durableId="959799384">
    <w:abstractNumId w:val="2"/>
  </w:num>
  <w:num w:numId="18" w16cid:durableId="1224944459">
    <w:abstractNumId w:val="1"/>
  </w:num>
  <w:num w:numId="19" w16cid:durableId="229926502">
    <w:abstractNumId w:val="3"/>
  </w:num>
  <w:num w:numId="20" w16cid:durableId="526796391">
    <w:abstractNumId w:val="15"/>
  </w:num>
  <w:num w:numId="21" w16cid:durableId="161630183">
    <w:abstractNumId w:val="0"/>
  </w:num>
  <w:num w:numId="22" w16cid:durableId="507018688">
    <w:abstractNumId w:val="16"/>
  </w:num>
  <w:num w:numId="23" w16cid:durableId="1015307832">
    <w:abstractNumId w:val="11"/>
  </w:num>
  <w:num w:numId="24" w16cid:durableId="212869927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445B"/>
    <w:rsid w:val="00003672"/>
    <w:rsid w:val="00004158"/>
    <w:rsid w:val="000051E3"/>
    <w:rsid w:val="00010CAC"/>
    <w:rsid w:val="00014204"/>
    <w:rsid w:val="000151E0"/>
    <w:rsid w:val="00022451"/>
    <w:rsid w:val="00023A88"/>
    <w:rsid w:val="00032353"/>
    <w:rsid w:val="000337F4"/>
    <w:rsid w:val="00037C6C"/>
    <w:rsid w:val="00041946"/>
    <w:rsid w:val="00041CC9"/>
    <w:rsid w:val="000422F4"/>
    <w:rsid w:val="00043428"/>
    <w:rsid w:val="00043ABF"/>
    <w:rsid w:val="00043EF6"/>
    <w:rsid w:val="00045772"/>
    <w:rsid w:val="0004673F"/>
    <w:rsid w:val="00050B2A"/>
    <w:rsid w:val="000512DF"/>
    <w:rsid w:val="00053C5A"/>
    <w:rsid w:val="0005555B"/>
    <w:rsid w:val="00060F46"/>
    <w:rsid w:val="00062A57"/>
    <w:rsid w:val="00064212"/>
    <w:rsid w:val="0006445B"/>
    <w:rsid w:val="0007123C"/>
    <w:rsid w:val="00071916"/>
    <w:rsid w:val="0008258E"/>
    <w:rsid w:val="00082DEF"/>
    <w:rsid w:val="00083A31"/>
    <w:rsid w:val="0008440F"/>
    <w:rsid w:val="000852F6"/>
    <w:rsid w:val="00090898"/>
    <w:rsid w:val="00090C5E"/>
    <w:rsid w:val="00093377"/>
    <w:rsid w:val="000940EB"/>
    <w:rsid w:val="000972EA"/>
    <w:rsid w:val="000A3434"/>
    <w:rsid w:val="000A6ED6"/>
    <w:rsid w:val="000A7238"/>
    <w:rsid w:val="000A7250"/>
    <w:rsid w:val="000A7C21"/>
    <w:rsid w:val="000B1F40"/>
    <w:rsid w:val="000B2DF6"/>
    <w:rsid w:val="000B3187"/>
    <w:rsid w:val="000B405C"/>
    <w:rsid w:val="000B4708"/>
    <w:rsid w:val="000B6E57"/>
    <w:rsid w:val="000B7C82"/>
    <w:rsid w:val="000C2554"/>
    <w:rsid w:val="000C54D8"/>
    <w:rsid w:val="000D01DE"/>
    <w:rsid w:val="000D2A48"/>
    <w:rsid w:val="000D353D"/>
    <w:rsid w:val="000D4BEB"/>
    <w:rsid w:val="000D60E2"/>
    <w:rsid w:val="000D6EE7"/>
    <w:rsid w:val="000E17C8"/>
    <w:rsid w:val="000E20D8"/>
    <w:rsid w:val="000E53A5"/>
    <w:rsid w:val="000E56C2"/>
    <w:rsid w:val="000E5A11"/>
    <w:rsid w:val="000E60F9"/>
    <w:rsid w:val="000E71C7"/>
    <w:rsid w:val="000F4BA1"/>
    <w:rsid w:val="000F5E3B"/>
    <w:rsid w:val="00100C47"/>
    <w:rsid w:val="00101DC8"/>
    <w:rsid w:val="00110999"/>
    <w:rsid w:val="00114B64"/>
    <w:rsid w:val="00115656"/>
    <w:rsid w:val="00116501"/>
    <w:rsid w:val="00120D5D"/>
    <w:rsid w:val="001218B3"/>
    <w:rsid w:val="00122016"/>
    <w:rsid w:val="0012301E"/>
    <w:rsid w:val="00126FED"/>
    <w:rsid w:val="001277A1"/>
    <w:rsid w:val="001342DF"/>
    <w:rsid w:val="0013449E"/>
    <w:rsid w:val="00134ED0"/>
    <w:rsid w:val="001357B2"/>
    <w:rsid w:val="00135845"/>
    <w:rsid w:val="00136DC2"/>
    <w:rsid w:val="001406E1"/>
    <w:rsid w:val="00141262"/>
    <w:rsid w:val="001436C2"/>
    <w:rsid w:val="00144B78"/>
    <w:rsid w:val="00146790"/>
    <w:rsid w:val="00146ABA"/>
    <w:rsid w:val="00147FB6"/>
    <w:rsid w:val="00152A97"/>
    <w:rsid w:val="0015399F"/>
    <w:rsid w:val="00155315"/>
    <w:rsid w:val="001554A4"/>
    <w:rsid w:val="00164D51"/>
    <w:rsid w:val="0017138B"/>
    <w:rsid w:val="001719F3"/>
    <w:rsid w:val="0017310A"/>
    <w:rsid w:val="00173861"/>
    <w:rsid w:val="001854EE"/>
    <w:rsid w:val="001871F6"/>
    <w:rsid w:val="0019312D"/>
    <w:rsid w:val="00197B04"/>
    <w:rsid w:val="001A7E81"/>
    <w:rsid w:val="001C13F9"/>
    <w:rsid w:val="001C524B"/>
    <w:rsid w:val="001C5B71"/>
    <w:rsid w:val="001D23CC"/>
    <w:rsid w:val="001D24B2"/>
    <w:rsid w:val="001D385C"/>
    <w:rsid w:val="001D4295"/>
    <w:rsid w:val="001D75DB"/>
    <w:rsid w:val="001D7A48"/>
    <w:rsid w:val="001E4579"/>
    <w:rsid w:val="001E638B"/>
    <w:rsid w:val="001E7559"/>
    <w:rsid w:val="001F3400"/>
    <w:rsid w:val="001F475A"/>
    <w:rsid w:val="001F4A71"/>
    <w:rsid w:val="002007DA"/>
    <w:rsid w:val="00200B29"/>
    <w:rsid w:val="0020107F"/>
    <w:rsid w:val="002012D4"/>
    <w:rsid w:val="00202378"/>
    <w:rsid w:val="0020297B"/>
    <w:rsid w:val="00202A77"/>
    <w:rsid w:val="002048AF"/>
    <w:rsid w:val="00205FF3"/>
    <w:rsid w:val="00210485"/>
    <w:rsid w:val="002117F9"/>
    <w:rsid w:val="002151FE"/>
    <w:rsid w:val="002157BF"/>
    <w:rsid w:val="002160A9"/>
    <w:rsid w:val="002165B5"/>
    <w:rsid w:val="002204D4"/>
    <w:rsid w:val="00220844"/>
    <w:rsid w:val="0022274B"/>
    <w:rsid w:val="0022407F"/>
    <w:rsid w:val="0023194E"/>
    <w:rsid w:val="00231EB5"/>
    <w:rsid w:val="00232AD7"/>
    <w:rsid w:val="00234797"/>
    <w:rsid w:val="0023780B"/>
    <w:rsid w:val="00237EC2"/>
    <w:rsid w:val="002401F7"/>
    <w:rsid w:val="00241F3E"/>
    <w:rsid w:val="00252B4A"/>
    <w:rsid w:val="002532A5"/>
    <w:rsid w:val="00260DDE"/>
    <w:rsid w:val="0026212A"/>
    <w:rsid w:val="00266DE6"/>
    <w:rsid w:val="002672E2"/>
    <w:rsid w:val="00267607"/>
    <w:rsid w:val="00270512"/>
    <w:rsid w:val="002714E2"/>
    <w:rsid w:val="00271CE5"/>
    <w:rsid w:val="00272A62"/>
    <w:rsid w:val="00273176"/>
    <w:rsid w:val="0027479D"/>
    <w:rsid w:val="0027563B"/>
    <w:rsid w:val="00275E39"/>
    <w:rsid w:val="00276F25"/>
    <w:rsid w:val="00277BDA"/>
    <w:rsid w:val="00282020"/>
    <w:rsid w:val="0028314C"/>
    <w:rsid w:val="00286920"/>
    <w:rsid w:val="00287501"/>
    <w:rsid w:val="002907F2"/>
    <w:rsid w:val="00296AAC"/>
    <w:rsid w:val="002A068B"/>
    <w:rsid w:val="002A4742"/>
    <w:rsid w:val="002A54ED"/>
    <w:rsid w:val="002B442E"/>
    <w:rsid w:val="002B467B"/>
    <w:rsid w:val="002B5C5A"/>
    <w:rsid w:val="002C59C2"/>
    <w:rsid w:val="002C5E40"/>
    <w:rsid w:val="002D3076"/>
    <w:rsid w:val="002D4C8E"/>
    <w:rsid w:val="002E21EC"/>
    <w:rsid w:val="002E3F0A"/>
    <w:rsid w:val="002E45AC"/>
    <w:rsid w:val="002E54D1"/>
    <w:rsid w:val="002E5766"/>
    <w:rsid w:val="002F0208"/>
    <w:rsid w:val="002F087D"/>
    <w:rsid w:val="002F0AA9"/>
    <w:rsid w:val="002F1CDD"/>
    <w:rsid w:val="002F3D9D"/>
    <w:rsid w:val="002F4340"/>
    <w:rsid w:val="0030029F"/>
    <w:rsid w:val="00300310"/>
    <w:rsid w:val="00300BF5"/>
    <w:rsid w:val="00302072"/>
    <w:rsid w:val="00303749"/>
    <w:rsid w:val="003059AE"/>
    <w:rsid w:val="00307E0C"/>
    <w:rsid w:val="00313015"/>
    <w:rsid w:val="00316BC0"/>
    <w:rsid w:val="00320F56"/>
    <w:rsid w:val="003248D0"/>
    <w:rsid w:val="003249F8"/>
    <w:rsid w:val="0032629B"/>
    <w:rsid w:val="0033083E"/>
    <w:rsid w:val="00331469"/>
    <w:rsid w:val="003423A9"/>
    <w:rsid w:val="00343F05"/>
    <w:rsid w:val="0034445B"/>
    <w:rsid w:val="00344765"/>
    <w:rsid w:val="003504BF"/>
    <w:rsid w:val="00351D89"/>
    <w:rsid w:val="00354AA0"/>
    <w:rsid w:val="00354C1F"/>
    <w:rsid w:val="003562FC"/>
    <w:rsid w:val="00357290"/>
    <w:rsid w:val="003636BF"/>
    <w:rsid w:val="003700BA"/>
    <w:rsid w:val="0037479F"/>
    <w:rsid w:val="003750BF"/>
    <w:rsid w:val="0037775D"/>
    <w:rsid w:val="00377FAF"/>
    <w:rsid w:val="00380290"/>
    <w:rsid w:val="0038160A"/>
    <w:rsid w:val="003824CD"/>
    <w:rsid w:val="003845B4"/>
    <w:rsid w:val="0038754C"/>
    <w:rsid w:val="00387B1A"/>
    <w:rsid w:val="0039294C"/>
    <w:rsid w:val="003965E2"/>
    <w:rsid w:val="003976D4"/>
    <w:rsid w:val="003A1051"/>
    <w:rsid w:val="003A13D5"/>
    <w:rsid w:val="003A3DB9"/>
    <w:rsid w:val="003A6611"/>
    <w:rsid w:val="003B0300"/>
    <w:rsid w:val="003B074C"/>
    <w:rsid w:val="003B1C40"/>
    <w:rsid w:val="003B3E9A"/>
    <w:rsid w:val="003B4ABA"/>
    <w:rsid w:val="003B567E"/>
    <w:rsid w:val="003B6BA1"/>
    <w:rsid w:val="003B702F"/>
    <w:rsid w:val="003C4499"/>
    <w:rsid w:val="003C4977"/>
    <w:rsid w:val="003C4C8F"/>
    <w:rsid w:val="003C63D7"/>
    <w:rsid w:val="003C6E1B"/>
    <w:rsid w:val="003D138C"/>
    <w:rsid w:val="003E1C74"/>
    <w:rsid w:val="003F0C97"/>
    <w:rsid w:val="003F0F6F"/>
    <w:rsid w:val="003F457F"/>
    <w:rsid w:val="004000EA"/>
    <w:rsid w:val="0040189F"/>
    <w:rsid w:val="00401CDC"/>
    <w:rsid w:val="00416654"/>
    <w:rsid w:val="00417B9D"/>
    <w:rsid w:val="00430601"/>
    <w:rsid w:val="00432AA0"/>
    <w:rsid w:val="00434894"/>
    <w:rsid w:val="00437670"/>
    <w:rsid w:val="00441F8C"/>
    <w:rsid w:val="004448D8"/>
    <w:rsid w:val="00445BB6"/>
    <w:rsid w:val="00445E25"/>
    <w:rsid w:val="00446578"/>
    <w:rsid w:val="00450A20"/>
    <w:rsid w:val="0045143F"/>
    <w:rsid w:val="00451A8F"/>
    <w:rsid w:val="00451DFD"/>
    <w:rsid w:val="0045400D"/>
    <w:rsid w:val="00455C86"/>
    <w:rsid w:val="004603CB"/>
    <w:rsid w:val="00466694"/>
    <w:rsid w:val="0047620D"/>
    <w:rsid w:val="00477684"/>
    <w:rsid w:val="00477C62"/>
    <w:rsid w:val="004804E8"/>
    <w:rsid w:val="0048447A"/>
    <w:rsid w:val="00485877"/>
    <w:rsid w:val="00486194"/>
    <w:rsid w:val="004863BD"/>
    <w:rsid w:val="0049142E"/>
    <w:rsid w:val="00493E98"/>
    <w:rsid w:val="004965B7"/>
    <w:rsid w:val="004A24BD"/>
    <w:rsid w:val="004A29F9"/>
    <w:rsid w:val="004A2F2E"/>
    <w:rsid w:val="004A3156"/>
    <w:rsid w:val="004A4D66"/>
    <w:rsid w:val="004A5F16"/>
    <w:rsid w:val="004A6622"/>
    <w:rsid w:val="004B3465"/>
    <w:rsid w:val="004B5E0E"/>
    <w:rsid w:val="004C0736"/>
    <w:rsid w:val="004C1B72"/>
    <w:rsid w:val="004C4468"/>
    <w:rsid w:val="004C4725"/>
    <w:rsid w:val="004C551B"/>
    <w:rsid w:val="004C5DD0"/>
    <w:rsid w:val="004D0F8E"/>
    <w:rsid w:val="004D4101"/>
    <w:rsid w:val="004D527C"/>
    <w:rsid w:val="004D71AA"/>
    <w:rsid w:val="004E2638"/>
    <w:rsid w:val="004E3828"/>
    <w:rsid w:val="004E5B7E"/>
    <w:rsid w:val="004E61DA"/>
    <w:rsid w:val="004F152F"/>
    <w:rsid w:val="004F4DB9"/>
    <w:rsid w:val="004F5126"/>
    <w:rsid w:val="004F5467"/>
    <w:rsid w:val="004F5DB1"/>
    <w:rsid w:val="00500C30"/>
    <w:rsid w:val="00501682"/>
    <w:rsid w:val="00504F7C"/>
    <w:rsid w:val="00506038"/>
    <w:rsid w:val="00510685"/>
    <w:rsid w:val="00512B22"/>
    <w:rsid w:val="00513FB5"/>
    <w:rsid w:val="0051692C"/>
    <w:rsid w:val="00520AAB"/>
    <w:rsid w:val="00521F86"/>
    <w:rsid w:val="00524F06"/>
    <w:rsid w:val="00526246"/>
    <w:rsid w:val="0052631E"/>
    <w:rsid w:val="00526E5D"/>
    <w:rsid w:val="005375CD"/>
    <w:rsid w:val="00537BAB"/>
    <w:rsid w:val="00540247"/>
    <w:rsid w:val="00540AC0"/>
    <w:rsid w:val="00541299"/>
    <w:rsid w:val="005436F9"/>
    <w:rsid w:val="005450B6"/>
    <w:rsid w:val="00545F68"/>
    <w:rsid w:val="0055376F"/>
    <w:rsid w:val="00554B29"/>
    <w:rsid w:val="00554F47"/>
    <w:rsid w:val="0055765A"/>
    <w:rsid w:val="00560467"/>
    <w:rsid w:val="00565D07"/>
    <w:rsid w:val="005660E4"/>
    <w:rsid w:val="00567106"/>
    <w:rsid w:val="005674B7"/>
    <w:rsid w:val="0057024C"/>
    <w:rsid w:val="005749FA"/>
    <w:rsid w:val="005756C8"/>
    <w:rsid w:val="00575AF6"/>
    <w:rsid w:val="0058062E"/>
    <w:rsid w:val="00581E3A"/>
    <w:rsid w:val="0058308A"/>
    <w:rsid w:val="00583D27"/>
    <w:rsid w:val="005852DE"/>
    <w:rsid w:val="005866F0"/>
    <w:rsid w:val="00586D0F"/>
    <w:rsid w:val="00592625"/>
    <w:rsid w:val="00596E61"/>
    <w:rsid w:val="005972C5"/>
    <w:rsid w:val="00597C4D"/>
    <w:rsid w:val="005A01FC"/>
    <w:rsid w:val="005A1C45"/>
    <w:rsid w:val="005A36B0"/>
    <w:rsid w:val="005A76C1"/>
    <w:rsid w:val="005C0BCA"/>
    <w:rsid w:val="005C2EA2"/>
    <w:rsid w:val="005C3A4C"/>
    <w:rsid w:val="005C3EEF"/>
    <w:rsid w:val="005D3D98"/>
    <w:rsid w:val="005D78BF"/>
    <w:rsid w:val="005E1D3C"/>
    <w:rsid w:val="005E22D5"/>
    <w:rsid w:val="005E302C"/>
    <w:rsid w:val="005E3193"/>
    <w:rsid w:val="005E721B"/>
    <w:rsid w:val="005F0BBC"/>
    <w:rsid w:val="005F2947"/>
    <w:rsid w:val="005F2C70"/>
    <w:rsid w:val="005F4C94"/>
    <w:rsid w:val="005F52C1"/>
    <w:rsid w:val="005F5D90"/>
    <w:rsid w:val="00607BB9"/>
    <w:rsid w:val="0061034B"/>
    <w:rsid w:val="0061521F"/>
    <w:rsid w:val="00621003"/>
    <w:rsid w:val="00624050"/>
    <w:rsid w:val="006247CC"/>
    <w:rsid w:val="00626AFF"/>
    <w:rsid w:val="006303B3"/>
    <w:rsid w:val="00631170"/>
    <w:rsid w:val="00631482"/>
    <w:rsid w:val="00632253"/>
    <w:rsid w:val="00633EFE"/>
    <w:rsid w:val="00635ADA"/>
    <w:rsid w:val="00640393"/>
    <w:rsid w:val="00640B70"/>
    <w:rsid w:val="00640CA6"/>
    <w:rsid w:val="006414F4"/>
    <w:rsid w:val="00642714"/>
    <w:rsid w:val="006455CE"/>
    <w:rsid w:val="006468F1"/>
    <w:rsid w:val="00646FC9"/>
    <w:rsid w:val="00654268"/>
    <w:rsid w:val="00655975"/>
    <w:rsid w:val="0065730D"/>
    <w:rsid w:val="006609DC"/>
    <w:rsid w:val="006663B8"/>
    <w:rsid w:val="0068273B"/>
    <w:rsid w:val="006842DB"/>
    <w:rsid w:val="00684A4C"/>
    <w:rsid w:val="00684E28"/>
    <w:rsid w:val="0068512D"/>
    <w:rsid w:val="00685338"/>
    <w:rsid w:val="00690492"/>
    <w:rsid w:val="00691A7A"/>
    <w:rsid w:val="00691BCB"/>
    <w:rsid w:val="0069539B"/>
    <w:rsid w:val="0069614C"/>
    <w:rsid w:val="006974A9"/>
    <w:rsid w:val="00697B85"/>
    <w:rsid w:val="006A0B5B"/>
    <w:rsid w:val="006A5C9E"/>
    <w:rsid w:val="006A7392"/>
    <w:rsid w:val="006B03F7"/>
    <w:rsid w:val="006B2DC5"/>
    <w:rsid w:val="006B6AF9"/>
    <w:rsid w:val="006B6C2E"/>
    <w:rsid w:val="006C460E"/>
    <w:rsid w:val="006D2462"/>
    <w:rsid w:val="006D42D9"/>
    <w:rsid w:val="006D46CC"/>
    <w:rsid w:val="006D4B0F"/>
    <w:rsid w:val="006D6255"/>
    <w:rsid w:val="006D6285"/>
    <w:rsid w:val="006D6F7D"/>
    <w:rsid w:val="006D7119"/>
    <w:rsid w:val="006E3C32"/>
    <w:rsid w:val="006F0918"/>
    <w:rsid w:val="006F1552"/>
    <w:rsid w:val="00700235"/>
    <w:rsid w:val="007028FA"/>
    <w:rsid w:val="00710AFC"/>
    <w:rsid w:val="00713643"/>
    <w:rsid w:val="007142E5"/>
    <w:rsid w:val="007149CE"/>
    <w:rsid w:val="00714BCB"/>
    <w:rsid w:val="00720176"/>
    <w:rsid w:val="00720DC3"/>
    <w:rsid w:val="0072418A"/>
    <w:rsid w:val="00726405"/>
    <w:rsid w:val="00730003"/>
    <w:rsid w:val="00733017"/>
    <w:rsid w:val="00734972"/>
    <w:rsid w:val="0073548E"/>
    <w:rsid w:val="00735817"/>
    <w:rsid w:val="0074274A"/>
    <w:rsid w:val="00747939"/>
    <w:rsid w:val="00752064"/>
    <w:rsid w:val="0075319A"/>
    <w:rsid w:val="0075346F"/>
    <w:rsid w:val="00753DCC"/>
    <w:rsid w:val="00762B5B"/>
    <w:rsid w:val="00763671"/>
    <w:rsid w:val="00764068"/>
    <w:rsid w:val="007647E7"/>
    <w:rsid w:val="007661B2"/>
    <w:rsid w:val="00766D2D"/>
    <w:rsid w:val="00772759"/>
    <w:rsid w:val="007731DF"/>
    <w:rsid w:val="00775302"/>
    <w:rsid w:val="00775AB8"/>
    <w:rsid w:val="00775E14"/>
    <w:rsid w:val="00780FC1"/>
    <w:rsid w:val="00783310"/>
    <w:rsid w:val="00785B90"/>
    <w:rsid w:val="00786B14"/>
    <w:rsid w:val="00786DDC"/>
    <w:rsid w:val="007941BB"/>
    <w:rsid w:val="007966C1"/>
    <w:rsid w:val="007976FB"/>
    <w:rsid w:val="007A281C"/>
    <w:rsid w:val="007A2D62"/>
    <w:rsid w:val="007A490A"/>
    <w:rsid w:val="007A4A6D"/>
    <w:rsid w:val="007A6E92"/>
    <w:rsid w:val="007A7FBE"/>
    <w:rsid w:val="007C503A"/>
    <w:rsid w:val="007C5788"/>
    <w:rsid w:val="007D1304"/>
    <w:rsid w:val="007D1BCF"/>
    <w:rsid w:val="007D2C36"/>
    <w:rsid w:val="007D503D"/>
    <w:rsid w:val="007D537A"/>
    <w:rsid w:val="007D75CF"/>
    <w:rsid w:val="007E3359"/>
    <w:rsid w:val="007E37A7"/>
    <w:rsid w:val="007E491E"/>
    <w:rsid w:val="007E60F5"/>
    <w:rsid w:val="007E6DC5"/>
    <w:rsid w:val="007F1822"/>
    <w:rsid w:val="007F3544"/>
    <w:rsid w:val="007F4FAA"/>
    <w:rsid w:val="007F6FA1"/>
    <w:rsid w:val="0080071C"/>
    <w:rsid w:val="0080074A"/>
    <w:rsid w:val="00800B68"/>
    <w:rsid w:val="00800F8F"/>
    <w:rsid w:val="00802214"/>
    <w:rsid w:val="00802ECA"/>
    <w:rsid w:val="008045EA"/>
    <w:rsid w:val="00810666"/>
    <w:rsid w:val="00820D89"/>
    <w:rsid w:val="0082259B"/>
    <w:rsid w:val="008270C0"/>
    <w:rsid w:val="008302B0"/>
    <w:rsid w:val="00831734"/>
    <w:rsid w:val="008418C8"/>
    <w:rsid w:val="0084234D"/>
    <w:rsid w:val="008450F7"/>
    <w:rsid w:val="0084541F"/>
    <w:rsid w:val="00847F81"/>
    <w:rsid w:val="008501E8"/>
    <w:rsid w:val="0085590D"/>
    <w:rsid w:val="00855CFF"/>
    <w:rsid w:val="008625A1"/>
    <w:rsid w:val="00866B90"/>
    <w:rsid w:val="008711CD"/>
    <w:rsid w:val="00872CAF"/>
    <w:rsid w:val="00873D22"/>
    <w:rsid w:val="00877334"/>
    <w:rsid w:val="00877DD0"/>
    <w:rsid w:val="0088043C"/>
    <w:rsid w:val="0088545F"/>
    <w:rsid w:val="00885AE1"/>
    <w:rsid w:val="00887926"/>
    <w:rsid w:val="008906C9"/>
    <w:rsid w:val="0089765D"/>
    <w:rsid w:val="008A212D"/>
    <w:rsid w:val="008A218F"/>
    <w:rsid w:val="008A2F41"/>
    <w:rsid w:val="008A3DA9"/>
    <w:rsid w:val="008B1D2F"/>
    <w:rsid w:val="008B2C9F"/>
    <w:rsid w:val="008B46C6"/>
    <w:rsid w:val="008C01AE"/>
    <w:rsid w:val="008C1B1B"/>
    <w:rsid w:val="008C41B5"/>
    <w:rsid w:val="008C4C4D"/>
    <w:rsid w:val="008C4F70"/>
    <w:rsid w:val="008C5738"/>
    <w:rsid w:val="008C5DDA"/>
    <w:rsid w:val="008D04F0"/>
    <w:rsid w:val="008D6536"/>
    <w:rsid w:val="008E1B6E"/>
    <w:rsid w:val="008E58C7"/>
    <w:rsid w:val="008E6505"/>
    <w:rsid w:val="008E6DB9"/>
    <w:rsid w:val="008F11AF"/>
    <w:rsid w:val="008F3500"/>
    <w:rsid w:val="008F4AB7"/>
    <w:rsid w:val="008F6671"/>
    <w:rsid w:val="008F71A7"/>
    <w:rsid w:val="00905880"/>
    <w:rsid w:val="00907DC4"/>
    <w:rsid w:val="00915CD0"/>
    <w:rsid w:val="0091696E"/>
    <w:rsid w:val="00924C5E"/>
    <w:rsid w:val="00924E3C"/>
    <w:rsid w:val="009265D0"/>
    <w:rsid w:val="00926A5F"/>
    <w:rsid w:val="00926C11"/>
    <w:rsid w:val="00927161"/>
    <w:rsid w:val="009279E5"/>
    <w:rsid w:val="009300BE"/>
    <w:rsid w:val="00930BA1"/>
    <w:rsid w:val="009315C4"/>
    <w:rsid w:val="0094131A"/>
    <w:rsid w:val="00941732"/>
    <w:rsid w:val="0094341E"/>
    <w:rsid w:val="00947C7D"/>
    <w:rsid w:val="00951EA0"/>
    <w:rsid w:val="00953D2C"/>
    <w:rsid w:val="009549EF"/>
    <w:rsid w:val="00955C08"/>
    <w:rsid w:val="0095627F"/>
    <w:rsid w:val="009612BB"/>
    <w:rsid w:val="009612EC"/>
    <w:rsid w:val="009620A1"/>
    <w:rsid w:val="00964109"/>
    <w:rsid w:val="00973F03"/>
    <w:rsid w:val="00976551"/>
    <w:rsid w:val="00977F20"/>
    <w:rsid w:val="00983239"/>
    <w:rsid w:val="00986769"/>
    <w:rsid w:val="009942B6"/>
    <w:rsid w:val="009943CC"/>
    <w:rsid w:val="00995805"/>
    <w:rsid w:val="009A2DD3"/>
    <w:rsid w:val="009A5504"/>
    <w:rsid w:val="009B0281"/>
    <w:rsid w:val="009B42BD"/>
    <w:rsid w:val="009B5805"/>
    <w:rsid w:val="009B60E2"/>
    <w:rsid w:val="009C0075"/>
    <w:rsid w:val="009C0471"/>
    <w:rsid w:val="009C0F7D"/>
    <w:rsid w:val="009C20B6"/>
    <w:rsid w:val="009C517A"/>
    <w:rsid w:val="009C5429"/>
    <w:rsid w:val="009C56AA"/>
    <w:rsid w:val="009D1C5F"/>
    <w:rsid w:val="009D2A0A"/>
    <w:rsid w:val="009D5F83"/>
    <w:rsid w:val="009E3191"/>
    <w:rsid w:val="009E31E4"/>
    <w:rsid w:val="009E4DD2"/>
    <w:rsid w:val="009E6427"/>
    <w:rsid w:val="009E7784"/>
    <w:rsid w:val="009F04B9"/>
    <w:rsid w:val="009F2D02"/>
    <w:rsid w:val="009F3162"/>
    <w:rsid w:val="009F50BD"/>
    <w:rsid w:val="00A00413"/>
    <w:rsid w:val="00A0356B"/>
    <w:rsid w:val="00A05BC2"/>
    <w:rsid w:val="00A064EF"/>
    <w:rsid w:val="00A07884"/>
    <w:rsid w:val="00A114D8"/>
    <w:rsid w:val="00A125C5"/>
    <w:rsid w:val="00A14867"/>
    <w:rsid w:val="00A15628"/>
    <w:rsid w:val="00A2039F"/>
    <w:rsid w:val="00A20E8A"/>
    <w:rsid w:val="00A211EE"/>
    <w:rsid w:val="00A21F7E"/>
    <w:rsid w:val="00A27494"/>
    <w:rsid w:val="00A32F6F"/>
    <w:rsid w:val="00A33D20"/>
    <w:rsid w:val="00A348E0"/>
    <w:rsid w:val="00A43AE3"/>
    <w:rsid w:val="00A468E2"/>
    <w:rsid w:val="00A46E22"/>
    <w:rsid w:val="00A5039D"/>
    <w:rsid w:val="00A5182B"/>
    <w:rsid w:val="00A5377D"/>
    <w:rsid w:val="00A60F55"/>
    <w:rsid w:val="00A61212"/>
    <w:rsid w:val="00A6307B"/>
    <w:rsid w:val="00A64FBF"/>
    <w:rsid w:val="00A65EE7"/>
    <w:rsid w:val="00A70133"/>
    <w:rsid w:val="00A7319D"/>
    <w:rsid w:val="00A779DE"/>
    <w:rsid w:val="00A80687"/>
    <w:rsid w:val="00A82479"/>
    <w:rsid w:val="00A83842"/>
    <w:rsid w:val="00A83D9B"/>
    <w:rsid w:val="00A8483D"/>
    <w:rsid w:val="00A85F97"/>
    <w:rsid w:val="00A904D2"/>
    <w:rsid w:val="00A90F35"/>
    <w:rsid w:val="00A92E77"/>
    <w:rsid w:val="00A962FE"/>
    <w:rsid w:val="00AA29BA"/>
    <w:rsid w:val="00AA2DFE"/>
    <w:rsid w:val="00AA36C6"/>
    <w:rsid w:val="00AA73B4"/>
    <w:rsid w:val="00AA7E13"/>
    <w:rsid w:val="00AB0D0D"/>
    <w:rsid w:val="00AB11FD"/>
    <w:rsid w:val="00AB567E"/>
    <w:rsid w:val="00AC34E7"/>
    <w:rsid w:val="00AE01BE"/>
    <w:rsid w:val="00AE0421"/>
    <w:rsid w:val="00AE0C9D"/>
    <w:rsid w:val="00AE20B2"/>
    <w:rsid w:val="00AE357D"/>
    <w:rsid w:val="00AE6779"/>
    <w:rsid w:val="00AF477B"/>
    <w:rsid w:val="00AF5C0E"/>
    <w:rsid w:val="00AF6F1B"/>
    <w:rsid w:val="00AF7783"/>
    <w:rsid w:val="00AF7DA9"/>
    <w:rsid w:val="00B0048C"/>
    <w:rsid w:val="00B01192"/>
    <w:rsid w:val="00B0574F"/>
    <w:rsid w:val="00B110A4"/>
    <w:rsid w:val="00B12DAA"/>
    <w:rsid w:val="00B13EDB"/>
    <w:rsid w:val="00B14FF0"/>
    <w:rsid w:val="00B17141"/>
    <w:rsid w:val="00B20270"/>
    <w:rsid w:val="00B2058B"/>
    <w:rsid w:val="00B20884"/>
    <w:rsid w:val="00B303D6"/>
    <w:rsid w:val="00B31575"/>
    <w:rsid w:val="00B332E0"/>
    <w:rsid w:val="00B33691"/>
    <w:rsid w:val="00B34135"/>
    <w:rsid w:val="00B40315"/>
    <w:rsid w:val="00B415F8"/>
    <w:rsid w:val="00B45985"/>
    <w:rsid w:val="00B50611"/>
    <w:rsid w:val="00B608CC"/>
    <w:rsid w:val="00B62E57"/>
    <w:rsid w:val="00B719F2"/>
    <w:rsid w:val="00B72F5C"/>
    <w:rsid w:val="00B73EB6"/>
    <w:rsid w:val="00B74727"/>
    <w:rsid w:val="00B74958"/>
    <w:rsid w:val="00B77473"/>
    <w:rsid w:val="00B776A0"/>
    <w:rsid w:val="00B81852"/>
    <w:rsid w:val="00B82056"/>
    <w:rsid w:val="00B83337"/>
    <w:rsid w:val="00B8445A"/>
    <w:rsid w:val="00B845D2"/>
    <w:rsid w:val="00B8547D"/>
    <w:rsid w:val="00B85A49"/>
    <w:rsid w:val="00B93E5A"/>
    <w:rsid w:val="00B94B11"/>
    <w:rsid w:val="00B97E7B"/>
    <w:rsid w:val="00BA0E45"/>
    <w:rsid w:val="00BA1A8F"/>
    <w:rsid w:val="00BB0A1E"/>
    <w:rsid w:val="00BB195D"/>
    <w:rsid w:val="00BB2DD8"/>
    <w:rsid w:val="00BB4348"/>
    <w:rsid w:val="00BB7EF1"/>
    <w:rsid w:val="00BB7F35"/>
    <w:rsid w:val="00BC09F7"/>
    <w:rsid w:val="00BC3E88"/>
    <w:rsid w:val="00BC5F9B"/>
    <w:rsid w:val="00BD3242"/>
    <w:rsid w:val="00BD3775"/>
    <w:rsid w:val="00BD5F65"/>
    <w:rsid w:val="00BD6D60"/>
    <w:rsid w:val="00BD76F0"/>
    <w:rsid w:val="00BD7F52"/>
    <w:rsid w:val="00BD7F93"/>
    <w:rsid w:val="00BE066F"/>
    <w:rsid w:val="00BE0C8D"/>
    <w:rsid w:val="00BE293A"/>
    <w:rsid w:val="00BE45A6"/>
    <w:rsid w:val="00BE58C7"/>
    <w:rsid w:val="00BE5D46"/>
    <w:rsid w:val="00BF4D51"/>
    <w:rsid w:val="00BF6655"/>
    <w:rsid w:val="00C0060B"/>
    <w:rsid w:val="00C0504B"/>
    <w:rsid w:val="00C06A6A"/>
    <w:rsid w:val="00C072BD"/>
    <w:rsid w:val="00C11192"/>
    <w:rsid w:val="00C12C56"/>
    <w:rsid w:val="00C160CF"/>
    <w:rsid w:val="00C16794"/>
    <w:rsid w:val="00C250D5"/>
    <w:rsid w:val="00C34675"/>
    <w:rsid w:val="00C362DE"/>
    <w:rsid w:val="00C43B84"/>
    <w:rsid w:val="00C44E08"/>
    <w:rsid w:val="00C46030"/>
    <w:rsid w:val="00C467BE"/>
    <w:rsid w:val="00C52DD4"/>
    <w:rsid w:val="00C5318C"/>
    <w:rsid w:val="00C55E25"/>
    <w:rsid w:val="00C61D1D"/>
    <w:rsid w:val="00C631DF"/>
    <w:rsid w:val="00C6492D"/>
    <w:rsid w:val="00C664B9"/>
    <w:rsid w:val="00C6698F"/>
    <w:rsid w:val="00C66C8C"/>
    <w:rsid w:val="00C715A3"/>
    <w:rsid w:val="00C71AE6"/>
    <w:rsid w:val="00C730FC"/>
    <w:rsid w:val="00C76AB1"/>
    <w:rsid w:val="00C77CFF"/>
    <w:rsid w:val="00C83589"/>
    <w:rsid w:val="00C85078"/>
    <w:rsid w:val="00C86660"/>
    <w:rsid w:val="00C87F8E"/>
    <w:rsid w:val="00C92898"/>
    <w:rsid w:val="00C93492"/>
    <w:rsid w:val="00C9644F"/>
    <w:rsid w:val="00C96DB1"/>
    <w:rsid w:val="00C978E5"/>
    <w:rsid w:val="00CA055F"/>
    <w:rsid w:val="00CA1930"/>
    <w:rsid w:val="00CA3825"/>
    <w:rsid w:val="00CA4551"/>
    <w:rsid w:val="00CA4BE5"/>
    <w:rsid w:val="00CA4FF0"/>
    <w:rsid w:val="00CA678E"/>
    <w:rsid w:val="00CA6D11"/>
    <w:rsid w:val="00CB021A"/>
    <w:rsid w:val="00CB1E0C"/>
    <w:rsid w:val="00CB2576"/>
    <w:rsid w:val="00CB45EF"/>
    <w:rsid w:val="00CB578F"/>
    <w:rsid w:val="00CC16A9"/>
    <w:rsid w:val="00CD39CA"/>
    <w:rsid w:val="00CD51CC"/>
    <w:rsid w:val="00CD5AB8"/>
    <w:rsid w:val="00CE0A92"/>
    <w:rsid w:val="00CE2183"/>
    <w:rsid w:val="00CE2F41"/>
    <w:rsid w:val="00CE32FB"/>
    <w:rsid w:val="00CE7514"/>
    <w:rsid w:val="00CF1E73"/>
    <w:rsid w:val="00CF5C58"/>
    <w:rsid w:val="00D04605"/>
    <w:rsid w:val="00D248DE"/>
    <w:rsid w:val="00D248F1"/>
    <w:rsid w:val="00D31F71"/>
    <w:rsid w:val="00D335D2"/>
    <w:rsid w:val="00D34948"/>
    <w:rsid w:val="00D369DF"/>
    <w:rsid w:val="00D405E1"/>
    <w:rsid w:val="00D43184"/>
    <w:rsid w:val="00D461C1"/>
    <w:rsid w:val="00D47143"/>
    <w:rsid w:val="00D50B58"/>
    <w:rsid w:val="00D53679"/>
    <w:rsid w:val="00D55590"/>
    <w:rsid w:val="00D61E3E"/>
    <w:rsid w:val="00D628BD"/>
    <w:rsid w:val="00D63AC1"/>
    <w:rsid w:val="00D71E5E"/>
    <w:rsid w:val="00D720BB"/>
    <w:rsid w:val="00D722FB"/>
    <w:rsid w:val="00D728A9"/>
    <w:rsid w:val="00D7312F"/>
    <w:rsid w:val="00D800A2"/>
    <w:rsid w:val="00D83A82"/>
    <w:rsid w:val="00D83DFF"/>
    <w:rsid w:val="00D84921"/>
    <w:rsid w:val="00D8542D"/>
    <w:rsid w:val="00D85596"/>
    <w:rsid w:val="00D87370"/>
    <w:rsid w:val="00D90425"/>
    <w:rsid w:val="00DA1562"/>
    <w:rsid w:val="00DA1B53"/>
    <w:rsid w:val="00DA2894"/>
    <w:rsid w:val="00DA4AFE"/>
    <w:rsid w:val="00DA56A4"/>
    <w:rsid w:val="00DA6BDE"/>
    <w:rsid w:val="00DB2A87"/>
    <w:rsid w:val="00DC1CDD"/>
    <w:rsid w:val="00DC1E39"/>
    <w:rsid w:val="00DC30AC"/>
    <w:rsid w:val="00DC374A"/>
    <w:rsid w:val="00DC6955"/>
    <w:rsid w:val="00DC6A71"/>
    <w:rsid w:val="00DD0712"/>
    <w:rsid w:val="00DD1591"/>
    <w:rsid w:val="00DD189E"/>
    <w:rsid w:val="00DD18A7"/>
    <w:rsid w:val="00DD3C69"/>
    <w:rsid w:val="00DD44EE"/>
    <w:rsid w:val="00DD5A88"/>
    <w:rsid w:val="00DE0237"/>
    <w:rsid w:val="00DE07D4"/>
    <w:rsid w:val="00DE332B"/>
    <w:rsid w:val="00DE4291"/>
    <w:rsid w:val="00DE5B46"/>
    <w:rsid w:val="00DE7A35"/>
    <w:rsid w:val="00DF0508"/>
    <w:rsid w:val="00DF52A2"/>
    <w:rsid w:val="00DF714F"/>
    <w:rsid w:val="00E0357D"/>
    <w:rsid w:val="00E04742"/>
    <w:rsid w:val="00E12FFA"/>
    <w:rsid w:val="00E139D5"/>
    <w:rsid w:val="00E149A5"/>
    <w:rsid w:val="00E152F5"/>
    <w:rsid w:val="00E177AC"/>
    <w:rsid w:val="00E20538"/>
    <w:rsid w:val="00E2380F"/>
    <w:rsid w:val="00E23A26"/>
    <w:rsid w:val="00E23EB5"/>
    <w:rsid w:val="00E2419E"/>
    <w:rsid w:val="00E24E19"/>
    <w:rsid w:val="00E24EC2"/>
    <w:rsid w:val="00E26D17"/>
    <w:rsid w:val="00E27707"/>
    <w:rsid w:val="00E27A6F"/>
    <w:rsid w:val="00E31386"/>
    <w:rsid w:val="00E35E56"/>
    <w:rsid w:val="00E416B1"/>
    <w:rsid w:val="00E46741"/>
    <w:rsid w:val="00E471BB"/>
    <w:rsid w:val="00E5126F"/>
    <w:rsid w:val="00E515B4"/>
    <w:rsid w:val="00E5221C"/>
    <w:rsid w:val="00E5520C"/>
    <w:rsid w:val="00E55796"/>
    <w:rsid w:val="00E605D7"/>
    <w:rsid w:val="00E6133C"/>
    <w:rsid w:val="00E6514F"/>
    <w:rsid w:val="00E65CD2"/>
    <w:rsid w:val="00E6784D"/>
    <w:rsid w:val="00E72896"/>
    <w:rsid w:val="00E8476B"/>
    <w:rsid w:val="00E870F4"/>
    <w:rsid w:val="00E91531"/>
    <w:rsid w:val="00E953E4"/>
    <w:rsid w:val="00E955A2"/>
    <w:rsid w:val="00EA3F89"/>
    <w:rsid w:val="00EA6021"/>
    <w:rsid w:val="00EB3E1E"/>
    <w:rsid w:val="00EB3EF8"/>
    <w:rsid w:val="00EB41B5"/>
    <w:rsid w:val="00EB4B5C"/>
    <w:rsid w:val="00EB6BC4"/>
    <w:rsid w:val="00EB7048"/>
    <w:rsid w:val="00EC6AE9"/>
    <w:rsid w:val="00EC6E8D"/>
    <w:rsid w:val="00ED155C"/>
    <w:rsid w:val="00EE2479"/>
    <w:rsid w:val="00EF685E"/>
    <w:rsid w:val="00F02125"/>
    <w:rsid w:val="00F03910"/>
    <w:rsid w:val="00F03CE6"/>
    <w:rsid w:val="00F076BA"/>
    <w:rsid w:val="00F10DA0"/>
    <w:rsid w:val="00F112C0"/>
    <w:rsid w:val="00F13584"/>
    <w:rsid w:val="00F144FF"/>
    <w:rsid w:val="00F23351"/>
    <w:rsid w:val="00F239BF"/>
    <w:rsid w:val="00F240BB"/>
    <w:rsid w:val="00F315B1"/>
    <w:rsid w:val="00F3244A"/>
    <w:rsid w:val="00F35BE0"/>
    <w:rsid w:val="00F374CE"/>
    <w:rsid w:val="00F43B4A"/>
    <w:rsid w:val="00F46724"/>
    <w:rsid w:val="00F46AA3"/>
    <w:rsid w:val="00F47928"/>
    <w:rsid w:val="00F5324D"/>
    <w:rsid w:val="00F53FEE"/>
    <w:rsid w:val="00F547CD"/>
    <w:rsid w:val="00F57FED"/>
    <w:rsid w:val="00F61BFB"/>
    <w:rsid w:val="00F62518"/>
    <w:rsid w:val="00F631B4"/>
    <w:rsid w:val="00F632A8"/>
    <w:rsid w:val="00F6350B"/>
    <w:rsid w:val="00F64DF0"/>
    <w:rsid w:val="00F6651D"/>
    <w:rsid w:val="00F67DBD"/>
    <w:rsid w:val="00F743B3"/>
    <w:rsid w:val="00F76739"/>
    <w:rsid w:val="00F83AC1"/>
    <w:rsid w:val="00F84FEB"/>
    <w:rsid w:val="00F8654A"/>
    <w:rsid w:val="00F87314"/>
    <w:rsid w:val="00F87DF8"/>
    <w:rsid w:val="00F90952"/>
    <w:rsid w:val="00F92ED4"/>
    <w:rsid w:val="00F94093"/>
    <w:rsid w:val="00FA7F99"/>
    <w:rsid w:val="00FB0B2D"/>
    <w:rsid w:val="00FB2D78"/>
    <w:rsid w:val="00FB354C"/>
    <w:rsid w:val="00FB46CA"/>
    <w:rsid w:val="00FB5400"/>
    <w:rsid w:val="00FC297B"/>
    <w:rsid w:val="00FC38C4"/>
    <w:rsid w:val="00FC5A0C"/>
    <w:rsid w:val="00FC68A7"/>
    <w:rsid w:val="00FC7955"/>
    <w:rsid w:val="00FC7CB4"/>
    <w:rsid w:val="00FD1390"/>
    <w:rsid w:val="00FD2C48"/>
    <w:rsid w:val="00FD2FCD"/>
    <w:rsid w:val="00FE09EB"/>
    <w:rsid w:val="00FE1B70"/>
    <w:rsid w:val="00FE78C3"/>
    <w:rsid w:val="00FF49AD"/>
    <w:rsid w:val="00FF51D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36552"/>
  <w15:chartTrackingRefBased/>
  <w15:docId w15:val="{6A7E5343-7797-4F96-A3C0-F9C1C92F7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12"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211EE"/>
  </w:style>
  <w:style w:type="paragraph" w:styleId="Naslov1">
    <w:name w:val="heading 1"/>
    <w:aliases w:val="NASLOV"/>
    <w:basedOn w:val="Navaden"/>
    <w:next w:val="Navaden"/>
    <w:link w:val="Naslov1Znak"/>
    <w:autoRedefine/>
    <w:uiPriority w:val="9"/>
    <w:qFormat/>
    <w:rsid w:val="00A211EE"/>
    <w:pPr>
      <w:keepNext/>
      <w:spacing w:before="240" w:after="60" w:line="260" w:lineRule="atLeast"/>
      <w:jc w:val="both"/>
      <w:outlineLvl w:val="0"/>
    </w:pPr>
    <w:rPr>
      <w:rFonts w:ascii="Arial" w:eastAsia="Times New Roman" w:hAnsi="Arial" w:cs="Times New Roman"/>
      <w:b/>
      <w:kern w:val="32"/>
      <w:sz w:val="28"/>
      <w:szCs w:val="32"/>
      <w:lang w:val="x-none" w:eastAsia="x-none"/>
      <w14:ligatures w14:val="none"/>
    </w:rPr>
  </w:style>
  <w:style w:type="paragraph" w:styleId="Naslov4">
    <w:name w:val="heading 4"/>
    <w:basedOn w:val="Navaden"/>
    <w:link w:val="Naslov4Znak"/>
    <w:qFormat/>
    <w:rsid w:val="00A211EE"/>
    <w:pPr>
      <w:spacing w:before="100" w:beforeAutospacing="1" w:after="100" w:afterAutospacing="1" w:line="240" w:lineRule="auto"/>
      <w:jc w:val="center"/>
      <w:outlineLvl w:val="3"/>
    </w:pPr>
    <w:rPr>
      <w:rFonts w:ascii="Arial" w:eastAsia="Times New Roman" w:hAnsi="Arial" w:cs="Times New Roman"/>
      <w:b/>
      <w:bCs/>
      <w:color w:val="000000"/>
      <w:kern w:val="0"/>
      <w:sz w:val="27"/>
      <w:szCs w:val="27"/>
      <w:lang w:val="x-none" w:eastAsia="x-none"/>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06445B"/>
    <w:rPr>
      <w:rFonts w:ascii="Arial" w:eastAsia="Times New Roman" w:hAnsi="Arial" w:cs="Times New Roman"/>
      <w:b/>
      <w:kern w:val="32"/>
      <w:sz w:val="28"/>
      <w:szCs w:val="32"/>
      <w:lang w:val="x-none" w:eastAsia="x-none"/>
      <w14:ligatures w14:val="none"/>
    </w:rPr>
  </w:style>
  <w:style w:type="character" w:customStyle="1" w:styleId="Naslov4Znak">
    <w:name w:val="Naslov 4 Znak"/>
    <w:basedOn w:val="Privzetapisavaodstavka"/>
    <w:link w:val="Naslov4"/>
    <w:rsid w:val="0006445B"/>
    <w:rPr>
      <w:rFonts w:ascii="Arial" w:eastAsia="Times New Roman" w:hAnsi="Arial" w:cs="Times New Roman"/>
      <w:b/>
      <w:bCs/>
      <w:color w:val="000000"/>
      <w:kern w:val="0"/>
      <w:sz w:val="27"/>
      <w:szCs w:val="27"/>
      <w:lang w:val="x-none" w:eastAsia="x-none"/>
      <w14:ligatures w14:val="none"/>
    </w:rPr>
  </w:style>
  <w:style w:type="numbering" w:customStyle="1" w:styleId="Brezseznama1">
    <w:name w:val="Brez seznama1"/>
    <w:next w:val="Brezseznama"/>
    <w:uiPriority w:val="99"/>
    <w:semiHidden/>
    <w:unhideWhenUsed/>
    <w:rsid w:val="0006445B"/>
  </w:style>
  <w:style w:type="paragraph" w:styleId="Glava">
    <w:name w:val="header"/>
    <w:basedOn w:val="Navaden"/>
    <w:link w:val="GlavaZnak"/>
    <w:rsid w:val="00A211EE"/>
    <w:pPr>
      <w:tabs>
        <w:tab w:val="center" w:pos="4320"/>
        <w:tab w:val="right" w:pos="8640"/>
      </w:tabs>
      <w:spacing w:after="0" w:line="260" w:lineRule="atLeast"/>
      <w:jc w:val="both"/>
    </w:pPr>
    <w:rPr>
      <w:rFonts w:ascii="Arial" w:eastAsia="Times New Roman" w:hAnsi="Arial" w:cs="Times New Roman"/>
      <w:kern w:val="0"/>
      <w:sz w:val="20"/>
      <w:szCs w:val="24"/>
      <w:lang w:val="en-US"/>
      <w14:ligatures w14:val="none"/>
    </w:rPr>
  </w:style>
  <w:style w:type="character" w:customStyle="1" w:styleId="GlavaZnak">
    <w:name w:val="Glava Znak"/>
    <w:basedOn w:val="Privzetapisavaodstavka"/>
    <w:link w:val="Glava"/>
    <w:rsid w:val="0006445B"/>
    <w:rPr>
      <w:rFonts w:ascii="Arial" w:eastAsia="Times New Roman" w:hAnsi="Arial" w:cs="Times New Roman"/>
      <w:kern w:val="0"/>
      <w:sz w:val="20"/>
      <w:szCs w:val="24"/>
      <w:lang w:val="en-US"/>
      <w14:ligatures w14:val="none"/>
    </w:rPr>
  </w:style>
  <w:style w:type="paragraph" w:styleId="Noga">
    <w:name w:val="footer"/>
    <w:basedOn w:val="Navaden"/>
    <w:link w:val="NogaZnak"/>
    <w:uiPriority w:val="99"/>
    <w:rsid w:val="00A211EE"/>
    <w:pPr>
      <w:tabs>
        <w:tab w:val="center" w:pos="4320"/>
        <w:tab w:val="right" w:pos="8640"/>
      </w:tabs>
      <w:spacing w:after="0" w:line="260" w:lineRule="atLeast"/>
      <w:jc w:val="both"/>
    </w:pPr>
    <w:rPr>
      <w:rFonts w:ascii="Arial" w:eastAsia="Times New Roman" w:hAnsi="Arial" w:cs="Times New Roman"/>
      <w:kern w:val="0"/>
      <w:sz w:val="20"/>
      <w:szCs w:val="24"/>
      <w:lang w:val="en-US"/>
      <w14:ligatures w14:val="none"/>
    </w:rPr>
  </w:style>
  <w:style w:type="character" w:customStyle="1" w:styleId="NogaZnak">
    <w:name w:val="Noga Znak"/>
    <w:basedOn w:val="Privzetapisavaodstavka"/>
    <w:link w:val="Noga"/>
    <w:uiPriority w:val="99"/>
    <w:rsid w:val="0006445B"/>
    <w:rPr>
      <w:rFonts w:ascii="Arial" w:eastAsia="Times New Roman" w:hAnsi="Arial" w:cs="Times New Roman"/>
      <w:kern w:val="0"/>
      <w:sz w:val="20"/>
      <w:szCs w:val="24"/>
      <w:lang w:val="en-US"/>
      <w14:ligatures w14:val="none"/>
    </w:rPr>
  </w:style>
  <w:style w:type="paragraph" w:styleId="Zgradbadokumenta">
    <w:name w:val="Document Map"/>
    <w:basedOn w:val="Navaden"/>
    <w:link w:val="ZgradbadokumentaZnak"/>
    <w:rsid w:val="00A211EE"/>
    <w:pPr>
      <w:spacing w:after="0" w:line="260" w:lineRule="atLeast"/>
      <w:jc w:val="both"/>
    </w:pPr>
    <w:rPr>
      <w:rFonts w:ascii="Tahoma" w:eastAsia="Times New Roman" w:hAnsi="Tahoma" w:cs="Times New Roman"/>
      <w:kern w:val="0"/>
      <w:sz w:val="16"/>
      <w:szCs w:val="16"/>
      <w:lang w:val="en-US"/>
      <w14:ligatures w14:val="none"/>
    </w:rPr>
  </w:style>
  <w:style w:type="character" w:customStyle="1" w:styleId="ZgradbadokumentaZnak">
    <w:name w:val="Zgradba dokumenta Znak"/>
    <w:basedOn w:val="Privzetapisavaodstavka"/>
    <w:link w:val="Zgradbadokumenta"/>
    <w:rsid w:val="0006445B"/>
    <w:rPr>
      <w:rFonts w:ascii="Tahoma" w:eastAsia="Times New Roman" w:hAnsi="Tahoma" w:cs="Times New Roman"/>
      <w:kern w:val="0"/>
      <w:sz w:val="16"/>
      <w:szCs w:val="16"/>
      <w:lang w:val="en-US"/>
      <w14:ligatures w14:val="none"/>
    </w:rPr>
  </w:style>
  <w:style w:type="table" w:styleId="Tabelamrea">
    <w:name w:val="Table Grid"/>
    <w:basedOn w:val="Navadnatabela"/>
    <w:uiPriority w:val="39"/>
    <w:rsid w:val="0006445B"/>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A211EE"/>
    <w:pPr>
      <w:tabs>
        <w:tab w:val="left" w:pos="1701"/>
      </w:tabs>
      <w:spacing w:after="0" w:line="260" w:lineRule="atLeast"/>
      <w:jc w:val="both"/>
    </w:pPr>
    <w:rPr>
      <w:rFonts w:ascii="Arial" w:eastAsia="Times New Roman" w:hAnsi="Arial" w:cs="Times New Roman"/>
      <w:kern w:val="0"/>
      <w:sz w:val="20"/>
      <w:szCs w:val="20"/>
      <w:lang w:eastAsia="sl-SI"/>
      <w14:ligatures w14:val="none"/>
    </w:rPr>
  </w:style>
  <w:style w:type="paragraph" w:customStyle="1" w:styleId="ZADEVA">
    <w:name w:val="ZADEVA"/>
    <w:basedOn w:val="Navaden"/>
    <w:qFormat/>
    <w:rsid w:val="00A211EE"/>
    <w:pPr>
      <w:tabs>
        <w:tab w:val="left" w:pos="1701"/>
      </w:tabs>
      <w:spacing w:after="0" w:line="260" w:lineRule="atLeast"/>
      <w:ind w:left="1701" w:hanging="1701"/>
      <w:jc w:val="both"/>
    </w:pPr>
    <w:rPr>
      <w:rFonts w:ascii="Arial" w:eastAsia="Times New Roman" w:hAnsi="Arial" w:cs="Times New Roman"/>
      <w:b/>
      <w:kern w:val="0"/>
      <w:sz w:val="20"/>
      <w:szCs w:val="24"/>
      <w:lang w:val="it-IT"/>
      <w14:ligatures w14:val="none"/>
    </w:rPr>
  </w:style>
  <w:style w:type="character" w:styleId="Hiperpovezava">
    <w:name w:val="Hyperlink"/>
    <w:rsid w:val="0006445B"/>
    <w:rPr>
      <w:color w:val="0000FF"/>
      <w:u w:val="single"/>
    </w:rPr>
  </w:style>
  <w:style w:type="paragraph" w:customStyle="1" w:styleId="podpisi">
    <w:name w:val="podpisi"/>
    <w:basedOn w:val="Navaden"/>
    <w:qFormat/>
    <w:rsid w:val="00A211EE"/>
    <w:pPr>
      <w:tabs>
        <w:tab w:val="left" w:pos="3402"/>
      </w:tabs>
      <w:spacing w:after="0" w:line="260" w:lineRule="atLeast"/>
      <w:jc w:val="both"/>
    </w:pPr>
    <w:rPr>
      <w:rFonts w:ascii="Arial" w:eastAsia="Times New Roman" w:hAnsi="Arial" w:cs="Times New Roman"/>
      <w:kern w:val="0"/>
      <w:sz w:val="20"/>
      <w:szCs w:val="24"/>
      <w:lang w:val="it-IT"/>
      <w14:ligatures w14:val="none"/>
    </w:rPr>
  </w:style>
  <w:style w:type="paragraph" w:customStyle="1" w:styleId="Znak1">
    <w:name w:val="Znak1"/>
    <w:basedOn w:val="Navaden"/>
    <w:rsid w:val="00A211EE"/>
    <w:pPr>
      <w:spacing w:line="240" w:lineRule="exact"/>
      <w:jc w:val="both"/>
    </w:pPr>
    <w:rPr>
      <w:rFonts w:ascii="Tahoma" w:eastAsia="Times New Roman" w:hAnsi="Tahoma" w:cs="Tahoma"/>
      <w:kern w:val="0"/>
      <w:sz w:val="20"/>
      <w:szCs w:val="20"/>
      <w:lang w:val="en-US"/>
      <w14:ligatures w14:val="none"/>
    </w:rPr>
  </w:style>
  <w:style w:type="paragraph" w:styleId="Telobesedila">
    <w:name w:val="Body Text"/>
    <w:aliases w:val="Znak Znak Znak"/>
    <w:basedOn w:val="Navaden"/>
    <w:link w:val="TelobesedilaZnak"/>
    <w:rsid w:val="00A211EE"/>
    <w:pPr>
      <w:spacing w:after="0" w:line="240" w:lineRule="auto"/>
      <w:jc w:val="both"/>
    </w:pPr>
    <w:rPr>
      <w:rFonts w:ascii="Times New Roman" w:eastAsia="Times New Roman" w:hAnsi="Times New Roman" w:cs="Times New Roman"/>
      <w:kern w:val="0"/>
      <w:sz w:val="24"/>
      <w:szCs w:val="24"/>
      <w:lang w:val="x-none"/>
      <w14:ligatures w14:val="none"/>
    </w:rPr>
  </w:style>
  <w:style w:type="character" w:customStyle="1" w:styleId="TelobesedilaZnak">
    <w:name w:val="Telo besedila Znak"/>
    <w:aliases w:val="Znak Znak Znak Znak"/>
    <w:basedOn w:val="Privzetapisavaodstavka"/>
    <w:link w:val="Telobesedila"/>
    <w:rsid w:val="0006445B"/>
    <w:rPr>
      <w:rFonts w:ascii="Times New Roman" w:eastAsia="Times New Roman" w:hAnsi="Times New Roman" w:cs="Times New Roman"/>
      <w:kern w:val="0"/>
      <w:sz w:val="24"/>
      <w:szCs w:val="24"/>
      <w:lang w:val="x-none"/>
      <w14:ligatures w14:val="none"/>
    </w:rPr>
  </w:style>
  <w:style w:type="paragraph" w:styleId="Telobesedila2">
    <w:name w:val="Body Text 2"/>
    <w:basedOn w:val="Navaden"/>
    <w:link w:val="Telobesedila2Znak"/>
    <w:rsid w:val="00A211EE"/>
    <w:pPr>
      <w:spacing w:after="0" w:line="240" w:lineRule="auto"/>
      <w:jc w:val="both"/>
    </w:pPr>
    <w:rPr>
      <w:rFonts w:ascii="Times New Roman" w:eastAsia="Times New Roman" w:hAnsi="Times New Roman" w:cs="Times New Roman"/>
      <w:b/>
      <w:bCs/>
      <w:kern w:val="0"/>
      <w:sz w:val="24"/>
      <w:szCs w:val="24"/>
      <w14:ligatures w14:val="none"/>
    </w:rPr>
  </w:style>
  <w:style w:type="character" w:customStyle="1" w:styleId="Telobesedila2Znak">
    <w:name w:val="Telo besedila 2 Znak"/>
    <w:basedOn w:val="Privzetapisavaodstavka"/>
    <w:link w:val="Telobesedila2"/>
    <w:rsid w:val="0006445B"/>
    <w:rPr>
      <w:rFonts w:ascii="Times New Roman" w:eastAsia="Times New Roman" w:hAnsi="Times New Roman" w:cs="Times New Roman"/>
      <w:b/>
      <w:bCs/>
      <w:kern w:val="0"/>
      <w:sz w:val="24"/>
      <w:szCs w:val="24"/>
      <w14:ligatures w14:val="none"/>
    </w:rPr>
  </w:style>
  <w:style w:type="paragraph" w:customStyle="1" w:styleId="Naslovpredpisa">
    <w:name w:val="Naslov_predpisa"/>
    <w:basedOn w:val="Navaden"/>
    <w:link w:val="NaslovpredpisaZnak"/>
    <w:qFormat/>
    <w:rsid w:val="00A211EE"/>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kern w:val="0"/>
      <w:lang w:val="x-none" w:eastAsia="x-none"/>
      <w14:ligatures w14:val="none"/>
    </w:rPr>
  </w:style>
  <w:style w:type="character" w:customStyle="1" w:styleId="NaslovpredpisaZnak">
    <w:name w:val="Naslov_predpisa Znak"/>
    <w:link w:val="Naslovpredpisa"/>
    <w:rsid w:val="0006445B"/>
    <w:rPr>
      <w:rFonts w:ascii="Arial" w:eastAsia="Times New Roman" w:hAnsi="Arial" w:cs="Times New Roman"/>
      <w:b/>
      <w:kern w:val="0"/>
      <w:lang w:val="x-none" w:eastAsia="x-none"/>
      <w14:ligatures w14:val="none"/>
    </w:rPr>
  </w:style>
  <w:style w:type="paragraph" w:customStyle="1" w:styleId="Poglavje">
    <w:name w:val="Poglavje"/>
    <w:basedOn w:val="Navaden"/>
    <w:qFormat/>
    <w:rsid w:val="00A211E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kern w:val="0"/>
      <w:lang w:eastAsia="sl-SI"/>
      <w14:ligatures w14:val="none"/>
    </w:rPr>
  </w:style>
  <w:style w:type="paragraph" w:customStyle="1" w:styleId="Neotevilenodstavek">
    <w:name w:val="Neoštevilčen odstavek"/>
    <w:basedOn w:val="Navaden"/>
    <w:link w:val="NeotevilenodstavekZnak"/>
    <w:qFormat/>
    <w:rsid w:val="00A211EE"/>
    <w:pPr>
      <w:overflowPunct w:val="0"/>
      <w:autoSpaceDE w:val="0"/>
      <w:autoSpaceDN w:val="0"/>
      <w:adjustRightInd w:val="0"/>
      <w:spacing w:before="60" w:after="60" w:line="200" w:lineRule="exact"/>
      <w:jc w:val="both"/>
      <w:textAlignment w:val="baseline"/>
    </w:pPr>
    <w:rPr>
      <w:rFonts w:ascii="Arial" w:eastAsia="Times New Roman" w:hAnsi="Arial" w:cs="Times New Roman"/>
      <w:kern w:val="0"/>
      <w:lang w:val="x-none" w:eastAsia="x-none"/>
      <w14:ligatures w14:val="none"/>
    </w:rPr>
  </w:style>
  <w:style w:type="character" w:customStyle="1" w:styleId="NeotevilenodstavekZnak">
    <w:name w:val="Neoštevilčen odstavek Znak"/>
    <w:link w:val="Neotevilenodstavek"/>
    <w:rsid w:val="0006445B"/>
    <w:rPr>
      <w:rFonts w:ascii="Arial" w:eastAsia="Times New Roman" w:hAnsi="Arial" w:cs="Times New Roman"/>
      <w:kern w:val="0"/>
      <w:lang w:val="x-none" w:eastAsia="x-none"/>
      <w14:ligatures w14:val="none"/>
    </w:rPr>
  </w:style>
  <w:style w:type="paragraph" w:customStyle="1" w:styleId="Oddelek">
    <w:name w:val="Oddelek"/>
    <w:basedOn w:val="Navaden"/>
    <w:link w:val="OddelekZnak1"/>
    <w:qFormat/>
    <w:rsid w:val="00A211E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kern w:val="0"/>
      <w:lang w:val="x-none" w:eastAsia="x-none"/>
      <w14:ligatures w14:val="none"/>
    </w:rPr>
  </w:style>
  <w:style w:type="character" w:customStyle="1" w:styleId="OddelekZnak1">
    <w:name w:val="Oddelek Znak1"/>
    <w:link w:val="Oddelek"/>
    <w:rsid w:val="0006445B"/>
    <w:rPr>
      <w:rFonts w:ascii="Arial" w:eastAsia="Times New Roman" w:hAnsi="Arial" w:cs="Times New Roman"/>
      <w:b/>
      <w:kern w:val="0"/>
      <w:lang w:val="x-none" w:eastAsia="x-none"/>
      <w14:ligatures w14:val="none"/>
    </w:rPr>
  </w:style>
  <w:style w:type="paragraph" w:customStyle="1" w:styleId="Vrstapredpisa">
    <w:name w:val="Vrsta predpisa"/>
    <w:basedOn w:val="Navaden"/>
    <w:link w:val="VrstapredpisaZnak"/>
    <w:qFormat/>
    <w:rsid w:val="00A211EE"/>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kern w:val="0"/>
      <w:lang w:val="x-none" w:eastAsia="x-none"/>
      <w14:ligatures w14:val="none"/>
    </w:rPr>
  </w:style>
  <w:style w:type="character" w:customStyle="1" w:styleId="VrstapredpisaZnak">
    <w:name w:val="Vrsta predpisa Znak"/>
    <w:link w:val="Vrstapredpisa"/>
    <w:rsid w:val="0006445B"/>
    <w:rPr>
      <w:rFonts w:ascii="Arial" w:eastAsia="Times New Roman" w:hAnsi="Arial" w:cs="Times New Roman"/>
      <w:b/>
      <w:bCs/>
      <w:color w:val="000000"/>
      <w:spacing w:val="40"/>
      <w:kern w:val="0"/>
      <w:lang w:val="x-none" w:eastAsia="x-none"/>
      <w14:ligatures w14:val="none"/>
    </w:rPr>
  </w:style>
  <w:style w:type="paragraph" w:customStyle="1" w:styleId="Alineazaodstavkom">
    <w:name w:val="Alinea za odstavkom"/>
    <w:basedOn w:val="Navaden"/>
    <w:link w:val="AlineazaodstavkomZnak"/>
    <w:qFormat/>
    <w:rsid w:val="00A211EE"/>
    <w:pPr>
      <w:overflowPunct w:val="0"/>
      <w:autoSpaceDE w:val="0"/>
      <w:autoSpaceDN w:val="0"/>
      <w:adjustRightInd w:val="0"/>
      <w:spacing w:after="0" w:line="200" w:lineRule="exact"/>
      <w:ind w:left="709" w:hanging="284"/>
      <w:jc w:val="both"/>
      <w:textAlignment w:val="baseline"/>
    </w:pPr>
    <w:rPr>
      <w:rFonts w:ascii="Arial" w:eastAsia="Times New Roman" w:hAnsi="Arial" w:cs="Times New Roman"/>
      <w:kern w:val="0"/>
      <w:lang w:val="x-none" w:eastAsia="x-none"/>
      <w14:ligatures w14:val="none"/>
    </w:rPr>
  </w:style>
  <w:style w:type="character" w:customStyle="1" w:styleId="AlineazaodstavkomZnak">
    <w:name w:val="Alinea za odstavkom Znak"/>
    <w:link w:val="Alineazaodstavkom"/>
    <w:rsid w:val="0006445B"/>
    <w:rPr>
      <w:rFonts w:ascii="Arial" w:eastAsia="Times New Roman" w:hAnsi="Arial" w:cs="Times New Roman"/>
      <w:kern w:val="0"/>
      <w:lang w:val="x-none" w:eastAsia="x-none"/>
      <w14:ligatures w14:val="none"/>
    </w:rPr>
  </w:style>
  <w:style w:type="paragraph" w:customStyle="1" w:styleId="Odstavekseznama1">
    <w:name w:val="Odstavek seznama1"/>
    <w:basedOn w:val="Navaden"/>
    <w:qFormat/>
    <w:rsid w:val="00A211EE"/>
    <w:pPr>
      <w:spacing w:after="0" w:line="240" w:lineRule="auto"/>
      <w:ind w:left="720"/>
      <w:contextualSpacing/>
      <w:jc w:val="both"/>
    </w:pPr>
    <w:rPr>
      <w:rFonts w:ascii="Times New Roman" w:eastAsia="Times New Roman" w:hAnsi="Times New Roman" w:cs="Times New Roman"/>
      <w:kern w:val="0"/>
      <w:sz w:val="24"/>
      <w:szCs w:val="24"/>
      <w:lang w:eastAsia="sl-SI"/>
      <w14:ligatures w14:val="none"/>
    </w:rPr>
  </w:style>
  <w:style w:type="paragraph" w:customStyle="1" w:styleId="Alineazatoko">
    <w:name w:val="Alinea za točko"/>
    <w:basedOn w:val="Navaden"/>
    <w:link w:val="AlineazatokoZnak"/>
    <w:qFormat/>
    <w:rsid w:val="00A211EE"/>
    <w:pPr>
      <w:overflowPunct w:val="0"/>
      <w:autoSpaceDE w:val="0"/>
      <w:autoSpaceDN w:val="0"/>
      <w:adjustRightInd w:val="0"/>
      <w:spacing w:after="0" w:line="200" w:lineRule="exact"/>
      <w:ind w:left="1068" w:hanging="360"/>
      <w:jc w:val="both"/>
      <w:textAlignment w:val="baseline"/>
    </w:pPr>
    <w:rPr>
      <w:rFonts w:ascii="Arial" w:eastAsia="Times New Roman" w:hAnsi="Arial" w:cs="Times New Roman"/>
      <w:kern w:val="0"/>
      <w:lang w:val="x-none" w:eastAsia="x-none"/>
      <w14:ligatures w14:val="none"/>
    </w:rPr>
  </w:style>
  <w:style w:type="character" w:customStyle="1" w:styleId="AlineazatokoZnak">
    <w:name w:val="Alinea za točko Znak"/>
    <w:link w:val="Alineazatoko"/>
    <w:rsid w:val="0006445B"/>
    <w:rPr>
      <w:rFonts w:ascii="Arial" w:eastAsia="Times New Roman" w:hAnsi="Arial" w:cs="Times New Roman"/>
      <w:kern w:val="0"/>
      <w:lang w:val="x-none" w:eastAsia="x-none"/>
      <w14:ligatures w14:val="none"/>
    </w:rPr>
  </w:style>
  <w:style w:type="character" w:customStyle="1" w:styleId="rkovnatokazaodstavkomZnak">
    <w:name w:val="Črkovna točka_za odstavkom Znak"/>
    <w:link w:val="rkovnatokazaodstavkom"/>
    <w:rsid w:val="0006445B"/>
    <w:rPr>
      <w:rFonts w:ascii="Arial" w:hAnsi="Arial"/>
      <w:lang w:val="x-none" w:eastAsia="x-none"/>
    </w:rPr>
  </w:style>
  <w:style w:type="paragraph" w:customStyle="1" w:styleId="rkovnatokazaodstavkom">
    <w:name w:val="Črkovna točka_za odstavkom"/>
    <w:basedOn w:val="Navaden"/>
    <w:link w:val="rkovnatokazaodstavkomZnak"/>
    <w:qFormat/>
    <w:rsid w:val="00A211EE"/>
    <w:pPr>
      <w:numPr>
        <w:numId w:val="4"/>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A211EE"/>
    <w:pPr>
      <w:numPr>
        <w:numId w:val="1"/>
      </w:numPr>
      <w:ind w:left="0" w:firstLine="0"/>
    </w:pPr>
  </w:style>
  <w:style w:type="character" w:customStyle="1" w:styleId="OdsekZnak">
    <w:name w:val="Odsek Znak"/>
    <w:link w:val="Odsek"/>
    <w:rsid w:val="0006445B"/>
    <w:rPr>
      <w:rFonts w:ascii="Arial" w:eastAsia="Times New Roman" w:hAnsi="Arial" w:cs="Times New Roman"/>
      <w:b/>
      <w:kern w:val="0"/>
      <w:lang w:val="x-none" w:eastAsia="x-none"/>
      <w14:ligatures w14:val="none"/>
    </w:rPr>
  </w:style>
  <w:style w:type="character" w:styleId="Pripombasklic">
    <w:name w:val="annotation reference"/>
    <w:rsid w:val="0006445B"/>
    <w:rPr>
      <w:sz w:val="16"/>
      <w:szCs w:val="16"/>
    </w:rPr>
  </w:style>
  <w:style w:type="paragraph" w:styleId="Pripombabesedilo">
    <w:name w:val="annotation text"/>
    <w:basedOn w:val="Navaden"/>
    <w:link w:val="PripombabesediloZnak"/>
    <w:uiPriority w:val="99"/>
    <w:rsid w:val="00A211EE"/>
    <w:pPr>
      <w:spacing w:after="0" w:line="260" w:lineRule="atLeast"/>
      <w:jc w:val="both"/>
    </w:pPr>
    <w:rPr>
      <w:rFonts w:ascii="Arial" w:eastAsia="Times New Roman" w:hAnsi="Arial" w:cs="Times New Roman"/>
      <w:kern w:val="0"/>
      <w:sz w:val="20"/>
      <w:szCs w:val="20"/>
      <w:lang w:val="en-US"/>
      <w14:ligatures w14:val="none"/>
    </w:rPr>
  </w:style>
  <w:style w:type="character" w:customStyle="1" w:styleId="PripombabesediloZnak">
    <w:name w:val="Pripomba – besedilo Znak"/>
    <w:basedOn w:val="Privzetapisavaodstavka"/>
    <w:link w:val="Pripombabesedilo"/>
    <w:uiPriority w:val="99"/>
    <w:rsid w:val="0006445B"/>
    <w:rPr>
      <w:rFonts w:ascii="Arial" w:eastAsia="Times New Roman" w:hAnsi="Arial" w:cs="Times New Roman"/>
      <w:kern w:val="0"/>
      <w:sz w:val="20"/>
      <w:szCs w:val="20"/>
      <w:lang w:val="en-US"/>
      <w14:ligatures w14:val="none"/>
    </w:rPr>
  </w:style>
  <w:style w:type="paragraph" w:styleId="Zadevapripombe">
    <w:name w:val="annotation subject"/>
    <w:basedOn w:val="Pripombabesedilo"/>
    <w:next w:val="Pripombabesedilo"/>
    <w:link w:val="ZadevapripombeZnak"/>
    <w:uiPriority w:val="99"/>
    <w:rsid w:val="0006445B"/>
    <w:rPr>
      <w:b/>
      <w:bCs/>
    </w:rPr>
  </w:style>
  <w:style w:type="character" w:customStyle="1" w:styleId="ZadevapripombeZnak">
    <w:name w:val="Zadeva pripombe Znak"/>
    <w:basedOn w:val="PripombabesediloZnak"/>
    <w:link w:val="Zadevapripombe"/>
    <w:uiPriority w:val="99"/>
    <w:rsid w:val="0006445B"/>
    <w:rPr>
      <w:rFonts w:ascii="Arial" w:eastAsia="Times New Roman" w:hAnsi="Arial" w:cs="Times New Roman"/>
      <w:b/>
      <w:bCs/>
      <w:kern w:val="0"/>
      <w:sz w:val="20"/>
      <w:szCs w:val="20"/>
      <w:lang w:val="en-US"/>
      <w14:ligatures w14:val="none"/>
    </w:rPr>
  </w:style>
  <w:style w:type="paragraph" w:styleId="Besedilooblaka">
    <w:name w:val="Balloon Text"/>
    <w:basedOn w:val="Navaden"/>
    <w:link w:val="BesedilooblakaZnak"/>
    <w:rsid w:val="00A211EE"/>
    <w:pPr>
      <w:spacing w:after="0" w:line="240" w:lineRule="auto"/>
      <w:jc w:val="both"/>
    </w:pPr>
    <w:rPr>
      <w:rFonts w:ascii="Tahoma" w:eastAsia="Times New Roman" w:hAnsi="Tahoma" w:cs="Times New Roman"/>
      <w:kern w:val="0"/>
      <w:sz w:val="16"/>
      <w:szCs w:val="16"/>
      <w:lang w:val="en-US"/>
      <w14:ligatures w14:val="none"/>
    </w:rPr>
  </w:style>
  <w:style w:type="character" w:customStyle="1" w:styleId="BesedilooblakaZnak">
    <w:name w:val="Besedilo oblačka Znak"/>
    <w:basedOn w:val="Privzetapisavaodstavka"/>
    <w:link w:val="Besedilooblaka"/>
    <w:rsid w:val="0006445B"/>
    <w:rPr>
      <w:rFonts w:ascii="Tahoma" w:eastAsia="Times New Roman" w:hAnsi="Tahoma" w:cs="Times New Roman"/>
      <w:kern w:val="0"/>
      <w:sz w:val="16"/>
      <w:szCs w:val="16"/>
      <w:lang w:val="en-US"/>
      <w14:ligatures w14:val="none"/>
    </w:rPr>
  </w:style>
  <w:style w:type="numbering" w:customStyle="1" w:styleId="Brezseznama11">
    <w:name w:val="Brez seznama11"/>
    <w:next w:val="Brezseznama"/>
    <w:uiPriority w:val="99"/>
    <w:semiHidden/>
    <w:unhideWhenUsed/>
    <w:rsid w:val="0006445B"/>
  </w:style>
  <w:style w:type="paragraph" w:customStyle="1" w:styleId="Alinejazarkovnotoko">
    <w:name w:val="Alineja za črkovno točko"/>
    <w:basedOn w:val="Alineazatevilnotoko"/>
    <w:link w:val="AlinejazarkovnotokoZnak"/>
    <w:qFormat/>
    <w:rsid w:val="0006445B"/>
    <w:pPr>
      <w:ind w:left="454"/>
    </w:pPr>
  </w:style>
  <w:style w:type="paragraph" w:customStyle="1" w:styleId="len">
    <w:name w:val="Člen"/>
    <w:basedOn w:val="Navaden"/>
    <w:link w:val="lenZnak"/>
    <w:qFormat/>
    <w:rsid w:val="00A211EE"/>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lenZnak">
    <w:name w:val="Člen Znak"/>
    <w:link w:val="len"/>
    <w:rsid w:val="0006445B"/>
    <w:rPr>
      <w:rFonts w:ascii="Arial" w:eastAsia="Times New Roman" w:hAnsi="Arial" w:cs="Times New Roman"/>
      <w:b/>
      <w:kern w:val="0"/>
      <w:lang w:val="x-none" w:eastAsia="x-none"/>
      <w14:ligatures w14:val="none"/>
    </w:rPr>
  </w:style>
  <w:style w:type="paragraph" w:customStyle="1" w:styleId="Odstavek">
    <w:name w:val="Odstavek"/>
    <w:basedOn w:val="Navaden"/>
    <w:link w:val="OdstavekZnak"/>
    <w:qFormat/>
    <w:rsid w:val="00A211EE"/>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lang w:val="x-none" w:eastAsia="x-none"/>
      <w14:ligatures w14:val="none"/>
    </w:rPr>
  </w:style>
  <w:style w:type="paragraph" w:customStyle="1" w:styleId="Pravnapodlaga">
    <w:name w:val="Pravna podlaga"/>
    <w:basedOn w:val="Odstavek"/>
    <w:link w:val="PravnapodlagaZnak"/>
    <w:qFormat/>
    <w:rsid w:val="0006445B"/>
    <w:pPr>
      <w:spacing w:before="480"/>
    </w:pPr>
  </w:style>
  <w:style w:type="character" w:customStyle="1" w:styleId="OdstavekZnak">
    <w:name w:val="Odstavek Znak"/>
    <w:link w:val="Odstavek"/>
    <w:rsid w:val="0006445B"/>
    <w:rPr>
      <w:rFonts w:ascii="Arial" w:eastAsia="Times New Roman" w:hAnsi="Arial" w:cs="Times New Roman"/>
      <w:kern w:val="0"/>
      <w:lang w:val="x-none" w:eastAsia="x-none"/>
      <w14:ligatures w14:val="none"/>
    </w:rPr>
  </w:style>
  <w:style w:type="character" w:customStyle="1" w:styleId="AlinejazarkovnotokoZnak">
    <w:name w:val="Alineja za črkovno točko Znak"/>
    <w:link w:val="Alinejazarkovnotoko"/>
    <w:rsid w:val="0006445B"/>
    <w:rPr>
      <w:rFonts w:ascii="Arial" w:eastAsia="Times New Roman" w:hAnsi="Arial" w:cs="Times New Roman"/>
      <w:kern w:val="0"/>
      <w:lang w:val="x-none" w:eastAsia="x-none"/>
      <w14:ligatures w14:val="none"/>
    </w:rPr>
  </w:style>
  <w:style w:type="paragraph" w:customStyle="1" w:styleId="Pa0">
    <w:name w:val="Pa0"/>
    <w:basedOn w:val="Navaden"/>
    <w:next w:val="Navaden"/>
    <w:uiPriority w:val="99"/>
    <w:rsid w:val="00A211EE"/>
    <w:pPr>
      <w:autoSpaceDE w:val="0"/>
      <w:autoSpaceDN w:val="0"/>
      <w:adjustRightInd w:val="0"/>
      <w:spacing w:after="0" w:line="201" w:lineRule="atLeast"/>
      <w:jc w:val="both"/>
    </w:pPr>
    <w:rPr>
      <w:rFonts w:ascii="Arial" w:eastAsia="Calibri" w:hAnsi="Arial" w:cs="Arial"/>
      <w:kern w:val="0"/>
      <w:sz w:val="24"/>
      <w:szCs w:val="24"/>
      <w14:ligatures w14:val="none"/>
    </w:rPr>
  </w:style>
  <w:style w:type="paragraph" w:customStyle="1" w:styleId="atekst">
    <w:name w:val="a_tekst"/>
    <w:rsid w:val="00A211EE"/>
    <w:pPr>
      <w:overflowPunct w:val="0"/>
      <w:autoSpaceDE w:val="0"/>
      <w:autoSpaceDN w:val="0"/>
      <w:adjustRightInd w:val="0"/>
      <w:spacing w:after="0" w:line="200" w:lineRule="exact"/>
      <w:ind w:firstLine="397"/>
      <w:jc w:val="both"/>
      <w:textAlignment w:val="baseline"/>
    </w:pPr>
    <w:rPr>
      <w:rFonts w:ascii="Arial" w:eastAsia="Times New Roman" w:hAnsi="Arial" w:cs="Arial"/>
      <w:kern w:val="0"/>
      <w:sz w:val="17"/>
      <w:szCs w:val="17"/>
      <w:lang w:eastAsia="sl-SI"/>
      <w14:ligatures w14:val="none"/>
    </w:rPr>
  </w:style>
  <w:style w:type="paragraph" w:customStyle="1" w:styleId="aodloktekst">
    <w:name w:val="a_odloktekst"/>
    <w:basedOn w:val="atekst"/>
    <w:next w:val="atekst"/>
    <w:rsid w:val="0006445B"/>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06445B"/>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06445B"/>
    <w:pPr>
      <w:suppressAutoHyphens/>
      <w:spacing w:before="240"/>
      <w:ind w:firstLine="0"/>
      <w:jc w:val="center"/>
      <w:outlineLvl w:val="3"/>
    </w:pPr>
  </w:style>
  <w:style w:type="paragraph" w:customStyle="1" w:styleId="anaslovpk">
    <w:name w:val="a_naslovpk"/>
    <w:basedOn w:val="atekst"/>
    <w:next w:val="atekst"/>
    <w:rsid w:val="0006445B"/>
    <w:pPr>
      <w:suppressAutoHyphens/>
      <w:spacing w:before="180"/>
      <w:ind w:firstLine="0"/>
      <w:jc w:val="center"/>
      <w:outlineLvl w:val="3"/>
    </w:pPr>
  </w:style>
  <w:style w:type="paragraph" w:customStyle="1" w:styleId="Del">
    <w:name w:val="Del"/>
    <w:basedOn w:val="Poglavje"/>
    <w:link w:val="DelZnak"/>
    <w:qFormat/>
    <w:rsid w:val="0006445B"/>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A211EE"/>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14:ligatures w14:val="none"/>
    </w:rPr>
  </w:style>
  <w:style w:type="character" w:customStyle="1" w:styleId="DelZnak">
    <w:name w:val="Del Znak"/>
    <w:link w:val="Del"/>
    <w:rsid w:val="0006445B"/>
    <w:rPr>
      <w:rFonts w:ascii="Arial" w:eastAsia="Times New Roman" w:hAnsi="Arial" w:cs="Times New Roman"/>
      <w:kern w:val="0"/>
      <w:lang w:val="x-none" w:eastAsia="x-none"/>
      <w14:ligatures w14:val="none"/>
    </w:rPr>
  </w:style>
  <w:style w:type="character" w:customStyle="1" w:styleId="NaslovnadlenomZnak">
    <w:name w:val="Naslov nad členom Znak"/>
    <w:link w:val="Naslovnadlenom"/>
    <w:rsid w:val="0006445B"/>
    <w:rPr>
      <w:rFonts w:ascii="Arial" w:eastAsia="Times New Roman" w:hAnsi="Arial" w:cs="Times New Roman"/>
      <w:b/>
      <w:kern w:val="0"/>
      <w:lang w:val="x-none" w:eastAsia="x-none"/>
      <w14:ligatures w14:val="none"/>
    </w:rPr>
  </w:style>
  <w:style w:type="paragraph" w:customStyle="1" w:styleId="aclen">
    <w:name w:val="a_clen"/>
    <w:basedOn w:val="atekst"/>
    <w:next w:val="atekst"/>
    <w:rsid w:val="0006445B"/>
    <w:pPr>
      <w:suppressAutoHyphens/>
      <w:spacing w:before="120" w:after="60"/>
      <w:ind w:firstLine="0"/>
      <w:jc w:val="center"/>
      <w:outlineLvl w:val="4"/>
    </w:pPr>
  </w:style>
  <w:style w:type="paragraph" w:customStyle="1" w:styleId="aclenpodnaslov">
    <w:name w:val="a_clenpodnaslov"/>
    <w:basedOn w:val="aclen"/>
    <w:next w:val="atekst"/>
    <w:rsid w:val="0006445B"/>
    <w:pPr>
      <w:spacing w:before="0"/>
      <w:outlineLvl w:val="9"/>
    </w:pPr>
  </w:style>
  <w:style w:type="paragraph" w:customStyle="1" w:styleId="apodpis">
    <w:name w:val="a_podpis"/>
    <w:basedOn w:val="atekst"/>
    <w:rsid w:val="0006445B"/>
    <w:pPr>
      <w:suppressAutoHyphens/>
      <w:ind w:left="1134" w:firstLine="0"/>
      <w:jc w:val="center"/>
    </w:pPr>
  </w:style>
  <w:style w:type="paragraph" w:customStyle="1" w:styleId="Nazivpodpisnika">
    <w:name w:val="Naziv podpisnika"/>
    <w:basedOn w:val="Navaden"/>
    <w:link w:val="NazivpodpisnikaZnak"/>
    <w:rsid w:val="00A211EE"/>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kern w:val="0"/>
      <w:lang w:val="x-none" w:eastAsia="x-none"/>
      <w14:ligatures w14:val="none"/>
    </w:rPr>
  </w:style>
  <w:style w:type="paragraph" w:customStyle="1" w:styleId="atekstdat">
    <w:name w:val="a_tekst_dat"/>
    <w:basedOn w:val="atekst"/>
    <w:rsid w:val="0006445B"/>
  </w:style>
  <w:style w:type="character" w:customStyle="1" w:styleId="NazivpodpisnikaZnak">
    <w:name w:val="Naziv podpisnika Znak"/>
    <w:link w:val="Nazivpodpisnika"/>
    <w:rsid w:val="0006445B"/>
    <w:rPr>
      <w:rFonts w:ascii="Arial" w:eastAsia="Times New Roman" w:hAnsi="Arial" w:cs="Times New Roman"/>
      <w:kern w:val="0"/>
      <w:lang w:val="x-none" w:eastAsia="x-none"/>
      <w14:ligatures w14:val="none"/>
    </w:rPr>
  </w:style>
  <w:style w:type="paragraph" w:customStyle="1" w:styleId="Alineazatevilnotoko">
    <w:name w:val="Alinea za številčno točko"/>
    <w:basedOn w:val="Alineazaodstavkom"/>
    <w:link w:val="AlineazatevilnotokoZnak"/>
    <w:qFormat/>
    <w:rsid w:val="0006445B"/>
    <w:pPr>
      <w:tabs>
        <w:tab w:val="left" w:pos="540"/>
        <w:tab w:val="left" w:pos="900"/>
      </w:tabs>
      <w:overflowPunct/>
      <w:autoSpaceDE/>
      <w:autoSpaceDN/>
      <w:adjustRightInd/>
      <w:spacing w:line="240" w:lineRule="auto"/>
      <w:ind w:left="567" w:hanging="170"/>
      <w:textAlignment w:val="auto"/>
    </w:pPr>
  </w:style>
  <w:style w:type="paragraph" w:customStyle="1" w:styleId="tevilnatoka">
    <w:name w:val="Številčna točka"/>
    <w:basedOn w:val="Navaden"/>
    <w:link w:val="tevilnatokaZnak"/>
    <w:qFormat/>
    <w:rsid w:val="00A211EE"/>
    <w:pPr>
      <w:numPr>
        <w:numId w:val="8"/>
      </w:numPr>
      <w:tabs>
        <w:tab w:val="left" w:pos="540"/>
        <w:tab w:val="left" w:pos="900"/>
      </w:tabs>
      <w:spacing w:after="0" w:line="240" w:lineRule="auto"/>
      <w:jc w:val="both"/>
    </w:pPr>
    <w:rPr>
      <w:rFonts w:ascii="Arial" w:eastAsia="Times New Roman" w:hAnsi="Arial" w:cs="Times New Roman"/>
      <w:kern w:val="0"/>
      <w:lang w:val="x-none" w:eastAsia="x-none"/>
      <w14:ligatures w14:val="none"/>
    </w:rPr>
  </w:style>
  <w:style w:type="character" w:customStyle="1" w:styleId="AlineazatevilnotokoZnak">
    <w:name w:val="Alinea za številčno točko Znak"/>
    <w:link w:val="Alineazatevilnotoko"/>
    <w:rsid w:val="0006445B"/>
    <w:rPr>
      <w:rFonts w:ascii="Arial" w:eastAsia="Times New Roman" w:hAnsi="Arial" w:cs="Times New Roman"/>
      <w:kern w:val="0"/>
      <w:lang w:val="x-none" w:eastAsia="x-none"/>
      <w14:ligatures w14:val="none"/>
    </w:rPr>
  </w:style>
  <w:style w:type="paragraph" w:customStyle="1" w:styleId="rkovnatokazatevilnotoko">
    <w:name w:val="Črkovna točka za številčno točko"/>
    <w:basedOn w:val="tevilnatoka"/>
    <w:link w:val="rkovnatokazatevilnotokoZnak"/>
    <w:qFormat/>
    <w:rsid w:val="00A211EE"/>
    <w:pPr>
      <w:numPr>
        <w:numId w:val="9"/>
      </w:numPr>
      <w:ind w:left="907" w:hanging="510"/>
    </w:pPr>
  </w:style>
  <w:style w:type="character" w:customStyle="1" w:styleId="tevilnatokaZnak">
    <w:name w:val="Številčna točka Znak"/>
    <w:link w:val="tevilnatoka"/>
    <w:rsid w:val="0006445B"/>
    <w:rPr>
      <w:rFonts w:ascii="Arial" w:eastAsia="Times New Roman" w:hAnsi="Arial" w:cs="Times New Roman"/>
      <w:kern w:val="0"/>
      <w:lang w:val="x-none" w:eastAsia="x-none"/>
      <w14:ligatures w14:val="none"/>
    </w:rPr>
  </w:style>
  <w:style w:type="character" w:customStyle="1" w:styleId="rkovnatokazatevilnotokoZnak">
    <w:name w:val="Črkovna točka za številčno točko Znak"/>
    <w:link w:val="rkovnatokazatevilnotoko"/>
    <w:rsid w:val="0006445B"/>
    <w:rPr>
      <w:rFonts w:ascii="Arial" w:eastAsia="Times New Roman" w:hAnsi="Arial" w:cs="Times New Roman"/>
      <w:kern w:val="0"/>
      <w:lang w:val="x-none" w:eastAsia="x-none"/>
      <w14:ligatures w14:val="none"/>
    </w:rPr>
  </w:style>
  <w:style w:type="paragraph" w:customStyle="1" w:styleId="tevilkanakoncupredpisa">
    <w:name w:val="Številka na koncu predpisa"/>
    <w:basedOn w:val="Datumsprejetja"/>
    <w:link w:val="tevilkanakoncupredpisaZnak"/>
    <w:qFormat/>
    <w:rsid w:val="0006445B"/>
    <w:pPr>
      <w:spacing w:before="480"/>
    </w:pPr>
  </w:style>
  <w:style w:type="paragraph" w:customStyle="1" w:styleId="Datumsprejetja">
    <w:name w:val="Datum sprejetja"/>
    <w:basedOn w:val="Navaden"/>
    <w:link w:val="DatumsprejetjaZnak"/>
    <w:qFormat/>
    <w:rsid w:val="00A211EE"/>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kern w:val="0"/>
      <w:lang w:val="x-none" w:eastAsia="x-none"/>
      <w14:ligatures w14:val="none"/>
    </w:rPr>
  </w:style>
  <w:style w:type="character" w:customStyle="1" w:styleId="tevilkanakoncupredpisaZnak">
    <w:name w:val="Številka na koncu predpisa Znak"/>
    <w:link w:val="tevilkanakoncupredpisa"/>
    <w:rsid w:val="0006445B"/>
    <w:rPr>
      <w:rFonts w:ascii="Arial" w:eastAsia="Times New Roman" w:hAnsi="Arial" w:cs="Times New Roman"/>
      <w:snapToGrid w:val="0"/>
      <w:color w:val="000000"/>
      <w:kern w:val="0"/>
      <w:lang w:val="x-none" w:eastAsia="x-none"/>
      <w14:ligatures w14:val="none"/>
    </w:rPr>
  </w:style>
  <w:style w:type="paragraph" w:customStyle="1" w:styleId="Podpisnik">
    <w:name w:val="Podpisnik"/>
    <w:basedOn w:val="Navaden"/>
    <w:link w:val="PodpisnikZnak"/>
    <w:qFormat/>
    <w:rsid w:val="00A211EE"/>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kern w:val="0"/>
      <w:lang w:val="x-none" w:eastAsia="x-none"/>
      <w14:ligatures w14:val="none"/>
    </w:rPr>
  </w:style>
  <w:style w:type="character" w:customStyle="1" w:styleId="DatumsprejetjaZnak">
    <w:name w:val="Datum sprejetja Znak"/>
    <w:link w:val="Datumsprejetja"/>
    <w:rsid w:val="0006445B"/>
    <w:rPr>
      <w:rFonts w:ascii="Arial" w:eastAsia="Times New Roman" w:hAnsi="Arial" w:cs="Times New Roman"/>
      <w:snapToGrid w:val="0"/>
      <w:color w:val="000000"/>
      <w:kern w:val="0"/>
      <w:lang w:val="x-none" w:eastAsia="x-none"/>
      <w14:ligatures w14:val="none"/>
    </w:rPr>
  </w:style>
  <w:style w:type="character" w:customStyle="1" w:styleId="PodpisnikZnak">
    <w:name w:val="Podpisnik Znak"/>
    <w:link w:val="Podpisnik"/>
    <w:rsid w:val="0006445B"/>
    <w:rPr>
      <w:rFonts w:ascii="Arial" w:eastAsia="Times New Roman" w:hAnsi="Arial" w:cs="Times New Roman"/>
      <w:kern w:val="0"/>
      <w:lang w:val="x-none" w:eastAsia="x-none"/>
      <w14:ligatures w14:val="none"/>
    </w:rPr>
  </w:style>
  <w:style w:type="paragraph" w:customStyle="1" w:styleId="lennaslov">
    <w:name w:val="Člen_naslov"/>
    <w:basedOn w:val="len"/>
    <w:qFormat/>
    <w:rsid w:val="0006445B"/>
    <w:pPr>
      <w:spacing w:before="0"/>
    </w:pPr>
  </w:style>
  <w:style w:type="character" w:customStyle="1" w:styleId="PravnapodlagaZnak">
    <w:name w:val="Pravna podlaga Znak"/>
    <w:link w:val="Pravnapodlaga"/>
    <w:rsid w:val="0006445B"/>
    <w:rPr>
      <w:rFonts w:ascii="Arial" w:eastAsia="Times New Roman" w:hAnsi="Arial" w:cs="Times New Roman"/>
      <w:kern w:val="0"/>
      <w:lang w:val="x-none" w:eastAsia="x-none"/>
      <w14:ligatures w14:val="none"/>
    </w:rPr>
  </w:style>
  <w:style w:type="paragraph" w:customStyle="1" w:styleId="Pododdelek">
    <w:name w:val="Pododdelek"/>
    <w:basedOn w:val="Navaden"/>
    <w:link w:val="PododdelekZnak"/>
    <w:qFormat/>
    <w:rsid w:val="00A211EE"/>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kern w:val="0"/>
      <w:lang w:val="x-none" w:eastAsia="x-none"/>
      <w14:ligatures w14:val="none"/>
    </w:rPr>
  </w:style>
  <w:style w:type="character" w:customStyle="1" w:styleId="Komentar-sklic">
    <w:name w:val="Komentar - sklic"/>
    <w:semiHidden/>
    <w:rsid w:val="0006445B"/>
    <w:rPr>
      <w:sz w:val="16"/>
      <w:szCs w:val="16"/>
    </w:rPr>
  </w:style>
  <w:style w:type="character" w:customStyle="1" w:styleId="PododdelekZnak">
    <w:name w:val="Pododdelek Znak"/>
    <w:link w:val="Pododdelek"/>
    <w:rsid w:val="0006445B"/>
    <w:rPr>
      <w:rFonts w:ascii="Arial" w:eastAsia="Times New Roman" w:hAnsi="Arial" w:cs="Times New Roman"/>
      <w:kern w:val="0"/>
      <w:lang w:val="x-none" w:eastAsia="x-none"/>
      <w14:ligatures w14:val="none"/>
    </w:rPr>
  </w:style>
  <w:style w:type="paragraph" w:customStyle="1" w:styleId="EVA">
    <w:name w:val="EVA"/>
    <w:basedOn w:val="Navaden"/>
    <w:link w:val="EVAZnak"/>
    <w:qFormat/>
    <w:rsid w:val="00A211EE"/>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kern w:val="0"/>
      <w:lang w:val="x-none" w:eastAsia="x-none"/>
      <w14:ligatures w14:val="none"/>
    </w:rPr>
  </w:style>
  <w:style w:type="paragraph" w:styleId="Navadensplet">
    <w:name w:val="Normal (Web)"/>
    <w:basedOn w:val="Navaden"/>
    <w:uiPriority w:val="99"/>
    <w:unhideWhenUsed/>
    <w:rsid w:val="00A211EE"/>
    <w:pPr>
      <w:spacing w:after="161" w:line="240" w:lineRule="auto"/>
      <w:jc w:val="both"/>
    </w:pPr>
    <w:rPr>
      <w:rFonts w:ascii="Times New Roman" w:eastAsia="Times New Roman" w:hAnsi="Times New Roman" w:cs="Times New Roman"/>
      <w:color w:val="333333"/>
      <w:kern w:val="0"/>
      <w:sz w:val="14"/>
      <w:szCs w:val="14"/>
      <w:lang w:eastAsia="sl-SI"/>
      <w14:ligatures w14:val="none"/>
    </w:rPr>
  </w:style>
  <w:style w:type="character" w:customStyle="1" w:styleId="EVAZnak">
    <w:name w:val="EVA Znak"/>
    <w:link w:val="EVA"/>
    <w:rsid w:val="0006445B"/>
    <w:rPr>
      <w:rFonts w:ascii="Arial" w:eastAsia="Times New Roman" w:hAnsi="Arial" w:cs="Times New Roman"/>
      <w:color w:val="000000"/>
      <w:kern w:val="0"/>
      <w:lang w:val="x-none" w:eastAsia="x-none"/>
      <w14:ligatures w14:val="none"/>
    </w:rPr>
  </w:style>
  <w:style w:type="paragraph" w:customStyle="1" w:styleId="Komentar-besedilo">
    <w:name w:val="Komentar - besedilo"/>
    <w:basedOn w:val="Navaden"/>
    <w:link w:val="Komentar-besediloZnak"/>
    <w:semiHidden/>
    <w:rsid w:val="00A211EE"/>
    <w:pPr>
      <w:spacing w:after="0" w:line="240" w:lineRule="auto"/>
      <w:jc w:val="both"/>
    </w:pPr>
    <w:rPr>
      <w:rFonts w:ascii="Arial" w:eastAsia="Times New Roman" w:hAnsi="Arial" w:cs="Times New Roman"/>
      <w:kern w:val="0"/>
      <w:sz w:val="20"/>
      <w:szCs w:val="20"/>
      <w:lang w:val="x-none"/>
      <w14:ligatures w14:val="none"/>
    </w:rPr>
  </w:style>
  <w:style w:type="character" w:customStyle="1" w:styleId="Komentar-besediloZnak">
    <w:name w:val="Komentar - besedilo Znak"/>
    <w:link w:val="Komentar-besedilo"/>
    <w:semiHidden/>
    <w:rsid w:val="0006445B"/>
    <w:rPr>
      <w:rFonts w:ascii="Arial" w:eastAsia="Times New Roman" w:hAnsi="Arial" w:cs="Times New Roman"/>
      <w:kern w:val="0"/>
      <w:sz w:val="20"/>
      <w:szCs w:val="20"/>
      <w:lang w:val="x-none"/>
      <w14:ligatures w14:val="none"/>
    </w:rPr>
  </w:style>
  <w:style w:type="paragraph" w:customStyle="1" w:styleId="Imeorgana">
    <w:name w:val="Ime organa"/>
    <w:basedOn w:val="Navaden"/>
    <w:link w:val="ImeorganaZnak"/>
    <w:qFormat/>
    <w:rsid w:val="00A211EE"/>
    <w:pPr>
      <w:tabs>
        <w:tab w:val="left" w:pos="6521"/>
      </w:tabs>
      <w:overflowPunct w:val="0"/>
      <w:autoSpaceDE w:val="0"/>
      <w:autoSpaceDN w:val="0"/>
      <w:adjustRightInd w:val="0"/>
      <w:spacing w:before="480" w:after="0" w:line="240" w:lineRule="auto"/>
      <w:ind w:left="5670"/>
      <w:jc w:val="both"/>
      <w:textAlignment w:val="baseline"/>
    </w:pPr>
    <w:rPr>
      <w:rFonts w:ascii="Arial" w:eastAsia="Times New Roman" w:hAnsi="Arial" w:cs="Times New Roman"/>
      <w:kern w:val="0"/>
      <w:lang w:val="x-none" w:eastAsia="x-none"/>
      <w14:ligatures w14:val="none"/>
    </w:rPr>
  </w:style>
  <w:style w:type="paragraph" w:customStyle="1" w:styleId="Alineja">
    <w:name w:val="Alineja"/>
    <w:basedOn w:val="Navaden"/>
    <w:link w:val="AlinejaZnak"/>
    <w:qFormat/>
    <w:rsid w:val="00A211EE"/>
    <w:pPr>
      <w:numPr>
        <w:numId w:val="6"/>
      </w:numPr>
      <w:overflowPunct w:val="0"/>
      <w:autoSpaceDE w:val="0"/>
      <w:autoSpaceDN w:val="0"/>
      <w:adjustRightInd w:val="0"/>
      <w:spacing w:after="0" w:line="200" w:lineRule="exact"/>
      <w:jc w:val="both"/>
      <w:textAlignment w:val="baseline"/>
    </w:pPr>
    <w:rPr>
      <w:rFonts w:ascii="Arial" w:eastAsia="Times New Roman" w:hAnsi="Arial" w:cs="Times New Roman"/>
      <w:kern w:val="0"/>
      <w:sz w:val="17"/>
      <w:szCs w:val="17"/>
      <w:lang w:val="x-none" w:eastAsia="x-none"/>
      <w14:ligatures w14:val="none"/>
    </w:rPr>
  </w:style>
  <w:style w:type="character" w:customStyle="1" w:styleId="AlinejaZnak">
    <w:name w:val="Alineja Znak"/>
    <w:link w:val="Alineja"/>
    <w:rsid w:val="0006445B"/>
    <w:rPr>
      <w:rFonts w:ascii="Arial" w:eastAsia="Times New Roman" w:hAnsi="Arial" w:cs="Times New Roman"/>
      <w:kern w:val="0"/>
      <w:sz w:val="17"/>
      <w:szCs w:val="17"/>
      <w:lang w:val="x-none" w:eastAsia="x-none"/>
      <w14:ligatures w14:val="none"/>
    </w:rPr>
  </w:style>
  <w:style w:type="paragraph" w:customStyle="1" w:styleId="Opozorilo">
    <w:name w:val="Opozorilo"/>
    <w:basedOn w:val="Navaden"/>
    <w:link w:val="OpozoriloZnak"/>
    <w:qFormat/>
    <w:rsid w:val="00A211EE"/>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kern w:val="0"/>
      <w:sz w:val="17"/>
      <w:szCs w:val="17"/>
      <w:lang w:val="x-none" w:eastAsia="x-none"/>
      <w14:ligatures w14:val="none"/>
    </w:rPr>
  </w:style>
  <w:style w:type="character" w:customStyle="1" w:styleId="OpozoriloZnak">
    <w:name w:val="Opozorilo Znak"/>
    <w:link w:val="Opozorilo"/>
    <w:rsid w:val="0006445B"/>
    <w:rPr>
      <w:rFonts w:ascii="Arial" w:eastAsia="Times New Roman" w:hAnsi="Arial" w:cs="Times New Roman"/>
      <w:color w:val="808080"/>
      <w:kern w:val="0"/>
      <w:sz w:val="17"/>
      <w:szCs w:val="17"/>
      <w:lang w:val="x-none" w:eastAsia="x-none"/>
      <w14:ligatures w14:val="none"/>
    </w:rPr>
  </w:style>
  <w:style w:type="paragraph" w:customStyle="1" w:styleId="lennovele">
    <w:name w:val="Člen_novele"/>
    <w:basedOn w:val="len"/>
    <w:link w:val="lennoveleZnak"/>
    <w:qFormat/>
    <w:rsid w:val="0006445B"/>
  </w:style>
  <w:style w:type="paragraph" w:customStyle="1" w:styleId="Priloga">
    <w:name w:val="Priloga"/>
    <w:basedOn w:val="Navaden"/>
    <w:link w:val="PrilogaZnak"/>
    <w:qFormat/>
    <w:rsid w:val="00A211EE"/>
    <w:pPr>
      <w:overflowPunct w:val="0"/>
      <w:autoSpaceDE w:val="0"/>
      <w:autoSpaceDN w:val="0"/>
      <w:adjustRightInd w:val="0"/>
      <w:spacing w:before="380" w:after="60" w:line="200" w:lineRule="exact"/>
      <w:jc w:val="both"/>
      <w:textAlignment w:val="baseline"/>
    </w:pPr>
    <w:rPr>
      <w:rFonts w:ascii="Arial" w:eastAsia="Times New Roman" w:hAnsi="Arial" w:cs="Times New Roman"/>
      <w:b/>
      <w:kern w:val="0"/>
      <w:sz w:val="17"/>
      <w:szCs w:val="17"/>
      <w:lang w:val="x-none" w:eastAsia="x-none"/>
      <w14:ligatures w14:val="none"/>
    </w:rPr>
  </w:style>
  <w:style w:type="character" w:customStyle="1" w:styleId="lennoveleZnak">
    <w:name w:val="Člen_novele Znak"/>
    <w:link w:val="lennovele"/>
    <w:rsid w:val="0006445B"/>
    <w:rPr>
      <w:rFonts w:ascii="Arial" w:eastAsia="Times New Roman" w:hAnsi="Arial" w:cs="Times New Roman"/>
      <w:b/>
      <w:kern w:val="0"/>
      <w:lang w:val="x-none" w:eastAsia="x-none"/>
      <w14:ligatures w14:val="none"/>
    </w:rPr>
  </w:style>
  <w:style w:type="character" w:customStyle="1" w:styleId="PrilogaZnak">
    <w:name w:val="Priloga Znak"/>
    <w:link w:val="Priloga"/>
    <w:rsid w:val="0006445B"/>
    <w:rPr>
      <w:rFonts w:ascii="Arial" w:eastAsia="Times New Roman" w:hAnsi="Arial" w:cs="Times New Roman"/>
      <w:b/>
      <w:kern w:val="0"/>
      <w:sz w:val="17"/>
      <w:szCs w:val="17"/>
      <w:lang w:val="x-none" w:eastAsia="x-none"/>
      <w14:ligatures w14:val="none"/>
    </w:rPr>
  </w:style>
  <w:style w:type="paragraph" w:customStyle="1" w:styleId="rta">
    <w:name w:val="Črta"/>
    <w:basedOn w:val="Navaden"/>
    <w:link w:val="rtaZnak"/>
    <w:qFormat/>
    <w:rsid w:val="00A211EE"/>
    <w:pPr>
      <w:overflowPunct w:val="0"/>
      <w:autoSpaceDE w:val="0"/>
      <w:autoSpaceDN w:val="0"/>
      <w:adjustRightInd w:val="0"/>
      <w:spacing w:before="360" w:after="0" w:line="240" w:lineRule="auto"/>
      <w:jc w:val="center"/>
      <w:textAlignment w:val="baseline"/>
    </w:pPr>
    <w:rPr>
      <w:rFonts w:ascii="Arial" w:eastAsia="Times New Roman" w:hAnsi="Arial" w:cs="Times New Roman"/>
      <w:kern w:val="0"/>
      <w:lang w:val="x-none" w:eastAsia="x-none"/>
      <w14:ligatures w14:val="none"/>
    </w:rPr>
  </w:style>
  <w:style w:type="paragraph" w:customStyle="1" w:styleId="NPB">
    <w:name w:val="NPB"/>
    <w:basedOn w:val="Vrstapredpisa"/>
    <w:qFormat/>
    <w:rsid w:val="0006445B"/>
    <w:pPr>
      <w:spacing w:before="480" w:line="240" w:lineRule="auto"/>
    </w:pPr>
    <w:rPr>
      <w:spacing w:val="0"/>
    </w:rPr>
  </w:style>
  <w:style w:type="character" w:customStyle="1" w:styleId="rtaZnak">
    <w:name w:val="Črta Znak"/>
    <w:link w:val="rta"/>
    <w:rsid w:val="0006445B"/>
    <w:rPr>
      <w:rFonts w:ascii="Arial" w:eastAsia="Times New Roman" w:hAnsi="Arial" w:cs="Times New Roman"/>
      <w:kern w:val="0"/>
      <w:lang w:val="x-none" w:eastAsia="x-none"/>
      <w14:ligatures w14:val="none"/>
    </w:rPr>
  </w:style>
  <w:style w:type="paragraph" w:customStyle="1" w:styleId="Zamaknjenadolobaprvinivo">
    <w:name w:val="Zamaknjena določba_prvi nivo"/>
    <w:basedOn w:val="Alineazaodstavkom"/>
    <w:link w:val="ZamaknjenadolobaprvinivoZnak"/>
    <w:qFormat/>
    <w:rsid w:val="0006445B"/>
    <w:pPr>
      <w:tabs>
        <w:tab w:val="left" w:pos="540"/>
        <w:tab w:val="left" w:pos="900"/>
      </w:tabs>
      <w:overflowPunct/>
      <w:autoSpaceDE/>
      <w:autoSpaceDN/>
      <w:adjustRightInd/>
      <w:spacing w:line="240" w:lineRule="auto"/>
      <w:ind w:left="0" w:firstLine="0"/>
      <w:textAlignment w:val="auto"/>
    </w:pPr>
  </w:style>
  <w:style w:type="paragraph" w:customStyle="1" w:styleId="Zamaknjenadolobadruginivo">
    <w:name w:val="Zamaknjena določba_drugi nivo"/>
    <w:basedOn w:val="rkovnatokazatevilnotoko"/>
    <w:link w:val="ZamaknjenadolobadruginivoZnak"/>
    <w:qFormat/>
    <w:rsid w:val="00A211EE"/>
    <w:pPr>
      <w:numPr>
        <w:numId w:val="0"/>
      </w:numPr>
      <w:ind w:left="397"/>
    </w:pPr>
  </w:style>
  <w:style w:type="character" w:customStyle="1" w:styleId="ZamaknjenadolobaprvinivoZnak">
    <w:name w:val="Zamaknjena določba_prvi nivo Znak"/>
    <w:link w:val="Zamaknjenadolobaprvinivo"/>
    <w:rsid w:val="0006445B"/>
    <w:rPr>
      <w:rFonts w:ascii="Arial" w:eastAsia="Times New Roman" w:hAnsi="Arial" w:cs="Times New Roman"/>
      <w:kern w:val="0"/>
      <w:lang w:val="x-none" w:eastAsia="x-none"/>
      <w14:ligatures w14:val="none"/>
    </w:rPr>
  </w:style>
  <w:style w:type="character" w:customStyle="1" w:styleId="ZamaknjenadolobadruginivoZnak">
    <w:name w:val="Zamaknjena določba_drugi nivo Znak"/>
    <w:link w:val="Zamaknjenadolobadruginivo"/>
    <w:rsid w:val="0006445B"/>
    <w:rPr>
      <w:rFonts w:ascii="Arial" w:eastAsia="Times New Roman" w:hAnsi="Arial" w:cs="Times New Roman"/>
      <w:kern w:val="0"/>
      <w:lang w:val="x-none" w:eastAsia="x-none"/>
      <w14:ligatures w14:val="none"/>
    </w:rPr>
  </w:style>
  <w:style w:type="paragraph" w:customStyle="1" w:styleId="Alineazapodtoko">
    <w:name w:val="Alinea za podtočko"/>
    <w:basedOn w:val="Alineazaodstavkom"/>
    <w:link w:val="AlineazapodtokoZnak"/>
    <w:qFormat/>
    <w:rsid w:val="0006445B"/>
    <w:pPr>
      <w:tabs>
        <w:tab w:val="left" w:pos="540"/>
        <w:tab w:val="left" w:pos="900"/>
      </w:tabs>
      <w:overflowPunct/>
      <w:autoSpaceDE/>
      <w:autoSpaceDN/>
      <w:adjustRightInd/>
      <w:spacing w:line="240" w:lineRule="auto"/>
      <w:ind w:left="1134" w:hanging="227"/>
      <w:textAlignment w:val="auto"/>
    </w:pPr>
  </w:style>
  <w:style w:type="paragraph" w:customStyle="1" w:styleId="Zamakanjenadolobatretjinivo">
    <w:name w:val="Zamakanjena določba_tretji nivo"/>
    <w:basedOn w:val="Zamaknjenadolobadruginivo"/>
    <w:link w:val="ZamakanjenadolobatretjinivoZnak"/>
    <w:qFormat/>
    <w:rsid w:val="0006445B"/>
    <w:pPr>
      <w:ind w:left="907"/>
    </w:pPr>
  </w:style>
  <w:style w:type="character" w:customStyle="1" w:styleId="AlineazapodtokoZnak">
    <w:name w:val="Alinea za podtočko Znak"/>
    <w:link w:val="Alineazapodtoko"/>
    <w:rsid w:val="0006445B"/>
    <w:rPr>
      <w:rFonts w:ascii="Arial" w:eastAsia="Times New Roman" w:hAnsi="Arial" w:cs="Times New Roman"/>
      <w:kern w:val="0"/>
      <w:lang w:val="x-none" w:eastAsia="x-none"/>
      <w14:ligatures w14:val="none"/>
    </w:rPr>
  </w:style>
  <w:style w:type="numbering" w:customStyle="1" w:styleId="Alinejazaodstavkom">
    <w:name w:val="Alineja za odstavkom"/>
    <w:uiPriority w:val="99"/>
    <w:rsid w:val="0006445B"/>
    <w:pPr>
      <w:numPr>
        <w:numId w:val="7"/>
      </w:numPr>
    </w:pPr>
  </w:style>
  <w:style w:type="character" w:customStyle="1" w:styleId="ZamakanjenadolobatretjinivoZnak">
    <w:name w:val="Zamakanjena določba_tretji nivo Znak"/>
    <w:link w:val="Zamakanjenadolobatretjinivo"/>
    <w:rsid w:val="0006445B"/>
    <w:rPr>
      <w:rFonts w:ascii="Arial" w:eastAsia="Times New Roman" w:hAnsi="Arial" w:cs="Times New Roman"/>
      <w:kern w:val="0"/>
      <w:lang w:val="x-none" w:eastAsia="x-none"/>
      <w14:ligatures w14:val="none"/>
    </w:rPr>
  </w:style>
  <w:style w:type="character" w:customStyle="1" w:styleId="ImeorganaZnak">
    <w:name w:val="Ime organa Znak"/>
    <w:link w:val="Imeorgana"/>
    <w:rsid w:val="0006445B"/>
    <w:rPr>
      <w:rFonts w:ascii="Arial" w:eastAsia="Times New Roman" w:hAnsi="Arial" w:cs="Times New Roman"/>
      <w:kern w:val="0"/>
      <w:lang w:val="x-none" w:eastAsia="x-none"/>
      <w14:ligatures w14:val="none"/>
    </w:rPr>
  </w:style>
  <w:style w:type="paragraph" w:customStyle="1" w:styleId="Prehodneinkoncnedolocbe">
    <w:name w:val="Prehodne in koncne dolocbe"/>
    <w:basedOn w:val="Navaden"/>
    <w:rsid w:val="00A211EE"/>
    <w:pPr>
      <w:overflowPunct w:val="0"/>
      <w:autoSpaceDE w:val="0"/>
      <w:autoSpaceDN w:val="0"/>
      <w:adjustRightInd w:val="0"/>
      <w:spacing w:before="400" w:after="600" w:line="240" w:lineRule="auto"/>
      <w:jc w:val="both"/>
      <w:textAlignment w:val="baseline"/>
    </w:pPr>
    <w:rPr>
      <w:rFonts w:ascii="Arial" w:eastAsia="Times New Roman" w:hAnsi="Arial" w:cs="Times New Roman"/>
      <w:b/>
      <w:kern w:val="0"/>
      <w:szCs w:val="16"/>
      <w:lang w:eastAsia="sl-SI"/>
      <w14:ligatures w14:val="none"/>
    </w:rPr>
  </w:style>
  <w:style w:type="paragraph" w:customStyle="1" w:styleId="Default">
    <w:name w:val="Default"/>
    <w:rsid w:val="00A211EE"/>
    <w:pPr>
      <w:autoSpaceDE w:val="0"/>
      <w:autoSpaceDN w:val="0"/>
      <w:adjustRightInd w:val="0"/>
      <w:spacing w:after="0" w:line="240" w:lineRule="auto"/>
    </w:pPr>
    <w:rPr>
      <w:rFonts w:ascii="Arial" w:eastAsia="Calibri" w:hAnsi="Arial" w:cs="Arial"/>
      <w:color w:val="000000"/>
      <w:kern w:val="0"/>
      <w:sz w:val="24"/>
      <w:szCs w:val="24"/>
      <w:lang w:eastAsia="sl-SI"/>
      <w14:ligatures w14:val="none"/>
    </w:rPr>
  </w:style>
  <w:style w:type="paragraph" w:styleId="Revizija">
    <w:name w:val="Revision"/>
    <w:hidden/>
    <w:uiPriority w:val="99"/>
    <w:semiHidden/>
    <w:rsid w:val="00A211EE"/>
    <w:pPr>
      <w:spacing w:after="0" w:line="240" w:lineRule="auto"/>
    </w:pPr>
    <w:rPr>
      <w:rFonts w:ascii="Arial" w:eastAsia="Times New Roman" w:hAnsi="Arial" w:cs="Times New Roman"/>
      <w:kern w:val="0"/>
      <w:szCs w:val="16"/>
      <w:lang w:eastAsia="sl-SI"/>
      <w14:ligatures w14:val="none"/>
    </w:rPr>
  </w:style>
  <w:style w:type="paragraph" w:customStyle="1" w:styleId="len0">
    <w:name w:val="len"/>
    <w:basedOn w:val="Navaden"/>
    <w:rsid w:val="00A211E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paragraph" w:customStyle="1" w:styleId="lennaslov0">
    <w:name w:val="lennaslov"/>
    <w:basedOn w:val="Navaden"/>
    <w:rsid w:val="00A211E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paragraph" w:customStyle="1" w:styleId="odstavek0">
    <w:name w:val="odstavek"/>
    <w:basedOn w:val="Navaden"/>
    <w:rsid w:val="00A211E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paragraph" w:customStyle="1" w:styleId="alineazaodstavkom0">
    <w:name w:val="alineazaodstavkom"/>
    <w:basedOn w:val="Navaden"/>
    <w:rsid w:val="00A211E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paragraph" w:customStyle="1" w:styleId="zamaknjenadolobaprvinivo0">
    <w:name w:val="zamaknjenadolobaprvinivo"/>
    <w:basedOn w:val="Navaden"/>
    <w:rsid w:val="00A211E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character" w:customStyle="1" w:styleId="highlight">
    <w:name w:val="highlight"/>
    <w:rsid w:val="0006445B"/>
  </w:style>
  <w:style w:type="paragraph" w:customStyle="1" w:styleId="Style1">
    <w:name w:val="Style1"/>
    <w:basedOn w:val="Navaden"/>
    <w:uiPriority w:val="99"/>
    <w:rsid w:val="00A211EE"/>
    <w:pPr>
      <w:widowControl w:val="0"/>
      <w:autoSpaceDE w:val="0"/>
      <w:autoSpaceDN w:val="0"/>
      <w:adjustRightInd w:val="0"/>
      <w:spacing w:after="0" w:line="240" w:lineRule="auto"/>
      <w:jc w:val="both"/>
    </w:pPr>
    <w:rPr>
      <w:rFonts w:ascii="Arial" w:eastAsia="Times New Roman" w:hAnsi="Arial" w:cs="Arial"/>
      <w:kern w:val="0"/>
      <w:sz w:val="24"/>
      <w:szCs w:val="24"/>
      <w:lang w:eastAsia="sl-SI"/>
      <w14:ligatures w14:val="none"/>
    </w:rPr>
  </w:style>
  <w:style w:type="paragraph" w:customStyle="1" w:styleId="Style2">
    <w:name w:val="Style2"/>
    <w:basedOn w:val="Navaden"/>
    <w:uiPriority w:val="99"/>
    <w:rsid w:val="00A211EE"/>
    <w:pPr>
      <w:widowControl w:val="0"/>
      <w:autoSpaceDE w:val="0"/>
      <w:autoSpaceDN w:val="0"/>
      <w:adjustRightInd w:val="0"/>
      <w:spacing w:after="0" w:line="264" w:lineRule="exact"/>
      <w:jc w:val="center"/>
    </w:pPr>
    <w:rPr>
      <w:rFonts w:ascii="Arial" w:eastAsia="Times New Roman" w:hAnsi="Arial" w:cs="Arial"/>
      <w:kern w:val="0"/>
      <w:sz w:val="24"/>
      <w:szCs w:val="24"/>
      <w:lang w:eastAsia="sl-SI"/>
      <w14:ligatures w14:val="none"/>
    </w:rPr>
  </w:style>
  <w:style w:type="paragraph" w:customStyle="1" w:styleId="Style3">
    <w:name w:val="Style3"/>
    <w:basedOn w:val="Navaden"/>
    <w:uiPriority w:val="99"/>
    <w:rsid w:val="00A211EE"/>
    <w:pPr>
      <w:widowControl w:val="0"/>
      <w:autoSpaceDE w:val="0"/>
      <w:autoSpaceDN w:val="0"/>
      <w:adjustRightInd w:val="0"/>
      <w:spacing w:after="0" w:line="206" w:lineRule="exact"/>
      <w:jc w:val="center"/>
    </w:pPr>
    <w:rPr>
      <w:rFonts w:ascii="Arial" w:eastAsia="Times New Roman" w:hAnsi="Arial" w:cs="Arial"/>
      <w:kern w:val="0"/>
      <w:sz w:val="24"/>
      <w:szCs w:val="24"/>
      <w:lang w:eastAsia="sl-SI"/>
      <w14:ligatures w14:val="none"/>
    </w:rPr>
  </w:style>
  <w:style w:type="character" w:customStyle="1" w:styleId="FontStyle11">
    <w:name w:val="Font Style11"/>
    <w:uiPriority w:val="99"/>
    <w:rsid w:val="0006445B"/>
    <w:rPr>
      <w:rFonts w:ascii="Arial" w:hAnsi="Arial" w:cs="Arial"/>
      <w:sz w:val="18"/>
      <w:szCs w:val="18"/>
    </w:rPr>
  </w:style>
  <w:style w:type="character" w:customStyle="1" w:styleId="FontStyle12">
    <w:name w:val="Font Style12"/>
    <w:uiPriority w:val="99"/>
    <w:rsid w:val="0006445B"/>
    <w:rPr>
      <w:rFonts w:ascii="Arial" w:hAnsi="Arial" w:cs="Arial"/>
      <w:sz w:val="16"/>
      <w:szCs w:val="16"/>
    </w:rPr>
  </w:style>
  <w:style w:type="paragraph" w:customStyle="1" w:styleId="poglavje0">
    <w:name w:val="poglavje"/>
    <w:basedOn w:val="Navaden"/>
    <w:rsid w:val="00A211E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paragraph" w:customStyle="1" w:styleId="tevilnatoka0">
    <w:name w:val="tevilnatoka"/>
    <w:basedOn w:val="Navaden"/>
    <w:rsid w:val="00A211E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paragraph" w:styleId="Odstavekseznama">
    <w:name w:val="List Paragraph"/>
    <w:aliases w:val="člen"/>
    <w:basedOn w:val="Navaden"/>
    <w:link w:val="OdstavekseznamaZnak"/>
    <w:uiPriority w:val="99"/>
    <w:qFormat/>
    <w:rsid w:val="00A211EE"/>
    <w:pPr>
      <w:overflowPunct w:val="0"/>
      <w:autoSpaceDE w:val="0"/>
      <w:autoSpaceDN w:val="0"/>
      <w:adjustRightInd w:val="0"/>
      <w:spacing w:after="0" w:line="240" w:lineRule="auto"/>
      <w:ind w:left="708"/>
      <w:jc w:val="both"/>
      <w:textAlignment w:val="baseline"/>
    </w:pPr>
    <w:rPr>
      <w:rFonts w:ascii="Arial" w:eastAsia="Times New Roman" w:hAnsi="Arial" w:cs="Times New Roman"/>
      <w:kern w:val="0"/>
      <w:szCs w:val="16"/>
      <w:lang w:val="x-none" w:eastAsia="x-none"/>
      <w14:ligatures w14:val="none"/>
    </w:rPr>
  </w:style>
  <w:style w:type="numbering" w:customStyle="1" w:styleId="Brezseznama2">
    <w:name w:val="Brez seznama2"/>
    <w:next w:val="Brezseznama"/>
    <w:uiPriority w:val="99"/>
    <w:semiHidden/>
    <w:unhideWhenUsed/>
    <w:rsid w:val="0006445B"/>
  </w:style>
  <w:style w:type="numbering" w:customStyle="1" w:styleId="Alinejazaodstavkom1">
    <w:name w:val="Alineja za odstavkom1"/>
    <w:uiPriority w:val="99"/>
    <w:rsid w:val="0006445B"/>
  </w:style>
  <w:style w:type="paragraph" w:customStyle="1" w:styleId="paragraph">
    <w:name w:val="paragraph"/>
    <w:basedOn w:val="Navaden"/>
    <w:rsid w:val="00A211EE"/>
    <w:pPr>
      <w:spacing w:before="100" w:beforeAutospacing="1" w:after="100" w:afterAutospacing="1" w:line="240" w:lineRule="auto"/>
      <w:jc w:val="both"/>
    </w:pPr>
    <w:rPr>
      <w:rFonts w:ascii="Times New Roman" w:eastAsia="Times New Roman" w:hAnsi="Times New Roman" w:cs="Times New Roman"/>
      <w:kern w:val="0"/>
      <w:sz w:val="24"/>
      <w:szCs w:val="24"/>
      <w:lang w:eastAsia="sl-SI"/>
      <w14:ligatures w14:val="none"/>
    </w:rPr>
  </w:style>
  <w:style w:type="character" w:customStyle="1" w:styleId="normaltextrun">
    <w:name w:val="normaltextrun"/>
    <w:basedOn w:val="Privzetapisavaodstavka"/>
    <w:rsid w:val="0006445B"/>
  </w:style>
  <w:style w:type="character" w:customStyle="1" w:styleId="eop">
    <w:name w:val="eop"/>
    <w:basedOn w:val="Privzetapisavaodstavka"/>
    <w:rsid w:val="0006445B"/>
  </w:style>
  <w:style w:type="paragraph" w:styleId="Brezrazmikov">
    <w:name w:val="No Spacing"/>
    <w:uiPriority w:val="1"/>
    <w:qFormat/>
    <w:rsid w:val="00A211EE"/>
    <w:pPr>
      <w:spacing w:after="0" w:line="240" w:lineRule="auto"/>
    </w:pPr>
    <w:rPr>
      <w:rFonts w:ascii="Trebuchet MS" w:eastAsia="Calibri" w:hAnsi="Trebuchet MS" w:cs="Times New Roman"/>
      <w:kern w:val="0"/>
      <w:sz w:val="20"/>
      <w14:ligatures w14:val="none"/>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rsid w:val="00A211EE"/>
    <w:pPr>
      <w:spacing w:after="0" w:line="260" w:lineRule="exact"/>
      <w:jc w:val="both"/>
    </w:pPr>
    <w:rPr>
      <w:rFonts w:ascii="Garamond" w:eastAsia="Times New Roman" w:hAnsi="Garamond" w:cs="Times New Roman"/>
      <w:kern w:val="0"/>
      <w:sz w:val="20"/>
      <w:szCs w:val="20"/>
      <w:lang w:val="x-none" w:eastAsia="x-none"/>
      <w14:ligatures w14:val="none"/>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06445B"/>
    <w:rPr>
      <w:rFonts w:ascii="Garamond" w:eastAsia="Times New Roman" w:hAnsi="Garamond" w:cs="Times New Roman"/>
      <w:kern w:val="0"/>
      <w:sz w:val="20"/>
      <w:szCs w:val="20"/>
      <w:lang w:val="x-none" w:eastAsia="x-none"/>
      <w14:ligatures w14:val="none"/>
    </w:rPr>
  </w:style>
  <w:style w:type="character" w:customStyle="1" w:styleId="OdstavekseznamaZnak">
    <w:name w:val="Odstavek seznama Znak"/>
    <w:aliases w:val="člen Znak"/>
    <w:link w:val="Odstavekseznama"/>
    <w:uiPriority w:val="99"/>
    <w:rsid w:val="0006445B"/>
    <w:rPr>
      <w:rFonts w:ascii="Arial" w:eastAsia="Times New Roman" w:hAnsi="Arial" w:cs="Times New Roman"/>
      <w:kern w:val="0"/>
      <w:szCs w:val="16"/>
      <w:lang w:val="x-none" w:eastAsia="x-none"/>
      <w14:ligatures w14:val="none"/>
    </w:rPr>
  </w:style>
  <w:style w:type="paragraph" w:styleId="Podnaslov">
    <w:name w:val="Subtitle"/>
    <w:basedOn w:val="Navaden"/>
    <w:next w:val="Navaden"/>
    <w:link w:val="PodnaslovZnak"/>
    <w:uiPriority w:val="11"/>
    <w:qFormat/>
    <w:rsid w:val="00A211EE"/>
    <w:pPr>
      <w:numPr>
        <w:ilvl w:val="1"/>
      </w:numPr>
      <w:spacing w:after="200" w:line="276" w:lineRule="auto"/>
      <w:jc w:val="center"/>
    </w:pPr>
    <w:rPr>
      <w:rFonts w:ascii="Trebuchet MS" w:eastAsia="Times New Roman" w:hAnsi="Trebuchet MS" w:cs="Times New Roman"/>
      <w:b/>
      <w:iCs/>
      <w:spacing w:val="15"/>
      <w:kern w:val="0"/>
      <w:sz w:val="20"/>
      <w:szCs w:val="24"/>
      <w:lang w:val="x-none"/>
      <w14:ligatures w14:val="none"/>
    </w:rPr>
  </w:style>
  <w:style w:type="character" w:customStyle="1" w:styleId="PodnaslovZnak">
    <w:name w:val="Podnaslov Znak"/>
    <w:basedOn w:val="Privzetapisavaodstavka"/>
    <w:link w:val="Podnaslov"/>
    <w:uiPriority w:val="11"/>
    <w:rsid w:val="0006445B"/>
    <w:rPr>
      <w:rFonts w:ascii="Trebuchet MS" w:eastAsia="Times New Roman" w:hAnsi="Trebuchet MS" w:cs="Times New Roman"/>
      <w:b/>
      <w:iCs/>
      <w:spacing w:val="15"/>
      <w:kern w:val="0"/>
      <w:sz w:val="20"/>
      <w:szCs w:val="24"/>
      <w:lang w:val="x-none"/>
      <w14:ligatures w14:val="none"/>
    </w:rPr>
  </w:style>
  <w:style w:type="paragraph" w:customStyle="1" w:styleId="tevilnatoka111">
    <w:name w:val="Številčna točka 1.1.1"/>
    <w:basedOn w:val="Navaden"/>
    <w:qFormat/>
    <w:rsid w:val="00A211EE"/>
    <w:pPr>
      <w:widowControl w:val="0"/>
      <w:tabs>
        <w:tab w:val="num" w:pos="454"/>
      </w:tabs>
      <w:overflowPunct w:val="0"/>
      <w:autoSpaceDE w:val="0"/>
      <w:autoSpaceDN w:val="0"/>
      <w:adjustRightInd w:val="0"/>
      <w:spacing w:after="0" w:line="260" w:lineRule="exact"/>
      <w:ind w:left="454" w:hanging="454"/>
      <w:jc w:val="both"/>
      <w:textAlignment w:val="baseline"/>
    </w:pPr>
    <w:rPr>
      <w:rFonts w:ascii="Arial" w:eastAsia="Times New Roman" w:hAnsi="Arial" w:cs="Times New Roman"/>
      <w:kern w:val="0"/>
      <w:sz w:val="20"/>
      <w:szCs w:val="16"/>
      <w:lang w:eastAsia="sl-SI"/>
      <w14:ligatures w14:val="none"/>
    </w:rPr>
  </w:style>
  <w:style w:type="paragraph" w:customStyle="1" w:styleId="tevilnatoka11Nova">
    <w:name w:val="Številčna točka 1.1 Nova"/>
    <w:basedOn w:val="tevilnatoka"/>
    <w:qFormat/>
    <w:rsid w:val="00A211EE"/>
    <w:pPr>
      <w:numPr>
        <w:numId w:val="0"/>
      </w:numPr>
      <w:tabs>
        <w:tab w:val="clear" w:pos="540"/>
        <w:tab w:val="clear" w:pos="900"/>
        <w:tab w:val="num" w:pos="425"/>
      </w:tabs>
      <w:spacing w:line="260" w:lineRule="exact"/>
      <w:ind w:left="425" w:hanging="425"/>
    </w:pPr>
    <w:rPr>
      <w:sz w:val="20"/>
      <w:lang w:val="sl-SI" w:eastAsia="sl-SI"/>
    </w:rPr>
  </w:style>
  <w:style w:type="character" w:styleId="SledenaHiperpovezava">
    <w:name w:val="FollowedHyperlink"/>
    <w:uiPriority w:val="99"/>
    <w:unhideWhenUsed/>
    <w:rsid w:val="0006445B"/>
    <w:rPr>
      <w:color w:val="954F72"/>
      <w:u w:val="single"/>
    </w:rPr>
  </w:style>
  <w:style w:type="numbering" w:customStyle="1" w:styleId="Brezseznama3">
    <w:name w:val="Brez seznama3"/>
    <w:next w:val="Brezseznama"/>
    <w:uiPriority w:val="99"/>
    <w:semiHidden/>
    <w:unhideWhenUsed/>
    <w:rsid w:val="0006445B"/>
  </w:style>
  <w:style w:type="numbering" w:customStyle="1" w:styleId="Alinejazaodstavkom2">
    <w:name w:val="Alineja za odstavkom2"/>
    <w:uiPriority w:val="99"/>
    <w:rsid w:val="0006445B"/>
  </w:style>
  <w:style w:type="table" w:customStyle="1" w:styleId="Tabelamrea1">
    <w:name w:val="Tabela – mreža1"/>
    <w:basedOn w:val="Navadnatabela"/>
    <w:next w:val="Tabelamrea"/>
    <w:uiPriority w:val="59"/>
    <w:rsid w:val="0006445B"/>
    <w:pPr>
      <w:spacing w:after="0" w:line="240" w:lineRule="auto"/>
    </w:pPr>
    <w:rPr>
      <w:rFonts w:ascii="Calibri" w:eastAsia="Calibri" w:hAnsi="Calibri"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pis">
    <w:name w:val="caption"/>
    <w:aliases w:val="E-PVO-Tabela-Graf-Slika,TABELA,Slika,Napis Znak,Napis Znak2,Napis Znak1 Znak,E-PVO-Tabela-Graf-Slika Znak Znak,TABELA Znak Znak,Slika Znak Znak,E-PVO-Tabela-Graf-Slika Znak1,TABELA Znak1,Slika Znak1,Napis Znak Znak1 Znak,Cha,Napis Znak Znak Znak"/>
    <w:basedOn w:val="Navaden"/>
    <w:next w:val="Navaden"/>
    <w:link w:val="NapisZnak1"/>
    <w:uiPriority w:val="12"/>
    <w:unhideWhenUsed/>
    <w:qFormat/>
    <w:rsid w:val="00A211EE"/>
    <w:pPr>
      <w:keepNext/>
      <w:tabs>
        <w:tab w:val="left" w:pos="851"/>
        <w:tab w:val="left" w:pos="1134"/>
      </w:tabs>
      <w:spacing w:before="200" w:after="0" w:line="240" w:lineRule="auto"/>
      <w:ind w:left="851" w:hanging="851"/>
    </w:pPr>
    <w:rPr>
      <w:rFonts w:ascii="Tahoma" w:eastAsia="Times New Roman" w:hAnsi="Tahoma" w:cs="Times New Roman"/>
      <w:bCs/>
      <w:i/>
      <w:noProof/>
      <w:kern w:val="0"/>
      <w:sz w:val="20"/>
      <w:szCs w:val="20"/>
      <w:lang w:val="x-none"/>
      <w14:ligatures w14:val="none"/>
    </w:rPr>
  </w:style>
  <w:style w:type="character" w:customStyle="1" w:styleId="NapisZnak1">
    <w:name w:val="Napis Znak1"/>
    <w:aliases w:val="E-PVO-Tabela-Graf-Slika Znak,TABELA Znak,Slika Znak,Napis Znak Znak,Napis Znak2 Znak,Napis Znak1 Znak Znak,E-PVO-Tabela-Graf-Slika Znak Znak Znak,TABELA Znak Znak Znak,Slika Znak Znak Znak,E-PVO-Tabela-Graf-Slika Znak1 Znak,TABELA Znak1 Znak"/>
    <w:link w:val="Napis"/>
    <w:uiPriority w:val="12"/>
    <w:rsid w:val="0006445B"/>
    <w:rPr>
      <w:rFonts w:ascii="Tahoma" w:eastAsia="Times New Roman" w:hAnsi="Tahoma" w:cs="Times New Roman"/>
      <w:bCs/>
      <w:i/>
      <w:noProof/>
      <w:kern w:val="0"/>
      <w:sz w:val="20"/>
      <w:szCs w:val="20"/>
      <w:lang w:val="x-none"/>
      <w14:ligatures w14:val="none"/>
    </w:rPr>
  </w:style>
  <w:style w:type="numbering" w:customStyle="1" w:styleId="Brezseznama4">
    <w:name w:val="Brez seznama4"/>
    <w:next w:val="Brezseznama"/>
    <w:uiPriority w:val="99"/>
    <w:semiHidden/>
    <w:unhideWhenUsed/>
    <w:rsid w:val="0006445B"/>
  </w:style>
  <w:style w:type="numbering" w:customStyle="1" w:styleId="Alinejazaodstavkom3">
    <w:name w:val="Alineja za odstavkom3"/>
    <w:uiPriority w:val="99"/>
    <w:rsid w:val="0006445B"/>
  </w:style>
  <w:style w:type="table" w:customStyle="1" w:styleId="Tabelamrea2">
    <w:name w:val="Tabela – mreža2"/>
    <w:basedOn w:val="Navadnatabela"/>
    <w:next w:val="Tabelamrea"/>
    <w:uiPriority w:val="59"/>
    <w:rsid w:val="0006445B"/>
    <w:pPr>
      <w:spacing w:after="0" w:line="240" w:lineRule="auto"/>
    </w:pPr>
    <w:rPr>
      <w:rFonts w:ascii="Calibri" w:eastAsia="Calibri" w:hAnsi="Calibri"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5">
    <w:name w:val="Brez seznama5"/>
    <w:next w:val="Brezseznama"/>
    <w:uiPriority w:val="99"/>
    <w:semiHidden/>
    <w:unhideWhenUsed/>
    <w:rsid w:val="0006445B"/>
  </w:style>
  <w:style w:type="numbering" w:customStyle="1" w:styleId="Alinejazaodstavkom4">
    <w:name w:val="Alineja za odstavkom4"/>
    <w:uiPriority w:val="99"/>
    <w:rsid w:val="0006445B"/>
    <w:pPr>
      <w:numPr>
        <w:numId w:val="3"/>
      </w:numPr>
    </w:pPr>
  </w:style>
  <w:style w:type="table" w:customStyle="1" w:styleId="Tabelamrea3">
    <w:name w:val="Tabela – mreža3"/>
    <w:basedOn w:val="Navadnatabela"/>
    <w:next w:val="Tabelamrea"/>
    <w:uiPriority w:val="59"/>
    <w:rsid w:val="0006445B"/>
    <w:pPr>
      <w:spacing w:after="0" w:line="240" w:lineRule="auto"/>
    </w:pPr>
    <w:rPr>
      <w:rFonts w:ascii="Calibri" w:eastAsia="Calibri" w:hAnsi="Calibri"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azreenaomemba">
    <w:name w:val="Unresolved Mention"/>
    <w:uiPriority w:val="99"/>
    <w:semiHidden/>
    <w:unhideWhenUsed/>
    <w:rsid w:val="0006445B"/>
    <w:rPr>
      <w:color w:val="605E5C"/>
      <w:shd w:val="clear" w:color="auto" w:fill="E1DFDD"/>
    </w:rPr>
  </w:style>
  <w:style w:type="paragraph" w:customStyle="1" w:styleId="typedudocumentcp">
    <w:name w:val="typedudocument_cp"/>
    <w:basedOn w:val="Navaden"/>
    <w:rsid w:val="0006445B"/>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titreobjetcp">
    <w:name w:val="titreobjet_cp"/>
    <w:basedOn w:val="Navaden"/>
    <w:rsid w:val="0006445B"/>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Poudarek">
    <w:name w:val="Emphasis"/>
    <w:basedOn w:val="Privzetapisavaodstavka"/>
    <w:uiPriority w:val="20"/>
    <w:qFormat/>
    <w:rsid w:val="0006445B"/>
    <w:rPr>
      <w:i/>
      <w:iCs/>
    </w:rPr>
  </w:style>
  <w:style w:type="paragraph" w:customStyle="1" w:styleId="Poglavje1">
    <w:name w:val="Poglavje1"/>
    <w:basedOn w:val="Navaden"/>
    <w:qFormat/>
    <w:rsid w:val="00F92ED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kern w:val="0"/>
      <w:lang w:eastAsia="sl-SI"/>
      <w14:ligatures w14:val="none"/>
    </w:rPr>
  </w:style>
  <w:style w:type="paragraph" w:customStyle="1" w:styleId="Oddelek1">
    <w:name w:val="Oddelek1"/>
    <w:basedOn w:val="Navaden"/>
    <w:link w:val="Oddelek1Znak"/>
    <w:qFormat/>
    <w:rsid w:val="00F92ED4"/>
    <w:pPr>
      <w:suppressAutoHyphens/>
      <w:overflowPunct w:val="0"/>
      <w:autoSpaceDE w:val="0"/>
      <w:autoSpaceDN w:val="0"/>
      <w:adjustRightInd w:val="0"/>
      <w:spacing w:before="280" w:after="60" w:line="200" w:lineRule="exact"/>
      <w:textAlignment w:val="baseline"/>
      <w:outlineLvl w:val="3"/>
    </w:pPr>
    <w:rPr>
      <w:rFonts w:ascii="Arial" w:eastAsia="Times New Roman" w:hAnsi="Arial" w:cs="Times New Roman"/>
      <w:kern w:val="0"/>
      <w:sz w:val="20"/>
      <w14:ligatures w14:val="none"/>
    </w:rPr>
  </w:style>
  <w:style w:type="character" w:customStyle="1" w:styleId="Oddelek1Znak">
    <w:name w:val="Oddelek1 Znak"/>
    <w:link w:val="Oddelek1"/>
    <w:rsid w:val="00F92ED4"/>
    <w:rPr>
      <w:rFonts w:ascii="Arial" w:eastAsia="Times New Roman" w:hAnsi="Arial" w:cs="Times New Roman"/>
      <w:kern w:val="0"/>
      <w:sz w:val="20"/>
      <w14:ligatures w14:val="none"/>
    </w:rPr>
  </w:style>
  <w:style w:type="character" w:customStyle="1" w:styleId="FontStyle18">
    <w:name w:val="Font Style18"/>
    <w:uiPriority w:val="99"/>
    <w:rsid w:val="00F92ED4"/>
    <w:rPr>
      <w:rFonts w:ascii="Times New Roman" w:hAnsi="Times New Roman" w:cs="Times New Roman"/>
      <w:sz w:val="22"/>
      <w:szCs w:val="22"/>
    </w:rPr>
  </w:style>
  <w:style w:type="character" w:customStyle="1" w:styleId="FontStyle19">
    <w:name w:val="Font Style19"/>
    <w:uiPriority w:val="99"/>
    <w:rsid w:val="00F92ED4"/>
    <w:rPr>
      <w:rFonts w:ascii="Arial Unicode MS" w:eastAsia="Arial Unicode MS" w:hAnsi="Arial Unicode MS" w:cs="Arial Unicode MS" w:hint="eastAsia"/>
      <w:b/>
      <w:bCs/>
      <w:sz w:val="18"/>
      <w:szCs w:val="18"/>
    </w:rPr>
  </w:style>
  <w:style w:type="character" w:customStyle="1" w:styleId="FontStyle34">
    <w:name w:val="Font Style34"/>
    <w:uiPriority w:val="99"/>
    <w:rsid w:val="00F92ED4"/>
    <w:rPr>
      <w:rFonts w:ascii="Book Antiqua" w:hAnsi="Book Antiqua" w:cs="Book Antiqua"/>
      <w:sz w:val="16"/>
      <w:szCs w:val="16"/>
    </w:rPr>
  </w:style>
  <w:style w:type="character" w:customStyle="1" w:styleId="cf01">
    <w:name w:val="cf01"/>
    <w:basedOn w:val="Privzetapisavaodstavka"/>
    <w:rsid w:val="00F92ED4"/>
    <w:rPr>
      <w:rFonts w:ascii="Segoe UI" w:hAnsi="Segoe UI" w:cs="Segoe UI" w:hint="default"/>
      <w:sz w:val="18"/>
      <w:szCs w:val="18"/>
    </w:rPr>
  </w:style>
  <w:style w:type="paragraph" w:customStyle="1" w:styleId="Style15">
    <w:name w:val="Style15"/>
    <w:basedOn w:val="Navaden"/>
    <w:uiPriority w:val="99"/>
    <w:rsid w:val="00F92ED4"/>
    <w:pPr>
      <w:widowControl w:val="0"/>
      <w:autoSpaceDE w:val="0"/>
      <w:autoSpaceDN w:val="0"/>
      <w:adjustRightInd w:val="0"/>
      <w:spacing w:after="0" w:line="214" w:lineRule="exact"/>
      <w:jc w:val="both"/>
    </w:pPr>
    <w:rPr>
      <w:rFonts w:ascii="Book Antiqua" w:eastAsia="Times New Roman" w:hAnsi="Book Antiqua" w:cs="Times New Roman"/>
      <w:kern w:val="0"/>
      <w:sz w:val="24"/>
      <w:szCs w:val="24"/>
      <w14:ligatures w14:val="none"/>
    </w:rPr>
  </w:style>
  <w:style w:type="character" w:customStyle="1" w:styleId="FontStyle29">
    <w:name w:val="Font Style29"/>
    <w:uiPriority w:val="99"/>
    <w:rsid w:val="00F92ED4"/>
    <w:rPr>
      <w:rFonts w:ascii="Book Antiqua" w:hAnsi="Book Antiqua" w:cs="Book Antiqua"/>
      <w:b/>
      <w:bCs/>
      <w:sz w:val="14"/>
      <w:szCs w:val="14"/>
    </w:rPr>
  </w:style>
  <w:style w:type="paragraph" w:customStyle="1" w:styleId="Style7">
    <w:name w:val="Style7"/>
    <w:basedOn w:val="Navaden"/>
    <w:uiPriority w:val="99"/>
    <w:rsid w:val="00F92ED4"/>
    <w:pPr>
      <w:widowControl w:val="0"/>
      <w:autoSpaceDE w:val="0"/>
      <w:autoSpaceDN w:val="0"/>
      <w:adjustRightInd w:val="0"/>
      <w:spacing w:after="0" w:line="341" w:lineRule="exact"/>
      <w:jc w:val="center"/>
    </w:pPr>
    <w:rPr>
      <w:rFonts w:ascii="Book Antiqua" w:eastAsia="Times New Roman" w:hAnsi="Book Antiqua" w:cs="Times New Roman"/>
      <w:kern w:val="0"/>
      <w:sz w:val="24"/>
      <w:szCs w:val="24"/>
      <w14:ligatures w14:val="none"/>
    </w:rPr>
  </w:style>
  <w:style w:type="numbering" w:customStyle="1" w:styleId="Brezseznama6">
    <w:name w:val="Brez seznama6"/>
    <w:next w:val="Brezseznama"/>
    <w:uiPriority w:val="99"/>
    <w:semiHidden/>
    <w:unhideWhenUsed/>
    <w:rsid w:val="00B74958"/>
  </w:style>
  <w:style w:type="table" w:customStyle="1" w:styleId="Tabelamrea4">
    <w:name w:val="Tabela – mreža4"/>
    <w:basedOn w:val="Navadnatabela"/>
    <w:next w:val="Tabelamrea"/>
    <w:uiPriority w:val="39"/>
    <w:rsid w:val="00B749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019248">
      <w:bodyDiv w:val="1"/>
      <w:marLeft w:val="0"/>
      <w:marRight w:val="0"/>
      <w:marTop w:val="0"/>
      <w:marBottom w:val="0"/>
      <w:divBdr>
        <w:top w:val="none" w:sz="0" w:space="0" w:color="auto"/>
        <w:left w:val="none" w:sz="0" w:space="0" w:color="auto"/>
        <w:bottom w:val="none" w:sz="0" w:space="0" w:color="auto"/>
        <w:right w:val="none" w:sz="0" w:space="0" w:color="auto"/>
      </w:divBdr>
    </w:div>
    <w:div w:id="260384132">
      <w:bodyDiv w:val="1"/>
      <w:marLeft w:val="0"/>
      <w:marRight w:val="0"/>
      <w:marTop w:val="0"/>
      <w:marBottom w:val="0"/>
      <w:divBdr>
        <w:top w:val="none" w:sz="0" w:space="0" w:color="auto"/>
        <w:left w:val="none" w:sz="0" w:space="0" w:color="auto"/>
        <w:bottom w:val="none" w:sz="0" w:space="0" w:color="auto"/>
        <w:right w:val="none" w:sz="0" w:space="0" w:color="auto"/>
      </w:divBdr>
    </w:div>
    <w:div w:id="313919423">
      <w:bodyDiv w:val="1"/>
      <w:marLeft w:val="0"/>
      <w:marRight w:val="0"/>
      <w:marTop w:val="0"/>
      <w:marBottom w:val="0"/>
      <w:divBdr>
        <w:top w:val="none" w:sz="0" w:space="0" w:color="auto"/>
        <w:left w:val="none" w:sz="0" w:space="0" w:color="auto"/>
        <w:bottom w:val="none" w:sz="0" w:space="0" w:color="auto"/>
        <w:right w:val="none" w:sz="0" w:space="0" w:color="auto"/>
      </w:divBdr>
    </w:div>
    <w:div w:id="371461707">
      <w:bodyDiv w:val="1"/>
      <w:marLeft w:val="0"/>
      <w:marRight w:val="0"/>
      <w:marTop w:val="0"/>
      <w:marBottom w:val="0"/>
      <w:divBdr>
        <w:top w:val="none" w:sz="0" w:space="0" w:color="auto"/>
        <w:left w:val="none" w:sz="0" w:space="0" w:color="auto"/>
        <w:bottom w:val="none" w:sz="0" w:space="0" w:color="auto"/>
        <w:right w:val="none" w:sz="0" w:space="0" w:color="auto"/>
      </w:divBdr>
    </w:div>
    <w:div w:id="400492896">
      <w:bodyDiv w:val="1"/>
      <w:marLeft w:val="0"/>
      <w:marRight w:val="0"/>
      <w:marTop w:val="0"/>
      <w:marBottom w:val="0"/>
      <w:divBdr>
        <w:top w:val="none" w:sz="0" w:space="0" w:color="auto"/>
        <w:left w:val="none" w:sz="0" w:space="0" w:color="auto"/>
        <w:bottom w:val="none" w:sz="0" w:space="0" w:color="auto"/>
        <w:right w:val="none" w:sz="0" w:space="0" w:color="auto"/>
      </w:divBdr>
    </w:div>
    <w:div w:id="473570852">
      <w:bodyDiv w:val="1"/>
      <w:marLeft w:val="0"/>
      <w:marRight w:val="0"/>
      <w:marTop w:val="0"/>
      <w:marBottom w:val="0"/>
      <w:divBdr>
        <w:top w:val="none" w:sz="0" w:space="0" w:color="auto"/>
        <w:left w:val="none" w:sz="0" w:space="0" w:color="auto"/>
        <w:bottom w:val="none" w:sz="0" w:space="0" w:color="auto"/>
        <w:right w:val="none" w:sz="0" w:space="0" w:color="auto"/>
      </w:divBdr>
    </w:div>
    <w:div w:id="517892837">
      <w:bodyDiv w:val="1"/>
      <w:marLeft w:val="0"/>
      <w:marRight w:val="0"/>
      <w:marTop w:val="0"/>
      <w:marBottom w:val="0"/>
      <w:divBdr>
        <w:top w:val="none" w:sz="0" w:space="0" w:color="auto"/>
        <w:left w:val="none" w:sz="0" w:space="0" w:color="auto"/>
        <w:bottom w:val="none" w:sz="0" w:space="0" w:color="auto"/>
        <w:right w:val="none" w:sz="0" w:space="0" w:color="auto"/>
      </w:divBdr>
    </w:div>
    <w:div w:id="582686660">
      <w:bodyDiv w:val="1"/>
      <w:marLeft w:val="0"/>
      <w:marRight w:val="0"/>
      <w:marTop w:val="0"/>
      <w:marBottom w:val="0"/>
      <w:divBdr>
        <w:top w:val="none" w:sz="0" w:space="0" w:color="auto"/>
        <w:left w:val="none" w:sz="0" w:space="0" w:color="auto"/>
        <w:bottom w:val="none" w:sz="0" w:space="0" w:color="auto"/>
        <w:right w:val="none" w:sz="0" w:space="0" w:color="auto"/>
      </w:divBdr>
    </w:div>
    <w:div w:id="667027721">
      <w:bodyDiv w:val="1"/>
      <w:marLeft w:val="0"/>
      <w:marRight w:val="0"/>
      <w:marTop w:val="0"/>
      <w:marBottom w:val="0"/>
      <w:divBdr>
        <w:top w:val="none" w:sz="0" w:space="0" w:color="auto"/>
        <w:left w:val="none" w:sz="0" w:space="0" w:color="auto"/>
        <w:bottom w:val="none" w:sz="0" w:space="0" w:color="auto"/>
        <w:right w:val="none" w:sz="0" w:space="0" w:color="auto"/>
      </w:divBdr>
    </w:div>
    <w:div w:id="718745073">
      <w:bodyDiv w:val="1"/>
      <w:marLeft w:val="0"/>
      <w:marRight w:val="0"/>
      <w:marTop w:val="0"/>
      <w:marBottom w:val="0"/>
      <w:divBdr>
        <w:top w:val="none" w:sz="0" w:space="0" w:color="auto"/>
        <w:left w:val="none" w:sz="0" w:space="0" w:color="auto"/>
        <w:bottom w:val="none" w:sz="0" w:space="0" w:color="auto"/>
        <w:right w:val="none" w:sz="0" w:space="0" w:color="auto"/>
      </w:divBdr>
    </w:div>
    <w:div w:id="938754545">
      <w:bodyDiv w:val="1"/>
      <w:marLeft w:val="0"/>
      <w:marRight w:val="0"/>
      <w:marTop w:val="0"/>
      <w:marBottom w:val="0"/>
      <w:divBdr>
        <w:top w:val="none" w:sz="0" w:space="0" w:color="auto"/>
        <w:left w:val="none" w:sz="0" w:space="0" w:color="auto"/>
        <w:bottom w:val="none" w:sz="0" w:space="0" w:color="auto"/>
        <w:right w:val="none" w:sz="0" w:space="0" w:color="auto"/>
      </w:divBdr>
    </w:div>
    <w:div w:id="1030691246">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123502369">
      <w:bodyDiv w:val="1"/>
      <w:marLeft w:val="0"/>
      <w:marRight w:val="0"/>
      <w:marTop w:val="0"/>
      <w:marBottom w:val="0"/>
      <w:divBdr>
        <w:top w:val="none" w:sz="0" w:space="0" w:color="auto"/>
        <w:left w:val="none" w:sz="0" w:space="0" w:color="auto"/>
        <w:bottom w:val="none" w:sz="0" w:space="0" w:color="auto"/>
        <w:right w:val="none" w:sz="0" w:space="0" w:color="auto"/>
      </w:divBdr>
    </w:div>
    <w:div w:id="1259757031">
      <w:bodyDiv w:val="1"/>
      <w:marLeft w:val="0"/>
      <w:marRight w:val="0"/>
      <w:marTop w:val="0"/>
      <w:marBottom w:val="0"/>
      <w:divBdr>
        <w:top w:val="none" w:sz="0" w:space="0" w:color="auto"/>
        <w:left w:val="none" w:sz="0" w:space="0" w:color="auto"/>
        <w:bottom w:val="none" w:sz="0" w:space="0" w:color="auto"/>
        <w:right w:val="none" w:sz="0" w:space="0" w:color="auto"/>
      </w:divBdr>
    </w:div>
    <w:div w:id="1280989713">
      <w:bodyDiv w:val="1"/>
      <w:marLeft w:val="0"/>
      <w:marRight w:val="0"/>
      <w:marTop w:val="0"/>
      <w:marBottom w:val="0"/>
      <w:divBdr>
        <w:top w:val="none" w:sz="0" w:space="0" w:color="auto"/>
        <w:left w:val="none" w:sz="0" w:space="0" w:color="auto"/>
        <w:bottom w:val="none" w:sz="0" w:space="0" w:color="auto"/>
        <w:right w:val="none" w:sz="0" w:space="0" w:color="auto"/>
      </w:divBdr>
    </w:div>
    <w:div w:id="1309743755">
      <w:bodyDiv w:val="1"/>
      <w:marLeft w:val="0"/>
      <w:marRight w:val="0"/>
      <w:marTop w:val="0"/>
      <w:marBottom w:val="0"/>
      <w:divBdr>
        <w:top w:val="none" w:sz="0" w:space="0" w:color="auto"/>
        <w:left w:val="none" w:sz="0" w:space="0" w:color="auto"/>
        <w:bottom w:val="none" w:sz="0" w:space="0" w:color="auto"/>
        <w:right w:val="none" w:sz="0" w:space="0" w:color="auto"/>
      </w:divBdr>
    </w:div>
    <w:div w:id="1324240585">
      <w:bodyDiv w:val="1"/>
      <w:marLeft w:val="0"/>
      <w:marRight w:val="0"/>
      <w:marTop w:val="0"/>
      <w:marBottom w:val="0"/>
      <w:divBdr>
        <w:top w:val="none" w:sz="0" w:space="0" w:color="auto"/>
        <w:left w:val="none" w:sz="0" w:space="0" w:color="auto"/>
        <w:bottom w:val="none" w:sz="0" w:space="0" w:color="auto"/>
        <w:right w:val="none" w:sz="0" w:space="0" w:color="auto"/>
      </w:divBdr>
      <w:divsChild>
        <w:div w:id="304354886">
          <w:marLeft w:val="0"/>
          <w:marRight w:val="0"/>
          <w:marTop w:val="0"/>
          <w:marBottom w:val="120"/>
          <w:divBdr>
            <w:top w:val="none" w:sz="0" w:space="0" w:color="auto"/>
            <w:left w:val="none" w:sz="0" w:space="0" w:color="auto"/>
            <w:bottom w:val="none" w:sz="0" w:space="0" w:color="auto"/>
            <w:right w:val="none" w:sz="0" w:space="0" w:color="auto"/>
          </w:divBdr>
        </w:div>
        <w:div w:id="320738557">
          <w:marLeft w:val="0"/>
          <w:marRight w:val="0"/>
          <w:marTop w:val="0"/>
          <w:marBottom w:val="120"/>
          <w:divBdr>
            <w:top w:val="none" w:sz="0" w:space="0" w:color="auto"/>
            <w:left w:val="none" w:sz="0" w:space="0" w:color="auto"/>
            <w:bottom w:val="none" w:sz="0" w:space="0" w:color="auto"/>
            <w:right w:val="none" w:sz="0" w:space="0" w:color="auto"/>
          </w:divBdr>
        </w:div>
        <w:div w:id="366417434">
          <w:marLeft w:val="0"/>
          <w:marRight w:val="0"/>
          <w:marTop w:val="0"/>
          <w:marBottom w:val="120"/>
          <w:divBdr>
            <w:top w:val="none" w:sz="0" w:space="0" w:color="auto"/>
            <w:left w:val="none" w:sz="0" w:space="0" w:color="auto"/>
            <w:bottom w:val="none" w:sz="0" w:space="0" w:color="auto"/>
            <w:right w:val="none" w:sz="0" w:space="0" w:color="auto"/>
          </w:divBdr>
        </w:div>
        <w:div w:id="376126272">
          <w:marLeft w:val="0"/>
          <w:marRight w:val="0"/>
          <w:marTop w:val="0"/>
          <w:marBottom w:val="120"/>
          <w:divBdr>
            <w:top w:val="none" w:sz="0" w:space="0" w:color="auto"/>
            <w:left w:val="none" w:sz="0" w:space="0" w:color="auto"/>
            <w:bottom w:val="none" w:sz="0" w:space="0" w:color="auto"/>
            <w:right w:val="none" w:sz="0" w:space="0" w:color="auto"/>
          </w:divBdr>
        </w:div>
        <w:div w:id="430854028">
          <w:marLeft w:val="0"/>
          <w:marRight w:val="0"/>
          <w:marTop w:val="0"/>
          <w:marBottom w:val="120"/>
          <w:divBdr>
            <w:top w:val="none" w:sz="0" w:space="0" w:color="auto"/>
            <w:left w:val="none" w:sz="0" w:space="0" w:color="auto"/>
            <w:bottom w:val="none" w:sz="0" w:space="0" w:color="auto"/>
            <w:right w:val="none" w:sz="0" w:space="0" w:color="auto"/>
          </w:divBdr>
        </w:div>
        <w:div w:id="451478969">
          <w:marLeft w:val="0"/>
          <w:marRight w:val="0"/>
          <w:marTop w:val="0"/>
          <w:marBottom w:val="120"/>
          <w:divBdr>
            <w:top w:val="none" w:sz="0" w:space="0" w:color="auto"/>
            <w:left w:val="none" w:sz="0" w:space="0" w:color="auto"/>
            <w:bottom w:val="none" w:sz="0" w:space="0" w:color="auto"/>
            <w:right w:val="none" w:sz="0" w:space="0" w:color="auto"/>
          </w:divBdr>
        </w:div>
        <w:div w:id="473915880">
          <w:marLeft w:val="0"/>
          <w:marRight w:val="0"/>
          <w:marTop w:val="0"/>
          <w:marBottom w:val="120"/>
          <w:divBdr>
            <w:top w:val="none" w:sz="0" w:space="0" w:color="auto"/>
            <w:left w:val="none" w:sz="0" w:space="0" w:color="auto"/>
            <w:bottom w:val="none" w:sz="0" w:space="0" w:color="auto"/>
            <w:right w:val="none" w:sz="0" w:space="0" w:color="auto"/>
          </w:divBdr>
        </w:div>
        <w:div w:id="549850492">
          <w:marLeft w:val="0"/>
          <w:marRight w:val="0"/>
          <w:marTop w:val="0"/>
          <w:marBottom w:val="120"/>
          <w:divBdr>
            <w:top w:val="none" w:sz="0" w:space="0" w:color="auto"/>
            <w:left w:val="none" w:sz="0" w:space="0" w:color="auto"/>
            <w:bottom w:val="none" w:sz="0" w:space="0" w:color="auto"/>
            <w:right w:val="none" w:sz="0" w:space="0" w:color="auto"/>
          </w:divBdr>
        </w:div>
        <w:div w:id="602614682">
          <w:marLeft w:val="0"/>
          <w:marRight w:val="0"/>
          <w:marTop w:val="240"/>
          <w:marBottom w:val="120"/>
          <w:divBdr>
            <w:top w:val="none" w:sz="0" w:space="0" w:color="auto"/>
            <w:left w:val="none" w:sz="0" w:space="0" w:color="auto"/>
            <w:bottom w:val="none" w:sz="0" w:space="0" w:color="auto"/>
            <w:right w:val="none" w:sz="0" w:space="0" w:color="auto"/>
          </w:divBdr>
        </w:div>
        <w:div w:id="646710029">
          <w:marLeft w:val="0"/>
          <w:marRight w:val="0"/>
          <w:marTop w:val="0"/>
          <w:marBottom w:val="120"/>
          <w:divBdr>
            <w:top w:val="none" w:sz="0" w:space="0" w:color="auto"/>
            <w:left w:val="none" w:sz="0" w:space="0" w:color="auto"/>
            <w:bottom w:val="none" w:sz="0" w:space="0" w:color="auto"/>
            <w:right w:val="none" w:sz="0" w:space="0" w:color="auto"/>
          </w:divBdr>
        </w:div>
        <w:div w:id="691303000">
          <w:marLeft w:val="0"/>
          <w:marRight w:val="0"/>
          <w:marTop w:val="0"/>
          <w:marBottom w:val="120"/>
          <w:divBdr>
            <w:top w:val="none" w:sz="0" w:space="0" w:color="auto"/>
            <w:left w:val="none" w:sz="0" w:space="0" w:color="auto"/>
            <w:bottom w:val="none" w:sz="0" w:space="0" w:color="auto"/>
            <w:right w:val="none" w:sz="0" w:space="0" w:color="auto"/>
          </w:divBdr>
        </w:div>
        <w:div w:id="904340648">
          <w:marLeft w:val="0"/>
          <w:marRight w:val="0"/>
          <w:marTop w:val="0"/>
          <w:marBottom w:val="120"/>
          <w:divBdr>
            <w:top w:val="none" w:sz="0" w:space="0" w:color="auto"/>
            <w:left w:val="none" w:sz="0" w:space="0" w:color="auto"/>
            <w:bottom w:val="none" w:sz="0" w:space="0" w:color="auto"/>
            <w:right w:val="none" w:sz="0" w:space="0" w:color="auto"/>
          </w:divBdr>
        </w:div>
        <w:div w:id="934636497">
          <w:marLeft w:val="0"/>
          <w:marRight w:val="0"/>
          <w:marTop w:val="0"/>
          <w:marBottom w:val="120"/>
          <w:divBdr>
            <w:top w:val="none" w:sz="0" w:space="0" w:color="auto"/>
            <w:left w:val="none" w:sz="0" w:space="0" w:color="auto"/>
            <w:bottom w:val="none" w:sz="0" w:space="0" w:color="auto"/>
            <w:right w:val="none" w:sz="0" w:space="0" w:color="auto"/>
          </w:divBdr>
        </w:div>
        <w:div w:id="956527084">
          <w:marLeft w:val="0"/>
          <w:marRight w:val="0"/>
          <w:marTop w:val="0"/>
          <w:marBottom w:val="120"/>
          <w:divBdr>
            <w:top w:val="none" w:sz="0" w:space="0" w:color="auto"/>
            <w:left w:val="none" w:sz="0" w:space="0" w:color="auto"/>
            <w:bottom w:val="none" w:sz="0" w:space="0" w:color="auto"/>
            <w:right w:val="none" w:sz="0" w:space="0" w:color="auto"/>
          </w:divBdr>
        </w:div>
        <w:div w:id="1015617369">
          <w:marLeft w:val="0"/>
          <w:marRight w:val="0"/>
          <w:marTop w:val="0"/>
          <w:marBottom w:val="120"/>
          <w:divBdr>
            <w:top w:val="none" w:sz="0" w:space="0" w:color="auto"/>
            <w:left w:val="none" w:sz="0" w:space="0" w:color="auto"/>
            <w:bottom w:val="none" w:sz="0" w:space="0" w:color="auto"/>
            <w:right w:val="none" w:sz="0" w:space="0" w:color="auto"/>
          </w:divBdr>
        </w:div>
        <w:div w:id="1108358218">
          <w:marLeft w:val="0"/>
          <w:marRight w:val="0"/>
          <w:marTop w:val="0"/>
          <w:marBottom w:val="120"/>
          <w:divBdr>
            <w:top w:val="none" w:sz="0" w:space="0" w:color="auto"/>
            <w:left w:val="none" w:sz="0" w:space="0" w:color="auto"/>
            <w:bottom w:val="none" w:sz="0" w:space="0" w:color="auto"/>
            <w:right w:val="none" w:sz="0" w:space="0" w:color="auto"/>
          </w:divBdr>
        </w:div>
        <w:div w:id="1253781236">
          <w:marLeft w:val="0"/>
          <w:marRight w:val="0"/>
          <w:marTop w:val="0"/>
          <w:marBottom w:val="120"/>
          <w:divBdr>
            <w:top w:val="none" w:sz="0" w:space="0" w:color="auto"/>
            <w:left w:val="none" w:sz="0" w:space="0" w:color="auto"/>
            <w:bottom w:val="none" w:sz="0" w:space="0" w:color="auto"/>
            <w:right w:val="none" w:sz="0" w:space="0" w:color="auto"/>
          </w:divBdr>
        </w:div>
        <w:div w:id="1267159253">
          <w:marLeft w:val="0"/>
          <w:marRight w:val="0"/>
          <w:marTop w:val="0"/>
          <w:marBottom w:val="120"/>
          <w:divBdr>
            <w:top w:val="none" w:sz="0" w:space="0" w:color="auto"/>
            <w:left w:val="none" w:sz="0" w:space="0" w:color="auto"/>
            <w:bottom w:val="none" w:sz="0" w:space="0" w:color="auto"/>
            <w:right w:val="none" w:sz="0" w:space="0" w:color="auto"/>
          </w:divBdr>
        </w:div>
        <w:div w:id="1307664262">
          <w:marLeft w:val="0"/>
          <w:marRight w:val="0"/>
          <w:marTop w:val="0"/>
          <w:marBottom w:val="120"/>
          <w:divBdr>
            <w:top w:val="none" w:sz="0" w:space="0" w:color="auto"/>
            <w:left w:val="none" w:sz="0" w:space="0" w:color="auto"/>
            <w:bottom w:val="none" w:sz="0" w:space="0" w:color="auto"/>
            <w:right w:val="none" w:sz="0" w:space="0" w:color="auto"/>
          </w:divBdr>
        </w:div>
        <w:div w:id="1362901686">
          <w:marLeft w:val="0"/>
          <w:marRight w:val="0"/>
          <w:marTop w:val="0"/>
          <w:marBottom w:val="120"/>
          <w:divBdr>
            <w:top w:val="none" w:sz="0" w:space="0" w:color="auto"/>
            <w:left w:val="none" w:sz="0" w:space="0" w:color="auto"/>
            <w:bottom w:val="none" w:sz="0" w:space="0" w:color="auto"/>
            <w:right w:val="none" w:sz="0" w:space="0" w:color="auto"/>
          </w:divBdr>
        </w:div>
        <w:div w:id="1451363118">
          <w:marLeft w:val="0"/>
          <w:marRight w:val="0"/>
          <w:marTop w:val="0"/>
          <w:marBottom w:val="120"/>
          <w:divBdr>
            <w:top w:val="none" w:sz="0" w:space="0" w:color="auto"/>
            <w:left w:val="none" w:sz="0" w:space="0" w:color="auto"/>
            <w:bottom w:val="none" w:sz="0" w:space="0" w:color="auto"/>
            <w:right w:val="none" w:sz="0" w:space="0" w:color="auto"/>
          </w:divBdr>
        </w:div>
        <w:div w:id="1534659929">
          <w:marLeft w:val="0"/>
          <w:marRight w:val="0"/>
          <w:marTop w:val="0"/>
          <w:marBottom w:val="120"/>
          <w:divBdr>
            <w:top w:val="none" w:sz="0" w:space="0" w:color="auto"/>
            <w:left w:val="none" w:sz="0" w:space="0" w:color="auto"/>
            <w:bottom w:val="none" w:sz="0" w:space="0" w:color="auto"/>
            <w:right w:val="none" w:sz="0" w:space="0" w:color="auto"/>
          </w:divBdr>
        </w:div>
        <w:div w:id="1833911732">
          <w:marLeft w:val="0"/>
          <w:marRight w:val="0"/>
          <w:marTop w:val="0"/>
          <w:marBottom w:val="120"/>
          <w:divBdr>
            <w:top w:val="none" w:sz="0" w:space="0" w:color="auto"/>
            <w:left w:val="none" w:sz="0" w:space="0" w:color="auto"/>
            <w:bottom w:val="none" w:sz="0" w:space="0" w:color="auto"/>
            <w:right w:val="none" w:sz="0" w:space="0" w:color="auto"/>
          </w:divBdr>
        </w:div>
        <w:div w:id="1881891377">
          <w:marLeft w:val="0"/>
          <w:marRight w:val="0"/>
          <w:marTop w:val="0"/>
          <w:marBottom w:val="120"/>
          <w:divBdr>
            <w:top w:val="none" w:sz="0" w:space="0" w:color="auto"/>
            <w:left w:val="none" w:sz="0" w:space="0" w:color="auto"/>
            <w:bottom w:val="none" w:sz="0" w:space="0" w:color="auto"/>
            <w:right w:val="none" w:sz="0" w:space="0" w:color="auto"/>
          </w:divBdr>
        </w:div>
        <w:div w:id="1967462814">
          <w:marLeft w:val="0"/>
          <w:marRight w:val="0"/>
          <w:marTop w:val="0"/>
          <w:marBottom w:val="120"/>
          <w:divBdr>
            <w:top w:val="none" w:sz="0" w:space="0" w:color="auto"/>
            <w:left w:val="none" w:sz="0" w:space="0" w:color="auto"/>
            <w:bottom w:val="none" w:sz="0" w:space="0" w:color="auto"/>
            <w:right w:val="none" w:sz="0" w:space="0" w:color="auto"/>
          </w:divBdr>
        </w:div>
        <w:div w:id="2002806838">
          <w:marLeft w:val="0"/>
          <w:marRight w:val="0"/>
          <w:marTop w:val="0"/>
          <w:marBottom w:val="120"/>
          <w:divBdr>
            <w:top w:val="none" w:sz="0" w:space="0" w:color="auto"/>
            <w:left w:val="none" w:sz="0" w:space="0" w:color="auto"/>
            <w:bottom w:val="none" w:sz="0" w:space="0" w:color="auto"/>
            <w:right w:val="none" w:sz="0" w:space="0" w:color="auto"/>
          </w:divBdr>
        </w:div>
        <w:div w:id="2024432572">
          <w:marLeft w:val="0"/>
          <w:marRight w:val="0"/>
          <w:marTop w:val="0"/>
          <w:marBottom w:val="120"/>
          <w:divBdr>
            <w:top w:val="none" w:sz="0" w:space="0" w:color="auto"/>
            <w:left w:val="none" w:sz="0" w:space="0" w:color="auto"/>
            <w:bottom w:val="none" w:sz="0" w:space="0" w:color="auto"/>
            <w:right w:val="none" w:sz="0" w:space="0" w:color="auto"/>
          </w:divBdr>
        </w:div>
        <w:div w:id="2037657611">
          <w:marLeft w:val="0"/>
          <w:marRight w:val="0"/>
          <w:marTop w:val="0"/>
          <w:marBottom w:val="120"/>
          <w:divBdr>
            <w:top w:val="none" w:sz="0" w:space="0" w:color="auto"/>
            <w:left w:val="none" w:sz="0" w:space="0" w:color="auto"/>
            <w:bottom w:val="none" w:sz="0" w:space="0" w:color="auto"/>
            <w:right w:val="none" w:sz="0" w:space="0" w:color="auto"/>
          </w:divBdr>
        </w:div>
        <w:div w:id="2113430651">
          <w:marLeft w:val="0"/>
          <w:marRight w:val="0"/>
          <w:marTop w:val="0"/>
          <w:marBottom w:val="120"/>
          <w:divBdr>
            <w:top w:val="none" w:sz="0" w:space="0" w:color="auto"/>
            <w:left w:val="none" w:sz="0" w:space="0" w:color="auto"/>
            <w:bottom w:val="none" w:sz="0" w:space="0" w:color="auto"/>
            <w:right w:val="none" w:sz="0" w:space="0" w:color="auto"/>
          </w:divBdr>
        </w:div>
      </w:divsChild>
    </w:div>
    <w:div w:id="1337536076">
      <w:bodyDiv w:val="1"/>
      <w:marLeft w:val="0"/>
      <w:marRight w:val="0"/>
      <w:marTop w:val="0"/>
      <w:marBottom w:val="0"/>
      <w:divBdr>
        <w:top w:val="none" w:sz="0" w:space="0" w:color="auto"/>
        <w:left w:val="none" w:sz="0" w:space="0" w:color="auto"/>
        <w:bottom w:val="none" w:sz="0" w:space="0" w:color="auto"/>
        <w:right w:val="none" w:sz="0" w:space="0" w:color="auto"/>
      </w:divBdr>
    </w:div>
    <w:div w:id="1439788285">
      <w:bodyDiv w:val="1"/>
      <w:marLeft w:val="0"/>
      <w:marRight w:val="0"/>
      <w:marTop w:val="0"/>
      <w:marBottom w:val="0"/>
      <w:divBdr>
        <w:top w:val="none" w:sz="0" w:space="0" w:color="auto"/>
        <w:left w:val="none" w:sz="0" w:space="0" w:color="auto"/>
        <w:bottom w:val="none" w:sz="0" w:space="0" w:color="auto"/>
        <w:right w:val="none" w:sz="0" w:space="0" w:color="auto"/>
      </w:divBdr>
    </w:div>
    <w:div w:id="1522669832">
      <w:bodyDiv w:val="1"/>
      <w:marLeft w:val="0"/>
      <w:marRight w:val="0"/>
      <w:marTop w:val="0"/>
      <w:marBottom w:val="0"/>
      <w:divBdr>
        <w:top w:val="none" w:sz="0" w:space="0" w:color="auto"/>
        <w:left w:val="none" w:sz="0" w:space="0" w:color="auto"/>
        <w:bottom w:val="none" w:sz="0" w:space="0" w:color="auto"/>
        <w:right w:val="none" w:sz="0" w:space="0" w:color="auto"/>
      </w:divBdr>
    </w:div>
    <w:div w:id="1712723120">
      <w:bodyDiv w:val="1"/>
      <w:marLeft w:val="0"/>
      <w:marRight w:val="0"/>
      <w:marTop w:val="0"/>
      <w:marBottom w:val="0"/>
      <w:divBdr>
        <w:top w:val="none" w:sz="0" w:space="0" w:color="auto"/>
        <w:left w:val="none" w:sz="0" w:space="0" w:color="auto"/>
        <w:bottom w:val="none" w:sz="0" w:space="0" w:color="auto"/>
        <w:right w:val="none" w:sz="0" w:space="0" w:color="auto"/>
      </w:divBdr>
      <w:divsChild>
        <w:div w:id="719017202">
          <w:marLeft w:val="0"/>
          <w:marRight w:val="0"/>
          <w:marTop w:val="0"/>
          <w:marBottom w:val="0"/>
          <w:divBdr>
            <w:top w:val="none" w:sz="0" w:space="0" w:color="auto"/>
            <w:left w:val="none" w:sz="0" w:space="0" w:color="auto"/>
            <w:bottom w:val="none" w:sz="0" w:space="0" w:color="auto"/>
            <w:right w:val="none" w:sz="0" w:space="0" w:color="auto"/>
          </w:divBdr>
        </w:div>
        <w:div w:id="818575034">
          <w:marLeft w:val="0"/>
          <w:marRight w:val="0"/>
          <w:marTop w:val="0"/>
          <w:marBottom w:val="0"/>
          <w:divBdr>
            <w:top w:val="none" w:sz="0" w:space="0" w:color="auto"/>
            <w:left w:val="none" w:sz="0" w:space="0" w:color="auto"/>
            <w:bottom w:val="none" w:sz="0" w:space="0" w:color="auto"/>
            <w:right w:val="none" w:sz="0" w:space="0" w:color="auto"/>
          </w:divBdr>
        </w:div>
        <w:div w:id="1498039670">
          <w:marLeft w:val="0"/>
          <w:marRight w:val="0"/>
          <w:marTop w:val="0"/>
          <w:marBottom w:val="0"/>
          <w:divBdr>
            <w:top w:val="none" w:sz="0" w:space="0" w:color="auto"/>
            <w:left w:val="none" w:sz="0" w:space="0" w:color="auto"/>
            <w:bottom w:val="none" w:sz="0" w:space="0" w:color="auto"/>
            <w:right w:val="none" w:sz="0" w:space="0" w:color="auto"/>
          </w:divBdr>
        </w:div>
        <w:div w:id="1663702596">
          <w:marLeft w:val="0"/>
          <w:marRight w:val="0"/>
          <w:marTop w:val="0"/>
          <w:marBottom w:val="0"/>
          <w:divBdr>
            <w:top w:val="none" w:sz="0" w:space="0" w:color="auto"/>
            <w:left w:val="none" w:sz="0" w:space="0" w:color="auto"/>
            <w:bottom w:val="none" w:sz="0" w:space="0" w:color="auto"/>
            <w:right w:val="none" w:sz="0" w:space="0" w:color="auto"/>
          </w:divBdr>
        </w:div>
      </w:divsChild>
    </w:div>
    <w:div w:id="1720282854">
      <w:bodyDiv w:val="1"/>
      <w:marLeft w:val="0"/>
      <w:marRight w:val="0"/>
      <w:marTop w:val="0"/>
      <w:marBottom w:val="0"/>
      <w:divBdr>
        <w:top w:val="none" w:sz="0" w:space="0" w:color="auto"/>
        <w:left w:val="none" w:sz="0" w:space="0" w:color="auto"/>
        <w:bottom w:val="none" w:sz="0" w:space="0" w:color="auto"/>
        <w:right w:val="none" w:sz="0" w:space="0" w:color="auto"/>
      </w:divBdr>
    </w:div>
    <w:div w:id="1730617054">
      <w:bodyDiv w:val="1"/>
      <w:marLeft w:val="0"/>
      <w:marRight w:val="0"/>
      <w:marTop w:val="0"/>
      <w:marBottom w:val="0"/>
      <w:divBdr>
        <w:top w:val="none" w:sz="0" w:space="0" w:color="auto"/>
        <w:left w:val="none" w:sz="0" w:space="0" w:color="auto"/>
        <w:bottom w:val="none" w:sz="0" w:space="0" w:color="auto"/>
        <w:right w:val="none" w:sz="0" w:space="0" w:color="auto"/>
      </w:divBdr>
    </w:div>
    <w:div w:id="1919250422">
      <w:bodyDiv w:val="1"/>
      <w:marLeft w:val="0"/>
      <w:marRight w:val="0"/>
      <w:marTop w:val="0"/>
      <w:marBottom w:val="0"/>
      <w:divBdr>
        <w:top w:val="none" w:sz="0" w:space="0" w:color="auto"/>
        <w:left w:val="none" w:sz="0" w:space="0" w:color="auto"/>
        <w:bottom w:val="none" w:sz="0" w:space="0" w:color="auto"/>
        <w:right w:val="none" w:sz="0" w:space="0" w:color="auto"/>
      </w:divBdr>
    </w:div>
    <w:div w:id="1926761279">
      <w:bodyDiv w:val="1"/>
      <w:marLeft w:val="0"/>
      <w:marRight w:val="0"/>
      <w:marTop w:val="0"/>
      <w:marBottom w:val="0"/>
      <w:divBdr>
        <w:top w:val="none" w:sz="0" w:space="0" w:color="auto"/>
        <w:left w:val="none" w:sz="0" w:space="0" w:color="auto"/>
        <w:bottom w:val="none" w:sz="0" w:space="0" w:color="auto"/>
        <w:right w:val="none" w:sz="0" w:space="0" w:color="auto"/>
      </w:divBdr>
    </w:div>
    <w:div w:id="1943150024">
      <w:bodyDiv w:val="1"/>
      <w:marLeft w:val="0"/>
      <w:marRight w:val="0"/>
      <w:marTop w:val="0"/>
      <w:marBottom w:val="0"/>
      <w:divBdr>
        <w:top w:val="none" w:sz="0" w:space="0" w:color="auto"/>
        <w:left w:val="none" w:sz="0" w:space="0" w:color="auto"/>
        <w:bottom w:val="none" w:sz="0" w:space="0" w:color="auto"/>
        <w:right w:val="none" w:sz="0" w:space="0" w:color="auto"/>
      </w:divBdr>
    </w:div>
    <w:div w:id="1987977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ope@gov.si" TargetMode="External"/><Relationship Id="rId13" Type="http://schemas.openxmlformats.org/officeDocument/2006/relationships/image" Target="media/image4.emf"/><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hyperlink" Target="https://plasticseurope.org"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5.emf"/><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A1E8046-C5B3-4C33-B658-238875321A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26</Pages>
  <Words>25707</Words>
  <Characters>146530</Characters>
  <Application>Microsoft Office Word</Application>
  <DocSecurity>0</DocSecurity>
  <Lines>1221</Lines>
  <Paragraphs>343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171894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Polanc</dc:creator>
  <cp:keywords/>
  <dc:description/>
  <cp:lastModifiedBy>Matej Kovačič (MOPE)</cp:lastModifiedBy>
  <cp:revision>8</cp:revision>
  <cp:lastPrinted>2024-10-21T09:55:00Z</cp:lastPrinted>
  <dcterms:created xsi:type="dcterms:W3CDTF">2024-10-24T06:29:00Z</dcterms:created>
  <dcterms:modified xsi:type="dcterms:W3CDTF">2024-10-24T07:57:00Z</dcterms:modified>
</cp:coreProperties>
</file>