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96FBD" w:rsidRDefault="00896FBD" w:rsidP="002567D1">
      <w:pPr>
        <w:pStyle w:val="datumtevilka"/>
      </w:pPr>
      <w:bookmarkStart w:id="0" w:name="_GoBack"/>
      <w:r>
        <w:rPr>
          <w:rFonts w:cs="Arial"/>
          <w:color w:val="000000"/>
        </w:rPr>
        <w:t>EVA:</w:t>
      </w:r>
      <w:r>
        <w:rPr>
          <w:rFonts w:cs="Arial"/>
          <w:color w:val="000000"/>
        </w:rPr>
        <w:tab/>
      </w:r>
      <w:r w:rsidR="005F7DAD">
        <w:rPr>
          <w:rFonts w:cs="Arial"/>
          <w:color w:val="000000"/>
        </w:rPr>
        <w:t>2022-2430-0094</w:t>
      </w:r>
    </w:p>
    <w:p w:rsidR="00896FBD" w:rsidRDefault="00896FBD" w:rsidP="002567D1">
      <w:pPr>
        <w:pStyle w:val="datumtevilka"/>
      </w:pPr>
      <w:r>
        <w:t xml:space="preserve">Številka: </w:t>
      </w:r>
      <w:r>
        <w:tab/>
      </w:r>
      <w:r w:rsidR="005F7DAD">
        <w:rPr>
          <w:rFonts w:cs="Arial"/>
          <w:color w:val="000000"/>
        </w:rPr>
        <w:t>00704-130/2024/17</w:t>
      </w:r>
    </w:p>
    <w:p w:rsidR="00896FBD" w:rsidRDefault="00896FBD" w:rsidP="002567D1">
      <w:pPr>
        <w:pStyle w:val="datumtevilka"/>
      </w:pPr>
      <w:r>
        <w:t>Datum:</w:t>
      </w:r>
      <w:r>
        <w:tab/>
      </w:r>
      <w:r w:rsidR="005F7DAD">
        <w:rPr>
          <w:rFonts w:cs="Arial"/>
          <w:color w:val="000000"/>
        </w:rPr>
        <w:t>3. 10. 2024</w:t>
      </w:r>
      <w:r>
        <w:t xml:space="preserve"> </w:t>
      </w:r>
    </w:p>
    <w:p w:rsidR="00896FBD" w:rsidRDefault="00896FBD" w:rsidP="002567D1"/>
    <w:p w:rsidR="00896FBD" w:rsidRDefault="00896FBD" w:rsidP="002567D1">
      <w:pPr>
        <w:autoSpaceDE w:val="0"/>
        <w:autoSpaceDN w:val="0"/>
        <w:adjustRightInd w:val="0"/>
        <w:jc w:val="center"/>
        <w:rPr>
          <w:rFonts w:cs="Arial"/>
          <w:b/>
          <w:color w:val="000000"/>
          <w:szCs w:val="20"/>
        </w:rPr>
      </w:pPr>
    </w:p>
    <w:p w:rsidR="002567D1" w:rsidRPr="002567D1" w:rsidRDefault="002567D1" w:rsidP="002567D1">
      <w:pPr>
        <w:autoSpaceDE w:val="0"/>
        <w:autoSpaceDN w:val="0"/>
        <w:adjustRightInd w:val="0"/>
        <w:jc w:val="center"/>
        <w:rPr>
          <w:rFonts w:cs="Arial"/>
          <w:b/>
          <w:color w:val="000000"/>
          <w:szCs w:val="20"/>
        </w:rPr>
      </w:pPr>
    </w:p>
    <w:p w:rsidR="00896FBD" w:rsidRPr="002567D1" w:rsidRDefault="00A84BC4" w:rsidP="002567D1">
      <w:pPr>
        <w:autoSpaceDE w:val="0"/>
        <w:autoSpaceDN w:val="0"/>
        <w:adjustRightInd w:val="0"/>
        <w:jc w:val="center"/>
        <w:rPr>
          <w:rFonts w:cs="Arial"/>
          <w:b/>
          <w:color w:val="000000"/>
          <w:szCs w:val="20"/>
        </w:rPr>
      </w:pPr>
      <w:r w:rsidRPr="002567D1">
        <w:rPr>
          <w:rFonts w:cs="Arial"/>
          <w:b/>
          <w:color w:val="000000"/>
          <w:szCs w:val="20"/>
        </w:rPr>
        <w:t>Predlogi</w:t>
      </w:r>
      <w:r w:rsidR="005F7DAD" w:rsidRPr="002567D1">
        <w:rPr>
          <w:rFonts w:cs="Arial"/>
          <w:b/>
          <w:color w:val="000000"/>
          <w:szCs w:val="20"/>
        </w:rPr>
        <w:t xml:space="preserve"> amandmajev k Predlogu zakona o spremembah in dopolnitvah Zakona o izgradnji, upravljanju in gospodarjenju z drugim tirom železniške proge Divača–Koper</w:t>
      </w:r>
    </w:p>
    <w:p w:rsidR="00896FBD" w:rsidRDefault="00896FBD" w:rsidP="002567D1">
      <w:pPr>
        <w:autoSpaceDE w:val="0"/>
        <w:autoSpaceDN w:val="0"/>
        <w:adjustRightInd w:val="0"/>
        <w:rPr>
          <w:rFonts w:cs="Arial"/>
          <w:color w:val="000000"/>
          <w:szCs w:val="20"/>
        </w:rPr>
      </w:pPr>
    </w:p>
    <w:p w:rsidR="00896FBD" w:rsidRDefault="00896FBD" w:rsidP="002567D1">
      <w:pPr>
        <w:autoSpaceDE w:val="0"/>
        <w:autoSpaceDN w:val="0"/>
        <w:adjustRightInd w:val="0"/>
        <w:rPr>
          <w:rFonts w:cs="Arial"/>
          <w:color w:val="000000"/>
          <w:szCs w:val="20"/>
        </w:rPr>
      </w:pPr>
    </w:p>
    <w:p w:rsidR="002567D1" w:rsidRDefault="002567D1" w:rsidP="002567D1">
      <w:pPr>
        <w:autoSpaceDE w:val="0"/>
        <w:autoSpaceDN w:val="0"/>
        <w:adjustRightInd w:val="0"/>
        <w:rPr>
          <w:rFonts w:cs="Arial"/>
          <w:b/>
          <w:color w:val="000000"/>
          <w:szCs w:val="20"/>
        </w:rPr>
      </w:pPr>
      <w:r>
        <w:rPr>
          <w:rFonts w:cs="Arial"/>
          <w:b/>
          <w:color w:val="000000"/>
          <w:szCs w:val="20"/>
        </w:rPr>
        <w:t>AMANDMA K 1. ČLENU:</w:t>
      </w:r>
    </w:p>
    <w:p w:rsidR="002567D1" w:rsidRDefault="002567D1" w:rsidP="002567D1">
      <w:pPr>
        <w:autoSpaceDE w:val="0"/>
        <w:autoSpaceDN w:val="0"/>
        <w:adjustRightInd w:val="0"/>
        <w:rPr>
          <w:rFonts w:cs="Arial"/>
          <w:b/>
          <w:color w:val="000000"/>
          <w:szCs w:val="20"/>
        </w:rPr>
      </w:pPr>
    </w:p>
    <w:p w:rsidR="002567D1" w:rsidRDefault="002567D1" w:rsidP="002567D1">
      <w:pPr>
        <w:rPr>
          <w:rFonts w:cs="Arial"/>
          <w:szCs w:val="20"/>
        </w:rPr>
      </w:pPr>
      <w:r>
        <w:rPr>
          <w:rFonts w:cs="Arial"/>
          <w:szCs w:val="20"/>
        </w:rPr>
        <w:t xml:space="preserve">1. člen se spremeni tako, da se glasi: </w:t>
      </w:r>
    </w:p>
    <w:p w:rsidR="002567D1" w:rsidRDefault="002567D1" w:rsidP="002567D1">
      <w:pPr>
        <w:jc w:val="center"/>
        <w:rPr>
          <w:rFonts w:cs="Arial"/>
          <w:szCs w:val="20"/>
        </w:rPr>
      </w:pPr>
      <w:r>
        <w:rPr>
          <w:rFonts w:cs="Arial"/>
          <w:szCs w:val="20"/>
        </w:rPr>
        <w:t>»1. člen</w:t>
      </w:r>
    </w:p>
    <w:p w:rsidR="002567D1" w:rsidRDefault="002567D1" w:rsidP="002567D1">
      <w:pPr>
        <w:jc w:val="center"/>
        <w:rPr>
          <w:rFonts w:cs="Arial"/>
          <w:b/>
          <w:szCs w:val="20"/>
        </w:rPr>
      </w:pPr>
    </w:p>
    <w:p w:rsidR="002567D1" w:rsidRDefault="002567D1" w:rsidP="002567D1">
      <w:pPr>
        <w:jc w:val="both"/>
        <w:rPr>
          <w:rFonts w:cs="Arial"/>
          <w:szCs w:val="20"/>
        </w:rPr>
      </w:pPr>
      <w:r>
        <w:rPr>
          <w:rFonts w:cs="Arial"/>
          <w:szCs w:val="20"/>
        </w:rPr>
        <w:t>V Zakonu o izgradnji, upravljanju in gospodarjenju z drugim tirom železniške proge Divača–Koper (Uradni list RS, št. 51/18) se v 2. členu prva alineja spremeni, tako da se glasi:</w:t>
      </w:r>
    </w:p>
    <w:p w:rsidR="002567D1" w:rsidRDefault="002567D1" w:rsidP="002567D1">
      <w:pPr>
        <w:jc w:val="both"/>
        <w:rPr>
          <w:rFonts w:cs="Arial"/>
          <w:szCs w:val="20"/>
        </w:rPr>
      </w:pPr>
      <w:r>
        <w:rPr>
          <w:rFonts w:cs="Arial"/>
          <w:szCs w:val="20"/>
        </w:rPr>
        <w:t>»‒ »drugi tir« je vsa javna železniška infrastruktura dveh enotirnih prog, zgrajenih na podlagi gradbenega dovoljenja št. 35105/118/2011/162 1093-5 z dne 31. 3. 2016 in gradbenega dovoljenja za vzporedni levi tir. Za drugi tir se štejejo tudi vse obnovitve, posodobitve ali dograditve objektov, zgrajenih na podlagi gradbenih dovoljenj iz prejšnjega stavka, opravljene na isti trasi, ki jih je dopustno izvesti brez ali s spremembo gradbenega dovoljenja.«.</w:t>
      </w:r>
    </w:p>
    <w:p w:rsidR="002567D1" w:rsidRDefault="002567D1" w:rsidP="002567D1">
      <w:pPr>
        <w:jc w:val="both"/>
        <w:rPr>
          <w:rFonts w:cs="Arial"/>
          <w:szCs w:val="20"/>
        </w:rPr>
      </w:pPr>
      <w:r>
        <w:rPr>
          <w:rFonts w:cs="Arial"/>
          <w:szCs w:val="20"/>
        </w:rPr>
        <w:t>Za tretjo alinejo se doda nova, četrta alineja, ki se glasi:</w:t>
      </w:r>
    </w:p>
    <w:p w:rsidR="002567D1" w:rsidRDefault="002567D1" w:rsidP="002567D1">
      <w:pPr>
        <w:jc w:val="both"/>
        <w:rPr>
          <w:rFonts w:cs="Arial"/>
          <w:szCs w:val="20"/>
        </w:rPr>
      </w:pPr>
      <w:r>
        <w:rPr>
          <w:rFonts w:cs="Arial"/>
          <w:szCs w:val="20"/>
        </w:rPr>
        <w:t>»koncesijska pogodba« je ena ali več koncesijskih pogodb, s katero se podeli koncesija za drugi tir.«.</w:t>
      </w:r>
    </w:p>
    <w:p w:rsidR="002567D1" w:rsidRDefault="002567D1" w:rsidP="002567D1">
      <w:pPr>
        <w:jc w:val="both"/>
        <w:rPr>
          <w:rFonts w:cs="Arial"/>
          <w:szCs w:val="20"/>
        </w:rPr>
      </w:pPr>
      <w:r>
        <w:rPr>
          <w:rFonts w:cs="Arial"/>
          <w:szCs w:val="20"/>
        </w:rPr>
        <w:t>V četrti alineji, ki postane peta alineja, se besedilo »iz tretjega odstavka 15.d člena Zakona o železniškem prometu (Uradni list RS, št. 99/15 – uradno prečiščeno besedilo; v nadaljnjem besedilu: ZZelP)« nadomesti z besedilom »v skladu z zakonom, ki ureja železniški promet«.</w:t>
      </w:r>
    </w:p>
    <w:p w:rsidR="002567D1" w:rsidRDefault="002567D1" w:rsidP="002567D1">
      <w:pPr>
        <w:jc w:val="both"/>
        <w:rPr>
          <w:rFonts w:cs="Arial"/>
          <w:szCs w:val="20"/>
        </w:rPr>
      </w:pPr>
    </w:p>
    <w:p w:rsidR="002567D1" w:rsidRDefault="002567D1" w:rsidP="002567D1">
      <w:pPr>
        <w:jc w:val="both"/>
        <w:rPr>
          <w:rFonts w:cs="Arial"/>
          <w:szCs w:val="20"/>
        </w:rPr>
      </w:pPr>
      <w:r>
        <w:rPr>
          <w:rFonts w:cs="Arial"/>
          <w:szCs w:val="20"/>
        </w:rPr>
        <w:t>V dosedanji šesti alineji, ki postane sedma alineja,  se  besedilo »11.c členom ZZelP« nadomesti z besedilom »zakonom, ki ureja železniški promet«.</w:t>
      </w:r>
    </w:p>
    <w:p w:rsidR="002567D1" w:rsidRDefault="002567D1" w:rsidP="002567D1">
      <w:pPr>
        <w:jc w:val="both"/>
        <w:rPr>
          <w:rFonts w:cs="Arial"/>
          <w:szCs w:val="20"/>
        </w:rPr>
      </w:pPr>
      <w:r>
        <w:rPr>
          <w:rFonts w:cs="Arial"/>
          <w:szCs w:val="20"/>
        </w:rPr>
        <w:t>Na koncu besedila sedme alineje se pika nadomesti s podpičjem in doda nova osma alineja, ki se glasi:</w:t>
      </w:r>
    </w:p>
    <w:p w:rsidR="002567D1" w:rsidRDefault="002567D1" w:rsidP="002567D1">
      <w:pPr>
        <w:jc w:val="both"/>
        <w:rPr>
          <w:rFonts w:cs="Arial"/>
          <w:szCs w:val="20"/>
        </w:rPr>
      </w:pPr>
      <w:r>
        <w:rPr>
          <w:rFonts w:cs="Arial"/>
          <w:szCs w:val="20"/>
        </w:rPr>
        <w:t xml:space="preserve">»‒ »vzporedni levi tir« je javna železniška infrastruktura, zgrajena na podlagi gradbenega dovoljenja, izdanega na podlagi državnega prostorskega akta, sprejetega na podlagi pobude Ministrstva za infrastrukturo (št. 3751-4/2019/3-0213181 z dne 21.5.2019), ki jo je izdelal </w:t>
      </w:r>
      <w:proofErr w:type="spellStart"/>
      <w:r>
        <w:rPr>
          <w:rFonts w:cs="Arial"/>
          <w:szCs w:val="20"/>
        </w:rPr>
        <w:t>Urbis</w:t>
      </w:r>
      <w:proofErr w:type="spellEnd"/>
      <w:r>
        <w:rPr>
          <w:rFonts w:cs="Arial"/>
          <w:szCs w:val="20"/>
        </w:rPr>
        <w:t xml:space="preserve"> </w:t>
      </w:r>
      <w:proofErr w:type="spellStart"/>
      <w:r>
        <w:rPr>
          <w:rFonts w:cs="Arial"/>
          <w:szCs w:val="20"/>
        </w:rPr>
        <w:t>d.o.o</w:t>
      </w:r>
      <w:proofErr w:type="spellEnd"/>
      <w:r>
        <w:rPr>
          <w:rFonts w:cs="Arial"/>
          <w:szCs w:val="20"/>
        </w:rPr>
        <w:t>., Maribor (št. 2019/POB-022, junij 2019).«.«.</w:t>
      </w:r>
    </w:p>
    <w:p w:rsidR="002567D1" w:rsidRDefault="002567D1" w:rsidP="002567D1">
      <w:pPr>
        <w:jc w:val="both"/>
        <w:rPr>
          <w:rFonts w:cs="Arial"/>
          <w:szCs w:val="20"/>
        </w:rPr>
      </w:pPr>
      <w:r>
        <w:rPr>
          <w:rFonts w:cs="Arial"/>
          <w:szCs w:val="20"/>
        </w:rPr>
        <w:t xml:space="preserve">Obrazložitev: Gre za </w:t>
      </w:r>
      <w:proofErr w:type="spellStart"/>
      <w:r>
        <w:rPr>
          <w:rFonts w:cs="Arial"/>
          <w:szCs w:val="20"/>
        </w:rPr>
        <w:t>nomotehnične</w:t>
      </w:r>
      <w:proofErr w:type="spellEnd"/>
      <w:r>
        <w:rPr>
          <w:rFonts w:cs="Arial"/>
          <w:szCs w:val="20"/>
        </w:rPr>
        <w:t xml:space="preserve"> popravke na podlagi mnenja ZPS. Poudarja se, da da pojem »drugi tir« vključuje dve enotirni progi. Namesto pojma »koncesija za drugi tir«, ki je že definiran v 22. členu (15. člen predloga zakona) se v novi četrti alineji dodaja nov pojem »koncesijska pogodba«, ki v enem izrazu zajema dve koncesijski pogodbi (torej po eno za vsako enotirno progo). Pri definiciji vzporednega tira se poudarja, da infrastruktura predstavlja javno železniško infrastrukturo.</w:t>
      </w:r>
    </w:p>
    <w:p w:rsidR="002567D1" w:rsidRDefault="002567D1" w:rsidP="002567D1">
      <w:pPr>
        <w:autoSpaceDE w:val="0"/>
        <w:autoSpaceDN w:val="0"/>
        <w:adjustRightInd w:val="0"/>
        <w:rPr>
          <w:rFonts w:cs="Arial"/>
          <w:color w:val="000000"/>
          <w:szCs w:val="20"/>
        </w:rPr>
      </w:pPr>
    </w:p>
    <w:p w:rsidR="002567D1" w:rsidRDefault="002567D1" w:rsidP="002567D1">
      <w:pPr>
        <w:autoSpaceDE w:val="0"/>
        <w:autoSpaceDN w:val="0"/>
        <w:adjustRightInd w:val="0"/>
        <w:jc w:val="both"/>
        <w:rPr>
          <w:rFonts w:cs="Arial"/>
          <w:b/>
          <w:color w:val="000000"/>
          <w:szCs w:val="20"/>
        </w:rPr>
      </w:pPr>
      <w:r>
        <w:rPr>
          <w:rFonts w:cs="Arial"/>
          <w:b/>
          <w:color w:val="000000"/>
          <w:szCs w:val="20"/>
        </w:rPr>
        <w:t xml:space="preserve">AMANDMA K 6. ČLENU: </w:t>
      </w:r>
    </w:p>
    <w:p w:rsidR="002567D1" w:rsidRDefault="002567D1" w:rsidP="002567D1">
      <w:pPr>
        <w:autoSpaceDE w:val="0"/>
        <w:autoSpaceDN w:val="0"/>
        <w:adjustRightInd w:val="0"/>
        <w:rPr>
          <w:rFonts w:cs="Arial"/>
          <w:color w:val="000000"/>
          <w:szCs w:val="20"/>
        </w:rPr>
      </w:pPr>
    </w:p>
    <w:p w:rsidR="002567D1" w:rsidRDefault="002567D1" w:rsidP="002567D1">
      <w:pPr>
        <w:autoSpaceDE w:val="0"/>
        <w:autoSpaceDN w:val="0"/>
        <w:adjustRightInd w:val="0"/>
        <w:jc w:val="both"/>
        <w:rPr>
          <w:rFonts w:cs="Arial"/>
          <w:color w:val="000000"/>
          <w:szCs w:val="20"/>
        </w:rPr>
      </w:pPr>
      <w:r>
        <w:rPr>
          <w:rFonts w:cs="Arial"/>
          <w:color w:val="000000"/>
          <w:szCs w:val="20"/>
        </w:rPr>
        <w:t>V 6. členu  se v novi drugi alineji prvega odstavka 10. člena za besedo »projektne« doda besedilo »dokumentacije za pridobitev gradbenega dovoljenja«,</w:t>
      </w:r>
    </w:p>
    <w:p w:rsidR="002567D1" w:rsidRDefault="002567D1" w:rsidP="002567D1">
      <w:pPr>
        <w:autoSpaceDE w:val="0"/>
        <w:autoSpaceDN w:val="0"/>
        <w:adjustRightInd w:val="0"/>
        <w:rPr>
          <w:rFonts w:cs="Arial"/>
          <w:color w:val="000000"/>
          <w:szCs w:val="20"/>
        </w:rPr>
      </w:pPr>
    </w:p>
    <w:p w:rsidR="002567D1" w:rsidRDefault="002567D1" w:rsidP="002567D1">
      <w:pPr>
        <w:autoSpaceDE w:val="0"/>
        <w:autoSpaceDN w:val="0"/>
        <w:adjustRightInd w:val="0"/>
        <w:jc w:val="both"/>
        <w:rPr>
          <w:rFonts w:cs="Arial"/>
          <w:color w:val="000000"/>
          <w:szCs w:val="20"/>
        </w:rPr>
      </w:pPr>
      <w:r>
        <w:rPr>
          <w:rFonts w:cs="Arial"/>
          <w:color w:val="000000"/>
          <w:szCs w:val="20"/>
        </w:rPr>
        <w:lastRenderedPageBreak/>
        <w:t>Obrazložitev: Gre za uskladitev z mnenjem ZPS. Poudarja se, da med pripravljalna dela sodi tudi priprava projektne dokumentacije za pridobitev gradbenega dovoljenja. Pri prvi enotirni progi (t.im. desni tir) je bila namreč ta dokumentacija že izdelana, zato se je v okviru pripravljalnih del izdelovala le projektna dokumentacija za izvedbo del.</w:t>
      </w:r>
    </w:p>
    <w:p w:rsidR="002567D1" w:rsidRDefault="002567D1" w:rsidP="002567D1">
      <w:pPr>
        <w:autoSpaceDE w:val="0"/>
        <w:autoSpaceDN w:val="0"/>
        <w:adjustRightInd w:val="0"/>
        <w:rPr>
          <w:rFonts w:cs="Arial"/>
          <w:color w:val="000000"/>
          <w:szCs w:val="20"/>
        </w:rPr>
      </w:pPr>
    </w:p>
    <w:p w:rsidR="002567D1" w:rsidRDefault="002567D1" w:rsidP="002567D1">
      <w:pPr>
        <w:autoSpaceDE w:val="0"/>
        <w:autoSpaceDN w:val="0"/>
        <w:adjustRightInd w:val="0"/>
        <w:jc w:val="both"/>
        <w:rPr>
          <w:rFonts w:cs="Arial"/>
          <w:b/>
          <w:color w:val="000000"/>
          <w:szCs w:val="20"/>
        </w:rPr>
      </w:pPr>
      <w:r>
        <w:rPr>
          <w:rFonts w:cs="Arial"/>
          <w:b/>
          <w:color w:val="000000"/>
          <w:szCs w:val="20"/>
        </w:rPr>
        <w:t xml:space="preserve">AMANDMA K 7. ČLENU: </w:t>
      </w:r>
    </w:p>
    <w:p w:rsidR="002567D1" w:rsidRDefault="002567D1" w:rsidP="002567D1">
      <w:pPr>
        <w:autoSpaceDE w:val="0"/>
        <w:autoSpaceDN w:val="0"/>
        <w:adjustRightInd w:val="0"/>
        <w:rPr>
          <w:rFonts w:cs="Arial"/>
          <w:color w:val="000000"/>
          <w:szCs w:val="20"/>
        </w:rPr>
      </w:pPr>
    </w:p>
    <w:p w:rsidR="002567D1" w:rsidRDefault="002567D1" w:rsidP="002567D1">
      <w:pPr>
        <w:jc w:val="both"/>
        <w:rPr>
          <w:rFonts w:cs="Arial"/>
          <w:szCs w:val="20"/>
        </w:rPr>
      </w:pPr>
      <w:r>
        <w:rPr>
          <w:rFonts w:cs="Arial"/>
          <w:szCs w:val="20"/>
        </w:rPr>
        <w:t>V 7. členu se besedilo tretjega odstavka 12. člena spremeni tako, da se glasi:</w:t>
      </w:r>
    </w:p>
    <w:p w:rsidR="002567D1" w:rsidRDefault="002567D1" w:rsidP="002567D1">
      <w:pPr>
        <w:jc w:val="both"/>
        <w:rPr>
          <w:rFonts w:cs="Arial"/>
          <w:szCs w:val="20"/>
        </w:rPr>
      </w:pPr>
      <w:r>
        <w:rPr>
          <w:rFonts w:cs="Arial"/>
          <w:szCs w:val="20"/>
        </w:rPr>
        <w:t>»(3) Posamezne storitve za izvajanje nalog iz prejšnjega odstavka, ki se nanašajo na investicijo v drugi tir, lahko družba s pogodbo prenese na gospodarsko družbo, ki v skladu z zakonom, ki ureja železniški promet, kot notranji izvajalec za državo, njene organe in pravne osebe javnega prava opravlja storitve investicijskega inženiringa, če so za to izpolnjeni pogoji po predpisih o javnem naročanju.«.</w:t>
      </w:r>
    </w:p>
    <w:p w:rsidR="002567D1" w:rsidRDefault="002567D1" w:rsidP="002567D1">
      <w:pPr>
        <w:autoSpaceDE w:val="0"/>
        <w:autoSpaceDN w:val="0"/>
        <w:adjustRightInd w:val="0"/>
        <w:rPr>
          <w:rFonts w:cs="Arial"/>
          <w:color w:val="000000"/>
          <w:szCs w:val="20"/>
        </w:rPr>
      </w:pPr>
    </w:p>
    <w:p w:rsidR="002567D1" w:rsidRDefault="002567D1" w:rsidP="002567D1">
      <w:pPr>
        <w:autoSpaceDE w:val="0"/>
        <w:autoSpaceDN w:val="0"/>
        <w:adjustRightInd w:val="0"/>
        <w:jc w:val="both"/>
        <w:rPr>
          <w:rFonts w:cs="Arial"/>
          <w:color w:val="000000"/>
          <w:szCs w:val="20"/>
        </w:rPr>
      </w:pPr>
      <w:r>
        <w:rPr>
          <w:rFonts w:cs="Arial"/>
          <w:color w:val="000000"/>
          <w:szCs w:val="20"/>
        </w:rPr>
        <w:t>Obrazložitev: Gre za uskladitev z mnenjem ZPS. Poudarja se, da morajo biti pri sklenitvi morebitne pogodbe z notranjim izvajalcem izpolnjeni pogoji po predpisih o javnem naročanju.</w:t>
      </w:r>
    </w:p>
    <w:p w:rsidR="002567D1" w:rsidRDefault="002567D1" w:rsidP="002567D1">
      <w:pPr>
        <w:autoSpaceDE w:val="0"/>
        <w:autoSpaceDN w:val="0"/>
        <w:adjustRightInd w:val="0"/>
        <w:jc w:val="both"/>
        <w:rPr>
          <w:rFonts w:cs="Arial"/>
          <w:color w:val="000000"/>
          <w:szCs w:val="20"/>
        </w:rPr>
      </w:pPr>
    </w:p>
    <w:p w:rsidR="002567D1" w:rsidRDefault="002567D1" w:rsidP="002567D1">
      <w:pPr>
        <w:autoSpaceDE w:val="0"/>
        <w:autoSpaceDN w:val="0"/>
        <w:adjustRightInd w:val="0"/>
        <w:jc w:val="both"/>
        <w:rPr>
          <w:rFonts w:cs="Arial"/>
          <w:b/>
          <w:color w:val="000000"/>
          <w:szCs w:val="20"/>
        </w:rPr>
      </w:pPr>
      <w:r>
        <w:rPr>
          <w:rFonts w:cs="Arial"/>
          <w:b/>
          <w:color w:val="000000"/>
          <w:szCs w:val="20"/>
        </w:rPr>
        <w:t xml:space="preserve">AMANDMA K 15. ČLENU: </w:t>
      </w:r>
    </w:p>
    <w:p w:rsidR="002567D1" w:rsidRDefault="002567D1" w:rsidP="002567D1">
      <w:pPr>
        <w:autoSpaceDE w:val="0"/>
        <w:autoSpaceDN w:val="0"/>
        <w:adjustRightInd w:val="0"/>
        <w:jc w:val="both"/>
        <w:rPr>
          <w:rFonts w:cs="Arial"/>
          <w:color w:val="000000"/>
          <w:szCs w:val="20"/>
        </w:rPr>
      </w:pPr>
    </w:p>
    <w:p w:rsidR="002567D1" w:rsidRDefault="002567D1" w:rsidP="002567D1">
      <w:pPr>
        <w:autoSpaceDE w:val="0"/>
        <w:autoSpaceDN w:val="0"/>
        <w:adjustRightInd w:val="0"/>
        <w:jc w:val="both"/>
        <w:rPr>
          <w:rFonts w:cs="Arial"/>
          <w:color w:val="000000"/>
          <w:szCs w:val="20"/>
        </w:rPr>
      </w:pPr>
      <w:r>
        <w:rPr>
          <w:rFonts w:cs="Arial"/>
          <w:color w:val="000000"/>
          <w:szCs w:val="20"/>
        </w:rPr>
        <w:t>V 15. členu se besedilo prvega odstavka 22. člena spremeni tako, da se glasi:</w:t>
      </w:r>
    </w:p>
    <w:p w:rsidR="002567D1" w:rsidRDefault="002567D1" w:rsidP="002567D1">
      <w:pPr>
        <w:overflowPunct w:val="0"/>
        <w:autoSpaceDE w:val="0"/>
        <w:autoSpaceDN w:val="0"/>
        <w:adjustRightInd w:val="0"/>
        <w:jc w:val="both"/>
        <w:textAlignment w:val="baseline"/>
        <w:rPr>
          <w:rFonts w:cs="Arial"/>
          <w:strike/>
          <w:szCs w:val="20"/>
          <w:lang w:eastAsia="sl-SI"/>
        </w:rPr>
      </w:pPr>
      <w:r>
        <w:rPr>
          <w:rFonts w:cs="Arial"/>
          <w:szCs w:val="20"/>
          <w:lang w:eastAsia="sl-SI"/>
        </w:rPr>
        <w:t xml:space="preserve">»(1) Družba izvaja naloge iz 10. do 13. člena tega zakona v okviru koncesijskega razmerja, sklenjenega med Republiko Slovenijo kot </w:t>
      </w:r>
      <w:proofErr w:type="spellStart"/>
      <w:r>
        <w:rPr>
          <w:rFonts w:cs="Arial"/>
          <w:szCs w:val="20"/>
          <w:lang w:eastAsia="sl-SI"/>
        </w:rPr>
        <w:t>koncedentom</w:t>
      </w:r>
      <w:proofErr w:type="spellEnd"/>
      <w:r>
        <w:rPr>
          <w:rFonts w:cs="Arial"/>
          <w:szCs w:val="20"/>
          <w:lang w:eastAsia="sl-SI"/>
        </w:rPr>
        <w:t xml:space="preserve"> in družbo kot koncesionarjem. Za izgradnjo in gospodarjenje z vzporednim levim tirom se sklene ločeno koncesijsko razmerje na podlagi samostojnega koncesijskega akta, ki ureja vsebino iz  23. člena tega zakona.«.</w:t>
      </w:r>
    </w:p>
    <w:p w:rsidR="002567D1" w:rsidRDefault="002567D1" w:rsidP="002567D1">
      <w:pPr>
        <w:autoSpaceDE w:val="0"/>
        <w:autoSpaceDN w:val="0"/>
        <w:adjustRightInd w:val="0"/>
        <w:jc w:val="both"/>
        <w:rPr>
          <w:rFonts w:eastAsia="Calibri" w:cs="Arial"/>
          <w:color w:val="000000"/>
          <w:szCs w:val="20"/>
        </w:rPr>
      </w:pPr>
    </w:p>
    <w:p w:rsidR="002567D1" w:rsidRDefault="002567D1" w:rsidP="002567D1">
      <w:pPr>
        <w:autoSpaceDE w:val="0"/>
        <w:autoSpaceDN w:val="0"/>
        <w:adjustRightInd w:val="0"/>
        <w:jc w:val="both"/>
        <w:rPr>
          <w:rFonts w:cs="Arial"/>
          <w:color w:val="000000"/>
          <w:szCs w:val="20"/>
        </w:rPr>
      </w:pPr>
      <w:r>
        <w:rPr>
          <w:rFonts w:cs="Arial"/>
          <w:color w:val="000000"/>
          <w:szCs w:val="20"/>
        </w:rPr>
        <w:t xml:space="preserve">Obrazložitev: Gre za </w:t>
      </w:r>
      <w:proofErr w:type="spellStart"/>
      <w:r>
        <w:rPr>
          <w:rFonts w:cs="Arial"/>
          <w:color w:val="000000"/>
          <w:szCs w:val="20"/>
        </w:rPr>
        <w:t>nomotehnično</w:t>
      </w:r>
      <w:proofErr w:type="spellEnd"/>
      <w:r>
        <w:rPr>
          <w:rFonts w:cs="Arial"/>
          <w:color w:val="000000"/>
          <w:szCs w:val="20"/>
        </w:rPr>
        <w:t xml:space="preserve"> spremembo, ki predstavlja uskladitev z mnenjem ZPS. Pri vsebini koncesijskega akta ne gre za neposredno sklicevanje na akt, določen v 23. členu, temveč na vsebino 23. člena. To pomeni, da bo koncesijski akt, ki bo urejal koncesijo za vzporedni levi tir, moral urejati vso vsebino, določeno v 23. členu zakona (torej, identično za obe enotirni progi). Pri tem se pojasnjuje, da navedba v drugem odstavku 23. člena ZIUGDT, ki govori o enem koncesijskem aktu, pomeni, da se z enim aktom uredita tako koncesija za izgradnjo, kot koncesija za gospodarjenje. To bo veljalo tudi za vzporedni levi tir. </w:t>
      </w:r>
    </w:p>
    <w:p w:rsidR="002567D1" w:rsidRDefault="002567D1" w:rsidP="002567D1">
      <w:pPr>
        <w:autoSpaceDE w:val="0"/>
        <w:autoSpaceDN w:val="0"/>
        <w:adjustRightInd w:val="0"/>
        <w:jc w:val="both"/>
        <w:rPr>
          <w:rFonts w:cs="Arial"/>
          <w:color w:val="000000"/>
          <w:szCs w:val="20"/>
        </w:rPr>
      </w:pPr>
    </w:p>
    <w:p w:rsidR="002567D1" w:rsidRDefault="002567D1" w:rsidP="002567D1">
      <w:pPr>
        <w:autoSpaceDE w:val="0"/>
        <w:autoSpaceDN w:val="0"/>
        <w:adjustRightInd w:val="0"/>
        <w:jc w:val="both"/>
        <w:rPr>
          <w:rFonts w:cs="Arial"/>
          <w:b/>
          <w:color w:val="000000"/>
          <w:szCs w:val="20"/>
        </w:rPr>
      </w:pPr>
      <w:r>
        <w:rPr>
          <w:rFonts w:cs="Arial"/>
          <w:b/>
          <w:color w:val="000000"/>
          <w:szCs w:val="20"/>
        </w:rPr>
        <w:t xml:space="preserve">AMANDMA K 19. ČLENU: </w:t>
      </w:r>
    </w:p>
    <w:p w:rsidR="002567D1" w:rsidRDefault="002567D1" w:rsidP="002567D1">
      <w:pPr>
        <w:autoSpaceDE w:val="0"/>
        <w:autoSpaceDN w:val="0"/>
        <w:adjustRightInd w:val="0"/>
        <w:jc w:val="both"/>
        <w:rPr>
          <w:rFonts w:cs="Arial"/>
          <w:color w:val="000000"/>
          <w:szCs w:val="20"/>
        </w:rPr>
      </w:pPr>
    </w:p>
    <w:p w:rsidR="002567D1" w:rsidRDefault="002567D1" w:rsidP="002567D1">
      <w:pPr>
        <w:autoSpaceDE w:val="0"/>
        <w:autoSpaceDN w:val="0"/>
        <w:adjustRightInd w:val="0"/>
        <w:jc w:val="both"/>
        <w:rPr>
          <w:rFonts w:cs="Arial"/>
          <w:color w:val="000000"/>
          <w:szCs w:val="20"/>
        </w:rPr>
      </w:pPr>
      <w:r>
        <w:rPr>
          <w:rFonts w:cs="Arial"/>
          <w:color w:val="000000"/>
          <w:szCs w:val="20"/>
        </w:rPr>
        <w:t>V 19. členu se besedilo prvega odstavka 34. člena spremeni tako, da se glasi:</w:t>
      </w:r>
    </w:p>
    <w:p w:rsidR="002567D1" w:rsidRDefault="002567D1" w:rsidP="002567D1">
      <w:pPr>
        <w:autoSpaceDE w:val="0"/>
        <w:autoSpaceDN w:val="0"/>
        <w:adjustRightInd w:val="0"/>
        <w:jc w:val="both"/>
        <w:rPr>
          <w:rFonts w:cs="Arial"/>
          <w:color w:val="000000"/>
          <w:szCs w:val="20"/>
        </w:rPr>
      </w:pPr>
    </w:p>
    <w:p w:rsidR="002567D1" w:rsidRDefault="002567D1" w:rsidP="002567D1">
      <w:pPr>
        <w:jc w:val="both"/>
        <w:rPr>
          <w:rFonts w:cs="Arial"/>
          <w:szCs w:val="20"/>
        </w:rPr>
      </w:pPr>
      <w:r>
        <w:rPr>
          <w:rFonts w:cs="Arial"/>
          <w:szCs w:val="20"/>
        </w:rPr>
        <w:t xml:space="preserve">»(1) Plačilo za dosegljivost se obračuna na podlagi mesečnega poročila družbe o obratovanju posamezne enotirne proge, o času obratovanja posamezne proge, za katero se plačilo obračunava, času, ko katera od prog ni obratovala, in razlogih, zaradi katerih ni obratovala. Za čas obratovanja se štejejo ure v posameznem dnevu, ko je v trajanju cele ure proga v celoti bila na razpolago za izvedbo prevozov v okviru najmanj minimalnega paketa storitev dostopa, določenega za zakonom, ki ureja železniški promet.«.  </w:t>
      </w:r>
    </w:p>
    <w:p w:rsidR="002567D1" w:rsidRDefault="002567D1" w:rsidP="002567D1">
      <w:pPr>
        <w:autoSpaceDE w:val="0"/>
        <w:autoSpaceDN w:val="0"/>
        <w:adjustRightInd w:val="0"/>
        <w:jc w:val="both"/>
        <w:rPr>
          <w:rFonts w:cs="Arial"/>
          <w:color w:val="000000"/>
          <w:szCs w:val="20"/>
        </w:rPr>
      </w:pPr>
      <w:r>
        <w:rPr>
          <w:rFonts w:cs="Arial"/>
          <w:color w:val="000000"/>
          <w:szCs w:val="20"/>
        </w:rPr>
        <w:t xml:space="preserve">Obrazložitev: Gre za </w:t>
      </w:r>
      <w:proofErr w:type="spellStart"/>
      <w:r>
        <w:rPr>
          <w:rFonts w:cs="Arial"/>
          <w:color w:val="000000"/>
          <w:szCs w:val="20"/>
        </w:rPr>
        <w:t>nomotehnično</w:t>
      </w:r>
      <w:proofErr w:type="spellEnd"/>
      <w:r>
        <w:rPr>
          <w:rFonts w:cs="Arial"/>
          <w:color w:val="000000"/>
          <w:szCs w:val="20"/>
        </w:rPr>
        <w:t xml:space="preserve">  spremembo, ki predstavlja uskladitev z mnenjem ZPS. Poudarja se, da se plačilo za dosegljivost obračuna za obratovanje posamezne enotirne proge. </w:t>
      </w:r>
    </w:p>
    <w:p w:rsidR="002567D1" w:rsidRDefault="002567D1" w:rsidP="002567D1">
      <w:pPr>
        <w:autoSpaceDE w:val="0"/>
        <w:autoSpaceDN w:val="0"/>
        <w:adjustRightInd w:val="0"/>
        <w:jc w:val="both"/>
        <w:rPr>
          <w:rFonts w:cs="Arial"/>
          <w:color w:val="000000"/>
          <w:szCs w:val="20"/>
        </w:rPr>
      </w:pPr>
    </w:p>
    <w:p w:rsidR="002567D1" w:rsidRDefault="002567D1" w:rsidP="002567D1">
      <w:pPr>
        <w:autoSpaceDE w:val="0"/>
        <w:autoSpaceDN w:val="0"/>
        <w:adjustRightInd w:val="0"/>
        <w:jc w:val="both"/>
        <w:rPr>
          <w:rFonts w:cs="Arial"/>
          <w:color w:val="000000"/>
          <w:szCs w:val="20"/>
        </w:rPr>
      </w:pPr>
    </w:p>
    <w:p w:rsidR="002567D1" w:rsidRDefault="002567D1" w:rsidP="002567D1">
      <w:pPr>
        <w:autoSpaceDE w:val="0"/>
        <w:autoSpaceDN w:val="0"/>
        <w:adjustRightInd w:val="0"/>
        <w:jc w:val="both"/>
        <w:rPr>
          <w:rFonts w:cs="Arial"/>
          <w:b/>
          <w:color w:val="000000"/>
          <w:szCs w:val="20"/>
        </w:rPr>
      </w:pPr>
      <w:r>
        <w:rPr>
          <w:rFonts w:cs="Arial"/>
          <w:b/>
          <w:color w:val="000000"/>
          <w:szCs w:val="20"/>
        </w:rPr>
        <w:t xml:space="preserve">AMANDMA K 23. ČLENU: </w:t>
      </w:r>
    </w:p>
    <w:p w:rsidR="002567D1" w:rsidRDefault="002567D1" w:rsidP="002567D1">
      <w:pPr>
        <w:autoSpaceDE w:val="0"/>
        <w:autoSpaceDN w:val="0"/>
        <w:adjustRightInd w:val="0"/>
        <w:jc w:val="both"/>
        <w:rPr>
          <w:rFonts w:cs="Arial"/>
          <w:color w:val="000000"/>
          <w:szCs w:val="20"/>
        </w:rPr>
      </w:pPr>
    </w:p>
    <w:p w:rsidR="002567D1" w:rsidRDefault="002567D1" w:rsidP="002567D1">
      <w:pPr>
        <w:autoSpaceDE w:val="0"/>
        <w:autoSpaceDN w:val="0"/>
        <w:adjustRightInd w:val="0"/>
        <w:jc w:val="both"/>
        <w:rPr>
          <w:rFonts w:cs="Arial"/>
          <w:color w:val="000000"/>
          <w:szCs w:val="20"/>
        </w:rPr>
      </w:pPr>
      <w:r>
        <w:rPr>
          <w:rFonts w:cs="Arial"/>
          <w:color w:val="000000"/>
          <w:szCs w:val="20"/>
        </w:rPr>
        <w:t>Prvi odstavek 23. člena se spremeni tako, da se glasi:</w:t>
      </w:r>
    </w:p>
    <w:p w:rsidR="002567D1" w:rsidRDefault="002567D1" w:rsidP="002567D1">
      <w:pPr>
        <w:autoSpaceDE w:val="0"/>
        <w:autoSpaceDN w:val="0"/>
        <w:adjustRightInd w:val="0"/>
        <w:jc w:val="both"/>
        <w:rPr>
          <w:rFonts w:cs="Arial"/>
          <w:color w:val="000000"/>
          <w:szCs w:val="20"/>
        </w:rPr>
      </w:pPr>
    </w:p>
    <w:p w:rsidR="002567D1" w:rsidRDefault="002567D1" w:rsidP="002567D1">
      <w:pPr>
        <w:suppressAutoHyphens/>
        <w:jc w:val="both"/>
        <w:rPr>
          <w:rFonts w:cs="Arial"/>
          <w:szCs w:val="20"/>
        </w:rPr>
      </w:pPr>
      <w:r>
        <w:rPr>
          <w:rFonts w:cs="Arial"/>
          <w:szCs w:val="20"/>
        </w:rPr>
        <w:lastRenderedPageBreak/>
        <w:t>»(1) Z dnem uveljavitve uredbe o državnem prostorskem načrtu za vzporedni levi tir na odseku Divača–Koper prevzame družba  pristojnosti investitorja vzporednega levega tira po tem zakonu in zakonu in drugih predpisih, ki urejajo graditev.«.</w:t>
      </w:r>
    </w:p>
    <w:p w:rsidR="002567D1" w:rsidRDefault="002567D1" w:rsidP="002567D1">
      <w:pPr>
        <w:autoSpaceDE w:val="0"/>
        <w:autoSpaceDN w:val="0"/>
        <w:adjustRightInd w:val="0"/>
        <w:jc w:val="both"/>
        <w:rPr>
          <w:rFonts w:cs="Arial"/>
          <w:color w:val="000000"/>
          <w:szCs w:val="20"/>
        </w:rPr>
      </w:pPr>
      <w:r>
        <w:rPr>
          <w:rFonts w:cs="Arial"/>
          <w:color w:val="000000"/>
          <w:szCs w:val="20"/>
        </w:rPr>
        <w:t xml:space="preserve">Obrazložitev: Gre za </w:t>
      </w:r>
      <w:proofErr w:type="spellStart"/>
      <w:r>
        <w:rPr>
          <w:rFonts w:cs="Arial"/>
          <w:color w:val="000000"/>
          <w:szCs w:val="20"/>
        </w:rPr>
        <w:t>nomotehnično</w:t>
      </w:r>
      <w:proofErr w:type="spellEnd"/>
      <w:r>
        <w:rPr>
          <w:rFonts w:cs="Arial"/>
          <w:color w:val="000000"/>
          <w:szCs w:val="20"/>
        </w:rPr>
        <w:t xml:space="preserve"> spremembo, ki predstavlja uskladitev z mnenjem ZPS. </w:t>
      </w:r>
      <w:proofErr w:type="spellStart"/>
      <w:r>
        <w:rPr>
          <w:rFonts w:cs="Arial"/>
          <w:color w:val="000000"/>
          <w:szCs w:val="20"/>
        </w:rPr>
        <w:t>Nomotehnično</w:t>
      </w:r>
      <w:proofErr w:type="spellEnd"/>
      <w:r>
        <w:rPr>
          <w:rFonts w:cs="Arial"/>
          <w:color w:val="000000"/>
          <w:szCs w:val="20"/>
        </w:rPr>
        <w:t xml:space="preserve"> se usklajuje opredelitev prostorskega akta in družbe ter podlag za nove pristojnosti, ki jih bo prevzel nov investitor. </w:t>
      </w:r>
    </w:p>
    <w:p w:rsidR="002567D1" w:rsidRDefault="002567D1" w:rsidP="002567D1">
      <w:pPr>
        <w:autoSpaceDE w:val="0"/>
        <w:autoSpaceDN w:val="0"/>
        <w:adjustRightInd w:val="0"/>
        <w:jc w:val="both"/>
        <w:rPr>
          <w:rFonts w:cs="Arial"/>
          <w:b/>
          <w:color w:val="000000"/>
          <w:szCs w:val="20"/>
        </w:rPr>
      </w:pPr>
      <w:r>
        <w:rPr>
          <w:rFonts w:cs="Arial"/>
          <w:b/>
          <w:color w:val="000000"/>
          <w:szCs w:val="20"/>
        </w:rPr>
        <w:t xml:space="preserve">AMANDMA K 25. ČLENU: </w:t>
      </w:r>
    </w:p>
    <w:p w:rsidR="002567D1" w:rsidRDefault="002567D1" w:rsidP="002567D1">
      <w:pPr>
        <w:suppressAutoHyphens/>
        <w:jc w:val="both"/>
        <w:rPr>
          <w:rFonts w:cs="Arial"/>
          <w:szCs w:val="20"/>
        </w:rPr>
      </w:pPr>
    </w:p>
    <w:p w:rsidR="002567D1" w:rsidRDefault="002567D1" w:rsidP="002567D1">
      <w:pPr>
        <w:suppressAutoHyphens/>
        <w:jc w:val="both"/>
        <w:rPr>
          <w:rFonts w:cs="Arial"/>
          <w:szCs w:val="20"/>
        </w:rPr>
      </w:pPr>
      <w:r>
        <w:rPr>
          <w:rFonts w:cs="Arial"/>
          <w:szCs w:val="20"/>
        </w:rPr>
        <w:t>Prvi in drugi odstavek 25. člena se spremenita tako, da se glasi:</w:t>
      </w:r>
    </w:p>
    <w:p w:rsidR="002567D1" w:rsidRDefault="002567D1" w:rsidP="002567D1">
      <w:pPr>
        <w:suppressAutoHyphens/>
        <w:jc w:val="both"/>
        <w:rPr>
          <w:rFonts w:cs="Arial"/>
          <w:szCs w:val="20"/>
        </w:rPr>
      </w:pPr>
      <w:r>
        <w:rPr>
          <w:rFonts w:cs="Arial"/>
          <w:szCs w:val="20"/>
        </w:rPr>
        <w:t>»(1) Vlada Republike Slovenije sprejme koncesijski akt za izgradnjo in gospodarjenje z vzporednim levim tirom ob upoštevanju vsebine iz 23. člena zakona najkasneje v 90 dneh od uveljavitve tega zakona.</w:t>
      </w:r>
    </w:p>
    <w:p w:rsidR="002567D1" w:rsidRDefault="002567D1" w:rsidP="002567D1">
      <w:pPr>
        <w:autoSpaceDE w:val="0"/>
        <w:autoSpaceDN w:val="0"/>
        <w:adjustRightInd w:val="0"/>
        <w:jc w:val="both"/>
        <w:rPr>
          <w:rFonts w:cs="Arial"/>
          <w:szCs w:val="20"/>
          <w:lang w:eastAsia="sl-SI"/>
        </w:rPr>
      </w:pPr>
      <w:r>
        <w:rPr>
          <w:rFonts w:cs="Arial"/>
          <w:szCs w:val="20"/>
          <w:lang w:eastAsia="sl-SI"/>
        </w:rPr>
        <w:t>(2) Vlada Republike Slovenije in družba podpišeta koncesijsko pogodbo za izgradnjo in gospodarjenje z vzporednim levim tirom na podlagi 24. člena zakona najkasneje v treh mesecih od uveljavitve koncesijskega akta iz prejšnjega odstavka.«</w:t>
      </w:r>
    </w:p>
    <w:p w:rsidR="002567D1" w:rsidRDefault="002567D1" w:rsidP="002567D1">
      <w:pPr>
        <w:autoSpaceDE w:val="0"/>
        <w:autoSpaceDN w:val="0"/>
        <w:adjustRightInd w:val="0"/>
        <w:jc w:val="both"/>
        <w:rPr>
          <w:rFonts w:cs="Arial"/>
          <w:szCs w:val="20"/>
          <w:lang w:eastAsia="sl-SI"/>
        </w:rPr>
      </w:pPr>
    </w:p>
    <w:p w:rsidR="002567D1" w:rsidRDefault="002567D1" w:rsidP="002567D1">
      <w:pPr>
        <w:autoSpaceDE w:val="0"/>
        <w:autoSpaceDN w:val="0"/>
        <w:adjustRightInd w:val="0"/>
        <w:jc w:val="both"/>
        <w:rPr>
          <w:rFonts w:cs="Arial"/>
          <w:color w:val="000000"/>
          <w:szCs w:val="20"/>
        </w:rPr>
      </w:pPr>
      <w:r>
        <w:rPr>
          <w:rFonts w:cs="Arial"/>
          <w:color w:val="000000"/>
          <w:szCs w:val="20"/>
        </w:rPr>
        <w:t>Obrazložitev: Gre za</w:t>
      </w:r>
      <w:r>
        <w:t xml:space="preserve"> </w:t>
      </w:r>
      <w:proofErr w:type="spellStart"/>
      <w:r>
        <w:rPr>
          <w:rFonts w:cs="Arial"/>
          <w:color w:val="000000"/>
          <w:szCs w:val="20"/>
        </w:rPr>
        <w:t>nomotehnično</w:t>
      </w:r>
      <w:proofErr w:type="spellEnd"/>
      <w:r>
        <w:rPr>
          <w:rFonts w:cs="Arial"/>
          <w:color w:val="000000"/>
          <w:szCs w:val="20"/>
        </w:rPr>
        <w:t xml:space="preserve"> spremembo, ki predstavlja uskladitev z mnenjem ZPS. Pri tem se pojasnjuje, da bo koncesijski akt, ki bo urejal koncesijo za vzporedni levi tir, urejal vso vsebino, določeno v 23. členu zakona (torej, identično za obe enotirni progi). Navedba v drugem odstavku 23. člena ZIUGDT, ki se nanaša na en koncesijski akt, pomeni, da se z enim aktom uredita tako koncesija za izgradnjo kot koncesija za gospodarjenje. To bo veljalo tudi za vzporedni levi tir.</w:t>
      </w:r>
    </w:p>
    <w:p w:rsidR="002567D1" w:rsidRDefault="002567D1" w:rsidP="002567D1">
      <w:pPr>
        <w:suppressAutoHyphens/>
        <w:jc w:val="both"/>
        <w:rPr>
          <w:rFonts w:cs="Arial"/>
          <w:szCs w:val="20"/>
        </w:rPr>
      </w:pPr>
    </w:p>
    <w:p w:rsidR="002567D1" w:rsidRDefault="002567D1" w:rsidP="002567D1">
      <w:pPr>
        <w:suppressAutoHyphens/>
        <w:jc w:val="both"/>
        <w:rPr>
          <w:rFonts w:cs="Arial"/>
          <w:szCs w:val="20"/>
        </w:rPr>
      </w:pPr>
    </w:p>
    <w:p w:rsidR="002567D1" w:rsidRDefault="002567D1" w:rsidP="002567D1">
      <w:pPr>
        <w:autoSpaceDE w:val="0"/>
        <w:autoSpaceDN w:val="0"/>
        <w:adjustRightInd w:val="0"/>
        <w:jc w:val="both"/>
        <w:rPr>
          <w:rFonts w:cs="Arial"/>
          <w:b/>
          <w:color w:val="000000"/>
          <w:szCs w:val="20"/>
        </w:rPr>
      </w:pPr>
      <w:r>
        <w:rPr>
          <w:rFonts w:cs="Arial"/>
          <w:b/>
          <w:color w:val="000000"/>
          <w:szCs w:val="20"/>
        </w:rPr>
        <w:t xml:space="preserve">AMANDMA K 26. ČLENU: </w:t>
      </w:r>
    </w:p>
    <w:p w:rsidR="002567D1" w:rsidRDefault="002567D1" w:rsidP="002567D1">
      <w:pPr>
        <w:suppressAutoHyphens/>
        <w:jc w:val="both"/>
        <w:rPr>
          <w:rFonts w:cs="Arial"/>
          <w:szCs w:val="20"/>
        </w:rPr>
      </w:pPr>
    </w:p>
    <w:p w:rsidR="002567D1" w:rsidRDefault="002567D1" w:rsidP="002567D1">
      <w:pPr>
        <w:suppressAutoHyphens/>
        <w:jc w:val="both"/>
        <w:rPr>
          <w:rFonts w:cs="Arial"/>
          <w:szCs w:val="20"/>
        </w:rPr>
      </w:pPr>
      <w:r>
        <w:rPr>
          <w:rFonts w:cs="Arial"/>
          <w:szCs w:val="20"/>
        </w:rPr>
        <w:t>V 26. členu se doda nov drugi odstavek, ki se glasi:</w:t>
      </w:r>
    </w:p>
    <w:p w:rsidR="002567D1" w:rsidRDefault="002567D1" w:rsidP="002567D1">
      <w:pPr>
        <w:suppressAutoHyphens/>
        <w:jc w:val="both"/>
        <w:rPr>
          <w:rFonts w:cs="Arial"/>
          <w:szCs w:val="20"/>
        </w:rPr>
      </w:pPr>
      <w:r>
        <w:rPr>
          <w:rFonts w:cs="Arial"/>
          <w:szCs w:val="20"/>
        </w:rPr>
        <w:t xml:space="preserve">»(2) Direkcija Republike Slovenije za infrastrukturo najkasneje v enem letu po odstranitvi infrastrukture iz prejšnjega odstavka v okviru trase opuščenega dela železniške proge med cepiščem Prešnica in ENP Dekani vzpostavi državno kolesarsko povezavo z izvedbo potrebne infrastrukture.«. </w:t>
      </w:r>
    </w:p>
    <w:p w:rsidR="002567D1" w:rsidRDefault="002567D1" w:rsidP="002567D1">
      <w:pPr>
        <w:autoSpaceDE w:val="0"/>
        <w:autoSpaceDN w:val="0"/>
        <w:adjustRightInd w:val="0"/>
        <w:jc w:val="both"/>
        <w:rPr>
          <w:rFonts w:cs="Arial"/>
          <w:color w:val="000000"/>
          <w:szCs w:val="20"/>
        </w:rPr>
      </w:pPr>
      <w:r>
        <w:rPr>
          <w:rFonts w:cs="Arial"/>
          <w:color w:val="000000"/>
          <w:szCs w:val="20"/>
        </w:rPr>
        <w:t xml:space="preserve">Obrazložitev: Gre za </w:t>
      </w:r>
      <w:proofErr w:type="spellStart"/>
      <w:r>
        <w:rPr>
          <w:rFonts w:cs="Arial"/>
          <w:color w:val="000000"/>
          <w:szCs w:val="20"/>
        </w:rPr>
        <w:t>nomotehnično</w:t>
      </w:r>
      <w:proofErr w:type="spellEnd"/>
      <w:r>
        <w:rPr>
          <w:rFonts w:cs="Arial"/>
          <w:color w:val="000000"/>
          <w:szCs w:val="20"/>
        </w:rPr>
        <w:t xml:space="preserve"> spremembo, ki predstavlja uskladitev z mnenjem ZPS. Izrazi se usklajujejo s pojmi, opredeljenimi v prvem odstavku 26. člena.  </w:t>
      </w:r>
    </w:p>
    <w:p w:rsidR="002567D1" w:rsidRDefault="002567D1" w:rsidP="002567D1">
      <w:pPr>
        <w:suppressAutoHyphens/>
        <w:jc w:val="both"/>
        <w:rPr>
          <w:rFonts w:cs="Arial"/>
          <w:szCs w:val="20"/>
        </w:rPr>
      </w:pPr>
    </w:p>
    <w:p w:rsidR="002567D1" w:rsidRDefault="002567D1" w:rsidP="002567D1">
      <w:pPr>
        <w:jc w:val="both"/>
      </w:pPr>
    </w:p>
    <w:p w:rsidR="002567D1" w:rsidRDefault="002567D1" w:rsidP="002567D1">
      <w:pPr>
        <w:rPr>
          <w:rFonts w:ascii="Calibri" w:eastAsia="Calibri" w:hAnsi="Calibri"/>
          <w:sz w:val="22"/>
          <w:szCs w:val="22"/>
        </w:rPr>
      </w:pPr>
    </w:p>
    <w:p w:rsidR="002567D1" w:rsidRDefault="002567D1" w:rsidP="002567D1">
      <w:pPr>
        <w:pStyle w:val="pravnapodlaga1"/>
        <w:spacing w:before="0" w:line="260" w:lineRule="exact"/>
        <w:ind w:firstLine="0"/>
      </w:pPr>
    </w:p>
    <w:bookmarkEnd w:id="0"/>
    <w:p w:rsidR="00782FD4" w:rsidRPr="00EC13B0" w:rsidRDefault="00782FD4" w:rsidP="002567D1">
      <w:pPr>
        <w:autoSpaceDE w:val="0"/>
        <w:autoSpaceDN w:val="0"/>
        <w:adjustRightInd w:val="0"/>
      </w:pPr>
    </w:p>
    <w:sectPr w:rsidR="00782FD4" w:rsidRPr="00EC13B0" w:rsidSect="005D5957">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E0720" w:rsidRDefault="001E0720" w:rsidP="00767987">
      <w:pPr>
        <w:spacing w:line="240" w:lineRule="auto"/>
      </w:pPr>
      <w:r>
        <w:separator/>
      </w:r>
    </w:p>
  </w:endnote>
  <w:endnote w:type="continuationSeparator" w:id="0">
    <w:p w:rsidR="001E0720" w:rsidRDefault="001E0720"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747BD" w:rsidRDefault="00B747BD">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747BD" w:rsidRDefault="00B747BD">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747BD" w:rsidRDefault="00B747BD">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E0720" w:rsidRDefault="001E0720" w:rsidP="00767987">
      <w:pPr>
        <w:spacing w:line="240" w:lineRule="auto"/>
      </w:pPr>
      <w:r>
        <w:separator/>
      </w:r>
    </w:p>
  </w:footnote>
  <w:footnote w:type="continuationSeparator" w:id="0">
    <w:p w:rsidR="001E0720" w:rsidRDefault="001E0720"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747BD" w:rsidRDefault="00B747BD">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747BD" w:rsidRDefault="00B747BD">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D5957" w:rsidRPr="00A9231D" w:rsidRDefault="005D5957" w:rsidP="005D5957">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7ACAF12D" wp14:editId="5693384B">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5D5957" w:rsidRPr="00A9231D" w:rsidRDefault="005D5957" w:rsidP="005D5957">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105752"/>
    <w:multiLevelType w:val="hybridMultilevel"/>
    <w:tmpl w:val="6008B0F2"/>
    <w:lvl w:ilvl="0" w:tplc="5684846C">
      <w:start w:val="1"/>
      <w:numFmt w:val="bullet"/>
      <w:lvlText w:val="–"/>
      <w:lvlJc w:val="left"/>
      <w:pPr>
        <w:ind w:left="980" w:hanging="360"/>
      </w:pPr>
      <w:rPr>
        <w:rFonts w:ascii="Arial" w:hAnsi="Arial" w:cs="Times New Roman" w:hint="default"/>
      </w:rPr>
    </w:lvl>
    <w:lvl w:ilvl="1" w:tplc="04090003">
      <w:start w:val="1"/>
      <w:numFmt w:val="bullet"/>
      <w:lvlText w:val="o"/>
      <w:lvlJc w:val="left"/>
      <w:pPr>
        <w:ind w:left="1700" w:hanging="360"/>
      </w:pPr>
      <w:rPr>
        <w:rFonts w:ascii="Courier New" w:hAnsi="Courier New" w:cs="Courier New" w:hint="default"/>
      </w:rPr>
    </w:lvl>
    <w:lvl w:ilvl="2" w:tplc="04090005">
      <w:start w:val="1"/>
      <w:numFmt w:val="bullet"/>
      <w:lvlText w:val=""/>
      <w:lvlJc w:val="left"/>
      <w:pPr>
        <w:ind w:left="2420" w:hanging="360"/>
      </w:pPr>
      <w:rPr>
        <w:rFonts w:ascii="Wingdings" w:hAnsi="Wingdings" w:hint="default"/>
      </w:rPr>
    </w:lvl>
    <w:lvl w:ilvl="3" w:tplc="04090001">
      <w:start w:val="1"/>
      <w:numFmt w:val="bullet"/>
      <w:lvlText w:val=""/>
      <w:lvlJc w:val="left"/>
      <w:pPr>
        <w:ind w:left="3140" w:hanging="360"/>
      </w:pPr>
      <w:rPr>
        <w:rFonts w:ascii="Symbol" w:hAnsi="Symbol" w:hint="default"/>
      </w:rPr>
    </w:lvl>
    <w:lvl w:ilvl="4" w:tplc="04090003">
      <w:start w:val="1"/>
      <w:numFmt w:val="bullet"/>
      <w:lvlText w:val="o"/>
      <w:lvlJc w:val="left"/>
      <w:pPr>
        <w:ind w:left="3860" w:hanging="360"/>
      </w:pPr>
      <w:rPr>
        <w:rFonts w:ascii="Courier New" w:hAnsi="Courier New" w:cs="Courier New" w:hint="default"/>
      </w:rPr>
    </w:lvl>
    <w:lvl w:ilvl="5" w:tplc="04090005">
      <w:start w:val="1"/>
      <w:numFmt w:val="bullet"/>
      <w:lvlText w:val=""/>
      <w:lvlJc w:val="left"/>
      <w:pPr>
        <w:ind w:left="4580" w:hanging="360"/>
      </w:pPr>
      <w:rPr>
        <w:rFonts w:ascii="Wingdings" w:hAnsi="Wingdings" w:hint="default"/>
      </w:rPr>
    </w:lvl>
    <w:lvl w:ilvl="6" w:tplc="04090001">
      <w:start w:val="1"/>
      <w:numFmt w:val="bullet"/>
      <w:lvlText w:val=""/>
      <w:lvlJc w:val="left"/>
      <w:pPr>
        <w:ind w:left="5300" w:hanging="360"/>
      </w:pPr>
      <w:rPr>
        <w:rFonts w:ascii="Symbol" w:hAnsi="Symbol" w:hint="default"/>
      </w:rPr>
    </w:lvl>
    <w:lvl w:ilvl="7" w:tplc="04090003">
      <w:start w:val="1"/>
      <w:numFmt w:val="bullet"/>
      <w:lvlText w:val="o"/>
      <w:lvlJc w:val="left"/>
      <w:pPr>
        <w:ind w:left="6020" w:hanging="360"/>
      </w:pPr>
      <w:rPr>
        <w:rFonts w:ascii="Courier New" w:hAnsi="Courier New" w:cs="Courier New" w:hint="default"/>
      </w:rPr>
    </w:lvl>
    <w:lvl w:ilvl="8" w:tplc="04090005">
      <w:start w:val="1"/>
      <w:numFmt w:val="bullet"/>
      <w:lvlText w:val=""/>
      <w:lvlJc w:val="left"/>
      <w:pPr>
        <w:ind w:left="6740" w:hanging="360"/>
      </w:pPr>
      <w:rPr>
        <w:rFonts w:ascii="Wingdings" w:hAnsi="Wingdings" w:hint="default"/>
      </w:rPr>
    </w:lvl>
  </w:abstractNum>
  <w:abstractNum w:abstractNumId="1" w15:restartNumberingAfterBreak="0">
    <w:nsid w:val="4C080309"/>
    <w:multiLevelType w:val="hybridMultilevel"/>
    <w:tmpl w:val="596E5182"/>
    <w:lvl w:ilvl="0" w:tplc="795AEBD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5583524C"/>
    <w:multiLevelType w:val="hybridMultilevel"/>
    <w:tmpl w:val="D07CA032"/>
    <w:lvl w:ilvl="0" w:tplc="5684846C">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num w:numId="1">
    <w:abstractNumId w:val="3"/>
  </w:num>
  <w:num w:numId="2">
    <w:abstractNumId w:val="1"/>
  </w:num>
  <w:num w:numId="3">
    <w:abstractNumId w:val="2"/>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B3FE6"/>
    <w:rsid w:val="000E21B2"/>
    <w:rsid w:val="001A2469"/>
    <w:rsid w:val="001E0720"/>
    <w:rsid w:val="00204177"/>
    <w:rsid w:val="002567D1"/>
    <w:rsid w:val="00366636"/>
    <w:rsid w:val="00367DE6"/>
    <w:rsid w:val="003B3E19"/>
    <w:rsid w:val="004076C6"/>
    <w:rsid w:val="004B7F76"/>
    <w:rsid w:val="004E1BCE"/>
    <w:rsid w:val="0056541B"/>
    <w:rsid w:val="00592079"/>
    <w:rsid w:val="005D5957"/>
    <w:rsid w:val="005F7DAD"/>
    <w:rsid w:val="00676475"/>
    <w:rsid w:val="00682FFE"/>
    <w:rsid w:val="006C69EC"/>
    <w:rsid w:val="007039D0"/>
    <w:rsid w:val="00710C90"/>
    <w:rsid w:val="00767987"/>
    <w:rsid w:val="00782FD4"/>
    <w:rsid w:val="00811140"/>
    <w:rsid w:val="00896FBD"/>
    <w:rsid w:val="008A3F94"/>
    <w:rsid w:val="00904A48"/>
    <w:rsid w:val="009510F6"/>
    <w:rsid w:val="00980294"/>
    <w:rsid w:val="009C5392"/>
    <w:rsid w:val="00A50E4B"/>
    <w:rsid w:val="00A84BC4"/>
    <w:rsid w:val="00A9231D"/>
    <w:rsid w:val="00B40287"/>
    <w:rsid w:val="00B747BD"/>
    <w:rsid w:val="00C0216A"/>
    <w:rsid w:val="00CD6077"/>
    <w:rsid w:val="00CE234E"/>
    <w:rsid w:val="00D02973"/>
    <w:rsid w:val="00DA09BE"/>
    <w:rsid w:val="00E278C9"/>
    <w:rsid w:val="00E30579"/>
    <w:rsid w:val="00EC13B0"/>
    <w:rsid w:val="00FB00DD"/>
    <w:rsid w:val="00FE168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A3F94"/>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style>
  <w:style w:type="character" w:customStyle="1" w:styleId="NogaZnak">
    <w:name w:val="Noga Znak"/>
    <w:basedOn w:val="Privzetapisavaodstavka"/>
    <w:link w:val="Noga"/>
    <w:uiPriority w:val="99"/>
    <w:rsid w:val="00767987"/>
  </w:style>
  <w:style w:type="paragraph" w:styleId="Odstavekseznama">
    <w:name w:val="List Paragraph"/>
    <w:basedOn w:val="Navaden"/>
    <w:uiPriority w:val="34"/>
    <w:qFormat/>
    <w:rsid w:val="00E30579"/>
    <w:pPr>
      <w:ind w:left="720"/>
      <w:contextualSpacing/>
    </w:pPr>
  </w:style>
  <w:style w:type="paragraph" w:customStyle="1" w:styleId="ZADEVA">
    <w:name w:val="ZADEVA"/>
    <w:basedOn w:val="Navaden"/>
    <w:qFormat/>
    <w:rsid w:val="008A3F94"/>
    <w:pPr>
      <w:tabs>
        <w:tab w:val="left" w:pos="1701"/>
      </w:tabs>
      <w:ind w:left="1701" w:hanging="1701"/>
    </w:pPr>
    <w:rPr>
      <w:b/>
      <w:lang w:val="it-IT"/>
    </w:rPr>
  </w:style>
  <w:style w:type="paragraph" w:customStyle="1" w:styleId="podpisi">
    <w:name w:val="podpisi"/>
    <w:basedOn w:val="Navaden"/>
    <w:qFormat/>
    <w:rsid w:val="008A3F94"/>
    <w:pPr>
      <w:tabs>
        <w:tab w:val="left" w:pos="3402"/>
      </w:tabs>
    </w:pPr>
    <w:rPr>
      <w:lang w:val="it-IT"/>
    </w:rPr>
  </w:style>
  <w:style w:type="character" w:styleId="Hiperpovezava">
    <w:name w:val="Hyperlink"/>
    <w:basedOn w:val="Privzetapisavaodstavka"/>
    <w:uiPriority w:val="99"/>
    <w:semiHidden/>
    <w:unhideWhenUsed/>
    <w:rsid w:val="005D5957"/>
    <w:rPr>
      <w:color w:val="0000FF"/>
      <w:u w:val="single"/>
    </w:rPr>
  </w:style>
  <w:style w:type="paragraph" w:customStyle="1" w:styleId="pravnapodlaga1">
    <w:name w:val="pravnapodlaga1"/>
    <w:basedOn w:val="Navaden"/>
    <w:rsid w:val="002567D1"/>
    <w:pPr>
      <w:spacing w:before="480" w:line="240" w:lineRule="auto"/>
      <w:ind w:firstLine="1021"/>
      <w:jc w:val="both"/>
    </w:pPr>
    <w:rPr>
      <w:rFonts w:cs="Arial"/>
      <w:sz w:val="22"/>
      <w:szCs w:val="22"/>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3746161">
      <w:bodyDiv w:val="1"/>
      <w:marLeft w:val="0"/>
      <w:marRight w:val="0"/>
      <w:marTop w:val="0"/>
      <w:marBottom w:val="0"/>
      <w:divBdr>
        <w:top w:val="none" w:sz="0" w:space="0" w:color="auto"/>
        <w:left w:val="none" w:sz="0" w:space="0" w:color="auto"/>
        <w:bottom w:val="none" w:sz="0" w:space="0" w:color="auto"/>
        <w:right w:val="none" w:sz="0" w:space="0" w:color="auto"/>
      </w:divBdr>
    </w:div>
    <w:div w:id="527066083">
      <w:bodyDiv w:val="1"/>
      <w:marLeft w:val="0"/>
      <w:marRight w:val="0"/>
      <w:marTop w:val="0"/>
      <w:marBottom w:val="0"/>
      <w:divBdr>
        <w:top w:val="none" w:sz="0" w:space="0" w:color="auto"/>
        <w:left w:val="none" w:sz="0" w:space="0" w:color="auto"/>
        <w:bottom w:val="none" w:sz="0" w:space="0" w:color="auto"/>
        <w:right w:val="none" w:sz="0" w:space="0" w:color="auto"/>
      </w:divBdr>
    </w:div>
    <w:div w:id="1374306362">
      <w:bodyDiv w:val="1"/>
      <w:marLeft w:val="0"/>
      <w:marRight w:val="0"/>
      <w:marTop w:val="0"/>
      <w:marBottom w:val="0"/>
      <w:divBdr>
        <w:top w:val="none" w:sz="0" w:space="0" w:color="auto"/>
        <w:left w:val="none" w:sz="0" w:space="0" w:color="auto"/>
        <w:bottom w:val="none" w:sz="0" w:space="0" w:color="auto"/>
        <w:right w:val="none" w:sz="0" w:space="0" w:color="auto"/>
      </w:divBdr>
    </w:div>
    <w:div w:id="17391327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1140</Words>
  <Characters>6499</Characters>
  <Application>Microsoft Office Word</Application>
  <DocSecurity>0</DocSecurity>
  <Lines>54</Lines>
  <Paragraphs>15</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7624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VRS</dc:creator>
  <cp:keywords/>
  <dc:description/>
  <cp:lastModifiedBy>Katja Pucihar</cp:lastModifiedBy>
  <cp:revision>2</cp:revision>
  <dcterms:created xsi:type="dcterms:W3CDTF">2024-10-03T05:41:00Z</dcterms:created>
  <dcterms:modified xsi:type="dcterms:W3CDTF">2024-10-03T05:41:00Z</dcterms:modified>
</cp:coreProperties>
</file>