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9D5FCF">
      <w:pPr>
        <w:pStyle w:val="datumtevilka"/>
      </w:pPr>
      <w:bookmarkStart w:id="0" w:name="_GoBack"/>
      <w:r>
        <w:rPr>
          <w:rFonts w:cs="Arial"/>
          <w:color w:val="000000"/>
        </w:rPr>
        <w:t>EVA:</w:t>
      </w:r>
      <w:r>
        <w:rPr>
          <w:rFonts w:cs="Arial"/>
          <w:color w:val="000000"/>
        </w:rPr>
        <w:tab/>
      </w:r>
      <w:r w:rsidR="007B4DF3">
        <w:rPr>
          <w:rFonts w:cs="Arial"/>
          <w:color w:val="000000"/>
        </w:rPr>
        <w:t>2024-3150-0009</w:t>
      </w:r>
    </w:p>
    <w:p w:rsidR="00896FBD" w:rsidRDefault="00896FBD" w:rsidP="009D5FCF">
      <w:pPr>
        <w:pStyle w:val="datumtevilka"/>
      </w:pPr>
      <w:r>
        <w:t xml:space="preserve">Številka: </w:t>
      </w:r>
      <w:r>
        <w:tab/>
      </w:r>
      <w:r w:rsidR="007B4DF3">
        <w:rPr>
          <w:rFonts w:cs="Arial"/>
          <w:color w:val="000000"/>
        </w:rPr>
        <w:t>00704-227/2024/9</w:t>
      </w:r>
    </w:p>
    <w:p w:rsidR="00896FBD" w:rsidRDefault="00896FBD" w:rsidP="009D5FCF">
      <w:pPr>
        <w:pStyle w:val="datumtevilka"/>
      </w:pPr>
      <w:r>
        <w:t>Datum:</w:t>
      </w:r>
      <w:r>
        <w:tab/>
      </w:r>
      <w:r w:rsidR="007B4DF3">
        <w:rPr>
          <w:rFonts w:cs="Arial"/>
          <w:color w:val="000000"/>
        </w:rPr>
        <w:t>3. 10. 2024</w:t>
      </w:r>
      <w:r>
        <w:t xml:space="preserve"> </w:t>
      </w:r>
    </w:p>
    <w:p w:rsidR="00896FBD" w:rsidRDefault="00896FBD" w:rsidP="009D5FCF"/>
    <w:p w:rsidR="00896FBD" w:rsidRDefault="00896FBD" w:rsidP="009D5FCF">
      <w:pPr>
        <w:autoSpaceDE w:val="0"/>
        <w:autoSpaceDN w:val="0"/>
        <w:adjustRightInd w:val="0"/>
        <w:rPr>
          <w:rFonts w:cs="Arial"/>
          <w:color w:val="000000"/>
          <w:szCs w:val="20"/>
        </w:rPr>
      </w:pPr>
    </w:p>
    <w:p w:rsidR="00896FBD" w:rsidRPr="009D5FCF" w:rsidRDefault="00812DA2" w:rsidP="009D5FCF">
      <w:pPr>
        <w:autoSpaceDE w:val="0"/>
        <w:autoSpaceDN w:val="0"/>
        <w:adjustRightInd w:val="0"/>
        <w:jc w:val="center"/>
        <w:rPr>
          <w:rFonts w:cs="Arial"/>
          <w:b/>
          <w:color w:val="000000"/>
          <w:szCs w:val="20"/>
        </w:rPr>
      </w:pPr>
      <w:r w:rsidRPr="009D5FCF">
        <w:rPr>
          <w:rFonts w:cs="Arial"/>
          <w:b/>
          <w:color w:val="000000"/>
          <w:szCs w:val="20"/>
        </w:rPr>
        <w:t>Predlogi</w:t>
      </w:r>
      <w:r w:rsidR="007B4DF3" w:rsidRPr="009D5FCF">
        <w:rPr>
          <w:rFonts w:cs="Arial"/>
          <w:b/>
          <w:color w:val="000000"/>
          <w:szCs w:val="20"/>
        </w:rPr>
        <w:t xml:space="preserve"> amandmajev k Predlogu zakona o izvajanju uredbe (EU) o obravnavanju razširjanja terorističnih spletnih vsebin</w:t>
      </w:r>
    </w:p>
    <w:p w:rsidR="00896FBD" w:rsidRDefault="00896FBD" w:rsidP="009D5FCF">
      <w:pPr>
        <w:autoSpaceDE w:val="0"/>
        <w:autoSpaceDN w:val="0"/>
        <w:adjustRightInd w:val="0"/>
        <w:rPr>
          <w:rFonts w:cs="Arial"/>
          <w:color w:val="000000"/>
          <w:szCs w:val="20"/>
        </w:rPr>
      </w:pPr>
    </w:p>
    <w:p w:rsidR="00896FBD" w:rsidRDefault="00896FBD" w:rsidP="009D5FCF">
      <w:pPr>
        <w:autoSpaceDE w:val="0"/>
        <w:autoSpaceDN w:val="0"/>
        <w:adjustRightInd w:val="0"/>
        <w:rPr>
          <w:rFonts w:cs="Arial"/>
          <w:color w:val="000000"/>
          <w:szCs w:val="20"/>
        </w:rPr>
      </w:pPr>
    </w:p>
    <w:p w:rsidR="009D5FCF" w:rsidRDefault="009D5FCF" w:rsidP="009D5FCF">
      <w:pPr>
        <w:rPr>
          <w:rFonts w:cs="Arial"/>
          <w:b/>
          <w:bCs/>
          <w:szCs w:val="20"/>
        </w:rPr>
      </w:pPr>
      <w:r>
        <w:rPr>
          <w:rFonts w:cs="Arial"/>
          <w:b/>
          <w:bCs/>
          <w:szCs w:val="20"/>
        </w:rPr>
        <w:t xml:space="preserve">Za nov 1.a člen </w:t>
      </w:r>
    </w:p>
    <w:p w:rsidR="009D5FCF" w:rsidRDefault="009D5FCF" w:rsidP="009D5FCF">
      <w:pPr>
        <w:rPr>
          <w:rFonts w:cs="Arial"/>
          <w:b/>
          <w:bCs/>
          <w:szCs w:val="20"/>
        </w:rPr>
      </w:pPr>
    </w:p>
    <w:p w:rsidR="009D5FCF" w:rsidRDefault="009D5FCF" w:rsidP="009D5FCF">
      <w:pPr>
        <w:rPr>
          <w:rFonts w:cs="Arial"/>
          <w:szCs w:val="20"/>
        </w:rPr>
      </w:pPr>
      <w:r>
        <w:rPr>
          <w:rFonts w:cs="Arial"/>
          <w:szCs w:val="20"/>
        </w:rPr>
        <w:t xml:space="preserve">Za 1. členom se doda nov 1.a člen, ki se glasi: </w:t>
      </w:r>
    </w:p>
    <w:p w:rsidR="009D5FCF" w:rsidRDefault="009D5FCF" w:rsidP="009D5FCF">
      <w:pPr>
        <w:ind w:left="1416"/>
        <w:rPr>
          <w:rFonts w:cs="Arial"/>
          <w:szCs w:val="20"/>
        </w:rPr>
      </w:pPr>
      <w:r>
        <w:rPr>
          <w:rFonts w:cs="Arial"/>
          <w:szCs w:val="20"/>
        </w:rPr>
        <w:t xml:space="preserve">                                                                                     </w:t>
      </w:r>
    </w:p>
    <w:p w:rsidR="009D5FCF" w:rsidRDefault="009D5FCF" w:rsidP="009D5FCF">
      <w:pPr>
        <w:ind w:left="3600"/>
        <w:rPr>
          <w:rFonts w:cs="Arial"/>
          <w:b/>
          <w:bCs/>
          <w:szCs w:val="20"/>
        </w:rPr>
      </w:pPr>
      <w:r>
        <w:rPr>
          <w:rFonts w:cs="Arial"/>
          <w:szCs w:val="20"/>
        </w:rPr>
        <w:t>      </w:t>
      </w:r>
      <w:bookmarkStart w:id="1" w:name="_Hlk178520576"/>
      <w:r>
        <w:rPr>
          <w:rFonts w:cs="Arial"/>
          <w:szCs w:val="20"/>
        </w:rPr>
        <w:t>»</w:t>
      </w:r>
      <w:r>
        <w:rPr>
          <w:rFonts w:cs="Arial"/>
          <w:b/>
          <w:bCs/>
          <w:szCs w:val="20"/>
        </w:rPr>
        <w:t>1.a člen</w:t>
      </w:r>
    </w:p>
    <w:p w:rsidR="009D5FCF" w:rsidRDefault="009D5FCF" w:rsidP="009D5FCF">
      <w:pPr>
        <w:ind w:left="3600"/>
        <w:rPr>
          <w:rFonts w:cs="Arial"/>
          <w:b/>
          <w:bCs/>
          <w:szCs w:val="20"/>
        </w:rPr>
      </w:pPr>
      <w:r>
        <w:rPr>
          <w:rFonts w:cs="Arial"/>
          <w:b/>
          <w:bCs/>
          <w:szCs w:val="20"/>
        </w:rPr>
        <w:t>(pomen izrazov)</w:t>
      </w:r>
    </w:p>
    <w:p w:rsidR="009D5FCF" w:rsidRDefault="009D5FCF" w:rsidP="009D5FCF">
      <w:pPr>
        <w:ind w:left="3600"/>
        <w:rPr>
          <w:rFonts w:cs="Arial"/>
          <w:b/>
          <w:bCs/>
          <w:szCs w:val="20"/>
        </w:rPr>
      </w:pPr>
    </w:p>
    <w:p w:rsidR="009D5FCF" w:rsidRDefault="009D5FCF" w:rsidP="009D5FCF">
      <w:pPr>
        <w:ind w:left="60"/>
        <w:jc w:val="both"/>
        <w:rPr>
          <w:rFonts w:cs="Arial"/>
          <w:szCs w:val="20"/>
        </w:rPr>
      </w:pPr>
      <w:r>
        <w:rPr>
          <w:rFonts w:cs="Arial"/>
          <w:szCs w:val="20"/>
        </w:rPr>
        <w:t>Izrazi, uporabljeni v tem zakonu, pomenijo enako kot izrazi, opredeljeni v Uredbi 2021/784/EU.«</w:t>
      </w:r>
    </w:p>
    <w:bookmarkEnd w:id="1"/>
    <w:p w:rsidR="009D5FCF" w:rsidRDefault="009D5FCF" w:rsidP="009D5FCF">
      <w:pPr>
        <w:rPr>
          <w:rFonts w:cs="Arial"/>
          <w:szCs w:val="20"/>
        </w:rPr>
      </w:pPr>
    </w:p>
    <w:p w:rsidR="009D5FCF" w:rsidRDefault="009D5FCF" w:rsidP="009D5FCF">
      <w:pPr>
        <w:rPr>
          <w:rFonts w:cs="Arial"/>
          <w:b/>
          <w:bCs/>
          <w:szCs w:val="20"/>
        </w:rPr>
      </w:pPr>
      <w:r>
        <w:rPr>
          <w:rFonts w:cs="Arial"/>
          <w:b/>
          <w:bCs/>
          <w:szCs w:val="20"/>
        </w:rPr>
        <w:t xml:space="preserve">Obrazložitev: </w:t>
      </w:r>
    </w:p>
    <w:p w:rsidR="009D5FCF" w:rsidRDefault="009D5FCF" w:rsidP="009D5FCF">
      <w:pPr>
        <w:rPr>
          <w:rFonts w:cs="Arial"/>
          <w:b/>
          <w:bCs/>
          <w:szCs w:val="20"/>
        </w:rPr>
      </w:pPr>
    </w:p>
    <w:p w:rsidR="009D5FCF" w:rsidRDefault="009D5FCF" w:rsidP="009D5FCF">
      <w:pPr>
        <w:jc w:val="both"/>
        <w:rPr>
          <w:rFonts w:cs="Arial"/>
          <w:szCs w:val="20"/>
        </w:rPr>
      </w:pPr>
      <w:r>
        <w:rPr>
          <w:rFonts w:cs="Arial"/>
          <w:szCs w:val="20"/>
        </w:rPr>
        <w:t xml:space="preserve">Amandma se predlaga zaradi uskladitve z mnenjem Zakonodajno-pravne službe Državnega zbora (v nadaljevanju: ZPS). Predlog zakona se dopolnjuje z določbo, ki določa, da imajo v zakonu uporabljeni izrazi enak pomen kot izrazi, opredeljeni v Uredbi (EU) 2021/784 Evropskega parlamenta in Sveta z dne 29. aprila 2021 o obravnavanju razširjanja terorističnih spletnih vsebin (v nadaljevanju: Uredba 2021/784/EU). </w:t>
      </w:r>
    </w:p>
    <w:p w:rsidR="009D5FCF" w:rsidRDefault="009D5FCF" w:rsidP="009D5FCF">
      <w:pPr>
        <w:jc w:val="both"/>
        <w:rPr>
          <w:rFonts w:cs="Arial"/>
          <w:szCs w:val="20"/>
        </w:rPr>
      </w:pPr>
    </w:p>
    <w:p w:rsidR="009D5FCF" w:rsidRDefault="009D5FCF" w:rsidP="009D5FCF">
      <w:pPr>
        <w:rPr>
          <w:rFonts w:cs="Arial"/>
          <w:b/>
          <w:bCs/>
          <w:szCs w:val="20"/>
        </w:rPr>
      </w:pPr>
      <w:r>
        <w:rPr>
          <w:rFonts w:cs="Arial"/>
          <w:b/>
          <w:bCs/>
          <w:szCs w:val="20"/>
        </w:rPr>
        <w:t xml:space="preserve">K 2. členu </w:t>
      </w:r>
    </w:p>
    <w:p w:rsidR="009D5FCF" w:rsidRDefault="009D5FCF" w:rsidP="009D5FCF">
      <w:pPr>
        <w:rPr>
          <w:rFonts w:cs="Arial"/>
          <w:b/>
          <w:bCs/>
          <w:szCs w:val="20"/>
        </w:rPr>
      </w:pPr>
    </w:p>
    <w:p w:rsidR="009D5FCF" w:rsidRDefault="009D5FCF" w:rsidP="009D5FCF">
      <w:pPr>
        <w:jc w:val="both"/>
        <w:rPr>
          <w:rFonts w:cs="Arial"/>
          <w:szCs w:val="20"/>
        </w:rPr>
      </w:pPr>
      <w:r>
        <w:rPr>
          <w:rFonts w:cs="Arial"/>
          <w:szCs w:val="20"/>
        </w:rPr>
        <w:t>V drugem odstavku 2. člena</w:t>
      </w:r>
      <w:r>
        <w:rPr>
          <w:rFonts w:cs="Arial"/>
          <w:b/>
          <w:bCs/>
          <w:szCs w:val="20"/>
        </w:rPr>
        <w:t xml:space="preserve"> </w:t>
      </w:r>
      <w:r>
        <w:rPr>
          <w:rFonts w:cs="Arial"/>
          <w:szCs w:val="20"/>
        </w:rPr>
        <w:t>se besedilo »</w:t>
      </w:r>
      <w:r>
        <w:rPr>
          <w:rFonts w:eastAsia="Arial" w:cs="Arial"/>
          <w:color w:val="000000" w:themeColor="text1"/>
          <w:szCs w:val="20"/>
        </w:rPr>
        <w:t>Sodišče opravlja naloge kontaktne točke« nadomesti z besedilom »</w:t>
      </w:r>
      <w:bookmarkStart w:id="2" w:name="_Hlk178520616"/>
      <w:r>
        <w:rPr>
          <w:rFonts w:eastAsia="Arial" w:cs="Arial"/>
          <w:color w:val="000000" w:themeColor="text1"/>
          <w:szCs w:val="20"/>
        </w:rPr>
        <w:t>V okviru sodišča se vzpostavi kontaktna točka</w:t>
      </w:r>
      <w:bookmarkEnd w:id="2"/>
      <w:r>
        <w:rPr>
          <w:rFonts w:eastAsia="Arial" w:cs="Arial"/>
          <w:color w:val="000000" w:themeColor="text1"/>
          <w:szCs w:val="20"/>
        </w:rPr>
        <w:t>«</w:t>
      </w:r>
      <w:r>
        <w:rPr>
          <w:rFonts w:cs="Arial"/>
          <w:szCs w:val="20"/>
        </w:rPr>
        <w:t xml:space="preserve">. </w:t>
      </w:r>
    </w:p>
    <w:p w:rsidR="009D5FCF" w:rsidRDefault="009D5FCF" w:rsidP="009D5FCF">
      <w:pPr>
        <w:rPr>
          <w:rFonts w:cs="Arial"/>
          <w:b/>
          <w:bCs/>
          <w:szCs w:val="20"/>
        </w:rPr>
      </w:pPr>
    </w:p>
    <w:p w:rsidR="009D5FCF" w:rsidRDefault="009D5FCF" w:rsidP="009D5FCF">
      <w:pPr>
        <w:rPr>
          <w:rFonts w:cs="Arial"/>
          <w:b/>
          <w:bCs/>
          <w:szCs w:val="20"/>
        </w:rPr>
      </w:pPr>
    </w:p>
    <w:p w:rsidR="009D5FCF" w:rsidRDefault="009D5FCF" w:rsidP="009D5FCF">
      <w:pPr>
        <w:rPr>
          <w:rFonts w:cs="Arial"/>
          <w:b/>
          <w:bCs/>
          <w:szCs w:val="20"/>
        </w:rPr>
      </w:pPr>
      <w:r>
        <w:rPr>
          <w:rFonts w:cs="Arial"/>
          <w:b/>
          <w:bCs/>
          <w:szCs w:val="20"/>
        </w:rPr>
        <w:t xml:space="preserve">Obrazložitev: </w:t>
      </w:r>
    </w:p>
    <w:p w:rsidR="009D5FCF" w:rsidRDefault="009D5FCF" w:rsidP="009D5FCF">
      <w:pPr>
        <w:rPr>
          <w:rFonts w:cs="Arial"/>
          <w:b/>
          <w:bCs/>
          <w:szCs w:val="20"/>
        </w:rPr>
      </w:pPr>
    </w:p>
    <w:p w:rsidR="009D5FCF" w:rsidRDefault="009D5FCF" w:rsidP="009D5FCF">
      <w:pPr>
        <w:rPr>
          <w:rFonts w:cs="Arial"/>
          <w:b/>
          <w:bCs/>
          <w:szCs w:val="20"/>
        </w:rPr>
      </w:pPr>
    </w:p>
    <w:p w:rsidR="009D5FCF" w:rsidRDefault="009D5FCF" w:rsidP="009D5FCF">
      <w:pPr>
        <w:jc w:val="both"/>
        <w:rPr>
          <w:rStyle w:val="fontstyle01"/>
          <w:szCs w:val="20"/>
        </w:rPr>
      </w:pPr>
      <w:r>
        <w:rPr>
          <w:rFonts w:cs="Arial"/>
          <w:szCs w:val="20"/>
        </w:rPr>
        <w:t>Amandma se predlaga zaradi uskladitve z mnenjem ZPS. Zaradi večje jasnosti in zagotavljanja skladnosti z določbo</w:t>
      </w:r>
      <w:r>
        <w:rPr>
          <w:rStyle w:val="fontstyle01"/>
          <w:szCs w:val="20"/>
        </w:rPr>
        <w:t xml:space="preserve"> drugega odstavka 12. člena Uredbe </w:t>
      </w:r>
      <w:r>
        <w:rPr>
          <w:rFonts w:cs="Arial"/>
          <w:szCs w:val="20"/>
        </w:rPr>
        <w:t xml:space="preserve">2021/784/EU se </w:t>
      </w:r>
      <w:r>
        <w:rPr>
          <w:rStyle w:val="fontstyle01"/>
          <w:szCs w:val="20"/>
        </w:rPr>
        <w:t xml:space="preserve">besedilo preoblikuje na način, da je nedvoumno, da se kontaktna točka vzpostavi v okviru pristojnega organa. Drugi odstavek 12. člena Uredbe </w:t>
      </w:r>
      <w:r>
        <w:rPr>
          <w:rFonts w:cs="Arial"/>
          <w:szCs w:val="20"/>
        </w:rPr>
        <w:t>2021/784/EU namreč določa, da vsaka država članica imenuje ali vzpostavi kontaktno točko v okviru pristojnega organa za izdajanje odredb o odstranitvi.</w:t>
      </w:r>
    </w:p>
    <w:p w:rsidR="009D5FCF" w:rsidRDefault="009D5FCF" w:rsidP="009D5FCF">
      <w:pPr>
        <w:rPr>
          <w:rStyle w:val="fontstyle01"/>
          <w:szCs w:val="20"/>
        </w:rPr>
      </w:pPr>
    </w:p>
    <w:p w:rsidR="009D5FCF" w:rsidRDefault="009D5FCF" w:rsidP="009D5FCF">
      <w:pPr>
        <w:rPr>
          <w:b/>
          <w:bCs/>
        </w:rPr>
      </w:pPr>
    </w:p>
    <w:p w:rsidR="009D5FCF" w:rsidRDefault="009D5FCF" w:rsidP="009D5FCF">
      <w:pPr>
        <w:rPr>
          <w:rFonts w:cs="Arial"/>
          <w:b/>
          <w:bCs/>
          <w:szCs w:val="20"/>
        </w:rPr>
      </w:pPr>
      <w:r>
        <w:rPr>
          <w:rFonts w:cs="Arial"/>
          <w:b/>
          <w:bCs/>
          <w:szCs w:val="20"/>
        </w:rPr>
        <w:t xml:space="preserve">K 3. členu </w:t>
      </w:r>
    </w:p>
    <w:p w:rsidR="009D5FCF" w:rsidRDefault="009D5FCF" w:rsidP="009D5FCF">
      <w:pPr>
        <w:rPr>
          <w:rFonts w:cs="Arial"/>
          <w:b/>
          <w:bCs/>
          <w:szCs w:val="20"/>
        </w:rPr>
      </w:pPr>
    </w:p>
    <w:p w:rsidR="009D5FCF" w:rsidRDefault="009D5FCF" w:rsidP="009D5FCF">
      <w:pPr>
        <w:jc w:val="both"/>
        <w:rPr>
          <w:rFonts w:cs="Arial"/>
          <w:b/>
          <w:bCs/>
          <w:szCs w:val="20"/>
        </w:rPr>
      </w:pPr>
      <w:r>
        <w:rPr>
          <w:rFonts w:cs="Arial"/>
          <w:szCs w:val="20"/>
        </w:rPr>
        <w:t>Na koncu drugega odstavka 3. člena se pika nadomesti z vejico in  doda besedilo »</w:t>
      </w:r>
      <w:bookmarkStart w:id="3" w:name="_Hlk178520655"/>
      <w:r>
        <w:rPr>
          <w:rFonts w:cs="Arial"/>
          <w:szCs w:val="20"/>
        </w:rPr>
        <w:t>vključno z nadzorom izvajanja posebnih ukrepov</w:t>
      </w:r>
      <w:bookmarkEnd w:id="3"/>
      <w:r>
        <w:rPr>
          <w:rFonts w:cs="Arial"/>
          <w:szCs w:val="20"/>
        </w:rPr>
        <w:t xml:space="preserve"> na podlagi 5. člena Uredbe 2021/784/EU.«.</w:t>
      </w:r>
    </w:p>
    <w:p w:rsidR="009D5FCF" w:rsidRDefault="009D5FCF" w:rsidP="009D5FCF">
      <w:pPr>
        <w:rPr>
          <w:rFonts w:cs="Arial"/>
          <w:b/>
          <w:bCs/>
          <w:szCs w:val="20"/>
        </w:rPr>
      </w:pPr>
    </w:p>
    <w:p w:rsidR="009D5FCF" w:rsidRDefault="009D5FCF" w:rsidP="009D5FCF">
      <w:pPr>
        <w:rPr>
          <w:rFonts w:cs="Arial"/>
          <w:b/>
          <w:bCs/>
          <w:szCs w:val="20"/>
        </w:rPr>
      </w:pPr>
    </w:p>
    <w:p w:rsidR="009D5FCF" w:rsidRDefault="009D5FCF" w:rsidP="009D5FCF">
      <w:pPr>
        <w:rPr>
          <w:rFonts w:cs="Arial"/>
          <w:b/>
          <w:bCs/>
          <w:szCs w:val="20"/>
        </w:rPr>
      </w:pPr>
      <w:r>
        <w:rPr>
          <w:rFonts w:cs="Arial"/>
          <w:b/>
          <w:bCs/>
          <w:szCs w:val="20"/>
        </w:rPr>
        <w:lastRenderedPageBreak/>
        <w:t xml:space="preserve">Obrazložitev: </w:t>
      </w:r>
    </w:p>
    <w:p w:rsidR="009D5FCF" w:rsidRDefault="009D5FCF" w:rsidP="009D5FCF">
      <w:pPr>
        <w:rPr>
          <w:rFonts w:cs="Arial"/>
          <w:b/>
          <w:bCs/>
          <w:szCs w:val="20"/>
        </w:rPr>
      </w:pPr>
    </w:p>
    <w:p w:rsidR="009D5FCF" w:rsidRDefault="009D5FCF" w:rsidP="009D5FCF">
      <w:pPr>
        <w:jc w:val="both"/>
        <w:rPr>
          <w:rFonts w:cs="Arial"/>
          <w:szCs w:val="20"/>
        </w:rPr>
      </w:pPr>
      <w:r>
        <w:rPr>
          <w:rFonts w:cs="Arial"/>
          <w:szCs w:val="20"/>
        </w:rPr>
        <w:t>Amandma se predlaga zaradi uskladitve z mnenjem ZPS. Zaradi večje jasnosti in skladnosti s</w:t>
      </w:r>
      <w:r>
        <w:rPr>
          <w:rStyle w:val="fontstyle01"/>
          <w:szCs w:val="20"/>
        </w:rPr>
        <w:t xml:space="preserve"> točko (c) prvega odstavka 12. člena Uredbe </w:t>
      </w:r>
      <w:r>
        <w:rPr>
          <w:rFonts w:cs="Arial"/>
          <w:szCs w:val="20"/>
        </w:rPr>
        <w:t xml:space="preserve">2021/784/EU je posebej poudarjeno, da nadzor nad izvajanjem Uredbe 2021/784/EU zajema tudi nadzor izvajanja posebnih ukrepov na podlagi 5. člena Uredbe 2021/784/EU.  </w:t>
      </w:r>
    </w:p>
    <w:p w:rsidR="009D5FCF" w:rsidRDefault="009D5FCF" w:rsidP="009D5FCF">
      <w:pPr>
        <w:rPr>
          <w:rFonts w:cs="Arial"/>
          <w:b/>
          <w:bCs/>
          <w:szCs w:val="20"/>
        </w:rPr>
      </w:pPr>
    </w:p>
    <w:p w:rsidR="009D5FCF" w:rsidRDefault="009D5FCF" w:rsidP="009D5FCF">
      <w:pPr>
        <w:rPr>
          <w:rFonts w:cs="Arial"/>
          <w:b/>
          <w:bCs/>
          <w:szCs w:val="20"/>
        </w:rPr>
      </w:pPr>
      <w:r>
        <w:rPr>
          <w:rFonts w:cs="Arial"/>
          <w:b/>
          <w:bCs/>
          <w:szCs w:val="20"/>
        </w:rPr>
        <w:t xml:space="preserve">K 6. členu </w:t>
      </w:r>
    </w:p>
    <w:p w:rsidR="009D5FCF" w:rsidRDefault="009D5FCF" w:rsidP="009D5FCF">
      <w:pPr>
        <w:rPr>
          <w:rFonts w:cs="Arial"/>
          <w:b/>
          <w:bCs/>
          <w:szCs w:val="20"/>
        </w:rPr>
      </w:pPr>
    </w:p>
    <w:p w:rsidR="009D5FCF" w:rsidRDefault="009D5FCF" w:rsidP="009D5FCF">
      <w:pPr>
        <w:jc w:val="both"/>
        <w:rPr>
          <w:rFonts w:cs="Arial"/>
          <w:szCs w:val="20"/>
        </w:rPr>
      </w:pPr>
      <w:r>
        <w:rPr>
          <w:rFonts w:cs="Arial"/>
          <w:szCs w:val="20"/>
        </w:rPr>
        <w:t>Prvi odstavek 6. člena se spremeni tako, da se glasi:</w:t>
      </w:r>
    </w:p>
    <w:p w:rsidR="009D5FCF" w:rsidRDefault="009D5FCF" w:rsidP="009D5FCF">
      <w:pPr>
        <w:jc w:val="both"/>
        <w:rPr>
          <w:rFonts w:cs="Arial"/>
          <w:szCs w:val="20"/>
        </w:rPr>
      </w:pPr>
    </w:p>
    <w:p w:rsidR="009D5FCF" w:rsidRDefault="009D5FCF" w:rsidP="009D5FCF">
      <w:pPr>
        <w:jc w:val="both"/>
        <w:rPr>
          <w:rFonts w:cs="Arial"/>
          <w:color w:val="000000" w:themeColor="text1"/>
          <w:szCs w:val="20"/>
        </w:rPr>
      </w:pPr>
      <w:r>
        <w:rPr>
          <w:rFonts w:cs="Arial"/>
          <w:szCs w:val="20"/>
        </w:rPr>
        <w:t>»(1) Agencija v skladu s točko a četrtega odstavka in šestim odstavkom 5. člena Uredbe 2021/784/EU po uradni dolžnosti izda odločbo, s katero ugotovi, da je ponudnik storitev gostovanja izpostavljen terorističnim vsebinam, ali zahteva, da ponudnik storitev gostovanja sprejme ukrepe za zagotovitev skladnosti z drugim in tretjim odstavkom 5. člena Uredbe 2021/784/EU.«.</w:t>
      </w:r>
    </w:p>
    <w:p w:rsidR="009D5FCF" w:rsidRDefault="009D5FCF" w:rsidP="009D5FCF">
      <w:pPr>
        <w:rPr>
          <w:rFonts w:cs="Arial"/>
          <w:color w:val="000000" w:themeColor="text1"/>
          <w:szCs w:val="20"/>
        </w:rPr>
      </w:pPr>
    </w:p>
    <w:p w:rsidR="009D5FCF" w:rsidRDefault="009D5FCF" w:rsidP="009D5FCF">
      <w:pPr>
        <w:rPr>
          <w:rFonts w:cs="Arial"/>
          <w:b/>
          <w:bCs/>
          <w:szCs w:val="20"/>
        </w:rPr>
      </w:pPr>
      <w:r>
        <w:rPr>
          <w:rFonts w:cs="Arial"/>
          <w:b/>
          <w:bCs/>
          <w:szCs w:val="20"/>
        </w:rPr>
        <w:t>Obrazložitev:</w:t>
      </w:r>
    </w:p>
    <w:p w:rsidR="009D5FCF" w:rsidRDefault="009D5FCF" w:rsidP="009D5FCF">
      <w:pPr>
        <w:rPr>
          <w:rFonts w:cs="Arial"/>
          <w:b/>
          <w:bCs/>
          <w:szCs w:val="20"/>
        </w:rPr>
      </w:pPr>
    </w:p>
    <w:p w:rsidR="009D5FCF" w:rsidRDefault="009D5FCF" w:rsidP="009D5FCF">
      <w:pPr>
        <w:jc w:val="both"/>
        <w:rPr>
          <w:rFonts w:cs="Arial"/>
          <w:szCs w:val="20"/>
        </w:rPr>
      </w:pPr>
      <w:r>
        <w:rPr>
          <w:rFonts w:cs="Arial"/>
          <w:szCs w:val="20"/>
        </w:rPr>
        <w:t xml:space="preserve">Amandma se predlaga zaradi uskladitve z mnenjem ZPS. Poleg sprememb </w:t>
      </w:r>
      <w:proofErr w:type="spellStart"/>
      <w:r>
        <w:rPr>
          <w:rFonts w:cs="Arial"/>
          <w:szCs w:val="20"/>
        </w:rPr>
        <w:t>nomotehnične</w:t>
      </w:r>
      <w:proofErr w:type="spellEnd"/>
      <w:r>
        <w:rPr>
          <w:rFonts w:cs="Arial"/>
          <w:szCs w:val="20"/>
        </w:rPr>
        <w:t xml:space="preserve"> narave se zaradi večje jasnosti in skladnosti z določbo</w:t>
      </w:r>
      <w:r>
        <w:rPr>
          <w:rStyle w:val="fontstyle01"/>
          <w:szCs w:val="20"/>
        </w:rPr>
        <w:t xml:space="preserve"> sedmega odstavka 5. člena Uredbe </w:t>
      </w:r>
      <w:r>
        <w:rPr>
          <w:rFonts w:cs="Arial"/>
          <w:color w:val="000000" w:themeColor="text1"/>
          <w:szCs w:val="20"/>
        </w:rPr>
        <w:t>2021/784/EU</w:t>
      </w:r>
      <w:r>
        <w:rPr>
          <w:rFonts w:cs="Arial"/>
          <w:szCs w:val="20"/>
        </w:rPr>
        <w:t xml:space="preserve"> doda referenca na šesti odstavek istega člena Uredbe 2021/784/EU. Hkrati se besedilo določbe precizira z izrecno navedbo pooblastila pristojnega organa zahtevati</w:t>
      </w:r>
      <w:r>
        <w:rPr>
          <w:rFonts w:cs="Arial"/>
          <w:color w:val="000000" w:themeColor="text1"/>
          <w:szCs w:val="20"/>
        </w:rPr>
        <w:t xml:space="preserve">, da ponudnik storitev gostovanja sprejme ukrepe skladne z zahtevami drugega in tretjega odstavka 5. člena Uredbe 2021/784/EU. </w:t>
      </w:r>
    </w:p>
    <w:p w:rsidR="009D5FCF" w:rsidRDefault="009D5FCF" w:rsidP="009D5FCF">
      <w:pPr>
        <w:rPr>
          <w:rFonts w:cs="Arial"/>
          <w:b/>
          <w:bCs/>
          <w:szCs w:val="20"/>
        </w:rPr>
      </w:pPr>
    </w:p>
    <w:p w:rsidR="009D5FCF" w:rsidRDefault="009D5FCF" w:rsidP="009D5FCF">
      <w:pPr>
        <w:rPr>
          <w:rFonts w:cs="Arial"/>
          <w:b/>
          <w:bCs/>
          <w:szCs w:val="20"/>
        </w:rPr>
      </w:pPr>
    </w:p>
    <w:p w:rsidR="009D5FCF" w:rsidRDefault="009D5FCF" w:rsidP="009D5FCF">
      <w:pPr>
        <w:jc w:val="both"/>
        <w:rPr>
          <w:rFonts w:cs="Arial"/>
          <w:szCs w:val="20"/>
        </w:rPr>
      </w:pPr>
      <w:r>
        <w:rPr>
          <w:rFonts w:cs="Arial"/>
          <w:szCs w:val="20"/>
        </w:rPr>
        <w:t xml:space="preserve">V zvezi s pripombo ZPS, da sedmi odstavek 5. člena Uredbe 2021/784/EU vsebuje tudi drugi pododstavek, ki vsebinsko ni zajet v določbi drugega odstavka 6. člena predloga zakona, pojasnjujemo, da se določba drugega odstavka 6. člena predloga zakona nanaša na celoten sedmi odstavek 5. člena Uredbe 2021/784/EU, torej tudi na njegov drugi pododstavek.  </w:t>
      </w:r>
    </w:p>
    <w:p w:rsidR="009D5FCF" w:rsidRDefault="009D5FCF" w:rsidP="009D5FCF">
      <w:pPr>
        <w:rPr>
          <w:rFonts w:cs="Arial"/>
          <w:b/>
          <w:bCs/>
          <w:szCs w:val="20"/>
        </w:rPr>
      </w:pPr>
    </w:p>
    <w:p w:rsidR="009D5FCF" w:rsidRDefault="009D5FCF" w:rsidP="009D5FCF">
      <w:pPr>
        <w:rPr>
          <w:rFonts w:cs="Arial"/>
          <w:b/>
          <w:bCs/>
          <w:szCs w:val="20"/>
        </w:rPr>
      </w:pPr>
      <w:r>
        <w:rPr>
          <w:rFonts w:cs="Arial"/>
          <w:b/>
          <w:bCs/>
          <w:szCs w:val="20"/>
        </w:rPr>
        <w:t xml:space="preserve">K 7. členu </w:t>
      </w:r>
    </w:p>
    <w:p w:rsidR="009D5FCF" w:rsidRDefault="009D5FCF" w:rsidP="009D5FCF">
      <w:pPr>
        <w:rPr>
          <w:rFonts w:cs="Arial"/>
          <w:b/>
          <w:bCs/>
          <w:szCs w:val="20"/>
        </w:rPr>
      </w:pPr>
    </w:p>
    <w:p w:rsidR="009D5FCF" w:rsidRDefault="009D5FCF" w:rsidP="009D5FCF">
      <w:pPr>
        <w:jc w:val="both"/>
        <w:rPr>
          <w:rFonts w:cs="Arial"/>
          <w:b/>
          <w:bCs/>
          <w:szCs w:val="20"/>
        </w:rPr>
      </w:pPr>
      <w:r>
        <w:rPr>
          <w:rFonts w:cs="Arial"/>
          <w:szCs w:val="20"/>
        </w:rPr>
        <w:t>V 7. členu se besedilo »</w:t>
      </w:r>
      <w:r>
        <w:rPr>
          <w:rStyle w:val="cf01"/>
          <w:rFonts w:cs="Arial"/>
          <w:color w:val="000000" w:themeColor="text1"/>
          <w:szCs w:val="20"/>
        </w:rPr>
        <w:t>o odstranitvi teroristične vsebine ali onemogočanju dostopa do nje iz šestega odstavka 3. člena Uredbe 2021/784/EU</w:t>
      </w:r>
      <w:r>
        <w:rPr>
          <w:rFonts w:cs="Arial"/>
          <w:szCs w:val="20"/>
        </w:rPr>
        <w:t>« nadomesti z besedilom »</w:t>
      </w:r>
      <w:bookmarkStart w:id="4" w:name="_Hlk178520832"/>
      <w:r>
        <w:rPr>
          <w:rFonts w:cs="Arial"/>
          <w:szCs w:val="20"/>
        </w:rPr>
        <w:t>o tem, da je na podlagi odredbe sodišča odstranil  teroristično vsebino ali onemogočil dostop do nje</w:t>
      </w:r>
      <w:bookmarkEnd w:id="4"/>
      <w:r>
        <w:rPr>
          <w:rFonts w:cs="Arial"/>
          <w:color w:val="000000" w:themeColor="text1"/>
          <w:szCs w:val="20"/>
        </w:rPr>
        <w:t>«.</w:t>
      </w:r>
      <w:r>
        <w:rPr>
          <w:rFonts w:cs="Arial"/>
          <w:b/>
          <w:bCs/>
          <w:szCs w:val="20"/>
        </w:rPr>
        <w:t xml:space="preserve"> </w:t>
      </w:r>
    </w:p>
    <w:p w:rsidR="009D5FCF" w:rsidRDefault="009D5FCF" w:rsidP="009D5FCF">
      <w:pPr>
        <w:rPr>
          <w:rFonts w:cs="Arial"/>
          <w:b/>
          <w:bCs/>
          <w:szCs w:val="20"/>
        </w:rPr>
      </w:pPr>
    </w:p>
    <w:p w:rsidR="009D5FCF" w:rsidRDefault="009D5FCF" w:rsidP="009D5FCF">
      <w:pPr>
        <w:rPr>
          <w:rFonts w:cs="Arial"/>
          <w:b/>
          <w:bCs/>
          <w:szCs w:val="20"/>
        </w:rPr>
      </w:pPr>
      <w:r>
        <w:rPr>
          <w:rFonts w:cs="Arial"/>
          <w:b/>
          <w:bCs/>
          <w:szCs w:val="20"/>
        </w:rPr>
        <w:t xml:space="preserve">Obrazložitev: </w:t>
      </w:r>
    </w:p>
    <w:p w:rsidR="009D5FCF" w:rsidRDefault="009D5FCF" w:rsidP="009D5FCF">
      <w:pPr>
        <w:rPr>
          <w:rFonts w:cs="Arial"/>
          <w:b/>
          <w:bCs/>
          <w:szCs w:val="20"/>
        </w:rPr>
      </w:pPr>
    </w:p>
    <w:p w:rsidR="009D5FCF" w:rsidRDefault="009D5FCF" w:rsidP="009D5FCF">
      <w:pPr>
        <w:jc w:val="both"/>
        <w:rPr>
          <w:rFonts w:cs="Arial"/>
          <w:b/>
          <w:bCs/>
          <w:szCs w:val="20"/>
        </w:rPr>
      </w:pPr>
      <w:r>
        <w:rPr>
          <w:rFonts w:cs="Arial"/>
          <w:szCs w:val="20"/>
        </w:rPr>
        <w:t>Amandma se predlaga zaradi uskladitve z mnenjem ZPS.</w:t>
      </w:r>
      <w:r>
        <w:rPr>
          <w:rFonts w:cs="Arial"/>
          <w:b/>
          <w:bCs/>
          <w:szCs w:val="20"/>
        </w:rPr>
        <w:t xml:space="preserve"> </w:t>
      </w:r>
      <w:r>
        <w:rPr>
          <w:rFonts w:cs="Arial"/>
          <w:szCs w:val="20"/>
        </w:rPr>
        <w:t>Zaradi dosedanje nekoliko nejasne dikcije se v predlogu člena besedilo »</w:t>
      </w:r>
      <w:r>
        <w:rPr>
          <w:rStyle w:val="cf01"/>
          <w:rFonts w:cs="Arial"/>
          <w:color w:val="000000" w:themeColor="text1"/>
          <w:szCs w:val="20"/>
        </w:rPr>
        <w:t>o odstranitvi teroristične vsebine ali onemogočanju dostopa do nje iz šestega odstavka 3. člena Uredbe 2021/784/EU</w:t>
      </w:r>
      <w:r>
        <w:rPr>
          <w:rFonts w:cs="Arial"/>
          <w:szCs w:val="20"/>
        </w:rPr>
        <w:t xml:space="preserve">« črta in nadomesti z ustreznejšim besedilom, saj bi se lahko omenjeno besedilo razumelo na način, da gre za obveznost iz </w:t>
      </w:r>
      <w:r>
        <w:rPr>
          <w:rStyle w:val="fontstyle01"/>
          <w:szCs w:val="20"/>
        </w:rPr>
        <w:t xml:space="preserve">šestega odstavka 3. člena Uredbe 2021/784/EU, ki določa obveznost obveščati pristojni organ, to je sodišče. Pri določbi 7. člena gre namreč za dodatno nacionalno obveznost obveščanja agencije. </w:t>
      </w:r>
    </w:p>
    <w:p w:rsidR="009D5FCF" w:rsidRDefault="009D5FCF" w:rsidP="009D5FCF">
      <w:pPr>
        <w:jc w:val="both"/>
        <w:rPr>
          <w:rFonts w:cs="Arial"/>
          <w:b/>
          <w:bCs/>
          <w:szCs w:val="20"/>
        </w:rPr>
      </w:pPr>
    </w:p>
    <w:p w:rsidR="009D5FCF" w:rsidRDefault="009D5FCF" w:rsidP="009D5FCF">
      <w:pPr>
        <w:jc w:val="both"/>
        <w:rPr>
          <w:rFonts w:cs="Arial"/>
          <w:b/>
          <w:bCs/>
          <w:szCs w:val="20"/>
        </w:rPr>
      </w:pPr>
      <w:r>
        <w:rPr>
          <w:rFonts w:cs="Arial"/>
          <w:b/>
          <w:bCs/>
          <w:szCs w:val="20"/>
        </w:rPr>
        <w:t xml:space="preserve">K 10. členu </w:t>
      </w:r>
    </w:p>
    <w:p w:rsidR="009D5FCF" w:rsidRDefault="009D5FCF" w:rsidP="009D5FCF">
      <w:pPr>
        <w:jc w:val="both"/>
        <w:rPr>
          <w:rFonts w:cs="Arial"/>
          <w:b/>
          <w:bCs/>
          <w:szCs w:val="20"/>
        </w:rPr>
      </w:pPr>
    </w:p>
    <w:p w:rsidR="009D5FCF" w:rsidRDefault="009D5FCF" w:rsidP="009D5FCF">
      <w:pPr>
        <w:jc w:val="both"/>
        <w:rPr>
          <w:rFonts w:cs="Arial"/>
          <w:b/>
          <w:bCs/>
          <w:szCs w:val="20"/>
        </w:rPr>
      </w:pPr>
      <w:r>
        <w:rPr>
          <w:rFonts w:cs="Arial"/>
          <w:szCs w:val="20"/>
        </w:rPr>
        <w:t>Na koncu drugega odstavka 10. člena se doda besedilo:</w:t>
      </w:r>
      <w:r>
        <w:rPr>
          <w:rFonts w:eastAsia="Arial" w:cs="Arial"/>
          <w:color w:val="000000" w:themeColor="text1"/>
          <w:szCs w:val="20"/>
        </w:rPr>
        <w:t xml:space="preserve"> »</w:t>
      </w:r>
      <w:bookmarkStart w:id="5" w:name="_Hlk178520885"/>
      <w:r>
        <w:rPr>
          <w:rFonts w:cs="Arial"/>
          <w:szCs w:val="20"/>
        </w:rPr>
        <w:t>Agencija poda predlog, če sama zazna teroristične spletne vsebine ali se z njimi seznani na podlagi prejetih informacij</w:t>
      </w:r>
      <w:bookmarkEnd w:id="5"/>
      <w:r>
        <w:rPr>
          <w:rFonts w:cs="Arial"/>
          <w:szCs w:val="20"/>
        </w:rPr>
        <w:t>.</w:t>
      </w:r>
      <w:r>
        <w:rPr>
          <w:rFonts w:cs="Arial"/>
          <w:color w:val="000000" w:themeColor="text1"/>
          <w:szCs w:val="20"/>
        </w:rPr>
        <w:t>«.</w:t>
      </w:r>
    </w:p>
    <w:p w:rsidR="009D5FCF" w:rsidRDefault="009D5FCF" w:rsidP="009D5FCF">
      <w:pPr>
        <w:jc w:val="both"/>
        <w:rPr>
          <w:rFonts w:cs="Arial"/>
          <w:b/>
          <w:bCs/>
          <w:szCs w:val="20"/>
        </w:rPr>
      </w:pPr>
    </w:p>
    <w:p w:rsidR="009D5FCF" w:rsidRDefault="009D5FCF" w:rsidP="009D5FCF">
      <w:pPr>
        <w:jc w:val="both"/>
        <w:rPr>
          <w:rFonts w:cs="Arial"/>
          <w:b/>
          <w:bCs/>
          <w:szCs w:val="20"/>
        </w:rPr>
      </w:pPr>
      <w:r>
        <w:rPr>
          <w:rFonts w:cs="Arial"/>
          <w:b/>
          <w:bCs/>
          <w:szCs w:val="20"/>
        </w:rPr>
        <w:tab/>
      </w:r>
    </w:p>
    <w:p w:rsidR="009D5FCF" w:rsidRDefault="009D5FCF" w:rsidP="009D5FCF">
      <w:pPr>
        <w:jc w:val="both"/>
        <w:rPr>
          <w:rFonts w:cs="Arial"/>
          <w:b/>
          <w:bCs/>
          <w:szCs w:val="20"/>
        </w:rPr>
      </w:pPr>
      <w:r>
        <w:rPr>
          <w:rFonts w:cs="Arial"/>
          <w:b/>
          <w:bCs/>
          <w:szCs w:val="20"/>
        </w:rPr>
        <w:lastRenderedPageBreak/>
        <w:t xml:space="preserve">Obrazložitev: </w:t>
      </w:r>
    </w:p>
    <w:p w:rsidR="009D5FCF" w:rsidRDefault="009D5FCF" w:rsidP="009D5FCF">
      <w:pPr>
        <w:jc w:val="both"/>
        <w:rPr>
          <w:rFonts w:cs="Arial"/>
          <w:b/>
          <w:bCs/>
          <w:szCs w:val="20"/>
        </w:rPr>
      </w:pPr>
    </w:p>
    <w:p w:rsidR="009D5FCF" w:rsidRDefault="009D5FCF" w:rsidP="009D5FCF">
      <w:pPr>
        <w:jc w:val="both"/>
        <w:rPr>
          <w:rFonts w:cs="Arial"/>
          <w:b/>
          <w:bCs/>
          <w:szCs w:val="20"/>
        </w:rPr>
      </w:pPr>
    </w:p>
    <w:p w:rsidR="009D5FCF" w:rsidRDefault="009D5FCF" w:rsidP="009D5FCF">
      <w:pPr>
        <w:jc w:val="both"/>
        <w:rPr>
          <w:rFonts w:cs="Arial"/>
          <w:szCs w:val="20"/>
        </w:rPr>
      </w:pPr>
      <w:r>
        <w:rPr>
          <w:rFonts w:cs="Arial"/>
          <w:szCs w:val="20"/>
        </w:rPr>
        <w:t>Amandma se predlaga zaradi uskladitve z mnenjem ZPS. Zaradi večje jasnosti in zagotavljanja pravne varnosti je v drugem odstavku določeno, v katerih primerih agencija poda predlog, to je, če sama zazna teroristične spletne vsebine ali, če se z njimi sezani na podlagi prejetih informacij.</w:t>
      </w:r>
    </w:p>
    <w:p w:rsidR="009D5FCF" w:rsidRDefault="009D5FCF" w:rsidP="009D5FCF">
      <w:pPr>
        <w:jc w:val="both"/>
        <w:rPr>
          <w:rFonts w:cs="Arial"/>
          <w:szCs w:val="20"/>
        </w:rPr>
      </w:pPr>
    </w:p>
    <w:p w:rsidR="009D5FCF" w:rsidRDefault="009D5FCF" w:rsidP="009D5FCF">
      <w:pPr>
        <w:jc w:val="both"/>
        <w:rPr>
          <w:rFonts w:cs="Arial"/>
          <w:szCs w:val="20"/>
        </w:rPr>
      </w:pPr>
      <w:r>
        <w:rPr>
          <w:rFonts w:cs="Arial"/>
          <w:szCs w:val="20"/>
        </w:rPr>
        <w:t>V zvezi s pripombo ZPS, da ni razvidno, na kakšen način je upoštevan drugi odstavek 9. člena Uredbe 2021/784/EU, ki zagotavlja učinkovito pravno sredstvo tudi ponudnikom vsebin, katerih vsebina je bila po odredbi o odstranitvi odstranjena ali do katere je bil dostop onemogočen, pojasnjujemo, da sodišče na podlagi petega odstavka 10. člena predloga zakona smiselno uporablja zakon, ki ureja nepravdni postopek, če ni v tem členu določeno drugače. Določba se nanaša tudi na postopek s pravnimi sredstvi. Iz 21. člena Zakona o nepravdnem postopku (ZNP-1) izhaja, da so ponudniki storitev gostovanja in ponudniki vsebin, katerih vsebina je bila po odredbi o odstranitvi odstranjena ali do katere je bil dostop onemogočen nedvomno udeleženci nepravdnega postopka. Udeleženci sicer lahko vlagajo pravna sredstva tudi, če niso sodelovali v postopku na prvi stopnji (prvi odstavek 32. člena ZNP-1).</w:t>
      </w:r>
    </w:p>
    <w:p w:rsidR="009D5FCF" w:rsidRDefault="009D5FCF" w:rsidP="009D5FCF">
      <w:pPr>
        <w:jc w:val="both"/>
        <w:rPr>
          <w:rFonts w:eastAsiaTheme="minorEastAsia" w:cs="Arial"/>
          <w:szCs w:val="20"/>
        </w:rPr>
      </w:pPr>
      <w:bookmarkStart w:id="6" w:name="_Hlk178752578"/>
    </w:p>
    <w:p w:rsidR="009D5FCF" w:rsidRDefault="009D5FCF" w:rsidP="009D5FCF">
      <w:pPr>
        <w:jc w:val="both"/>
        <w:rPr>
          <w:rFonts w:cs="Arial"/>
          <w:szCs w:val="20"/>
          <w:lang w:val="en-US"/>
        </w:rPr>
      </w:pPr>
      <w:r>
        <w:rPr>
          <w:rFonts w:eastAsiaTheme="minorEastAsia" w:cs="Arial"/>
          <w:szCs w:val="20"/>
        </w:rPr>
        <w:t xml:space="preserve">V zvezi s položajem ponudnika storitev gostovanja in ponudnika vsebin so pomembna tudi stališča pravne teorije, </w:t>
      </w:r>
      <w:r>
        <w:rPr>
          <w:rStyle w:val="cf01"/>
          <w:rFonts w:cs="Arial"/>
          <w:szCs w:val="20"/>
        </w:rPr>
        <w:t>Formalna udeleženca v nepravdnem postopku sta tako predlagatelj kot tudi nasprotni udeleženec (torej oseba zoper katero je predlog vložen). Materialni udeleženec pa je tisti,</w:t>
      </w:r>
      <w:r>
        <w:rPr>
          <w:rStyle w:val="cf21"/>
          <w:rFonts w:cs="Arial"/>
          <w:szCs w:val="20"/>
        </w:rPr>
        <w:t xml:space="preserve"> glede katere se vodi postopek oziroma oseba, na katero se sodna odločba neposredno nanaša in oseba, katere pravni interes utegne biti s sodno odločbo prizadet.</w:t>
      </w:r>
    </w:p>
    <w:p w:rsidR="009D5FCF" w:rsidRDefault="009D5FCF" w:rsidP="009D5FCF">
      <w:pPr>
        <w:pStyle w:val="pf0"/>
        <w:spacing w:line="260" w:lineRule="exact"/>
        <w:jc w:val="both"/>
        <w:rPr>
          <w:rStyle w:val="cf21"/>
          <w:rFonts w:ascii="Arial" w:hAnsi="Arial" w:cs="Arial"/>
          <w:sz w:val="20"/>
          <w:lang w:val="it-IT" w:eastAsia="en-US"/>
        </w:rPr>
      </w:pPr>
      <w:r>
        <w:rPr>
          <w:rStyle w:val="cf21"/>
          <w:rFonts w:ascii="Arial" w:hAnsi="Arial" w:cs="Arial"/>
          <w:sz w:val="20"/>
          <w:szCs w:val="20"/>
        </w:rPr>
        <w:t xml:space="preserve">Sicer drugi odstavek 21. člena ZNP-1 omogoča določitev zakonitih udeležencev z drugim zakonom. Zakoniti udeleženci so tisti udeleženci, ki niso formalni udeleženci in ne izpolnjujejo pogojev za materialno udeležbo, vendar zakonodajalec oceni, da je njihovo sodelovanju v postopku potrebno. Zato jih kot udeležence določa zakon (V. Rijavec Razširjena uvodna pojasnila k Zakonu o nepravdnem postopku stran 79). Iz tega izhaja da v tem primeru avtonomno določanje statusa udeleženca ni potrebno oz. ustrezno. </w:t>
      </w:r>
    </w:p>
    <w:bookmarkEnd w:id="6"/>
    <w:p w:rsidR="009D5FCF" w:rsidRDefault="009D5FCF" w:rsidP="009D5FCF">
      <w:pPr>
        <w:jc w:val="both"/>
        <w:rPr>
          <w:b/>
          <w:bCs/>
        </w:rPr>
      </w:pPr>
    </w:p>
    <w:p w:rsidR="009D5FCF" w:rsidRDefault="009D5FCF" w:rsidP="009D5FCF">
      <w:pPr>
        <w:rPr>
          <w:rFonts w:cs="Arial"/>
          <w:b/>
          <w:bCs/>
          <w:szCs w:val="20"/>
        </w:rPr>
      </w:pPr>
    </w:p>
    <w:p w:rsidR="009D5FCF" w:rsidRDefault="009D5FCF" w:rsidP="009D5FCF">
      <w:pPr>
        <w:rPr>
          <w:rFonts w:cs="Arial"/>
          <w:b/>
          <w:bCs/>
          <w:szCs w:val="20"/>
        </w:rPr>
      </w:pPr>
    </w:p>
    <w:p w:rsidR="009D5FCF" w:rsidRDefault="009D5FCF" w:rsidP="009D5FCF">
      <w:pPr>
        <w:rPr>
          <w:rFonts w:cs="Arial"/>
          <w:b/>
          <w:bCs/>
          <w:szCs w:val="20"/>
        </w:rPr>
      </w:pPr>
      <w:r>
        <w:rPr>
          <w:rFonts w:cs="Arial"/>
          <w:b/>
          <w:bCs/>
          <w:szCs w:val="20"/>
        </w:rPr>
        <w:t>K 12. členu</w:t>
      </w:r>
    </w:p>
    <w:p w:rsidR="009D5FCF" w:rsidRDefault="009D5FCF" w:rsidP="009D5FCF">
      <w:pPr>
        <w:rPr>
          <w:rFonts w:cs="Arial"/>
          <w:szCs w:val="20"/>
        </w:rPr>
      </w:pPr>
    </w:p>
    <w:p w:rsidR="009D5FCF" w:rsidRDefault="009D5FCF" w:rsidP="009D5FCF">
      <w:pPr>
        <w:rPr>
          <w:rFonts w:cs="Arial"/>
          <w:szCs w:val="20"/>
        </w:rPr>
      </w:pPr>
      <w:r>
        <w:rPr>
          <w:rFonts w:cs="Arial"/>
          <w:szCs w:val="20"/>
        </w:rPr>
        <w:t>V prvem odstavku 12. člena:</w:t>
      </w:r>
    </w:p>
    <w:p w:rsidR="009D5FCF" w:rsidRDefault="009D5FCF" w:rsidP="009D5FCF">
      <w:pPr>
        <w:rPr>
          <w:rFonts w:cs="Arial"/>
          <w:szCs w:val="20"/>
        </w:rPr>
      </w:pPr>
    </w:p>
    <w:p w:rsidR="009D5FCF" w:rsidRDefault="009D5FCF" w:rsidP="009D5FCF">
      <w:pPr>
        <w:pStyle w:val="Odstavekseznama"/>
        <w:numPr>
          <w:ilvl w:val="0"/>
          <w:numId w:val="6"/>
        </w:numPr>
        <w:contextualSpacing w:val="0"/>
        <w:jc w:val="both"/>
        <w:rPr>
          <w:rFonts w:cs="Arial"/>
          <w:szCs w:val="20"/>
        </w:rPr>
      </w:pPr>
      <w:r>
        <w:rPr>
          <w:szCs w:val="20"/>
        </w:rPr>
        <w:t>se v 1. točki za besedo »nje« doda besedilo »</w:t>
      </w:r>
      <w:r>
        <w:rPr>
          <w:color w:val="000000" w:themeColor="text1"/>
          <w:szCs w:val="20"/>
        </w:rPr>
        <w:t xml:space="preserve">v vseh državah članicah </w:t>
      </w:r>
      <w:r>
        <w:rPr>
          <w:szCs w:val="20"/>
        </w:rPr>
        <w:t>Evropske unije</w:t>
      </w:r>
      <w:r>
        <w:rPr>
          <w:rFonts w:eastAsia="Arial"/>
          <w:color w:val="000000" w:themeColor="text1"/>
          <w:szCs w:val="20"/>
        </w:rPr>
        <w:t>«,</w:t>
      </w:r>
    </w:p>
    <w:p w:rsidR="009D5FCF" w:rsidRDefault="009D5FCF" w:rsidP="009D5FCF">
      <w:pPr>
        <w:jc w:val="both"/>
        <w:rPr>
          <w:rFonts w:cs="Arial"/>
          <w:b/>
          <w:bCs/>
          <w:szCs w:val="20"/>
        </w:rPr>
      </w:pPr>
    </w:p>
    <w:p w:rsidR="009D5FCF" w:rsidRDefault="009D5FCF" w:rsidP="009D5FCF">
      <w:pPr>
        <w:pStyle w:val="Odstavekseznama"/>
        <w:numPr>
          <w:ilvl w:val="0"/>
          <w:numId w:val="6"/>
        </w:numPr>
        <w:contextualSpacing w:val="0"/>
        <w:jc w:val="both"/>
        <w:rPr>
          <w:rFonts w:cs="Arial"/>
          <w:szCs w:val="20"/>
        </w:rPr>
      </w:pPr>
      <w:r>
        <w:rPr>
          <w:szCs w:val="20"/>
        </w:rPr>
        <w:t xml:space="preserve">se v 2. točki za besedo »odlašanja« doda besedilo »z uporabo predloge iz Priloge II k Uredbi 2021/784/EU«, za besedo »članicah« pa besedno zvezo »Evropske unije«, </w:t>
      </w:r>
    </w:p>
    <w:p w:rsidR="009D5FCF" w:rsidRDefault="009D5FCF" w:rsidP="009D5FCF">
      <w:pPr>
        <w:jc w:val="both"/>
        <w:rPr>
          <w:rFonts w:cs="Arial"/>
          <w:szCs w:val="20"/>
        </w:rPr>
      </w:pPr>
    </w:p>
    <w:p w:rsidR="009D5FCF" w:rsidRDefault="009D5FCF" w:rsidP="009D5FCF">
      <w:pPr>
        <w:pStyle w:val="Odstavekseznama"/>
        <w:numPr>
          <w:ilvl w:val="0"/>
          <w:numId w:val="6"/>
        </w:numPr>
        <w:contextualSpacing w:val="0"/>
        <w:jc w:val="both"/>
        <w:rPr>
          <w:rFonts w:cs="Arial"/>
          <w:color w:val="000000" w:themeColor="text1"/>
          <w:szCs w:val="20"/>
        </w:rPr>
      </w:pPr>
      <w:r>
        <w:rPr>
          <w:szCs w:val="20"/>
        </w:rPr>
        <w:t>se 5. točka spremeni tako, da se glasi:</w:t>
      </w:r>
    </w:p>
    <w:p w:rsidR="009D5FCF" w:rsidRDefault="009D5FCF" w:rsidP="009D5FCF">
      <w:pPr>
        <w:pStyle w:val="Odstavekseznama"/>
        <w:jc w:val="both"/>
        <w:rPr>
          <w:szCs w:val="20"/>
        </w:rPr>
      </w:pPr>
    </w:p>
    <w:p w:rsidR="009D5FCF" w:rsidRDefault="009D5FCF" w:rsidP="009D5FCF">
      <w:pPr>
        <w:pStyle w:val="Odstavekseznama"/>
        <w:jc w:val="both"/>
        <w:rPr>
          <w:szCs w:val="20"/>
        </w:rPr>
      </w:pPr>
      <w:r>
        <w:rPr>
          <w:szCs w:val="20"/>
        </w:rPr>
        <w:t>»5. ki mu je bila izdana odločba agencije o izpostavljenosti terorističnim vsebinam, in ravna v nasprotju s prvim odstavkom 5. člena Uredbe 2021/784/EU«;</w:t>
      </w:r>
    </w:p>
    <w:p w:rsidR="009D5FCF" w:rsidRDefault="009D5FCF" w:rsidP="009D5FCF">
      <w:pPr>
        <w:pStyle w:val="Odstavekseznama"/>
        <w:jc w:val="both"/>
        <w:rPr>
          <w:szCs w:val="20"/>
        </w:rPr>
      </w:pPr>
    </w:p>
    <w:p w:rsidR="009D5FCF" w:rsidRDefault="009D5FCF" w:rsidP="009D5FCF">
      <w:pPr>
        <w:pStyle w:val="Odstavekseznama"/>
        <w:numPr>
          <w:ilvl w:val="0"/>
          <w:numId w:val="6"/>
        </w:numPr>
        <w:contextualSpacing w:val="0"/>
        <w:jc w:val="both"/>
        <w:rPr>
          <w:color w:val="000000" w:themeColor="text1"/>
          <w:szCs w:val="20"/>
        </w:rPr>
      </w:pPr>
      <w:r>
        <w:rPr>
          <w:szCs w:val="20"/>
        </w:rPr>
        <w:t>se v 6. točki za besedo »javnosti« doda besedilo »</w:t>
      </w:r>
      <w:r>
        <w:rPr>
          <w:color w:val="000000" w:themeColor="text1"/>
          <w:szCs w:val="20"/>
        </w:rPr>
        <w:t>ali pa ti ukrepi ne  izpolnjujejo vseh zahtev iz tretjega odstavka 5. člena Uredbe 2021/784/EU«,</w:t>
      </w:r>
    </w:p>
    <w:p w:rsidR="009D5FCF" w:rsidRDefault="009D5FCF" w:rsidP="009D5FCF">
      <w:pPr>
        <w:jc w:val="both"/>
        <w:rPr>
          <w:rFonts w:cs="Arial"/>
          <w:color w:val="000000" w:themeColor="text1"/>
          <w:szCs w:val="20"/>
        </w:rPr>
      </w:pPr>
    </w:p>
    <w:p w:rsidR="009D5FCF" w:rsidRDefault="009D5FCF" w:rsidP="009D5FCF">
      <w:pPr>
        <w:pStyle w:val="Odstavekseznama"/>
        <w:numPr>
          <w:ilvl w:val="0"/>
          <w:numId w:val="7"/>
        </w:numPr>
        <w:contextualSpacing w:val="0"/>
        <w:jc w:val="both"/>
        <w:rPr>
          <w:rFonts w:cs="Arial"/>
          <w:szCs w:val="20"/>
        </w:rPr>
      </w:pPr>
      <w:r>
        <w:rPr>
          <w:szCs w:val="20"/>
        </w:rPr>
        <w:t>se v 10. točki za besedo podatkov doda besedilo »</w:t>
      </w:r>
      <w:bookmarkStart w:id="7" w:name="_Hlk178345878"/>
      <w:r>
        <w:rPr>
          <w:color w:val="000000" w:themeColor="text1"/>
          <w:szCs w:val="20"/>
        </w:rPr>
        <w:t xml:space="preserve">ali ne </w:t>
      </w:r>
      <w:r>
        <w:rPr>
          <w:color w:val="242021"/>
          <w:szCs w:val="20"/>
        </w:rPr>
        <w:t xml:space="preserve">zagotovi, da se do shranjene teroristične vsebine in z njo povezanih podatkov dostopa in obdeluje le za namene iz </w:t>
      </w:r>
      <w:r>
        <w:rPr>
          <w:color w:val="242021"/>
          <w:szCs w:val="20"/>
        </w:rPr>
        <w:lastRenderedPageBreak/>
        <w:t xml:space="preserve">prvega odstavka 6. člena Uredbe </w:t>
      </w:r>
      <w:r>
        <w:rPr>
          <w:color w:val="000000" w:themeColor="text1"/>
          <w:szCs w:val="20"/>
        </w:rPr>
        <w:t>2021/784/EU</w:t>
      </w:r>
      <w:r>
        <w:rPr>
          <w:color w:val="242021"/>
          <w:szCs w:val="20"/>
        </w:rPr>
        <w:t xml:space="preserve"> ali ne  zagotovi visoke ravni varnosti zadevnih osebnih podatkov</w:t>
      </w:r>
      <w:bookmarkEnd w:id="7"/>
      <w:r>
        <w:rPr>
          <w:color w:val="242021"/>
          <w:szCs w:val="20"/>
        </w:rPr>
        <w:t>«;</w:t>
      </w:r>
    </w:p>
    <w:p w:rsidR="009D5FCF" w:rsidRDefault="009D5FCF" w:rsidP="009D5FCF">
      <w:pPr>
        <w:jc w:val="both"/>
        <w:rPr>
          <w:rFonts w:cs="Arial"/>
          <w:szCs w:val="20"/>
        </w:rPr>
      </w:pPr>
    </w:p>
    <w:p w:rsidR="009D5FCF" w:rsidRDefault="009D5FCF" w:rsidP="009D5FCF">
      <w:pPr>
        <w:pStyle w:val="Odstavekseznama"/>
        <w:numPr>
          <w:ilvl w:val="0"/>
          <w:numId w:val="6"/>
        </w:numPr>
        <w:contextualSpacing w:val="0"/>
        <w:jc w:val="both"/>
        <w:rPr>
          <w:rFonts w:cs="Arial"/>
          <w:szCs w:val="20"/>
        </w:rPr>
      </w:pPr>
      <w:r>
        <w:rPr>
          <w:szCs w:val="20"/>
        </w:rPr>
        <w:t>se v 14. točki prvega odstavka se za besedo »mehanizma« doda vejica in besedilo »</w:t>
      </w:r>
      <w:bookmarkStart w:id="8" w:name="_Hlk178540733"/>
      <w:r>
        <w:rPr>
          <w:color w:val="242021"/>
          <w:szCs w:val="20"/>
        </w:rPr>
        <w:t xml:space="preserve">ki ponudnikom vsebin, katerih vsebina je bila odstranjena ali je bil onemogočen dostop do nje zaradi posebnih ukrepov na podlagi 5. člena Uredbe </w:t>
      </w:r>
      <w:r>
        <w:rPr>
          <w:color w:val="000000" w:themeColor="text1"/>
          <w:szCs w:val="20"/>
        </w:rPr>
        <w:t>2021/784/EU</w:t>
      </w:r>
      <w:r>
        <w:rPr>
          <w:color w:val="242021"/>
          <w:szCs w:val="20"/>
        </w:rPr>
        <w:t>, omogoča, da vložijo pritožbo v zvezi z odstranitvijo ali onemogočenjem dostopa do nje, in zahtevajo ponovno objavo vsebine ali dostop do nje, ali ne zagotavlja hitre preučitve  prejetih pritožb, ali brez nepotrebnega odlašanja ne objavi vsebine ali dostopa do nje, kadar sta bila njena odstranitev ali onemogočenje dostopa do nje neupravičena, ali pritožnika v dveh tednih od prejema pritožbe ne obvesti o izidu pritožbe</w:t>
      </w:r>
      <w:bookmarkEnd w:id="8"/>
      <w:r>
        <w:rPr>
          <w:szCs w:val="20"/>
        </w:rPr>
        <w:t>«;</w:t>
      </w:r>
    </w:p>
    <w:p w:rsidR="009D5FCF" w:rsidRDefault="009D5FCF" w:rsidP="009D5FCF">
      <w:pPr>
        <w:pStyle w:val="Odstavekseznama"/>
        <w:jc w:val="both"/>
        <w:rPr>
          <w:szCs w:val="20"/>
        </w:rPr>
      </w:pPr>
    </w:p>
    <w:p w:rsidR="009D5FCF" w:rsidRDefault="009D5FCF" w:rsidP="009D5FCF">
      <w:pPr>
        <w:jc w:val="both"/>
        <w:rPr>
          <w:rFonts w:cs="Arial"/>
          <w:szCs w:val="20"/>
        </w:rPr>
      </w:pPr>
    </w:p>
    <w:p w:rsidR="009D5FCF" w:rsidRDefault="009D5FCF" w:rsidP="009D5FCF">
      <w:pPr>
        <w:pStyle w:val="Odstavekseznama"/>
        <w:numPr>
          <w:ilvl w:val="0"/>
          <w:numId w:val="7"/>
        </w:numPr>
        <w:contextualSpacing w:val="0"/>
        <w:jc w:val="both"/>
        <w:rPr>
          <w:rFonts w:cs="Arial"/>
          <w:color w:val="000000" w:themeColor="text1"/>
          <w:szCs w:val="20"/>
        </w:rPr>
      </w:pPr>
      <w:r>
        <w:rPr>
          <w:szCs w:val="20"/>
        </w:rPr>
        <w:t>se 22. točka spremeni tako, da se glasi:</w:t>
      </w:r>
    </w:p>
    <w:p w:rsidR="009D5FCF" w:rsidRDefault="009D5FCF" w:rsidP="009D5FCF">
      <w:pPr>
        <w:pStyle w:val="Odstavekseznama"/>
        <w:ind w:left="778"/>
        <w:jc w:val="both"/>
        <w:rPr>
          <w:szCs w:val="20"/>
        </w:rPr>
      </w:pPr>
    </w:p>
    <w:p w:rsidR="009D5FCF" w:rsidRDefault="009D5FCF" w:rsidP="009D5FCF">
      <w:pPr>
        <w:pStyle w:val="Odstavekseznama"/>
        <w:ind w:left="778"/>
        <w:jc w:val="both"/>
        <w:rPr>
          <w:color w:val="000000" w:themeColor="text1"/>
          <w:szCs w:val="20"/>
        </w:rPr>
      </w:pPr>
      <w:r>
        <w:rPr>
          <w:szCs w:val="20"/>
        </w:rPr>
        <w:t xml:space="preserve">»22. svojemu pravnemu zastopniku ne zagotovi potrebnih pooblastil in sredstev za zagotavljanje skladnosti z odredbami o odstranitvi ali z odločitvami, ki jih izdajo pristojni organi, </w:t>
      </w:r>
      <w:r>
        <w:rPr>
          <w:color w:val="242021"/>
          <w:szCs w:val="20"/>
        </w:rPr>
        <w:t>za zagotavljanje skladnosti z njimi in njihovo izvrševanje,</w:t>
      </w:r>
      <w:r>
        <w:rPr>
          <w:szCs w:val="20"/>
        </w:rPr>
        <w:t xml:space="preserve"> ali za sodelovanje s pristojnimi organi ali ne zagotovi, da ima njegov pravni zastopnik prebivališče ali sedež v eni od držav članic, v kateri ponudnik storitev gostovanja ponuja svoje storitve (drugi odstavek 17. člena Uredbe 2021/784/EU);«.</w:t>
      </w:r>
    </w:p>
    <w:p w:rsidR="009D5FCF" w:rsidRDefault="009D5FCF" w:rsidP="009D5FCF">
      <w:pPr>
        <w:pStyle w:val="Odstavekseznama"/>
        <w:ind w:left="778"/>
        <w:rPr>
          <w:szCs w:val="20"/>
        </w:rPr>
      </w:pPr>
    </w:p>
    <w:p w:rsidR="009D5FCF" w:rsidRDefault="009D5FCF" w:rsidP="009D5FCF">
      <w:pPr>
        <w:rPr>
          <w:rFonts w:cs="Arial"/>
          <w:b/>
          <w:bCs/>
          <w:szCs w:val="20"/>
        </w:rPr>
      </w:pPr>
    </w:p>
    <w:p w:rsidR="009D5FCF" w:rsidRDefault="009D5FCF" w:rsidP="009D5FCF">
      <w:pPr>
        <w:rPr>
          <w:rFonts w:cs="Arial"/>
          <w:b/>
          <w:bCs/>
          <w:szCs w:val="20"/>
        </w:rPr>
      </w:pPr>
      <w:r>
        <w:rPr>
          <w:rFonts w:cs="Arial"/>
          <w:b/>
          <w:bCs/>
          <w:szCs w:val="20"/>
        </w:rPr>
        <w:t xml:space="preserve">Obrazložitev: </w:t>
      </w:r>
    </w:p>
    <w:p w:rsidR="009D5FCF" w:rsidRDefault="009D5FCF" w:rsidP="009D5FCF">
      <w:pPr>
        <w:rPr>
          <w:rFonts w:cs="Arial"/>
          <w:b/>
          <w:bCs/>
          <w:szCs w:val="20"/>
        </w:rPr>
      </w:pPr>
    </w:p>
    <w:p w:rsidR="009D5FCF" w:rsidRDefault="009D5FCF" w:rsidP="009D5FCF">
      <w:pPr>
        <w:jc w:val="both"/>
        <w:rPr>
          <w:rFonts w:cs="Arial"/>
          <w:szCs w:val="20"/>
        </w:rPr>
      </w:pPr>
      <w:r>
        <w:rPr>
          <w:rFonts w:cs="Arial"/>
          <w:szCs w:val="20"/>
        </w:rPr>
        <w:t xml:space="preserve">Amandma se predlaga zaradi uskladitve z mnenjem ZPS. </w:t>
      </w:r>
    </w:p>
    <w:p w:rsidR="009D5FCF" w:rsidRDefault="009D5FCF" w:rsidP="009D5FCF">
      <w:pPr>
        <w:jc w:val="both"/>
        <w:rPr>
          <w:rFonts w:cs="Arial"/>
          <w:szCs w:val="20"/>
        </w:rPr>
      </w:pPr>
    </w:p>
    <w:p w:rsidR="009D5FCF" w:rsidRDefault="009D5FCF" w:rsidP="009D5FCF">
      <w:pPr>
        <w:jc w:val="both"/>
        <w:rPr>
          <w:rFonts w:cs="Arial"/>
          <w:szCs w:val="20"/>
        </w:rPr>
      </w:pPr>
      <w:r>
        <w:rPr>
          <w:rFonts w:cs="Arial"/>
          <w:szCs w:val="20"/>
        </w:rPr>
        <w:t xml:space="preserve">Z dopolnitvijo 1. točke se precizira sklic na tretji odstavek 3. člena Uredbe </w:t>
      </w:r>
      <w:r>
        <w:rPr>
          <w:rFonts w:cs="Arial"/>
          <w:color w:val="000000" w:themeColor="text1"/>
          <w:szCs w:val="20"/>
        </w:rPr>
        <w:t xml:space="preserve">2021/784/EU. Dopolnitev je </w:t>
      </w:r>
      <w:proofErr w:type="spellStart"/>
      <w:r>
        <w:rPr>
          <w:rFonts w:cs="Arial"/>
          <w:color w:val="000000" w:themeColor="text1"/>
          <w:szCs w:val="20"/>
        </w:rPr>
        <w:t>nomotehnične</w:t>
      </w:r>
      <w:proofErr w:type="spellEnd"/>
      <w:r>
        <w:rPr>
          <w:rFonts w:cs="Arial"/>
          <w:color w:val="000000" w:themeColor="text1"/>
          <w:szCs w:val="20"/>
        </w:rPr>
        <w:t xml:space="preserve"> narave. </w:t>
      </w:r>
    </w:p>
    <w:p w:rsidR="009D5FCF" w:rsidRDefault="009D5FCF" w:rsidP="009D5FCF">
      <w:pPr>
        <w:jc w:val="both"/>
        <w:rPr>
          <w:rFonts w:cs="Arial"/>
          <w:b/>
          <w:bCs/>
          <w:szCs w:val="20"/>
        </w:rPr>
      </w:pPr>
    </w:p>
    <w:p w:rsidR="009D5FCF" w:rsidRDefault="009D5FCF" w:rsidP="009D5FCF">
      <w:pPr>
        <w:jc w:val="both"/>
        <w:rPr>
          <w:rFonts w:cs="Arial"/>
          <w:szCs w:val="20"/>
        </w:rPr>
      </w:pPr>
      <w:r>
        <w:rPr>
          <w:rFonts w:cs="Arial"/>
          <w:szCs w:val="20"/>
        </w:rPr>
        <w:t xml:space="preserve">Z dopolnitvijo 2. točke se precizira sklic na šesti odstavek 3. člena Uredbe </w:t>
      </w:r>
      <w:r>
        <w:rPr>
          <w:rFonts w:cs="Arial"/>
          <w:color w:val="000000" w:themeColor="text1"/>
          <w:szCs w:val="20"/>
        </w:rPr>
        <w:t xml:space="preserve">2021/784/EU. Dopolnitev je </w:t>
      </w:r>
      <w:proofErr w:type="spellStart"/>
      <w:r>
        <w:rPr>
          <w:rFonts w:cs="Arial"/>
          <w:color w:val="000000" w:themeColor="text1"/>
          <w:szCs w:val="20"/>
        </w:rPr>
        <w:t>nomotehnične</w:t>
      </w:r>
      <w:proofErr w:type="spellEnd"/>
      <w:r>
        <w:rPr>
          <w:rFonts w:cs="Arial"/>
          <w:color w:val="000000" w:themeColor="text1"/>
          <w:szCs w:val="20"/>
        </w:rPr>
        <w:t xml:space="preserve"> narave. </w:t>
      </w:r>
    </w:p>
    <w:p w:rsidR="009D5FCF" w:rsidRDefault="009D5FCF" w:rsidP="009D5FCF">
      <w:pPr>
        <w:jc w:val="both"/>
        <w:rPr>
          <w:rFonts w:cs="Arial"/>
          <w:b/>
          <w:bCs/>
          <w:szCs w:val="20"/>
        </w:rPr>
      </w:pPr>
    </w:p>
    <w:p w:rsidR="009D5FCF" w:rsidRDefault="009D5FCF" w:rsidP="009D5FCF">
      <w:pPr>
        <w:jc w:val="both"/>
        <w:rPr>
          <w:rFonts w:cs="Arial"/>
          <w:b/>
          <w:bCs/>
          <w:szCs w:val="20"/>
        </w:rPr>
      </w:pPr>
      <w:r>
        <w:rPr>
          <w:rFonts w:cs="Arial"/>
          <w:szCs w:val="20"/>
        </w:rPr>
        <w:t xml:space="preserve">Z dopolnitvijo 5. točke se precizira sklic na prvi odstavek 5. člena Uredbe 2021/784/EU. Besedilo se tudi </w:t>
      </w:r>
      <w:proofErr w:type="spellStart"/>
      <w:r>
        <w:rPr>
          <w:rFonts w:cs="Arial"/>
          <w:szCs w:val="20"/>
        </w:rPr>
        <w:t>nomotehnično</w:t>
      </w:r>
      <w:proofErr w:type="spellEnd"/>
      <w:r>
        <w:rPr>
          <w:rFonts w:cs="Arial"/>
          <w:szCs w:val="20"/>
        </w:rPr>
        <w:t xml:space="preserve"> izboljšuje. </w:t>
      </w:r>
    </w:p>
    <w:p w:rsidR="009D5FCF" w:rsidRDefault="009D5FCF" w:rsidP="009D5FCF">
      <w:pPr>
        <w:jc w:val="both"/>
        <w:rPr>
          <w:rFonts w:cs="Arial"/>
          <w:b/>
          <w:bCs/>
          <w:szCs w:val="20"/>
        </w:rPr>
      </w:pPr>
    </w:p>
    <w:p w:rsidR="009D5FCF" w:rsidRDefault="009D5FCF" w:rsidP="009D5FCF">
      <w:pPr>
        <w:jc w:val="both"/>
        <w:rPr>
          <w:rFonts w:cs="Arial"/>
          <w:b/>
          <w:bCs/>
          <w:szCs w:val="20"/>
        </w:rPr>
      </w:pPr>
      <w:r>
        <w:rPr>
          <w:rFonts w:cs="Arial"/>
          <w:szCs w:val="20"/>
        </w:rPr>
        <w:t xml:space="preserve">Z dopolnitvijo 6. točke se precizira sklic na tretji odstavek 5. člena Uredbe, na način, da je jasno določen prekršek v primeru, ko </w:t>
      </w:r>
      <w:r>
        <w:rPr>
          <w:rFonts w:cs="Arial"/>
          <w:color w:val="000000" w:themeColor="text1"/>
          <w:szCs w:val="20"/>
        </w:rPr>
        <w:t xml:space="preserve">ukrepi ponudnika storitev gostovanja ne izpolnjujejo vseh zahtev iz tretjega odstavka 5. člena Uredbe 2021/784/EU. </w:t>
      </w:r>
      <w:r>
        <w:rPr>
          <w:rFonts w:cs="Arial"/>
          <w:szCs w:val="20"/>
        </w:rPr>
        <w:t xml:space="preserve">  </w:t>
      </w:r>
    </w:p>
    <w:p w:rsidR="009D5FCF" w:rsidRDefault="009D5FCF" w:rsidP="009D5FCF">
      <w:pPr>
        <w:jc w:val="both"/>
        <w:rPr>
          <w:rFonts w:cs="Arial"/>
          <w:b/>
          <w:bCs/>
          <w:szCs w:val="20"/>
        </w:rPr>
      </w:pPr>
    </w:p>
    <w:p w:rsidR="009D5FCF" w:rsidRDefault="009D5FCF" w:rsidP="009D5FCF">
      <w:pPr>
        <w:jc w:val="both"/>
        <w:rPr>
          <w:rFonts w:cs="Arial"/>
          <w:szCs w:val="20"/>
        </w:rPr>
      </w:pPr>
      <w:r>
        <w:rPr>
          <w:rFonts w:cs="Arial"/>
          <w:szCs w:val="20"/>
        </w:rPr>
        <w:t>Z dopolnitvijo 10. točke se precizira sklic na tretji odstavek 6. člena Uredbe 2021/784/EU na način, da je zdaj jasno določen prekršek kršitve drugega pododstavka</w:t>
      </w:r>
    </w:p>
    <w:p w:rsidR="009D5FCF" w:rsidRDefault="009D5FCF" w:rsidP="009D5FCF">
      <w:pPr>
        <w:jc w:val="both"/>
        <w:rPr>
          <w:rFonts w:cs="Arial"/>
          <w:b/>
          <w:bCs/>
          <w:szCs w:val="20"/>
        </w:rPr>
      </w:pPr>
      <w:r>
        <w:rPr>
          <w:rFonts w:cs="Arial"/>
          <w:szCs w:val="20"/>
        </w:rPr>
        <w:t xml:space="preserve">tretjega odstavka 6. člena Uredbe.  </w:t>
      </w:r>
    </w:p>
    <w:p w:rsidR="009D5FCF" w:rsidRDefault="009D5FCF" w:rsidP="009D5FCF">
      <w:pPr>
        <w:jc w:val="both"/>
        <w:rPr>
          <w:rFonts w:cs="Arial"/>
          <w:b/>
          <w:bCs/>
          <w:szCs w:val="20"/>
        </w:rPr>
      </w:pPr>
    </w:p>
    <w:p w:rsidR="009D5FCF" w:rsidRDefault="009D5FCF" w:rsidP="009D5FCF">
      <w:pPr>
        <w:jc w:val="both"/>
        <w:rPr>
          <w:rFonts w:cs="Arial"/>
          <w:szCs w:val="20"/>
        </w:rPr>
      </w:pPr>
      <w:r>
        <w:rPr>
          <w:rFonts w:cs="Arial"/>
          <w:szCs w:val="20"/>
        </w:rPr>
        <w:t xml:space="preserve">Z dopolnitvijo 14. točke se precizira sklic na prvi odstavek 10. člena Uredbe 2021/784/EU na način, da zdaj jasno odraža kršitev prvega odstavka 10. člena Uredbe v celoti. </w:t>
      </w:r>
    </w:p>
    <w:p w:rsidR="009D5FCF" w:rsidRDefault="009D5FCF" w:rsidP="009D5FCF">
      <w:pPr>
        <w:jc w:val="both"/>
        <w:rPr>
          <w:rFonts w:cs="Arial"/>
          <w:szCs w:val="20"/>
        </w:rPr>
      </w:pPr>
    </w:p>
    <w:p w:rsidR="009D5FCF" w:rsidRDefault="009D5FCF" w:rsidP="009D5FCF">
      <w:pPr>
        <w:jc w:val="both"/>
        <w:rPr>
          <w:rFonts w:cs="Arial"/>
          <w:szCs w:val="20"/>
        </w:rPr>
      </w:pPr>
      <w:r>
        <w:rPr>
          <w:rFonts w:cs="Arial"/>
          <w:szCs w:val="20"/>
        </w:rPr>
        <w:t>V zvezi z pripombo ZPS k 18. točki, da bi bilo potrebno določbo dopolniti z navedbo, komu se razkrijejo informacije o odstranitvi terorističnih vsebin ali onemogočenju dostopa do njih, pojasnjujemo, da  tretji odstavek 11. člena Uredbe 2021/784/EU ne pozna kvalificiranega razkritja določenim subjektom, pač pa določa splošno prepoved razkritja, torej komurkoli.</w:t>
      </w:r>
    </w:p>
    <w:p w:rsidR="009D5FCF" w:rsidRDefault="009D5FCF" w:rsidP="009D5FCF">
      <w:pPr>
        <w:jc w:val="both"/>
        <w:rPr>
          <w:rFonts w:cs="Arial"/>
          <w:szCs w:val="20"/>
        </w:rPr>
      </w:pPr>
    </w:p>
    <w:p w:rsidR="009D5FCF" w:rsidRDefault="009D5FCF" w:rsidP="009D5FCF">
      <w:pPr>
        <w:jc w:val="both"/>
        <w:rPr>
          <w:rFonts w:cs="Arial"/>
          <w:strike/>
          <w:szCs w:val="20"/>
        </w:rPr>
      </w:pPr>
      <w:r>
        <w:rPr>
          <w:rFonts w:cs="Arial"/>
          <w:szCs w:val="20"/>
        </w:rPr>
        <w:lastRenderedPageBreak/>
        <w:t xml:space="preserve">Z dopolnitvijo 22. točke se precizira sklic na celoten drugi odstavek 17. člena Uredbe 2021/784/EU na način, da se </w:t>
      </w:r>
      <w:r>
        <w:rPr>
          <w:rStyle w:val="fontstyle01"/>
          <w:szCs w:val="20"/>
        </w:rPr>
        <w:t>v celoti določa temeljno obveznost ponudnika storitev gostovanja</w:t>
      </w:r>
      <w:r>
        <w:rPr>
          <w:rFonts w:cs="Arial"/>
          <w:szCs w:val="20"/>
        </w:rPr>
        <w:t xml:space="preserve">, in sicer, da mora ta svojemu pravnemu zastopniku zagotoviti potrebna pooblastila in sredstva za skladnost z odredbami za odstranitev in odločitvami in za </w:t>
      </w:r>
      <w:r>
        <w:rPr>
          <w:rFonts w:cs="Arial"/>
          <w:color w:val="242021"/>
          <w:szCs w:val="20"/>
        </w:rPr>
        <w:t>sodelovanje s pristojnimi organi.</w:t>
      </w:r>
      <w:r>
        <w:rPr>
          <w:rFonts w:cs="Arial"/>
          <w:szCs w:val="20"/>
        </w:rPr>
        <w:t xml:space="preserve"> V zvezi s pripombo ZPS, da predmetna točka ne določa</w:t>
      </w:r>
      <w:r>
        <w:rPr>
          <w:rFonts w:cs="Arial"/>
          <w:color w:val="000000"/>
          <w:szCs w:val="20"/>
        </w:rPr>
        <w:t xml:space="preserve">, s čim se zagotavlja skladnost, pojasnjujemo, da Uredba 2021/784/EU pristojnosti oz. polnomočij taksativno ne določa, pač pa zahteva zgolj, da je pooblastilo dovolj široko, da bo lahko pravni zastopnik izvrševal odredbe pristojnih organov. </w:t>
      </w:r>
    </w:p>
    <w:p w:rsidR="009D5FCF" w:rsidRDefault="009D5FCF" w:rsidP="009D5FCF">
      <w:pPr>
        <w:jc w:val="both"/>
        <w:rPr>
          <w:rFonts w:cs="Arial"/>
          <w:b/>
          <w:bCs/>
          <w:szCs w:val="20"/>
        </w:rPr>
      </w:pPr>
    </w:p>
    <w:p w:rsidR="009D5FCF" w:rsidRDefault="009D5FCF" w:rsidP="009D5FCF">
      <w:pPr>
        <w:rPr>
          <w:rFonts w:cs="Arial"/>
          <w:b/>
          <w:bCs/>
          <w:szCs w:val="20"/>
        </w:rPr>
      </w:pPr>
    </w:p>
    <w:p w:rsidR="009D5FCF" w:rsidRDefault="009D5FCF" w:rsidP="009D5FCF">
      <w:pPr>
        <w:rPr>
          <w:rFonts w:cs="Arial"/>
          <w:b/>
          <w:bCs/>
          <w:szCs w:val="20"/>
        </w:rPr>
      </w:pPr>
    </w:p>
    <w:p w:rsidR="009D5FCF" w:rsidRDefault="009D5FCF" w:rsidP="009D5FCF">
      <w:pPr>
        <w:rPr>
          <w:rFonts w:cs="Arial"/>
          <w:b/>
          <w:bCs/>
          <w:szCs w:val="20"/>
        </w:rPr>
      </w:pPr>
    </w:p>
    <w:p w:rsidR="009D5FCF" w:rsidRDefault="009D5FCF" w:rsidP="009D5FCF">
      <w:pPr>
        <w:rPr>
          <w:rFonts w:cs="Arial"/>
          <w:b/>
          <w:bCs/>
          <w:szCs w:val="20"/>
        </w:rPr>
      </w:pPr>
    </w:p>
    <w:bookmarkEnd w:id="0"/>
    <w:p w:rsidR="00782FD4" w:rsidRPr="00EC13B0" w:rsidRDefault="00782FD4" w:rsidP="009D5FCF">
      <w:pPr>
        <w:autoSpaceDE w:val="0"/>
        <w:autoSpaceDN w:val="0"/>
        <w:adjustRightInd w:val="0"/>
      </w:pPr>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25F5" w:rsidRDefault="005225F5" w:rsidP="00767987">
      <w:pPr>
        <w:spacing w:line="240" w:lineRule="auto"/>
      </w:pPr>
      <w:r>
        <w:separator/>
      </w:r>
    </w:p>
  </w:endnote>
  <w:endnote w:type="continuationSeparator" w:id="0">
    <w:p w:rsidR="005225F5" w:rsidRDefault="005225F5"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73C2" w:rsidRDefault="004973C2">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73C2" w:rsidRDefault="004973C2">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73C2" w:rsidRDefault="004973C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25F5" w:rsidRDefault="005225F5" w:rsidP="00767987">
      <w:pPr>
        <w:spacing w:line="240" w:lineRule="auto"/>
      </w:pPr>
      <w:r>
        <w:separator/>
      </w:r>
    </w:p>
  </w:footnote>
  <w:footnote w:type="continuationSeparator" w:id="0">
    <w:p w:rsidR="005225F5" w:rsidRDefault="005225F5"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73C2" w:rsidRDefault="004973C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73C2" w:rsidRDefault="004973C2">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33004885"/>
    <w:multiLevelType w:val="hybridMultilevel"/>
    <w:tmpl w:val="BF664572"/>
    <w:lvl w:ilvl="0" w:tplc="665E7F8C">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532B553B"/>
    <w:multiLevelType w:val="hybridMultilevel"/>
    <w:tmpl w:val="61CE9F90"/>
    <w:lvl w:ilvl="0" w:tplc="E33AA7CE">
      <w:numFmt w:val="bullet"/>
      <w:lvlText w:val="-"/>
      <w:lvlJc w:val="left"/>
      <w:pPr>
        <w:ind w:left="778" w:hanging="360"/>
      </w:pPr>
      <w:rPr>
        <w:rFonts w:ascii="Arial" w:eastAsia="Times New Roman" w:hAnsi="Arial" w:cs="Arial" w:hint="default"/>
        <w:b w:val="0"/>
        <w:i w:val="0"/>
        <w:color w:val="auto"/>
        <w:sz w:val="20"/>
      </w:rPr>
    </w:lvl>
    <w:lvl w:ilvl="1" w:tplc="04240003">
      <w:start w:val="1"/>
      <w:numFmt w:val="bullet"/>
      <w:lvlText w:val="o"/>
      <w:lvlJc w:val="left"/>
      <w:pPr>
        <w:ind w:left="1498" w:hanging="360"/>
      </w:pPr>
      <w:rPr>
        <w:rFonts w:ascii="Courier New" w:hAnsi="Courier New" w:cs="Courier New" w:hint="default"/>
      </w:rPr>
    </w:lvl>
    <w:lvl w:ilvl="2" w:tplc="04240005">
      <w:start w:val="1"/>
      <w:numFmt w:val="bullet"/>
      <w:lvlText w:val=""/>
      <w:lvlJc w:val="left"/>
      <w:pPr>
        <w:ind w:left="2218" w:hanging="360"/>
      </w:pPr>
      <w:rPr>
        <w:rFonts w:ascii="Wingdings" w:hAnsi="Wingdings" w:hint="default"/>
      </w:rPr>
    </w:lvl>
    <w:lvl w:ilvl="3" w:tplc="04240001">
      <w:start w:val="1"/>
      <w:numFmt w:val="bullet"/>
      <w:lvlText w:val=""/>
      <w:lvlJc w:val="left"/>
      <w:pPr>
        <w:ind w:left="2938" w:hanging="360"/>
      </w:pPr>
      <w:rPr>
        <w:rFonts w:ascii="Symbol" w:hAnsi="Symbol" w:hint="default"/>
      </w:rPr>
    </w:lvl>
    <w:lvl w:ilvl="4" w:tplc="04240003">
      <w:start w:val="1"/>
      <w:numFmt w:val="bullet"/>
      <w:lvlText w:val="o"/>
      <w:lvlJc w:val="left"/>
      <w:pPr>
        <w:ind w:left="3658" w:hanging="360"/>
      </w:pPr>
      <w:rPr>
        <w:rFonts w:ascii="Courier New" w:hAnsi="Courier New" w:cs="Courier New" w:hint="default"/>
      </w:rPr>
    </w:lvl>
    <w:lvl w:ilvl="5" w:tplc="04240005">
      <w:start w:val="1"/>
      <w:numFmt w:val="bullet"/>
      <w:lvlText w:val=""/>
      <w:lvlJc w:val="left"/>
      <w:pPr>
        <w:ind w:left="4378" w:hanging="360"/>
      </w:pPr>
      <w:rPr>
        <w:rFonts w:ascii="Wingdings" w:hAnsi="Wingdings" w:hint="default"/>
      </w:rPr>
    </w:lvl>
    <w:lvl w:ilvl="6" w:tplc="04240001">
      <w:start w:val="1"/>
      <w:numFmt w:val="bullet"/>
      <w:lvlText w:val=""/>
      <w:lvlJc w:val="left"/>
      <w:pPr>
        <w:ind w:left="5098" w:hanging="360"/>
      </w:pPr>
      <w:rPr>
        <w:rFonts w:ascii="Symbol" w:hAnsi="Symbol" w:hint="default"/>
      </w:rPr>
    </w:lvl>
    <w:lvl w:ilvl="7" w:tplc="04240003">
      <w:start w:val="1"/>
      <w:numFmt w:val="bullet"/>
      <w:lvlText w:val="o"/>
      <w:lvlJc w:val="left"/>
      <w:pPr>
        <w:ind w:left="5818" w:hanging="360"/>
      </w:pPr>
      <w:rPr>
        <w:rFonts w:ascii="Courier New" w:hAnsi="Courier New" w:cs="Courier New" w:hint="default"/>
      </w:rPr>
    </w:lvl>
    <w:lvl w:ilvl="8" w:tplc="04240005">
      <w:start w:val="1"/>
      <w:numFmt w:val="bullet"/>
      <w:lvlText w:val=""/>
      <w:lvlJc w:val="left"/>
      <w:pPr>
        <w:ind w:left="6538" w:hanging="360"/>
      </w:pPr>
      <w:rPr>
        <w:rFonts w:ascii="Wingdings" w:hAnsi="Wingdings" w:hint="default"/>
      </w:rPr>
    </w:lvl>
  </w:abstractNum>
  <w:abstractNum w:abstractNumId="4"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5"/>
  </w:num>
  <w:num w:numId="2">
    <w:abstractNumId w:val="2"/>
  </w:num>
  <w:num w:numId="3">
    <w:abstractNumId w:val="4"/>
  </w:num>
  <w:num w:numId="4">
    <w:abstractNumId w:val="0"/>
  </w:num>
  <w:num w:numId="5">
    <w:abstractNumId w:val="5"/>
  </w:num>
  <w:num w:numId="6">
    <w:abstractNumId w:val="1"/>
    <w:lvlOverride w:ilvl="0"/>
    <w:lvlOverride w:ilvl="1"/>
    <w:lvlOverride w:ilvl="2"/>
    <w:lvlOverride w:ilvl="3"/>
    <w:lvlOverride w:ilvl="4"/>
    <w:lvlOverride w:ilvl="5"/>
    <w:lvlOverride w:ilvl="6"/>
    <w:lvlOverride w:ilvl="7"/>
    <w:lvlOverride w:ilvl="8"/>
  </w:num>
  <w:num w:numId="7">
    <w:abstractNumId w:val="3"/>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A2469"/>
    <w:rsid w:val="00204177"/>
    <w:rsid w:val="00366636"/>
    <w:rsid w:val="00367DE6"/>
    <w:rsid w:val="003B3E19"/>
    <w:rsid w:val="004076C6"/>
    <w:rsid w:val="004973C2"/>
    <w:rsid w:val="004B7F76"/>
    <w:rsid w:val="004E1BCE"/>
    <w:rsid w:val="005225F5"/>
    <w:rsid w:val="0056541B"/>
    <w:rsid w:val="00592079"/>
    <w:rsid w:val="005D5957"/>
    <w:rsid w:val="00676475"/>
    <w:rsid w:val="00682FFE"/>
    <w:rsid w:val="006C69EC"/>
    <w:rsid w:val="007039D0"/>
    <w:rsid w:val="00710C90"/>
    <w:rsid w:val="00767987"/>
    <w:rsid w:val="00782FD4"/>
    <w:rsid w:val="007B4DF3"/>
    <w:rsid w:val="00811140"/>
    <w:rsid w:val="00812DA2"/>
    <w:rsid w:val="00896FBD"/>
    <w:rsid w:val="008A3F94"/>
    <w:rsid w:val="00904A48"/>
    <w:rsid w:val="0093061B"/>
    <w:rsid w:val="009510F6"/>
    <w:rsid w:val="00980294"/>
    <w:rsid w:val="009C5392"/>
    <w:rsid w:val="009D5FCF"/>
    <w:rsid w:val="00A50E4B"/>
    <w:rsid w:val="00A9231D"/>
    <w:rsid w:val="00B40287"/>
    <w:rsid w:val="00C0216A"/>
    <w:rsid w:val="00CD6077"/>
    <w:rsid w:val="00CE234E"/>
    <w:rsid w:val="00D02973"/>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3"/>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9D5FCF"/>
    <w:rPr>
      <w:rFonts w:ascii="Arial" w:eastAsia="Times New Roman" w:hAnsi="Arial" w:cs="Times New Roman"/>
      <w:sz w:val="20"/>
      <w:szCs w:val="24"/>
    </w:rPr>
  </w:style>
  <w:style w:type="paragraph" w:customStyle="1" w:styleId="pf0">
    <w:name w:val="pf0"/>
    <w:basedOn w:val="Navaden"/>
    <w:rsid w:val="009D5FCF"/>
    <w:pPr>
      <w:spacing w:before="100" w:beforeAutospacing="1" w:after="100" w:afterAutospacing="1" w:line="240" w:lineRule="auto"/>
    </w:pPr>
    <w:rPr>
      <w:rFonts w:ascii="Calibri" w:eastAsiaTheme="minorHAnsi" w:hAnsi="Calibri" w:cs="Calibri"/>
      <w:sz w:val="22"/>
      <w:szCs w:val="22"/>
      <w:lang w:eastAsia="sl-SI"/>
    </w:rPr>
  </w:style>
  <w:style w:type="character" w:customStyle="1" w:styleId="cf01">
    <w:name w:val="cf01"/>
    <w:basedOn w:val="Privzetapisavaodstavka"/>
    <w:rsid w:val="009D5FCF"/>
    <w:rPr>
      <w:rFonts w:ascii="Segoe UI" w:hAnsi="Segoe UI" w:cs="Segoe UI" w:hint="default"/>
      <w:sz w:val="18"/>
      <w:szCs w:val="18"/>
    </w:rPr>
  </w:style>
  <w:style w:type="character" w:customStyle="1" w:styleId="fontstyle01">
    <w:name w:val="fontstyle01"/>
    <w:basedOn w:val="Privzetapisavaodstavka"/>
    <w:rsid w:val="009D5FCF"/>
    <w:rPr>
      <w:rFonts w:ascii="Arial" w:hAnsi="Arial" w:cs="Arial" w:hint="default"/>
      <w:b w:val="0"/>
      <w:bCs w:val="0"/>
      <w:i w:val="0"/>
      <w:iCs w:val="0"/>
      <w:color w:val="000000"/>
      <w:sz w:val="22"/>
      <w:szCs w:val="22"/>
    </w:rPr>
  </w:style>
  <w:style w:type="character" w:customStyle="1" w:styleId="cf21">
    <w:name w:val="cf21"/>
    <w:basedOn w:val="Privzetapisavaodstavka"/>
    <w:rsid w:val="009D5FCF"/>
    <w:rPr>
      <w:rFonts w:ascii="Segoe UI" w:hAnsi="Segoe UI" w:cs="Segoe UI" w:hint="default"/>
      <w:color w:val="292B2C"/>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6330069">
      <w:bodyDiv w:val="1"/>
      <w:marLeft w:val="0"/>
      <w:marRight w:val="0"/>
      <w:marTop w:val="0"/>
      <w:marBottom w:val="0"/>
      <w:divBdr>
        <w:top w:val="none" w:sz="0" w:space="0" w:color="auto"/>
        <w:left w:val="none" w:sz="0" w:space="0" w:color="auto"/>
        <w:bottom w:val="none" w:sz="0" w:space="0" w:color="auto"/>
        <w:right w:val="none" w:sz="0" w:space="0" w:color="auto"/>
      </w:divBdr>
    </w:div>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1606</Words>
  <Characters>9155</Characters>
  <Application>Microsoft Office Word</Application>
  <DocSecurity>0</DocSecurity>
  <Lines>76</Lines>
  <Paragraphs>21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10740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2024-10-03T06:55:00Z</dcterms:created>
  <dcterms:modified xsi:type="dcterms:W3CDTF">2024-10-03T06:55:00Z</dcterms:modified>
</cp:coreProperties>
</file>