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CC78B9" w14:textId="77777777" w:rsidR="00C83432" w:rsidRDefault="00410D76">
      <w:pPr>
        <w:pStyle w:val="Bodytext20"/>
        <w:shd w:val="clear" w:color="auto" w:fill="auto"/>
        <w:spacing w:after="380" w:line="200" w:lineRule="exact"/>
        <w:ind w:left="460"/>
      </w:pPr>
      <w:r>
        <w:t>PRILOGA 3: Merila za izbor programov</w:t>
      </w:r>
    </w:p>
    <w:p w14:paraId="28404D11" w14:textId="77777777" w:rsidR="00C83432" w:rsidRDefault="00410D76">
      <w:pPr>
        <w:pStyle w:val="Tablecaption0"/>
        <w:framePr w:w="9398" w:wrap="notBeside" w:vAnchor="text" w:hAnchor="text" w:xAlign="center" w:y="1"/>
        <w:shd w:val="clear" w:color="auto" w:fill="auto"/>
        <w:spacing w:line="200" w:lineRule="exact"/>
      </w:pPr>
      <w:r>
        <w:t>a) za promocijo v tretjih državah</w:t>
      </w:r>
    </w:p>
    <w:p w14:paraId="45D94264" w14:textId="77777777" w:rsidR="00C83432" w:rsidRDefault="00C83432">
      <w:pPr>
        <w:framePr w:w="9398" w:wrap="notBeside" w:vAnchor="text" w:hAnchor="text" w:xAlign="center" w:y="1"/>
        <w:rPr>
          <w:sz w:val="2"/>
          <w:szCs w:val="2"/>
        </w:rPr>
      </w:pPr>
    </w:p>
    <w:tbl>
      <w:tblPr>
        <w:tblW w:w="0" w:type="auto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71"/>
        <w:gridCol w:w="1305"/>
        <w:gridCol w:w="1305"/>
      </w:tblGrid>
      <w:tr w:rsidR="00E072CE" w:rsidRPr="00E072CE" w14:paraId="7F5DD4A1" w14:textId="77777777" w:rsidTr="00154930">
        <w:trPr>
          <w:trHeight w:val="93"/>
        </w:trPr>
        <w:tc>
          <w:tcPr>
            <w:tcW w:w="6771" w:type="dxa"/>
          </w:tcPr>
          <w:p w14:paraId="3AD4DF87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  <w:lang w:bidi="ar-SA"/>
              </w:rPr>
            </w:pPr>
          </w:p>
          <w:p w14:paraId="139018C9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b/>
                <w:bCs/>
                <w:sz w:val="20"/>
                <w:szCs w:val="20"/>
                <w:lang w:bidi="ar-SA"/>
              </w:rPr>
              <w:t>Merilo</w:t>
            </w:r>
          </w:p>
          <w:p w14:paraId="1A138939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b/>
                <w:bCs/>
                <w:sz w:val="20"/>
                <w:szCs w:val="20"/>
                <w:lang w:bidi="ar-SA"/>
              </w:rPr>
              <w:t xml:space="preserve"> </w:t>
            </w:r>
          </w:p>
        </w:tc>
        <w:tc>
          <w:tcPr>
            <w:tcW w:w="1305" w:type="dxa"/>
          </w:tcPr>
          <w:p w14:paraId="7A841E01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bidi="ar-SA"/>
              </w:rPr>
              <w:t xml:space="preserve">Število točk </w:t>
            </w:r>
          </w:p>
        </w:tc>
        <w:tc>
          <w:tcPr>
            <w:tcW w:w="1305" w:type="dxa"/>
          </w:tcPr>
          <w:p w14:paraId="39800573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bidi="ar-SA"/>
              </w:rPr>
              <w:t>Najvišje možno število točk</w:t>
            </w:r>
          </w:p>
        </w:tc>
      </w:tr>
      <w:tr w:rsidR="00E072CE" w:rsidRPr="00E072CE" w14:paraId="3BD86442" w14:textId="77777777" w:rsidTr="00154930">
        <w:trPr>
          <w:trHeight w:val="613"/>
        </w:trPr>
        <w:tc>
          <w:tcPr>
            <w:tcW w:w="6771" w:type="dxa"/>
          </w:tcPr>
          <w:p w14:paraId="4DB32C1C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b/>
                <w:bCs/>
                <w:sz w:val="20"/>
                <w:szCs w:val="20"/>
                <w:lang w:bidi="ar-SA"/>
              </w:rPr>
              <w:t xml:space="preserve">I. </w:t>
            </w:r>
            <w:r w:rsidRPr="00E072CE">
              <w:rPr>
                <w:rFonts w:ascii="Arial" w:eastAsia="Times New Roman" w:hAnsi="Arial" w:cs="Arial"/>
                <w:b/>
                <w:sz w:val="20"/>
                <w:szCs w:val="20"/>
                <w:lang w:bidi="ar-SA"/>
              </w:rPr>
              <w:t xml:space="preserve">Prejem podpore za promocijo vina v tretjih državah v preteklosti </w:t>
            </w:r>
          </w:p>
          <w:p w14:paraId="6DAFFF51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sz w:val="20"/>
                <w:szCs w:val="20"/>
                <w:lang w:bidi="ar-SA"/>
              </w:rPr>
              <w:t xml:space="preserve">– nov upravičenec, ki še ni prejel podpore za promocijo </w:t>
            </w:r>
          </w:p>
          <w:p w14:paraId="13E2BBC4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sz w:val="20"/>
                <w:szCs w:val="20"/>
                <w:lang w:bidi="ar-SA"/>
              </w:rPr>
              <w:t xml:space="preserve">– upravičenec je v prejšnjih petih letih enkrat prejel podporo za promocijo ali pa je podporo prejel pred več kot petimi leti </w:t>
            </w:r>
          </w:p>
          <w:p w14:paraId="7C4A130F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sz w:val="20"/>
                <w:szCs w:val="20"/>
                <w:lang w:bidi="ar-SA"/>
              </w:rPr>
              <w:t xml:space="preserve">– upravičenec je v prejšnjih petih letih večkrat prejel podporo za promocijo </w:t>
            </w:r>
          </w:p>
        </w:tc>
        <w:tc>
          <w:tcPr>
            <w:tcW w:w="1305" w:type="dxa"/>
          </w:tcPr>
          <w:p w14:paraId="40CA23E1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25CF4B47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15</w:t>
            </w:r>
          </w:p>
          <w:p w14:paraId="1C87A2C9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12</w:t>
            </w:r>
          </w:p>
          <w:p w14:paraId="1A7CB125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3CA48DCA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10</w:t>
            </w:r>
          </w:p>
        </w:tc>
        <w:tc>
          <w:tcPr>
            <w:tcW w:w="1305" w:type="dxa"/>
          </w:tcPr>
          <w:p w14:paraId="0FE064D0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2E883EA7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15</w:t>
            </w:r>
          </w:p>
        </w:tc>
      </w:tr>
      <w:tr w:rsidR="00E072CE" w:rsidRPr="00E072CE" w14:paraId="7986DF8B" w14:textId="77777777" w:rsidTr="00154930">
        <w:trPr>
          <w:trHeight w:val="1132"/>
        </w:trPr>
        <w:tc>
          <w:tcPr>
            <w:tcW w:w="6771" w:type="dxa"/>
          </w:tcPr>
          <w:p w14:paraId="778B1EC6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b/>
                <w:bCs/>
                <w:sz w:val="20"/>
                <w:szCs w:val="20"/>
                <w:lang w:bidi="ar-SA"/>
              </w:rPr>
              <w:t xml:space="preserve">II. </w:t>
            </w:r>
            <w:r w:rsidRPr="00E072CE">
              <w:rPr>
                <w:rFonts w:ascii="Arial" w:eastAsia="Times New Roman" w:hAnsi="Arial" w:cs="Arial"/>
                <w:b/>
                <w:sz w:val="20"/>
                <w:szCs w:val="20"/>
                <w:lang w:bidi="ar-SA"/>
              </w:rPr>
              <w:t xml:space="preserve">Prejem podpore za promocijo vina na zadevnem trgu tretje države v preteklosti </w:t>
            </w:r>
          </w:p>
          <w:p w14:paraId="2F289A3A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sz w:val="20"/>
                <w:szCs w:val="20"/>
                <w:lang w:bidi="ar-SA"/>
              </w:rPr>
              <w:t xml:space="preserve">– upravičenec se osredotoča na nov trg, za katerega še ni prejel podpore za promocijo </w:t>
            </w:r>
          </w:p>
          <w:p w14:paraId="43B16622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sz w:val="20"/>
                <w:szCs w:val="20"/>
                <w:lang w:bidi="ar-SA"/>
              </w:rPr>
              <w:t xml:space="preserve">– upravičenec se osredotoča na trg, za katerega je v prejšnjih petih letih enkrat prejel podporo za promocijo ali pa je podporo prejel pred več kot petimi leti </w:t>
            </w:r>
          </w:p>
          <w:p w14:paraId="07A7EFA3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sz w:val="20"/>
                <w:szCs w:val="20"/>
                <w:lang w:bidi="ar-SA"/>
              </w:rPr>
              <w:t xml:space="preserve">– upravičenec se osredotoča na trg, za katerega je v prejšnjih petih letih večkrat prejel podporo za promocijo </w:t>
            </w:r>
          </w:p>
        </w:tc>
        <w:tc>
          <w:tcPr>
            <w:tcW w:w="1305" w:type="dxa"/>
          </w:tcPr>
          <w:p w14:paraId="50A0E60E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47A67683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581D47BF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15</w:t>
            </w:r>
          </w:p>
          <w:p w14:paraId="76564127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660E5C0B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12</w:t>
            </w:r>
          </w:p>
          <w:p w14:paraId="4FEDFAF8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77C1E84A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64F943CF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10</w:t>
            </w:r>
          </w:p>
        </w:tc>
        <w:tc>
          <w:tcPr>
            <w:tcW w:w="1305" w:type="dxa"/>
          </w:tcPr>
          <w:p w14:paraId="49AB4FD0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4C21C2D1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463BA71D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15</w:t>
            </w:r>
          </w:p>
        </w:tc>
      </w:tr>
      <w:tr w:rsidR="00E072CE" w:rsidRPr="00E072CE" w14:paraId="4CC5AD27" w14:textId="77777777" w:rsidTr="00154930">
        <w:trPr>
          <w:trHeight w:val="749"/>
        </w:trPr>
        <w:tc>
          <w:tcPr>
            <w:tcW w:w="6771" w:type="dxa"/>
          </w:tcPr>
          <w:p w14:paraId="463AD9CC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b/>
                <w:bCs/>
                <w:sz w:val="20"/>
                <w:szCs w:val="20"/>
                <w:lang w:bidi="ar-SA"/>
              </w:rPr>
              <w:t>III. Višina upravičenih stroškov</w:t>
            </w:r>
          </w:p>
          <w:p w14:paraId="5AC23C27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  <w:t>– upravičeni stroški znašajo 50.000 eurov ali več</w:t>
            </w:r>
          </w:p>
          <w:p w14:paraId="688A8439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sz w:val="20"/>
                <w:szCs w:val="20"/>
                <w:lang w:bidi="ar-SA"/>
              </w:rPr>
              <w:t>– upravičeni stroški znašajo manj kot 50.000 eurov</w:t>
            </w:r>
          </w:p>
        </w:tc>
        <w:tc>
          <w:tcPr>
            <w:tcW w:w="1305" w:type="dxa"/>
          </w:tcPr>
          <w:p w14:paraId="24FF79AB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77EB4B5E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10</w:t>
            </w:r>
          </w:p>
          <w:p w14:paraId="18B74279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5</w:t>
            </w:r>
          </w:p>
        </w:tc>
        <w:tc>
          <w:tcPr>
            <w:tcW w:w="1305" w:type="dxa"/>
          </w:tcPr>
          <w:p w14:paraId="497DD008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7AA2A5F5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10</w:t>
            </w:r>
          </w:p>
        </w:tc>
      </w:tr>
      <w:tr w:rsidR="00E072CE" w:rsidRPr="00E072CE" w14:paraId="11EFD5DB" w14:textId="77777777" w:rsidTr="00154930">
        <w:trPr>
          <w:trHeight w:val="1132"/>
        </w:trPr>
        <w:tc>
          <w:tcPr>
            <w:tcW w:w="6771" w:type="dxa"/>
          </w:tcPr>
          <w:p w14:paraId="56908277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eastAsia="en-US" w:bidi="ar-SA"/>
              </w:rPr>
              <w:t xml:space="preserve">IV. </w:t>
            </w:r>
            <w:r w:rsidRPr="00E072CE">
              <w:rPr>
                <w:rFonts w:ascii="Arial" w:eastAsiaTheme="minorHAnsi" w:hAnsi="Arial" w:cs="Arial"/>
                <w:b/>
                <w:color w:val="auto"/>
                <w:sz w:val="20"/>
                <w:szCs w:val="20"/>
                <w:lang w:eastAsia="en-US" w:bidi="ar-SA"/>
              </w:rPr>
              <w:t>Kakovost vina</w:t>
            </w:r>
          </w:p>
          <w:p w14:paraId="00E9EC25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  <w:t>– promocija se nanaša na vina z zaščiteno označbo porekla (ZOP)</w:t>
            </w:r>
          </w:p>
          <w:p w14:paraId="291503E9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  <w:t>– promocija se nanaša na vina z zaščiteno označbo porekla (ZOP) in vina z zaščiteno geografsko označbo (ZGO)</w:t>
            </w:r>
          </w:p>
          <w:p w14:paraId="2643CB87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sz w:val="20"/>
                <w:szCs w:val="20"/>
                <w:lang w:bidi="ar-SA"/>
              </w:rPr>
              <w:t xml:space="preserve">– promocija se nanaša na vina z </w:t>
            </w:r>
            <w:r w:rsidRPr="00E072CE">
              <w:rPr>
                <w:rFonts w:ascii="Arial" w:eastAsiaTheme="minorHAnsi" w:hAnsi="Arial" w:cs="Arial"/>
                <w:sz w:val="20"/>
                <w:lang w:bidi="ar-SA"/>
              </w:rPr>
              <w:t>zaščiteno geografsko označbo (</w:t>
            </w:r>
            <w:r w:rsidRPr="00E072CE">
              <w:rPr>
                <w:rFonts w:ascii="Arial" w:eastAsia="Times New Roman" w:hAnsi="Arial" w:cs="Arial"/>
                <w:sz w:val="20"/>
                <w:szCs w:val="20"/>
                <w:lang w:bidi="ar-SA"/>
              </w:rPr>
              <w:t>ZGO)</w:t>
            </w:r>
          </w:p>
        </w:tc>
        <w:tc>
          <w:tcPr>
            <w:tcW w:w="1305" w:type="dxa"/>
          </w:tcPr>
          <w:p w14:paraId="11E3BCC5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68CD8EAB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20</w:t>
            </w:r>
          </w:p>
          <w:p w14:paraId="30E7280D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15</w:t>
            </w:r>
          </w:p>
          <w:p w14:paraId="2EF84880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06021ECF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5</w:t>
            </w:r>
          </w:p>
        </w:tc>
        <w:tc>
          <w:tcPr>
            <w:tcW w:w="1305" w:type="dxa"/>
          </w:tcPr>
          <w:p w14:paraId="1A64A98B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22C8F1C5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20</w:t>
            </w:r>
          </w:p>
        </w:tc>
      </w:tr>
      <w:tr w:rsidR="00E072CE" w:rsidRPr="00E072CE" w14:paraId="255DC388" w14:textId="77777777" w:rsidTr="00154930">
        <w:trPr>
          <w:trHeight w:val="805"/>
        </w:trPr>
        <w:tc>
          <w:tcPr>
            <w:tcW w:w="6771" w:type="dxa"/>
          </w:tcPr>
          <w:p w14:paraId="38EBEA62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eastAsia="en-US" w:bidi="ar-SA"/>
              </w:rPr>
              <w:t xml:space="preserve">V. </w:t>
            </w:r>
            <w:r w:rsidRPr="00E072CE">
              <w:rPr>
                <w:rFonts w:ascii="Arial" w:eastAsiaTheme="minorHAnsi" w:hAnsi="Arial" w:cs="Arial"/>
                <w:b/>
                <w:color w:val="auto"/>
                <w:sz w:val="20"/>
                <w:szCs w:val="20"/>
                <w:lang w:eastAsia="en-US" w:bidi="ar-SA"/>
              </w:rPr>
              <w:t>Ciljna skupina</w:t>
            </w:r>
          </w:p>
          <w:p w14:paraId="4D8B7171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  <w:t>– ciljna skupina je trgovina ali gostinstvo</w:t>
            </w:r>
          </w:p>
          <w:p w14:paraId="798BCC98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  <w:t>– ciljna skupina je druga javnost</w:t>
            </w:r>
          </w:p>
        </w:tc>
        <w:tc>
          <w:tcPr>
            <w:tcW w:w="1305" w:type="dxa"/>
          </w:tcPr>
          <w:p w14:paraId="0334ED8A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20898699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10</w:t>
            </w:r>
          </w:p>
          <w:p w14:paraId="56FD6FA7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5</w:t>
            </w:r>
          </w:p>
        </w:tc>
        <w:tc>
          <w:tcPr>
            <w:tcW w:w="1305" w:type="dxa"/>
          </w:tcPr>
          <w:p w14:paraId="53B142DE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525F1963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10</w:t>
            </w:r>
          </w:p>
        </w:tc>
      </w:tr>
      <w:tr w:rsidR="00E072CE" w:rsidRPr="00E072CE" w14:paraId="635C51E8" w14:textId="77777777" w:rsidTr="00154930">
        <w:trPr>
          <w:trHeight w:val="1132"/>
        </w:trPr>
        <w:tc>
          <w:tcPr>
            <w:tcW w:w="6771" w:type="dxa"/>
          </w:tcPr>
          <w:p w14:paraId="192306B6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eastAsia="en-US" w:bidi="ar-SA"/>
              </w:rPr>
              <w:t xml:space="preserve">VI. </w:t>
            </w:r>
            <w:r w:rsidRPr="00E072CE">
              <w:rPr>
                <w:rFonts w:ascii="Arial" w:eastAsiaTheme="minorHAnsi" w:hAnsi="Arial" w:cs="Arial"/>
                <w:b/>
                <w:color w:val="auto"/>
                <w:sz w:val="20"/>
                <w:szCs w:val="20"/>
                <w:lang w:eastAsia="en-US" w:bidi="ar-SA"/>
              </w:rPr>
              <w:t>Povprečna letna pridelava vina upravičenca</w:t>
            </w:r>
          </w:p>
          <w:p w14:paraId="6FC52079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  <w:t>– pridelava nad 100.000 litrov za pridelovalca, vpisanega v register, in nad 250.000 litrov za druge upravičence</w:t>
            </w:r>
          </w:p>
          <w:p w14:paraId="787BB02C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  <w:t>– pridelava od 50.000 do 100.000 litrov za pridelovalca, vpisanega v register, in od 120.000 do 250.000 litrov za druge upravičence</w:t>
            </w:r>
          </w:p>
          <w:p w14:paraId="3C228FAE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  <w:t>– pridelava do 50.000 litrov za pridelovalca, vpisanega v register, in od 75.000 do 120.000 litrov za druge upravičence</w:t>
            </w:r>
          </w:p>
        </w:tc>
        <w:tc>
          <w:tcPr>
            <w:tcW w:w="1305" w:type="dxa"/>
          </w:tcPr>
          <w:p w14:paraId="14EEDE41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2AD12780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20</w:t>
            </w:r>
          </w:p>
          <w:p w14:paraId="34E522B5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55713EFD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15</w:t>
            </w:r>
          </w:p>
          <w:p w14:paraId="748A4374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774AA748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7</w:t>
            </w:r>
          </w:p>
          <w:p w14:paraId="060075F6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</w:tc>
        <w:tc>
          <w:tcPr>
            <w:tcW w:w="1305" w:type="dxa"/>
          </w:tcPr>
          <w:p w14:paraId="5ABA1B22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30AFCD1B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20</w:t>
            </w:r>
          </w:p>
        </w:tc>
      </w:tr>
      <w:tr w:rsidR="00E072CE" w:rsidRPr="00E072CE" w14:paraId="3E1752E9" w14:textId="77777777" w:rsidTr="00154930">
        <w:trPr>
          <w:trHeight w:val="1132"/>
        </w:trPr>
        <w:tc>
          <w:tcPr>
            <w:tcW w:w="6771" w:type="dxa"/>
          </w:tcPr>
          <w:p w14:paraId="67BF2DF6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eastAsia="en-US" w:bidi="ar-SA"/>
              </w:rPr>
              <w:t>VII. Način pridelave grozdja</w:t>
            </w:r>
          </w:p>
          <w:p w14:paraId="2C5319CC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  <w:t>– upravičenec prideluje tudi vina iz grozdja iz ekološke pridelave</w:t>
            </w:r>
          </w:p>
          <w:p w14:paraId="0B118260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  <w:t>– upravičenec prideluje tudi vina iz grozdja iz integrirane pridelave</w:t>
            </w:r>
          </w:p>
        </w:tc>
        <w:tc>
          <w:tcPr>
            <w:tcW w:w="1305" w:type="dxa"/>
          </w:tcPr>
          <w:p w14:paraId="39C3597E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164D0E98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10</w:t>
            </w:r>
          </w:p>
          <w:p w14:paraId="25358C33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5</w:t>
            </w:r>
          </w:p>
        </w:tc>
        <w:tc>
          <w:tcPr>
            <w:tcW w:w="1305" w:type="dxa"/>
          </w:tcPr>
          <w:p w14:paraId="12505619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2F03C131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10</w:t>
            </w:r>
          </w:p>
        </w:tc>
      </w:tr>
      <w:tr w:rsidR="00E072CE" w:rsidRPr="00E072CE" w14:paraId="324F729F" w14:textId="77777777" w:rsidTr="00154930">
        <w:trPr>
          <w:trHeight w:val="414"/>
        </w:trPr>
        <w:tc>
          <w:tcPr>
            <w:tcW w:w="6771" w:type="dxa"/>
            <w:vAlign w:val="center"/>
          </w:tcPr>
          <w:p w14:paraId="1FD493E1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spacing w:before="120" w:after="12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eastAsia="en-US" w:bidi="ar-SA"/>
              </w:rPr>
              <w:t>SKUPAJ:</w:t>
            </w:r>
          </w:p>
        </w:tc>
        <w:tc>
          <w:tcPr>
            <w:tcW w:w="1305" w:type="dxa"/>
            <w:vAlign w:val="center"/>
          </w:tcPr>
          <w:p w14:paraId="3939F368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</w:tc>
        <w:tc>
          <w:tcPr>
            <w:tcW w:w="1305" w:type="dxa"/>
            <w:vAlign w:val="center"/>
          </w:tcPr>
          <w:p w14:paraId="7F3BC05B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b/>
                <w:i/>
                <w:iCs/>
                <w:sz w:val="20"/>
                <w:szCs w:val="20"/>
                <w:lang w:bidi="ar-SA"/>
              </w:rPr>
              <w:t>100</w:t>
            </w:r>
          </w:p>
        </w:tc>
      </w:tr>
    </w:tbl>
    <w:p w14:paraId="2CED1880" w14:textId="77777777" w:rsidR="00C83432" w:rsidRDefault="00C83432">
      <w:pPr>
        <w:spacing w:line="600" w:lineRule="exact"/>
      </w:pPr>
    </w:p>
    <w:p w14:paraId="1ED1BF11" w14:textId="77777777" w:rsidR="00C83432" w:rsidRDefault="00410D76">
      <w:pPr>
        <w:pStyle w:val="Tablecaption0"/>
        <w:framePr w:w="9398" w:wrap="notBeside" w:vAnchor="text" w:hAnchor="text" w:xAlign="center" w:y="1"/>
        <w:shd w:val="clear" w:color="auto" w:fill="auto"/>
        <w:spacing w:line="200" w:lineRule="exact"/>
      </w:pPr>
      <w:r>
        <w:t>b) za informiranje o vinih</w:t>
      </w:r>
    </w:p>
    <w:p w14:paraId="6F9BBD79" w14:textId="77777777" w:rsidR="00C83432" w:rsidRDefault="00C83432">
      <w:pPr>
        <w:framePr w:w="9398" w:wrap="notBeside" w:vAnchor="text" w:hAnchor="text" w:xAlign="center" w:y="1"/>
        <w:rPr>
          <w:sz w:val="2"/>
          <w:szCs w:val="2"/>
        </w:rPr>
      </w:pPr>
    </w:p>
    <w:tbl>
      <w:tblPr>
        <w:tblW w:w="0" w:type="auto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71"/>
        <w:gridCol w:w="1305"/>
        <w:gridCol w:w="1305"/>
      </w:tblGrid>
      <w:tr w:rsidR="00E072CE" w:rsidRPr="00E072CE" w14:paraId="1351E094" w14:textId="77777777" w:rsidTr="00154930">
        <w:trPr>
          <w:trHeight w:val="93"/>
        </w:trPr>
        <w:tc>
          <w:tcPr>
            <w:tcW w:w="67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0C40B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</w:p>
          <w:p w14:paraId="322DA1DA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b/>
                <w:bCs/>
                <w:sz w:val="20"/>
                <w:szCs w:val="20"/>
                <w:lang w:bidi="ar-SA"/>
              </w:rPr>
              <w:t>Merilo</w:t>
            </w:r>
          </w:p>
          <w:p w14:paraId="1BA70974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227823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bidi="ar-SA"/>
              </w:rPr>
            </w:pPr>
          </w:p>
          <w:p w14:paraId="2F67BE1E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bidi="ar-SA"/>
              </w:rPr>
              <w:t xml:space="preserve">Število točk </w:t>
            </w:r>
          </w:p>
        </w:tc>
        <w:tc>
          <w:tcPr>
            <w:tcW w:w="130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551DA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bidi="ar-SA"/>
              </w:rPr>
              <w:t>Najvišje možno število točk</w:t>
            </w:r>
          </w:p>
        </w:tc>
      </w:tr>
      <w:tr w:rsidR="00E072CE" w:rsidRPr="00E072CE" w14:paraId="0D3AD4FB" w14:textId="77777777" w:rsidTr="00154930">
        <w:trPr>
          <w:trHeight w:val="671"/>
        </w:trPr>
        <w:tc>
          <w:tcPr>
            <w:tcW w:w="6771" w:type="dxa"/>
            <w:tcBorders>
              <w:top w:val="single" w:sz="4" w:space="0" w:color="auto"/>
            </w:tcBorders>
          </w:tcPr>
          <w:p w14:paraId="47215313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b/>
                <w:bCs/>
                <w:sz w:val="20"/>
                <w:szCs w:val="20"/>
                <w:lang w:bidi="ar-SA"/>
              </w:rPr>
              <w:t xml:space="preserve">I. Dejavnosti informiranja zajemajo informacije o: </w:t>
            </w:r>
          </w:p>
          <w:p w14:paraId="647CDA6A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sz w:val="20"/>
                <w:szCs w:val="20"/>
                <w:lang w:bidi="ar-SA"/>
              </w:rPr>
              <w:t xml:space="preserve">– odgovornem uživanju vina in tveganju, povezanem s škodljivim uživanjem alkohola, ter o sistemih označb porekla in kakovosti </w:t>
            </w:r>
          </w:p>
          <w:p w14:paraId="24D3FE89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sz w:val="20"/>
                <w:szCs w:val="20"/>
                <w:lang w:bidi="ar-SA"/>
              </w:rPr>
              <w:t xml:space="preserve">– sistemih označb porekla in kakovosti </w:t>
            </w:r>
          </w:p>
          <w:p w14:paraId="73D88211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sz w:val="20"/>
                <w:szCs w:val="20"/>
                <w:lang w:bidi="ar-SA"/>
              </w:rPr>
              <w:t xml:space="preserve">– odgovornem uživanju vina in tveganju, povezanem s škodljivim uživanjem alkohola </w:t>
            </w:r>
          </w:p>
        </w:tc>
        <w:tc>
          <w:tcPr>
            <w:tcW w:w="1305" w:type="dxa"/>
            <w:tcBorders>
              <w:top w:val="single" w:sz="4" w:space="0" w:color="auto"/>
            </w:tcBorders>
          </w:tcPr>
          <w:p w14:paraId="5402BE23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08451737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20</w:t>
            </w:r>
          </w:p>
          <w:p w14:paraId="5D984BEE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36A5D715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10</w:t>
            </w:r>
          </w:p>
          <w:p w14:paraId="13391081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5</w:t>
            </w:r>
          </w:p>
        </w:tc>
        <w:tc>
          <w:tcPr>
            <w:tcW w:w="1305" w:type="dxa"/>
            <w:tcBorders>
              <w:top w:val="single" w:sz="4" w:space="0" w:color="auto"/>
            </w:tcBorders>
          </w:tcPr>
          <w:p w14:paraId="0F3AF078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6327E9A2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20</w:t>
            </w:r>
          </w:p>
        </w:tc>
      </w:tr>
      <w:tr w:rsidR="00E072CE" w:rsidRPr="00E072CE" w14:paraId="30C92E5C" w14:textId="77777777" w:rsidTr="00154930">
        <w:trPr>
          <w:trHeight w:val="353"/>
        </w:trPr>
        <w:tc>
          <w:tcPr>
            <w:tcW w:w="6771" w:type="dxa"/>
          </w:tcPr>
          <w:p w14:paraId="25094E98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b/>
                <w:bCs/>
                <w:sz w:val="20"/>
                <w:szCs w:val="20"/>
                <w:lang w:bidi="ar-SA"/>
              </w:rPr>
              <w:lastRenderedPageBreak/>
              <w:t xml:space="preserve">II. Izvajanje informiranja v državah članicah </w:t>
            </w:r>
          </w:p>
          <w:p w14:paraId="7118D38A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sz w:val="20"/>
                <w:szCs w:val="20"/>
                <w:lang w:bidi="ar-SA"/>
              </w:rPr>
              <w:t xml:space="preserve">– informiranje se izvaja v več državah članicah </w:t>
            </w:r>
          </w:p>
          <w:p w14:paraId="6078496B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sz w:val="20"/>
                <w:szCs w:val="20"/>
                <w:lang w:bidi="ar-SA"/>
              </w:rPr>
              <w:t xml:space="preserve">– informiranje se izvaja le v eni državi članici </w:t>
            </w:r>
          </w:p>
        </w:tc>
        <w:tc>
          <w:tcPr>
            <w:tcW w:w="1305" w:type="dxa"/>
          </w:tcPr>
          <w:p w14:paraId="01A58A7B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46BE46C8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5</w:t>
            </w:r>
          </w:p>
          <w:p w14:paraId="0CAE460B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3</w:t>
            </w:r>
          </w:p>
        </w:tc>
        <w:tc>
          <w:tcPr>
            <w:tcW w:w="1305" w:type="dxa"/>
          </w:tcPr>
          <w:p w14:paraId="14C1DBB5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6C165BB5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5</w:t>
            </w:r>
          </w:p>
        </w:tc>
      </w:tr>
      <w:tr w:rsidR="00E072CE" w:rsidRPr="00E072CE" w14:paraId="70089A6E" w14:textId="77777777" w:rsidTr="00154930">
        <w:trPr>
          <w:trHeight w:val="613"/>
        </w:trPr>
        <w:tc>
          <w:tcPr>
            <w:tcW w:w="6771" w:type="dxa"/>
          </w:tcPr>
          <w:p w14:paraId="31043FC9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b/>
                <w:bCs/>
                <w:sz w:val="20"/>
                <w:szCs w:val="20"/>
                <w:lang w:bidi="ar-SA"/>
              </w:rPr>
              <w:t>III. I</w:t>
            </w:r>
            <w:r w:rsidRPr="00E072CE">
              <w:rPr>
                <w:rFonts w:ascii="Arial" w:eastAsia="Times New Roman" w:hAnsi="Arial" w:cs="Arial"/>
                <w:b/>
                <w:sz w:val="20"/>
                <w:szCs w:val="20"/>
                <w:lang w:bidi="ar-SA"/>
              </w:rPr>
              <w:t>nformiranje</w:t>
            </w:r>
            <w:r w:rsidRPr="00E072CE">
              <w:rPr>
                <w:rFonts w:ascii="Arial" w:eastAsia="Times New Roman" w:hAnsi="Arial" w:cs="Arial"/>
                <w:b/>
                <w:bCs/>
                <w:sz w:val="20"/>
                <w:szCs w:val="20"/>
                <w:lang w:bidi="ar-SA"/>
              </w:rPr>
              <w:t xml:space="preserve"> o vinorodnih regijah </w:t>
            </w:r>
          </w:p>
          <w:p w14:paraId="0B0FDCFC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sz w:val="20"/>
                <w:szCs w:val="20"/>
                <w:lang w:bidi="ar-SA"/>
              </w:rPr>
              <w:t xml:space="preserve">– informiranje se nanaša na vse tri vinorodne dežele </w:t>
            </w:r>
          </w:p>
          <w:p w14:paraId="7A9D76A7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sz w:val="20"/>
                <w:szCs w:val="20"/>
                <w:lang w:bidi="ar-SA"/>
              </w:rPr>
              <w:t xml:space="preserve">– informiranje se nanaša na eno ali dve vinorodni deželi </w:t>
            </w:r>
          </w:p>
          <w:p w14:paraId="05DDCCF9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sz w:val="20"/>
                <w:szCs w:val="20"/>
                <w:lang w:bidi="ar-SA"/>
              </w:rPr>
              <w:t xml:space="preserve">– informiranje se nanaša na vsaj en vinorodni okoliš </w:t>
            </w:r>
          </w:p>
        </w:tc>
        <w:tc>
          <w:tcPr>
            <w:tcW w:w="1305" w:type="dxa"/>
          </w:tcPr>
          <w:p w14:paraId="290D19F1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76A8EFD7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10</w:t>
            </w:r>
          </w:p>
          <w:p w14:paraId="4A05FB46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8</w:t>
            </w:r>
          </w:p>
          <w:p w14:paraId="6285831F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5</w:t>
            </w:r>
          </w:p>
        </w:tc>
        <w:tc>
          <w:tcPr>
            <w:tcW w:w="1305" w:type="dxa"/>
          </w:tcPr>
          <w:p w14:paraId="37041C2C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33B98AA5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10</w:t>
            </w:r>
          </w:p>
        </w:tc>
      </w:tr>
      <w:tr w:rsidR="00E072CE" w:rsidRPr="00E072CE" w14:paraId="6D2B9B22" w14:textId="77777777" w:rsidTr="00154930">
        <w:trPr>
          <w:trHeight w:val="613"/>
        </w:trPr>
        <w:tc>
          <w:tcPr>
            <w:tcW w:w="6771" w:type="dxa"/>
          </w:tcPr>
          <w:p w14:paraId="15195A89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eastAsia="en-US" w:bidi="ar-SA"/>
              </w:rPr>
              <w:t xml:space="preserve">IV. </w:t>
            </w:r>
            <w:r w:rsidRPr="00E072CE">
              <w:rPr>
                <w:rFonts w:ascii="Arial" w:eastAsiaTheme="minorHAnsi" w:hAnsi="Arial" w:cs="Arial"/>
                <w:b/>
                <w:color w:val="auto"/>
                <w:sz w:val="20"/>
                <w:szCs w:val="20"/>
                <w:lang w:eastAsia="en-US" w:bidi="ar-SA"/>
              </w:rPr>
              <w:t>Višina upravičenih stroškov</w:t>
            </w:r>
          </w:p>
          <w:p w14:paraId="08B2F4E4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  <w:t>– upravičeni stroški znašajo 20.000 eurov ali več</w:t>
            </w:r>
          </w:p>
          <w:p w14:paraId="54698E5E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  <w:t>– upravičeni stroški znašajo manj kot 20.000 eurov</w:t>
            </w:r>
          </w:p>
        </w:tc>
        <w:tc>
          <w:tcPr>
            <w:tcW w:w="1305" w:type="dxa"/>
          </w:tcPr>
          <w:p w14:paraId="7087872F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1A5A0A84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10</w:t>
            </w:r>
          </w:p>
          <w:p w14:paraId="0B5227EC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8</w:t>
            </w:r>
          </w:p>
        </w:tc>
        <w:tc>
          <w:tcPr>
            <w:tcW w:w="1305" w:type="dxa"/>
          </w:tcPr>
          <w:p w14:paraId="69D24486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429BC6EF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10</w:t>
            </w:r>
          </w:p>
        </w:tc>
      </w:tr>
      <w:tr w:rsidR="00E072CE" w:rsidRPr="00E072CE" w14:paraId="6069DCAA" w14:textId="77777777" w:rsidTr="00154930">
        <w:trPr>
          <w:trHeight w:val="613"/>
        </w:trPr>
        <w:tc>
          <w:tcPr>
            <w:tcW w:w="6771" w:type="dxa"/>
          </w:tcPr>
          <w:p w14:paraId="3CEB5F2A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eastAsia="en-US" w:bidi="ar-SA"/>
              </w:rPr>
              <w:t xml:space="preserve">V. </w:t>
            </w:r>
            <w:r w:rsidRPr="00E072CE">
              <w:rPr>
                <w:rFonts w:ascii="Arial" w:eastAsiaTheme="minorHAnsi" w:hAnsi="Arial" w:cs="Arial"/>
                <w:b/>
                <w:color w:val="auto"/>
                <w:sz w:val="20"/>
                <w:szCs w:val="20"/>
                <w:lang w:eastAsia="en-US" w:bidi="ar-SA"/>
              </w:rPr>
              <w:t>Kakovost vina</w:t>
            </w:r>
          </w:p>
          <w:p w14:paraId="2CAE92D2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  <w:t>– informiranje se nanaša na vina z zaščiteno označbo porekla (ZOP)</w:t>
            </w:r>
          </w:p>
          <w:p w14:paraId="40433D7C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  <w:t>– informiranje se nanaša na vina z zaščiteno označbo porekla (ZOP) in vina z zaščiteno geografsko označbo (ZGO)</w:t>
            </w:r>
          </w:p>
          <w:p w14:paraId="6E9A848D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  <w:t>– informiranje se nanaša na vina z zaščiteno geografsko označbo (ZGO)</w:t>
            </w:r>
          </w:p>
          <w:p w14:paraId="38DC1281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  <w:t>– informiranje se ne nanaša na vina z zaščiteno označbo porekla (ZOP) in vina z zaščiteno geografsko označbo (ZGO)</w:t>
            </w:r>
          </w:p>
        </w:tc>
        <w:tc>
          <w:tcPr>
            <w:tcW w:w="1305" w:type="dxa"/>
          </w:tcPr>
          <w:p w14:paraId="6DBEAD50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470BB6B8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20</w:t>
            </w:r>
          </w:p>
          <w:p w14:paraId="276D96F9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15</w:t>
            </w:r>
          </w:p>
          <w:p w14:paraId="3245980A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32E67959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5</w:t>
            </w:r>
          </w:p>
          <w:p w14:paraId="4ECA0A45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0</w:t>
            </w:r>
          </w:p>
        </w:tc>
        <w:tc>
          <w:tcPr>
            <w:tcW w:w="1305" w:type="dxa"/>
          </w:tcPr>
          <w:p w14:paraId="37F8E916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6312B9AC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20</w:t>
            </w:r>
          </w:p>
        </w:tc>
      </w:tr>
      <w:tr w:rsidR="00E072CE" w:rsidRPr="00E072CE" w14:paraId="63890937" w14:textId="77777777" w:rsidTr="00154930">
        <w:trPr>
          <w:trHeight w:val="613"/>
        </w:trPr>
        <w:tc>
          <w:tcPr>
            <w:tcW w:w="6771" w:type="dxa"/>
          </w:tcPr>
          <w:p w14:paraId="58435626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eastAsia="en-US" w:bidi="ar-SA"/>
              </w:rPr>
              <w:t xml:space="preserve">VI. </w:t>
            </w:r>
            <w:r w:rsidRPr="00E072CE">
              <w:rPr>
                <w:rFonts w:ascii="Arial" w:eastAsiaTheme="minorHAnsi" w:hAnsi="Arial" w:cs="Arial"/>
                <w:b/>
                <w:color w:val="auto"/>
                <w:sz w:val="20"/>
                <w:szCs w:val="20"/>
                <w:lang w:eastAsia="en-US" w:bidi="ar-SA"/>
              </w:rPr>
              <w:t>Zastopanost pridelovalcev pri upravičencu</w:t>
            </w:r>
          </w:p>
          <w:p w14:paraId="2A4CDB54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  <w:t>– upravičenec združuje več kot 30</w:t>
            </w:r>
          </w:p>
          <w:p w14:paraId="6186F217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  <w:t>pridelovalcev</w:t>
            </w:r>
          </w:p>
          <w:p w14:paraId="11024EA0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  <w:t>– upravičenec združuje od 10 do 30</w:t>
            </w:r>
          </w:p>
          <w:p w14:paraId="208F03AE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  <w:t>pridelovalcev</w:t>
            </w:r>
          </w:p>
          <w:p w14:paraId="298CDC7D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  <w:t>– upravičenec združuje manj kot 10</w:t>
            </w:r>
          </w:p>
          <w:p w14:paraId="1BF37CAE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  <w:t>pridelovalcev</w:t>
            </w:r>
          </w:p>
        </w:tc>
        <w:tc>
          <w:tcPr>
            <w:tcW w:w="1305" w:type="dxa"/>
          </w:tcPr>
          <w:p w14:paraId="6702EDCF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766A0CCA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15</w:t>
            </w:r>
          </w:p>
          <w:p w14:paraId="5D79A57B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1ECE4284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12</w:t>
            </w:r>
          </w:p>
          <w:p w14:paraId="69DA8BD5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003347F8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10</w:t>
            </w:r>
          </w:p>
        </w:tc>
        <w:tc>
          <w:tcPr>
            <w:tcW w:w="1305" w:type="dxa"/>
          </w:tcPr>
          <w:p w14:paraId="4A5CA38D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5EFB2360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15</w:t>
            </w:r>
          </w:p>
        </w:tc>
      </w:tr>
      <w:tr w:rsidR="00E072CE" w:rsidRPr="00E072CE" w14:paraId="6EEE9C2A" w14:textId="77777777" w:rsidTr="00154930">
        <w:trPr>
          <w:trHeight w:val="613"/>
        </w:trPr>
        <w:tc>
          <w:tcPr>
            <w:tcW w:w="6771" w:type="dxa"/>
          </w:tcPr>
          <w:p w14:paraId="1B33800A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b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eastAsia="en-US" w:bidi="ar-SA"/>
              </w:rPr>
              <w:t xml:space="preserve">VII. </w:t>
            </w:r>
            <w:r w:rsidRPr="00E072CE">
              <w:rPr>
                <w:rFonts w:ascii="Arial" w:eastAsiaTheme="minorHAnsi" w:hAnsi="Arial" w:cs="Arial"/>
                <w:b/>
                <w:color w:val="auto"/>
                <w:sz w:val="20"/>
                <w:szCs w:val="20"/>
                <w:lang w:eastAsia="en-US" w:bidi="ar-SA"/>
              </w:rPr>
              <w:t>Ciljna skupina</w:t>
            </w:r>
          </w:p>
          <w:p w14:paraId="21C3B92E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  <w:t>– ciljna skupina so ciljno usmerjeni potrošniki, ki so udeleženci z vinom</w:t>
            </w:r>
          </w:p>
          <w:p w14:paraId="6CA3E05E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  <w:t>povezanih dogodkov</w:t>
            </w:r>
          </w:p>
          <w:p w14:paraId="65E35B00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  <w:t>– ciljna skupina so naključni potrošniki</w:t>
            </w:r>
          </w:p>
        </w:tc>
        <w:tc>
          <w:tcPr>
            <w:tcW w:w="1305" w:type="dxa"/>
          </w:tcPr>
          <w:p w14:paraId="5E26FBB8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1893B131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10</w:t>
            </w:r>
          </w:p>
          <w:p w14:paraId="75015520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4F2BB2E5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5</w:t>
            </w:r>
          </w:p>
        </w:tc>
        <w:tc>
          <w:tcPr>
            <w:tcW w:w="1305" w:type="dxa"/>
          </w:tcPr>
          <w:p w14:paraId="5A7AE836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382B4479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10</w:t>
            </w:r>
          </w:p>
        </w:tc>
      </w:tr>
      <w:tr w:rsidR="00E072CE" w:rsidRPr="00E072CE" w14:paraId="076620F3" w14:textId="77777777" w:rsidTr="00154930">
        <w:trPr>
          <w:trHeight w:val="613"/>
        </w:trPr>
        <w:tc>
          <w:tcPr>
            <w:tcW w:w="6771" w:type="dxa"/>
          </w:tcPr>
          <w:p w14:paraId="52E9D8AA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eastAsia="en-US" w:bidi="ar-SA"/>
              </w:rPr>
              <w:t>VIII. Način pridelave grozdja</w:t>
            </w:r>
          </w:p>
          <w:p w14:paraId="7029D0B0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  <w:t>– upravičenec združuje pridelovalce, ki pridelujejo vina tudi iz grozdja iz ekološke pridelave</w:t>
            </w:r>
          </w:p>
          <w:p w14:paraId="0F37F577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both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Theme="minorHAnsi" w:hAnsi="Arial" w:cs="Arial"/>
                <w:color w:val="auto"/>
                <w:sz w:val="20"/>
                <w:szCs w:val="20"/>
                <w:lang w:eastAsia="en-US" w:bidi="ar-SA"/>
              </w:rPr>
              <w:t>– upravičenec združuje pridelovalce, ki pridelujejo vina tudi iz grozdja iz integrirane pridelave</w:t>
            </w:r>
          </w:p>
        </w:tc>
        <w:tc>
          <w:tcPr>
            <w:tcW w:w="1305" w:type="dxa"/>
          </w:tcPr>
          <w:p w14:paraId="70D07DB7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0973CB1F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10</w:t>
            </w:r>
          </w:p>
          <w:p w14:paraId="3A441EA2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6257F36F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5</w:t>
            </w:r>
          </w:p>
        </w:tc>
        <w:tc>
          <w:tcPr>
            <w:tcW w:w="1305" w:type="dxa"/>
          </w:tcPr>
          <w:p w14:paraId="6322C735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  <w:p w14:paraId="48412CF2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  <w:t>10</w:t>
            </w:r>
          </w:p>
        </w:tc>
      </w:tr>
      <w:tr w:rsidR="00E072CE" w:rsidRPr="00E072CE" w14:paraId="6BFF9F8E" w14:textId="77777777" w:rsidTr="00154930">
        <w:trPr>
          <w:trHeight w:val="613"/>
        </w:trPr>
        <w:tc>
          <w:tcPr>
            <w:tcW w:w="6771" w:type="dxa"/>
            <w:vAlign w:val="center"/>
          </w:tcPr>
          <w:p w14:paraId="740AC65E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eastAsia="en-US" w:bidi="ar-SA"/>
              </w:rPr>
            </w:pPr>
            <w:r w:rsidRPr="00E072C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eastAsia="en-US" w:bidi="ar-SA"/>
              </w:rPr>
              <w:t>SKUPAJ:</w:t>
            </w:r>
          </w:p>
        </w:tc>
        <w:tc>
          <w:tcPr>
            <w:tcW w:w="1305" w:type="dxa"/>
            <w:vAlign w:val="center"/>
          </w:tcPr>
          <w:p w14:paraId="5C68F7E9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bidi="ar-SA"/>
              </w:rPr>
            </w:pPr>
          </w:p>
        </w:tc>
        <w:tc>
          <w:tcPr>
            <w:tcW w:w="1305" w:type="dxa"/>
            <w:vAlign w:val="center"/>
          </w:tcPr>
          <w:p w14:paraId="41FB97E9" w14:textId="77777777" w:rsidR="00E072CE" w:rsidRPr="00E072CE" w:rsidRDefault="00E072CE" w:rsidP="00E072CE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i/>
                <w:iCs/>
                <w:sz w:val="20"/>
                <w:szCs w:val="20"/>
                <w:lang w:bidi="ar-SA"/>
              </w:rPr>
            </w:pPr>
            <w:r w:rsidRPr="00E072CE">
              <w:rPr>
                <w:rFonts w:ascii="Arial" w:eastAsia="Times New Roman" w:hAnsi="Arial" w:cs="Arial"/>
                <w:b/>
                <w:i/>
                <w:iCs/>
                <w:sz w:val="20"/>
                <w:szCs w:val="20"/>
                <w:lang w:bidi="ar-SA"/>
              </w:rPr>
              <w:t>100</w:t>
            </w:r>
          </w:p>
        </w:tc>
      </w:tr>
    </w:tbl>
    <w:p w14:paraId="48990997" w14:textId="77777777" w:rsidR="005E7652" w:rsidRDefault="005E7652">
      <w:pPr>
        <w:rPr>
          <w:sz w:val="2"/>
          <w:szCs w:val="2"/>
        </w:rPr>
      </w:pPr>
    </w:p>
    <w:sectPr w:rsidR="005E7652">
      <w:pgSz w:w="11900" w:h="16840"/>
      <w:pgMar w:top="914" w:right="1248" w:bottom="1576" w:left="1253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82D2C0" w14:textId="77777777" w:rsidR="0027253E" w:rsidRDefault="00410D76">
      <w:r>
        <w:separator/>
      </w:r>
    </w:p>
  </w:endnote>
  <w:endnote w:type="continuationSeparator" w:id="0">
    <w:p w14:paraId="1538A791" w14:textId="77777777" w:rsidR="0027253E" w:rsidRDefault="00410D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1BB33" w14:textId="77777777" w:rsidR="00C83432" w:rsidRDefault="00C83432"/>
  </w:footnote>
  <w:footnote w:type="continuationSeparator" w:id="0">
    <w:p w14:paraId="6797A831" w14:textId="77777777" w:rsidR="00C83432" w:rsidRDefault="00C83432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3432"/>
    <w:rsid w:val="0016434D"/>
    <w:rsid w:val="0027253E"/>
    <w:rsid w:val="00410D76"/>
    <w:rsid w:val="00591DDF"/>
    <w:rsid w:val="005E7652"/>
    <w:rsid w:val="00C83432"/>
    <w:rsid w:val="00E07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97B166"/>
  <w15:docId w15:val="{87745914-E57B-4932-BA03-2185BACD24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l-SI" w:eastAsia="sl-SI" w:bidi="sl-SI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Pr>
      <w:color w:val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rPr>
      <w:color w:val="0066CC"/>
      <w:u w:val="single"/>
    </w:rPr>
  </w:style>
  <w:style w:type="character" w:customStyle="1" w:styleId="Bodytext2">
    <w:name w:val="Body text (2)_"/>
    <w:basedOn w:val="Privzetapisavaodstavka"/>
    <w:link w:val="Bodytext20"/>
    <w:rPr>
      <w:rFonts w:ascii="Arial" w:eastAsia="Arial" w:hAnsi="Arial" w:cs="Arial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Tablecaption">
    <w:name w:val="Table caption_"/>
    <w:basedOn w:val="Privzetapisavaodstavka"/>
    <w:link w:val="Tablecaption0"/>
    <w:rPr>
      <w:rFonts w:ascii="Arial" w:eastAsia="Arial" w:hAnsi="Arial" w:cs="Arial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Bodytext21">
    <w:name w:val="Body text (2)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l-SI" w:eastAsia="sl-SI" w:bidi="sl-SI"/>
    </w:rPr>
  </w:style>
  <w:style w:type="character" w:customStyle="1" w:styleId="Bodytext2Italic">
    <w:name w:val="Body text (2) + Italic"/>
    <w:basedOn w:val="Bodytext2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l-SI" w:eastAsia="sl-SI" w:bidi="sl-SI"/>
    </w:rPr>
  </w:style>
  <w:style w:type="character" w:customStyle="1" w:styleId="Bodytext29ptNotBold">
    <w:name w:val="Body text (2) + 9 pt;Not 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l-SI" w:eastAsia="sl-SI" w:bidi="sl-SI"/>
    </w:rPr>
  </w:style>
  <w:style w:type="character" w:customStyle="1" w:styleId="Bodytext29ptNotBoldItalic">
    <w:name w:val="Body text (2) + 9 pt;Not Bold;Italic"/>
    <w:basedOn w:val="Bodytext2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sl-SI" w:eastAsia="sl-SI" w:bidi="sl-SI"/>
    </w:rPr>
  </w:style>
  <w:style w:type="paragraph" w:customStyle="1" w:styleId="Bodytext20">
    <w:name w:val="Body text (2)"/>
    <w:basedOn w:val="Navaden"/>
    <w:link w:val="Bodytext2"/>
    <w:pPr>
      <w:shd w:val="clear" w:color="auto" w:fill="FFFFFF"/>
      <w:spacing w:after="420" w:line="0" w:lineRule="atLeast"/>
    </w:pPr>
    <w:rPr>
      <w:rFonts w:ascii="Arial" w:eastAsia="Arial" w:hAnsi="Arial" w:cs="Arial"/>
      <w:b/>
      <w:bCs/>
      <w:sz w:val="20"/>
      <w:szCs w:val="20"/>
    </w:rPr>
  </w:style>
  <w:style w:type="paragraph" w:customStyle="1" w:styleId="Tablecaption0">
    <w:name w:val="Table caption"/>
    <w:basedOn w:val="Navaden"/>
    <w:link w:val="Tablecaption"/>
    <w:pPr>
      <w:shd w:val="clear" w:color="auto" w:fill="FFFFFF"/>
      <w:spacing w:line="0" w:lineRule="atLeast"/>
    </w:pPr>
    <w:rPr>
      <w:rFonts w:ascii="Arial" w:eastAsia="Arial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600</Words>
  <Characters>3420</Characters>
  <Application>Microsoft Office Word</Application>
  <DocSecurity>0</DocSecurity>
  <Lines>28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Pia Mihelj</dc:creator>
  <cp:lastModifiedBy>PG</cp:lastModifiedBy>
  <cp:revision>2</cp:revision>
  <dcterms:created xsi:type="dcterms:W3CDTF">2024-08-20T12:18:00Z</dcterms:created>
  <dcterms:modified xsi:type="dcterms:W3CDTF">2024-08-20T12:18:00Z</dcterms:modified>
</cp:coreProperties>
</file>