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FDD5B" w14:textId="77777777" w:rsidR="00B57491" w:rsidRPr="00B57491" w:rsidRDefault="00B57491" w:rsidP="00B57491">
      <w:pPr>
        <w:rPr>
          <w:rFonts w:ascii="Arial" w:eastAsia="Calibri" w:hAnsi="Arial" w:cs="Arial"/>
          <w:b/>
        </w:rPr>
      </w:pPr>
      <w:r w:rsidRPr="00B57491">
        <w:rPr>
          <w:rFonts w:ascii="Arial" w:eastAsia="Calibri" w:hAnsi="Arial" w:cs="Arial"/>
          <w:b/>
        </w:rPr>
        <w:t>PREDLOG</w:t>
      </w:r>
    </w:p>
    <w:p w14:paraId="0DEBC468" w14:textId="6BABA302" w:rsidR="00B57491" w:rsidRPr="00B57491" w:rsidRDefault="00B57491" w:rsidP="00B57491">
      <w:pPr>
        <w:rPr>
          <w:rFonts w:ascii="Arial" w:eastAsia="Calibri" w:hAnsi="Arial" w:cs="Arial"/>
        </w:rPr>
      </w:pPr>
      <w:r w:rsidRPr="00B57491">
        <w:rPr>
          <w:rFonts w:ascii="Arial" w:eastAsia="Calibri" w:hAnsi="Arial" w:cs="Arial"/>
        </w:rPr>
        <w:t>Na podlagi drugega odstavka 35. člena Zakona o infrastrukturi za alternativna goriva in spodbujanju prehoda na alternativna goriva v prometu (Uradni list RS, št</w:t>
      </w:r>
      <w:r w:rsidR="00AE2919">
        <w:rPr>
          <w:rFonts w:ascii="Arial" w:eastAsia="Calibri" w:hAnsi="Arial" w:cs="Arial"/>
        </w:rPr>
        <w:t>. 62/23</w:t>
      </w:r>
      <w:r w:rsidRPr="00B57491">
        <w:rPr>
          <w:rFonts w:ascii="Arial" w:eastAsia="Calibri" w:hAnsi="Arial" w:cs="Arial"/>
        </w:rPr>
        <w:t>) minister za prometno politiko, izdaja</w:t>
      </w:r>
    </w:p>
    <w:p w14:paraId="28DA73D1" w14:textId="77777777" w:rsidR="00B57491" w:rsidRDefault="00B57491" w:rsidP="00B57491">
      <w:pPr>
        <w:rPr>
          <w:rFonts w:ascii="Arial" w:eastAsia="Calibri" w:hAnsi="Arial" w:cs="Arial"/>
          <w:b/>
        </w:rPr>
      </w:pPr>
    </w:p>
    <w:p w14:paraId="16700540" w14:textId="77777777" w:rsidR="00984DA8" w:rsidRPr="00B57491" w:rsidRDefault="00984DA8" w:rsidP="00B57491">
      <w:pPr>
        <w:rPr>
          <w:rFonts w:ascii="Arial" w:eastAsia="Calibri" w:hAnsi="Arial" w:cs="Arial"/>
          <w:b/>
        </w:rPr>
      </w:pPr>
    </w:p>
    <w:p w14:paraId="5F99EEF1" w14:textId="77777777" w:rsidR="00B57491" w:rsidRPr="00B57491" w:rsidRDefault="00B57491" w:rsidP="00B57491">
      <w:pPr>
        <w:jc w:val="center"/>
        <w:rPr>
          <w:rFonts w:ascii="Arial" w:eastAsia="Calibri" w:hAnsi="Arial" w:cs="Arial"/>
          <w:b/>
        </w:rPr>
      </w:pPr>
    </w:p>
    <w:p w14:paraId="2F708179" w14:textId="77777777" w:rsidR="00B57491" w:rsidRPr="00B57491" w:rsidRDefault="00B57491" w:rsidP="00B57491">
      <w:pPr>
        <w:jc w:val="center"/>
        <w:rPr>
          <w:rFonts w:ascii="Arial" w:eastAsia="Calibri" w:hAnsi="Arial" w:cs="Arial"/>
          <w:b/>
        </w:rPr>
      </w:pPr>
      <w:r w:rsidRPr="00B57491">
        <w:rPr>
          <w:rFonts w:ascii="Arial" w:eastAsia="Calibri" w:hAnsi="Arial" w:cs="Arial"/>
          <w:b/>
        </w:rPr>
        <w:t>PRAVILNIK O METODOLOGIJI ZA IZRAČUN OKVIRNIH STROŠKOV GORIV OSEBNIH AVTOMOBILOV NA 100 KM TER NAČINU PRIKAZOVANJA IN POSODABLJANJA INFORMACIJ NA BENCINSKIH SERVISIH</w:t>
      </w:r>
    </w:p>
    <w:p w14:paraId="0A23C458" w14:textId="77777777" w:rsidR="00B57491" w:rsidRDefault="00B57491" w:rsidP="00B57491">
      <w:pPr>
        <w:jc w:val="center"/>
        <w:rPr>
          <w:rFonts w:ascii="Arial" w:eastAsia="Calibri" w:hAnsi="Arial" w:cs="Arial"/>
        </w:rPr>
      </w:pPr>
    </w:p>
    <w:p w14:paraId="2818AB9B" w14:textId="77777777" w:rsidR="00984DA8" w:rsidRPr="00B57491" w:rsidRDefault="00984DA8" w:rsidP="00B57491">
      <w:pPr>
        <w:jc w:val="center"/>
        <w:rPr>
          <w:rFonts w:ascii="Arial" w:eastAsia="Calibri" w:hAnsi="Arial" w:cs="Arial"/>
        </w:rPr>
      </w:pPr>
    </w:p>
    <w:p w14:paraId="19301F17" w14:textId="77777777" w:rsidR="00B57491" w:rsidRPr="00B57491" w:rsidRDefault="00B57491" w:rsidP="00B57491">
      <w:pPr>
        <w:spacing w:after="0" w:line="240" w:lineRule="auto"/>
        <w:jc w:val="center"/>
        <w:rPr>
          <w:rFonts w:ascii="Arial" w:eastAsia="Calibri" w:hAnsi="Arial" w:cs="Arial"/>
        </w:rPr>
      </w:pPr>
      <w:r w:rsidRPr="00B57491">
        <w:rPr>
          <w:rFonts w:ascii="Arial" w:eastAsia="Calibri" w:hAnsi="Arial" w:cs="Arial"/>
        </w:rPr>
        <w:t>1. člen</w:t>
      </w:r>
    </w:p>
    <w:p w14:paraId="662574E5" w14:textId="77777777" w:rsidR="00B57491" w:rsidRPr="00B57491" w:rsidRDefault="00B57491" w:rsidP="00B57491">
      <w:pPr>
        <w:spacing w:after="0" w:line="240" w:lineRule="auto"/>
        <w:jc w:val="center"/>
        <w:rPr>
          <w:rFonts w:ascii="Arial" w:eastAsia="Calibri" w:hAnsi="Arial" w:cs="Arial"/>
        </w:rPr>
      </w:pPr>
      <w:r w:rsidRPr="00B57491">
        <w:rPr>
          <w:rFonts w:ascii="Arial" w:eastAsia="Calibri" w:hAnsi="Arial" w:cs="Arial"/>
        </w:rPr>
        <w:t>(vsebina)</w:t>
      </w:r>
    </w:p>
    <w:p w14:paraId="4602503B" w14:textId="77777777" w:rsidR="00B57491" w:rsidRPr="00B57491" w:rsidRDefault="00B57491" w:rsidP="00B57491">
      <w:pPr>
        <w:spacing w:after="0" w:line="240" w:lineRule="auto"/>
        <w:jc w:val="center"/>
        <w:rPr>
          <w:rFonts w:ascii="Arial" w:eastAsia="Calibri" w:hAnsi="Arial" w:cs="Arial"/>
        </w:rPr>
      </w:pPr>
    </w:p>
    <w:p w14:paraId="00C45C42" w14:textId="27503749" w:rsidR="00AE2919" w:rsidRDefault="00B57491" w:rsidP="00EE40E2">
      <w:pPr>
        <w:jc w:val="both"/>
        <w:rPr>
          <w:rFonts w:ascii="Arial" w:eastAsia="Calibri" w:hAnsi="Arial" w:cs="Arial"/>
        </w:rPr>
      </w:pPr>
      <w:r w:rsidRPr="00B57491">
        <w:rPr>
          <w:rFonts w:ascii="Arial" w:eastAsia="Calibri" w:hAnsi="Arial" w:cs="Arial"/>
        </w:rPr>
        <w:t>Ta pravilnik določa metodologijo za izračun okvirnih stroškov goriv na 100 km za izbrane vzorce osebnih avtomobilov v skladu z Izvedbeno uredbo Komisije (EU) 2018/732 o skupni metodologiji za primerjave med cenami na enoto alternativnih goriv v skladu z Direktivo 2014/94/EU Evropskega parlamenta in Sveta (UL L 123 z dne 18. 5. 2018)</w:t>
      </w:r>
      <w:r w:rsidR="00392E20">
        <w:rPr>
          <w:rFonts w:ascii="Arial" w:eastAsia="Calibri" w:hAnsi="Arial" w:cs="Arial"/>
        </w:rPr>
        <w:t>,</w:t>
      </w:r>
      <w:r w:rsidR="00E31292">
        <w:rPr>
          <w:rFonts w:ascii="Arial" w:eastAsia="Calibri" w:hAnsi="Arial" w:cs="Arial"/>
        </w:rPr>
        <w:t xml:space="preserve"> (v nadaljnjem besedilu: </w:t>
      </w:r>
      <w:r w:rsidR="00866C85">
        <w:rPr>
          <w:rFonts w:ascii="Arial" w:eastAsia="Calibri" w:hAnsi="Arial" w:cs="Arial"/>
        </w:rPr>
        <w:t xml:space="preserve">Uredba </w:t>
      </w:r>
      <w:r w:rsidR="00866C85" w:rsidRPr="00866C85">
        <w:rPr>
          <w:rFonts w:ascii="Arial" w:eastAsia="Calibri" w:hAnsi="Arial" w:cs="Arial"/>
        </w:rPr>
        <w:t>2018/732</w:t>
      </w:r>
      <w:r w:rsidR="00866C85">
        <w:rPr>
          <w:rFonts w:ascii="Arial" w:eastAsia="Calibri" w:hAnsi="Arial" w:cs="Arial"/>
        </w:rPr>
        <w:t>/EU)</w:t>
      </w:r>
      <w:r w:rsidR="00866C85" w:rsidRPr="00866C85">
        <w:rPr>
          <w:rFonts w:ascii="Arial" w:eastAsia="Calibri" w:hAnsi="Arial" w:cs="Arial"/>
        </w:rPr>
        <w:t xml:space="preserve"> </w:t>
      </w:r>
      <w:r w:rsidR="00866C85">
        <w:rPr>
          <w:rFonts w:ascii="Arial" w:eastAsia="Calibri" w:hAnsi="Arial" w:cs="Arial"/>
        </w:rPr>
        <w:t xml:space="preserve"> </w:t>
      </w:r>
      <w:r w:rsidR="00857D91">
        <w:rPr>
          <w:rFonts w:ascii="Arial" w:eastAsia="Calibri" w:hAnsi="Arial" w:cs="Arial"/>
        </w:rPr>
        <w:t xml:space="preserve"> </w:t>
      </w:r>
      <w:r w:rsidR="00392E20" w:rsidRPr="002A5F51">
        <w:rPr>
          <w:rFonts w:ascii="Arial" w:eastAsia="Calibri" w:hAnsi="Arial" w:cs="Arial"/>
        </w:rPr>
        <w:t xml:space="preserve">katero je nasledila </w:t>
      </w:r>
      <w:r w:rsidR="00EE40E2">
        <w:rPr>
          <w:rFonts w:ascii="Arial" w:eastAsia="Calibri" w:hAnsi="Arial" w:cs="Arial"/>
        </w:rPr>
        <w:t>U</w:t>
      </w:r>
      <w:r w:rsidR="00EE40E2" w:rsidRPr="00EE40E2">
        <w:rPr>
          <w:rFonts w:ascii="Arial" w:eastAsia="Calibri" w:hAnsi="Arial" w:cs="Arial"/>
        </w:rPr>
        <w:t>redb</w:t>
      </w:r>
      <w:r w:rsidR="00866C85">
        <w:rPr>
          <w:rFonts w:ascii="Arial" w:eastAsia="Calibri" w:hAnsi="Arial" w:cs="Arial"/>
        </w:rPr>
        <w:t>a</w:t>
      </w:r>
      <w:r w:rsidR="00EE40E2" w:rsidRPr="00EE40E2">
        <w:rPr>
          <w:rFonts w:ascii="Arial" w:eastAsia="Calibri" w:hAnsi="Arial" w:cs="Arial"/>
        </w:rPr>
        <w:t xml:space="preserve"> (EU) 2023/1804 evropskega parlamenta in sveta</w:t>
      </w:r>
      <w:r w:rsidR="00EE40E2">
        <w:rPr>
          <w:rFonts w:ascii="Arial" w:eastAsia="Calibri" w:hAnsi="Arial" w:cs="Arial"/>
        </w:rPr>
        <w:t xml:space="preserve"> </w:t>
      </w:r>
      <w:r w:rsidR="00EE40E2" w:rsidRPr="00EE40E2">
        <w:rPr>
          <w:rFonts w:ascii="Arial" w:eastAsia="Calibri" w:hAnsi="Arial" w:cs="Arial"/>
        </w:rPr>
        <w:t>z dne 13. septembra 2023</w:t>
      </w:r>
      <w:r w:rsidR="00EE40E2">
        <w:rPr>
          <w:rFonts w:ascii="Arial" w:eastAsia="Calibri" w:hAnsi="Arial" w:cs="Arial"/>
        </w:rPr>
        <w:t xml:space="preserve"> </w:t>
      </w:r>
      <w:r w:rsidR="00EE40E2" w:rsidRPr="00EE40E2">
        <w:rPr>
          <w:rFonts w:ascii="Arial" w:eastAsia="Calibri" w:hAnsi="Arial" w:cs="Arial"/>
        </w:rPr>
        <w:t>o vzpostavitvi infrastrukture za alternativna goriva ter razveljavitvi Direktive 2014/94/EU</w:t>
      </w:r>
      <w:r w:rsidR="00EE40E2">
        <w:rPr>
          <w:rFonts w:ascii="Arial" w:eastAsia="Calibri" w:hAnsi="Arial" w:cs="Arial"/>
        </w:rPr>
        <w:t xml:space="preserve"> (</w:t>
      </w:r>
      <w:r w:rsidR="00421343">
        <w:rPr>
          <w:rFonts w:ascii="Arial" w:eastAsia="Calibri" w:hAnsi="Arial" w:cs="Arial"/>
        </w:rPr>
        <w:t>UL L št. 234 z dne 22.9.2023, stran 1)</w:t>
      </w:r>
      <w:r w:rsidRPr="002A5F51">
        <w:rPr>
          <w:rFonts w:ascii="Arial" w:eastAsia="Calibri" w:hAnsi="Arial" w:cs="Arial"/>
        </w:rPr>
        <w:t>,</w:t>
      </w:r>
      <w:r w:rsidRPr="00B57491">
        <w:rPr>
          <w:rFonts w:ascii="Arial" w:eastAsia="Calibri" w:hAnsi="Arial" w:cs="Arial"/>
        </w:rPr>
        <w:t xml:space="preserve"> ter podrobneje določi način prikazovanja in posodabljanja informacij o primerjavi stroškov goriv na 100 km na bencinskih servisih</w:t>
      </w:r>
      <w:r w:rsidR="00462A89">
        <w:rPr>
          <w:rFonts w:ascii="Arial" w:eastAsia="Calibri" w:hAnsi="Arial" w:cs="Arial"/>
        </w:rPr>
        <w:t>.</w:t>
      </w:r>
    </w:p>
    <w:p w14:paraId="61CCB582" w14:textId="2315C064" w:rsidR="00B57491" w:rsidRDefault="00B57491" w:rsidP="00B57491">
      <w:pPr>
        <w:jc w:val="both"/>
        <w:rPr>
          <w:rFonts w:ascii="Arial" w:eastAsia="Calibri" w:hAnsi="Arial" w:cs="Arial"/>
        </w:rPr>
      </w:pPr>
    </w:p>
    <w:p w14:paraId="1FD21F68" w14:textId="77777777" w:rsidR="00AE2919" w:rsidRPr="002A5F51" w:rsidRDefault="00AE2919" w:rsidP="00AE2919">
      <w:pPr>
        <w:spacing w:after="0" w:line="240" w:lineRule="auto"/>
        <w:jc w:val="center"/>
        <w:rPr>
          <w:rFonts w:ascii="Arial" w:eastAsia="Calibri" w:hAnsi="Arial" w:cs="Arial"/>
        </w:rPr>
      </w:pPr>
      <w:r w:rsidRPr="002A5F51">
        <w:rPr>
          <w:rFonts w:ascii="Arial" w:eastAsia="Calibri" w:hAnsi="Arial" w:cs="Arial"/>
        </w:rPr>
        <w:t>2. člen</w:t>
      </w:r>
    </w:p>
    <w:p w14:paraId="5B0B8D4E" w14:textId="1BCAAFCD" w:rsidR="00AE2919" w:rsidRPr="002A5F51" w:rsidRDefault="00AE2919" w:rsidP="00AE2919">
      <w:pPr>
        <w:spacing w:after="0" w:line="240" w:lineRule="auto"/>
        <w:jc w:val="center"/>
        <w:rPr>
          <w:rFonts w:ascii="Arial" w:eastAsia="Calibri" w:hAnsi="Arial" w:cs="Arial"/>
        </w:rPr>
      </w:pPr>
      <w:r w:rsidRPr="002A5F51">
        <w:rPr>
          <w:rFonts w:ascii="Arial" w:eastAsia="Calibri" w:hAnsi="Arial" w:cs="Arial"/>
        </w:rPr>
        <w:t>(izraz</w:t>
      </w:r>
      <w:r w:rsidR="00DE6B4D" w:rsidRPr="002A5F51">
        <w:rPr>
          <w:rFonts w:ascii="Arial" w:eastAsia="Calibri" w:hAnsi="Arial" w:cs="Arial"/>
        </w:rPr>
        <w:t>i</w:t>
      </w:r>
      <w:r w:rsidRPr="002A5F51">
        <w:rPr>
          <w:rFonts w:ascii="Arial" w:eastAsia="Calibri" w:hAnsi="Arial" w:cs="Arial"/>
        </w:rPr>
        <w:t>)</w:t>
      </w:r>
    </w:p>
    <w:p w14:paraId="6538CFD6" w14:textId="77777777" w:rsidR="00AE2919" w:rsidRPr="00AE2919" w:rsidRDefault="00AE2919" w:rsidP="00AE2919">
      <w:pPr>
        <w:rPr>
          <w:rFonts w:ascii="Arial" w:eastAsia="Calibri" w:hAnsi="Arial" w:cs="Arial"/>
          <w:highlight w:val="cyan"/>
        </w:rPr>
      </w:pPr>
    </w:p>
    <w:p w14:paraId="4F8A312A" w14:textId="6118BA28" w:rsidR="00AE2919" w:rsidRPr="00CD7667" w:rsidRDefault="00AE2919" w:rsidP="00AE2919">
      <w:pPr>
        <w:jc w:val="both"/>
        <w:rPr>
          <w:rFonts w:ascii="Arial" w:eastAsia="Calibri" w:hAnsi="Arial" w:cs="Arial"/>
        </w:rPr>
      </w:pPr>
      <w:r w:rsidRPr="00CD7667">
        <w:rPr>
          <w:rFonts w:ascii="Arial" w:eastAsia="Calibri" w:hAnsi="Arial" w:cs="Arial"/>
        </w:rPr>
        <w:t xml:space="preserve">(1) Izrazi, uporabljeni v tem </w:t>
      </w:r>
      <w:r w:rsidR="00DE6B4D" w:rsidRPr="00CD7667">
        <w:rPr>
          <w:rFonts w:ascii="Arial" w:eastAsia="Calibri" w:hAnsi="Arial" w:cs="Arial"/>
        </w:rPr>
        <w:t>pravilniku</w:t>
      </w:r>
      <w:r w:rsidRPr="00CD7667">
        <w:rPr>
          <w:rFonts w:ascii="Arial" w:eastAsia="Calibri" w:hAnsi="Arial" w:cs="Arial"/>
        </w:rPr>
        <w:t>, pomenijo:</w:t>
      </w:r>
    </w:p>
    <w:p w14:paraId="038CEBBB" w14:textId="74B3591E" w:rsidR="00AE2919" w:rsidRPr="002A5F51" w:rsidRDefault="0065322F" w:rsidP="00E31292">
      <w:pPr>
        <w:pStyle w:val="Odstavekseznama"/>
        <w:numPr>
          <w:ilvl w:val="0"/>
          <w:numId w:val="37"/>
        </w:numPr>
        <w:jc w:val="both"/>
        <w:rPr>
          <w:rFonts w:ascii="Arial" w:eastAsia="Calibri" w:hAnsi="Arial" w:cs="Arial"/>
        </w:rPr>
      </w:pPr>
      <w:r w:rsidRPr="00CD7667">
        <w:rPr>
          <w:rFonts w:ascii="Arial" w:eastAsia="Calibri" w:hAnsi="Arial" w:cs="Arial"/>
        </w:rPr>
        <w:t>»</w:t>
      </w:r>
      <w:r w:rsidR="00AE2919" w:rsidRPr="00CD7667">
        <w:rPr>
          <w:rFonts w:ascii="Arial" w:eastAsia="Calibri" w:hAnsi="Arial" w:cs="Arial"/>
        </w:rPr>
        <w:t>bencinski servis</w:t>
      </w:r>
      <w:r w:rsidRPr="00CD7667">
        <w:rPr>
          <w:rFonts w:ascii="Arial" w:eastAsia="Calibri" w:hAnsi="Arial" w:cs="Arial"/>
        </w:rPr>
        <w:t>«</w:t>
      </w:r>
      <w:r w:rsidR="00AE2919" w:rsidRPr="00CD7667">
        <w:rPr>
          <w:rFonts w:ascii="Arial" w:eastAsia="Calibri" w:hAnsi="Arial" w:cs="Arial"/>
        </w:rPr>
        <w:t xml:space="preserve"> </w:t>
      </w:r>
      <w:r w:rsidR="00E31292" w:rsidRPr="00CD7667">
        <w:rPr>
          <w:rFonts w:ascii="Arial" w:eastAsia="Calibri" w:hAnsi="Arial" w:cs="Arial"/>
        </w:rPr>
        <w:t xml:space="preserve"> </w:t>
      </w:r>
      <w:r w:rsidR="00E31292" w:rsidRPr="00857D91">
        <w:rPr>
          <w:rFonts w:ascii="Arial" w:eastAsia="Calibri" w:hAnsi="Arial" w:cs="Arial"/>
        </w:rPr>
        <w:t>je postaja za oskrbo cestnih motornih vozil z gorivi kot je d</w:t>
      </w:r>
      <w:r w:rsidR="00747DC0" w:rsidRPr="00857D91">
        <w:rPr>
          <w:rFonts w:ascii="Arial" w:eastAsia="Calibri" w:hAnsi="Arial" w:cs="Arial"/>
        </w:rPr>
        <w:t>oločeno</w:t>
      </w:r>
      <w:r w:rsidR="00E31292" w:rsidRPr="00857D91">
        <w:rPr>
          <w:rFonts w:ascii="Arial" w:eastAsia="Calibri" w:hAnsi="Arial" w:cs="Arial"/>
        </w:rPr>
        <w:t xml:space="preserve"> v Pravilniku </w:t>
      </w:r>
      <w:r w:rsidR="00E31292" w:rsidRPr="002A5F51">
        <w:rPr>
          <w:rFonts w:ascii="Arial" w:eastAsia="Calibri" w:hAnsi="Arial" w:cs="Arial"/>
        </w:rPr>
        <w:t>o tehničnih zahtevah za gradnjo in obratovanje postaj za preskrbo motornih vozil z gorivi</w:t>
      </w:r>
      <w:r w:rsidR="00E31292" w:rsidRPr="00857D91">
        <w:rPr>
          <w:rFonts w:ascii="Arial" w:eastAsia="Calibri" w:hAnsi="Arial" w:cs="Arial"/>
        </w:rPr>
        <w:t xml:space="preserve"> (Uradni list RS, št. 111/09, 61/17 – GZ in 199/21 – GZ-1)</w:t>
      </w:r>
      <w:r w:rsidR="00F03383">
        <w:rPr>
          <w:rFonts w:ascii="Arial" w:eastAsia="Calibri" w:hAnsi="Arial" w:cs="Arial"/>
        </w:rPr>
        <w:t>,</w:t>
      </w:r>
    </w:p>
    <w:p w14:paraId="79DFA763" w14:textId="2FC4FB42" w:rsidR="00F03383" w:rsidRDefault="0065322F" w:rsidP="00F03383">
      <w:pPr>
        <w:pStyle w:val="Odstavekseznama"/>
        <w:numPr>
          <w:ilvl w:val="0"/>
          <w:numId w:val="37"/>
        </w:numPr>
        <w:jc w:val="both"/>
        <w:rPr>
          <w:rFonts w:ascii="Arial" w:eastAsia="Calibri" w:hAnsi="Arial" w:cs="Arial"/>
        </w:rPr>
      </w:pPr>
      <w:r w:rsidRPr="00857D91">
        <w:rPr>
          <w:rFonts w:ascii="Arial" w:eastAsia="Calibri" w:hAnsi="Arial" w:cs="Arial"/>
        </w:rPr>
        <w:t>»</w:t>
      </w:r>
      <w:r w:rsidR="00AE2919" w:rsidRPr="00857D91">
        <w:rPr>
          <w:rFonts w:ascii="Arial" w:eastAsia="Calibri" w:hAnsi="Arial" w:cs="Arial"/>
        </w:rPr>
        <w:t>alternativna goriva</w:t>
      </w:r>
      <w:r w:rsidRPr="00857D91">
        <w:rPr>
          <w:rFonts w:ascii="Arial" w:eastAsia="Calibri" w:hAnsi="Arial" w:cs="Arial"/>
        </w:rPr>
        <w:t>«</w:t>
      </w:r>
      <w:r w:rsidR="00AE2919" w:rsidRPr="00857D91">
        <w:rPr>
          <w:rFonts w:ascii="Arial" w:eastAsia="Calibri" w:hAnsi="Arial" w:cs="Arial"/>
        </w:rPr>
        <w:t xml:space="preserve"> so goriva, kakor so definirana v Zakonu o infrastrukturi za alternativna goriva in spodbujanju prehoda na alternativna goriva v prometu</w:t>
      </w:r>
      <w:r w:rsidR="00E31292" w:rsidRPr="00857D91">
        <w:rPr>
          <w:rFonts w:ascii="Arial" w:eastAsia="Calibri" w:hAnsi="Arial" w:cs="Arial"/>
        </w:rPr>
        <w:t xml:space="preserve"> (Uradni list RS, št. 62/23)</w:t>
      </w:r>
      <w:r w:rsidR="002A5F51">
        <w:rPr>
          <w:rFonts w:ascii="Arial" w:eastAsia="Calibri" w:hAnsi="Arial" w:cs="Arial"/>
        </w:rPr>
        <w:t>.</w:t>
      </w:r>
    </w:p>
    <w:p w14:paraId="2E80EECC" w14:textId="3B96DD33" w:rsidR="00AE2919" w:rsidRPr="00652224" w:rsidRDefault="00AE2919" w:rsidP="00AE2919">
      <w:pPr>
        <w:jc w:val="both"/>
        <w:rPr>
          <w:rFonts w:ascii="Arial" w:eastAsia="Calibri" w:hAnsi="Arial" w:cs="Arial"/>
        </w:rPr>
      </w:pPr>
      <w:r w:rsidRPr="002A5F51">
        <w:rPr>
          <w:rFonts w:ascii="Arial" w:eastAsia="Calibri" w:hAnsi="Arial" w:cs="Arial"/>
        </w:rPr>
        <w:t xml:space="preserve">(2) Drugi izrazi, uporabljeni v tem pravilniku, pomenijo enako kot izrazi, ki jih določajo predpisi, ki urejajo področje alternativnih goriv </w:t>
      </w:r>
      <w:r w:rsidR="0065322F" w:rsidRPr="002A5F51">
        <w:rPr>
          <w:rFonts w:ascii="Arial" w:eastAsia="Calibri" w:hAnsi="Arial" w:cs="Arial"/>
        </w:rPr>
        <w:t xml:space="preserve">in </w:t>
      </w:r>
      <w:r w:rsidRPr="002A5F51">
        <w:rPr>
          <w:rFonts w:ascii="Arial" w:eastAsia="Calibri" w:hAnsi="Arial" w:cs="Arial"/>
        </w:rPr>
        <w:t>motorn</w:t>
      </w:r>
      <w:r w:rsidR="0065322F" w:rsidRPr="002A5F51">
        <w:rPr>
          <w:rFonts w:ascii="Arial" w:eastAsia="Calibri" w:hAnsi="Arial" w:cs="Arial"/>
        </w:rPr>
        <w:t>a</w:t>
      </w:r>
      <w:r w:rsidRPr="002A5F51">
        <w:rPr>
          <w:rFonts w:ascii="Arial" w:eastAsia="Calibri" w:hAnsi="Arial" w:cs="Arial"/>
        </w:rPr>
        <w:t xml:space="preserve"> vozil</w:t>
      </w:r>
      <w:r w:rsidR="0065322F" w:rsidRPr="002A5F51">
        <w:rPr>
          <w:rFonts w:ascii="Arial" w:eastAsia="Calibri" w:hAnsi="Arial" w:cs="Arial"/>
        </w:rPr>
        <w:t>a</w:t>
      </w:r>
      <w:r w:rsidRPr="002A5F51">
        <w:rPr>
          <w:rFonts w:ascii="Arial" w:eastAsia="Calibri" w:hAnsi="Arial" w:cs="Arial"/>
        </w:rPr>
        <w:t>.</w:t>
      </w:r>
    </w:p>
    <w:p w14:paraId="090E0967" w14:textId="77777777" w:rsidR="00AE2919" w:rsidRDefault="00AE2919" w:rsidP="00B57491">
      <w:pPr>
        <w:jc w:val="both"/>
        <w:rPr>
          <w:rFonts w:ascii="Arial" w:eastAsia="Calibri" w:hAnsi="Arial" w:cs="Arial"/>
        </w:rPr>
      </w:pPr>
    </w:p>
    <w:p w14:paraId="0BF7DA62" w14:textId="77777777" w:rsidR="00101DAE" w:rsidRPr="00B57491" w:rsidRDefault="00101DAE" w:rsidP="00B57491">
      <w:pPr>
        <w:jc w:val="both"/>
        <w:rPr>
          <w:rFonts w:ascii="Arial" w:eastAsia="Calibri" w:hAnsi="Arial" w:cs="Arial"/>
        </w:rPr>
      </w:pPr>
    </w:p>
    <w:p w14:paraId="055C2069" w14:textId="77777777" w:rsidR="00B57491" w:rsidRPr="00B57491" w:rsidRDefault="00B57491" w:rsidP="00B57491">
      <w:pPr>
        <w:rPr>
          <w:rFonts w:ascii="Arial" w:eastAsia="Calibri" w:hAnsi="Arial" w:cs="Arial"/>
        </w:rPr>
      </w:pPr>
    </w:p>
    <w:p w14:paraId="3A540A00" w14:textId="38BA8682" w:rsidR="00B57491" w:rsidRPr="00B57491" w:rsidRDefault="00AE2919" w:rsidP="00B57491">
      <w:pPr>
        <w:spacing w:after="0" w:line="240" w:lineRule="auto"/>
        <w:jc w:val="center"/>
        <w:rPr>
          <w:rFonts w:ascii="Arial" w:eastAsia="Calibri" w:hAnsi="Arial" w:cs="Arial"/>
        </w:rPr>
      </w:pPr>
      <w:r w:rsidRPr="002A5F51">
        <w:rPr>
          <w:rFonts w:ascii="Arial" w:eastAsia="Calibri" w:hAnsi="Arial" w:cs="Arial"/>
        </w:rPr>
        <w:lastRenderedPageBreak/>
        <w:t xml:space="preserve"> 3. člen</w:t>
      </w:r>
    </w:p>
    <w:p w14:paraId="45108222" w14:textId="77777777" w:rsidR="00B57491" w:rsidRPr="00B57491" w:rsidRDefault="00B57491" w:rsidP="00B57491">
      <w:pPr>
        <w:spacing w:after="0" w:line="240" w:lineRule="auto"/>
        <w:jc w:val="center"/>
        <w:rPr>
          <w:rFonts w:ascii="Arial" w:eastAsia="Calibri" w:hAnsi="Arial" w:cs="Arial"/>
        </w:rPr>
      </w:pPr>
      <w:r w:rsidRPr="00B57491">
        <w:rPr>
          <w:rFonts w:ascii="Arial" w:eastAsia="Calibri" w:hAnsi="Arial" w:cs="Arial"/>
        </w:rPr>
        <w:t>(izračun okvirnih stroškov osebnih avtomobilov na 100 km glede na vrsto goriv)</w:t>
      </w:r>
    </w:p>
    <w:p w14:paraId="255D2DEA" w14:textId="77777777" w:rsidR="00B57491" w:rsidRPr="00B57491" w:rsidRDefault="00B57491" w:rsidP="00B57491">
      <w:pPr>
        <w:spacing w:after="0" w:line="240" w:lineRule="auto"/>
        <w:jc w:val="center"/>
        <w:rPr>
          <w:rFonts w:ascii="Arial" w:eastAsia="Calibri" w:hAnsi="Arial" w:cs="Arial"/>
        </w:rPr>
      </w:pPr>
    </w:p>
    <w:p w14:paraId="02B74281" w14:textId="7AAE01C7" w:rsidR="00B57491" w:rsidRPr="00B57491" w:rsidRDefault="00B57491" w:rsidP="00B57491">
      <w:pPr>
        <w:jc w:val="both"/>
        <w:rPr>
          <w:rFonts w:ascii="Arial" w:eastAsia="Calibri" w:hAnsi="Arial" w:cs="Arial"/>
        </w:rPr>
      </w:pPr>
      <w:r w:rsidRPr="00B57491">
        <w:rPr>
          <w:rFonts w:ascii="Arial" w:eastAsia="Calibri" w:hAnsi="Arial" w:cs="Arial"/>
        </w:rPr>
        <w:t xml:space="preserve">(1) Izračun okvirnih stroškov goriv na 100 km za izbrane vzorce osebnih avtomobilov pripravi ministrstvo, pristojno za prometno politiko (v nadaljnjem besedilu: </w:t>
      </w:r>
      <w:r w:rsidR="00E31292" w:rsidRPr="002A5F51">
        <w:rPr>
          <w:rFonts w:ascii="Arial" w:eastAsia="Calibri" w:hAnsi="Arial" w:cs="Arial"/>
        </w:rPr>
        <w:t>m</w:t>
      </w:r>
      <w:r w:rsidRPr="00B57491">
        <w:rPr>
          <w:rFonts w:ascii="Arial" w:eastAsia="Calibri" w:hAnsi="Arial" w:cs="Arial"/>
        </w:rPr>
        <w:t>inistrstvo) po metodologiji kot izhaja iz</w:t>
      </w:r>
      <w:r w:rsidR="00101DAE" w:rsidRPr="00101DAE">
        <w:t xml:space="preserve"> </w:t>
      </w:r>
      <w:r w:rsidR="00101DAE" w:rsidRPr="00101DAE">
        <w:rPr>
          <w:rFonts w:ascii="Arial" w:eastAsia="Calibri" w:hAnsi="Arial" w:cs="Arial"/>
        </w:rPr>
        <w:t>Uredb</w:t>
      </w:r>
      <w:r w:rsidR="00101DAE">
        <w:rPr>
          <w:rFonts w:ascii="Arial" w:eastAsia="Calibri" w:hAnsi="Arial" w:cs="Arial"/>
        </w:rPr>
        <w:t>e</w:t>
      </w:r>
      <w:r w:rsidR="00101DAE" w:rsidRPr="00101DAE">
        <w:rPr>
          <w:rFonts w:ascii="Arial" w:eastAsia="Calibri" w:hAnsi="Arial" w:cs="Arial"/>
        </w:rPr>
        <w:t xml:space="preserve"> 2018/732/EU</w:t>
      </w:r>
      <w:r w:rsidRPr="00B57491">
        <w:rPr>
          <w:rFonts w:ascii="Arial" w:eastAsia="Calibri" w:hAnsi="Arial" w:cs="Arial"/>
        </w:rPr>
        <w:t xml:space="preserve">. Poleg </w:t>
      </w:r>
      <w:r w:rsidR="00A92F87">
        <w:rPr>
          <w:rFonts w:ascii="Arial" w:eastAsia="Calibri" w:hAnsi="Arial" w:cs="Arial"/>
        </w:rPr>
        <w:t xml:space="preserve">zahtev </w:t>
      </w:r>
      <w:r w:rsidR="00A92F87" w:rsidRPr="00A92F87">
        <w:rPr>
          <w:rFonts w:ascii="Arial" w:eastAsia="Calibri" w:hAnsi="Arial" w:cs="Arial"/>
        </w:rPr>
        <w:t xml:space="preserve">Uredbe 2018/732/EU </w:t>
      </w:r>
      <w:r w:rsidR="00815571">
        <w:rPr>
          <w:rFonts w:ascii="Arial" w:eastAsia="Calibri" w:hAnsi="Arial" w:cs="Arial"/>
        </w:rPr>
        <w:t xml:space="preserve">se </w:t>
      </w:r>
      <w:r w:rsidRPr="00B57491">
        <w:rPr>
          <w:rFonts w:ascii="Arial" w:eastAsia="Calibri" w:hAnsi="Arial" w:cs="Arial"/>
        </w:rPr>
        <w:t>pri uporabi metodologije upošteva še:</w:t>
      </w:r>
    </w:p>
    <w:p w14:paraId="4B7EEFD5" w14:textId="77777777" w:rsidR="00B57491" w:rsidRPr="00B57491" w:rsidRDefault="00B57491" w:rsidP="00ED09C5">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 xml:space="preserve">izbrani referenčni tipi osebnih avtomobilov temeljijo na najbolje prodajanih tipih vozil v preteklem koledarskem letu v Republiki Sloveniji, </w:t>
      </w:r>
    </w:p>
    <w:p w14:paraId="5AE0F1CA" w14:textId="77777777" w:rsidR="00AE2919" w:rsidRDefault="00B57491" w:rsidP="00ED09C5">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povprečna poraba goriva se izračunana na podlagi prvih treh najbolje prodajanih tipov vozil v posameznem velikostnem razredu vozil, povprečna poraba goriva teh tipov vozil je poraba goriva referenčnega vozila,</w:t>
      </w:r>
    </w:p>
    <w:p w14:paraId="6D408A30" w14:textId="00872529" w:rsidR="00B57491" w:rsidRPr="00A339A6" w:rsidRDefault="00B57491" w:rsidP="00ED09C5">
      <w:pPr>
        <w:numPr>
          <w:ilvl w:val="0"/>
          <w:numId w:val="38"/>
        </w:numPr>
        <w:spacing w:before="120" w:after="120" w:line="240" w:lineRule="auto"/>
        <w:ind w:left="1071" w:hanging="357"/>
        <w:rPr>
          <w:rFonts w:ascii="Arial" w:eastAsia="Calibri" w:hAnsi="Arial" w:cs="Arial"/>
        </w:rPr>
      </w:pPr>
      <w:r w:rsidRPr="00AE2919">
        <w:rPr>
          <w:rFonts w:ascii="Arial" w:eastAsia="Calibri" w:hAnsi="Arial" w:cs="Arial"/>
        </w:rPr>
        <w:t xml:space="preserve">za primerjavo se izberejo največ trije velikostni razredi vozil, </w:t>
      </w:r>
      <w:r w:rsidR="00AE2919" w:rsidRPr="00A339A6">
        <w:rPr>
          <w:rFonts w:ascii="Arial" w:eastAsia="Calibri" w:hAnsi="Arial" w:cs="Arial"/>
        </w:rPr>
        <w:t xml:space="preserve">skladni s splošno poznano klasifikacijo osebnih vozil </w:t>
      </w:r>
      <w:r w:rsidR="00392989" w:rsidRPr="00A339A6">
        <w:rPr>
          <w:rFonts w:ascii="Arial" w:eastAsia="Calibri" w:hAnsi="Arial" w:cs="Arial"/>
        </w:rPr>
        <w:t xml:space="preserve">Združenja proizvajalcev avtomobilov EU ACEA, </w:t>
      </w:r>
      <w:r w:rsidR="00AE2919" w:rsidRPr="00A339A6">
        <w:rPr>
          <w:rFonts w:ascii="Arial" w:eastAsia="Calibri" w:hAnsi="Arial" w:cs="Arial"/>
        </w:rPr>
        <w:t>ali pa se uporabi druga splošno sprejeta klasifikacija osebnih vozil,</w:t>
      </w:r>
    </w:p>
    <w:p w14:paraId="60025583" w14:textId="2AE1C4B8" w:rsidR="00B57491" w:rsidRPr="00B57491" w:rsidRDefault="00B57491" w:rsidP="00ED09C5">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upoštevajo se samo tipi vozil za katere je znana poraba goriva po globalno usklajenem preizkusnem postopku za lahka vozila na 100 km v kombinirani vožnji kot izhaja iz potrdila o skladnosti vozila, v primeru, da ti podatki niso na voljo se izbere naslednji najbolje prodajani tip vozila v istem</w:t>
      </w:r>
      <w:r w:rsidR="00AE2919">
        <w:rPr>
          <w:rFonts w:ascii="Arial" w:eastAsia="Calibri" w:hAnsi="Arial" w:cs="Arial"/>
        </w:rPr>
        <w:t xml:space="preserve"> </w:t>
      </w:r>
      <w:r w:rsidR="00AE2919" w:rsidRPr="002A5F51">
        <w:rPr>
          <w:rFonts w:ascii="Arial" w:eastAsia="Calibri" w:hAnsi="Arial" w:cs="Arial"/>
        </w:rPr>
        <w:t>velikostnem</w:t>
      </w:r>
      <w:r w:rsidRPr="00B57491">
        <w:rPr>
          <w:rFonts w:ascii="Arial" w:eastAsia="Calibri" w:hAnsi="Arial" w:cs="Arial"/>
        </w:rPr>
        <w:t xml:space="preserve"> razredu vozil ali pa se v referenčni vzorec vključi manj vozil,</w:t>
      </w:r>
    </w:p>
    <w:p w14:paraId="54976904" w14:textId="77777777" w:rsidR="00B57491" w:rsidRPr="00B57491" w:rsidRDefault="00B57491" w:rsidP="00ED09C5">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za namene primerjave se lahko pri izračunu povprečne porabe goriv na alternativnega goriva uporabijo tudi tipi osebnih avtomobilov, ki so bili med najbolje prodajanimi v Evropi v preteklem koledarskem letu,</w:t>
      </w:r>
    </w:p>
    <w:p w14:paraId="4FA4A3E8" w14:textId="06D8658E" w:rsidR="00B57491" w:rsidRPr="00B57491" w:rsidRDefault="00B57491" w:rsidP="00ED09C5">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primerjava vključuje naslednja goriva: bencin,</w:t>
      </w:r>
      <w:r w:rsidR="00AE2919">
        <w:rPr>
          <w:rFonts w:ascii="Arial" w:eastAsia="Calibri" w:hAnsi="Arial" w:cs="Arial"/>
        </w:rPr>
        <w:t xml:space="preserve"> </w:t>
      </w:r>
      <w:r w:rsidR="00AE2919" w:rsidRPr="00B57491">
        <w:rPr>
          <w:rFonts w:ascii="Arial" w:eastAsia="Calibri" w:hAnsi="Arial" w:cs="Arial"/>
        </w:rPr>
        <w:t xml:space="preserve">dizelsko gorivo, </w:t>
      </w:r>
      <w:r w:rsidRPr="00B57491">
        <w:rPr>
          <w:rFonts w:ascii="Arial" w:eastAsia="Calibri" w:hAnsi="Arial" w:cs="Arial"/>
        </w:rPr>
        <w:t>električno energijo, plin za vozila (stisnjen zemeljski plin, utekočinjen naftni plin</w:t>
      </w:r>
      <w:r w:rsidR="00FC747D">
        <w:rPr>
          <w:rFonts w:ascii="Arial" w:eastAsia="Calibri" w:hAnsi="Arial" w:cs="Arial"/>
        </w:rPr>
        <w:t xml:space="preserve">, </w:t>
      </w:r>
      <w:r w:rsidR="00FC747D" w:rsidRPr="002A5F51">
        <w:rPr>
          <w:rFonts w:ascii="Arial" w:eastAsia="Calibri" w:hAnsi="Arial" w:cs="Arial"/>
        </w:rPr>
        <w:t>vodik)</w:t>
      </w:r>
      <w:r w:rsidRPr="002A5F51">
        <w:rPr>
          <w:rFonts w:ascii="Arial" w:eastAsia="Calibri" w:hAnsi="Arial" w:cs="Arial"/>
        </w:rPr>
        <w:t>.</w:t>
      </w:r>
      <w:r w:rsidRPr="00B57491">
        <w:rPr>
          <w:rFonts w:ascii="Arial" w:eastAsia="Calibri" w:hAnsi="Arial" w:cs="Arial"/>
        </w:rPr>
        <w:t xml:space="preserve"> Odvisno od razvoja trga pa se v primerjavo lahko vključijo tudi druga alternativna goriva kot </w:t>
      </w:r>
      <w:r w:rsidR="00AE2919" w:rsidRPr="002A5F51">
        <w:rPr>
          <w:rFonts w:ascii="Arial" w:eastAsia="Calibri" w:hAnsi="Arial" w:cs="Arial"/>
        </w:rPr>
        <w:t>so</w:t>
      </w:r>
      <w:r w:rsidRPr="002A5F51">
        <w:rPr>
          <w:rFonts w:ascii="Arial" w:eastAsia="Calibri" w:hAnsi="Arial" w:cs="Arial"/>
        </w:rPr>
        <w:t xml:space="preserve"> </w:t>
      </w:r>
      <w:proofErr w:type="spellStart"/>
      <w:r w:rsidRPr="002A5F51">
        <w:rPr>
          <w:rFonts w:ascii="Arial" w:eastAsia="Calibri" w:hAnsi="Arial" w:cs="Arial"/>
        </w:rPr>
        <w:t>biogoriva</w:t>
      </w:r>
      <w:proofErr w:type="spellEnd"/>
      <w:r w:rsidR="004534C5" w:rsidRPr="002A5F51">
        <w:rPr>
          <w:rFonts w:ascii="Arial" w:eastAsia="Calibri" w:hAnsi="Arial" w:cs="Arial"/>
        </w:rPr>
        <w:t xml:space="preserve"> oziroma sintetična goriva</w:t>
      </w:r>
      <w:r w:rsidRPr="002A5F51">
        <w:rPr>
          <w:rFonts w:ascii="Arial" w:eastAsia="Calibri" w:hAnsi="Arial" w:cs="Arial"/>
        </w:rPr>
        <w:t>,</w:t>
      </w:r>
    </w:p>
    <w:p w14:paraId="7A30D2DF" w14:textId="5147CF9A" w:rsidR="00B57491" w:rsidRPr="00B57491" w:rsidRDefault="00B57491" w:rsidP="002A5F51">
      <w:pPr>
        <w:numPr>
          <w:ilvl w:val="0"/>
          <w:numId w:val="38"/>
        </w:numPr>
        <w:spacing w:before="120" w:after="120" w:line="240" w:lineRule="auto"/>
        <w:ind w:left="1071" w:hanging="357"/>
        <w:rPr>
          <w:rFonts w:ascii="Arial" w:eastAsia="Calibri" w:hAnsi="Arial" w:cs="Arial"/>
        </w:rPr>
      </w:pPr>
      <w:r w:rsidRPr="00B57491">
        <w:rPr>
          <w:rFonts w:ascii="Arial" w:eastAsia="Calibri" w:hAnsi="Arial" w:cs="Arial"/>
        </w:rPr>
        <w:t>okvirni strošek na enoto goriva na 100 km se izračuna na naslednji način: povprečna cena goriva v</w:t>
      </w:r>
      <w:r w:rsidR="00B44EEE">
        <w:rPr>
          <w:rFonts w:ascii="Arial" w:eastAsia="Calibri" w:hAnsi="Arial" w:cs="Arial"/>
        </w:rPr>
        <w:t xml:space="preserve"> določenem</w:t>
      </w:r>
      <w:r w:rsidRPr="00B57491">
        <w:rPr>
          <w:rFonts w:ascii="Arial" w:eastAsia="Calibri" w:hAnsi="Arial" w:cs="Arial"/>
        </w:rPr>
        <w:t xml:space="preserve"> četrtletju x poraba goriva referenčnega vozila.</w:t>
      </w:r>
    </w:p>
    <w:p w14:paraId="3E169BD0" w14:textId="7C7E31DF" w:rsidR="00B57491" w:rsidRPr="00B57491" w:rsidRDefault="00B57491" w:rsidP="00B57491">
      <w:pPr>
        <w:jc w:val="both"/>
        <w:rPr>
          <w:rFonts w:ascii="Arial" w:eastAsia="Calibri" w:hAnsi="Arial" w:cs="Arial"/>
        </w:rPr>
      </w:pPr>
      <w:r w:rsidRPr="002A5F51">
        <w:rPr>
          <w:rFonts w:ascii="Arial" w:eastAsia="Calibri" w:hAnsi="Arial" w:cs="Arial"/>
        </w:rPr>
        <w:t>(4)</w:t>
      </w:r>
      <w:r w:rsidRPr="00B57491">
        <w:rPr>
          <w:rFonts w:ascii="Arial" w:eastAsia="Calibri" w:hAnsi="Arial" w:cs="Arial"/>
        </w:rPr>
        <w:t xml:space="preserve"> Ministrstvo pripravlja in posodablja izračune</w:t>
      </w:r>
      <w:r w:rsidR="00AE2919">
        <w:rPr>
          <w:rFonts w:ascii="Arial" w:eastAsia="Calibri" w:hAnsi="Arial" w:cs="Arial"/>
        </w:rPr>
        <w:t xml:space="preserve"> </w:t>
      </w:r>
      <w:r w:rsidR="00AE2919" w:rsidRPr="002A5F51">
        <w:rPr>
          <w:rFonts w:ascii="Arial" w:eastAsia="Calibri" w:hAnsi="Arial" w:cs="Arial"/>
        </w:rPr>
        <w:t>za vsako četrtletje</w:t>
      </w:r>
      <w:r w:rsidRPr="00B57491">
        <w:rPr>
          <w:rFonts w:ascii="Arial" w:eastAsia="Calibri" w:hAnsi="Arial" w:cs="Arial"/>
        </w:rPr>
        <w:t xml:space="preserve"> kot izhaja iz predhodnega odstavka, pri čemer se le</w:t>
      </w:r>
      <w:r w:rsidR="00AE2919" w:rsidRPr="002A5F51">
        <w:rPr>
          <w:rFonts w:ascii="Arial" w:eastAsia="Calibri" w:hAnsi="Arial" w:cs="Arial"/>
        </w:rPr>
        <w:t>-</w:t>
      </w:r>
      <w:r w:rsidRPr="00B57491">
        <w:rPr>
          <w:rFonts w:ascii="Arial" w:eastAsia="Calibri" w:hAnsi="Arial" w:cs="Arial"/>
        </w:rPr>
        <w:t>ti posodobijo skladno s povprečnimi cenami goriv</w:t>
      </w:r>
      <w:r w:rsidR="00AE2919">
        <w:rPr>
          <w:rFonts w:ascii="Arial" w:eastAsia="Calibri" w:hAnsi="Arial" w:cs="Arial"/>
        </w:rPr>
        <w:t xml:space="preserve"> </w:t>
      </w:r>
      <w:r w:rsidR="00AE2919" w:rsidRPr="002A5F51">
        <w:rPr>
          <w:rFonts w:ascii="Arial" w:eastAsia="Calibri" w:hAnsi="Arial" w:cs="Arial"/>
        </w:rPr>
        <w:t>in alternativnih goriv</w:t>
      </w:r>
      <w:r w:rsidRPr="00B57491">
        <w:rPr>
          <w:rFonts w:ascii="Arial" w:eastAsia="Calibri" w:hAnsi="Arial" w:cs="Arial"/>
        </w:rPr>
        <w:t xml:space="preserve"> v</w:t>
      </w:r>
      <w:r w:rsidR="00B44EEE">
        <w:rPr>
          <w:rFonts w:ascii="Arial" w:eastAsia="Calibri" w:hAnsi="Arial" w:cs="Arial"/>
        </w:rPr>
        <w:t xml:space="preserve"> določenem četrtletju </w:t>
      </w:r>
      <w:r w:rsidRPr="00B57491">
        <w:rPr>
          <w:rFonts w:ascii="Arial" w:eastAsia="Calibri" w:hAnsi="Arial" w:cs="Arial"/>
        </w:rPr>
        <w:t>.</w:t>
      </w:r>
      <w:r w:rsidR="00AE2919">
        <w:rPr>
          <w:rFonts w:ascii="Arial" w:eastAsia="Calibri" w:hAnsi="Arial" w:cs="Arial"/>
        </w:rPr>
        <w:t xml:space="preserve"> </w:t>
      </w:r>
      <w:r w:rsidR="00AE2919" w:rsidRPr="002A5F51">
        <w:rPr>
          <w:rFonts w:ascii="Arial" w:eastAsia="Calibri" w:hAnsi="Arial" w:cs="Arial"/>
        </w:rPr>
        <w:t>Če ni možno pridobiti podatk</w:t>
      </w:r>
      <w:r w:rsidR="00B44EEE" w:rsidRPr="002A5F51">
        <w:rPr>
          <w:rFonts w:ascii="Arial" w:eastAsia="Calibri" w:hAnsi="Arial" w:cs="Arial"/>
        </w:rPr>
        <w:t>a</w:t>
      </w:r>
      <w:r w:rsidR="00AE2919" w:rsidRPr="002A5F51">
        <w:rPr>
          <w:rFonts w:ascii="Arial" w:eastAsia="Calibri" w:hAnsi="Arial" w:cs="Arial"/>
        </w:rPr>
        <w:t xml:space="preserve"> o povprečni četrtletni ceni, se upoštevajo zadnji dostopni podatki o cenah.</w:t>
      </w:r>
      <w:r w:rsidR="00AE2919">
        <w:rPr>
          <w:rFonts w:ascii="Arial" w:eastAsia="Calibri" w:hAnsi="Arial" w:cs="Arial"/>
        </w:rPr>
        <w:t xml:space="preserve"> </w:t>
      </w:r>
      <w:r w:rsidRPr="00B57491">
        <w:rPr>
          <w:rFonts w:ascii="Arial" w:eastAsia="Calibri" w:hAnsi="Arial" w:cs="Arial"/>
        </w:rPr>
        <w:t>Referenčna vozila, ki so predmet primerjave, se posodobijo vsako koledarsko leto.</w:t>
      </w:r>
    </w:p>
    <w:p w14:paraId="04645C7F" w14:textId="0B8B3F53" w:rsidR="00B57491" w:rsidRPr="00B57491" w:rsidRDefault="00B57491" w:rsidP="00B57491">
      <w:pPr>
        <w:jc w:val="both"/>
        <w:rPr>
          <w:rFonts w:ascii="Arial" w:eastAsia="Calibri" w:hAnsi="Arial" w:cs="Arial"/>
        </w:rPr>
      </w:pPr>
      <w:r w:rsidRPr="002A5F51">
        <w:rPr>
          <w:rFonts w:ascii="Arial" w:eastAsia="Calibri" w:hAnsi="Arial" w:cs="Arial"/>
        </w:rPr>
        <w:t>(5)</w:t>
      </w:r>
      <w:r w:rsidRPr="00B57491">
        <w:rPr>
          <w:rFonts w:ascii="Arial" w:eastAsia="Calibri" w:hAnsi="Arial" w:cs="Arial"/>
        </w:rPr>
        <w:t xml:space="preserve"> </w:t>
      </w:r>
      <w:r w:rsidR="00926F0F">
        <w:rPr>
          <w:rFonts w:ascii="Arial" w:eastAsia="Calibri" w:hAnsi="Arial" w:cs="Arial"/>
        </w:rPr>
        <w:t>Ministrstvo p</w:t>
      </w:r>
      <w:r w:rsidRPr="00B57491">
        <w:rPr>
          <w:rFonts w:ascii="Arial" w:eastAsia="Calibri" w:hAnsi="Arial" w:cs="Arial"/>
        </w:rPr>
        <w:t>rimerjav</w:t>
      </w:r>
      <w:r w:rsidR="00837366">
        <w:rPr>
          <w:rFonts w:ascii="Arial" w:eastAsia="Calibri" w:hAnsi="Arial" w:cs="Arial"/>
        </w:rPr>
        <w:t>o</w:t>
      </w:r>
      <w:r w:rsidRPr="00B57491">
        <w:rPr>
          <w:rFonts w:ascii="Arial" w:eastAsia="Calibri" w:hAnsi="Arial" w:cs="Arial"/>
        </w:rPr>
        <w:t xml:space="preserve"> okvirnih stroškov osebnih vozil na 100 km glede na vrsto goriva in velikostne razrede vozil  objavi v obliki preglednice z metodološkim pojasnilom na spletnem portalu energetika v pristojnosti ministrstva, pristojnega za energijo.</w:t>
      </w:r>
    </w:p>
    <w:p w14:paraId="193D3720" w14:textId="77777777" w:rsidR="00B57491" w:rsidRPr="00B57491" w:rsidRDefault="00B57491" w:rsidP="00B57491">
      <w:pPr>
        <w:jc w:val="both"/>
        <w:rPr>
          <w:rFonts w:ascii="Arial" w:eastAsia="Calibri" w:hAnsi="Arial" w:cs="Arial"/>
        </w:rPr>
      </w:pPr>
    </w:p>
    <w:p w14:paraId="5C7888EF" w14:textId="4D57194D" w:rsidR="00B57491" w:rsidRPr="00B57491" w:rsidRDefault="00AE2919" w:rsidP="00B57491">
      <w:pPr>
        <w:spacing w:after="0" w:line="240" w:lineRule="auto"/>
        <w:jc w:val="center"/>
        <w:rPr>
          <w:rFonts w:ascii="Arial" w:eastAsia="Calibri" w:hAnsi="Arial" w:cs="Arial"/>
        </w:rPr>
      </w:pPr>
      <w:r w:rsidRPr="002A5F51">
        <w:rPr>
          <w:rFonts w:ascii="Arial" w:eastAsia="Calibri" w:hAnsi="Arial" w:cs="Arial"/>
        </w:rPr>
        <w:t>4. člen</w:t>
      </w:r>
    </w:p>
    <w:p w14:paraId="172A2F83" w14:textId="2FFB2446" w:rsidR="00B57491" w:rsidRPr="00B57491" w:rsidRDefault="00B57491" w:rsidP="00B57491">
      <w:pPr>
        <w:spacing w:after="0" w:line="240" w:lineRule="auto"/>
        <w:jc w:val="center"/>
        <w:rPr>
          <w:rFonts w:ascii="Arial" w:eastAsia="Calibri" w:hAnsi="Arial" w:cs="Arial"/>
        </w:rPr>
      </w:pPr>
      <w:r w:rsidRPr="00B57491">
        <w:rPr>
          <w:rFonts w:ascii="Arial" w:eastAsia="Calibri" w:hAnsi="Arial" w:cs="Arial"/>
        </w:rPr>
        <w:t xml:space="preserve">(način prikaza informacij o primerjavi stroškov goriv na bencinskih </w:t>
      </w:r>
      <w:r w:rsidR="009643D7">
        <w:rPr>
          <w:rFonts w:ascii="Arial" w:eastAsia="Calibri" w:hAnsi="Arial" w:cs="Arial"/>
        </w:rPr>
        <w:t>servisih</w:t>
      </w:r>
      <w:r w:rsidRPr="00B57491">
        <w:rPr>
          <w:rFonts w:ascii="Arial" w:eastAsia="Calibri" w:hAnsi="Arial" w:cs="Arial"/>
        </w:rPr>
        <w:t>)</w:t>
      </w:r>
    </w:p>
    <w:p w14:paraId="486D83A4" w14:textId="77777777" w:rsidR="00B57491" w:rsidRPr="00B57491" w:rsidRDefault="00B57491" w:rsidP="00B57491">
      <w:pPr>
        <w:jc w:val="both"/>
        <w:rPr>
          <w:rFonts w:ascii="Arial" w:eastAsia="Calibri" w:hAnsi="Arial" w:cs="Arial"/>
        </w:rPr>
      </w:pPr>
    </w:p>
    <w:p w14:paraId="2C5FF642" w14:textId="77777777" w:rsidR="00B57491" w:rsidRPr="00B57491" w:rsidRDefault="00B57491" w:rsidP="00B57491">
      <w:pPr>
        <w:numPr>
          <w:ilvl w:val="0"/>
          <w:numId w:val="19"/>
        </w:numPr>
        <w:spacing w:after="120" w:line="240" w:lineRule="auto"/>
        <w:ind w:left="714" w:hanging="357"/>
        <w:jc w:val="both"/>
        <w:rPr>
          <w:rFonts w:ascii="Arial" w:eastAsia="Calibri" w:hAnsi="Arial" w:cs="Arial"/>
        </w:rPr>
      </w:pPr>
      <w:r w:rsidRPr="00B57491">
        <w:rPr>
          <w:rFonts w:ascii="Arial" w:eastAsia="Calibri" w:hAnsi="Arial" w:cs="Arial"/>
        </w:rPr>
        <w:t>Cene na enoto za vsako gorivo po velikostnih razredih vozil se prikažejo v obliki preglednice, ki je priloga tega pravilnika.</w:t>
      </w:r>
    </w:p>
    <w:p w14:paraId="787706FB" w14:textId="0A1318D2" w:rsidR="00B57491" w:rsidRPr="00B57491" w:rsidRDefault="00B57491" w:rsidP="00B57491">
      <w:pPr>
        <w:numPr>
          <w:ilvl w:val="0"/>
          <w:numId w:val="19"/>
        </w:numPr>
        <w:spacing w:after="120" w:line="240" w:lineRule="auto"/>
        <w:ind w:left="714" w:hanging="357"/>
        <w:jc w:val="both"/>
        <w:rPr>
          <w:rFonts w:ascii="Arial" w:eastAsia="Calibri" w:hAnsi="Arial" w:cs="Arial"/>
        </w:rPr>
      </w:pPr>
      <w:r w:rsidRPr="00B57491">
        <w:rPr>
          <w:rFonts w:ascii="Arial" w:eastAsia="Calibri" w:hAnsi="Arial" w:cs="Arial"/>
        </w:rPr>
        <w:t xml:space="preserve">Informacije morajo vsebovati naslednje besedilo: „Tabela prikazuje povprečne stroške goriva na 100 km v zadnjem koledarskem četrtletju. Izračuni temeljijo na povprečni porabi najbolje prodajanih tipov avtomobilov v Sloveniji v prejšnjem koledarskem letu. </w:t>
      </w:r>
      <w:r w:rsidRPr="00B57491">
        <w:rPr>
          <w:rFonts w:ascii="Arial" w:eastAsia="Calibri" w:hAnsi="Arial" w:cs="Arial"/>
        </w:rPr>
        <w:lastRenderedPageBreak/>
        <w:t xml:space="preserve">Več informacij o metodologiji primerjave je na voljo na spletnem mestu </w:t>
      </w:r>
      <w:r w:rsidR="00344C68" w:rsidRPr="002A5F51">
        <w:rPr>
          <w:rFonts w:ascii="Arial" w:eastAsia="Calibri" w:hAnsi="Arial" w:cs="Arial"/>
        </w:rPr>
        <w:t>https://www.</w:t>
      </w:r>
      <w:r w:rsidRPr="00B57491">
        <w:rPr>
          <w:rFonts w:ascii="Arial" w:eastAsia="Calibri" w:hAnsi="Arial" w:cs="Arial"/>
        </w:rPr>
        <w:t>energetika-portal.si.“</w:t>
      </w:r>
    </w:p>
    <w:p w14:paraId="0953D68E" w14:textId="77777777" w:rsidR="00B57491" w:rsidRPr="00B57491" w:rsidRDefault="00B57491" w:rsidP="00B57491">
      <w:pPr>
        <w:numPr>
          <w:ilvl w:val="0"/>
          <w:numId w:val="19"/>
        </w:numPr>
        <w:spacing w:after="120" w:line="240" w:lineRule="auto"/>
        <w:ind w:left="714" w:hanging="357"/>
        <w:jc w:val="both"/>
        <w:rPr>
          <w:rFonts w:ascii="Arial" w:eastAsia="Calibri" w:hAnsi="Arial" w:cs="Arial"/>
        </w:rPr>
      </w:pPr>
      <w:r w:rsidRPr="00B57491">
        <w:rPr>
          <w:rFonts w:ascii="Arial" w:eastAsia="Calibri" w:hAnsi="Arial" w:cs="Arial"/>
        </w:rPr>
        <w:t xml:space="preserve">Če je informacija v tiskani obliki, znaša velikost tiskovine najmanj 210 × 297 mm (format A4). Če so informacije na voljo na digitalnem zaslonu, znaša velikost informacij na zaslonu vsaj 210 x 297 mm (format A4). </w:t>
      </w:r>
    </w:p>
    <w:p w14:paraId="705AB35D" w14:textId="77777777" w:rsidR="00B57491" w:rsidRPr="00B57491" w:rsidRDefault="00B57491" w:rsidP="00B57491">
      <w:pPr>
        <w:numPr>
          <w:ilvl w:val="0"/>
          <w:numId w:val="19"/>
        </w:numPr>
        <w:spacing w:after="120" w:line="240" w:lineRule="auto"/>
        <w:jc w:val="both"/>
        <w:rPr>
          <w:rFonts w:ascii="Arial" w:eastAsia="Calibri" w:hAnsi="Arial" w:cs="Arial"/>
        </w:rPr>
      </w:pPr>
      <w:r w:rsidRPr="00B57491">
        <w:rPr>
          <w:rFonts w:ascii="Arial" w:eastAsia="Calibri" w:hAnsi="Arial" w:cs="Arial"/>
        </w:rPr>
        <w:t>Informacije se namestijo v bližini bencinskih servisov, ob vhodu v trgovino bencinskega servisa ali v trgovini bencinskega servisa. Informacije morajo biti vidne in ne smejo biti zavajajoče ali nejasne za potrošnike.</w:t>
      </w:r>
    </w:p>
    <w:p w14:paraId="2DB93AE6" w14:textId="77777777" w:rsidR="00B57491" w:rsidRPr="00462078" w:rsidRDefault="00B57491" w:rsidP="00B57491">
      <w:pPr>
        <w:jc w:val="both"/>
        <w:rPr>
          <w:rFonts w:ascii="Arial" w:eastAsia="Calibri" w:hAnsi="Arial" w:cs="Arial"/>
        </w:rPr>
      </w:pPr>
    </w:p>
    <w:p w14:paraId="4032FBF4" w14:textId="77777777" w:rsidR="00AE2919" w:rsidRPr="002A5F51" w:rsidRDefault="00AE2919" w:rsidP="00AE2919">
      <w:pPr>
        <w:spacing w:after="0" w:line="240" w:lineRule="auto"/>
        <w:jc w:val="center"/>
        <w:rPr>
          <w:rFonts w:ascii="Arial" w:eastAsia="Calibri" w:hAnsi="Arial" w:cs="Arial"/>
        </w:rPr>
      </w:pPr>
      <w:r w:rsidRPr="002A5F51">
        <w:rPr>
          <w:rFonts w:ascii="Arial" w:eastAsia="Calibri" w:hAnsi="Arial" w:cs="Arial"/>
        </w:rPr>
        <w:t>5. člen</w:t>
      </w:r>
    </w:p>
    <w:p w14:paraId="20F9E2CF" w14:textId="3D76714D" w:rsidR="00AE2919" w:rsidRPr="002A5F51" w:rsidRDefault="00AE2919" w:rsidP="002A5F51">
      <w:pPr>
        <w:spacing w:after="0" w:line="240" w:lineRule="auto"/>
        <w:jc w:val="center"/>
        <w:rPr>
          <w:rFonts w:ascii="Arial" w:eastAsia="Calibri" w:hAnsi="Arial" w:cs="Arial"/>
        </w:rPr>
      </w:pPr>
      <w:r w:rsidRPr="002A5F51">
        <w:rPr>
          <w:rFonts w:ascii="Arial" w:eastAsia="Calibri" w:hAnsi="Arial" w:cs="Arial"/>
        </w:rPr>
        <w:t>(rok za objavo)</w:t>
      </w:r>
    </w:p>
    <w:p w14:paraId="354EB880" w14:textId="49DBA3FE" w:rsidR="00F5348A" w:rsidRPr="002A5F51" w:rsidRDefault="00AE2919" w:rsidP="002A5F51">
      <w:pPr>
        <w:pStyle w:val="Odstavekseznama"/>
        <w:numPr>
          <w:ilvl w:val="0"/>
          <w:numId w:val="40"/>
        </w:numPr>
        <w:spacing w:before="120" w:after="120"/>
        <w:contextualSpacing w:val="0"/>
        <w:jc w:val="both"/>
        <w:rPr>
          <w:rFonts w:ascii="Arial" w:eastAsia="Calibri" w:hAnsi="Arial" w:cs="Arial"/>
        </w:rPr>
      </w:pPr>
      <w:r w:rsidRPr="002A5F51">
        <w:rPr>
          <w:rFonts w:ascii="Arial" w:eastAsia="Calibri" w:hAnsi="Arial" w:cs="Arial"/>
        </w:rPr>
        <w:t xml:space="preserve">Ministrstvo je dolžno pripraviti in objaviti preglednico z informacijami o stroških osebnih avtomobilov na 100 km glede na vrsto goriv najkasneje do </w:t>
      </w:r>
      <w:r w:rsidR="00D13C21" w:rsidRPr="002A5F51">
        <w:rPr>
          <w:rFonts w:ascii="Arial" w:eastAsia="Calibri" w:hAnsi="Arial" w:cs="Arial"/>
        </w:rPr>
        <w:t>10</w:t>
      </w:r>
      <w:r w:rsidRPr="002A5F51">
        <w:rPr>
          <w:rFonts w:ascii="Arial" w:eastAsia="Calibri" w:hAnsi="Arial" w:cs="Arial"/>
        </w:rPr>
        <w:t xml:space="preserve">. marca, </w:t>
      </w:r>
      <w:r w:rsidR="00D13C21" w:rsidRPr="002A5F51">
        <w:rPr>
          <w:rFonts w:ascii="Arial" w:eastAsia="Calibri" w:hAnsi="Arial" w:cs="Arial"/>
        </w:rPr>
        <w:t>10</w:t>
      </w:r>
      <w:r w:rsidRPr="002A5F51">
        <w:rPr>
          <w:rFonts w:ascii="Arial" w:eastAsia="Calibri" w:hAnsi="Arial" w:cs="Arial"/>
        </w:rPr>
        <w:t xml:space="preserve">. junija, </w:t>
      </w:r>
      <w:r w:rsidR="00D13C21" w:rsidRPr="002A5F51">
        <w:rPr>
          <w:rFonts w:ascii="Arial" w:eastAsia="Calibri" w:hAnsi="Arial" w:cs="Arial"/>
        </w:rPr>
        <w:t>10</w:t>
      </w:r>
      <w:r w:rsidRPr="002A5F51">
        <w:rPr>
          <w:rFonts w:ascii="Arial" w:eastAsia="Calibri" w:hAnsi="Arial" w:cs="Arial"/>
        </w:rPr>
        <w:t xml:space="preserve">. septembra in </w:t>
      </w:r>
      <w:r w:rsidR="00D13C21" w:rsidRPr="002A5F51">
        <w:rPr>
          <w:rFonts w:ascii="Arial" w:eastAsia="Calibri" w:hAnsi="Arial" w:cs="Arial"/>
        </w:rPr>
        <w:t>10</w:t>
      </w:r>
      <w:r w:rsidRPr="002A5F51">
        <w:rPr>
          <w:rFonts w:ascii="Arial" w:eastAsia="Calibri" w:hAnsi="Arial" w:cs="Arial"/>
        </w:rPr>
        <w:t xml:space="preserve">. decembra za preteklo četrtletje. </w:t>
      </w:r>
    </w:p>
    <w:p w14:paraId="73D77628" w14:textId="5A645727" w:rsidR="00AE2919" w:rsidRPr="002A5F51" w:rsidRDefault="001558F3" w:rsidP="002A5F51">
      <w:pPr>
        <w:pStyle w:val="Odstavekseznama"/>
        <w:numPr>
          <w:ilvl w:val="0"/>
          <w:numId w:val="40"/>
        </w:numPr>
        <w:spacing w:before="120" w:after="120"/>
        <w:contextualSpacing w:val="0"/>
        <w:jc w:val="both"/>
        <w:rPr>
          <w:rFonts w:ascii="Arial" w:eastAsia="Calibri" w:hAnsi="Arial" w:cs="Arial"/>
        </w:rPr>
      </w:pPr>
      <w:r w:rsidRPr="001558F3">
        <w:rPr>
          <w:rFonts w:ascii="Arial" w:eastAsia="Calibri" w:hAnsi="Arial" w:cs="Arial"/>
        </w:rPr>
        <w:t xml:space="preserve">Trgovci z gorivom na bencinskih servisih z zaposlenim prodajnim osebjem, na katerih se prodajajo vsaj tri vrste goriva za osebne avtomobile, od katerih je vsaj eno alternativno </w:t>
      </w:r>
      <w:r w:rsidRPr="00462078">
        <w:rPr>
          <w:rFonts w:ascii="Arial" w:eastAsia="Calibri" w:hAnsi="Arial" w:cs="Arial"/>
        </w:rPr>
        <w:t>gorivo</w:t>
      </w:r>
      <w:r w:rsidR="00AE2919" w:rsidRPr="002A5F51">
        <w:rPr>
          <w:rFonts w:ascii="Arial" w:eastAsia="Calibri" w:hAnsi="Arial" w:cs="Arial"/>
        </w:rPr>
        <w:t xml:space="preserve"> so </w:t>
      </w:r>
      <w:r w:rsidR="00B2075E">
        <w:rPr>
          <w:rFonts w:ascii="Arial" w:eastAsia="Calibri" w:hAnsi="Arial" w:cs="Arial"/>
        </w:rPr>
        <w:t>zavezani</w:t>
      </w:r>
      <w:r w:rsidR="00B2075E" w:rsidRPr="002A5F51">
        <w:rPr>
          <w:rFonts w:ascii="Arial" w:eastAsia="Calibri" w:hAnsi="Arial" w:cs="Arial"/>
        </w:rPr>
        <w:t xml:space="preserve"> </w:t>
      </w:r>
      <w:r w:rsidR="00AE2919" w:rsidRPr="002A5F51">
        <w:rPr>
          <w:rFonts w:ascii="Arial" w:eastAsia="Calibri" w:hAnsi="Arial" w:cs="Arial"/>
        </w:rPr>
        <w:t>do 2</w:t>
      </w:r>
      <w:r w:rsidR="00462078">
        <w:rPr>
          <w:rFonts w:ascii="Arial" w:eastAsia="Calibri" w:hAnsi="Arial" w:cs="Arial"/>
        </w:rPr>
        <w:t>5</w:t>
      </w:r>
      <w:r w:rsidR="00AE2919" w:rsidRPr="002A5F51">
        <w:rPr>
          <w:rFonts w:ascii="Arial" w:eastAsia="Calibri" w:hAnsi="Arial" w:cs="Arial"/>
        </w:rPr>
        <w:t>. dne istega meseca</w:t>
      </w:r>
      <w:r w:rsidRPr="002A5F51">
        <w:rPr>
          <w:rFonts w:ascii="Arial" w:eastAsia="Calibri" w:hAnsi="Arial" w:cs="Arial"/>
        </w:rPr>
        <w:t>, kot izhaja iz prejšnjega odstavka,</w:t>
      </w:r>
      <w:r w:rsidR="00AE2919" w:rsidRPr="002A5F51">
        <w:rPr>
          <w:rFonts w:ascii="Arial" w:eastAsia="Calibri" w:hAnsi="Arial" w:cs="Arial"/>
        </w:rPr>
        <w:t xml:space="preserve"> </w:t>
      </w:r>
      <w:r w:rsidR="00D73F0A" w:rsidRPr="00D73F0A">
        <w:rPr>
          <w:rFonts w:ascii="Arial" w:eastAsia="Calibri" w:hAnsi="Arial" w:cs="Arial"/>
        </w:rPr>
        <w:t>objaviti preglednico</w:t>
      </w:r>
      <w:r w:rsidR="00F5348A" w:rsidRPr="002A5F51">
        <w:rPr>
          <w:rFonts w:ascii="Arial" w:eastAsia="Calibri" w:hAnsi="Arial" w:cs="Arial"/>
        </w:rPr>
        <w:t xml:space="preserve"> z informacijami o stroških osebnih avtomobilov na 100 km glede na vrsto goriv</w:t>
      </w:r>
      <w:r>
        <w:rPr>
          <w:rFonts w:ascii="Arial" w:eastAsia="Calibri" w:hAnsi="Arial" w:cs="Arial"/>
        </w:rPr>
        <w:t xml:space="preserve"> na način kot izhaja iz 4. člena tega pravilnika. </w:t>
      </w:r>
    </w:p>
    <w:p w14:paraId="729A46BE" w14:textId="77777777" w:rsidR="003946AF" w:rsidRDefault="003946AF" w:rsidP="003946AF">
      <w:pPr>
        <w:spacing w:after="0" w:line="240" w:lineRule="auto"/>
        <w:jc w:val="center"/>
        <w:rPr>
          <w:rFonts w:ascii="Arial" w:eastAsia="Calibri" w:hAnsi="Arial" w:cs="Arial"/>
        </w:rPr>
      </w:pPr>
    </w:p>
    <w:p w14:paraId="01BEA35A" w14:textId="5898A261" w:rsidR="003946AF" w:rsidRPr="00B2075E" w:rsidRDefault="003946AF" w:rsidP="003946AF">
      <w:pPr>
        <w:spacing w:after="0" w:line="240" w:lineRule="auto"/>
        <w:jc w:val="center"/>
        <w:rPr>
          <w:rFonts w:ascii="Arial" w:eastAsia="Calibri" w:hAnsi="Arial" w:cs="Arial"/>
        </w:rPr>
      </w:pPr>
      <w:r w:rsidRPr="002A5F51">
        <w:rPr>
          <w:rFonts w:ascii="Arial" w:eastAsia="Calibri" w:hAnsi="Arial" w:cs="Arial"/>
        </w:rPr>
        <w:t>KONČNA DOLOČBA</w:t>
      </w:r>
    </w:p>
    <w:p w14:paraId="49E3A0A9" w14:textId="77777777" w:rsidR="003946AF" w:rsidRPr="00B2075E" w:rsidRDefault="003946AF" w:rsidP="003946AF">
      <w:pPr>
        <w:spacing w:after="0" w:line="240" w:lineRule="auto"/>
        <w:rPr>
          <w:rFonts w:ascii="Arial" w:eastAsia="Calibri" w:hAnsi="Arial" w:cs="Arial"/>
        </w:rPr>
      </w:pPr>
    </w:p>
    <w:p w14:paraId="3615493F" w14:textId="1AC687DE" w:rsidR="00B57491" w:rsidRPr="00B57491" w:rsidRDefault="00AE2919" w:rsidP="00B57491">
      <w:pPr>
        <w:spacing w:after="0" w:line="240" w:lineRule="auto"/>
        <w:jc w:val="center"/>
        <w:rPr>
          <w:rFonts w:ascii="Arial" w:eastAsia="Calibri" w:hAnsi="Arial" w:cs="Arial"/>
        </w:rPr>
      </w:pPr>
      <w:r w:rsidRPr="002A5F51">
        <w:rPr>
          <w:rFonts w:ascii="Arial" w:eastAsia="Calibri" w:hAnsi="Arial" w:cs="Arial"/>
        </w:rPr>
        <w:t>6. člen</w:t>
      </w:r>
    </w:p>
    <w:p w14:paraId="69A7B87F" w14:textId="77777777" w:rsidR="00B57491" w:rsidRPr="00B57491" w:rsidRDefault="00B57491" w:rsidP="00B57491">
      <w:pPr>
        <w:spacing w:after="0" w:line="240" w:lineRule="auto"/>
        <w:jc w:val="center"/>
        <w:rPr>
          <w:rFonts w:ascii="Arial" w:eastAsia="Calibri" w:hAnsi="Arial" w:cs="Arial"/>
        </w:rPr>
      </w:pPr>
      <w:r w:rsidRPr="00B57491">
        <w:rPr>
          <w:rFonts w:ascii="Arial" w:eastAsia="Calibri" w:hAnsi="Arial" w:cs="Arial"/>
        </w:rPr>
        <w:t>(začetek veljavnosti)</w:t>
      </w:r>
    </w:p>
    <w:p w14:paraId="625DCC55" w14:textId="77777777" w:rsidR="00B57491" w:rsidRPr="00B57491" w:rsidRDefault="00B57491" w:rsidP="00B57491">
      <w:pPr>
        <w:jc w:val="both"/>
        <w:rPr>
          <w:rFonts w:ascii="Arial" w:eastAsia="Calibri" w:hAnsi="Arial" w:cs="Arial"/>
        </w:rPr>
      </w:pPr>
    </w:p>
    <w:p w14:paraId="4374BDCF" w14:textId="77777777" w:rsidR="00B57491" w:rsidRPr="00B57491" w:rsidRDefault="00B57491" w:rsidP="00B57491">
      <w:pPr>
        <w:jc w:val="both"/>
        <w:rPr>
          <w:rFonts w:ascii="Arial" w:eastAsia="Calibri" w:hAnsi="Arial" w:cs="Arial"/>
        </w:rPr>
      </w:pPr>
      <w:r w:rsidRPr="00B57491">
        <w:rPr>
          <w:rFonts w:ascii="Arial" w:eastAsia="Calibri" w:hAnsi="Arial" w:cs="Arial"/>
        </w:rPr>
        <w:t xml:space="preserve">Ta pravilnik začne veljat petnajsti dan po objavi v Uradnem listu Republike Slovenije. </w:t>
      </w:r>
    </w:p>
    <w:p w14:paraId="70A27B5F" w14:textId="77777777" w:rsidR="00B57491" w:rsidRPr="00B57491" w:rsidRDefault="00B57491" w:rsidP="00B57491">
      <w:pPr>
        <w:jc w:val="both"/>
        <w:rPr>
          <w:rFonts w:ascii="Arial" w:eastAsia="Calibri" w:hAnsi="Arial" w:cs="Arial"/>
        </w:rPr>
      </w:pPr>
    </w:p>
    <w:p w14:paraId="2463EF2A" w14:textId="77777777" w:rsidR="00B57491" w:rsidRDefault="00B57491" w:rsidP="00B57491">
      <w:pPr>
        <w:jc w:val="both"/>
        <w:rPr>
          <w:rFonts w:ascii="Arial" w:eastAsia="Calibri" w:hAnsi="Arial" w:cs="Arial"/>
          <w:b/>
        </w:rPr>
      </w:pPr>
      <w:r w:rsidRPr="00B57491">
        <w:rPr>
          <w:rFonts w:ascii="Arial" w:eastAsia="Calibri" w:hAnsi="Arial" w:cs="Arial"/>
          <w:b/>
        </w:rPr>
        <w:t>Priloga: Preglednica z informacijami o stroških osebnih avtomobilov na 100 km glede na vrsto goriv</w:t>
      </w:r>
    </w:p>
    <w:p w14:paraId="598EE6D9" w14:textId="77777777" w:rsidR="002D4F4D" w:rsidRDefault="002D4F4D">
      <w:pPr>
        <w:rPr>
          <w:rFonts w:ascii="Arial" w:eastAsia="Calibri" w:hAnsi="Arial" w:cs="Arial"/>
          <w:b/>
        </w:rPr>
        <w:sectPr w:rsidR="002D4F4D" w:rsidSect="002D4F4D">
          <w:pgSz w:w="11906" w:h="16838"/>
          <w:pgMar w:top="1417" w:right="1417" w:bottom="1417" w:left="1417" w:header="708" w:footer="708" w:gutter="0"/>
          <w:cols w:space="708"/>
          <w:docGrid w:linePitch="360"/>
        </w:sectPr>
      </w:pPr>
    </w:p>
    <w:p w14:paraId="42BF10A3" w14:textId="2533EA84" w:rsidR="001731F9" w:rsidRDefault="001731F9">
      <w:pPr>
        <w:rPr>
          <w:rFonts w:ascii="Arial" w:eastAsia="Calibri" w:hAnsi="Arial" w:cs="Arial"/>
          <w:b/>
        </w:rPr>
      </w:pPr>
    </w:p>
    <w:tbl>
      <w:tblPr>
        <w:tblW w:w="10080" w:type="dxa"/>
        <w:tblCellMar>
          <w:left w:w="70" w:type="dxa"/>
          <w:right w:w="70" w:type="dxa"/>
        </w:tblCellMar>
        <w:tblLook w:val="04A0" w:firstRow="1" w:lastRow="0" w:firstColumn="1" w:lastColumn="0" w:noHBand="0" w:noVBand="1"/>
      </w:tblPr>
      <w:tblGrid>
        <w:gridCol w:w="5247"/>
        <w:gridCol w:w="1701"/>
        <w:gridCol w:w="1701"/>
        <w:gridCol w:w="1701"/>
      </w:tblGrid>
      <w:tr w:rsidR="001731F9" w:rsidRPr="001731F9" w14:paraId="21C25AFE" w14:textId="77777777" w:rsidTr="00EE54B1">
        <w:trPr>
          <w:trHeight w:val="300"/>
        </w:trPr>
        <w:tc>
          <w:tcPr>
            <w:tcW w:w="1701" w:type="dxa"/>
            <w:gridSpan w:val="4"/>
            <w:tcBorders>
              <w:top w:val="nil"/>
              <w:left w:val="nil"/>
              <w:bottom w:val="nil"/>
              <w:right w:val="nil"/>
            </w:tcBorders>
            <w:shd w:val="clear" w:color="auto" w:fill="auto"/>
            <w:noWrap/>
            <w:vAlign w:val="bottom"/>
            <w:hideMark/>
          </w:tcPr>
          <w:p w14:paraId="16039045"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PRILOGA 1: Preglednica z informacijami o stroških osebnih avtomobilov na 100 km glede na vrsto goriv</w:t>
            </w:r>
          </w:p>
        </w:tc>
      </w:tr>
      <w:tr w:rsidR="001731F9" w:rsidRPr="001731F9" w14:paraId="60A76D20" w14:textId="77777777" w:rsidTr="00EE54B1">
        <w:trPr>
          <w:trHeight w:val="315"/>
        </w:trPr>
        <w:tc>
          <w:tcPr>
            <w:tcW w:w="5247" w:type="dxa"/>
            <w:tcBorders>
              <w:top w:val="nil"/>
              <w:left w:val="nil"/>
              <w:bottom w:val="nil"/>
              <w:right w:val="nil"/>
            </w:tcBorders>
            <w:shd w:val="clear" w:color="auto" w:fill="auto"/>
            <w:noWrap/>
            <w:vAlign w:val="bottom"/>
            <w:hideMark/>
          </w:tcPr>
          <w:p w14:paraId="38299765" w14:textId="77777777" w:rsidR="001731F9" w:rsidRPr="001731F9" w:rsidRDefault="001731F9" w:rsidP="001731F9">
            <w:pPr>
              <w:spacing w:after="0" w:line="240" w:lineRule="auto"/>
              <w:rPr>
                <w:rFonts w:ascii="Calibri" w:eastAsia="Times New Roman" w:hAnsi="Calibri" w:cs="Calibri"/>
                <w:color w:val="000000"/>
                <w:lang w:eastAsia="sl-SI"/>
              </w:rPr>
            </w:pPr>
          </w:p>
        </w:tc>
        <w:tc>
          <w:tcPr>
            <w:tcW w:w="1701" w:type="dxa"/>
            <w:tcBorders>
              <w:top w:val="nil"/>
              <w:left w:val="nil"/>
              <w:bottom w:val="nil"/>
              <w:right w:val="nil"/>
            </w:tcBorders>
            <w:shd w:val="clear" w:color="auto" w:fill="auto"/>
            <w:noWrap/>
            <w:vAlign w:val="bottom"/>
            <w:hideMark/>
          </w:tcPr>
          <w:p w14:paraId="2EA1BE5B"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c>
          <w:tcPr>
            <w:tcW w:w="1701" w:type="dxa"/>
            <w:tcBorders>
              <w:top w:val="nil"/>
              <w:left w:val="nil"/>
              <w:bottom w:val="nil"/>
              <w:right w:val="nil"/>
            </w:tcBorders>
            <w:shd w:val="clear" w:color="auto" w:fill="auto"/>
            <w:noWrap/>
            <w:vAlign w:val="bottom"/>
            <w:hideMark/>
          </w:tcPr>
          <w:p w14:paraId="0E107989"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c>
          <w:tcPr>
            <w:tcW w:w="1701" w:type="dxa"/>
            <w:tcBorders>
              <w:top w:val="nil"/>
              <w:left w:val="nil"/>
              <w:bottom w:val="nil"/>
              <w:right w:val="nil"/>
            </w:tcBorders>
            <w:shd w:val="clear" w:color="auto" w:fill="auto"/>
            <w:noWrap/>
            <w:vAlign w:val="bottom"/>
            <w:hideMark/>
          </w:tcPr>
          <w:p w14:paraId="29133365"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r>
      <w:tr w:rsidR="001731F9" w:rsidRPr="001731F9" w14:paraId="3C0874E3" w14:textId="77777777" w:rsidTr="00EE54B1">
        <w:trPr>
          <w:trHeight w:val="1200"/>
        </w:trPr>
        <w:tc>
          <w:tcPr>
            <w:tcW w:w="5247" w:type="dxa"/>
            <w:vMerge w:val="restart"/>
            <w:tcBorders>
              <w:top w:val="single" w:sz="4" w:space="0" w:color="auto"/>
              <w:left w:val="single" w:sz="4" w:space="0" w:color="auto"/>
              <w:bottom w:val="single" w:sz="4" w:space="0" w:color="000000"/>
              <w:right w:val="single" w:sz="8" w:space="0" w:color="auto"/>
            </w:tcBorders>
            <w:shd w:val="clear" w:color="auto" w:fill="auto"/>
            <w:noWrap/>
            <w:vAlign w:val="center"/>
            <w:hideMark/>
          </w:tcPr>
          <w:p w14:paraId="121250C0"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GORIVO</w:t>
            </w:r>
          </w:p>
        </w:tc>
        <w:tc>
          <w:tcPr>
            <w:tcW w:w="1701" w:type="dxa"/>
            <w:tcBorders>
              <w:top w:val="single" w:sz="8" w:space="0" w:color="auto"/>
              <w:left w:val="nil"/>
              <w:bottom w:val="single" w:sz="8" w:space="0" w:color="auto"/>
              <w:right w:val="nil"/>
            </w:tcBorders>
            <w:shd w:val="clear" w:color="auto" w:fill="auto"/>
            <w:vAlign w:val="center"/>
            <w:hideMark/>
          </w:tcPr>
          <w:p w14:paraId="63B08D58" w14:textId="77777777" w:rsidR="001731F9" w:rsidRPr="001731F9" w:rsidRDefault="001731F9" w:rsidP="001731F9">
            <w:pPr>
              <w:spacing w:after="0" w:line="240" w:lineRule="auto"/>
              <w:jc w:val="center"/>
              <w:rPr>
                <w:rFonts w:ascii="Calibri" w:eastAsia="Times New Roman" w:hAnsi="Calibri" w:cs="Calibri"/>
                <w:b/>
                <w:bCs/>
                <w:color w:val="000000"/>
                <w:sz w:val="28"/>
                <w:szCs w:val="28"/>
                <w:lang w:eastAsia="sl-SI"/>
              </w:rPr>
            </w:pPr>
            <w:r w:rsidRPr="001731F9">
              <w:rPr>
                <w:rFonts w:ascii="Calibri" w:eastAsia="Times New Roman" w:hAnsi="Calibri" w:cs="Calibri"/>
                <w:b/>
                <w:bCs/>
                <w:color w:val="000000"/>
                <w:sz w:val="28"/>
                <w:szCs w:val="28"/>
                <w:lang w:eastAsia="sl-SI"/>
              </w:rPr>
              <w:t>Majhna vozila (A + B)</w:t>
            </w: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072B60A2" w14:textId="77777777" w:rsidR="001731F9" w:rsidRPr="001731F9" w:rsidRDefault="001731F9" w:rsidP="001731F9">
            <w:pPr>
              <w:spacing w:after="0" w:line="240" w:lineRule="auto"/>
              <w:jc w:val="center"/>
              <w:rPr>
                <w:rFonts w:ascii="Calibri" w:eastAsia="Times New Roman" w:hAnsi="Calibri" w:cs="Calibri"/>
                <w:b/>
                <w:bCs/>
                <w:color w:val="000000"/>
                <w:sz w:val="28"/>
                <w:szCs w:val="28"/>
                <w:lang w:eastAsia="sl-SI"/>
              </w:rPr>
            </w:pPr>
            <w:r w:rsidRPr="001731F9">
              <w:rPr>
                <w:rFonts w:ascii="Calibri" w:eastAsia="Times New Roman" w:hAnsi="Calibri" w:cs="Calibri"/>
                <w:b/>
                <w:bCs/>
                <w:color w:val="000000"/>
                <w:sz w:val="28"/>
                <w:szCs w:val="28"/>
                <w:lang w:eastAsia="sl-SI"/>
              </w:rPr>
              <w:t>Vozila nižjega srednjega razreda (C)</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2626DD67" w14:textId="77777777" w:rsidR="001731F9" w:rsidRPr="001731F9" w:rsidRDefault="001731F9" w:rsidP="001731F9">
            <w:pPr>
              <w:spacing w:after="0" w:line="240" w:lineRule="auto"/>
              <w:jc w:val="center"/>
              <w:rPr>
                <w:rFonts w:ascii="Calibri" w:eastAsia="Times New Roman" w:hAnsi="Calibri" w:cs="Calibri"/>
                <w:b/>
                <w:bCs/>
                <w:color w:val="000000"/>
                <w:sz w:val="28"/>
                <w:szCs w:val="28"/>
                <w:lang w:eastAsia="sl-SI"/>
              </w:rPr>
            </w:pPr>
            <w:r w:rsidRPr="001731F9">
              <w:rPr>
                <w:rFonts w:ascii="Calibri" w:eastAsia="Times New Roman" w:hAnsi="Calibri" w:cs="Calibri"/>
                <w:b/>
                <w:bCs/>
                <w:color w:val="000000"/>
                <w:sz w:val="28"/>
                <w:szCs w:val="28"/>
                <w:lang w:eastAsia="sl-SI"/>
              </w:rPr>
              <w:t>Vozila višjega srednjega razreda (D)</w:t>
            </w:r>
          </w:p>
        </w:tc>
      </w:tr>
      <w:tr w:rsidR="001731F9" w:rsidRPr="001731F9" w14:paraId="0AF960C9" w14:textId="77777777" w:rsidTr="00EE54B1">
        <w:trPr>
          <w:trHeight w:val="615"/>
        </w:trPr>
        <w:tc>
          <w:tcPr>
            <w:tcW w:w="5247" w:type="dxa"/>
            <w:vMerge/>
            <w:tcBorders>
              <w:top w:val="single" w:sz="4" w:space="0" w:color="auto"/>
              <w:left w:val="single" w:sz="4" w:space="0" w:color="auto"/>
              <w:bottom w:val="single" w:sz="4" w:space="0" w:color="000000"/>
              <w:right w:val="single" w:sz="8" w:space="0" w:color="auto"/>
            </w:tcBorders>
            <w:vAlign w:val="center"/>
            <w:hideMark/>
          </w:tcPr>
          <w:p w14:paraId="2B78F259" w14:textId="77777777" w:rsidR="001731F9" w:rsidRPr="001731F9" w:rsidRDefault="001731F9" w:rsidP="001731F9">
            <w:pPr>
              <w:spacing w:after="0" w:line="240" w:lineRule="auto"/>
              <w:rPr>
                <w:rFonts w:ascii="Calibri" w:eastAsia="Times New Roman" w:hAnsi="Calibri" w:cs="Calibri"/>
                <w:color w:val="000000"/>
                <w:lang w:eastAsia="sl-SI"/>
              </w:rPr>
            </w:pPr>
          </w:p>
        </w:tc>
        <w:tc>
          <w:tcPr>
            <w:tcW w:w="1701" w:type="dxa"/>
            <w:tcBorders>
              <w:top w:val="nil"/>
              <w:left w:val="nil"/>
              <w:bottom w:val="single" w:sz="8" w:space="0" w:color="auto"/>
              <w:right w:val="single" w:sz="4" w:space="0" w:color="auto"/>
            </w:tcBorders>
            <w:shd w:val="clear" w:color="auto" w:fill="auto"/>
            <w:vAlign w:val="center"/>
            <w:hideMark/>
          </w:tcPr>
          <w:p w14:paraId="59F5F78E" w14:textId="77777777" w:rsidR="001731F9" w:rsidRPr="001731F9" w:rsidRDefault="001731F9" w:rsidP="001731F9">
            <w:pPr>
              <w:spacing w:after="0" w:line="240" w:lineRule="auto"/>
              <w:jc w:val="center"/>
              <w:rPr>
                <w:rFonts w:ascii="Calibri" w:eastAsia="Times New Roman" w:hAnsi="Calibri" w:cs="Calibri"/>
                <w:b/>
                <w:bCs/>
                <w:color w:val="000000"/>
                <w:lang w:eastAsia="sl-SI"/>
              </w:rPr>
            </w:pPr>
            <w:r w:rsidRPr="001731F9">
              <w:rPr>
                <w:rFonts w:ascii="Calibri" w:eastAsia="Times New Roman" w:hAnsi="Calibri" w:cs="Calibri"/>
                <w:b/>
                <w:bCs/>
                <w:color w:val="000000"/>
                <w:lang w:eastAsia="sl-SI"/>
              </w:rPr>
              <w:t>Strošek v EUR na 100 km</w:t>
            </w:r>
          </w:p>
        </w:tc>
        <w:tc>
          <w:tcPr>
            <w:tcW w:w="1701" w:type="dxa"/>
            <w:tcBorders>
              <w:top w:val="nil"/>
              <w:left w:val="nil"/>
              <w:bottom w:val="single" w:sz="8" w:space="0" w:color="auto"/>
              <w:right w:val="single" w:sz="4" w:space="0" w:color="auto"/>
            </w:tcBorders>
            <w:shd w:val="clear" w:color="auto" w:fill="auto"/>
            <w:vAlign w:val="center"/>
            <w:hideMark/>
          </w:tcPr>
          <w:p w14:paraId="4C26D768" w14:textId="77777777" w:rsidR="001731F9" w:rsidRPr="001731F9" w:rsidRDefault="001731F9" w:rsidP="001731F9">
            <w:pPr>
              <w:spacing w:after="0" w:line="240" w:lineRule="auto"/>
              <w:jc w:val="center"/>
              <w:rPr>
                <w:rFonts w:ascii="Calibri" w:eastAsia="Times New Roman" w:hAnsi="Calibri" w:cs="Calibri"/>
                <w:b/>
                <w:bCs/>
                <w:color w:val="000000"/>
                <w:lang w:eastAsia="sl-SI"/>
              </w:rPr>
            </w:pPr>
            <w:r w:rsidRPr="001731F9">
              <w:rPr>
                <w:rFonts w:ascii="Calibri" w:eastAsia="Times New Roman" w:hAnsi="Calibri" w:cs="Calibri"/>
                <w:b/>
                <w:bCs/>
                <w:color w:val="000000"/>
                <w:lang w:eastAsia="sl-SI"/>
              </w:rPr>
              <w:t>Strošek v EUR na 100 km</w:t>
            </w:r>
          </w:p>
        </w:tc>
        <w:tc>
          <w:tcPr>
            <w:tcW w:w="1701" w:type="dxa"/>
            <w:tcBorders>
              <w:top w:val="nil"/>
              <w:left w:val="nil"/>
              <w:bottom w:val="single" w:sz="8" w:space="0" w:color="auto"/>
              <w:right w:val="single" w:sz="8" w:space="0" w:color="auto"/>
            </w:tcBorders>
            <w:shd w:val="clear" w:color="auto" w:fill="auto"/>
            <w:vAlign w:val="center"/>
            <w:hideMark/>
          </w:tcPr>
          <w:p w14:paraId="09227BF0" w14:textId="77777777" w:rsidR="001731F9" w:rsidRPr="001731F9" w:rsidRDefault="001731F9" w:rsidP="001731F9">
            <w:pPr>
              <w:spacing w:after="0" w:line="240" w:lineRule="auto"/>
              <w:jc w:val="center"/>
              <w:rPr>
                <w:rFonts w:ascii="Calibri" w:eastAsia="Times New Roman" w:hAnsi="Calibri" w:cs="Calibri"/>
                <w:b/>
                <w:bCs/>
                <w:color w:val="000000"/>
                <w:lang w:eastAsia="sl-SI"/>
              </w:rPr>
            </w:pPr>
            <w:r w:rsidRPr="001731F9">
              <w:rPr>
                <w:rFonts w:ascii="Calibri" w:eastAsia="Times New Roman" w:hAnsi="Calibri" w:cs="Calibri"/>
                <w:b/>
                <w:bCs/>
                <w:color w:val="000000"/>
                <w:lang w:eastAsia="sl-SI"/>
              </w:rPr>
              <w:t>Strošek v EUR na 100 km</w:t>
            </w:r>
          </w:p>
        </w:tc>
      </w:tr>
      <w:tr w:rsidR="001731F9" w:rsidRPr="001731F9" w14:paraId="1D8BA3A7"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1C02B425"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Bencin (NMB-95)</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2EC5C0F7"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73888F2E"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58E9D48A"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6CCFFCF5"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1111F844"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Bencin (NMB-98)</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796DFDD3"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0BAF7F8B"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66BC9C95"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75B5B567"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02283460"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Dizel (standard)</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5B6DF39B"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24276C03"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17676C62"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31F4CCB7"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56FD2D66"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UNP (utekočinjen naftni plin)</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49C37AFF"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6B52536A"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5056EDFC"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342D64C7"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175E5F1A"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SZP (stisnjen zemeljski plin)</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1A731B06"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4CE07FF5"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5B99BE7B"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54AFAE45"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4C7FF5F1"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Elektrika (javna polnilna mesta do 22 kW)</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640AFB9C"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14638071"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484330B0"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172D3E63"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72BD8134"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Elektrika (javna polnilna mesta od 22 kW do 50 kW)</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6B12968F"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4326D0BA"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43225540"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5C2D1BE7"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3DBF100A"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Elektrika (javna polnilna mesta nad 50 kW)</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65D732B0"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0BC068BA"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6F7E526D"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52AE3206" w14:textId="77777777" w:rsidTr="00EE54B1">
        <w:trPr>
          <w:trHeight w:val="300"/>
        </w:trPr>
        <w:tc>
          <w:tcPr>
            <w:tcW w:w="5247" w:type="dxa"/>
            <w:tcBorders>
              <w:top w:val="nil"/>
              <w:left w:val="single" w:sz="4" w:space="0" w:color="auto"/>
              <w:bottom w:val="single" w:sz="4" w:space="0" w:color="auto"/>
              <w:right w:val="nil"/>
            </w:tcBorders>
            <w:shd w:val="clear" w:color="auto" w:fill="auto"/>
            <w:noWrap/>
            <w:vAlign w:val="bottom"/>
            <w:hideMark/>
          </w:tcPr>
          <w:p w14:paraId="499453F2"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Elektrika (polnjenje doma)</w:t>
            </w: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14:paraId="5A653B63"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4" w:space="0" w:color="auto"/>
            </w:tcBorders>
            <w:shd w:val="clear" w:color="auto" w:fill="auto"/>
            <w:noWrap/>
            <w:vAlign w:val="bottom"/>
            <w:hideMark/>
          </w:tcPr>
          <w:p w14:paraId="78A421F3"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4" w:space="0" w:color="auto"/>
              <w:right w:val="single" w:sz="8" w:space="0" w:color="auto"/>
            </w:tcBorders>
            <w:shd w:val="clear" w:color="auto" w:fill="auto"/>
            <w:noWrap/>
            <w:vAlign w:val="bottom"/>
            <w:hideMark/>
          </w:tcPr>
          <w:p w14:paraId="4BB75113"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08C10EF8" w14:textId="77777777" w:rsidTr="00EE54B1">
        <w:trPr>
          <w:trHeight w:val="315"/>
        </w:trPr>
        <w:tc>
          <w:tcPr>
            <w:tcW w:w="5247" w:type="dxa"/>
            <w:tcBorders>
              <w:top w:val="nil"/>
              <w:left w:val="single" w:sz="4" w:space="0" w:color="auto"/>
              <w:bottom w:val="single" w:sz="4" w:space="0" w:color="auto"/>
              <w:right w:val="nil"/>
            </w:tcBorders>
            <w:shd w:val="clear" w:color="auto" w:fill="auto"/>
            <w:noWrap/>
            <w:vAlign w:val="bottom"/>
            <w:hideMark/>
          </w:tcPr>
          <w:p w14:paraId="7FC1EE23"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Vodik</w:t>
            </w: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14:paraId="4DD9AC60"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8" w:space="0" w:color="auto"/>
              <w:right w:val="single" w:sz="4" w:space="0" w:color="auto"/>
            </w:tcBorders>
            <w:shd w:val="clear" w:color="auto" w:fill="auto"/>
            <w:noWrap/>
            <w:vAlign w:val="bottom"/>
            <w:hideMark/>
          </w:tcPr>
          <w:p w14:paraId="32B6BBDD"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c>
          <w:tcPr>
            <w:tcW w:w="1701" w:type="dxa"/>
            <w:tcBorders>
              <w:top w:val="nil"/>
              <w:left w:val="nil"/>
              <w:bottom w:val="single" w:sz="8" w:space="0" w:color="auto"/>
              <w:right w:val="single" w:sz="8" w:space="0" w:color="auto"/>
            </w:tcBorders>
            <w:shd w:val="clear" w:color="auto" w:fill="auto"/>
            <w:noWrap/>
            <w:vAlign w:val="bottom"/>
            <w:hideMark/>
          </w:tcPr>
          <w:p w14:paraId="2751D0B9" w14:textId="77777777" w:rsidR="001731F9" w:rsidRPr="001731F9" w:rsidRDefault="001731F9" w:rsidP="001731F9">
            <w:pPr>
              <w:spacing w:after="0" w:line="240" w:lineRule="auto"/>
              <w:jc w:val="center"/>
              <w:rPr>
                <w:rFonts w:ascii="Calibri" w:eastAsia="Times New Roman" w:hAnsi="Calibri" w:cs="Calibri"/>
                <w:color w:val="000000"/>
                <w:lang w:eastAsia="sl-SI"/>
              </w:rPr>
            </w:pPr>
            <w:r w:rsidRPr="001731F9">
              <w:rPr>
                <w:rFonts w:ascii="Calibri" w:eastAsia="Times New Roman" w:hAnsi="Calibri" w:cs="Calibri"/>
                <w:color w:val="000000"/>
                <w:lang w:eastAsia="sl-SI"/>
              </w:rPr>
              <w:t> </w:t>
            </w:r>
          </w:p>
        </w:tc>
      </w:tr>
      <w:tr w:rsidR="001731F9" w:rsidRPr="001731F9" w14:paraId="4F469614" w14:textId="77777777" w:rsidTr="00EE54B1">
        <w:trPr>
          <w:trHeight w:val="300"/>
        </w:trPr>
        <w:tc>
          <w:tcPr>
            <w:tcW w:w="5247" w:type="dxa"/>
            <w:tcBorders>
              <w:top w:val="nil"/>
              <w:left w:val="nil"/>
              <w:bottom w:val="nil"/>
              <w:right w:val="nil"/>
            </w:tcBorders>
            <w:shd w:val="clear" w:color="auto" w:fill="auto"/>
            <w:noWrap/>
            <w:vAlign w:val="bottom"/>
            <w:hideMark/>
          </w:tcPr>
          <w:p w14:paraId="7167F7B0" w14:textId="77777777" w:rsidR="001731F9" w:rsidRPr="001731F9" w:rsidRDefault="001731F9" w:rsidP="001731F9">
            <w:pPr>
              <w:spacing w:after="0" w:line="240" w:lineRule="auto"/>
              <w:jc w:val="center"/>
              <w:rPr>
                <w:rFonts w:ascii="Calibri" w:eastAsia="Times New Roman" w:hAnsi="Calibri" w:cs="Calibri"/>
                <w:color w:val="000000"/>
                <w:lang w:eastAsia="sl-SI"/>
              </w:rPr>
            </w:pPr>
          </w:p>
        </w:tc>
        <w:tc>
          <w:tcPr>
            <w:tcW w:w="1701" w:type="dxa"/>
            <w:tcBorders>
              <w:top w:val="nil"/>
              <w:left w:val="nil"/>
              <w:bottom w:val="nil"/>
              <w:right w:val="nil"/>
            </w:tcBorders>
            <w:shd w:val="clear" w:color="auto" w:fill="auto"/>
            <w:noWrap/>
            <w:vAlign w:val="bottom"/>
            <w:hideMark/>
          </w:tcPr>
          <w:p w14:paraId="3C961299"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c>
          <w:tcPr>
            <w:tcW w:w="1701" w:type="dxa"/>
            <w:tcBorders>
              <w:top w:val="nil"/>
              <w:left w:val="nil"/>
              <w:bottom w:val="nil"/>
              <w:right w:val="nil"/>
            </w:tcBorders>
            <w:shd w:val="clear" w:color="auto" w:fill="auto"/>
            <w:noWrap/>
            <w:vAlign w:val="bottom"/>
            <w:hideMark/>
          </w:tcPr>
          <w:p w14:paraId="64545491"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c>
          <w:tcPr>
            <w:tcW w:w="1701" w:type="dxa"/>
            <w:tcBorders>
              <w:top w:val="nil"/>
              <w:left w:val="nil"/>
              <w:bottom w:val="nil"/>
              <w:right w:val="nil"/>
            </w:tcBorders>
            <w:shd w:val="clear" w:color="auto" w:fill="auto"/>
            <w:noWrap/>
            <w:vAlign w:val="bottom"/>
            <w:hideMark/>
          </w:tcPr>
          <w:p w14:paraId="123D287A" w14:textId="77777777" w:rsidR="001731F9" w:rsidRPr="001731F9" w:rsidRDefault="001731F9" w:rsidP="001731F9">
            <w:pPr>
              <w:spacing w:after="0" w:line="240" w:lineRule="auto"/>
              <w:rPr>
                <w:rFonts w:ascii="Times New Roman" w:eastAsia="Times New Roman" w:hAnsi="Times New Roman" w:cs="Times New Roman"/>
                <w:sz w:val="20"/>
                <w:szCs w:val="20"/>
                <w:lang w:eastAsia="sl-SI"/>
              </w:rPr>
            </w:pPr>
          </w:p>
        </w:tc>
      </w:tr>
      <w:tr w:rsidR="001731F9" w:rsidRPr="001731F9" w14:paraId="0FD0915F" w14:textId="77777777" w:rsidTr="00EE54B1">
        <w:trPr>
          <w:trHeight w:val="900"/>
        </w:trPr>
        <w:tc>
          <w:tcPr>
            <w:tcW w:w="1701" w:type="dxa"/>
            <w:gridSpan w:val="4"/>
            <w:tcBorders>
              <w:top w:val="nil"/>
              <w:left w:val="nil"/>
              <w:bottom w:val="nil"/>
              <w:right w:val="nil"/>
            </w:tcBorders>
            <w:shd w:val="clear" w:color="auto" w:fill="auto"/>
            <w:vAlign w:val="bottom"/>
            <w:hideMark/>
          </w:tcPr>
          <w:p w14:paraId="61F85B39" w14:textId="77777777" w:rsidR="001731F9" w:rsidRPr="001731F9" w:rsidRDefault="001731F9" w:rsidP="001731F9">
            <w:pPr>
              <w:spacing w:after="0" w:line="240" w:lineRule="auto"/>
              <w:rPr>
                <w:rFonts w:ascii="Calibri" w:eastAsia="Times New Roman" w:hAnsi="Calibri" w:cs="Calibri"/>
                <w:color w:val="000000"/>
                <w:lang w:eastAsia="sl-SI"/>
              </w:rPr>
            </w:pPr>
            <w:r w:rsidRPr="001731F9">
              <w:rPr>
                <w:rFonts w:ascii="Calibri" w:eastAsia="Times New Roman" w:hAnsi="Calibri" w:cs="Calibri"/>
                <w:color w:val="000000"/>
                <w:lang w:eastAsia="sl-SI"/>
              </w:rPr>
              <w:t>Tabela prikazuje povprečne stroške goriva na 100 km v zadnjem koledarskem četrtletju. Izračuni temeljijo na povprečni porabi najbolje prodajanih tipov avtomobilov v Sloveniji v prejšnjem koledarskem letu. Več informacij o metodologiji primerjave je na voljo na spletnem mestu https://www.energetika-portal.si.</w:t>
            </w:r>
          </w:p>
        </w:tc>
      </w:tr>
    </w:tbl>
    <w:p w14:paraId="0AB28314" w14:textId="77777777" w:rsidR="002A5F51" w:rsidRDefault="002A5F51" w:rsidP="00B57491">
      <w:pPr>
        <w:jc w:val="both"/>
        <w:rPr>
          <w:rFonts w:ascii="Arial" w:eastAsia="Calibri" w:hAnsi="Arial" w:cs="Arial"/>
          <w:b/>
        </w:rPr>
      </w:pPr>
    </w:p>
    <w:p w14:paraId="5A3B04CC" w14:textId="77777777" w:rsidR="002D4F4D" w:rsidRDefault="001731F9">
      <w:pPr>
        <w:rPr>
          <w:rFonts w:ascii="Arial" w:eastAsia="Calibri" w:hAnsi="Arial" w:cs="Arial"/>
          <w:b/>
        </w:rPr>
        <w:sectPr w:rsidR="002D4F4D" w:rsidSect="002D4F4D">
          <w:pgSz w:w="16838" w:h="11906" w:orient="landscape"/>
          <w:pgMar w:top="1417" w:right="1417" w:bottom="1417" w:left="1417" w:header="708" w:footer="708" w:gutter="0"/>
          <w:cols w:space="708"/>
          <w:docGrid w:linePitch="360"/>
        </w:sectPr>
      </w:pPr>
      <w:r>
        <w:rPr>
          <w:rFonts w:ascii="Arial" w:eastAsia="Calibri" w:hAnsi="Arial" w:cs="Arial"/>
          <w:b/>
        </w:rPr>
        <w:br w:type="page"/>
      </w:r>
    </w:p>
    <w:p w14:paraId="6498C10B" w14:textId="10F3C0F5" w:rsidR="001731F9" w:rsidRDefault="001731F9">
      <w:pPr>
        <w:rPr>
          <w:rFonts w:ascii="Arial" w:eastAsia="Calibri" w:hAnsi="Arial" w:cs="Arial"/>
          <w:b/>
        </w:rPr>
      </w:pPr>
    </w:p>
    <w:p w14:paraId="69FB1C40" w14:textId="77777777" w:rsidR="002D4F4D" w:rsidRDefault="002D4F4D" w:rsidP="001731F9">
      <w:pPr>
        <w:tabs>
          <w:tab w:val="left" w:pos="708"/>
        </w:tabs>
        <w:rPr>
          <w:rFonts w:ascii="Arial" w:hAnsi="Arial" w:cs="Arial"/>
          <w:b/>
          <w:szCs w:val="20"/>
        </w:rPr>
      </w:pPr>
    </w:p>
    <w:p w14:paraId="453F881D" w14:textId="77777777" w:rsidR="002D4F4D" w:rsidRDefault="002D4F4D" w:rsidP="001731F9">
      <w:pPr>
        <w:tabs>
          <w:tab w:val="left" w:pos="708"/>
        </w:tabs>
        <w:rPr>
          <w:rFonts w:ascii="Arial" w:hAnsi="Arial" w:cs="Arial"/>
          <w:b/>
          <w:szCs w:val="20"/>
        </w:rPr>
      </w:pPr>
    </w:p>
    <w:p w14:paraId="3FF1FC9A" w14:textId="61779FEF" w:rsidR="001731F9" w:rsidRPr="00E73B63" w:rsidRDefault="001731F9" w:rsidP="001731F9">
      <w:pPr>
        <w:tabs>
          <w:tab w:val="left" w:pos="708"/>
        </w:tabs>
        <w:rPr>
          <w:rFonts w:ascii="Arial" w:hAnsi="Arial" w:cs="Arial"/>
          <w:b/>
          <w:szCs w:val="20"/>
        </w:rPr>
      </w:pPr>
      <w:r w:rsidRPr="00E73B63">
        <w:rPr>
          <w:rFonts w:ascii="Arial" w:hAnsi="Arial" w:cs="Arial"/>
          <w:b/>
          <w:szCs w:val="20"/>
        </w:rPr>
        <w:t>OBRAZLOŽITEV</w:t>
      </w:r>
    </w:p>
    <w:p w14:paraId="41746E78" w14:textId="77777777" w:rsidR="001731F9" w:rsidRPr="00E73B63" w:rsidRDefault="001731F9" w:rsidP="001731F9">
      <w:pPr>
        <w:spacing w:after="0" w:line="260" w:lineRule="exact"/>
        <w:jc w:val="both"/>
        <w:rPr>
          <w:rFonts w:ascii="Arial" w:hAnsi="Arial" w:cs="Arial"/>
          <w:szCs w:val="20"/>
        </w:rPr>
      </w:pPr>
    </w:p>
    <w:p w14:paraId="2ABED939" w14:textId="77777777" w:rsidR="001731F9" w:rsidRPr="00E73B63" w:rsidRDefault="001731F9" w:rsidP="001731F9">
      <w:pPr>
        <w:tabs>
          <w:tab w:val="left" w:pos="708"/>
        </w:tabs>
        <w:jc w:val="both"/>
        <w:rPr>
          <w:rFonts w:ascii="Arial" w:eastAsia="Times New Roman" w:hAnsi="Arial" w:cs="Arial"/>
          <w:lang w:eastAsia="sl-SI"/>
        </w:rPr>
      </w:pPr>
      <w:r w:rsidRPr="00E73B63">
        <w:rPr>
          <w:rFonts w:ascii="Arial" w:eastAsia="Times New Roman" w:hAnsi="Arial" w:cs="Arial"/>
          <w:lang w:eastAsia="sl-SI"/>
        </w:rPr>
        <w:t xml:space="preserve">Pravna podlaga za izdajo predlaganega Pravilnika o metodologiji za izračun okvirnih stroškov goriv osebnih avtomobilov na 100 km ter načinu prikazovanja in posodabljanja informacij na bencinskih servisih (v nadaljevanju Pravilnik), je drugi odstavek 35. člena Zakona o infrastrukturi za alternativna goriva in spodbujanju prehoda na alternativna goriva v prometu </w:t>
      </w:r>
      <w:bookmarkStart w:id="0" w:name="_Hlk167972705"/>
      <w:r w:rsidRPr="00E73B63">
        <w:rPr>
          <w:rFonts w:ascii="Arial" w:eastAsia="Times New Roman" w:hAnsi="Arial" w:cs="Arial"/>
          <w:lang w:eastAsia="sl-SI"/>
        </w:rPr>
        <w:t>(Uradni list 62/23, v nadaljevanju: ZIAG).</w:t>
      </w:r>
      <w:bookmarkEnd w:id="0"/>
      <w:r>
        <w:rPr>
          <w:rFonts w:ascii="Arial" w:eastAsia="Times New Roman" w:hAnsi="Arial" w:cs="Arial"/>
          <w:lang w:eastAsia="sl-SI"/>
        </w:rPr>
        <w:t xml:space="preserve"> </w:t>
      </w:r>
      <w:r w:rsidRPr="00E73B63">
        <w:rPr>
          <w:rFonts w:ascii="Arial" w:hAnsi="Arial" w:cs="Arial"/>
          <w:szCs w:val="20"/>
        </w:rPr>
        <w:t>Drugi odstavek 35. člena Zakon o infrastrukturi za alternativna goriva in spodbujanju prehoda na alternativna goriva v prometu določa: Minister določi metodologijo za izračun okvirnih stroškov goriv na 100 km za izbrane vzorce tipov osebnih avtomobilov v skladu z Izvedbeno uredbo Komisije (EU) 2018/732 z dne 17. maja 2018 o skupni metodologiji za primerjave med cenami na enoto alternativnih goriv v skladu z Direktivo 2014/94/EU Evropskega parlamenta in Sveta (UL L št. 123 z dne 18. 5. 2018, str. 85; v nadaljevanju Izvedbena uredba Komisije (EU) 2018/732), zadnjič spremenjene z Izvedbeno uredbo Komisije (EU) 2020/858 z dne 18. junija 2020 o spremembi Izvedbene uredbe (EU) 2018/732 glede odložitve datuma začetka njene uporabe (UL L št. 195 z dne 19. 6. 2020, str. 57), ter podrobneje določi način prikazovanja in posodabljanja informacij o primerjavi stroškov goriv na 100 km na bencinskih servisih.</w:t>
      </w:r>
    </w:p>
    <w:p w14:paraId="76A01B32" w14:textId="77777777" w:rsidR="001731F9" w:rsidRPr="00E73B63" w:rsidRDefault="001731F9" w:rsidP="001731F9">
      <w:pPr>
        <w:tabs>
          <w:tab w:val="left" w:pos="708"/>
        </w:tabs>
        <w:rPr>
          <w:rFonts w:ascii="Arial" w:hAnsi="Arial" w:cs="Arial"/>
          <w:szCs w:val="20"/>
        </w:rPr>
      </w:pPr>
    </w:p>
    <w:p w14:paraId="774055E8" w14:textId="77777777" w:rsidR="001731F9" w:rsidRPr="00E73B63" w:rsidRDefault="001731F9" w:rsidP="001731F9">
      <w:pPr>
        <w:tabs>
          <w:tab w:val="left" w:pos="708"/>
        </w:tabs>
        <w:jc w:val="both"/>
        <w:rPr>
          <w:rFonts w:ascii="Arial" w:hAnsi="Arial" w:cs="Arial"/>
          <w:szCs w:val="20"/>
        </w:rPr>
      </w:pPr>
      <w:r w:rsidRPr="00E73B63">
        <w:rPr>
          <w:rFonts w:ascii="Arial" w:hAnsi="Arial" w:cs="Arial"/>
          <w:szCs w:val="20"/>
        </w:rPr>
        <w:t>Ta pravilnik določa metodologijo za izračun okvirnih stroškov različnih goriv na 100 km, kateri bodo objavljeni na bencinskih servisih z namenom izboljševanja ozaveščenosti potrošnikov o rabi alternativnih goriv v prometu. Ureja metodologijo izračuna, način prikaza informacij in roke za posodabljanje informacij.</w:t>
      </w:r>
    </w:p>
    <w:p w14:paraId="7A2C9226" w14:textId="77777777" w:rsidR="001731F9" w:rsidRDefault="001731F9" w:rsidP="001731F9">
      <w:pPr>
        <w:jc w:val="both"/>
        <w:rPr>
          <w:rFonts w:ascii="Arial" w:hAnsi="Arial" w:cs="Arial"/>
          <w:szCs w:val="20"/>
          <w:lang w:eastAsia="sl-SI"/>
        </w:rPr>
      </w:pPr>
    </w:p>
    <w:p w14:paraId="1AEFB92A" w14:textId="77777777" w:rsidR="001731F9" w:rsidRPr="00E73B63" w:rsidRDefault="001731F9" w:rsidP="001731F9">
      <w:pPr>
        <w:jc w:val="both"/>
        <w:rPr>
          <w:rFonts w:ascii="Arial" w:hAnsi="Arial" w:cs="Arial"/>
          <w:szCs w:val="20"/>
          <w:lang w:eastAsia="sl-SI"/>
        </w:rPr>
      </w:pPr>
      <w:r w:rsidRPr="00E73B63">
        <w:rPr>
          <w:rFonts w:ascii="Arial" w:hAnsi="Arial" w:cs="Arial"/>
          <w:szCs w:val="20"/>
          <w:lang w:eastAsia="sl-SI"/>
        </w:rPr>
        <w:t>Pravilnik se bo izvajal v skladu s delovnimi nalogami v okviru Ministrstva za okolje, podnebje in energijo znotraj Sektorja za alternativna goriva v prometu, zato Pravilnik ne predstavljal nobenih finančnih posledic za proračun.</w:t>
      </w:r>
    </w:p>
    <w:p w14:paraId="799F2F62" w14:textId="77777777" w:rsidR="001731F9" w:rsidRPr="00E73B63" w:rsidRDefault="001731F9" w:rsidP="001731F9">
      <w:pPr>
        <w:jc w:val="both"/>
        <w:rPr>
          <w:rFonts w:ascii="Arial" w:hAnsi="Arial" w:cs="Arial"/>
          <w:szCs w:val="20"/>
          <w:lang w:eastAsia="sl-SI"/>
        </w:rPr>
      </w:pPr>
      <w:r w:rsidRPr="00E73B63">
        <w:rPr>
          <w:rFonts w:ascii="Arial" w:hAnsi="Arial" w:cs="Arial"/>
          <w:szCs w:val="20"/>
          <w:lang w:eastAsia="sl-SI"/>
        </w:rPr>
        <w:t>Upravljalci bencinskih servisov bodo imeli materialne stroške povezane s tiskanjem ali objavo informacij (Preglednica z informacijami o stroških osebnih avtomobilov na 100 km glede na vrsto goriv) na osnovi pravilnika.</w:t>
      </w:r>
    </w:p>
    <w:p w14:paraId="6AE9CC78" w14:textId="77777777" w:rsidR="001731F9" w:rsidRPr="00E73B63" w:rsidRDefault="001731F9" w:rsidP="001731F9">
      <w:pPr>
        <w:pStyle w:val="Odstavekseznama1"/>
        <w:spacing w:line="260" w:lineRule="exact"/>
        <w:ind w:left="0"/>
        <w:jc w:val="both"/>
        <w:rPr>
          <w:rFonts w:ascii="Arial" w:hAnsi="Arial" w:cs="Arial"/>
          <w:sz w:val="20"/>
          <w:szCs w:val="20"/>
        </w:rPr>
      </w:pPr>
    </w:p>
    <w:p w14:paraId="2655F9D4" w14:textId="77777777" w:rsidR="001731F9" w:rsidRPr="00E73B63" w:rsidRDefault="001731F9" w:rsidP="001731F9">
      <w:pPr>
        <w:pStyle w:val="Odstavekseznama1"/>
        <w:spacing w:line="260" w:lineRule="exact"/>
        <w:ind w:left="0"/>
        <w:jc w:val="both"/>
        <w:rPr>
          <w:rFonts w:ascii="Arial" w:hAnsi="Arial" w:cs="Arial"/>
          <w:sz w:val="20"/>
          <w:szCs w:val="20"/>
        </w:rPr>
      </w:pPr>
    </w:p>
    <w:p w14:paraId="4B5DF296" w14:textId="77777777" w:rsidR="001731F9" w:rsidRPr="00E73B63" w:rsidRDefault="001731F9" w:rsidP="001731F9">
      <w:pPr>
        <w:jc w:val="both"/>
        <w:rPr>
          <w:rFonts w:ascii="Arial" w:eastAsia="Calibri" w:hAnsi="Arial" w:cs="Arial"/>
          <w:b/>
        </w:rPr>
      </w:pPr>
      <w:r w:rsidRPr="00E73B63">
        <w:rPr>
          <w:rFonts w:ascii="Arial" w:eastAsia="Calibri" w:hAnsi="Arial" w:cs="Arial"/>
          <w:b/>
        </w:rPr>
        <w:t>K 1. členu  (vsebina)</w:t>
      </w:r>
    </w:p>
    <w:p w14:paraId="6E3043A6" w14:textId="77777777" w:rsidR="001731F9" w:rsidRPr="00E73B63" w:rsidRDefault="001731F9" w:rsidP="001731F9">
      <w:pPr>
        <w:jc w:val="both"/>
        <w:rPr>
          <w:rFonts w:ascii="Arial" w:eastAsia="Calibri" w:hAnsi="Arial" w:cs="Arial"/>
        </w:rPr>
      </w:pPr>
      <w:r w:rsidRPr="00E73B63">
        <w:rPr>
          <w:rFonts w:ascii="Arial" w:eastAsia="Calibri" w:hAnsi="Arial" w:cs="Arial"/>
        </w:rPr>
        <w:t>Ta pravilnik določa metodologijo za izračun okvirnih stroškov različnih goriv na 100 km za izbrane vzorce osebnih avtomobilov izhajajoč iz 35. člena ZIAG. Izbrana metodologija bo  uporabnikom omogočala enostavno primerjavo med okvirnimi stroški dizla in bencina ter okvirnimi stroški alternativnih goriv, izraženimi kot zneski v eurih na 100 km na podlagi povprečne porabe goriva izbranih vzorcev tipov osebnih avtomobilov, ki so primerljivi vsaj glede na maso in moč, vendar uporabljajo različna goriva. Na tak način se uporabnikom (lastnikom osebnih avtomobilov) zagotovijo relevantne informacije, ki so potrebne pri odločitvi za nakup osebnega vozila.</w:t>
      </w:r>
    </w:p>
    <w:p w14:paraId="4CA02B5E" w14:textId="77777777" w:rsidR="001731F9" w:rsidRPr="00E73B63" w:rsidRDefault="001731F9" w:rsidP="001731F9">
      <w:pPr>
        <w:jc w:val="both"/>
        <w:rPr>
          <w:rFonts w:ascii="Arial" w:eastAsia="Calibri" w:hAnsi="Arial" w:cs="Arial"/>
        </w:rPr>
      </w:pPr>
    </w:p>
    <w:p w14:paraId="37AC9CED" w14:textId="77777777" w:rsidR="001731F9" w:rsidRPr="00E73B63" w:rsidRDefault="001731F9" w:rsidP="001731F9">
      <w:pPr>
        <w:jc w:val="both"/>
        <w:rPr>
          <w:rFonts w:ascii="Arial" w:eastAsia="Calibri" w:hAnsi="Arial" w:cs="Arial"/>
          <w:b/>
        </w:rPr>
      </w:pPr>
      <w:r w:rsidRPr="00E73B63">
        <w:rPr>
          <w:rFonts w:ascii="Arial" w:eastAsia="Calibri" w:hAnsi="Arial" w:cs="Arial"/>
          <w:b/>
        </w:rPr>
        <w:lastRenderedPageBreak/>
        <w:t>K 2. členu  (izrazi)</w:t>
      </w:r>
    </w:p>
    <w:p w14:paraId="740CF986" w14:textId="77777777" w:rsidR="001731F9" w:rsidRPr="00E73B63" w:rsidRDefault="001731F9" w:rsidP="001731F9">
      <w:pPr>
        <w:jc w:val="both"/>
        <w:rPr>
          <w:rFonts w:ascii="Arial" w:eastAsia="Calibri" w:hAnsi="Arial" w:cs="Arial"/>
          <w:shd w:val="clear" w:color="auto" w:fill="FFFFFF"/>
        </w:rPr>
      </w:pPr>
      <w:r w:rsidRPr="00E73B63">
        <w:rPr>
          <w:rFonts w:ascii="Arial" w:eastAsia="Calibri" w:hAnsi="Arial" w:cs="Arial"/>
        </w:rPr>
        <w:t>V tem členu so opredeljeni pojmi, ki se uporabljajo v celotnem besedilu pravilnika.  V določenem delu se vsebina tega pravilnika dotika tudi področja motornih vozil, zato se pojmi v tem zakonu, ki sodijo na področje motornih vozil uporabljajo v pomenu, kot ga določajo predpisi s področja motornih vozil (Zakon o motornih vozilih in Uredbe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Pojmi s področja alternativnih goriv se uporabljajo  v enakem pomenu kot določa Zakon o infrastrukturi za alternativna goriva in spodbujanju prehoda na alternativna goriva v prometu. Izraz "bencinski servis" se uporablja v enakem pomenu kot je določen v Pravilniku o tehničnih zahtevah za gradnjo in obratovanje postaj za preskrbo motornih vozil z gorivi .</w:t>
      </w:r>
    </w:p>
    <w:p w14:paraId="30CD8A2F" w14:textId="77777777" w:rsidR="001731F9" w:rsidRPr="00E73B63" w:rsidRDefault="001731F9" w:rsidP="001731F9">
      <w:pPr>
        <w:jc w:val="both"/>
        <w:rPr>
          <w:rFonts w:ascii="Arial" w:eastAsia="Calibri" w:hAnsi="Arial" w:cs="Arial"/>
          <w:b/>
        </w:rPr>
      </w:pPr>
      <w:r w:rsidRPr="00E73B63">
        <w:rPr>
          <w:rFonts w:ascii="Arial" w:eastAsia="Calibri" w:hAnsi="Arial" w:cs="Arial"/>
          <w:b/>
        </w:rPr>
        <w:t>K 3. členu  (izračun okvirnih stroškov osebnih avtomobilov na 100 km glede na vrsto goriv)</w:t>
      </w:r>
    </w:p>
    <w:p w14:paraId="583AF454" w14:textId="77777777" w:rsidR="001731F9" w:rsidRPr="00E73B63" w:rsidRDefault="001731F9" w:rsidP="001731F9">
      <w:pPr>
        <w:jc w:val="both"/>
        <w:rPr>
          <w:rFonts w:ascii="Arial" w:eastAsia="Calibri" w:hAnsi="Arial" w:cs="Arial"/>
        </w:rPr>
      </w:pPr>
      <w:r w:rsidRPr="00E73B63">
        <w:rPr>
          <w:rFonts w:ascii="Arial" w:eastAsia="Calibri" w:hAnsi="Arial" w:cs="Arial"/>
        </w:rPr>
        <w:t xml:space="preserve">Ta člen določa podlago za uporabljeno metodologijo in dodatne dejavnike, ki vplivajo na izračun okvirnih stroškov različnih goriv na 100 km za izbrane vzorce osebnih avtomobilov in pri tem upošteva </w:t>
      </w:r>
      <w:r w:rsidRPr="00E73B63">
        <w:rPr>
          <w:rFonts w:ascii="Arial" w:hAnsi="Arial" w:cs="Arial"/>
          <w:szCs w:val="20"/>
        </w:rPr>
        <w:t>Izvedbeno uredbo Komisije (EU) 2018/732</w:t>
      </w:r>
      <w:r w:rsidRPr="00E73B63">
        <w:rPr>
          <w:rFonts w:ascii="Arial" w:eastAsia="Calibri" w:hAnsi="Arial" w:cs="Arial"/>
        </w:rPr>
        <w:t>. Na izračun vpliva tudi prodaja različnih tipov avtomobilov saj se pri izračunu upošteva poraba goriva za posamezne najbolje prodajane tipe vozil. Praviloma se upoštevajo podatki o prodaji v Sloveniji, v primeru nezadostnih podatkov pa se upoštevajo podatki o prodaji v Evropi.</w:t>
      </w:r>
    </w:p>
    <w:p w14:paraId="68BC30C0" w14:textId="77777777" w:rsidR="001731F9" w:rsidRPr="00E73B63" w:rsidRDefault="001731F9" w:rsidP="001731F9">
      <w:pPr>
        <w:jc w:val="both"/>
        <w:rPr>
          <w:rFonts w:ascii="Arial" w:eastAsia="Calibri" w:hAnsi="Arial" w:cs="Arial"/>
        </w:rPr>
      </w:pPr>
      <w:r w:rsidRPr="00E73B63">
        <w:rPr>
          <w:rFonts w:ascii="Arial" w:eastAsia="Calibri" w:hAnsi="Arial" w:cs="Arial"/>
        </w:rPr>
        <w:t>Osnova za izračun porabe goriva je globalno usklajen preizkusni postopek (WLTP). Če v določenem velikostnem razredu za določeno vrsto pogona ni na voljo nobenega vozila s primernim podatkom porabe, se izračun goriva v omenjenem velikostnem razredu za omenjeno vrsto pogona ne objavi. Zaradi različnih načinov obračunavanja polnjenja električne energije, se pri strošku električne energije ne upošteva fiksnih stroškov ob začetku polnjenja in se tudi ne upošteva dodatek k ceni, ki se začne obračunavati po daljšem časovnem intervalu. Na ta način je omogočena realna primerjava različnih stroškov polnjenja vozil z električno energijo.</w:t>
      </w:r>
    </w:p>
    <w:p w14:paraId="16A727B8" w14:textId="77777777" w:rsidR="001731F9" w:rsidRPr="00E73B63" w:rsidRDefault="001731F9" w:rsidP="001731F9">
      <w:pPr>
        <w:jc w:val="both"/>
        <w:rPr>
          <w:rFonts w:ascii="Arial" w:eastAsia="Calibri" w:hAnsi="Arial" w:cs="Arial"/>
        </w:rPr>
      </w:pPr>
      <w:r w:rsidRPr="00E73B63">
        <w:rPr>
          <w:rFonts w:ascii="Arial" w:eastAsia="Calibri" w:hAnsi="Arial" w:cs="Arial"/>
        </w:rPr>
        <w:t xml:space="preserve">V tem členu je tudi opredeljena klasifikacijo vozil, ki je uporabnikom razumljiva, določa vrste konvencionalnih in alternativnih goriv za katera so uporabnikom prikazani izračuni in časovni razpon zajetih podatkov. V primeru razvoja nadaljnjih alternativnih goriv (kot npr. </w:t>
      </w:r>
      <w:proofErr w:type="spellStart"/>
      <w:r w:rsidRPr="00E73B63">
        <w:rPr>
          <w:rFonts w:ascii="Arial" w:eastAsia="Calibri" w:hAnsi="Arial" w:cs="Arial"/>
        </w:rPr>
        <w:t>biogoriva</w:t>
      </w:r>
      <w:proofErr w:type="spellEnd"/>
      <w:r w:rsidRPr="00E73B63">
        <w:rPr>
          <w:rFonts w:ascii="Arial" w:eastAsia="Calibri" w:hAnsi="Arial" w:cs="Arial"/>
        </w:rPr>
        <w:t>) se Preglednica z informacijami o stroških osebnih avtomobilov na 100 km glede na vrsto goriv razširi še na ta alternativna goriva.</w:t>
      </w:r>
    </w:p>
    <w:p w14:paraId="25AB7BE3" w14:textId="77777777" w:rsidR="001731F9" w:rsidRPr="00E73B63" w:rsidRDefault="001731F9" w:rsidP="001731F9">
      <w:pPr>
        <w:jc w:val="both"/>
        <w:rPr>
          <w:rFonts w:ascii="Arial" w:eastAsia="Calibri" w:hAnsi="Arial" w:cs="Arial"/>
        </w:rPr>
      </w:pPr>
      <w:r w:rsidRPr="00E73B63">
        <w:rPr>
          <w:rFonts w:ascii="Arial" w:eastAsia="Calibri" w:hAnsi="Arial" w:cs="Arial"/>
        </w:rPr>
        <w:t xml:space="preserve">Posledično so podatki primerljivi, informacije pa za uporabnike razumljive in uporabne. Člen tudi določa obveznost objave informacij na spletnem portalu ministrstva, pristojnega za energijo. </w:t>
      </w:r>
    </w:p>
    <w:p w14:paraId="3EBC763A" w14:textId="77777777" w:rsidR="001731F9" w:rsidRPr="00E73B63" w:rsidRDefault="001731F9" w:rsidP="001731F9">
      <w:pPr>
        <w:jc w:val="both"/>
        <w:rPr>
          <w:rFonts w:ascii="Arial" w:eastAsia="Calibri" w:hAnsi="Arial" w:cs="Arial"/>
        </w:rPr>
      </w:pPr>
    </w:p>
    <w:p w14:paraId="5F1062D7" w14:textId="77777777" w:rsidR="001731F9" w:rsidRPr="00E73B63" w:rsidRDefault="001731F9" w:rsidP="001731F9">
      <w:pPr>
        <w:jc w:val="both"/>
        <w:rPr>
          <w:rFonts w:ascii="Arial" w:eastAsia="Calibri" w:hAnsi="Arial" w:cs="Arial"/>
          <w:b/>
        </w:rPr>
      </w:pPr>
      <w:r w:rsidRPr="00E73B63">
        <w:rPr>
          <w:rFonts w:ascii="Arial" w:eastAsia="Calibri" w:hAnsi="Arial" w:cs="Arial"/>
          <w:b/>
        </w:rPr>
        <w:t>K 4. členu  (način prikaza informacij o primerjavi stroškov goriv na bencinskih črpalkah)</w:t>
      </w:r>
    </w:p>
    <w:p w14:paraId="12ACAECB" w14:textId="77777777" w:rsidR="001731F9" w:rsidRPr="00E73B63" w:rsidRDefault="001731F9" w:rsidP="001731F9">
      <w:pPr>
        <w:spacing w:before="240" w:after="240" w:line="240" w:lineRule="auto"/>
        <w:jc w:val="both"/>
        <w:rPr>
          <w:rFonts w:ascii="Arial" w:eastAsia="Calibri" w:hAnsi="Arial" w:cs="Arial"/>
          <w:shd w:val="clear" w:color="auto" w:fill="FFFFFF"/>
        </w:rPr>
      </w:pPr>
      <w:r w:rsidRPr="00E73B63">
        <w:rPr>
          <w:rFonts w:ascii="Arial" w:eastAsia="Calibri" w:hAnsi="Arial" w:cs="Arial"/>
          <w:shd w:val="clear" w:color="auto" w:fill="FFFFFF"/>
        </w:rPr>
        <w:t>Opredeljen je način prikaza informacij za uporabnike ter lokacija. Ker vseh informacij ni možno prikazati na lokaciji bencinskega servisa (v Preglednici z informacijami o stroških osebnih avtomobilov na 100 km glede na vrsto goriv), je dodano navodilo kje lahko uporabniki pridobijo dodatne informacije v zvezi z izračunom okvirnih stroškov goriv na 100 km za izbrane vzorce osebnih avtomobilov.</w:t>
      </w:r>
    </w:p>
    <w:p w14:paraId="05BA6FAD" w14:textId="77777777" w:rsidR="001731F9" w:rsidRPr="00E73B63" w:rsidRDefault="001731F9" w:rsidP="001731F9">
      <w:pPr>
        <w:spacing w:before="240" w:after="240" w:line="240" w:lineRule="auto"/>
        <w:jc w:val="both"/>
        <w:rPr>
          <w:rFonts w:ascii="Arial" w:eastAsia="Calibri" w:hAnsi="Arial" w:cs="Arial"/>
          <w:shd w:val="clear" w:color="auto" w:fill="FFFFFF"/>
        </w:rPr>
      </w:pPr>
    </w:p>
    <w:p w14:paraId="5C5AEFBA" w14:textId="77777777" w:rsidR="001731F9" w:rsidRPr="00E73B63" w:rsidRDefault="001731F9" w:rsidP="001731F9">
      <w:pPr>
        <w:jc w:val="both"/>
        <w:rPr>
          <w:rFonts w:ascii="Arial" w:eastAsia="Calibri" w:hAnsi="Arial" w:cs="Arial"/>
          <w:b/>
        </w:rPr>
      </w:pPr>
      <w:r w:rsidRPr="00E73B63">
        <w:rPr>
          <w:rFonts w:ascii="Arial" w:eastAsia="Calibri" w:hAnsi="Arial" w:cs="Arial"/>
          <w:b/>
        </w:rPr>
        <w:lastRenderedPageBreak/>
        <w:t>K 5. členu  (rok za objavo)</w:t>
      </w:r>
    </w:p>
    <w:p w14:paraId="27AB8F09" w14:textId="77777777" w:rsidR="001731F9" w:rsidRPr="00E73B63" w:rsidRDefault="001731F9" w:rsidP="001731F9">
      <w:pPr>
        <w:spacing w:before="240" w:after="240" w:line="240" w:lineRule="auto"/>
        <w:jc w:val="both"/>
        <w:rPr>
          <w:rFonts w:ascii="Arial" w:eastAsia="Calibri" w:hAnsi="Arial" w:cs="Arial"/>
          <w:shd w:val="clear" w:color="auto" w:fill="FFFFFF"/>
        </w:rPr>
      </w:pPr>
      <w:r w:rsidRPr="00E73B63">
        <w:rPr>
          <w:rFonts w:ascii="Arial" w:eastAsia="Calibri" w:hAnsi="Arial" w:cs="Arial"/>
          <w:shd w:val="clear" w:color="auto" w:fill="FFFFFF"/>
        </w:rPr>
        <w:t>Izračun okvirnih stroškov goriv osebnih avtomobilov na 100 km se periodično posodablja, zato ta člen določa rok za pripravo posodobljenega izračuna in rok za objavo posodobljenega izračuna. Rok za pripravo in objavo je določen glede na dostopnost podatkov o cenah goriv in energentov objavljenih na spletnih straneh portala energetika (</w:t>
      </w:r>
      <w:hyperlink r:id="rId6" w:history="1">
        <w:r w:rsidRPr="00E73B63">
          <w:rPr>
            <w:rStyle w:val="Hiperpovezava"/>
            <w:rFonts w:ascii="Arial" w:eastAsia="Calibri" w:hAnsi="Arial" w:cs="Arial"/>
            <w:color w:val="auto"/>
            <w:shd w:val="clear" w:color="auto" w:fill="FFFFFF"/>
          </w:rPr>
          <w:t>https://www.energetika-portal.si/</w:t>
        </w:r>
      </w:hyperlink>
      <w:r w:rsidRPr="00E73B63">
        <w:rPr>
          <w:rFonts w:ascii="Arial" w:eastAsia="Calibri" w:hAnsi="Arial" w:cs="Arial"/>
          <w:shd w:val="clear" w:color="auto" w:fill="FFFFFF"/>
        </w:rPr>
        <w:t xml:space="preserve">) v pristojnosti MOPE. Ker je izračun povprečnih maloprodajnih cen električne energije objavljen šele 60 dni po zaključku četrtletja, je posledično izračun mogoče pripraviti šele po omenjenem roku zaradi česar je MOPE dolžno pripraviti in objaviti izračun najkasneje 10 dni po poteku tega roka. </w:t>
      </w:r>
    </w:p>
    <w:p w14:paraId="7B9B0549" w14:textId="77777777" w:rsidR="001731F9" w:rsidRPr="00E73B63" w:rsidRDefault="001731F9" w:rsidP="001731F9">
      <w:pPr>
        <w:spacing w:before="240" w:after="240" w:line="240" w:lineRule="auto"/>
        <w:jc w:val="both"/>
        <w:rPr>
          <w:rFonts w:ascii="Arial" w:eastAsia="Calibri" w:hAnsi="Arial" w:cs="Arial"/>
          <w:shd w:val="clear" w:color="auto" w:fill="FFFFFF"/>
        </w:rPr>
      </w:pPr>
      <w:r w:rsidRPr="00E73B63">
        <w:rPr>
          <w:rFonts w:ascii="Arial" w:eastAsia="Calibri" w:hAnsi="Arial" w:cs="Arial"/>
          <w:shd w:val="clear" w:color="auto" w:fill="FFFFFF"/>
        </w:rPr>
        <w:t>Informacije o stroških goriva osebnih vozil na 100 km so voznikom osebnih avtomobilov dolžni zagotavljati trgovci z gorivom na bencinskih servisih še isti mesec do 25. v mesecu.</w:t>
      </w:r>
    </w:p>
    <w:p w14:paraId="0526CA7E" w14:textId="77777777" w:rsidR="001731F9" w:rsidRPr="00E73B63" w:rsidRDefault="001731F9" w:rsidP="001731F9">
      <w:pPr>
        <w:spacing w:before="240" w:after="240" w:line="240" w:lineRule="auto"/>
        <w:jc w:val="both"/>
        <w:rPr>
          <w:rFonts w:ascii="Arial" w:eastAsia="Calibri" w:hAnsi="Arial" w:cs="Arial"/>
          <w:shd w:val="clear" w:color="auto" w:fill="FFFFFF"/>
        </w:rPr>
      </w:pPr>
      <w:r w:rsidRPr="00E73B63">
        <w:rPr>
          <w:rFonts w:ascii="Arial" w:eastAsia="Calibri" w:hAnsi="Arial" w:cs="Arial"/>
          <w:shd w:val="clear" w:color="auto" w:fill="FFFFFF"/>
        </w:rPr>
        <w:t xml:space="preserve"> </w:t>
      </w:r>
    </w:p>
    <w:p w14:paraId="3C32F8C0" w14:textId="77777777" w:rsidR="001731F9" w:rsidRPr="00E73B63" w:rsidRDefault="001731F9" w:rsidP="001731F9">
      <w:pPr>
        <w:jc w:val="both"/>
        <w:rPr>
          <w:rFonts w:ascii="Arial" w:eastAsia="Calibri" w:hAnsi="Arial" w:cs="Arial"/>
          <w:b/>
        </w:rPr>
      </w:pPr>
      <w:r w:rsidRPr="00E73B63">
        <w:rPr>
          <w:rFonts w:ascii="Arial" w:eastAsia="Calibri" w:hAnsi="Arial" w:cs="Arial"/>
          <w:b/>
        </w:rPr>
        <w:t>K 6. členu  (začetek veljavnosti)</w:t>
      </w:r>
    </w:p>
    <w:p w14:paraId="0A7DA157" w14:textId="77777777" w:rsidR="001731F9" w:rsidRPr="00E73B63" w:rsidRDefault="001731F9" w:rsidP="001731F9">
      <w:pPr>
        <w:spacing w:before="240" w:after="240" w:line="240" w:lineRule="auto"/>
        <w:jc w:val="both"/>
        <w:rPr>
          <w:rFonts w:ascii="Arial" w:eastAsia="Calibri" w:hAnsi="Arial" w:cs="Arial"/>
          <w:shd w:val="clear" w:color="auto" w:fill="FFFFFF"/>
        </w:rPr>
      </w:pPr>
      <w:r w:rsidRPr="00E73B63">
        <w:rPr>
          <w:rFonts w:ascii="Arial" w:eastAsia="Calibri" w:hAnsi="Arial" w:cs="Arial"/>
          <w:shd w:val="clear" w:color="auto" w:fill="FFFFFF"/>
        </w:rPr>
        <w:t xml:space="preserve">Ta člen določa splošen </w:t>
      </w:r>
      <w:proofErr w:type="spellStart"/>
      <w:r w:rsidRPr="00E73B63">
        <w:rPr>
          <w:rFonts w:ascii="Arial" w:eastAsia="Calibri" w:hAnsi="Arial" w:cs="Arial"/>
          <w:shd w:val="clear" w:color="auto" w:fill="FFFFFF"/>
        </w:rPr>
        <w:t>vakacijski</w:t>
      </w:r>
      <w:proofErr w:type="spellEnd"/>
      <w:r w:rsidRPr="00E73B63">
        <w:rPr>
          <w:rFonts w:ascii="Arial" w:eastAsia="Calibri" w:hAnsi="Arial" w:cs="Arial"/>
          <w:shd w:val="clear" w:color="auto" w:fill="FFFFFF"/>
        </w:rPr>
        <w:t xml:space="preserve"> rok, torej da začne pravilnik veljati petnajsti dan po objavi v Uradnem listu Republike Slovenije.</w:t>
      </w:r>
    </w:p>
    <w:p w14:paraId="723E24EF" w14:textId="77777777" w:rsidR="002A5F51" w:rsidRPr="00B57491" w:rsidRDefault="002A5F51" w:rsidP="00B57491">
      <w:pPr>
        <w:jc w:val="both"/>
        <w:rPr>
          <w:rFonts w:ascii="Arial" w:eastAsia="Calibri" w:hAnsi="Arial" w:cs="Arial"/>
          <w:b/>
        </w:rPr>
      </w:pPr>
    </w:p>
    <w:p w14:paraId="28DAD748" w14:textId="77777777" w:rsidR="00B57491" w:rsidRPr="00B57491" w:rsidRDefault="00B57491" w:rsidP="00B57491">
      <w:pPr>
        <w:rPr>
          <w:rFonts w:ascii="Arial" w:eastAsia="Calibri" w:hAnsi="Arial" w:cs="Arial"/>
        </w:rPr>
      </w:pPr>
    </w:p>
    <w:sectPr w:rsidR="00B57491" w:rsidRPr="00B57491" w:rsidSect="002D4F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22721"/>
    <w:multiLevelType w:val="hybridMultilevel"/>
    <w:tmpl w:val="AEB85DC6"/>
    <w:lvl w:ilvl="0" w:tplc="3E269D28">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27569A"/>
    <w:multiLevelType w:val="hybridMultilevel"/>
    <w:tmpl w:val="1DA6DF70"/>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7F5EFE"/>
    <w:multiLevelType w:val="hybridMultilevel"/>
    <w:tmpl w:val="DF9E67A8"/>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F23F20"/>
    <w:multiLevelType w:val="hybridMultilevel"/>
    <w:tmpl w:val="846E1804"/>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19492E5C"/>
    <w:multiLevelType w:val="hybridMultilevel"/>
    <w:tmpl w:val="95D48AF6"/>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D9436A"/>
    <w:multiLevelType w:val="hybridMultilevel"/>
    <w:tmpl w:val="F062752E"/>
    <w:lvl w:ilvl="0" w:tplc="AF82BD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2E594F"/>
    <w:multiLevelType w:val="hybridMultilevel"/>
    <w:tmpl w:val="0374F40E"/>
    <w:lvl w:ilvl="0" w:tplc="0A04A46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1EA4241E"/>
    <w:multiLevelType w:val="hybridMultilevel"/>
    <w:tmpl w:val="BD1C82C6"/>
    <w:lvl w:ilvl="0" w:tplc="AF82BD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FA55CF"/>
    <w:multiLevelType w:val="hybridMultilevel"/>
    <w:tmpl w:val="3BCA4406"/>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A676F1"/>
    <w:multiLevelType w:val="hybridMultilevel"/>
    <w:tmpl w:val="8960CBC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BB794D"/>
    <w:multiLevelType w:val="hybridMultilevel"/>
    <w:tmpl w:val="87568B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8726936"/>
    <w:multiLevelType w:val="hybridMultilevel"/>
    <w:tmpl w:val="78D27D88"/>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8741ABF"/>
    <w:multiLevelType w:val="hybridMultilevel"/>
    <w:tmpl w:val="A5A63E88"/>
    <w:lvl w:ilvl="0" w:tplc="AF82BD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B144A42"/>
    <w:multiLevelType w:val="hybridMultilevel"/>
    <w:tmpl w:val="348EA660"/>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4" w15:restartNumberingAfterBreak="0">
    <w:nsid w:val="2CD7781E"/>
    <w:multiLevelType w:val="hybridMultilevel"/>
    <w:tmpl w:val="ABECE8F8"/>
    <w:lvl w:ilvl="0" w:tplc="AF82BD28">
      <w:start w:val="1"/>
      <w:numFmt w:val="bullet"/>
      <w:lvlText w:val=""/>
      <w:lvlJc w:val="left"/>
      <w:pPr>
        <w:ind w:left="720" w:hanging="360"/>
      </w:pPr>
      <w:rPr>
        <w:rFonts w:ascii="Symbol" w:hAnsi="Symbo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73A5A00"/>
    <w:multiLevelType w:val="hybridMultilevel"/>
    <w:tmpl w:val="04988CB2"/>
    <w:lvl w:ilvl="0" w:tplc="76AC1A70">
      <w:start w:val="49"/>
      <w:numFmt w:val="bullet"/>
      <w:lvlText w:val=""/>
      <w:lvlJc w:val="left"/>
      <w:pPr>
        <w:ind w:left="1571" w:hanging="360"/>
      </w:pPr>
      <w:rPr>
        <w:rFonts w:ascii="Symbol" w:eastAsia="Times New Roman" w:hAnsi="Symbol" w:cs="Times New Roman"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6" w15:restartNumberingAfterBreak="0">
    <w:nsid w:val="3C001621"/>
    <w:multiLevelType w:val="hybridMultilevel"/>
    <w:tmpl w:val="511E6260"/>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1883B96"/>
    <w:multiLevelType w:val="hybridMultilevel"/>
    <w:tmpl w:val="30F47316"/>
    <w:lvl w:ilvl="0" w:tplc="E50A5466">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4370738C"/>
    <w:multiLevelType w:val="hybridMultilevel"/>
    <w:tmpl w:val="076C275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AA3838"/>
    <w:multiLevelType w:val="hybridMultilevel"/>
    <w:tmpl w:val="D5387A72"/>
    <w:lvl w:ilvl="0" w:tplc="7A6AA3C2">
      <w:start w:val="2"/>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4CB913AC"/>
    <w:multiLevelType w:val="hybridMultilevel"/>
    <w:tmpl w:val="ECA07D96"/>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CF7758C"/>
    <w:multiLevelType w:val="hybridMultilevel"/>
    <w:tmpl w:val="841EE636"/>
    <w:lvl w:ilvl="0" w:tplc="35E8572E">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3326C95"/>
    <w:multiLevelType w:val="hybridMultilevel"/>
    <w:tmpl w:val="C6B83BB2"/>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63046A4"/>
    <w:multiLevelType w:val="hybridMultilevel"/>
    <w:tmpl w:val="761C7786"/>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52603E"/>
    <w:multiLevelType w:val="hybridMultilevel"/>
    <w:tmpl w:val="70F628E4"/>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ADC6631"/>
    <w:multiLevelType w:val="hybridMultilevel"/>
    <w:tmpl w:val="C6C284B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D985599"/>
    <w:multiLevelType w:val="hybridMultilevel"/>
    <w:tmpl w:val="E62E1C66"/>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10E20E9"/>
    <w:multiLevelType w:val="hybridMultilevel"/>
    <w:tmpl w:val="A4DC1C5A"/>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19D12CE"/>
    <w:multiLevelType w:val="hybridMultilevel"/>
    <w:tmpl w:val="D27ECCE2"/>
    <w:lvl w:ilvl="0" w:tplc="0A04A466">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25A5BFB"/>
    <w:multiLevelType w:val="hybridMultilevel"/>
    <w:tmpl w:val="EB7ED1B0"/>
    <w:lvl w:ilvl="0" w:tplc="0136F0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82A5369"/>
    <w:multiLevelType w:val="hybridMultilevel"/>
    <w:tmpl w:val="6A0E0C0E"/>
    <w:lvl w:ilvl="0" w:tplc="AF82BD28">
      <w:start w:val="1"/>
      <w:numFmt w:val="bullet"/>
      <w:lvlText w:val=""/>
      <w:lvlJc w:val="left"/>
      <w:pPr>
        <w:ind w:left="720" w:hanging="360"/>
      </w:pPr>
      <w:rPr>
        <w:rFonts w:ascii="Symbol" w:hAnsi="Symbo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F3231BB"/>
    <w:multiLevelType w:val="hybridMultilevel"/>
    <w:tmpl w:val="285004A4"/>
    <w:lvl w:ilvl="0" w:tplc="3E269D28">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A31D53"/>
    <w:multiLevelType w:val="hybridMultilevel"/>
    <w:tmpl w:val="5B12179A"/>
    <w:lvl w:ilvl="0" w:tplc="AF82BD28">
      <w:start w:val="1"/>
      <w:numFmt w:val="bullet"/>
      <w:lvlText w:val=""/>
      <w:lvlJc w:val="left"/>
      <w:pPr>
        <w:ind w:left="720" w:hanging="360"/>
      </w:pPr>
      <w:rPr>
        <w:rFonts w:ascii="Symbol" w:hAnsi="Symbo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1482278"/>
    <w:multiLevelType w:val="hybridMultilevel"/>
    <w:tmpl w:val="1EEA6146"/>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34" w15:restartNumberingAfterBreak="0">
    <w:nsid w:val="72103125"/>
    <w:multiLevelType w:val="hybridMultilevel"/>
    <w:tmpl w:val="0570F1F8"/>
    <w:lvl w:ilvl="0" w:tplc="AF82BD28">
      <w:start w:val="1"/>
      <w:numFmt w:val="bullet"/>
      <w:lvlText w:val=""/>
      <w:lvlJc w:val="left"/>
      <w:pPr>
        <w:ind w:left="720" w:hanging="360"/>
      </w:pPr>
      <w:rPr>
        <w:rFonts w:ascii="Symbol" w:hAnsi="Symbo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4EA0FF1"/>
    <w:multiLevelType w:val="hybridMultilevel"/>
    <w:tmpl w:val="53B26E28"/>
    <w:lvl w:ilvl="0" w:tplc="B03A2F84">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CF87A68"/>
    <w:multiLevelType w:val="hybridMultilevel"/>
    <w:tmpl w:val="93D01D2C"/>
    <w:lvl w:ilvl="0" w:tplc="24869812">
      <w:start w:val="3"/>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D2E22DA"/>
    <w:multiLevelType w:val="hybridMultilevel"/>
    <w:tmpl w:val="CA6E6ACC"/>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C05E0E"/>
    <w:multiLevelType w:val="hybridMultilevel"/>
    <w:tmpl w:val="161C8972"/>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FCF6E71"/>
    <w:multiLevelType w:val="hybridMultilevel"/>
    <w:tmpl w:val="70BEA25E"/>
    <w:lvl w:ilvl="0" w:tplc="AF82BD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75184344">
    <w:abstractNumId w:val="28"/>
  </w:num>
  <w:num w:numId="2" w16cid:durableId="2071027831">
    <w:abstractNumId w:val="20"/>
  </w:num>
  <w:num w:numId="3" w16cid:durableId="1044135150">
    <w:abstractNumId w:val="18"/>
  </w:num>
  <w:num w:numId="4" w16cid:durableId="1767847602">
    <w:abstractNumId w:val="23"/>
  </w:num>
  <w:num w:numId="5" w16cid:durableId="1626690880">
    <w:abstractNumId w:val="26"/>
  </w:num>
  <w:num w:numId="6" w16cid:durableId="1739474270">
    <w:abstractNumId w:val="1"/>
  </w:num>
  <w:num w:numId="7" w16cid:durableId="792795789">
    <w:abstractNumId w:val="6"/>
  </w:num>
  <w:num w:numId="8" w16cid:durableId="1731535036">
    <w:abstractNumId w:val="38"/>
  </w:num>
  <w:num w:numId="9" w16cid:durableId="300621515">
    <w:abstractNumId w:val="22"/>
  </w:num>
  <w:num w:numId="10" w16cid:durableId="865217909">
    <w:abstractNumId w:val="4"/>
  </w:num>
  <w:num w:numId="11" w16cid:durableId="339164303">
    <w:abstractNumId w:val="16"/>
  </w:num>
  <w:num w:numId="12" w16cid:durableId="547882927">
    <w:abstractNumId w:val="8"/>
  </w:num>
  <w:num w:numId="13" w16cid:durableId="629827231">
    <w:abstractNumId w:val="27"/>
  </w:num>
  <w:num w:numId="14" w16cid:durableId="17890841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43769684">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8678679">
    <w:abstractNumId w:val="35"/>
  </w:num>
  <w:num w:numId="17" w16cid:durableId="1402367813">
    <w:abstractNumId w:val="9"/>
  </w:num>
  <w:num w:numId="18" w16cid:durableId="503328835">
    <w:abstractNumId w:val="15"/>
  </w:num>
  <w:num w:numId="19" w16cid:durableId="653990774">
    <w:abstractNumId w:val="37"/>
  </w:num>
  <w:num w:numId="20" w16cid:durableId="1215384778">
    <w:abstractNumId w:val="29"/>
  </w:num>
  <w:num w:numId="21" w16cid:durableId="1812942677">
    <w:abstractNumId w:val="24"/>
  </w:num>
  <w:num w:numId="22" w16cid:durableId="987705547">
    <w:abstractNumId w:val="5"/>
  </w:num>
  <w:num w:numId="23" w16cid:durableId="1282230428">
    <w:abstractNumId w:val="32"/>
  </w:num>
  <w:num w:numId="24" w16cid:durableId="425157099">
    <w:abstractNumId w:val="30"/>
  </w:num>
  <w:num w:numId="25" w16cid:durableId="784159540">
    <w:abstractNumId w:val="34"/>
  </w:num>
  <w:num w:numId="26" w16cid:durableId="276907560">
    <w:abstractNumId w:val="14"/>
  </w:num>
  <w:num w:numId="27" w16cid:durableId="1062479973">
    <w:abstractNumId w:val="12"/>
  </w:num>
  <w:num w:numId="28" w16cid:durableId="831530003">
    <w:abstractNumId w:val="7"/>
  </w:num>
  <w:num w:numId="29" w16cid:durableId="1955748272">
    <w:abstractNumId w:val="39"/>
  </w:num>
  <w:num w:numId="30" w16cid:durableId="1398893012">
    <w:abstractNumId w:val="10"/>
  </w:num>
  <w:num w:numId="31" w16cid:durableId="269552386">
    <w:abstractNumId w:val="11"/>
  </w:num>
  <w:num w:numId="32" w16cid:durableId="2130129037">
    <w:abstractNumId w:val="25"/>
  </w:num>
  <w:num w:numId="33" w16cid:durableId="1985696913">
    <w:abstractNumId w:val="31"/>
  </w:num>
  <w:num w:numId="34" w16cid:durableId="1151412521">
    <w:abstractNumId w:val="36"/>
  </w:num>
  <w:num w:numId="35" w16cid:durableId="533156056">
    <w:abstractNumId w:val="0"/>
  </w:num>
  <w:num w:numId="36" w16cid:durableId="1743063736">
    <w:abstractNumId w:val="21"/>
  </w:num>
  <w:num w:numId="37" w16cid:durableId="791872448">
    <w:abstractNumId w:val="3"/>
  </w:num>
  <w:num w:numId="38" w16cid:durableId="1846281295">
    <w:abstractNumId w:val="33"/>
  </w:num>
  <w:num w:numId="39" w16cid:durableId="1267889466">
    <w:abstractNumId w:val="13"/>
  </w:num>
  <w:num w:numId="40" w16cid:durableId="18704158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491"/>
    <w:rsid w:val="00101DAE"/>
    <w:rsid w:val="001558F3"/>
    <w:rsid w:val="001731F9"/>
    <w:rsid w:val="002A5F51"/>
    <w:rsid w:val="002D4F4D"/>
    <w:rsid w:val="003039A6"/>
    <w:rsid w:val="00316CD1"/>
    <w:rsid w:val="00344C68"/>
    <w:rsid w:val="00392989"/>
    <w:rsid w:val="00392E20"/>
    <w:rsid w:val="003946AF"/>
    <w:rsid w:val="003B6037"/>
    <w:rsid w:val="00421343"/>
    <w:rsid w:val="004534C5"/>
    <w:rsid w:val="00462078"/>
    <w:rsid w:val="00462A89"/>
    <w:rsid w:val="00486D0B"/>
    <w:rsid w:val="004E79D8"/>
    <w:rsid w:val="00561A72"/>
    <w:rsid w:val="0065322F"/>
    <w:rsid w:val="006A643F"/>
    <w:rsid w:val="006F3901"/>
    <w:rsid w:val="006F5F62"/>
    <w:rsid w:val="00747DC0"/>
    <w:rsid w:val="007800CF"/>
    <w:rsid w:val="00815571"/>
    <w:rsid w:val="00837366"/>
    <w:rsid w:val="00857D91"/>
    <w:rsid w:val="00866C85"/>
    <w:rsid w:val="00926F0F"/>
    <w:rsid w:val="009442FE"/>
    <w:rsid w:val="009643D7"/>
    <w:rsid w:val="00984DA8"/>
    <w:rsid w:val="009D4D41"/>
    <w:rsid w:val="00A30431"/>
    <w:rsid w:val="00A339A6"/>
    <w:rsid w:val="00A92F87"/>
    <w:rsid w:val="00AA642D"/>
    <w:rsid w:val="00AE2919"/>
    <w:rsid w:val="00B2075E"/>
    <w:rsid w:val="00B44EEE"/>
    <w:rsid w:val="00B57491"/>
    <w:rsid w:val="00BD1BC8"/>
    <w:rsid w:val="00CD1556"/>
    <w:rsid w:val="00CD7667"/>
    <w:rsid w:val="00D13C21"/>
    <w:rsid w:val="00D3446F"/>
    <w:rsid w:val="00D71D37"/>
    <w:rsid w:val="00D73F0A"/>
    <w:rsid w:val="00DE6B4D"/>
    <w:rsid w:val="00E31292"/>
    <w:rsid w:val="00E540EC"/>
    <w:rsid w:val="00E603C8"/>
    <w:rsid w:val="00E62E21"/>
    <w:rsid w:val="00E72822"/>
    <w:rsid w:val="00ED09C5"/>
    <w:rsid w:val="00EE40E2"/>
    <w:rsid w:val="00EE54B1"/>
    <w:rsid w:val="00F03383"/>
    <w:rsid w:val="00F5348A"/>
    <w:rsid w:val="00FC74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5D75A"/>
  <w15:chartTrackingRefBased/>
  <w15:docId w15:val="{AD5B0310-AF67-4A0A-8BE4-C57B0D848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E2919"/>
    <w:pPr>
      <w:ind w:left="720"/>
      <w:contextualSpacing/>
    </w:pPr>
  </w:style>
  <w:style w:type="paragraph" w:styleId="Revizija">
    <w:name w:val="Revision"/>
    <w:hidden/>
    <w:uiPriority w:val="99"/>
    <w:semiHidden/>
    <w:rsid w:val="00EE40E2"/>
    <w:pPr>
      <w:spacing w:after="0" w:line="240" w:lineRule="auto"/>
    </w:pPr>
  </w:style>
  <w:style w:type="character" w:styleId="Pripombasklic">
    <w:name w:val="annotation reference"/>
    <w:basedOn w:val="Privzetapisavaodstavka"/>
    <w:uiPriority w:val="99"/>
    <w:semiHidden/>
    <w:unhideWhenUsed/>
    <w:rsid w:val="003B6037"/>
    <w:rPr>
      <w:sz w:val="16"/>
      <w:szCs w:val="16"/>
    </w:rPr>
  </w:style>
  <w:style w:type="paragraph" w:styleId="Pripombabesedilo">
    <w:name w:val="annotation text"/>
    <w:basedOn w:val="Navaden"/>
    <w:link w:val="PripombabesediloZnak"/>
    <w:uiPriority w:val="99"/>
    <w:unhideWhenUsed/>
    <w:rsid w:val="003B6037"/>
    <w:pPr>
      <w:spacing w:line="240" w:lineRule="auto"/>
    </w:pPr>
    <w:rPr>
      <w:sz w:val="20"/>
      <w:szCs w:val="20"/>
    </w:rPr>
  </w:style>
  <w:style w:type="character" w:customStyle="1" w:styleId="PripombabesediloZnak">
    <w:name w:val="Pripomba – besedilo Znak"/>
    <w:basedOn w:val="Privzetapisavaodstavka"/>
    <w:link w:val="Pripombabesedilo"/>
    <w:uiPriority w:val="99"/>
    <w:rsid w:val="003B6037"/>
    <w:rPr>
      <w:sz w:val="20"/>
      <w:szCs w:val="20"/>
    </w:rPr>
  </w:style>
  <w:style w:type="paragraph" w:styleId="Zadevapripombe">
    <w:name w:val="annotation subject"/>
    <w:basedOn w:val="Pripombabesedilo"/>
    <w:next w:val="Pripombabesedilo"/>
    <w:link w:val="ZadevapripombeZnak"/>
    <w:uiPriority w:val="99"/>
    <w:semiHidden/>
    <w:unhideWhenUsed/>
    <w:rsid w:val="003B6037"/>
    <w:rPr>
      <w:b/>
      <w:bCs/>
    </w:rPr>
  </w:style>
  <w:style w:type="character" w:customStyle="1" w:styleId="ZadevapripombeZnak">
    <w:name w:val="Zadeva pripombe Znak"/>
    <w:basedOn w:val="PripombabesediloZnak"/>
    <w:link w:val="Zadevapripombe"/>
    <w:uiPriority w:val="99"/>
    <w:semiHidden/>
    <w:rsid w:val="003B6037"/>
    <w:rPr>
      <w:b/>
      <w:bCs/>
      <w:sz w:val="20"/>
      <w:szCs w:val="20"/>
    </w:rPr>
  </w:style>
  <w:style w:type="paragraph" w:customStyle="1" w:styleId="Odstavekseznama1">
    <w:name w:val="Odstavek seznama1"/>
    <w:basedOn w:val="Navaden"/>
    <w:qFormat/>
    <w:rsid w:val="001731F9"/>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1731F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950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energetika-portal.si/"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C740542-F3A0-4FB4-B42B-B66CB2942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2175</Words>
  <Characters>12404</Characters>
  <Application>Microsoft Office Word</Application>
  <DocSecurity>0</DocSecurity>
  <Lines>103</Lines>
  <Paragraphs>29</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Lesjak</dc:creator>
  <cp:keywords/>
  <dc:description/>
  <cp:lastModifiedBy>Dijana Jukić</cp:lastModifiedBy>
  <cp:revision>2</cp:revision>
  <cp:lastPrinted>2024-06-18T11:39:00Z</cp:lastPrinted>
  <dcterms:created xsi:type="dcterms:W3CDTF">2024-07-12T06:56:00Z</dcterms:created>
  <dcterms:modified xsi:type="dcterms:W3CDTF">2024-07-12T06:56:00Z</dcterms:modified>
</cp:coreProperties>
</file>