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5B0E75" w14:textId="14C309ED" w:rsidR="003C1EBB" w:rsidRDefault="003C1EBB" w:rsidP="003C1EBB">
      <w:pPr>
        <w:jc w:val="center"/>
        <w:rPr>
          <w:b/>
        </w:rPr>
      </w:pPr>
    </w:p>
    <w:p w14:paraId="0A804FE8" w14:textId="6E102B4B" w:rsidR="00444E6E" w:rsidRPr="00A3087B" w:rsidRDefault="00444E6E" w:rsidP="00444E6E">
      <w:pPr>
        <w:jc w:val="right"/>
        <w:rPr>
          <w:b/>
        </w:rPr>
      </w:pPr>
      <w:r w:rsidRPr="00A3087B">
        <w:rPr>
          <w:b/>
        </w:rPr>
        <w:tab/>
      </w:r>
      <w:r w:rsidRPr="00A3087B">
        <w:rPr>
          <w:b/>
        </w:rPr>
        <w:tab/>
      </w:r>
      <w:r w:rsidRPr="00A3087B">
        <w:rPr>
          <w:b/>
        </w:rPr>
        <w:tab/>
      </w:r>
      <w:r w:rsidRPr="00A3087B">
        <w:rPr>
          <w:b/>
        </w:rPr>
        <w:tab/>
      </w:r>
      <w:r w:rsidRPr="00A3087B">
        <w:rPr>
          <w:b/>
        </w:rPr>
        <w:tab/>
      </w:r>
      <w:r w:rsidRPr="00A3087B">
        <w:rPr>
          <w:b/>
        </w:rPr>
        <w:tab/>
      </w:r>
      <w:r w:rsidRPr="00A3087B">
        <w:rPr>
          <w:b/>
        </w:rPr>
        <w:tab/>
      </w:r>
      <w:r w:rsidRPr="00A3087B">
        <w:rPr>
          <w:b/>
        </w:rPr>
        <w:tab/>
      </w:r>
      <w:r w:rsidRPr="00A3087B">
        <w:rPr>
          <w:b/>
        </w:rPr>
        <w:tab/>
      </w:r>
      <w:r w:rsidRPr="00A109AB">
        <w:rPr>
          <w:b/>
        </w:rPr>
        <w:t>EVA</w:t>
      </w:r>
      <w:r w:rsidR="00A109AB" w:rsidRPr="00A109AB">
        <w:rPr>
          <w:b/>
        </w:rPr>
        <w:t xml:space="preserve"> 2024</w:t>
      </w:r>
      <w:r w:rsidR="00A109AB">
        <w:rPr>
          <w:b/>
        </w:rPr>
        <w:t>-2570-0048</w:t>
      </w:r>
    </w:p>
    <w:p w14:paraId="778628E1" w14:textId="77777777" w:rsidR="00444E6E" w:rsidRPr="00A3087B" w:rsidRDefault="00444E6E" w:rsidP="00444E6E"/>
    <w:p w14:paraId="70DB4961" w14:textId="6636A5F9" w:rsidR="00444E6E" w:rsidRDefault="00444E6E" w:rsidP="00444E6E">
      <w:pPr>
        <w:jc w:val="both"/>
      </w:pPr>
      <w:r>
        <w:t>Na podlagi dvanajstega odstavka 20. člena Zakona o spodbujanju rabe obnovljivih virov energije (Uradni list RS, št. 121/21, 189/21</w:t>
      </w:r>
      <w:r w:rsidRPr="00AB5A17">
        <w:t xml:space="preserve"> in 121/22 – ZUOKPOE</w:t>
      </w:r>
      <w:r>
        <w:t>) Vlada Republike Slovenije izdaja</w:t>
      </w:r>
    </w:p>
    <w:p w14:paraId="279B0201" w14:textId="77777777" w:rsidR="00444E6E" w:rsidRPr="00A3087B" w:rsidRDefault="00444E6E" w:rsidP="00444E6E"/>
    <w:p w14:paraId="00A8AC45" w14:textId="77777777" w:rsidR="00444E6E" w:rsidRPr="00A3087B" w:rsidRDefault="00444E6E" w:rsidP="00444E6E"/>
    <w:p w14:paraId="61E5869E" w14:textId="77777777" w:rsidR="00444E6E" w:rsidRPr="00A3087B" w:rsidRDefault="00444E6E" w:rsidP="00444E6E">
      <w:pPr>
        <w:jc w:val="center"/>
        <w:rPr>
          <w:b/>
        </w:rPr>
      </w:pPr>
      <w:bookmarkStart w:id="0" w:name="_Hlk137804917"/>
      <w:r w:rsidRPr="00A3087B">
        <w:rPr>
          <w:b/>
        </w:rPr>
        <w:t>Uredbo</w:t>
      </w:r>
    </w:p>
    <w:p w14:paraId="3D6A340A" w14:textId="77777777" w:rsidR="00444E6E" w:rsidRPr="00A3087B" w:rsidRDefault="00444E6E" w:rsidP="00444E6E">
      <w:pPr>
        <w:jc w:val="center"/>
        <w:rPr>
          <w:b/>
        </w:rPr>
      </w:pPr>
      <w:r w:rsidRPr="00A3087B">
        <w:rPr>
          <w:b/>
        </w:rPr>
        <w:t xml:space="preserve">o spremembi </w:t>
      </w:r>
      <w:bookmarkStart w:id="1" w:name="_Hlk167975918"/>
      <w:r w:rsidRPr="00D949F1">
        <w:rPr>
          <w:b/>
        </w:rPr>
        <w:t>Uredb</w:t>
      </w:r>
      <w:r>
        <w:rPr>
          <w:b/>
        </w:rPr>
        <w:t>e</w:t>
      </w:r>
      <w:r w:rsidRPr="00D949F1">
        <w:rPr>
          <w:b/>
        </w:rPr>
        <w:t xml:space="preserve"> o pravilih za pripravo napovedi položaja proizvodnih naprav na obnovljive vire energije in s soproizvodnjo toplote in električne energije z visokim izkoristkom na trgu z električno energijo</w:t>
      </w:r>
      <w:bookmarkEnd w:id="1"/>
    </w:p>
    <w:bookmarkEnd w:id="0"/>
    <w:p w14:paraId="2E5B445E" w14:textId="77777777" w:rsidR="00444E6E" w:rsidRPr="00A3087B" w:rsidRDefault="00444E6E" w:rsidP="00444E6E"/>
    <w:p w14:paraId="7E5A90BA" w14:textId="77777777" w:rsidR="00444E6E" w:rsidRPr="00A3087B" w:rsidRDefault="00444E6E" w:rsidP="00444E6E"/>
    <w:p w14:paraId="736F33D1" w14:textId="77777777" w:rsidR="00444E6E" w:rsidRPr="00A7237C" w:rsidRDefault="00444E6E" w:rsidP="00444E6E">
      <w:pPr>
        <w:jc w:val="center"/>
        <w:rPr>
          <w:b/>
          <w:bCs/>
        </w:rPr>
      </w:pPr>
      <w:r w:rsidRPr="00A7237C">
        <w:rPr>
          <w:b/>
          <w:bCs/>
        </w:rPr>
        <w:t>1. člen</w:t>
      </w:r>
    </w:p>
    <w:p w14:paraId="0C23C9B2" w14:textId="77777777" w:rsidR="00444E6E" w:rsidRPr="00A3087B" w:rsidRDefault="00444E6E" w:rsidP="00444E6E">
      <w:pPr>
        <w:jc w:val="center"/>
      </w:pPr>
    </w:p>
    <w:p w14:paraId="53FD7360" w14:textId="77777777" w:rsidR="00444E6E" w:rsidRDefault="00444E6E" w:rsidP="00444E6E">
      <w:pPr>
        <w:spacing w:after="160" w:line="259" w:lineRule="auto"/>
        <w:jc w:val="both"/>
      </w:pPr>
      <w:r w:rsidRPr="00780709">
        <w:t xml:space="preserve">V </w:t>
      </w:r>
      <w:r w:rsidRPr="00E1480F">
        <w:t>Uredb</w:t>
      </w:r>
      <w:r>
        <w:t>i</w:t>
      </w:r>
      <w:r w:rsidRPr="00E1480F">
        <w:t xml:space="preserve"> o pravilih za pripravo napovedi položaja proizvodnih naprav na obnovljive vire energije in s soproizvodnjo toplote in električne energije z visokim izkoristkom na trgu z električno energijo </w:t>
      </w:r>
      <w:r w:rsidRPr="00780709">
        <w:t xml:space="preserve">(Uradni list RS, št. </w:t>
      </w:r>
      <w:r>
        <w:t>194/21</w:t>
      </w:r>
      <w:r w:rsidRPr="00780709">
        <w:t xml:space="preserve">) se </w:t>
      </w:r>
      <w:r>
        <w:t xml:space="preserve">Priloga 1 nadomesti z novo Prilogo 1, ki se glasi: »Pravila za določanje referenčne cene«. </w:t>
      </w:r>
    </w:p>
    <w:p w14:paraId="3D400F2E" w14:textId="77777777" w:rsidR="00444E6E" w:rsidRPr="00A7237C" w:rsidRDefault="00444E6E" w:rsidP="00444E6E">
      <w:pPr>
        <w:jc w:val="center"/>
        <w:rPr>
          <w:b/>
          <w:bCs/>
        </w:rPr>
      </w:pPr>
      <w:r w:rsidRPr="00A7237C">
        <w:rPr>
          <w:b/>
          <w:bCs/>
        </w:rPr>
        <w:t>KONČNA DOLOČBA</w:t>
      </w:r>
    </w:p>
    <w:p w14:paraId="5D93215D" w14:textId="77777777" w:rsidR="00444E6E" w:rsidRPr="00A7237C" w:rsidRDefault="00444E6E" w:rsidP="00444E6E">
      <w:pPr>
        <w:rPr>
          <w:b/>
          <w:bCs/>
        </w:rPr>
      </w:pPr>
    </w:p>
    <w:p w14:paraId="7073DBD4" w14:textId="77777777" w:rsidR="00444E6E" w:rsidRDefault="00444E6E" w:rsidP="00444E6E">
      <w:pPr>
        <w:jc w:val="center"/>
        <w:rPr>
          <w:b/>
          <w:bCs/>
        </w:rPr>
      </w:pPr>
      <w:r w:rsidRPr="00A7237C">
        <w:rPr>
          <w:b/>
          <w:bCs/>
        </w:rPr>
        <w:t>2. člen</w:t>
      </w:r>
    </w:p>
    <w:p w14:paraId="27C53533" w14:textId="77777777" w:rsidR="00444E6E" w:rsidRPr="00A7237C" w:rsidRDefault="00444E6E" w:rsidP="00444E6E">
      <w:pPr>
        <w:jc w:val="center"/>
        <w:rPr>
          <w:b/>
          <w:bCs/>
        </w:rPr>
      </w:pPr>
      <w:r>
        <w:rPr>
          <w:b/>
          <w:bCs/>
        </w:rPr>
        <w:t>(začetek veljavnosti)</w:t>
      </w:r>
    </w:p>
    <w:p w14:paraId="5396AFA1" w14:textId="77777777" w:rsidR="00444E6E" w:rsidRPr="00A3087B" w:rsidRDefault="00444E6E" w:rsidP="00444E6E"/>
    <w:p w14:paraId="56DCA5FA" w14:textId="676118D2" w:rsidR="00444E6E" w:rsidRPr="00A3087B" w:rsidRDefault="00444E6E" w:rsidP="00444E6E">
      <w:pPr>
        <w:jc w:val="both"/>
      </w:pPr>
      <w:r w:rsidRPr="00A3087B">
        <w:t xml:space="preserve">Ta uredba začne </w:t>
      </w:r>
      <w:r w:rsidRPr="0060709C">
        <w:t>veljati</w:t>
      </w:r>
      <w:r>
        <w:t xml:space="preserve"> </w:t>
      </w:r>
      <w:bookmarkStart w:id="2" w:name="_Hlk168059509"/>
      <w:r>
        <w:t>naslednji dan po objavi v Uradnem listu Republike Slovenije, prvič pa se uporabi za napoved za leto 202</w:t>
      </w:r>
      <w:r w:rsidR="0024777A">
        <w:t>5</w:t>
      </w:r>
      <w:r w:rsidRPr="0060709C">
        <w:t>.</w:t>
      </w:r>
      <w:bookmarkEnd w:id="2"/>
    </w:p>
    <w:p w14:paraId="69D856A3" w14:textId="77777777" w:rsidR="00444E6E" w:rsidRPr="00A3087B" w:rsidRDefault="00444E6E" w:rsidP="00444E6E">
      <w:pPr>
        <w:jc w:val="both"/>
      </w:pPr>
    </w:p>
    <w:p w14:paraId="2B809DDB" w14:textId="77777777" w:rsidR="00444E6E" w:rsidRPr="00A3087B" w:rsidRDefault="00444E6E" w:rsidP="00444E6E"/>
    <w:p w14:paraId="0034B0F5" w14:textId="77777777" w:rsidR="00444E6E" w:rsidRPr="001125E2" w:rsidRDefault="00444E6E" w:rsidP="00444E6E">
      <w:r w:rsidRPr="001125E2">
        <w:t xml:space="preserve">Št. </w:t>
      </w:r>
    </w:p>
    <w:p w14:paraId="007544AE" w14:textId="77777777" w:rsidR="00444E6E" w:rsidRPr="001125E2" w:rsidRDefault="00444E6E" w:rsidP="00444E6E">
      <w:r w:rsidRPr="001125E2">
        <w:t xml:space="preserve">Ljubljana, dne </w:t>
      </w:r>
    </w:p>
    <w:p w14:paraId="2DD877FE" w14:textId="1D124867" w:rsidR="00444E6E" w:rsidRPr="00A3087B" w:rsidRDefault="00444E6E" w:rsidP="00444E6E">
      <w:r w:rsidRPr="001125E2">
        <w:t xml:space="preserve">EVA </w:t>
      </w:r>
      <w:r w:rsidR="00504262">
        <w:t>20</w:t>
      </w:r>
      <w:r w:rsidR="00A27B7F">
        <w:t>24-2570-0048</w:t>
      </w:r>
    </w:p>
    <w:p w14:paraId="648016A3" w14:textId="77777777" w:rsidR="00444E6E" w:rsidRPr="00A3087B" w:rsidRDefault="00444E6E" w:rsidP="00444E6E"/>
    <w:p w14:paraId="20F155B1" w14:textId="77777777" w:rsidR="00444E6E" w:rsidRPr="00A3087B" w:rsidRDefault="00444E6E" w:rsidP="00444E6E"/>
    <w:p w14:paraId="65711F0C" w14:textId="77777777" w:rsidR="00444E6E" w:rsidRPr="00A3087B" w:rsidRDefault="00444E6E" w:rsidP="00444E6E">
      <w:pPr>
        <w:jc w:val="right"/>
      </w:pPr>
      <w:r w:rsidRPr="00A3087B">
        <w:t>Vlada Republike Slovenije</w:t>
      </w:r>
    </w:p>
    <w:p w14:paraId="3FC0EE98" w14:textId="77777777" w:rsidR="00444E6E" w:rsidRPr="00A3087B" w:rsidRDefault="00444E6E" w:rsidP="00444E6E">
      <w:pPr>
        <w:jc w:val="center"/>
      </w:pPr>
      <w:r w:rsidRPr="00A3087B">
        <w:t xml:space="preserve">                                                                                                              dr. Robert Golob</w:t>
      </w:r>
    </w:p>
    <w:p w14:paraId="678E11E3" w14:textId="77777777" w:rsidR="00444E6E" w:rsidRPr="00A3087B" w:rsidRDefault="00444E6E" w:rsidP="00444E6E">
      <w:pPr>
        <w:jc w:val="center"/>
        <w:rPr>
          <w:b/>
        </w:rPr>
      </w:pPr>
      <w:r w:rsidRPr="00A3087B">
        <w:t xml:space="preserve">                                                                                                              predsednik</w:t>
      </w:r>
      <w:r w:rsidRPr="00A3087B">
        <w:rPr>
          <w:b/>
        </w:rPr>
        <w:br w:type="page"/>
      </w:r>
    </w:p>
    <w:p w14:paraId="5051150B" w14:textId="77777777" w:rsidR="00444E6E" w:rsidRPr="00574B09" w:rsidRDefault="00444E6E" w:rsidP="00444E6E">
      <w:pPr>
        <w:spacing w:line="240" w:lineRule="auto"/>
        <w:outlineLvl w:val="0"/>
        <w:rPr>
          <w:rFonts w:cs="Arial"/>
          <w:b/>
          <w:lang w:eastAsia="sl-SI"/>
        </w:rPr>
      </w:pPr>
      <w:r w:rsidRPr="00574B09">
        <w:rPr>
          <w:rFonts w:cs="Arial"/>
          <w:b/>
          <w:lang w:eastAsia="sl-SI"/>
        </w:rPr>
        <w:lastRenderedPageBreak/>
        <w:t xml:space="preserve">PRILOGA 1   </w:t>
      </w:r>
    </w:p>
    <w:p w14:paraId="51A13032" w14:textId="77777777" w:rsidR="00444E6E" w:rsidRPr="00574B09" w:rsidRDefault="00444E6E" w:rsidP="00444E6E">
      <w:pPr>
        <w:spacing w:line="240" w:lineRule="auto"/>
        <w:outlineLvl w:val="0"/>
        <w:rPr>
          <w:rFonts w:cs="Arial"/>
          <w:lang w:eastAsia="sl-SI"/>
        </w:rPr>
      </w:pPr>
    </w:p>
    <w:p w14:paraId="2FC2C8E7" w14:textId="77777777" w:rsidR="00444E6E" w:rsidRPr="00574B09" w:rsidRDefault="00444E6E" w:rsidP="00444E6E">
      <w:pPr>
        <w:spacing w:line="240" w:lineRule="auto"/>
        <w:rPr>
          <w:rFonts w:cs="Arial"/>
          <w:lang w:eastAsia="sl-SI"/>
        </w:rPr>
      </w:pPr>
    </w:p>
    <w:p w14:paraId="5EA21E7B" w14:textId="77777777" w:rsidR="00444E6E" w:rsidRPr="00574B09" w:rsidRDefault="00444E6E" w:rsidP="00444E6E">
      <w:pPr>
        <w:spacing w:line="240" w:lineRule="auto"/>
        <w:rPr>
          <w:rFonts w:cs="Arial"/>
          <w:b/>
          <w:lang w:eastAsia="sl-SI"/>
        </w:rPr>
      </w:pPr>
      <w:r w:rsidRPr="00574B09">
        <w:rPr>
          <w:rFonts w:cs="Arial"/>
          <w:b/>
          <w:lang w:eastAsia="sl-SI"/>
        </w:rPr>
        <w:t>1.</w:t>
      </w:r>
      <w:r w:rsidRPr="00574B09">
        <w:rPr>
          <w:rFonts w:cs="Arial"/>
          <w:b/>
          <w:lang w:eastAsia="sl-SI"/>
        </w:rPr>
        <w:tab/>
        <w:t>Pravila za določanje referenčne cene električne energije</w:t>
      </w:r>
    </w:p>
    <w:p w14:paraId="0C78495A" w14:textId="77777777" w:rsidR="00444E6E" w:rsidRPr="00574B09" w:rsidRDefault="00444E6E" w:rsidP="00444E6E">
      <w:pPr>
        <w:spacing w:line="240" w:lineRule="auto"/>
        <w:rPr>
          <w:rFonts w:cs="Arial"/>
          <w:lang w:eastAsia="sl-SI"/>
        </w:rPr>
      </w:pPr>
    </w:p>
    <w:p w14:paraId="7DA2AE0D" w14:textId="77777777" w:rsidR="00444E6E" w:rsidRPr="00574B09" w:rsidRDefault="00444E6E" w:rsidP="00444E6E">
      <w:pPr>
        <w:spacing w:line="24" w:lineRule="atLeast"/>
        <w:jc w:val="both"/>
        <w:rPr>
          <w:rFonts w:cs="Arial"/>
          <w:lang w:eastAsia="sl-SI"/>
        </w:rPr>
      </w:pPr>
      <w:r w:rsidRPr="00574B09">
        <w:rPr>
          <w:rFonts w:cs="Arial"/>
          <w:lang w:eastAsia="sl-SI"/>
        </w:rPr>
        <w:t>Referenčna cena električne energije se določi na podlagi cenovnega modela, ki upošteva cene izvedenih finančnih instrumentov na madžarski borzi HUDEX (</w:t>
      </w:r>
      <w:proofErr w:type="spellStart"/>
      <w:r w:rsidRPr="00574B09">
        <w:rPr>
          <w:rFonts w:cs="Arial"/>
          <w:lang w:eastAsia="sl-SI"/>
        </w:rPr>
        <w:t>Hungarian</w:t>
      </w:r>
      <w:proofErr w:type="spellEnd"/>
      <w:r w:rsidRPr="00574B09">
        <w:rPr>
          <w:rFonts w:cs="Arial"/>
          <w:lang w:eastAsia="sl-SI"/>
        </w:rPr>
        <w:t xml:space="preserve"> </w:t>
      </w:r>
      <w:proofErr w:type="spellStart"/>
      <w:r w:rsidRPr="00574B09">
        <w:rPr>
          <w:rFonts w:cs="Arial"/>
          <w:lang w:eastAsia="sl-SI"/>
        </w:rPr>
        <w:t>Derivative</w:t>
      </w:r>
      <w:proofErr w:type="spellEnd"/>
      <w:r w:rsidRPr="00574B09">
        <w:rPr>
          <w:rFonts w:cs="Arial"/>
          <w:lang w:eastAsia="sl-SI"/>
        </w:rPr>
        <w:t xml:space="preserve"> </w:t>
      </w:r>
      <w:proofErr w:type="spellStart"/>
      <w:r w:rsidRPr="00574B09">
        <w:rPr>
          <w:rFonts w:cs="Arial"/>
          <w:lang w:eastAsia="sl-SI"/>
        </w:rPr>
        <w:t>Energy</w:t>
      </w:r>
      <w:proofErr w:type="spellEnd"/>
      <w:r w:rsidRPr="00574B09">
        <w:rPr>
          <w:rFonts w:cs="Arial"/>
          <w:lang w:eastAsia="sl-SI"/>
        </w:rPr>
        <w:t xml:space="preserve"> Exchange) za prihodnje leto.</w:t>
      </w:r>
    </w:p>
    <w:p w14:paraId="64FC16F1" w14:textId="77777777" w:rsidR="00444E6E" w:rsidRPr="00574B09" w:rsidRDefault="00444E6E" w:rsidP="00444E6E">
      <w:pPr>
        <w:spacing w:line="24" w:lineRule="atLeast"/>
        <w:jc w:val="both"/>
        <w:rPr>
          <w:rFonts w:cs="Arial"/>
          <w:lang w:eastAsia="sl-SI"/>
        </w:rPr>
      </w:pPr>
    </w:p>
    <w:p w14:paraId="3608FCE2" w14:textId="77777777" w:rsidR="00444E6E" w:rsidRPr="00574B09" w:rsidRDefault="00444E6E" w:rsidP="00444E6E">
      <w:pPr>
        <w:spacing w:line="24" w:lineRule="atLeast"/>
        <w:jc w:val="both"/>
        <w:rPr>
          <w:rFonts w:cs="Arial"/>
          <w:lang w:eastAsia="sl-SI"/>
        </w:rPr>
      </w:pPr>
      <w:r w:rsidRPr="00574B09">
        <w:rPr>
          <w:rFonts w:cs="Arial"/>
          <w:lang w:eastAsia="sl-SI"/>
        </w:rPr>
        <w:t xml:space="preserve">Referenčna cena električne energije se izračuna po naslednjem cenovnem modelu: </w:t>
      </w:r>
    </w:p>
    <w:p w14:paraId="11DA4212" w14:textId="77777777" w:rsidR="00444E6E" w:rsidRPr="00574B09" w:rsidRDefault="00444E6E" w:rsidP="00444E6E">
      <w:pPr>
        <w:spacing w:line="24" w:lineRule="atLeast"/>
        <w:jc w:val="both"/>
        <w:rPr>
          <w:rFonts w:cs="Arial"/>
          <w:lang w:eastAsia="sl-SI"/>
        </w:rPr>
      </w:pPr>
    </w:p>
    <w:p w14:paraId="7D256974" w14:textId="77777777" w:rsidR="00444E6E" w:rsidRPr="00574B09" w:rsidRDefault="00444E6E" w:rsidP="00444E6E">
      <w:pPr>
        <w:spacing w:line="24" w:lineRule="atLeast"/>
        <w:rPr>
          <w:rFonts w:cs="Arial"/>
          <w:b/>
          <w:i/>
          <w:lang w:eastAsia="sl-SI"/>
        </w:rPr>
      </w:pPr>
      <w:r w:rsidRPr="00574B09">
        <w:rPr>
          <w:rFonts w:cs="Arial"/>
          <w:b/>
          <w:i/>
          <w:lang w:eastAsia="sl-SI"/>
        </w:rPr>
        <w:t>C(</w:t>
      </w:r>
      <w:proofErr w:type="spellStart"/>
      <w:r w:rsidRPr="00574B09">
        <w:rPr>
          <w:rFonts w:cs="Arial"/>
          <w:b/>
          <w:i/>
          <w:lang w:eastAsia="sl-SI"/>
        </w:rPr>
        <w:t>El</w:t>
      </w:r>
      <w:r w:rsidRPr="00574B09">
        <w:rPr>
          <w:rFonts w:cs="Arial"/>
          <w:b/>
          <w:i/>
          <w:vertAlign w:val="subscript"/>
          <w:lang w:eastAsia="sl-SI"/>
        </w:rPr>
        <w:t>Ref</w:t>
      </w:r>
      <w:proofErr w:type="spellEnd"/>
      <w:r w:rsidRPr="00574B09">
        <w:rPr>
          <w:rFonts w:cs="Arial"/>
          <w:b/>
          <w:i/>
          <w:lang w:eastAsia="sl-SI"/>
        </w:rPr>
        <w:t>) = BL YR + 1</w:t>
      </w:r>
      <w:r w:rsidRPr="00B6414F">
        <w:rPr>
          <w:rFonts w:cs="Arial"/>
          <w:b/>
          <w:bCs/>
          <w:i/>
          <w:iCs/>
          <w:color w:val="000000"/>
        </w:rPr>
        <w:t xml:space="preserve"> </w:t>
      </w:r>
      <w:r>
        <w:rPr>
          <w:rFonts w:cs="Arial"/>
          <w:b/>
          <w:bCs/>
          <w:i/>
          <w:iCs/>
          <w:color w:val="000000"/>
        </w:rPr>
        <w:t>* 0,8</w:t>
      </w:r>
    </w:p>
    <w:p w14:paraId="1F4B7AD5" w14:textId="77777777" w:rsidR="00444E6E" w:rsidRPr="00574B09" w:rsidRDefault="00444E6E" w:rsidP="00444E6E">
      <w:pPr>
        <w:spacing w:line="24" w:lineRule="atLeast"/>
        <w:jc w:val="both"/>
        <w:rPr>
          <w:rFonts w:cs="Arial"/>
          <w:lang w:eastAsia="sl-SI"/>
        </w:rPr>
      </w:pPr>
    </w:p>
    <w:p w14:paraId="2DB4023D" w14:textId="77777777" w:rsidR="00444E6E" w:rsidRPr="00574B09" w:rsidRDefault="00444E6E" w:rsidP="00444E6E">
      <w:pPr>
        <w:spacing w:line="24" w:lineRule="atLeast"/>
        <w:jc w:val="both"/>
        <w:rPr>
          <w:rFonts w:cs="Arial"/>
          <w:lang w:eastAsia="sl-SI"/>
        </w:rPr>
      </w:pPr>
      <w:r w:rsidRPr="00574B09">
        <w:rPr>
          <w:rFonts w:cs="Arial"/>
          <w:lang w:eastAsia="sl-SI"/>
        </w:rPr>
        <w:t xml:space="preserve">V zgornjem modelu je: </w:t>
      </w:r>
    </w:p>
    <w:p w14:paraId="6DC6B539" w14:textId="77777777" w:rsidR="00444E6E" w:rsidRPr="00574B09" w:rsidRDefault="00444E6E" w:rsidP="00444E6E">
      <w:pPr>
        <w:spacing w:line="24" w:lineRule="atLeast"/>
        <w:jc w:val="both"/>
        <w:rPr>
          <w:rFonts w:cs="Arial"/>
          <w:lang w:eastAsia="sl-SI"/>
        </w:rPr>
      </w:pPr>
    </w:p>
    <w:p w14:paraId="7B234E74" w14:textId="77777777" w:rsidR="00444E6E" w:rsidRPr="00574B09" w:rsidRDefault="00444E6E" w:rsidP="00444E6E">
      <w:pPr>
        <w:numPr>
          <w:ilvl w:val="0"/>
          <w:numId w:val="1"/>
        </w:numPr>
        <w:spacing w:line="360" w:lineRule="auto"/>
        <w:jc w:val="both"/>
        <w:rPr>
          <w:rFonts w:cs="Arial"/>
          <w:lang w:eastAsia="sl-SI"/>
        </w:rPr>
      </w:pPr>
      <w:r w:rsidRPr="00574B09">
        <w:rPr>
          <w:rFonts w:cs="Arial"/>
          <w:lang w:eastAsia="sl-SI"/>
        </w:rPr>
        <w:t>C(</w:t>
      </w:r>
      <w:proofErr w:type="spellStart"/>
      <w:r w:rsidRPr="00574B09">
        <w:rPr>
          <w:rFonts w:cs="Arial"/>
          <w:lang w:eastAsia="sl-SI"/>
        </w:rPr>
        <w:t>El</w:t>
      </w:r>
      <w:r w:rsidRPr="00574B09">
        <w:rPr>
          <w:rFonts w:cs="Arial"/>
          <w:vertAlign w:val="subscript"/>
          <w:lang w:eastAsia="sl-SI"/>
        </w:rPr>
        <w:t>Ref</w:t>
      </w:r>
      <w:proofErr w:type="spellEnd"/>
      <w:r w:rsidRPr="00574B09">
        <w:rPr>
          <w:rFonts w:cs="Arial"/>
          <w:lang w:eastAsia="sl-SI"/>
        </w:rPr>
        <w:t>)</w:t>
      </w:r>
      <w:r w:rsidRPr="00574B09">
        <w:rPr>
          <w:rFonts w:cs="Arial"/>
          <w:lang w:eastAsia="sl-SI"/>
        </w:rPr>
        <w:tab/>
      </w:r>
      <w:r w:rsidRPr="00574B09">
        <w:rPr>
          <w:rFonts w:cs="Arial"/>
          <w:lang w:eastAsia="sl-SI"/>
        </w:rPr>
        <w:tab/>
        <w:t xml:space="preserve">referenčna cena električne energije v EUR/MWh, </w:t>
      </w:r>
    </w:p>
    <w:p w14:paraId="1485B6FF" w14:textId="77777777" w:rsidR="00444E6E" w:rsidRPr="00574B09" w:rsidRDefault="00444E6E" w:rsidP="00444E6E">
      <w:pPr>
        <w:numPr>
          <w:ilvl w:val="0"/>
          <w:numId w:val="1"/>
        </w:numPr>
        <w:spacing w:line="360" w:lineRule="auto"/>
        <w:rPr>
          <w:rFonts w:cs="Arial"/>
          <w:lang w:eastAsia="sl-SI"/>
        </w:rPr>
      </w:pPr>
      <w:r w:rsidRPr="00574B09">
        <w:rPr>
          <w:rFonts w:cs="Arial"/>
          <w:lang w:eastAsia="sl-SI"/>
        </w:rPr>
        <w:t>BL YR + 1</w:t>
      </w:r>
      <w:r w:rsidRPr="00574B09">
        <w:rPr>
          <w:rFonts w:cs="Arial"/>
          <w:i/>
          <w:lang w:eastAsia="sl-SI"/>
        </w:rPr>
        <w:tab/>
      </w:r>
      <w:r w:rsidRPr="00574B09">
        <w:rPr>
          <w:rFonts w:cs="Arial"/>
          <w:lang w:eastAsia="sl-SI"/>
        </w:rPr>
        <w:t xml:space="preserve">cena produkta »HUDEX </w:t>
      </w:r>
      <w:proofErr w:type="spellStart"/>
      <w:r w:rsidRPr="00574B09">
        <w:rPr>
          <w:rFonts w:cs="Arial"/>
          <w:lang w:eastAsia="sl-SI"/>
        </w:rPr>
        <w:t>Hungarian</w:t>
      </w:r>
      <w:proofErr w:type="spellEnd"/>
      <w:r w:rsidRPr="00574B09">
        <w:rPr>
          <w:rFonts w:cs="Arial"/>
          <w:lang w:eastAsia="sl-SI"/>
        </w:rPr>
        <w:t xml:space="preserve"> </w:t>
      </w:r>
      <w:proofErr w:type="spellStart"/>
      <w:r w:rsidRPr="00574B09">
        <w:rPr>
          <w:rFonts w:cs="Arial"/>
          <w:lang w:eastAsia="sl-SI"/>
        </w:rPr>
        <w:t>Financial</w:t>
      </w:r>
      <w:proofErr w:type="spellEnd"/>
      <w:r w:rsidRPr="00574B09">
        <w:rPr>
          <w:rFonts w:cs="Arial"/>
          <w:lang w:eastAsia="sl-SI"/>
        </w:rPr>
        <w:t xml:space="preserve"> </w:t>
      </w:r>
      <w:proofErr w:type="spellStart"/>
      <w:r w:rsidRPr="00574B09">
        <w:rPr>
          <w:rFonts w:cs="Arial"/>
          <w:lang w:eastAsia="sl-SI"/>
        </w:rPr>
        <w:t>Power</w:t>
      </w:r>
      <w:proofErr w:type="spellEnd"/>
      <w:r w:rsidRPr="00574B09">
        <w:rPr>
          <w:rFonts w:cs="Arial"/>
          <w:lang w:eastAsia="sl-SI"/>
        </w:rPr>
        <w:t xml:space="preserve"> Base </w:t>
      </w:r>
      <w:proofErr w:type="spellStart"/>
      <w:r w:rsidRPr="00574B09">
        <w:rPr>
          <w:rFonts w:cs="Arial"/>
          <w:lang w:eastAsia="sl-SI"/>
        </w:rPr>
        <w:t>Load</w:t>
      </w:r>
      <w:proofErr w:type="spellEnd"/>
      <w:r w:rsidRPr="00574B09">
        <w:rPr>
          <w:rFonts w:cs="Arial"/>
          <w:lang w:eastAsia="sl-SI"/>
        </w:rPr>
        <w:t xml:space="preserve"> </w:t>
      </w:r>
    </w:p>
    <w:p w14:paraId="68CA1C0B" w14:textId="77777777" w:rsidR="00444E6E" w:rsidRPr="00574B09" w:rsidRDefault="00444E6E" w:rsidP="00444E6E">
      <w:pPr>
        <w:spacing w:line="360" w:lineRule="auto"/>
        <w:ind w:left="1416" w:firstLine="708"/>
        <w:rPr>
          <w:rFonts w:cs="Arial"/>
          <w:lang w:eastAsia="sl-SI"/>
        </w:rPr>
      </w:pPr>
      <w:proofErr w:type="spellStart"/>
      <w:r w:rsidRPr="00574B09">
        <w:rPr>
          <w:rFonts w:cs="Arial"/>
          <w:lang w:eastAsia="sl-SI"/>
        </w:rPr>
        <w:t>Product</w:t>
      </w:r>
      <w:proofErr w:type="spellEnd"/>
      <w:r w:rsidRPr="00574B09">
        <w:rPr>
          <w:rFonts w:cs="Arial"/>
          <w:lang w:eastAsia="sl-SI"/>
        </w:rPr>
        <w:t xml:space="preserve">« na borzi HUDEX za prihodnje leto v EUR/MWh. </w:t>
      </w:r>
    </w:p>
    <w:p w14:paraId="2CA2AFCF" w14:textId="77777777" w:rsidR="00444E6E" w:rsidRPr="00574B09" w:rsidRDefault="00444E6E" w:rsidP="00444E6E">
      <w:pPr>
        <w:spacing w:line="24" w:lineRule="atLeast"/>
        <w:ind w:left="708"/>
        <w:jc w:val="both"/>
        <w:rPr>
          <w:rFonts w:cs="Arial"/>
          <w:lang w:eastAsia="sl-SI"/>
        </w:rPr>
      </w:pPr>
    </w:p>
    <w:p w14:paraId="783F5B8F" w14:textId="77777777" w:rsidR="00444E6E" w:rsidRPr="00574B09" w:rsidRDefault="00444E6E" w:rsidP="00444E6E">
      <w:pPr>
        <w:spacing w:line="24" w:lineRule="atLeast"/>
        <w:jc w:val="both"/>
        <w:rPr>
          <w:rFonts w:cs="Arial"/>
          <w:lang w:eastAsia="sl-SI"/>
        </w:rPr>
      </w:pPr>
      <w:r w:rsidRPr="00574B09">
        <w:rPr>
          <w:rFonts w:cs="Arial"/>
          <w:lang w:eastAsia="sl-SI"/>
        </w:rPr>
        <w:t xml:space="preserve">Pri določitvi BL YR + 1 se uporabi povprečje doseženih zaključnih trgovalnih cen produkta za </w:t>
      </w:r>
      <w:r>
        <w:rPr>
          <w:rFonts w:cs="Arial"/>
          <w:lang w:eastAsia="sl-SI"/>
        </w:rPr>
        <w:t>2</w:t>
      </w:r>
      <w:r w:rsidRPr="00574B09">
        <w:rPr>
          <w:rFonts w:cs="Arial"/>
          <w:lang w:eastAsia="sl-SI"/>
        </w:rPr>
        <w:t>0 trgovalnih dni pred 25. oktobrom tekočega leta. Vrednost se zaokroži na dve decimalni mesti.</w:t>
      </w:r>
    </w:p>
    <w:p w14:paraId="31A8621B" w14:textId="77777777" w:rsidR="00444E6E" w:rsidRPr="00574B09" w:rsidRDefault="00444E6E" w:rsidP="00444E6E">
      <w:pPr>
        <w:spacing w:line="24" w:lineRule="atLeast"/>
        <w:jc w:val="both"/>
        <w:rPr>
          <w:rFonts w:cs="Arial"/>
          <w:lang w:eastAsia="sl-SI"/>
        </w:rPr>
      </w:pPr>
    </w:p>
    <w:p w14:paraId="23C861AE" w14:textId="77777777" w:rsidR="00444E6E" w:rsidRPr="00574B09" w:rsidRDefault="00444E6E" w:rsidP="00444E6E">
      <w:pPr>
        <w:spacing w:line="24" w:lineRule="atLeast"/>
        <w:jc w:val="both"/>
        <w:rPr>
          <w:rFonts w:cs="Arial"/>
          <w:lang w:eastAsia="sl-SI"/>
        </w:rPr>
      </w:pPr>
    </w:p>
    <w:p w14:paraId="595808B5" w14:textId="77777777" w:rsidR="00444E6E" w:rsidRPr="00574B09" w:rsidRDefault="00444E6E" w:rsidP="00444E6E">
      <w:pPr>
        <w:spacing w:line="24" w:lineRule="atLeast"/>
        <w:rPr>
          <w:rFonts w:cs="Arial"/>
          <w:b/>
          <w:lang w:eastAsia="sl-SI"/>
        </w:rPr>
      </w:pPr>
      <w:r w:rsidRPr="00574B09">
        <w:rPr>
          <w:rFonts w:cs="Arial"/>
          <w:b/>
          <w:lang w:eastAsia="sl-SI"/>
        </w:rPr>
        <w:t>2.</w:t>
      </w:r>
      <w:r w:rsidRPr="00574B09">
        <w:rPr>
          <w:rFonts w:cs="Arial"/>
          <w:b/>
          <w:lang w:eastAsia="sl-SI"/>
        </w:rPr>
        <w:tab/>
        <w:t>Pravila za določanje referenčne cene zemeljskega plina</w:t>
      </w:r>
    </w:p>
    <w:p w14:paraId="2152DFF2" w14:textId="77777777" w:rsidR="00444E6E" w:rsidRPr="00574B09" w:rsidRDefault="00444E6E" w:rsidP="00444E6E">
      <w:pPr>
        <w:spacing w:line="24" w:lineRule="atLeast"/>
        <w:rPr>
          <w:rFonts w:cs="Arial"/>
          <w:lang w:eastAsia="sl-SI"/>
        </w:rPr>
      </w:pPr>
    </w:p>
    <w:p w14:paraId="036618BD" w14:textId="77777777" w:rsidR="00444E6E" w:rsidRPr="00574B09" w:rsidRDefault="00444E6E" w:rsidP="00444E6E">
      <w:pPr>
        <w:spacing w:line="24" w:lineRule="atLeast"/>
        <w:jc w:val="both"/>
        <w:rPr>
          <w:rFonts w:cs="Arial"/>
          <w:lang w:eastAsia="sl-SI"/>
        </w:rPr>
      </w:pPr>
      <w:r w:rsidRPr="00574B09">
        <w:rPr>
          <w:rFonts w:cs="Arial"/>
          <w:lang w:eastAsia="sl-SI"/>
        </w:rPr>
        <w:t>Referenčna cena zemeljskega plina se v napovedi določi na podlagi cenovnega modela, ki upošteva cene kvartalnih tržnih produktov na plinskem vozlišču CEGH na Dunaju za prihodnje leto ter izstopno in vstopno ceno zakupa prenosnih zmogljivosti na meji med Republiko Slovenijo in Republiko Avstrijo za prihodnje leto.</w:t>
      </w:r>
    </w:p>
    <w:p w14:paraId="7ECFCB9F" w14:textId="77777777" w:rsidR="00444E6E" w:rsidRPr="00574B09" w:rsidRDefault="00444E6E" w:rsidP="00444E6E">
      <w:pPr>
        <w:spacing w:line="24" w:lineRule="atLeast"/>
        <w:jc w:val="both"/>
        <w:rPr>
          <w:rFonts w:cs="Arial"/>
          <w:lang w:eastAsia="sl-SI"/>
        </w:rPr>
      </w:pPr>
    </w:p>
    <w:p w14:paraId="04C37F1D" w14:textId="77777777" w:rsidR="00444E6E" w:rsidRPr="00574B09" w:rsidRDefault="00444E6E" w:rsidP="00444E6E">
      <w:pPr>
        <w:spacing w:line="24" w:lineRule="atLeast"/>
        <w:jc w:val="both"/>
        <w:rPr>
          <w:rFonts w:cs="Arial"/>
          <w:lang w:eastAsia="sl-SI"/>
        </w:rPr>
      </w:pPr>
      <w:r w:rsidRPr="00574B09">
        <w:rPr>
          <w:rFonts w:cs="Arial"/>
          <w:lang w:eastAsia="sl-SI"/>
        </w:rPr>
        <w:t xml:space="preserve">Referenčna cena zemeljskega plina se izračuna po naslednjem cenovnem modelu: </w:t>
      </w:r>
    </w:p>
    <w:p w14:paraId="5AF021D2" w14:textId="77777777" w:rsidR="00444E6E" w:rsidRPr="00574B09" w:rsidRDefault="00444E6E" w:rsidP="00444E6E">
      <w:pPr>
        <w:spacing w:line="24" w:lineRule="atLeast"/>
        <w:jc w:val="both"/>
        <w:rPr>
          <w:rFonts w:cs="Arial"/>
          <w:lang w:eastAsia="sl-SI"/>
        </w:rPr>
      </w:pPr>
    </w:p>
    <w:p w14:paraId="494E6E86" w14:textId="77777777" w:rsidR="00444E6E" w:rsidRPr="00574B09" w:rsidRDefault="00444E6E" w:rsidP="00444E6E">
      <w:pPr>
        <w:spacing w:line="240" w:lineRule="auto"/>
        <w:rPr>
          <w:rFonts w:cs="Arial"/>
          <w:b/>
          <w:i/>
          <w:lang w:eastAsia="sl-SI"/>
        </w:rPr>
      </w:pPr>
      <w:r w:rsidRPr="00574B09">
        <w:rPr>
          <w:rFonts w:cs="Arial"/>
          <w:b/>
          <w:i/>
          <w:lang w:eastAsia="sl-SI"/>
        </w:rPr>
        <w:t>C(</w:t>
      </w:r>
      <w:proofErr w:type="spellStart"/>
      <w:r w:rsidRPr="00574B09">
        <w:rPr>
          <w:rFonts w:cs="Arial"/>
          <w:b/>
          <w:i/>
          <w:lang w:eastAsia="sl-SI"/>
        </w:rPr>
        <w:t>ZP</w:t>
      </w:r>
      <w:r w:rsidRPr="00574B09">
        <w:rPr>
          <w:rFonts w:cs="Arial"/>
          <w:b/>
          <w:i/>
          <w:vertAlign w:val="subscript"/>
          <w:lang w:eastAsia="sl-SI"/>
        </w:rPr>
        <w:t>Ref</w:t>
      </w:r>
      <w:proofErr w:type="spellEnd"/>
      <w:r w:rsidRPr="00574B09">
        <w:rPr>
          <w:rFonts w:cs="Arial"/>
          <w:b/>
          <w:i/>
          <w:lang w:eastAsia="sl-SI"/>
        </w:rPr>
        <w:t xml:space="preserve">) = </w:t>
      </w:r>
      <w:r>
        <w:rPr>
          <w:rFonts w:cs="Arial"/>
          <w:b/>
          <w:i/>
          <w:lang w:eastAsia="sl-SI"/>
        </w:rPr>
        <w:t>(</w:t>
      </w:r>
      <w:r w:rsidRPr="00574B09">
        <w:rPr>
          <w:rFonts w:cs="Arial"/>
          <w:b/>
          <w:i/>
          <w:lang w:eastAsia="sl-SI"/>
        </w:rPr>
        <w:t>Q1 * 0,51 + Q2 * 0,09 + Q3 * 0,02 + Q4 * 0,38</w:t>
      </w:r>
      <w:r>
        <w:rPr>
          <w:rFonts w:cs="Arial"/>
          <w:b/>
          <w:i/>
          <w:lang w:eastAsia="sl-SI"/>
        </w:rPr>
        <w:t xml:space="preserve">) </w:t>
      </w:r>
      <w:r>
        <w:rPr>
          <w:rFonts w:cs="Arial"/>
          <w:b/>
          <w:bCs/>
          <w:i/>
          <w:iCs/>
          <w:color w:val="000000"/>
        </w:rPr>
        <w:t>* 1,1</w:t>
      </w:r>
      <w:r w:rsidRPr="00574B09">
        <w:rPr>
          <w:rFonts w:cs="Arial"/>
          <w:b/>
          <w:i/>
          <w:lang w:eastAsia="sl-SI"/>
        </w:rPr>
        <w:t xml:space="preserve"> + </w:t>
      </w:r>
      <w:proofErr w:type="spellStart"/>
      <w:r w:rsidRPr="00574B09">
        <w:rPr>
          <w:rFonts w:cs="Arial"/>
          <w:b/>
          <w:i/>
          <w:lang w:eastAsia="sl-SI"/>
        </w:rPr>
        <w:t>CExA</w:t>
      </w:r>
      <w:proofErr w:type="spellEnd"/>
      <w:r w:rsidRPr="00574B09">
        <w:rPr>
          <w:rFonts w:cs="Arial"/>
          <w:b/>
          <w:i/>
          <w:lang w:eastAsia="sl-SI"/>
        </w:rPr>
        <w:t xml:space="preserve"> + </w:t>
      </w:r>
      <w:proofErr w:type="spellStart"/>
      <w:r w:rsidRPr="00574B09">
        <w:rPr>
          <w:rFonts w:cs="Arial"/>
          <w:b/>
          <w:i/>
          <w:lang w:eastAsia="sl-SI"/>
        </w:rPr>
        <w:t>CEnSLO</w:t>
      </w:r>
      <w:proofErr w:type="spellEnd"/>
    </w:p>
    <w:p w14:paraId="60F2E079" w14:textId="77777777" w:rsidR="00444E6E" w:rsidRPr="00574B09" w:rsidRDefault="00444E6E" w:rsidP="00444E6E">
      <w:pPr>
        <w:spacing w:line="24" w:lineRule="atLeast"/>
        <w:jc w:val="both"/>
        <w:rPr>
          <w:rFonts w:cs="Arial"/>
          <w:lang w:eastAsia="sl-SI"/>
        </w:rPr>
      </w:pPr>
    </w:p>
    <w:p w14:paraId="609A5AF8" w14:textId="77777777" w:rsidR="00444E6E" w:rsidRPr="00574B09" w:rsidRDefault="00444E6E" w:rsidP="00444E6E">
      <w:pPr>
        <w:spacing w:line="24" w:lineRule="atLeast"/>
        <w:jc w:val="both"/>
        <w:rPr>
          <w:rFonts w:cs="Arial"/>
          <w:lang w:eastAsia="sl-SI"/>
        </w:rPr>
      </w:pPr>
    </w:p>
    <w:p w14:paraId="1CA0D435" w14:textId="77777777" w:rsidR="00444E6E" w:rsidRPr="00574B09" w:rsidRDefault="00444E6E" w:rsidP="00444E6E">
      <w:pPr>
        <w:spacing w:line="24" w:lineRule="atLeast"/>
        <w:jc w:val="both"/>
        <w:rPr>
          <w:rFonts w:cs="Arial"/>
          <w:lang w:eastAsia="sl-SI"/>
        </w:rPr>
      </w:pPr>
      <w:r w:rsidRPr="00574B09">
        <w:rPr>
          <w:rFonts w:cs="Arial"/>
          <w:lang w:eastAsia="sl-SI"/>
        </w:rPr>
        <w:t xml:space="preserve">V zgornjem modelu je:     </w:t>
      </w:r>
    </w:p>
    <w:p w14:paraId="60F9AF3F" w14:textId="77777777" w:rsidR="00444E6E" w:rsidRPr="00574B09" w:rsidRDefault="00444E6E" w:rsidP="00444E6E">
      <w:pPr>
        <w:spacing w:line="24" w:lineRule="atLeast"/>
        <w:jc w:val="both"/>
        <w:rPr>
          <w:rFonts w:cs="Arial"/>
          <w:lang w:eastAsia="sl-SI"/>
        </w:rPr>
      </w:pPr>
    </w:p>
    <w:p w14:paraId="65C4F45A" w14:textId="77777777" w:rsidR="00444E6E" w:rsidRPr="00574B09" w:rsidRDefault="00444E6E" w:rsidP="00444E6E">
      <w:pPr>
        <w:numPr>
          <w:ilvl w:val="0"/>
          <w:numId w:val="2"/>
        </w:numPr>
        <w:tabs>
          <w:tab w:val="left" w:pos="709"/>
        </w:tabs>
        <w:spacing w:line="24" w:lineRule="atLeast"/>
        <w:ind w:left="709" w:hanging="283"/>
        <w:jc w:val="both"/>
        <w:rPr>
          <w:rFonts w:cs="Arial"/>
          <w:lang w:eastAsia="sl-SI"/>
        </w:rPr>
      </w:pPr>
      <w:r w:rsidRPr="00574B09">
        <w:rPr>
          <w:rFonts w:cs="Arial"/>
          <w:lang w:eastAsia="sl-SI"/>
        </w:rPr>
        <w:t>C(</w:t>
      </w:r>
      <w:proofErr w:type="spellStart"/>
      <w:r w:rsidRPr="00574B09">
        <w:rPr>
          <w:rFonts w:cs="Arial"/>
          <w:lang w:eastAsia="sl-SI"/>
        </w:rPr>
        <w:t>ZP</w:t>
      </w:r>
      <w:r w:rsidRPr="00574B09">
        <w:rPr>
          <w:rFonts w:cs="Arial"/>
          <w:vertAlign w:val="subscript"/>
          <w:lang w:eastAsia="sl-SI"/>
        </w:rPr>
        <w:t>Ref</w:t>
      </w:r>
      <w:proofErr w:type="spellEnd"/>
      <w:r w:rsidRPr="00574B09">
        <w:rPr>
          <w:rFonts w:cs="Arial"/>
          <w:lang w:eastAsia="sl-SI"/>
        </w:rPr>
        <w:t>) referenčna cena zemeljskega plina v EUR/MWh (zaokrožena na 2 decimalni mesti),</w:t>
      </w:r>
    </w:p>
    <w:p w14:paraId="4FDF132F" w14:textId="77777777" w:rsidR="00444E6E" w:rsidRPr="00574B09" w:rsidRDefault="00444E6E" w:rsidP="00444E6E">
      <w:pPr>
        <w:spacing w:line="24" w:lineRule="atLeast"/>
        <w:ind w:left="709"/>
        <w:jc w:val="both"/>
        <w:rPr>
          <w:rFonts w:cs="Arial"/>
          <w:lang w:eastAsia="sl-SI"/>
        </w:rPr>
      </w:pPr>
    </w:p>
    <w:p w14:paraId="3BEFE0E5" w14:textId="77777777" w:rsidR="00444E6E" w:rsidRPr="00574B09" w:rsidRDefault="00444E6E" w:rsidP="00444E6E">
      <w:pPr>
        <w:numPr>
          <w:ilvl w:val="0"/>
          <w:numId w:val="3"/>
        </w:numPr>
        <w:spacing w:line="24" w:lineRule="atLeast"/>
        <w:ind w:left="709"/>
        <w:jc w:val="both"/>
        <w:rPr>
          <w:rFonts w:cs="Arial"/>
          <w:lang w:eastAsia="sl-SI"/>
        </w:rPr>
      </w:pPr>
      <w:r w:rsidRPr="00574B09">
        <w:rPr>
          <w:rFonts w:cs="Arial"/>
          <w:lang w:eastAsia="sl-SI"/>
        </w:rPr>
        <w:t xml:space="preserve">Q1, Q2, Q3 in Q4 </w:t>
      </w:r>
      <w:r w:rsidRPr="00574B09">
        <w:rPr>
          <w:rFonts w:cs="Arial"/>
          <w:lang w:eastAsia="sl-SI"/>
        </w:rPr>
        <w:tab/>
        <w:t xml:space="preserve">cene kvartalnih produktov »EEX CEGH« na borzi CEGH za trg AT </w:t>
      </w:r>
      <w:proofErr w:type="spellStart"/>
      <w:r w:rsidRPr="00574B09">
        <w:rPr>
          <w:rFonts w:cs="Arial"/>
          <w:lang w:eastAsia="sl-SI"/>
        </w:rPr>
        <w:t>Austria</w:t>
      </w:r>
      <w:proofErr w:type="spellEnd"/>
      <w:r w:rsidRPr="00574B09">
        <w:rPr>
          <w:rFonts w:cs="Arial"/>
          <w:lang w:eastAsia="sl-SI"/>
        </w:rPr>
        <w:t xml:space="preserve"> za prihodnje leto v EUR/MWh,</w:t>
      </w:r>
    </w:p>
    <w:p w14:paraId="7C937D77" w14:textId="77777777" w:rsidR="00444E6E" w:rsidRPr="00574B09" w:rsidRDefault="00444E6E" w:rsidP="00444E6E">
      <w:pPr>
        <w:spacing w:line="24" w:lineRule="atLeast"/>
        <w:ind w:left="709" w:hanging="1410"/>
        <w:jc w:val="both"/>
        <w:rPr>
          <w:rFonts w:cs="Arial"/>
          <w:lang w:eastAsia="sl-SI"/>
        </w:rPr>
      </w:pPr>
    </w:p>
    <w:p w14:paraId="41413AFC" w14:textId="77777777" w:rsidR="00444E6E" w:rsidRPr="00574B09" w:rsidRDefault="00444E6E" w:rsidP="00444E6E">
      <w:pPr>
        <w:numPr>
          <w:ilvl w:val="0"/>
          <w:numId w:val="3"/>
        </w:numPr>
        <w:spacing w:line="24" w:lineRule="atLeast"/>
        <w:ind w:left="709"/>
        <w:jc w:val="both"/>
        <w:rPr>
          <w:rFonts w:cs="Arial"/>
          <w:lang w:eastAsia="sl-SI"/>
        </w:rPr>
      </w:pPr>
      <w:proofErr w:type="spellStart"/>
      <w:r w:rsidRPr="00574B09">
        <w:rPr>
          <w:rFonts w:cs="Arial"/>
          <w:lang w:eastAsia="sl-SI"/>
        </w:rPr>
        <w:t>CExA</w:t>
      </w:r>
      <w:proofErr w:type="spellEnd"/>
      <w:r w:rsidRPr="00574B09">
        <w:rPr>
          <w:rFonts w:cs="Arial"/>
          <w:lang w:eastAsia="sl-SI"/>
        </w:rPr>
        <w:tab/>
        <w:t xml:space="preserve">izstopna tarifna postavka za MMRP </w:t>
      </w:r>
      <w:proofErr w:type="spellStart"/>
      <w:r w:rsidRPr="00574B09">
        <w:rPr>
          <w:rFonts w:cs="Arial"/>
          <w:lang w:eastAsia="sl-SI"/>
        </w:rPr>
        <w:t>Murfeld</w:t>
      </w:r>
      <w:proofErr w:type="spellEnd"/>
      <w:r w:rsidRPr="00574B09">
        <w:rPr>
          <w:rFonts w:cs="Arial"/>
          <w:lang w:eastAsia="sl-SI"/>
        </w:rPr>
        <w:t xml:space="preserve"> za prihodnje leto v EUR/MWh (zaokrožena na 4 decimalna mesta),</w:t>
      </w:r>
    </w:p>
    <w:p w14:paraId="7E80C004" w14:textId="77777777" w:rsidR="00444E6E" w:rsidRPr="00574B09" w:rsidRDefault="00444E6E" w:rsidP="00444E6E">
      <w:pPr>
        <w:spacing w:line="24" w:lineRule="atLeast"/>
        <w:ind w:left="709"/>
        <w:jc w:val="both"/>
        <w:rPr>
          <w:rFonts w:cs="Arial"/>
          <w:lang w:eastAsia="sl-SI"/>
        </w:rPr>
      </w:pPr>
    </w:p>
    <w:p w14:paraId="2C535DEE" w14:textId="77777777" w:rsidR="00444E6E" w:rsidRPr="00574B09" w:rsidRDefault="00444E6E" w:rsidP="00444E6E">
      <w:pPr>
        <w:numPr>
          <w:ilvl w:val="0"/>
          <w:numId w:val="4"/>
        </w:numPr>
        <w:spacing w:line="24" w:lineRule="atLeast"/>
        <w:contextualSpacing/>
        <w:jc w:val="both"/>
        <w:rPr>
          <w:rFonts w:eastAsia="SimHei" w:cs="Arial"/>
          <w:szCs w:val="20"/>
          <w:lang w:val="x-none" w:eastAsia="sl-SI"/>
        </w:rPr>
      </w:pPr>
      <w:proofErr w:type="spellStart"/>
      <w:r w:rsidRPr="00574B09">
        <w:rPr>
          <w:rFonts w:eastAsia="SimHei" w:cs="Arial"/>
          <w:szCs w:val="20"/>
          <w:lang w:val="x-none" w:eastAsia="sl-SI"/>
        </w:rPr>
        <w:t>CEnSLO</w:t>
      </w:r>
      <w:proofErr w:type="spellEnd"/>
      <w:r w:rsidRPr="00574B09">
        <w:rPr>
          <w:rFonts w:eastAsia="SimHei" w:cs="Arial"/>
          <w:szCs w:val="20"/>
          <w:lang w:val="x-none" w:eastAsia="sl-SI"/>
        </w:rPr>
        <w:tab/>
        <w:t>vstopni strošek za MMRP Ceršak za prihodnje leto v EUR/MWh (zaokrožen na 4 decimalna mesta), ki se izračuna po enačbi:</w:t>
      </w:r>
    </w:p>
    <w:p w14:paraId="15472C56" w14:textId="77777777" w:rsidR="00444E6E" w:rsidRPr="00574B09" w:rsidRDefault="00444E6E" w:rsidP="00444E6E">
      <w:pPr>
        <w:spacing w:line="24" w:lineRule="atLeast"/>
        <w:ind w:left="1758" w:hanging="1758"/>
        <w:jc w:val="both"/>
        <w:rPr>
          <w:rFonts w:cs="Arial"/>
          <w:lang w:eastAsia="sl-SI"/>
        </w:rPr>
      </w:pPr>
    </w:p>
    <w:p w14:paraId="667C8D8C" w14:textId="77777777" w:rsidR="00444E6E" w:rsidRPr="00574B09" w:rsidRDefault="00444E6E" w:rsidP="00444E6E">
      <w:pPr>
        <w:spacing w:line="24" w:lineRule="atLeast"/>
        <w:ind w:left="3516" w:hanging="1758"/>
        <w:jc w:val="both"/>
        <w:rPr>
          <w:rFonts w:cs="Arial"/>
          <w:lang w:eastAsia="sl-SI"/>
        </w:rPr>
      </w:pPr>
      <w:proofErr w:type="spellStart"/>
      <w:r w:rsidRPr="00574B09">
        <w:rPr>
          <w:rFonts w:cs="Arial"/>
          <w:lang w:eastAsia="sl-SI"/>
        </w:rPr>
        <w:t>CEnSLO</w:t>
      </w:r>
      <w:proofErr w:type="spellEnd"/>
      <w:r w:rsidRPr="00574B09">
        <w:rPr>
          <w:rFonts w:cs="Arial"/>
          <w:lang w:eastAsia="sl-SI"/>
        </w:rPr>
        <w:t xml:space="preserve"> = VTP * 0,04364</w:t>
      </w:r>
    </w:p>
    <w:p w14:paraId="534F1770" w14:textId="77777777" w:rsidR="00444E6E" w:rsidRPr="00574B09" w:rsidRDefault="00444E6E" w:rsidP="00444E6E">
      <w:pPr>
        <w:spacing w:line="24" w:lineRule="atLeast"/>
        <w:ind w:left="1758"/>
        <w:jc w:val="both"/>
        <w:rPr>
          <w:rFonts w:cs="Arial"/>
          <w:lang w:eastAsia="sl-SI"/>
        </w:rPr>
      </w:pPr>
      <w:r w:rsidRPr="00574B09">
        <w:rPr>
          <w:rFonts w:cs="Arial"/>
          <w:lang w:eastAsia="sl-SI"/>
        </w:rPr>
        <w:br/>
        <w:t>kjer je:</w:t>
      </w:r>
    </w:p>
    <w:p w14:paraId="1C430CE4" w14:textId="77777777" w:rsidR="00444E6E" w:rsidRPr="00574B09" w:rsidRDefault="00444E6E" w:rsidP="00444E6E">
      <w:pPr>
        <w:spacing w:line="24" w:lineRule="atLeast"/>
        <w:ind w:left="4242" w:hanging="1410"/>
        <w:jc w:val="both"/>
        <w:rPr>
          <w:rFonts w:cs="Arial"/>
          <w:lang w:eastAsia="sl-SI"/>
        </w:rPr>
      </w:pPr>
      <w:r w:rsidRPr="00574B09">
        <w:rPr>
          <w:rFonts w:cs="Arial"/>
          <w:lang w:eastAsia="sl-SI"/>
        </w:rPr>
        <w:t>VTP</w:t>
      </w:r>
      <w:r w:rsidRPr="00574B09">
        <w:rPr>
          <w:rFonts w:cs="Arial"/>
          <w:lang w:eastAsia="sl-SI"/>
        </w:rPr>
        <w:tab/>
        <w:t>vstopna tarifna postavka (v cent/kWh/dan, objavlja Plinovodi d.o.o.),</w:t>
      </w:r>
    </w:p>
    <w:p w14:paraId="53523B34" w14:textId="77777777" w:rsidR="00444E6E" w:rsidRPr="00574B09" w:rsidRDefault="00444E6E" w:rsidP="00444E6E">
      <w:pPr>
        <w:spacing w:line="24" w:lineRule="atLeast"/>
        <w:ind w:left="4242" w:hanging="1410"/>
        <w:jc w:val="both"/>
        <w:rPr>
          <w:rFonts w:cs="Arial"/>
          <w:lang w:eastAsia="sl-SI"/>
        </w:rPr>
      </w:pPr>
      <w:r w:rsidRPr="00574B09">
        <w:rPr>
          <w:rFonts w:cs="Arial"/>
          <w:lang w:eastAsia="sl-SI"/>
        </w:rPr>
        <w:t>0,04364</w:t>
      </w:r>
      <w:r w:rsidRPr="00574B09">
        <w:rPr>
          <w:rFonts w:cs="Arial"/>
          <w:lang w:eastAsia="sl-SI"/>
        </w:rPr>
        <w:tab/>
        <w:t>faktor (v 1/dan), ki upošteva 5.500 letnih obratovalnih ur ter pretvorbo merskih enot iz centov v evre ter iz kWh v MWh (24/5500 * 1000/100).</w:t>
      </w:r>
    </w:p>
    <w:p w14:paraId="14B61275" w14:textId="77777777" w:rsidR="00444E6E" w:rsidRPr="00574B09" w:rsidRDefault="00444E6E" w:rsidP="00444E6E">
      <w:pPr>
        <w:spacing w:line="24" w:lineRule="atLeast"/>
        <w:ind w:left="4242" w:hanging="1410"/>
        <w:jc w:val="both"/>
        <w:rPr>
          <w:rFonts w:cs="Arial"/>
          <w:lang w:eastAsia="sl-SI"/>
        </w:rPr>
      </w:pPr>
    </w:p>
    <w:p w14:paraId="27EEE0CE" w14:textId="77777777" w:rsidR="00444E6E" w:rsidRPr="00574B09" w:rsidRDefault="00444E6E" w:rsidP="00444E6E">
      <w:pPr>
        <w:spacing w:line="24" w:lineRule="atLeast"/>
        <w:jc w:val="both"/>
        <w:rPr>
          <w:rFonts w:cs="Arial"/>
          <w:lang w:eastAsia="sl-SI"/>
        </w:rPr>
      </w:pPr>
      <w:r w:rsidRPr="00574B09">
        <w:rPr>
          <w:rFonts w:cs="Arial"/>
          <w:lang w:eastAsia="sl-SI"/>
        </w:rPr>
        <w:lastRenderedPageBreak/>
        <w:t>Pri določitvi cen kvartalnih produktov se uporabi povprečje razpoložljivih doseženih zaključnih trgovalnih cen produktov za 20 trgovalnih dni pred 25. oktobrom tekočega leta (povprečja zaokroži na 4 decimalna mesta).</w:t>
      </w:r>
    </w:p>
    <w:p w14:paraId="1233118F" w14:textId="77777777" w:rsidR="00444E6E" w:rsidRPr="00574B09" w:rsidRDefault="00444E6E" w:rsidP="00444E6E">
      <w:pPr>
        <w:spacing w:line="24" w:lineRule="atLeast"/>
        <w:jc w:val="both"/>
        <w:rPr>
          <w:rFonts w:cs="Arial"/>
          <w:lang w:eastAsia="sl-SI"/>
        </w:rPr>
      </w:pPr>
    </w:p>
    <w:p w14:paraId="4C3562CE" w14:textId="77777777" w:rsidR="00444E6E" w:rsidRPr="00574B09" w:rsidRDefault="00444E6E" w:rsidP="00444E6E">
      <w:pPr>
        <w:spacing w:line="24" w:lineRule="atLeast"/>
        <w:jc w:val="both"/>
        <w:rPr>
          <w:rFonts w:cs="Arial"/>
          <w:lang w:eastAsia="sl-SI"/>
        </w:rPr>
      </w:pPr>
      <w:r w:rsidRPr="00574B09">
        <w:rPr>
          <w:rFonts w:cs="Arial"/>
          <w:lang w:eastAsia="sl-SI"/>
        </w:rPr>
        <w:t xml:space="preserve">Za izračun indeksa cene zemeljskega plina za tekoče leto se referenčno ceno zemeljskega plina za leto 2016 (0,1914 EUR/Sm3) nadomesti s preračunano vrednostjo 17,77 EUR/MWh z upoštevanjem zgornje </w:t>
      </w:r>
      <w:proofErr w:type="spellStart"/>
      <w:r w:rsidRPr="00574B09">
        <w:rPr>
          <w:rFonts w:cs="Arial"/>
          <w:lang w:eastAsia="sl-SI"/>
        </w:rPr>
        <w:t>kurilnosti</w:t>
      </w:r>
      <w:proofErr w:type="spellEnd"/>
      <w:r w:rsidRPr="00574B09">
        <w:rPr>
          <w:rFonts w:cs="Arial"/>
          <w:lang w:eastAsia="sl-SI"/>
        </w:rPr>
        <w:t xml:space="preserve"> zemeljskega plina, ki znaša 10,769 kWh/Sm3.</w:t>
      </w:r>
    </w:p>
    <w:p w14:paraId="371C5A18" w14:textId="77777777" w:rsidR="00444E6E" w:rsidRPr="00574B09" w:rsidRDefault="00444E6E" w:rsidP="00444E6E">
      <w:pPr>
        <w:spacing w:line="24" w:lineRule="atLeast"/>
        <w:jc w:val="both"/>
        <w:rPr>
          <w:rFonts w:cs="Arial"/>
          <w:lang w:eastAsia="sl-SI"/>
        </w:rPr>
      </w:pPr>
    </w:p>
    <w:p w14:paraId="55B91BB7" w14:textId="77777777" w:rsidR="00444E6E" w:rsidRPr="00574B09" w:rsidRDefault="00444E6E" w:rsidP="00444E6E">
      <w:pPr>
        <w:spacing w:line="24" w:lineRule="atLeast"/>
        <w:jc w:val="both"/>
        <w:rPr>
          <w:rFonts w:cs="Arial"/>
          <w:lang w:eastAsia="sl-SI"/>
        </w:rPr>
      </w:pPr>
    </w:p>
    <w:p w14:paraId="396922E2" w14:textId="77777777" w:rsidR="00444E6E" w:rsidRPr="00574B09" w:rsidRDefault="00444E6E" w:rsidP="00444E6E">
      <w:pPr>
        <w:spacing w:line="24" w:lineRule="atLeast"/>
        <w:jc w:val="both"/>
        <w:rPr>
          <w:rFonts w:cs="Arial"/>
          <w:b/>
          <w:lang w:eastAsia="sl-SI"/>
        </w:rPr>
      </w:pPr>
      <w:r w:rsidRPr="00574B09">
        <w:rPr>
          <w:rFonts w:cs="Arial"/>
          <w:b/>
          <w:lang w:eastAsia="sl-SI"/>
        </w:rPr>
        <w:t>3.</w:t>
      </w:r>
      <w:r w:rsidRPr="00574B09">
        <w:rPr>
          <w:rFonts w:cs="Arial"/>
          <w:b/>
          <w:lang w:eastAsia="sl-SI"/>
        </w:rPr>
        <w:tab/>
        <w:t>Pravila za določanje referenčne cene substrata koruzne silaže</w:t>
      </w:r>
    </w:p>
    <w:p w14:paraId="116C050E" w14:textId="77777777" w:rsidR="00444E6E" w:rsidRPr="00574B09" w:rsidRDefault="00444E6E" w:rsidP="00444E6E">
      <w:pPr>
        <w:spacing w:line="24" w:lineRule="atLeast"/>
        <w:jc w:val="both"/>
        <w:rPr>
          <w:rFonts w:cs="Arial"/>
          <w:lang w:eastAsia="sl-SI"/>
        </w:rPr>
      </w:pPr>
    </w:p>
    <w:p w14:paraId="780AB277" w14:textId="77777777" w:rsidR="00444E6E" w:rsidRPr="00574B09" w:rsidRDefault="00444E6E" w:rsidP="00444E6E">
      <w:pPr>
        <w:spacing w:line="24" w:lineRule="atLeast"/>
        <w:jc w:val="both"/>
        <w:rPr>
          <w:rFonts w:cs="Arial"/>
          <w:lang w:eastAsia="sl-SI"/>
        </w:rPr>
      </w:pPr>
      <w:r w:rsidRPr="00574B09">
        <w:rPr>
          <w:rFonts w:cs="Arial"/>
          <w:lang w:eastAsia="sl-SI"/>
        </w:rPr>
        <w:t xml:space="preserve">Referenčna cena substrata koruzne silaže za prihodnje leto se v napovedi določi na podlagi naslednjega cenovnega modela: </w:t>
      </w:r>
    </w:p>
    <w:p w14:paraId="4D6D6AE7" w14:textId="77777777" w:rsidR="00444E6E" w:rsidRPr="00574B09" w:rsidRDefault="00444E6E" w:rsidP="00444E6E">
      <w:pPr>
        <w:spacing w:line="24" w:lineRule="atLeast"/>
        <w:jc w:val="both"/>
        <w:rPr>
          <w:rFonts w:cs="Arial"/>
          <w:lang w:eastAsia="sl-SI"/>
        </w:rPr>
      </w:pPr>
    </w:p>
    <w:p w14:paraId="79AAFA81" w14:textId="77777777" w:rsidR="00444E6E" w:rsidRPr="00574B09" w:rsidRDefault="00444E6E" w:rsidP="00444E6E">
      <w:pPr>
        <w:spacing w:line="24" w:lineRule="atLeast"/>
        <w:rPr>
          <w:rFonts w:cs="Arial"/>
          <w:b/>
          <w:i/>
          <w:lang w:eastAsia="sl-SI"/>
        </w:rPr>
      </w:pPr>
      <w:r w:rsidRPr="00574B09">
        <w:rPr>
          <w:rFonts w:cs="Arial"/>
          <w:b/>
          <w:i/>
          <w:lang w:eastAsia="sl-SI"/>
        </w:rPr>
        <w:t>CS = SPKS * 0,7</w:t>
      </w:r>
    </w:p>
    <w:p w14:paraId="2F5917DB" w14:textId="77777777" w:rsidR="00444E6E" w:rsidRPr="00574B09" w:rsidRDefault="00444E6E" w:rsidP="00444E6E">
      <w:pPr>
        <w:spacing w:line="24" w:lineRule="atLeast"/>
        <w:jc w:val="both"/>
        <w:rPr>
          <w:rFonts w:cs="Arial"/>
          <w:lang w:eastAsia="sl-SI"/>
        </w:rPr>
      </w:pPr>
    </w:p>
    <w:p w14:paraId="07F5031B" w14:textId="77777777" w:rsidR="00444E6E" w:rsidRPr="00574B09" w:rsidRDefault="00444E6E" w:rsidP="00444E6E">
      <w:pPr>
        <w:spacing w:line="24" w:lineRule="atLeast"/>
        <w:jc w:val="both"/>
        <w:rPr>
          <w:rFonts w:cs="Arial"/>
          <w:lang w:eastAsia="sl-SI"/>
        </w:rPr>
      </w:pPr>
      <w:r w:rsidRPr="00574B09">
        <w:rPr>
          <w:rFonts w:cs="Arial"/>
          <w:lang w:eastAsia="sl-SI"/>
        </w:rPr>
        <w:t>V zgornjem modelu je:</w:t>
      </w:r>
    </w:p>
    <w:p w14:paraId="5D84CE6A" w14:textId="77777777" w:rsidR="00444E6E" w:rsidRPr="00574B09" w:rsidRDefault="00444E6E" w:rsidP="00444E6E">
      <w:pPr>
        <w:spacing w:line="24" w:lineRule="atLeast"/>
        <w:jc w:val="both"/>
        <w:rPr>
          <w:rFonts w:cs="Arial"/>
          <w:lang w:eastAsia="sl-SI"/>
        </w:rPr>
      </w:pPr>
    </w:p>
    <w:p w14:paraId="4AEFADC5" w14:textId="77777777" w:rsidR="00444E6E" w:rsidRPr="00574B09" w:rsidRDefault="00444E6E" w:rsidP="00444E6E">
      <w:pPr>
        <w:numPr>
          <w:ilvl w:val="0"/>
          <w:numId w:val="5"/>
        </w:numPr>
        <w:spacing w:line="24" w:lineRule="atLeast"/>
        <w:jc w:val="both"/>
        <w:rPr>
          <w:rFonts w:cs="Arial"/>
          <w:lang w:eastAsia="sl-SI"/>
        </w:rPr>
      </w:pPr>
      <w:r w:rsidRPr="00574B09">
        <w:rPr>
          <w:rFonts w:cs="Arial"/>
          <w:lang w:eastAsia="sl-SI"/>
        </w:rPr>
        <w:t>CS</w:t>
      </w:r>
      <w:r w:rsidRPr="00574B09">
        <w:rPr>
          <w:rFonts w:cs="Arial"/>
          <w:lang w:eastAsia="sl-SI"/>
        </w:rPr>
        <w:tab/>
        <w:t>referenčna tržna cena substrata koruzne silaže v EUR/t,</w:t>
      </w:r>
    </w:p>
    <w:p w14:paraId="67EA42AB" w14:textId="77777777" w:rsidR="00444E6E" w:rsidRPr="00574B09" w:rsidRDefault="00444E6E" w:rsidP="00444E6E">
      <w:pPr>
        <w:spacing w:line="24" w:lineRule="atLeast"/>
        <w:ind w:left="720"/>
        <w:jc w:val="both"/>
        <w:rPr>
          <w:rFonts w:cs="Arial"/>
          <w:lang w:eastAsia="sl-SI"/>
        </w:rPr>
      </w:pPr>
    </w:p>
    <w:p w14:paraId="210C8DBD" w14:textId="77777777" w:rsidR="00444E6E" w:rsidRPr="00574B09" w:rsidRDefault="00444E6E" w:rsidP="00444E6E">
      <w:pPr>
        <w:numPr>
          <w:ilvl w:val="0"/>
          <w:numId w:val="5"/>
        </w:numPr>
        <w:spacing w:line="24" w:lineRule="atLeast"/>
        <w:jc w:val="both"/>
        <w:rPr>
          <w:rFonts w:cs="Arial"/>
          <w:vertAlign w:val="subscript"/>
          <w:lang w:eastAsia="sl-SI"/>
        </w:rPr>
      </w:pPr>
      <w:r w:rsidRPr="00574B09">
        <w:rPr>
          <w:rFonts w:cs="Arial"/>
          <w:lang w:eastAsia="sl-SI"/>
        </w:rPr>
        <w:t>SPKS</w:t>
      </w:r>
      <w:r w:rsidRPr="00574B09">
        <w:rPr>
          <w:rFonts w:cs="Arial"/>
          <w:lang w:eastAsia="sl-SI"/>
        </w:rPr>
        <w:tab/>
        <w:t>strošek pridelave silažne koruze, zmanjšan za subvencije v EUR/t za preteklo leto, ki je objavljen v mesecu oktobru tekočega leta v Zbirniku rastlinskih kalkulacij na Kmetijskem inštitutu Slovenije</w:t>
      </w:r>
      <w:r w:rsidRPr="00574B09">
        <w:rPr>
          <w:rFonts w:cs="Arial"/>
          <w:vertAlign w:val="superscript"/>
          <w:lang w:eastAsia="sl-SI"/>
        </w:rPr>
        <w:footnoteReference w:id="1"/>
      </w:r>
      <w:r w:rsidRPr="00574B09">
        <w:rPr>
          <w:rFonts w:cs="Arial"/>
          <w:lang w:eastAsia="sl-SI"/>
        </w:rPr>
        <w:t xml:space="preserve">. </w:t>
      </w:r>
    </w:p>
    <w:p w14:paraId="79A6498C" w14:textId="77777777" w:rsidR="00444E6E" w:rsidRPr="00574B09" w:rsidRDefault="00444E6E" w:rsidP="00444E6E">
      <w:pPr>
        <w:spacing w:line="24" w:lineRule="atLeast"/>
        <w:jc w:val="both"/>
        <w:rPr>
          <w:rFonts w:cs="Arial"/>
          <w:lang w:eastAsia="sl-SI"/>
        </w:rPr>
      </w:pPr>
    </w:p>
    <w:p w14:paraId="7B608168" w14:textId="77777777" w:rsidR="00444E6E" w:rsidRPr="00574B09" w:rsidRDefault="00444E6E" w:rsidP="00444E6E">
      <w:pPr>
        <w:spacing w:line="24" w:lineRule="atLeast"/>
        <w:jc w:val="both"/>
        <w:rPr>
          <w:rFonts w:cs="Arial"/>
          <w:lang w:eastAsia="sl-SI"/>
        </w:rPr>
      </w:pPr>
    </w:p>
    <w:p w14:paraId="4051753B" w14:textId="77777777" w:rsidR="00444E6E" w:rsidRPr="00574B09" w:rsidRDefault="00444E6E" w:rsidP="00444E6E">
      <w:pPr>
        <w:spacing w:line="24" w:lineRule="atLeast"/>
        <w:jc w:val="both"/>
        <w:rPr>
          <w:rFonts w:cs="Arial"/>
          <w:b/>
          <w:lang w:eastAsia="sl-SI"/>
        </w:rPr>
      </w:pPr>
      <w:r w:rsidRPr="00574B09">
        <w:rPr>
          <w:rFonts w:cs="Arial"/>
          <w:b/>
          <w:lang w:eastAsia="sl-SI"/>
        </w:rPr>
        <w:t xml:space="preserve">4. </w:t>
      </w:r>
      <w:r w:rsidRPr="00574B09">
        <w:rPr>
          <w:rFonts w:cs="Arial"/>
          <w:b/>
          <w:lang w:eastAsia="sl-SI"/>
        </w:rPr>
        <w:tab/>
        <w:t xml:space="preserve">Pravila za določanje referenčne cene lesne biomase </w:t>
      </w:r>
    </w:p>
    <w:p w14:paraId="100B3B6B" w14:textId="77777777" w:rsidR="00444E6E" w:rsidRPr="00574B09" w:rsidRDefault="00444E6E" w:rsidP="00444E6E">
      <w:pPr>
        <w:spacing w:line="24" w:lineRule="atLeast"/>
        <w:jc w:val="both"/>
        <w:rPr>
          <w:rFonts w:cs="Arial"/>
          <w:lang w:eastAsia="sl-SI"/>
        </w:rPr>
      </w:pPr>
    </w:p>
    <w:p w14:paraId="19F32954" w14:textId="77777777" w:rsidR="00444E6E" w:rsidRPr="00574B09" w:rsidRDefault="00444E6E" w:rsidP="00444E6E">
      <w:pPr>
        <w:spacing w:line="24" w:lineRule="atLeast"/>
        <w:jc w:val="both"/>
        <w:rPr>
          <w:rFonts w:cs="Arial"/>
          <w:lang w:eastAsia="sl-SI"/>
        </w:rPr>
      </w:pPr>
      <w:r w:rsidRPr="00574B09">
        <w:rPr>
          <w:rFonts w:cs="Arial"/>
          <w:lang w:eastAsia="sl-SI"/>
        </w:rPr>
        <w:t xml:space="preserve">Referenčna cena lesne biomase za prihodnje leto se v napovedi določa na podlagi naslednjega cenovnega modela: </w:t>
      </w:r>
    </w:p>
    <w:p w14:paraId="20852A7F" w14:textId="77777777" w:rsidR="00444E6E" w:rsidRPr="00574B09" w:rsidRDefault="00444E6E" w:rsidP="00444E6E">
      <w:pPr>
        <w:spacing w:line="24" w:lineRule="atLeast"/>
        <w:jc w:val="both"/>
        <w:rPr>
          <w:rFonts w:cs="Arial"/>
          <w:lang w:eastAsia="sl-SI"/>
        </w:rPr>
      </w:pPr>
    </w:p>
    <w:p w14:paraId="2FBC1FB5" w14:textId="77777777" w:rsidR="00444E6E" w:rsidRPr="00574B09" w:rsidRDefault="00444E6E" w:rsidP="00444E6E">
      <w:pPr>
        <w:spacing w:line="24" w:lineRule="atLeast"/>
        <w:rPr>
          <w:rFonts w:cs="Arial"/>
          <w:b/>
          <w:i/>
          <w:lang w:eastAsia="sl-SI"/>
        </w:rPr>
      </w:pPr>
      <w:r w:rsidRPr="00574B09">
        <w:rPr>
          <w:rFonts w:cs="Arial"/>
          <w:b/>
          <w:i/>
          <w:lang w:eastAsia="sl-SI"/>
        </w:rPr>
        <w:t xml:space="preserve">RCLB = KVILB / KKILB </w:t>
      </w:r>
    </w:p>
    <w:p w14:paraId="5F1926DD" w14:textId="77777777" w:rsidR="00444E6E" w:rsidRPr="00574B09" w:rsidRDefault="00444E6E" w:rsidP="00444E6E">
      <w:pPr>
        <w:spacing w:line="24" w:lineRule="atLeast"/>
        <w:jc w:val="both"/>
        <w:rPr>
          <w:rFonts w:cs="Arial"/>
          <w:lang w:eastAsia="sl-SI"/>
        </w:rPr>
      </w:pPr>
    </w:p>
    <w:tbl>
      <w:tblPr>
        <w:tblW w:w="0" w:type="auto"/>
        <w:tblLayout w:type="fixed"/>
        <w:tblLook w:val="04A0" w:firstRow="1" w:lastRow="0" w:firstColumn="1" w:lastColumn="0" w:noHBand="0" w:noVBand="1"/>
      </w:tblPr>
      <w:tblGrid>
        <w:gridCol w:w="2518"/>
        <w:gridCol w:w="6332"/>
      </w:tblGrid>
      <w:tr w:rsidR="00444E6E" w:rsidRPr="00574B09" w14:paraId="0CF32A2E" w14:textId="77777777" w:rsidTr="00425693">
        <w:trPr>
          <w:trHeight w:val="110"/>
        </w:trPr>
        <w:tc>
          <w:tcPr>
            <w:tcW w:w="2518" w:type="dxa"/>
          </w:tcPr>
          <w:p w14:paraId="62F4CA65" w14:textId="77777777" w:rsidR="00444E6E" w:rsidRPr="00574B09" w:rsidRDefault="00444E6E" w:rsidP="00425693">
            <w:pPr>
              <w:spacing w:line="24" w:lineRule="atLeast"/>
              <w:jc w:val="both"/>
              <w:rPr>
                <w:rFonts w:cs="Arial"/>
                <w:lang w:eastAsia="sl-SI"/>
              </w:rPr>
            </w:pPr>
            <w:r w:rsidRPr="00574B09">
              <w:rPr>
                <w:rFonts w:cs="Arial"/>
                <w:lang w:eastAsia="sl-SI"/>
              </w:rPr>
              <w:t xml:space="preserve">V zgornjem modelu je: </w:t>
            </w:r>
          </w:p>
          <w:p w14:paraId="640563EC" w14:textId="77777777" w:rsidR="00444E6E" w:rsidRPr="00574B09" w:rsidRDefault="00444E6E" w:rsidP="00425693">
            <w:pPr>
              <w:spacing w:line="24" w:lineRule="atLeast"/>
              <w:jc w:val="both"/>
              <w:rPr>
                <w:rFonts w:cs="Arial"/>
                <w:lang w:eastAsia="sl-SI"/>
              </w:rPr>
            </w:pPr>
          </w:p>
          <w:p w14:paraId="3DD74FC4" w14:textId="77777777" w:rsidR="00444E6E" w:rsidRPr="00574B09" w:rsidRDefault="00444E6E" w:rsidP="00444E6E">
            <w:pPr>
              <w:numPr>
                <w:ilvl w:val="0"/>
                <w:numId w:val="6"/>
              </w:numPr>
              <w:spacing w:line="24" w:lineRule="atLeast"/>
              <w:ind w:left="604"/>
              <w:contextualSpacing/>
              <w:jc w:val="both"/>
              <w:rPr>
                <w:rFonts w:eastAsia="SimHei" w:cs="Arial"/>
                <w:szCs w:val="20"/>
                <w:lang w:val="x-none" w:eastAsia="sl-SI"/>
              </w:rPr>
            </w:pPr>
            <w:r w:rsidRPr="00574B09">
              <w:rPr>
                <w:rFonts w:eastAsia="SimHei" w:cs="Arial"/>
                <w:szCs w:val="20"/>
                <w:lang w:val="x-none" w:eastAsia="sl-SI"/>
              </w:rPr>
              <w:t>RCLB</w:t>
            </w:r>
          </w:p>
        </w:tc>
        <w:tc>
          <w:tcPr>
            <w:tcW w:w="6332" w:type="dxa"/>
          </w:tcPr>
          <w:p w14:paraId="081BF5C9" w14:textId="77777777" w:rsidR="00444E6E" w:rsidRPr="00574B09" w:rsidRDefault="00444E6E" w:rsidP="00425693">
            <w:pPr>
              <w:spacing w:line="24" w:lineRule="atLeast"/>
              <w:jc w:val="both"/>
              <w:rPr>
                <w:rFonts w:cs="Arial"/>
                <w:lang w:eastAsia="sl-SI"/>
              </w:rPr>
            </w:pPr>
          </w:p>
          <w:p w14:paraId="33B0E2DB" w14:textId="77777777" w:rsidR="00444E6E" w:rsidRPr="00574B09" w:rsidRDefault="00444E6E" w:rsidP="00425693">
            <w:pPr>
              <w:spacing w:after="120" w:line="24" w:lineRule="atLeast"/>
              <w:ind w:left="720"/>
              <w:contextualSpacing/>
              <w:jc w:val="both"/>
              <w:rPr>
                <w:rFonts w:eastAsia="SimHei" w:cs="Arial"/>
                <w:szCs w:val="20"/>
                <w:lang w:val="x-none" w:eastAsia="sl-SI"/>
              </w:rPr>
            </w:pPr>
          </w:p>
          <w:p w14:paraId="23FBC64C" w14:textId="77777777" w:rsidR="00444E6E" w:rsidRPr="00574B09" w:rsidRDefault="00444E6E" w:rsidP="00425693">
            <w:pPr>
              <w:spacing w:line="24" w:lineRule="atLeast"/>
              <w:jc w:val="both"/>
              <w:rPr>
                <w:rFonts w:cs="Arial"/>
                <w:lang w:eastAsia="sl-SI"/>
              </w:rPr>
            </w:pPr>
            <w:r w:rsidRPr="00574B09">
              <w:rPr>
                <w:rFonts w:cs="Arial"/>
                <w:lang w:eastAsia="sl-SI"/>
              </w:rPr>
              <w:t>referenčna cena lesne biomase v EUR/t,</w:t>
            </w:r>
          </w:p>
        </w:tc>
      </w:tr>
      <w:tr w:rsidR="00444E6E" w:rsidRPr="00574B09" w14:paraId="0C969967" w14:textId="77777777" w:rsidTr="00425693">
        <w:trPr>
          <w:trHeight w:val="229"/>
        </w:trPr>
        <w:tc>
          <w:tcPr>
            <w:tcW w:w="2518" w:type="dxa"/>
            <w:hideMark/>
          </w:tcPr>
          <w:p w14:paraId="67A5CEA5" w14:textId="77777777" w:rsidR="00444E6E" w:rsidRPr="00574B09" w:rsidRDefault="00444E6E" w:rsidP="00444E6E">
            <w:pPr>
              <w:numPr>
                <w:ilvl w:val="0"/>
                <w:numId w:val="7"/>
              </w:numPr>
              <w:spacing w:line="24" w:lineRule="atLeast"/>
              <w:ind w:left="604"/>
              <w:contextualSpacing/>
              <w:jc w:val="both"/>
              <w:rPr>
                <w:rFonts w:eastAsia="SimHei" w:cs="Arial"/>
                <w:szCs w:val="20"/>
                <w:lang w:val="x-none" w:eastAsia="sl-SI"/>
              </w:rPr>
            </w:pPr>
            <w:r w:rsidRPr="00574B09">
              <w:rPr>
                <w:rFonts w:eastAsia="SimHei" w:cs="Arial"/>
                <w:szCs w:val="20"/>
                <w:lang w:val="x-none" w:eastAsia="sl-SI"/>
              </w:rPr>
              <w:t xml:space="preserve">KVILB </w:t>
            </w:r>
          </w:p>
        </w:tc>
        <w:tc>
          <w:tcPr>
            <w:tcW w:w="6332" w:type="dxa"/>
            <w:hideMark/>
          </w:tcPr>
          <w:p w14:paraId="5EF58906" w14:textId="77777777" w:rsidR="00444E6E" w:rsidRPr="00574B09" w:rsidRDefault="00444E6E" w:rsidP="00425693">
            <w:pPr>
              <w:spacing w:line="24" w:lineRule="atLeast"/>
              <w:jc w:val="both"/>
              <w:rPr>
                <w:rFonts w:cs="Arial"/>
                <w:lang w:eastAsia="sl-SI"/>
              </w:rPr>
            </w:pPr>
            <w:r w:rsidRPr="00574B09">
              <w:rPr>
                <w:rFonts w:cs="Arial"/>
                <w:lang w:eastAsia="sl-SI"/>
              </w:rPr>
              <w:t xml:space="preserve">kumulativna vrednost izvoza iverja, sekancev in podobnega lesa iglavcev, zadnji razpoložljivi podatki 12 preteklih mesecev v EUR, </w:t>
            </w:r>
          </w:p>
        </w:tc>
      </w:tr>
      <w:tr w:rsidR="00444E6E" w:rsidRPr="00574B09" w14:paraId="0D3DF3DB" w14:textId="77777777" w:rsidTr="00425693">
        <w:trPr>
          <w:trHeight w:val="229"/>
        </w:trPr>
        <w:tc>
          <w:tcPr>
            <w:tcW w:w="2518" w:type="dxa"/>
            <w:hideMark/>
          </w:tcPr>
          <w:p w14:paraId="0887BF51" w14:textId="77777777" w:rsidR="00444E6E" w:rsidRPr="00574B09" w:rsidRDefault="00444E6E" w:rsidP="00444E6E">
            <w:pPr>
              <w:numPr>
                <w:ilvl w:val="0"/>
                <w:numId w:val="7"/>
              </w:numPr>
              <w:spacing w:line="24" w:lineRule="atLeast"/>
              <w:ind w:left="604"/>
              <w:contextualSpacing/>
              <w:jc w:val="both"/>
              <w:rPr>
                <w:rFonts w:eastAsia="SimHei" w:cs="Arial"/>
                <w:szCs w:val="20"/>
                <w:lang w:val="x-none" w:eastAsia="sl-SI"/>
              </w:rPr>
            </w:pPr>
            <w:r w:rsidRPr="00574B09">
              <w:rPr>
                <w:rFonts w:eastAsia="SimHei" w:cs="Arial"/>
                <w:szCs w:val="20"/>
                <w:lang w:val="x-none" w:eastAsia="sl-SI"/>
              </w:rPr>
              <w:t xml:space="preserve">KKILB </w:t>
            </w:r>
          </w:p>
        </w:tc>
        <w:tc>
          <w:tcPr>
            <w:tcW w:w="6332" w:type="dxa"/>
            <w:hideMark/>
          </w:tcPr>
          <w:p w14:paraId="5AC3310F" w14:textId="77777777" w:rsidR="00444E6E" w:rsidRPr="00574B09" w:rsidRDefault="00444E6E" w:rsidP="00425693">
            <w:pPr>
              <w:spacing w:line="24" w:lineRule="atLeast"/>
              <w:jc w:val="both"/>
              <w:rPr>
                <w:rFonts w:cs="Arial"/>
                <w:lang w:eastAsia="sl-SI"/>
              </w:rPr>
            </w:pPr>
            <w:r w:rsidRPr="00574B09">
              <w:rPr>
                <w:rFonts w:cs="Arial"/>
                <w:lang w:eastAsia="sl-SI"/>
              </w:rPr>
              <w:t xml:space="preserve">kumulativne količine izvoza iverja, sekancev in podobnega lesa iglavcev, zadnji razpoložljivi podatki 12 preteklih mesecev v t. </w:t>
            </w:r>
          </w:p>
        </w:tc>
      </w:tr>
    </w:tbl>
    <w:p w14:paraId="1CC0BF26" w14:textId="77777777" w:rsidR="00444E6E" w:rsidRPr="00574B09" w:rsidRDefault="00444E6E" w:rsidP="00444E6E">
      <w:pPr>
        <w:spacing w:line="24" w:lineRule="atLeast"/>
        <w:jc w:val="both"/>
        <w:rPr>
          <w:rFonts w:cs="Arial"/>
          <w:lang w:eastAsia="sl-SI"/>
        </w:rPr>
      </w:pPr>
    </w:p>
    <w:p w14:paraId="2971DD30" w14:textId="77777777" w:rsidR="00444E6E" w:rsidRPr="00574B09" w:rsidRDefault="00444E6E" w:rsidP="00444E6E">
      <w:r w:rsidRPr="00574B09">
        <w:rPr>
          <w:rFonts w:cs="Arial"/>
          <w:lang w:eastAsia="sl-SI"/>
        </w:rPr>
        <w:t xml:space="preserve">Podatke, ki so potrebni za izdelavo napovedi, Agenciji za energijo posreduje Statistični urad Republike Slovenije. </w:t>
      </w:r>
    </w:p>
    <w:p w14:paraId="103F3FC0" w14:textId="77777777" w:rsidR="00444E6E" w:rsidRDefault="00444E6E" w:rsidP="00444E6E">
      <w:pPr>
        <w:spacing w:line="276" w:lineRule="auto"/>
        <w:jc w:val="both"/>
        <w:rPr>
          <w:rFonts w:eastAsia="Calibri" w:cs="Arial"/>
          <w:b/>
          <w:szCs w:val="20"/>
        </w:rPr>
      </w:pPr>
    </w:p>
    <w:p w14:paraId="657D5CE6" w14:textId="77777777" w:rsidR="00444E6E" w:rsidRDefault="00444E6E" w:rsidP="00444E6E">
      <w:pPr>
        <w:spacing w:line="276" w:lineRule="auto"/>
        <w:jc w:val="both"/>
        <w:rPr>
          <w:rFonts w:eastAsia="Calibri" w:cs="Arial"/>
          <w:b/>
          <w:szCs w:val="20"/>
        </w:rPr>
      </w:pPr>
    </w:p>
    <w:p w14:paraId="1561CD95" w14:textId="77777777" w:rsidR="00444E6E" w:rsidRDefault="00444E6E" w:rsidP="00444E6E">
      <w:pPr>
        <w:spacing w:line="276" w:lineRule="auto"/>
        <w:jc w:val="both"/>
        <w:rPr>
          <w:rFonts w:eastAsia="Calibri" w:cs="Arial"/>
          <w:b/>
          <w:szCs w:val="20"/>
        </w:rPr>
      </w:pPr>
    </w:p>
    <w:p w14:paraId="6418816D" w14:textId="77777777" w:rsidR="00444E6E" w:rsidRDefault="00444E6E" w:rsidP="00444E6E">
      <w:pPr>
        <w:spacing w:line="276" w:lineRule="auto"/>
        <w:jc w:val="both"/>
        <w:rPr>
          <w:rFonts w:eastAsia="Calibri" w:cs="Arial"/>
          <w:b/>
          <w:szCs w:val="20"/>
        </w:rPr>
      </w:pPr>
    </w:p>
    <w:p w14:paraId="1B2A2A8F" w14:textId="77777777" w:rsidR="00444E6E" w:rsidRDefault="00444E6E" w:rsidP="00444E6E">
      <w:pPr>
        <w:spacing w:line="276" w:lineRule="auto"/>
        <w:jc w:val="both"/>
        <w:rPr>
          <w:rFonts w:eastAsia="Calibri" w:cs="Arial"/>
          <w:b/>
          <w:szCs w:val="20"/>
        </w:rPr>
      </w:pPr>
    </w:p>
    <w:p w14:paraId="4F8B343A" w14:textId="77777777" w:rsidR="00444E6E" w:rsidRDefault="00444E6E" w:rsidP="00444E6E">
      <w:pPr>
        <w:spacing w:line="276" w:lineRule="auto"/>
        <w:jc w:val="both"/>
        <w:rPr>
          <w:rFonts w:eastAsia="Calibri" w:cs="Arial"/>
          <w:b/>
          <w:szCs w:val="20"/>
        </w:rPr>
      </w:pPr>
    </w:p>
    <w:p w14:paraId="29AA8F45" w14:textId="77777777" w:rsidR="00444E6E" w:rsidRDefault="00444E6E" w:rsidP="00444E6E">
      <w:pPr>
        <w:spacing w:line="276" w:lineRule="auto"/>
        <w:jc w:val="both"/>
        <w:rPr>
          <w:rFonts w:eastAsia="Calibri" w:cs="Arial"/>
          <w:b/>
          <w:szCs w:val="20"/>
        </w:rPr>
      </w:pPr>
    </w:p>
    <w:p w14:paraId="6FF24167" w14:textId="77777777" w:rsidR="00444E6E" w:rsidRDefault="00444E6E" w:rsidP="00444E6E">
      <w:pPr>
        <w:spacing w:line="276" w:lineRule="auto"/>
        <w:jc w:val="both"/>
        <w:rPr>
          <w:rFonts w:eastAsia="Calibri" w:cs="Arial"/>
          <w:b/>
          <w:szCs w:val="20"/>
        </w:rPr>
      </w:pPr>
    </w:p>
    <w:p w14:paraId="7E0B7DF4" w14:textId="77777777" w:rsidR="00444E6E" w:rsidRDefault="00444E6E" w:rsidP="00444E6E">
      <w:pPr>
        <w:spacing w:line="276" w:lineRule="auto"/>
        <w:jc w:val="both"/>
        <w:rPr>
          <w:rFonts w:eastAsia="Calibri" w:cs="Arial"/>
          <w:b/>
          <w:szCs w:val="20"/>
        </w:rPr>
      </w:pPr>
    </w:p>
    <w:p w14:paraId="2B19B42D" w14:textId="77777777" w:rsidR="00444E6E" w:rsidRDefault="00444E6E" w:rsidP="00444E6E">
      <w:pPr>
        <w:spacing w:line="276" w:lineRule="auto"/>
        <w:jc w:val="both"/>
        <w:rPr>
          <w:rFonts w:eastAsia="Calibri" w:cs="Arial"/>
          <w:b/>
          <w:szCs w:val="20"/>
        </w:rPr>
      </w:pPr>
    </w:p>
    <w:p w14:paraId="336C29B8" w14:textId="77777777" w:rsidR="00444E6E" w:rsidRDefault="00444E6E" w:rsidP="00444E6E">
      <w:pPr>
        <w:spacing w:line="276" w:lineRule="auto"/>
        <w:jc w:val="both"/>
        <w:rPr>
          <w:rFonts w:eastAsia="Calibri" w:cs="Arial"/>
          <w:b/>
          <w:szCs w:val="20"/>
        </w:rPr>
      </w:pPr>
    </w:p>
    <w:p w14:paraId="38BB36E4" w14:textId="77777777" w:rsidR="00444E6E" w:rsidRDefault="00444E6E" w:rsidP="00444E6E">
      <w:pPr>
        <w:spacing w:line="276" w:lineRule="auto"/>
        <w:jc w:val="both"/>
        <w:rPr>
          <w:rFonts w:eastAsia="Calibri" w:cs="Arial"/>
          <w:b/>
          <w:szCs w:val="20"/>
        </w:rPr>
      </w:pPr>
    </w:p>
    <w:p w14:paraId="277FE980" w14:textId="77777777" w:rsidR="00444E6E" w:rsidRDefault="00444E6E" w:rsidP="00444E6E">
      <w:pPr>
        <w:spacing w:line="276" w:lineRule="auto"/>
        <w:jc w:val="both"/>
        <w:rPr>
          <w:rFonts w:eastAsia="Calibri" w:cs="Arial"/>
          <w:b/>
          <w:szCs w:val="20"/>
        </w:rPr>
      </w:pPr>
    </w:p>
    <w:p w14:paraId="3BAF825F" w14:textId="77777777" w:rsidR="00444E6E" w:rsidRDefault="00444E6E" w:rsidP="00444E6E">
      <w:pPr>
        <w:spacing w:line="276" w:lineRule="auto"/>
        <w:jc w:val="both"/>
        <w:rPr>
          <w:rFonts w:eastAsia="Calibri" w:cs="Arial"/>
          <w:b/>
          <w:szCs w:val="20"/>
        </w:rPr>
      </w:pPr>
      <w:bookmarkStart w:id="3" w:name="_Hlk168040702"/>
    </w:p>
    <w:p w14:paraId="572948DB" w14:textId="77777777" w:rsidR="00444E6E" w:rsidRDefault="00444E6E" w:rsidP="00444E6E">
      <w:pPr>
        <w:spacing w:line="276" w:lineRule="auto"/>
        <w:jc w:val="both"/>
        <w:rPr>
          <w:rFonts w:eastAsia="Calibri" w:cs="Arial"/>
          <w:b/>
          <w:szCs w:val="20"/>
        </w:rPr>
      </w:pPr>
      <w:r w:rsidRPr="0085262F">
        <w:rPr>
          <w:rFonts w:eastAsia="Calibri" w:cs="Arial"/>
          <w:b/>
          <w:szCs w:val="20"/>
        </w:rPr>
        <w:lastRenderedPageBreak/>
        <w:t>OBRAZLOŽITEV</w:t>
      </w:r>
      <w:r>
        <w:rPr>
          <w:rFonts w:eastAsia="Calibri" w:cs="Arial"/>
          <w:b/>
          <w:szCs w:val="20"/>
        </w:rPr>
        <w:t>:</w:t>
      </w:r>
    </w:p>
    <w:p w14:paraId="65DCEB4C" w14:textId="77777777" w:rsidR="00444E6E" w:rsidRDefault="00444E6E" w:rsidP="00444E6E">
      <w:pPr>
        <w:spacing w:line="276" w:lineRule="auto"/>
        <w:jc w:val="both"/>
        <w:rPr>
          <w:rFonts w:eastAsia="Calibri" w:cs="Arial"/>
          <w:b/>
          <w:szCs w:val="20"/>
        </w:rPr>
      </w:pPr>
    </w:p>
    <w:p w14:paraId="673BB878" w14:textId="77777777" w:rsidR="00444E6E" w:rsidRPr="003C13A5" w:rsidRDefault="00444E6E" w:rsidP="00444E6E">
      <w:pPr>
        <w:numPr>
          <w:ilvl w:val="0"/>
          <w:numId w:val="9"/>
        </w:numPr>
        <w:spacing w:line="276" w:lineRule="auto"/>
        <w:jc w:val="both"/>
        <w:rPr>
          <w:rFonts w:eastAsia="Calibri" w:cs="Arial"/>
          <w:b/>
          <w:bCs/>
          <w:szCs w:val="20"/>
        </w:rPr>
      </w:pPr>
      <w:bookmarkStart w:id="4" w:name="_Toc167792881"/>
      <w:r w:rsidRPr="003C13A5">
        <w:rPr>
          <w:rFonts w:eastAsia="Calibri" w:cs="Arial"/>
          <w:b/>
          <w:bCs/>
          <w:szCs w:val="20"/>
        </w:rPr>
        <w:t>Določanje referenčne cene električne energije</w:t>
      </w:r>
      <w:bookmarkEnd w:id="4"/>
    </w:p>
    <w:p w14:paraId="7920C914" w14:textId="77777777" w:rsidR="00444E6E" w:rsidRDefault="00444E6E" w:rsidP="00444E6E">
      <w:pPr>
        <w:spacing w:line="276" w:lineRule="auto"/>
        <w:jc w:val="both"/>
        <w:rPr>
          <w:rFonts w:eastAsia="Calibri" w:cs="Arial"/>
          <w:bCs/>
          <w:szCs w:val="20"/>
        </w:rPr>
      </w:pPr>
    </w:p>
    <w:p w14:paraId="79CEFD46" w14:textId="77777777" w:rsidR="00444E6E" w:rsidRPr="00B6414F" w:rsidRDefault="00444E6E" w:rsidP="00444E6E">
      <w:pPr>
        <w:spacing w:line="276" w:lineRule="auto"/>
        <w:jc w:val="both"/>
        <w:rPr>
          <w:rFonts w:eastAsia="Calibri" w:cs="Arial"/>
          <w:bCs/>
          <w:szCs w:val="20"/>
        </w:rPr>
      </w:pPr>
      <w:r w:rsidRPr="00B6414F">
        <w:rPr>
          <w:rFonts w:eastAsia="Calibri" w:cs="Arial"/>
          <w:bCs/>
          <w:szCs w:val="20"/>
        </w:rPr>
        <w:t>Napoved referenčne cene električne energije C(</w:t>
      </w:r>
      <w:proofErr w:type="spellStart"/>
      <w:r w:rsidRPr="00B6414F">
        <w:rPr>
          <w:rFonts w:eastAsia="Calibri" w:cs="Arial"/>
          <w:bCs/>
          <w:szCs w:val="20"/>
        </w:rPr>
        <w:t>ElRef</w:t>
      </w:r>
      <w:proofErr w:type="spellEnd"/>
      <w:r w:rsidRPr="00B6414F">
        <w:rPr>
          <w:rFonts w:eastAsia="Calibri" w:cs="Arial"/>
          <w:bCs/>
          <w:szCs w:val="20"/>
        </w:rPr>
        <w:t xml:space="preserve">) se skladno s prilogo </w:t>
      </w:r>
      <w:r>
        <w:rPr>
          <w:rFonts w:eastAsia="Calibri" w:cs="Arial"/>
          <w:bCs/>
          <w:szCs w:val="20"/>
        </w:rPr>
        <w:t>u</w:t>
      </w:r>
      <w:r w:rsidRPr="00B6414F">
        <w:rPr>
          <w:rFonts w:eastAsia="Calibri" w:cs="Arial"/>
          <w:bCs/>
          <w:szCs w:val="20"/>
        </w:rPr>
        <w:t>redbe določi na podlagi gibanja cene produkta pasovne energije na madžarski borzi HUDEX za leto v naprej</w:t>
      </w:r>
      <w:r>
        <w:rPr>
          <w:rFonts w:eastAsia="Calibri" w:cs="Arial"/>
          <w:bCs/>
          <w:szCs w:val="20"/>
        </w:rPr>
        <w:t>.</w:t>
      </w:r>
    </w:p>
    <w:p w14:paraId="14D74DC2" w14:textId="77777777" w:rsidR="00444E6E" w:rsidRDefault="00444E6E" w:rsidP="00444E6E">
      <w:pPr>
        <w:spacing w:line="276" w:lineRule="auto"/>
        <w:jc w:val="both"/>
        <w:rPr>
          <w:rFonts w:eastAsia="Calibri" w:cs="Arial"/>
          <w:b/>
          <w:szCs w:val="20"/>
        </w:rPr>
      </w:pPr>
    </w:p>
    <w:p w14:paraId="22CED189" w14:textId="77777777" w:rsidR="00444E6E" w:rsidRDefault="00444E6E" w:rsidP="00444E6E">
      <w:pPr>
        <w:spacing w:line="276" w:lineRule="auto"/>
        <w:jc w:val="both"/>
        <w:rPr>
          <w:rFonts w:eastAsia="Calibri" w:cs="Arial"/>
          <w:bCs/>
          <w:szCs w:val="20"/>
        </w:rPr>
      </w:pPr>
      <w:r w:rsidRPr="00B6414F">
        <w:rPr>
          <w:rFonts w:eastAsia="Calibri" w:cs="Arial"/>
          <w:bCs/>
          <w:szCs w:val="20"/>
        </w:rPr>
        <w:t>Zaradi energetske krize so se v letu 2022 razmere na trgu izredno spremenile – velike negotovosti glede prihodnje oskrbe z zemeljskim plinom so povzročile veliko nihanje cen, ki so poleti zrasle do nerealnih vrednosti. Zato je bila referenčna cena električne energije za leto 2023 določena kasneje, in sicer na vrednost 180 €/MWh, brez upoštevanja modela napovedi, po katerem bi bila vrednost več kot 500 €/MWh. V začetku leta 2023 so se cene električne energije pričele umirjati in se za produkt pasovne energije za leto 2025</w:t>
      </w:r>
      <w:r w:rsidRPr="00B6414F">
        <w:rPr>
          <w:rFonts w:eastAsia="Calibri" w:cs="Arial"/>
          <w:bCs/>
          <w:szCs w:val="20"/>
          <w:vertAlign w:val="superscript"/>
        </w:rPr>
        <w:footnoteReference w:id="2"/>
      </w:r>
      <w:r w:rsidRPr="00B6414F">
        <w:rPr>
          <w:rFonts w:eastAsia="Calibri" w:cs="Arial"/>
          <w:bCs/>
          <w:szCs w:val="20"/>
        </w:rPr>
        <w:t xml:space="preserve"> gibale okoli 135 €/MWh. Na podlagi cenovnega modela je tako bila referenčna cena za leto 2024 določena na ravni 139 €/MWh. Zaradi ohlajanja gospodarstva, sorazmerno tople zime in posledično presežkov zemeljskega plina ter znižanja cen emisijskih kuponov so se tržne cene električne energije v zadnjih mesecih leta 2023, takoj po objavi napovedi cene za leto 2024, občutno znižale. Trend zniževanja se je nadaljeval do konca februarja, ko so cene pasovne energije za prihodnje leto padle pod 80 €/MWh. Nato so se cene ponovno pričele povečevati in se trenutno (maj 2024) gibljejo okoli 100 €/MWh, kot prikazuje </w:t>
      </w:r>
      <w:r w:rsidRPr="00B6414F">
        <w:rPr>
          <w:rFonts w:eastAsia="Calibri" w:cs="Arial"/>
          <w:bCs/>
          <w:szCs w:val="20"/>
        </w:rPr>
        <w:fldChar w:fldCharType="begin"/>
      </w:r>
      <w:r w:rsidRPr="00B6414F">
        <w:rPr>
          <w:rFonts w:eastAsia="Calibri" w:cs="Arial"/>
          <w:bCs/>
          <w:szCs w:val="20"/>
        </w:rPr>
        <w:instrText xml:space="preserve"> REF _Ref167709179 \h </w:instrText>
      </w:r>
      <w:r>
        <w:rPr>
          <w:rFonts w:eastAsia="Calibri" w:cs="Arial"/>
          <w:bCs/>
          <w:szCs w:val="20"/>
        </w:rPr>
        <w:instrText xml:space="preserve"> \* MERGEFORMAT </w:instrText>
      </w:r>
      <w:r w:rsidRPr="00B6414F">
        <w:rPr>
          <w:rFonts w:eastAsia="Calibri" w:cs="Arial"/>
          <w:bCs/>
          <w:szCs w:val="20"/>
        </w:rPr>
      </w:r>
      <w:r w:rsidRPr="00B6414F">
        <w:rPr>
          <w:rFonts w:eastAsia="Calibri" w:cs="Arial"/>
          <w:bCs/>
          <w:szCs w:val="20"/>
        </w:rPr>
        <w:fldChar w:fldCharType="separate"/>
      </w:r>
      <w:r w:rsidRPr="00B6414F">
        <w:rPr>
          <w:rFonts w:eastAsia="Calibri" w:cs="Arial"/>
          <w:bCs/>
          <w:szCs w:val="20"/>
        </w:rPr>
        <w:t>Slika 2</w:t>
      </w:r>
      <w:r w:rsidRPr="00B6414F">
        <w:rPr>
          <w:rFonts w:eastAsia="Calibri" w:cs="Arial"/>
          <w:bCs/>
          <w:szCs w:val="20"/>
        </w:rPr>
        <w:fldChar w:fldCharType="end"/>
      </w:r>
      <w:r w:rsidRPr="00B6414F">
        <w:rPr>
          <w:rFonts w:eastAsia="Calibri" w:cs="Arial"/>
          <w:bCs/>
          <w:szCs w:val="20"/>
        </w:rPr>
        <w:t>.</w:t>
      </w:r>
    </w:p>
    <w:p w14:paraId="7349483D" w14:textId="77777777" w:rsidR="00444E6E" w:rsidRDefault="00444E6E" w:rsidP="00444E6E">
      <w:pPr>
        <w:spacing w:line="276" w:lineRule="auto"/>
        <w:jc w:val="both"/>
        <w:rPr>
          <w:rFonts w:eastAsia="Calibri" w:cs="Arial"/>
          <w:bCs/>
          <w:szCs w:val="20"/>
        </w:rPr>
      </w:pPr>
    </w:p>
    <w:p w14:paraId="5D653356" w14:textId="77777777" w:rsidR="00444E6E" w:rsidRDefault="00444E6E" w:rsidP="00444E6E">
      <w:pPr>
        <w:spacing w:line="276" w:lineRule="auto"/>
        <w:jc w:val="both"/>
        <w:rPr>
          <w:rFonts w:eastAsia="Calibri" w:cs="Arial"/>
          <w:bCs/>
          <w:szCs w:val="20"/>
        </w:rPr>
      </w:pPr>
      <w:r w:rsidRPr="00F33FCB">
        <w:rPr>
          <w:rFonts w:eastAsia="Calibri" w:cs="Arial"/>
          <w:bCs/>
          <w:szCs w:val="20"/>
        </w:rPr>
        <w:t xml:space="preserve">Velike negotovosti in nihanja cen na trgu so povzročili občutno povečanje marž trgovcev, ki so manjšim proizvajalcem električne energije ponujali znatno nižje cene od tržnih. To se je zelo odrazilo tudi pri prodaji električne energije EKO bilančne skupine Borzen za leto 2024, ko je na dražbi 19. oktobra 2023 dosegla ceno le 109,11 €/MWh, kar je več kot 21 % nižje od napovedane referenčne cene za leto 2024, ki se je določala ravno v tem obdobju. </w:t>
      </w:r>
    </w:p>
    <w:p w14:paraId="0E6F48BB" w14:textId="77777777" w:rsidR="00444E6E" w:rsidRPr="00F33FCB" w:rsidRDefault="00444E6E" w:rsidP="00444E6E">
      <w:pPr>
        <w:spacing w:line="276" w:lineRule="auto"/>
        <w:jc w:val="both"/>
        <w:rPr>
          <w:rFonts w:eastAsia="Calibri" w:cs="Arial"/>
          <w:bCs/>
          <w:szCs w:val="20"/>
        </w:rPr>
      </w:pPr>
    </w:p>
    <w:p w14:paraId="5E45E348" w14:textId="77777777" w:rsidR="00444E6E" w:rsidRPr="00B6414F" w:rsidRDefault="00444E6E" w:rsidP="00444E6E">
      <w:pPr>
        <w:spacing w:line="276" w:lineRule="auto"/>
        <w:jc w:val="both"/>
        <w:rPr>
          <w:rFonts w:eastAsia="Calibri" w:cs="Arial"/>
          <w:bCs/>
          <w:szCs w:val="20"/>
        </w:rPr>
      </w:pPr>
      <w:r w:rsidRPr="00F33FCB">
        <w:rPr>
          <w:rFonts w:eastAsia="Calibri" w:cs="Arial"/>
          <w:bCs/>
          <w:szCs w:val="20"/>
        </w:rPr>
        <w:t>Zaradi težav pri pridobivanju ponudb se je velik del proizvajalcev preusmeril na prodajo na dnevnem trgu, kjer so se cene v letu 2024 še bistveno bolj znižale in trenutno dosegajo raven okoli 70 €/MWh, kot prikazuje Slika 3.</w:t>
      </w:r>
    </w:p>
    <w:p w14:paraId="3A2D2795" w14:textId="77777777" w:rsidR="00444E6E" w:rsidRDefault="00444E6E" w:rsidP="00444E6E">
      <w:pPr>
        <w:spacing w:line="276" w:lineRule="auto"/>
        <w:jc w:val="both"/>
        <w:rPr>
          <w:rFonts w:eastAsia="Calibri" w:cs="Arial"/>
          <w:b/>
          <w:szCs w:val="20"/>
        </w:rPr>
      </w:pPr>
    </w:p>
    <w:p w14:paraId="71546494" w14:textId="77777777" w:rsidR="00444E6E" w:rsidRDefault="00444E6E" w:rsidP="00444E6E">
      <w:pPr>
        <w:spacing w:line="276" w:lineRule="auto"/>
        <w:jc w:val="both"/>
        <w:rPr>
          <w:rFonts w:eastAsia="Calibri" w:cs="Arial"/>
          <w:b/>
          <w:szCs w:val="20"/>
        </w:rPr>
      </w:pPr>
      <w:r>
        <w:rPr>
          <w:noProof/>
        </w:rPr>
        <w:drawing>
          <wp:inline distT="0" distB="0" distL="0" distR="0" wp14:anchorId="54895DCE" wp14:editId="34E0971B">
            <wp:extent cx="5396230" cy="1386840"/>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7"/>
                    <a:stretch>
                      <a:fillRect/>
                    </a:stretch>
                  </pic:blipFill>
                  <pic:spPr>
                    <a:xfrm>
                      <a:off x="0" y="0"/>
                      <a:ext cx="5396230" cy="1386840"/>
                    </a:xfrm>
                    <a:prstGeom prst="rect">
                      <a:avLst/>
                    </a:prstGeom>
                  </pic:spPr>
                </pic:pic>
              </a:graphicData>
            </a:graphic>
          </wp:inline>
        </w:drawing>
      </w:r>
    </w:p>
    <w:p w14:paraId="4DA37FB8" w14:textId="77777777" w:rsidR="00444E6E" w:rsidRDefault="00444E6E" w:rsidP="00444E6E">
      <w:pPr>
        <w:spacing w:line="276" w:lineRule="auto"/>
        <w:jc w:val="both"/>
        <w:rPr>
          <w:rFonts w:eastAsia="Calibri" w:cs="Arial"/>
          <w:b/>
          <w:szCs w:val="20"/>
        </w:rPr>
      </w:pPr>
    </w:p>
    <w:p w14:paraId="14679CB9" w14:textId="77777777" w:rsidR="00444E6E" w:rsidRPr="00CA6BFF" w:rsidRDefault="00444E6E" w:rsidP="00444E6E">
      <w:pPr>
        <w:spacing w:line="276" w:lineRule="auto"/>
        <w:jc w:val="both"/>
        <w:rPr>
          <w:rFonts w:eastAsia="Calibri" w:cs="Arial"/>
          <w:b/>
          <w:i/>
          <w:iCs/>
          <w:sz w:val="18"/>
          <w:szCs w:val="18"/>
        </w:rPr>
      </w:pPr>
      <w:r w:rsidRPr="00CA6BFF">
        <w:rPr>
          <w:rFonts w:eastAsia="Calibri" w:cs="Arial"/>
          <w:b/>
          <w:i/>
          <w:iCs/>
          <w:sz w:val="18"/>
          <w:szCs w:val="18"/>
        </w:rPr>
        <w:t>Slika 2: Gibanje cene tržnega produkta “</w:t>
      </w:r>
      <w:proofErr w:type="spellStart"/>
      <w:r w:rsidRPr="00CA6BFF">
        <w:rPr>
          <w:rFonts w:eastAsia="Calibri" w:cs="Arial"/>
          <w:b/>
          <w:i/>
          <w:iCs/>
          <w:sz w:val="18"/>
          <w:szCs w:val="18"/>
        </w:rPr>
        <w:t>Baseload</w:t>
      </w:r>
      <w:proofErr w:type="spellEnd"/>
      <w:r w:rsidRPr="00CA6BFF">
        <w:rPr>
          <w:rFonts w:eastAsia="Calibri" w:cs="Arial"/>
          <w:b/>
          <w:i/>
          <w:iCs/>
          <w:sz w:val="18"/>
          <w:szCs w:val="18"/>
        </w:rPr>
        <w:t xml:space="preserve"> BL YR-25” v EUR/MWh (vir: HUDEX)</w:t>
      </w:r>
    </w:p>
    <w:p w14:paraId="65F427BE" w14:textId="77777777" w:rsidR="00444E6E" w:rsidRDefault="00444E6E" w:rsidP="00444E6E">
      <w:pPr>
        <w:spacing w:line="276" w:lineRule="auto"/>
        <w:jc w:val="both"/>
        <w:rPr>
          <w:rFonts w:eastAsia="Calibri" w:cs="Arial"/>
          <w:b/>
          <w:szCs w:val="20"/>
        </w:rPr>
      </w:pPr>
    </w:p>
    <w:p w14:paraId="62A58940" w14:textId="77777777" w:rsidR="00444E6E" w:rsidRDefault="00444E6E" w:rsidP="00444E6E">
      <w:pPr>
        <w:spacing w:line="276" w:lineRule="auto"/>
        <w:jc w:val="both"/>
        <w:rPr>
          <w:rFonts w:eastAsia="Calibri" w:cs="Arial"/>
          <w:b/>
          <w:szCs w:val="20"/>
        </w:rPr>
      </w:pPr>
    </w:p>
    <w:p w14:paraId="038F454E" w14:textId="77777777" w:rsidR="00444E6E" w:rsidRDefault="00444E6E" w:rsidP="00444E6E">
      <w:pPr>
        <w:spacing w:line="276" w:lineRule="auto"/>
        <w:jc w:val="both"/>
        <w:rPr>
          <w:rFonts w:eastAsia="Calibri" w:cs="Arial"/>
          <w:b/>
          <w:szCs w:val="20"/>
        </w:rPr>
      </w:pPr>
    </w:p>
    <w:p w14:paraId="2A6267C7" w14:textId="77777777" w:rsidR="00444E6E" w:rsidRDefault="00444E6E" w:rsidP="00444E6E">
      <w:pPr>
        <w:spacing w:line="276" w:lineRule="auto"/>
        <w:jc w:val="both"/>
        <w:rPr>
          <w:rFonts w:eastAsia="Calibri" w:cs="Arial"/>
          <w:b/>
          <w:szCs w:val="20"/>
        </w:rPr>
      </w:pPr>
    </w:p>
    <w:p w14:paraId="1C33F7BD" w14:textId="77777777" w:rsidR="00444E6E" w:rsidRDefault="00444E6E" w:rsidP="00444E6E">
      <w:pPr>
        <w:spacing w:line="276" w:lineRule="auto"/>
        <w:jc w:val="both"/>
        <w:rPr>
          <w:rFonts w:eastAsia="Calibri" w:cs="Arial"/>
          <w:b/>
          <w:szCs w:val="20"/>
        </w:rPr>
      </w:pPr>
    </w:p>
    <w:p w14:paraId="10B3DB37" w14:textId="77777777" w:rsidR="00444E6E" w:rsidRDefault="00444E6E" w:rsidP="00444E6E">
      <w:pPr>
        <w:spacing w:line="276" w:lineRule="auto"/>
        <w:jc w:val="both"/>
        <w:rPr>
          <w:rFonts w:eastAsia="Calibri" w:cs="Arial"/>
          <w:b/>
          <w:szCs w:val="20"/>
        </w:rPr>
      </w:pPr>
    </w:p>
    <w:p w14:paraId="5EED8061" w14:textId="77777777" w:rsidR="00444E6E" w:rsidRDefault="00444E6E" w:rsidP="00444E6E">
      <w:pPr>
        <w:spacing w:line="276" w:lineRule="auto"/>
        <w:jc w:val="both"/>
        <w:rPr>
          <w:rFonts w:eastAsia="Calibri" w:cs="Arial"/>
          <w:b/>
          <w:szCs w:val="20"/>
        </w:rPr>
      </w:pPr>
    </w:p>
    <w:p w14:paraId="5862FA4E" w14:textId="77777777" w:rsidR="00444E6E" w:rsidRDefault="00444E6E" w:rsidP="00444E6E">
      <w:pPr>
        <w:spacing w:line="276" w:lineRule="auto"/>
        <w:jc w:val="both"/>
        <w:rPr>
          <w:rFonts w:eastAsia="Calibri" w:cs="Arial"/>
          <w:b/>
          <w:szCs w:val="20"/>
        </w:rPr>
      </w:pPr>
      <w:r>
        <w:rPr>
          <w:rFonts w:eastAsia="Calibri" w:cs="Arial"/>
          <w:b/>
          <w:noProof/>
          <w:szCs w:val="20"/>
        </w:rPr>
        <w:lastRenderedPageBreak/>
        <w:drawing>
          <wp:inline distT="0" distB="0" distL="0" distR="0" wp14:anchorId="2711B689" wp14:editId="6D94636F">
            <wp:extent cx="4791710" cy="2743200"/>
            <wp:effectExtent l="0" t="0" r="889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91710" cy="2743200"/>
                    </a:xfrm>
                    <a:prstGeom prst="rect">
                      <a:avLst/>
                    </a:prstGeom>
                    <a:noFill/>
                  </pic:spPr>
                </pic:pic>
              </a:graphicData>
            </a:graphic>
          </wp:inline>
        </w:drawing>
      </w:r>
    </w:p>
    <w:p w14:paraId="68295FD8" w14:textId="77777777" w:rsidR="00444E6E" w:rsidRPr="00CA6BFF" w:rsidRDefault="00444E6E" w:rsidP="00444E6E">
      <w:pPr>
        <w:pStyle w:val="Napis"/>
        <w:jc w:val="center"/>
        <w:rPr>
          <w:rFonts w:ascii="Arial" w:hAnsi="Arial" w:cs="Arial"/>
          <w:sz w:val="18"/>
          <w:szCs w:val="18"/>
          <w:lang w:val="sl-SI"/>
        </w:rPr>
      </w:pPr>
      <w:bookmarkStart w:id="5" w:name="_Ref167710207"/>
      <w:r w:rsidRPr="00CA6BFF">
        <w:rPr>
          <w:rFonts w:ascii="Arial" w:hAnsi="Arial" w:cs="Arial"/>
          <w:sz w:val="18"/>
          <w:szCs w:val="18"/>
          <w:lang w:val="sl-SI"/>
        </w:rPr>
        <w:t xml:space="preserve">Slika </w:t>
      </w:r>
      <w:r w:rsidRPr="00CA6BFF">
        <w:rPr>
          <w:rFonts w:ascii="Arial" w:hAnsi="Arial" w:cs="Arial"/>
          <w:sz w:val="18"/>
          <w:szCs w:val="18"/>
        </w:rPr>
        <w:fldChar w:fldCharType="begin"/>
      </w:r>
      <w:r w:rsidRPr="00CA6BFF">
        <w:rPr>
          <w:rFonts w:ascii="Arial" w:hAnsi="Arial" w:cs="Arial"/>
          <w:sz w:val="18"/>
          <w:szCs w:val="18"/>
          <w:lang w:val="sl-SI"/>
        </w:rPr>
        <w:instrText xml:space="preserve"> SEQ Slika \* ARABIC </w:instrText>
      </w:r>
      <w:r w:rsidRPr="00CA6BFF">
        <w:rPr>
          <w:rFonts w:ascii="Arial" w:hAnsi="Arial" w:cs="Arial"/>
          <w:sz w:val="18"/>
          <w:szCs w:val="18"/>
        </w:rPr>
        <w:fldChar w:fldCharType="separate"/>
      </w:r>
      <w:r w:rsidRPr="00CA6BFF">
        <w:rPr>
          <w:rFonts w:ascii="Arial" w:hAnsi="Arial" w:cs="Arial"/>
          <w:noProof/>
          <w:sz w:val="18"/>
          <w:szCs w:val="18"/>
          <w:lang w:val="sl-SI"/>
        </w:rPr>
        <w:t>3</w:t>
      </w:r>
      <w:r w:rsidRPr="00CA6BFF">
        <w:rPr>
          <w:rFonts w:ascii="Arial" w:hAnsi="Arial" w:cs="Arial"/>
          <w:sz w:val="18"/>
          <w:szCs w:val="18"/>
        </w:rPr>
        <w:fldChar w:fldCharType="end"/>
      </w:r>
      <w:bookmarkEnd w:id="5"/>
      <w:r w:rsidRPr="00CA6BFF">
        <w:rPr>
          <w:rFonts w:ascii="Arial" w:hAnsi="Arial" w:cs="Arial"/>
          <w:sz w:val="18"/>
          <w:szCs w:val="18"/>
          <w:lang w:val="sl-SI"/>
        </w:rPr>
        <w:t xml:space="preserve">: Gibanje cen na dnevnem trgu BSP – rezultati trgovanja za dan v naprej (vir: </w:t>
      </w:r>
      <w:hyperlink r:id="rId9" w:history="1">
        <w:r w:rsidRPr="00CA6BFF">
          <w:rPr>
            <w:rStyle w:val="Hiperpovezava"/>
            <w:rFonts w:ascii="Arial" w:hAnsi="Arial" w:cs="Arial"/>
            <w:sz w:val="18"/>
            <w:szCs w:val="18"/>
            <w:lang w:val="sl-SI"/>
          </w:rPr>
          <w:t>BSP</w:t>
        </w:r>
      </w:hyperlink>
      <w:r w:rsidRPr="00CA6BFF">
        <w:rPr>
          <w:rFonts w:ascii="Arial" w:hAnsi="Arial" w:cs="Arial"/>
          <w:sz w:val="18"/>
          <w:szCs w:val="18"/>
          <w:lang w:val="sl-SI"/>
        </w:rPr>
        <w:t>)</w:t>
      </w:r>
    </w:p>
    <w:p w14:paraId="164ED5AF" w14:textId="77777777" w:rsidR="00444E6E" w:rsidRDefault="00444E6E" w:rsidP="00444E6E">
      <w:pPr>
        <w:rPr>
          <w:rFonts w:cstheme="minorHAnsi"/>
          <w:b/>
          <w:bCs/>
          <w:szCs w:val="22"/>
        </w:rPr>
      </w:pPr>
    </w:p>
    <w:p w14:paraId="696869D9" w14:textId="77777777" w:rsidR="00444E6E" w:rsidRDefault="00444E6E" w:rsidP="00444E6E">
      <w:pPr>
        <w:jc w:val="both"/>
        <w:rPr>
          <w:rFonts w:cstheme="minorHAnsi"/>
          <w:szCs w:val="22"/>
        </w:rPr>
      </w:pPr>
      <w:r>
        <w:rPr>
          <w:rFonts w:cstheme="minorHAnsi"/>
          <w:szCs w:val="22"/>
        </w:rPr>
        <w:t>Glede na navedene spremembe na trgu z električno energijo sta predlagani dve ključni izboljšavi modela:</w:t>
      </w:r>
    </w:p>
    <w:p w14:paraId="65B18A6A" w14:textId="77777777" w:rsidR="00444E6E" w:rsidRDefault="00444E6E" w:rsidP="00444E6E">
      <w:pPr>
        <w:pStyle w:val="Odstavekseznama"/>
        <w:numPr>
          <w:ilvl w:val="0"/>
          <w:numId w:val="8"/>
        </w:numPr>
        <w:spacing w:before="120" w:after="0" w:line="240" w:lineRule="auto"/>
        <w:rPr>
          <w:rFonts w:cstheme="minorHAnsi"/>
          <w:szCs w:val="22"/>
        </w:rPr>
      </w:pPr>
      <w:r>
        <w:rPr>
          <w:rFonts w:cstheme="minorHAnsi"/>
          <w:b/>
          <w:bCs/>
          <w:szCs w:val="22"/>
        </w:rPr>
        <w:t xml:space="preserve">Uporaba korekcijskega faktorja 0,8: </w:t>
      </w:r>
      <w:r>
        <w:rPr>
          <w:rFonts w:cstheme="minorHAnsi"/>
          <w:szCs w:val="22"/>
        </w:rPr>
        <w:t>S faktorjem se napovedano tržno ceno zniža za 20 %, kar bolj realno odraža trenutne tržne cene, ki jih mali proizvajalci dosegajo pri trgovcih z električno energijo. Z uporabo faktorja se tudi zniža razlika med cenami letnih produktov in cenami na dnevnem trgu, kjer proizvajalci prodajajo viške električne energije zaradi nepredvidljive proizvodnje električne energije (npr. sončne elektrarne) ali rabe toplote</w:t>
      </w:r>
      <w:r>
        <w:rPr>
          <w:rStyle w:val="Sprotnaopomba-sklic"/>
          <w:rFonts w:cstheme="minorHAnsi"/>
          <w:szCs w:val="22"/>
        </w:rPr>
        <w:footnoteReference w:id="3"/>
      </w:r>
      <w:r>
        <w:rPr>
          <w:rFonts w:cstheme="minorHAnsi"/>
          <w:szCs w:val="22"/>
        </w:rPr>
        <w:t>.</w:t>
      </w:r>
    </w:p>
    <w:p w14:paraId="6717E384" w14:textId="77777777" w:rsidR="00444E6E" w:rsidRDefault="00444E6E" w:rsidP="00444E6E">
      <w:pPr>
        <w:pStyle w:val="Odstavekseznama"/>
        <w:numPr>
          <w:ilvl w:val="0"/>
          <w:numId w:val="8"/>
        </w:numPr>
        <w:spacing w:before="120" w:after="0" w:line="240" w:lineRule="auto"/>
        <w:rPr>
          <w:rFonts w:cstheme="minorHAnsi"/>
          <w:szCs w:val="22"/>
        </w:rPr>
      </w:pPr>
      <w:r>
        <w:rPr>
          <w:rFonts w:cstheme="minorHAnsi"/>
          <w:b/>
          <w:bCs/>
          <w:szCs w:val="22"/>
        </w:rPr>
        <w:t xml:space="preserve">Časovno skrajšanje in uskladitev obdobja napovedi referenčne cene električne energije z obdobjem za določanje referenčne cene zemeljskega plina: </w:t>
      </w:r>
      <w:r>
        <w:rPr>
          <w:rFonts w:cstheme="minorHAnsi"/>
          <w:szCs w:val="22"/>
        </w:rPr>
        <w:t>obdobje se skrajša na 20 trgovalnih dni pred 25. oktobrom</w:t>
      </w:r>
      <w:r>
        <w:rPr>
          <w:rStyle w:val="Sprotnaopomba-sklic"/>
          <w:rFonts w:cstheme="minorHAnsi"/>
          <w:szCs w:val="22"/>
        </w:rPr>
        <w:footnoteReference w:id="4"/>
      </w:r>
      <w:r>
        <w:rPr>
          <w:rFonts w:cstheme="minorHAnsi"/>
          <w:szCs w:val="22"/>
        </w:rPr>
        <w:t>.</w:t>
      </w:r>
    </w:p>
    <w:p w14:paraId="1A802515" w14:textId="77777777" w:rsidR="00444E6E" w:rsidRDefault="00444E6E" w:rsidP="00444E6E">
      <w:pPr>
        <w:spacing w:line="276" w:lineRule="auto"/>
        <w:jc w:val="both"/>
        <w:rPr>
          <w:rFonts w:eastAsia="Calibri" w:cs="Arial"/>
          <w:b/>
          <w:szCs w:val="20"/>
        </w:rPr>
      </w:pPr>
    </w:p>
    <w:p w14:paraId="411B6035" w14:textId="77777777" w:rsidR="00444E6E" w:rsidRPr="00E6039F" w:rsidRDefault="00444E6E" w:rsidP="00444E6E">
      <w:pPr>
        <w:spacing w:line="276" w:lineRule="auto"/>
        <w:jc w:val="both"/>
        <w:rPr>
          <w:rFonts w:eastAsia="Calibri" w:cs="Arial"/>
          <w:b/>
          <w:szCs w:val="20"/>
        </w:rPr>
      </w:pPr>
    </w:p>
    <w:bookmarkEnd w:id="3"/>
    <w:p w14:paraId="5246B954" w14:textId="77777777" w:rsidR="00444E6E" w:rsidRDefault="00444E6E" w:rsidP="00444E6E">
      <w:pPr>
        <w:jc w:val="both"/>
        <w:rPr>
          <w:b/>
        </w:rPr>
      </w:pPr>
    </w:p>
    <w:p w14:paraId="7E40B0D1" w14:textId="77777777" w:rsidR="00444E6E" w:rsidRDefault="00444E6E" w:rsidP="00444E6E">
      <w:pPr>
        <w:jc w:val="both"/>
        <w:rPr>
          <w:b/>
        </w:rPr>
      </w:pPr>
    </w:p>
    <w:p w14:paraId="12CC31F2" w14:textId="77777777" w:rsidR="00444E6E" w:rsidRDefault="00444E6E" w:rsidP="00444E6E">
      <w:pPr>
        <w:jc w:val="both"/>
        <w:rPr>
          <w:b/>
        </w:rPr>
      </w:pPr>
    </w:p>
    <w:p w14:paraId="3EA4D9AB" w14:textId="77777777" w:rsidR="00444E6E" w:rsidRDefault="00444E6E" w:rsidP="00444E6E">
      <w:pPr>
        <w:jc w:val="both"/>
        <w:rPr>
          <w:b/>
        </w:rPr>
      </w:pPr>
    </w:p>
    <w:p w14:paraId="553F5D45" w14:textId="77777777" w:rsidR="00444E6E" w:rsidRDefault="00444E6E" w:rsidP="00444E6E">
      <w:pPr>
        <w:jc w:val="both"/>
        <w:rPr>
          <w:b/>
        </w:rPr>
      </w:pPr>
    </w:p>
    <w:p w14:paraId="7AEA0C56" w14:textId="77777777" w:rsidR="00444E6E" w:rsidRDefault="00444E6E" w:rsidP="00444E6E">
      <w:pPr>
        <w:jc w:val="both"/>
        <w:rPr>
          <w:b/>
        </w:rPr>
      </w:pPr>
    </w:p>
    <w:p w14:paraId="7FE82B23" w14:textId="77777777" w:rsidR="00444E6E" w:rsidRDefault="00444E6E" w:rsidP="00444E6E">
      <w:pPr>
        <w:spacing w:line="276" w:lineRule="auto"/>
        <w:jc w:val="both"/>
        <w:rPr>
          <w:rFonts w:eastAsia="Calibri" w:cs="Arial"/>
          <w:b/>
          <w:szCs w:val="20"/>
        </w:rPr>
      </w:pPr>
    </w:p>
    <w:p w14:paraId="7C88A98D" w14:textId="77777777" w:rsidR="00444E6E" w:rsidRDefault="00444E6E" w:rsidP="00444E6E">
      <w:pPr>
        <w:spacing w:line="276" w:lineRule="auto"/>
        <w:jc w:val="both"/>
        <w:rPr>
          <w:rFonts w:eastAsia="Calibri" w:cs="Arial"/>
          <w:b/>
          <w:szCs w:val="20"/>
        </w:rPr>
      </w:pPr>
    </w:p>
    <w:p w14:paraId="160BD58F" w14:textId="77777777" w:rsidR="00444E6E" w:rsidRDefault="00444E6E" w:rsidP="00444E6E">
      <w:pPr>
        <w:spacing w:line="276" w:lineRule="auto"/>
        <w:jc w:val="both"/>
        <w:rPr>
          <w:rFonts w:eastAsia="Calibri" w:cs="Arial"/>
          <w:b/>
          <w:szCs w:val="20"/>
        </w:rPr>
      </w:pPr>
    </w:p>
    <w:p w14:paraId="7CD7CE12" w14:textId="77777777" w:rsidR="00444E6E" w:rsidRDefault="00444E6E" w:rsidP="00444E6E">
      <w:pPr>
        <w:spacing w:line="276" w:lineRule="auto"/>
        <w:jc w:val="both"/>
        <w:rPr>
          <w:rFonts w:eastAsia="Calibri" w:cs="Arial"/>
          <w:b/>
          <w:szCs w:val="20"/>
        </w:rPr>
      </w:pPr>
    </w:p>
    <w:p w14:paraId="4CA4EBCE" w14:textId="77777777" w:rsidR="00444E6E" w:rsidRDefault="00444E6E" w:rsidP="00444E6E">
      <w:pPr>
        <w:spacing w:line="276" w:lineRule="auto"/>
        <w:jc w:val="both"/>
        <w:rPr>
          <w:rFonts w:eastAsia="Calibri" w:cs="Arial"/>
          <w:b/>
          <w:szCs w:val="20"/>
        </w:rPr>
      </w:pPr>
    </w:p>
    <w:p w14:paraId="3BD293D4" w14:textId="77777777" w:rsidR="00444E6E" w:rsidRDefault="00444E6E" w:rsidP="00444E6E">
      <w:pPr>
        <w:spacing w:line="276" w:lineRule="auto"/>
        <w:jc w:val="both"/>
        <w:rPr>
          <w:rFonts w:eastAsia="Calibri" w:cs="Arial"/>
          <w:b/>
          <w:szCs w:val="20"/>
        </w:rPr>
      </w:pPr>
    </w:p>
    <w:p w14:paraId="373A62A5" w14:textId="77777777" w:rsidR="00444E6E" w:rsidRDefault="00444E6E" w:rsidP="00444E6E">
      <w:pPr>
        <w:spacing w:line="276" w:lineRule="auto"/>
        <w:jc w:val="both"/>
        <w:rPr>
          <w:rFonts w:eastAsia="Calibri" w:cs="Arial"/>
          <w:b/>
          <w:szCs w:val="20"/>
        </w:rPr>
      </w:pPr>
    </w:p>
    <w:p w14:paraId="1D420C75" w14:textId="77777777" w:rsidR="00444E6E" w:rsidRDefault="00444E6E" w:rsidP="00444E6E">
      <w:pPr>
        <w:spacing w:line="276" w:lineRule="auto"/>
        <w:jc w:val="both"/>
        <w:rPr>
          <w:rFonts w:eastAsia="Calibri" w:cs="Arial"/>
          <w:b/>
          <w:szCs w:val="20"/>
        </w:rPr>
      </w:pPr>
    </w:p>
    <w:p w14:paraId="08CBCD23" w14:textId="77777777" w:rsidR="00444E6E" w:rsidRDefault="00444E6E" w:rsidP="00444E6E">
      <w:pPr>
        <w:spacing w:line="276" w:lineRule="auto"/>
        <w:jc w:val="both"/>
        <w:rPr>
          <w:rFonts w:eastAsia="Calibri" w:cs="Arial"/>
          <w:b/>
          <w:szCs w:val="20"/>
        </w:rPr>
      </w:pPr>
    </w:p>
    <w:p w14:paraId="0D896F17" w14:textId="77777777" w:rsidR="00444E6E" w:rsidRPr="003C13A5" w:rsidRDefault="00444E6E" w:rsidP="00444E6E">
      <w:pPr>
        <w:pStyle w:val="Odstavekseznama"/>
        <w:numPr>
          <w:ilvl w:val="0"/>
          <w:numId w:val="9"/>
        </w:numPr>
        <w:spacing w:line="276" w:lineRule="auto"/>
        <w:rPr>
          <w:rFonts w:eastAsia="Calibri" w:cs="Arial"/>
          <w:b/>
        </w:rPr>
      </w:pPr>
      <w:bookmarkStart w:id="6" w:name="_Hlk168056520"/>
      <w:r w:rsidRPr="003C13A5">
        <w:rPr>
          <w:rFonts w:eastAsia="Calibri" w:cs="Arial"/>
          <w:b/>
        </w:rPr>
        <w:lastRenderedPageBreak/>
        <w:t>Določanje referenčne cene zemeljskega plina</w:t>
      </w:r>
    </w:p>
    <w:bookmarkEnd w:id="6"/>
    <w:p w14:paraId="6C7781BF" w14:textId="77777777" w:rsidR="00444E6E" w:rsidRDefault="00444E6E" w:rsidP="00444E6E">
      <w:pPr>
        <w:spacing w:line="276" w:lineRule="auto"/>
        <w:jc w:val="both"/>
        <w:rPr>
          <w:rFonts w:eastAsia="Calibri" w:cs="Arial"/>
          <w:b/>
        </w:rPr>
      </w:pPr>
      <w:r>
        <w:t xml:space="preserve">Napoved referenčne cene zemeljskega plina </w:t>
      </w:r>
      <w:r>
        <w:rPr>
          <w:i/>
        </w:rPr>
        <w:t>C(</w:t>
      </w:r>
      <w:proofErr w:type="spellStart"/>
      <w:r>
        <w:rPr>
          <w:i/>
        </w:rPr>
        <w:t>ZP</w:t>
      </w:r>
      <w:r>
        <w:rPr>
          <w:i/>
          <w:vertAlign w:val="subscript"/>
        </w:rPr>
        <w:t>Ref</w:t>
      </w:r>
      <w:proofErr w:type="spellEnd"/>
      <w:r>
        <w:rPr>
          <w:i/>
        </w:rPr>
        <w:t>)</w:t>
      </w:r>
      <w:r>
        <w:t xml:space="preserve"> se skladno s prilogo uredbe določi na podlagi gibanja cen kvartalnih tržnih produktov na plinskem vozlišču CEGH za leto v naprej.</w:t>
      </w:r>
    </w:p>
    <w:p w14:paraId="3FB965A9" w14:textId="77777777" w:rsidR="00444E6E" w:rsidRDefault="00444E6E" w:rsidP="00444E6E">
      <w:pPr>
        <w:spacing w:line="276" w:lineRule="auto"/>
        <w:rPr>
          <w:rFonts w:eastAsia="Calibri" w:cs="Arial"/>
          <w:b/>
        </w:rPr>
      </w:pPr>
    </w:p>
    <w:p w14:paraId="467DE62D" w14:textId="77777777" w:rsidR="00444E6E" w:rsidRDefault="00444E6E" w:rsidP="00444E6E">
      <w:pPr>
        <w:jc w:val="both"/>
        <w:rPr>
          <w:rFonts w:asciiTheme="minorHAnsi" w:hAnsiTheme="minorHAnsi"/>
          <w:szCs w:val="20"/>
        </w:rPr>
      </w:pPr>
      <w:r>
        <w:t xml:space="preserve">Tudi na tem trgu opažamo zelo podobne trende kot pri električni energiji, saj so cene zemeljskega plina (ZP) vplivale na gibanje tržnih cen električne energije. Tudi pri tržnih cenah ZP je prišlo do znatnega zniževanja cen ob koncu leta 2023 na okoli 35 €/MWh, kar je bistveno manj od napovedi za leto 2024, ki znaša 53,94 €/MWh. Trend zniževanja cen ZP se je nadaljeval do konca februarja, nato pa so se cene ponovno postopno dvigale in se trenutno gibljejo okoli 40 €/MWh, </w:t>
      </w:r>
      <w:r>
        <w:fldChar w:fldCharType="begin"/>
      </w:r>
      <w:r>
        <w:instrText xml:space="preserve"> REF _Ref167713222 \h  \* MERGEFORMAT </w:instrText>
      </w:r>
      <w:r>
        <w:fldChar w:fldCharType="separate"/>
      </w:r>
      <w:r>
        <w:t xml:space="preserve">Slika </w:t>
      </w:r>
      <w:r>
        <w:rPr>
          <w:noProof/>
        </w:rPr>
        <w:t>5</w:t>
      </w:r>
      <w:r>
        <w:fldChar w:fldCharType="end"/>
      </w:r>
      <w:r>
        <w:rPr>
          <w:rStyle w:val="Sprotnaopomba-sklic"/>
        </w:rPr>
        <w:footnoteReference w:id="5"/>
      </w:r>
      <w:r>
        <w:t xml:space="preserve">. Tudi pri ZP so cene na dnevnem trgu v letu 2024 nižje od terminskih in bistveno nižje od napovedi za leto 2024, </w:t>
      </w:r>
      <w:r>
        <w:fldChar w:fldCharType="begin"/>
      </w:r>
      <w:r>
        <w:instrText xml:space="preserve"> REF _Ref167731247 \h  \* MERGEFORMAT </w:instrText>
      </w:r>
      <w:r>
        <w:fldChar w:fldCharType="separate"/>
      </w:r>
      <w:r>
        <w:t xml:space="preserve">Slika </w:t>
      </w:r>
      <w:r>
        <w:rPr>
          <w:noProof/>
        </w:rPr>
        <w:t>6</w:t>
      </w:r>
      <w:r>
        <w:fldChar w:fldCharType="end"/>
      </w:r>
      <w:r>
        <w:t>. Zniževanje cen ZP sicer povečuje konkurenčnost proizvodnih naprav za soproizvodnjo toplote in električne energije (PN SPTE), veliko znižanje cen med letom, pa v primeru količinskih odstopanj – presežkov plina zaradi tople zime, predstavlja finančno breme za PN pri prodaji viškov zakupljenega plina. Nasprotno, za PN SPTE, ki so zakupile le del pričakovane porabe ZP, to pomeni razbremenitev.</w:t>
      </w:r>
    </w:p>
    <w:p w14:paraId="66F427C2" w14:textId="77777777" w:rsidR="00444E6E" w:rsidRDefault="00444E6E" w:rsidP="00444E6E">
      <w:pPr>
        <w:spacing w:before="240"/>
        <w:rPr>
          <w:rFonts w:cstheme="minorHAnsi"/>
        </w:rPr>
      </w:pPr>
      <w:r>
        <w:rPr>
          <w:noProof/>
          <w:lang w:eastAsia="sl-SI"/>
        </w:rPr>
        <w:drawing>
          <wp:inline distT="0" distB="0" distL="0" distR="0" wp14:anchorId="70B785F8" wp14:editId="4B9B639E">
            <wp:extent cx="5396230" cy="1617980"/>
            <wp:effectExtent l="0" t="0" r="0" b="127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96230" cy="1617980"/>
                    </a:xfrm>
                    <a:prstGeom prst="rect">
                      <a:avLst/>
                    </a:prstGeom>
                    <a:noFill/>
                    <a:ln>
                      <a:noFill/>
                    </a:ln>
                  </pic:spPr>
                </pic:pic>
              </a:graphicData>
            </a:graphic>
          </wp:inline>
        </w:drawing>
      </w:r>
    </w:p>
    <w:p w14:paraId="3FA62E65" w14:textId="77777777" w:rsidR="00444E6E" w:rsidRPr="00CA6BFF" w:rsidRDefault="00444E6E" w:rsidP="00444E6E">
      <w:pPr>
        <w:pStyle w:val="Napis"/>
        <w:spacing w:after="240"/>
        <w:jc w:val="center"/>
        <w:rPr>
          <w:rFonts w:ascii="Arial" w:hAnsi="Arial" w:cs="Arial"/>
          <w:sz w:val="18"/>
          <w:szCs w:val="18"/>
          <w:lang w:val="sl-SI"/>
        </w:rPr>
      </w:pPr>
      <w:r w:rsidRPr="00CA6BFF">
        <w:rPr>
          <w:rFonts w:ascii="Arial" w:hAnsi="Arial" w:cs="Arial"/>
          <w:sz w:val="18"/>
          <w:szCs w:val="18"/>
          <w:lang w:val="sl-SI"/>
        </w:rPr>
        <w:t xml:space="preserve">Slika </w:t>
      </w:r>
      <w:r w:rsidRPr="00CA6BFF">
        <w:rPr>
          <w:rFonts w:ascii="Arial" w:hAnsi="Arial" w:cs="Arial"/>
          <w:sz w:val="18"/>
          <w:szCs w:val="18"/>
          <w:lang w:val="sl-SI"/>
        </w:rPr>
        <w:fldChar w:fldCharType="begin"/>
      </w:r>
      <w:r w:rsidRPr="00CA6BFF">
        <w:rPr>
          <w:rFonts w:ascii="Arial" w:hAnsi="Arial" w:cs="Arial"/>
          <w:sz w:val="18"/>
          <w:szCs w:val="18"/>
          <w:lang w:val="sl-SI"/>
        </w:rPr>
        <w:instrText xml:space="preserve"> SEQ Slika \* ARABIC </w:instrText>
      </w:r>
      <w:r w:rsidRPr="00CA6BFF">
        <w:rPr>
          <w:rFonts w:ascii="Arial" w:hAnsi="Arial" w:cs="Arial"/>
          <w:sz w:val="18"/>
          <w:szCs w:val="18"/>
          <w:lang w:val="sl-SI"/>
        </w:rPr>
        <w:fldChar w:fldCharType="separate"/>
      </w:r>
      <w:r w:rsidRPr="00CA6BFF">
        <w:rPr>
          <w:rFonts w:ascii="Arial" w:hAnsi="Arial" w:cs="Arial"/>
          <w:noProof/>
          <w:sz w:val="18"/>
          <w:szCs w:val="18"/>
          <w:lang w:val="sl-SI"/>
        </w:rPr>
        <w:t>5</w:t>
      </w:r>
      <w:r w:rsidRPr="00CA6BFF">
        <w:rPr>
          <w:rFonts w:ascii="Arial" w:hAnsi="Arial" w:cs="Arial"/>
          <w:sz w:val="18"/>
          <w:szCs w:val="18"/>
          <w:lang w:val="sl-SI"/>
        </w:rPr>
        <w:fldChar w:fldCharType="end"/>
      </w:r>
      <w:r w:rsidRPr="00CA6BFF">
        <w:rPr>
          <w:rFonts w:ascii="Arial" w:hAnsi="Arial" w:cs="Arial"/>
          <w:sz w:val="18"/>
          <w:szCs w:val="18"/>
          <w:lang w:val="sl-SI"/>
        </w:rPr>
        <w:t>:</w:t>
      </w:r>
      <w:r w:rsidRPr="00CA6BFF">
        <w:rPr>
          <w:rFonts w:ascii="Arial" w:hAnsi="Arial" w:cs="Arial"/>
          <w:sz w:val="18"/>
          <w:szCs w:val="18"/>
          <w:lang w:val="sl-SI"/>
        </w:rPr>
        <w:tab/>
        <w:t>Gibanje cene tržnega produkta “</w:t>
      </w:r>
      <w:proofErr w:type="spellStart"/>
      <w:r w:rsidRPr="00CA6BFF">
        <w:rPr>
          <w:rFonts w:ascii="Arial" w:hAnsi="Arial" w:cs="Arial"/>
          <w:sz w:val="18"/>
          <w:szCs w:val="18"/>
          <w:lang w:val="sl-SI"/>
        </w:rPr>
        <w:t>Yearly</w:t>
      </w:r>
      <w:proofErr w:type="spellEnd"/>
      <w:r w:rsidRPr="00CA6BFF">
        <w:rPr>
          <w:rFonts w:ascii="Arial" w:hAnsi="Arial" w:cs="Arial"/>
          <w:sz w:val="18"/>
          <w:szCs w:val="18"/>
          <w:lang w:val="sl-SI"/>
        </w:rPr>
        <w:t xml:space="preserve"> </w:t>
      </w:r>
      <w:proofErr w:type="spellStart"/>
      <w:r w:rsidRPr="00CA6BFF">
        <w:rPr>
          <w:rFonts w:ascii="Arial" w:hAnsi="Arial" w:cs="Arial"/>
          <w:sz w:val="18"/>
          <w:szCs w:val="18"/>
          <w:lang w:val="sl-SI"/>
        </w:rPr>
        <w:t>futures</w:t>
      </w:r>
      <w:proofErr w:type="spellEnd"/>
      <w:r w:rsidRPr="00CA6BFF">
        <w:rPr>
          <w:rFonts w:ascii="Arial" w:hAnsi="Arial" w:cs="Arial"/>
          <w:sz w:val="18"/>
          <w:szCs w:val="18"/>
          <w:lang w:val="sl-SI"/>
        </w:rPr>
        <w:t xml:space="preserve"> 2025” v EUR/MWh (vir: </w:t>
      </w:r>
      <w:hyperlink r:id="rId11" w:history="1">
        <w:r w:rsidRPr="00CA6BFF">
          <w:rPr>
            <w:rStyle w:val="Hiperpovezava"/>
            <w:rFonts w:ascii="Arial" w:hAnsi="Arial" w:cs="Arial"/>
            <w:sz w:val="18"/>
            <w:szCs w:val="18"/>
            <w:lang w:val="sl-SI"/>
          </w:rPr>
          <w:t>CEGH</w:t>
        </w:r>
      </w:hyperlink>
      <w:r w:rsidRPr="00CA6BFF">
        <w:rPr>
          <w:rFonts w:ascii="Arial" w:hAnsi="Arial" w:cs="Arial"/>
          <w:sz w:val="18"/>
          <w:szCs w:val="18"/>
          <w:lang w:val="sl-SI"/>
        </w:rPr>
        <w:t>)</w:t>
      </w:r>
    </w:p>
    <w:p w14:paraId="654EA843" w14:textId="77777777" w:rsidR="00444E6E" w:rsidRDefault="00444E6E" w:rsidP="00444E6E">
      <w:pPr>
        <w:spacing w:before="240"/>
      </w:pPr>
      <w:r>
        <w:rPr>
          <w:noProof/>
          <w:lang w:eastAsia="sl-SI"/>
        </w:rPr>
        <w:drawing>
          <wp:inline distT="0" distB="0" distL="0" distR="0" wp14:anchorId="23498D3A" wp14:editId="617062F2">
            <wp:extent cx="5396230" cy="1621790"/>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6230" cy="1621790"/>
                    </a:xfrm>
                    <a:prstGeom prst="rect">
                      <a:avLst/>
                    </a:prstGeom>
                    <a:noFill/>
                    <a:ln>
                      <a:noFill/>
                    </a:ln>
                  </pic:spPr>
                </pic:pic>
              </a:graphicData>
            </a:graphic>
          </wp:inline>
        </w:drawing>
      </w:r>
    </w:p>
    <w:p w14:paraId="159A0ECC" w14:textId="77777777" w:rsidR="00444E6E" w:rsidRPr="00CA6BFF" w:rsidRDefault="00444E6E" w:rsidP="00444E6E">
      <w:pPr>
        <w:pStyle w:val="Napis"/>
        <w:spacing w:after="240"/>
        <w:jc w:val="center"/>
        <w:rPr>
          <w:rFonts w:ascii="Arial" w:hAnsi="Arial" w:cs="Arial"/>
          <w:sz w:val="18"/>
          <w:szCs w:val="18"/>
          <w:lang w:val="sl-SI"/>
        </w:rPr>
      </w:pPr>
      <w:bookmarkStart w:id="7" w:name="_Ref167731247"/>
      <w:r w:rsidRPr="00CA6BFF">
        <w:rPr>
          <w:rFonts w:ascii="Arial" w:hAnsi="Arial" w:cs="Arial"/>
          <w:sz w:val="18"/>
          <w:szCs w:val="18"/>
          <w:lang w:val="sl-SI"/>
        </w:rPr>
        <w:t xml:space="preserve">Slika </w:t>
      </w:r>
      <w:r w:rsidRPr="00CA6BFF">
        <w:rPr>
          <w:rFonts w:ascii="Arial" w:hAnsi="Arial" w:cs="Arial"/>
          <w:sz w:val="18"/>
          <w:szCs w:val="18"/>
        </w:rPr>
        <w:fldChar w:fldCharType="begin"/>
      </w:r>
      <w:r w:rsidRPr="00CA6BFF">
        <w:rPr>
          <w:rFonts w:ascii="Arial" w:hAnsi="Arial" w:cs="Arial"/>
          <w:sz w:val="18"/>
          <w:szCs w:val="18"/>
          <w:lang w:val="sl-SI"/>
        </w:rPr>
        <w:instrText xml:space="preserve"> SEQ Slika \* ARABIC </w:instrText>
      </w:r>
      <w:r w:rsidRPr="00CA6BFF">
        <w:rPr>
          <w:rFonts w:ascii="Arial" w:hAnsi="Arial" w:cs="Arial"/>
          <w:sz w:val="18"/>
          <w:szCs w:val="18"/>
        </w:rPr>
        <w:fldChar w:fldCharType="separate"/>
      </w:r>
      <w:r w:rsidRPr="00CA6BFF">
        <w:rPr>
          <w:rFonts w:ascii="Arial" w:hAnsi="Arial" w:cs="Arial"/>
          <w:noProof/>
          <w:sz w:val="18"/>
          <w:szCs w:val="18"/>
          <w:lang w:val="sl-SI"/>
        </w:rPr>
        <w:t>6</w:t>
      </w:r>
      <w:r w:rsidRPr="00CA6BFF">
        <w:rPr>
          <w:rFonts w:ascii="Arial" w:hAnsi="Arial" w:cs="Arial"/>
          <w:sz w:val="18"/>
          <w:szCs w:val="18"/>
        </w:rPr>
        <w:fldChar w:fldCharType="end"/>
      </w:r>
      <w:bookmarkEnd w:id="7"/>
      <w:r w:rsidRPr="00CA6BFF">
        <w:rPr>
          <w:rFonts w:ascii="Arial" w:hAnsi="Arial" w:cs="Arial"/>
          <w:sz w:val="18"/>
          <w:szCs w:val="18"/>
          <w:lang w:val="sl-SI"/>
        </w:rPr>
        <w:t>:</w:t>
      </w:r>
      <w:r w:rsidRPr="00CA6BFF">
        <w:rPr>
          <w:rFonts w:ascii="Arial" w:hAnsi="Arial" w:cs="Arial"/>
          <w:sz w:val="18"/>
          <w:szCs w:val="18"/>
          <w:lang w:val="sl-SI"/>
        </w:rPr>
        <w:tab/>
        <w:t xml:space="preserve">Gibanje tržnih cen ZP na dnevnem trgu v letu 2024 (vir: </w:t>
      </w:r>
      <w:hyperlink r:id="rId13" w:history="1">
        <w:r w:rsidRPr="00CA6BFF">
          <w:rPr>
            <w:rStyle w:val="Hiperpovezava"/>
            <w:rFonts w:ascii="Arial" w:hAnsi="Arial" w:cs="Arial"/>
            <w:sz w:val="18"/>
            <w:szCs w:val="18"/>
            <w:lang w:val="sl-SI"/>
          </w:rPr>
          <w:t>CEGH</w:t>
        </w:r>
      </w:hyperlink>
      <w:r w:rsidRPr="00CA6BFF">
        <w:rPr>
          <w:rFonts w:ascii="Arial" w:hAnsi="Arial" w:cs="Arial"/>
          <w:sz w:val="18"/>
          <w:szCs w:val="18"/>
          <w:lang w:val="sl-SI"/>
        </w:rPr>
        <w:t>)</w:t>
      </w:r>
    </w:p>
    <w:p w14:paraId="523676A2" w14:textId="77777777" w:rsidR="00444E6E" w:rsidRDefault="00444E6E" w:rsidP="00444E6E">
      <w:r>
        <w:t xml:space="preserve">Tudi pri ZP se srečujemo s težavo povečevanja marž trgovcev zaradi negotovosti na trgu ter posledično višjih cen ZP za PN SPTE od napovedane referenčne tržne cene, kar poslabšuje ekonomiko delovanja SPTE. </w:t>
      </w:r>
    </w:p>
    <w:p w14:paraId="0E720C7B" w14:textId="77777777" w:rsidR="00444E6E" w:rsidRDefault="00444E6E" w:rsidP="00444E6E">
      <w:r>
        <w:br w:type="page"/>
      </w:r>
    </w:p>
    <w:p w14:paraId="4855862D" w14:textId="77777777" w:rsidR="00444E6E" w:rsidRDefault="00444E6E" w:rsidP="00444E6E">
      <w:pPr>
        <w:jc w:val="both"/>
      </w:pPr>
      <w:r>
        <w:lastRenderedPageBreak/>
        <w:t>Za ekonomiko PN SPTE je bistveno razmerje tržnih cen električne energije in goriva, ki mora v primeru ZP biti večje od 2,5, saj se električni izkoristki teh PN gibljejo okoli 40 %. Vpliv tržne cene ZP na ekonomiko PN SPTE je manjši tudi zaradi prihodkov toplote, ki se prav tako spreminjajo skupaj s spremembo cen ZP</w:t>
      </w:r>
      <w:r>
        <w:rPr>
          <w:rStyle w:val="Sprotnaopomba-sklic"/>
        </w:rPr>
        <w:footnoteReference w:id="6"/>
      </w:r>
      <w:r>
        <w:t>. Ocenjeno je, da večjo težavo v letu 2024 predstavljajo nizke cene električne energije, saj zaradi večjega deleža prodaje električne energije na dnevnem trgu to predstavlja večjo težavo, ki je niti nižje cene ZP na dnevnem trgu ne uravnotežijo. Dodatno težavo predstavlja dejstvo, da je bilo kar nekaj ZP kupljenega terminsko v naprej po visokih cenah. Trenutni model izračuna spremenljivega dela stroška električne energije (SDRS), ki je bil izdelan leta 2009 tudi ne vključuje prispevka za učinkovito rabo energije, hkrati pa so se v tem obdobju nekoliko povišali tudi drugi vključeni stroški (dajatev CO</w:t>
      </w:r>
      <w:r>
        <w:rPr>
          <w:vertAlign w:val="subscript"/>
        </w:rPr>
        <w:t>2</w:t>
      </w:r>
      <w:r>
        <w:t>, omrežnina, delo idr.)</w:t>
      </w:r>
      <w:r>
        <w:rPr>
          <w:rStyle w:val="Sprotnaopomba-sklic"/>
        </w:rPr>
        <w:footnoteReference w:id="7"/>
      </w:r>
      <w:r>
        <w:t>. Zato se predlaga manjšo spremembo tudi pri modelu določanja referenčne cene ZP, s katerim bi zmanjšali tržna tveganja in vključili ostale višje stroške PN SPTE .</w:t>
      </w:r>
    </w:p>
    <w:p w14:paraId="14094EBB" w14:textId="77777777" w:rsidR="00444E6E" w:rsidRDefault="00444E6E" w:rsidP="00444E6E">
      <w:pPr>
        <w:jc w:val="both"/>
      </w:pPr>
    </w:p>
    <w:p w14:paraId="441E225E" w14:textId="77777777" w:rsidR="00444E6E" w:rsidRPr="00F109C2" w:rsidRDefault="00444E6E" w:rsidP="00444E6E">
      <w:pPr>
        <w:jc w:val="both"/>
      </w:pPr>
      <w:r w:rsidRPr="00F109C2">
        <w:t>Glede na navedene spremembe na trgu z ZP se predlaga izboljšava modela</w:t>
      </w:r>
      <w:r>
        <w:t xml:space="preserve"> z</w:t>
      </w:r>
      <w:r w:rsidRPr="00F109C2">
        <w:t>:</w:t>
      </w:r>
    </w:p>
    <w:p w14:paraId="53194019" w14:textId="77777777" w:rsidR="00444E6E" w:rsidRDefault="00444E6E" w:rsidP="00444E6E">
      <w:pPr>
        <w:numPr>
          <w:ilvl w:val="0"/>
          <w:numId w:val="10"/>
        </w:numPr>
        <w:jc w:val="both"/>
      </w:pPr>
      <w:r w:rsidRPr="00F109C2">
        <w:rPr>
          <w:b/>
          <w:bCs/>
        </w:rPr>
        <w:t xml:space="preserve">Uporabo korekcijskega faktorja 1,1: </w:t>
      </w:r>
      <w:r w:rsidRPr="00F109C2">
        <w:t xml:space="preserve">s faktorjem se napovedano tržno ceno poveča za 5 %, kar bolj realno odraža trenutne tržne cene ZP, ki jih mali proizvajalci električne energije dosegajo pri trgovcih. </w:t>
      </w:r>
    </w:p>
    <w:p w14:paraId="0ABCD1A8" w14:textId="77777777" w:rsidR="00444E6E" w:rsidRDefault="00444E6E" w:rsidP="00444E6E">
      <w:pPr>
        <w:ind w:left="720"/>
        <w:jc w:val="both"/>
      </w:pPr>
    </w:p>
    <w:p w14:paraId="08C3D3F4" w14:textId="77777777" w:rsidR="00444E6E" w:rsidRDefault="00444E6E" w:rsidP="00444E6E">
      <w:pPr>
        <w:ind w:left="720"/>
        <w:jc w:val="both"/>
      </w:pPr>
    </w:p>
    <w:p w14:paraId="5BA6FAC6" w14:textId="77777777" w:rsidR="00444E6E" w:rsidRDefault="00444E6E" w:rsidP="00444E6E">
      <w:pPr>
        <w:ind w:left="720"/>
        <w:jc w:val="both"/>
      </w:pPr>
    </w:p>
    <w:p w14:paraId="2FEF748B" w14:textId="77777777" w:rsidR="00444E6E" w:rsidRDefault="00444E6E" w:rsidP="00444E6E">
      <w:pPr>
        <w:ind w:left="720"/>
        <w:jc w:val="both"/>
      </w:pPr>
    </w:p>
    <w:p w14:paraId="1056C095" w14:textId="77777777" w:rsidR="00444E6E" w:rsidRDefault="00444E6E" w:rsidP="00444E6E">
      <w:pPr>
        <w:ind w:left="720"/>
        <w:jc w:val="both"/>
      </w:pPr>
    </w:p>
    <w:p w14:paraId="6B26BD90" w14:textId="77777777" w:rsidR="00444E6E" w:rsidRDefault="00444E6E" w:rsidP="00444E6E">
      <w:pPr>
        <w:ind w:left="720"/>
        <w:jc w:val="both"/>
      </w:pPr>
    </w:p>
    <w:p w14:paraId="4843284F" w14:textId="77777777" w:rsidR="00444E6E" w:rsidRDefault="00444E6E" w:rsidP="00444E6E">
      <w:pPr>
        <w:ind w:left="720"/>
        <w:jc w:val="both"/>
      </w:pPr>
    </w:p>
    <w:p w14:paraId="536E4739" w14:textId="77777777" w:rsidR="00444E6E" w:rsidRDefault="00444E6E" w:rsidP="00444E6E">
      <w:pPr>
        <w:ind w:left="720"/>
        <w:jc w:val="both"/>
      </w:pPr>
    </w:p>
    <w:p w14:paraId="48AF3E75" w14:textId="77777777" w:rsidR="00444E6E" w:rsidRDefault="00444E6E" w:rsidP="00444E6E">
      <w:pPr>
        <w:ind w:left="720"/>
        <w:jc w:val="both"/>
      </w:pPr>
    </w:p>
    <w:p w14:paraId="05FBE5CD" w14:textId="77777777" w:rsidR="00444E6E" w:rsidRDefault="00444E6E" w:rsidP="00444E6E">
      <w:pPr>
        <w:ind w:left="720"/>
        <w:jc w:val="both"/>
      </w:pPr>
    </w:p>
    <w:p w14:paraId="2BAB8E0A" w14:textId="77777777" w:rsidR="00444E6E" w:rsidRDefault="00444E6E" w:rsidP="00444E6E">
      <w:pPr>
        <w:ind w:left="720"/>
        <w:jc w:val="both"/>
      </w:pPr>
    </w:p>
    <w:p w14:paraId="6F74E1AF" w14:textId="77777777" w:rsidR="00444E6E" w:rsidRDefault="00444E6E" w:rsidP="00444E6E">
      <w:pPr>
        <w:ind w:left="720"/>
        <w:jc w:val="both"/>
      </w:pPr>
    </w:p>
    <w:p w14:paraId="7202DE6C" w14:textId="77777777" w:rsidR="00444E6E" w:rsidRDefault="00444E6E" w:rsidP="00444E6E">
      <w:pPr>
        <w:ind w:left="720"/>
        <w:jc w:val="both"/>
      </w:pPr>
    </w:p>
    <w:p w14:paraId="731BCC25" w14:textId="77777777" w:rsidR="00444E6E" w:rsidRDefault="00444E6E" w:rsidP="00444E6E">
      <w:pPr>
        <w:ind w:left="720"/>
        <w:jc w:val="both"/>
      </w:pPr>
    </w:p>
    <w:p w14:paraId="0C738B79" w14:textId="77777777" w:rsidR="00444E6E" w:rsidRDefault="00444E6E" w:rsidP="00444E6E">
      <w:pPr>
        <w:ind w:left="720"/>
        <w:jc w:val="both"/>
      </w:pPr>
    </w:p>
    <w:p w14:paraId="47BA6751" w14:textId="77777777" w:rsidR="00444E6E" w:rsidRDefault="00444E6E" w:rsidP="00444E6E">
      <w:pPr>
        <w:ind w:left="720"/>
        <w:jc w:val="both"/>
      </w:pPr>
    </w:p>
    <w:p w14:paraId="551A5768" w14:textId="77777777" w:rsidR="00444E6E" w:rsidRDefault="00444E6E" w:rsidP="00444E6E">
      <w:pPr>
        <w:ind w:left="720"/>
        <w:jc w:val="both"/>
      </w:pPr>
    </w:p>
    <w:p w14:paraId="6E980779" w14:textId="77777777" w:rsidR="00444E6E" w:rsidRDefault="00444E6E" w:rsidP="00444E6E">
      <w:pPr>
        <w:ind w:left="720"/>
        <w:jc w:val="both"/>
      </w:pPr>
    </w:p>
    <w:p w14:paraId="59638CDD" w14:textId="77777777" w:rsidR="00444E6E" w:rsidRDefault="00444E6E" w:rsidP="00444E6E">
      <w:pPr>
        <w:ind w:left="720"/>
        <w:jc w:val="both"/>
      </w:pPr>
    </w:p>
    <w:p w14:paraId="5B1FE74E" w14:textId="77777777" w:rsidR="00444E6E" w:rsidRDefault="00444E6E" w:rsidP="00444E6E">
      <w:pPr>
        <w:ind w:left="720"/>
        <w:jc w:val="both"/>
      </w:pPr>
    </w:p>
    <w:p w14:paraId="71F98030" w14:textId="77777777" w:rsidR="00444E6E" w:rsidRDefault="00444E6E" w:rsidP="00444E6E">
      <w:pPr>
        <w:ind w:left="720"/>
        <w:jc w:val="both"/>
      </w:pPr>
    </w:p>
    <w:p w14:paraId="0BB79E03" w14:textId="77777777" w:rsidR="00444E6E" w:rsidRDefault="00444E6E" w:rsidP="00444E6E">
      <w:pPr>
        <w:ind w:left="720"/>
        <w:jc w:val="both"/>
      </w:pPr>
    </w:p>
    <w:p w14:paraId="1E359436" w14:textId="77777777" w:rsidR="00444E6E" w:rsidRDefault="00444E6E" w:rsidP="00444E6E">
      <w:pPr>
        <w:ind w:left="720"/>
        <w:jc w:val="both"/>
      </w:pPr>
    </w:p>
    <w:p w14:paraId="08839B29" w14:textId="77777777" w:rsidR="00444E6E" w:rsidRDefault="00444E6E" w:rsidP="00444E6E">
      <w:pPr>
        <w:ind w:left="720"/>
        <w:jc w:val="both"/>
      </w:pPr>
    </w:p>
    <w:p w14:paraId="2281C007" w14:textId="77777777" w:rsidR="00444E6E" w:rsidRDefault="00444E6E" w:rsidP="00444E6E">
      <w:pPr>
        <w:ind w:left="720"/>
        <w:jc w:val="both"/>
      </w:pPr>
    </w:p>
    <w:p w14:paraId="20E91AEA" w14:textId="77777777" w:rsidR="00444E6E" w:rsidRDefault="00444E6E" w:rsidP="00444E6E">
      <w:pPr>
        <w:ind w:left="720"/>
        <w:jc w:val="both"/>
      </w:pPr>
    </w:p>
    <w:p w14:paraId="6B8ED943" w14:textId="77777777" w:rsidR="00444E6E" w:rsidRDefault="00444E6E" w:rsidP="00444E6E">
      <w:pPr>
        <w:ind w:left="720"/>
        <w:jc w:val="both"/>
      </w:pPr>
    </w:p>
    <w:p w14:paraId="3BE42892" w14:textId="77777777" w:rsidR="00444E6E" w:rsidRPr="00F109C2" w:rsidRDefault="00444E6E" w:rsidP="00444E6E">
      <w:pPr>
        <w:ind w:left="720"/>
        <w:jc w:val="both"/>
      </w:pPr>
    </w:p>
    <w:p w14:paraId="3AF5371D" w14:textId="77777777" w:rsidR="00444E6E" w:rsidRDefault="00444E6E" w:rsidP="00444E6E">
      <w:pPr>
        <w:jc w:val="both"/>
      </w:pPr>
    </w:p>
    <w:p w14:paraId="6C5037B6" w14:textId="77777777" w:rsidR="00444E6E" w:rsidRDefault="00444E6E" w:rsidP="00444E6E">
      <w:pPr>
        <w:pStyle w:val="Odstavekseznama"/>
        <w:numPr>
          <w:ilvl w:val="0"/>
          <w:numId w:val="9"/>
        </w:numPr>
        <w:spacing w:line="276" w:lineRule="auto"/>
        <w:rPr>
          <w:rFonts w:eastAsia="Calibri" w:cs="Arial"/>
          <w:b/>
        </w:rPr>
      </w:pPr>
      <w:r w:rsidRPr="003C13A5">
        <w:rPr>
          <w:rFonts w:eastAsia="Calibri" w:cs="Arial"/>
          <w:b/>
        </w:rPr>
        <w:lastRenderedPageBreak/>
        <w:t xml:space="preserve">Določanje referenčne cene </w:t>
      </w:r>
      <w:r>
        <w:rPr>
          <w:rFonts w:eastAsia="Calibri" w:cs="Arial"/>
          <w:b/>
        </w:rPr>
        <w:t>lesne biomase</w:t>
      </w:r>
    </w:p>
    <w:p w14:paraId="5C763BB3" w14:textId="77777777" w:rsidR="00444E6E" w:rsidRDefault="00444E6E" w:rsidP="00444E6E">
      <w:pPr>
        <w:spacing w:line="240" w:lineRule="auto"/>
        <w:jc w:val="both"/>
      </w:pPr>
    </w:p>
    <w:p w14:paraId="3EDD2229" w14:textId="77777777" w:rsidR="00444E6E" w:rsidRDefault="00444E6E" w:rsidP="00444E6E">
      <w:pPr>
        <w:spacing w:line="240" w:lineRule="auto"/>
        <w:jc w:val="both"/>
        <w:rPr>
          <w:rFonts w:ascii="Times New Roman" w:hAnsi="Times New Roman"/>
          <w:sz w:val="24"/>
          <w:lang w:eastAsia="sl-SI"/>
        </w:rPr>
      </w:pPr>
      <w:r>
        <w:t xml:space="preserve">Napoved referenčne cene lesne biomase </w:t>
      </w:r>
      <w:r>
        <w:rPr>
          <w:i/>
        </w:rPr>
        <w:t>(RCLB)</w:t>
      </w:r>
      <w:r>
        <w:t xml:space="preserve"> se skladno s prilogo uredbe trenutno določi na podlagi podatkov SURS o vrednostih in količinah izvoza iverja, sekancev in podobnega lesa iglavcev za preteklih 12 mesecev</w:t>
      </w:r>
      <w:r>
        <w:rPr>
          <w:rFonts w:ascii="Times New Roman" w:hAnsi="Times New Roman"/>
          <w:sz w:val="24"/>
          <w:lang w:eastAsia="sl-SI"/>
        </w:rPr>
        <w:t>.</w:t>
      </w:r>
    </w:p>
    <w:p w14:paraId="44745A75" w14:textId="77777777" w:rsidR="00444E6E" w:rsidRPr="00F109C2" w:rsidRDefault="00444E6E" w:rsidP="00444E6E">
      <w:pPr>
        <w:spacing w:line="276" w:lineRule="auto"/>
        <w:rPr>
          <w:rFonts w:eastAsia="Calibri" w:cs="Arial"/>
          <w:b/>
        </w:rPr>
      </w:pPr>
    </w:p>
    <w:p w14:paraId="3EBF12FF" w14:textId="77777777" w:rsidR="00444E6E" w:rsidRDefault="00444E6E" w:rsidP="00444E6E">
      <w:pPr>
        <w:spacing w:line="276" w:lineRule="auto"/>
        <w:jc w:val="both"/>
        <w:rPr>
          <w:rFonts w:eastAsia="Calibri" w:cs="Arial"/>
          <w:bCs/>
        </w:rPr>
      </w:pPr>
      <w:r w:rsidRPr="00F109C2">
        <w:rPr>
          <w:rFonts w:eastAsia="Calibri" w:cs="Arial"/>
          <w:bCs/>
        </w:rPr>
        <w:t xml:space="preserve">Dvig cene drugih energentov in večje povpraševanje sta dvignila tudi cene lesne biomase (LB), ki so sicer v preteklih letih izkazovale veliko stabilnost in le manjša nihanja cen, kot prikazujejo </w:t>
      </w:r>
      <w:r w:rsidRPr="00F109C2">
        <w:rPr>
          <w:rFonts w:eastAsia="Calibri" w:cs="Arial"/>
          <w:bCs/>
        </w:rPr>
        <w:fldChar w:fldCharType="begin"/>
      </w:r>
      <w:r w:rsidRPr="00F109C2">
        <w:rPr>
          <w:rFonts w:eastAsia="Calibri" w:cs="Arial"/>
          <w:bCs/>
        </w:rPr>
        <w:instrText xml:space="preserve"> REF _Ref167789978 \h </w:instrText>
      </w:r>
      <w:r>
        <w:rPr>
          <w:rFonts w:eastAsia="Calibri" w:cs="Arial"/>
          <w:bCs/>
        </w:rPr>
        <w:instrText xml:space="preserve"> \* MERGEFORMAT </w:instrText>
      </w:r>
      <w:r w:rsidRPr="00F109C2">
        <w:rPr>
          <w:rFonts w:eastAsia="Calibri" w:cs="Arial"/>
          <w:bCs/>
        </w:rPr>
      </w:r>
      <w:r w:rsidRPr="00F109C2">
        <w:rPr>
          <w:rFonts w:eastAsia="Calibri" w:cs="Arial"/>
          <w:bCs/>
        </w:rPr>
        <w:fldChar w:fldCharType="separate"/>
      </w:r>
      <w:r w:rsidRPr="00F109C2">
        <w:rPr>
          <w:rFonts w:eastAsia="Calibri" w:cs="Arial"/>
          <w:bCs/>
        </w:rPr>
        <w:t>Slika 8</w:t>
      </w:r>
      <w:r w:rsidRPr="00F109C2">
        <w:rPr>
          <w:rFonts w:eastAsia="Calibri" w:cs="Arial"/>
          <w:bCs/>
        </w:rPr>
        <w:fldChar w:fldCharType="end"/>
      </w:r>
      <w:r w:rsidRPr="00F109C2">
        <w:rPr>
          <w:rFonts w:eastAsia="Calibri" w:cs="Arial"/>
          <w:bCs/>
        </w:rPr>
        <w:t xml:space="preserve">, </w:t>
      </w:r>
      <w:r w:rsidRPr="00F109C2">
        <w:rPr>
          <w:rFonts w:eastAsia="Calibri" w:cs="Arial"/>
          <w:bCs/>
        </w:rPr>
        <w:fldChar w:fldCharType="begin"/>
      </w:r>
      <w:r w:rsidRPr="00F109C2">
        <w:rPr>
          <w:rFonts w:eastAsia="Calibri" w:cs="Arial"/>
          <w:bCs/>
        </w:rPr>
        <w:instrText xml:space="preserve"> REF _Ref167789980 \h </w:instrText>
      </w:r>
      <w:r>
        <w:rPr>
          <w:rFonts w:eastAsia="Calibri" w:cs="Arial"/>
          <w:bCs/>
        </w:rPr>
        <w:instrText xml:space="preserve"> \* MERGEFORMAT </w:instrText>
      </w:r>
      <w:r w:rsidRPr="00F109C2">
        <w:rPr>
          <w:rFonts w:eastAsia="Calibri" w:cs="Arial"/>
          <w:bCs/>
        </w:rPr>
      </w:r>
      <w:r w:rsidRPr="00F109C2">
        <w:rPr>
          <w:rFonts w:eastAsia="Calibri" w:cs="Arial"/>
          <w:bCs/>
        </w:rPr>
        <w:fldChar w:fldCharType="separate"/>
      </w:r>
      <w:r w:rsidRPr="00F109C2">
        <w:rPr>
          <w:rFonts w:eastAsia="Calibri" w:cs="Arial"/>
          <w:bCs/>
        </w:rPr>
        <w:t>Slika 9</w:t>
      </w:r>
      <w:r w:rsidRPr="00F109C2">
        <w:rPr>
          <w:rFonts w:eastAsia="Calibri" w:cs="Arial"/>
          <w:bCs/>
        </w:rPr>
        <w:fldChar w:fldCharType="end"/>
      </w:r>
      <w:r w:rsidRPr="00F109C2">
        <w:rPr>
          <w:rFonts w:eastAsia="Calibri" w:cs="Arial"/>
          <w:bCs/>
        </w:rPr>
        <w:t xml:space="preserve">, in </w:t>
      </w:r>
      <w:r w:rsidRPr="00F109C2">
        <w:rPr>
          <w:rFonts w:eastAsia="Calibri" w:cs="Arial"/>
          <w:bCs/>
        </w:rPr>
        <w:fldChar w:fldCharType="begin"/>
      </w:r>
      <w:r w:rsidRPr="00F109C2">
        <w:rPr>
          <w:rFonts w:eastAsia="Calibri" w:cs="Arial"/>
          <w:bCs/>
        </w:rPr>
        <w:instrText xml:space="preserve"> REF _Ref167789982 \h </w:instrText>
      </w:r>
      <w:r>
        <w:rPr>
          <w:rFonts w:eastAsia="Calibri" w:cs="Arial"/>
          <w:bCs/>
        </w:rPr>
        <w:instrText xml:space="preserve"> \* MERGEFORMAT </w:instrText>
      </w:r>
      <w:r w:rsidRPr="00F109C2">
        <w:rPr>
          <w:rFonts w:eastAsia="Calibri" w:cs="Arial"/>
          <w:bCs/>
        </w:rPr>
      </w:r>
      <w:r w:rsidRPr="00F109C2">
        <w:rPr>
          <w:rFonts w:eastAsia="Calibri" w:cs="Arial"/>
          <w:bCs/>
        </w:rPr>
        <w:fldChar w:fldCharType="separate"/>
      </w:r>
      <w:r w:rsidRPr="00F109C2">
        <w:rPr>
          <w:rFonts w:eastAsia="Calibri" w:cs="Arial"/>
          <w:bCs/>
        </w:rPr>
        <w:t>Slika 10</w:t>
      </w:r>
      <w:r w:rsidRPr="00F109C2">
        <w:rPr>
          <w:rFonts w:eastAsia="Calibri" w:cs="Arial"/>
          <w:bCs/>
        </w:rPr>
        <w:fldChar w:fldCharType="end"/>
      </w:r>
      <w:r w:rsidRPr="00F109C2">
        <w:rPr>
          <w:rFonts w:eastAsia="Calibri" w:cs="Arial"/>
          <w:bCs/>
        </w:rPr>
        <w:t>. Iz slik je razvidno, da se cene LB ponovno umirjajo in približujejo preteklim vrednostim.</w:t>
      </w:r>
    </w:p>
    <w:p w14:paraId="434887F8" w14:textId="77777777" w:rsidR="00444E6E" w:rsidRDefault="00444E6E" w:rsidP="00444E6E">
      <w:pPr>
        <w:spacing w:line="276" w:lineRule="auto"/>
        <w:jc w:val="both"/>
        <w:rPr>
          <w:rFonts w:eastAsia="Calibri" w:cs="Arial"/>
          <w:bCs/>
        </w:rPr>
      </w:pPr>
    </w:p>
    <w:p w14:paraId="50950BEF" w14:textId="77777777" w:rsidR="00444E6E" w:rsidRPr="00F109C2" w:rsidRDefault="00444E6E" w:rsidP="00444E6E">
      <w:pPr>
        <w:spacing w:line="276" w:lineRule="auto"/>
        <w:jc w:val="both"/>
        <w:rPr>
          <w:rFonts w:eastAsia="Calibri" w:cs="Arial"/>
          <w:bCs/>
        </w:rPr>
      </w:pPr>
      <w:r w:rsidRPr="00F109C2">
        <w:rPr>
          <w:rFonts w:eastAsia="Calibri" w:cs="Arial"/>
          <w:bCs/>
        </w:rPr>
        <w:t xml:space="preserve">Napoved </w:t>
      </w:r>
      <w:r w:rsidRPr="00F109C2">
        <w:rPr>
          <w:rFonts w:eastAsia="Calibri" w:cs="Arial"/>
          <w:bCs/>
          <w:i/>
        </w:rPr>
        <w:t>RCLB</w:t>
      </w:r>
      <w:r w:rsidRPr="00F109C2">
        <w:rPr>
          <w:rFonts w:eastAsia="Calibri" w:cs="Arial"/>
          <w:bCs/>
        </w:rPr>
        <w:t xml:space="preserve"> za leto 2024 je bila 96,67 EUR/t, kar je skladno s trendi na trgu in tudi ne odstopa bistveno od podatkov, ki so pridobljeni od nekaterih največjih dobaviteljev lesnih sekancev. Referenčna cena lesne biomase vpliva sicer le na PN SPTE, ki so vstopile v prvo podporno shemo (do jeseni 2014), katerim se SDRS vsako leto usklajuje z napovedjo </w:t>
      </w:r>
      <w:r w:rsidRPr="00F109C2">
        <w:rPr>
          <w:rFonts w:eastAsia="Calibri" w:cs="Arial"/>
          <w:bCs/>
          <w:i/>
        </w:rPr>
        <w:t>RCLB</w:t>
      </w:r>
      <w:r w:rsidRPr="00F109C2">
        <w:rPr>
          <w:rFonts w:eastAsia="Calibri" w:cs="Arial"/>
          <w:bCs/>
          <w:i/>
          <w:vertAlign w:val="superscript"/>
        </w:rPr>
        <w:footnoteReference w:id="8"/>
      </w:r>
      <w:r w:rsidRPr="00F109C2">
        <w:rPr>
          <w:rFonts w:eastAsia="Calibri" w:cs="Arial"/>
          <w:bCs/>
        </w:rPr>
        <w:t>.</w:t>
      </w:r>
    </w:p>
    <w:p w14:paraId="00F7BDAC" w14:textId="77777777" w:rsidR="00444E6E" w:rsidRDefault="00444E6E" w:rsidP="00444E6E">
      <w:pPr>
        <w:spacing w:line="276" w:lineRule="auto"/>
        <w:jc w:val="both"/>
        <w:rPr>
          <w:rFonts w:eastAsia="Calibri" w:cs="Arial"/>
          <w:bCs/>
        </w:rPr>
      </w:pPr>
    </w:p>
    <w:p w14:paraId="3B342DE6" w14:textId="77777777" w:rsidR="00444E6E" w:rsidRPr="00CA6BFF" w:rsidRDefault="00444E6E" w:rsidP="00444E6E">
      <w:pPr>
        <w:spacing w:line="276" w:lineRule="auto"/>
        <w:jc w:val="both"/>
        <w:rPr>
          <w:rFonts w:eastAsia="Calibri" w:cs="Arial"/>
          <w:b/>
        </w:rPr>
      </w:pPr>
      <w:r w:rsidRPr="00F109C2">
        <w:rPr>
          <w:rFonts w:eastAsia="Calibri" w:cs="Arial"/>
          <w:b/>
        </w:rPr>
        <w:t xml:space="preserve">Glede na navedene ugotovitve, trenutno ni potrebe po spremembi modela določanja </w:t>
      </w:r>
      <w:r w:rsidRPr="00F109C2">
        <w:rPr>
          <w:rFonts w:eastAsia="Calibri" w:cs="Arial"/>
          <w:b/>
          <w:i/>
        </w:rPr>
        <w:t>RCLB</w:t>
      </w:r>
      <w:r w:rsidRPr="00F109C2">
        <w:rPr>
          <w:rFonts w:eastAsia="Calibri" w:cs="Arial"/>
          <w:b/>
        </w:rPr>
        <w:t xml:space="preserve">. </w:t>
      </w:r>
    </w:p>
    <w:p w14:paraId="5BD1B628" w14:textId="77777777" w:rsidR="00444E6E" w:rsidRDefault="00444E6E" w:rsidP="00444E6E">
      <w:pPr>
        <w:spacing w:line="276" w:lineRule="auto"/>
        <w:jc w:val="both"/>
        <w:rPr>
          <w:rFonts w:eastAsia="Calibri" w:cs="Arial"/>
          <w:bCs/>
        </w:rPr>
      </w:pPr>
    </w:p>
    <w:p w14:paraId="17460D87" w14:textId="77777777" w:rsidR="00444E6E" w:rsidRPr="00F109C2" w:rsidRDefault="00444E6E" w:rsidP="00444E6E">
      <w:pPr>
        <w:spacing w:line="276" w:lineRule="auto"/>
        <w:jc w:val="both"/>
        <w:rPr>
          <w:rFonts w:eastAsia="Calibri" w:cs="Arial"/>
          <w:bCs/>
        </w:rPr>
      </w:pPr>
      <w:r>
        <w:rPr>
          <w:noProof/>
        </w:rPr>
        <w:drawing>
          <wp:inline distT="0" distB="0" distL="0" distR="0" wp14:anchorId="54416DE6" wp14:editId="6D220358">
            <wp:extent cx="5039995" cy="3104515"/>
            <wp:effectExtent l="0" t="0" r="8255" b="63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14"/>
                    <a:stretch>
                      <a:fillRect/>
                    </a:stretch>
                  </pic:blipFill>
                  <pic:spPr>
                    <a:xfrm>
                      <a:off x="0" y="0"/>
                      <a:ext cx="5039995" cy="3104515"/>
                    </a:xfrm>
                    <a:prstGeom prst="rect">
                      <a:avLst/>
                    </a:prstGeom>
                  </pic:spPr>
                </pic:pic>
              </a:graphicData>
            </a:graphic>
          </wp:inline>
        </w:drawing>
      </w:r>
    </w:p>
    <w:p w14:paraId="7581A438" w14:textId="77777777" w:rsidR="00444E6E" w:rsidRPr="00F109C2" w:rsidRDefault="00444E6E" w:rsidP="00444E6E">
      <w:pPr>
        <w:pStyle w:val="Napis"/>
        <w:jc w:val="center"/>
        <w:rPr>
          <w:rFonts w:ascii="Arial" w:hAnsi="Arial" w:cs="Arial"/>
          <w:sz w:val="18"/>
          <w:szCs w:val="18"/>
          <w:lang w:val="sl-SI"/>
        </w:rPr>
      </w:pPr>
      <w:bookmarkStart w:id="8" w:name="_Ref167789978"/>
      <w:r w:rsidRPr="00F109C2">
        <w:rPr>
          <w:rFonts w:ascii="Arial" w:hAnsi="Arial" w:cs="Arial"/>
          <w:sz w:val="18"/>
          <w:szCs w:val="18"/>
          <w:lang w:val="sl-SI"/>
        </w:rPr>
        <w:t xml:space="preserve">Slika </w:t>
      </w:r>
      <w:r w:rsidRPr="00F109C2">
        <w:rPr>
          <w:rFonts w:ascii="Arial" w:hAnsi="Arial" w:cs="Arial"/>
          <w:sz w:val="18"/>
          <w:szCs w:val="18"/>
        </w:rPr>
        <w:fldChar w:fldCharType="begin"/>
      </w:r>
      <w:r w:rsidRPr="00F109C2">
        <w:rPr>
          <w:rFonts w:ascii="Arial" w:hAnsi="Arial" w:cs="Arial"/>
          <w:sz w:val="18"/>
          <w:szCs w:val="18"/>
          <w:lang w:val="sl-SI"/>
        </w:rPr>
        <w:instrText xml:space="preserve"> SEQ Slika \* ARABIC </w:instrText>
      </w:r>
      <w:r w:rsidRPr="00F109C2">
        <w:rPr>
          <w:rFonts w:ascii="Arial" w:hAnsi="Arial" w:cs="Arial"/>
          <w:sz w:val="18"/>
          <w:szCs w:val="18"/>
        </w:rPr>
        <w:fldChar w:fldCharType="separate"/>
      </w:r>
      <w:r w:rsidRPr="00F109C2">
        <w:rPr>
          <w:rFonts w:ascii="Arial" w:hAnsi="Arial" w:cs="Arial"/>
          <w:noProof/>
          <w:sz w:val="18"/>
          <w:szCs w:val="18"/>
          <w:lang w:val="sl-SI"/>
        </w:rPr>
        <w:t>8</w:t>
      </w:r>
      <w:r w:rsidRPr="00F109C2">
        <w:rPr>
          <w:rFonts w:ascii="Arial" w:hAnsi="Arial" w:cs="Arial"/>
          <w:sz w:val="18"/>
          <w:szCs w:val="18"/>
        </w:rPr>
        <w:fldChar w:fldCharType="end"/>
      </w:r>
      <w:bookmarkEnd w:id="8"/>
      <w:r w:rsidRPr="00F109C2">
        <w:rPr>
          <w:rFonts w:ascii="Arial" w:hAnsi="Arial" w:cs="Arial"/>
          <w:sz w:val="18"/>
          <w:szCs w:val="18"/>
          <w:lang w:val="sl-SI"/>
        </w:rPr>
        <w:t xml:space="preserve">: Gibanje cen lesnih sortimentov (vir </w:t>
      </w:r>
      <w:hyperlink r:id="rId15" w:history="1">
        <w:r w:rsidRPr="00F109C2">
          <w:rPr>
            <w:rStyle w:val="Hiperpovezava"/>
            <w:rFonts w:ascii="Arial" w:hAnsi="Arial" w:cs="Arial"/>
            <w:sz w:val="18"/>
            <w:szCs w:val="18"/>
            <w:lang w:val="sl-SI"/>
          </w:rPr>
          <w:t>SURS</w:t>
        </w:r>
      </w:hyperlink>
      <w:r w:rsidRPr="00F109C2">
        <w:rPr>
          <w:rFonts w:ascii="Arial" w:hAnsi="Arial" w:cs="Arial"/>
          <w:sz w:val="18"/>
          <w:szCs w:val="18"/>
          <w:lang w:val="sl-SI"/>
        </w:rPr>
        <w:t>)</w:t>
      </w:r>
    </w:p>
    <w:p w14:paraId="0985F0AF" w14:textId="77777777" w:rsidR="00444E6E" w:rsidRPr="003C13A5" w:rsidRDefault="00444E6E" w:rsidP="00444E6E">
      <w:pPr>
        <w:spacing w:line="276" w:lineRule="auto"/>
        <w:rPr>
          <w:rFonts w:eastAsia="Calibri" w:cs="Arial"/>
          <w:b/>
        </w:rPr>
      </w:pPr>
    </w:p>
    <w:p w14:paraId="726F1242" w14:textId="77777777" w:rsidR="00444E6E" w:rsidRDefault="00444E6E" w:rsidP="00444E6E">
      <w:pPr>
        <w:spacing w:line="276" w:lineRule="auto"/>
        <w:jc w:val="both"/>
        <w:rPr>
          <w:rFonts w:eastAsia="Calibri" w:cs="Arial"/>
          <w:b/>
          <w:szCs w:val="20"/>
        </w:rPr>
      </w:pPr>
      <w:r>
        <w:rPr>
          <w:noProof/>
        </w:rPr>
        <w:lastRenderedPageBreak/>
        <w:drawing>
          <wp:inline distT="0" distB="0" distL="0" distR="0" wp14:anchorId="4CE72B4C" wp14:editId="5B74E4D7">
            <wp:extent cx="5039995" cy="2349500"/>
            <wp:effectExtent l="0" t="0" r="825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16"/>
                    <a:stretch>
                      <a:fillRect/>
                    </a:stretch>
                  </pic:blipFill>
                  <pic:spPr>
                    <a:xfrm>
                      <a:off x="0" y="0"/>
                      <a:ext cx="5039995" cy="2349500"/>
                    </a:xfrm>
                    <a:prstGeom prst="rect">
                      <a:avLst/>
                    </a:prstGeom>
                  </pic:spPr>
                </pic:pic>
              </a:graphicData>
            </a:graphic>
          </wp:inline>
        </w:drawing>
      </w:r>
    </w:p>
    <w:p w14:paraId="2A1C6005" w14:textId="77777777" w:rsidR="00444E6E" w:rsidRPr="00F109C2" w:rsidRDefault="00444E6E" w:rsidP="00444E6E">
      <w:pPr>
        <w:pStyle w:val="Napis"/>
        <w:jc w:val="center"/>
        <w:rPr>
          <w:rFonts w:ascii="Arial" w:hAnsi="Arial" w:cs="Arial"/>
          <w:sz w:val="18"/>
          <w:szCs w:val="18"/>
          <w:lang w:val="sl-SI"/>
        </w:rPr>
      </w:pPr>
      <w:bookmarkStart w:id="9" w:name="_Ref167789980"/>
      <w:r w:rsidRPr="00F109C2">
        <w:rPr>
          <w:rFonts w:ascii="Arial" w:hAnsi="Arial" w:cs="Arial"/>
          <w:sz w:val="18"/>
          <w:szCs w:val="18"/>
          <w:lang w:val="sl-SI"/>
        </w:rPr>
        <w:t xml:space="preserve">Slika </w:t>
      </w:r>
      <w:r w:rsidRPr="00F109C2">
        <w:rPr>
          <w:rFonts w:ascii="Arial" w:hAnsi="Arial" w:cs="Arial"/>
          <w:sz w:val="18"/>
          <w:szCs w:val="18"/>
        </w:rPr>
        <w:fldChar w:fldCharType="begin"/>
      </w:r>
      <w:r w:rsidRPr="00F109C2">
        <w:rPr>
          <w:rFonts w:ascii="Arial" w:hAnsi="Arial" w:cs="Arial"/>
          <w:sz w:val="18"/>
          <w:szCs w:val="18"/>
          <w:lang w:val="sl-SI"/>
        </w:rPr>
        <w:instrText xml:space="preserve"> SEQ Slika \* ARABIC </w:instrText>
      </w:r>
      <w:r w:rsidRPr="00F109C2">
        <w:rPr>
          <w:rFonts w:ascii="Arial" w:hAnsi="Arial" w:cs="Arial"/>
          <w:sz w:val="18"/>
          <w:szCs w:val="18"/>
        </w:rPr>
        <w:fldChar w:fldCharType="separate"/>
      </w:r>
      <w:r w:rsidRPr="00F109C2">
        <w:rPr>
          <w:rFonts w:ascii="Arial" w:hAnsi="Arial" w:cs="Arial"/>
          <w:noProof/>
          <w:sz w:val="18"/>
          <w:szCs w:val="18"/>
          <w:lang w:val="sl-SI"/>
        </w:rPr>
        <w:t>9</w:t>
      </w:r>
      <w:r w:rsidRPr="00F109C2">
        <w:rPr>
          <w:rFonts w:ascii="Arial" w:hAnsi="Arial" w:cs="Arial"/>
          <w:sz w:val="18"/>
          <w:szCs w:val="18"/>
        </w:rPr>
        <w:fldChar w:fldCharType="end"/>
      </w:r>
      <w:bookmarkEnd w:id="9"/>
      <w:r w:rsidRPr="00F109C2">
        <w:rPr>
          <w:rFonts w:ascii="Arial" w:hAnsi="Arial" w:cs="Arial"/>
          <w:sz w:val="18"/>
          <w:szCs w:val="18"/>
          <w:lang w:val="sl-SI"/>
        </w:rPr>
        <w:t xml:space="preserve">: Gibanje cen lesnih goriv in primerjava s ceno ELKO (vir: </w:t>
      </w:r>
      <w:hyperlink r:id="rId17" w:history="1">
        <w:r w:rsidRPr="00F109C2">
          <w:rPr>
            <w:rStyle w:val="Hiperpovezava"/>
            <w:rFonts w:ascii="Arial" w:hAnsi="Arial" w:cs="Arial"/>
            <w:sz w:val="18"/>
            <w:szCs w:val="18"/>
            <w:lang w:val="sl-SI"/>
          </w:rPr>
          <w:t>Gozdarski institut</w:t>
        </w:r>
      </w:hyperlink>
      <w:r w:rsidRPr="00F109C2">
        <w:rPr>
          <w:rFonts w:ascii="Arial" w:hAnsi="Arial" w:cs="Arial"/>
          <w:sz w:val="18"/>
          <w:szCs w:val="18"/>
          <w:lang w:val="sl-SI"/>
        </w:rPr>
        <w:t>)</w:t>
      </w:r>
    </w:p>
    <w:p w14:paraId="1D9C64FA" w14:textId="77777777" w:rsidR="00444E6E" w:rsidRDefault="00444E6E" w:rsidP="00444E6E">
      <w:pPr>
        <w:spacing w:line="276" w:lineRule="auto"/>
        <w:jc w:val="both"/>
        <w:rPr>
          <w:rFonts w:eastAsia="Calibri" w:cs="Arial"/>
          <w:b/>
          <w:szCs w:val="20"/>
        </w:rPr>
      </w:pPr>
    </w:p>
    <w:p w14:paraId="13DA9766" w14:textId="77777777" w:rsidR="00444E6E" w:rsidRDefault="00444E6E" w:rsidP="00444E6E">
      <w:pPr>
        <w:spacing w:line="276" w:lineRule="auto"/>
        <w:jc w:val="both"/>
        <w:rPr>
          <w:rFonts w:eastAsia="Calibri" w:cs="Arial"/>
          <w:b/>
          <w:szCs w:val="20"/>
        </w:rPr>
      </w:pPr>
      <w:r>
        <w:rPr>
          <w:noProof/>
        </w:rPr>
        <w:drawing>
          <wp:inline distT="0" distB="0" distL="0" distR="0" wp14:anchorId="2E7BEAF7" wp14:editId="62F1DDEB">
            <wp:extent cx="4319905" cy="2905760"/>
            <wp:effectExtent l="0" t="0" r="4445"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18"/>
                    <a:stretch>
                      <a:fillRect/>
                    </a:stretch>
                  </pic:blipFill>
                  <pic:spPr>
                    <a:xfrm>
                      <a:off x="0" y="0"/>
                      <a:ext cx="4319905" cy="2905760"/>
                    </a:xfrm>
                    <a:prstGeom prst="rect">
                      <a:avLst/>
                    </a:prstGeom>
                  </pic:spPr>
                </pic:pic>
              </a:graphicData>
            </a:graphic>
          </wp:inline>
        </w:drawing>
      </w:r>
    </w:p>
    <w:p w14:paraId="43EEEFF5" w14:textId="77777777" w:rsidR="00444E6E" w:rsidRPr="00CA6BFF" w:rsidRDefault="00444E6E" w:rsidP="00444E6E">
      <w:pPr>
        <w:pStyle w:val="Napis"/>
        <w:jc w:val="center"/>
        <w:rPr>
          <w:rFonts w:ascii="Arial" w:hAnsi="Arial" w:cs="Arial"/>
          <w:sz w:val="18"/>
          <w:szCs w:val="18"/>
          <w:lang w:val="sl-SI"/>
        </w:rPr>
      </w:pPr>
      <w:bookmarkStart w:id="10" w:name="_Ref167789982"/>
      <w:r w:rsidRPr="00CA6BFF">
        <w:rPr>
          <w:rFonts w:ascii="Arial" w:hAnsi="Arial" w:cs="Arial"/>
          <w:sz w:val="18"/>
          <w:szCs w:val="18"/>
          <w:lang w:val="sl-SI"/>
        </w:rPr>
        <w:t xml:space="preserve">Slika </w:t>
      </w:r>
      <w:r w:rsidRPr="00CA6BFF">
        <w:rPr>
          <w:rFonts w:ascii="Arial" w:hAnsi="Arial" w:cs="Arial"/>
          <w:sz w:val="18"/>
          <w:szCs w:val="18"/>
        </w:rPr>
        <w:fldChar w:fldCharType="begin"/>
      </w:r>
      <w:r w:rsidRPr="00CA6BFF">
        <w:rPr>
          <w:rFonts w:ascii="Arial" w:hAnsi="Arial" w:cs="Arial"/>
          <w:sz w:val="18"/>
          <w:szCs w:val="18"/>
          <w:lang w:val="sl-SI"/>
        </w:rPr>
        <w:instrText xml:space="preserve"> SEQ Slika \* ARABIC </w:instrText>
      </w:r>
      <w:r w:rsidRPr="00CA6BFF">
        <w:rPr>
          <w:rFonts w:ascii="Arial" w:hAnsi="Arial" w:cs="Arial"/>
          <w:sz w:val="18"/>
          <w:szCs w:val="18"/>
        </w:rPr>
        <w:fldChar w:fldCharType="separate"/>
      </w:r>
      <w:r w:rsidRPr="00CA6BFF">
        <w:rPr>
          <w:rFonts w:ascii="Arial" w:hAnsi="Arial" w:cs="Arial"/>
          <w:noProof/>
          <w:sz w:val="18"/>
          <w:szCs w:val="18"/>
          <w:lang w:val="sl-SI"/>
        </w:rPr>
        <w:t>10</w:t>
      </w:r>
      <w:r w:rsidRPr="00CA6BFF">
        <w:rPr>
          <w:rFonts w:ascii="Arial" w:hAnsi="Arial" w:cs="Arial"/>
          <w:sz w:val="18"/>
          <w:szCs w:val="18"/>
        </w:rPr>
        <w:fldChar w:fldCharType="end"/>
      </w:r>
      <w:bookmarkEnd w:id="10"/>
      <w:r w:rsidRPr="00CA6BFF">
        <w:rPr>
          <w:rFonts w:ascii="Arial" w:hAnsi="Arial" w:cs="Arial"/>
          <w:sz w:val="18"/>
          <w:szCs w:val="18"/>
          <w:lang w:val="sl-SI"/>
        </w:rPr>
        <w:t>: Gibanje cen lesne biomase v Nemčiji</w:t>
      </w:r>
    </w:p>
    <w:p w14:paraId="407863EB" w14:textId="77777777" w:rsidR="00444E6E" w:rsidRDefault="00444E6E" w:rsidP="00444E6E">
      <w:pPr>
        <w:spacing w:line="276" w:lineRule="auto"/>
        <w:jc w:val="both"/>
        <w:rPr>
          <w:rFonts w:eastAsia="Calibri" w:cs="Arial"/>
          <w:b/>
          <w:szCs w:val="20"/>
        </w:rPr>
      </w:pPr>
    </w:p>
    <w:p w14:paraId="659E0702" w14:textId="77777777" w:rsidR="00444E6E" w:rsidRDefault="00444E6E" w:rsidP="00444E6E">
      <w:pPr>
        <w:spacing w:line="276" w:lineRule="auto"/>
        <w:jc w:val="both"/>
        <w:rPr>
          <w:rFonts w:eastAsia="Calibri" w:cs="Arial"/>
          <w:b/>
          <w:szCs w:val="20"/>
        </w:rPr>
      </w:pPr>
    </w:p>
    <w:p w14:paraId="7A7FD35B" w14:textId="77777777" w:rsidR="00444E6E" w:rsidRDefault="00444E6E" w:rsidP="00444E6E">
      <w:pPr>
        <w:spacing w:line="276" w:lineRule="auto"/>
        <w:jc w:val="both"/>
        <w:rPr>
          <w:rFonts w:eastAsia="Calibri" w:cs="Arial"/>
          <w:b/>
          <w:szCs w:val="20"/>
        </w:rPr>
      </w:pPr>
    </w:p>
    <w:p w14:paraId="14DC3F06" w14:textId="77777777" w:rsidR="00444E6E" w:rsidRDefault="00444E6E" w:rsidP="00444E6E">
      <w:pPr>
        <w:spacing w:line="276" w:lineRule="auto"/>
        <w:jc w:val="both"/>
        <w:rPr>
          <w:rFonts w:eastAsia="Calibri" w:cs="Arial"/>
          <w:b/>
          <w:szCs w:val="20"/>
        </w:rPr>
      </w:pPr>
    </w:p>
    <w:p w14:paraId="606A917C" w14:textId="77777777" w:rsidR="00444E6E" w:rsidRDefault="00444E6E" w:rsidP="00444E6E">
      <w:pPr>
        <w:spacing w:line="276" w:lineRule="auto"/>
        <w:jc w:val="both"/>
        <w:rPr>
          <w:rFonts w:eastAsia="Calibri" w:cs="Arial"/>
          <w:b/>
          <w:szCs w:val="20"/>
        </w:rPr>
      </w:pPr>
    </w:p>
    <w:p w14:paraId="735C26BF" w14:textId="77777777" w:rsidR="00444E6E" w:rsidRDefault="00444E6E" w:rsidP="00444E6E">
      <w:pPr>
        <w:spacing w:line="276" w:lineRule="auto"/>
        <w:jc w:val="both"/>
        <w:rPr>
          <w:rFonts w:eastAsia="Calibri" w:cs="Arial"/>
          <w:b/>
          <w:szCs w:val="20"/>
        </w:rPr>
      </w:pPr>
    </w:p>
    <w:p w14:paraId="31477263" w14:textId="77777777" w:rsidR="00444E6E" w:rsidRDefault="00444E6E" w:rsidP="00444E6E">
      <w:pPr>
        <w:spacing w:line="276" w:lineRule="auto"/>
        <w:jc w:val="both"/>
        <w:rPr>
          <w:rFonts w:eastAsia="Calibri" w:cs="Arial"/>
          <w:b/>
          <w:szCs w:val="20"/>
        </w:rPr>
      </w:pPr>
    </w:p>
    <w:p w14:paraId="1CFC0354" w14:textId="77777777" w:rsidR="00444E6E" w:rsidRDefault="00444E6E" w:rsidP="00444E6E">
      <w:pPr>
        <w:spacing w:line="276" w:lineRule="auto"/>
        <w:jc w:val="both"/>
        <w:rPr>
          <w:rFonts w:eastAsia="Calibri" w:cs="Arial"/>
          <w:b/>
          <w:szCs w:val="20"/>
        </w:rPr>
      </w:pPr>
    </w:p>
    <w:p w14:paraId="0B186C4F" w14:textId="77777777" w:rsidR="00444E6E" w:rsidRDefault="00444E6E" w:rsidP="00444E6E">
      <w:pPr>
        <w:spacing w:line="276" w:lineRule="auto"/>
        <w:jc w:val="both"/>
        <w:rPr>
          <w:rFonts w:eastAsia="Calibri" w:cs="Arial"/>
          <w:b/>
          <w:szCs w:val="20"/>
        </w:rPr>
      </w:pPr>
    </w:p>
    <w:p w14:paraId="42FFCE6B" w14:textId="77777777" w:rsidR="00444E6E" w:rsidRDefault="00444E6E" w:rsidP="00444E6E">
      <w:pPr>
        <w:spacing w:line="276" w:lineRule="auto"/>
        <w:jc w:val="both"/>
        <w:rPr>
          <w:rFonts w:eastAsia="Calibri" w:cs="Arial"/>
          <w:b/>
          <w:szCs w:val="20"/>
        </w:rPr>
      </w:pPr>
    </w:p>
    <w:p w14:paraId="6A9EAFCB" w14:textId="77777777" w:rsidR="00444E6E" w:rsidRDefault="00444E6E" w:rsidP="00444E6E">
      <w:pPr>
        <w:spacing w:line="276" w:lineRule="auto"/>
        <w:jc w:val="both"/>
        <w:rPr>
          <w:rFonts w:eastAsia="Calibri" w:cs="Arial"/>
          <w:b/>
          <w:szCs w:val="20"/>
        </w:rPr>
      </w:pPr>
    </w:p>
    <w:p w14:paraId="64CADF2D" w14:textId="77777777" w:rsidR="00444E6E" w:rsidRDefault="00444E6E" w:rsidP="00444E6E">
      <w:pPr>
        <w:spacing w:line="276" w:lineRule="auto"/>
        <w:jc w:val="both"/>
        <w:rPr>
          <w:rFonts w:eastAsia="Calibri" w:cs="Arial"/>
          <w:b/>
          <w:szCs w:val="20"/>
        </w:rPr>
      </w:pPr>
    </w:p>
    <w:p w14:paraId="55E0B8C8" w14:textId="77777777" w:rsidR="00444E6E" w:rsidRDefault="00444E6E" w:rsidP="00444E6E">
      <w:pPr>
        <w:spacing w:line="276" w:lineRule="auto"/>
        <w:jc w:val="both"/>
        <w:rPr>
          <w:rFonts w:eastAsia="Calibri" w:cs="Arial"/>
          <w:b/>
          <w:szCs w:val="20"/>
        </w:rPr>
      </w:pPr>
    </w:p>
    <w:p w14:paraId="74564572" w14:textId="77777777" w:rsidR="00444E6E" w:rsidRDefault="00444E6E" w:rsidP="00444E6E">
      <w:pPr>
        <w:spacing w:line="276" w:lineRule="auto"/>
        <w:jc w:val="both"/>
        <w:rPr>
          <w:rFonts w:eastAsia="Calibri" w:cs="Arial"/>
          <w:b/>
          <w:szCs w:val="20"/>
        </w:rPr>
      </w:pPr>
    </w:p>
    <w:p w14:paraId="71197EEB" w14:textId="77777777" w:rsidR="00444E6E" w:rsidRDefault="00444E6E" w:rsidP="00444E6E">
      <w:pPr>
        <w:spacing w:line="276" w:lineRule="auto"/>
        <w:jc w:val="both"/>
        <w:rPr>
          <w:rFonts w:eastAsia="Calibri" w:cs="Arial"/>
          <w:b/>
          <w:szCs w:val="20"/>
        </w:rPr>
      </w:pPr>
    </w:p>
    <w:p w14:paraId="41234CE2" w14:textId="77777777" w:rsidR="00444E6E" w:rsidRDefault="00444E6E" w:rsidP="00444E6E">
      <w:pPr>
        <w:spacing w:line="276" w:lineRule="auto"/>
        <w:jc w:val="both"/>
        <w:rPr>
          <w:rFonts w:eastAsia="Calibri" w:cs="Arial"/>
          <w:b/>
          <w:szCs w:val="20"/>
        </w:rPr>
      </w:pPr>
    </w:p>
    <w:p w14:paraId="291DBF07" w14:textId="77777777" w:rsidR="00444E6E" w:rsidRDefault="00444E6E" w:rsidP="00444E6E">
      <w:pPr>
        <w:spacing w:line="276" w:lineRule="auto"/>
        <w:jc w:val="both"/>
        <w:rPr>
          <w:rFonts w:eastAsia="Calibri" w:cs="Arial"/>
          <w:b/>
          <w:szCs w:val="20"/>
        </w:rPr>
      </w:pPr>
    </w:p>
    <w:p w14:paraId="7536385F" w14:textId="77777777" w:rsidR="00444E6E" w:rsidRPr="00E6039F" w:rsidRDefault="00444E6E" w:rsidP="00444E6E">
      <w:pPr>
        <w:spacing w:line="276" w:lineRule="auto"/>
        <w:jc w:val="both"/>
        <w:rPr>
          <w:rFonts w:eastAsia="Calibri" w:cs="Arial"/>
          <w:b/>
          <w:szCs w:val="20"/>
        </w:rPr>
      </w:pPr>
      <w:r w:rsidRPr="0085262F">
        <w:rPr>
          <w:rFonts w:eastAsia="Calibri" w:cs="Arial"/>
          <w:b/>
          <w:szCs w:val="20"/>
        </w:rPr>
        <w:lastRenderedPageBreak/>
        <w:t>OBRAZLOŽITEV ČLENOV:</w:t>
      </w:r>
    </w:p>
    <w:p w14:paraId="3C1D83A2" w14:textId="77777777" w:rsidR="00444E6E" w:rsidRDefault="00444E6E" w:rsidP="00444E6E">
      <w:pPr>
        <w:jc w:val="both"/>
        <w:rPr>
          <w:b/>
        </w:rPr>
      </w:pPr>
    </w:p>
    <w:p w14:paraId="534F9FB6" w14:textId="77777777" w:rsidR="00444E6E" w:rsidRPr="00A54588" w:rsidRDefault="00444E6E" w:rsidP="00444E6E">
      <w:pPr>
        <w:jc w:val="both"/>
        <w:rPr>
          <w:b/>
        </w:rPr>
      </w:pPr>
      <w:r w:rsidRPr="00A54588">
        <w:rPr>
          <w:b/>
        </w:rPr>
        <w:t>K 1. členu</w:t>
      </w:r>
    </w:p>
    <w:p w14:paraId="30AEFC5C" w14:textId="77777777" w:rsidR="00444E6E" w:rsidRDefault="00444E6E" w:rsidP="00444E6E">
      <w:pPr>
        <w:jc w:val="both"/>
        <w:rPr>
          <w:rFonts w:cstheme="minorHAnsi"/>
        </w:rPr>
      </w:pPr>
      <w:r>
        <w:t xml:space="preserve">Predlog člena določa novo prilogo 1, s katero se </w:t>
      </w:r>
      <w:r w:rsidRPr="00890058">
        <w:rPr>
          <w:rFonts w:cstheme="minorHAnsi"/>
        </w:rPr>
        <w:t>ustrezn</w:t>
      </w:r>
      <w:r>
        <w:rPr>
          <w:rFonts w:cstheme="minorHAnsi"/>
        </w:rPr>
        <w:t>o</w:t>
      </w:r>
      <w:r w:rsidRPr="00890058">
        <w:rPr>
          <w:rFonts w:cstheme="minorHAnsi"/>
        </w:rPr>
        <w:t xml:space="preserve"> prilagodi model za določanje referenčne cene električne e</w:t>
      </w:r>
      <w:r w:rsidRPr="004C1F7C">
        <w:rPr>
          <w:rFonts w:cstheme="minorHAnsi"/>
        </w:rPr>
        <w:t>nergije C(</w:t>
      </w:r>
      <w:proofErr w:type="spellStart"/>
      <w:r w:rsidRPr="004C1F7C">
        <w:rPr>
          <w:rFonts w:cstheme="minorHAnsi"/>
        </w:rPr>
        <w:t>El</w:t>
      </w:r>
      <w:r w:rsidRPr="004C1F7C">
        <w:rPr>
          <w:rFonts w:cstheme="minorHAnsi"/>
          <w:vertAlign w:val="subscript"/>
        </w:rPr>
        <w:t>Ref</w:t>
      </w:r>
      <w:proofErr w:type="spellEnd"/>
      <w:r w:rsidRPr="004C1F7C">
        <w:rPr>
          <w:rFonts w:cstheme="minorHAnsi"/>
        </w:rPr>
        <w:t>) in model določanja referenčne cene zemeljskega plina C(</w:t>
      </w:r>
      <w:proofErr w:type="spellStart"/>
      <w:r w:rsidRPr="004C1F7C">
        <w:rPr>
          <w:rFonts w:cstheme="minorHAnsi"/>
        </w:rPr>
        <w:t>ZPRef</w:t>
      </w:r>
      <w:proofErr w:type="spellEnd"/>
      <w:r w:rsidRPr="004C1F7C">
        <w:rPr>
          <w:rFonts w:cstheme="minorHAnsi"/>
        </w:rPr>
        <w:t>).</w:t>
      </w:r>
      <w:r>
        <w:rPr>
          <w:rFonts w:cstheme="minorHAnsi"/>
        </w:rPr>
        <w:t xml:space="preserve"> Za določanje referenčne cene električne energije se uporabi korekcijski faktor 0,8, s katerim se </w:t>
      </w:r>
      <w:r>
        <w:rPr>
          <w:rFonts w:cstheme="minorHAnsi"/>
          <w:szCs w:val="22"/>
        </w:rPr>
        <w:t>napovedano tržno ceno zniža za 20 %, kar bolj realno odraža trenutne tržne cene, ki jih mali proizvajalci dosegajo pri trgovcih z električno energijo. Z uporabo faktorja se tudi zniža razlika med cenami letnih produktov in cenami na dnevnem trgu, kjer proizvajalci prodajajo viške električne energije zaradi nepredvidljive proizvodnje električne energije (npr. sončne elektrarne) ali rabe toplote. Dodatno se za določanje referenčne cene električne energije</w:t>
      </w:r>
      <w:r>
        <w:rPr>
          <w:rFonts w:cstheme="minorHAnsi"/>
        </w:rPr>
        <w:t xml:space="preserve"> skrajša obdobje napovedi referenčne cene električne energije na 20 trgovalnih dni. Za določanje referenčne cene zemeljskega plina se uporabi korekcijski faktor 1,1, s katerim se napovedano tržno ceno poveča za 5 %, kar bolj realno odraža trenutne tržne cene ZP, ki jih mali proizvajalci električne energije dosegajo pri trgovcih.</w:t>
      </w:r>
    </w:p>
    <w:p w14:paraId="441416D6" w14:textId="77777777" w:rsidR="00444E6E" w:rsidRPr="002E0DFB" w:rsidRDefault="00444E6E" w:rsidP="00444E6E">
      <w:pPr>
        <w:jc w:val="both"/>
        <w:rPr>
          <w:rFonts w:cs="Arial"/>
          <w:iCs/>
        </w:rPr>
      </w:pPr>
    </w:p>
    <w:p w14:paraId="51BCD92C" w14:textId="77777777" w:rsidR="00444E6E" w:rsidRPr="00A7237C" w:rsidRDefault="00444E6E" w:rsidP="00444E6E">
      <w:pPr>
        <w:jc w:val="both"/>
      </w:pPr>
      <w:r w:rsidRPr="00A54588">
        <w:rPr>
          <w:b/>
        </w:rPr>
        <w:t>K 2. členu</w:t>
      </w:r>
    </w:p>
    <w:p w14:paraId="54E4471F" w14:textId="54113A35" w:rsidR="00444E6E" w:rsidRDefault="00444E6E" w:rsidP="00444E6E">
      <w:pPr>
        <w:jc w:val="both"/>
      </w:pPr>
      <w:r w:rsidRPr="00A54588">
        <w:t>Predlog člena določa začetek veljavnosti te uredbe, to je</w:t>
      </w:r>
      <w:r>
        <w:t xml:space="preserve"> </w:t>
      </w:r>
      <w:r w:rsidRPr="00E7325D">
        <w:t>naslednji dan po objavi v Uradnem listu Republike Slovenije, prvič pa se</w:t>
      </w:r>
      <w:r>
        <w:t xml:space="preserve"> novi model določanja referenčne cene</w:t>
      </w:r>
      <w:r w:rsidRPr="00E7325D">
        <w:t xml:space="preserve"> uporabi za napoved za leto 202</w:t>
      </w:r>
      <w:r w:rsidR="0024777A">
        <w:t>5</w:t>
      </w:r>
      <w:r>
        <w:t>, ki jo bo Agencija za energijo objavila najpozneje do 31.10</w:t>
      </w:r>
      <w:r w:rsidRPr="00E7325D">
        <w:t>.</w:t>
      </w:r>
      <w:r>
        <w:t xml:space="preserve"> letos.</w:t>
      </w:r>
    </w:p>
    <w:p w14:paraId="06ADB596" w14:textId="77777777" w:rsidR="00122CDE" w:rsidRDefault="00122CDE"/>
    <w:sectPr w:rsidR="00122CDE">
      <w:headerReference w:type="even" r:id="rId19"/>
      <w:headerReference w:type="default" r:id="rId20"/>
      <w:footerReference w:type="even" r:id="rId21"/>
      <w:footerReference w:type="default" r:id="rId22"/>
      <w:headerReference w:type="first" r:id="rId23"/>
      <w:footerReference w:type="firs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D57112" w14:textId="77777777" w:rsidR="00B37D3D" w:rsidRDefault="00B37D3D" w:rsidP="00444E6E">
      <w:pPr>
        <w:spacing w:line="240" w:lineRule="auto"/>
      </w:pPr>
      <w:r>
        <w:separator/>
      </w:r>
    </w:p>
  </w:endnote>
  <w:endnote w:type="continuationSeparator" w:id="0">
    <w:p w14:paraId="7668C36B" w14:textId="77777777" w:rsidR="00B37D3D" w:rsidRDefault="00B37D3D" w:rsidP="00444E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A967E" w14:textId="77777777" w:rsidR="003C1EBB" w:rsidRDefault="003C1EBB">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C1CC5C" w14:textId="77777777" w:rsidR="003C1EBB" w:rsidRDefault="003C1EBB">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98665" w14:textId="77777777" w:rsidR="003C1EBB" w:rsidRDefault="003C1EB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409091" w14:textId="77777777" w:rsidR="00B37D3D" w:rsidRDefault="00B37D3D" w:rsidP="00444E6E">
      <w:pPr>
        <w:spacing w:line="240" w:lineRule="auto"/>
      </w:pPr>
      <w:r>
        <w:separator/>
      </w:r>
    </w:p>
  </w:footnote>
  <w:footnote w:type="continuationSeparator" w:id="0">
    <w:p w14:paraId="13EAB11A" w14:textId="77777777" w:rsidR="00B37D3D" w:rsidRDefault="00B37D3D" w:rsidP="00444E6E">
      <w:pPr>
        <w:spacing w:line="240" w:lineRule="auto"/>
      </w:pPr>
      <w:r>
        <w:continuationSeparator/>
      </w:r>
    </w:p>
  </w:footnote>
  <w:footnote w:id="1">
    <w:p w14:paraId="73DB788E" w14:textId="77777777" w:rsidR="00444E6E" w:rsidRDefault="00444E6E" w:rsidP="00444E6E">
      <w:pPr>
        <w:pStyle w:val="Sprotnaopomba-besedilo"/>
        <w:rPr>
          <w:sz w:val="16"/>
          <w:szCs w:val="16"/>
        </w:rPr>
      </w:pPr>
      <w:r>
        <w:rPr>
          <w:rStyle w:val="Sprotnaopomba-sklic"/>
        </w:rPr>
        <w:footnoteRef/>
      </w:r>
      <w:r>
        <w:t xml:space="preserve"> </w:t>
      </w:r>
      <w:r>
        <w:rPr>
          <w:sz w:val="16"/>
          <w:szCs w:val="16"/>
        </w:rPr>
        <w:t>http://www.kis.si/Standardni_nabor.</w:t>
      </w:r>
    </w:p>
  </w:footnote>
  <w:footnote w:id="2">
    <w:p w14:paraId="45ACC6E9" w14:textId="77777777" w:rsidR="00444E6E" w:rsidRDefault="00444E6E" w:rsidP="00444E6E">
      <w:pPr>
        <w:pStyle w:val="Sprotnaopomba-besedilo"/>
      </w:pPr>
      <w:r>
        <w:rPr>
          <w:rStyle w:val="Sprotnaopomba-sklic"/>
        </w:rPr>
        <w:footnoteRef/>
      </w:r>
      <w:r>
        <w:t xml:space="preserve"> Cene za leto 2025 ne odražajo v celoti dinamike cen v letu 2023 in 2024, so pa okvirni pokazatelj dogajanja in zaradi razpoložljivosti podatkov uporabljene v tej analizi.</w:t>
      </w:r>
    </w:p>
  </w:footnote>
  <w:footnote w:id="3">
    <w:p w14:paraId="1057C512" w14:textId="77777777" w:rsidR="00444E6E" w:rsidRDefault="00444E6E" w:rsidP="00444E6E">
      <w:pPr>
        <w:pStyle w:val="Sprotnaopomba-besedilo"/>
        <w:jc w:val="both"/>
      </w:pPr>
      <w:r>
        <w:rPr>
          <w:rStyle w:val="Sprotnaopomba-sklic"/>
        </w:rPr>
        <w:footnoteRef/>
      </w:r>
      <w:r>
        <w:t xml:space="preserve"> Zadnje tople zime in velika odstopanja v rabi toplote predstavljajo izredno veliko negotovost in tveganja proizvodnim napravam v soproizvodnji toplote in električne energije v sistemih daljinskega ogrevanja (količinska odstopanja, ki otežujejo zakup in prodajo energentov za celo leto v naprej).</w:t>
      </w:r>
    </w:p>
  </w:footnote>
  <w:footnote w:id="4">
    <w:p w14:paraId="122FF0A6" w14:textId="77777777" w:rsidR="00444E6E" w:rsidRDefault="00444E6E" w:rsidP="00444E6E">
      <w:pPr>
        <w:pStyle w:val="Sprotnaopomba-besedilo"/>
        <w:jc w:val="both"/>
      </w:pPr>
      <w:r>
        <w:rPr>
          <w:rStyle w:val="Sprotnaopomba-sklic"/>
        </w:rPr>
        <w:footnoteRef/>
      </w:r>
      <w:r>
        <w:t xml:space="preserve"> Daljše obdobje sicer bolje nevtralizira večja nihanja cen v obdobju napovedi, za proizvodne naprave, ki morajo istočasno prodajati električno energijo in kupovati zemeljski plin, pa razlika v časovnih oknih napovedi povzroča težave in dodatna tveganja.</w:t>
      </w:r>
    </w:p>
  </w:footnote>
  <w:footnote w:id="5">
    <w:p w14:paraId="542FD11E" w14:textId="77777777" w:rsidR="00444E6E" w:rsidRDefault="00444E6E" w:rsidP="00444E6E">
      <w:pPr>
        <w:pStyle w:val="Sprotnaopomba-besedilo"/>
        <w:jc w:val="both"/>
      </w:pPr>
      <w:r>
        <w:rPr>
          <w:rStyle w:val="Sprotnaopomba-sklic"/>
        </w:rPr>
        <w:footnoteRef/>
      </w:r>
      <w:r>
        <w:t xml:space="preserve"> Trende cen zaradi preglednosti in razpoložljivosti podatkov prikazujemo z letnim produktom, čeprav model določanja cen temelji na kvartalnih produktih – trenutno razpoložljivi podatki za cene produktov Q3 2024 se gibljejo okoli 37 €/MWh, produkta Q4 2024 okoli 40 €/MWh, Q1 2025 okoli 42 € ter Q2 2025 okoli 40 €/MWh.</w:t>
      </w:r>
    </w:p>
  </w:footnote>
  <w:footnote w:id="6">
    <w:p w14:paraId="49764A4F" w14:textId="77777777" w:rsidR="00444E6E" w:rsidRDefault="00444E6E" w:rsidP="00444E6E">
      <w:pPr>
        <w:pStyle w:val="Sprotnaopomba-besedilo"/>
        <w:jc w:val="both"/>
      </w:pPr>
      <w:r>
        <w:rPr>
          <w:rStyle w:val="Sprotnaopomba-sklic"/>
        </w:rPr>
        <w:footnoteRef/>
      </w:r>
      <w:r>
        <w:t xml:space="preserve"> Če bi vse stroške ZP preračunali na električno energijo, bi se ob povečanju cene ZP za 1 €/MWh strošek električne energije povečal za 2,5 €/MWh, z upoštevanjem prihodkov toplote pa je povečanje le okoli 1,5 €/MWh oziroma se strošek proizvodnje električne energije poveča za okoli 90 % povečanja cene ZP (npr. za 9 % pri 10 % povečanju cene ZP).</w:t>
      </w:r>
    </w:p>
  </w:footnote>
  <w:footnote w:id="7">
    <w:p w14:paraId="5A0D8D71" w14:textId="77777777" w:rsidR="00444E6E" w:rsidRDefault="00444E6E" w:rsidP="00444E6E">
      <w:pPr>
        <w:pStyle w:val="Sprotnaopomba-besedilo"/>
        <w:jc w:val="both"/>
      </w:pPr>
      <w:r>
        <w:rPr>
          <w:rStyle w:val="Sprotnaopomba-sklic"/>
        </w:rPr>
        <w:footnoteRef/>
      </w:r>
      <w:r>
        <w:t xml:space="preserve"> Ker je v pripravi nova podporna shema menimo, da lahko s popravki referenčne cene ZP hitreje in enostavneje vključimo rast tudi drugih stroškov v obdobju.</w:t>
      </w:r>
    </w:p>
  </w:footnote>
  <w:footnote w:id="8">
    <w:p w14:paraId="54F81299" w14:textId="77777777" w:rsidR="00444E6E" w:rsidRDefault="00444E6E" w:rsidP="00444E6E">
      <w:pPr>
        <w:pStyle w:val="Sprotnaopomba-besedilo"/>
        <w:jc w:val="both"/>
      </w:pPr>
      <w:r>
        <w:rPr>
          <w:rStyle w:val="Sprotnaopomba-sklic"/>
        </w:rPr>
        <w:footnoteRef/>
      </w:r>
      <w:r>
        <w:t xml:space="preserve"> Problematiko PN PSTE, ki so v shemo stopili kasneje in se jim SDRS ne usklajujejo letno, bo potrebno reševati ločeno, ne v okviru Uredbe o napovedi položaja.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0E3CE" w14:textId="77777777" w:rsidR="003C1EBB" w:rsidRDefault="003C1EBB">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F537B" w14:textId="469EEA26" w:rsidR="003C1EBB" w:rsidRDefault="00A27B7F" w:rsidP="003C1EBB">
    <w:pPr>
      <w:pStyle w:val="Glava"/>
      <w:jc w:val="center"/>
    </w:pPr>
    <w:sdt>
      <w:sdtPr>
        <w:id w:val="-47533382"/>
        <w:docPartObj>
          <w:docPartGallery w:val="Watermarks"/>
          <w:docPartUnique/>
        </w:docPartObj>
      </w:sdtPr>
      <w:sdtEndPr/>
      <w:sdtContent>
        <w:r>
          <w:pict w14:anchorId="0B4E209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814298" o:spid="_x0000_s2049" type="#_x0000_t136" style="position:absolute;left:0;text-align:left;margin-left:0;margin-top:0;width:586.05pt;height:53.25pt;rotation:315;z-index:-251658752;mso-position-horizontal:center;mso-position-horizontal-relative:margin;mso-position-vertical:center;mso-position-vertical-relative:margin" o:allowincell="f" fillcolor="silver" stroked="f">
              <v:fill opacity=".5"/>
              <v:textpath style="font-family:&quot;calibri&quot;;font-size:1pt" string="PREDLOG ZA JAVNO OBRAVNAVO, JUNIJ 2024"/>
              <w10:wrap anchorx="margin" anchory="margin"/>
            </v:shape>
          </w:pict>
        </w:r>
      </w:sdtContent>
    </w:sdt>
    <w:r w:rsidR="003C1EBB">
      <w:t>(predlog za javno obravnavo, junij 2024)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DC39D" w14:textId="77777777" w:rsidR="003C1EBB" w:rsidRDefault="003C1EB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ECB"/>
    <w:multiLevelType w:val="hybridMultilevel"/>
    <w:tmpl w:val="F27C1EF8"/>
    <w:lvl w:ilvl="0" w:tplc="167A9DE2">
      <w:start w:val="1"/>
      <w:numFmt w:val="upperRoman"/>
      <w:lvlText w:val="%1."/>
      <w:lvlJc w:val="left"/>
      <w:pPr>
        <w:ind w:left="720" w:hanging="72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 w15:restartNumberingAfterBreak="0">
    <w:nsid w:val="0B1250A1"/>
    <w:multiLevelType w:val="hybridMultilevel"/>
    <w:tmpl w:val="0FF68D52"/>
    <w:lvl w:ilvl="0" w:tplc="18CCAA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0E6F9C"/>
    <w:multiLevelType w:val="hybridMultilevel"/>
    <w:tmpl w:val="CEB464E0"/>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 w15:restartNumberingAfterBreak="0">
    <w:nsid w:val="0F2541BC"/>
    <w:multiLevelType w:val="hybridMultilevel"/>
    <w:tmpl w:val="1A5ECD58"/>
    <w:lvl w:ilvl="0" w:tplc="18CCAA2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29D9248D"/>
    <w:multiLevelType w:val="hybridMultilevel"/>
    <w:tmpl w:val="E6AE6862"/>
    <w:lvl w:ilvl="0" w:tplc="18CCAA2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34043819"/>
    <w:multiLevelType w:val="hybridMultilevel"/>
    <w:tmpl w:val="CEB464E0"/>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6" w15:restartNumberingAfterBreak="0">
    <w:nsid w:val="3E2D009B"/>
    <w:multiLevelType w:val="hybridMultilevel"/>
    <w:tmpl w:val="BB7C3104"/>
    <w:lvl w:ilvl="0" w:tplc="18CCAA2C">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7" w15:restartNumberingAfterBreak="0">
    <w:nsid w:val="54EA5BB9"/>
    <w:multiLevelType w:val="hybridMultilevel"/>
    <w:tmpl w:val="12B03132"/>
    <w:lvl w:ilvl="0" w:tplc="18CCAA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5B36D25"/>
    <w:multiLevelType w:val="hybridMultilevel"/>
    <w:tmpl w:val="09C8A40E"/>
    <w:lvl w:ilvl="0" w:tplc="18CCAA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9994D57"/>
    <w:multiLevelType w:val="hybridMultilevel"/>
    <w:tmpl w:val="6D721AAE"/>
    <w:lvl w:ilvl="0" w:tplc="18CCAA2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1273827941">
    <w:abstractNumId w:val="1"/>
  </w:num>
  <w:num w:numId="2" w16cid:durableId="1592007723">
    <w:abstractNumId w:val="6"/>
  </w:num>
  <w:num w:numId="3" w16cid:durableId="1717853211">
    <w:abstractNumId w:val="8"/>
  </w:num>
  <w:num w:numId="4" w16cid:durableId="864296140">
    <w:abstractNumId w:val="3"/>
  </w:num>
  <w:num w:numId="5" w16cid:durableId="1821925697">
    <w:abstractNumId w:val="7"/>
  </w:num>
  <w:num w:numId="6" w16cid:durableId="1021399755">
    <w:abstractNumId w:val="4"/>
  </w:num>
  <w:num w:numId="7" w16cid:durableId="2003001056">
    <w:abstractNumId w:val="9"/>
  </w:num>
  <w:num w:numId="8" w16cid:durableId="828447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40208141">
    <w:abstractNumId w:val="0"/>
  </w:num>
  <w:num w:numId="10" w16cid:durableId="8323499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4E6E"/>
    <w:rsid w:val="00122CDE"/>
    <w:rsid w:val="00190081"/>
    <w:rsid w:val="0024777A"/>
    <w:rsid w:val="003C1EBB"/>
    <w:rsid w:val="00444E6E"/>
    <w:rsid w:val="00504262"/>
    <w:rsid w:val="00A109AB"/>
    <w:rsid w:val="00A27B7F"/>
    <w:rsid w:val="00B37D3D"/>
    <w:rsid w:val="00E976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93DDFA9"/>
  <w15:chartTrackingRefBased/>
  <w15:docId w15:val="{D942109C-F94A-41E3-A365-4567A2B63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44E6E"/>
    <w:pPr>
      <w:spacing w:after="0" w:line="260" w:lineRule="atLeast"/>
    </w:pPr>
    <w:rPr>
      <w:rFonts w:ascii="Arial" w:eastAsia="Times New Roman" w:hAnsi="Arial" w:cs="Times New Roman"/>
      <w:kern w:val="0"/>
      <w:sz w:val="20"/>
      <w:szCs w:val="24"/>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444E6E"/>
    <w:rPr>
      <w:color w:val="0000FF"/>
      <w:u w:val="single"/>
    </w:rPr>
  </w:style>
  <w:style w:type="paragraph" w:styleId="Odstavekseznama">
    <w:name w:val="List Paragraph"/>
    <w:basedOn w:val="Navaden"/>
    <w:link w:val="OdstavekseznamaZnak"/>
    <w:uiPriority w:val="34"/>
    <w:qFormat/>
    <w:rsid w:val="00444E6E"/>
    <w:pPr>
      <w:spacing w:after="120" w:line="264" w:lineRule="auto"/>
      <w:ind w:left="720"/>
      <w:contextualSpacing/>
      <w:jc w:val="both"/>
    </w:pPr>
    <w:rPr>
      <w:rFonts w:eastAsia="SimHei"/>
      <w:szCs w:val="20"/>
      <w:lang w:eastAsia="ja-JP"/>
    </w:rPr>
  </w:style>
  <w:style w:type="character" w:customStyle="1" w:styleId="OdstavekseznamaZnak">
    <w:name w:val="Odstavek seznama Znak"/>
    <w:link w:val="Odstavekseznama"/>
    <w:uiPriority w:val="34"/>
    <w:rsid w:val="00444E6E"/>
    <w:rPr>
      <w:rFonts w:ascii="Arial" w:eastAsia="SimHei" w:hAnsi="Arial" w:cs="Times New Roman"/>
      <w:kern w:val="0"/>
      <w:sz w:val="20"/>
      <w:szCs w:val="20"/>
      <w:lang w:eastAsia="ja-JP"/>
      <w14:ligatures w14:val="none"/>
    </w:rPr>
  </w:style>
  <w:style w:type="paragraph" w:styleId="Sprotnaopomba-besedilo">
    <w:name w:val="footnote text"/>
    <w:basedOn w:val="Navaden"/>
    <w:link w:val="Sprotnaopomba-besediloZnak"/>
    <w:rsid w:val="00444E6E"/>
    <w:rPr>
      <w:szCs w:val="20"/>
    </w:rPr>
  </w:style>
  <w:style w:type="character" w:customStyle="1" w:styleId="Sprotnaopomba-besediloZnak">
    <w:name w:val="Sprotna opomba - besedilo Znak"/>
    <w:basedOn w:val="Privzetapisavaodstavka"/>
    <w:link w:val="Sprotnaopomba-besedilo"/>
    <w:rsid w:val="00444E6E"/>
    <w:rPr>
      <w:rFonts w:ascii="Arial" w:eastAsia="Times New Roman" w:hAnsi="Arial" w:cs="Times New Roman"/>
      <w:kern w:val="0"/>
      <w:sz w:val="20"/>
      <w:szCs w:val="20"/>
      <w14:ligatures w14:val="none"/>
    </w:rPr>
  </w:style>
  <w:style w:type="character" w:styleId="Sprotnaopomba-sklic">
    <w:name w:val="footnote reference"/>
    <w:rsid w:val="00444E6E"/>
    <w:rPr>
      <w:vertAlign w:val="superscript"/>
    </w:rPr>
  </w:style>
  <w:style w:type="character" w:customStyle="1" w:styleId="NapisZnak2">
    <w:name w:val="Napis Znak2"/>
    <w:aliases w:val="CapSlika Znak,Napis Znak Znak,Znak Znak Znak Znak,Label/Legend Znak,Char Znak,Znak Znak Znak1,Caption Char Znak,Caption Char1 Znak,Caption Char Char Znak,Napis Znak2 Znak Znak,Napis Znak Znak2 Znak Znak,Napis Znak Znak2 Znak Znak Znak Znak"/>
    <w:basedOn w:val="Privzetapisavaodstavka"/>
    <w:link w:val="Napis"/>
    <w:semiHidden/>
    <w:locked/>
    <w:rsid w:val="00444E6E"/>
    <w:rPr>
      <w:rFonts w:cs="Calibri"/>
      <w:b/>
      <w:i/>
      <w:lang w:val="en-GB"/>
    </w:rPr>
  </w:style>
  <w:style w:type="paragraph" w:styleId="Napis">
    <w:name w:val="caption"/>
    <w:aliases w:val="CapSlika,Napis Znak,Znak Znak Znak,Label/Legend,Char,Znak Znak,Caption Char,Caption Char1,Caption Char Char,Napis Znak2 Znak,Napis Znak Znak2 Znak,Napis Znak Znak2 Znak Znak Znak,Napis Znak Znak Znak Znak Znak Znak Znak,slika1,Napis Znak1"/>
    <w:basedOn w:val="Navaden"/>
    <w:next w:val="Navaden"/>
    <w:link w:val="NapisZnak2"/>
    <w:semiHidden/>
    <w:unhideWhenUsed/>
    <w:qFormat/>
    <w:rsid w:val="00444E6E"/>
    <w:pPr>
      <w:spacing w:before="120" w:after="120" w:line="240" w:lineRule="auto"/>
      <w:jc w:val="both"/>
    </w:pPr>
    <w:rPr>
      <w:rFonts w:asciiTheme="minorHAnsi" w:eastAsiaTheme="minorHAnsi" w:hAnsiTheme="minorHAnsi" w:cs="Calibri"/>
      <w:b/>
      <w:i/>
      <w:kern w:val="2"/>
      <w:sz w:val="22"/>
      <w:szCs w:val="22"/>
      <w:lang w:val="en-GB"/>
      <w14:ligatures w14:val="standardContextual"/>
    </w:rPr>
  </w:style>
  <w:style w:type="paragraph" w:styleId="Glava">
    <w:name w:val="header"/>
    <w:basedOn w:val="Navaden"/>
    <w:link w:val="GlavaZnak"/>
    <w:uiPriority w:val="99"/>
    <w:unhideWhenUsed/>
    <w:rsid w:val="003C1EBB"/>
    <w:pPr>
      <w:tabs>
        <w:tab w:val="center" w:pos="4536"/>
        <w:tab w:val="right" w:pos="9072"/>
      </w:tabs>
      <w:spacing w:line="240" w:lineRule="auto"/>
    </w:pPr>
  </w:style>
  <w:style w:type="character" w:customStyle="1" w:styleId="GlavaZnak">
    <w:name w:val="Glava Znak"/>
    <w:basedOn w:val="Privzetapisavaodstavka"/>
    <w:link w:val="Glava"/>
    <w:uiPriority w:val="99"/>
    <w:rsid w:val="003C1EBB"/>
    <w:rPr>
      <w:rFonts w:ascii="Arial" w:eastAsia="Times New Roman" w:hAnsi="Arial" w:cs="Times New Roman"/>
      <w:kern w:val="0"/>
      <w:sz w:val="20"/>
      <w:szCs w:val="24"/>
      <w14:ligatures w14:val="none"/>
    </w:rPr>
  </w:style>
  <w:style w:type="paragraph" w:styleId="Noga">
    <w:name w:val="footer"/>
    <w:basedOn w:val="Navaden"/>
    <w:link w:val="NogaZnak"/>
    <w:uiPriority w:val="99"/>
    <w:unhideWhenUsed/>
    <w:rsid w:val="003C1EBB"/>
    <w:pPr>
      <w:tabs>
        <w:tab w:val="center" w:pos="4536"/>
        <w:tab w:val="right" w:pos="9072"/>
      </w:tabs>
      <w:spacing w:line="240" w:lineRule="auto"/>
    </w:pPr>
  </w:style>
  <w:style w:type="character" w:customStyle="1" w:styleId="NogaZnak">
    <w:name w:val="Noga Znak"/>
    <w:basedOn w:val="Privzetapisavaodstavka"/>
    <w:link w:val="Noga"/>
    <w:uiPriority w:val="99"/>
    <w:rsid w:val="003C1EBB"/>
    <w:rPr>
      <w:rFonts w:ascii="Arial" w:eastAsia="Times New Roman" w:hAnsi="Arial" w:cs="Times New Roman"/>
      <w:kern w:val="0"/>
      <w:sz w:val="20"/>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cegh.at/en/exchange-market/market-data/?product=aheadMarket&amp;market=AT/" TargetMode="External"/><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https://wcm.gozdis.si/sl/podatki/cene/podatki/2021100415210921/cene-lesnih-goriv/?year=2024"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egh.at/en/exchange-market/market-data/?product=yearly&amp;market=AT" TargetMode="External"/><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pxweb.stat.si/SiStatData/pxweb/sl/Data/-/1656402S.px" TargetMode="External"/><Relationship Id="rId23"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bsp-southpool.com/rezultati-trgovanja-slovenija.html" TargetMode="External"/><Relationship Id="rId14" Type="http://schemas.openxmlformats.org/officeDocument/2006/relationships/image" Target="media/image5.png"/><Relationship Id="rId22"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10</Pages>
  <Words>2160</Words>
  <Characters>12315</Characters>
  <Application>Microsoft Office Word</Application>
  <DocSecurity>0</DocSecurity>
  <Lines>102</Lines>
  <Paragraphs>28</Paragraphs>
  <ScaleCrop>false</ScaleCrop>
  <Company/>
  <LinksUpToDate>false</LinksUpToDate>
  <CharactersWithSpaces>14447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 Žnidarič (MOPE)</dc:creator>
  <cp:keywords/>
  <dc:description/>
  <cp:lastModifiedBy>Vesna Gajšek</cp:lastModifiedBy>
  <cp:revision>6</cp:revision>
  <dcterms:created xsi:type="dcterms:W3CDTF">2024-06-03T11:26:00Z</dcterms:created>
  <dcterms:modified xsi:type="dcterms:W3CDTF">2024-06-06T08:39:00Z</dcterms:modified>
</cp:coreProperties>
</file>