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C6CBA" w14:textId="77777777" w:rsidR="00B645FF" w:rsidRDefault="00B645FF" w:rsidP="00B645FF">
      <w:pPr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2283C349" w14:textId="77777777" w:rsidR="00B645FF" w:rsidRPr="00564C31" w:rsidRDefault="00B645FF" w:rsidP="00B645FF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p w14:paraId="33E78556" w14:textId="77777777" w:rsidR="00B645FF" w:rsidRDefault="00B645FF" w:rsidP="00B645FF">
      <w:pPr>
        <w:spacing w:before="120" w:after="120" w:line="240" w:lineRule="auto"/>
        <w:rPr>
          <w:rFonts w:ascii="Arial" w:eastAsia="Calibri" w:hAnsi="Arial" w:cs="Arial"/>
          <w:b/>
        </w:rPr>
      </w:pPr>
      <w:r w:rsidRPr="008D7C8F">
        <w:rPr>
          <w:rFonts w:ascii="Arial" w:eastAsia="Calibri" w:hAnsi="Arial" w:cs="Arial"/>
          <w:b/>
        </w:rPr>
        <w:t>PRILOGA 3 (jedro gradiva):</w:t>
      </w:r>
      <w:r>
        <w:rPr>
          <w:rFonts w:ascii="Arial" w:eastAsia="Calibri" w:hAnsi="Arial" w:cs="Arial"/>
          <w:b/>
        </w:rPr>
        <w:t xml:space="preserve">                                   </w:t>
      </w:r>
      <w:r w:rsidRPr="008D7C8F">
        <w:rPr>
          <w:rFonts w:ascii="Arial" w:eastAsia="Calibri" w:hAnsi="Arial" w:cs="Arial"/>
          <w:b/>
        </w:rPr>
        <w:t xml:space="preserve"> </w:t>
      </w:r>
    </w:p>
    <w:p w14:paraId="53F30876" w14:textId="77777777" w:rsidR="00B645FF" w:rsidRPr="008D7C8F" w:rsidRDefault="00B645FF" w:rsidP="00B645FF">
      <w:pPr>
        <w:spacing w:before="120" w:after="120" w:line="240" w:lineRule="auto"/>
        <w:rPr>
          <w:rFonts w:ascii="Arial" w:eastAsia="Calibri" w:hAnsi="Arial" w:cs="Arial"/>
          <w:b/>
        </w:rPr>
      </w:pPr>
      <w:r w:rsidRPr="008D7C8F">
        <w:rPr>
          <w:rFonts w:ascii="Arial" w:eastAsia="Calibri" w:hAnsi="Arial" w:cs="Arial"/>
          <w:b/>
        </w:rPr>
        <w:t>OSNUTEK</w:t>
      </w:r>
    </w:p>
    <w:p w14:paraId="2D987700" w14:textId="77777777" w:rsidR="00B645FF" w:rsidRPr="008D7C8F" w:rsidRDefault="00B645FF" w:rsidP="00B645FF">
      <w:pPr>
        <w:spacing w:before="120" w:after="120" w:line="240" w:lineRule="auto"/>
        <w:jc w:val="right"/>
        <w:rPr>
          <w:rFonts w:ascii="Arial" w:eastAsia="Calibri" w:hAnsi="Arial" w:cs="Arial"/>
          <w:b/>
        </w:rPr>
      </w:pPr>
      <w:r w:rsidRPr="008D7C8F">
        <w:rPr>
          <w:rFonts w:ascii="Arial" w:eastAsia="Calibri" w:hAnsi="Arial" w:cs="Arial"/>
          <w:b/>
        </w:rPr>
        <w:t xml:space="preserve"> </w:t>
      </w:r>
      <w:r w:rsidRPr="000C16BD">
        <w:rPr>
          <w:rFonts w:ascii="Arial" w:eastAsia="Calibri" w:hAnsi="Arial" w:cs="Arial"/>
          <w:b/>
        </w:rPr>
        <w:t>EVA</w:t>
      </w:r>
      <w:r w:rsidRPr="000C16BD">
        <w:rPr>
          <w:rFonts w:ascii="Arial" w:eastAsia="Times New Roman" w:hAnsi="Arial" w:cs="Arial"/>
          <w:b/>
          <w:lang w:eastAsia="sl-SI"/>
        </w:rPr>
        <w:t xml:space="preserve"> 2024-2570-0045</w:t>
      </w:r>
    </w:p>
    <w:p w14:paraId="4D1A1690" w14:textId="77777777" w:rsidR="00B645FF" w:rsidRPr="008D7C8F" w:rsidRDefault="00B645FF" w:rsidP="00B645FF">
      <w:pPr>
        <w:spacing w:before="160" w:line="240" w:lineRule="auto"/>
        <w:jc w:val="both"/>
        <w:rPr>
          <w:rFonts w:ascii="Arial" w:eastAsia="Calibri" w:hAnsi="Arial" w:cs="Arial"/>
        </w:rPr>
      </w:pPr>
    </w:p>
    <w:p w14:paraId="7CE06ACD" w14:textId="77777777" w:rsidR="00B645FF" w:rsidRPr="008D7C8F" w:rsidRDefault="00B645FF" w:rsidP="00B645FF">
      <w:pPr>
        <w:spacing w:before="160" w:line="240" w:lineRule="auto"/>
        <w:jc w:val="both"/>
        <w:rPr>
          <w:rFonts w:ascii="Arial" w:eastAsia="Calibri" w:hAnsi="Arial" w:cs="Arial"/>
        </w:rPr>
      </w:pPr>
      <w:r w:rsidRPr="008D7C8F">
        <w:rPr>
          <w:rFonts w:ascii="Arial" w:eastAsia="Calibri" w:hAnsi="Arial" w:cs="Arial"/>
        </w:rPr>
        <w:t>Na podlagi šestega odstavka 42. člena Zakona o infrastrukturi za alternativna goriva in spodbujanju prehoda na alternativna goriva v prometu (Uradni list RS, št. 62/23) Vlada Republike Slovenije izdaja</w:t>
      </w:r>
    </w:p>
    <w:p w14:paraId="486E282B" w14:textId="77777777" w:rsidR="00B645FF" w:rsidRPr="008D7C8F" w:rsidRDefault="00B645FF" w:rsidP="00B645FF">
      <w:pPr>
        <w:spacing w:before="240" w:after="240" w:line="240" w:lineRule="auto"/>
        <w:jc w:val="center"/>
        <w:rPr>
          <w:rFonts w:ascii="Arial" w:eastAsia="Calibri" w:hAnsi="Arial" w:cs="Arial"/>
          <w:b/>
        </w:rPr>
      </w:pPr>
    </w:p>
    <w:p w14:paraId="4507D077" w14:textId="77777777" w:rsidR="00B645FF" w:rsidRPr="008D7C8F" w:rsidRDefault="00B645FF" w:rsidP="00B645FF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8D7C8F">
        <w:rPr>
          <w:rFonts w:ascii="Arial" w:eastAsia="Calibri" w:hAnsi="Arial" w:cs="Arial"/>
          <w:b/>
        </w:rPr>
        <w:t>U</w:t>
      </w:r>
      <w:r>
        <w:rPr>
          <w:rFonts w:ascii="Arial" w:eastAsia="Calibri" w:hAnsi="Arial" w:cs="Arial"/>
          <w:b/>
        </w:rPr>
        <w:t>redbo</w:t>
      </w:r>
    </w:p>
    <w:p w14:paraId="57D52CB6" w14:textId="77777777" w:rsidR="00B645FF" w:rsidRPr="008D7C8F" w:rsidRDefault="00B645FF" w:rsidP="00B645FF">
      <w:pPr>
        <w:spacing w:after="0" w:line="240" w:lineRule="auto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o spremembah in dopolnitvah Uredbe </w:t>
      </w:r>
      <w:r w:rsidRPr="008774C3">
        <w:rPr>
          <w:rFonts w:ascii="Arial" w:eastAsia="Calibri" w:hAnsi="Arial" w:cs="Arial"/>
          <w:b/>
        </w:rPr>
        <w:t xml:space="preserve">o načinu dodeljevanja </w:t>
      </w:r>
      <w:r>
        <w:rPr>
          <w:rFonts w:ascii="Arial" w:eastAsia="Calibri" w:hAnsi="Arial" w:cs="Arial"/>
          <w:b/>
        </w:rPr>
        <w:t xml:space="preserve">finančnih spodbud </w:t>
      </w:r>
      <w:r w:rsidRPr="008774C3">
        <w:rPr>
          <w:rFonts w:ascii="Arial" w:eastAsia="Calibri" w:hAnsi="Arial" w:cs="Arial"/>
          <w:b/>
        </w:rPr>
        <w:t>ukrepom za spodbujanje prehoda na alternativna goriva v prometu</w:t>
      </w:r>
      <w:r w:rsidRPr="008D7C8F">
        <w:rPr>
          <w:rFonts w:ascii="Arial" w:eastAsia="Calibri" w:hAnsi="Arial" w:cs="Arial"/>
          <w:b/>
        </w:rPr>
        <w:t xml:space="preserve"> </w:t>
      </w:r>
    </w:p>
    <w:p w14:paraId="282126E6" w14:textId="77777777" w:rsidR="00B645FF" w:rsidRPr="008D7C8F" w:rsidRDefault="00B645FF" w:rsidP="00B645FF">
      <w:pPr>
        <w:spacing w:before="160" w:afterLines="160" w:after="384" w:line="240" w:lineRule="auto"/>
        <w:rPr>
          <w:rFonts w:ascii="Arial" w:eastAsia="Calibri" w:hAnsi="Arial" w:cs="Arial"/>
        </w:rPr>
      </w:pPr>
    </w:p>
    <w:p w14:paraId="1ADE04CC" w14:textId="77777777" w:rsidR="00B645FF" w:rsidRPr="008D7C8F" w:rsidRDefault="00B645FF" w:rsidP="00B645FF">
      <w:pPr>
        <w:numPr>
          <w:ilvl w:val="0"/>
          <w:numId w:val="2"/>
        </w:numPr>
        <w:suppressAutoHyphens/>
        <w:spacing w:before="160" w:afterLines="160" w:after="384" w:line="240" w:lineRule="auto"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526AC546" w14:textId="77777777" w:rsidR="00B645FF" w:rsidRDefault="00B645FF" w:rsidP="00B645FF">
      <w:pPr>
        <w:spacing w:before="160" w:afterLines="160" w:after="384" w:line="240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V celotnem besedilu </w:t>
      </w:r>
      <w:r w:rsidRPr="006F7F21">
        <w:rPr>
          <w:rFonts w:ascii="Arial" w:eastAsia="Calibri" w:hAnsi="Arial" w:cs="Arial"/>
        </w:rPr>
        <w:t>Uredb</w:t>
      </w:r>
      <w:r>
        <w:rPr>
          <w:rFonts w:ascii="Arial" w:eastAsia="Calibri" w:hAnsi="Arial" w:cs="Arial"/>
        </w:rPr>
        <w:t>e</w:t>
      </w:r>
      <w:r w:rsidRPr="006F7F21">
        <w:rPr>
          <w:rFonts w:ascii="Arial" w:eastAsia="Calibri" w:hAnsi="Arial" w:cs="Arial"/>
        </w:rPr>
        <w:t xml:space="preserve"> o načinu dodeljevanja finančnih spodbud ukrepom za spodbujanje prehoda na alternativna goriva v prometu</w:t>
      </w:r>
      <w:r>
        <w:rPr>
          <w:rFonts w:ascii="Arial" w:eastAsia="Calibri" w:hAnsi="Arial" w:cs="Arial"/>
        </w:rPr>
        <w:t xml:space="preserve"> (</w:t>
      </w:r>
      <w:r w:rsidRPr="006F7F21">
        <w:rPr>
          <w:rFonts w:ascii="Arial" w:eastAsia="Calibri" w:hAnsi="Arial" w:cs="Arial"/>
        </w:rPr>
        <w:t>Uradni list RS, št. 113/23</w:t>
      </w:r>
      <w:r>
        <w:rPr>
          <w:rFonts w:ascii="Arial" w:eastAsia="Calibri" w:hAnsi="Arial" w:cs="Arial"/>
        </w:rPr>
        <w:t xml:space="preserve">) se </w:t>
      </w:r>
      <w:r w:rsidRPr="006F7F21">
        <w:rPr>
          <w:rFonts w:ascii="Arial" w:eastAsia="Calibri" w:hAnsi="Arial" w:cs="Arial"/>
        </w:rPr>
        <w:t>besedil</w:t>
      </w:r>
      <w:r>
        <w:rPr>
          <w:rFonts w:ascii="Arial" w:eastAsia="Calibri" w:hAnsi="Arial" w:cs="Arial"/>
        </w:rPr>
        <w:t>o</w:t>
      </w:r>
      <w:r w:rsidRPr="006F7F21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»</w:t>
      </w:r>
      <w:r w:rsidRPr="006F7F21">
        <w:rPr>
          <w:rFonts w:ascii="Arial" w:eastAsia="Calibri" w:hAnsi="Arial" w:cs="Arial"/>
        </w:rPr>
        <w:t>Uredb</w:t>
      </w:r>
      <w:r>
        <w:rPr>
          <w:rFonts w:ascii="Arial" w:eastAsia="Calibri" w:hAnsi="Arial" w:cs="Arial"/>
        </w:rPr>
        <w:t>a</w:t>
      </w:r>
      <w:r w:rsidRPr="006F7F21">
        <w:rPr>
          <w:rFonts w:ascii="Arial" w:eastAsia="Calibri" w:hAnsi="Arial" w:cs="Arial"/>
        </w:rPr>
        <w:t xml:space="preserve"> 1407/2013/EU</w:t>
      </w:r>
      <w:r>
        <w:rPr>
          <w:rFonts w:ascii="Arial" w:eastAsia="Calibri" w:hAnsi="Arial" w:cs="Arial"/>
        </w:rPr>
        <w:t xml:space="preserve">« </w:t>
      </w:r>
      <w:r w:rsidRPr="006F7F21">
        <w:rPr>
          <w:rFonts w:ascii="Arial" w:eastAsia="Calibri" w:hAnsi="Arial" w:cs="Arial"/>
        </w:rPr>
        <w:t>v vseh sklonih</w:t>
      </w:r>
      <w:r>
        <w:rPr>
          <w:rFonts w:ascii="Arial" w:eastAsia="Calibri" w:hAnsi="Arial" w:cs="Arial"/>
        </w:rPr>
        <w:t xml:space="preserve"> in številih</w:t>
      </w:r>
      <w:r w:rsidRPr="006F7F21">
        <w:rPr>
          <w:rFonts w:ascii="Arial" w:eastAsia="Calibri" w:hAnsi="Arial" w:cs="Arial"/>
        </w:rPr>
        <w:t xml:space="preserve"> nadomesti z besed</w:t>
      </w:r>
      <w:r>
        <w:rPr>
          <w:rFonts w:ascii="Arial" w:eastAsia="Calibri" w:hAnsi="Arial" w:cs="Arial"/>
        </w:rPr>
        <w:t>ilom</w:t>
      </w:r>
      <w:r w:rsidRPr="006F7F21">
        <w:rPr>
          <w:rFonts w:ascii="Arial" w:eastAsia="Calibri" w:hAnsi="Arial" w:cs="Arial"/>
        </w:rPr>
        <w:t xml:space="preserve"> »</w:t>
      </w:r>
      <w:r>
        <w:rPr>
          <w:rFonts w:ascii="Arial" w:eastAsia="Calibri" w:hAnsi="Arial" w:cs="Arial"/>
        </w:rPr>
        <w:t>Uredba 2023/2831/EU</w:t>
      </w:r>
      <w:r w:rsidRPr="006F7F21">
        <w:rPr>
          <w:rFonts w:ascii="Arial" w:eastAsia="Calibri" w:hAnsi="Arial" w:cs="Arial"/>
        </w:rPr>
        <w:t>« v ustreznem sklonu</w:t>
      </w:r>
      <w:r>
        <w:rPr>
          <w:rFonts w:ascii="Arial" w:eastAsia="Calibri" w:hAnsi="Arial" w:cs="Arial"/>
        </w:rPr>
        <w:t xml:space="preserve"> in številu</w:t>
      </w:r>
      <w:r w:rsidRPr="006F7F21">
        <w:rPr>
          <w:rFonts w:ascii="Arial" w:eastAsia="Calibri" w:hAnsi="Arial" w:cs="Arial"/>
        </w:rPr>
        <w:t>.</w:t>
      </w:r>
    </w:p>
    <w:p w14:paraId="651EECFD" w14:textId="77777777" w:rsidR="00B645FF" w:rsidRPr="008D7C8F" w:rsidRDefault="00B645FF" w:rsidP="00B645FF">
      <w:pPr>
        <w:jc w:val="both"/>
        <w:rPr>
          <w:rFonts w:ascii="Arial" w:eastAsia="Calibri" w:hAnsi="Arial" w:cs="Arial"/>
        </w:rPr>
      </w:pPr>
    </w:p>
    <w:p w14:paraId="6E768897" w14:textId="77777777" w:rsidR="00B645FF" w:rsidRPr="008D7C8F" w:rsidRDefault="00B645FF" w:rsidP="00B645FF">
      <w:pPr>
        <w:numPr>
          <w:ilvl w:val="0"/>
          <w:numId w:val="2"/>
        </w:numPr>
        <w:suppressAutoHyphens/>
        <w:spacing w:after="0" w:line="240" w:lineRule="auto"/>
        <w:contextualSpacing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5462EB29" w14:textId="77777777" w:rsidR="00B645FF" w:rsidRDefault="00B645FF" w:rsidP="00B645FF">
      <w:pPr>
        <w:spacing w:before="160"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V 1. členu se drugi odstavek spremeni tako, da se glasi:</w:t>
      </w:r>
    </w:p>
    <w:p w14:paraId="71E469B8" w14:textId="77777777" w:rsidR="00B645FF" w:rsidRDefault="00B645FF" w:rsidP="00B645FF">
      <w:pPr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»</w:t>
      </w:r>
      <w:r w:rsidRPr="00EA165E">
        <w:rPr>
          <w:rFonts w:ascii="Arial" w:eastAsia="Calibri" w:hAnsi="Arial" w:cs="Arial"/>
        </w:rPr>
        <w:t xml:space="preserve">(2) Če določbe Uredbe Komisije (EU) št. 651/2014 z dne 17. junija 2014 o razglasitvi nekaterih vrst pomoči za združljive z notranjim trgom pri uporabi členov 107 in 108 Pogodbe (UL L št. 187 z dne 26. 6. 2014, str. 1), zadnjič spremenjene z Uredbo Komisije (EU) 2023/1315 z dne 23. junija 2023 o spremembi Uredbe (EU) št. 651/2014 o razglasitvi nekaterih vrst pomoči za združljive z notranjim trgom pri uporabi členov 107 in 108 Pogodbe ter Uredbe (EU) 2022/2473 o razglasitvi nekaterih vrst pomoči za podjetja, ki se ukvarjajo s proizvodnjo, predelavo in trženjem ribiških proizvodov in proizvodov iz akvakulture, za združljive z notranjim trgom z uporabo členov 107 </w:t>
      </w:r>
      <w:r w:rsidRPr="00BA38FA">
        <w:rPr>
          <w:rFonts w:ascii="Arial" w:eastAsia="Calibri" w:hAnsi="Arial" w:cs="Arial"/>
        </w:rPr>
        <w:t xml:space="preserve">in 108 Pogodbe (UL L št. 167 z dne 30. 6. 2023, str. 1), (v nadaljnjem besedilu: Uredba 651/2014/EU) ter določbe </w:t>
      </w:r>
      <w:r w:rsidRPr="00BA38FA">
        <w:rPr>
          <w:rFonts w:ascii="Arial" w:hAnsi="Arial" w:cs="Arial"/>
          <w:kern w:val="2"/>
          <w14:ligatures w14:val="standardContextual"/>
        </w:rPr>
        <w:t xml:space="preserve">Uredbe Komisije (EU) 2023/2831 z dne 13. decembra 2023 o uporabi členov 107 in 108 Pogodbe o delovanju Evropske unije pri pomoči </w:t>
      </w:r>
      <w:r w:rsidRPr="00BA38FA">
        <w:rPr>
          <w:rFonts w:ascii="Arial" w:hAnsi="Arial" w:cs="Arial"/>
          <w:i/>
          <w:iCs/>
          <w:kern w:val="2"/>
          <w14:ligatures w14:val="standardContextual"/>
        </w:rPr>
        <w:t>de minimis</w:t>
      </w:r>
      <w:r w:rsidRPr="00BA38FA">
        <w:rPr>
          <w:rFonts w:ascii="Arial" w:hAnsi="Arial" w:cs="Arial"/>
          <w:kern w:val="2"/>
          <w14:ligatures w14:val="standardContextual"/>
        </w:rPr>
        <w:t xml:space="preserve"> (UL L št. 2023/2831 z dne 15. 12. 2023), (v nadaljnjem besedilu: Uredba 2023/2831/EU) </w:t>
      </w:r>
      <w:r w:rsidRPr="00BA38FA">
        <w:rPr>
          <w:rFonts w:ascii="Arial" w:eastAsia="Calibri" w:hAnsi="Arial" w:cs="Arial"/>
        </w:rPr>
        <w:t>določajo drugače kot ta uredba, se uporabljajo določbe Uredbe 651/2014/EU in Uredbe 2023/2831/EU neposredno.«</w:t>
      </w:r>
    </w:p>
    <w:p w14:paraId="62B8B246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629C2023" w14:textId="77777777" w:rsidR="00B645FF" w:rsidRPr="008D7C8F" w:rsidRDefault="00B645FF" w:rsidP="00B645FF">
      <w:pPr>
        <w:numPr>
          <w:ilvl w:val="0"/>
          <w:numId w:val="2"/>
        </w:numPr>
        <w:suppressAutoHyphens/>
        <w:spacing w:after="0" w:line="240" w:lineRule="auto"/>
        <w:contextualSpacing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1A89D075" w14:textId="77777777" w:rsidR="00B645FF" w:rsidRDefault="00B645FF" w:rsidP="00B645FF">
      <w:pPr>
        <w:spacing w:before="160"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V 22. členu se v prvem odstavku 1. točka spremeni tako, da se glasi: </w:t>
      </w:r>
    </w:p>
    <w:p w14:paraId="340EE801" w14:textId="77777777" w:rsidR="00B645FF" w:rsidRDefault="00B645FF" w:rsidP="00B645FF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»1. </w:t>
      </w:r>
      <w:r w:rsidRPr="00D01D6D">
        <w:rPr>
          <w:rFonts w:ascii="Arial" w:eastAsia="Calibri" w:hAnsi="Arial" w:cs="Arial"/>
        </w:rPr>
        <w:t>primarn</w:t>
      </w:r>
      <w:r>
        <w:rPr>
          <w:rFonts w:ascii="Arial" w:eastAsia="Calibri" w:hAnsi="Arial" w:cs="Arial"/>
        </w:rPr>
        <w:t>a</w:t>
      </w:r>
      <w:r w:rsidRPr="00D01D6D">
        <w:rPr>
          <w:rFonts w:ascii="Arial" w:eastAsia="Calibri" w:hAnsi="Arial" w:cs="Arial"/>
        </w:rPr>
        <w:t xml:space="preserve"> proizvodnj</w:t>
      </w:r>
      <w:r>
        <w:rPr>
          <w:rFonts w:ascii="Arial" w:eastAsia="Calibri" w:hAnsi="Arial" w:cs="Arial"/>
        </w:rPr>
        <w:t>a</w:t>
      </w:r>
      <w:r w:rsidRPr="00D01D6D">
        <w:rPr>
          <w:rFonts w:ascii="Arial" w:eastAsia="Calibri" w:hAnsi="Arial" w:cs="Arial"/>
        </w:rPr>
        <w:t xml:space="preserve"> ribiških proizvodov in proizvodov iz akvakulture</w:t>
      </w:r>
      <w:r>
        <w:rPr>
          <w:rFonts w:ascii="Arial" w:eastAsia="Calibri" w:hAnsi="Arial" w:cs="Arial"/>
        </w:rPr>
        <w:t>«.</w:t>
      </w:r>
    </w:p>
    <w:p w14:paraId="3AE73D7D" w14:textId="77777777" w:rsidR="00B645FF" w:rsidRDefault="00B645FF" w:rsidP="00B645FF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Za 1. točko se doda nova 2. točka, ki se glasi: </w:t>
      </w:r>
    </w:p>
    <w:p w14:paraId="542EB70E" w14:textId="77777777" w:rsidR="00B645FF" w:rsidRDefault="00B645FF" w:rsidP="00B645FF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lastRenderedPageBreak/>
        <w:t xml:space="preserve">»2. </w:t>
      </w:r>
      <w:r w:rsidRPr="007114B6">
        <w:rPr>
          <w:rFonts w:ascii="Arial" w:eastAsia="Calibri" w:hAnsi="Arial" w:cs="Arial"/>
        </w:rPr>
        <w:t>predelav</w:t>
      </w:r>
      <w:r>
        <w:rPr>
          <w:rFonts w:ascii="Arial" w:eastAsia="Calibri" w:hAnsi="Arial" w:cs="Arial"/>
        </w:rPr>
        <w:t>a</w:t>
      </w:r>
      <w:r w:rsidRPr="007114B6">
        <w:rPr>
          <w:rFonts w:ascii="Arial" w:eastAsia="Calibri" w:hAnsi="Arial" w:cs="Arial"/>
        </w:rPr>
        <w:t xml:space="preserve"> in trženj</w:t>
      </w:r>
      <w:r>
        <w:rPr>
          <w:rFonts w:ascii="Arial" w:eastAsia="Calibri" w:hAnsi="Arial" w:cs="Arial"/>
        </w:rPr>
        <w:t>e</w:t>
      </w:r>
      <w:r w:rsidRPr="007114B6">
        <w:rPr>
          <w:rFonts w:ascii="Arial" w:eastAsia="Calibri" w:hAnsi="Arial" w:cs="Arial"/>
        </w:rPr>
        <w:t xml:space="preserve"> ribiških proizvodov in proizvodov iz akvakulture, kadar</w:t>
      </w:r>
      <w:r>
        <w:rPr>
          <w:rFonts w:ascii="Arial" w:eastAsia="Calibri" w:hAnsi="Arial" w:cs="Arial"/>
        </w:rPr>
        <w:t xml:space="preserve"> </w:t>
      </w:r>
      <w:r w:rsidRPr="007114B6">
        <w:rPr>
          <w:rFonts w:ascii="Arial" w:eastAsia="Calibri" w:hAnsi="Arial" w:cs="Arial"/>
        </w:rPr>
        <w:t>je znesek pomoči določen na podlagi cene ali količine proizvodov, nabavljenih ali danih na trg</w:t>
      </w:r>
      <w:r>
        <w:rPr>
          <w:rFonts w:ascii="Arial" w:eastAsia="Calibri" w:hAnsi="Arial" w:cs="Arial"/>
        </w:rPr>
        <w:t>«.</w:t>
      </w:r>
    </w:p>
    <w:p w14:paraId="1F317B57" w14:textId="77777777" w:rsidR="00B645FF" w:rsidRDefault="00B645FF" w:rsidP="00B645FF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Dosedanji 2. in 3. točka postaneta 3. in 4. točka.</w:t>
      </w:r>
    </w:p>
    <w:p w14:paraId="4855779F" w14:textId="77777777" w:rsidR="00B645FF" w:rsidRDefault="00B645FF" w:rsidP="00B645FF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Črta se zadnji (četrti) odstavek.</w:t>
      </w:r>
    </w:p>
    <w:p w14:paraId="11DADF63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14B89D87" w14:textId="77777777" w:rsidR="00B645FF" w:rsidRPr="008D7C8F" w:rsidRDefault="00B645FF" w:rsidP="00B645FF">
      <w:pPr>
        <w:numPr>
          <w:ilvl w:val="0"/>
          <w:numId w:val="2"/>
        </w:numPr>
        <w:suppressAutoHyphens/>
        <w:spacing w:line="240" w:lineRule="auto"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097FFF3D" w14:textId="77777777" w:rsidR="00B645FF" w:rsidRDefault="00B645FF" w:rsidP="00B645FF">
      <w:pPr>
        <w:spacing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V 23. členu se v prvem odstavku znesek »200.000,00« nadomesti z zneskom »3</w:t>
      </w:r>
      <w:r w:rsidRPr="00A411D1">
        <w:rPr>
          <w:rFonts w:ascii="Arial" w:eastAsia="Calibri" w:hAnsi="Arial" w:cs="Arial"/>
        </w:rPr>
        <w:t>00.000,00</w:t>
      </w:r>
      <w:r>
        <w:rPr>
          <w:rFonts w:ascii="Arial" w:eastAsia="Calibri" w:hAnsi="Arial" w:cs="Arial"/>
        </w:rPr>
        <w:t>«.</w:t>
      </w:r>
    </w:p>
    <w:p w14:paraId="0E6F8DAC" w14:textId="77777777" w:rsidR="00B645FF" w:rsidRPr="008D7C8F" w:rsidRDefault="00B645FF" w:rsidP="00B645FF">
      <w:pPr>
        <w:spacing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Črta se drugi odstavek, dosedanji tretji odstavek postane drugi odstavek.</w:t>
      </w:r>
    </w:p>
    <w:p w14:paraId="689AB009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11603E16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343A8C4A" w14:textId="77777777" w:rsidR="00B645FF" w:rsidRPr="008D7C8F" w:rsidRDefault="00B645FF" w:rsidP="00B645FF">
      <w:pPr>
        <w:numPr>
          <w:ilvl w:val="0"/>
          <w:numId w:val="2"/>
        </w:numPr>
        <w:suppressAutoHyphens/>
        <w:spacing w:line="240" w:lineRule="auto"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4524B27F" w14:textId="77777777" w:rsidR="00B645FF" w:rsidRPr="00CF7226" w:rsidRDefault="00B645FF" w:rsidP="00B645FF">
      <w:pPr>
        <w:spacing w:line="240" w:lineRule="auto"/>
        <w:rPr>
          <w:rFonts w:ascii="Arial" w:eastAsia="Calibri" w:hAnsi="Arial" w:cs="Arial"/>
          <w:bCs/>
        </w:rPr>
      </w:pPr>
      <w:r w:rsidRPr="00CF7226">
        <w:rPr>
          <w:rFonts w:ascii="Arial" w:eastAsia="Calibri" w:hAnsi="Arial" w:cs="Arial"/>
          <w:bCs/>
        </w:rPr>
        <w:t xml:space="preserve">V </w:t>
      </w:r>
      <w:r>
        <w:rPr>
          <w:rFonts w:ascii="Arial" w:eastAsia="Calibri" w:hAnsi="Arial" w:cs="Arial"/>
          <w:bCs/>
        </w:rPr>
        <w:t>29. členu se v četrtem odstavku za besedo »prvega« črta besedilo »in drugega«.</w:t>
      </w:r>
    </w:p>
    <w:p w14:paraId="2BE09425" w14:textId="77777777" w:rsidR="00B645FF" w:rsidRDefault="00B645FF" w:rsidP="00B645FF">
      <w:pPr>
        <w:jc w:val="both"/>
        <w:rPr>
          <w:rFonts w:ascii="Arial" w:eastAsia="Calibri" w:hAnsi="Arial" w:cs="Arial"/>
        </w:rPr>
      </w:pPr>
    </w:p>
    <w:p w14:paraId="61A01965" w14:textId="77777777" w:rsidR="00B645FF" w:rsidRPr="00CF404C" w:rsidRDefault="00B645FF" w:rsidP="00B645FF">
      <w:pPr>
        <w:overflowPunct w:val="0"/>
        <w:autoSpaceDE w:val="0"/>
        <w:autoSpaceDN w:val="0"/>
        <w:adjustRightInd w:val="0"/>
        <w:spacing w:before="240" w:after="0" w:line="240" w:lineRule="auto"/>
        <w:jc w:val="center"/>
        <w:textAlignment w:val="baseline"/>
        <w:rPr>
          <w:rFonts w:ascii="Arial" w:eastAsia="Times New Roman" w:hAnsi="Arial" w:cs="Arial"/>
          <w:color w:val="000000"/>
          <w:lang w:eastAsia="sl-SI"/>
        </w:rPr>
      </w:pPr>
      <w:r w:rsidRPr="00CF404C">
        <w:rPr>
          <w:rFonts w:ascii="Arial" w:eastAsia="Times New Roman" w:hAnsi="Arial" w:cs="Arial"/>
          <w:color w:val="000000"/>
          <w:lang w:eastAsia="sl-SI"/>
        </w:rPr>
        <w:t>KONČNA DOLOČBA</w:t>
      </w:r>
    </w:p>
    <w:p w14:paraId="55FB1C3F" w14:textId="77777777" w:rsidR="00B645FF" w:rsidRPr="008D7C8F" w:rsidRDefault="00B645FF" w:rsidP="00B645FF">
      <w:pPr>
        <w:jc w:val="both"/>
        <w:rPr>
          <w:rFonts w:ascii="Arial" w:eastAsia="Calibri" w:hAnsi="Arial" w:cs="Arial"/>
        </w:rPr>
      </w:pPr>
    </w:p>
    <w:p w14:paraId="1D776D96" w14:textId="77777777" w:rsidR="00B645FF" w:rsidRPr="008D7C8F" w:rsidRDefault="00B645FF" w:rsidP="00B645FF">
      <w:pPr>
        <w:numPr>
          <w:ilvl w:val="0"/>
          <w:numId w:val="2"/>
        </w:numPr>
        <w:suppressAutoHyphens/>
        <w:spacing w:after="0" w:line="240" w:lineRule="auto"/>
        <w:contextualSpacing/>
        <w:jc w:val="center"/>
        <w:rPr>
          <w:rFonts w:ascii="Arial" w:eastAsia="Times New Roman" w:hAnsi="Arial" w:cs="Arial"/>
          <w:b/>
          <w:lang w:eastAsia="en-GB"/>
        </w:rPr>
      </w:pPr>
      <w:r w:rsidRPr="008D7C8F">
        <w:rPr>
          <w:rFonts w:ascii="Arial" w:eastAsia="Times New Roman" w:hAnsi="Arial" w:cs="Arial"/>
          <w:b/>
          <w:lang w:eastAsia="en-GB"/>
        </w:rPr>
        <w:t>člen</w:t>
      </w:r>
      <w:r>
        <w:rPr>
          <w:rFonts w:ascii="Arial" w:eastAsia="Times New Roman" w:hAnsi="Arial" w:cs="Arial"/>
          <w:b/>
          <w:lang w:eastAsia="sl-SI"/>
        </w:rPr>
        <w:t xml:space="preserve">           </w:t>
      </w:r>
      <w:r w:rsidRPr="008D7C8F">
        <w:rPr>
          <w:rFonts w:ascii="Arial" w:eastAsia="Times New Roman" w:hAnsi="Arial" w:cs="Arial"/>
          <w:b/>
          <w:lang w:eastAsia="sl-SI"/>
        </w:rPr>
        <w:t xml:space="preserve"> </w:t>
      </w:r>
    </w:p>
    <w:p w14:paraId="09B3DF06" w14:textId="77777777" w:rsidR="00B645FF" w:rsidRDefault="00B645FF" w:rsidP="00B645FF">
      <w:pPr>
        <w:jc w:val="center"/>
        <w:rPr>
          <w:rFonts w:ascii="Arial" w:eastAsia="Calibri" w:hAnsi="Arial" w:cs="Arial"/>
          <w:b/>
        </w:rPr>
      </w:pPr>
      <w:r w:rsidRPr="008D7C8F">
        <w:rPr>
          <w:rFonts w:ascii="Arial" w:eastAsia="Calibri" w:hAnsi="Arial" w:cs="Arial"/>
          <w:b/>
        </w:rPr>
        <w:t>(</w:t>
      </w:r>
      <w:r>
        <w:rPr>
          <w:rFonts w:ascii="Arial" w:eastAsia="Calibri" w:hAnsi="Arial" w:cs="Arial"/>
          <w:b/>
        </w:rPr>
        <w:t>začetek veljavnosti</w:t>
      </w:r>
      <w:r w:rsidRPr="008D7C8F">
        <w:rPr>
          <w:rFonts w:ascii="Arial" w:eastAsia="Calibri" w:hAnsi="Arial" w:cs="Arial"/>
          <w:b/>
        </w:rPr>
        <w:t>)</w:t>
      </w:r>
    </w:p>
    <w:p w14:paraId="547FA040" w14:textId="77777777" w:rsidR="00B645FF" w:rsidRPr="009F47AC" w:rsidRDefault="00B645FF" w:rsidP="00B645FF">
      <w:pPr>
        <w:spacing w:line="240" w:lineRule="auto"/>
        <w:jc w:val="center"/>
        <w:rPr>
          <w:rFonts w:ascii="Arial" w:eastAsia="Calibri" w:hAnsi="Arial" w:cs="Arial"/>
          <w:b/>
        </w:rPr>
      </w:pPr>
      <w:r w:rsidRPr="004158A9">
        <w:rPr>
          <w:rFonts w:ascii="Arial" w:eastAsia="Calibri" w:hAnsi="Arial" w:cs="Arial"/>
        </w:rPr>
        <w:t>Ta uredba začne veljati naslednji dan po objavi v Uradnem listu Republike Slovenije</w:t>
      </w:r>
      <w:r>
        <w:rPr>
          <w:rFonts w:ascii="Arial" w:eastAsia="Calibri" w:hAnsi="Arial" w:cs="Arial"/>
        </w:rPr>
        <w:t>.</w:t>
      </w:r>
    </w:p>
    <w:p w14:paraId="3F33A47F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3B3A6F88" w14:textId="77777777" w:rsidR="00B645FF" w:rsidRPr="008D7C8F" w:rsidRDefault="00B645FF" w:rsidP="00B645FF">
      <w:pPr>
        <w:rPr>
          <w:rFonts w:ascii="Arial" w:eastAsia="Calibri" w:hAnsi="Arial" w:cs="Arial"/>
        </w:rPr>
      </w:pPr>
    </w:p>
    <w:p w14:paraId="4BD5949D" w14:textId="77777777" w:rsidR="00B645FF" w:rsidRPr="008D7C8F" w:rsidRDefault="00B645FF" w:rsidP="00B645FF">
      <w:pPr>
        <w:rPr>
          <w:rFonts w:ascii="Arial" w:eastAsia="Calibri" w:hAnsi="Arial" w:cs="Arial"/>
        </w:rPr>
      </w:pPr>
      <w:r w:rsidRPr="008D7C8F">
        <w:rPr>
          <w:rFonts w:ascii="Arial" w:eastAsia="Calibri" w:hAnsi="Arial" w:cs="Arial"/>
        </w:rPr>
        <w:t>Št. IPP 007-………</w:t>
      </w:r>
    </w:p>
    <w:p w14:paraId="5BB32D91" w14:textId="77777777" w:rsidR="00B645FF" w:rsidRPr="008D7C8F" w:rsidRDefault="00B645FF" w:rsidP="00B645FF">
      <w:pPr>
        <w:rPr>
          <w:rFonts w:ascii="Arial" w:eastAsia="Calibri" w:hAnsi="Arial" w:cs="Arial"/>
        </w:rPr>
      </w:pPr>
      <w:r w:rsidRPr="008D7C8F">
        <w:rPr>
          <w:rFonts w:ascii="Arial" w:eastAsia="Calibri" w:hAnsi="Arial" w:cs="Arial"/>
        </w:rPr>
        <w:t>Ljubljana, ………….</w:t>
      </w:r>
    </w:p>
    <w:p w14:paraId="03E7E80D" w14:textId="77777777" w:rsidR="00B645FF" w:rsidRPr="008D7C8F" w:rsidRDefault="00B645FF" w:rsidP="00B645FF">
      <w:pPr>
        <w:rPr>
          <w:rFonts w:ascii="Arial" w:eastAsia="Calibri" w:hAnsi="Arial" w:cs="Arial"/>
        </w:rPr>
      </w:pPr>
      <w:r w:rsidRPr="00770638">
        <w:rPr>
          <w:rFonts w:ascii="Arial" w:eastAsia="Calibri" w:hAnsi="Arial" w:cs="Arial"/>
        </w:rPr>
        <w:t>EVA 2024-2570-0045</w:t>
      </w:r>
    </w:p>
    <w:p w14:paraId="72BDDC10" w14:textId="77777777" w:rsidR="00B645FF" w:rsidRPr="008D7C8F" w:rsidRDefault="00B645FF" w:rsidP="00B645FF">
      <w:pPr>
        <w:jc w:val="right"/>
        <w:rPr>
          <w:rFonts w:ascii="Arial" w:eastAsia="Calibri" w:hAnsi="Arial" w:cs="Arial"/>
        </w:rPr>
      </w:pPr>
    </w:p>
    <w:p w14:paraId="78B04B7E" w14:textId="77777777" w:rsidR="00B645FF" w:rsidRPr="004158A9" w:rsidRDefault="00B645FF" w:rsidP="00B645FF">
      <w:pPr>
        <w:spacing w:after="0" w:line="260" w:lineRule="atLeast"/>
        <w:jc w:val="right"/>
        <w:rPr>
          <w:rFonts w:ascii="Arial" w:eastAsia="Times New Roman" w:hAnsi="Arial" w:cs="Times New Roman"/>
          <w:szCs w:val="28"/>
        </w:rPr>
      </w:pPr>
      <w:r w:rsidRPr="004158A9">
        <w:rPr>
          <w:rFonts w:ascii="Arial" w:eastAsia="Times New Roman" w:hAnsi="Arial" w:cs="Times New Roman"/>
          <w:szCs w:val="28"/>
        </w:rPr>
        <w:t>Vlada Republike Slovenije</w:t>
      </w:r>
    </w:p>
    <w:p w14:paraId="1E4D2061" w14:textId="77777777" w:rsidR="00B645FF" w:rsidRPr="004158A9" w:rsidRDefault="00B645FF" w:rsidP="00B645FF">
      <w:pPr>
        <w:spacing w:after="0" w:line="260" w:lineRule="atLeast"/>
        <w:jc w:val="center"/>
        <w:rPr>
          <w:rFonts w:ascii="Arial" w:eastAsia="Times New Roman" w:hAnsi="Arial" w:cs="Times New Roman"/>
          <w:szCs w:val="28"/>
        </w:rPr>
      </w:pPr>
      <w:r w:rsidRPr="004158A9">
        <w:rPr>
          <w:rFonts w:ascii="Arial" w:eastAsia="Times New Roman" w:hAnsi="Arial" w:cs="Times New Roman"/>
          <w:szCs w:val="28"/>
        </w:rPr>
        <w:t xml:space="preserve">                                                                                                              dr. Robert Golob</w:t>
      </w:r>
    </w:p>
    <w:p w14:paraId="0FDFE99B" w14:textId="77777777" w:rsidR="00B645FF" w:rsidRPr="004158A9" w:rsidRDefault="00B645FF" w:rsidP="00B645FF">
      <w:pPr>
        <w:rPr>
          <w:rFonts w:ascii="Calibri" w:eastAsia="Calibri" w:hAnsi="Calibri" w:cs="Times New Roman"/>
          <w:sz w:val="24"/>
          <w:szCs w:val="24"/>
        </w:rPr>
      </w:pPr>
      <w:r w:rsidRPr="004158A9">
        <w:rPr>
          <w:rFonts w:ascii="Arial" w:eastAsia="Times New Roman" w:hAnsi="Arial" w:cs="Times New Roman"/>
          <w:szCs w:val="28"/>
        </w:rPr>
        <w:t xml:space="preserve">                                                                                                                         predsednik</w:t>
      </w:r>
    </w:p>
    <w:p w14:paraId="1C1193E9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696418C0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4016660D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3655D491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15C8A255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4D0860AF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5571F031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0F1860BE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  <w:r w:rsidRPr="009542F3">
        <w:rPr>
          <w:rFonts w:ascii="Arial" w:eastAsia="Calibri" w:hAnsi="Arial" w:cs="Arial"/>
          <w:b/>
          <w:szCs w:val="20"/>
        </w:rPr>
        <w:lastRenderedPageBreak/>
        <w:t>OBRAZLOŽITEV</w:t>
      </w:r>
    </w:p>
    <w:p w14:paraId="354423CE" w14:textId="77777777" w:rsidR="00B645FF" w:rsidRDefault="00B645FF" w:rsidP="00B645FF">
      <w:pPr>
        <w:jc w:val="both"/>
      </w:pPr>
      <w:r>
        <w:rPr>
          <w:rFonts w:ascii="Arial" w:eastAsia="Calibri" w:hAnsi="Arial" w:cs="Arial"/>
          <w:szCs w:val="20"/>
        </w:rPr>
        <w:t xml:space="preserve">Predlog Uredbe o spremembah in dopolnitvah </w:t>
      </w:r>
      <w:r w:rsidRPr="001F75EC">
        <w:rPr>
          <w:rFonts w:ascii="Arial" w:eastAsia="Calibri" w:hAnsi="Arial" w:cs="Arial"/>
          <w:szCs w:val="20"/>
        </w:rPr>
        <w:t>Uredbe o načinu dodeljevanja finančnih spodbud ukrepom za spodbujanje prehoda na alternativna goriva v prometu</w:t>
      </w:r>
      <w:r>
        <w:rPr>
          <w:rFonts w:ascii="Arial" w:eastAsia="Calibri" w:hAnsi="Arial" w:cs="Arial"/>
          <w:szCs w:val="20"/>
        </w:rPr>
        <w:t xml:space="preserve"> je potreben zaradi spremembe zakonodaje Evropske unije na področju dodeljevanja pomoči de minimis.</w:t>
      </w:r>
      <w:r>
        <w:t xml:space="preserve"> </w:t>
      </w:r>
    </w:p>
    <w:p w14:paraId="121E53F4" w14:textId="77777777" w:rsidR="00B645FF" w:rsidRDefault="00B645FF" w:rsidP="00B645FF">
      <w:pPr>
        <w:jc w:val="both"/>
        <w:rPr>
          <w:rFonts w:ascii="Arial" w:eastAsia="Calibri" w:hAnsi="Arial" w:cs="Arial"/>
          <w:szCs w:val="20"/>
        </w:rPr>
      </w:pPr>
      <w:r w:rsidRPr="001F75EC">
        <w:rPr>
          <w:rFonts w:ascii="Arial" w:eastAsia="Calibri" w:hAnsi="Arial" w:cs="Arial"/>
          <w:szCs w:val="20"/>
        </w:rPr>
        <w:t>Uredba o načinu dodeljevanja finančnih spodbud ukrepom za spodbujanje prehoda na alternativna goriva v prometu</w:t>
      </w:r>
      <w:r>
        <w:rPr>
          <w:rFonts w:ascii="Arial" w:eastAsia="Calibri" w:hAnsi="Arial" w:cs="Arial"/>
          <w:szCs w:val="20"/>
        </w:rPr>
        <w:t xml:space="preserve"> (</w:t>
      </w:r>
      <w:r w:rsidRPr="001F75EC">
        <w:rPr>
          <w:rFonts w:ascii="Arial" w:eastAsia="Calibri" w:hAnsi="Arial" w:cs="Arial"/>
          <w:szCs w:val="20"/>
        </w:rPr>
        <w:t>Uradni list RS, št. 113/23</w:t>
      </w:r>
      <w:r>
        <w:rPr>
          <w:rFonts w:ascii="Arial" w:eastAsia="Calibri" w:hAnsi="Arial" w:cs="Arial"/>
          <w:szCs w:val="20"/>
        </w:rPr>
        <w:t xml:space="preserve">) se navezuje na </w:t>
      </w:r>
      <w:r w:rsidRPr="001F75EC">
        <w:rPr>
          <w:rFonts w:ascii="Arial" w:eastAsia="Calibri" w:hAnsi="Arial" w:cs="Arial"/>
          <w:szCs w:val="20"/>
        </w:rPr>
        <w:t>Uredb</w:t>
      </w:r>
      <w:r>
        <w:rPr>
          <w:rFonts w:ascii="Arial" w:eastAsia="Calibri" w:hAnsi="Arial" w:cs="Arial"/>
          <w:szCs w:val="20"/>
        </w:rPr>
        <w:t>o</w:t>
      </w:r>
      <w:r w:rsidRPr="001F75EC">
        <w:rPr>
          <w:rFonts w:ascii="Arial" w:eastAsia="Calibri" w:hAnsi="Arial" w:cs="Arial"/>
          <w:szCs w:val="20"/>
        </w:rPr>
        <w:t xml:space="preserve"> Komisije (EU) št. 1407/2013 z dne 18. decembra 2013 o uporabi členov 107 in 108 Pogodbe o delovanju Evropske unije pri pomoči de minimis (v nadaljnjem besedilu: Uredba 1407/2013/EU)</w:t>
      </w:r>
      <w:r>
        <w:rPr>
          <w:rFonts w:ascii="Arial" w:eastAsia="Calibri" w:hAnsi="Arial" w:cs="Arial"/>
          <w:szCs w:val="20"/>
        </w:rPr>
        <w:t xml:space="preserve">. </w:t>
      </w:r>
      <w:r w:rsidRPr="001F75EC">
        <w:rPr>
          <w:rFonts w:ascii="Arial" w:eastAsia="Calibri" w:hAnsi="Arial" w:cs="Arial"/>
          <w:szCs w:val="20"/>
        </w:rPr>
        <w:t>Uredba 1407/2013/EU</w:t>
      </w:r>
      <w:r>
        <w:rPr>
          <w:rFonts w:ascii="Arial" w:eastAsia="Calibri" w:hAnsi="Arial" w:cs="Arial"/>
          <w:szCs w:val="20"/>
        </w:rPr>
        <w:t xml:space="preserve"> se je prenehala uporabljati dne 31. 12. 2023. Nadomestila jo je nova </w:t>
      </w:r>
      <w:r w:rsidRPr="00993B03">
        <w:rPr>
          <w:rFonts w:ascii="Arial" w:eastAsia="Calibri" w:hAnsi="Arial" w:cs="Arial"/>
          <w:szCs w:val="20"/>
        </w:rPr>
        <w:t>Uredba Komisije (EU) 2023/2831 z dne 13. decembra 2023 o uporabi členov 107 in 108 Pogodbe o delovanju Evropske unije pri pomoči de minimis</w:t>
      </w:r>
      <w:r>
        <w:rPr>
          <w:rFonts w:ascii="Arial" w:eastAsia="Calibri" w:hAnsi="Arial" w:cs="Arial"/>
          <w:szCs w:val="20"/>
        </w:rPr>
        <w:t xml:space="preserve"> (v nadaljnjem besedilu: Uredba 2023/2831/EU). </w:t>
      </w:r>
    </w:p>
    <w:p w14:paraId="3087815F" w14:textId="53F0554A" w:rsidR="00B645FF" w:rsidRDefault="00B645FF" w:rsidP="00B645FF">
      <w:pPr>
        <w:tabs>
          <w:tab w:val="left" w:pos="708"/>
        </w:tabs>
        <w:jc w:val="both"/>
        <w:rPr>
          <w:rFonts w:ascii="Arial" w:eastAsia="Calibri" w:hAnsi="Arial" w:cs="Arial"/>
          <w:b/>
          <w:szCs w:val="20"/>
        </w:rPr>
      </w:pPr>
      <w:r>
        <w:rPr>
          <w:rFonts w:ascii="Arial" w:eastAsia="Calibri" w:hAnsi="Arial" w:cs="Arial"/>
          <w:szCs w:val="20"/>
        </w:rPr>
        <w:t xml:space="preserve">Predlog predmetne uredbe se veže izključno na spremembe, ki so posledica nove </w:t>
      </w:r>
      <w:r w:rsidRPr="00993B03">
        <w:rPr>
          <w:rFonts w:ascii="Arial" w:eastAsia="Calibri" w:hAnsi="Arial" w:cs="Arial"/>
          <w:szCs w:val="20"/>
        </w:rPr>
        <w:t>Uredb</w:t>
      </w:r>
      <w:r>
        <w:rPr>
          <w:rFonts w:ascii="Arial" w:eastAsia="Calibri" w:hAnsi="Arial" w:cs="Arial"/>
          <w:szCs w:val="20"/>
        </w:rPr>
        <w:t>e</w:t>
      </w:r>
      <w:r w:rsidRPr="00993B03">
        <w:rPr>
          <w:rFonts w:ascii="Arial" w:eastAsia="Calibri" w:hAnsi="Arial" w:cs="Arial"/>
          <w:szCs w:val="20"/>
        </w:rPr>
        <w:t xml:space="preserve"> 2023/2831/EU</w:t>
      </w:r>
      <w:r>
        <w:rPr>
          <w:rFonts w:ascii="Arial" w:eastAsia="Calibri" w:hAnsi="Arial" w:cs="Arial"/>
          <w:szCs w:val="20"/>
        </w:rPr>
        <w:t xml:space="preserve">. Bistvena sprememba </w:t>
      </w:r>
      <w:r w:rsidRPr="00993B03">
        <w:rPr>
          <w:rFonts w:ascii="Arial" w:eastAsia="Calibri" w:hAnsi="Arial" w:cs="Arial"/>
          <w:szCs w:val="20"/>
        </w:rPr>
        <w:t>Uredbe 2023/2831/EU</w:t>
      </w:r>
      <w:r>
        <w:rPr>
          <w:rFonts w:ascii="Arial" w:eastAsia="Calibri" w:hAnsi="Arial" w:cs="Arial"/>
          <w:szCs w:val="20"/>
        </w:rPr>
        <w:t xml:space="preserve"> glede na </w:t>
      </w:r>
      <w:r w:rsidRPr="00993B03">
        <w:rPr>
          <w:rFonts w:ascii="Arial" w:eastAsia="Calibri" w:hAnsi="Arial" w:cs="Arial"/>
          <w:szCs w:val="20"/>
        </w:rPr>
        <w:t>Ure</w:t>
      </w:r>
      <w:r>
        <w:rPr>
          <w:rFonts w:ascii="Arial" w:eastAsia="Calibri" w:hAnsi="Arial" w:cs="Arial"/>
          <w:szCs w:val="20"/>
        </w:rPr>
        <w:t xml:space="preserve">dbo </w:t>
      </w:r>
      <w:r w:rsidRPr="00993B03">
        <w:rPr>
          <w:rFonts w:ascii="Arial" w:eastAsia="Calibri" w:hAnsi="Arial" w:cs="Arial"/>
          <w:szCs w:val="20"/>
        </w:rPr>
        <w:t>1407/2013/EU</w:t>
      </w:r>
      <w:r>
        <w:rPr>
          <w:rFonts w:ascii="Arial" w:eastAsia="Calibri" w:hAnsi="Arial" w:cs="Arial"/>
          <w:szCs w:val="20"/>
        </w:rPr>
        <w:t xml:space="preserve"> je v višini sredstev, ki jo podjetja po pravilu de minimis lahko prejmejo v treh poslovnih letih, in sicer 300.000 eurov (prej 200.000 eurov). Poleg navedenega</w:t>
      </w:r>
      <w:r w:rsidR="00C20ADA">
        <w:rPr>
          <w:rFonts w:ascii="Arial" w:eastAsia="Calibri" w:hAnsi="Arial" w:cs="Arial"/>
          <w:szCs w:val="20"/>
        </w:rPr>
        <w:t xml:space="preserve"> </w:t>
      </w:r>
      <w:r>
        <w:rPr>
          <w:rFonts w:ascii="Arial" w:eastAsia="Calibri" w:hAnsi="Arial" w:cs="Arial"/>
          <w:szCs w:val="20"/>
        </w:rPr>
        <w:t xml:space="preserve">nova </w:t>
      </w:r>
      <w:r w:rsidRPr="00D16FE9">
        <w:rPr>
          <w:rFonts w:ascii="Arial" w:eastAsia="Calibri" w:hAnsi="Arial" w:cs="Arial"/>
          <w:szCs w:val="20"/>
        </w:rPr>
        <w:t>Uredb</w:t>
      </w:r>
      <w:r>
        <w:rPr>
          <w:rFonts w:ascii="Arial" w:eastAsia="Calibri" w:hAnsi="Arial" w:cs="Arial"/>
          <w:szCs w:val="20"/>
        </w:rPr>
        <w:t>a</w:t>
      </w:r>
      <w:r w:rsidRPr="00D16FE9">
        <w:rPr>
          <w:rFonts w:ascii="Arial" w:eastAsia="Calibri" w:hAnsi="Arial" w:cs="Arial"/>
          <w:szCs w:val="20"/>
        </w:rPr>
        <w:t xml:space="preserve"> 2023/2831/EU </w:t>
      </w:r>
      <w:r>
        <w:rPr>
          <w:rFonts w:ascii="Arial" w:eastAsia="Calibri" w:hAnsi="Arial" w:cs="Arial"/>
          <w:szCs w:val="20"/>
        </w:rPr>
        <w:t>zajema tudi nekaj manjših sprememb, ki so zajete v noveli uredbe.</w:t>
      </w:r>
    </w:p>
    <w:p w14:paraId="597AE929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5B4FA6F4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  <w:r>
        <w:rPr>
          <w:rFonts w:ascii="Arial" w:eastAsia="Calibri" w:hAnsi="Arial" w:cs="Arial"/>
          <w:b/>
          <w:szCs w:val="20"/>
        </w:rPr>
        <w:t>K 1. členu</w:t>
      </w:r>
    </w:p>
    <w:p w14:paraId="19C4CF69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Cs/>
          <w:szCs w:val="20"/>
        </w:rPr>
      </w:pPr>
      <w:r w:rsidRPr="00B56D42">
        <w:rPr>
          <w:rFonts w:ascii="Arial" w:eastAsia="Calibri" w:hAnsi="Arial" w:cs="Arial"/>
          <w:bCs/>
          <w:szCs w:val="20"/>
        </w:rPr>
        <w:t xml:space="preserve">Zaradi </w:t>
      </w:r>
      <w:r>
        <w:rPr>
          <w:rFonts w:ascii="Arial" w:eastAsia="Calibri" w:hAnsi="Arial" w:cs="Arial"/>
          <w:bCs/>
          <w:szCs w:val="20"/>
        </w:rPr>
        <w:t xml:space="preserve">spremembe pravnega akta je potrebno popraviti oz. nadomestiti vse sklice vezane na Uredbo 1407/2013/EU z Uredbo 2023/2831/EU v celotnem besedilu predmetne uredbe in sicer: </w:t>
      </w:r>
    </w:p>
    <w:p w14:paraId="2E55B0C8" w14:textId="77777777" w:rsidR="00B645FF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Cs/>
          <w:szCs w:val="20"/>
        </w:rPr>
      </w:pPr>
      <w:r w:rsidRPr="00B56D42">
        <w:rPr>
          <w:rFonts w:ascii="Arial" w:eastAsia="Calibri" w:hAnsi="Arial" w:cs="Arial"/>
          <w:bCs/>
          <w:szCs w:val="20"/>
        </w:rPr>
        <w:t>2. člen (enkrat)</w:t>
      </w:r>
    </w:p>
    <w:p w14:paraId="286BC6FE" w14:textId="77777777" w:rsidR="00B645FF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Cs/>
          <w:szCs w:val="20"/>
        </w:rPr>
      </w:pPr>
      <w:r>
        <w:rPr>
          <w:rFonts w:ascii="Arial" w:eastAsia="Calibri" w:hAnsi="Arial" w:cs="Arial"/>
          <w:bCs/>
          <w:szCs w:val="20"/>
        </w:rPr>
        <w:t>5. člen (enkrat, tj. v šestem odstavku)</w:t>
      </w:r>
    </w:p>
    <w:p w14:paraId="49BDCC0C" w14:textId="77777777" w:rsidR="00B645FF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/>
          <w:szCs w:val="20"/>
        </w:rPr>
      </w:pPr>
      <w:r>
        <w:rPr>
          <w:rFonts w:ascii="Arial" w:eastAsia="Calibri" w:hAnsi="Arial" w:cs="Arial"/>
          <w:bCs/>
          <w:szCs w:val="20"/>
        </w:rPr>
        <w:t xml:space="preserve">21. člen (dvakrat, tj. v prvem in drugem odstavku). Opomba – </w:t>
      </w:r>
      <w:r w:rsidRPr="00B56D42">
        <w:rPr>
          <w:rFonts w:ascii="Arial" w:eastAsia="Calibri" w:hAnsi="Arial" w:cs="Arial"/>
          <w:b/>
          <w:szCs w:val="20"/>
        </w:rPr>
        <w:t>enotno podjetje je opredeljeno v 2. členu Uredbe 2023/2831/EU.</w:t>
      </w:r>
    </w:p>
    <w:p w14:paraId="1149D708" w14:textId="77777777" w:rsidR="00B645FF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Cs/>
          <w:szCs w:val="20"/>
        </w:rPr>
      </w:pPr>
      <w:r w:rsidRPr="001A23E5">
        <w:rPr>
          <w:rFonts w:ascii="Arial" w:eastAsia="Calibri" w:hAnsi="Arial" w:cs="Arial"/>
          <w:bCs/>
          <w:szCs w:val="20"/>
        </w:rPr>
        <w:t xml:space="preserve">29. člen </w:t>
      </w:r>
      <w:r>
        <w:rPr>
          <w:rFonts w:ascii="Arial" w:eastAsia="Calibri" w:hAnsi="Arial" w:cs="Arial"/>
          <w:bCs/>
          <w:szCs w:val="20"/>
        </w:rPr>
        <w:t>(enkrat v četrtem odstavku)</w:t>
      </w:r>
    </w:p>
    <w:p w14:paraId="58CB0C3F" w14:textId="77777777" w:rsidR="00B645FF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/>
          <w:szCs w:val="20"/>
        </w:rPr>
      </w:pPr>
      <w:r>
        <w:rPr>
          <w:rFonts w:ascii="Arial" w:eastAsia="Calibri" w:hAnsi="Arial" w:cs="Arial"/>
          <w:bCs/>
          <w:szCs w:val="20"/>
        </w:rPr>
        <w:t xml:space="preserve">30. člen (trikrat, tj. dvakrat v drugi alineji prvega odstavka in enkrat v tretji alineji prvega odstavka). Opomba – </w:t>
      </w:r>
      <w:r w:rsidRPr="004123BC">
        <w:rPr>
          <w:rFonts w:ascii="Arial" w:eastAsia="Calibri" w:hAnsi="Arial" w:cs="Arial"/>
          <w:b/>
          <w:szCs w:val="20"/>
        </w:rPr>
        <w:t>določbe glede združevanja/pripojitve ter delitve podjetij so opredeljene v 8.</w:t>
      </w:r>
      <w:r>
        <w:rPr>
          <w:rFonts w:ascii="Arial" w:eastAsia="Calibri" w:hAnsi="Arial" w:cs="Arial"/>
          <w:b/>
          <w:szCs w:val="20"/>
        </w:rPr>
        <w:t xml:space="preserve"> </w:t>
      </w:r>
      <w:r w:rsidRPr="004123BC">
        <w:rPr>
          <w:rFonts w:ascii="Arial" w:eastAsia="Calibri" w:hAnsi="Arial" w:cs="Arial"/>
          <w:b/>
          <w:szCs w:val="20"/>
        </w:rPr>
        <w:t>in 9.</w:t>
      </w:r>
      <w:r>
        <w:rPr>
          <w:rFonts w:ascii="Arial" w:eastAsia="Calibri" w:hAnsi="Arial" w:cs="Arial"/>
          <w:b/>
          <w:szCs w:val="20"/>
        </w:rPr>
        <w:t xml:space="preserve"> </w:t>
      </w:r>
      <w:r w:rsidRPr="004123BC">
        <w:rPr>
          <w:rFonts w:ascii="Arial" w:eastAsia="Calibri" w:hAnsi="Arial" w:cs="Arial"/>
          <w:b/>
          <w:szCs w:val="20"/>
        </w:rPr>
        <w:t>točki 3. člena Uredbe 2023/2831/EU.</w:t>
      </w:r>
    </w:p>
    <w:p w14:paraId="00A1AB86" w14:textId="77777777" w:rsidR="00B645FF" w:rsidRPr="00823DB9" w:rsidRDefault="00B645FF" w:rsidP="00B645FF">
      <w:pPr>
        <w:pStyle w:val="Odstavekseznama"/>
        <w:numPr>
          <w:ilvl w:val="1"/>
          <w:numId w:val="1"/>
        </w:numPr>
        <w:tabs>
          <w:tab w:val="left" w:pos="708"/>
        </w:tabs>
        <w:ind w:left="357" w:hanging="357"/>
        <w:rPr>
          <w:rFonts w:ascii="Arial" w:eastAsia="Calibri" w:hAnsi="Arial" w:cs="Arial"/>
          <w:bCs/>
          <w:szCs w:val="20"/>
        </w:rPr>
      </w:pPr>
      <w:r w:rsidRPr="00823DB9">
        <w:rPr>
          <w:rFonts w:ascii="Arial" w:eastAsia="Calibri" w:hAnsi="Arial" w:cs="Arial"/>
          <w:bCs/>
          <w:szCs w:val="20"/>
        </w:rPr>
        <w:t xml:space="preserve">31. člen </w:t>
      </w:r>
      <w:r>
        <w:rPr>
          <w:rFonts w:ascii="Arial" w:eastAsia="Calibri" w:hAnsi="Arial" w:cs="Arial"/>
          <w:bCs/>
          <w:szCs w:val="20"/>
        </w:rPr>
        <w:t>(enkrat, tj. v prvem odstavku).</w:t>
      </w:r>
    </w:p>
    <w:p w14:paraId="553DF6F7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</w:p>
    <w:p w14:paraId="45383FEB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/>
          <w:szCs w:val="20"/>
        </w:rPr>
      </w:pPr>
      <w:r w:rsidRPr="00367C0E">
        <w:rPr>
          <w:rFonts w:ascii="Arial" w:eastAsia="Calibri" w:hAnsi="Arial" w:cs="Arial"/>
          <w:b/>
          <w:szCs w:val="20"/>
        </w:rPr>
        <w:t>K 2. členu</w:t>
      </w:r>
    </w:p>
    <w:p w14:paraId="19F8E5AD" w14:textId="77777777" w:rsidR="00B645FF" w:rsidRDefault="00B645FF" w:rsidP="00B645FF">
      <w:pPr>
        <w:tabs>
          <w:tab w:val="left" w:pos="708"/>
        </w:tabs>
        <w:rPr>
          <w:rFonts w:ascii="Arial" w:eastAsia="Calibri" w:hAnsi="Arial" w:cs="Arial"/>
          <w:bCs/>
          <w:szCs w:val="20"/>
        </w:rPr>
      </w:pPr>
      <w:r w:rsidRPr="00065514">
        <w:rPr>
          <w:rFonts w:ascii="Arial" w:eastAsia="Calibri" w:hAnsi="Arial" w:cs="Arial"/>
          <w:bCs/>
          <w:szCs w:val="20"/>
        </w:rPr>
        <w:t xml:space="preserve">Navedba </w:t>
      </w:r>
      <w:r>
        <w:rPr>
          <w:rFonts w:ascii="Arial" w:eastAsia="Calibri" w:hAnsi="Arial" w:cs="Arial"/>
          <w:bCs/>
          <w:szCs w:val="20"/>
        </w:rPr>
        <w:t>Uredbe 1407/2013/EU se nadomesti z navedbo Uredbe 2023/2831/EU.</w:t>
      </w:r>
    </w:p>
    <w:p w14:paraId="7C8FE660" w14:textId="77777777" w:rsidR="00B645FF" w:rsidRPr="00506B4C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 xml:space="preserve">K </w:t>
      </w:r>
      <w:r>
        <w:rPr>
          <w:rFonts w:ascii="Arial" w:eastAsia="Calibri" w:hAnsi="Arial" w:cs="Arial"/>
          <w:b/>
          <w:bCs/>
          <w:color w:val="000000"/>
          <w:shd w:val="clear" w:color="auto" w:fill="FFFFFF"/>
        </w:rPr>
        <w:t>3</w:t>
      </w: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>. členu</w:t>
      </w:r>
    </w:p>
    <w:p w14:paraId="3785EA7C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>
        <w:rPr>
          <w:rFonts w:ascii="Arial" w:eastAsia="Calibri" w:hAnsi="Arial" w:cs="Arial"/>
          <w:color w:val="000000"/>
          <w:shd w:val="clear" w:color="auto" w:fill="FFFFFF"/>
        </w:rPr>
        <w:t xml:space="preserve">Dopolnjeni oz. spremenjeni sta določbi glede sektorja ribištva in akvakulture kot izhaja iz nove Uredbe </w:t>
      </w:r>
      <w:r w:rsidRPr="00506B4C">
        <w:rPr>
          <w:rFonts w:ascii="Arial" w:eastAsia="Calibri" w:hAnsi="Arial" w:cs="Arial"/>
          <w:color w:val="000000"/>
          <w:shd w:val="clear" w:color="auto" w:fill="FFFFFF"/>
        </w:rPr>
        <w:t>2023/2831/EU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. </w:t>
      </w:r>
    </w:p>
    <w:p w14:paraId="27816965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>
        <w:rPr>
          <w:rFonts w:ascii="Arial" w:eastAsia="Calibri" w:hAnsi="Arial" w:cs="Arial"/>
          <w:color w:val="000000"/>
          <w:shd w:val="clear" w:color="auto" w:fill="FFFFFF"/>
        </w:rPr>
        <w:t xml:space="preserve">Črtan je zadnji (četrti) odstavek, saj omejitev subvencioniranja vozil za cestni prevoz tovora po novi Uredbi </w:t>
      </w:r>
      <w:r w:rsidRPr="00506B4C">
        <w:rPr>
          <w:rFonts w:ascii="Arial" w:eastAsia="Calibri" w:hAnsi="Arial" w:cs="Arial"/>
          <w:color w:val="000000"/>
          <w:shd w:val="clear" w:color="auto" w:fill="FFFFFF"/>
        </w:rPr>
        <w:t>2023/2831/EU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 več ne velja.</w:t>
      </w:r>
    </w:p>
    <w:p w14:paraId="2AB51312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</w:p>
    <w:p w14:paraId="7FA96909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 xml:space="preserve">K </w:t>
      </w:r>
      <w:r>
        <w:rPr>
          <w:rFonts w:ascii="Arial" w:eastAsia="Calibri" w:hAnsi="Arial" w:cs="Arial"/>
          <w:b/>
          <w:bCs/>
          <w:color w:val="000000"/>
          <w:shd w:val="clear" w:color="auto" w:fill="FFFFFF"/>
        </w:rPr>
        <w:t>4</w:t>
      </w: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>. členu</w:t>
      </w:r>
    </w:p>
    <w:p w14:paraId="212F73C2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>
        <w:rPr>
          <w:rFonts w:ascii="Arial" w:eastAsia="Calibri" w:hAnsi="Arial" w:cs="Arial"/>
          <w:color w:val="000000"/>
          <w:shd w:val="clear" w:color="auto" w:fill="FFFFFF"/>
        </w:rPr>
        <w:lastRenderedPageBreak/>
        <w:t xml:space="preserve">Z </w:t>
      </w:r>
      <w:r w:rsidRPr="00034201">
        <w:rPr>
          <w:rFonts w:ascii="Arial" w:eastAsia="Calibri" w:hAnsi="Arial" w:cs="Arial"/>
          <w:color w:val="000000"/>
          <w:shd w:val="clear" w:color="auto" w:fill="FFFFFF"/>
        </w:rPr>
        <w:t>Uredb</w:t>
      </w:r>
      <w:r>
        <w:rPr>
          <w:rFonts w:ascii="Arial" w:eastAsia="Calibri" w:hAnsi="Arial" w:cs="Arial"/>
          <w:color w:val="000000"/>
          <w:shd w:val="clear" w:color="auto" w:fill="FFFFFF"/>
        </w:rPr>
        <w:t>o</w:t>
      </w:r>
      <w:r w:rsidRPr="00034201">
        <w:rPr>
          <w:rFonts w:ascii="Arial" w:eastAsia="Calibri" w:hAnsi="Arial" w:cs="Arial"/>
          <w:color w:val="000000"/>
          <w:shd w:val="clear" w:color="auto" w:fill="FFFFFF"/>
        </w:rPr>
        <w:t xml:space="preserve"> 2023/2831/EU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 se je povečala zgornja meja višine sredstev, iz 200.000,00 eurov na 300.000,00 eurov, ki jih lahko po pravilu de minimis prejme podjetje v zadnjih treh poslovnih letih. Sprememba je posledica inflacije.</w:t>
      </w:r>
    </w:p>
    <w:p w14:paraId="3478AC20" w14:textId="77777777" w:rsidR="00B645FF" w:rsidRPr="009542F3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>
        <w:rPr>
          <w:rFonts w:ascii="Arial" w:eastAsia="Calibri" w:hAnsi="Arial" w:cs="Arial"/>
          <w:color w:val="000000"/>
          <w:shd w:val="clear" w:color="auto" w:fill="FFFFFF"/>
        </w:rPr>
        <w:t xml:space="preserve">V skladu z Uredbo </w:t>
      </w:r>
      <w:r w:rsidRPr="00034201">
        <w:rPr>
          <w:rFonts w:ascii="Arial" w:eastAsia="Calibri" w:hAnsi="Arial" w:cs="Arial"/>
          <w:color w:val="000000"/>
          <w:shd w:val="clear" w:color="auto" w:fill="FFFFFF"/>
        </w:rPr>
        <w:t>2023/2831/EU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 za podjetja, ki delujejo v komercialnem cestnem tovornem prevozu ne velja več omejitev zgornje meje pomoči (100.000,00 eura) in se tako poenoti z ostalimi podjetji oz. sektorji na 300.000,00 eurov.</w:t>
      </w:r>
    </w:p>
    <w:p w14:paraId="14700884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 xml:space="preserve">K </w:t>
      </w:r>
      <w:r>
        <w:rPr>
          <w:rFonts w:ascii="Arial" w:eastAsia="Calibri" w:hAnsi="Arial" w:cs="Arial"/>
          <w:b/>
          <w:bCs/>
          <w:color w:val="000000"/>
          <w:shd w:val="clear" w:color="auto" w:fill="FFFFFF"/>
        </w:rPr>
        <w:t>5</w:t>
      </w: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>. členu</w:t>
      </w:r>
    </w:p>
    <w:p w14:paraId="29036EF8" w14:textId="77777777" w:rsidR="00B645FF" w:rsidRPr="006E5E3B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 w:rsidRPr="006E5E3B">
        <w:rPr>
          <w:rFonts w:ascii="Arial" w:eastAsia="Calibri" w:hAnsi="Arial" w:cs="Arial"/>
          <w:color w:val="000000"/>
          <w:shd w:val="clear" w:color="auto" w:fill="FFFFFF"/>
        </w:rPr>
        <w:t>Zar</w:t>
      </w:r>
      <w:r>
        <w:rPr>
          <w:rFonts w:ascii="Arial" w:eastAsia="Calibri" w:hAnsi="Arial" w:cs="Arial"/>
          <w:color w:val="000000"/>
          <w:shd w:val="clear" w:color="auto" w:fill="FFFFFF"/>
        </w:rPr>
        <w:t>a</w:t>
      </w:r>
      <w:r w:rsidRPr="006E5E3B">
        <w:rPr>
          <w:rFonts w:ascii="Arial" w:eastAsia="Calibri" w:hAnsi="Arial" w:cs="Arial"/>
          <w:color w:val="000000"/>
          <w:shd w:val="clear" w:color="auto" w:fill="FFFFFF"/>
        </w:rPr>
        <w:t xml:space="preserve">di črtanja drugega odstavka 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23. člena se izvede redakcijski popravek. </w:t>
      </w:r>
    </w:p>
    <w:p w14:paraId="03C4F0B8" w14:textId="77777777" w:rsidR="00B645FF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 xml:space="preserve">K </w:t>
      </w:r>
      <w:r>
        <w:rPr>
          <w:rFonts w:ascii="Arial" w:eastAsia="Calibri" w:hAnsi="Arial" w:cs="Arial"/>
          <w:b/>
          <w:bCs/>
          <w:color w:val="000000"/>
          <w:shd w:val="clear" w:color="auto" w:fill="FFFFFF"/>
        </w:rPr>
        <w:t>6</w:t>
      </w:r>
      <w:r w:rsidRPr="00506B4C">
        <w:rPr>
          <w:rFonts w:ascii="Arial" w:eastAsia="Calibri" w:hAnsi="Arial" w:cs="Arial"/>
          <w:b/>
          <w:bCs/>
          <w:color w:val="000000"/>
          <w:shd w:val="clear" w:color="auto" w:fill="FFFFFF"/>
        </w:rPr>
        <w:t>. členu</w:t>
      </w:r>
    </w:p>
    <w:p w14:paraId="35538767" w14:textId="77777777" w:rsidR="00B645FF" w:rsidRPr="007D0338" w:rsidRDefault="00B645FF" w:rsidP="00B645FF">
      <w:pPr>
        <w:spacing w:before="240" w:after="240" w:line="24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BA7965">
        <w:rPr>
          <w:rFonts w:ascii="Arial" w:eastAsia="Calibri" w:hAnsi="Arial" w:cs="Arial"/>
          <w:color w:val="000000"/>
          <w:shd w:val="clear" w:color="auto" w:fill="FFFFFF"/>
        </w:rPr>
        <w:t>Člen določa začetek veljavnost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i. Ker gre za spremembo vezano na usklajenost določb z </w:t>
      </w:r>
      <w:r w:rsidRPr="007D0338">
        <w:rPr>
          <w:rFonts w:ascii="Arial" w:eastAsia="Calibri" w:hAnsi="Arial" w:cs="Arial"/>
          <w:color w:val="000000"/>
          <w:shd w:val="clear" w:color="auto" w:fill="FFFFFF"/>
        </w:rPr>
        <w:t>Uredbo 2023/2831/EU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, ki je že v veljavi in se uporablja neposredno, je določen </w:t>
      </w:r>
      <w:r w:rsidRPr="007D0338">
        <w:rPr>
          <w:rFonts w:ascii="Arial" w:eastAsia="Calibri" w:hAnsi="Arial" w:cs="Arial"/>
          <w:color w:val="000000"/>
          <w:shd w:val="clear" w:color="auto" w:fill="FFFFFF"/>
        </w:rPr>
        <w:t>vacatio legis</w:t>
      </w:r>
      <w:r>
        <w:rPr>
          <w:rFonts w:ascii="Arial" w:eastAsia="Calibri" w:hAnsi="Arial" w:cs="Arial"/>
          <w:color w:val="000000"/>
          <w:shd w:val="clear" w:color="auto" w:fill="FFFFFF"/>
        </w:rPr>
        <w:t xml:space="preserve"> krajši (en dan) kot je to sicer običajno (petnajst dni). Krajši rok ne ogroža pravne varnosti. </w:t>
      </w:r>
    </w:p>
    <w:p w14:paraId="607E5BF9" w14:textId="77777777" w:rsidR="00B645FF" w:rsidRPr="009542F3" w:rsidRDefault="00B645FF" w:rsidP="00B645FF">
      <w:pPr>
        <w:rPr>
          <w:rFonts w:ascii="Calibri" w:eastAsia="Calibri" w:hAnsi="Calibri" w:cs="Times New Roman"/>
        </w:rPr>
      </w:pPr>
    </w:p>
    <w:p w14:paraId="6A9B4C53" w14:textId="77777777" w:rsidR="00B645FF" w:rsidRPr="009542F3" w:rsidRDefault="00B645FF" w:rsidP="00B645FF">
      <w:pPr>
        <w:spacing w:after="0" w:line="240" w:lineRule="auto"/>
        <w:rPr>
          <w:rFonts w:ascii="Arial" w:eastAsia="Calibri" w:hAnsi="Arial" w:cs="Arial"/>
        </w:rPr>
      </w:pPr>
    </w:p>
    <w:p w14:paraId="62CC096E" w14:textId="77777777" w:rsidR="00B645FF" w:rsidRPr="009542F3" w:rsidRDefault="00B645FF" w:rsidP="00B645FF">
      <w:pPr>
        <w:spacing w:after="0" w:line="240" w:lineRule="auto"/>
        <w:rPr>
          <w:rFonts w:ascii="Arial" w:eastAsia="Calibri" w:hAnsi="Arial" w:cs="Arial"/>
        </w:rPr>
      </w:pPr>
    </w:p>
    <w:p w14:paraId="4892B5C6" w14:textId="77777777" w:rsidR="00B645FF" w:rsidRDefault="00B645FF" w:rsidP="00B645FF"/>
    <w:p w14:paraId="3F544D96" w14:textId="77777777" w:rsidR="00B645FF" w:rsidRPr="00564C31" w:rsidRDefault="00B645FF" w:rsidP="00B645FF">
      <w:pPr>
        <w:spacing w:after="0" w:line="240" w:lineRule="auto"/>
        <w:rPr>
          <w:rFonts w:ascii="Arial" w:eastAsia="Calibri" w:hAnsi="Arial" w:cs="Arial"/>
        </w:rPr>
      </w:pPr>
    </w:p>
    <w:p w14:paraId="20315979" w14:textId="77777777" w:rsidR="00B645FF" w:rsidRPr="00564C31" w:rsidRDefault="00B645FF" w:rsidP="00B645FF">
      <w:pPr>
        <w:spacing w:after="0" w:line="240" w:lineRule="auto"/>
        <w:rPr>
          <w:rFonts w:ascii="Arial" w:eastAsia="Calibri" w:hAnsi="Arial" w:cs="Arial"/>
        </w:rPr>
      </w:pPr>
    </w:p>
    <w:p w14:paraId="2042329A" w14:textId="77777777" w:rsidR="00B645FF" w:rsidRDefault="00B645FF" w:rsidP="00B645FF"/>
    <w:p w14:paraId="045FF0F8" w14:textId="77777777" w:rsidR="00046C94" w:rsidRDefault="00046C94"/>
    <w:sectPr w:rsidR="00046C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E3C57"/>
    <w:multiLevelType w:val="hybridMultilevel"/>
    <w:tmpl w:val="D8389216"/>
    <w:lvl w:ilvl="0" w:tplc="6468664A">
      <w:start w:val="1"/>
      <w:numFmt w:val="decimal"/>
      <w:suff w:val="space"/>
      <w:lvlText w:val="%1."/>
      <w:lvlJc w:val="left"/>
      <w:pPr>
        <w:ind w:left="624" w:hanging="264"/>
      </w:pPr>
      <w:rPr>
        <w:rFonts w:hint="default"/>
        <w:spacing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C300D9"/>
    <w:multiLevelType w:val="hybridMultilevel"/>
    <w:tmpl w:val="59D8230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711463">
    <w:abstractNumId w:val="1"/>
  </w:num>
  <w:num w:numId="2" w16cid:durableId="1033459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5FF"/>
    <w:rsid w:val="00046C94"/>
    <w:rsid w:val="00B645FF"/>
    <w:rsid w:val="00C20ADA"/>
    <w:rsid w:val="00CC1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B6BA8"/>
  <w15:chartTrackingRefBased/>
  <w15:docId w15:val="{5E22C12C-BFCE-459E-8632-ABFBAF76B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645FF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645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952</Words>
  <Characters>5431</Characters>
  <Application>Microsoft Office Word</Application>
  <DocSecurity>0</DocSecurity>
  <Lines>45</Lines>
  <Paragraphs>12</Paragraphs>
  <ScaleCrop>false</ScaleCrop>
  <Company>MJU</Company>
  <LinksUpToDate>false</LinksUpToDate>
  <CharactersWithSpaces>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Lesjak</dc:creator>
  <cp:keywords/>
  <dc:description/>
  <cp:lastModifiedBy>Marija Lesjak</cp:lastModifiedBy>
  <cp:revision>5</cp:revision>
  <dcterms:created xsi:type="dcterms:W3CDTF">2024-05-30T08:26:00Z</dcterms:created>
  <dcterms:modified xsi:type="dcterms:W3CDTF">2024-05-30T08:28:00Z</dcterms:modified>
</cp:coreProperties>
</file>