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B67A2D">
      <w:pPr>
        <w:pStyle w:val="datumtevilka"/>
      </w:pPr>
      <w:r>
        <w:rPr>
          <w:rFonts w:cs="Arial"/>
          <w:color w:val="000000"/>
        </w:rPr>
        <w:t>EVA:</w:t>
      </w:r>
      <w:r>
        <w:rPr>
          <w:rFonts w:cs="Arial"/>
          <w:color w:val="000000"/>
        </w:rPr>
        <w:tab/>
      </w:r>
      <w:r w:rsidR="00835D5D">
        <w:rPr>
          <w:rFonts w:cs="Arial"/>
          <w:color w:val="000000"/>
        </w:rPr>
        <w:t>2023-1411-0003</w:t>
      </w:r>
    </w:p>
    <w:p w:rsidR="00896FBD" w:rsidRDefault="00896FBD" w:rsidP="00B67A2D">
      <w:pPr>
        <w:pStyle w:val="datumtevilka"/>
      </w:pPr>
      <w:r>
        <w:t xml:space="preserve">Številka: </w:t>
      </w:r>
      <w:r>
        <w:tab/>
      </w:r>
      <w:r w:rsidR="00835D5D">
        <w:rPr>
          <w:rFonts w:cs="Arial"/>
          <w:color w:val="000000"/>
        </w:rPr>
        <w:t>00704-50/2024/10</w:t>
      </w:r>
    </w:p>
    <w:p w:rsidR="00896FBD" w:rsidRDefault="00896FBD" w:rsidP="00B67A2D">
      <w:pPr>
        <w:pStyle w:val="datumtevilka"/>
      </w:pPr>
      <w:r>
        <w:t>Datum:</w:t>
      </w:r>
      <w:r>
        <w:tab/>
      </w:r>
      <w:r w:rsidR="00835D5D">
        <w:rPr>
          <w:rFonts w:cs="Arial"/>
          <w:color w:val="000000"/>
        </w:rPr>
        <w:t>30. 4. 2024</w:t>
      </w:r>
      <w:r>
        <w:t xml:space="preserve"> </w:t>
      </w:r>
    </w:p>
    <w:p w:rsidR="00896FBD" w:rsidRDefault="00896FBD" w:rsidP="00B67A2D"/>
    <w:p w:rsidR="00B67A2D" w:rsidRDefault="00B67A2D" w:rsidP="00B67A2D"/>
    <w:p w:rsidR="00896FBD" w:rsidRDefault="00896FBD" w:rsidP="00B67A2D">
      <w:pPr>
        <w:autoSpaceDE w:val="0"/>
        <w:autoSpaceDN w:val="0"/>
        <w:adjustRightInd w:val="0"/>
        <w:rPr>
          <w:rFonts w:cs="Arial"/>
          <w:color w:val="000000"/>
          <w:szCs w:val="20"/>
        </w:rPr>
      </w:pPr>
    </w:p>
    <w:p w:rsidR="00896FBD" w:rsidRPr="00B67A2D" w:rsidRDefault="00C40944" w:rsidP="00B67A2D">
      <w:pPr>
        <w:autoSpaceDE w:val="0"/>
        <w:autoSpaceDN w:val="0"/>
        <w:adjustRightInd w:val="0"/>
        <w:jc w:val="center"/>
        <w:rPr>
          <w:rFonts w:cs="Arial"/>
          <w:b/>
          <w:color w:val="000000"/>
          <w:szCs w:val="20"/>
        </w:rPr>
      </w:pPr>
      <w:r w:rsidRPr="00B67A2D">
        <w:rPr>
          <w:rFonts w:cs="Arial"/>
          <w:b/>
          <w:color w:val="000000"/>
          <w:szCs w:val="20"/>
        </w:rPr>
        <w:t>Predlog</w:t>
      </w:r>
      <w:r w:rsidR="00835D5D" w:rsidRPr="00B67A2D">
        <w:rPr>
          <w:rFonts w:cs="Arial"/>
          <w:b/>
          <w:color w:val="000000"/>
          <w:szCs w:val="20"/>
        </w:rPr>
        <w:t xml:space="preserve"> amandmajev k Predlogu resolucije o dolgoročni miroljubni rabi jedrske energije v Sloveniji »Jedrska energija za prihodnost Slovenije«</w:t>
      </w:r>
    </w:p>
    <w:p w:rsidR="00896FBD" w:rsidRDefault="00896FBD" w:rsidP="00B67A2D">
      <w:pPr>
        <w:autoSpaceDE w:val="0"/>
        <w:autoSpaceDN w:val="0"/>
        <w:adjustRightInd w:val="0"/>
        <w:jc w:val="both"/>
        <w:rPr>
          <w:rFonts w:cs="Arial"/>
          <w:color w:val="000000"/>
          <w:szCs w:val="20"/>
        </w:rPr>
      </w:pPr>
    </w:p>
    <w:p w:rsidR="00B67A2D" w:rsidRDefault="00B67A2D" w:rsidP="00B67A2D">
      <w:pPr>
        <w:autoSpaceDE w:val="0"/>
        <w:autoSpaceDN w:val="0"/>
        <w:adjustRightInd w:val="0"/>
        <w:rPr>
          <w:rFonts w:cs="Arial"/>
          <w:b/>
          <w:bCs/>
          <w:color w:val="000000"/>
          <w:sz w:val="24"/>
          <w:u w:val="single"/>
          <w:lang w:eastAsia="sl-SI"/>
        </w:rPr>
      </w:pPr>
    </w:p>
    <w:p w:rsidR="00B67A2D" w:rsidRDefault="00B67A2D" w:rsidP="00B67A2D">
      <w:pPr>
        <w:autoSpaceDE w:val="0"/>
        <w:autoSpaceDN w:val="0"/>
        <w:adjustRightInd w:val="0"/>
        <w:contextualSpacing/>
        <w:rPr>
          <w:rFonts w:cs="Arial"/>
          <w:b/>
          <w:bCs/>
          <w:color w:val="000000"/>
          <w:szCs w:val="20"/>
          <w:u w:val="single"/>
          <w:lang w:eastAsia="sl-SI"/>
        </w:rPr>
      </w:pPr>
      <w:r>
        <w:rPr>
          <w:rFonts w:cs="Arial"/>
          <w:b/>
          <w:bCs/>
          <w:color w:val="000000"/>
          <w:szCs w:val="20"/>
          <w:u w:val="single"/>
          <w:lang w:eastAsia="sl-SI"/>
        </w:rPr>
        <w:t>K 5. točki:</w:t>
      </w:r>
    </w:p>
    <w:p w:rsidR="00B67A2D" w:rsidRDefault="00B67A2D" w:rsidP="00B67A2D">
      <w:pPr>
        <w:autoSpaceDE w:val="0"/>
        <w:autoSpaceDN w:val="0"/>
        <w:adjustRightInd w:val="0"/>
        <w:contextualSpacing/>
        <w:jc w:val="both"/>
        <w:rPr>
          <w:rFonts w:cs="Arial"/>
          <w:color w:val="000000"/>
          <w:szCs w:val="20"/>
          <w:lang w:eastAsia="sl-SI"/>
        </w:rPr>
      </w:pPr>
      <w:r>
        <w:rPr>
          <w:rFonts w:cs="Arial"/>
          <w:color w:val="000000"/>
          <w:szCs w:val="20"/>
          <w:lang w:eastAsia="sl-SI"/>
        </w:rPr>
        <w:t>5. točka se spremeni tako, da se glasi:</w:t>
      </w:r>
    </w:p>
    <w:p w:rsidR="00B67A2D" w:rsidRDefault="00B67A2D" w:rsidP="00B67A2D">
      <w:pPr>
        <w:pStyle w:val="Odstavekseznama"/>
        <w:numPr>
          <w:ilvl w:val="0"/>
          <w:numId w:val="6"/>
        </w:numPr>
        <w:jc w:val="both"/>
        <w:rPr>
          <w:rFonts w:eastAsia="Calibri" w:cs="Arial"/>
          <w:szCs w:val="20"/>
        </w:rPr>
      </w:pPr>
      <w:r>
        <w:rPr>
          <w:rFonts w:cs="Arial"/>
          <w:szCs w:val="20"/>
          <w:lang w:eastAsia="sl-SI"/>
        </w:rPr>
        <w:t>»</w:t>
      </w:r>
      <w:r>
        <w:rPr>
          <w:rFonts w:eastAsia="Calibri" w:cs="Arial"/>
          <w:szCs w:val="20"/>
        </w:rPr>
        <w:t>Proizvodnja električne energije iz jedrske energije je na podlagi tehničnih meril za pregled s strani Evropske unije pripoznana in vključena med aktivnosti, ki jih taksonomija Evropske komisije določa kot trajnostne, ob izpolnjevanju predpisanih pogojev.</w:t>
      </w:r>
      <w:r>
        <w:rPr>
          <w:rFonts w:cs="Arial"/>
          <w:szCs w:val="20"/>
          <w:lang w:eastAsia="sl-SI"/>
        </w:rPr>
        <w:t>«</w:t>
      </w:r>
    </w:p>
    <w:p w:rsidR="00B67A2D" w:rsidRDefault="00B67A2D" w:rsidP="00B67A2D">
      <w:pPr>
        <w:autoSpaceDE w:val="0"/>
        <w:autoSpaceDN w:val="0"/>
        <w:adjustRightInd w:val="0"/>
        <w:contextualSpacing/>
        <w:rPr>
          <w:rFonts w:eastAsiaTheme="minorHAnsi" w:cs="Arial"/>
          <w:color w:val="000000"/>
          <w:szCs w:val="20"/>
          <w:lang w:eastAsia="sl-SI"/>
        </w:rPr>
      </w:pPr>
    </w:p>
    <w:p w:rsidR="00B67A2D" w:rsidRDefault="00B67A2D" w:rsidP="00B67A2D">
      <w:pPr>
        <w:autoSpaceDE w:val="0"/>
        <w:autoSpaceDN w:val="0"/>
        <w:adjustRightInd w:val="0"/>
        <w:contextualSpacing/>
        <w:rPr>
          <w:rFonts w:cs="Arial"/>
          <w:b/>
          <w:bCs/>
          <w:iCs/>
          <w:color w:val="000000"/>
          <w:szCs w:val="20"/>
          <w:lang w:eastAsia="sl-SI"/>
        </w:rPr>
      </w:pPr>
      <w:r>
        <w:rPr>
          <w:rFonts w:cs="Arial"/>
          <w:b/>
          <w:bCs/>
          <w:color w:val="000000"/>
          <w:szCs w:val="20"/>
          <w:lang w:eastAsia="sl-SI"/>
        </w:rPr>
        <w:t>Obrazložitev</w:t>
      </w:r>
      <w:r>
        <w:rPr>
          <w:rFonts w:cs="Arial"/>
          <w:b/>
          <w:bCs/>
          <w:iCs/>
          <w:color w:val="000000"/>
          <w:szCs w:val="20"/>
          <w:lang w:eastAsia="sl-SI"/>
        </w:rPr>
        <w:t>:</w:t>
      </w:r>
    </w:p>
    <w:p w:rsidR="00B67A2D" w:rsidRDefault="00B67A2D" w:rsidP="00B67A2D">
      <w:pPr>
        <w:autoSpaceDE w:val="0"/>
        <w:autoSpaceDN w:val="0"/>
        <w:adjustRightInd w:val="0"/>
        <w:contextualSpacing/>
        <w:jc w:val="both"/>
        <w:rPr>
          <w:rFonts w:cs="Arial"/>
          <w:szCs w:val="20"/>
          <w:lang w:eastAsia="sl-SI"/>
        </w:rPr>
      </w:pPr>
      <w:r>
        <w:rPr>
          <w:rFonts w:cs="Arial"/>
          <w:szCs w:val="20"/>
          <w:lang w:eastAsia="sl-SI"/>
        </w:rPr>
        <w:t>Gre za Uredbo 2020/852 Evropskega parlamenta in Sveta z dne 18. junija 2020 o vzpostavitvi okvira za spodbujanje trajnostnih naložb ter spremembi Uredbe (EU) 2019/2088 (UL L št. 198 z dne 22. 6. 2020, str. 13), za katero se uporabljajo tudi okrajšave, npr. »Uredba EU o taksonomiji«, »Taksonomija EU«, zato je primerneje, da se uporabi izraz taksonomija »taksonomija Evropske unije«. Prav tako je primerneje, da se izraz »tehnične presoje« nadomesti z izrazom »tehničnih meril za pregled«.</w:t>
      </w:r>
      <w:r>
        <w:rPr>
          <w:rFonts w:cs="Arial"/>
          <w:color w:val="000000"/>
          <w:szCs w:val="20"/>
          <w:lang w:eastAsia="sl-SI"/>
        </w:rPr>
        <w:t xml:space="preserve"> V 5. točki se tako </w:t>
      </w:r>
      <w:r>
        <w:rPr>
          <w:rFonts w:cs="Arial"/>
          <w:szCs w:val="20"/>
          <w:lang w:eastAsia="sl-SI"/>
        </w:rPr>
        <w:t>izraz »taksonomija Evropske komisije« nadomestiti z izrazom  »taksonomija Evropske unije«, izraz »tehnične presoje« pa z izrazom »tehničnih meril za pregled«.</w:t>
      </w:r>
    </w:p>
    <w:p w:rsidR="00B67A2D" w:rsidRDefault="00B67A2D" w:rsidP="00B67A2D">
      <w:pPr>
        <w:autoSpaceDE w:val="0"/>
        <w:autoSpaceDN w:val="0"/>
        <w:adjustRightInd w:val="0"/>
        <w:contextualSpacing/>
        <w:jc w:val="both"/>
        <w:rPr>
          <w:rFonts w:cs="Arial"/>
          <w:szCs w:val="20"/>
          <w:lang w:eastAsia="sl-SI"/>
        </w:rPr>
      </w:pPr>
    </w:p>
    <w:p w:rsidR="00B67A2D" w:rsidRDefault="00B67A2D" w:rsidP="00B67A2D">
      <w:pPr>
        <w:autoSpaceDE w:val="0"/>
        <w:autoSpaceDN w:val="0"/>
        <w:adjustRightInd w:val="0"/>
        <w:contextualSpacing/>
        <w:rPr>
          <w:rFonts w:cs="Arial"/>
          <w:b/>
          <w:bCs/>
          <w:color w:val="000000"/>
          <w:szCs w:val="20"/>
          <w:u w:val="single"/>
          <w:lang w:eastAsia="sl-SI"/>
        </w:rPr>
      </w:pPr>
      <w:r>
        <w:rPr>
          <w:rFonts w:cs="Arial"/>
          <w:b/>
          <w:bCs/>
          <w:color w:val="000000"/>
          <w:szCs w:val="20"/>
          <w:u w:val="single"/>
          <w:lang w:eastAsia="sl-SI"/>
        </w:rPr>
        <w:t>K 18. točki:</w:t>
      </w:r>
    </w:p>
    <w:p w:rsidR="00B67A2D" w:rsidRDefault="00B67A2D" w:rsidP="00B67A2D">
      <w:pPr>
        <w:autoSpaceDE w:val="0"/>
        <w:autoSpaceDN w:val="0"/>
        <w:adjustRightInd w:val="0"/>
        <w:contextualSpacing/>
        <w:jc w:val="both"/>
        <w:rPr>
          <w:rFonts w:cs="Arial"/>
          <w:color w:val="000000"/>
          <w:szCs w:val="20"/>
          <w:lang w:eastAsia="sl-SI"/>
        </w:rPr>
      </w:pPr>
      <w:r>
        <w:rPr>
          <w:rFonts w:cs="Arial"/>
          <w:color w:val="000000"/>
          <w:szCs w:val="20"/>
          <w:lang w:eastAsia="sl-SI"/>
        </w:rPr>
        <w:t>18. točka se spremeni tako, da se glasi:</w:t>
      </w:r>
    </w:p>
    <w:p w:rsidR="00B67A2D" w:rsidRDefault="00B67A2D" w:rsidP="00B67A2D">
      <w:pPr>
        <w:pStyle w:val="Odstavekseznama"/>
        <w:numPr>
          <w:ilvl w:val="0"/>
          <w:numId w:val="7"/>
        </w:numPr>
        <w:jc w:val="both"/>
        <w:rPr>
          <w:rFonts w:eastAsia="Calibri" w:cs="Arial"/>
          <w:szCs w:val="20"/>
        </w:rPr>
      </w:pPr>
      <w:r>
        <w:rPr>
          <w:rFonts w:cs="Arial"/>
          <w:szCs w:val="20"/>
          <w:lang w:eastAsia="sl-SI"/>
        </w:rPr>
        <w:t>»</w:t>
      </w:r>
      <w:r>
        <w:rPr>
          <w:rFonts w:eastAsia="Calibri" w:cs="Arial"/>
          <w:szCs w:val="20"/>
        </w:rPr>
        <w:t xml:space="preserve">Z izvedbo Nacionalne strategije za izstop iz premoga in prestrukturiranje premogovnih regij v skladu z načeli pravičnega prehoda, ki jo je Vlada Republike Slovenije sprejela na seji 13. januarja 2022, se najkasneje do leta 2033 </w:t>
      </w:r>
      <w:r>
        <w:rPr>
          <w:rFonts w:cs="Arial"/>
          <w:color w:val="000000"/>
          <w:szCs w:val="20"/>
        </w:rPr>
        <w:t xml:space="preserve">v primeru </w:t>
      </w:r>
      <w:proofErr w:type="spellStart"/>
      <w:r>
        <w:rPr>
          <w:rFonts w:cs="Arial"/>
          <w:color w:val="000000"/>
          <w:szCs w:val="20"/>
        </w:rPr>
        <w:t>nenadomeščanja</w:t>
      </w:r>
      <w:proofErr w:type="spellEnd"/>
      <w:r>
        <w:rPr>
          <w:rFonts w:cs="Arial"/>
          <w:color w:val="000000"/>
          <w:szCs w:val="20"/>
        </w:rPr>
        <w:t xml:space="preserve"> te proizvodnje z </w:t>
      </w:r>
      <w:proofErr w:type="spellStart"/>
      <w:r>
        <w:rPr>
          <w:rFonts w:cs="Arial"/>
          <w:color w:val="000000"/>
          <w:szCs w:val="20"/>
        </w:rPr>
        <w:t>nizkoogljičnimi</w:t>
      </w:r>
      <w:proofErr w:type="spellEnd"/>
      <w:r>
        <w:rPr>
          <w:rFonts w:cs="Arial"/>
          <w:color w:val="000000"/>
          <w:szCs w:val="20"/>
        </w:rPr>
        <w:t xml:space="preserve"> in obnovljivimi viri energije in brez pametnega upravljanja sistema</w:t>
      </w:r>
      <w:r>
        <w:rPr>
          <w:rFonts w:eastAsia="Calibri" w:cs="Arial"/>
          <w:szCs w:val="20"/>
        </w:rPr>
        <w:t xml:space="preserve"> prepoznava tveganje za visoko stopnjo odvisnosti od uvoza električne energije.</w:t>
      </w:r>
      <w:r>
        <w:rPr>
          <w:rFonts w:cs="Arial"/>
          <w:szCs w:val="20"/>
          <w:lang w:eastAsia="sl-SI"/>
        </w:rPr>
        <w:t>«</w:t>
      </w:r>
    </w:p>
    <w:p w:rsidR="00B67A2D" w:rsidRDefault="00B67A2D" w:rsidP="00B67A2D">
      <w:pPr>
        <w:autoSpaceDE w:val="0"/>
        <w:autoSpaceDN w:val="0"/>
        <w:adjustRightInd w:val="0"/>
        <w:contextualSpacing/>
        <w:rPr>
          <w:rFonts w:eastAsiaTheme="minorHAnsi" w:cs="Arial"/>
          <w:color w:val="000000"/>
          <w:szCs w:val="20"/>
          <w:highlight w:val="yellow"/>
          <w:lang w:eastAsia="sl-SI"/>
        </w:rPr>
      </w:pPr>
    </w:p>
    <w:p w:rsidR="00B67A2D" w:rsidRDefault="00B67A2D" w:rsidP="00B67A2D">
      <w:pPr>
        <w:autoSpaceDE w:val="0"/>
        <w:autoSpaceDN w:val="0"/>
        <w:adjustRightInd w:val="0"/>
        <w:contextualSpacing/>
        <w:rPr>
          <w:rFonts w:cs="Arial"/>
          <w:b/>
          <w:bCs/>
          <w:iCs/>
          <w:color w:val="000000"/>
          <w:szCs w:val="20"/>
          <w:lang w:eastAsia="sl-SI"/>
        </w:rPr>
      </w:pPr>
      <w:r>
        <w:rPr>
          <w:rFonts w:cs="Arial"/>
          <w:b/>
          <w:bCs/>
          <w:color w:val="000000"/>
          <w:szCs w:val="20"/>
          <w:lang w:eastAsia="sl-SI"/>
        </w:rPr>
        <w:t>Obrazložitev</w:t>
      </w:r>
      <w:r>
        <w:rPr>
          <w:rFonts w:cs="Arial"/>
          <w:b/>
          <w:bCs/>
          <w:iCs/>
          <w:color w:val="000000"/>
          <w:szCs w:val="20"/>
          <w:lang w:eastAsia="sl-SI"/>
        </w:rPr>
        <w:t>:</w:t>
      </w:r>
    </w:p>
    <w:p w:rsidR="00B67A2D" w:rsidRDefault="00B67A2D" w:rsidP="00B67A2D">
      <w:pPr>
        <w:autoSpaceDE w:val="0"/>
        <w:autoSpaceDN w:val="0"/>
        <w:adjustRightInd w:val="0"/>
        <w:contextualSpacing/>
        <w:jc w:val="both"/>
        <w:rPr>
          <w:rFonts w:cs="Arial"/>
          <w:color w:val="000000"/>
          <w:szCs w:val="20"/>
          <w:lang w:eastAsia="sl-SI"/>
        </w:rPr>
      </w:pPr>
      <w:r>
        <w:rPr>
          <w:rFonts w:cs="Arial"/>
          <w:color w:val="000000"/>
          <w:szCs w:val="20"/>
          <w:lang w:eastAsia="sl-SI"/>
        </w:rPr>
        <w:t xml:space="preserve">V točko se doda izraz </w:t>
      </w:r>
      <w:r>
        <w:rPr>
          <w:rFonts w:cs="Arial"/>
          <w:szCs w:val="20"/>
          <w:lang w:eastAsia="sl-SI"/>
        </w:rPr>
        <w:t>»izvedbo«</w:t>
      </w:r>
      <w:r>
        <w:rPr>
          <w:rFonts w:cs="Arial"/>
          <w:color w:val="000000"/>
          <w:szCs w:val="20"/>
          <w:lang w:eastAsia="sl-SI"/>
        </w:rPr>
        <w:t xml:space="preserve">, nato pa se ustrezno spremeni še izraz </w:t>
      </w:r>
      <w:r>
        <w:rPr>
          <w:rFonts w:cs="Arial"/>
          <w:szCs w:val="20"/>
          <w:lang w:eastAsia="sl-SI"/>
        </w:rPr>
        <w:t>»</w:t>
      </w:r>
      <w:r>
        <w:rPr>
          <w:rFonts w:cs="Arial"/>
          <w:color w:val="000000"/>
          <w:szCs w:val="20"/>
        </w:rPr>
        <w:t>Nacionalno strategijo</w:t>
      </w:r>
      <w:r>
        <w:rPr>
          <w:rFonts w:cs="Arial"/>
          <w:szCs w:val="20"/>
          <w:lang w:eastAsia="sl-SI"/>
        </w:rPr>
        <w:t>« v</w:t>
      </w:r>
      <w:r>
        <w:rPr>
          <w:rFonts w:cs="Arial"/>
          <w:color w:val="000000"/>
          <w:szCs w:val="20"/>
          <w:lang w:eastAsia="sl-SI"/>
        </w:rPr>
        <w:t xml:space="preserve"> </w:t>
      </w:r>
      <w:r>
        <w:rPr>
          <w:rFonts w:cs="Arial"/>
          <w:szCs w:val="20"/>
          <w:lang w:eastAsia="sl-SI"/>
        </w:rPr>
        <w:t>»</w:t>
      </w:r>
      <w:r>
        <w:rPr>
          <w:rFonts w:cs="Arial"/>
          <w:color w:val="000000"/>
          <w:szCs w:val="20"/>
        </w:rPr>
        <w:t>Nacionalne strategije</w:t>
      </w:r>
      <w:r>
        <w:rPr>
          <w:rFonts w:cs="Arial"/>
          <w:szCs w:val="20"/>
          <w:lang w:eastAsia="sl-SI"/>
        </w:rPr>
        <w:t>«.</w:t>
      </w:r>
      <w:r>
        <w:rPr>
          <w:rFonts w:cs="Arial"/>
          <w:color w:val="000000"/>
          <w:szCs w:val="20"/>
          <w:lang w:eastAsia="sl-SI"/>
        </w:rPr>
        <w:t xml:space="preserve"> </w:t>
      </w:r>
      <w:r>
        <w:rPr>
          <w:rFonts w:cs="Arial"/>
          <w:szCs w:val="20"/>
          <w:lang w:eastAsia="sl-SI"/>
        </w:rPr>
        <w:t>Nadalje se v točko doda še besedilo »</w:t>
      </w:r>
      <w:r>
        <w:rPr>
          <w:rFonts w:cs="Arial"/>
          <w:color w:val="000000"/>
          <w:szCs w:val="20"/>
        </w:rPr>
        <w:t xml:space="preserve">v primeru </w:t>
      </w:r>
      <w:proofErr w:type="spellStart"/>
      <w:r>
        <w:rPr>
          <w:rFonts w:cs="Arial"/>
          <w:color w:val="000000"/>
          <w:szCs w:val="20"/>
        </w:rPr>
        <w:t>nenadomeščanja</w:t>
      </w:r>
      <w:proofErr w:type="spellEnd"/>
      <w:r>
        <w:rPr>
          <w:rFonts w:cs="Arial"/>
          <w:color w:val="000000"/>
          <w:szCs w:val="20"/>
        </w:rPr>
        <w:t xml:space="preserve"> te proizvodnje z </w:t>
      </w:r>
      <w:proofErr w:type="spellStart"/>
      <w:r>
        <w:rPr>
          <w:rFonts w:cs="Arial"/>
          <w:color w:val="000000"/>
          <w:szCs w:val="20"/>
        </w:rPr>
        <w:t>nizkoogljičnimi</w:t>
      </w:r>
      <w:proofErr w:type="spellEnd"/>
      <w:r>
        <w:rPr>
          <w:rFonts w:cs="Arial"/>
          <w:color w:val="000000"/>
          <w:szCs w:val="20"/>
        </w:rPr>
        <w:t xml:space="preserve"> in obnovljivimi viri energije in brez pametnega upravljanja sistema</w:t>
      </w:r>
      <w:r>
        <w:rPr>
          <w:rFonts w:cs="Arial"/>
          <w:szCs w:val="20"/>
          <w:lang w:eastAsia="sl-SI"/>
        </w:rPr>
        <w:t xml:space="preserve">«. </w:t>
      </w:r>
      <w:r>
        <w:rPr>
          <w:rFonts w:cs="Arial"/>
          <w:color w:val="000000"/>
          <w:szCs w:val="20"/>
        </w:rPr>
        <w:t xml:space="preserve">S takšno dikcijo je jasneje zapisano, da ne gre za navedbo iz Nacionalne strategije za izstop iz premoga in prestrukturiranje premogovnih regij v skladu z načeli pravičnega prehoda. Točka s tem samo povzame vzročno-posledično dejstvo, da bo ob izstopu iz premoga in </w:t>
      </w:r>
      <w:proofErr w:type="spellStart"/>
      <w:r>
        <w:rPr>
          <w:rFonts w:cs="Arial"/>
          <w:color w:val="000000"/>
          <w:szCs w:val="20"/>
        </w:rPr>
        <w:t>nenadomeščanju</w:t>
      </w:r>
      <w:proofErr w:type="spellEnd"/>
      <w:r>
        <w:rPr>
          <w:rFonts w:cs="Arial"/>
          <w:color w:val="000000"/>
          <w:szCs w:val="20"/>
        </w:rPr>
        <w:t xml:space="preserve"> te proizvodnje nastalo tveganje za visoko stopnjo odvisnosti od uvoza električne energije. </w:t>
      </w:r>
    </w:p>
    <w:p w:rsidR="00B67A2D" w:rsidRDefault="00B67A2D" w:rsidP="00B67A2D">
      <w:pPr>
        <w:autoSpaceDE w:val="0"/>
        <w:autoSpaceDN w:val="0"/>
        <w:adjustRightInd w:val="0"/>
        <w:contextualSpacing/>
        <w:rPr>
          <w:rFonts w:cs="Arial"/>
          <w:b/>
          <w:bCs/>
          <w:color w:val="000000"/>
          <w:szCs w:val="20"/>
          <w:u w:val="single"/>
          <w:lang w:eastAsia="sl-SI"/>
        </w:rPr>
      </w:pPr>
    </w:p>
    <w:p w:rsidR="00B67A2D" w:rsidRDefault="00B67A2D" w:rsidP="00B67A2D">
      <w:pPr>
        <w:autoSpaceDE w:val="0"/>
        <w:autoSpaceDN w:val="0"/>
        <w:adjustRightInd w:val="0"/>
        <w:contextualSpacing/>
        <w:rPr>
          <w:rFonts w:cs="Arial"/>
          <w:b/>
          <w:bCs/>
          <w:color w:val="000000"/>
          <w:szCs w:val="20"/>
          <w:u w:val="single"/>
          <w:lang w:eastAsia="sl-SI"/>
        </w:rPr>
      </w:pPr>
    </w:p>
    <w:p w:rsidR="00B67A2D" w:rsidRDefault="00B67A2D" w:rsidP="00B67A2D">
      <w:pPr>
        <w:autoSpaceDE w:val="0"/>
        <w:autoSpaceDN w:val="0"/>
        <w:adjustRightInd w:val="0"/>
        <w:contextualSpacing/>
        <w:rPr>
          <w:rFonts w:cs="Arial"/>
          <w:b/>
          <w:bCs/>
          <w:color w:val="000000"/>
          <w:szCs w:val="20"/>
          <w:u w:val="single"/>
          <w:lang w:eastAsia="sl-SI"/>
        </w:rPr>
      </w:pPr>
      <w:r>
        <w:rPr>
          <w:rFonts w:cs="Arial"/>
          <w:b/>
          <w:bCs/>
          <w:color w:val="000000"/>
          <w:szCs w:val="20"/>
          <w:u w:val="single"/>
          <w:lang w:eastAsia="sl-SI"/>
        </w:rPr>
        <w:t>K 25. točki:</w:t>
      </w:r>
    </w:p>
    <w:p w:rsidR="00B67A2D" w:rsidRDefault="00B67A2D" w:rsidP="00B67A2D">
      <w:pPr>
        <w:autoSpaceDE w:val="0"/>
        <w:autoSpaceDN w:val="0"/>
        <w:adjustRightInd w:val="0"/>
        <w:contextualSpacing/>
        <w:rPr>
          <w:rFonts w:cs="Arial"/>
          <w:bCs/>
          <w:color w:val="000000"/>
          <w:szCs w:val="20"/>
          <w:lang w:eastAsia="sl-SI"/>
        </w:rPr>
      </w:pPr>
      <w:r>
        <w:rPr>
          <w:rFonts w:cs="Arial"/>
          <w:bCs/>
          <w:color w:val="000000"/>
          <w:szCs w:val="20"/>
          <w:lang w:eastAsia="sl-SI"/>
        </w:rPr>
        <w:t>25. točka se spremeni tako, da se glasi:</w:t>
      </w:r>
    </w:p>
    <w:p w:rsidR="00B67A2D" w:rsidRDefault="00B67A2D" w:rsidP="00B67A2D">
      <w:pPr>
        <w:pStyle w:val="Odstavekseznama"/>
        <w:numPr>
          <w:ilvl w:val="0"/>
          <w:numId w:val="8"/>
        </w:numPr>
        <w:jc w:val="both"/>
        <w:rPr>
          <w:rFonts w:cs="Arial"/>
          <w:szCs w:val="20"/>
        </w:rPr>
      </w:pPr>
      <w:r>
        <w:rPr>
          <w:rFonts w:cs="Arial"/>
          <w:szCs w:val="20"/>
          <w:lang w:eastAsia="sl-SI"/>
        </w:rPr>
        <w:t>»</w:t>
      </w:r>
      <w:r>
        <w:rPr>
          <w:rFonts w:cs="Arial"/>
          <w:szCs w:val="20"/>
        </w:rPr>
        <w:t xml:space="preserve">Skladno z izvajanjem Resolucije o nacionalnem programu ravnanja z radioaktivnimi odpadki in izrabljenim gorivom za obdobje 2023-2032 naj se zagotovi ustrezno zbiranje </w:t>
      </w:r>
      <w:r>
        <w:rPr>
          <w:rFonts w:cs="Arial"/>
          <w:szCs w:val="20"/>
        </w:rPr>
        <w:lastRenderedPageBreak/>
        <w:t>finančnih sredstev skladno s programom razgradnje in odlaganja nizko in srednje radioaktivnih odpadkov ter izrabljenega goriva.</w:t>
      </w:r>
      <w:r>
        <w:rPr>
          <w:rFonts w:cs="Arial"/>
          <w:szCs w:val="20"/>
          <w:lang w:eastAsia="sl-SI"/>
        </w:rPr>
        <w:t>«</w:t>
      </w:r>
    </w:p>
    <w:p w:rsidR="00B67A2D" w:rsidRDefault="00B67A2D" w:rsidP="00B67A2D">
      <w:pPr>
        <w:autoSpaceDE w:val="0"/>
        <w:autoSpaceDN w:val="0"/>
        <w:adjustRightInd w:val="0"/>
        <w:contextualSpacing/>
        <w:rPr>
          <w:rFonts w:cs="Arial"/>
          <w:b/>
          <w:bCs/>
          <w:color w:val="000000"/>
          <w:szCs w:val="20"/>
          <w:u w:val="single"/>
          <w:lang w:eastAsia="sl-SI"/>
        </w:rPr>
      </w:pPr>
    </w:p>
    <w:p w:rsidR="00B67A2D" w:rsidRDefault="00B67A2D" w:rsidP="00B67A2D">
      <w:pPr>
        <w:autoSpaceDE w:val="0"/>
        <w:autoSpaceDN w:val="0"/>
        <w:adjustRightInd w:val="0"/>
        <w:contextualSpacing/>
        <w:jc w:val="both"/>
        <w:rPr>
          <w:rFonts w:cs="Arial"/>
          <w:b/>
          <w:bCs/>
          <w:iCs/>
          <w:color w:val="000000"/>
          <w:szCs w:val="20"/>
          <w:lang w:eastAsia="sl-SI"/>
        </w:rPr>
      </w:pPr>
      <w:r>
        <w:rPr>
          <w:rFonts w:cs="Arial"/>
          <w:b/>
          <w:bCs/>
          <w:color w:val="000000"/>
          <w:szCs w:val="20"/>
          <w:lang w:eastAsia="sl-SI"/>
        </w:rPr>
        <w:t>Obrazložitev</w:t>
      </w:r>
      <w:r>
        <w:rPr>
          <w:rFonts w:cs="Arial"/>
          <w:b/>
          <w:bCs/>
          <w:iCs/>
          <w:color w:val="000000"/>
          <w:szCs w:val="20"/>
          <w:lang w:eastAsia="sl-SI"/>
        </w:rPr>
        <w:t>:</w:t>
      </w:r>
    </w:p>
    <w:p w:rsidR="00B67A2D" w:rsidRDefault="00B67A2D" w:rsidP="00B67A2D">
      <w:pPr>
        <w:autoSpaceDE w:val="0"/>
        <w:autoSpaceDN w:val="0"/>
        <w:adjustRightInd w:val="0"/>
        <w:contextualSpacing/>
        <w:jc w:val="both"/>
        <w:rPr>
          <w:rFonts w:cs="Arial"/>
          <w:color w:val="000000"/>
          <w:szCs w:val="20"/>
          <w:lang w:eastAsia="sl-SI"/>
        </w:rPr>
      </w:pPr>
      <w:r>
        <w:rPr>
          <w:rFonts w:cs="Arial"/>
          <w:szCs w:val="20"/>
          <w:lang w:eastAsia="sl-SI"/>
        </w:rPr>
        <w:t>V 25. točki ni navedeno celotno besedilo naslova resolucije, manjka »za obdobje 2023-2032«</w:t>
      </w:r>
      <w:r>
        <w:rPr>
          <w:rFonts w:cs="Arial"/>
          <w:color w:val="000000"/>
          <w:szCs w:val="20"/>
          <w:lang w:eastAsia="sl-SI"/>
        </w:rPr>
        <w:t xml:space="preserve">, zato je to potrebno dodati. Besedilo </w:t>
      </w:r>
      <w:r>
        <w:rPr>
          <w:rFonts w:cs="Arial"/>
          <w:szCs w:val="20"/>
          <w:lang w:eastAsia="sl-SI"/>
        </w:rPr>
        <w:t>»Resolucija o nacionalnem programu ravnanja z radioaktivnimi odpadki in izrabljenim gorivom«</w:t>
      </w:r>
      <w:r>
        <w:rPr>
          <w:rFonts w:cs="Arial"/>
          <w:color w:val="000000"/>
          <w:szCs w:val="20"/>
          <w:lang w:eastAsia="sl-SI"/>
        </w:rPr>
        <w:t xml:space="preserve"> se nadomesti z besedilom </w:t>
      </w:r>
      <w:r>
        <w:rPr>
          <w:rFonts w:cs="Arial"/>
          <w:szCs w:val="20"/>
          <w:lang w:eastAsia="sl-SI"/>
        </w:rPr>
        <w:t>»Resolucija o nacionalnem programu ravnanja z radioaktivnimi odpadki in izrabljenim gorivom za obdobje 2023-2032«</w:t>
      </w:r>
      <w:r>
        <w:rPr>
          <w:rFonts w:cs="Arial"/>
          <w:color w:val="000000"/>
          <w:szCs w:val="20"/>
          <w:lang w:eastAsia="sl-SI"/>
        </w:rPr>
        <w:t>.</w:t>
      </w:r>
    </w:p>
    <w:p w:rsidR="00B67A2D" w:rsidRDefault="00B67A2D" w:rsidP="00B67A2D">
      <w:pPr>
        <w:autoSpaceDE w:val="0"/>
        <w:autoSpaceDN w:val="0"/>
        <w:adjustRightInd w:val="0"/>
        <w:contextualSpacing/>
        <w:rPr>
          <w:rFonts w:cs="Arial"/>
          <w:szCs w:val="20"/>
          <w:lang w:eastAsia="sl-SI"/>
        </w:rPr>
      </w:pPr>
      <w:bookmarkStart w:id="0" w:name="_GoBack"/>
      <w:bookmarkEnd w:id="0"/>
    </w:p>
    <w:p w:rsidR="00B67A2D" w:rsidRDefault="00B67A2D" w:rsidP="00B67A2D">
      <w:pPr>
        <w:autoSpaceDE w:val="0"/>
        <w:autoSpaceDN w:val="0"/>
        <w:adjustRightInd w:val="0"/>
        <w:contextualSpacing/>
        <w:rPr>
          <w:rFonts w:cs="Arial"/>
          <w:szCs w:val="20"/>
          <w:lang w:eastAsia="sl-SI"/>
        </w:rPr>
      </w:pPr>
    </w:p>
    <w:p w:rsidR="00B67A2D" w:rsidRDefault="00B67A2D" w:rsidP="00B67A2D">
      <w:pPr>
        <w:autoSpaceDE w:val="0"/>
        <w:autoSpaceDN w:val="0"/>
        <w:adjustRightInd w:val="0"/>
        <w:contextualSpacing/>
        <w:rPr>
          <w:rFonts w:cs="Arial"/>
          <w:b/>
          <w:bCs/>
          <w:color w:val="000000"/>
          <w:szCs w:val="20"/>
          <w:u w:val="single"/>
          <w:lang w:eastAsia="sl-SI"/>
        </w:rPr>
      </w:pPr>
      <w:r>
        <w:rPr>
          <w:rFonts w:cs="Arial"/>
          <w:b/>
          <w:bCs/>
          <w:color w:val="000000"/>
          <w:szCs w:val="20"/>
          <w:u w:val="single"/>
          <w:lang w:eastAsia="sl-SI"/>
        </w:rPr>
        <w:t>K 28. točki:</w:t>
      </w:r>
    </w:p>
    <w:p w:rsidR="00B67A2D" w:rsidRDefault="00B67A2D" w:rsidP="00B67A2D">
      <w:pPr>
        <w:autoSpaceDE w:val="0"/>
        <w:autoSpaceDN w:val="0"/>
        <w:adjustRightInd w:val="0"/>
        <w:contextualSpacing/>
        <w:rPr>
          <w:rFonts w:cs="Arial"/>
          <w:bCs/>
          <w:color w:val="000000"/>
          <w:szCs w:val="20"/>
          <w:lang w:eastAsia="sl-SI"/>
        </w:rPr>
      </w:pPr>
      <w:r>
        <w:rPr>
          <w:rFonts w:cs="Arial"/>
          <w:bCs/>
          <w:color w:val="000000"/>
          <w:szCs w:val="20"/>
          <w:lang w:eastAsia="sl-SI"/>
        </w:rPr>
        <w:t>28. točka se spremeni tako, da se glasi:</w:t>
      </w:r>
    </w:p>
    <w:p w:rsidR="00B67A2D" w:rsidRDefault="00B67A2D" w:rsidP="00B67A2D">
      <w:pPr>
        <w:pStyle w:val="Odstavekseznama"/>
        <w:numPr>
          <w:ilvl w:val="0"/>
          <w:numId w:val="9"/>
        </w:numPr>
        <w:jc w:val="both"/>
        <w:rPr>
          <w:rFonts w:eastAsia="Calibri" w:cs="Arial"/>
          <w:szCs w:val="20"/>
        </w:rPr>
      </w:pPr>
      <w:r>
        <w:rPr>
          <w:rFonts w:cs="Arial"/>
          <w:szCs w:val="20"/>
          <w:lang w:eastAsia="sl-SI"/>
        </w:rPr>
        <w:t>»</w:t>
      </w:r>
      <w:r>
        <w:rPr>
          <w:rFonts w:eastAsia="Calibri" w:cs="Arial"/>
          <w:szCs w:val="20"/>
        </w:rPr>
        <w:t>Poudari naj se pomen raziskav in razvoja na področju jedrske energije, vključno z možnostjo uporabe naprednih, malih modularnih in raziskovalnih reaktorjev, jedrske varnosti, ravnanja z radioaktivnimi odpadki in izrabljenim gorivom ter zagotavljanja sredstev v raziskovalne in razvojne programe, potrebne za izvajanje raziskav, razvijanje znanja in kompetentnosti domačih raziskovalnih inštitucij.</w:t>
      </w:r>
      <w:r>
        <w:rPr>
          <w:rFonts w:cs="Arial"/>
          <w:szCs w:val="20"/>
          <w:lang w:eastAsia="sl-SI"/>
        </w:rPr>
        <w:t>«</w:t>
      </w:r>
    </w:p>
    <w:p w:rsidR="00B67A2D" w:rsidRDefault="00B67A2D" w:rsidP="00B67A2D">
      <w:pPr>
        <w:autoSpaceDE w:val="0"/>
        <w:autoSpaceDN w:val="0"/>
        <w:adjustRightInd w:val="0"/>
        <w:contextualSpacing/>
        <w:jc w:val="both"/>
        <w:rPr>
          <w:rFonts w:eastAsiaTheme="minorHAnsi" w:cs="Arial"/>
          <w:b/>
          <w:bCs/>
          <w:color w:val="000000"/>
          <w:szCs w:val="20"/>
          <w:lang w:eastAsia="sl-SI"/>
        </w:rPr>
      </w:pPr>
    </w:p>
    <w:p w:rsidR="00B67A2D" w:rsidRDefault="00B67A2D" w:rsidP="00B67A2D">
      <w:pPr>
        <w:autoSpaceDE w:val="0"/>
        <w:autoSpaceDN w:val="0"/>
        <w:adjustRightInd w:val="0"/>
        <w:contextualSpacing/>
        <w:jc w:val="both"/>
        <w:rPr>
          <w:rFonts w:cs="Arial"/>
          <w:b/>
          <w:bCs/>
          <w:iCs/>
          <w:color w:val="000000"/>
          <w:szCs w:val="20"/>
          <w:lang w:eastAsia="sl-SI"/>
        </w:rPr>
      </w:pPr>
      <w:r>
        <w:rPr>
          <w:rFonts w:cs="Arial"/>
          <w:b/>
          <w:bCs/>
          <w:color w:val="000000"/>
          <w:szCs w:val="20"/>
          <w:lang w:eastAsia="sl-SI"/>
        </w:rPr>
        <w:t>Obrazložitev</w:t>
      </w:r>
      <w:r>
        <w:rPr>
          <w:rFonts w:cs="Arial"/>
          <w:b/>
          <w:bCs/>
          <w:iCs/>
          <w:color w:val="000000"/>
          <w:szCs w:val="20"/>
          <w:lang w:eastAsia="sl-SI"/>
        </w:rPr>
        <w:t>:</w:t>
      </w:r>
    </w:p>
    <w:p w:rsidR="00B67A2D" w:rsidRDefault="00B67A2D" w:rsidP="00B67A2D">
      <w:pPr>
        <w:autoSpaceDE w:val="0"/>
        <w:autoSpaceDN w:val="0"/>
        <w:adjustRightInd w:val="0"/>
        <w:contextualSpacing/>
        <w:jc w:val="both"/>
        <w:rPr>
          <w:rFonts w:cs="Arial"/>
          <w:color w:val="000000"/>
          <w:szCs w:val="20"/>
          <w:lang w:eastAsia="sl-SI"/>
        </w:rPr>
      </w:pPr>
      <w:r>
        <w:rPr>
          <w:rFonts w:cs="Arial"/>
          <w:szCs w:val="20"/>
          <w:lang w:eastAsia="sl-SI"/>
        </w:rPr>
        <w:t>V besedilu Predloga resolucije se neenotno uporabljajo izrazi »radioaktivni odpadki« in »jedrski odpadki« ter »izrabljeno gorivo« in »izrabljeno jedrsko gorivo«, zato je izraze potrebno poenotiti. Prav tako je bil uporabljen napačni sklon v besedilu »izrabljenega jedrskega goriva«, saj se to besedilo nanaša na ravnanje z izrabljenim (jedrskim) gorivom in ga je potrebno ustrezno popraviti.</w:t>
      </w:r>
      <w:r>
        <w:rPr>
          <w:rFonts w:cs="Arial"/>
          <w:color w:val="000000"/>
          <w:szCs w:val="20"/>
          <w:lang w:eastAsia="sl-SI"/>
        </w:rPr>
        <w:t xml:space="preserve"> Na podlagi tega se v 28. točki</w:t>
      </w:r>
      <w:r>
        <w:rPr>
          <w:rFonts w:cs="Arial"/>
          <w:szCs w:val="20"/>
          <w:lang w:eastAsia="sl-SI"/>
        </w:rPr>
        <w:t xml:space="preserve"> izraz »jedrskimi odpadki« spremeni v izraz »radioaktivnimi odpadki«,</w:t>
      </w:r>
      <w:r>
        <w:rPr>
          <w:rFonts w:cs="Arial"/>
          <w:color w:val="000000"/>
          <w:szCs w:val="20"/>
          <w:lang w:eastAsia="sl-SI"/>
        </w:rPr>
        <w:t xml:space="preserve"> izraz </w:t>
      </w:r>
      <w:r>
        <w:rPr>
          <w:rFonts w:cs="Arial"/>
          <w:szCs w:val="20"/>
          <w:lang w:eastAsia="sl-SI"/>
        </w:rPr>
        <w:t>»izrabljenega jedrskega goriva« pa se spremeni v izraz »izrabljenim gorivom«.</w:t>
      </w:r>
    </w:p>
    <w:p w:rsidR="00B67A2D" w:rsidRDefault="00B67A2D" w:rsidP="00B67A2D">
      <w:pPr>
        <w:autoSpaceDE w:val="0"/>
        <w:autoSpaceDN w:val="0"/>
        <w:adjustRightInd w:val="0"/>
        <w:contextualSpacing/>
        <w:jc w:val="both"/>
        <w:rPr>
          <w:rFonts w:cs="Arial"/>
          <w:szCs w:val="20"/>
          <w:lang w:eastAsia="sl-SI"/>
        </w:rPr>
      </w:pPr>
    </w:p>
    <w:p w:rsidR="00B67A2D" w:rsidRDefault="00B67A2D" w:rsidP="00B67A2D">
      <w:pPr>
        <w:autoSpaceDE w:val="0"/>
        <w:autoSpaceDN w:val="0"/>
        <w:adjustRightInd w:val="0"/>
        <w:contextualSpacing/>
        <w:jc w:val="both"/>
        <w:rPr>
          <w:rFonts w:cs="Arial"/>
          <w:szCs w:val="20"/>
          <w:lang w:eastAsia="sl-SI"/>
        </w:rPr>
      </w:pPr>
    </w:p>
    <w:p w:rsidR="00B67A2D" w:rsidRDefault="00B67A2D" w:rsidP="00B67A2D">
      <w:pPr>
        <w:autoSpaceDE w:val="0"/>
        <w:autoSpaceDN w:val="0"/>
        <w:adjustRightInd w:val="0"/>
        <w:contextualSpacing/>
        <w:rPr>
          <w:rFonts w:cs="Arial"/>
          <w:b/>
          <w:bCs/>
          <w:color w:val="000000"/>
          <w:szCs w:val="20"/>
          <w:u w:val="single"/>
          <w:lang w:eastAsia="sl-SI"/>
        </w:rPr>
      </w:pPr>
      <w:r>
        <w:rPr>
          <w:rFonts w:cs="Arial"/>
          <w:b/>
          <w:bCs/>
          <w:color w:val="000000"/>
          <w:szCs w:val="20"/>
          <w:u w:val="single"/>
          <w:lang w:eastAsia="sl-SI"/>
        </w:rPr>
        <w:t>K 35. točki:</w:t>
      </w:r>
    </w:p>
    <w:p w:rsidR="00B67A2D" w:rsidRDefault="00B67A2D" w:rsidP="00B67A2D">
      <w:pPr>
        <w:autoSpaceDE w:val="0"/>
        <w:autoSpaceDN w:val="0"/>
        <w:adjustRightInd w:val="0"/>
        <w:contextualSpacing/>
        <w:rPr>
          <w:rFonts w:cs="Arial"/>
          <w:bCs/>
          <w:color w:val="000000"/>
          <w:szCs w:val="20"/>
          <w:lang w:eastAsia="sl-SI"/>
        </w:rPr>
      </w:pPr>
      <w:r>
        <w:rPr>
          <w:rFonts w:cs="Arial"/>
          <w:bCs/>
          <w:color w:val="000000"/>
          <w:szCs w:val="20"/>
          <w:lang w:eastAsia="sl-SI"/>
        </w:rPr>
        <w:t>35. točka se spremeni tako, da se glasi:</w:t>
      </w:r>
    </w:p>
    <w:p w:rsidR="00B67A2D" w:rsidRDefault="00B67A2D" w:rsidP="00B67A2D">
      <w:pPr>
        <w:pStyle w:val="Odstavekseznama"/>
        <w:numPr>
          <w:ilvl w:val="0"/>
          <w:numId w:val="10"/>
        </w:numPr>
        <w:jc w:val="both"/>
        <w:rPr>
          <w:rFonts w:eastAsia="Calibri" w:cs="Arial"/>
          <w:szCs w:val="20"/>
        </w:rPr>
      </w:pPr>
      <w:r>
        <w:rPr>
          <w:rFonts w:cs="Arial"/>
          <w:szCs w:val="20"/>
          <w:lang w:eastAsia="sl-SI"/>
        </w:rPr>
        <w:t>»</w:t>
      </w:r>
      <w:r>
        <w:rPr>
          <w:rFonts w:eastAsia="Calibri" w:cs="Arial"/>
          <w:szCs w:val="20"/>
        </w:rPr>
        <w:t>Pristojne institucije naj vzporedno z načrtovanjem investicij v jedrske naprave načrtujejo tudi morebitne potrebne spremembe zakonodaje in ostalih relevantnih aktov na področju ravnanja z radioaktivnimi odpadki in izrabljenim gorivom, ki bo sledila potrebam novih tehnologij ter razširitvam obstoječih ali izgradnji novih objektov ter ostale potrebne vsebine za pravočasno in varno skladiščenje in odlaganje radioaktivnih odpadkov in izrabljenega goriva.</w:t>
      </w:r>
      <w:r>
        <w:rPr>
          <w:rFonts w:cs="Arial"/>
          <w:szCs w:val="20"/>
          <w:lang w:eastAsia="sl-SI"/>
        </w:rPr>
        <w:t>«</w:t>
      </w:r>
    </w:p>
    <w:p w:rsidR="00B67A2D" w:rsidRDefault="00B67A2D" w:rsidP="00B67A2D">
      <w:pPr>
        <w:autoSpaceDE w:val="0"/>
        <w:autoSpaceDN w:val="0"/>
        <w:adjustRightInd w:val="0"/>
        <w:contextualSpacing/>
        <w:rPr>
          <w:rFonts w:eastAsiaTheme="minorHAnsi" w:cs="Arial"/>
          <w:b/>
          <w:bCs/>
          <w:color w:val="000000"/>
          <w:szCs w:val="20"/>
          <w:lang w:eastAsia="sl-SI"/>
        </w:rPr>
      </w:pPr>
    </w:p>
    <w:p w:rsidR="00B67A2D" w:rsidRDefault="00B67A2D" w:rsidP="00B67A2D">
      <w:pPr>
        <w:autoSpaceDE w:val="0"/>
        <w:autoSpaceDN w:val="0"/>
        <w:adjustRightInd w:val="0"/>
        <w:contextualSpacing/>
        <w:rPr>
          <w:rFonts w:cs="Arial"/>
          <w:b/>
          <w:bCs/>
          <w:i/>
          <w:iCs/>
          <w:color w:val="000000"/>
          <w:szCs w:val="20"/>
          <w:lang w:eastAsia="sl-SI"/>
        </w:rPr>
      </w:pPr>
      <w:r>
        <w:rPr>
          <w:rFonts w:cs="Arial"/>
          <w:b/>
          <w:bCs/>
          <w:color w:val="000000"/>
          <w:szCs w:val="20"/>
          <w:lang w:eastAsia="sl-SI"/>
        </w:rPr>
        <w:t>Obrazložitev</w:t>
      </w:r>
      <w:r>
        <w:rPr>
          <w:rFonts w:cs="Arial"/>
          <w:b/>
          <w:bCs/>
          <w:i/>
          <w:iCs/>
          <w:color w:val="000000"/>
          <w:szCs w:val="20"/>
          <w:lang w:eastAsia="sl-SI"/>
        </w:rPr>
        <w:t>:</w:t>
      </w:r>
    </w:p>
    <w:p w:rsidR="00B67A2D" w:rsidRDefault="00B67A2D" w:rsidP="00B67A2D">
      <w:pPr>
        <w:autoSpaceDE w:val="0"/>
        <w:autoSpaceDN w:val="0"/>
        <w:adjustRightInd w:val="0"/>
        <w:contextualSpacing/>
        <w:jc w:val="both"/>
        <w:rPr>
          <w:rFonts w:cs="Arial"/>
          <w:color w:val="000000"/>
          <w:szCs w:val="20"/>
          <w:lang w:eastAsia="sl-SI"/>
        </w:rPr>
      </w:pPr>
      <w:r>
        <w:rPr>
          <w:rFonts w:cs="Arial"/>
          <w:szCs w:val="20"/>
          <w:lang w:eastAsia="sl-SI"/>
        </w:rPr>
        <w:t xml:space="preserve">V besedilu Predloga resolucije se neenotno uporablja izraz »izrabljeno gorivo« in »izrabljeno jedrsko gorivo«, zato je izraze potrebno poenotiti. </w:t>
      </w:r>
      <w:r>
        <w:rPr>
          <w:rFonts w:cs="Arial"/>
          <w:color w:val="000000"/>
          <w:szCs w:val="20"/>
          <w:lang w:eastAsia="sl-SI"/>
        </w:rPr>
        <w:t>Na podlagi tega se v 35. točki</w:t>
      </w:r>
      <w:r>
        <w:rPr>
          <w:rFonts w:cs="Arial"/>
          <w:szCs w:val="20"/>
          <w:lang w:eastAsia="sl-SI"/>
        </w:rPr>
        <w:t xml:space="preserve"> izraz</w:t>
      </w:r>
      <w:r>
        <w:rPr>
          <w:rFonts w:cs="Arial"/>
          <w:color w:val="000000"/>
          <w:szCs w:val="20"/>
          <w:lang w:eastAsia="sl-SI"/>
        </w:rPr>
        <w:t xml:space="preserve"> </w:t>
      </w:r>
      <w:r>
        <w:rPr>
          <w:rFonts w:cs="Arial"/>
          <w:szCs w:val="20"/>
          <w:lang w:eastAsia="sl-SI"/>
        </w:rPr>
        <w:t>»izrabljenim jedrskim gorivom« spremeni v izraz »izrabljenim gorivom«, izraz »izrabljenega jedrskega goriva« pa v izraz »izrabljenega goriva«.</w:t>
      </w:r>
    </w:p>
    <w:p w:rsidR="00B67A2D" w:rsidRDefault="00B67A2D" w:rsidP="00B67A2D">
      <w:pPr>
        <w:autoSpaceDE w:val="0"/>
        <w:autoSpaceDN w:val="0"/>
        <w:adjustRightInd w:val="0"/>
        <w:contextualSpacing/>
        <w:jc w:val="both"/>
        <w:rPr>
          <w:rFonts w:asciiTheme="minorHAnsi" w:hAnsiTheme="minorHAnsi" w:cs="Arial"/>
          <w:i/>
          <w:sz w:val="24"/>
          <w:lang w:eastAsia="sl-SI"/>
        </w:rPr>
      </w:pPr>
    </w:p>
    <w:p w:rsidR="00B67A2D" w:rsidRDefault="00B67A2D" w:rsidP="00B67A2D">
      <w:pPr>
        <w:contextualSpacing/>
        <w:jc w:val="both"/>
        <w:rPr>
          <w:rFonts w:eastAsia="Calibri" w:cs="Arial"/>
          <w:szCs w:val="20"/>
        </w:rPr>
      </w:pPr>
    </w:p>
    <w:p w:rsidR="00782FD4" w:rsidRPr="00EC13B0" w:rsidRDefault="00782FD4" w:rsidP="00B67A2D">
      <w:pPr>
        <w:autoSpaceDE w:val="0"/>
        <w:autoSpaceDN w:val="0"/>
        <w:adjustRightInd w:val="0"/>
        <w:jc w:val="both"/>
      </w:pPr>
    </w:p>
    <w:sectPr w:rsidR="00782FD4" w:rsidRPr="00EC13B0"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F559D" w:rsidRDefault="009F559D" w:rsidP="00767987">
      <w:pPr>
        <w:spacing w:line="240" w:lineRule="auto"/>
      </w:pPr>
      <w:r>
        <w:separator/>
      </w:r>
    </w:p>
  </w:endnote>
  <w:endnote w:type="continuationSeparator" w:id="0">
    <w:p w:rsidR="009F559D" w:rsidRDefault="009F559D"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93076" w:rsidRDefault="00793076">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93076" w:rsidRDefault="00793076">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93076" w:rsidRDefault="00793076">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F559D" w:rsidRDefault="009F559D" w:rsidP="00767987">
      <w:pPr>
        <w:spacing w:line="240" w:lineRule="auto"/>
      </w:pPr>
      <w:r>
        <w:separator/>
      </w:r>
    </w:p>
  </w:footnote>
  <w:footnote w:type="continuationSeparator" w:id="0">
    <w:p w:rsidR="009F559D" w:rsidRDefault="009F559D"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93076" w:rsidRDefault="00793076">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93076" w:rsidRDefault="00793076">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08E60011"/>
    <w:multiLevelType w:val="hybridMultilevel"/>
    <w:tmpl w:val="D3506224"/>
    <w:lvl w:ilvl="0" w:tplc="DCB21CB0">
      <w:start w:val="25"/>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 w15:restartNumberingAfterBreak="0">
    <w:nsid w:val="12E62A27"/>
    <w:multiLevelType w:val="hybridMultilevel"/>
    <w:tmpl w:val="57FCDD0C"/>
    <w:lvl w:ilvl="0" w:tplc="229C1776">
      <w:start w:val="35"/>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 w15:restartNumberingAfterBreak="0">
    <w:nsid w:val="47D920EE"/>
    <w:multiLevelType w:val="hybridMultilevel"/>
    <w:tmpl w:val="C1B268A2"/>
    <w:lvl w:ilvl="0" w:tplc="C26AF2CC">
      <w:start w:val="5"/>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F84243A"/>
    <w:multiLevelType w:val="hybridMultilevel"/>
    <w:tmpl w:val="D094743E"/>
    <w:lvl w:ilvl="0" w:tplc="C3D073E6">
      <w:start w:val="28"/>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7"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8" w15:restartNumberingAfterBreak="0">
    <w:nsid w:val="72F028BA"/>
    <w:multiLevelType w:val="hybridMultilevel"/>
    <w:tmpl w:val="D1BC9020"/>
    <w:lvl w:ilvl="0" w:tplc="636A4246">
      <w:start w:val="18"/>
      <w:numFmt w:val="decimal"/>
      <w:lvlText w:val="(%1)"/>
      <w:lvlJc w:val="left"/>
      <w:pPr>
        <w:ind w:left="720" w:hanging="360"/>
      </w:pPr>
      <w:rPr>
        <w:rFonts w:ascii="Arial" w:eastAsiaTheme="minorHAnsi" w:hAnsi="Arial" w:cs="Arial" w:hint="default"/>
        <w:sz w:val="2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num w:numId="1">
    <w:abstractNumId w:val="7"/>
  </w:num>
  <w:num w:numId="2">
    <w:abstractNumId w:val="4"/>
  </w:num>
  <w:num w:numId="3">
    <w:abstractNumId w:val="5"/>
  </w:num>
  <w:num w:numId="4">
    <w:abstractNumId w:val="0"/>
  </w:num>
  <w:num w:numId="5">
    <w:abstractNumId w:val="7"/>
  </w:num>
  <w:num w:numId="6">
    <w:abstractNumId w:val="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lvlOverride w:ilvl="0">
      <w:startOverride w:val="2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lvlOverride w:ilvl="0">
      <w:startOverride w:val="2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3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B3FE6"/>
    <w:rsid w:val="000E21B2"/>
    <w:rsid w:val="001A2469"/>
    <w:rsid w:val="00204177"/>
    <w:rsid w:val="00366636"/>
    <w:rsid w:val="00367DE6"/>
    <w:rsid w:val="003B3E19"/>
    <w:rsid w:val="004076C6"/>
    <w:rsid w:val="004B7F76"/>
    <w:rsid w:val="004E1BCE"/>
    <w:rsid w:val="0056541B"/>
    <w:rsid w:val="00592079"/>
    <w:rsid w:val="005D5957"/>
    <w:rsid w:val="00676475"/>
    <w:rsid w:val="00682FFE"/>
    <w:rsid w:val="006C69EC"/>
    <w:rsid w:val="007039D0"/>
    <w:rsid w:val="00710C90"/>
    <w:rsid w:val="00767987"/>
    <w:rsid w:val="00782FD4"/>
    <w:rsid w:val="00793076"/>
    <w:rsid w:val="00811140"/>
    <w:rsid w:val="00835D5D"/>
    <w:rsid w:val="00896FBD"/>
    <w:rsid w:val="008A3F94"/>
    <w:rsid w:val="00904A48"/>
    <w:rsid w:val="009510F6"/>
    <w:rsid w:val="00980294"/>
    <w:rsid w:val="009C5392"/>
    <w:rsid w:val="009F559D"/>
    <w:rsid w:val="00A50E4B"/>
    <w:rsid w:val="00A9231D"/>
    <w:rsid w:val="00B40287"/>
    <w:rsid w:val="00B67A2D"/>
    <w:rsid w:val="00C0216A"/>
    <w:rsid w:val="00C40944"/>
    <w:rsid w:val="00CD6077"/>
    <w:rsid w:val="00CE234E"/>
    <w:rsid w:val="00D02973"/>
    <w:rsid w:val="00DA09BE"/>
    <w:rsid w:val="00E278C9"/>
    <w:rsid w:val="00E30579"/>
    <w:rsid w:val="00EC13B0"/>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0867953">
      <w:bodyDiv w:val="1"/>
      <w:marLeft w:val="0"/>
      <w:marRight w:val="0"/>
      <w:marTop w:val="0"/>
      <w:marBottom w:val="0"/>
      <w:divBdr>
        <w:top w:val="none" w:sz="0" w:space="0" w:color="auto"/>
        <w:left w:val="none" w:sz="0" w:space="0" w:color="auto"/>
        <w:bottom w:val="none" w:sz="0" w:space="0" w:color="auto"/>
        <w:right w:val="none" w:sz="0" w:space="0" w:color="auto"/>
      </w:divBdr>
    </w:div>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747</Words>
  <Characters>4259</Characters>
  <Application>Microsoft Office Word</Application>
  <DocSecurity>0</DocSecurity>
  <Lines>35</Lines>
  <Paragraphs>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4997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2024-04-30T09:04:00Z</dcterms:created>
  <dcterms:modified xsi:type="dcterms:W3CDTF">2024-04-30T09:04:00Z</dcterms:modified>
</cp:coreProperties>
</file>