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803B9">
        <w:rPr>
          <w:rFonts w:cs="Arial"/>
          <w:color w:val="000000"/>
        </w:rPr>
        <w:t>2023-2180-0043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B803B9">
        <w:rPr>
          <w:rFonts w:cs="Arial"/>
          <w:color w:val="000000"/>
        </w:rPr>
        <w:t>00704-415/2023/11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B803B9">
        <w:rPr>
          <w:rFonts w:cs="Arial"/>
          <w:color w:val="000000"/>
        </w:rPr>
        <w:t>26. 4. 2024</w:t>
      </w:r>
      <w:r>
        <w:t xml:space="preserve"> </w:t>
      </w:r>
    </w:p>
    <w:p w:rsidR="00896FBD" w:rsidRDefault="00896FBD" w:rsidP="00896FBD">
      <w:pPr>
        <w:autoSpaceDE w:val="0"/>
        <w:autoSpaceDN w:val="0"/>
        <w:adjustRightInd w:val="0"/>
      </w:pPr>
    </w:p>
    <w:p w:rsidR="00A122D8" w:rsidRDefault="00A122D8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896FBD" w:rsidRPr="00A122D8" w:rsidRDefault="007346B8" w:rsidP="00A122D8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A122D8">
        <w:rPr>
          <w:rFonts w:cs="Arial"/>
          <w:b/>
          <w:color w:val="000000"/>
          <w:szCs w:val="20"/>
        </w:rPr>
        <w:t>Predlog amandmaja k Predlogu zakona o spremembah Zakona o zagotavljanju finančnih sredstev za investicije v športno infrastrukturo v Republiki Sloveniji v letih od 2023 do 2027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122D8" w:rsidRDefault="00A122D8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122D8" w:rsidRDefault="00A122D8" w:rsidP="00A122D8">
      <w:pPr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K 2. členu:</w:t>
      </w:r>
    </w:p>
    <w:p w:rsidR="00A122D8" w:rsidRPr="00BC0625" w:rsidRDefault="00A122D8" w:rsidP="00A122D8">
      <w:pPr>
        <w:spacing w:after="160" w:line="259" w:lineRule="auto"/>
        <w:jc w:val="both"/>
        <w:rPr>
          <w:rFonts w:eastAsia="Calibri" w:cs="Arial"/>
          <w:szCs w:val="20"/>
        </w:rPr>
      </w:pPr>
      <w:r w:rsidRPr="00BC0625">
        <w:rPr>
          <w:rFonts w:eastAsia="Calibri" w:cs="Arial"/>
          <w:szCs w:val="20"/>
        </w:rPr>
        <w:t>2. člen se spremeni tako, da se glasi:</w:t>
      </w:r>
    </w:p>
    <w:p w:rsidR="00A122D8" w:rsidRPr="00BC0625" w:rsidRDefault="00A122D8" w:rsidP="00A122D8">
      <w:pPr>
        <w:shd w:val="clear" w:color="auto" w:fill="FFFFFF"/>
        <w:spacing w:before="480" w:line="240" w:lineRule="auto"/>
        <w:jc w:val="center"/>
        <w:rPr>
          <w:rFonts w:cs="Arial"/>
          <w:b/>
          <w:bCs/>
          <w:color w:val="000000"/>
          <w:szCs w:val="20"/>
          <w:lang w:eastAsia="sl-SI"/>
        </w:rPr>
      </w:pPr>
      <w:r w:rsidRPr="00BC0625">
        <w:rPr>
          <w:rFonts w:cs="Arial"/>
          <w:szCs w:val="20"/>
          <w:lang w:eastAsia="sl-SI"/>
        </w:rPr>
        <w:t>»</w:t>
      </w:r>
      <w:r w:rsidRPr="00BC0625">
        <w:rPr>
          <w:rFonts w:cs="Arial"/>
          <w:b/>
          <w:bCs/>
          <w:color w:val="000000"/>
          <w:szCs w:val="20"/>
          <w:lang w:eastAsia="sl-SI"/>
        </w:rPr>
        <w:t>2. člen</w:t>
      </w:r>
    </w:p>
    <w:p w:rsidR="00A122D8" w:rsidRPr="00BC0625" w:rsidRDefault="00A122D8" w:rsidP="00A122D8">
      <w:pPr>
        <w:shd w:val="clear" w:color="auto" w:fill="FFFFFF"/>
        <w:spacing w:line="240" w:lineRule="auto"/>
        <w:jc w:val="center"/>
        <w:rPr>
          <w:rFonts w:cs="Arial"/>
          <w:b/>
          <w:bCs/>
          <w:color w:val="000000"/>
          <w:szCs w:val="20"/>
          <w:lang w:eastAsia="sl-SI"/>
        </w:rPr>
      </w:pPr>
      <w:r w:rsidRPr="00BC0625">
        <w:rPr>
          <w:rFonts w:cs="Arial"/>
          <w:b/>
          <w:bCs/>
          <w:color w:val="000000"/>
          <w:szCs w:val="20"/>
          <w:lang w:eastAsia="sl-SI"/>
        </w:rPr>
        <w:t>(zagotavljanje sredstev)</w:t>
      </w:r>
    </w:p>
    <w:p w:rsidR="00A122D8" w:rsidRPr="00BC0625" w:rsidRDefault="00A122D8" w:rsidP="00A122D8">
      <w:pPr>
        <w:spacing w:after="160" w:line="259" w:lineRule="auto"/>
        <w:jc w:val="both"/>
        <w:rPr>
          <w:rFonts w:eastAsia="Calibri" w:cs="Arial"/>
          <w:szCs w:val="20"/>
        </w:rPr>
      </w:pPr>
    </w:p>
    <w:p w:rsidR="00A122D8" w:rsidRPr="00BC0625" w:rsidRDefault="00A122D8" w:rsidP="00A122D8">
      <w:pPr>
        <w:spacing w:after="160" w:line="259" w:lineRule="auto"/>
        <w:jc w:val="both"/>
        <w:rPr>
          <w:rFonts w:eastAsia="Calibri" w:cs="Arial"/>
          <w:szCs w:val="20"/>
        </w:rPr>
      </w:pPr>
      <w:r w:rsidRPr="00BC0625">
        <w:rPr>
          <w:rFonts w:eastAsia="Calibri" w:cs="Arial"/>
          <w:szCs w:val="20"/>
        </w:rPr>
        <w:t>(1) Za izvajanje investicij iz prejšnjega člena se v proračunu Republike Slovenije zagotovi skupno 150 milijonov eurov, in sicer na posebni proračunski postavki pri ministrstvu, pristojnem za šport.</w:t>
      </w:r>
    </w:p>
    <w:p w:rsidR="00A122D8" w:rsidRPr="00031E98" w:rsidRDefault="00A122D8" w:rsidP="00A122D8">
      <w:pPr>
        <w:spacing w:after="160" w:line="259" w:lineRule="auto"/>
        <w:jc w:val="both"/>
        <w:rPr>
          <w:rFonts w:eastAsia="Calibri" w:cs="Arial"/>
          <w:b/>
          <w:bCs/>
          <w:szCs w:val="20"/>
        </w:rPr>
      </w:pPr>
      <w:r w:rsidRPr="00031E98">
        <w:rPr>
          <w:rFonts w:eastAsia="Calibri" w:cs="Arial"/>
          <w:b/>
          <w:bCs/>
          <w:szCs w:val="20"/>
        </w:rPr>
        <w:t xml:space="preserve">(2) Finančna sredstva iz prejšnjega odstavka se zagotovijo: </w:t>
      </w:r>
    </w:p>
    <w:p w:rsidR="00A122D8" w:rsidRPr="00031E98" w:rsidRDefault="00A122D8" w:rsidP="00A122D8">
      <w:pPr>
        <w:spacing w:after="160" w:line="259" w:lineRule="auto"/>
        <w:jc w:val="both"/>
        <w:rPr>
          <w:rFonts w:eastAsia="Calibri" w:cs="Arial"/>
          <w:b/>
          <w:bCs/>
          <w:szCs w:val="20"/>
        </w:rPr>
      </w:pPr>
      <w:r w:rsidRPr="00031E98">
        <w:rPr>
          <w:rFonts w:eastAsia="Calibri" w:cs="Arial"/>
          <w:b/>
          <w:bCs/>
          <w:szCs w:val="20"/>
        </w:rPr>
        <w:t>- v letu 2023 v višini 30 milijonov eurov,</w:t>
      </w:r>
    </w:p>
    <w:p w:rsidR="00A122D8" w:rsidRPr="00031E98" w:rsidRDefault="00A122D8" w:rsidP="00A122D8">
      <w:pPr>
        <w:spacing w:after="160" w:line="259" w:lineRule="auto"/>
        <w:jc w:val="both"/>
        <w:rPr>
          <w:rFonts w:eastAsia="Calibri" w:cs="Arial"/>
          <w:b/>
          <w:bCs/>
          <w:szCs w:val="20"/>
        </w:rPr>
      </w:pPr>
      <w:r w:rsidRPr="00031E98">
        <w:rPr>
          <w:rFonts w:eastAsia="Calibri" w:cs="Arial"/>
          <w:b/>
          <w:bCs/>
          <w:szCs w:val="20"/>
        </w:rPr>
        <w:t>-  v letih od 2024 do 2028 v višini po 20 milijonov eurov,</w:t>
      </w:r>
    </w:p>
    <w:p w:rsidR="00A122D8" w:rsidRPr="00031E98" w:rsidRDefault="00A122D8" w:rsidP="00A122D8">
      <w:pPr>
        <w:spacing w:after="160" w:line="259" w:lineRule="auto"/>
        <w:jc w:val="both"/>
        <w:rPr>
          <w:rFonts w:eastAsia="Calibri" w:cs="Arial"/>
          <w:b/>
          <w:bCs/>
          <w:szCs w:val="20"/>
        </w:rPr>
      </w:pPr>
      <w:r w:rsidRPr="00031E98">
        <w:rPr>
          <w:rFonts w:eastAsia="Calibri" w:cs="Arial"/>
          <w:b/>
          <w:bCs/>
          <w:szCs w:val="20"/>
        </w:rPr>
        <w:t>- v letih 2029 in 2030 v višini po 10 milijonov eurov.</w:t>
      </w:r>
    </w:p>
    <w:p w:rsidR="00A122D8" w:rsidRPr="00031E98" w:rsidRDefault="00A122D8" w:rsidP="00A122D8">
      <w:pPr>
        <w:spacing w:after="160" w:line="259" w:lineRule="auto"/>
        <w:jc w:val="both"/>
        <w:rPr>
          <w:rFonts w:eastAsia="Calibri" w:cs="Arial"/>
          <w:b/>
          <w:bCs/>
          <w:szCs w:val="20"/>
        </w:rPr>
      </w:pPr>
      <w:r w:rsidRPr="00031E98">
        <w:rPr>
          <w:rFonts w:eastAsia="Calibri" w:cs="Arial"/>
          <w:b/>
          <w:bCs/>
          <w:szCs w:val="20"/>
        </w:rPr>
        <w:t>(3) Neporabljena sredstva iz leta 2023 v skupni višini 22,6 milijonov eurov se prerazporedijo na način, da se 2,6 milijonov eurov prerazporedi v leto 2024, po 10 milijonov eurov pa v leti 2029 in 2030.</w:t>
      </w:r>
    </w:p>
    <w:p w:rsidR="00A122D8" w:rsidRPr="00BC0625" w:rsidRDefault="00A122D8" w:rsidP="00A122D8">
      <w:pPr>
        <w:spacing w:after="160" w:line="259" w:lineRule="auto"/>
        <w:jc w:val="both"/>
        <w:rPr>
          <w:rFonts w:eastAsia="Calibri" w:cs="Arial"/>
          <w:szCs w:val="20"/>
        </w:rPr>
      </w:pPr>
      <w:r w:rsidRPr="00BC0625">
        <w:rPr>
          <w:rFonts w:eastAsia="Calibri" w:cs="Arial"/>
          <w:szCs w:val="20"/>
        </w:rPr>
        <w:t>(4) Ne glede na drugi in tretji odstavek tega člena je znesek zagotovljenih finančnih sredstev v posameznem letu lahko tudi višji za znesek, ki ga ni bilo mogoče realizirati v preteklih letih, pri čemer letni obseg porabe sredstev ne sme preseči 40 milijonov eurov, skupni znesek porabe finančnih sredstev v letih 2023 do 2030 pa ne sme preseči zneska iz prvega odstavka tega člena.«.</w:t>
      </w:r>
    </w:p>
    <w:p w:rsidR="00A122D8" w:rsidRDefault="00A122D8" w:rsidP="00A122D8">
      <w:pPr>
        <w:rPr>
          <w:rFonts w:cs="Arial"/>
          <w:b/>
          <w:szCs w:val="20"/>
          <w:lang w:eastAsia="sl-SI"/>
        </w:rPr>
      </w:pPr>
    </w:p>
    <w:p w:rsidR="00A122D8" w:rsidRDefault="00A122D8" w:rsidP="00A122D8">
      <w:pPr>
        <w:rPr>
          <w:rFonts w:cs="Arial"/>
          <w:b/>
          <w:szCs w:val="20"/>
          <w:lang w:eastAsia="sl-SI"/>
        </w:rPr>
      </w:pPr>
    </w:p>
    <w:p w:rsidR="00A122D8" w:rsidRDefault="00A122D8" w:rsidP="00A122D8">
      <w:pPr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OBRAZLOŽITEV:</w:t>
      </w:r>
    </w:p>
    <w:p w:rsidR="00A122D8" w:rsidRDefault="00A122D8" w:rsidP="00A122D8">
      <w:pPr>
        <w:rPr>
          <w:rFonts w:cs="Arial"/>
          <w:b/>
          <w:szCs w:val="20"/>
          <w:lang w:eastAsia="sl-SI"/>
        </w:rPr>
      </w:pPr>
    </w:p>
    <w:p w:rsidR="00A122D8" w:rsidRDefault="00A122D8" w:rsidP="00A122D8">
      <w:pPr>
        <w:spacing w:line="276" w:lineRule="auto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Predlagani amandma na podlagi mnenja Zakonodajno-pravne službe Državnega zbora (št. 411-10/24-7/4 z dne 22. 4. 2024) odpravlja napako v predlogu </w:t>
      </w:r>
      <w:r w:rsidRPr="007439B0">
        <w:rPr>
          <w:rFonts w:cs="Arial"/>
          <w:szCs w:val="20"/>
          <w:lang w:eastAsia="sl-SI"/>
        </w:rPr>
        <w:t>Zakon</w:t>
      </w:r>
      <w:r>
        <w:rPr>
          <w:rFonts w:cs="Arial"/>
          <w:szCs w:val="20"/>
          <w:lang w:eastAsia="sl-SI"/>
        </w:rPr>
        <w:t>a o spremembah Zakona</w:t>
      </w:r>
      <w:r w:rsidRPr="007439B0">
        <w:rPr>
          <w:rFonts w:cs="Arial"/>
          <w:szCs w:val="20"/>
          <w:lang w:eastAsia="sl-SI"/>
        </w:rPr>
        <w:t xml:space="preserve"> o zagotavljanju finančnih sredstev za investicije v športno infrastrukturo v Republiki Sloveniji v letih od 2023 do 2027</w:t>
      </w:r>
      <w:r>
        <w:rPr>
          <w:rFonts w:cs="Arial"/>
          <w:szCs w:val="20"/>
          <w:lang w:eastAsia="sl-SI"/>
        </w:rPr>
        <w:t xml:space="preserve"> (v nadaljevanju: </w:t>
      </w:r>
      <w:r w:rsidRPr="007439B0">
        <w:rPr>
          <w:rFonts w:cs="Arial"/>
          <w:szCs w:val="20"/>
          <w:lang w:eastAsia="sl-SI"/>
        </w:rPr>
        <w:t>ZFSŠI27-A</w:t>
      </w:r>
      <w:r>
        <w:rPr>
          <w:rFonts w:cs="Arial"/>
          <w:szCs w:val="20"/>
          <w:lang w:eastAsia="sl-SI"/>
        </w:rPr>
        <w:t>), in sicer poseg v višino sredstev, namenjenih investicijam v športno infrastrukturo v letu 2023. To obdobje se je namreč že izteklo in zato spreminjanje višine sredstev za to leto ni več mogoče, saj je določba v tem delu vsebinsko izčrpana in ni več dosegljiva za spreminjanje.</w:t>
      </w:r>
    </w:p>
    <w:p w:rsidR="00A122D8" w:rsidRDefault="00A122D8" w:rsidP="00A122D8">
      <w:pPr>
        <w:spacing w:line="276" w:lineRule="auto"/>
        <w:jc w:val="both"/>
        <w:rPr>
          <w:rFonts w:cs="Arial"/>
          <w:szCs w:val="20"/>
          <w:lang w:eastAsia="sl-SI"/>
        </w:rPr>
      </w:pPr>
    </w:p>
    <w:p w:rsidR="00A122D8" w:rsidRDefault="00A122D8" w:rsidP="00A122D8">
      <w:pPr>
        <w:spacing w:line="276" w:lineRule="auto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lastRenderedPageBreak/>
        <w:t xml:space="preserve">Novi predlog 2. člena vsebuje spremenjen predlog drugega odstavka in nov predlog tretjega odstavka (dosedanji predlog tretjega odstavka pa postane predlog četrtega odstavka). </w:t>
      </w:r>
    </w:p>
    <w:p w:rsidR="00A122D8" w:rsidRDefault="00A122D8" w:rsidP="00A122D8">
      <w:pPr>
        <w:spacing w:line="276" w:lineRule="auto"/>
        <w:jc w:val="both"/>
        <w:rPr>
          <w:rFonts w:cs="Arial"/>
          <w:szCs w:val="20"/>
          <w:lang w:eastAsia="sl-SI"/>
        </w:rPr>
      </w:pPr>
    </w:p>
    <w:p w:rsidR="00A122D8" w:rsidRDefault="00A122D8" w:rsidP="00A122D8">
      <w:pPr>
        <w:spacing w:line="276" w:lineRule="auto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Novi predlog drugega odstavka ohranja skupno višino sredstev, zagotovljenih za namen zakona iz predloga prvega odstavka (150 milijonov eurov), uvaja pa drugačno razporeditev dinamike črpanja sredstev: </w:t>
      </w:r>
    </w:p>
    <w:p w:rsidR="00A122D8" w:rsidRDefault="00A122D8" w:rsidP="00A122D8">
      <w:pPr>
        <w:numPr>
          <w:ilvl w:val="1"/>
          <w:numId w:val="6"/>
        </w:numPr>
        <w:spacing w:line="276" w:lineRule="auto"/>
        <w:ind w:left="567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30 milijonov eurov v letu 2023;</w:t>
      </w:r>
    </w:p>
    <w:p w:rsidR="00A122D8" w:rsidRDefault="00A122D8" w:rsidP="00A122D8">
      <w:pPr>
        <w:numPr>
          <w:ilvl w:val="1"/>
          <w:numId w:val="6"/>
        </w:numPr>
        <w:spacing w:line="276" w:lineRule="auto"/>
        <w:ind w:left="567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po 20 milijonov eurov v letih od 2024 do 2028;</w:t>
      </w:r>
    </w:p>
    <w:p w:rsidR="00A122D8" w:rsidRDefault="00A122D8" w:rsidP="00A122D8">
      <w:pPr>
        <w:numPr>
          <w:ilvl w:val="1"/>
          <w:numId w:val="6"/>
        </w:numPr>
        <w:spacing w:line="276" w:lineRule="auto"/>
        <w:ind w:left="567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po 10 milijonov eurov v letih 2029 in 2030.</w:t>
      </w:r>
    </w:p>
    <w:p w:rsidR="00A122D8" w:rsidRDefault="00A122D8" w:rsidP="00A122D8">
      <w:pPr>
        <w:spacing w:line="276" w:lineRule="auto"/>
        <w:jc w:val="both"/>
        <w:rPr>
          <w:rFonts w:cs="Arial"/>
          <w:szCs w:val="20"/>
          <w:lang w:eastAsia="sl-SI"/>
        </w:rPr>
      </w:pPr>
    </w:p>
    <w:p w:rsidR="00A122D8" w:rsidRDefault="00A122D8" w:rsidP="00A122D8">
      <w:pPr>
        <w:spacing w:line="276" w:lineRule="auto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Novi tretji odstavek člena ohranja strukturo dinamike zagotavljanja sredstev iz osnovnega predloga ZFSŠI27-A (enaka predvidena višina namenjenih sredstev v zadnjih sedmih letih ukrepa – 1×10 + 7×20), saj že vnaprej določi način prerazporeditve neporabljenih sredstev iz leta 2023 v leta 2024 (na podlagi predloga novega tretjega odstavka člena je za to leto namenjenih skupaj 22,6 milijona eurov) ter v leti 2029 in 2030 (na podlagi novega tretjega odstavka člena bo za ti leti namenjenih po 20 milijonov eurov). Predlagani amandma je tudi skladen s konceptom prenašanja neporabljenih sredstev v prihodnja leta, kot je določen v tretjem odstavku 2. člena ZFSŠI27.</w:t>
      </w:r>
    </w:p>
    <w:p w:rsidR="00A122D8" w:rsidRDefault="00A122D8" w:rsidP="00A122D8">
      <w:pPr>
        <w:spacing w:line="276" w:lineRule="auto"/>
      </w:pPr>
    </w:p>
    <w:p w:rsidR="00A122D8" w:rsidRDefault="00A122D8" w:rsidP="00A122D8">
      <w:pPr>
        <w:spacing w:line="276" w:lineRule="auto"/>
        <w:rPr>
          <w:rFonts w:cs="Arial"/>
          <w:szCs w:val="20"/>
          <w:lang w:eastAsia="sl-SI"/>
        </w:rPr>
      </w:pPr>
    </w:p>
    <w:p w:rsidR="00782FD4" w:rsidRPr="00EC13B0" w:rsidRDefault="00782FD4" w:rsidP="00A122D8">
      <w:pPr>
        <w:autoSpaceDE w:val="0"/>
        <w:autoSpaceDN w:val="0"/>
        <w:adjustRightInd w:val="0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4FD8" w:rsidRDefault="00A94FD8" w:rsidP="00767987">
      <w:pPr>
        <w:spacing w:line="240" w:lineRule="auto"/>
      </w:pPr>
      <w:r>
        <w:separator/>
      </w:r>
    </w:p>
  </w:endnote>
  <w:endnote w:type="continuationSeparator" w:id="0">
    <w:p w:rsidR="00A94FD8" w:rsidRDefault="00A94FD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185" w:rsidRDefault="0078418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185" w:rsidRDefault="0078418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185" w:rsidRDefault="0078418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4FD8" w:rsidRDefault="00A94FD8" w:rsidP="00767987">
      <w:pPr>
        <w:spacing w:line="240" w:lineRule="auto"/>
      </w:pPr>
      <w:r>
        <w:separator/>
      </w:r>
    </w:p>
  </w:footnote>
  <w:footnote w:type="continuationSeparator" w:id="0">
    <w:p w:rsidR="00A94FD8" w:rsidRDefault="00A94FD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185" w:rsidRDefault="0078418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185" w:rsidRDefault="0078418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346B8"/>
    <w:rsid w:val="00767987"/>
    <w:rsid w:val="00782FD4"/>
    <w:rsid w:val="00784185"/>
    <w:rsid w:val="00811140"/>
    <w:rsid w:val="00883328"/>
    <w:rsid w:val="00896FBD"/>
    <w:rsid w:val="008A3F94"/>
    <w:rsid w:val="008B4700"/>
    <w:rsid w:val="00904A48"/>
    <w:rsid w:val="009510F6"/>
    <w:rsid w:val="00980294"/>
    <w:rsid w:val="009C5392"/>
    <w:rsid w:val="00A122D8"/>
    <w:rsid w:val="00A50E4B"/>
    <w:rsid w:val="00A9231D"/>
    <w:rsid w:val="00A94FD8"/>
    <w:rsid w:val="00B40287"/>
    <w:rsid w:val="00B803B9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466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2024-04-26T09:45:00Z</dcterms:created>
  <dcterms:modified xsi:type="dcterms:W3CDTF">2024-04-26T09:45:00Z</dcterms:modified>
</cp:coreProperties>
</file>