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F62" w:rsidRPr="004E2689" w:rsidRDefault="00115F62" w:rsidP="00115F62">
      <w:pPr>
        <w:rPr>
          <w:rFonts w:cs="Arial"/>
          <w:b/>
          <w:szCs w:val="20"/>
        </w:rPr>
      </w:pP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Pr="004E2689">
        <w:rPr>
          <w:rFonts w:cs="Arial"/>
          <w:b/>
          <w:szCs w:val="20"/>
        </w:rPr>
        <w:tab/>
      </w:r>
      <w:r w:rsidR="00DA1B32">
        <w:rPr>
          <w:rFonts w:cs="Arial"/>
          <w:b/>
          <w:szCs w:val="20"/>
        </w:rPr>
        <w:t xml:space="preserve">     </w:t>
      </w:r>
      <w:bookmarkStart w:id="0" w:name="_GoBack"/>
      <w:bookmarkEnd w:id="0"/>
      <w:r w:rsidRPr="004E2689">
        <w:rPr>
          <w:rFonts w:cs="Arial"/>
          <w:b/>
          <w:szCs w:val="20"/>
        </w:rPr>
        <w:t xml:space="preserve">EVA </w:t>
      </w:r>
      <w:r w:rsidRPr="004E2689">
        <w:rPr>
          <w:rFonts w:cs="Arial"/>
          <w:b/>
          <w:bCs/>
          <w:szCs w:val="20"/>
        </w:rPr>
        <w:t>2024-2330-0004</w:t>
      </w:r>
    </w:p>
    <w:p w:rsidR="00115F62" w:rsidRPr="004E2689" w:rsidRDefault="00115F62" w:rsidP="00115F62">
      <w:pPr>
        <w:rPr>
          <w:rFonts w:cs="Arial"/>
          <w:bCs/>
          <w:szCs w:val="20"/>
        </w:rPr>
      </w:pPr>
    </w:p>
    <w:p w:rsidR="00115F62" w:rsidRPr="00F0042D" w:rsidRDefault="00115F62" w:rsidP="00115F62">
      <w:pPr>
        <w:pStyle w:val="Pravnapodlaga"/>
        <w:rPr>
          <w:sz w:val="20"/>
          <w:szCs w:val="20"/>
        </w:rPr>
      </w:pPr>
      <w:r w:rsidRPr="00F0042D">
        <w:rPr>
          <w:sz w:val="20"/>
          <w:szCs w:val="20"/>
        </w:rPr>
        <w:t xml:space="preserve"> Na podlagi četrtega odstavka 113. člena, tretjega odstavka 114. člena in prvega odstavka 118. člena Zakona o kmetijstvu (Uradni list RS, št. 45/08, 57/12, 90/12 – ZdZPVHVVR, 26/14, 32/15, 27/17, 22/18, 86/21 – odl. US, 123/21, 44/22, 130/22 ,</w:t>
      </w:r>
      <w:r w:rsidRPr="00F0042D">
        <w:rPr>
          <w:bCs/>
          <w:sz w:val="20"/>
          <w:szCs w:val="20"/>
          <w:shd w:val="clear" w:color="auto" w:fill="FFFFFF"/>
        </w:rPr>
        <w:t> – ZPOmK-2, </w:t>
      </w:r>
      <w:r w:rsidRPr="00F0042D">
        <w:rPr>
          <w:sz w:val="20"/>
          <w:szCs w:val="20"/>
        </w:rPr>
        <w:t>18/23 in 78/23) ter na podlagi drugega odstavka 3. člena, 7. člena in 32. člena Zakona o gospodarskih javnih službah (Uradni list RS, št. 32/93, 30/98 – ZZLPPO, 127/06 – ZJZP, 38/10 – ZUKN in 57/11 – ORZGJS40) Vlada Republike Slovenije izdaja</w:t>
      </w:r>
    </w:p>
    <w:p w:rsidR="00115F62" w:rsidRPr="00F0042D" w:rsidRDefault="00115F62" w:rsidP="00115F62">
      <w:pPr>
        <w:pStyle w:val="Vrstapredpisa"/>
        <w:rPr>
          <w:b w:val="0"/>
          <w:bCs w:val="0"/>
          <w:color w:val="auto"/>
          <w:spacing w:val="0"/>
          <w:sz w:val="20"/>
          <w:szCs w:val="20"/>
        </w:rPr>
      </w:pPr>
    </w:p>
    <w:p w:rsidR="00115F62" w:rsidRPr="00F0042D" w:rsidRDefault="00115F62" w:rsidP="00115F62">
      <w:pPr>
        <w:pStyle w:val="Vrstapredpisa"/>
        <w:rPr>
          <w:sz w:val="20"/>
          <w:szCs w:val="20"/>
        </w:rPr>
      </w:pPr>
      <w:r w:rsidRPr="00F0042D">
        <w:rPr>
          <w:sz w:val="20"/>
          <w:szCs w:val="20"/>
        </w:rPr>
        <w:t>UREDBO</w:t>
      </w:r>
    </w:p>
    <w:p w:rsidR="00115F62" w:rsidRPr="00F0042D" w:rsidRDefault="00115F62" w:rsidP="00115F62">
      <w:pPr>
        <w:pStyle w:val="Naslovpredpisa"/>
        <w:rPr>
          <w:sz w:val="20"/>
          <w:szCs w:val="20"/>
        </w:rPr>
      </w:pPr>
      <w:r w:rsidRPr="00F0042D">
        <w:rPr>
          <w:sz w:val="20"/>
          <w:szCs w:val="20"/>
        </w:rPr>
        <w:t xml:space="preserve">o </w:t>
      </w:r>
      <w:r>
        <w:rPr>
          <w:sz w:val="20"/>
          <w:szCs w:val="20"/>
        </w:rPr>
        <w:t>dopolnitvi</w:t>
      </w:r>
      <w:r w:rsidRPr="00F0042D">
        <w:rPr>
          <w:sz w:val="20"/>
          <w:szCs w:val="20"/>
        </w:rPr>
        <w:t xml:space="preserve"> Uredbe o izvajanju javne svetovalne službe v čebelarstvu za obdobje od 1. januarja 2022 do 31. decembra 2028</w:t>
      </w:r>
    </w:p>
    <w:p w:rsidR="00115F62" w:rsidRPr="00F0042D" w:rsidRDefault="00115F62" w:rsidP="00115F62">
      <w:pPr>
        <w:pStyle w:val="len"/>
        <w:rPr>
          <w:sz w:val="20"/>
          <w:szCs w:val="20"/>
        </w:rPr>
      </w:pPr>
      <w:r w:rsidRPr="00F0042D">
        <w:rPr>
          <w:sz w:val="20"/>
          <w:szCs w:val="20"/>
        </w:rPr>
        <w:t>1. člen</w:t>
      </w:r>
    </w:p>
    <w:p w:rsidR="00115F62" w:rsidRPr="00F0042D" w:rsidRDefault="00115F62" w:rsidP="00115F62">
      <w:pPr>
        <w:pStyle w:val="lennaslov"/>
        <w:jc w:val="left"/>
        <w:rPr>
          <w:sz w:val="20"/>
          <w:szCs w:val="20"/>
        </w:rPr>
      </w:pPr>
    </w:p>
    <w:p w:rsidR="00115F62" w:rsidRPr="00F0042D" w:rsidRDefault="00115F62" w:rsidP="00115F62">
      <w:pPr>
        <w:pStyle w:val="lennaslov"/>
        <w:jc w:val="both"/>
        <w:rPr>
          <w:b w:val="0"/>
          <w:sz w:val="20"/>
          <w:szCs w:val="20"/>
        </w:rPr>
      </w:pPr>
      <w:r w:rsidRPr="00F0042D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</w:t>
      </w:r>
      <w:r w:rsidRPr="00F0042D">
        <w:rPr>
          <w:b w:val="0"/>
          <w:sz w:val="20"/>
          <w:szCs w:val="20"/>
        </w:rPr>
        <w:t xml:space="preserve">V Uredbi o izvajanju javne svetovalne službe v čebelarstvu za obdobje od 1. januarja 2022 do 31 decembra 2028 (Uradni list RS, št. 172/21) se v 12. členu </w:t>
      </w:r>
      <w:r>
        <w:rPr>
          <w:b w:val="0"/>
          <w:sz w:val="20"/>
          <w:szCs w:val="20"/>
        </w:rPr>
        <w:t xml:space="preserve">za petim odstavkom </w:t>
      </w:r>
      <w:r w:rsidRPr="00F0042D">
        <w:rPr>
          <w:b w:val="0"/>
          <w:sz w:val="20"/>
          <w:szCs w:val="20"/>
        </w:rPr>
        <w:t>doda nov šesti odstavek, ki se glasi:</w:t>
      </w:r>
    </w:p>
    <w:p w:rsidR="00115F62" w:rsidRPr="00F0042D" w:rsidRDefault="00115F62" w:rsidP="00115F62">
      <w:pPr>
        <w:pStyle w:val="Odstavek"/>
        <w:rPr>
          <w:sz w:val="20"/>
          <w:szCs w:val="20"/>
        </w:rPr>
      </w:pPr>
      <w:r w:rsidRPr="00F0042D">
        <w:rPr>
          <w:sz w:val="20"/>
          <w:szCs w:val="20"/>
        </w:rPr>
        <w:t xml:space="preserve">»(6) Med letom je s soglasjem ministrstva, pristojnega za kmetijstvo, možna prerazporeditev sredstev med posameznimi nalogami, </w:t>
      </w:r>
      <w:r>
        <w:rPr>
          <w:sz w:val="20"/>
          <w:szCs w:val="20"/>
        </w:rPr>
        <w:t xml:space="preserve">določenimi z letnim programom JSSČ, </w:t>
      </w:r>
      <w:r w:rsidRPr="00F0042D">
        <w:rPr>
          <w:sz w:val="20"/>
          <w:szCs w:val="20"/>
        </w:rPr>
        <w:t>v višini 10 % celotne vrednosti programa.«</w:t>
      </w:r>
      <w:r>
        <w:rPr>
          <w:sz w:val="20"/>
          <w:szCs w:val="20"/>
        </w:rPr>
        <w:t>.</w:t>
      </w:r>
    </w:p>
    <w:p w:rsidR="00115F62" w:rsidRPr="00F0042D" w:rsidRDefault="00115F62" w:rsidP="00115F62">
      <w:pPr>
        <w:pStyle w:val="lennaslov"/>
        <w:rPr>
          <w:sz w:val="20"/>
          <w:szCs w:val="20"/>
          <w:highlight w:val="darkGray"/>
        </w:rPr>
      </w:pPr>
    </w:p>
    <w:p w:rsidR="00115F62" w:rsidRPr="00F0042D" w:rsidRDefault="00115F62" w:rsidP="00115F62">
      <w:pPr>
        <w:pStyle w:val="Poglavje"/>
        <w:rPr>
          <w:sz w:val="20"/>
          <w:szCs w:val="20"/>
        </w:rPr>
      </w:pPr>
      <w:r w:rsidRPr="00F0042D">
        <w:rPr>
          <w:sz w:val="20"/>
          <w:szCs w:val="20"/>
        </w:rPr>
        <w:t>PREHODNA IN KONČNA DOLOČBA</w:t>
      </w:r>
    </w:p>
    <w:p w:rsidR="00115F62" w:rsidRPr="00F0042D" w:rsidRDefault="00115F62" w:rsidP="00115F62">
      <w:pPr>
        <w:pStyle w:val="len"/>
        <w:rPr>
          <w:sz w:val="20"/>
          <w:szCs w:val="20"/>
        </w:rPr>
      </w:pPr>
      <w:r w:rsidRPr="00F0042D">
        <w:rPr>
          <w:sz w:val="20"/>
          <w:szCs w:val="20"/>
        </w:rPr>
        <w:t>2. člen</w:t>
      </w:r>
    </w:p>
    <w:p w:rsidR="00115F62" w:rsidRPr="00F0042D" w:rsidRDefault="00115F62" w:rsidP="00115F62">
      <w:pPr>
        <w:pStyle w:val="lennaslov"/>
        <w:rPr>
          <w:sz w:val="20"/>
          <w:szCs w:val="20"/>
        </w:rPr>
      </w:pPr>
      <w:r w:rsidRPr="00F0042D">
        <w:rPr>
          <w:sz w:val="20"/>
          <w:szCs w:val="20"/>
        </w:rPr>
        <w:t>(končanje postopkov)</w:t>
      </w:r>
    </w:p>
    <w:p w:rsidR="00115F62" w:rsidRPr="00F0042D" w:rsidRDefault="00115F62" w:rsidP="00115F62">
      <w:pPr>
        <w:pStyle w:val="Odstavek"/>
        <w:ind w:firstLine="0"/>
        <w:rPr>
          <w:sz w:val="20"/>
          <w:szCs w:val="20"/>
        </w:rPr>
      </w:pPr>
      <w:r w:rsidRPr="00F0042D">
        <w:rPr>
          <w:sz w:val="20"/>
          <w:szCs w:val="20"/>
        </w:rPr>
        <w:t xml:space="preserve">     Spremenjen 12. člen uredbe se uporablja za letne programe od leta 2024 naprej. </w:t>
      </w:r>
    </w:p>
    <w:p w:rsidR="00115F62" w:rsidRPr="00F0042D" w:rsidRDefault="00115F62" w:rsidP="00115F62">
      <w:pPr>
        <w:pStyle w:val="len"/>
        <w:rPr>
          <w:sz w:val="20"/>
          <w:szCs w:val="20"/>
        </w:rPr>
      </w:pPr>
      <w:r w:rsidRPr="00F0042D">
        <w:rPr>
          <w:sz w:val="20"/>
          <w:szCs w:val="20"/>
        </w:rPr>
        <w:t>3. člen</w:t>
      </w:r>
    </w:p>
    <w:p w:rsidR="00115F62" w:rsidRPr="00F0042D" w:rsidRDefault="00115F62" w:rsidP="00115F62">
      <w:pPr>
        <w:pStyle w:val="lennaslov"/>
        <w:rPr>
          <w:sz w:val="20"/>
          <w:szCs w:val="20"/>
        </w:rPr>
      </w:pPr>
      <w:r w:rsidRPr="00F0042D">
        <w:rPr>
          <w:sz w:val="20"/>
          <w:szCs w:val="20"/>
        </w:rPr>
        <w:t>(začetek veljavnosti)</w:t>
      </w:r>
    </w:p>
    <w:p w:rsidR="00115F62" w:rsidRPr="00F0042D" w:rsidRDefault="00115F62" w:rsidP="00115F62">
      <w:pPr>
        <w:pStyle w:val="Odstavek"/>
        <w:ind w:firstLine="0"/>
        <w:rPr>
          <w:sz w:val="20"/>
          <w:szCs w:val="20"/>
        </w:rPr>
      </w:pPr>
      <w:r w:rsidRPr="00F0042D">
        <w:rPr>
          <w:sz w:val="20"/>
          <w:szCs w:val="20"/>
        </w:rPr>
        <w:t xml:space="preserve">     Ta uredba začne veljati naslednji dan po objavi v Uradnem listu Republike Slovenije.</w:t>
      </w:r>
    </w:p>
    <w:p w:rsidR="00115F62" w:rsidRPr="00F0042D" w:rsidRDefault="00115F62" w:rsidP="00115F62">
      <w:pPr>
        <w:pStyle w:val="tevilkanakoncupredpisa"/>
        <w:rPr>
          <w:sz w:val="20"/>
          <w:szCs w:val="20"/>
        </w:rPr>
      </w:pPr>
      <w:r w:rsidRPr="00F0042D">
        <w:rPr>
          <w:sz w:val="20"/>
          <w:szCs w:val="20"/>
        </w:rPr>
        <w:t>Št. 007-51/2024</w:t>
      </w:r>
    </w:p>
    <w:p w:rsidR="00115F62" w:rsidRPr="00F0042D" w:rsidRDefault="00115F62" w:rsidP="00115F62">
      <w:pPr>
        <w:pStyle w:val="Datumsprejetja"/>
        <w:rPr>
          <w:sz w:val="20"/>
          <w:szCs w:val="20"/>
        </w:rPr>
      </w:pPr>
      <w:r w:rsidRPr="00F0042D">
        <w:rPr>
          <w:sz w:val="20"/>
          <w:szCs w:val="20"/>
        </w:rPr>
        <w:t>Ljubljana, dne x. mesec 2024</w:t>
      </w:r>
    </w:p>
    <w:p w:rsidR="00115F62" w:rsidRPr="00F0042D" w:rsidRDefault="00115F62" w:rsidP="00115F62">
      <w:pPr>
        <w:pStyle w:val="EVA"/>
        <w:rPr>
          <w:sz w:val="20"/>
          <w:szCs w:val="20"/>
        </w:rPr>
      </w:pPr>
      <w:r w:rsidRPr="00F0042D">
        <w:rPr>
          <w:sz w:val="20"/>
          <w:szCs w:val="20"/>
        </w:rPr>
        <w:t>EVA 2024-2330-0004</w:t>
      </w:r>
    </w:p>
    <w:p w:rsidR="00115F62" w:rsidRPr="00F0042D" w:rsidRDefault="00115F62" w:rsidP="00115F62">
      <w:pPr>
        <w:pStyle w:val="Podpisnik"/>
        <w:rPr>
          <w:sz w:val="20"/>
          <w:szCs w:val="20"/>
        </w:rPr>
      </w:pPr>
      <w:r w:rsidRPr="00F0042D">
        <w:rPr>
          <w:sz w:val="20"/>
          <w:szCs w:val="20"/>
        </w:rPr>
        <w:t>Vlada Republike Slovenije</w:t>
      </w:r>
      <w:r w:rsidRPr="00F0042D">
        <w:rPr>
          <w:sz w:val="20"/>
          <w:szCs w:val="20"/>
        </w:rPr>
        <w:br/>
      </w:r>
      <w:r w:rsidRPr="00F0042D">
        <w:rPr>
          <w:b/>
          <w:sz w:val="20"/>
          <w:szCs w:val="20"/>
        </w:rPr>
        <w:t>Robert Golob</w:t>
      </w:r>
      <w:r w:rsidRPr="00F0042D">
        <w:rPr>
          <w:b/>
          <w:sz w:val="20"/>
          <w:szCs w:val="20"/>
        </w:rPr>
        <w:br/>
      </w:r>
      <w:r w:rsidRPr="00F0042D">
        <w:rPr>
          <w:sz w:val="20"/>
          <w:szCs w:val="20"/>
        </w:rPr>
        <w:t>predsednik</w:t>
      </w:r>
    </w:p>
    <w:p w:rsidR="00115F62" w:rsidRPr="00F0042D" w:rsidRDefault="00115F62" w:rsidP="00115F62">
      <w:pPr>
        <w:pStyle w:val="Podpisnik"/>
        <w:rPr>
          <w:sz w:val="20"/>
          <w:szCs w:val="20"/>
        </w:rPr>
      </w:pPr>
    </w:p>
    <w:p w:rsidR="00115F62" w:rsidRPr="004E2689" w:rsidRDefault="00115F62" w:rsidP="00115F62">
      <w:pPr>
        <w:spacing w:after="160" w:line="259" w:lineRule="auto"/>
        <w:jc w:val="both"/>
        <w:rPr>
          <w:rFonts w:eastAsia="Calibri" w:cs="Arial"/>
          <w:szCs w:val="20"/>
        </w:rPr>
      </w:pPr>
    </w:p>
    <w:p w:rsidR="00115F62" w:rsidRPr="004E2689" w:rsidRDefault="00115F62" w:rsidP="00115F62">
      <w:pPr>
        <w:rPr>
          <w:rFonts w:cs="Arial"/>
          <w:szCs w:val="20"/>
        </w:rPr>
      </w:pPr>
    </w:p>
    <w:p w:rsidR="00071F42" w:rsidRDefault="00071F42"/>
    <w:sectPr w:rsidR="00071F42" w:rsidSect="006D2BAA">
      <w:headerReference w:type="default" r:id="rId6"/>
      <w:footerReference w:type="default" r:id="rId7"/>
      <w:headerReference w:type="first" r:id="rId8"/>
      <w:footerReference w:type="first" r:id="rId9"/>
      <w:pgSz w:w="11900" w:h="16840" w:code="9"/>
      <w:pgMar w:top="1701" w:right="1701" w:bottom="1134" w:left="1701" w:header="1882" w:footer="79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676" w:rsidRDefault="00530676">
      <w:pPr>
        <w:spacing w:line="240" w:lineRule="auto"/>
      </w:pPr>
      <w:r>
        <w:separator/>
      </w:r>
    </w:p>
  </w:endnote>
  <w:endnote w:type="continuationSeparator" w:id="0">
    <w:p w:rsidR="00530676" w:rsidRDefault="0053067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A8A" w:rsidRDefault="00115F62">
    <w:pPr>
      <w:pStyle w:val="Noga"/>
      <w:jc w:val="right"/>
    </w:pPr>
    <w:r w:rsidRPr="00120527">
      <w:rPr>
        <w:b/>
      </w:rPr>
      <w:fldChar w:fldCharType="begin"/>
    </w:r>
    <w:r>
      <w:rPr>
        <w:b/>
        <w:bCs/>
      </w:rPr>
      <w:instrText xml:space="preserve"> PAGE </w:instrText>
    </w:r>
    <w:r w:rsidRPr="00120527">
      <w:rPr>
        <w:b/>
        <w:bCs/>
        <w:sz w:val="24"/>
      </w:rPr>
      <w:fldChar w:fldCharType="separate"/>
    </w:r>
    <w:r w:rsidR="00530676">
      <w:rPr>
        <w:b/>
        <w:bCs/>
        <w:noProof/>
      </w:rPr>
      <w:t>1</w:t>
    </w:r>
    <w:r w:rsidRPr="00120527">
      <w:rPr>
        <w:b/>
      </w:rPr>
      <w:fldChar w:fldCharType="end"/>
    </w:r>
    <w:r>
      <w:t xml:space="preserve"> / </w:t>
    </w:r>
    <w:r w:rsidRPr="00120527">
      <w:rPr>
        <w:b/>
      </w:rPr>
      <w:fldChar w:fldCharType="begin"/>
    </w:r>
    <w:r>
      <w:rPr>
        <w:b/>
        <w:bCs/>
      </w:rPr>
      <w:instrText xml:space="preserve"> NUMPAGES  </w:instrText>
    </w:r>
    <w:r w:rsidRPr="00120527">
      <w:rPr>
        <w:b/>
        <w:bCs/>
        <w:sz w:val="24"/>
      </w:rPr>
      <w:fldChar w:fldCharType="separate"/>
    </w:r>
    <w:r w:rsidR="00530676">
      <w:rPr>
        <w:b/>
        <w:bCs/>
        <w:noProof/>
      </w:rPr>
      <w:t>1</w:t>
    </w:r>
    <w:r w:rsidRPr="00120527">
      <w:rPr>
        <w:b/>
      </w:rPr>
      <w:fldChar w:fldCharType="end"/>
    </w:r>
  </w:p>
  <w:p w:rsidR="008B4A8A" w:rsidRDefault="00530676" w:rsidP="00365ADB">
    <w:pPr>
      <w:pStyle w:val="Nog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A8A" w:rsidRDefault="00530676" w:rsidP="00365ADB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676" w:rsidRDefault="00530676">
      <w:pPr>
        <w:spacing w:line="240" w:lineRule="auto"/>
      </w:pPr>
      <w:r>
        <w:separator/>
      </w:r>
    </w:p>
  </w:footnote>
  <w:footnote w:type="continuationSeparator" w:id="0">
    <w:p w:rsidR="00530676" w:rsidRDefault="0053067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A8A" w:rsidRPr="00110CBD" w:rsidRDefault="00530676" w:rsidP="00365ADB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17"/>
    </w:tblGrid>
    <w:tr w:rsidR="008B4A8A" w:rsidRPr="008F3500">
      <w:trPr>
        <w:cantSplit/>
        <w:trHeight w:hRule="exact" w:val="847"/>
      </w:trPr>
      <w:tc>
        <w:tcPr>
          <w:tcW w:w="817" w:type="dxa"/>
        </w:tcPr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Default="00530676" w:rsidP="00365ADB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  <w:p w:rsidR="008B4A8A" w:rsidRPr="006D42D9" w:rsidRDefault="00530676" w:rsidP="00365ADB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8B4A8A" w:rsidRPr="008F3500" w:rsidRDefault="00530676" w:rsidP="00365ADB">
    <w:pPr>
      <w:autoSpaceDE w:val="0"/>
      <w:autoSpaceDN w:val="0"/>
      <w:adjustRightInd w:val="0"/>
      <w:spacing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3AF"/>
    <w:rsid w:val="00071F42"/>
    <w:rsid w:val="00115F62"/>
    <w:rsid w:val="002513AF"/>
    <w:rsid w:val="0034341F"/>
    <w:rsid w:val="00530676"/>
    <w:rsid w:val="00DA1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4A321"/>
  <w15:chartTrackingRefBased/>
  <w15:docId w15:val="{3000A45C-A90E-4013-9DDC-826AFA92B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15F62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Glava - napis Znak Znak,Glava - napis"/>
    <w:basedOn w:val="Navaden"/>
    <w:link w:val="GlavaZnak"/>
    <w:rsid w:val="00115F62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aliases w:val="Header1 Znak,Glava - napis Znak Znak Znak,Glava - napis Znak"/>
    <w:basedOn w:val="Privzetapisavaodstavka"/>
    <w:link w:val="Glava"/>
    <w:rsid w:val="00115F62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rsid w:val="00115F62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basedOn w:val="Privzetapisavaodstavka"/>
    <w:link w:val="Noga"/>
    <w:uiPriority w:val="99"/>
    <w:rsid w:val="00115F6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Poglavje">
    <w:name w:val="Poglavje"/>
    <w:basedOn w:val="Navaden"/>
    <w:qFormat/>
    <w:rsid w:val="00115F62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115F62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115F62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115F62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115F62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115F62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115F62"/>
    <w:rPr>
      <w:rFonts w:ascii="Arial" w:eastAsia="Times New Roman" w:hAnsi="Arial" w:cs="Times New Roman"/>
    </w:rPr>
  </w:style>
  <w:style w:type="paragraph" w:customStyle="1" w:styleId="len">
    <w:name w:val="Člen"/>
    <w:basedOn w:val="Navaden"/>
    <w:link w:val="lenZnak"/>
    <w:qFormat/>
    <w:rsid w:val="00115F62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115F62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115F62"/>
    <w:pPr>
      <w:spacing w:before="0"/>
    </w:pPr>
  </w:style>
  <w:style w:type="paragraph" w:customStyle="1" w:styleId="Pravnapodlaga">
    <w:name w:val="Pravna podlaga"/>
    <w:basedOn w:val="Odstavek"/>
    <w:link w:val="PravnapodlagaZnak"/>
    <w:qFormat/>
    <w:rsid w:val="00115F62"/>
    <w:pPr>
      <w:spacing w:before="480"/>
    </w:pPr>
    <w:rPr>
      <w:rFonts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115F62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115F62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115F62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115F62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115F62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115F62"/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115F62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115F62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115F62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Čučnik Zgonec</dc:creator>
  <cp:keywords/>
  <dc:description/>
  <cp:lastModifiedBy>Mojca Čučnik Zgonec</cp:lastModifiedBy>
  <cp:revision>4</cp:revision>
  <dcterms:created xsi:type="dcterms:W3CDTF">2024-04-09T07:43:00Z</dcterms:created>
  <dcterms:modified xsi:type="dcterms:W3CDTF">2024-04-10T08:58:00Z</dcterms:modified>
</cp:coreProperties>
</file>