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33D962" w14:textId="77777777" w:rsidR="0005509F" w:rsidRPr="00A9231D" w:rsidRDefault="0005509F" w:rsidP="0005509F">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57BE434B" wp14:editId="3928758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A277E5B" w14:textId="6030A6DC" w:rsidR="0005509F" w:rsidRPr="00A9231D" w:rsidRDefault="0005509F" w:rsidP="0005509F">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8276FA1" w14:textId="457E2D53" w:rsidR="0005509F" w:rsidRPr="00A9231D" w:rsidRDefault="0005509F" w:rsidP="0005509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BF25604" w14:textId="149D961B" w:rsidR="0005509F" w:rsidRPr="00A9231D" w:rsidRDefault="0005509F" w:rsidP="0005509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ADAD230" w14:textId="7C945230" w:rsidR="0005509F" w:rsidRPr="00A9231D" w:rsidRDefault="0005509F" w:rsidP="0005509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9A540D6" w14:textId="77777777" w:rsidR="00F10E2E" w:rsidRDefault="00F10E2E" w:rsidP="00410F22">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p>
    <w:p w14:paraId="5F741386" w14:textId="77777777" w:rsidR="0005509F" w:rsidRDefault="0005509F" w:rsidP="00410F22">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p>
    <w:p w14:paraId="3CA4E8E6" w14:textId="77777777" w:rsidR="0005509F" w:rsidRPr="002760DC" w:rsidRDefault="0005509F" w:rsidP="0005509F">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2023-2711-0034</w:t>
      </w:r>
    </w:p>
    <w:p w14:paraId="1D8793C7" w14:textId="77777777" w:rsidR="0005509F" w:rsidRPr="002760DC" w:rsidRDefault="0005509F" w:rsidP="0005509F">
      <w:pPr>
        <w:pStyle w:val="datumtevilka"/>
      </w:pPr>
      <w:r w:rsidRPr="002760DC">
        <w:t xml:space="preserve">Številka: </w:t>
      </w:r>
      <w:r w:rsidRPr="002760DC">
        <w:tab/>
      </w:r>
      <w:r>
        <w:rPr>
          <w:rFonts w:cs="Arial"/>
          <w:color w:val="000000"/>
        </w:rPr>
        <w:t>00704-298/2023/19</w:t>
      </w:r>
    </w:p>
    <w:p w14:paraId="753CF30F" w14:textId="77777777" w:rsidR="0005509F" w:rsidRPr="002760DC" w:rsidRDefault="0005509F" w:rsidP="0005509F">
      <w:pPr>
        <w:pStyle w:val="datumtevilka"/>
      </w:pPr>
      <w:r>
        <w:t>Datum:</w:t>
      </w:r>
      <w:r w:rsidRPr="002760DC">
        <w:tab/>
      </w:r>
      <w:r>
        <w:rPr>
          <w:rFonts w:cs="Arial"/>
          <w:color w:val="000000"/>
        </w:rPr>
        <w:t>6. 3. 2024</w:t>
      </w:r>
      <w:r w:rsidRPr="002760DC">
        <w:t xml:space="preserve"> </w:t>
      </w:r>
    </w:p>
    <w:p w14:paraId="3E458860" w14:textId="77777777" w:rsidR="0005509F" w:rsidRPr="002760DC" w:rsidRDefault="0005509F" w:rsidP="0005509F"/>
    <w:p w14:paraId="10E85AA7" w14:textId="4FD6A52B" w:rsidR="0005509F" w:rsidRPr="0005509F" w:rsidRDefault="0005509F" w:rsidP="0005509F">
      <w:pPr>
        <w:jc w:val="center"/>
        <w:rPr>
          <w:rFonts w:ascii="Arial" w:hAnsi="Arial" w:cs="Arial"/>
          <w:b/>
          <w:sz w:val="20"/>
          <w:szCs w:val="20"/>
        </w:rPr>
      </w:pPr>
      <w:r w:rsidRPr="0005509F">
        <w:rPr>
          <w:rFonts w:ascii="Arial" w:hAnsi="Arial" w:cs="Arial"/>
          <w:b/>
          <w:sz w:val="20"/>
          <w:szCs w:val="20"/>
        </w:rPr>
        <w:t>Predlog</w:t>
      </w:r>
      <w:r w:rsidR="009A6E23">
        <w:rPr>
          <w:rFonts w:ascii="Arial" w:hAnsi="Arial" w:cs="Arial"/>
          <w:b/>
          <w:sz w:val="20"/>
          <w:szCs w:val="20"/>
        </w:rPr>
        <w:t>i</w:t>
      </w:r>
      <w:bookmarkStart w:id="1" w:name="_GoBack"/>
      <w:bookmarkEnd w:id="1"/>
      <w:r w:rsidRPr="0005509F">
        <w:rPr>
          <w:rFonts w:ascii="Arial" w:hAnsi="Arial" w:cs="Arial"/>
          <w:b/>
          <w:sz w:val="20"/>
          <w:szCs w:val="20"/>
        </w:rPr>
        <w:t xml:space="preserve"> amandmajev k Predlogu zakona o spremembah in dopolnitvah Zakona o omejevanju uporabe tobačnih in povezanih izdelkov, EPA 1145-IX</w:t>
      </w:r>
    </w:p>
    <w:p w14:paraId="25515C63" w14:textId="77777777" w:rsidR="004136BF" w:rsidRPr="00410F22" w:rsidRDefault="004136BF" w:rsidP="00410F22">
      <w:pPr>
        <w:spacing w:after="0" w:line="260" w:lineRule="exact"/>
        <w:jc w:val="both"/>
        <w:rPr>
          <w:rFonts w:ascii="Arial" w:hAnsi="Arial" w:cs="Arial"/>
          <w:sz w:val="20"/>
          <w:szCs w:val="20"/>
        </w:rPr>
      </w:pPr>
    </w:p>
    <w:p w14:paraId="49C2B1C8" w14:textId="77777777" w:rsidR="00410F22" w:rsidRPr="00A66402" w:rsidRDefault="00410F22" w:rsidP="00A66402">
      <w:pPr>
        <w:pStyle w:val="Brezrazmikov"/>
        <w:spacing w:line="260" w:lineRule="exact"/>
        <w:jc w:val="both"/>
        <w:rPr>
          <w:rFonts w:ascii="Arial" w:hAnsi="Arial" w:cs="Arial"/>
          <w:b/>
          <w:bCs/>
          <w:sz w:val="20"/>
          <w:szCs w:val="20"/>
          <w:u w:val="single"/>
        </w:rPr>
      </w:pPr>
      <w:r w:rsidRPr="00A66402">
        <w:rPr>
          <w:rFonts w:ascii="Arial" w:hAnsi="Arial" w:cs="Arial"/>
          <w:b/>
          <w:bCs/>
          <w:sz w:val="20"/>
          <w:szCs w:val="20"/>
          <w:u w:val="single"/>
        </w:rPr>
        <w:t>K 2. členu:</w:t>
      </w:r>
    </w:p>
    <w:p w14:paraId="4D2B1D2C" w14:textId="77777777" w:rsidR="00410F22" w:rsidRPr="00A66402" w:rsidRDefault="00410F22" w:rsidP="00A66402">
      <w:pPr>
        <w:pStyle w:val="Brezrazmikov"/>
        <w:spacing w:line="260" w:lineRule="exact"/>
        <w:jc w:val="both"/>
        <w:rPr>
          <w:rFonts w:ascii="Arial" w:hAnsi="Arial" w:cs="Arial"/>
          <w:sz w:val="20"/>
          <w:szCs w:val="20"/>
        </w:rPr>
      </w:pPr>
    </w:p>
    <w:p w14:paraId="0A0B00D2" w14:textId="77777777" w:rsidR="00410F22" w:rsidRPr="00A66402" w:rsidRDefault="00410F22" w:rsidP="00A66402">
      <w:pPr>
        <w:pStyle w:val="Brezrazmikov"/>
        <w:spacing w:line="260" w:lineRule="exact"/>
        <w:jc w:val="both"/>
        <w:rPr>
          <w:rFonts w:ascii="Arial" w:hAnsi="Arial" w:cs="Arial"/>
          <w:sz w:val="20"/>
          <w:szCs w:val="20"/>
        </w:rPr>
      </w:pPr>
      <w:r w:rsidRPr="00A66402">
        <w:rPr>
          <w:rFonts w:ascii="Arial" w:hAnsi="Arial" w:cs="Arial"/>
          <w:sz w:val="20"/>
          <w:szCs w:val="20"/>
        </w:rPr>
        <w:t xml:space="preserve">2. člen se spremeni tako, da se glasi: </w:t>
      </w:r>
    </w:p>
    <w:p w14:paraId="632B37FA" w14:textId="77777777" w:rsidR="00410F22" w:rsidRPr="00A66402" w:rsidRDefault="00410F22" w:rsidP="00A66402">
      <w:pPr>
        <w:pStyle w:val="Brezrazmikov"/>
        <w:spacing w:line="260" w:lineRule="exact"/>
        <w:jc w:val="both"/>
        <w:rPr>
          <w:rFonts w:ascii="Arial" w:hAnsi="Arial" w:cs="Arial"/>
          <w:sz w:val="20"/>
          <w:szCs w:val="20"/>
        </w:rPr>
      </w:pPr>
    </w:p>
    <w:p w14:paraId="0C0F5ACC" w14:textId="77777777" w:rsidR="00410F22" w:rsidRPr="00A66402" w:rsidRDefault="00410F22" w:rsidP="00A66402">
      <w:pPr>
        <w:pStyle w:val="Brezrazmikov"/>
        <w:spacing w:line="260" w:lineRule="exact"/>
        <w:jc w:val="both"/>
        <w:rPr>
          <w:rFonts w:ascii="Arial" w:eastAsia="Arial" w:hAnsi="Arial" w:cs="Arial"/>
          <w:color w:val="000000"/>
          <w:sz w:val="20"/>
          <w:szCs w:val="20"/>
          <w:lang w:eastAsia="sl-SI"/>
        </w:rPr>
      </w:pPr>
      <w:r w:rsidRPr="00A66402">
        <w:rPr>
          <w:rFonts w:ascii="Arial" w:hAnsi="Arial" w:cs="Arial"/>
          <w:sz w:val="20"/>
          <w:szCs w:val="20"/>
        </w:rPr>
        <w:t>»</w:t>
      </w:r>
      <w:r w:rsidRPr="00A66402">
        <w:rPr>
          <w:rFonts w:ascii="Arial" w:eastAsia="Arial" w:hAnsi="Arial" w:cs="Arial"/>
          <w:color w:val="000000"/>
          <w:sz w:val="20"/>
          <w:szCs w:val="20"/>
          <w:lang w:eastAsia="sl-SI"/>
        </w:rPr>
        <w:t>V 3. členu se 12. točka prvega odstavka zakona spremeni tako, da se glasi:</w:t>
      </w:r>
    </w:p>
    <w:p w14:paraId="441B09F1" w14:textId="77777777" w:rsidR="00410F22" w:rsidRPr="00A66402" w:rsidRDefault="00410F22" w:rsidP="00A66402">
      <w:pPr>
        <w:pStyle w:val="Brezrazmikov"/>
        <w:spacing w:line="260" w:lineRule="exact"/>
        <w:ind w:firstLine="708"/>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»Elektronska cigareta je izdelek, ki se lahko uporablja za vdihovanje hlapov, ki vsebujejo nikotin, skozi ustnik ali kateri koli sestavni del tega izdelka, vključno s polnilom, rezervoarjem in napravo brez polnila ali rezervoarja. Elektronske cigarete so lahko take, da se po uporabi zavržejo ali pa se ponovno napolnijo s pomočjo posodice za ponovno polnjenje in rezervoarja ali pa se lahko napolnijo s polnili za enkratno uporabo.«.</w:t>
      </w:r>
    </w:p>
    <w:p w14:paraId="5C59477A" w14:textId="77777777" w:rsidR="00410F22" w:rsidRPr="00A66402" w:rsidRDefault="00410F22" w:rsidP="00A66402">
      <w:pPr>
        <w:pStyle w:val="Brezrazmikov"/>
        <w:spacing w:line="260" w:lineRule="exact"/>
        <w:ind w:firstLine="708"/>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Za 12. točko se doda nova 12.a točka, ki se glasi:</w:t>
      </w:r>
    </w:p>
    <w:p w14:paraId="681806DC" w14:textId="77777777" w:rsidR="00410F22" w:rsidRPr="00A66402" w:rsidRDefault="00410F22" w:rsidP="00A66402">
      <w:pPr>
        <w:pStyle w:val="Brezrazmikov"/>
        <w:spacing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»12.a Elektronska cigareta brez nikotina je izdelek, ki se lahko uporablja za vdihovanje hlapov, ki ne vsebujejo nikotina, skozi ustnik ali katerikoli sestavni del tega izdelka, vključno s polnilom, rezervoarjem in napravo brez polnila ali rezervoarja. Elektronske cigarete so lahko take, da se po uporabi zavržejo ali pa se ponovno napolnijo s pomočjo posodice za ponovno polnjenje in rezervoarja ali pa se lahko napolnijo s polnili za enkratno uporabo.«.</w:t>
      </w:r>
    </w:p>
    <w:p w14:paraId="7CCC0334" w14:textId="77777777" w:rsidR="00410F22" w:rsidRPr="00A66402" w:rsidRDefault="00410F22" w:rsidP="00A66402">
      <w:pPr>
        <w:pStyle w:val="Brezrazmikov"/>
        <w:spacing w:line="260" w:lineRule="exact"/>
        <w:ind w:firstLine="708"/>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 xml:space="preserve">17. točka se črta. </w:t>
      </w:r>
    </w:p>
    <w:p w14:paraId="39A3E790" w14:textId="77777777" w:rsidR="00410F22" w:rsidRPr="00A66402" w:rsidRDefault="00410F22" w:rsidP="00A66402">
      <w:pPr>
        <w:pStyle w:val="Brezrazmikov"/>
        <w:spacing w:line="260" w:lineRule="exact"/>
        <w:ind w:firstLine="708"/>
        <w:jc w:val="both"/>
        <w:rPr>
          <w:rFonts w:ascii="Arial" w:hAnsi="Arial" w:cs="Arial"/>
          <w:sz w:val="20"/>
          <w:szCs w:val="20"/>
        </w:rPr>
      </w:pPr>
      <w:r w:rsidRPr="00A66402">
        <w:rPr>
          <w:rFonts w:ascii="Arial" w:hAnsi="Arial" w:cs="Arial"/>
          <w:sz w:val="20"/>
          <w:szCs w:val="20"/>
        </w:rPr>
        <w:t>Za 19. točko se doda nova, 19.a točka, ki se glasi:</w:t>
      </w:r>
    </w:p>
    <w:p w14:paraId="5FF75AF3" w14:textId="77777777" w:rsidR="00410F22" w:rsidRPr="00A66402" w:rsidRDefault="00410F22" w:rsidP="00A66402">
      <w:pPr>
        <w:pStyle w:val="Brezrazmikov"/>
        <w:spacing w:line="260" w:lineRule="exact"/>
        <w:jc w:val="both"/>
        <w:rPr>
          <w:rFonts w:ascii="Arial" w:hAnsi="Arial" w:cs="Arial"/>
          <w:sz w:val="20"/>
          <w:szCs w:val="20"/>
        </w:rPr>
      </w:pPr>
      <w:r w:rsidRPr="00A66402">
        <w:rPr>
          <w:rFonts w:ascii="Arial" w:hAnsi="Arial" w:cs="Arial"/>
          <w:sz w:val="20"/>
          <w:szCs w:val="20"/>
        </w:rPr>
        <w:t>»19.a Novi nikotinski izdelek je izdelek, ki ne spada v nobeno od naslednjih kategorij izdelkov, ki vsebujejo nikotin, vendar ne vsebujejo tobaka: elektronske cigarete, posodice za ponovno polnjenje in registrirani izdelki za nikotinsko nadomestno zdravljenje.«.</w:t>
      </w:r>
    </w:p>
    <w:p w14:paraId="2F68FBBD" w14:textId="77777777" w:rsidR="00410F22" w:rsidRPr="00A66402" w:rsidRDefault="00410F22" w:rsidP="00A66402">
      <w:pPr>
        <w:pStyle w:val="Brezrazmikov"/>
        <w:spacing w:line="260" w:lineRule="exact"/>
        <w:ind w:firstLine="708"/>
        <w:jc w:val="both"/>
        <w:rPr>
          <w:rFonts w:ascii="Arial" w:hAnsi="Arial" w:cs="Arial"/>
          <w:sz w:val="20"/>
          <w:szCs w:val="20"/>
        </w:rPr>
      </w:pPr>
      <w:r w:rsidRPr="00A66402">
        <w:rPr>
          <w:rFonts w:ascii="Arial" w:hAnsi="Arial" w:cs="Arial"/>
          <w:sz w:val="20"/>
          <w:szCs w:val="20"/>
        </w:rPr>
        <w:t>Za 22. točko se doda nova, 22.a točka, ki se glasi:</w:t>
      </w:r>
    </w:p>
    <w:p w14:paraId="698E44DE" w14:textId="77777777" w:rsidR="00410F22" w:rsidRPr="00A66402" w:rsidRDefault="00410F22" w:rsidP="00A66402">
      <w:pPr>
        <w:pStyle w:val="Brezrazmikov"/>
        <w:spacing w:line="260" w:lineRule="exact"/>
        <w:jc w:val="both"/>
        <w:rPr>
          <w:rFonts w:ascii="Arial" w:hAnsi="Arial" w:cs="Arial"/>
          <w:sz w:val="20"/>
          <w:szCs w:val="20"/>
        </w:rPr>
      </w:pPr>
      <w:r w:rsidRPr="00A66402">
        <w:rPr>
          <w:rFonts w:ascii="Arial" w:hAnsi="Arial" w:cs="Arial"/>
          <w:sz w:val="20"/>
          <w:szCs w:val="20"/>
        </w:rPr>
        <w:t>»22.a Ogrevani tobačni izdelek je nov tobačni izdelek, ki se segreva, da proizvede emisijo, ki vsebuje nikotin in druge kemikalije in ki jo uporabnik nato vdihne, in je, odvisno od njegovih značilnosti, brezdimni tobačni izdelek ali tobačni izdelek za kajenje.«.</w:t>
      </w:r>
    </w:p>
    <w:p w14:paraId="11F4F63B" w14:textId="77777777" w:rsidR="00410F22" w:rsidRPr="00A66402" w:rsidRDefault="00410F22" w:rsidP="00A66402">
      <w:pPr>
        <w:pStyle w:val="Brezrazmikov"/>
        <w:spacing w:line="260" w:lineRule="exact"/>
        <w:ind w:firstLine="708"/>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Za 23. točko se doda nova 23.a točka, ki se glasi:</w:t>
      </w:r>
    </w:p>
    <w:p w14:paraId="7D96F964" w14:textId="77777777" w:rsidR="00410F22" w:rsidRPr="00A66402" w:rsidRDefault="00410F22" w:rsidP="00A66402">
      <w:pPr>
        <w:pStyle w:val="Brezrazmikov"/>
        <w:spacing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»23.a Posodica za ponovno polnjenje brez nikotina je embalaža, ki vsebuje tekočino brez nikotina, ki se lahko uporablja za ponovno polnjenje elektronskih cigaret.«.</w:t>
      </w:r>
    </w:p>
    <w:p w14:paraId="23EA67DE" w14:textId="77777777" w:rsidR="00410F22" w:rsidRPr="00A66402" w:rsidRDefault="00410F22" w:rsidP="00A66402">
      <w:pPr>
        <w:pStyle w:val="Brezrazmikov"/>
        <w:spacing w:line="260" w:lineRule="exact"/>
        <w:ind w:firstLine="708"/>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25. točka se spremeni tako, da se glasi:</w:t>
      </w:r>
    </w:p>
    <w:p w14:paraId="729F70E9" w14:textId="77777777" w:rsidR="00410F22" w:rsidRPr="00A66402" w:rsidRDefault="00410F22" w:rsidP="00A66402">
      <w:pPr>
        <w:pStyle w:val="Brezrazmikov"/>
        <w:spacing w:line="260" w:lineRule="exact"/>
        <w:jc w:val="both"/>
        <w:rPr>
          <w:rFonts w:ascii="Arial" w:hAnsi="Arial" w:cs="Arial"/>
          <w:sz w:val="20"/>
          <w:szCs w:val="20"/>
        </w:rPr>
      </w:pPr>
      <w:r w:rsidRPr="00A66402">
        <w:rPr>
          <w:rFonts w:ascii="Arial" w:eastAsia="Arial" w:hAnsi="Arial" w:cs="Arial"/>
          <w:color w:val="000000"/>
          <w:sz w:val="20"/>
          <w:szCs w:val="20"/>
          <w:lang w:eastAsia="sl-SI"/>
        </w:rPr>
        <w:t>»25. Povezani izdelki v skladu z Direktivo 2014/40/EU so elektronske cigarete in posodice za ponovno polnjenje, ter zeliščni izdelki za kajenje. V skladu s tem zakonom so povezani izdelki tudi elektronske cigarete brez nikotina in posodice za ponovno polnjenje brez nikotina, zeliščni izdelki za segrevanje, novi tobačni izdelki, novi nikotinski izdelki.  V skladu s tem zakonom so povezani izdelki tudi pripomočki</w:t>
      </w:r>
      <w:r w:rsidRPr="00A66402">
        <w:rPr>
          <w:rFonts w:ascii="Arial" w:eastAsia="Times New Roman" w:hAnsi="Arial" w:cs="Arial"/>
          <w:sz w:val="20"/>
          <w:szCs w:val="20"/>
        </w:rPr>
        <w:t xml:space="preserve"> </w:t>
      </w:r>
      <w:r w:rsidRPr="00A66402">
        <w:rPr>
          <w:rFonts w:ascii="Arial" w:eastAsia="Arial" w:hAnsi="Arial" w:cs="Arial"/>
          <w:color w:val="000000"/>
          <w:sz w:val="20"/>
          <w:szCs w:val="20"/>
          <w:lang w:eastAsia="sl-SI"/>
        </w:rPr>
        <w:t>oziroma naprave za uporabo povezanih izdelkov iz prvega stavka in prejšnjega stavka te točke, brez katerih povezanih izdelkov ni mogoče uporabljati.«.</w:t>
      </w:r>
    </w:p>
    <w:p w14:paraId="69BB7C80" w14:textId="77777777" w:rsidR="00410F22" w:rsidRPr="00A66402" w:rsidRDefault="00410F22" w:rsidP="00A66402">
      <w:pPr>
        <w:pStyle w:val="Brezrazmikov"/>
        <w:spacing w:line="260" w:lineRule="exact"/>
        <w:ind w:firstLine="708"/>
        <w:jc w:val="both"/>
        <w:rPr>
          <w:rFonts w:ascii="Arial" w:hAnsi="Arial" w:cs="Arial"/>
          <w:sz w:val="20"/>
          <w:szCs w:val="20"/>
        </w:rPr>
      </w:pPr>
      <w:r w:rsidRPr="00A66402">
        <w:rPr>
          <w:rFonts w:ascii="Arial" w:hAnsi="Arial" w:cs="Arial"/>
          <w:sz w:val="20"/>
          <w:szCs w:val="20"/>
        </w:rPr>
        <w:t>40. točka se spremeni tako, da se glasi:</w:t>
      </w:r>
    </w:p>
    <w:p w14:paraId="58A41D08" w14:textId="77777777" w:rsidR="00410F22" w:rsidRPr="00A66402" w:rsidRDefault="00410F22" w:rsidP="00A66402">
      <w:pPr>
        <w:pStyle w:val="Brezrazmikov"/>
        <w:spacing w:line="260" w:lineRule="exact"/>
        <w:jc w:val="both"/>
        <w:rPr>
          <w:rFonts w:ascii="Arial" w:hAnsi="Arial" w:cs="Arial"/>
          <w:sz w:val="20"/>
          <w:szCs w:val="20"/>
        </w:rPr>
      </w:pPr>
      <w:r w:rsidRPr="00A66402">
        <w:rPr>
          <w:rFonts w:ascii="Arial" w:hAnsi="Arial" w:cs="Arial"/>
          <w:sz w:val="20"/>
          <w:szCs w:val="20"/>
        </w:rPr>
        <w:t>»40. Tobak za zvijanje je tobak, ki ga za zvijanje cigaret uporabljajo potrošniki ali prodajna mesta.«.</w:t>
      </w:r>
    </w:p>
    <w:p w14:paraId="2AFA9047" w14:textId="77777777" w:rsidR="00410F22" w:rsidRPr="00A66402" w:rsidRDefault="00410F22" w:rsidP="00A66402">
      <w:pPr>
        <w:pStyle w:val="Brezrazmikov"/>
        <w:spacing w:line="260" w:lineRule="exact"/>
        <w:jc w:val="both"/>
        <w:rPr>
          <w:rFonts w:ascii="Arial" w:hAnsi="Arial" w:cs="Arial"/>
          <w:sz w:val="20"/>
          <w:szCs w:val="20"/>
        </w:rPr>
      </w:pPr>
    </w:p>
    <w:p w14:paraId="697DBB7F" w14:textId="77777777" w:rsidR="00410F22" w:rsidRPr="00A66402" w:rsidRDefault="00410F22" w:rsidP="00A66402">
      <w:pPr>
        <w:pStyle w:val="Brezrazmikov"/>
        <w:spacing w:line="260" w:lineRule="exact"/>
        <w:ind w:firstLine="708"/>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Za 50. točko se doda nova 50.a točka, da se glasi:</w:t>
      </w:r>
    </w:p>
    <w:p w14:paraId="178EF0D3" w14:textId="77777777" w:rsidR="00410F22" w:rsidRPr="00A66402" w:rsidRDefault="00410F22" w:rsidP="00A66402">
      <w:pPr>
        <w:pStyle w:val="Brezrazmikov"/>
        <w:spacing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 xml:space="preserve">»50.a Zeliščni izdelek za segrevanje je izdelek na osnovi rastlin, zelišč ali sadja, ki ne vsebuje tobaka, pri uporabi katerega poteka postopek segrevanja.«.«. </w:t>
      </w:r>
    </w:p>
    <w:p w14:paraId="61B98187" w14:textId="77777777" w:rsidR="00410F22" w:rsidRPr="00A66402" w:rsidRDefault="00410F22" w:rsidP="00A66402">
      <w:pPr>
        <w:spacing w:after="0" w:line="260" w:lineRule="exact"/>
        <w:ind w:right="72"/>
        <w:jc w:val="both"/>
        <w:rPr>
          <w:rFonts w:ascii="Arial" w:hAnsi="Arial" w:cs="Arial"/>
          <w:b/>
          <w:bCs/>
          <w:sz w:val="20"/>
          <w:szCs w:val="20"/>
        </w:rPr>
      </w:pPr>
    </w:p>
    <w:p w14:paraId="24AAFEB2" w14:textId="77777777" w:rsidR="00410F22" w:rsidRPr="00A66402" w:rsidRDefault="00410F22" w:rsidP="00A66402">
      <w:pPr>
        <w:spacing w:after="0" w:line="260" w:lineRule="exact"/>
        <w:ind w:right="72"/>
        <w:jc w:val="both"/>
        <w:rPr>
          <w:rFonts w:ascii="Arial" w:hAnsi="Arial" w:cs="Arial"/>
          <w:b/>
          <w:bCs/>
          <w:sz w:val="20"/>
          <w:szCs w:val="20"/>
        </w:rPr>
      </w:pPr>
      <w:r w:rsidRPr="00A66402">
        <w:rPr>
          <w:rFonts w:ascii="Arial" w:hAnsi="Arial" w:cs="Arial"/>
          <w:b/>
          <w:bCs/>
          <w:sz w:val="20"/>
          <w:szCs w:val="20"/>
        </w:rPr>
        <w:t>Obrazložitev:</w:t>
      </w:r>
    </w:p>
    <w:p w14:paraId="5F470C9F"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 xml:space="preserve">Predlog zakona o spremembah in dopolnitvah Zakona o omejevanju uporabe tobačnih in povezanih izdelkov, s katerim se v nacionalni pravni red prenašata Direktiva 2014/40/EU, Delegirana direktiva Komisije (EU) 2022/2100 z dne 29. junija 2022 o spremembi Direktive 2014/40/EU Evropskega parlamenta in Sveta glede umika nekaterih izjem v zvezi z ogrevanimi tobačnimi izdelki  ter  določajo dodatni ukrepi na nacionalni ravni (v nadaljnjem besedilu: priglašeni predlog zakona) je bil 10. novembra 2023 v skladu z Direktivo (EU) 2015/1535 Evropskega parlamenta in Sveta z dne 9. septembra 2015 o določitvi postopka za zbiranje informacij na področju tehničnih predpisov in pravil za storitve informacijske družbe (kodificirano besedilo) v okviru postopka uradnega obveščanja priglašen Evropski komisiji. Na podlagi proučitve priglašenega predloga zakona je Evropska komisija (EK) izdala Uradno obvestilo 2023/0636/SI, št. C(2024) 755 </w:t>
      </w:r>
      <w:proofErr w:type="spellStart"/>
      <w:r w:rsidRPr="00A66402">
        <w:rPr>
          <w:rFonts w:ascii="Arial" w:hAnsi="Arial" w:cs="Arial"/>
          <w:sz w:val="20"/>
          <w:szCs w:val="20"/>
        </w:rPr>
        <w:t>final</w:t>
      </w:r>
      <w:proofErr w:type="spellEnd"/>
      <w:r w:rsidRPr="00A66402">
        <w:rPr>
          <w:rFonts w:ascii="Arial" w:hAnsi="Arial" w:cs="Arial"/>
          <w:sz w:val="20"/>
          <w:szCs w:val="20"/>
        </w:rPr>
        <w:t xml:space="preserve">, z dne 1. 2. 2024, v katerem navaja določene pripombe, ki se nanašajo na opredelitve določenih izrazov in zagotovitev jasne navedbe  zdravstvenega opozorila o vsebnosti nikotina (v nadaljnjem besedilu: uradno obvestilo EK).  </w:t>
      </w:r>
    </w:p>
    <w:p w14:paraId="43BC17B0" w14:textId="77777777" w:rsidR="00410F22" w:rsidRPr="00A66402" w:rsidRDefault="00410F22" w:rsidP="00A66402">
      <w:pPr>
        <w:spacing w:after="0" w:line="260" w:lineRule="exact"/>
        <w:ind w:right="72"/>
        <w:jc w:val="both"/>
        <w:rPr>
          <w:rFonts w:ascii="Arial" w:hAnsi="Arial" w:cs="Arial"/>
          <w:sz w:val="20"/>
          <w:szCs w:val="20"/>
        </w:rPr>
      </w:pPr>
    </w:p>
    <w:p w14:paraId="21E5924E"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 xml:space="preserve">Glede opredelitve izrazov EK meni, da se predlagane nove opredelitve razlikujejo od opredelitev iz Direktive 2014/40/EU in zato poziva, da naj zaradi zagotavljanja pravne jasnosti ne odstopamo od opredelitev iz navedene direktive. To se nanaša zlasti na: </w:t>
      </w:r>
    </w:p>
    <w:p w14:paraId="7F2A8C3B" w14:textId="77777777" w:rsidR="00410F22" w:rsidRPr="00A66402" w:rsidRDefault="00410F22" w:rsidP="00A66402">
      <w:pPr>
        <w:spacing w:after="0" w:line="260" w:lineRule="exact"/>
        <w:ind w:right="72"/>
        <w:jc w:val="both"/>
        <w:rPr>
          <w:rFonts w:ascii="Arial" w:hAnsi="Arial" w:cs="Arial"/>
          <w:sz w:val="20"/>
          <w:szCs w:val="20"/>
        </w:rPr>
      </w:pPr>
      <w:bookmarkStart w:id="2" w:name="_Hlk160136436"/>
      <w:r w:rsidRPr="00A66402">
        <w:rPr>
          <w:rFonts w:ascii="Arial" w:hAnsi="Arial" w:cs="Arial"/>
          <w:sz w:val="20"/>
          <w:szCs w:val="20"/>
        </w:rPr>
        <w:t>–</w:t>
      </w:r>
      <w:bookmarkEnd w:id="2"/>
      <w:r w:rsidRPr="00A66402">
        <w:rPr>
          <w:rFonts w:ascii="Arial" w:hAnsi="Arial" w:cs="Arial"/>
          <w:sz w:val="20"/>
          <w:szCs w:val="20"/>
        </w:rPr>
        <w:t xml:space="preserve"> spremembo 25. točke 3. člena veljavnega zakona (2. člen priglašenega predloga zakona), ki se nanaša na izraz »povezani izdelki«, ki naj bi bil širši od izraza, kot ga vsebuje Direktiva 2014/40/EU (Naslov III v zvezi s točko (f) 1. člena);</w:t>
      </w:r>
    </w:p>
    <w:p w14:paraId="1E52A1BB"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 xml:space="preserve">– spremembo 50. točke 3. člena veljavnega zakona (2. člen priglašenega predloga zakona) v delu »segrevanje ali« v zvezi z zeliščnimi izdelki za kajenje, prav tako širi izraz iz Direktive 2014/40/EU (15. točka 2. člena); </w:t>
      </w:r>
    </w:p>
    <w:p w14:paraId="631344CB"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 xml:space="preserve">– nedosledno in dvoumno rabo izrazov  »polnilo« in »druga snov«, za katera se v Direktivi 2014/40/EU uporablja zgolj izraz »polnilo«. Predlaga, da se namesto izraza »druga snov« razmisli o novem izrazu, ki se bo pomensko razlikoval od izraza »polnilo«. </w:t>
      </w:r>
    </w:p>
    <w:p w14:paraId="754312FC"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–zdravstveno opozorilo v predlagani spremembi 2. točke petega odstavka 26. člena veljavnega zakona (10. člen priglašenega predloga zakona), in sicer glede besedila »in v primeru vsebnosti nikotina«, glede katerega opozarjajo na neskladnost s členom 20(4)(b)(iii) Direktive 2014/40/EU.</w:t>
      </w:r>
    </w:p>
    <w:p w14:paraId="293C3553" w14:textId="77777777" w:rsidR="00410F22" w:rsidRPr="00A66402" w:rsidRDefault="00410F22" w:rsidP="00A66402">
      <w:pPr>
        <w:spacing w:after="0" w:line="260" w:lineRule="exact"/>
        <w:ind w:right="72"/>
        <w:jc w:val="both"/>
        <w:rPr>
          <w:rFonts w:ascii="Arial" w:hAnsi="Arial" w:cs="Arial"/>
          <w:sz w:val="20"/>
          <w:szCs w:val="20"/>
        </w:rPr>
      </w:pPr>
    </w:p>
    <w:p w14:paraId="05D67AA9"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 xml:space="preserve">V skladu z uradnim obvestilom EK se z amandmajem vsebinske narave k 2. členu priglašenega predloga zakona predlagajo novi izrazi v 3. členu veljavnega zakona, ki podpirajo ukrepe na nacionalni ravni. Gre za nove točke 12.a, 23.a in 50.a, ki se nanašajo na elektronske cigarete brez nikotina in posodice za polnjenje brez nikotina ter zeliščne izdelke za segrevanje. Gre tudi za dopolnitev 25. točke tako, da se med povezane izdelke vključuje tudi elektronske cigarete brez nikotina in posodice za ponovno polnjenje brez nikotina, zeliščne izdelke za segrevanje, nove tobačne izdelke in nove nikotinske izdelke. Opuščen je izraz »polnilo«. Zaradi navedenih amandmajev je treba </w:t>
      </w:r>
      <w:proofErr w:type="spellStart"/>
      <w:r w:rsidRPr="00A66402">
        <w:rPr>
          <w:rFonts w:ascii="Arial" w:hAnsi="Arial" w:cs="Arial"/>
          <w:sz w:val="20"/>
          <w:szCs w:val="20"/>
        </w:rPr>
        <w:t>amandmirati</w:t>
      </w:r>
      <w:proofErr w:type="spellEnd"/>
      <w:r w:rsidRPr="00A66402">
        <w:rPr>
          <w:rFonts w:ascii="Arial" w:hAnsi="Arial" w:cs="Arial"/>
          <w:sz w:val="20"/>
          <w:szCs w:val="20"/>
        </w:rPr>
        <w:t xml:space="preserve"> tudi 12. točko 3. člena veljavnega zakona in 10., 11., 18., 19., 22. in 23. člen priglašenega predloga zakona, kar pa ima redakcijsko naravo. </w:t>
      </w:r>
    </w:p>
    <w:p w14:paraId="102C6024" w14:textId="77777777" w:rsidR="00410F22" w:rsidRPr="00A66402" w:rsidRDefault="00410F22" w:rsidP="00A66402">
      <w:pPr>
        <w:spacing w:after="0" w:line="260" w:lineRule="exact"/>
        <w:ind w:right="72"/>
        <w:jc w:val="both"/>
        <w:rPr>
          <w:rFonts w:ascii="Arial" w:hAnsi="Arial" w:cs="Arial"/>
          <w:sz w:val="20"/>
          <w:szCs w:val="20"/>
        </w:rPr>
      </w:pPr>
    </w:p>
    <w:p w14:paraId="11710824"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EK ugotavlja, da priglašeni predlog zakona spreminja več opredelitev izrazov iz 3. člena Zakona o omejevanju uporabe tobačnih in povezanih izdelkov (UL RS, št. 9/17 in 29/17, v nadaljnjem besedilu: ZOUTPI) in da se te nove opredelitve razlikujejo od ustreznih opredelitev iz Direktive 2014/40/EU o približevanju zakonov in drugih predpisov držav članic o proizvodnji, predstavitvi in prodaji tobačnih in povezanih izdelkov in razveljavitvi Direktive 2001/37/ES (v nadaljevanju: direktiva). Za zagotovitev pravne jasnosti EK slovenske organe vabi naj ne odstopajo od opredelitev iz direktive.</w:t>
      </w:r>
    </w:p>
    <w:p w14:paraId="3852165C" w14:textId="77777777" w:rsidR="00410F22" w:rsidRPr="00A66402" w:rsidRDefault="00410F22" w:rsidP="00A66402">
      <w:pPr>
        <w:spacing w:after="0" w:line="260" w:lineRule="exact"/>
        <w:ind w:right="72"/>
        <w:jc w:val="both"/>
        <w:rPr>
          <w:rFonts w:ascii="Arial" w:hAnsi="Arial" w:cs="Arial"/>
          <w:sz w:val="20"/>
          <w:szCs w:val="20"/>
        </w:rPr>
      </w:pPr>
    </w:p>
    <w:p w14:paraId="403093A0"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lastRenderedPageBreak/>
        <w:t xml:space="preserve">V skladu s tem se izraz »elektronska cigareta« iz 12. točke 3. člena ZOUTPI popolnoma uskladi z izrazom »elektronska cigareta« iz 16. točke 2. člena direktive. Ker se na nacionalni ravni uvajajo ukrepi tudi za elektronske cigarete brez nikotina, se zaradi pravne jasnosti, kot poziva EK, doda novo opredelitev »elektronske cigarete brez nikotina« v novi 12.a točki 3. člena ZOUTPI.  Na ta način se ne spremeni oz. dopolni opredelitve izraza »elektronska cigareta« iz 16. točke 2. člena direktive, kot je bilo to storjeno v priglašenem predlogu zakona, ampak se za potrebe nacionalnih ukrepov uvede nov izraz »elektronska cigareta brez nikotina«. </w:t>
      </w:r>
    </w:p>
    <w:p w14:paraId="229C308D" w14:textId="77777777" w:rsidR="00410F22" w:rsidRPr="00A66402" w:rsidRDefault="00410F22" w:rsidP="00A66402">
      <w:pPr>
        <w:spacing w:after="0" w:line="260" w:lineRule="exact"/>
        <w:ind w:right="72"/>
        <w:jc w:val="both"/>
        <w:rPr>
          <w:rFonts w:ascii="Arial" w:hAnsi="Arial" w:cs="Arial"/>
          <w:sz w:val="20"/>
          <w:szCs w:val="20"/>
        </w:rPr>
      </w:pPr>
    </w:p>
    <w:p w14:paraId="5CFF5961"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 xml:space="preserve">Podobno se zaradi pravne jasnosti, namesto širjenja oz. dopolnjevanja izraza »posodica za ponovno polnjenje« iz 17. točke 2. člena direktive, 23. točko 3. člena ZOUTPI ohranja usklajeno z direktivo. Zaradi ukrepov, ki se  na nacionalni ravni uvajajo tudi za </w:t>
      </w:r>
      <w:proofErr w:type="spellStart"/>
      <w:r w:rsidRPr="00A66402">
        <w:rPr>
          <w:rFonts w:ascii="Arial" w:hAnsi="Arial" w:cs="Arial"/>
          <w:sz w:val="20"/>
          <w:szCs w:val="20"/>
        </w:rPr>
        <w:t>breznikotinske</w:t>
      </w:r>
      <w:proofErr w:type="spellEnd"/>
      <w:r w:rsidRPr="00A66402">
        <w:rPr>
          <w:rFonts w:ascii="Arial" w:hAnsi="Arial" w:cs="Arial"/>
          <w:sz w:val="20"/>
          <w:szCs w:val="20"/>
        </w:rPr>
        <w:t xml:space="preserve"> izdelke, pa se s 23.a točko 3. člena ZOUTPI uvede novo opredelitev »posodice za ponovno polnjenje brez nikotina«. Izraz »polnilo«, ki je bil  v priglašenem predlogu zakona  dodan v spremenjeno 23. točko 3. člena ZOUTPI, se zaradi pravne jasnosti opusti in novo opredelitev »posodica za ponovno polnjenje brez nikotina« bolje uskladi z izrazom »posodica za ponovno polnjenje« iz 17. točke 2. člena direktive.</w:t>
      </w:r>
    </w:p>
    <w:p w14:paraId="4B14B501" w14:textId="77777777" w:rsidR="00410F22" w:rsidRPr="00A66402" w:rsidRDefault="00410F22" w:rsidP="00A66402">
      <w:pPr>
        <w:spacing w:after="0" w:line="260" w:lineRule="exact"/>
        <w:ind w:right="72"/>
        <w:jc w:val="both"/>
        <w:rPr>
          <w:rFonts w:ascii="Arial" w:hAnsi="Arial" w:cs="Arial"/>
          <w:sz w:val="20"/>
          <w:szCs w:val="20"/>
        </w:rPr>
      </w:pPr>
    </w:p>
    <w:p w14:paraId="7470CE3D"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EK je posebej opozorila na 25. točko 3. člena ZOUTPI, ki opredeljuje povezane izdelke. Čeprav direktiva ne opredeljuje izrecno »povezanih izdelkov«, je iz člena 1(f) in naslova III. direktive razvidno, da se izraz nanaša na elektronske cigarete in posodice za ponovno polnjenje ter zeliščne izdelke za kajenje. V priglašenem predlogu zakona pa je izraz »povezani izdelki« širši in zajema tudi nove tobačne in nove nikotinske izdelke, vključno z njihovimi pripomočki ali napravami za njihovo uporabo. Za zagotovitev pravne varnosti EK slovenske organe vabi, naj zagotovijo, da opredelitev „povezanih izdelkov“ ne bo povzročila zmede glede področja uporabe in ustreznih zahtev za tobačne in povezane izdelke iz direktive. Z namenom upoštevanja tega predloga EK se v definicijo jasno navede, kateri so povezani izdelki v skladu z direktivo in kateri so povezani izdelki, na katere se nanašajo nacionalne določbe zakona.</w:t>
      </w:r>
    </w:p>
    <w:p w14:paraId="26A4E310" w14:textId="77777777" w:rsidR="00410F22" w:rsidRPr="00A66402" w:rsidRDefault="00410F22" w:rsidP="00A66402">
      <w:pPr>
        <w:spacing w:after="0" w:line="260" w:lineRule="exact"/>
        <w:ind w:right="72"/>
        <w:jc w:val="both"/>
        <w:rPr>
          <w:rFonts w:ascii="Arial" w:hAnsi="Arial" w:cs="Arial"/>
          <w:sz w:val="20"/>
          <w:szCs w:val="20"/>
        </w:rPr>
      </w:pPr>
    </w:p>
    <w:p w14:paraId="1EA79BAE"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EK je ugotovila tudi, da v priglašenem predlogu zakona z dodajanjem pojma »segrevanje« širimo opredelitev zeliščnega izdelka za kajenje tako, da ta opredelitev ni več skladna s 15. točko 2. člena direktive, ki opredeljuje zeliščne izdelke za kajenje kot izdelke na osnovi rastlin, zelišč ali sadja, ki ne vsebujejo tobaka, pri uporabi katerih poteka postopek zgorevanja. EK ugotavlja, da širjenje opredelitve zeliščnega izdelka za kajenje v priglašenem predlogu zakona lahko povzroči zmedo. EK navaja, da če se zadevni zeliščni izdelek segreje, vendar ga ni mogoče zaužiti s postopkom zgorevanja, ni zeliščni izdelek za kajenje. Z namenom zagotovitve pravne jasnosti se 50. točko 3. člena ZOUTPI, ki, v skladu s 15. točko 2. člena direktive, opredeljuje zeliščne izdelke za kajenje ohrani nedotaknjeno, doda pa se novo 50.a točko in uvede opredelitev izraza »zeliščni izdelek za segrevanje« za katere bodo veljale nacionalne določbe.</w:t>
      </w:r>
    </w:p>
    <w:p w14:paraId="1F0C24E6" w14:textId="77777777" w:rsidR="00410F22" w:rsidRPr="00A66402" w:rsidRDefault="00410F22" w:rsidP="00A66402">
      <w:pPr>
        <w:spacing w:after="0" w:line="260" w:lineRule="exact"/>
        <w:ind w:right="72"/>
        <w:jc w:val="both"/>
        <w:rPr>
          <w:rFonts w:ascii="Arial" w:hAnsi="Arial" w:cs="Arial"/>
          <w:b/>
          <w:bCs/>
          <w:sz w:val="20"/>
          <w:szCs w:val="20"/>
          <w:u w:val="single"/>
        </w:rPr>
      </w:pPr>
    </w:p>
    <w:p w14:paraId="2FF0585C" w14:textId="77777777" w:rsidR="00410F22" w:rsidRPr="00A66402" w:rsidRDefault="00410F22" w:rsidP="00A66402">
      <w:pPr>
        <w:pStyle w:val="Brezrazmikov"/>
        <w:spacing w:line="260" w:lineRule="exact"/>
        <w:rPr>
          <w:rFonts w:ascii="Arial" w:hAnsi="Arial" w:cs="Arial"/>
          <w:b/>
          <w:bCs/>
          <w:sz w:val="20"/>
          <w:szCs w:val="20"/>
          <w:u w:val="single"/>
        </w:rPr>
      </w:pPr>
      <w:r w:rsidRPr="00A66402">
        <w:rPr>
          <w:rFonts w:ascii="Arial" w:hAnsi="Arial" w:cs="Arial"/>
          <w:b/>
          <w:bCs/>
          <w:sz w:val="20"/>
          <w:szCs w:val="20"/>
          <w:u w:val="single"/>
        </w:rPr>
        <w:t>K 5. členu:</w:t>
      </w:r>
    </w:p>
    <w:p w14:paraId="327A7BDE" w14:textId="77777777" w:rsidR="00410F22" w:rsidRPr="00A66402" w:rsidRDefault="00410F22" w:rsidP="00A66402">
      <w:pPr>
        <w:pStyle w:val="Brezrazmikov"/>
        <w:spacing w:line="260" w:lineRule="exact"/>
        <w:rPr>
          <w:rFonts w:ascii="Arial" w:hAnsi="Arial" w:cs="Arial"/>
          <w:sz w:val="20"/>
          <w:szCs w:val="20"/>
        </w:rPr>
      </w:pPr>
    </w:p>
    <w:p w14:paraId="1FEEC134" w14:textId="77777777" w:rsidR="00410F22" w:rsidRPr="00A66402" w:rsidRDefault="00410F22" w:rsidP="00A66402">
      <w:pPr>
        <w:pStyle w:val="Brezrazmikov"/>
        <w:spacing w:line="260" w:lineRule="exact"/>
        <w:rPr>
          <w:rFonts w:ascii="Arial" w:hAnsi="Arial" w:cs="Arial"/>
          <w:sz w:val="20"/>
          <w:szCs w:val="20"/>
        </w:rPr>
      </w:pPr>
      <w:r w:rsidRPr="00A66402">
        <w:rPr>
          <w:rFonts w:ascii="Arial" w:hAnsi="Arial" w:cs="Arial"/>
          <w:sz w:val="20"/>
          <w:szCs w:val="20"/>
        </w:rPr>
        <w:t>5. člen se spremeni tako, da se glasi:</w:t>
      </w:r>
    </w:p>
    <w:p w14:paraId="25769B4B" w14:textId="77777777" w:rsidR="00410F22" w:rsidRPr="00A66402" w:rsidRDefault="00410F22" w:rsidP="00A66402">
      <w:pPr>
        <w:pStyle w:val="Brezrazmikov"/>
        <w:spacing w:line="260" w:lineRule="exact"/>
        <w:rPr>
          <w:rFonts w:ascii="Arial" w:hAnsi="Arial" w:cs="Arial"/>
          <w:sz w:val="20"/>
          <w:szCs w:val="20"/>
        </w:rPr>
      </w:pPr>
    </w:p>
    <w:p w14:paraId="523056F3" w14:textId="77777777" w:rsidR="00410F22" w:rsidRPr="00A66402" w:rsidRDefault="00410F22" w:rsidP="00A66402">
      <w:pPr>
        <w:pStyle w:val="Brezrazmikov"/>
        <w:spacing w:line="260" w:lineRule="exact"/>
        <w:rPr>
          <w:rFonts w:ascii="Arial" w:hAnsi="Arial" w:cs="Arial"/>
          <w:sz w:val="20"/>
          <w:szCs w:val="20"/>
        </w:rPr>
      </w:pPr>
      <w:r w:rsidRPr="00A66402">
        <w:rPr>
          <w:rFonts w:ascii="Arial" w:hAnsi="Arial" w:cs="Arial"/>
          <w:sz w:val="20"/>
          <w:szCs w:val="20"/>
        </w:rPr>
        <w:t>»V 13. členu se za šestim odstavkom doda nov sedmi odstavek, ki se glasi:</w:t>
      </w:r>
    </w:p>
    <w:p w14:paraId="238485CA" w14:textId="77777777" w:rsidR="00410F22" w:rsidRPr="00A66402" w:rsidRDefault="00410F22" w:rsidP="00A66402">
      <w:pPr>
        <w:pStyle w:val="Brezrazmikov"/>
        <w:spacing w:line="260" w:lineRule="exact"/>
        <w:ind w:firstLine="708"/>
        <w:rPr>
          <w:rFonts w:ascii="Arial" w:hAnsi="Arial" w:cs="Arial"/>
          <w:sz w:val="20"/>
          <w:szCs w:val="20"/>
        </w:rPr>
      </w:pPr>
      <w:r w:rsidRPr="00A66402">
        <w:rPr>
          <w:rFonts w:ascii="Arial" w:hAnsi="Arial" w:cs="Arial"/>
          <w:sz w:val="20"/>
          <w:szCs w:val="20"/>
        </w:rPr>
        <w:t>»Podobe zavojčkov in kakršne koli zunanje embalaže tobačnih izdelkov, ki so ciljno usmerjene na potrošnike, morajo biti skladne z določbami 2. oddelka (Označevanje in embalaža) II. poglavja tega zakona.«.«.</w:t>
      </w:r>
    </w:p>
    <w:p w14:paraId="2E0D643C" w14:textId="77777777" w:rsidR="00410F22" w:rsidRPr="00A66402" w:rsidRDefault="00410F22" w:rsidP="00A66402">
      <w:pPr>
        <w:pStyle w:val="Brezrazmikov"/>
        <w:spacing w:line="260" w:lineRule="exact"/>
        <w:rPr>
          <w:rFonts w:ascii="Arial" w:hAnsi="Arial" w:cs="Arial"/>
          <w:sz w:val="20"/>
          <w:szCs w:val="20"/>
        </w:rPr>
      </w:pPr>
    </w:p>
    <w:p w14:paraId="52CB2112" w14:textId="77777777" w:rsidR="00410F22" w:rsidRPr="00A66402" w:rsidRDefault="00410F22" w:rsidP="00A66402">
      <w:pPr>
        <w:spacing w:after="0" w:line="260" w:lineRule="exact"/>
        <w:jc w:val="both"/>
        <w:rPr>
          <w:rFonts w:ascii="Arial" w:eastAsia="Calibri" w:hAnsi="Arial" w:cs="Arial"/>
          <w:b/>
          <w:bCs/>
          <w:kern w:val="2"/>
          <w:sz w:val="20"/>
          <w:szCs w:val="20"/>
          <w14:ligatures w14:val="standardContextual"/>
        </w:rPr>
      </w:pPr>
      <w:r w:rsidRPr="00A66402">
        <w:rPr>
          <w:rFonts w:ascii="Arial" w:eastAsia="Calibri" w:hAnsi="Arial" w:cs="Arial"/>
          <w:b/>
          <w:bCs/>
          <w:kern w:val="2"/>
          <w:sz w:val="20"/>
          <w:szCs w:val="20"/>
          <w14:ligatures w14:val="standardContextual"/>
        </w:rPr>
        <w:t>Obrazložitev:</w:t>
      </w:r>
    </w:p>
    <w:p w14:paraId="55C0901F" w14:textId="77777777" w:rsidR="00410F22" w:rsidRPr="00A66402" w:rsidRDefault="00410F22" w:rsidP="00A66402">
      <w:pPr>
        <w:spacing w:after="0" w:line="260" w:lineRule="exact"/>
        <w:jc w:val="both"/>
        <w:rPr>
          <w:rFonts w:ascii="Arial" w:eastAsia="Calibri" w:hAnsi="Arial" w:cs="Arial"/>
          <w:kern w:val="2"/>
          <w:sz w:val="20"/>
          <w:szCs w:val="20"/>
          <w14:ligatures w14:val="standardContextual"/>
        </w:rPr>
      </w:pPr>
      <w:r w:rsidRPr="00A66402">
        <w:rPr>
          <w:rFonts w:ascii="Arial" w:eastAsia="Calibri" w:hAnsi="Arial" w:cs="Arial"/>
          <w:kern w:val="2"/>
          <w:sz w:val="20"/>
          <w:szCs w:val="20"/>
          <w14:ligatures w14:val="standardContextual"/>
        </w:rPr>
        <w:t xml:space="preserve">Predlagani amandma sledi mnenju </w:t>
      </w:r>
      <w:bookmarkStart w:id="3" w:name="_Hlk160478487"/>
      <w:r w:rsidRPr="00A66402">
        <w:rPr>
          <w:rFonts w:ascii="Arial" w:eastAsia="Calibri" w:hAnsi="Arial" w:cs="Arial"/>
          <w:kern w:val="2"/>
          <w:sz w:val="20"/>
          <w:szCs w:val="20"/>
          <w14:ligatures w14:val="standardContextual"/>
        </w:rPr>
        <w:t>Zakonodajno-pravne službe Državnega zbora (ZPS)</w:t>
      </w:r>
      <w:bookmarkEnd w:id="3"/>
      <w:r w:rsidRPr="00A66402">
        <w:rPr>
          <w:rFonts w:ascii="Arial" w:eastAsia="Calibri" w:hAnsi="Arial" w:cs="Arial"/>
          <w:kern w:val="2"/>
          <w:sz w:val="20"/>
          <w:szCs w:val="20"/>
          <w14:ligatures w14:val="standardContextual"/>
        </w:rPr>
        <w:t xml:space="preserve">, da je </w:t>
      </w:r>
      <w:proofErr w:type="spellStart"/>
      <w:r w:rsidRPr="00A66402">
        <w:rPr>
          <w:rFonts w:ascii="Arial" w:eastAsia="Calibri" w:hAnsi="Arial" w:cs="Arial"/>
          <w:kern w:val="2"/>
          <w:sz w:val="20"/>
          <w:szCs w:val="20"/>
          <w14:ligatures w14:val="standardContextual"/>
        </w:rPr>
        <w:t>nomotehnično</w:t>
      </w:r>
      <w:proofErr w:type="spellEnd"/>
      <w:r w:rsidRPr="00A66402">
        <w:rPr>
          <w:rFonts w:ascii="Arial" w:eastAsia="Calibri" w:hAnsi="Arial" w:cs="Arial"/>
          <w:kern w:val="2"/>
          <w:sz w:val="20"/>
          <w:szCs w:val="20"/>
          <w14:ligatures w14:val="standardContextual"/>
        </w:rPr>
        <w:t xml:space="preserve"> pravilno, da so podobe zavojčkov oziroma druge embalaže skladne z določbami 2. oddelka (Označevanje in embalaža) II. poglavja tega zakona, in se s predlaganim amandmajem popravlja prejšnje </w:t>
      </w:r>
      <w:proofErr w:type="spellStart"/>
      <w:r w:rsidRPr="00A66402">
        <w:rPr>
          <w:rFonts w:ascii="Arial" w:eastAsia="Calibri" w:hAnsi="Arial" w:cs="Arial"/>
          <w:kern w:val="2"/>
          <w:sz w:val="20"/>
          <w:szCs w:val="20"/>
          <w14:ligatures w14:val="standardContextual"/>
        </w:rPr>
        <w:t>nomotehnično</w:t>
      </w:r>
      <w:proofErr w:type="spellEnd"/>
      <w:r w:rsidRPr="00A66402">
        <w:rPr>
          <w:rFonts w:ascii="Arial" w:eastAsia="Calibri" w:hAnsi="Arial" w:cs="Arial"/>
          <w:kern w:val="2"/>
          <w:sz w:val="20"/>
          <w:szCs w:val="20"/>
          <w14:ligatures w14:val="standardContextual"/>
        </w:rPr>
        <w:t xml:space="preserve"> nepravilno besedilo, da morajo podobe zavojčkov oziroma druge embalaže biti v skladne z naslovom II. poglavja ZOUTPI. </w:t>
      </w:r>
    </w:p>
    <w:p w14:paraId="5765D445" w14:textId="77777777" w:rsidR="00410F22" w:rsidRPr="00A66402" w:rsidRDefault="00410F22" w:rsidP="00A66402">
      <w:pPr>
        <w:spacing w:after="0" w:line="260" w:lineRule="exact"/>
        <w:ind w:right="72"/>
        <w:jc w:val="both"/>
        <w:rPr>
          <w:rFonts w:ascii="Arial" w:hAnsi="Arial" w:cs="Arial"/>
          <w:b/>
          <w:bCs/>
          <w:sz w:val="20"/>
          <w:szCs w:val="20"/>
          <w:u w:val="single"/>
        </w:rPr>
      </w:pPr>
    </w:p>
    <w:p w14:paraId="788D4131" w14:textId="77777777" w:rsidR="00410F22" w:rsidRPr="00A66402" w:rsidRDefault="00410F22" w:rsidP="00A66402">
      <w:pPr>
        <w:spacing w:after="0" w:line="260" w:lineRule="exact"/>
        <w:ind w:right="72"/>
        <w:jc w:val="both"/>
        <w:rPr>
          <w:rFonts w:ascii="Arial" w:hAnsi="Arial" w:cs="Arial"/>
          <w:b/>
          <w:bCs/>
          <w:sz w:val="20"/>
          <w:szCs w:val="20"/>
          <w:u w:val="single"/>
        </w:rPr>
      </w:pPr>
      <w:r w:rsidRPr="00A66402">
        <w:rPr>
          <w:rFonts w:ascii="Arial" w:hAnsi="Arial" w:cs="Arial"/>
          <w:b/>
          <w:bCs/>
          <w:sz w:val="20"/>
          <w:szCs w:val="20"/>
          <w:u w:val="single"/>
        </w:rPr>
        <w:t xml:space="preserve">K 10. členu: </w:t>
      </w:r>
    </w:p>
    <w:p w14:paraId="5E0AE4BE" w14:textId="77777777" w:rsidR="00410F22" w:rsidRPr="00A66402" w:rsidRDefault="00410F22" w:rsidP="00A66402">
      <w:pPr>
        <w:spacing w:after="0" w:line="260" w:lineRule="exact"/>
        <w:ind w:right="72"/>
        <w:jc w:val="both"/>
        <w:rPr>
          <w:rFonts w:ascii="Arial" w:hAnsi="Arial" w:cs="Arial"/>
          <w:sz w:val="20"/>
          <w:szCs w:val="20"/>
        </w:rPr>
      </w:pPr>
    </w:p>
    <w:p w14:paraId="62F6353F" w14:textId="77777777" w:rsidR="00410F22" w:rsidRPr="00A66402" w:rsidRDefault="00410F22" w:rsidP="00A66402">
      <w:pPr>
        <w:pStyle w:val="Brezrazmikov"/>
        <w:spacing w:line="260" w:lineRule="exact"/>
        <w:rPr>
          <w:rFonts w:ascii="Arial" w:hAnsi="Arial" w:cs="Arial"/>
          <w:sz w:val="20"/>
          <w:szCs w:val="20"/>
        </w:rPr>
      </w:pPr>
      <w:r w:rsidRPr="00A66402">
        <w:rPr>
          <w:rFonts w:ascii="Arial" w:hAnsi="Arial" w:cs="Arial"/>
          <w:sz w:val="20"/>
          <w:szCs w:val="20"/>
        </w:rPr>
        <w:t>10. člen se spremeni tako, da se glasi:</w:t>
      </w:r>
    </w:p>
    <w:p w14:paraId="1A65A521" w14:textId="77777777" w:rsidR="00410F22" w:rsidRPr="00A66402" w:rsidRDefault="00410F22" w:rsidP="00A66402">
      <w:pPr>
        <w:pStyle w:val="Brezrazmikov"/>
        <w:spacing w:line="260" w:lineRule="exact"/>
        <w:rPr>
          <w:rFonts w:ascii="Arial" w:hAnsi="Arial" w:cs="Arial"/>
          <w:sz w:val="20"/>
          <w:szCs w:val="20"/>
        </w:rPr>
      </w:pPr>
    </w:p>
    <w:p w14:paraId="487CA467" w14:textId="77777777" w:rsidR="00410F22" w:rsidRPr="00A66402" w:rsidRDefault="00410F22" w:rsidP="00A66402">
      <w:pPr>
        <w:pStyle w:val="Brezrazmikov"/>
        <w:spacing w:line="260" w:lineRule="exact"/>
        <w:rPr>
          <w:rFonts w:ascii="Arial" w:hAnsi="Arial" w:cs="Arial"/>
          <w:sz w:val="20"/>
          <w:szCs w:val="20"/>
        </w:rPr>
      </w:pPr>
      <w:r w:rsidRPr="00A66402">
        <w:rPr>
          <w:rFonts w:ascii="Arial" w:hAnsi="Arial" w:cs="Arial"/>
          <w:sz w:val="20"/>
          <w:szCs w:val="20"/>
        </w:rPr>
        <w:t xml:space="preserve">»V 26. členu zakona se v tretjem odstavku napovedni stavek spremeni tako, da se glasi: </w:t>
      </w:r>
    </w:p>
    <w:p w14:paraId="70BBCCD8" w14:textId="77777777" w:rsidR="00410F22" w:rsidRPr="00A66402" w:rsidRDefault="00410F22" w:rsidP="00A66402">
      <w:pPr>
        <w:pStyle w:val="Brezrazmikov"/>
        <w:spacing w:line="260" w:lineRule="exact"/>
        <w:ind w:firstLine="708"/>
        <w:rPr>
          <w:rFonts w:ascii="Arial" w:hAnsi="Arial" w:cs="Arial"/>
          <w:sz w:val="20"/>
          <w:szCs w:val="20"/>
        </w:rPr>
      </w:pPr>
      <w:r w:rsidRPr="00A66402">
        <w:rPr>
          <w:rFonts w:ascii="Arial" w:hAnsi="Arial" w:cs="Arial"/>
          <w:sz w:val="20"/>
          <w:szCs w:val="20"/>
        </w:rPr>
        <w:t>»Elektronske cigarete, elektronske cigarete brez nikotina, posodice za ponovno polnjenje in posodice za ponovno polnjenje brez nikotina morajo izpolnjevati naslednje pogoje:«.</w:t>
      </w:r>
    </w:p>
    <w:p w14:paraId="6FAE7AF8" w14:textId="77777777" w:rsidR="00410F22" w:rsidRPr="00A66402" w:rsidRDefault="00410F22" w:rsidP="00A66402">
      <w:pPr>
        <w:pStyle w:val="Brezrazmikov"/>
        <w:spacing w:line="260" w:lineRule="exact"/>
        <w:ind w:firstLine="708"/>
        <w:rPr>
          <w:rFonts w:ascii="Arial" w:hAnsi="Arial" w:cs="Arial"/>
          <w:sz w:val="20"/>
          <w:szCs w:val="20"/>
        </w:rPr>
      </w:pPr>
      <w:r w:rsidRPr="00A66402">
        <w:rPr>
          <w:rFonts w:ascii="Arial" w:hAnsi="Arial" w:cs="Arial"/>
          <w:sz w:val="20"/>
          <w:szCs w:val="20"/>
          <w:lang w:eastAsia="sl-SI"/>
        </w:rPr>
        <w:t xml:space="preserve">1. točka se spremeni tako, da se glasi: </w:t>
      </w:r>
    </w:p>
    <w:p w14:paraId="13B069B8"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w:t>
      </w:r>
      <w:bookmarkStart w:id="4" w:name="_Hlk160295545"/>
      <w:r w:rsidRPr="00A66402">
        <w:rPr>
          <w:rFonts w:ascii="Arial" w:eastAsia="Arial" w:hAnsi="Arial" w:cs="Arial"/>
          <w:color w:val="000000"/>
          <w:sz w:val="20"/>
          <w:szCs w:val="20"/>
          <w:lang w:eastAsia="sl-SI"/>
        </w:rPr>
        <w:t>tekočina z nikotinom ali brez nikotina se da na trg v temu namenjenih posodicah za ponovno polnjenje s prostornino največ 10 ml. V elektronskih cigaretah za enkratno uporabo ali v polnilih za enkratno uporabo prostornina polnil ali rezervoarjev ne presega 2 ml;</w:t>
      </w:r>
      <w:bookmarkEnd w:id="4"/>
      <w:r w:rsidRPr="00A66402">
        <w:rPr>
          <w:rFonts w:ascii="Arial" w:eastAsia="Arial" w:hAnsi="Arial" w:cs="Arial"/>
          <w:color w:val="000000"/>
          <w:sz w:val="20"/>
          <w:szCs w:val="20"/>
          <w:lang w:eastAsia="sl-SI"/>
        </w:rPr>
        <w:t>«.</w:t>
      </w:r>
    </w:p>
    <w:p w14:paraId="71D4616D" w14:textId="77777777" w:rsidR="00410F22" w:rsidRPr="00A66402" w:rsidRDefault="00410F22" w:rsidP="00A66402">
      <w:pPr>
        <w:pBdr>
          <w:top w:val="nil"/>
          <w:left w:val="nil"/>
          <w:bottom w:val="nil"/>
          <w:right w:val="nil"/>
          <w:between w:val="nil"/>
        </w:pBdr>
        <w:spacing w:after="0" w:line="260" w:lineRule="exact"/>
        <w:ind w:firstLine="708"/>
        <w:jc w:val="both"/>
        <w:rPr>
          <w:rFonts w:ascii="Arial" w:hAnsi="Arial" w:cs="Arial"/>
          <w:sz w:val="20"/>
          <w:szCs w:val="20"/>
          <w:lang w:eastAsia="sl-SI"/>
        </w:rPr>
      </w:pPr>
      <w:r w:rsidRPr="00A66402">
        <w:rPr>
          <w:rFonts w:ascii="Arial" w:eastAsia="Arial" w:hAnsi="Arial" w:cs="Arial"/>
          <w:color w:val="000000"/>
          <w:sz w:val="20"/>
          <w:szCs w:val="20"/>
          <w:lang w:eastAsia="sl-SI"/>
        </w:rPr>
        <w:t xml:space="preserve">3. </w:t>
      </w:r>
      <w:r w:rsidRPr="00A66402">
        <w:rPr>
          <w:rFonts w:ascii="Arial" w:hAnsi="Arial" w:cs="Arial"/>
          <w:sz w:val="20"/>
          <w:szCs w:val="20"/>
          <w:lang w:eastAsia="sl-SI"/>
        </w:rPr>
        <w:t xml:space="preserve">točka se spremeni tako, da se glasi: </w:t>
      </w:r>
    </w:p>
    <w:p w14:paraId="7BAA8B87"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w:t>
      </w:r>
      <w:bookmarkStart w:id="5" w:name="_Hlk160295585"/>
      <w:r w:rsidRPr="00A66402">
        <w:rPr>
          <w:rFonts w:ascii="Arial" w:eastAsia="Arial" w:hAnsi="Arial" w:cs="Arial"/>
          <w:color w:val="000000"/>
          <w:sz w:val="20"/>
          <w:szCs w:val="20"/>
          <w:lang w:eastAsia="sl-SI"/>
        </w:rPr>
        <w:t>tekočina z nikotinom ali brez nikotina ne vsebuje dodatkov iz prvega odstavka 12. člena tega zakona;</w:t>
      </w:r>
      <w:bookmarkEnd w:id="5"/>
      <w:r w:rsidRPr="00A66402">
        <w:rPr>
          <w:rFonts w:ascii="Arial" w:eastAsia="Arial" w:hAnsi="Arial" w:cs="Arial"/>
          <w:color w:val="000000"/>
          <w:sz w:val="20"/>
          <w:szCs w:val="20"/>
          <w:lang w:eastAsia="sl-SI"/>
        </w:rPr>
        <w:t>«.</w:t>
      </w:r>
    </w:p>
    <w:p w14:paraId="58B7C0D6" w14:textId="77777777" w:rsidR="00410F22" w:rsidRPr="00A66402" w:rsidRDefault="00410F22" w:rsidP="00A66402">
      <w:pPr>
        <w:pBdr>
          <w:top w:val="nil"/>
          <w:left w:val="nil"/>
          <w:bottom w:val="nil"/>
          <w:right w:val="nil"/>
          <w:between w:val="nil"/>
        </w:pBdr>
        <w:spacing w:after="0" w:line="260" w:lineRule="exact"/>
        <w:ind w:firstLine="708"/>
        <w:jc w:val="both"/>
        <w:rPr>
          <w:rFonts w:ascii="Arial" w:hAnsi="Arial" w:cs="Arial"/>
          <w:sz w:val="20"/>
          <w:szCs w:val="20"/>
          <w:lang w:eastAsia="sl-SI"/>
        </w:rPr>
      </w:pPr>
      <w:r w:rsidRPr="00A66402">
        <w:rPr>
          <w:rFonts w:ascii="Arial" w:eastAsia="Arial" w:hAnsi="Arial" w:cs="Arial"/>
          <w:color w:val="000000"/>
          <w:sz w:val="20"/>
          <w:szCs w:val="20"/>
          <w:lang w:eastAsia="sl-SI"/>
        </w:rPr>
        <w:t xml:space="preserve">4. </w:t>
      </w:r>
      <w:r w:rsidRPr="00A66402">
        <w:rPr>
          <w:rFonts w:ascii="Arial" w:hAnsi="Arial" w:cs="Arial"/>
          <w:sz w:val="20"/>
          <w:szCs w:val="20"/>
          <w:lang w:eastAsia="sl-SI"/>
        </w:rPr>
        <w:t xml:space="preserve">točka se spremeni tako, da se glasi: </w:t>
      </w:r>
    </w:p>
    <w:p w14:paraId="1C6DC941"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w:t>
      </w:r>
      <w:bookmarkStart w:id="6" w:name="_Hlk160295638"/>
      <w:r w:rsidRPr="00A66402">
        <w:rPr>
          <w:rFonts w:ascii="Arial" w:eastAsia="Arial" w:hAnsi="Arial" w:cs="Arial"/>
          <w:color w:val="000000"/>
          <w:sz w:val="20"/>
          <w:szCs w:val="20"/>
          <w:lang w:eastAsia="sl-SI"/>
        </w:rPr>
        <w:t>pri izdelavi tekočine z nikotinom ali brez nikotina se uporabljajo le čiste sestavine. V tekočini so snovi, razen sestavin iz 2. točke drugega odstavka tega člena, le v sledeh, če so take sledi med izdelavo neizogibne s tehničnega vidika;«</w:t>
      </w:r>
      <w:bookmarkEnd w:id="6"/>
      <w:r w:rsidRPr="00A66402">
        <w:rPr>
          <w:rFonts w:ascii="Arial" w:eastAsia="Arial" w:hAnsi="Arial" w:cs="Arial"/>
          <w:color w:val="000000"/>
          <w:sz w:val="20"/>
          <w:szCs w:val="20"/>
          <w:lang w:eastAsia="sl-SI"/>
        </w:rPr>
        <w:t>.</w:t>
      </w:r>
    </w:p>
    <w:p w14:paraId="3ACE9197" w14:textId="77777777" w:rsidR="00410F22" w:rsidRPr="00A66402" w:rsidRDefault="00410F22" w:rsidP="00A66402">
      <w:pPr>
        <w:pBdr>
          <w:top w:val="nil"/>
          <w:left w:val="nil"/>
          <w:bottom w:val="nil"/>
          <w:right w:val="nil"/>
          <w:between w:val="nil"/>
        </w:pBdr>
        <w:spacing w:after="0" w:line="260" w:lineRule="exact"/>
        <w:ind w:firstLine="708"/>
        <w:jc w:val="both"/>
        <w:rPr>
          <w:rFonts w:ascii="Arial" w:hAnsi="Arial" w:cs="Arial"/>
          <w:sz w:val="20"/>
          <w:szCs w:val="20"/>
          <w:lang w:eastAsia="sl-SI"/>
        </w:rPr>
      </w:pPr>
      <w:r w:rsidRPr="00A66402">
        <w:rPr>
          <w:rFonts w:ascii="Arial" w:eastAsia="Arial" w:hAnsi="Arial" w:cs="Arial"/>
          <w:color w:val="000000"/>
          <w:sz w:val="20"/>
          <w:szCs w:val="20"/>
          <w:lang w:eastAsia="sl-SI"/>
        </w:rPr>
        <w:t xml:space="preserve">7. </w:t>
      </w:r>
      <w:r w:rsidRPr="00A66402">
        <w:rPr>
          <w:rFonts w:ascii="Arial" w:hAnsi="Arial" w:cs="Arial"/>
          <w:sz w:val="20"/>
          <w:szCs w:val="20"/>
          <w:lang w:eastAsia="sl-SI"/>
        </w:rPr>
        <w:t xml:space="preserve">točka se spremeni tako, da se glasi: </w:t>
      </w:r>
    </w:p>
    <w:p w14:paraId="21B41291"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w:t>
      </w:r>
      <w:bookmarkStart w:id="7" w:name="_Hlk160295698"/>
      <w:r w:rsidRPr="00A66402">
        <w:rPr>
          <w:rFonts w:ascii="Arial" w:eastAsia="Arial" w:hAnsi="Arial" w:cs="Arial"/>
          <w:color w:val="000000"/>
          <w:sz w:val="20"/>
          <w:szCs w:val="20"/>
          <w:lang w:eastAsia="sl-SI"/>
        </w:rPr>
        <w:t>ne morejo jih uporabljati otroci, so zaščitene pred nedovoljenimi posegi, lomljenjem in puščanjem ter imajo mehanizem, ki zagotavlja ponovno polnjenje brez puščanja;</w:t>
      </w:r>
      <w:bookmarkEnd w:id="7"/>
      <w:r w:rsidRPr="00A66402">
        <w:rPr>
          <w:rFonts w:ascii="Arial" w:eastAsia="Arial" w:hAnsi="Arial" w:cs="Arial"/>
          <w:color w:val="000000"/>
          <w:sz w:val="20"/>
          <w:szCs w:val="20"/>
          <w:lang w:eastAsia="sl-SI"/>
        </w:rPr>
        <w:t>«.</w:t>
      </w:r>
    </w:p>
    <w:p w14:paraId="14390DCF"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ab/>
        <w:t>Za 7. točko se doda nova 8. točka, ki se glasi:</w:t>
      </w:r>
    </w:p>
    <w:p w14:paraId="6BD37C76"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w:t>
      </w:r>
      <w:bookmarkStart w:id="8" w:name="_Hlk160355408"/>
      <w:r w:rsidRPr="00A66402">
        <w:rPr>
          <w:rFonts w:ascii="Arial" w:eastAsia="Arial" w:hAnsi="Arial" w:cs="Arial"/>
          <w:color w:val="000000"/>
          <w:sz w:val="20"/>
          <w:szCs w:val="20"/>
          <w:lang w:eastAsia="sl-SI"/>
        </w:rPr>
        <w:t>tekočina z nikotinom ali brez nikotina, ki se uporablja v elektronskih cigaretah z nikotinom ali brez nikotina ali posodicah za ponovno polnjenje z nikotinom ali brez nikotina, ne sme vsebovati nikakršnih arom, razen okusa ali vonja tobaka ali mentola.</w:t>
      </w:r>
      <w:bookmarkEnd w:id="8"/>
      <w:r w:rsidRPr="00A66402">
        <w:rPr>
          <w:rFonts w:ascii="Arial" w:eastAsia="Arial" w:hAnsi="Arial" w:cs="Arial"/>
          <w:color w:val="000000"/>
          <w:sz w:val="20"/>
          <w:szCs w:val="20"/>
          <w:lang w:eastAsia="sl-SI"/>
        </w:rPr>
        <w:t xml:space="preserve">«. </w:t>
      </w:r>
    </w:p>
    <w:p w14:paraId="2B5AB8E6"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p>
    <w:p w14:paraId="5274171C" w14:textId="77777777" w:rsidR="00410F22" w:rsidRPr="00A66402" w:rsidRDefault="00410F22" w:rsidP="00A66402">
      <w:pPr>
        <w:pBdr>
          <w:top w:val="nil"/>
          <w:left w:val="nil"/>
          <w:bottom w:val="nil"/>
          <w:right w:val="nil"/>
          <w:between w:val="nil"/>
        </w:pBdr>
        <w:spacing w:after="0" w:line="260" w:lineRule="exact"/>
        <w:jc w:val="both"/>
        <w:rPr>
          <w:rFonts w:ascii="Arial" w:hAnsi="Arial" w:cs="Arial"/>
          <w:sz w:val="20"/>
          <w:szCs w:val="20"/>
          <w:lang w:eastAsia="sl-SI"/>
        </w:rPr>
      </w:pPr>
      <w:r w:rsidRPr="00A66402">
        <w:rPr>
          <w:rFonts w:ascii="Arial" w:eastAsia="Arial" w:hAnsi="Arial" w:cs="Arial"/>
          <w:color w:val="000000"/>
          <w:sz w:val="20"/>
          <w:szCs w:val="20"/>
          <w:lang w:eastAsia="sl-SI"/>
        </w:rPr>
        <w:t>V petem odstavku se</w:t>
      </w:r>
      <w:bookmarkStart w:id="9" w:name="_Hlk160140652"/>
      <w:r w:rsidRPr="00A66402">
        <w:rPr>
          <w:rFonts w:ascii="Arial" w:hAnsi="Arial" w:cs="Arial"/>
          <w:sz w:val="20"/>
          <w:szCs w:val="20"/>
          <w:lang w:eastAsia="sl-SI"/>
        </w:rPr>
        <w:t xml:space="preserve"> napovedni stavek spremeni tako, da se glasi: </w:t>
      </w:r>
    </w:p>
    <w:p w14:paraId="4AA778EB" w14:textId="77777777" w:rsidR="00410F22" w:rsidRPr="00A66402" w:rsidRDefault="00410F22" w:rsidP="00A66402">
      <w:pPr>
        <w:pBdr>
          <w:top w:val="nil"/>
          <w:left w:val="nil"/>
          <w:bottom w:val="nil"/>
          <w:right w:val="nil"/>
          <w:between w:val="nil"/>
        </w:pBdr>
        <w:spacing w:after="0" w:line="260" w:lineRule="exact"/>
        <w:ind w:firstLine="708"/>
        <w:jc w:val="both"/>
        <w:rPr>
          <w:rFonts w:ascii="Arial" w:hAnsi="Arial" w:cs="Arial"/>
          <w:sz w:val="20"/>
          <w:szCs w:val="20"/>
          <w:lang w:eastAsia="sl-SI"/>
        </w:rPr>
      </w:pPr>
      <w:r w:rsidRPr="00A66402">
        <w:rPr>
          <w:rFonts w:ascii="Arial" w:hAnsi="Arial" w:cs="Arial"/>
          <w:sz w:val="20"/>
          <w:szCs w:val="20"/>
          <w:lang w:eastAsia="sl-SI"/>
        </w:rPr>
        <w:t>»Elektronske cigarete, elektronske cigarete brez nikotina, posodice za ponovno polnjenje in posodice za ponovno polnjenje brez nikotina morajo izpolnjevati naslednje pogoje:«.</w:t>
      </w:r>
    </w:p>
    <w:bookmarkEnd w:id="9"/>
    <w:p w14:paraId="15D6B0DB"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ab/>
        <w:t xml:space="preserve">2. točka se spremeni tako, da se glasi: </w:t>
      </w:r>
    </w:p>
    <w:p w14:paraId="684B8118"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sz w:val="20"/>
          <w:szCs w:val="20"/>
          <w:lang w:eastAsia="sl-SI"/>
        </w:rPr>
      </w:pPr>
      <w:r w:rsidRPr="00A66402">
        <w:rPr>
          <w:rFonts w:ascii="Arial" w:eastAsia="Arial" w:hAnsi="Arial" w:cs="Arial"/>
          <w:color w:val="000000"/>
          <w:sz w:val="20"/>
          <w:szCs w:val="20"/>
          <w:lang w:eastAsia="sl-SI"/>
        </w:rPr>
        <w:t>»</w:t>
      </w:r>
      <w:bookmarkStart w:id="10" w:name="_Hlk160297469"/>
      <w:r w:rsidRPr="00A66402">
        <w:rPr>
          <w:rFonts w:ascii="Arial" w:eastAsia="Arial" w:hAnsi="Arial" w:cs="Arial"/>
          <w:color w:val="000000"/>
          <w:sz w:val="20"/>
          <w:szCs w:val="20"/>
          <w:lang w:eastAsia="sl-SI"/>
        </w:rPr>
        <w:t xml:space="preserve">ne glede na prejšnjo točko ne vsebujejo elementov ali značilnosti iz 17. člena tega zakona, razen iz prve alineje prvega odstavka glede podatkov o vsebnosti nikotina in podatkov, ki se nanašajo na okus ali vonj tobaka ali mentola, in, razen pri elektronskih cigaretah za enkratno uporabo, ki ne vsebujejo nikotina in posodicah za ponovno polnjenje, ki ne vsebujejo nikotina, navajajo naslednje zdravstveno opozorilo, ki ustreza zahtevam iz drugega in tretjega odstavka 16. člena tega zakona: »Izdelek vsebuje nikotin, ki povzroča hudo zasvojenost. Nekadilcem </w:t>
      </w:r>
      <w:r w:rsidRPr="00A66402">
        <w:rPr>
          <w:rFonts w:ascii="Arial" w:eastAsia="Arial" w:hAnsi="Arial" w:cs="Arial"/>
          <w:sz w:val="20"/>
          <w:szCs w:val="20"/>
          <w:lang w:eastAsia="sl-SI"/>
        </w:rPr>
        <w:t>se uporaba odsvetuje.</w:t>
      </w:r>
      <w:bookmarkEnd w:id="10"/>
      <w:r w:rsidRPr="00A66402">
        <w:rPr>
          <w:rFonts w:ascii="Arial" w:eastAsia="Arial" w:hAnsi="Arial" w:cs="Arial"/>
          <w:sz w:val="20"/>
          <w:szCs w:val="20"/>
          <w:lang w:eastAsia="sl-SI"/>
        </w:rPr>
        <w:t>«.«.</w:t>
      </w:r>
    </w:p>
    <w:p w14:paraId="33A4771F"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sz w:val="20"/>
          <w:szCs w:val="20"/>
          <w:lang w:eastAsia="sl-SI"/>
        </w:rPr>
      </w:pPr>
    </w:p>
    <w:p w14:paraId="477AAE56"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 xml:space="preserve">Osmi odstavek se spremeni tako, da se za drugim stavkom doda nov tretji stavek, ki se glasi: </w:t>
      </w:r>
    </w:p>
    <w:p w14:paraId="487EFD6C"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w:t>
      </w:r>
      <w:bookmarkStart w:id="11" w:name="_Hlk160445581"/>
      <w:r w:rsidRPr="00A66402">
        <w:rPr>
          <w:rFonts w:ascii="Arial" w:eastAsia="Arial" w:hAnsi="Arial" w:cs="Arial"/>
          <w:sz w:val="20"/>
          <w:szCs w:val="20"/>
          <w:lang w:eastAsia="sl-SI"/>
        </w:rPr>
        <w:t>NLZOH in Zdravstveni inšpektorat Republike Slovenije dasta na zahtevo vse informacije, prejete v skladu s tem členom, na voljo Evropski komisiji in drugim državam članicam EU, pri čemer zagotovita, da se poslovne skrivnosti in druge zaupne informacije obravnavajo zaupno</w:t>
      </w:r>
      <w:bookmarkEnd w:id="11"/>
      <w:r w:rsidRPr="00A66402">
        <w:rPr>
          <w:rFonts w:ascii="Arial" w:eastAsia="Arial" w:hAnsi="Arial" w:cs="Arial"/>
          <w:sz w:val="20"/>
          <w:szCs w:val="20"/>
          <w:lang w:eastAsia="sl-SI"/>
        </w:rPr>
        <w:t>.«.</w:t>
      </w:r>
    </w:p>
    <w:p w14:paraId="4ACCEC74"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color w:val="000000"/>
          <w:sz w:val="20"/>
          <w:szCs w:val="20"/>
          <w:lang w:eastAsia="sl-SI"/>
        </w:rPr>
      </w:pPr>
    </w:p>
    <w:p w14:paraId="3297FE46" w14:textId="77777777" w:rsidR="00410F22" w:rsidRPr="00A66402" w:rsidRDefault="00410F22" w:rsidP="00A66402">
      <w:pPr>
        <w:pStyle w:val="Brezrazmikov"/>
        <w:spacing w:line="260" w:lineRule="exact"/>
        <w:jc w:val="both"/>
        <w:rPr>
          <w:rFonts w:ascii="Arial" w:hAnsi="Arial" w:cs="Arial"/>
          <w:sz w:val="20"/>
          <w:szCs w:val="20"/>
          <w:lang w:eastAsia="sl-SI"/>
        </w:rPr>
      </w:pPr>
      <w:r w:rsidRPr="00A66402">
        <w:rPr>
          <w:rFonts w:ascii="Arial" w:hAnsi="Arial" w:cs="Arial"/>
          <w:sz w:val="20"/>
          <w:szCs w:val="20"/>
          <w:lang w:eastAsia="sl-SI"/>
        </w:rPr>
        <w:t>Za štirinajstim odstavkom se doda nov petnajsti odstavek, ki se glasi:</w:t>
      </w:r>
    </w:p>
    <w:p w14:paraId="0C029EFF" w14:textId="77777777" w:rsidR="00410F22" w:rsidRPr="00A66402" w:rsidRDefault="00410F22" w:rsidP="00A66402">
      <w:pPr>
        <w:pStyle w:val="Brezrazmikov"/>
        <w:spacing w:line="260" w:lineRule="exact"/>
        <w:ind w:firstLine="708"/>
        <w:jc w:val="both"/>
        <w:rPr>
          <w:rFonts w:ascii="Arial" w:hAnsi="Arial" w:cs="Arial"/>
          <w:sz w:val="20"/>
          <w:szCs w:val="20"/>
          <w:lang w:eastAsia="sl-SI"/>
        </w:rPr>
      </w:pPr>
      <w:r w:rsidRPr="00A66402">
        <w:rPr>
          <w:rFonts w:ascii="Arial" w:hAnsi="Arial" w:cs="Arial"/>
          <w:sz w:val="20"/>
          <w:szCs w:val="20"/>
          <w:lang w:eastAsia="sl-SI"/>
        </w:rPr>
        <w:t>»</w:t>
      </w:r>
      <w:bookmarkStart w:id="12" w:name="_Hlk160298303"/>
      <w:r w:rsidRPr="00A66402">
        <w:rPr>
          <w:rFonts w:ascii="Arial" w:hAnsi="Arial" w:cs="Arial"/>
          <w:sz w:val="20"/>
          <w:szCs w:val="20"/>
          <w:lang w:eastAsia="sl-SI"/>
        </w:rPr>
        <w:t>Določbe o predložitvi uradnega obvestila iz prvega odstavka, njegove vsebine iz drugega odstavka, vključitvi navodila za uporabo s podatki iz četrtega odstavka, predložitvi podatkov iz šestega odstavka, spremljanju razvoja trga iz sedmega odstavka,  vzpostavitvi in vzdrževanju sistema zbiranja podatkov ter posredovanju zbranih podatkov iz devetega odstavka, sprejemanju ukrepov in obveščanju organov iz desetega odstavka, posredovanju dodatnih podatkov iz enajstega odstavka, obveščanju iz dvanajstega odstavka, pravici zaračunanja pristojbin iz trinajstega odstavka in določitvi podrobnejših pogojev iz štirinajstega odstavka tega člena, veljajo tudi za elektronske cigarete brez nikotina in posodice za polnjenje brez nikotina.</w:t>
      </w:r>
      <w:bookmarkEnd w:id="12"/>
      <w:r w:rsidRPr="00A66402">
        <w:rPr>
          <w:rFonts w:ascii="Arial" w:hAnsi="Arial" w:cs="Arial"/>
          <w:sz w:val="20"/>
          <w:szCs w:val="20"/>
          <w:lang w:eastAsia="sl-SI"/>
        </w:rPr>
        <w:t>«.«.</w:t>
      </w:r>
    </w:p>
    <w:p w14:paraId="5B9A4EC3" w14:textId="77777777" w:rsidR="00410F22" w:rsidRPr="00A66402" w:rsidRDefault="00410F22" w:rsidP="00A66402">
      <w:pPr>
        <w:pStyle w:val="Brezrazmikov"/>
        <w:spacing w:line="260" w:lineRule="exact"/>
        <w:jc w:val="both"/>
        <w:rPr>
          <w:rFonts w:ascii="Arial" w:hAnsi="Arial" w:cs="Arial"/>
          <w:sz w:val="20"/>
          <w:szCs w:val="20"/>
          <w:lang w:eastAsia="sl-SI"/>
        </w:rPr>
      </w:pPr>
    </w:p>
    <w:p w14:paraId="49CC7C89"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b/>
          <w:bCs/>
          <w:color w:val="000000"/>
          <w:sz w:val="20"/>
          <w:szCs w:val="20"/>
          <w:lang w:eastAsia="sl-SI"/>
        </w:rPr>
      </w:pPr>
      <w:r w:rsidRPr="00A66402">
        <w:rPr>
          <w:rFonts w:ascii="Arial" w:eastAsia="Arial" w:hAnsi="Arial" w:cs="Arial"/>
          <w:b/>
          <w:bCs/>
          <w:color w:val="000000"/>
          <w:sz w:val="20"/>
          <w:szCs w:val="20"/>
          <w:lang w:eastAsia="sl-SI"/>
        </w:rPr>
        <w:t>Obrazložitev:</w:t>
      </w:r>
    </w:p>
    <w:p w14:paraId="44D26A9D" w14:textId="77777777" w:rsidR="00410F22" w:rsidRPr="00A66402" w:rsidRDefault="00410F22" w:rsidP="00A66402">
      <w:pPr>
        <w:spacing w:after="0" w:line="260" w:lineRule="exact"/>
        <w:ind w:right="72"/>
        <w:jc w:val="both"/>
        <w:rPr>
          <w:rFonts w:ascii="Arial" w:eastAsia="Calibri" w:hAnsi="Arial" w:cs="Arial"/>
          <w:kern w:val="2"/>
          <w:sz w:val="20"/>
          <w:szCs w:val="20"/>
          <w14:ligatures w14:val="standardContextual"/>
        </w:rPr>
      </w:pPr>
      <w:r w:rsidRPr="00A66402">
        <w:rPr>
          <w:rFonts w:ascii="Arial" w:eastAsia="Calibri" w:hAnsi="Arial" w:cs="Arial"/>
          <w:kern w:val="2"/>
          <w:sz w:val="20"/>
          <w:szCs w:val="20"/>
          <w14:ligatures w14:val="standardContextual"/>
        </w:rPr>
        <w:lastRenderedPageBreak/>
        <w:t xml:space="preserve">Predlagani amandmaji, s katerim se spreminjajo tretji odstavek, napovedni stavek petega in osmega odstavka ter dodaja nov petnajsti odstavek 26. člena veljavnega zakona, so redakcijska posledica amandmajev k 2. členu priglašenega predloga zakona, ki predlagajo nove izraze »elektronska cigareta brez nikotina in posodica za polnjenje brez nikotina« za podporo ukrepom na nacionalni ravni, obenem pa se v skladu z </w:t>
      </w:r>
      <w:r w:rsidRPr="00A66402">
        <w:rPr>
          <w:rFonts w:ascii="Arial" w:hAnsi="Arial" w:cs="Arial"/>
          <w:sz w:val="20"/>
          <w:szCs w:val="20"/>
        </w:rPr>
        <w:t xml:space="preserve">Uradnim obvestilom EK 2023/0636/SI, št. C(2024) 755 </w:t>
      </w:r>
      <w:proofErr w:type="spellStart"/>
      <w:r w:rsidRPr="00A66402">
        <w:rPr>
          <w:rFonts w:ascii="Arial" w:hAnsi="Arial" w:cs="Arial"/>
          <w:sz w:val="20"/>
          <w:szCs w:val="20"/>
        </w:rPr>
        <w:t>final</w:t>
      </w:r>
      <w:proofErr w:type="spellEnd"/>
      <w:r w:rsidRPr="00A66402">
        <w:rPr>
          <w:rFonts w:ascii="Arial" w:hAnsi="Arial" w:cs="Arial"/>
          <w:sz w:val="20"/>
          <w:szCs w:val="20"/>
        </w:rPr>
        <w:t>, z dne 1. 2. 2024 zagotovi pravna varnost, in prepreči zmeda glede področja uporabe ustreznih zahtev za tobačne in povezane izdelke iz Direktive 2014/40/EU.</w:t>
      </w:r>
      <w:r w:rsidRPr="00A66402">
        <w:rPr>
          <w:rFonts w:ascii="Arial" w:eastAsia="Calibri" w:hAnsi="Arial" w:cs="Arial"/>
          <w:kern w:val="2"/>
          <w:sz w:val="20"/>
          <w:szCs w:val="20"/>
          <w14:ligatures w14:val="standardContextual"/>
        </w:rPr>
        <w:t xml:space="preserve"> V tretjem odstavku se tudi opušča izraz »polnilo«, ki je bil  v priglašenem predlogu zakona  dodan v spremenjeno 23. točko 3. člena ZOUTPI, in se zaradi pravne jasnosti opusti, s tem pa se novo opredelitev »posodica za ponovno polnjenje brez nikotina« bolje uskladi z izrazom »posodica za ponovno polnjenje« iz 17. točke 2. člena direktive.</w:t>
      </w:r>
    </w:p>
    <w:p w14:paraId="5750D084" w14:textId="77777777" w:rsidR="00410F22" w:rsidRPr="00A66402" w:rsidRDefault="00410F22" w:rsidP="00A66402">
      <w:pPr>
        <w:spacing w:after="0" w:line="260" w:lineRule="exact"/>
        <w:ind w:right="72"/>
        <w:jc w:val="both"/>
        <w:rPr>
          <w:rFonts w:ascii="Arial" w:eastAsia="Calibri" w:hAnsi="Arial" w:cs="Arial"/>
          <w:kern w:val="2"/>
          <w:sz w:val="20"/>
          <w:szCs w:val="20"/>
          <w14:ligatures w14:val="standardContextual"/>
        </w:rPr>
      </w:pPr>
    </w:p>
    <w:p w14:paraId="525C3CBB" w14:textId="77777777" w:rsidR="00410F22" w:rsidRPr="00A66402" w:rsidRDefault="00410F22" w:rsidP="00A66402">
      <w:pPr>
        <w:spacing w:after="0" w:line="260" w:lineRule="exact"/>
        <w:ind w:right="72"/>
        <w:jc w:val="both"/>
        <w:rPr>
          <w:rFonts w:ascii="Arial" w:eastAsia="Calibri" w:hAnsi="Arial" w:cs="Arial"/>
          <w:kern w:val="2"/>
          <w:sz w:val="20"/>
          <w:szCs w:val="20"/>
          <w14:ligatures w14:val="standardContextual"/>
        </w:rPr>
      </w:pPr>
      <w:r w:rsidRPr="00A66402">
        <w:rPr>
          <w:rFonts w:ascii="Arial" w:eastAsia="Calibri" w:hAnsi="Arial" w:cs="Arial"/>
          <w:kern w:val="2"/>
          <w:sz w:val="20"/>
          <w:szCs w:val="20"/>
          <w14:ligatures w14:val="standardContextual"/>
        </w:rPr>
        <w:t xml:space="preserve">Predlagani amandma, s katerim se spreminja 2. točka petega odstavka 26. člena veljavnega zakona tako, da </w:t>
      </w:r>
      <w:r w:rsidRPr="00A66402">
        <w:rPr>
          <w:rFonts w:ascii="Arial" w:eastAsia="Arial" w:hAnsi="Arial" w:cs="Arial"/>
          <w:color w:val="000000"/>
          <w:sz w:val="20"/>
          <w:szCs w:val="20"/>
          <w:lang w:eastAsia="sl-SI"/>
        </w:rPr>
        <w:t>je zdravstveno opozorilo o vsebnosti nikotina potrebno vselej, razen pri elektronskih cigaretah za enkratno uporabo, ki ne vsebujejo nikotina in posodicah za ponovno polnjenje, ki ne vsebujejo nikotina</w:t>
      </w:r>
      <w:r w:rsidRPr="00A66402">
        <w:rPr>
          <w:rFonts w:ascii="Arial" w:eastAsia="Calibri" w:hAnsi="Arial" w:cs="Arial"/>
          <w:kern w:val="2"/>
          <w:sz w:val="20"/>
          <w:szCs w:val="20"/>
          <w14:ligatures w14:val="standardContextual"/>
        </w:rPr>
        <w:t>, je posledica opozorila EK</w:t>
      </w:r>
      <w:r w:rsidRPr="00A66402">
        <w:rPr>
          <w:rFonts w:ascii="Arial" w:hAnsi="Arial" w:cs="Arial"/>
          <w:sz w:val="20"/>
          <w:szCs w:val="20"/>
        </w:rPr>
        <w:t xml:space="preserve">.  S tem se odpravi tveganje, da bi navedeno zdravstveno opozorilo izpadlo, če se elektronske cigarete brez nikotina lahko večkratno uporabijo in je pri ponovni uporabi možna uporaba posodice za ponovno polnjenje z nikotinom. </w:t>
      </w:r>
    </w:p>
    <w:p w14:paraId="3792B78A" w14:textId="77777777" w:rsidR="00410F22" w:rsidRPr="00A66402" w:rsidRDefault="00410F22" w:rsidP="00A66402">
      <w:pPr>
        <w:spacing w:after="0" w:line="260" w:lineRule="exact"/>
        <w:ind w:right="72"/>
        <w:jc w:val="both"/>
        <w:rPr>
          <w:rFonts w:ascii="Arial" w:eastAsia="Calibri" w:hAnsi="Arial" w:cs="Arial"/>
          <w:kern w:val="2"/>
          <w:sz w:val="20"/>
          <w:szCs w:val="20"/>
          <w14:ligatures w14:val="standardContextual"/>
        </w:rPr>
      </w:pPr>
    </w:p>
    <w:p w14:paraId="1297E84D" w14:textId="77777777" w:rsidR="00410F22" w:rsidRPr="00A66402" w:rsidRDefault="00410F22" w:rsidP="00A66402">
      <w:pPr>
        <w:spacing w:after="0" w:line="260" w:lineRule="exact"/>
        <w:ind w:right="72"/>
        <w:jc w:val="both"/>
        <w:rPr>
          <w:rFonts w:ascii="Arial" w:eastAsia="Calibri" w:hAnsi="Arial" w:cs="Arial"/>
          <w:kern w:val="2"/>
          <w:sz w:val="20"/>
          <w:szCs w:val="20"/>
          <w14:ligatures w14:val="standardContextual"/>
        </w:rPr>
      </w:pPr>
      <w:r w:rsidRPr="00A66402">
        <w:rPr>
          <w:rFonts w:ascii="Arial" w:eastAsia="Calibri" w:hAnsi="Arial" w:cs="Arial"/>
          <w:kern w:val="2"/>
          <w:sz w:val="20"/>
          <w:szCs w:val="20"/>
          <w14:ligatures w14:val="standardContextual"/>
        </w:rPr>
        <w:t>Predlagani amandma, s katerim se dopolnjuje osmi odstavek 26. člena veljavnega zakona, sledi mnenju Zakonodajno-pravne službe Državnega zbora (ZPS), da iz predlaganega besedila, ki je povzeto iz Direktive, ni razvidno, kdo mora zagotoviti, da se poslovne skrivnosti in druge informacije obravnavajo zaupno. V skladu s tem je besedilo dopolnjeno tako, da je razvidno, da NLZOH in Zdravstveni inšpektorat Republike Slovenije zagotovita, da se poslovne skrivnosti in druge zaupne informacije obravnavajo zaupno.</w:t>
      </w:r>
    </w:p>
    <w:p w14:paraId="68B78A2B" w14:textId="77777777" w:rsidR="00410F22" w:rsidRPr="00A66402" w:rsidRDefault="00410F22" w:rsidP="00A66402">
      <w:pPr>
        <w:spacing w:after="0" w:line="260" w:lineRule="exact"/>
        <w:ind w:right="72"/>
        <w:jc w:val="both"/>
        <w:rPr>
          <w:rFonts w:ascii="Arial" w:eastAsia="Calibri" w:hAnsi="Arial" w:cs="Arial"/>
          <w:kern w:val="2"/>
          <w:sz w:val="20"/>
          <w:szCs w:val="20"/>
          <w14:ligatures w14:val="standardContextual"/>
        </w:rPr>
      </w:pPr>
    </w:p>
    <w:p w14:paraId="643C764D" w14:textId="77777777" w:rsidR="00410F22" w:rsidRPr="00A66402" w:rsidRDefault="00410F22" w:rsidP="00A66402">
      <w:pPr>
        <w:spacing w:after="0" w:line="260" w:lineRule="exact"/>
        <w:ind w:right="72"/>
        <w:jc w:val="both"/>
        <w:rPr>
          <w:rFonts w:ascii="Arial" w:hAnsi="Arial" w:cs="Arial"/>
          <w:b/>
          <w:bCs/>
          <w:sz w:val="20"/>
          <w:szCs w:val="20"/>
        </w:rPr>
      </w:pPr>
      <w:r w:rsidRPr="00A66402">
        <w:rPr>
          <w:rFonts w:ascii="Arial" w:hAnsi="Arial" w:cs="Arial"/>
          <w:b/>
          <w:bCs/>
          <w:sz w:val="20"/>
          <w:szCs w:val="20"/>
        </w:rPr>
        <w:t>K 11. členu</w:t>
      </w:r>
    </w:p>
    <w:p w14:paraId="7E934A46" w14:textId="77777777" w:rsidR="00410F22" w:rsidRPr="00A66402" w:rsidRDefault="00410F22" w:rsidP="00A66402">
      <w:pPr>
        <w:spacing w:after="0" w:line="260" w:lineRule="exact"/>
        <w:ind w:right="72"/>
        <w:jc w:val="both"/>
        <w:rPr>
          <w:rFonts w:ascii="Arial" w:hAnsi="Arial" w:cs="Arial"/>
          <w:b/>
          <w:bCs/>
          <w:sz w:val="20"/>
          <w:szCs w:val="20"/>
        </w:rPr>
      </w:pPr>
    </w:p>
    <w:p w14:paraId="73956B9E"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11. člen se spremeni tako, da se glasi:</w:t>
      </w:r>
    </w:p>
    <w:p w14:paraId="464E86E8" w14:textId="77777777" w:rsidR="00410F22" w:rsidRPr="00A66402" w:rsidRDefault="00410F22" w:rsidP="00A66402">
      <w:pPr>
        <w:spacing w:after="0" w:line="260" w:lineRule="exact"/>
        <w:ind w:right="72"/>
        <w:jc w:val="both"/>
        <w:rPr>
          <w:rFonts w:ascii="Arial" w:hAnsi="Arial" w:cs="Arial"/>
          <w:sz w:val="20"/>
          <w:szCs w:val="20"/>
        </w:rPr>
      </w:pPr>
    </w:p>
    <w:p w14:paraId="4D9A4B85"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»V 28. členu zakona se naslov člena spremeni tako, da se glasi: »(poročanje o sestavinah zeliščnih izdelkov za kajenje in zeliščnih izdelkov za segrevanje)«.</w:t>
      </w:r>
    </w:p>
    <w:p w14:paraId="335013F8" w14:textId="77777777" w:rsidR="00410F22" w:rsidRPr="00A66402" w:rsidRDefault="00410F22" w:rsidP="00A66402">
      <w:pPr>
        <w:spacing w:after="0" w:line="260" w:lineRule="exact"/>
        <w:ind w:right="72"/>
        <w:jc w:val="both"/>
        <w:rPr>
          <w:rFonts w:ascii="Arial" w:hAnsi="Arial" w:cs="Arial"/>
          <w:sz w:val="20"/>
          <w:szCs w:val="20"/>
        </w:rPr>
      </w:pPr>
    </w:p>
    <w:p w14:paraId="221AE517"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Prvi odstavek se spremeni tako, da se glasi:</w:t>
      </w:r>
    </w:p>
    <w:p w14:paraId="7CD36E95" w14:textId="77777777" w:rsidR="00410F22" w:rsidRPr="00A66402" w:rsidRDefault="00410F22" w:rsidP="00A66402">
      <w:pPr>
        <w:spacing w:after="0" w:line="260" w:lineRule="exact"/>
        <w:ind w:right="72" w:firstLine="708"/>
        <w:jc w:val="both"/>
        <w:rPr>
          <w:rFonts w:ascii="Arial" w:hAnsi="Arial" w:cs="Arial"/>
          <w:sz w:val="20"/>
          <w:szCs w:val="20"/>
        </w:rPr>
      </w:pPr>
      <w:r w:rsidRPr="00A66402">
        <w:rPr>
          <w:rFonts w:ascii="Arial" w:hAnsi="Arial" w:cs="Arial"/>
          <w:sz w:val="20"/>
          <w:szCs w:val="20"/>
        </w:rPr>
        <w:t>»Proizvajalci in uvozniki zeliščnih izdelkov za kajenje in zeliščnih izdelkov za segrevanje NLZOH predložijo seznam vseh sestavin in njihove količine, uporabljene pri izdelavi teh izdelkov, posebej za vsako znamko in za vsako vrsto. Uradno obvestilo se predloži elektronsko šest mesecev pred nameravanim dajanjem na trg novega ali spremenjenega zeliščnega izdelka za kajenje ali zeliščnega izdelka za segrevanje. Proizvajalci ali uvozniki zeliščnih izdelkov za kajenje in zeliščnih izdelkov za segrevanje obvestijo NLZOH, če se sestava izdelka tako spremeni, da vpliva na podatke, predložene na podlagi tega člena.«.</w:t>
      </w:r>
    </w:p>
    <w:p w14:paraId="5646320E" w14:textId="77777777" w:rsidR="00410F22" w:rsidRPr="00A66402" w:rsidRDefault="00410F22" w:rsidP="00A66402">
      <w:pPr>
        <w:spacing w:after="0" w:line="260" w:lineRule="exact"/>
        <w:ind w:right="72" w:firstLine="708"/>
        <w:jc w:val="both"/>
        <w:rPr>
          <w:rFonts w:ascii="Arial" w:hAnsi="Arial" w:cs="Arial"/>
          <w:sz w:val="20"/>
          <w:szCs w:val="20"/>
        </w:rPr>
      </w:pPr>
    </w:p>
    <w:p w14:paraId="5DFB1A87"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Za drugim odstavkom se doda nov tretji odstavek, ki se glasi:</w:t>
      </w:r>
    </w:p>
    <w:p w14:paraId="053585E9" w14:textId="77777777" w:rsidR="00410F22" w:rsidRPr="00A66402" w:rsidRDefault="00410F22" w:rsidP="00A66402">
      <w:pPr>
        <w:spacing w:after="0" w:line="260" w:lineRule="exact"/>
        <w:ind w:right="72" w:firstLine="708"/>
        <w:jc w:val="both"/>
        <w:rPr>
          <w:rFonts w:ascii="Arial" w:hAnsi="Arial" w:cs="Arial"/>
          <w:sz w:val="20"/>
          <w:szCs w:val="20"/>
        </w:rPr>
      </w:pPr>
      <w:r w:rsidRPr="00A66402">
        <w:rPr>
          <w:rFonts w:ascii="Arial" w:hAnsi="Arial" w:cs="Arial"/>
          <w:sz w:val="20"/>
          <w:szCs w:val="20"/>
        </w:rPr>
        <w:t>»NLZOH proizvajalcem in uvoznikom zaračunava pristojbine za prejemanje, shranjevanje, obravnavo, analiziranje in objavljanje podatkov, predloženih na podlagi tega člena.«.</w:t>
      </w:r>
    </w:p>
    <w:p w14:paraId="715EFF74" w14:textId="77777777" w:rsidR="00410F22" w:rsidRPr="00A66402" w:rsidRDefault="00410F22" w:rsidP="00A66402">
      <w:pPr>
        <w:spacing w:after="0" w:line="260" w:lineRule="exact"/>
        <w:ind w:right="72"/>
        <w:jc w:val="both"/>
        <w:rPr>
          <w:rFonts w:ascii="Arial" w:hAnsi="Arial" w:cs="Arial"/>
          <w:sz w:val="20"/>
          <w:szCs w:val="20"/>
        </w:rPr>
      </w:pPr>
    </w:p>
    <w:p w14:paraId="647AEDBD" w14:textId="77777777" w:rsidR="00410F22" w:rsidRPr="00A66402" w:rsidRDefault="00410F22" w:rsidP="00A66402">
      <w:pPr>
        <w:spacing w:after="0" w:line="260" w:lineRule="exact"/>
        <w:ind w:right="74"/>
        <w:jc w:val="both"/>
        <w:rPr>
          <w:rFonts w:ascii="Arial" w:hAnsi="Arial" w:cs="Arial"/>
          <w:color w:val="000000" w:themeColor="text1"/>
          <w:sz w:val="20"/>
          <w:szCs w:val="20"/>
        </w:rPr>
      </w:pPr>
      <w:r w:rsidRPr="00A66402">
        <w:rPr>
          <w:rFonts w:ascii="Arial" w:hAnsi="Arial" w:cs="Arial"/>
          <w:color w:val="000000" w:themeColor="text1"/>
          <w:sz w:val="20"/>
          <w:szCs w:val="20"/>
        </w:rPr>
        <w:t>Dosedanji tretji odstavek, ki postane četrti odstavek, se spremeni tako, da se glasi:</w:t>
      </w:r>
    </w:p>
    <w:p w14:paraId="5AFF5B60" w14:textId="77777777" w:rsidR="00410F22" w:rsidRPr="00A66402" w:rsidRDefault="00410F22" w:rsidP="00A66402">
      <w:pPr>
        <w:spacing w:after="0" w:line="260" w:lineRule="exact"/>
        <w:ind w:right="74" w:firstLine="708"/>
        <w:jc w:val="both"/>
        <w:rPr>
          <w:rFonts w:ascii="Arial" w:hAnsi="Arial" w:cs="Arial"/>
          <w:color w:val="000000" w:themeColor="text1"/>
          <w:sz w:val="20"/>
          <w:szCs w:val="20"/>
        </w:rPr>
      </w:pPr>
      <w:r w:rsidRPr="00A66402">
        <w:rPr>
          <w:rFonts w:ascii="Arial" w:hAnsi="Arial" w:cs="Arial"/>
          <w:color w:val="000000" w:themeColor="text1"/>
          <w:sz w:val="20"/>
          <w:szCs w:val="20"/>
        </w:rPr>
        <w:t>»</w:t>
      </w:r>
      <w:bookmarkStart w:id="13" w:name="_Hlk160357092"/>
      <w:r w:rsidRPr="00A66402">
        <w:rPr>
          <w:rFonts w:ascii="Arial" w:hAnsi="Arial" w:cs="Arial"/>
          <w:color w:val="000000" w:themeColor="text1"/>
          <w:sz w:val="20"/>
          <w:szCs w:val="20"/>
        </w:rPr>
        <w:t>Minister določi podrobnejše pogoje glede poročanja o sestavinah zeliščnih izdelkov za kajenje in zeliščnih izdelkov za segrevanje terin višino pristojbin iz tega člena</w:t>
      </w:r>
      <w:bookmarkEnd w:id="13"/>
      <w:r w:rsidRPr="00A66402">
        <w:rPr>
          <w:rFonts w:ascii="Arial" w:hAnsi="Arial" w:cs="Arial"/>
          <w:color w:val="000000" w:themeColor="text1"/>
          <w:sz w:val="20"/>
          <w:szCs w:val="20"/>
        </w:rPr>
        <w:t>.«.«.</w:t>
      </w:r>
    </w:p>
    <w:p w14:paraId="11616B69" w14:textId="77777777" w:rsidR="00410F22" w:rsidRPr="00A66402" w:rsidRDefault="00410F22" w:rsidP="00A66402">
      <w:pPr>
        <w:spacing w:after="0" w:line="260" w:lineRule="exact"/>
        <w:ind w:right="74"/>
        <w:jc w:val="both"/>
        <w:rPr>
          <w:rFonts w:ascii="Arial" w:hAnsi="Arial" w:cs="Arial"/>
          <w:sz w:val="20"/>
          <w:szCs w:val="20"/>
        </w:rPr>
      </w:pPr>
    </w:p>
    <w:p w14:paraId="61626672" w14:textId="77777777" w:rsidR="00410F22" w:rsidRPr="00A66402" w:rsidRDefault="00410F22" w:rsidP="00A66402">
      <w:pPr>
        <w:spacing w:after="0" w:line="260" w:lineRule="exact"/>
        <w:ind w:right="74"/>
        <w:jc w:val="both"/>
        <w:rPr>
          <w:rFonts w:ascii="Arial" w:hAnsi="Arial" w:cs="Arial"/>
          <w:b/>
          <w:bCs/>
          <w:sz w:val="20"/>
          <w:szCs w:val="20"/>
        </w:rPr>
      </w:pPr>
      <w:r w:rsidRPr="00A66402">
        <w:rPr>
          <w:rFonts w:ascii="Arial" w:hAnsi="Arial" w:cs="Arial"/>
          <w:b/>
          <w:bCs/>
          <w:sz w:val="20"/>
          <w:szCs w:val="20"/>
        </w:rPr>
        <w:t>Obrazložitev:</w:t>
      </w:r>
    </w:p>
    <w:p w14:paraId="17011250"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Na predlog EK se namesto širjenja izraza »zeliščni izdelki za kajenje« doda nov izraz »zeliščni izdelki za segrevanje«. Zato je bilo treba v skladu s tem ustrezno dopolniti 28. člen veljavnega ZOUTPI in besedilo »zeliščni izdelki za kajenje« nadomestiti z besedilom » zeliščni izdelki za kajenje in zeliščni </w:t>
      </w:r>
      <w:r w:rsidRPr="00A66402">
        <w:rPr>
          <w:rFonts w:ascii="Arial" w:hAnsi="Arial" w:cs="Arial"/>
          <w:sz w:val="20"/>
          <w:szCs w:val="20"/>
        </w:rPr>
        <w:lastRenderedPageBreak/>
        <w:t xml:space="preserve">izdelki za segrevanje« v ustreznem sklonu in številu. Gre za spremembo, ki ni vsebinske narave, a je bila potrebna zaradi izboljšanja pravne jasnosti. </w:t>
      </w:r>
    </w:p>
    <w:p w14:paraId="1F2833F2" w14:textId="77777777" w:rsidR="00410F22" w:rsidRPr="00A66402" w:rsidRDefault="00410F22" w:rsidP="00A66402">
      <w:pPr>
        <w:spacing w:after="0" w:line="260" w:lineRule="exact"/>
        <w:ind w:right="74"/>
        <w:jc w:val="both"/>
        <w:rPr>
          <w:rFonts w:ascii="Arial" w:hAnsi="Arial" w:cs="Arial"/>
          <w:sz w:val="20"/>
          <w:szCs w:val="20"/>
        </w:rPr>
      </w:pPr>
    </w:p>
    <w:p w14:paraId="645D9D2F" w14:textId="77777777" w:rsidR="00410F22" w:rsidRPr="00A66402" w:rsidRDefault="00410F22" w:rsidP="00A66402">
      <w:pPr>
        <w:spacing w:after="0" w:line="260" w:lineRule="exact"/>
        <w:ind w:right="74"/>
        <w:jc w:val="both"/>
        <w:rPr>
          <w:rFonts w:ascii="Arial" w:hAnsi="Arial" w:cs="Arial"/>
          <w:b/>
          <w:bCs/>
          <w:sz w:val="20"/>
          <w:szCs w:val="20"/>
        </w:rPr>
      </w:pPr>
      <w:r w:rsidRPr="00A66402">
        <w:rPr>
          <w:rFonts w:ascii="Arial" w:hAnsi="Arial" w:cs="Arial"/>
          <w:b/>
          <w:bCs/>
          <w:sz w:val="20"/>
          <w:szCs w:val="20"/>
        </w:rPr>
        <w:t xml:space="preserve">K 13. členu </w:t>
      </w:r>
    </w:p>
    <w:p w14:paraId="7663FED8"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 </w:t>
      </w:r>
    </w:p>
    <w:p w14:paraId="75349E73"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13. člen se spremeni tako, da se glasi:</w:t>
      </w:r>
    </w:p>
    <w:p w14:paraId="7EAF96E3"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 </w:t>
      </w:r>
    </w:p>
    <w:p w14:paraId="313C7F12"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»V 30. členu zakona se naslov člena spremeni tako, da se glasi: »(prepoved prodaje in pridobivanja)«.</w:t>
      </w:r>
    </w:p>
    <w:p w14:paraId="78E3B213"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 </w:t>
      </w:r>
    </w:p>
    <w:p w14:paraId="52336941"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Za šestim odstavkom se dodata nova, sedmi in osmi odstavek, ki se glasita:</w:t>
      </w:r>
    </w:p>
    <w:p w14:paraId="1959C140"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»Posameznik ne sme prodajati ali dati na trg tobaka, tobačnih izdelkov ali povezanih izdelkov. </w:t>
      </w:r>
    </w:p>
    <w:p w14:paraId="2357778A"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Posameznik ne sme pridobivati tobaka, tobačnih izdelkov ali povezanih izdelkov v nasprotju s tem členom.«.«.</w:t>
      </w:r>
    </w:p>
    <w:p w14:paraId="6D91A0F4"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 </w:t>
      </w:r>
    </w:p>
    <w:p w14:paraId="06D896D9" w14:textId="77777777" w:rsidR="00410F22" w:rsidRPr="00A66402" w:rsidRDefault="00410F22" w:rsidP="00A66402">
      <w:pPr>
        <w:spacing w:after="0" w:line="260" w:lineRule="exact"/>
        <w:ind w:right="74"/>
        <w:jc w:val="both"/>
        <w:rPr>
          <w:rFonts w:ascii="Arial" w:hAnsi="Arial" w:cs="Arial"/>
          <w:b/>
          <w:bCs/>
          <w:sz w:val="20"/>
          <w:szCs w:val="20"/>
        </w:rPr>
      </w:pPr>
      <w:r w:rsidRPr="00A66402">
        <w:rPr>
          <w:rFonts w:ascii="Arial" w:hAnsi="Arial" w:cs="Arial"/>
          <w:b/>
          <w:bCs/>
          <w:sz w:val="20"/>
          <w:szCs w:val="20"/>
        </w:rPr>
        <w:t>Obrazložitev:</w:t>
      </w:r>
    </w:p>
    <w:p w14:paraId="3E1FAD04"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Predlagani amandma sledi mnenju Zakonodajno-pravne službe Državnega zbora (ZPS), da se namesto izraza potrošnik določi izraz posameznik, saj ne gre le za potrošnika in kupca, ampak tudi pridobitelja tobačnega izdelka. </w:t>
      </w:r>
    </w:p>
    <w:p w14:paraId="603D5668" w14:textId="77777777" w:rsidR="00410F22" w:rsidRPr="00A66402" w:rsidRDefault="00410F22" w:rsidP="00A66402">
      <w:pPr>
        <w:spacing w:after="0" w:line="260" w:lineRule="exact"/>
        <w:ind w:right="74"/>
        <w:jc w:val="both"/>
        <w:rPr>
          <w:rFonts w:ascii="Arial" w:hAnsi="Arial" w:cs="Arial"/>
          <w:sz w:val="20"/>
          <w:szCs w:val="20"/>
        </w:rPr>
      </w:pPr>
    </w:p>
    <w:p w14:paraId="2C28B976" w14:textId="77777777" w:rsidR="00410F22" w:rsidRPr="00A66402" w:rsidRDefault="00410F22" w:rsidP="00A66402">
      <w:pPr>
        <w:spacing w:after="0" w:line="260" w:lineRule="exact"/>
        <w:ind w:right="74"/>
        <w:jc w:val="both"/>
        <w:rPr>
          <w:rFonts w:ascii="Arial" w:hAnsi="Arial" w:cs="Arial"/>
          <w:b/>
          <w:bCs/>
          <w:sz w:val="20"/>
          <w:szCs w:val="20"/>
        </w:rPr>
      </w:pPr>
      <w:r w:rsidRPr="00A66402">
        <w:rPr>
          <w:rFonts w:ascii="Arial" w:hAnsi="Arial" w:cs="Arial"/>
          <w:b/>
          <w:bCs/>
          <w:sz w:val="20"/>
          <w:szCs w:val="20"/>
        </w:rPr>
        <w:t>K 18. členu</w:t>
      </w:r>
    </w:p>
    <w:p w14:paraId="315FAA00" w14:textId="77777777" w:rsidR="00410F22" w:rsidRPr="00A66402" w:rsidRDefault="00410F22" w:rsidP="00A66402">
      <w:pPr>
        <w:spacing w:after="0" w:line="260" w:lineRule="exact"/>
        <w:ind w:right="74"/>
        <w:jc w:val="both"/>
        <w:rPr>
          <w:rFonts w:ascii="Arial" w:hAnsi="Arial" w:cs="Arial"/>
          <w:b/>
          <w:bCs/>
          <w:sz w:val="20"/>
          <w:szCs w:val="20"/>
        </w:rPr>
      </w:pPr>
    </w:p>
    <w:p w14:paraId="3E099C70"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18. člen se spremeni tako, da se glasi:</w:t>
      </w:r>
    </w:p>
    <w:p w14:paraId="11C357BF" w14:textId="77777777" w:rsidR="00410F22" w:rsidRPr="00A66402" w:rsidRDefault="00410F22" w:rsidP="00A66402">
      <w:pPr>
        <w:spacing w:after="0" w:line="260" w:lineRule="exact"/>
        <w:ind w:right="74"/>
        <w:jc w:val="both"/>
        <w:rPr>
          <w:rFonts w:ascii="Arial" w:hAnsi="Arial" w:cs="Arial"/>
          <w:sz w:val="20"/>
          <w:szCs w:val="20"/>
        </w:rPr>
      </w:pPr>
    </w:p>
    <w:p w14:paraId="0E09F2D0"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»41. člen se spremeni tako, da se glasi: </w:t>
      </w:r>
    </w:p>
    <w:p w14:paraId="2EB4C06C"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»(1) Nadzor nad izvajanjem tega zakona opravljajo Zdravstveni inšpektorat Republike Slovenije, Inšpektorat Republike Slovenije za delo, Tržni inšpektorat Republike Slovenije, Finančna uprava Republike Slovenije in policija ter občinsko redarstvo.</w:t>
      </w:r>
    </w:p>
    <w:p w14:paraId="6746C52D"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(2) Zdravstveni inšpektorat Republike Slovenije opravlja nadzor nad:</w:t>
      </w:r>
    </w:p>
    <w:p w14:paraId="2107364D"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1.</w:t>
      </w:r>
      <w:r w:rsidRPr="00A66402">
        <w:rPr>
          <w:rFonts w:ascii="Arial" w:hAnsi="Arial" w:cs="Arial"/>
          <w:sz w:val="20"/>
          <w:szCs w:val="20"/>
        </w:rPr>
        <w:tab/>
        <w:t>emisijami katrana, nikotina in ogljikovega monoksida iz cigaret iz 7. člena tega zakona;</w:t>
      </w:r>
    </w:p>
    <w:p w14:paraId="2CBAF17B"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2.</w:t>
      </w:r>
      <w:r w:rsidRPr="00A66402">
        <w:rPr>
          <w:rFonts w:ascii="Arial" w:hAnsi="Arial" w:cs="Arial"/>
          <w:sz w:val="20"/>
          <w:szCs w:val="20"/>
        </w:rPr>
        <w:tab/>
        <w:t>prepovedjo dajanja na trg tobačnih izdelkov z značilno aromo iz 11. člena tega zakona;</w:t>
      </w:r>
    </w:p>
    <w:p w14:paraId="1ACEB66E"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3.</w:t>
      </w:r>
      <w:r w:rsidRPr="00A66402">
        <w:rPr>
          <w:rFonts w:ascii="Arial" w:hAnsi="Arial" w:cs="Arial"/>
          <w:sz w:val="20"/>
          <w:szCs w:val="20"/>
        </w:rPr>
        <w:tab/>
        <w:t>prepovedjo dajanja na trg tobačnih izdelkov, ki vsebujejo dodatke iz 12. člena tega zakona;</w:t>
      </w:r>
    </w:p>
    <w:p w14:paraId="07395D07"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4.</w:t>
      </w:r>
      <w:r w:rsidRPr="00A66402">
        <w:rPr>
          <w:rFonts w:ascii="Arial" w:hAnsi="Arial" w:cs="Arial"/>
          <w:sz w:val="20"/>
          <w:szCs w:val="20"/>
        </w:rPr>
        <w:tab/>
        <w:t>poročanjem in obveščanjem proizvajalcev in uvoznikov o sestavinah in emisijah tobačnih izdelkov in povezanih izdelkov v skladu z 9., 10. in 25. členom, prvim, drugim in šestim odstavkom 26. člena ter 28. členom tega zakona;</w:t>
      </w:r>
    </w:p>
    <w:p w14:paraId="3EB27876"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5.</w:t>
      </w:r>
      <w:r w:rsidRPr="00A66402">
        <w:rPr>
          <w:rFonts w:ascii="Arial" w:hAnsi="Arial" w:cs="Arial"/>
          <w:sz w:val="20"/>
          <w:szCs w:val="20"/>
        </w:rPr>
        <w:tab/>
      </w:r>
      <w:bookmarkStart w:id="14" w:name="_Hlk160351312"/>
      <w:r w:rsidRPr="00A66402">
        <w:rPr>
          <w:rFonts w:ascii="Arial" w:hAnsi="Arial" w:cs="Arial"/>
          <w:sz w:val="20"/>
          <w:szCs w:val="20"/>
        </w:rPr>
        <w:t>obveznostmi, ki jih morajo izpolnjevati proizvajalci, uvozniki in distributerji elektronskih cigaret, elektronskih cigaret brez nikotina, posodic za ponovno polnjenje in posodic za ponovno polnjenje brez nikotina iz devetega, desetega in enajstega odstavka 26. člena tega zakona in pogoji, ki jih morajo izpolnjevati elektronske cigarete, elektronske cigarete brez nikotina, posodice za ponovno polnjenje in posodice za ponovno polnjenje brez nikotina iz tretjega odstavka 26. člena tega zakona;</w:t>
      </w:r>
    </w:p>
    <w:bookmarkEnd w:id="14"/>
    <w:p w14:paraId="5FC41311"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6.</w:t>
      </w:r>
      <w:r w:rsidRPr="00A66402">
        <w:rPr>
          <w:rFonts w:ascii="Arial" w:hAnsi="Arial" w:cs="Arial"/>
          <w:sz w:val="20"/>
          <w:szCs w:val="20"/>
        </w:rPr>
        <w:tab/>
        <w:t>prepovedjo kajenja oziroma uporabe tobaka, tobačnih izdelkov in povezanih izdelkov, razen tobaka za žvečenje in tobaka za njuhanje, v javnih prostorih iz 39. člena tega zakona;</w:t>
      </w:r>
    </w:p>
    <w:p w14:paraId="001C68F8"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7.</w:t>
      </w:r>
      <w:r w:rsidRPr="00A66402">
        <w:rPr>
          <w:rFonts w:ascii="Arial" w:hAnsi="Arial" w:cs="Arial"/>
          <w:sz w:val="20"/>
          <w:szCs w:val="20"/>
        </w:rPr>
        <w:tab/>
        <w:t>posamezniki, ki ne upoštevajo prepovedi kajenja oziroma uporabe tobaka, tobačnih izdelkov in povezanih izdelkov, razen tobaka za žvečenje in tobaka za njuhanje, v javnih prostorih iz 39. člena tega zakona.</w:t>
      </w:r>
    </w:p>
    <w:p w14:paraId="5CF393E3"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(3) Zdravstveni inšpektorat Republike Slovenije na podlagi lastnih ugotovitev ali ugotovitev NLZOH, da se tobak, tobačni izdelki in povezani izdelki proizvajajo, prodajajo ali dajejo na trg v nasprotju s 7., 8., 11., 12. in 26. členom tega zakona, z odločbo prepove proizvodnjo in prodajo teh izdelkov ter odredi njihovo odstranitev iz proizvodnje in prodaje.</w:t>
      </w:r>
    </w:p>
    <w:p w14:paraId="077D423D" w14:textId="77777777" w:rsidR="00410F22" w:rsidRPr="00A66402" w:rsidRDefault="00410F22" w:rsidP="00A66402">
      <w:pPr>
        <w:spacing w:after="0" w:line="260" w:lineRule="exact"/>
        <w:ind w:right="74"/>
        <w:jc w:val="both"/>
        <w:rPr>
          <w:rFonts w:ascii="Arial" w:hAnsi="Arial" w:cs="Arial"/>
          <w:sz w:val="20"/>
          <w:szCs w:val="20"/>
        </w:rPr>
      </w:pPr>
    </w:p>
    <w:p w14:paraId="6B62C6B2" w14:textId="77777777" w:rsidR="00410F22" w:rsidRPr="00A66402" w:rsidRDefault="00410F22" w:rsidP="00A66402">
      <w:pPr>
        <w:pStyle w:val="Brezrazmikov"/>
        <w:spacing w:line="260" w:lineRule="exact"/>
        <w:ind w:firstLine="708"/>
        <w:jc w:val="both"/>
        <w:rPr>
          <w:rFonts w:ascii="Arial" w:hAnsi="Arial" w:cs="Arial"/>
          <w:sz w:val="20"/>
          <w:szCs w:val="20"/>
        </w:rPr>
      </w:pPr>
      <w:r w:rsidRPr="00A66402">
        <w:rPr>
          <w:rFonts w:ascii="Arial" w:hAnsi="Arial" w:cs="Arial"/>
          <w:sz w:val="20"/>
          <w:szCs w:val="20"/>
        </w:rPr>
        <w:t>(4) Zdravstveni inšpektorat Republike Slovenije na podlagi ugotovitev NLZOH, da za določeno znamko in vrsto tobaka, tobačnih izdelkov in povezanih izdelkov njihovi proizvajalci in uvozniki ne izpolnjujejo obveznosti poročanja ali obveščanja o izdelkih iz 9., 10., 25., 26. in 28. člena tega zakona, z odločbo prepove prodajo teh izdelkov in odredi njihovo odstranitev iz prodaje.</w:t>
      </w:r>
    </w:p>
    <w:p w14:paraId="476D7EC5"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lastRenderedPageBreak/>
        <w:t>(5) Na zahtevo Zdravstvenega inšpektorata Republike Slovenije ali Finančne uprave Republike Slovenije lahko NLZOH opravlja laboratorijska preskušanja tobaka, tobačnih izdelkov in povezanih izdelkov. Pravne in fizične osebe, ki dajejo na trg tobak, tobačne izdelke in povezane izdelke, morajo dati pristojnemu inšpektorju oziroma inšpektorici (v nadaljnjem besedilu: inšpektor) brezplačno na razpolago vzorec takšnega izdelka. Če se z laboratorijskim preskušanjem ugotovi, da odvzeti vzorec v postopku opravljanja nadzora ni v skladu z določbami tega zakona, stroške laboratorijskega preskušanja nosi pravna ali fizična oseba, pri kateri je bil vzorec odvzet.</w:t>
      </w:r>
    </w:p>
    <w:p w14:paraId="4EA518D1"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(6) Inšpektorat Republike Slovenije za delo opravlja nadzor nad:</w:t>
      </w:r>
    </w:p>
    <w:p w14:paraId="2EB5EE2E"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1.</w:t>
      </w:r>
      <w:r w:rsidRPr="00A66402">
        <w:rPr>
          <w:rFonts w:ascii="Arial" w:hAnsi="Arial" w:cs="Arial"/>
          <w:sz w:val="20"/>
          <w:szCs w:val="20"/>
        </w:rPr>
        <w:tab/>
        <w:t>prepovedjo kajenja oziroma uporabe tobaka, tobačnih izdelkov in povezanih izdelkov, razen tobaka za žvečenje in tobaka za njuhanje, v delovnih prostorih iz 39. člena tega zakona;</w:t>
      </w:r>
    </w:p>
    <w:p w14:paraId="147F35E7"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2.</w:t>
      </w:r>
      <w:r w:rsidRPr="00A66402">
        <w:rPr>
          <w:rFonts w:ascii="Arial" w:hAnsi="Arial" w:cs="Arial"/>
          <w:sz w:val="20"/>
          <w:szCs w:val="20"/>
        </w:rPr>
        <w:tab/>
        <w:t>posamezniki, ki ne upoštevajo prepovedi kajenja oziroma uporabe tobaka, tobačnih izdelkov in povezanih izdelkov, razen tobaka za žvečenje in tobaka za njuhanje, v delovnih prostorih iz 39. člena tega zakona.</w:t>
      </w:r>
    </w:p>
    <w:p w14:paraId="6F439490"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(7) Tržni inšpektorat Republike Slovenije opravlja nadzor poslovnih subjektov, in sicer nad:</w:t>
      </w:r>
    </w:p>
    <w:p w14:paraId="0EA75A9E"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1.</w:t>
      </w:r>
      <w:r w:rsidRPr="00A66402">
        <w:rPr>
          <w:rFonts w:ascii="Arial" w:hAnsi="Arial" w:cs="Arial"/>
          <w:sz w:val="20"/>
          <w:szCs w:val="20"/>
        </w:rPr>
        <w:tab/>
        <w:t>pogoji, ki jih morajo izpolnjevati tobak in tobačni izdelki iz 13. do 20. člena tega zakona;</w:t>
      </w:r>
    </w:p>
    <w:p w14:paraId="454C0E14"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2.</w:t>
      </w:r>
      <w:r w:rsidRPr="00A66402">
        <w:rPr>
          <w:rFonts w:ascii="Arial" w:hAnsi="Arial" w:cs="Arial"/>
          <w:sz w:val="20"/>
          <w:szCs w:val="20"/>
        </w:rPr>
        <w:tab/>
        <w:t>prepovedjo dajanja na trg tobaka za oralno uporabo iz 24. člena tega zakona;</w:t>
      </w:r>
    </w:p>
    <w:p w14:paraId="11C4F554"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3.</w:t>
      </w:r>
      <w:r w:rsidRPr="00A66402">
        <w:rPr>
          <w:rFonts w:ascii="Arial" w:hAnsi="Arial" w:cs="Arial"/>
          <w:sz w:val="20"/>
          <w:szCs w:val="20"/>
        </w:rPr>
        <w:tab/>
      </w:r>
      <w:bookmarkStart w:id="15" w:name="_Hlk160351402"/>
      <w:r w:rsidRPr="00A66402">
        <w:rPr>
          <w:rFonts w:ascii="Arial" w:hAnsi="Arial" w:cs="Arial"/>
          <w:sz w:val="20"/>
          <w:szCs w:val="20"/>
        </w:rPr>
        <w:t>pogoji, ki jih morajo izpolnjevati elektronske cigarete, elektronske cigarete brez nikotina, posodice za ponovno polnjenje in posodice za ponovno polnjenje brez nikotina iz četrtega in petega odstavka 26. člena tega zakona;</w:t>
      </w:r>
    </w:p>
    <w:bookmarkEnd w:id="15"/>
    <w:p w14:paraId="4C0445BF"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4.</w:t>
      </w:r>
      <w:r w:rsidRPr="00A66402">
        <w:rPr>
          <w:rFonts w:ascii="Arial" w:hAnsi="Arial" w:cs="Arial"/>
          <w:sz w:val="20"/>
          <w:szCs w:val="20"/>
        </w:rPr>
        <w:tab/>
        <w:t>pogoji, ki jih morajo izpolnjevati zeliščni izdelki za kajenje iz 27. člena tega zakona;</w:t>
      </w:r>
    </w:p>
    <w:p w14:paraId="5AF48CFF"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5.</w:t>
      </w:r>
      <w:r w:rsidRPr="00A66402">
        <w:rPr>
          <w:rFonts w:ascii="Arial" w:hAnsi="Arial" w:cs="Arial"/>
          <w:sz w:val="20"/>
          <w:szCs w:val="20"/>
        </w:rPr>
        <w:tab/>
        <w:t>prepovedjo sponzoriranja in oglaševanja tobaka, tobačnih izdelkov in povezanih izdelkov iz 29. člena tega zakona;</w:t>
      </w:r>
    </w:p>
    <w:p w14:paraId="72D1FFF4"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6.</w:t>
      </w:r>
      <w:r w:rsidRPr="00A66402">
        <w:rPr>
          <w:rFonts w:ascii="Arial" w:hAnsi="Arial" w:cs="Arial"/>
          <w:sz w:val="20"/>
          <w:szCs w:val="20"/>
        </w:rPr>
        <w:tab/>
        <w:t>prepovedjo prodaje iz 30. in 31. člena tega zakona;</w:t>
      </w:r>
    </w:p>
    <w:p w14:paraId="7D55345D"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7.</w:t>
      </w:r>
      <w:r w:rsidRPr="00A66402">
        <w:rPr>
          <w:rFonts w:ascii="Arial" w:hAnsi="Arial" w:cs="Arial"/>
          <w:sz w:val="20"/>
          <w:szCs w:val="20"/>
        </w:rPr>
        <w:tab/>
        <w:t>prodajo tobaka, tobačnih izdelkov in povezanih izdelkov brez dovoljenja iz 32. člena tega zakona in vidnostjo dovoljenja v poslovnem prostoru iz tretjega odstavka 34. člena tega zakona.</w:t>
      </w:r>
    </w:p>
    <w:p w14:paraId="48C6D663"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(8) Finančna uprava Republike Slovenije opravlja nadzor nad:</w:t>
      </w:r>
    </w:p>
    <w:p w14:paraId="0F1B5E86"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w:t>
      </w:r>
      <w:r w:rsidRPr="00A66402">
        <w:rPr>
          <w:rFonts w:ascii="Arial" w:hAnsi="Arial" w:cs="Arial"/>
          <w:sz w:val="20"/>
          <w:szCs w:val="20"/>
        </w:rPr>
        <w:tab/>
        <w:t xml:space="preserve">pogoji, določenimi v 22. in 23. členu tega zakona, ki jih morajo izpolnjevati tobak in tobačni izdelki; </w:t>
      </w:r>
    </w:p>
    <w:p w14:paraId="2805E3E4"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w:t>
      </w:r>
      <w:r w:rsidRPr="00A66402">
        <w:rPr>
          <w:rFonts w:ascii="Arial" w:hAnsi="Arial" w:cs="Arial"/>
          <w:sz w:val="20"/>
          <w:szCs w:val="20"/>
        </w:rPr>
        <w:tab/>
      </w:r>
      <w:bookmarkStart w:id="16" w:name="_Hlk160351466"/>
      <w:r w:rsidRPr="00A66402">
        <w:rPr>
          <w:rFonts w:ascii="Arial" w:hAnsi="Arial" w:cs="Arial"/>
          <w:sz w:val="20"/>
          <w:szCs w:val="20"/>
        </w:rPr>
        <w:t>pogoji, ki jih morajo izpolnjevati elektronske cigarete, elektronske cigarete brez nikotina, posodice za ponovno polnjenje in posodice za ponovno polnjenje brez nikotina iz tretjega odstavka 26. člena tega zakona pri uvozu iz tretjih držav, pri čemer mu podporo zagotavlja Zdravstveni inšpektorat Republike Slovenije;</w:t>
      </w:r>
    </w:p>
    <w:bookmarkEnd w:id="16"/>
    <w:p w14:paraId="050477ED"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w:t>
      </w:r>
      <w:r w:rsidRPr="00A66402">
        <w:rPr>
          <w:rFonts w:ascii="Arial" w:hAnsi="Arial" w:cs="Arial"/>
          <w:sz w:val="20"/>
          <w:szCs w:val="20"/>
        </w:rPr>
        <w:tab/>
        <w:t>posamezniki, ki prodajajo, dajejo na trg ali pridobivajo tobak, tobačne ali povezane izdelke v nasprotju s sedmim in osmim odstavkom 30. člena tega zakona;</w:t>
      </w:r>
    </w:p>
    <w:p w14:paraId="17796743"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w:t>
      </w:r>
      <w:r w:rsidRPr="00A66402">
        <w:rPr>
          <w:rFonts w:ascii="Arial" w:hAnsi="Arial" w:cs="Arial"/>
          <w:sz w:val="20"/>
          <w:szCs w:val="20"/>
        </w:rPr>
        <w:tab/>
        <w:t>prepovedjo uvoza iz 30.a člena tega zakona;</w:t>
      </w:r>
    </w:p>
    <w:p w14:paraId="277B369B"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w:t>
      </w:r>
      <w:r w:rsidRPr="00A66402">
        <w:rPr>
          <w:rFonts w:ascii="Arial" w:hAnsi="Arial" w:cs="Arial"/>
          <w:sz w:val="20"/>
          <w:szCs w:val="20"/>
        </w:rPr>
        <w:tab/>
        <w:t>prodajo tobaka, tobačnih izdelkov in povezanih izdelkov brez dovoljenja iz 32. člena tega zakona.</w:t>
      </w:r>
    </w:p>
    <w:p w14:paraId="3CEA93CD"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 xml:space="preserve">(9) Če Tržni inšpektorat Republike Slovenije ugotovi, da se tobak in tobačni izdelki proizvajajo, prodajajo ali dajejo na trg v nasprotju s 13. do 20. členom tega zakona ali se prodajajo brez dovoljenja iz 32. člena tega zakona, z odločbo prepove njihovo proizvodnjo, prodajo ali dajanje na trg ter odredi njihovo odstranitev iz proizvodnje ali prodaje. </w:t>
      </w:r>
    </w:p>
    <w:p w14:paraId="0E3501DB"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(10) Če Finančna uprava Republike Slovenije ugotovi, da se tobak, tobačni in povezani izdelki prodajajo brez dovoljenja iz 32. člena tega zakona, z odločbo prepove njihovo prodajo ter odredi njihovo odstranitev iz proizvodnje ali prodaje.</w:t>
      </w:r>
    </w:p>
    <w:p w14:paraId="2294F4FE"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(11) Zdravstveni inšpektorat Republike Slovenije na podlagi prejetega obvestila iz dvanajstega odstavka 26. člena tega zakona sprejme ustrezne začasne ukrepe za zaščito zdravja ljudi, ki vključujejo prepoved prodaje določenega izdelka ali umik določenega izdelka s trga.</w:t>
      </w:r>
    </w:p>
    <w:p w14:paraId="47878439"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(12) Če pristojni inšpekcijski organ ugotovi, da se tobačni ali povezani izdelki proizvajajo, prodajajo ali dajejo na trg v nasprotju s 26. in 27. členom tega zakona ali brez dovoljenja iz 32. člena tega zakona, z odločbo prepove prodajo, dajanje na trg ali proizvodnjo teh izdelkov ter odredi njihovo odstranitev iz proizvodnje ali prodaje.</w:t>
      </w:r>
    </w:p>
    <w:p w14:paraId="34E85147"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 xml:space="preserve">(13) Če Tržni inšpektorat Republike Slovenije ugotovi, da se tobak, tobačni izdelki ali povezani izdelki sponzorirajo ali oglašujejo v nasprotju z 29. členom tega zakona, tako sponzoriranje ali </w:t>
      </w:r>
      <w:r w:rsidRPr="00A66402">
        <w:rPr>
          <w:rFonts w:ascii="Arial" w:hAnsi="Arial" w:cs="Arial"/>
          <w:sz w:val="20"/>
          <w:szCs w:val="20"/>
        </w:rPr>
        <w:lastRenderedPageBreak/>
        <w:t>oglaševanje z odločbo prepove. Za izvršitev odločbe odredi takojšnjo odstranitev oglasnega materiala na stroške poslovnega subjekta.</w:t>
      </w:r>
    </w:p>
    <w:p w14:paraId="4F82F113"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(14) Pristojni inšpektor lahko pri opravljanju nadzora nad prepovedjo prodaje tobaka, tobačnih izdelkov in povezanih izdelkov osebam, mlajšim od 18 let, iz prvega odstavka 30.  člena tega zakona sodeluje z osebo, mlajšo od 18 let. Za sodelovanje mladoletne osebe je treba pridobiti predhodno pisno soglasje njenih staršev oziroma skrbnikov.</w:t>
      </w:r>
    </w:p>
    <w:p w14:paraId="6D674F66" w14:textId="77777777" w:rsidR="00410F22" w:rsidRPr="00A66402" w:rsidRDefault="00410F22" w:rsidP="00A66402">
      <w:pPr>
        <w:spacing w:after="0" w:line="260" w:lineRule="exact"/>
        <w:ind w:right="74" w:firstLine="708"/>
        <w:jc w:val="both"/>
        <w:rPr>
          <w:rFonts w:ascii="Arial" w:hAnsi="Arial" w:cs="Arial"/>
          <w:sz w:val="20"/>
          <w:szCs w:val="20"/>
        </w:rPr>
      </w:pPr>
      <w:r w:rsidRPr="00A66402">
        <w:rPr>
          <w:rFonts w:ascii="Arial" w:hAnsi="Arial" w:cs="Arial"/>
          <w:sz w:val="20"/>
          <w:szCs w:val="20"/>
        </w:rPr>
        <w:t>(15) Policija ter občinsko redarstvo opravljata nadzor nad prepovedjo kajenja v vseh vozilih ob prisotnosti oseb, mlajših od 18 let, iz prvega odstavka 39. člena tega zakona.«.«.</w:t>
      </w:r>
    </w:p>
    <w:p w14:paraId="2F5DF2AB" w14:textId="77777777" w:rsidR="00410F22" w:rsidRPr="00A66402" w:rsidRDefault="00410F22" w:rsidP="00A66402">
      <w:pPr>
        <w:spacing w:after="0" w:line="260" w:lineRule="exact"/>
        <w:ind w:right="74"/>
        <w:jc w:val="both"/>
        <w:rPr>
          <w:rFonts w:ascii="Arial" w:hAnsi="Arial" w:cs="Arial"/>
          <w:sz w:val="20"/>
          <w:szCs w:val="20"/>
        </w:rPr>
      </w:pPr>
    </w:p>
    <w:p w14:paraId="42335247" w14:textId="77777777" w:rsidR="00410F22" w:rsidRPr="00A66402" w:rsidRDefault="00410F22" w:rsidP="00A66402">
      <w:pPr>
        <w:spacing w:after="0" w:line="260" w:lineRule="exact"/>
        <w:ind w:right="74"/>
        <w:jc w:val="both"/>
        <w:rPr>
          <w:rFonts w:ascii="Arial" w:hAnsi="Arial" w:cs="Arial"/>
          <w:b/>
          <w:bCs/>
          <w:sz w:val="20"/>
          <w:szCs w:val="20"/>
        </w:rPr>
      </w:pPr>
      <w:r w:rsidRPr="00A66402">
        <w:rPr>
          <w:rFonts w:ascii="Arial" w:hAnsi="Arial" w:cs="Arial"/>
          <w:b/>
          <w:bCs/>
          <w:sz w:val="20"/>
          <w:szCs w:val="20"/>
        </w:rPr>
        <w:t>Obrazložitev:</w:t>
      </w:r>
    </w:p>
    <w:p w14:paraId="45E8448F"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 xml:space="preserve">Zaradi dodajanja izrazov »elektronska cigareta brez nikotina« in »posodica za ponovno polnjenje brez nikotina« je bilo treba temu ustrezno prilagoditi nadzor v 41. členu ZOUTPI, </w:t>
      </w:r>
      <w:r w:rsidRPr="00A66402">
        <w:rPr>
          <w:rFonts w:ascii="Arial" w:hAnsi="Arial" w:cs="Arial"/>
          <w:b/>
          <w:bCs/>
          <w:sz w:val="20"/>
          <w:szCs w:val="20"/>
        </w:rPr>
        <w:t>in sicer v 5. točki drugega odstavka 41. člena, 3. točki sedmega odstavka 41. člena in drugi alineji osmega odstavka 41. člena ZOUTPI.</w:t>
      </w:r>
    </w:p>
    <w:p w14:paraId="7A9B08D3" w14:textId="77777777" w:rsidR="00410F22" w:rsidRPr="00A66402" w:rsidRDefault="00410F22" w:rsidP="00A66402">
      <w:pPr>
        <w:spacing w:after="0" w:line="260" w:lineRule="exact"/>
        <w:ind w:right="74"/>
        <w:jc w:val="both"/>
        <w:rPr>
          <w:rFonts w:ascii="Arial" w:hAnsi="Arial" w:cs="Arial"/>
          <w:sz w:val="20"/>
          <w:szCs w:val="20"/>
        </w:rPr>
      </w:pPr>
    </w:p>
    <w:p w14:paraId="0D4679D5" w14:textId="77777777" w:rsidR="00410F22" w:rsidRPr="00A66402" w:rsidRDefault="00410F22" w:rsidP="00A66402">
      <w:pPr>
        <w:pStyle w:val="Brezrazmikov"/>
        <w:spacing w:line="260" w:lineRule="exact"/>
        <w:jc w:val="both"/>
        <w:rPr>
          <w:rFonts w:ascii="Arial" w:hAnsi="Arial" w:cs="Arial"/>
          <w:b/>
          <w:bCs/>
          <w:sz w:val="20"/>
          <w:szCs w:val="20"/>
          <w:u w:val="single"/>
        </w:rPr>
      </w:pPr>
      <w:r w:rsidRPr="00A66402">
        <w:rPr>
          <w:rFonts w:ascii="Arial" w:hAnsi="Arial" w:cs="Arial"/>
          <w:b/>
          <w:bCs/>
          <w:sz w:val="20"/>
          <w:szCs w:val="20"/>
          <w:u w:val="single"/>
        </w:rPr>
        <w:t>K 19. členu</w:t>
      </w:r>
    </w:p>
    <w:p w14:paraId="63BC86D1" w14:textId="77777777" w:rsidR="00410F22" w:rsidRPr="00A66402" w:rsidRDefault="00410F22" w:rsidP="00A66402">
      <w:pPr>
        <w:pStyle w:val="Brezrazmikov"/>
        <w:spacing w:line="260" w:lineRule="exact"/>
        <w:jc w:val="both"/>
        <w:rPr>
          <w:rFonts w:ascii="Arial" w:hAnsi="Arial" w:cs="Arial"/>
          <w:b/>
          <w:bCs/>
          <w:sz w:val="20"/>
          <w:szCs w:val="20"/>
          <w:u w:val="single"/>
        </w:rPr>
      </w:pPr>
    </w:p>
    <w:p w14:paraId="528CE0BB"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19. člen se spremeni tako, da se glasi:</w:t>
      </w:r>
    </w:p>
    <w:p w14:paraId="019659DA"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p>
    <w:p w14:paraId="0001B39A"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»V 42. členu se prvi odstavek spremeni tako, da se glasi:</w:t>
      </w:r>
    </w:p>
    <w:p w14:paraId="5C53BF49" w14:textId="77777777" w:rsidR="00410F22" w:rsidRPr="00A66402" w:rsidRDefault="00410F22" w:rsidP="00A66402">
      <w:pPr>
        <w:pStyle w:val="Brezrazmikov"/>
        <w:spacing w:line="260" w:lineRule="exact"/>
        <w:ind w:firstLine="708"/>
        <w:jc w:val="both"/>
        <w:rPr>
          <w:rFonts w:ascii="Arial" w:eastAsia="Arial" w:hAnsi="Arial" w:cs="Arial"/>
          <w:sz w:val="20"/>
          <w:szCs w:val="20"/>
          <w:lang w:eastAsia="sl-SI"/>
        </w:rPr>
      </w:pPr>
      <w:r w:rsidRPr="00A66402">
        <w:rPr>
          <w:rFonts w:ascii="Arial" w:eastAsia="Arial" w:hAnsi="Arial" w:cs="Arial"/>
          <w:sz w:val="20"/>
          <w:szCs w:val="20"/>
          <w:lang w:eastAsia="sl-SI"/>
        </w:rPr>
        <w:t>»Z globo od 4.000 do 33.000 eurov se kaznuje za prekršek pravna oseba:</w:t>
      </w:r>
    </w:p>
    <w:p w14:paraId="13DE3C88"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 če proizvaja, prodaja ali daje na trg cigarete, ki vsebujejo večje vsebnosti katrana, nikotina in ogljikovega monoksida, kot je določeno v 7. členu tega zakona;</w:t>
      </w:r>
    </w:p>
    <w:p w14:paraId="4FC4F543"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 če prodaja ali daje na trg tobačne izdelke, za katere ni izpolnjena obveznost poročanja o sestavinah in emisijah teh izdelkov (9. in 10. člen);</w:t>
      </w:r>
    </w:p>
    <w:p w14:paraId="5201EC99"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3. če proizvaja, daje na trg ali prodaja tobačne izdelke z značilno aromo (11. člen) ali z dodatki iz prvega in tretjega odstavka 12. člena tega zakona ali če proizvaja, prodaja ali daje na trg tobačne izdelke, ki vsebujejo aromatične snovi v kateri koli od njihovih komponent (drugi odstavek 12. člena);</w:t>
      </w:r>
    </w:p>
    <w:p w14:paraId="2EDE7A95"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4. če daje na trg ali prodaja tobačne izdelke in brezdimne tobačne izdelke, ki ne izpolnjujejo pogojev glede označevanja, embalaže, splošnih opozoril, informativnih sporočil in sestavljenih zdravstvenih opozoril (13., 14., 15. in 16. člen);</w:t>
      </w:r>
    </w:p>
    <w:p w14:paraId="2811672B"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5. če daje na trg ali prodaja tobačne izdelke, katerih označevanje ali zunanja embalaža sta v nasprotju z določbami 17. člena tega zakona;</w:t>
      </w:r>
    </w:p>
    <w:p w14:paraId="3EAFA993"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6. če daje na trg ali prodaja cigaretne zavojčke in zunanjo embalažo cigaret, katerih videz in vsebina nasprotujeta določbam 18. člena tega zakona;</w:t>
      </w:r>
    </w:p>
    <w:p w14:paraId="740934C8"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7. če daje na trg ali prodaja zavojčke tobaka za zvijanje in zunanjo embalažo tobaka za zvijanje, katerih videz in vsebina nasprotujeta določbam 19. člena tega zakona;</w:t>
      </w:r>
    </w:p>
    <w:p w14:paraId="203AC855"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8. če daje na trg ali prodaja cigarete, katerih videz nasprotuje določbam 20. člena tega zakona;</w:t>
      </w:r>
    </w:p>
    <w:p w14:paraId="0A24191C"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9. če ne omogoča takojšnje dostopnosti do posebne identifikacijske oznake (četrti odstavek 22. člena);</w:t>
      </w:r>
    </w:p>
    <w:p w14:paraId="25E3EB70"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10. če ne evidentira vnosa vseh zavojčkov ter vmesnih gibanj in končnega iznosa zavojčkov iz svoje posesti na način, ki omogoča enoznačno in nedvoumno prepoznavanje ter sledenje vseh zavojčkov (peti odstavek 22. člena);</w:t>
      </w:r>
    </w:p>
    <w:p w14:paraId="33CBFE3B"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11. če ne vodi evidenc vseh opravljenih transakcij (šesti odstavek 22. člena);</w:t>
      </w:r>
    </w:p>
    <w:p w14:paraId="33E4EF68"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12. če gospodarskim subjektom, vključenim v trgovino s tobačnimi izdelki od proizvajalca do zadnjega gospodarskega subjekta pred prvo prodajo na prodajnem mestu, vključno z uvozniki, skladišči in prevoznimi podjetji, ne predloži opreme za evidentiranje tobačnih izdelkov ali če predložena oprema ne omogoča elektronskega odčitavanja in nedvoumnega prepoznavanja ter sledenja vseh zavojčkov (sedmi odstavek 22. člena);</w:t>
      </w:r>
    </w:p>
    <w:p w14:paraId="70C137AE"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13. če spreminja ali briše evidentirane podatke (deveti odstavek 22. člena);</w:t>
      </w:r>
    </w:p>
    <w:p w14:paraId="3F81F251"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14. če daje na trg ali prodaja tobačne izdelke brez identifikacijske oznake ali brez varnostnega elementa, če identifikacijska oznaka ni celovita ali če varnostni element ne izpolnjuje zahtevanih tehničnih standardov (prvi, drugi in tretji odstavek 22. člena in 23. člen);</w:t>
      </w:r>
    </w:p>
    <w:p w14:paraId="7739DAAC"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15. če daje na trg ali prodaja tobak za oralno uporabo (24. člen);</w:t>
      </w:r>
    </w:p>
    <w:p w14:paraId="0187031B"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lastRenderedPageBreak/>
        <w:t>16. če prodaja ali daje na trg nove tobačne izdelke v nasprotju s 25. členom tega zakona;</w:t>
      </w:r>
    </w:p>
    <w:p w14:paraId="338ED7C9"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 xml:space="preserve">17. </w:t>
      </w:r>
      <w:bookmarkStart w:id="17" w:name="_Hlk160353559"/>
      <w:r w:rsidRPr="00A66402">
        <w:rPr>
          <w:rFonts w:ascii="Arial" w:eastAsia="Arial" w:hAnsi="Arial" w:cs="Arial"/>
          <w:sz w:val="20"/>
          <w:szCs w:val="20"/>
          <w:lang w:eastAsia="sl-SI"/>
        </w:rPr>
        <w:t>če proizvaja, prodaja ali daje na trg elektronske cigarete, elektronske cigarete brez nikotina, posodice za ponovno polnjenje ali posodice za ponovno polnjenje brez nikotina v nasprotju s tretjim, četrtim, petim in desetim odstavkom  26. členom tega zakona;</w:t>
      </w:r>
    </w:p>
    <w:bookmarkEnd w:id="17"/>
    <w:p w14:paraId="09F8FD9C"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 xml:space="preserve">18. </w:t>
      </w:r>
      <w:bookmarkStart w:id="18" w:name="_Hlk160353584"/>
      <w:r w:rsidRPr="00A66402">
        <w:rPr>
          <w:rFonts w:ascii="Arial" w:eastAsia="Arial" w:hAnsi="Arial" w:cs="Arial"/>
          <w:sz w:val="20"/>
          <w:szCs w:val="20"/>
          <w:lang w:eastAsia="sl-SI"/>
        </w:rPr>
        <w:t>če proizvaja, prodaja ali daje na trg elektronske cigarete, elektronske cigarete brez nikotina,  posodice za ponovno polnjenje ali posodice za ponovno polnjenje brez nikotina v nasprotju s prvim, drugim, šestim, devetim in enajstim odstavkom 26. člena tega zakona;</w:t>
      </w:r>
    </w:p>
    <w:bookmarkEnd w:id="18"/>
    <w:p w14:paraId="30260282"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19. če daje na trg ali prodaja zeliščni izdelek za kajenje v nasprotju s 27. členom tega zakona;</w:t>
      </w:r>
    </w:p>
    <w:p w14:paraId="3D3AF33B"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 xml:space="preserve">20. </w:t>
      </w:r>
      <w:bookmarkStart w:id="19" w:name="_Hlk160353604"/>
      <w:r w:rsidRPr="00A66402">
        <w:rPr>
          <w:rFonts w:ascii="Arial" w:eastAsia="Arial" w:hAnsi="Arial" w:cs="Arial"/>
          <w:sz w:val="20"/>
          <w:szCs w:val="20"/>
          <w:lang w:eastAsia="sl-SI"/>
        </w:rPr>
        <w:t>če ne poroča o sestavinah zeliščnih izdelkov za kajenje in zeliščnih izdelkov za segrevanje v skladu z 28. členom tega zakona;</w:t>
      </w:r>
    </w:p>
    <w:bookmarkEnd w:id="19"/>
    <w:p w14:paraId="1991F0E5"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 xml:space="preserve">21. če </w:t>
      </w:r>
      <w:proofErr w:type="spellStart"/>
      <w:r w:rsidRPr="00A66402">
        <w:rPr>
          <w:rFonts w:ascii="Arial" w:eastAsia="Arial" w:hAnsi="Arial" w:cs="Arial"/>
          <w:sz w:val="20"/>
          <w:szCs w:val="20"/>
          <w:lang w:eastAsia="sl-SI"/>
        </w:rPr>
        <w:t>donira</w:t>
      </w:r>
      <w:proofErr w:type="spellEnd"/>
      <w:r w:rsidRPr="00A66402">
        <w:rPr>
          <w:rFonts w:ascii="Arial" w:eastAsia="Arial" w:hAnsi="Arial" w:cs="Arial"/>
          <w:sz w:val="20"/>
          <w:szCs w:val="20"/>
          <w:lang w:eastAsia="sl-SI"/>
        </w:rPr>
        <w:t xml:space="preserve"> ali sponzorira dogodek, dejavnosti ali posameznika ter posredno ali neposredno oglašuje in promovira tobačne izdelke in povezane izdelke (29. člen);</w:t>
      </w:r>
    </w:p>
    <w:p w14:paraId="0ED343E2"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22. če prikazuje ali uporablja tobak, tobačne izdelke in povezane izdelke na televiziji ter v okviru javnih nastopov (sedmi odstavek 29. člena);</w:t>
      </w:r>
    </w:p>
    <w:p w14:paraId="59DFDB8A"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23. če prodaja tobak, tobačne izdelke ali povezane izdelke osebam, mlajšim od 18 let, ali če prepovedi prodaje ne objavi na vidnem mestu ali če prodaja tobak, tobačne ali povezane izdelke oseba, mlajša od 18 let (prvi in drugi odstavek 30. člena);</w:t>
      </w:r>
    </w:p>
    <w:p w14:paraId="7BF61DF0"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24. če prodaja ali daje na trg tobak, tobačne ali  povezane izdelke v nasprotju s tretjim odstavkom 30. člena tega zakona;</w:t>
      </w:r>
    </w:p>
    <w:p w14:paraId="2BE7741A"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25. če prodaja ali daje na trg tobak, tobačne izdelke ali povezane izdelke zunaj izvirne embalaže proizvajalca (četrti odstavek 30. člena);</w:t>
      </w:r>
    </w:p>
    <w:p w14:paraId="695DE348"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26. če daje na trg ali čezmejno prodaja na daljavo tobak, tobačne izdelke ali povezane izdelke prek interneta, telekomunikacij ali druge razvijajoče se tehnologije (peti odstavek 30. člena);</w:t>
      </w:r>
    </w:p>
    <w:p w14:paraId="51E53931"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 xml:space="preserve">27. če proizvaja, daje na trg ali čezmejno prodaja na daljavo sladkarije, prigrizke, igrače ali druge predmete v obliki tobačnih izdelkov ali povezanih izdelkov, ki so namenjeni osebam, mlajšim od 18 let (šesti odstavek 30. člena); </w:t>
      </w:r>
    </w:p>
    <w:p w14:paraId="61CFE630"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28. če uvozi izdelke iz prvega odstavka 11. člena, prvega, drugega in tretjega odstavka 12. člena in 24. člena tega zakona (prvi odstavek 30.a člena);</w:t>
      </w:r>
      <w:r w:rsidRPr="00A66402">
        <w:rPr>
          <w:rFonts w:ascii="Arial" w:eastAsia="Arial" w:hAnsi="Arial" w:cs="Arial"/>
          <w:sz w:val="20"/>
          <w:szCs w:val="20"/>
          <w:lang w:eastAsia="sl-SI"/>
        </w:rPr>
        <w:tab/>
      </w:r>
    </w:p>
    <w:p w14:paraId="7FBEB406"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29. če v poslovnem prostoru vidno ne razstavi dovoljenja za prodajo tobaka, tobačnih izdelkov in povezanih izdelkov (tretji odstavek 34. člena);</w:t>
      </w:r>
      <w:r w:rsidRPr="00A66402">
        <w:rPr>
          <w:rFonts w:ascii="Arial" w:eastAsia="Arial" w:hAnsi="Arial" w:cs="Arial"/>
          <w:sz w:val="20"/>
          <w:szCs w:val="20"/>
          <w:lang w:eastAsia="sl-SI"/>
        </w:rPr>
        <w:tab/>
      </w:r>
    </w:p>
    <w:p w14:paraId="520D3C4B"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 xml:space="preserve">30. če ne zagotovi spoštovanja prepovedi kajenja oziroma uporabe tobaka, tobačnih izdelkov in povezanih izdelkov, razen tobaka za žvečenje in tobaka za njuhanje, v zaprtih javnih in delovnih prostorih ter v prostorih, ki se na podlagi tega zakona ne štejejo za zaprte prostore, če so del pripadajočih funkcionalnih zemljišč objektov, v katerih se opravlja dejavnost vzgoje ali izobraževanja (39. člen).«. </w:t>
      </w:r>
    </w:p>
    <w:p w14:paraId="60CEFBA9"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p>
    <w:p w14:paraId="7F996A3E" w14:textId="77777777" w:rsidR="00410F22" w:rsidRPr="00A66402" w:rsidRDefault="00410F22" w:rsidP="00A66402">
      <w:pPr>
        <w:pStyle w:val="Brezrazmikov"/>
        <w:spacing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t>Četrti, peti in šesti odstavek se spremenijo tako, da se glasijo:</w:t>
      </w:r>
    </w:p>
    <w:p w14:paraId="3B8DC349" w14:textId="77777777" w:rsidR="00410F22" w:rsidRPr="00A66402" w:rsidRDefault="00410F22" w:rsidP="00A66402">
      <w:pPr>
        <w:pStyle w:val="Brezrazmikov"/>
        <w:spacing w:line="260" w:lineRule="exact"/>
        <w:ind w:firstLine="708"/>
        <w:jc w:val="both"/>
        <w:rPr>
          <w:rFonts w:ascii="Arial" w:eastAsia="Arial" w:hAnsi="Arial" w:cs="Arial"/>
          <w:sz w:val="20"/>
          <w:szCs w:val="20"/>
          <w:lang w:eastAsia="sl-SI"/>
        </w:rPr>
      </w:pPr>
      <w:r w:rsidRPr="00A66402">
        <w:rPr>
          <w:rFonts w:ascii="Arial" w:eastAsia="Arial" w:hAnsi="Arial" w:cs="Arial"/>
          <w:sz w:val="20"/>
          <w:szCs w:val="20"/>
          <w:lang w:eastAsia="sl-SI"/>
        </w:rPr>
        <w:t>»Za prekrške iz 1., 3. do 15., 17., 19., 25. in 28. točke prvega odstavka tega člena se poleg glavne sankcije izrečeta tudi odvzem tobaka, tobačnih izdelkov ali povezanih izdelkov, ki so predmet prekrška, in odvzem predmetov, s katerimi je bil prekršek storjen. Stranska sankcija se izreče tudi, če tobak, tobačni ali povezani izdelki niso storilčeva last ali z njimi ne razpolaga pravna oseba. Odvzem predmeta se lahko odpusti, če storilec dokaže zakonit izvor tobaka, tobačnih izdelkov ali povezanih izdelkov ali če bi bil izrek stranske sankcije odvzema predmetov prekrška v očitnem nesorazmerju s težo dejanja in posledicami prekrška.</w:t>
      </w:r>
    </w:p>
    <w:p w14:paraId="48899D9D" w14:textId="77777777" w:rsidR="00410F22" w:rsidRPr="00A66402" w:rsidRDefault="00410F22" w:rsidP="00A66402">
      <w:pPr>
        <w:pStyle w:val="Brezrazmikov"/>
        <w:spacing w:line="260" w:lineRule="exact"/>
        <w:ind w:firstLine="708"/>
        <w:jc w:val="both"/>
        <w:rPr>
          <w:rFonts w:ascii="Arial" w:eastAsia="Arial" w:hAnsi="Arial" w:cs="Arial"/>
          <w:sz w:val="20"/>
          <w:szCs w:val="20"/>
          <w:lang w:eastAsia="sl-SI"/>
        </w:rPr>
      </w:pPr>
      <w:r w:rsidRPr="00A66402">
        <w:rPr>
          <w:rFonts w:ascii="Arial" w:eastAsia="Arial" w:hAnsi="Arial" w:cs="Arial"/>
          <w:sz w:val="20"/>
          <w:szCs w:val="20"/>
          <w:lang w:eastAsia="sl-SI"/>
        </w:rPr>
        <w:t>Z globo 50.000 eurov se kaznuje pravna oseba, samostojni podjetnik posameznik ali posameznik, ki samostojno opravlja dejavnost, ki prodaja tobak, tobačne izdelke ali povezane izdelke brez dovoljenja (32. člen).</w:t>
      </w:r>
    </w:p>
    <w:p w14:paraId="62705E8F" w14:textId="77777777" w:rsidR="00410F22" w:rsidRPr="00A66402" w:rsidRDefault="00410F22" w:rsidP="00A66402">
      <w:pPr>
        <w:pStyle w:val="Brezrazmikov"/>
        <w:spacing w:before="240" w:line="260" w:lineRule="exact"/>
        <w:ind w:firstLine="708"/>
        <w:jc w:val="both"/>
        <w:rPr>
          <w:rFonts w:ascii="Arial" w:eastAsia="Arial" w:hAnsi="Arial" w:cs="Arial"/>
          <w:sz w:val="20"/>
          <w:szCs w:val="20"/>
          <w:lang w:eastAsia="sl-SI"/>
        </w:rPr>
      </w:pPr>
      <w:r w:rsidRPr="00A66402">
        <w:rPr>
          <w:rFonts w:ascii="Arial" w:eastAsia="Arial" w:hAnsi="Arial" w:cs="Arial"/>
          <w:sz w:val="20"/>
          <w:szCs w:val="20"/>
          <w:lang w:eastAsia="sl-SI"/>
        </w:rPr>
        <w:t>Z globo 5.000 eurov se kaznuje odgovorna oseba pravne osebe, odgovorna oseba samostojnega podjetnika posameznika ali posameznika, ki samostojno opravlja dejavnost, ki prodaja tobak, tobačne izdelke ali povezane izdelke brez dovoljenja (32. člen).«.«.</w:t>
      </w:r>
    </w:p>
    <w:p w14:paraId="70D99842" w14:textId="77777777" w:rsidR="00410F22" w:rsidRPr="00A66402" w:rsidRDefault="00410F22" w:rsidP="00A66402">
      <w:pPr>
        <w:pBdr>
          <w:top w:val="nil"/>
          <w:left w:val="nil"/>
          <w:bottom w:val="nil"/>
          <w:right w:val="nil"/>
          <w:between w:val="nil"/>
        </w:pBdr>
        <w:spacing w:before="240" w:after="0" w:line="260" w:lineRule="exact"/>
        <w:jc w:val="both"/>
        <w:rPr>
          <w:rFonts w:ascii="Arial" w:eastAsia="Arial" w:hAnsi="Arial" w:cs="Arial"/>
          <w:b/>
          <w:bCs/>
          <w:sz w:val="20"/>
          <w:szCs w:val="20"/>
          <w:lang w:eastAsia="sl-SI"/>
        </w:rPr>
      </w:pPr>
      <w:r w:rsidRPr="00A66402">
        <w:rPr>
          <w:rFonts w:ascii="Arial" w:eastAsia="Arial" w:hAnsi="Arial" w:cs="Arial"/>
          <w:b/>
          <w:bCs/>
          <w:sz w:val="20"/>
          <w:szCs w:val="20"/>
          <w:lang w:eastAsia="sl-SI"/>
        </w:rPr>
        <w:t>Obrazložitev:</w:t>
      </w:r>
    </w:p>
    <w:p w14:paraId="66B2FE5B" w14:textId="77777777" w:rsidR="00410F22" w:rsidRPr="00A66402" w:rsidRDefault="00410F22" w:rsidP="00A66402">
      <w:pPr>
        <w:pBdr>
          <w:top w:val="nil"/>
          <w:left w:val="nil"/>
          <w:bottom w:val="nil"/>
          <w:right w:val="nil"/>
          <w:between w:val="nil"/>
        </w:pBdr>
        <w:spacing w:after="0" w:line="260" w:lineRule="exact"/>
        <w:jc w:val="both"/>
        <w:rPr>
          <w:rFonts w:ascii="Arial" w:eastAsia="Arial" w:hAnsi="Arial" w:cs="Arial"/>
          <w:sz w:val="20"/>
          <w:szCs w:val="20"/>
          <w:lang w:eastAsia="sl-SI"/>
        </w:rPr>
      </w:pPr>
      <w:r w:rsidRPr="00A66402">
        <w:rPr>
          <w:rFonts w:ascii="Arial" w:eastAsia="Arial" w:hAnsi="Arial" w:cs="Arial"/>
          <w:sz w:val="20"/>
          <w:szCs w:val="20"/>
          <w:lang w:eastAsia="sl-SI"/>
        </w:rPr>
        <w:lastRenderedPageBreak/>
        <w:t>Zaradi dodajanja izrazov »elektronska cigareta brez nikotina«, »posodica za ponovno polnjenje brez nikotina« in »zeliščni izdelek za segrevanje« je bilo treba temu ustrezno prilagoditi kazenske določbe v 42. členu ZOUTPI, in sicer v 17., 18. in 20. točki prvega odstavka 42. člena ZOUTPI.</w:t>
      </w:r>
    </w:p>
    <w:p w14:paraId="7BD4D5ED" w14:textId="77777777" w:rsidR="00410F22" w:rsidRPr="00A66402" w:rsidRDefault="00410F22" w:rsidP="00A66402">
      <w:pPr>
        <w:spacing w:after="0" w:line="260" w:lineRule="exact"/>
        <w:ind w:right="72"/>
        <w:jc w:val="both"/>
        <w:rPr>
          <w:rFonts w:ascii="Arial" w:hAnsi="Arial" w:cs="Arial"/>
          <w:b/>
          <w:bCs/>
          <w:sz w:val="20"/>
          <w:szCs w:val="20"/>
        </w:rPr>
      </w:pPr>
    </w:p>
    <w:p w14:paraId="2F1FE261" w14:textId="77777777" w:rsidR="00410F22" w:rsidRPr="00A66402" w:rsidRDefault="00410F22" w:rsidP="00A66402">
      <w:pPr>
        <w:spacing w:after="0" w:line="260" w:lineRule="exact"/>
        <w:ind w:right="72"/>
        <w:jc w:val="both"/>
        <w:rPr>
          <w:rFonts w:ascii="Arial" w:hAnsi="Arial" w:cs="Arial"/>
          <w:b/>
          <w:bCs/>
          <w:sz w:val="20"/>
          <w:szCs w:val="20"/>
        </w:rPr>
      </w:pPr>
    </w:p>
    <w:p w14:paraId="753C71AF" w14:textId="77777777" w:rsidR="00410F22" w:rsidRPr="00A66402" w:rsidRDefault="00410F22" w:rsidP="00A66402">
      <w:pPr>
        <w:spacing w:after="0" w:line="260" w:lineRule="exact"/>
        <w:ind w:right="72"/>
        <w:jc w:val="both"/>
        <w:rPr>
          <w:rFonts w:ascii="Arial" w:hAnsi="Arial" w:cs="Arial"/>
          <w:b/>
          <w:bCs/>
          <w:sz w:val="20"/>
          <w:szCs w:val="20"/>
        </w:rPr>
      </w:pPr>
      <w:r w:rsidRPr="00A66402">
        <w:rPr>
          <w:rFonts w:ascii="Arial" w:hAnsi="Arial" w:cs="Arial"/>
          <w:b/>
          <w:bCs/>
          <w:sz w:val="20"/>
          <w:szCs w:val="20"/>
        </w:rPr>
        <w:t>K 22. členu</w:t>
      </w:r>
    </w:p>
    <w:p w14:paraId="2AE24D99" w14:textId="77777777" w:rsidR="00410F22" w:rsidRPr="00A66402" w:rsidRDefault="00410F22" w:rsidP="00A66402">
      <w:pPr>
        <w:spacing w:after="0" w:line="260" w:lineRule="exact"/>
        <w:ind w:right="72"/>
        <w:jc w:val="both"/>
        <w:rPr>
          <w:rFonts w:ascii="Arial" w:hAnsi="Arial" w:cs="Arial"/>
          <w:sz w:val="20"/>
          <w:szCs w:val="20"/>
        </w:rPr>
      </w:pPr>
    </w:p>
    <w:p w14:paraId="46C7A659"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22. člen se spremeni tako, da se glasi:</w:t>
      </w:r>
    </w:p>
    <w:p w14:paraId="74456DE9" w14:textId="77777777" w:rsidR="00410F22" w:rsidRPr="00A66402" w:rsidRDefault="00410F22" w:rsidP="00A66402">
      <w:pPr>
        <w:spacing w:after="0" w:line="260" w:lineRule="exact"/>
        <w:ind w:right="74" w:firstLine="708"/>
        <w:jc w:val="both"/>
        <w:rPr>
          <w:rFonts w:ascii="Arial" w:hAnsi="Arial" w:cs="Arial"/>
          <w:sz w:val="20"/>
          <w:szCs w:val="20"/>
        </w:rPr>
      </w:pPr>
      <w:bookmarkStart w:id="20" w:name="_Hlk160354174"/>
      <w:r w:rsidRPr="00A66402">
        <w:rPr>
          <w:rFonts w:ascii="Arial" w:hAnsi="Arial" w:cs="Arial"/>
          <w:sz w:val="20"/>
          <w:szCs w:val="20"/>
        </w:rPr>
        <w:t>»Elektronske cigarete, elektronske cigarete brez nikotina, posodice za ponovno polnjenje in posodice za ponovno polnjenje brez nikotina z aromami se lahko dajejo na trg še največ 12 mesecev od uveljavitve tega zakona.«.</w:t>
      </w:r>
    </w:p>
    <w:bookmarkEnd w:id="20"/>
    <w:p w14:paraId="26966BB9" w14:textId="77777777" w:rsidR="00410F22" w:rsidRPr="00A66402" w:rsidRDefault="00410F22" w:rsidP="00A66402">
      <w:pPr>
        <w:spacing w:after="0" w:line="260" w:lineRule="exact"/>
        <w:ind w:right="74"/>
        <w:jc w:val="both"/>
        <w:rPr>
          <w:rFonts w:ascii="Arial" w:hAnsi="Arial" w:cs="Arial"/>
          <w:sz w:val="20"/>
          <w:szCs w:val="20"/>
        </w:rPr>
      </w:pPr>
    </w:p>
    <w:p w14:paraId="73AF5738" w14:textId="77777777" w:rsidR="00410F22" w:rsidRPr="00A66402" w:rsidRDefault="00410F22" w:rsidP="00A66402">
      <w:pPr>
        <w:spacing w:after="0" w:line="260" w:lineRule="exact"/>
        <w:ind w:right="74"/>
        <w:jc w:val="both"/>
        <w:rPr>
          <w:rFonts w:ascii="Arial" w:hAnsi="Arial" w:cs="Arial"/>
          <w:b/>
          <w:bCs/>
          <w:sz w:val="20"/>
          <w:szCs w:val="20"/>
        </w:rPr>
      </w:pPr>
      <w:r w:rsidRPr="00A66402">
        <w:rPr>
          <w:rFonts w:ascii="Arial" w:hAnsi="Arial" w:cs="Arial"/>
          <w:b/>
          <w:bCs/>
          <w:sz w:val="20"/>
          <w:szCs w:val="20"/>
        </w:rPr>
        <w:t>Obrazložitev:</w:t>
      </w:r>
    </w:p>
    <w:p w14:paraId="4E43DF70" w14:textId="77777777" w:rsidR="00410F22" w:rsidRPr="00A66402" w:rsidRDefault="00410F22" w:rsidP="00A66402">
      <w:pPr>
        <w:spacing w:after="0" w:line="260" w:lineRule="exact"/>
        <w:ind w:right="74"/>
        <w:jc w:val="both"/>
        <w:rPr>
          <w:rFonts w:ascii="Arial" w:hAnsi="Arial" w:cs="Arial"/>
          <w:sz w:val="20"/>
          <w:szCs w:val="20"/>
        </w:rPr>
      </w:pPr>
      <w:r w:rsidRPr="00A66402">
        <w:rPr>
          <w:rFonts w:ascii="Arial" w:hAnsi="Arial" w:cs="Arial"/>
          <w:sz w:val="20"/>
          <w:szCs w:val="20"/>
        </w:rPr>
        <w:t>Zaradi dodajanja izrazov »elektronska cigareta brez nikotina« in »posodica za ponovno polnjenje brez nikotina« je bilo za uskladitev ravnanj treba dodati ta dva izraza.</w:t>
      </w:r>
    </w:p>
    <w:p w14:paraId="1CDFAD3F" w14:textId="77777777" w:rsidR="00410F22" w:rsidRPr="00A66402" w:rsidRDefault="00410F22" w:rsidP="00A66402">
      <w:pPr>
        <w:spacing w:after="0" w:line="260" w:lineRule="exact"/>
        <w:ind w:right="74"/>
        <w:jc w:val="both"/>
        <w:rPr>
          <w:rFonts w:ascii="Arial" w:hAnsi="Arial" w:cs="Arial"/>
          <w:b/>
          <w:bCs/>
          <w:sz w:val="20"/>
          <w:szCs w:val="20"/>
        </w:rPr>
      </w:pPr>
    </w:p>
    <w:p w14:paraId="4C061065" w14:textId="77777777" w:rsidR="00410F22" w:rsidRPr="00A66402" w:rsidRDefault="00410F22" w:rsidP="00A66402">
      <w:pPr>
        <w:spacing w:after="0" w:line="260" w:lineRule="exact"/>
        <w:ind w:right="72"/>
        <w:jc w:val="both"/>
        <w:rPr>
          <w:rFonts w:ascii="Arial" w:hAnsi="Arial" w:cs="Arial"/>
          <w:b/>
          <w:bCs/>
          <w:sz w:val="20"/>
          <w:szCs w:val="20"/>
        </w:rPr>
      </w:pPr>
      <w:r w:rsidRPr="00A66402">
        <w:rPr>
          <w:rFonts w:ascii="Arial" w:hAnsi="Arial" w:cs="Arial"/>
          <w:b/>
          <w:bCs/>
          <w:sz w:val="20"/>
          <w:szCs w:val="20"/>
        </w:rPr>
        <w:t>Za novi 22.a člen</w:t>
      </w:r>
    </w:p>
    <w:p w14:paraId="1FAFC99C" w14:textId="77777777" w:rsidR="00410F22" w:rsidRPr="00A66402" w:rsidRDefault="00410F22" w:rsidP="00A66402">
      <w:pPr>
        <w:spacing w:after="0" w:line="260" w:lineRule="exact"/>
        <w:ind w:right="72"/>
        <w:jc w:val="both"/>
        <w:rPr>
          <w:rFonts w:ascii="Arial" w:hAnsi="Arial" w:cs="Arial"/>
          <w:sz w:val="20"/>
          <w:szCs w:val="20"/>
        </w:rPr>
      </w:pPr>
    </w:p>
    <w:p w14:paraId="35D6341F"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Za 22. členom se doda novi 22.a člen, ki se glasi:</w:t>
      </w:r>
    </w:p>
    <w:p w14:paraId="759A69EB" w14:textId="77777777" w:rsidR="00410F22" w:rsidRPr="00A66402" w:rsidRDefault="00410F22" w:rsidP="00A66402">
      <w:pPr>
        <w:spacing w:after="0" w:line="260" w:lineRule="exact"/>
        <w:ind w:right="72"/>
        <w:jc w:val="both"/>
        <w:rPr>
          <w:rFonts w:ascii="Arial" w:hAnsi="Arial" w:cs="Arial"/>
          <w:sz w:val="20"/>
          <w:szCs w:val="20"/>
        </w:rPr>
      </w:pPr>
    </w:p>
    <w:p w14:paraId="3FDE4259" w14:textId="77777777" w:rsidR="00410F22" w:rsidRPr="00A66402" w:rsidRDefault="00410F22" w:rsidP="00A66402">
      <w:pPr>
        <w:spacing w:after="0" w:line="260" w:lineRule="exact"/>
        <w:ind w:left="2832" w:right="72" w:firstLine="708"/>
        <w:rPr>
          <w:rFonts w:ascii="Arial" w:hAnsi="Arial" w:cs="Arial"/>
          <w:b/>
          <w:bCs/>
          <w:sz w:val="20"/>
          <w:szCs w:val="20"/>
        </w:rPr>
      </w:pPr>
      <w:r w:rsidRPr="00A66402">
        <w:rPr>
          <w:rFonts w:ascii="Arial" w:hAnsi="Arial" w:cs="Arial"/>
          <w:sz w:val="20"/>
          <w:szCs w:val="20"/>
        </w:rPr>
        <w:t>»</w:t>
      </w:r>
      <w:bookmarkStart w:id="21" w:name="_Hlk160355147"/>
      <w:r w:rsidRPr="00A66402">
        <w:rPr>
          <w:rFonts w:ascii="Arial" w:hAnsi="Arial" w:cs="Arial"/>
          <w:b/>
          <w:bCs/>
          <w:sz w:val="20"/>
          <w:szCs w:val="20"/>
        </w:rPr>
        <w:t>22.a člen</w:t>
      </w:r>
    </w:p>
    <w:p w14:paraId="4CA4326A" w14:textId="77777777" w:rsidR="00410F22" w:rsidRPr="00A66402" w:rsidRDefault="00410F22" w:rsidP="00A66402">
      <w:pPr>
        <w:spacing w:after="0" w:line="260" w:lineRule="exact"/>
        <w:ind w:left="2124" w:right="72" w:firstLine="708"/>
        <w:jc w:val="both"/>
        <w:rPr>
          <w:rFonts w:ascii="Arial" w:hAnsi="Arial" w:cs="Arial"/>
          <w:b/>
          <w:bCs/>
          <w:sz w:val="20"/>
          <w:szCs w:val="20"/>
        </w:rPr>
      </w:pPr>
      <w:r w:rsidRPr="00A66402">
        <w:rPr>
          <w:rFonts w:ascii="Arial" w:hAnsi="Arial" w:cs="Arial"/>
          <w:b/>
          <w:bCs/>
          <w:sz w:val="20"/>
          <w:szCs w:val="20"/>
        </w:rPr>
        <w:t>(dokončanje postopkov)</w:t>
      </w:r>
    </w:p>
    <w:p w14:paraId="522EDD6E" w14:textId="77777777" w:rsidR="00410F22" w:rsidRPr="00A66402" w:rsidRDefault="00410F22" w:rsidP="00A66402">
      <w:pPr>
        <w:spacing w:after="0" w:line="260" w:lineRule="exact"/>
        <w:ind w:left="2124" w:right="72" w:firstLine="708"/>
        <w:jc w:val="both"/>
        <w:rPr>
          <w:rFonts w:ascii="Arial" w:hAnsi="Arial" w:cs="Arial"/>
          <w:sz w:val="20"/>
          <w:szCs w:val="20"/>
        </w:rPr>
      </w:pPr>
    </w:p>
    <w:p w14:paraId="6AF1A564"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 xml:space="preserve">Inšpekcijski in </w:t>
      </w:r>
      <w:proofErr w:type="spellStart"/>
      <w:r w:rsidRPr="00A66402">
        <w:rPr>
          <w:rFonts w:ascii="Arial" w:hAnsi="Arial" w:cs="Arial"/>
          <w:sz w:val="20"/>
          <w:szCs w:val="20"/>
        </w:rPr>
        <w:t>prekrškovni</w:t>
      </w:r>
      <w:proofErr w:type="spellEnd"/>
      <w:r w:rsidRPr="00A66402">
        <w:rPr>
          <w:rFonts w:ascii="Arial" w:hAnsi="Arial" w:cs="Arial"/>
          <w:sz w:val="20"/>
          <w:szCs w:val="20"/>
        </w:rPr>
        <w:t xml:space="preserve"> postopki, ki so se začeli pred uveljavitvijo tega zakona, se zaključijo po do sedaj veljavnih predpisih.«.</w:t>
      </w:r>
    </w:p>
    <w:bookmarkEnd w:id="21"/>
    <w:p w14:paraId="5362E4C3" w14:textId="77777777" w:rsidR="00410F22" w:rsidRPr="00A66402" w:rsidRDefault="00410F22" w:rsidP="00A66402">
      <w:pPr>
        <w:spacing w:after="0" w:line="260" w:lineRule="exact"/>
        <w:ind w:right="72"/>
        <w:jc w:val="both"/>
        <w:rPr>
          <w:rFonts w:ascii="Arial" w:hAnsi="Arial" w:cs="Arial"/>
          <w:sz w:val="20"/>
          <w:szCs w:val="20"/>
        </w:rPr>
      </w:pPr>
    </w:p>
    <w:p w14:paraId="13EEFB5D" w14:textId="77777777" w:rsidR="00410F22" w:rsidRPr="00A66402" w:rsidRDefault="00410F22" w:rsidP="00A66402">
      <w:pPr>
        <w:spacing w:after="0" w:line="260" w:lineRule="exact"/>
        <w:ind w:right="72"/>
        <w:jc w:val="both"/>
        <w:rPr>
          <w:rFonts w:ascii="Arial" w:hAnsi="Arial" w:cs="Arial"/>
          <w:b/>
          <w:bCs/>
          <w:sz w:val="20"/>
          <w:szCs w:val="20"/>
        </w:rPr>
      </w:pPr>
      <w:r w:rsidRPr="00A66402">
        <w:rPr>
          <w:rFonts w:ascii="Arial" w:hAnsi="Arial" w:cs="Arial"/>
          <w:b/>
          <w:bCs/>
          <w:sz w:val="20"/>
          <w:szCs w:val="20"/>
        </w:rPr>
        <w:t xml:space="preserve">Obrazložitev: </w:t>
      </w:r>
    </w:p>
    <w:p w14:paraId="42724B50" w14:textId="77777777" w:rsidR="00410F22" w:rsidRPr="00A66402" w:rsidRDefault="00410F22" w:rsidP="00A66402">
      <w:pPr>
        <w:spacing w:after="0" w:line="260" w:lineRule="exact"/>
        <w:ind w:right="72"/>
        <w:jc w:val="both"/>
        <w:rPr>
          <w:rFonts w:ascii="Arial" w:hAnsi="Arial" w:cs="Arial"/>
          <w:b/>
          <w:bCs/>
          <w:sz w:val="20"/>
          <w:szCs w:val="20"/>
        </w:rPr>
      </w:pPr>
      <w:r w:rsidRPr="00A66402">
        <w:rPr>
          <w:rFonts w:ascii="Arial" w:eastAsia="Calibri" w:hAnsi="Arial" w:cs="Arial"/>
          <w:kern w:val="2"/>
          <w:sz w:val="20"/>
          <w:szCs w:val="20"/>
          <w14:ligatures w14:val="standardContextual"/>
        </w:rPr>
        <w:t>Predlagani amandma sledi mnenju Zakonodajno-pravne službe Državnega zbora (ZPS).</w:t>
      </w:r>
    </w:p>
    <w:p w14:paraId="35C024F7" w14:textId="77777777" w:rsidR="00410F22" w:rsidRPr="00A66402" w:rsidRDefault="00410F22" w:rsidP="00A66402">
      <w:pPr>
        <w:spacing w:after="0" w:line="260" w:lineRule="exact"/>
        <w:ind w:right="72"/>
        <w:jc w:val="both"/>
        <w:rPr>
          <w:rFonts w:ascii="Arial" w:hAnsi="Arial" w:cs="Arial"/>
          <w:b/>
          <w:bCs/>
          <w:sz w:val="20"/>
          <w:szCs w:val="20"/>
        </w:rPr>
      </w:pPr>
    </w:p>
    <w:p w14:paraId="2756D699" w14:textId="77777777" w:rsidR="00410F22" w:rsidRPr="00A66402" w:rsidRDefault="00410F22" w:rsidP="00A66402">
      <w:pPr>
        <w:spacing w:after="0" w:line="260" w:lineRule="exact"/>
        <w:ind w:right="72"/>
        <w:jc w:val="both"/>
        <w:rPr>
          <w:rFonts w:ascii="Arial" w:hAnsi="Arial" w:cs="Arial"/>
          <w:b/>
          <w:bCs/>
          <w:sz w:val="20"/>
          <w:szCs w:val="20"/>
        </w:rPr>
      </w:pPr>
      <w:r w:rsidRPr="00A66402">
        <w:rPr>
          <w:rFonts w:ascii="Arial" w:hAnsi="Arial" w:cs="Arial"/>
          <w:b/>
          <w:bCs/>
          <w:sz w:val="20"/>
          <w:szCs w:val="20"/>
        </w:rPr>
        <w:t>K 23. členu</w:t>
      </w:r>
    </w:p>
    <w:p w14:paraId="49736E45" w14:textId="77777777" w:rsidR="00410F22" w:rsidRPr="00A66402" w:rsidRDefault="00410F22" w:rsidP="00A66402">
      <w:pPr>
        <w:spacing w:after="0" w:line="260" w:lineRule="exact"/>
        <w:ind w:right="72"/>
        <w:jc w:val="both"/>
        <w:rPr>
          <w:rFonts w:ascii="Arial" w:hAnsi="Arial" w:cs="Arial"/>
          <w:sz w:val="20"/>
          <w:szCs w:val="20"/>
        </w:rPr>
      </w:pPr>
    </w:p>
    <w:p w14:paraId="6C5A19DE" w14:textId="77777777" w:rsidR="00410F22" w:rsidRPr="00A66402" w:rsidRDefault="00410F22" w:rsidP="00A66402">
      <w:pPr>
        <w:spacing w:after="0" w:line="260" w:lineRule="exact"/>
        <w:ind w:right="72"/>
        <w:jc w:val="both"/>
        <w:rPr>
          <w:rFonts w:ascii="Arial" w:hAnsi="Arial" w:cs="Arial"/>
          <w:sz w:val="20"/>
          <w:szCs w:val="20"/>
        </w:rPr>
      </w:pPr>
      <w:r w:rsidRPr="00A66402">
        <w:rPr>
          <w:rFonts w:ascii="Arial" w:hAnsi="Arial" w:cs="Arial"/>
          <w:sz w:val="20"/>
          <w:szCs w:val="20"/>
        </w:rPr>
        <w:t>V 23. členu se drugi odstavek spremeni tako, da se glasi:</w:t>
      </w:r>
    </w:p>
    <w:p w14:paraId="579F3A74" w14:textId="6B23ECC0" w:rsidR="00410F22" w:rsidRPr="00A66402" w:rsidRDefault="00410F22" w:rsidP="00A66402">
      <w:pPr>
        <w:spacing w:after="0" w:line="260" w:lineRule="exact"/>
        <w:ind w:right="72" w:firstLine="708"/>
        <w:jc w:val="both"/>
        <w:rPr>
          <w:rFonts w:ascii="Arial" w:eastAsia="Arial" w:hAnsi="Arial" w:cs="Arial"/>
          <w:color w:val="000000"/>
          <w:sz w:val="20"/>
          <w:szCs w:val="20"/>
          <w:lang w:eastAsia="sl-SI"/>
        </w:rPr>
      </w:pPr>
      <w:r w:rsidRPr="00A66402">
        <w:rPr>
          <w:rFonts w:ascii="Arial" w:hAnsi="Arial" w:cs="Arial"/>
          <w:sz w:val="20"/>
          <w:szCs w:val="20"/>
        </w:rPr>
        <w:t>»</w:t>
      </w:r>
      <w:bookmarkStart w:id="22" w:name="_Hlk160355220"/>
      <w:r w:rsidRPr="00A66402">
        <w:rPr>
          <w:rFonts w:ascii="Arial" w:eastAsia="Arial" w:hAnsi="Arial" w:cs="Arial"/>
          <w:color w:val="000000"/>
          <w:sz w:val="20"/>
          <w:szCs w:val="20"/>
          <w:lang w:eastAsia="sl-SI"/>
        </w:rPr>
        <w:t>Minister uskladi predpise iz štirinajstega odstavka 26. člena zakona s spremenjenim prvim, drugim, tretjim (nova 8. točka tretjega odstavka) in trinajstim odstavkom 26. člena zakona v treh mesecih od uveljavitve tega zakona.</w:t>
      </w:r>
      <w:bookmarkEnd w:id="22"/>
      <w:r w:rsidRPr="00A66402">
        <w:rPr>
          <w:rFonts w:ascii="Arial" w:eastAsia="Arial" w:hAnsi="Arial" w:cs="Arial"/>
          <w:color w:val="000000"/>
          <w:sz w:val="20"/>
          <w:szCs w:val="20"/>
          <w:lang w:eastAsia="sl-SI"/>
        </w:rPr>
        <w:t>«.</w:t>
      </w:r>
    </w:p>
    <w:p w14:paraId="1292680F" w14:textId="77777777" w:rsidR="00410F22" w:rsidRPr="00A66402" w:rsidRDefault="00410F22" w:rsidP="00A66402">
      <w:pPr>
        <w:spacing w:after="0" w:line="260" w:lineRule="exact"/>
        <w:ind w:right="72"/>
        <w:jc w:val="both"/>
        <w:rPr>
          <w:rFonts w:ascii="Arial" w:eastAsia="Arial" w:hAnsi="Arial" w:cs="Arial"/>
          <w:color w:val="000000"/>
          <w:sz w:val="20"/>
          <w:szCs w:val="20"/>
          <w:lang w:eastAsia="sl-SI"/>
        </w:rPr>
      </w:pPr>
    </w:p>
    <w:p w14:paraId="15AEBADA" w14:textId="77777777" w:rsidR="00410F22" w:rsidRPr="00A66402" w:rsidRDefault="00410F22" w:rsidP="00A66402">
      <w:pPr>
        <w:spacing w:after="0" w:line="260" w:lineRule="exact"/>
        <w:ind w:right="72"/>
        <w:jc w:val="both"/>
        <w:rPr>
          <w:rFonts w:ascii="Arial" w:eastAsia="Arial" w:hAnsi="Arial" w:cs="Arial"/>
          <w:b/>
          <w:bCs/>
          <w:color w:val="000000"/>
          <w:sz w:val="20"/>
          <w:szCs w:val="20"/>
          <w:lang w:eastAsia="sl-SI"/>
        </w:rPr>
      </w:pPr>
      <w:r w:rsidRPr="00A66402">
        <w:rPr>
          <w:rFonts w:ascii="Arial" w:eastAsia="Arial" w:hAnsi="Arial" w:cs="Arial"/>
          <w:b/>
          <w:bCs/>
          <w:color w:val="000000"/>
          <w:sz w:val="20"/>
          <w:szCs w:val="20"/>
          <w:lang w:eastAsia="sl-SI"/>
        </w:rPr>
        <w:t>Obrazložitev:</w:t>
      </w:r>
    </w:p>
    <w:p w14:paraId="0592E012" w14:textId="77777777" w:rsidR="00410F22" w:rsidRPr="00A66402" w:rsidRDefault="00410F22" w:rsidP="00A66402">
      <w:pPr>
        <w:spacing w:after="0" w:line="260" w:lineRule="exact"/>
        <w:ind w:right="72"/>
        <w:jc w:val="both"/>
        <w:rPr>
          <w:rFonts w:ascii="Arial" w:eastAsia="Arial" w:hAnsi="Arial" w:cs="Arial"/>
          <w:color w:val="000000"/>
          <w:sz w:val="20"/>
          <w:szCs w:val="20"/>
          <w:lang w:eastAsia="sl-SI"/>
        </w:rPr>
      </w:pPr>
      <w:r w:rsidRPr="00A66402">
        <w:rPr>
          <w:rFonts w:ascii="Arial" w:eastAsia="Arial" w:hAnsi="Arial" w:cs="Arial"/>
          <w:color w:val="000000"/>
          <w:sz w:val="20"/>
          <w:szCs w:val="20"/>
          <w:lang w:eastAsia="sl-SI"/>
        </w:rPr>
        <w:t xml:space="preserve">Zaradi dodajanja izrazov »elektronska cigareta brez nikotina« in »posodica za ponovno polnjenje brez nikotina« bo treba spremeniti podzakonske </w:t>
      </w:r>
      <w:r w:rsidRPr="00A66402">
        <w:rPr>
          <w:rFonts w:ascii="Arial" w:eastAsia="Arial" w:hAnsi="Arial" w:cs="Arial"/>
          <w:sz w:val="20"/>
          <w:szCs w:val="20"/>
          <w:lang w:eastAsia="sl-SI"/>
        </w:rPr>
        <w:t xml:space="preserve">predpise. V skladu z novo 8. točko tretjega odstavka 26. člena ZOUTPI bo treba v podzakonskem predpisu natančno določiti, katere snovi v funkciji  tobačnih in mentolovih arom bodo dovoljene v elektronskih cigaretah, elektronskih cigaretah brez nikotina, posodicah za ponovno polnjenje in posodicah za ponovno polnjenje brez nikotina. Osnutek podzakonskega predpisa bo treba ponovno priglasiti v skladu z DIREKTIVO (EU) 2015/1535 EVROPSKEGA PARLAMENTA IN SVETA z dne 9. septembra 2015 o </w:t>
      </w:r>
      <w:r w:rsidRPr="00A66402">
        <w:rPr>
          <w:rFonts w:ascii="Arial" w:eastAsia="Arial" w:hAnsi="Arial" w:cs="Arial"/>
          <w:color w:val="000000"/>
          <w:sz w:val="20"/>
          <w:szCs w:val="20"/>
          <w:lang w:eastAsia="sl-SI"/>
        </w:rPr>
        <w:t>določitvi postopka za zbiranje informacij na področju tehničnih predpisov in pravil za storitve informacijske družbe (kodificirano besedilo) v okviru postopka uradnega obveščanja pri Evropski komisiji. Postopek oz. obdobje mirovanja, v katerem podzakonski predpis ne sme biti sprejet, lahko traja tudi do šest mesecev.</w:t>
      </w:r>
    </w:p>
    <w:p w14:paraId="002A3252" w14:textId="77777777" w:rsidR="00410F22" w:rsidRPr="00410F22" w:rsidRDefault="00410F22" w:rsidP="00410F22">
      <w:pPr>
        <w:spacing w:after="0" w:line="260" w:lineRule="exact"/>
        <w:ind w:right="72"/>
        <w:jc w:val="both"/>
        <w:rPr>
          <w:rFonts w:ascii="Arial" w:hAnsi="Arial" w:cs="Arial"/>
          <w:b/>
          <w:bCs/>
          <w:sz w:val="20"/>
          <w:szCs w:val="20"/>
          <w:u w:val="single"/>
        </w:rPr>
      </w:pPr>
    </w:p>
    <w:p w14:paraId="75CA4BD0" w14:textId="77777777" w:rsidR="00410F22" w:rsidRDefault="00410F22" w:rsidP="003A4425">
      <w:pPr>
        <w:spacing w:after="0" w:line="260" w:lineRule="exact"/>
        <w:ind w:right="72"/>
        <w:jc w:val="both"/>
        <w:rPr>
          <w:rFonts w:ascii="Arial" w:hAnsi="Arial" w:cs="Arial"/>
          <w:b/>
          <w:bCs/>
          <w:sz w:val="20"/>
          <w:szCs w:val="20"/>
          <w:u w:val="single"/>
        </w:rPr>
      </w:pPr>
    </w:p>
    <w:p w14:paraId="7F67FAB5" w14:textId="77777777" w:rsidR="00410F22" w:rsidRDefault="00410F22" w:rsidP="003A4425">
      <w:pPr>
        <w:spacing w:after="0" w:line="260" w:lineRule="exact"/>
        <w:ind w:right="72"/>
        <w:jc w:val="both"/>
        <w:rPr>
          <w:rFonts w:ascii="Arial" w:hAnsi="Arial" w:cs="Arial"/>
          <w:b/>
          <w:bCs/>
          <w:sz w:val="20"/>
          <w:szCs w:val="20"/>
          <w:u w:val="single"/>
        </w:rPr>
      </w:pPr>
    </w:p>
    <w:sectPr w:rsidR="00410F22">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099791" w14:textId="77777777" w:rsidR="00B7709A" w:rsidRDefault="00B7709A" w:rsidP="00446E80">
      <w:pPr>
        <w:spacing w:after="0" w:line="240" w:lineRule="auto"/>
      </w:pPr>
      <w:r>
        <w:separator/>
      </w:r>
    </w:p>
  </w:endnote>
  <w:endnote w:type="continuationSeparator" w:id="0">
    <w:p w14:paraId="3104089E" w14:textId="77777777" w:rsidR="00B7709A" w:rsidRDefault="00B7709A" w:rsidP="00446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7017455"/>
      <w:docPartObj>
        <w:docPartGallery w:val="Page Numbers (Bottom of Page)"/>
        <w:docPartUnique/>
      </w:docPartObj>
    </w:sdtPr>
    <w:sdtEndPr/>
    <w:sdtContent>
      <w:p w14:paraId="543C009E" w14:textId="53DCD12F" w:rsidR="00446E80" w:rsidRDefault="00446E80">
        <w:pPr>
          <w:pStyle w:val="Noga"/>
          <w:jc w:val="right"/>
        </w:pPr>
        <w:r>
          <w:fldChar w:fldCharType="begin"/>
        </w:r>
        <w:r>
          <w:instrText>PAGE   \* MERGEFORMAT</w:instrText>
        </w:r>
        <w:r>
          <w:fldChar w:fldCharType="separate"/>
        </w:r>
        <w:r w:rsidR="009A6E23">
          <w:rPr>
            <w:noProof/>
          </w:rPr>
          <w:t>10</w:t>
        </w:r>
        <w:r>
          <w:fldChar w:fldCharType="end"/>
        </w:r>
      </w:p>
    </w:sdtContent>
  </w:sdt>
  <w:p w14:paraId="0C1DDEFE" w14:textId="77777777" w:rsidR="00446E80" w:rsidRDefault="00446E8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135AF0" w14:textId="77777777" w:rsidR="00B7709A" w:rsidRDefault="00B7709A" w:rsidP="00446E80">
      <w:pPr>
        <w:spacing w:after="0" w:line="240" w:lineRule="auto"/>
      </w:pPr>
      <w:r>
        <w:separator/>
      </w:r>
    </w:p>
  </w:footnote>
  <w:footnote w:type="continuationSeparator" w:id="0">
    <w:p w14:paraId="7E1210A1" w14:textId="77777777" w:rsidR="00B7709A" w:rsidRDefault="00B7709A" w:rsidP="00446E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B0456"/>
    <w:multiLevelType w:val="hybridMultilevel"/>
    <w:tmpl w:val="110687C4"/>
    <w:lvl w:ilvl="0" w:tplc="17C67F9C">
      <w:start w:val="1"/>
      <w:numFmt w:val="bullet"/>
      <w:lvlText w:val=""/>
      <w:lvlJc w:val="left"/>
      <w:pPr>
        <w:ind w:left="799" w:hanging="360"/>
      </w:pPr>
      <w:rPr>
        <w:rFonts w:ascii="Symbol" w:hAnsi="Symbol" w:hint="default"/>
      </w:rPr>
    </w:lvl>
    <w:lvl w:ilvl="1" w:tplc="04240003" w:tentative="1">
      <w:start w:val="1"/>
      <w:numFmt w:val="bullet"/>
      <w:lvlText w:val="o"/>
      <w:lvlJc w:val="left"/>
      <w:pPr>
        <w:ind w:left="1519" w:hanging="360"/>
      </w:pPr>
      <w:rPr>
        <w:rFonts w:ascii="Courier New" w:hAnsi="Courier New" w:cs="Courier New" w:hint="default"/>
      </w:rPr>
    </w:lvl>
    <w:lvl w:ilvl="2" w:tplc="04240005" w:tentative="1">
      <w:start w:val="1"/>
      <w:numFmt w:val="bullet"/>
      <w:lvlText w:val=""/>
      <w:lvlJc w:val="left"/>
      <w:pPr>
        <w:ind w:left="2239" w:hanging="360"/>
      </w:pPr>
      <w:rPr>
        <w:rFonts w:ascii="Wingdings" w:hAnsi="Wingdings" w:hint="default"/>
      </w:rPr>
    </w:lvl>
    <w:lvl w:ilvl="3" w:tplc="04240001" w:tentative="1">
      <w:start w:val="1"/>
      <w:numFmt w:val="bullet"/>
      <w:lvlText w:val=""/>
      <w:lvlJc w:val="left"/>
      <w:pPr>
        <w:ind w:left="2959" w:hanging="360"/>
      </w:pPr>
      <w:rPr>
        <w:rFonts w:ascii="Symbol" w:hAnsi="Symbol" w:hint="default"/>
      </w:rPr>
    </w:lvl>
    <w:lvl w:ilvl="4" w:tplc="04240003" w:tentative="1">
      <w:start w:val="1"/>
      <w:numFmt w:val="bullet"/>
      <w:lvlText w:val="o"/>
      <w:lvlJc w:val="left"/>
      <w:pPr>
        <w:ind w:left="3679" w:hanging="360"/>
      </w:pPr>
      <w:rPr>
        <w:rFonts w:ascii="Courier New" w:hAnsi="Courier New" w:cs="Courier New" w:hint="default"/>
      </w:rPr>
    </w:lvl>
    <w:lvl w:ilvl="5" w:tplc="04240005" w:tentative="1">
      <w:start w:val="1"/>
      <w:numFmt w:val="bullet"/>
      <w:lvlText w:val=""/>
      <w:lvlJc w:val="left"/>
      <w:pPr>
        <w:ind w:left="4399" w:hanging="360"/>
      </w:pPr>
      <w:rPr>
        <w:rFonts w:ascii="Wingdings" w:hAnsi="Wingdings" w:hint="default"/>
      </w:rPr>
    </w:lvl>
    <w:lvl w:ilvl="6" w:tplc="04240001" w:tentative="1">
      <w:start w:val="1"/>
      <w:numFmt w:val="bullet"/>
      <w:lvlText w:val=""/>
      <w:lvlJc w:val="left"/>
      <w:pPr>
        <w:ind w:left="5119" w:hanging="360"/>
      </w:pPr>
      <w:rPr>
        <w:rFonts w:ascii="Symbol" w:hAnsi="Symbol" w:hint="default"/>
      </w:rPr>
    </w:lvl>
    <w:lvl w:ilvl="7" w:tplc="04240003" w:tentative="1">
      <w:start w:val="1"/>
      <w:numFmt w:val="bullet"/>
      <w:lvlText w:val="o"/>
      <w:lvlJc w:val="left"/>
      <w:pPr>
        <w:ind w:left="5839" w:hanging="360"/>
      </w:pPr>
      <w:rPr>
        <w:rFonts w:ascii="Courier New" w:hAnsi="Courier New" w:cs="Courier New" w:hint="default"/>
      </w:rPr>
    </w:lvl>
    <w:lvl w:ilvl="8" w:tplc="04240005" w:tentative="1">
      <w:start w:val="1"/>
      <w:numFmt w:val="bullet"/>
      <w:lvlText w:val=""/>
      <w:lvlJc w:val="left"/>
      <w:pPr>
        <w:ind w:left="6559" w:hanging="360"/>
      </w:pPr>
      <w:rPr>
        <w:rFonts w:ascii="Wingdings" w:hAnsi="Wingdings" w:hint="default"/>
      </w:rPr>
    </w:lvl>
  </w:abstractNum>
  <w:abstractNum w:abstractNumId="1" w15:restartNumberingAfterBreak="0">
    <w:nsid w:val="0C834229"/>
    <w:multiLevelType w:val="hybridMultilevel"/>
    <w:tmpl w:val="DD04704C"/>
    <w:lvl w:ilvl="0" w:tplc="DB0C00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1377166"/>
    <w:multiLevelType w:val="hybridMultilevel"/>
    <w:tmpl w:val="5BB6C914"/>
    <w:lvl w:ilvl="0" w:tplc="A71418DC">
      <w:start w:val="1"/>
      <w:numFmt w:val="bullet"/>
      <w:lvlText w:val=""/>
      <w:lvlJc w:val="left"/>
      <w:pPr>
        <w:ind w:left="720" w:hanging="360"/>
      </w:pPr>
      <w:rPr>
        <w:rFonts w:ascii="Symbol" w:hAnsi="Symbol"/>
      </w:rPr>
    </w:lvl>
    <w:lvl w:ilvl="1" w:tplc="1EF618EA">
      <w:start w:val="1"/>
      <w:numFmt w:val="bullet"/>
      <w:lvlText w:val=""/>
      <w:lvlJc w:val="left"/>
      <w:pPr>
        <w:ind w:left="720" w:hanging="360"/>
      </w:pPr>
      <w:rPr>
        <w:rFonts w:ascii="Symbol" w:hAnsi="Symbol"/>
      </w:rPr>
    </w:lvl>
    <w:lvl w:ilvl="2" w:tplc="107E1530">
      <w:start w:val="1"/>
      <w:numFmt w:val="bullet"/>
      <w:lvlText w:val=""/>
      <w:lvlJc w:val="left"/>
      <w:pPr>
        <w:ind w:left="720" w:hanging="360"/>
      </w:pPr>
      <w:rPr>
        <w:rFonts w:ascii="Symbol" w:hAnsi="Symbol"/>
      </w:rPr>
    </w:lvl>
    <w:lvl w:ilvl="3" w:tplc="259C293A">
      <w:start w:val="1"/>
      <w:numFmt w:val="bullet"/>
      <w:lvlText w:val=""/>
      <w:lvlJc w:val="left"/>
      <w:pPr>
        <w:ind w:left="720" w:hanging="360"/>
      </w:pPr>
      <w:rPr>
        <w:rFonts w:ascii="Symbol" w:hAnsi="Symbol"/>
      </w:rPr>
    </w:lvl>
    <w:lvl w:ilvl="4" w:tplc="E3B2C2FE">
      <w:start w:val="1"/>
      <w:numFmt w:val="bullet"/>
      <w:lvlText w:val=""/>
      <w:lvlJc w:val="left"/>
      <w:pPr>
        <w:ind w:left="720" w:hanging="360"/>
      </w:pPr>
      <w:rPr>
        <w:rFonts w:ascii="Symbol" w:hAnsi="Symbol"/>
      </w:rPr>
    </w:lvl>
    <w:lvl w:ilvl="5" w:tplc="0554BAD8">
      <w:start w:val="1"/>
      <w:numFmt w:val="bullet"/>
      <w:lvlText w:val=""/>
      <w:lvlJc w:val="left"/>
      <w:pPr>
        <w:ind w:left="720" w:hanging="360"/>
      </w:pPr>
      <w:rPr>
        <w:rFonts w:ascii="Symbol" w:hAnsi="Symbol"/>
      </w:rPr>
    </w:lvl>
    <w:lvl w:ilvl="6" w:tplc="9F109E7E">
      <w:start w:val="1"/>
      <w:numFmt w:val="bullet"/>
      <w:lvlText w:val=""/>
      <w:lvlJc w:val="left"/>
      <w:pPr>
        <w:ind w:left="720" w:hanging="360"/>
      </w:pPr>
      <w:rPr>
        <w:rFonts w:ascii="Symbol" w:hAnsi="Symbol"/>
      </w:rPr>
    </w:lvl>
    <w:lvl w:ilvl="7" w:tplc="DD827220">
      <w:start w:val="1"/>
      <w:numFmt w:val="bullet"/>
      <w:lvlText w:val=""/>
      <w:lvlJc w:val="left"/>
      <w:pPr>
        <w:ind w:left="720" w:hanging="360"/>
      </w:pPr>
      <w:rPr>
        <w:rFonts w:ascii="Symbol" w:hAnsi="Symbol"/>
      </w:rPr>
    </w:lvl>
    <w:lvl w:ilvl="8" w:tplc="AF8E9130">
      <w:start w:val="1"/>
      <w:numFmt w:val="bullet"/>
      <w:lvlText w:val=""/>
      <w:lvlJc w:val="left"/>
      <w:pPr>
        <w:ind w:left="720" w:hanging="360"/>
      </w:pPr>
      <w:rPr>
        <w:rFonts w:ascii="Symbol" w:hAnsi="Symbol"/>
      </w:r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F1D1CBC"/>
    <w:multiLevelType w:val="hybridMultilevel"/>
    <w:tmpl w:val="11821858"/>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18A473C"/>
    <w:multiLevelType w:val="hybridMultilevel"/>
    <w:tmpl w:val="3964292C"/>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3405B39"/>
    <w:multiLevelType w:val="hybridMultilevel"/>
    <w:tmpl w:val="D570D424"/>
    <w:lvl w:ilvl="0" w:tplc="F344020A">
      <w:start w:val="1"/>
      <w:numFmt w:val="bullet"/>
      <w:lvlText w:val=""/>
      <w:lvlJc w:val="left"/>
      <w:pPr>
        <w:ind w:left="720" w:hanging="360"/>
      </w:pPr>
      <w:rPr>
        <w:rFonts w:ascii="Symbol" w:hAnsi="Symbol"/>
      </w:rPr>
    </w:lvl>
    <w:lvl w:ilvl="1" w:tplc="9C40DD74">
      <w:start w:val="1"/>
      <w:numFmt w:val="bullet"/>
      <w:lvlText w:val=""/>
      <w:lvlJc w:val="left"/>
      <w:pPr>
        <w:ind w:left="720" w:hanging="360"/>
      </w:pPr>
      <w:rPr>
        <w:rFonts w:ascii="Symbol" w:hAnsi="Symbol"/>
      </w:rPr>
    </w:lvl>
    <w:lvl w:ilvl="2" w:tplc="38AC8584">
      <w:start w:val="1"/>
      <w:numFmt w:val="bullet"/>
      <w:lvlText w:val=""/>
      <w:lvlJc w:val="left"/>
      <w:pPr>
        <w:ind w:left="720" w:hanging="360"/>
      </w:pPr>
      <w:rPr>
        <w:rFonts w:ascii="Symbol" w:hAnsi="Symbol"/>
      </w:rPr>
    </w:lvl>
    <w:lvl w:ilvl="3" w:tplc="9D9E345E">
      <w:start w:val="1"/>
      <w:numFmt w:val="bullet"/>
      <w:lvlText w:val=""/>
      <w:lvlJc w:val="left"/>
      <w:pPr>
        <w:ind w:left="720" w:hanging="360"/>
      </w:pPr>
      <w:rPr>
        <w:rFonts w:ascii="Symbol" w:hAnsi="Symbol"/>
      </w:rPr>
    </w:lvl>
    <w:lvl w:ilvl="4" w:tplc="7DE67192">
      <w:start w:val="1"/>
      <w:numFmt w:val="bullet"/>
      <w:lvlText w:val=""/>
      <w:lvlJc w:val="left"/>
      <w:pPr>
        <w:ind w:left="720" w:hanging="360"/>
      </w:pPr>
      <w:rPr>
        <w:rFonts w:ascii="Symbol" w:hAnsi="Symbol"/>
      </w:rPr>
    </w:lvl>
    <w:lvl w:ilvl="5" w:tplc="85F6D7E8">
      <w:start w:val="1"/>
      <w:numFmt w:val="bullet"/>
      <w:lvlText w:val=""/>
      <w:lvlJc w:val="left"/>
      <w:pPr>
        <w:ind w:left="720" w:hanging="360"/>
      </w:pPr>
      <w:rPr>
        <w:rFonts w:ascii="Symbol" w:hAnsi="Symbol"/>
      </w:rPr>
    </w:lvl>
    <w:lvl w:ilvl="6" w:tplc="5E8A5012">
      <w:start w:val="1"/>
      <w:numFmt w:val="bullet"/>
      <w:lvlText w:val=""/>
      <w:lvlJc w:val="left"/>
      <w:pPr>
        <w:ind w:left="720" w:hanging="360"/>
      </w:pPr>
      <w:rPr>
        <w:rFonts w:ascii="Symbol" w:hAnsi="Symbol"/>
      </w:rPr>
    </w:lvl>
    <w:lvl w:ilvl="7" w:tplc="2E1670BC">
      <w:start w:val="1"/>
      <w:numFmt w:val="bullet"/>
      <w:lvlText w:val=""/>
      <w:lvlJc w:val="left"/>
      <w:pPr>
        <w:ind w:left="720" w:hanging="360"/>
      </w:pPr>
      <w:rPr>
        <w:rFonts w:ascii="Symbol" w:hAnsi="Symbol"/>
      </w:rPr>
    </w:lvl>
    <w:lvl w:ilvl="8" w:tplc="8012D650">
      <w:start w:val="1"/>
      <w:numFmt w:val="bullet"/>
      <w:lvlText w:val=""/>
      <w:lvlJc w:val="left"/>
      <w:pPr>
        <w:ind w:left="720" w:hanging="360"/>
      </w:pPr>
      <w:rPr>
        <w:rFonts w:ascii="Symbol" w:hAnsi="Symbol"/>
      </w:rPr>
    </w:lvl>
  </w:abstractNum>
  <w:abstractNum w:abstractNumId="8" w15:restartNumberingAfterBreak="0">
    <w:nsid w:val="36772D83"/>
    <w:multiLevelType w:val="hybridMultilevel"/>
    <w:tmpl w:val="1C6E2A2A"/>
    <w:lvl w:ilvl="0" w:tplc="018A4BE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592824"/>
    <w:multiLevelType w:val="hybridMultilevel"/>
    <w:tmpl w:val="343C696A"/>
    <w:lvl w:ilvl="0" w:tplc="69626824">
      <w:start w:val="1"/>
      <w:numFmt w:val="bullet"/>
      <w:lvlText w:val=""/>
      <w:lvlJc w:val="left"/>
      <w:pPr>
        <w:ind w:left="720" w:hanging="360"/>
      </w:pPr>
      <w:rPr>
        <w:rFonts w:ascii="Symbol" w:hAnsi="Symbol"/>
      </w:rPr>
    </w:lvl>
    <w:lvl w:ilvl="1" w:tplc="8A3CB25C">
      <w:start w:val="1"/>
      <w:numFmt w:val="bullet"/>
      <w:lvlText w:val=""/>
      <w:lvlJc w:val="left"/>
      <w:pPr>
        <w:ind w:left="720" w:hanging="360"/>
      </w:pPr>
      <w:rPr>
        <w:rFonts w:ascii="Symbol" w:hAnsi="Symbol"/>
      </w:rPr>
    </w:lvl>
    <w:lvl w:ilvl="2" w:tplc="E5882720">
      <w:start w:val="1"/>
      <w:numFmt w:val="bullet"/>
      <w:lvlText w:val=""/>
      <w:lvlJc w:val="left"/>
      <w:pPr>
        <w:ind w:left="720" w:hanging="360"/>
      </w:pPr>
      <w:rPr>
        <w:rFonts w:ascii="Symbol" w:hAnsi="Symbol"/>
      </w:rPr>
    </w:lvl>
    <w:lvl w:ilvl="3" w:tplc="48AE8A9A">
      <w:start w:val="1"/>
      <w:numFmt w:val="bullet"/>
      <w:lvlText w:val=""/>
      <w:lvlJc w:val="left"/>
      <w:pPr>
        <w:ind w:left="720" w:hanging="360"/>
      </w:pPr>
      <w:rPr>
        <w:rFonts w:ascii="Symbol" w:hAnsi="Symbol"/>
      </w:rPr>
    </w:lvl>
    <w:lvl w:ilvl="4" w:tplc="D9F2D2DC">
      <w:start w:val="1"/>
      <w:numFmt w:val="bullet"/>
      <w:lvlText w:val=""/>
      <w:lvlJc w:val="left"/>
      <w:pPr>
        <w:ind w:left="720" w:hanging="360"/>
      </w:pPr>
      <w:rPr>
        <w:rFonts w:ascii="Symbol" w:hAnsi="Symbol"/>
      </w:rPr>
    </w:lvl>
    <w:lvl w:ilvl="5" w:tplc="03B48F44">
      <w:start w:val="1"/>
      <w:numFmt w:val="bullet"/>
      <w:lvlText w:val=""/>
      <w:lvlJc w:val="left"/>
      <w:pPr>
        <w:ind w:left="720" w:hanging="360"/>
      </w:pPr>
      <w:rPr>
        <w:rFonts w:ascii="Symbol" w:hAnsi="Symbol"/>
      </w:rPr>
    </w:lvl>
    <w:lvl w:ilvl="6" w:tplc="C59EF450">
      <w:start w:val="1"/>
      <w:numFmt w:val="bullet"/>
      <w:lvlText w:val=""/>
      <w:lvlJc w:val="left"/>
      <w:pPr>
        <w:ind w:left="720" w:hanging="360"/>
      </w:pPr>
      <w:rPr>
        <w:rFonts w:ascii="Symbol" w:hAnsi="Symbol"/>
      </w:rPr>
    </w:lvl>
    <w:lvl w:ilvl="7" w:tplc="3E20AF1A">
      <w:start w:val="1"/>
      <w:numFmt w:val="bullet"/>
      <w:lvlText w:val=""/>
      <w:lvlJc w:val="left"/>
      <w:pPr>
        <w:ind w:left="720" w:hanging="360"/>
      </w:pPr>
      <w:rPr>
        <w:rFonts w:ascii="Symbol" w:hAnsi="Symbol"/>
      </w:rPr>
    </w:lvl>
    <w:lvl w:ilvl="8" w:tplc="F836FA7C">
      <w:start w:val="1"/>
      <w:numFmt w:val="bullet"/>
      <w:lvlText w:val=""/>
      <w:lvlJc w:val="left"/>
      <w:pPr>
        <w:ind w:left="720" w:hanging="360"/>
      </w:pPr>
      <w:rPr>
        <w:rFonts w:ascii="Symbol" w:hAnsi="Symbol"/>
      </w:rPr>
    </w:lvl>
  </w:abstractNum>
  <w:abstractNum w:abstractNumId="10" w15:restartNumberingAfterBreak="0">
    <w:nsid w:val="3C4B43F2"/>
    <w:multiLevelType w:val="hybridMultilevel"/>
    <w:tmpl w:val="D2E08712"/>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F822750"/>
    <w:multiLevelType w:val="hybridMultilevel"/>
    <w:tmpl w:val="A70AC226"/>
    <w:lvl w:ilvl="0" w:tplc="B78625C4">
      <w:start w:val="1"/>
      <w:numFmt w:val="decimal"/>
      <w:lvlText w:val="%1."/>
      <w:lvlJc w:val="left"/>
      <w:pPr>
        <w:ind w:left="720" w:hanging="360"/>
      </w:pPr>
    </w:lvl>
    <w:lvl w:ilvl="1" w:tplc="4B080702">
      <w:start w:val="1"/>
      <w:numFmt w:val="decimal"/>
      <w:lvlText w:val="%2."/>
      <w:lvlJc w:val="left"/>
      <w:pPr>
        <w:ind w:left="720" w:hanging="360"/>
      </w:pPr>
    </w:lvl>
    <w:lvl w:ilvl="2" w:tplc="228A67F4">
      <w:start w:val="1"/>
      <w:numFmt w:val="decimal"/>
      <w:lvlText w:val="%3."/>
      <w:lvlJc w:val="left"/>
      <w:pPr>
        <w:ind w:left="720" w:hanging="360"/>
      </w:pPr>
    </w:lvl>
    <w:lvl w:ilvl="3" w:tplc="8CB45854">
      <w:start w:val="1"/>
      <w:numFmt w:val="decimal"/>
      <w:lvlText w:val="%4."/>
      <w:lvlJc w:val="left"/>
      <w:pPr>
        <w:ind w:left="720" w:hanging="360"/>
      </w:pPr>
    </w:lvl>
    <w:lvl w:ilvl="4" w:tplc="11043494">
      <w:start w:val="1"/>
      <w:numFmt w:val="decimal"/>
      <w:lvlText w:val="%5."/>
      <w:lvlJc w:val="left"/>
      <w:pPr>
        <w:ind w:left="720" w:hanging="360"/>
      </w:pPr>
    </w:lvl>
    <w:lvl w:ilvl="5" w:tplc="6BE0C842">
      <w:start w:val="1"/>
      <w:numFmt w:val="decimal"/>
      <w:lvlText w:val="%6."/>
      <w:lvlJc w:val="left"/>
      <w:pPr>
        <w:ind w:left="720" w:hanging="360"/>
      </w:pPr>
    </w:lvl>
    <w:lvl w:ilvl="6" w:tplc="17A6BCE6">
      <w:start w:val="1"/>
      <w:numFmt w:val="decimal"/>
      <w:lvlText w:val="%7."/>
      <w:lvlJc w:val="left"/>
      <w:pPr>
        <w:ind w:left="720" w:hanging="360"/>
      </w:pPr>
    </w:lvl>
    <w:lvl w:ilvl="7" w:tplc="56B49214">
      <w:start w:val="1"/>
      <w:numFmt w:val="decimal"/>
      <w:lvlText w:val="%8."/>
      <w:lvlJc w:val="left"/>
      <w:pPr>
        <w:ind w:left="720" w:hanging="360"/>
      </w:pPr>
    </w:lvl>
    <w:lvl w:ilvl="8" w:tplc="90BAAE48">
      <w:start w:val="1"/>
      <w:numFmt w:val="decimal"/>
      <w:lvlText w:val="%9."/>
      <w:lvlJc w:val="left"/>
      <w:pPr>
        <w:ind w:left="720" w:hanging="36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3530BFC"/>
    <w:multiLevelType w:val="hybridMultilevel"/>
    <w:tmpl w:val="CE6E0C46"/>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49B3DB9"/>
    <w:multiLevelType w:val="hybridMultilevel"/>
    <w:tmpl w:val="007A7FC4"/>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EC340F66">
      <w:start w:val="5"/>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D405BF4"/>
    <w:multiLevelType w:val="hybridMultilevel"/>
    <w:tmpl w:val="AF5CDD80"/>
    <w:lvl w:ilvl="0" w:tplc="9092C52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E461101"/>
    <w:multiLevelType w:val="hybridMultilevel"/>
    <w:tmpl w:val="1C6E2A2A"/>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7"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9C51BD6"/>
    <w:multiLevelType w:val="hybridMultilevel"/>
    <w:tmpl w:val="9842A25C"/>
    <w:lvl w:ilvl="0" w:tplc="5B1CDEB8">
      <w:start w:val="2"/>
      <w:numFmt w:val="bullet"/>
      <w:lvlText w:val="‒"/>
      <w:lvlJc w:val="left"/>
      <w:pPr>
        <w:ind w:left="720" w:hanging="360"/>
      </w:pPr>
      <w:rPr>
        <w:rFonts w:ascii="Arial" w:eastAsia="Times New Roman"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3EB70E4"/>
    <w:multiLevelType w:val="hybridMultilevel"/>
    <w:tmpl w:val="6C846ABE"/>
    <w:lvl w:ilvl="0" w:tplc="75548174">
      <w:start w:val="1"/>
      <w:numFmt w:val="bullet"/>
      <w:lvlText w:val=""/>
      <w:lvlJc w:val="left"/>
      <w:pPr>
        <w:ind w:left="720" w:hanging="360"/>
      </w:pPr>
      <w:rPr>
        <w:rFonts w:ascii="Symbol" w:hAnsi="Symbol"/>
      </w:rPr>
    </w:lvl>
    <w:lvl w:ilvl="1" w:tplc="CC208B62">
      <w:start w:val="1"/>
      <w:numFmt w:val="bullet"/>
      <w:lvlText w:val=""/>
      <w:lvlJc w:val="left"/>
      <w:pPr>
        <w:ind w:left="720" w:hanging="360"/>
      </w:pPr>
      <w:rPr>
        <w:rFonts w:ascii="Symbol" w:hAnsi="Symbol"/>
      </w:rPr>
    </w:lvl>
    <w:lvl w:ilvl="2" w:tplc="9C7CB394">
      <w:start w:val="1"/>
      <w:numFmt w:val="bullet"/>
      <w:lvlText w:val=""/>
      <w:lvlJc w:val="left"/>
      <w:pPr>
        <w:ind w:left="720" w:hanging="360"/>
      </w:pPr>
      <w:rPr>
        <w:rFonts w:ascii="Symbol" w:hAnsi="Symbol"/>
      </w:rPr>
    </w:lvl>
    <w:lvl w:ilvl="3" w:tplc="A614CCC8">
      <w:start w:val="1"/>
      <w:numFmt w:val="bullet"/>
      <w:lvlText w:val=""/>
      <w:lvlJc w:val="left"/>
      <w:pPr>
        <w:ind w:left="720" w:hanging="360"/>
      </w:pPr>
      <w:rPr>
        <w:rFonts w:ascii="Symbol" w:hAnsi="Symbol"/>
      </w:rPr>
    </w:lvl>
    <w:lvl w:ilvl="4" w:tplc="BF3255D4">
      <w:start w:val="1"/>
      <w:numFmt w:val="bullet"/>
      <w:lvlText w:val=""/>
      <w:lvlJc w:val="left"/>
      <w:pPr>
        <w:ind w:left="720" w:hanging="360"/>
      </w:pPr>
      <w:rPr>
        <w:rFonts w:ascii="Symbol" w:hAnsi="Symbol"/>
      </w:rPr>
    </w:lvl>
    <w:lvl w:ilvl="5" w:tplc="09DC9E3C">
      <w:start w:val="1"/>
      <w:numFmt w:val="bullet"/>
      <w:lvlText w:val=""/>
      <w:lvlJc w:val="left"/>
      <w:pPr>
        <w:ind w:left="720" w:hanging="360"/>
      </w:pPr>
      <w:rPr>
        <w:rFonts w:ascii="Symbol" w:hAnsi="Symbol"/>
      </w:rPr>
    </w:lvl>
    <w:lvl w:ilvl="6" w:tplc="FEA22BCC">
      <w:start w:val="1"/>
      <w:numFmt w:val="bullet"/>
      <w:lvlText w:val=""/>
      <w:lvlJc w:val="left"/>
      <w:pPr>
        <w:ind w:left="720" w:hanging="360"/>
      </w:pPr>
      <w:rPr>
        <w:rFonts w:ascii="Symbol" w:hAnsi="Symbol"/>
      </w:rPr>
    </w:lvl>
    <w:lvl w:ilvl="7" w:tplc="859080EC">
      <w:start w:val="1"/>
      <w:numFmt w:val="bullet"/>
      <w:lvlText w:val=""/>
      <w:lvlJc w:val="left"/>
      <w:pPr>
        <w:ind w:left="720" w:hanging="360"/>
      </w:pPr>
      <w:rPr>
        <w:rFonts w:ascii="Symbol" w:hAnsi="Symbol"/>
      </w:rPr>
    </w:lvl>
    <w:lvl w:ilvl="8" w:tplc="40E8900E">
      <w:start w:val="1"/>
      <w:numFmt w:val="bullet"/>
      <w:lvlText w:val=""/>
      <w:lvlJc w:val="left"/>
      <w:pPr>
        <w:ind w:left="720" w:hanging="360"/>
      </w:pPr>
      <w:rPr>
        <w:rFonts w:ascii="Symbol" w:hAnsi="Symbol"/>
      </w:rPr>
    </w:lvl>
  </w:abstractNum>
  <w:abstractNum w:abstractNumId="2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36A71B7"/>
    <w:multiLevelType w:val="hybridMultilevel"/>
    <w:tmpl w:val="A5A4EECE"/>
    <w:lvl w:ilvl="0" w:tplc="5B1CDEB8">
      <w:start w:val="2"/>
      <w:numFmt w:val="bullet"/>
      <w:lvlText w:val="‒"/>
      <w:lvlJc w:val="left"/>
      <w:pPr>
        <w:ind w:left="720" w:hanging="360"/>
      </w:pPr>
      <w:rPr>
        <w:rFonts w:ascii="Arial" w:eastAsia="Times New Roman"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6A55EE8"/>
    <w:multiLevelType w:val="hybridMultilevel"/>
    <w:tmpl w:val="30FA546C"/>
    <w:lvl w:ilvl="0" w:tplc="39BC6B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19"/>
  </w:num>
  <w:num w:numId="3">
    <w:abstractNumId w:val="21"/>
  </w:num>
  <w:num w:numId="4">
    <w:abstractNumId w:val="24"/>
  </w:num>
  <w:num w:numId="5">
    <w:abstractNumId w:val="12"/>
  </w:num>
  <w:num w:numId="6">
    <w:abstractNumId w:val="4"/>
  </w:num>
  <w:num w:numId="7">
    <w:abstractNumId w:val="14"/>
  </w:num>
  <w:num w:numId="8">
    <w:abstractNumId w:val="23"/>
  </w:num>
  <w:num w:numId="9">
    <w:abstractNumId w:val="18"/>
  </w:num>
  <w:num w:numId="10">
    <w:abstractNumId w:val="22"/>
  </w:num>
  <w:num w:numId="11">
    <w:abstractNumId w:val="5"/>
  </w:num>
  <w:num w:numId="12">
    <w:abstractNumId w:val="10"/>
  </w:num>
  <w:num w:numId="13">
    <w:abstractNumId w:val="6"/>
  </w:num>
  <w:num w:numId="14">
    <w:abstractNumId w:val="1"/>
  </w:num>
  <w:num w:numId="15">
    <w:abstractNumId w:val="8"/>
  </w:num>
  <w:num w:numId="16">
    <w:abstractNumId w:val="9"/>
  </w:num>
  <w:num w:numId="17">
    <w:abstractNumId w:val="20"/>
  </w:num>
  <w:num w:numId="18">
    <w:abstractNumId w:val="3"/>
  </w:num>
  <w:num w:numId="19">
    <w:abstractNumId w:val="7"/>
  </w:num>
  <w:num w:numId="20">
    <w:abstractNumId w:val="11"/>
  </w:num>
  <w:num w:numId="21">
    <w:abstractNumId w:val="16"/>
  </w:num>
  <w:num w:numId="22">
    <w:abstractNumId w:val="13"/>
  </w:num>
  <w:num w:numId="23">
    <w:abstractNumId w:val="0"/>
  </w:num>
  <w:num w:numId="24">
    <w:abstractNumId w:val="15"/>
  </w:num>
  <w:num w:numId="25">
    <w:abstractNumId w:val="17"/>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5AC6"/>
    <w:rsid w:val="0001431B"/>
    <w:rsid w:val="00017FCC"/>
    <w:rsid w:val="00020B9D"/>
    <w:rsid w:val="000224C1"/>
    <w:rsid w:val="00026C8C"/>
    <w:rsid w:val="000312A0"/>
    <w:rsid w:val="0003300C"/>
    <w:rsid w:val="0004122E"/>
    <w:rsid w:val="00041503"/>
    <w:rsid w:val="000432D9"/>
    <w:rsid w:val="00045B40"/>
    <w:rsid w:val="0004795A"/>
    <w:rsid w:val="000514A8"/>
    <w:rsid w:val="0005509F"/>
    <w:rsid w:val="000624A0"/>
    <w:rsid w:val="000635BE"/>
    <w:rsid w:val="0006587D"/>
    <w:rsid w:val="00076074"/>
    <w:rsid w:val="00080512"/>
    <w:rsid w:val="00087AFB"/>
    <w:rsid w:val="00090DB3"/>
    <w:rsid w:val="00094BC6"/>
    <w:rsid w:val="00095D9D"/>
    <w:rsid w:val="000A2AA7"/>
    <w:rsid w:val="000A37F7"/>
    <w:rsid w:val="000A3F03"/>
    <w:rsid w:val="000B58C1"/>
    <w:rsid w:val="000C3646"/>
    <w:rsid w:val="000C52FC"/>
    <w:rsid w:val="000E53C2"/>
    <w:rsid w:val="000F239C"/>
    <w:rsid w:val="000F42E0"/>
    <w:rsid w:val="001026C5"/>
    <w:rsid w:val="0011492C"/>
    <w:rsid w:val="00117A93"/>
    <w:rsid w:val="001220BA"/>
    <w:rsid w:val="00126607"/>
    <w:rsid w:val="00132B93"/>
    <w:rsid w:val="00136D5B"/>
    <w:rsid w:val="001443D2"/>
    <w:rsid w:val="00144439"/>
    <w:rsid w:val="00151915"/>
    <w:rsid w:val="00152321"/>
    <w:rsid w:val="00155923"/>
    <w:rsid w:val="00156FC3"/>
    <w:rsid w:val="00157CB9"/>
    <w:rsid w:val="00157FE7"/>
    <w:rsid w:val="00170BE1"/>
    <w:rsid w:val="00172120"/>
    <w:rsid w:val="00185970"/>
    <w:rsid w:val="0019487D"/>
    <w:rsid w:val="00196A7D"/>
    <w:rsid w:val="001973E4"/>
    <w:rsid w:val="001A1F37"/>
    <w:rsid w:val="001A5AC6"/>
    <w:rsid w:val="001A6904"/>
    <w:rsid w:val="001A7FBC"/>
    <w:rsid w:val="001B26E7"/>
    <w:rsid w:val="001B5BC5"/>
    <w:rsid w:val="001B7791"/>
    <w:rsid w:val="001C2059"/>
    <w:rsid w:val="001C4F87"/>
    <w:rsid w:val="001D3D3C"/>
    <w:rsid w:val="001D5BF8"/>
    <w:rsid w:val="001D614D"/>
    <w:rsid w:val="001D7F2B"/>
    <w:rsid w:val="001E0F73"/>
    <w:rsid w:val="001E3ABC"/>
    <w:rsid w:val="001E4526"/>
    <w:rsid w:val="001E7B69"/>
    <w:rsid w:val="001F1589"/>
    <w:rsid w:val="001F2CA9"/>
    <w:rsid w:val="001F34EE"/>
    <w:rsid w:val="001F4742"/>
    <w:rsid w:val="001F7593"/>
    <w:rsid w:val="002107B1"/>
    <w:rsid w:val="0021107D"/>
    <w:rsid w:val="00213D6F"/>
    <w:rsid w:val="002147BB"/>
    <w:rsid w:val="002159BA"/>
    <w:rsid w:val="0022313C"/>
    <w:rsid w:val="00227F60"/>
    <w:rsid w:val="0024295E"/>
    <w:rsid w:val="002435E4"/>
    <w:rsid w:val="00245DD6"/>
    <w:rsid w:val="002470F1"/>
    <w:rsid w:val="002471EE"/>
    <w:rsid w:val="00253198"/>
    <w:rsid w:val="00261F68"/>
    <w:rsid w:val="002668DE"/>
    <w:rsid w:val="00266FF2"/>
    <w:rsid w:val="0026790B"/>
    <w:rsid w:val="00271121"/>
    <w:rsid w:val="00280C48"/>
    <w:rsid w:val="00281B53"/>
    <w:rsid w:val="0028221D"/>
    <w:rsid w:val="0028449F"/>
    <w:rsid w:val="00285618"/>
    <w:rsid w:val="002915E0"/>
    <w:rsid w:val="00291B72"/>
    <w:rsid w:val="00297409"/>
    <w:rsid w:val="002A0B9F"/>
    <w:rsid w:val="002B3823"/>
    <w:rsid w:val="002B53AC"/>
    <w:rsid w:val="002B5A11"/>
    <w:rsid w:val="002C4330"/>
    <w:rsid w:val="002D09B4"/>
    <w:rsid w:val="002D360C"/>
    <w:rsid w:val="002D4215"/>
    <w:rsid w:val="002D4E2C"/>
    <w:rsid w:val="002D682F"/>
    <w:rsid w:val="002E3CB3"/>
    <w:rsid w:val="002E5495"/>
    <w:rsid w:val="002F222B"/>
    <w:rsid w:val="00300105"/>
    <w:rsid w:val="00300DC5"/>
    <w:rsid w:val="00312ADB"/>
    <w:rsid w:val="00313ED8"/>
    <w:rsid w:val="00316234"/>
    <w:rsid w:val="00320E6C"/>
    <w:rsid w:val="00321A64"/>
    <w:rsid w:val="003220E7"/>
    <w:rsid w:val="00332A14"/>
    <w:rsid w:val="00340B5B"/>
    <w:rsid w:val="00342FC6"/>
    <w:rsid w:val="00347421"/>
    <w:rsid w:val="003537B7"/>
    <w:rsid w:val="003539FF"/>
    <w:rsid w:val="00354F4F"/>
    <w:rsid w:val="00357723"/>
    <w:rsid w:val="00357AB2"/>
    <w:rsid w:val="00363258"/>
    <w:rsid w:val="0036346C"/>
    <w:rsid w:val="003637C5"/>
    <w:rsid w:val="00370A83"/>
    <w:rsid w:val="003776B9"/>
    <w:rsid w:val="00380DBA"/>
    <w:rsid w:val="00382160"/>
    <w:rsid w:val="003861B9"/>
    <w:rsid w:val="003A0B80"/>
    <w:rsid w:val="003A3A86"/>
    <w:rsid w:val="003A4144"/>
    <w:rsid w:val="003A4425"/>
    <w:rsid w:val="003B0723"/>
    <w:rsid w:val="003B256B"/>
    <w:rsid w:val="003B5798"/>
    <w:rsid w:val="003C0773"/>
    <w:rsid w:val="003C2FA0"/>
    <w:rsid w:val="003C558C"/>
    <w:rsid w:val="003D114E"/>
    <w:rsid w:val="003D5F35"/>
    <w:rsid w:val="003E22E1"/>
    <w:rsid w:val="003E2617"/>
    <w:rsid w:val="003E2987"/>
    <w:rsid w:val="003F1EF4"/>
    <w:rsid w:val="003F3DC5"/>
    <w:rsid w:val="003F5274"/>
    <w:rsid w:val="003F55CC"/>
    <w:rsid w:val="00402612"/>
    <w:rsid w:val="004026C2"/>
    <w:rsid w:val="00403667"/>
    <w:rsid w:val="00410F22"/>
    <w:rsid w:val="00411270"/>
    <w:rsid w:val="00412251"/>
    <w:rsid w:val="004136BF"/>
    <w:rsid w:val="004223F1"/>
    <w:rsid w:val="00424DD4"/>
    <w:rsid w:val="00425B62"/>
    <w:rsid w:val="00430698"/>
    <w:rsid w:val="00433149"/>
    <w:rsid w:val="00434D65"/>
    <w:rsid w:val="00446E80"/>
    <w:rsid w:val="00447556"/>
    <w:rsid w:val="00447FBB"/>
    <w:rsid w:val="00457773"/>
    <w:rsid w:val="00467DB9"/>
    <w:rsid w:val="004706AA"/>
    <w:rsid w:val="00473EAF"/>
    <w:rsid w:val="004756A9"/>
    <w:rsid w:val="00495A0A"/>
    <w:rsid w:val="00495B6F"/>
    <w:rsid w:val="004A2ED3"/>
    <w:rsid w:val="004A54A0"/>
    <w:rsid w:val="004B30C0"/>
    <w:rsid w:val="004B353F"/>
    <w:rsid w:val="004B4648"/>
    <w:rsid w:val="004B7872"/>
    <w:rsid w:val="004C1FA7"/>
    <w:rsid w:val="004C2E70"/>
    <w:rsid w:val="004C5558"/>
    <w:rsid w:val="004D63B5"/>
    <w:rsid w:val="004D6EC6"/>
    <w:rsid w:val="004E263F"/>
    <w:rsid w:val="004E7087"/>
    <w:rsid w:val="004E7654"/>
    <w:rsid w:val="004F1FE3"/>
    <w:rsid w:val="004F4727"/>
    <w:rsid w:val="00511F94"/>
    <w:rsid w:val="00522A89"/>
    <w:rsid w:val="00525056"/>
    <w:rsid w:val="0052554B"/>
    <w:rsid w:val="00525742"/>
    <w:rsid w:val="00527DF9"/>
    <w:rsid w:val="00530B98"/>
    <w:rsid w:val="00533E1C"/>
    <w:rsid w:val="00537A59"/>
    <w:rsid w:val="00544080"/>
    <w:rsid w:val="00550237"/>
    <w:rsid w:val="00560071"/>
    <w:rsid w:val="005602FA"/>
    <w:rsid w:val="00581C61"/>
    <w:rsid w:val="005852B1"/>
    <w:rsid w:val="0059125B"/>
    <w:rsid w:val="00597BDE"/>
    <w:rsid w:val="005A2156"/>
    <w:rsid w:val="005A57AA"/>
    <w:rsid w:val="005B14EB"/>
    <w:rsid w:val="005B298B"/>
    <w:rsid w:val="005B7CF1"/>
    <w:rsid w:val="005C5725"/>
    <w:rsid w:val="005C6D69"/>
    <w:rsid w:val="005D5FDA"/>
    <w:rsid w:val="005D71DA"/>
    <w:rsid w:val="005E4022"/>
    <w:rsid w:val="005E5BD2"/>
    <w:rsid w:val="00605E2C"/>
    <w:rsid w:val="00606078"/>
    <w:rsid w:val="00611D04"/>
    <w:rsid w:val="0061703E"/>
    <w:rsid w:val="00617E52"/>
    <w:rsid w:val="00621BAA"/>
    <w:rsid w:val="00624002"/>
    <w:rsid w:val="00632789"/>
    <w:rsid w:val="00635707"/>
    <w:rsid w:val="006366AA"/>
    <w:rsid w:val="006442D6"/>
    <w:rsid w:val="00645A23"/>
    <w:rsid w:val="00646D12"/>
    <w:rsid w:val="00653CDE"/>
    <w:rsid w:val="006654DF"/>
    <w:rsid w:val="006729CB"/>
    <w:rsid w:val="00675261"/>
    <w:rsid w:val="006777AB"/>
    <w:rsid w:val="00677FFC"/>
    <w:rsid w:val="0068066C"/>
    <w:rsid w:val="00686DF8"/>
    <w:rsid w:val="00687D08"/>
    <w:rsid w:val="006942CF"/>
    <w:rsid w:val="006944E3"/>
    <w:rsid w:val="00695EC3"/>
    <w:rsid w:val="00697CC2"/>
    <w:rsid w:val="006A0856"/>
    <w:rsid w:val="006C7241"/>
    <w:rsid w:val="006C7B00"/>
    <w:rsid w:val="006C7C05"/>
    <w:rsid w:val="006D0CD3"/>
    <w:rsid w:val="006D5E73"/>
    <w:rsid w:val="006F3605"/>
    <w:rsid w:val="006F3ECD"/>
    <w:rsid w:val="0070105A"/>
    <w:rsid w:val="0070371B"/>
    <w:rsid w:val="00706FE9"/>
    <w:rsid w:val="00707AE8"/>
    <w:rsid w:val="007168F2"/>
    <w:rsid w:val="0072434D"/>
    <w:rsid w:val="00725B5B"/>
    <w:rsid w:val="00725E84"/>
    <w:rsid w:val="00725FC1"/>
    <w:rsid w:val="007336F4"/>
    <w:rsid w:val="0073478E"/>
    <w:rsid w:val="0073572E"/>
    <w:rsid w:val="007367B4"/>
    <w:rsid w:val="00740111"/>
    <w:rsid w:val="007404E5"/>
    <w:rsid w:val="00743DA6"/>
    <w:rsid w:val="00746B8C"/>
    <w:rsid w:val="007501DA"/>
    <w:rsid w:val="00751193"/>
    <w:rsid w:val="00752DB1"/>
    <w:rsid w:val="00757A0F"/>
    <w:rsid w:val="00763F2D"/>
    <w:rsid w:val="007663A1"/>
    <w:rsid w:val="00774450"/>
    <w:rsid w:val="0077532A"/>
    <w:rsid w:val="00777B4C"/>
    <w:rsid w:val="00777BCE"/>
    <w:rsid w:val="00781264"/>
    <w:rsid w:val="00785C63"/>
    <w:rsid w:val="0079304E"/>
    <w:rsid w:val="007A7647"/>
    <w:rsid w:val="007B05CB"/>
    <w:rsid w:val="007D152B"/>
    <w:rsid w:val="007D280C"/>
    <w:rsid w:val="007D5ED3"/>
    <w:rsid w:val="007E0843"/>
    <w:rsid w:val="007E27E0"/>
    <w:rsid w:val="007E2EF9"/>
    <w:rsid w:val="007E4A68"/>
    <w:rsid w:val="007E7205"/>
    <w:rsid w:val="007E7F04"/>
    <w:rsid w:val="007F142F"/>
    <w:rsid w:val="007F65FB"/>
    <w:rsid w:val="007F7EFA"/>
    <w:rsid w:val="00800951"/>
    <w:rsid w:val="00801352"/>
    <w:rsid w:val="00802E7C"/>
    <w:rsid w:val="0081133C"/>
    <w:rsid w:val="008222A8"/>
    <w:rsid w:val="0083208F"/>
    <w:rsid w:val="00843475"/>
    <w:rsid w:val="00851861"/>
    <w:rsid w:val="0085775C"/>
    <w:rsid w:val="00857DA5"/>
    <w:rsid w:val="008677A3"/>
    <w:rsid w:val="00870E67"/>
    <w:rsid w:val="00871E3B"/>
    <w:rsid w:val="0087544B"/>
    <w:rsid w:val="0087752F"/>
    <w:rsid w:val="00886E41"/>
    <w:rsid w:val="00896CDE"/>
    <w:rsid w:val="008A18EB"/>
    <w:rsid w:val="008A35CC"/>
    <w:rsid w:val="008B0975"/>
    <w:rsid w:val="008C2112"/>
    <w:rsid w:val="008C61BE"/>
    <w:rsid w:val="008E2840"/>
    <w:rsid w:val="008E7A23"/>
    <w:rsid w:val="008F0520"/>
    <w:rsid w:val="008F210F"/>
    <w:rsid w:val="008F2140"/>
    <w:rsid w:val="008F399C"/>
    <w:rsid w:val="00911A7B"/>
    <w:rsid w:val="00913D7A"/>
    <w:rsid w:val="009162DA"/>
    <w:rsid w:val="00916BBB"/>
    <w:rsid w:val="00920CD1"/>
    <w:rsid w:val="0092249A"/>
    <w:rsid w:val="00924481"/>
    <w:rsid w:val="00934B2F"/>
    <w:rsid w:val="009354E9"/>
    <w:rsid w:val="009401EA"/>
    <w:rsid w:val="00945EFB"/>
    <w:rsid w:val="00950A4D"/>
    <w:rsid w:val="009541A3"/>
    <w:rsid w:val="00954E91"/>
    <w:rsid w:val="00955942"/>
    <w:rsid w:val="009703AA"/>
    <w:rsid w:val="00971695"/>
    <w:rsid w:val="0097271E"/>
    <w:rsid w:val="00982797"/>
    <w:rsid w:val="00984B28"/>
    <w:rsid w:val="00990888"/>
    <w:rsid w:val="00991FE0"/>
    <w:rsid w:val="009935F0"/>
    <w:rsid w:val="009956C0"/>
    <w:rsid w:val="009A08C1"/>
    <w:rsid w:val="009A1751"/>
    <w:rsid w:val="009A6E23"/>
    <w:rsid w:val="009A7588"/>
    <w:rsid w:val="009A78AE"/>
    <w:rsid w:val="009B4813"/>
    <w:rsid w:val="009C71DF"/>
    <w:rsid w:val="009C7213"/>
    <w:rsid w:val="009C7718"/>
    <w:rsid w:val="009C7ADE"/>
    <w:rsid w:val="009D212A"/>
    <w:rsid w:val="009D4C14"/>
    <w:rsid w:val="009E13FD"/>
    <w:rsid w:val="009E3F73"/>
    <w:rsid w:val="009E48FC"/>
    <w:rsid w:val="009E6E9E"/>
    <w:rsid w:val="009E7B5D"/>
    <w:rsid w:val="009F5694"/>
    <w:rsid w:val="009F6AAA"/>
    <w:rsid w:val="00A02279"/>
    <w:rsid w:val="00A06926"/>
    <w:rsid w:val="00A06DBF"/>
    <w:rsid w:val="00A163CC"/>
    <w:rsid w:val="00A27A8C"/>
    <w:rsid w:val="00A41B17"/>
    <w:rsid w:val="00A43928"/>
    <w:rsid w:val="00A463D1"/>
    <w:rsid w:val="00A5364E"/>
    <w:rsid w:val="00A53D0E"/>
    <w:rsid w:val="00A6272F"/>
    <w:rsid w:val="00A66402"/>
    <w:rsid w:val="00A7481D"/>
    <w:rsid w:val="00A7507D"/>
    <w:rsid w:val="00A75423"/>
    <w:rsid w:val="00A769BF"/>
    <w:rsid w:val="00A859A2"/>
    <w:rsid w:val="00A94422"/>
    <w:rsid w:val="00A952BB"/>
    <w:rsid w:val="00AA28F5"/>
    <w:rsid w:val="00AA549E"/>
    <w:rsid w:val="00AB448A"/>
    <w:rsid w:val="00AB5861"/>
    <w:rsid w:val="00AD4484"/>
    <w:rsid w:val="00AE0FA5"/>
    <w:rsid w:val="00AE1514"/>
    <w:rsid w:val="00AE1F83"/>
    <w:rsid w:val="00AF174D"/>
    <w:rsid w:val="00AF2E68"/>
    <w:rsid w:val="00AF2EFA"/>
    <w:rsid w:val="00AF6F87"/>
    <w:rsid w:val="00B040FE"/>
    <w:rsid w:val="00B12F1F"/>
    <w:rsid w:val="00B137C5"/>
    <w:rsid w:val="00B26433"/>
    <w:rsid w:val="00B30AB8"/>
    <w:rsid w:val="00B379A0"/>
    <w:rsid w:val="00B46233"/>
    <w:rsid w:val="00B50336"/>
    <w:rsid w:val="00B543B1"/>
    <w:rsid w:val="00B654C6"/>
    <w:rsid w:val="00B67376"/>
    <w:rsid w:val="00B74790"/>
    <w:rsid w:val="00B7709A"/>
    <w:rsid w:val="00B84D7C"/>
    <w:rsid w:val="00B8756A"/>
    <w:rsid w:val="00B87EC6"/>
    <w:rsid w:val="00B91A1F"/>
    <w:rsid w:val="00BA45B4"/>
    <w:rsid w:val="00BB14A6"/>
    <w:rsid w:val="00BB5C30"/>
    <w:rsid w:val="00BC0F57"/>
    <w:rsid w:val="00BC1355"/>
    <w:rsid w:val="00BC4DAA"/>
    <w:rsid w:val="00BD6574"/>
    <w:rsid w:val="00BE1E31"/>
    <w:rsid w:val="00BE4BE8"/>
    <w:rsid w:val="00BF066E"/>
    <w:rsid w:val="00BF2BC6"/>
    <w:rsid w:val="00BF731C"/>
    <w:rsid w:val="00BF7BBB"/>
    <w:rsid w:val="00C06FA0"/>
    <w:rsid w:val="00C11330"/>
    <w:rsid w:val="00C14ACD"/>
    <w:rsid w:val="00C24B2C"/>
    <w:rsid w:val="00C24F7C"/>
    <w:rsid w:val="00C315CB"/>
    <w:rsid w:val="00C34044"/>
    <w:rsid w:val="00C423D9"/>
    <w:rsid w:val="00C42D96"/>
    <w:rsid w:val="00C44C5F"/>
    <w:rsid w:val="00C513A2"/>
    <w:rsid w:val="00C57439"/>
    <w:rsid w:val="00C60D47"/>
    <w:rsid w:val="00C7059E"/>
    <w:rsid w:val="00C72537"/>
    <w:rsid w:val="00C77C22"/>
    <w:rsid w:val="00C877CB"/>
    <w:rsid w:val="00C912BB"/>
    <w:rsid w:val="00C934C0"/>
    <w:rsid w:val="00C97632"/>
    <w:rsid w:val="00CA0FCB"/>
    <w:rsid w:val="00CA147C"/>
    <w:rsid w:val="00CA4281"/>
    <w:rsid w:val="00CB47DD"/>
    <w:rsid w:val="00CC1C19"/>
    <w:rsid w:val="00CC7CA8"/>
    <w:rsid w:val="00CC7D76"/>
    <w:rsid w:val="00CD024F"/>
    <w:rsid w:val="00CE0751"/>
    <w:rsid w:val="00CE3B78"/>
    <w:rsid w:val="00CE4119"/>
    <w:rsid w:val="00D013B2"/>
    <w:rsid w:val="00D0386C"/>
    <w:rsid w:val="00D070E3"/>
    <w:rsid w:val="00D076FC"/>
    <w:rsid w:val="00D138B1"/>
    <w:rsid w:val="00D15B76"/>
    <w:rsid w:val="00D20F8F"/>
    <w:rsid w:val="00D21C9F"/>
    <w:rsid w:val="00D23A66"/>
    <w:rsid w:val="00D25634"/>
    <w:rsid w:val="00D259BE"/>
    <w:rsid w:val="00D25CBB"/>
    <w:rsid w:val="00D27428"/>
    <w:rsid w:val="00D30429"/>
    <w:rsid w:val="00D37D2F"/>
    <w:rsid w:val="00D407FF"/>
    <w:rsid w:val="00D505F6"/>
    <w:rsid w:val="00D60A65"/>
    <w:rsid w:val="00D6677C"/>
    <w:rsid w:val="00D66AF7"/>
    <w:rsid w:val="00D75C7D"/>
    <w:rsid w:val="00D84234"/>
    <w:rsid w:val="00D843BF"/>
    <w:rsid w:val="00D85412"/>
    <w:rsid w:val="00D906FD"/>
    <w:rsid w:val="00D95785"/>
    <w:rsid w:val="00DA0CB8"/>
    <w:rsid w:val="00DA655F"/>
    <w:rsid w:val="00DB79EA"/>
    <w:rsid w:val="00DC148D"/>
    <w:rsid w:val="00DC1617"/>
    <w:rsid w:val="00DD442E"/>
    <w:rsid w:val="00DD6328"/>
    <w:rsid w:val="00DE0239"/>
    <w:rsid w:val="00DE1E82"/>
    <w:rsid w:val="00DF19ED"/>
    <w:rsid w:val="00DF46D2"/>
    <w:rsid w:val="00DF5E7B"/>
    <w:rsid w:val="00E01835"/>
    <w:rsid w:val="00E02F14"/>
    <w:rsid w:val="00E1144D"/>
    <w:rsid w:val="00E12881"/>
    <w:rsid w:val="00E133CC"/>
    <w:rsid w:val="00E1567C"/>
    <w:rsid w:val="00E25071"/>
    <w:rsid w:val="00E34086"/>
    <w:rsid w:val="00E37361"/>
    <w:rsid w:val="00E40A6F"/>
    <w:rsid w:val="00E421F6"/>
    <w:rsid w:val="00E42972"/>
    <w:rsid w:val="00E57076"/>
    <w:rsid w:val="00E6280C"/>
    <w:rsid w:val="00E81966"/>
    <w:rsid w:val="00E85FE7"/>
    <w:rsid w:val="00E95044"/>
    <w:rsid w:val="00E96829"/>
    <w:rsid w:val="00EA19F9"/>
    <w:rsid w:val="00EA30D6"/>
    <w:rsid w:val="00EA7510"/>
    <w:rsid w:val="00EB2442"/>
    <w:rsid w:val="00EB4F36"/>
    <w:rsid w:val="00EC01FF"/>
    <w:rsid w:val="00ED0E61"/>
    <w:rsid w:val="00ED4FBA"/>
    <w:rsid w:val="00ED62F4"/>
    <w:rsid w:val="00ED6569"/>
    <w:rsid w:val="00ED7129"/>
    <w:rsid w:val="00EE163F"/>
    <w:rsid w:val="00EE2384"/>
    <w:rsid w:val="00EF37F4"/>
    <w:rsid w:val="00F05458"/>
    <w:rsid w:val="00F10E2E"/>
    <w:rsid w:val="00F3492A"/>
    <w:rsid w:val="00F37517"/>
    <w:rsid w:val="00F44760"/>
    <w:rsid w:val="00F50CC3"/>
    <w:rsid w:val="00F51819"/>
    <w:rsid w:val="00F520C1"/>
    <w:rsid w:val="00F56A44"/>
    <w:rsid w:val="00F60AAD"/>
    <w:rsid w:val="00F61FCB"/>
    <w:rsid w:val="00F647DE"/>
    <w:rsid w:val="00F70956"/>
    <w:rsid w:val="00F76DD3"/>
    <w:rsid w:val="00F80827"/>
    <w:rsid w:val="00F81589"/>
    <w:rsid w:val="00F833A8"/>
    <w:rsid w:val="00F8388D"/>
    <w:rsid w:val="00F8745F"/>
    <w:rsid w:val="00F87E77"/>
    <w:rsid w:val="00F91449"/>
    <w:rsid w:val="00F921B3"/>
    <w:rsid w:val="00F95445"/>
    <w:rsid w:val="00FA0DB6"/>
    <w:rsid w:val="00FA221C"/>
    <w:rsid w:val="00FA5811"/>
    <w:rsid w:val="00FA6BB1"/>
    <w:rsid w:val="00FB397B"/>
    <w:rsid w:val="00FB77DD"/>
    <w:rsid w:val="00FC099B"/>
    <w:rsid w:val="00FC2C0D"/>
    <w:rsid w:val="00FC7849"/>
    <w:rsid w:val="00FD1408"/>
    <w:rsid w:val="00FD1760"/>
    <w:rsid w:val="00FD4183"/>
    <w:rsid w:val="00FE087D"/>
    <w:rsid w:val="00FE34E9"/>
    <w:rsid w:val="00FE3A05"/>
    <w:rsid w:val="00FE6577"/>
    <w:rsid w:val="00FE71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B1D3E"/>
  <w15:docId w15:val="{5A5C317D-0E96-441A-A528-130F3E820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F1EF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70A83"/>
    <w:pPr>
      <w:ind w:left="720"/>
      <w:contextualSpacing/>
    </w:pPr>
  </w:style>
  <w:style w:type="paragraph" w:customStyle="1" w:styleId="podpisi">
    <w:name w:val="podpisi"/>
    <w:basedOn w:val="Navaden"/>
    <w:uiPriority w:val="99"/>
    <w:rsid w:val="002B3823"/>
    <w:pPr>
      <w:tabs>
        <w:tab w:val="left" w:pos="3402"/>
      </w:tabs>
      <w:spacing w:after="0" w:line="260" w:lineRule="exact"/>
    </w:pPr>
    <w:rPr>
      <w:rFonts w:ascii="Arial" w:eastAsia="Times New Roman" w:hAnsi="Arial" w:cs="Arial"/>
      <w:sz w:val="20"/>
      <w:szCs w:val="20"/>
      <w:lang w:val="it-IT"/>
    </w:rPr>
  </w:style>
  <w:style w:type="character" w:styleId="Pripombasklic">
    <w:name w:val="annotation reference"/>
    <w:basedOn w:val="Privzetapisavaodstavka"/>
    <w:uiPriority w:val="99"/>
    <w:semiHidden/>
    <w:unhideWhenUsed/>
    <w:rsid w:val="00F44760"/>
    <w:rPr>
      <w:sz w:val="16"/>
      <w:szCs w:val="16"/>
    </w:rPr>
  </w:style>
  <w:style w:type="paragraph" w:customStyle="1" w:styleId="Pripombabesedilo1">
    <w:name w:val="Pripomba – besedilo1"/>
    <w:basedOn w:val="Navaden"/>
    <w:next w:val="Pripombabesedilo"/>
    <w:link w:val="PripombabesediloZnak"/>
    <w:uiPriority w:val="99"/>
    <w:semiHidden/>
    <w:unhideWhenUsed/>
    <w:rsid w:val="00F44760"/>
    <w:pPr>
      <w:spacing w:line="240" w:lineRule="auto"/>
    </w:pPr>
    <w:rPr>
      <w:sz w:val="20"/>
      <w:szCs w:val="20"/>
    </w:rPr>
  </w:style>
  <w:style w:type="character" w:customStyle="1" w:styleId="PripombabesediloZnak">
    <w:name w:val="Pripomba – besedilo Znak"/>
    <w:basedOn w:val="Privzetapisavaodstavka"/>
    <w:link w:val="Pripombabesedilo1"/>
    <w:uiPriority w:val="99"/>
    <w:rsid w:val="00F44760"/>
    <w:rPr>
      <w:sz w:val="20"/>
      <w:szCs w:val="20"/>
    </w:rPr>
  </w:style>
  <w:style w:type="paragraph" w:styleId="Pripombabesedilo">
    <w:name w:val="annotation text"/>
    <w:basedOn w:val="Navaden"/>
    <w:link w:val="PripombabesediloZnak1"/>
    <w:uiPriority w:val="99"/>
    <w:unhideWhenUsed/>
    <w:rsid w:val="00F44760"/>
    <w:pPr>
      <w:spacing w:line="240" w:lineRule="auto"/>
    </w:pPr>
    <w:rPr>
      <w:sz w:val="20"/>
      <w:szCs w:val="20"/>
    </w:rPr>
  </w:style>
  <w:style w:type="character" w:customStyle="1" w:styleId="PripombabesediloZnak1">
    <w:name w:val="Pripomba – besedilo Znak1"/>
    <w:basedOn w:val="Privzetapisavaodstavka"/>
    <w:link w:val="Pripombabesedilo"/>
    <w:uiPriority w:val="99"/>
    <w:rsid w:val="00F44760"/>
    <w:rPr>
      <w:sz w:val="20"/>
      <w:szCs w:val="20"/>
    </w:rPr>
  </w:style>
  <w:style w:type="paragraph" w:styleId="Besedilooblaka">
    <w:name w:val="Balloon Text"/>
    <w:basedOn w:val="Navaden"/>
    <w:link w:val="BesedilooblakaZnak"/>
    <w:semiHidden/>
    <w:unhideWhenUsed/>
    <w:rsid w:val="00F4476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F44760"/>
    <w:rPr>
      <w:rFonts w:ascii="Segoe UI" w:hAnsi="Segoe UI" w:cs="Segoe UI"/>
      <w:sz w:val="18"/>
      <w:szCs w:val="18"/>
    </w:rPr>
  </w:style>
  <w:style w:type="paragraph" w:styleId="Zadevapripombe">
    <w:name w:val="annotation subject"/>
    <w:basedOn w:val="Pripombabesedilo"/>
    <w:next w:val="Pripombabesedilo"/>
    <w:link w:val="ZadevapripombeZnak"/>
    <w:semiHidden/>
    <w:unhideWhenUsed/>
    <w:rsid w:val="009401EA"/>
    <w:rPr>
      <w:b/>
      <w:bCs/>
    </w:rPr>
  </w:style>
  <w:style w:type="character" w:customStyle="1" w:styleId="ZadevapripombeZnak">
    <w:name w:val="Zadeva pripombe Znak"/>
    <w:basedOn w:val="PripombabesediloZnak1"/>
    <w:link w:val="Zadevapripombe"/>
    <w:semiHidden/>
    <w:rsid w:val="009401EA"/>
    <w:rPr>
      <w:b/>
      <w:bCs/>
      <w:sz w:val="20"/>
      <w:szCs w:val="20"/>
    </w:rPr>
  </w:style>
  <w:style w:type="paragraph" w:customStyle="1" w:styleId="Default">
    <w:name w:val="Default"/>
    <w:rsid w:val="00533E1C"/>
    <w:pPr>
      <w:autoSpaceDE w:val="0"/>
      <w:autoSpaceDN w:val="0"/>
      <w:adjustRightInd w:val="0"/>
      <w:spacing w:after="0" w:line="240" w:lineRule="auto"/>
    </w:pPr>
    <w:rPr>
      <w:rFonts w:ascii="Times New Roman" w:hAnsi="Times New Roman" w:cs="Times New Roman"/>
      <w:color w:val="000000"/>
      <w:sz w:val="24"/>
      <w:szCs w:val="24"/>
    </w:rPr>
  </w:style>
  <w:style w:type="character" w:styleId="Hiperpovezava">
    <w:name w:val="Hyperlink"/>
    <w:basedOn w:val="Privzetapisavaodstavka"/>
    <w:uiPriority w:val="99"/>
    <w:semiHidden/>
    <w:unhideWhenUsed/>
    <w:rsid w:val="00DC1617"/>
    <w:rPr>
      <w:color w:val="0000FF"/>
      <w:u w:val="single"/>
    </w:rPr>
  </w:style>
  <w:style w:type="paragraph" w:customStyle="1" w:styleId="Neotevilenodstavek">
    <w:name w:val="Neoštevilčen odstavek"/>
    <w:basedOn w:val="Navaden"/>
    <w:link w:val="NeotevilenodstavekZnak"/>
    <w:qFormat/>
    <w:rsid w:val="003C2FA0"/>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3C2FA0"/>
    <w:rPr>
      <w:rFonts w:ascii="Arial" w:eastAsia="Times New Roman" w:hAnsi="Arial" w:cs="Times New Roman"/>
      <w:lang w:val="x-none" w:eastAsia="x-none"/>
    </w:rPr>
  </w:style>
  <w:style w:type="paragraph" w:styleId="Glava">
    <w:name w:val="header"/>
    <w:basedOn w:val="Navaden"/>
    <w:link w:val="GlavaZnak"/>
    <w:rsid w:val="00F3492A"/>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rsid w:val="00F3492A"/>
    <w:rPr>
      <w:rFonts w:ascii="Arial" w:eastAsia="Times New Roman" w:hAnsi="Arial" w:cs="Times New Roman"/>
      <w:sz w:val="20"/>
      <w:szCs w:val="24"/>
      <w:lang w:val="en-US"/>
    </w:rPr>
  </w:style>
  <w:style w:type="paragraph" w:styleId="Revizija">
    <w:name w:val="Revision"/>
    <w:hidden/>
    <w:uiPriority w:val="99"/>
    <w:semiHidden/>
    <w:rsid w:val="00157FE7"/>
    <w:pPr>
      <w:spacing w:after="0" w:line="240" w:lineRule="auto"/>
    </w:pPr>
  </w:style>
  <w:style w:type="paragraph" w:styleId="Noga">
    <w:name w:val="footer"/>
    <w:basedOn w:val="Navaden"/>
    <w:link w:val="NogaZnak"/>
    <w:uiPriority w:val="99"/>
    <w:rsid w:val="00280C48"/>
    <w:pPr>
      <w:tabs>
        <w:tab w:val="center" w:pos="4703"/>
        <w:tab w:val="right" w:pos="9406"/>
      </w:tabs>
      <w:spacing w:after="0" w:line="264" w:lineRule="atLeast"/>
      <w:jc w:val="both"/>
    </w:pPr>
    <w:rPr>
      <w:rFonts w:ascii="Arial" w:eastAsia="Times New Roman" w:hAnsi="Arial" w:cs="Times New Roman"/>
      <w:szCs w:val="24"/>
    </w:rPr>
  </w:style>
  <w:style w:type="character" w:customStyle="1" w:styleId="NogaZnak">
    <w:name w:val="Noga Znak"/>
    <w:basedOn w:val="Privzetapisavaodstavka"/>
    <w:link w:val="Noga"/>
    <w:uiPriority w:val="99"/>
    <w:rsid w:val="00280C48"/>
    <w:rPr>
      <w:rFonts w:ascii="Arial" w:eastAsia="Times New Roman" w:hAnsi="Arial" w:cs="Times New Roman"/>
      <w:szCs w:val="24"/>
    </w:rPr>
  </w:style>
  <w:style w:type="character" w:styleId="tevilkastrani">
    <w:name w:val="page number"/>
    <w:basedOn w:val="Privzetapisavaodstavka"/>
    <w:semiHidden/>
    <w:rsid w:val="00280C48"/>
  </w:style>
  <w:style w:type="paragraph" w:customStyle="1" w:styleId="paragraph">
    <w:name w:val="paragraph"/>
    <w:basedOn w:val="Navaden"/>
    <w:rsid w:val="00280C4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280C48"/>
  </w:style>
  <w:style w:type="character" w:customStyle="1" w:styleId="eop">
    <w:name w:val="eop"/>
    <w:basedOn w:val="Privzetapisavaodstavka"/>
    <w:rsid w:val="00280C48"/>
  </w:style>
  <w:style w:type="paragraph" w:customStyle="1" w:styleId="odstavek">
    <w:name w:val="odstavek"/>
    <w:basedOn w:val="Navaden"/>
    <w:rsid w:val="00280C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280C4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pellingerror">
    <w:name w:val="spellingerror"/>
    <w:basedOn w:val="Privzetapisavaodstavka"/>
    <w:rsid w:val="00280C48"/>
  </w:style>
  <w:style w:type="paragraph" w:customStyle="1" w:styleId="oj-doc-ti">
    <w:name w:val="oj-doc-ti"/>
    <w:basedOn w:val="Navaden"/>
    <w:rsid w:val="00280C48"/>
    <w:pPr>
      <w:spacing w:before="100" w:beforeAutospacing="1" w:after="100" w:afterAutospacing="1" w:line="240" w:lineRule="auto"/>
    </w:pPr>
    <w:rPr>
      <w:rFonts w:ascii="Times New Roman" w:hAnsi="Times New Roman" w:cs="Times New Roman"/>
      <w:sz w:val="24"/>
      <w:szCs w:val="24"/>
      <w:lang w:eastAsia="sl-SI"/>
    </w:rPr>
  </w:style>
  <w:style w:type="paragraph" w:customStyle="1" w:styleId="Golobesedilo1">
    <w:name w:val="Golo besedilo1"/>
    <w:basedOn w:val="Navaden"/>
    <w:next w:val="Golobesedilo"/>
    <w:link w:val="GolobesediloZnak"/>
    <w:uiPriority w:val="99"/>
    <w:semiHidden/>
    <w:unhideWhenUsed/>
    <w:rsid w:val="00280C48"/>
    <w:pPr>
      <w:spacing w:after="0" w:line="240" w:lineRule="auto"/>
    </w:pPr>
    <w:rPr>
      <w:rFonts w:ascii="Arial" w:eastAsia="Calibri" w:hAnsi="Arial" w:cs="Calibri"/>
      <w:sz w:val="18"/>
      <w:szCs w:val="21"/>
    </w:rPr>
  </w:style>
  <w:style w:type="character" w:customStyle="1" w:styleId="GolobesediloZnak">
    <w:name w:val="Golo besedilo Znak"/>
    <w:basedOn w:val="Privzetapisavaodstavka"/>
    <w:link w:val="Golobesedilo1"/>
    <w:uiPriority w:val="99"/>
    <w:semiHidden/>
    <w:rsid w:val="00280C48"/>
    <w:rPr>
      <w:rFonts w:ascii="Arial" w:eastAsia="Calibri" w:hAnsi="Arial" w:cs="Calibri"/>
      <w:sz w:val="18"/>
      <w:szCs w:val="21"/>
      <w:lang w:eastAsia="en-US"/>
    </w:rPr>
  </w:style>
  <w:style w:type="paragraph" w:customStyle="1" w:styleId="tevilnatoka0">
    <w:name w:val="tevilnatoka"/>
    <w:basedOn w:val="Navaden"/>
    <w:rsid w:val="00280C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olobesedilo">
    <w:name w:val="Plain Text"/>
    <w:basedOn w:val="Navaden"/>
    <w:link w:val="GolobesediloZnak1"/>
    <w:uiPriority w:val="99"/>
    <w:semiHidden/>
    <w:unhideWhenUsed/>
    <w:rsid w:val="00280C48"/>
    <w:pPr>
      <w:spacing w:after="0" w:line="240" w:lineRule="auto"/>
    </w:pPr>
    <w:rPr>
      <w:rFonts w:ascii="Consolas" w:hAnsi="Consolas"/>
      <w:sz w:val="21"/>
      <w:szCs w:val="21"/>
    </w:rPr>
  </w:style>
  <w:style w:type="character" w:customStyle="1" w:styleId="GolobesediloZnak1">
    <w:name w:val="Golo besedilo Znak1"/>
    <w:basedOn w:val="Privzetapisavaodstavka"/>
    <w:link w:val="Golobesedilo"/>
    <w:uiPriority w:val="99"/>
    <w:semiHidden/>
    <w:rsid w:val="00280C48"/>
    <w:rPr>
      <w:rFonts w:ascii="Consolas" w:hAnsi="Consolas"/>
      <w:sz w:val="21"/>
      <w:szCs w:val="21"/>
    </w:rPr>
  </w:style>
  <w:style w:type="paragraph" w:customStyle="1" w:styleId="pf0">
    <w:name w:val="pf0"/>
    <w:basedOn w:val="Navaden"/>
    <w:rsid w:val="002A0B9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2A0B9F"/>
    <w:rPr>
      <w:rFonts w:ascii="Segoe UI" w:hAnsi="Segoe UI" w:cs="Segoe UI" w:hint="default"/>
      <w:sz w:val="18"/>
      <w:szCs w:val="18"/>
    </w:rPr>
  </w:style>
  <w:style w:type="paragraph" w:styleId="Sprotnaopomba-besedilo">
    <w:name w:val="footnote text"/>
    <w:basedOn w:val="Navaden"/>
    <w:link w:val="Sprotnaopomba-besediloZnak"/>
    <w:uiPriority w:val="99"/>
    <w:semiHidden/>
    <w:unhideWhenUsed/>
    <w:rsid w:val="00266FF2"/>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66FF2"/>
    <w:rPr>
      <w:sz w:val="20"/>
      <w:szCs w:val="20"/>
    </w:rPr>
  </w:style>
  <w:style w:type="character" w:styleId="Sprotnaopomba-sklic">
    <w:name w:val="footnote reference"/>
    <w:basedOn w:val="Privzetapisavaodstavka"/>
    <w:uiPriority w:val="99"/>
    <w:semiHidden/>
    <w:unhideWhenUsed/>
    <w:rsid w:val="00266FF2"/>
    <w:rPr>
      <w:vertAlign w:val="superscript"/>
    </w:rPr>
  </w:style>
  <w:style w:type="paragraph" w:customStyle="1" w:styleId="tevilnatoka111">
    <w:name w:val="Številčna točka 1.1.1"/>
    <w:basedOn w:val="Navaden"/>
    <w:qFormat/>
    <w:rsid w:val="00FC2C0D"/>
    <w:pPr>
      <w:widowControl w:val="0"/>
      <w:numPr>
        <w:ilvl w:val="2"/>
        <w:numId w:val="25"/>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qFormat/>
    <w:rsid w:val="00FC2C0D"/>
    <w:pPr>
      <w:numPr>
        <w:numId w:val="25"/>
      </w:numPr>
      <w:spacing w:after="0" w:line="240" w:lineRule="auto"/>
      <w:jc w:val="both"/>
    </w:pPr>
    <w:rPr>
      <w:rFonts w:ascii="Arial" w:eastAsia="Times New Roman" w:hAnsi="Arial" w:cs="Arial"/>
      <w:lang w:eastAsia="sl-SI"/>
    </w:rPr>
  </w:style>
  <w:style w:type="paragraph" w:customStyle="1" w:styleId="tevilnatoka11Nova">
    <w:name w:val="Številčna točka 1.1 Nova"/>
    <w:basedOn w:val="tevilnatoka"/>
    <w:qFormat/>
    <w:rsid w:val="00FC2C0D"/>
    <w:pPr>
      <w:numPr>
        <w:ilvl w:val="1"/>
      </w:numPr>
      <w:tabs>
        <w:tab w:val="num" w:pos="360"/>
        <w:tab w:val="num" w:pos="1440"/>
      </w:tabs>
      <w:ind w:left="1440" w:hanging="360"/>
    </w:pPr>
  </w:style>
  <w:style w:type="paragraph" w:styleId="Brezrazmikov">
    <w:name w:val="No Spacing"/>
    <w:uiPriority w:val="1"/>
    <w:qFormat/>
    <w:rsid w:val="00410F22"/>
    <w:pPr>
      <w:spacing w:after="0" w:line="240" w:lineRule="auto"/>
    </w:pPr>
  </w:style>
  <w:style w:type="paragraph" w:customStyle="1" w:styleId="datumtevilka">
    <w:name w:val="datum številka"/>
    <w:basedOn w:val="Navaden"/>
    <w:qFormat/>
    <w:rsid w:val="0005509F"/>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310426">
      <w:bodyDiv w:val="1"/>
      <w:marLeft w:val="0"/>
      <w:marRight w:val="0"/>
      <w:marTop w:val="0"/>
      <w:marBottom w:val="0"/>
      <w:divBdr>
        <w:top w:val="none" w:sz="0" w:space="0" w:color="auto"/>
        <w:left w:val="none" w:sz="0" w:space="0" w:color="auto"/>
        <w:bottom w:val="none" w:sz="0" w:space="0" w:color="auto"/>
        <w:right w:val="none" w:sz="0" w:space="0" w:color="auto"/>
      </w:divBdr>
    </w:div>
    <w:div w:id="151457115">
      <w:bodyDiv w:val="1"/>
      <w:marLeft w:val="0"/>
      <w:marRight w:val="0"/>
      <w:marTop w:val="0"/>
      <w:marBottom w:val="0"/>
      <w:divBdr>
        <w:top w:val="none" w:sz="0" w:space="0" w:color="auto"/>
        <w:left w:val="none" w:sz="0" w:space="0" w:color="auto"/>
        <w:bottom w:val="none" w:sz="0" w:space="0" w:color="auto"/>
        <w:right w:val="none" w:sz="0" w:space="0" w:color="auto"/>
      </w:divBdr>
    </w:div>
    <w:div w:id="161554433">
      <w:bodyDiv w:val="1"/>
      <w:marLeft w:val="0"/>
      <w:marRight w:val="0"/>
      <w:marTop w:val="0"/>
      <w:marBottom w:val="0"/>
      <w:divBdr>
        <w:top w:val="none" w:sz="0" w:space="0" w:color="auto"/>
        <w:left w:val="none" w:sz="0" w:space="0" w:color="auto"/>
        <w:bottom w:val="none" w:sz="0" w:space="0" w:color="auto"/>
        <w:right w:val="none" w:sz="0" w:space="0" w:color="auto"/>
      </w:divBdr>
    </w:div>
    <w:div w:id="172762997">
      <w:bodyDiv w:val="1"/>
      <w:marLeft w:val="0"/>
      <w:marRight w:val="0"/>
      <w:marTop w:val="0"/>
      <w:marBottom w:val="0"/>
      <w:divBdr>
        <w:top w:val="none" w:sz="0" w:space="0" w:color="auto"/>
        <w:left w:val="none" w:sz="0" w:space="0" w:color="auto"/>
        <w:bottom w:val="none" w:sz="0" w:space="0" w:color="auto"/>
        <w:right w:val="none" w:sz="0" w:space="0" w:color="auto"/>
      </w:divBdr>
    </w:div>
    <w:div w:id="211429838">
      <w:bodyDiv w:val="1"/>
      <w:marLeft w:val="0"/>
      <w:marRight w:val="0"/>
      <w:marTop w:val="0"/>
      <w:marBottom w:val="0"/>
      <w:divBdr>
        <w:top w:val="none" w:sz="0" w:space="0" w:color="auto"/>
        <w:left w:val="none" w:sz="0" w:space="0" w:color="auto"/>
        <w:bottom w:val="none" w:sz="0" w:space="0" w:color="auto"/>
        <w:right w:val="none" w:sz="0" w:space="0" w:color="auto"/>
      </w:divBdr>
    </w:div>
    <w:div w:id="235825929">
      <w:bodyDiv w:val="1"/>
      <w:marLeft w:val="0"/>
      <w:marRight w:val="0"/>
      <w:marTop w:val="0"/>
      <w:marBottom w:val="0"/>
      <w:divBdr>
        <w:top w:val="none" w:sz="0" w:space="0" w:color="auto"/>
        <w:left w:val="none" w:sz="0" w:space="0" w:color="auto"/>
        <w:bottom w:val="none" w:sz="0" w:space="0" w:color="auto"/>
        <w:right w:val="none" w:sz="0" w:space="0" w:color="auto"/>
      </w:divBdr>
    </w:div>
    <w:div w:id="408816313">
      <w:bodyDiv w:val="1"/>
      <w:marLeft w:val="0"/>
      <w:marRight w:val="0"/>
      <w:marTop w:val="0"/>
      <w:marBottom w:val="0"/>
      <w:divBdr>
        <w:top w:val="none" w:sz="0" w:space="0" w:color="auto"/>
        <w:left w:val="none" w:sz="0" w:space="0" w:color="auto"/>
        <w:bottom w:val="none" w:sz="0" w:space="0" w:color="auto"/>
        <w:right w:val="none" w:sz="0" w:space="0" w:color="auto"/>
      </w:divBdr>
    </w:div>
    <w:div w:id="455490840">
      <w:bodyDiv w:val="1"/>
      <w:marLeft w:val="0"/>
      <w:marRight w:val="0"/>
      <w:marTop w:val="0"/>
      <w:marBottom w:val="0"/>
      <w:divBdr>
        <w:top w:val="none" w:sz="0" w:space="0" w:color="auto"/>
        <w:left w:val="none" w:sz="0" w:space="0" w:color="auto"/>
        <w:bottom w:val="none" w:sz="0" w:space="0" w:color="auto"/>
        <w:right w:val="none" w:sz="0" w:space="0" w:color="auto"/>
      </w:divBdr>
    </w:div>
    <w:div w:id="488637283">
      <w:bodyDiv w:val="1"/>
      <w:marLeft w:val="0"/>
      <w:marRight w:val="0"/>
      <w:marTop w:val="0"/>
      <w:marBottom w:val="0"/>
      <w:divBdr>
        <w:top w:val="none" w:sz="0" w:space="0" w:color="auto"/>
        <w:left w:val="none" w:sz="0" w:space="0" w:color="auto"/>
        <w:bottom w:val="none" w:sz="0" w:space="0" w:color="auto"/>
        <w:right w:val="none" w:sz="0" w:space="0" w:color="auto"/>
      </w:divBdr>
    </w:div>
    <w:div w:id="623076128">
      <w:bodyDiv w:val="1"/>
      <w:marLeft w:val="0"/>
      <w:marRight w:val="0"/>
      <w:marTop w:val="0"/>
      <w:marBottom w:val="0"/>
      <w:divBdr>
        <w:top w:val="none" w:sz="0" w:space="0" w:color="auto"/>
        <w:left w:val="none" w:sz="0" w:space="0" w:color="auto"/>
        <w:bottom w:val="none" w:sz="0" w:space="0" w:color="auto"/>
        <w:right w:val="none" w:sz="0" w:space="0" w:color="auto"/>
      </w:divBdr>
    </w:div>
    <w:div w:id="660888910">
      <w:bodyDiv w:val="1"/>
      <w:marLeft w:val="0"/>
      <w:marRight w:val="0"/>
      <w:marTop w:val="0"/>
      <w:marBottom w:val="0"/>
      <w:divBdr>
        <w:top w:val="none" w:sz="0" w:space="0" w:color="auto"/>
        <w:left w:val="none" w:sz="0" w:space="0" w:color="auto"/>
        <w:bottom w:val="none" w:sz="0" w:space="0" w:color="auto"/>
        <w:right w:val="none" w:sz="0" w:space="0" w:color="auto"/>
      </w:divBdr>
    </w:div>
    <w:div w:id="754715554">
      <w:bodyDiv w:val="1"/>
      <w:marLeft w:val="0"/>
      <w:marRight w:val="0"/>
      <w:marTop w:val="0"/>
      <w:marBottom w:val="0"/>
      <w:divBdr>
        <w:top w:val="none" w:sz="0" w:space="0" w:color="auto"/>
        <w:left w:val="none" w:sz="0" w:space="0" w:color="auto"/>
        <w:bottom w:val="none" w:sz="0" w:space="0" w:color="auto"/>
        <w:right w:val="none" w:sz="0" w:space="0" w:color="auto"/>
      </w:divBdr>
    </w:div>
    <w:div w:id="768890844">
      <w:bodyDiv w:val="1"/>
      <w:marLeft w:val="0"/>
      <w:marRight w:val="0"/>
      <w:marTop w:val="0"/>
      <w:marBottom w:val="0"/>
      <w:divBdr>
        <w:top w:val="none" w:sz="0" w:space="0" w:color="auto"/>
        <w:left w:val="none" w:sz="0" w:space="0" w:color="auto"/>
        <w:bottom w:val="none" w:sz="0" w:space="0" w:color="auto"/>
        <w:right w:val="none" w:sz="0" w:space="0" w:color="auto"/>
      </w:divBdr>
    </w:div>
    <w:div w:id="797183294">
      <w:bodyDiv w:val="1"/>
      <w:marLeft w:val="0"/>
      <w:marRight w:val="0"/>
      <w:marTop w:val="0"/>
      <w:marBottom w:val="0"/>
      <w:divBdr>
        <w:top w:val="none" w:sz="0" w:space="0" w:color="auto"/>
        <w:left w:val="none" w:sz="0" w:space="0" w:color="auto"/>
        <w:bottom w:val="none" w:sz="0" w:space="0" w:color="auto"/>
        <w:right w:val="none" w:sz="0" w:space="0" w:color="auto"/>
      </w:divBdr>
    </w:div>
    <w:div w:id="826940673">
      <w:bodyDiv w:val="1"/>
      <w:marLeft w:val="0"/>
      <w:marRight w:val="0"/>
      <w:marTop w:val="0"/>
      <w:marBottom w:val="0"/>
      <w:divBdr>
        <w:top w:val="none" w:sz="0" w:space="0" w:color="auto"/>
        <w:left w:val="none" w:sz="0" w:space="0" w:color="auto"/>
        <w:bottom w:val="none" w:sz="0" w:space="0" w:color="auto"/>
        <w:right w:val="none" w:sz="0" w:space="0" w:color="auto"/>
      </w:divBdr>
    </w:div>
    <w:div w:id="884827871">
      <w:bodyDiv w:val="1"/>
      <w:marLeft w:val="0"/>
      <w:marRight w:val="0"/>
      <w:marTop w:val="0"/>
      <w:marBottom w:val="0"/>
      <w:divBdr>
        <w:top w:val="none" w:sz="0" w:space="0" w:color="auto"/>
        <w:left w:val="none" w:sz="0" w:space="0" w:color="auto"/>
        <w:bottom w:val="none" w:sz="0" w:space="0" w:color="auto"/>
        <w:right w:val="none" w:sz="0" w:space="0" w:color="auto"/>
      </w:divBdr>
    </w:div>
    <w:div w:id="901520224">
      <w:bodyDiv w:val="1"/>
      <w:marLeft w:val="0"/>
      <w:marRight w:val="0"/>
      <w:marTop w:val="0"/>
      <w:marBottom w:val="0"/>
      <w:divBdr>
        <w:top w:val="none" w:sz="0" w:space="0" w:color="auto"/>
        <w:left w:val="none" w:sz="0" w:space="0" w:color="auto"/>
        <w:bottom w:val="none" w:sz="0" w:space="0" w:color="auto"/>
        <w:right w:val="none" w:sz="0" w:space="0" w:color="auto"/>
      </w:divBdr>
    </w:div>
    <w:div w:id="946428285">
      <w:bodyDiv w:val="1"/>
      <w:marLeft w:val="0"/>
      <w:marRight w:val="0"/>
      <w:marTop w:val="0"/>
      <w:marBottom w:val="0"/>
      <w:divBdr>
        <w:top w:val="none" w:sz="0" w:space="0" w:color="auto"/>
        <w:left w:val="none" w:sz="0" w:space="0" w:color="auto"/>
        <w:bottom w:val="none" w:sz="0" w:space="0" w:color="auto"/>
        <w:right w:val="none" w:sz="0" w:space="0" w:color="auto"/>
      </w:divBdr>
    </w:div>
    <w:div w:id="957955226">
      <w:bodyDiv w:val="1"/>
      <w:marLeft w:val="0"/>
      <w:marRight w:val="0"/>
      <w:marTop w:val="0"/>
      <w:marBottom w:val="0"/>
      <w:divBdr>
        <w:top w:val="none" w:sz="0" w:space="0" w:color="auto"/>
        <w:left w:val="none" w:sz="0" w:space="0" w:color="auto"/>
        <w:bottom w:val="none" w:sz="0" w:space="0" w:color="auto"/>
        <w:right w:val="none" w:sz="0" w:space="0" w:color="auto"/>
      </w:divBdr>
    </w:div>
    <w:div w:id="999121721">
      <w:bodyDiv w:val="1"/>
      <w:marLeft w:val="0"/>
      <w:marRight w:val="0"/>
      <w:marTop w:val="0"/>
      <w:marBottom w:val="0"/>
      <w:divBdr>
        <w:top w:val="none" w:sz="0" w:space="0" w:color="auto"/>
        <w:left w:val="none" w:sz="0" w:space="0" w:color="auto"/>
        <w:bottom w:val="none" w:sz="0" w:space="0" w:color="auto"/>
        <w:right w:val="none" w:sz="0" w:space="0" w:color="auto"/>
      </w:divBdr>
    </w:div>
    <w:div w:id="1026298423">
      <w:bodyDiv w:val="1"/>
      <w:marLeft w:val="0"/>
      <w:marRight w:val="0"/>
      <w:marTop w:val="0"/>
      <w:marBottom w:val="0"/>
      <w:divBdr>
        <w:top w:val="none" w:sz="0" w:space="0" w:color="auto"/>
        <w:left w:val="none" w:sz="0" w:space="0" w:color="auto"/>
        <w:bottom w:val="none" w:sz="0" w:space="0" w:color="auto"/>
        <w:right w:val="none" w:sz="0" w:space="0" w:color="auto"/>
      </w:divBdr>
    </w:div>
    <w:div w:id="1036197182">
      <w:bodyDiv w:val="1"/>
      <w:marLeft w:val="0"/>
      <w:marRight w:val="0"/>
      <w:marTop w:val="0"/>
      <w:marBottom w:val="0"/>
      <w:divBdr>
        <w:top w:val="none" w:sz="0" w:space="0" w:color="auto"/>
        <w:left w:val="none" w:sz="0" w:space="0" w:color="auto"/>
        <w:bottom w:val="none" w:sz="0" w:space="0" w:color="auto"/>
        <w:right w:val="none" w:sz="0" w:space="0" w:color="auto"/>
      </w:divBdr>
    </w:div>
    <w:div w:id="1177815722">
      <w:bodyDiv w:val="1"/>
      <w:marLeft w:val="0"/>
      <w:marRight w:val="0"/>
      <w:marTop w:val="0"/>
      <w:marBottom w:val="0"/>
      <w:divBdr>
        <w:top w:val="none" w:sz="0" w:space="0" w:color="auto"/>
        <w:left w:val="none" w:sz="0" w:space="0" w:color="auto"/>
        <w:bottom w:val="none" w:sz="0" w:space="0" w:color="auto"/>
        <w:right w:val="none" w:sz="0" w:space="0" w:color="auto"/>
      </w:divBdr>
    </w:div>
    <w:div w:id="1382826561">
      <w:bodyDiv w:val="1"/>
      <w:marLeft w:val="0"/>
      <w:marRight w:val="0"/>
      <w:marTop w:val="0"/>
      <w:marBottom w:val="0"/>
      <w:divBdr>
        <w:top w:val="none" w:sz="0" w:space="0" w:color="auto"/>
        <w:left w:val="none" w:sz="0" w:space="0" w:color="auto"/>
        <w:bottom w:val="none" w:sz="0" w:space="0" w:color="auto"/>
        <w:right w:val="none" w:sz="0" w:space="0" w:color="auto"/>
      </w:divBdr>
    </w:div>
    <w:div w:id="1454711437">
      <w:bodyDiv w:val="1"/>
      <w:marLeft w:val="0"/>
      <w:marRight w:val="0"/>
      <w:marTop w:val="0"/>
      <w:marBottom w:val="0"/>
      <w:divBdr>
        <w:top w:val="none" w:sz="0" w:space="0" w:color="auto"/>
        <w:left w:val="none" w:sz="0" w:space="0" w:color="auto"/>
        <w:bottom w:val="none" w:sz="0" w:space="0" w:color="auto"/>
        <w:right w:val="none" w:sz="0" w:space="0" w:color="auto"/>
      </w:divBdr>
    </w:div>
    <w:div w:id="1499271271">
      <w:bodyDiv w:val="1"/>
      <w:marLeft w:val="0"/>
      <w:marRight w:val="0"/>
      <w:marTop w:val="0"/>
      <w:marBottom w:val="0"/>
      <w:divBdr>
        <w:top w:val="none" w:sz="0" w:space="0" w:color="auto"/>
        <w:left w:val="none" w:sz="0" w:space="0" w:color="auto"/>
        <w:bottom w:val="none" w:sz="0" w:space="0" w:color="auto"/>
        <w:right w:val="none" w:sz="0" w:space="0" w:color="auto"/>
      </w:divBdr>
    </w:div>
    <w:div w:id="1626353514">
      <w:bodyDiv w:val="1"/>
      <w:marLeft w:val="0"/>
      <w:marRight w:val="0"/>
      <w:marTop w:val="0"/>
      <w:marBottom w:val="0"/>
      <w:divBdr>
        <w:top w:val="none" w:sz="0" w:space="0" w:color="auto"/>
        <w:left w:val="none" w:sz="0" w:space="0" w:color="auto"/>
        <w:bottom w:val="none" w:sz="0" w:space="0" w:color="auto"/>
        <w:right w:val="none" w:sz="0" w:space="0" w:color="auto"/>
      </w:divBdr>
    </w:div>
    <w:div w:id="1645743310">
      <w:bodyDiv w:val="1"/>
      <w:marLeft w:val="0"/>
      <w:marRight w:val="0"/>
      <w:marTop w:val="0"/>
      <w:marBottom w:val="0"/>
      <w:divBdr>
        <w:top w:val="none" w:sz="0" w:space="0" w:color="auto"/>
        <w:left w:val="none" w:sz="0" w:space="0" w:color="auto"/>
        <w:bottom w:val="none" w:sz="0" w:space="0" w:color="auto"/>
        <w:right w:val="none" w:sz="0" w:space="0" w:color="auto"/>
      </w:divBdr>
    </w:div>
    <w:div w:id="1907180375">
      <w:bodyDiv w:val="1"/>
      <w:marLeft w:val="0"/>
      <w:marRight w:val="0"/>
      <w:marTop w:val="0"/>
      <w:marBottom w:val="0"/>
      <w:divBdr>
        <w:top w:val="none" w:sz="0" w:space="0" w:color="auto"/>
        <w:left w:val="none" w:sz="0" w:space="0" w:color="auto"/>
        <w:bottom w:val="none" w:sz="0" w:space="0" w:color="auto"/>
        <w:right w:val="none" w:sz="0" w:space="0" w:color="auto"/>
      </w:divBdr>
    </w:div>
    <w:div w:id="1913852641">
      <w:bodyDiv w:val="1"/>
      <w:marLeft w:val="0"/>
      <w:marRight w:val="0"/>
      <w:marTop w:val="0"/>
      <w:marBottom w:val="0"/>
      <w:divBdr>
        <w:top w:val="none" w:sz="0" w:space="0" w:color="auto"/>
        <w:left w:val="none" w:sz="0" w:space="0" w:color="auto"/>
        <w:bottom w:val="none" w:sz="0" w:space="0" w:color="auto"/>
        <w:right w:val="none" w:sz="0" w:space="0" w:color="auto"/>
      </w:divBdr>
    </w:div>
    <w:div w:id="1946838473">
      <w:bodyDiv w:val="1"/>
      <w:marLeft w:val="0"/>
      <w:marRight w:val="0"/>
      <w:marTop w:val="0"/>
      <w:marBottom w:val="0"/>
      <w:divBdr>
        <w:top w:val="none" w:sz="0" w:space="0" w:color="auto"/>
        <w:left w:val="none" w:sz="0" w:space="0" w:color="auto"/>
        <w:bottom w:val="none" w:sz="0" w:space="0" w:color="auto"/>
        <w:right w:val="none" w:sz="0" w:space="0" w:color="auto"/>
      </w:divBdr>
    </w:div>
    <w:div w:id="2018922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19C97E9-ECDE-4A43-B973-7BB8C7A94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5402</Words>
  <Characters>30795</Characters>
  <Application>Microsoft Office Word</Application>
  <DocSecurity>0</DocSecurity>
  <Lines>256</Lines>
  <Paragraphs>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Darja Adamič</cp:lastModifiedBy>
  <cp:revision>4</cp:revision>
  <cp:lastPrinted>2023-08-25T10:17:00Z</cp:lastPrinted>
  <dcterms:created xsi:type="dcterms:W3CDTF">2024-03-06T08:12:00Z</dcterms:created>
  <dcterms:modified xsi:type="dcterms:W3CDTF">2024-03-06T11:08:00Z</dcterms:modified>
</cp:coreProperties>
</file>