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63CE" w:rsidRPr="002760DC" w:rsidRDefault="007363CE" w:rsidP="007363CE">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2023-2180-0026</w:t>
      </w:r>
    </w:p>
    <w:p w:rsidR="007363CE" w:rsidRPr="002760DC" w:rsidRDefault="007363CE" w:rsidP="007363CE">
      <w:pPr>
        <w:pStyle w:val="datumtevilka"/>
      </w:pPr>
      <w:r w:rsidRPr="002760DC">
        <w:t xml:space="preserve">Številka: </w:t>
      </w:r>
      <w:r w:rsidRPr="002760DC">
        <w:tab/>
      </w:r>
      <w:r>
        <w:rPr>
          <w:rFonts w:cs="Arial"/>
          <w:color w:val="000000"/>
        </w:rPr>
        <w:t>00704-389/2023/11</w:t>
      </w:r>
    </w:p>
    <w:p w:rsidR="007363CE" w:rsidRDefault="007363CE" w:rsidP="007363CE">
      <w:pPr>
        <w:pStyle w:val="datumtevilka"/>
      </w:pPr>
      <w:r>
        <w:t>Datum:</w:t>
      </w:r>
      <w:r w:rsidRPr="002760DC">
        <w:tab/>
      </w:r>
      <w:r>
        <w:rPr>
          <w:rFonts w:cs="Arial"/>
          <w:color w:val="000000"/>
        </w:rPr>
        <w:t>11. 1. 2024</w:t>
      </w:r>
      <w:r w:rsidRPr="002760DC">
        <w:t xml:space="preserve"> </w:t>
      </w:r>
    </w:p>
    <w:p w:rsidR="007363CE" w:rsidRDefault="007363CE" w:rsidP="007363CE">
      <w:pPr>
        <w:pStyle w:val="datumtevilka"/>
      </w:pPr>
    </w:p>
    <w:p w:rsidR="007363CE" w:rsidRPr="007363CE" w:rsidRDefault="007363CE" w:rsidP="007363CE">
      <w:pPr>
        <w:pStyle w:val="datumtevilka"/>
        <w:rPr>
          <w:b/>
        </w:rPr>
      </w:pPr>
    </w:p>
    <w:p w:rsidR="007363CE" w:rsidRPr="007363CE" w:rsidRDefault="007363CE" w:rsidP="007363CE">
      <w:pPr>
        <w:jc w:val="center"/>
        <w:rPr>
          <w:b/>
        </w:rPr>
      </w:pPr>
      <w:r w:rsidRPr="007363CE">
        <w:rPr>
          <w:rFonts w:cs="Arial"/>
          <w:b/>
          <w:szCs w:val="20"/>
          <w:lang w:eastAsia="sl-SI"/>
        </w:rPr>
        <w:t>Predlog amandmajev k Predlogu</w:t>
      </w:r>
      <w:r w:rsidRPr="007363CE">
        <w:rPr>
          <w:rFonts w:cs="Arial"/>
          <w:b/>
          <w:szCs w:val="20"/>
        </w:rPr>
        <w:t xml:space="preserve"> </w:t>
      </w:r>
      <w:r w:rsidRPr="007363CE">
        <w:rPr>
          <w:rFonts w:cs="Arial"/>
          <w:b/>
          <w:szCs w:val="20"/>
          <w:lang w:eastAsia="sl-SI"/>
        </w:rPr>
        <w:t>zakona o spremembah in dopolnitvah Zakona o preprečevanju omejevanja konkurence</w:t>
      </w:r>
    </w:p>
    <w:p w:rsidR="00D63A0D" w:rsidRDefault="00D63A0D" w:rsidP="007363CE">
      <w:bookmarkStart w:id="1" w:name="_GoBack"/>
      <w:bookmarkEnd w:id="1"/>
    </w:p>
    <w:p w:rsidR="007363CE" w:rsidRDefault="007363CE" w:rsidP="007363CE"/>
    <w:p w:rsidR="007363CE" w:rsidRPr="006129A2" w:rsidRDefault="007363CE" w:rsidP="007363CE">
      <w:pPr>
        <w:rPr>
          <w:rFonts w:cs="Arial"/>
          <w:b/>
          <w:szCs w:val="20"/>
          <w:u w:val="single"/>
        </w:rPr>
      </w:pPr>
    </w:p>
    <w:p w:rsidR="007363CE" w:rsidRPr="00EB4A42" w:rsidRDefault="007363CE" w:rsidP="007363CE">
      <w:pPr>
        <w:autoSpaceDE w:val="0"/>
        <w:autoSpaceDN w:val="0"/>
        <w:spacing w:line="276" w:lineRule="auto"/>
        <w:jc w:val="both"/>
        <w:rPr>
          <w:rFonts w:cs="Arial"/>
          <w:color w:val="000000"/>
          <w:szCs w:val="20"/>
        </w:rPr>
      </w:pPr>
      <w:r w:rsidRPr="00EB4A42">
        <w:rPr>
          <w:rFonts w:cs="Arial"/>
          <w:color w:val="000000"/>
          <w:szCs w:val="20"/>
        </w:rPr>
        <w:t xml:space="preserve">K 1. členu </w:t>
      </w:r>
    </w:p>
    <w:p w:rsidR="007363CE" w:rsidRPr="00EB4A42" w:rsidRDefault="007363CE" w:rsidP="007363CE">
      <w:pPr>
        <w:autoSpaceDE w:val="0"/>
        <w:autoSpaceDN w:val="0"/>
        <w:spacing w:line="276" w:lineRule="auto"/>
        <w:jc w:val="both"/>
        <w:rPr>
          <w:rFonts w:cs="Arial"/>
          <w:b/>
          <w:bCs/>
          <w:color w:val="000000"/>
          <w:szCs w:val="20"/>
        </w:rPr>
      </w:pPr>
      <w:r w:rsidRPr="00EB4A42">
        <w:rPr>
          <w:rFonts w:cs="Arial"/>
          <w:b/>
          <w:bCs/>
          <w:color w:val="000000"/>
          <w:szCs w:val="20"/>
        </w:rPr>
        <w:t>Besedilo 1. člena se spremeni tako, da se glasi:</w:t>
      </w:r>
    </w:p>
    <w:p w:rsidR="007363CE" w:rsidRPr="00EB4A42" w:rsidRDefault="007363CE" w:rsidP="007363CE">
      <w:pPr>
        <w:spacing w:line="276" w:lineRule="auto"/>
        <w:jc w:val="both"/>
        <w:rPr>
          <w:rFonts w:cs="Arial"/>
          <w:b/>
          <w:bCs/>
          <w:szCs w:val="20"/>
        </w:rPr>
      </w:pPr>
      <w:r w:rsidRPr="00EB4A42">
        <w:rPr>
          <w:rFonts w:cs="Arial"/>
          <w:b/>
          <w:bCs/>
          <w:szCs w:val="20"/>
        </w:rPr>
        <w:t>»V Zakonu o preprečevanju omejevanja konkurence (Uradni list RS, št. 130/22) se v 1. členu prvi odstavek spremeni tako, da se glasi:</w:t>
      </w:r>
    </w:p>
    <w:p w:rsidR="007363CE" w:rsidRDefault="007363CE" w:rsidP="007363CE">
      <w:pPr>
        <w:autoSpaceDE w:val="0"/>
        <w:autoSpaceDN w:val="0"/>
        <w:spacing w:line="276" w:lineRule="auto"/>
        <w:jc w:val="both"/>
        <w:rPr>
          <w:rFonts w:cs="Arial"/>
          <w:b/>
          <w:bCs/>
          <w:color w:val="000000"/>
          <w:szCs w:val="20"/>
        </w:rPr>
      </w:pPr>
      <w:r w:rsidRPr="00EB4A42">
        <w:rPr>
          <w:rFonts w:cs="Arial"/>
          <w:b/>
          <w:bCs/>
          <w:color w:val="000000"/>
          <w:szCs w:val="20"/>
        </w:rPr>
        <w:t>»(1) Ta zakon ureja omejevalna ravnanja, koncentracije podjetij, nelojalno konkurenco, oblastna omejevanja konkurence in ukrepe za preprečitev omejevalnih ravnanj in koncentracij, ki bistveno omejujejo učinkovito konkurenco, kadar povzročijo ali lahko povzročijo učinke na ozemlju Republike Slovenije, določa pristojni organ, administrativne prestopke in sankcije za izvajanje pravil Evropske unije, ki urejajo spodbujanje pravičnosti in preglednosti za poslovne uporabnike spletnih posredniških storitev in pristojni organ za izvajanje pravil Evropske unije, ki urejajo tekmovalne in pravične trge v digitalnem sektorju ter določa posamezna pravila glede povrnitve škode zaradi kršitev konkurenčnega prava.«.</w:t>
      </w:r>
    </w:p>
    <w:p w:rsidR="007363CE" w:rsidRPr="00EB4A42" w:rsidRDefault="007363CE" w:rsidP="007363CE">
      <w:pPr>
        <w:autoSpaceDE w:val="0"/>
        <w:autoSpaceDN w:val="0"/>
        <w:spacing w:line="276" w:lineRule="auto"/>
        <w:jc w:val="both"/>
        <w:rPr>
          <w:rFonts w:cs="Arial"/>
          <w:b/>
          <w:bCs/>
          <w:color w:val="000000"/>
          <w:szCs w:val="20"/>
        </w:rPr>
      </w:pPr>
    </w:p>
    <w:p w:rsidR="007363CE" w:rsidRPr="006129A2" w:rsidRDefault="007363CE" w:rsidP="007363CE">
      <w:pPr>
        <w:autoSpaceDE w:val="0"/>
        <w:autoSpaceDN w:val="0"/>
        <w:spacing w:line="276" w:lineRule="auto"/>
        <w:jc w:val="both"/>
        <w:rPr>
          <w:rFonts w:cs="Arial"/>
          <w:b/>
          <w:bCs/>
          <w:color w:val="000000"/>
          <w:szCs w:val="20"/>
        </w:rPr>
      </w:pPr>
      <w:r w:rsidRPr="006129A2">
        <w:rPr>
          <w:rFonts w:cs="Arial"/>
          <w:b/>
          <w:bCs/>
          <w:color w:val="000000"/>
          <w:szCs w:val="20"/>
        </w:rPr>
        <w:t>OBRAZLOŽITEV:</w:t>
      </w:r>
    </w:p>
    <w:p w:rsidR="007363CE" w:rsidRPr="006129A2" w:rsidRDefault="007363CE" w:rsidP="007363CE">
      <w:pPr>
        <w:autoSpaceDE w:val="0"/>
        <w:autoSpaceDN w:val="0"/>
        <w:spacing w:line="276" w:lineRule="auto"/>
        <w:jc w:val="both"/>
        <w:rPr>
          <w:rFonts w:cs="Arial"/>
          <w:color w:val="000000"/>
          <w:szCs w:val="20"/>
        </w:rPr>
      </w:pPr>
      <w:r w:rsidRPr="006129A2">
        <w:rPr>
          <w:rFonts w:cs="Arial"/>
          <w:color w:val="000000"/>
          <w:szCs w:val="20"/>
        </w:rPr>
        <w:t>Glede na veljavni Zakon o preprečevanju omejevanja konkurence (v nadaljnjem besedilu: ZPOmK-2) se predlaga novo besedilo prvega odstavka 1. člena, s katerim se določa vsebina zakona, in sicer se določijo pristojni organ, administrativni prestopki in sankcije za spodbujanje pravičnih in preglednih spletnih posredniških poslovnih storitev ter pristojni organ za spodbujanje tekmovalnih in pravičnih trgov v digitalnem sektorju na ozemlju Republike Slovenije.</w:t>
      </w:r>
    </w:p>
    <w:p w:rsidR="007363CE" w:rsidRDefault="007363CE" w:rsidP="007363CE">
      <w:pPr>
        <w:autoSpaceDE w:val="0"/>
        <w:autoSpaceDN w:val="0"/>
        <w:spacing w:line="276" w:lineRule="auto"/>
        <w:jc w:val="both"/>
        <w:rPr>
          <w:rFonts w:cs="Arial"/>
          <w:color w:val="000000"/>
          <w:szCs w:val="20"/>
        </w:rPr>
      </w:pPr>
    </w:p>
    <w:p w:rsidR="007363CE" w:rsidRPr="006129A2" w:rsidRDefault="007363CE" w:rsidP="007363CE">
      <w:pPr>
        <w:autoSpaceDE w:val="0"/>
        <w:autoSpaceDN w:val="0"/>
        <w:spacing w:line="276" w:lineRule="auto"/>
        <w:jc w:val="both"/>
        <w:rPr>
          <w:rFonts w:cs="Arial"/>
          <w:color w:val="000000"/>
          <w:szCs w:val="20"/>
        </w:rPr>
      </w:pPr>
    </w:p>
    <w:p w:rsidR="007363CE" w:rsidRPr="00EB4A42" w:rsidRDefault="007363CE" w:rsidP="007363CE">
      <w:pPr>
        <w:autoSpaceDE w:val="0"/>
        <w:autoSpaceDN w:val="0"/>
        <w:spacing w:line="276" w:lineRule="auto"/>
        <w:jc w:val="both"/>
        <w:rPr>
          <w:rFonts w:cs="Arial"/>
          <w:color w:val="000000"/>
          <w:szCs w:val="20"/>
        </w:rPr>
      </w:pPr>
      <w:r w:rsidRPr="00EB4A42">
        <w:rPr>
          <w:rFonts w:cs="Arial"/>
          <w:color w:val="000000"/>
          <w:szCs w:val="20"/>
        </w:rPr>
        <w:t xml:space="preserve">K 2. členu </w:t>
      </w:r>
    </w:p>
    <w:p w:rsidR="007363CE" w:rsidRPr="00EB4A42" w:rsidRDefault="007363CE" w:rsidP="007363CE">
      <w:pPr>
        <w:spacing w:line="276" w:lineRule="auto"/>
        <w:jc w:val="both"/>
        <w:rPr>
          <w:rFonts w:cs="Arial"/>
          <w:b/>
          <w:bCs/>
          <w:szCs w:val="20"/>
        </w:rPr>
      </w:pPr>
      <w:r w:rsidRPr="00EB4A42">
        <w:rPr>
          <w:rFonts w:cs="Arial"/>
          <w:b/>
          <w:bCs/>
          <w:szCs w:val="20"/>
        </w:rPr>
        <w:t>Besedilo 2. člena se spremeni tako, da se glasi:</w:t>
      </w:r>
    </w:p>
    <w:p w:rsidR="007363CE" w:rsidRPr="00EB4A42" w:rsidRDefault="007363CE" w:rsidP="007363CE">
      <w:pPr>
        <w:spacing w:line="276" w:lineRule="auto"/>
        <w:rPr>
          <w:rFonts w:cs="Arial"/>
          <w:b/>
          <w:bCs/>
          <w:szCs w:val="20"/>
        </w:rPr>
      </w:pPr>
      <w:r w:rsidRPr="00EB4A42">
        <w:rPr>
          <w:rFonts w:cs="Arial"/>
          <w:b/>
          <w:bCs/>
          <w:szCs w:val="20"/>
        </w:rPr>
        <w:t>»V 2. členu se v prvem odstavku na koncu prve alineje beseda »in« nadomesti z vejico,</w:t>
      </w:r>
      <w:bookmarkStart w:id="2" w:name="_Hlk145325188"/>
      <w:r w:rsidRPr="00EB4A42">
        <w:rPr>
          <w:rFonts w:cs="Arial"/>
          <w:b/>
          <w:bCs/>
          <w:szCs w:val="20"/>
        </w:rPr>
        <w:t xml:space="preserve"> na koncu druge alineje se pika nadomesti z vejico ter se dodata novi tretja in četrta alineja</w:t>
      </w:r>
      <w:bookmarkEnd w:id="2"/>
      <w:r w:rsidRPr="00EB4A42">
        <w:rPr>
          <w:rFonts w:cs="Arial"/>
          <w:b/>
          <w:bCs/>
          <w:szCs w:val="20"/>
        </w:rPr>
        <w:t xml:space="preserve">, ki se glasita:  </w:t>
      </w:r>
    </w:p>
    <w:p w:rsidR="007363CE" w:rsidRPr="00EB4A42" w:rsidRDefault="007363CE" w:rsidP="007363CE">
      <w:pPr>
        <w:pStyle w:val="Odstavekseznama"/>
        <w:numPr>
          <w:ilvl w:val="0"/>
          <w:numId w:val="37"/>
        </w:numPr>
        <w:spacing w:line="276" w:lineRule="auto"/>
        <w:jc w:val="both"/>
        <w:rPr>
          <w:rFonts w:ascii="Arial" w:hAnsi="Arial" w:cs="Arial"/>
          <w:b/>
          <w:bCs/>
          <w:sz w:val="20"/>
          <w:szCs w:val="20"/>
        </w:rPr>
      </w:pPr>
      <w:r w:rsidRPr="00EB4A42">
        <w:rPr>
          <w:rFonts w:ascii="Arial" w:hAnsi="Arial" w:cs="Arial"/>
          <w:b/>
          <w:bCs/>
          <w:sz w:val="20"/>
          <w:szCs w:val="20"/>
        </w:rPr>
        <w:t>»Uredbe (EU) 2019/1150 Evropskega parlamenta in Sveta z dne 20. junija 2019 o spodbujanju pravičnosti in preglednosti za poslovne uporabnike spletnih posredniških storitev (UL L št. 186 z dne 11. 7. 2019, str. 57; v nadaljnjem besedilu: Uredba 2019/1150/EU) in</w:t>
      </w:r>
    </w:p>
    <w:p w:rsidR="007363CE" w:rsidRPr="00EB4A42" w:rsidRDefault="007363CE" w:rsidP="007363CE">
      <w:pPr>
        <w:pStyle w:val="Odstavekseznama"/>
        <w:spacing w:line="276" w:lineRule="auto"/>
        <w:ind w:left="780"/>
        <w:jc w:val="both"/>
        <w:rPr>
          <w:rFonts w:ascii="Arial" w:hAnsi="Arial" w:cs="Arial"/>
          <w:b/>
          <w:bCs/>
          <w:sz w:val="20"/>
          <w:szCs w:val="20"/>
        </w:rPr>
      </w:pPr>
    </w:p>
    <w:p w:rsidR="007363CE" w:rsidRPr="00EB4A42" w:rsidRDefault="007363CE" w:rsidP="007363CE">
      <w:pPr>
        <w:pStyle w:val="Odstavekseznama"/>
        <w:numPr>
          <w:ilvl w:val="0"/>
          <w:numId w:val="37"/>
        </w:numPr>
        <w:spacing w:line="276" w:lineRule="auto"/>
        <w:jc w:val="both"/>
        <w:rPr>
          <w:rFonts w:ascii="Arial" w:hAnsi="Arial" w:cs="Arial"/>
          <w:b/>
          <w:bCs/>
          <w:sz w:val="20"/>
          <w:szCs w:val="20"/>
        </w:rPr>
      </w:pPr>
      <w:r w:rsidRPr="00EB4A42">
        <w:rPr>
          <w:rFonts w:ascii="Arial" w:hAnsi="Arial" w:cs="Arial"/>
          <w:b/>
          <w:bCs/>
          <w:sz w:val="20"/>
          <w:szCs w:val="20"/>
        </w:rPr>
        <w:t>Uredbe (EU) 2022/1925 Evropskega parlamenta in Sveta z dne 14. septembra 2022 o tekmovalnih in pravičnih trgih v digitalnem sektorju in spremembi direktiv (EU) 2019/1937 in (EU) 2020/1828 (akt o digitalnih trgih) (UL L št. 265 z dne 12. 10. 2022, str. 1; v nadaljnjem besedilu: Uredba 2022/1925/EU).«.«</w:t>
      </w:r>
    </w:p>
    <w:p w:rsidR="007363CE" w:rsidRDefault="007363CE" w:rsidP="007363CE">
      <w:pPr>
        <w:spacing w:line="276" w:lineRule="auto"/>
        <w:jc w:val="both"/>
        <w:rPr>
          <w:rFonts w:cs="Arial"/>
          <w:b/>
          <w:bCs/>
          <w:szCs w:val="20"/>
        </w:rPr>
      </w:pPr>
    </w:p>
    <w:p w:rsidR="007363CE" w:rsidRDefault="007363CE" w:rsidP="007363CE">
      <w:pPr>
        <w:spacing w:line="276" w:lineRule="auto"/>
        <w:jc w:val="both"/>
        <w:rPr>
          <w:rFonts w:cs="Arial"/>
          <w:b/>
          <w:bCs/>
          <w:szCs w:val="20"/>
        </w:rPr>
      </w:pPr>
    </w:p>
    <w:p w:rsidR="007363CE" w:rsidRPr="006129A2" w:rsidRDefault="007363CE" w:rsidP="007363CE">
      <w:pPr>
        <w:spacing w:line="276" w:lineRule="auto"/>
        <w:jc w:val="both"/>
        <w:rPr>
          <w:rFonts w:cs="Arial"/>
          <w:b/>
          <w:bCs/>
          <w:szCs w:val="20"/>
        </w:rPr>
      </w:pPr>
      <w:r w:rsidRPr="006129A2">
        <w:rPr>
          <w:rFonts w:cs="Arial"/>
          <w:b/>
          <w:bCs/>
          <w:szCs w:val="20"/>
        </w:rPr>
        <w:lastRenderedPageBreak/>
        <w:t>OBRAZLOŽITEV:</w:t>
      </w:r>
    </w:p>
    <w:p w:rsidR="007363CE" w:rsidRPr="006129A2" w:rsidRDefault="007363CE" w:rsidP="007363CE">
      <w:pPr>
        <w:spacing w:line="276" w:lineRule="auto"/>
        <w:jc w:val="both"/>
        <w:rPr>
          <w:rFonts w:cs="Arial"/>
          <w:szCs w:val="20"/>
        </w:rPr>
      </w:pPr>
      <w:r w:rsidRPr="006129A2">
        <w:rPr>
          <w:rFonts w:cs="Arial"/>
          <w:szCs w:val="20"/>
        </w:rPr>
        <w:t>V tem členu je določeno, kateri predpisi Evropske unije se izvajajo oziroma prenašajo s tem zakonom. Člen se dopolni z dvema novima uredbama, in sicer Uredbo 2019/1150/EU in Uredbo 2022/1925/EU.</w:t>
      </w:r>
    </w:p>
    <w:p w:rsidR="007363CE" w:rsidRDefault="007363CE" w:rsidP="007363CE">
      <w:pPr>
        <w:autoSpaceDE w:val="0"/>
        <w:autoSpaceDN w:val="0"/>
        <w:spacing w:line="276" w:lineRule="auto"/>
        <w:jc w:val="both"/>
        <w:rPr>
          <w:rFonts w:cs="Arial"/>
          <w:color w:val="000000"/>
          <w:szCs w:val="20"/>
        </w:rPr>
      </w:pPr>
    </w:p>
    <w:p w:rsidR="007363CE" w:rsidRPr="006129A2" w:rsidRDefault="007363CE" w:rsidP="007363CE">
      <w:pPr>
        <w:autoSpaceDE w:val="0"/>
        <w:autoSpaceDN w:val="0"/>
        <w:spacing w:line="276" w:lineRule="auto"/>
        <w:jc w:val="both"/>
        <w:rPr>
          <w:rFonts w:cs="Arial"/>
          <w:color w:val="000000"/>
          <w:szCs w:val="20"/>
        </w:rPr>
      </w:pPr>
    </w:p>
    <w:p w:rsidR="007363CE" w:rsidRPr="00EB4A42" w:rsidRDefault="007363CE" w:rsidP="007363CE">
      <w:pPr>
        <w:autoSpaceDE w:val="0"/>
        <w:autoSpaceDN w:val="0"/>
        <w:spacing w:line="276" w:lineRule="auto"/>
        <w:jc w:val="both"/>
        <w:rPr>
          <w:rFonts w:cs="Arial"/>
          <w:color w:val="000000"/>
          <w:szCs w:val="20"/>
        </w:rPr>
      </w:pPr>
      <w:r w:rsidRPr="00EB4A42">
        <w:rPr>
          <w:rFonts w:cs="Arial"/>
          <w:color w:val="000000"/>
          <w:szCs w:val="20"/>
        </w:rPr>
        <w:t xml:space="preserve">K 3. členu </w:t>
      </w:r>
    </w:p>
    <w:p w:rsidR="007363CE" w:rsidRDefault="007363CE" w:rsidP="007363CE">
      <w:pPr>
        <w:spacing w:line="276" w:lineRule="auto"/>
        <w:jc w:val="both"/>
        <w:rPr>
          <w:rFonts w:cs="Arial"/>
          <w:b/>
          <w:bCs/>
          <w:szCs w:val="20"/>
        </w:rPr>
      </w:pPr>
      <w:r w:rsidRPr="00EB4A42">
        <w:rPr>
          <w:rFonts w:cs="Arial"/>
          <w:b/>
          <w:bCs/>
          <w:szCs w:val="20"/>
        </w:rPr>
        <w:t>V 3. členu se besedilo »spletnih posredniških poslovnih storitev« nadomesti z besedilom »spletnih posredniških storitev za poslovne uporabnike«.</w:t>
      </w:r>
    </w:p>
    <w:p w:rsidR="007363CE" w:rsidRPr="00EB4A42" w:rsidRDefault="007363CE" w:rsidP="007363CE">
      <w:pPr>
        <w:spacing w:line="276" w:lineRule="auto"/>
        <w:jc w:val="both"/>
        <w:rPr>
          <w:rFonts w:cs="Arial"/>
          <w:b/>
          <w:bCs/>
          <w:szCs w:val="20"/>
        </w:rPr>
      </w:pPr>
    </w:p>
    <w:p w:rsidR="007363CE" w:rsidRPr="006129A2" w:rsidRDefault="007363CE" w:rsidP="007363CE">
      <w:pPr>
        <w:spacing w:line="276" w:lineRule="auto"/>
        <w:jc w:val="both"/>
        <w:rPr>
          <w:rFonts w:cs="Arial"/>
          <w:b/>
          <w:bCs/>
          <w:szCs w:val="20"/>
        </w:rPr>
      </w:pPr>
      <w:r w:rsidRPr="006129A2">
        <w:rPr>
          <w:rFonts w:cs="Arial"/>
          <w:b/>
          <w:bCs/>
          <w:szCs w:val="20"/>
        </w:rPr>
        <w:t>OBRAZLOŽITEV:</w:t>
      </w:r>
    </w:p>
    <w:p w:rsidR="007363CE" w:rsidRPr="006129A2" w:rsidRDefault="007363CE" w:rsidP="007363CE">
      <w:pPr>
        <w:spacing w:line="276" w:lineRule="auto"/>
        <w:jc w:val="both"/>
        <w:rPr>
          <w:rFonts w:cs="Arial"/>
          <w:szCs w:val="20"/>
        </w:rPr>
      </w:pPr>
      <w:r w:rsidRPr="006129A2">
        <w:rPr>
          <w:rFonts w:cs="Arial"/>
          <w:szCs w:val="20"/>
        </w:rPr>
        <w:t>Z dodanim besedilom se besedilo določbe uskladi z vsebino Uredbe 2019/1150/EU.</w:t>
      </w:r>
    </w:p>
    <w:p w:rsidR="007363CE" w:rsidRDefault="007363CE" w:rsidP="007363CE">
      <w:pPr>
        <w:spacing w:line="276" w:lineRule="auto"/>
        <w:jc w:val="both"/>
        <w:rPr>
          <w:rFonts w:cs="Arial"/>
          <w:szCs w:val="20"/>
          <w:lang w:eastAsia="sl-SI"/>
        </w:rPr>
      </w:pPr>
    </w:p>
    <w:p w:rsidR="007363CE" w:rsidRPr="006129A2" w:rsidRDefault="007363CE" w:rsidP="007363CE">
      <w:pPr>
        <w:spacing w:line="276" w:lineRule="auto"/>
        <w:jc w:val="both"/>
        <w:rPr>
          <w:rFonts w:cs="Arial"/>
          <w:szCs w:val="20"/>
          <w:lang w:eastAsia="sl-SI"/>
        </w:rPr>
      </w:pPr>
    </w:p>
    <w:p w:rsidR="007363CE" w:rsidRPr="00EB4A42" w:rsidRDefault="007363CE" w:rsidP="007363CE">
      <w:pPr>
        <w:autoSpaceDE w:val="0"/>
        <w:autoSpaceDN w:val="0"/>
        <w:spacing w:line="276" w:lineRule="auto"/>
        <w:jc w:val="both"/>
        <w:rPr>
          <w:rFonts w:cs="Arial"/>
          <w:color w:val="000000"/>
          <w:szCs w:val="20"/>
        </w:rPr>
      </w:pPr>
      <w:r w:rsidRPr="00EB4A42">
        <w:rPr>
          <w:rFonts w:cs="Arial"/>
          <w:color w:val="000000"/>
          <w:szCs w:val="20"/>
        </w:rPr>
        <w:t xml:space="preserve">K 10. členu </w:t>
      </w:r>
    </w:p>
    <w:p w:rsidR="007363CE" w:rsidRPr="00EB4A42" w:rsidRDefault="007363CE" w:rsidP="007363CE">
      <w:pPr>
        <w:spacing w:line="276" w:lineRule="auto"/>
        <w:jc w:val="both"/>
        <w:rPr>
          <w:rFonts w:cs="Arial"/>
          <w:b/>
          <w:bCs/>
          <w:szCs w:val="20"/>
          <w:lang w:eastAsia="sl-SI"/>
        </w:rPr>
      </w:pPr>
      <w:r w:rsidRPr="00EB4A42">
        <w:rPr>
          <w:rFonts w:cs="Arial"/>
          <w:b/>
          <w:bCs/>
          <w:szCs w:val="20"/>
          <w:lang w:eastAsia="sl-SI"/>
        </w:rPr>
        <w:t>V 10. členu se prvi odstavek spremeni tako, da se glasi:</w:t>
      </w:r>
    </w:p>
    <w:p w:rsidR="007363CE" w:rsidRPr="00EB4A42" w:rsidRDefault="007363CE" w:rsidP="007363CE">
      <w:pPr>
        <w:spacing w:line="276" w:lineRule="auto"/>
        <w:jc w:val="both"/>
        <w:rPr>
          <w:rFonts w:cs="Arial"/>
          <w:b/>
          <w:bCs/>
          <w:szCs w:val="20"/>
          <w:lang w:eastAsia="sl-SI"/>
        </w:rPr>
      </w:pPr>
      <w:r w:rsidRPr="00EB4A42">
        <w:rPr>
          <w:rFonts w:cs="Arial"/>
          <w:b/>
          <w:bCs/>
          <w:szCs w:val="20"/>
          <w:lang w:eastAsia="sl-SI"/>
        </w:rPr>
        <w:t xml:space="preserve">»V  75. členu se za prvim odstavkom doda nov drugi odstavek, ki se glasi: </w:t>
      </w:r>
    </w:p>
    <w:p w:rsidR="007363CE" w:rsidRPr="00EB4A42" w:rsidRDefault="007363CE" w:rsidP="007363CE">
      <w:pPr>
        <w:spacing w:line="276" w:lineRule="auto"/>
        <w:jc w:val="both"/>
        <w:rPr>
          <w:rFonts w:cs="Arial"/>
          <w:b/>
          <w:bCs/>
          <w:szCs w:val="20"/>
          <w:lang w:eastAsia="sl-SI"/>
        </w:rPr>
      </w:pPr>
      <w:r w:rsidRPr="00EB4A42">
        <w:rPr>
          <w:rFonts w:cs="Arial"/>
          <w:b/>
          <w:bCs/>
          <w:szCs w:val="20"/>
          <w:lang w:eastAsia="sl-SI"/>
        </w:rPr>
        <w:t>»(2) Priglasitelj lahko predlaga korektivne ukrepe najpozneje v 45 delovnih dneh od izdaje sklepa iz četrtega odstavka 70. člena tega zakona. Agencija korektivne ukrepe, vložene po poteku tega roka, obravnava le, če lahko na podlagi razpoložljivih podatkov jasno sklepa, da bodo takšni korektivni ukrepi v celoti in nedvoumno odpravili ugotovljene pomisleke glede konkurence.«.«</w:t>
      </w:r>
    </w:p>
    <w:p w:rsidR="007363CE" w:rsidRDefault="007363CE" w:rsidP="007363CE">
      <w:pPr>
        <w:spacing w:line="276" w:lineRule="auto"/>
        <w:jc w:val="both"/>
        <w:rPr>
          <w:rFonts w:cs="Arial"/>
          <w:b/>
          <w:bCs/>
          <w:szCs w:val="20"/>
        </w:rPr>
      </w:pPr>
    </w:p>
    <w:p w:rsidR="007363CE" w:rsidRPr="006129A2" w:rsidRDefault="007363CE" w:rsidP="007363CE">
      <w:pPr>
        <w:spacing w:line="276" w:lineRule="auto"/>
        <w:jc w:val="both"/>
        <w:rPr>
          <w:rFonts w:cs="Arial"/>
          <w:b/>
          <w:bCs/>
          <w:szCs w:val="20"/>
        </w:rPr>
      </w:pPr>
      <w:r w:rsidRPr="006129A2">
        <w:rPr>
          <w:rFonts w:cs="Arial"/>
          <w:b/>
          <w:bCs/>
          <w:szCs w:val="20"/>
        </w:rPr>
        <w:t>OBRAZLOŽITEV:</w:t>
      </w:r>
    </w:p>
    <w:p w:rsidR="007363CE" w:rsidRPr="006129A2" w:rsidRDefault="007363CE" w:rsidP="007363CE">
      <w:pPr>
        <w:spacing w:line="276" w:lineRule="auto"/>
        <w:jc w:val="both"/>
        <w:rPr>
          <w:rFonts w:cs="Arial"/>
          <w:szCs w:val="20"/>
        </w:rPr>
      </w:pPr>
      <w:r w:rsidRPr="006129A2">
        <w:rPr>
          <w:rFonts w:cs="Arial"/>
          <w:szCs w:val="20"/>
        </w:rPr>
        <w:t xml:space="preserve">Drugi stavek novega drugega odstavka 75. člena Zakona o preprečevanju omejevanja konkurence ima namen določiti, da se ukrepi, ki jih predlaga stranka obravnavajo, vzamejo v obzir le, če iz njih nedvoumno in jasno izhaja, da v celoti odpravljajo vse pomisleke, ki jih ima agencija glede skladnosti presojane koncentracije. Če ukrepi niso takšni, da bi se na prvi pogled videlo, da so ti pomisleki odpravljeni, agencija takšne vloge ne obravnava v smislu, da s stranko razpravlja o ukrepih, da jih ta morebiti dopolni v smislu lažjega nadzora ali lažje izvršljivosti ukrepov, jih ne preverja s tržnim testom ipd. V končni odločbi se agencija sicer opredeli do tega, zakaj prepozno vloženi ukrepi ne odpravljajo v celoti pomislekov agencije, ni pa ji treba vsebinsko obrazložiti vsakega ukrepa, zakaj vsak posamezen ukrep ni učinkovit oziroma kaj bi bilo potrebno, da bi bil. Z amandmajem se črta besedilo, ki govori o sprejemu ukrepov, saj o tem govori tretji odstavek 75. člena ZPOmK-2 (oziroma dosedanji drugi odstavek). </w:t>
      </w:r>
    </w:p>
    <w:p w:rsidR="007363CE" w:rsidRDefault="007363CE" w:rsidP="007363CE">
      <w:pPr>
        <w:spacing w:line="276" w:lineRule="auto"/>
        <w:rPr>
          <w:rFonts w:cs="Arial"/>
          <w:szCs w:val="20"/>
        </w:rPr>
      </w:pPr>
    </w:p>
    <w:p w:rsidR="007363CE" w:rsidRDefault="007363CE" w:rsidP="007363CE">
      <w:pPr>
        <w:spacing w:line="276" w:lineRule="auto"/>
        <w:rPr>
          <w:rFonts w:cs="Arial"/>
          <w:szCs w:val="20"/>
        </w:rPr>
      </w:pPr>
    </w:p>
    <w:p w:rsidR="007363CE" w:rsidRPr="00EB4A42" w:rsidRDefault="007363CE" w:rsidP="007363CE">
      <w:pPr>
        <w:spacing w:line="276" w:lineRule="auto"/>
        <w:rPr>
          <w:rFonts w:cs="Arial"/>
          <w:szCs w:val="20"/>
        </w:rPr>
      </w:pPr>
      <w:r w:rsidRPr="00EB4A42">
        <w:rPr>
          <w:rFonts w:cs="Arial"/>
          <w:szCs w:val="20"/>
        </w:rPr>
        <w:t>K 13. členu</w:t>
      </w:r>
    </w:p>
    <w:p w:rsidR="007363CE" w:rsidRDefault="007363CE" w:rsidP="007363CE">
      <w:pPr>
        <w:spacing w:line="276" w:lineRule="auto"/>
        <w:rPr>
          <w:rFonts w:cs="Arial"/>
          <w:b/>
          <w:bCs/>
          <w:szCs w:val="20"/>
        </w:rPr>
      </w:pPr>
      <w:r w:rsidRPr="00EB4A42">
        <w:rPr>
          <w:rFonts w:cs="Arial"/>
          <w:b/>
          <w:bCs/>
          <w:szCs w:val="20"/>
        </w:rPr>
        <w:t>13. člen se črta.</w:t>
      </w:r>
    </w:p>
    <w:p w:rsidR="007363CE" w:rsidRPr="00EB4A42" w:rsidRDefault="007363CE" w:rsidP="007363CE">
      <w:pPr>
        <w:spacing w:line="276" w:lineRule="auto"/>
        <w:rPr>
          <w:rFonts w:cs="Arial"/>
          <w:b/>
          <w:bCs/>
          <w:szCs w:val="20"/>
        </w:rPr>
      </w:pPr>
    </w:p>
    <w:p w:rsidR="007363CE" w:rsidRPr="00AC55C0" w:rsidRDefault="007363CE" w:rsidP="007363CE">
      <w:pPr>
        <w:spacing w:line="276" w:lineRule="auto"/>
        <w:rPr>
          <w:rFonts w:cs="Arial"/>
          <w:b/>
          <w:bCs/>
          <w:szCs w:val="20"/>
        </w:rPr>
      </w:pPr>
      <w:r w:rsidRPr="00AC55C0">
        <w:rPr>
          <w:rFonts w:cs="Arial"/>
          <w:b/>
          <w:bCs/>
          <w:szCs w:val="20"/>
        </w:rPr>
        <w:t>OBRAZLOŽITEV:</w:t>
      </w:r>
    </w:p>
    <w:p w:rsidR="007363CE" w:rsidRPr="00651DAA" w:rsidRDefault="007363CE" w:rsidP="007363CE">
      <w:pPr>
        <w:spacing w:line="276" w:lineRule="auto"/>
        <w:jc w:val="both"/>
        <w:rPr>
          <w:rFonts w:cs="Arial"/>
          <w:szCs w:val="20"/>
        </w:rPr>
      </w:pPr>
      <w:r w:rsidRPr="00651DAA">
        <w:rPr>
          <w:rFonts w:cs="Arial"/>
          <w:szCs w:val="20"/>
        </w:rPr>
        <w:t>ZPOmK-2 v prvem in drugem odstavku 83. člena določa definicijo pojmov naklepa in malomarnosti, z napotilom na razlago omenjenih pojmov v skladu s sodno prakso Sodišča Evropske unije (tretji odstavek 83. člena) glede uporabe 101. in 102. člena Pogodbe o delovanju Evropske unije. Predlagatelj je predlagal črtanje pojmov naklepa in malomarnost v ZPOmK-2 ter vsebino obeh pojmov prepustil razlagi Sodišč</w:t>
      </w:r>
      <w:r>
        <w:rPr>
          <w:rFonts w:cs="Arial"/>
          <w:szCs w:val="20"/>
        </w:rPr>
        <w:t>a</w:t>
      </w:r>
      <w:r w:rsidRPr="00651DAA">
        <w:rPr>
          <w:rFonts w:cs="Arial"/>
          <w:szCs w:val="20"/>
        </w:rPr>
        <w:t xml:space="preserve"> Evropske unije glede </w:t>
      </w:r>
      <w:r w:rsidRPr="00651DAA">
        <w:rPr>
          <w:rFonts w:cs="Arial"/>
          <w:color w:val="000000"/>
          <w:szCs w:val="20"/>
          <w:shd w:val="clear" w:color="auto" w:fill="FFFFFF"/>
        </w:rPr>
        <w:t>101. in 102. člena Pogodbe o delovanju Evropske unije.</w:t>
      </w:r>
      <w:r w:rsidRPr="00651DAA">
        <w:rPr>
          <w:rFonts w:cs="Arial"/>
          <w:szCs w:val="20"/>
        </w:rPr>
        <w:t xml:space="preserve"> </w:t>
      </w:r>
    </w:p>
    <w:p w:rsidR="007363CE" w:rsidRPr="00651DAA" w:rsidRDefault="007363CE" w:rsidP="007363CE">
      <w:pPr>
        <w:spacing w:line="276" w:lineRule="auto"/>
        <w:jc w:val="both"/>
        <w:rPr>
          <w:rFonts w:cs="Arial"/>
          <w:szCs w:val="20"/>
        </w:rPr>
      </w:pPr>
      <w:r w:rsidRPr="00582C18">
        <w:rPr>
          <w:iCs/>
        </w:rPr>
        <w:t>Zakonodajno-pravn</w:t>
      </w:r>
      <w:r>
        <w:rPr>
          <w:iCs/>
        </w:rPr>
        <w:t>a</w:t>
      </w:r>
      <w:r w:rsidRPr="00582C18">
        <w:rPr>
          <w:iCs/>
        </w:rPr>
        <w:t xml:space="preserve"> </w:t>
      </w:r>
      <w:r w:rsidRPr="00582C18">
        <w:rPr>
          <w:rFonts w:cs="Arial"/>
          <w:iCs/>
          <w:szCs w:val="20"/>
          <w:lang w:eastAsia="sl-SI"/>
        </w:rPr>
        <w:t>služb</w:t>
      </w:r>
      <w:r>
        <w:rPr>
          <w:rFonts w:cs="Arial"/>
          <w:iCs/>
          <w:szCs w:val="20"/>
          <w:lang w:eastAsia="sl-SI"/>
        </w:rPr>
        <w:t>a</w:t>
      </w:r>
      <w:r w:rsidRPr="00582C18">
        <w:rPr>
          <w:rFonts w:cs="Arial"/>
          <w:iCs/>
          <w:szCs w:val="20"/>
          <w:lang w:eastAsia="sl-SI"/>
        </w:rPr>
        <w:t xml:space="preserve"> Državnega zbora Republike Slovenije</w:t>
      </w:r>
      <w:r>
        <w:rPr>
          <w:rFonts w:cs="Arial"/>
          <w:szCs w:val="20"/>
        </w:rPr>
        <w:t xml:space="preserve"> </w:t>
      </w:r>
      <w:r w:rsidRPr="00651DAA">
        <w:rPr>
          <w:rFonts w:cs="Arial"/>
          <w:szCs w:val="20"/>
        </w:rPr>
        <w:t xml:space="preserve">je v svojem mnenju ugotovila, da je odgovornost (naklep ali malomarnost) v ZPOmK-2 del materialnega prava in pogoj za izrek administrativne sankcije. Zato je opredelitev oblike odgovornosti oziroma vsebine pojmov malomarnost in naklep mogoče šteti kot del opredelitve administrativnega prestopka. Predlagana rešitev v predlogu zakona, ki teh pojmov v zakonu ne opredeli, temveč glede njihove vsebine v </w:t>
      </w:r>
      <w:r w:rsidRPr="00651DAA">
        <w:rPr>
          <w:rFonts w:cs="Arial"/>
          <w:szCs w:val="20"/>
        </w:rPr>
        <w:lastRenderedPageBreak/>
        <w:t xml:space="preserve">celoti napoti na spreminjajočo se sodno prakso, je lahko sporna z vidika načela zakonitosti v kazenskem pravu iz 28. člena Ustave. </w:t>
      </w:r>
    </w:p>
    <w:p w:rsidR="007363CE" w:rsidRPr="00651DAA" w:rsidRDefault="007363CE" w:rsidP="007363CE">
      <w:pPr>
        <w:spacing w:line="276" w:lineRule="auto"/>
        <w:jc w:val="both"/>
        <w:rPr>
          <w:rFonts w:cs="Arial"/>
          <w:szCs w:val="20"/>
        </w:rPr>
      </w:pPr>
      <w:r w:rsidRPr="00651DAA">
        <w:rPr>
          <w:rFonts w:cs="Arial"/>
          <w:szCs w:val="20"/>
        </w:rPr>
        <w:t>Vsled navedenemu predlagatelj 13. člen predloga zakona črta, zaradi česar 83. člen</w:t>
      </w:r>
      <w:r>
        <w:rPr>
          <w:rFonts w:cs="Arial"/>
          <w:szCs w:val="20"/>
        </w:rPr>
        <w:t xml:space="preserve"> </w:t>
      </w:r>
      <w:r w:rsidRPr="00651DAA">
        <w:rPr>
          <w:rFonts w:cs="Arial"/>
          <w:szCs w:val="20"/>
        </w:rPr>
        <w:t>ZPOmK-2 ostaja enak.</w:t>
      </w:r>
    </w:p>
    <w:p w:rsidR="007363CE" w:rsidRPr="006129A2" w:rsidRDefault="007363CE" w:rsidP="007363CE">
      <w:pPr>
        <w:spacing w:line="276" w:lineRule="auto"/>
        <w:rPr>
          <w:rFonts w:cs="Arial"/>
          <w:szCs w:val="20"/>
        </w:rPr>
      </w:pPr>
    </w:p>
    <w:p w:rsidR="007363CE" w:rsidRPr="006129A2" w:rsidRDefault="007363CE" w:rsidP="007363CE">
      <w:pPr>
        <w:spacing w:line="276" w:lineRule="auto"/>
        <w:jc w:val="both"/>
        <w:rPr>
          <w:rFonts w:cs="Arial"/>
          <w:szCs w:val="20"/>
        </w:rPr>
      </w:pPr>
    </w:p>
    <w:p w:rsidR="007363CE" w:rsidRPr="007363CE" w:rsidRDefault="007363CE" w:rsidP="007363CE"/>
    <w:sectPr w:rsidR="007363CE" w:rsidRPr="007363CE" w:rsidSect="00DE0772">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4D3" w:rsidRDefault="00FA24D3" w:rsidP="00767987">
      <w:pPr>
        <w:spacing w:line="240" w:lineRule="auto"/>
      </w:pPr>
      <w:r>
        <w:separator/>
      </w:r>
    </w:p>
  </w:endnote>
  <w:endnote w:type="continuationSeparator" w:id="0">
    <w:p w:rsidR="00FA24D3" w:rsidRDefault="00FA24D3"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4D3" w:rsidRDefault="00FA24D3" w:rsidP="00767987">
      <w:pPr>
        <w:spacing w:line="240" w:lineRule="auto"/>
      </w:pPr>
      <w:r>
        <w:separator/>
      </w:r>
    </w:p>
  </w:footnote>
  <w:footnote w:type="continuationSeparator" w:id="0">
    <w:p w:rsidR="00FA24D3" w:rsidRDefault="00FA24D3"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12EB" w:rsidRDefault="00F812E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0772" w:rsidRPr="00A9231D" w:rsidRDefault="00DE0772" w:rsidP="00DE0772">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469E4761" wp14:editId="4125272F">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DE0772" w:rsidRPr="00A9231D" w:rsidRDefault="00DE0772" w:rsidP="00DE0772">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DE0772" w:rsidRPr="00A9231D" w:rsidRDefault="00DE0772" w:rsidP="00DE0772">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3" w15:restartNumberingAfterBreak="0">
    <w:nsid w:val="00000006"/>
    <w:multiLevelType w:val="singleLevel"/>
    <w:tmpl w:val="00000006"/>
    <w:lvl w:ilvl="0">
      <w:start w:val="1"/>
      <w:numFmt w:val="bullet"/>
      <w:lvlText w:val=""/>
      <w:lvlJc w:val="left"/>
      <w:pPr>
        <w:tabs>
          <w:tab w:val="num" w:pos="720"/>
        </w:tabs>
        <w:ind w:left="720" w:hanging="360"/>
      </w:pPr>
      <w:rPr>
        <w:rFonts w:ascii="Symbol" w:hAnsi="Symbol"/>
      </w:rPr>
    </w:lvl>
  </w:abstractNum>
  <w:abstractNum w:abstractNumId="4" w15:restartNumberingAfterBreak="0">
    <w:nsid w:val="02DC6E70"/>
    <w:multiLevelType w:val="hybridMultilevel"/>
    <w:tmpl w:val="32626864"/>
    <w:lvl w:ilvl="0" w:tplc="AC4430B4">
      <w:start w:val="2"/>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49F0593"/>
    <w:multiLevelType w:val="hybridMultilevel"/>
    <w:tmpl w:val="F51CFD7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6116D90"/>
    <w:multiLevelType w:val="hybridMultilevel"/>
    <w:tmpl w:val="F23C8E8C"/>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A051892"/>
    <w:multiLevelType w:val="hybridMultilevel"/>
    <w:tmpl w:val="B058D76A"/>
    <w:lvl w:ilvl="0" w:tplc="D66A202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9" w15:restartNumberingAfterBreak="0">
    <w:nsid w:val="0B335D90"/>
    <w:multiLevelType w:val="hybridMultilevel"/>
    <w:tmpl w:val="4336D7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1AB0C3B"/>
    <w:multiLevelType w:val="multilevel"/>
    <w:tmpl w:val="4D1EE9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1" w15:restartNumberingAfterBreak="0">
    <w:nsid w:val="123D4FDE"/>
    <w:multiLevelType w:val="hybridMultilevel"/>
    <w:tmpl w:val="C9E63A9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3D87E9B"/>
    <w:multiLevelType w:val="hybridMultilevel"/>
    <w:tmpl w:val="BB100918"/>
    <w:lvl w:ilvl="0" w:tplc="84C851B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7522FFB"/>
    <w:multiLevelType w:val="hybridMultilevel"/>
    <w:tmpl w:val="472CC702"/>
    <w:lvl w:ilvl="0" w:tplc="1E6670A8">
      <w:start w:val="1"/>
      <w:numFmt w:val="decimal"/>
      <w:lvlText w:val="%1."/>
      <w:lvlJc w:val="left"/>
      <w:pPr>
        <w:ind w:left="644" w:hanging="360"/>
      </w:pPr>
      <w:rPr>
        <w:rFonts w:ascii="Arial" w:hAnsi="Arial" w:cs="Arial" w:hint="default"/>
        <w:b/>
        <w:bCs w:val="0"/>
        <w:i w:val="0"/>
        <w:iCs/>
        <w:color w:val="auto"/>
        <w:sz w:val="22"/>
        <w:szCs w:val="22"/>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15:restartNumberingAfterBreak="0">
    <w:nsid w:val="29B94609"/>
    <w:multiLevelType w:val="hybridMultilevel"/>
    <w:tmpl w:val="04523326"/>
    <w:lvl w:ilvl="0" w:tplc="0424000F">
      <w:start w:val="1"/>
      <w:numFmt w:val="decimal"/>
      <w:lvlText w:val="%1."/>
      <w:lvlJc w:val="left"/>
      <w:pPr>
        <w:ind w:left="1080" w:hanging="360"/>
      </w:pPr>
      <w:rPr>
        <w:rFonts w:hint="default"/>
        <w:color w:val="auto"/>
      </w:rPr>
    </w:lvl>
    <w:lvl w:ilvl="1" w:tplc="7E260C2A">
      <w:start w:val="1"/>
      <w:numFmt w:val="bullet"/>
      <w:lvlText w:val="-"/>
      <w:lvlJc w:val="left"/>
      <w:pPr>
        <w:ind w:left="1800" w:hanging="360"/>
      </w:pPr>
      <w:rPr>
        <w:rFonts w:ascii="Arial" w:hAnsi="Arial" w:hint="default"/>
      </w:rPr>
    </w:lvl>
    <w:lvl w:ilvl="2" w:tplc="1ED8BA10">
      <w:start w:val="1"/>
      <w:numFmt w:val="upperRoman"/>
      <w:lvlText w:val="%3."/>
      <w:lvlJc w:val="left"/>
      <w:pPr>
        <w:ind w:left="2880" w:hanging="720"/>
      </w:pPr>
      <w:rPr>
        <w:rFont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2B046127"/>
    <w:multiLevelType w:val="hybridMultilevel"/>
    <w:tmpl w:val="C35AEA74"/>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5E14257"/>
    <w:multiLevelType w:val="hybridMultilevel"/>
    <w:tmpl w:val="858A9B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63B22F2"/>
    <w:multiLevelType w:val="hybridMultilevel"/>
    <w:tmpl w:val="B2283DB2"/>
    <w:lvl w:ilvl="0" w:tplc="24124BA8">
      <w:start w:val="1"/>
      <w:numFmt w:val="decimal"/>
      <w:lvlText w:val="%1."/>
      <w:lvlJc w:val="left"/>
      <w:pPr>
        <w:ind w:left="644" w:hanging="360"/>
      </w:pPr>
      <w:rPr>
        <w:rFonts w:ascii="Arial" w:eastAsia="Arial" w:hAnsi="Arial" w:cs="Arial" w:hint="default"/>
        <w:i/>
        <w:spacing w:val="-20"/>
        <w:w w:val="100"/>
        <w:sz w:val="20"/>
        <w:szCs w:val="20"/>
        <w:lang w:val="sl-SI" w:eastAsia="sl-SI" w:bidi="sl-SI"/>
      </w:rPr>
    </w:lvl>
    <w:lvl w:ilvl="1" w:tplc="0318FFE6">
      <w:numFmt w:val="bullet"/>
      <w:lvlText w:val="•"/>
      <w:lvlJc w:val="left"/>
      <w:pPr>
        <w:ind w:left="1622" w:hanging="360"/>
      </w:pPr>
      <w:rPr>
        <w:rFonts w:hint="default"/>
        <w:lang w:val="sl-SI" w:eastAsia="sl-SI" w:bidi="sl-SI"/>
      </w:rPr>
    </w:lvl>
    <w:lvl w:ilvl="2" w:tplc="BFC20134">
      <w:numFmt w:val="bullet"/>
      <w:lvlText w:val="•"/>
      <w:lvlJc w:val="left"/>
      <w:pPr>
        <w:ind w:left="2599" w:hanging="360"/>
      </w:pPr>
      <w:rPr>
        <w:rFonts w:hint="default"/>
        <w:lang w:val="sl-SI" w:eastAsia="sl-SI" w:bidi="sl-SI"/>
      </w:rPr>
    </w:lvl>
    <w:lvl w:ilvl="3" w:tplc="9F668D8C">
      <w:numFmt w:val="bullet"/>
      <w:lvlText w:val="•"/>
      <w:lvlJc w:val="left"/>
      <w:pPr>
        <w:ind w:left="3575" w:hanging="360"/>
      </w:pPr>
      <w:rPr>
        <w:rFonts w:hint="default"/>
        <w:lang w:val="sl-SI" w:eastAsia="sl-SI" w:bidi="sl-SI"/>
      </w:rPr>
    </w:lvl>
    <w:lvl w:ilvl="4" w:tplc="CA8CE9A6">
      <w:numFmt w:val="bullet"/>
      <w:lvlText w:val="•"/>
      <w:lvlJc w:val="left"/>
      <w:pPr>
        <w:ind w:left="4552" w:hanging="360"/>
      </w:pPr>
      <w:rPr>
        <w:rFonts w:hint="default"/>
        <w:lang w:val="sl-SI" w:eastAsia="sl-SI" w:bidi="sl-SI"/>
      </w:rPr>
    </w:lvl>
    <w:lvl w:ilvl="5" w:tplc="162276DC">
      <w:numFmt w:val="bullet"/>
      <w:lvlText w:val="•"/>
      <w:lvlJc w:val="left"/>
      <w:pPr>
        <w:ind w:left="5529" w:hanging="360"/>
      </w:pPr>
      <w:rPr>
        <w:rFonts w:hint="default"/>
        <w:lang w:val="sl-SI" w:eastAsia="sl-SI" w:bidi="sl-SI"/>
      </w:rPr>
    </w:lvl>
    <w:lvl w:ilvl="6" w:tplc="7962106A">
      <w:numFmt w:val="bullet"/>
      <w:lvlText w:val="•"/>
      <w:lvlJc w:val="left"/>
      <w:pPr>
        <w:ind w:left="6505" w:hanging="360"/>
      </w:pPr>
      <w:rPr>
        <w:rFonts w:hint="default"/>
        <w:lang w:val="sl-SI" w:eastAsia="sl-SI" w:bidi="sl-SI"/>
      </w:rPr>
    </w:lvl>
    <w:lvl w:ilvl="7" w:tplc="25C207CA">
      <w:numFmt w:val="bullet"/>
      <w:lvlText w:val="•"/>
      <w:lvlJc w:val="left"/>
      <w:pPr>
        <w:ind w:left="7482" w:hanging="360"/>
      </w:pPr>
      <w:rPr>
        <w:rFonts w:hint="default"/>
        <w:lang w:val="sl-SI" w:eastAsia="sl-SI" w:bidi="sl-SI"/>
      </w:rPr>
    </w:lvl>
    <w:lvl w:ilvl="8" w:tplc="0F2A05E2">
      <w:numFmt w:val="bullet"/>
      <w:lvlText w:val="•"/>
      <w:lvlJc w:val="left"/>
      <w:pPr>
        <w:ind w:left="8458" w:hanging="360"/>
      </w:pPr>
      <w:rPr>
        <w:rFonts w:hint="default"/>
        <w:lang w:val="sl-SI" w:eastAsia="sl-SI" w:bidi="sl-SI"/>
      </w:rPr>
    </w:lvl>
  </w:abstractNum>
  <w:abstractNum w:abstractNumId="18" w15:restartNumberingAfterBreak="0">
    <w:nsid w:val="391B75E6"/>
    <w:multiLevelType w:val="hybridMultilevel"/>
    <w:tmpl w:val="AA68CE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ED3BFD"/>
    <w:multiLevelType w:val="hybridMultilevel"/>
    <w:tmpl w:val="1B7229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85657A0"/>
    <w:multiLevelType w:val="hybridMultilevel"/>
    <w:tmpl w:val="B5A06690"/>
    <w:lvl w:ilvl="0" w:tplc="380223FC">
      <w:start w:val="1"/>
      <w:numFmt w:val="lowerLetter"/>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DEC216A"/>
    <w:multiLevelType w:val="multilevel"/>
    <w:tmpl w:val="436A85E6"/>
    <w:lvl w:ilvl="0">
      <w:start w:val="3"/>
      <w:numFmt w:val="decimal"/>
      <w:lvlText w:val="%1"/>
      <w:lvlJc w:val="left"/>
      <w:pPr>
        <w:tabs>
          <w:tab w:val="num" w:pos="855"/>
        </w:tabs>
        <w:ind w:left="855" w:hanging="855"/>
      </w:pPr>
      <w:rPr>
        <w:rFonts w:hint="default"/>
      </w:rPr>
    </w:lvl>
    <w:lvl w:ilvl="1">
      <w:start w:val="3"/>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4E764F3F"/>
    <w:multiLevelType w:val="hybridMultilevel"/>
    <w:tmpl w:val="E24ACC38"/>
    <w:lvl w:ilvl="0" w:tplc="715447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F330D47"/>
    <w:multiLevelType w:val="hybridMultilevel"/>
    <w:tmpl w:val="950EE8A0"/>
    <w:lvl w:ilvl="0" w:tplc="E6387FE0">
      <w:numFmt w:val="bullet"/>
      <w:lvlText w:val="-"/>
      <w:lvlJc w:val="left"/>
      <w:pPr>
        <w:tabs>
          <w:tab w:val="num" w:pos="720"/>
        </w:tabs>
        <w:ind w:left="720" w:hanging="360"/>
      </w:pPr>
      <w:rPr>
        <w:rFonts w:ascii="Arial" w:eastAsia="Times New Roman" w:hAnsi="Arial"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 w15:restartNumberingAfterBreak="0">
    <w:nsid w:val="5C8931DC"/>
    <w:multiLevelType w:val="hybridMultilevel"/>
    <w:tmpl w:val="BF1E65CC"/>
    <w:lvl w:ilvl="0" w:tplc="0C070001">
      <w:start w:val="1"/>
      <w:numFmt w:val="bullet"/>
      <w:lvlText w:val=""/>
      <w:lvlJc w:val="left"/>
      <w:pPr>
        <w:tabs>
          <w:tab w:val="num" w:pos="720"/>
        </w:tabs>
        <w:ind w:left="720" w:hanging="360"/>
      </w:pPr>
      <w:rPr>
        <w:rFonts w:ascii="Symbol" w:hAnsi="Symbol" w:hint="default"/>
      </w:rPr>
    </w:lvl>
    <w:lvl w:ilvl="1" w:tplc="9A5C3702">
      <w:start w:val="2"/>
      <w:numFmt w:val="bullet"/>
      <w:lvlText w:val="-"/>
      <w:lvlJc w:val="left"/>
      <w:pPr>
        <w:tabs>
          <w:tab w:val="num" w:pos="1440"/>
        </w:tabs>
        <w:ind w:left="1440" w:hanging="360"/>
      </w:pPr>
      <w:rPr>
        <w:rFonts w:ascii="Tahoma" w:eastAsia="Times New Roman" w:hAnsi="Tahoma" w:cs="Tahoma"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6A5232"/>
    <w:multiLevelType w:val="hybridMultilevel"/>
    <w:tmpl w:val="62D88D1C"/>
    <w:lvl w:ilvl="0" w:tplc="97CE554E">
      <w:start w:val="21"/>
      <w:numFmt w:val="bullet"/>
      <w:lvlText w:val="-"/>
      <w:lvlJc w:val="left"/>
      <w:pPr>
        <w:ind w:left="1440" w:hanging="360"/>
      </w:pPr>
      <w:rPr>
        <w:rFonts w:ascii="Times New Roman" w:eastAsiaTheme="minorHAnsi" w:hAnsi="Times New Roman" w:cs="Times New Roman" w:hint="default"/>
      </w:rPr>
    </w:lvl>
    <w:lvl w:ilvl="1" w:tplc="FFFFFFFF">
      <w:start w:val="1"/>
      <w:numFmt w:val="bullet"/>
      <w:lvlText w:val="o"/>
      <w:lvlJc w:val="left"/>
      <w:pPr>
        <w:ind w:left="2160" w:hanging="360"/>
      </w:pPr>
      <w:rPr>
        <w:rFonts w:ascii="Courier New" w:hAnsi="Courier New" w:cs="Courier New" w:hint="default"/>
      </w:rPr>
    </w:lvl>
    <w:lvl w:ilvl="2" w:tplc="FFFFFFFF">
      <w:start w:val="1"/>
      <w:numFmt w:val="bullet"/>
      <w:lvlText w:val=""/>
      <w:lvlJc w:val="left"/>
      <w:pPr>
        <w:ind w:left="2880" w:hanging="360"/>
      </w:pPr>
      <w:rPr>
        <w:rFonts w:ascii="Wingdings" w:hAnsi="Wingdings" w:hint="default"/>
      </w:rPr>
    </w:lvl>
    <w:lvl w:ilvl="3" w:tplc="FFFFFFFF">
      <w:start w:val="1"/>
      <w:numFmt w:val="bullet"/>
      <w:lvlText w:val=""/>
      <w:lvlJc w:val="left"/>
      <w:pPr>
        <w:ind w:left="3600" w:hanging="360"/>
      </w:pPr>
      <w:rPr>
        <w:rFonts w:ascii="Symbol" w:hAnsi="Symbol" w:hint="default"/>
      </w:rPr>
    </w:lvl>
    <w:lvl w:ilvl="4" w:tplc="FFFFFFFF">
      <w:start w:val="1"/>
      <w:numFmt w:val="bullet"/>
      <w:lvlText w:val="o"/>
      <w:lvlJc w:val="left"/>
      <w:pPr>
        <w:ind w:left="4320" w:hanging="360"/>
      </w:pPr>
      <w:rPr>
        <w:rFonts w:ascii="Courier New" w:hAnsi="Courier New" w:cs="Courier New" w:hint="default"/>
      </w:rPr>
    </w:lvl>
    <w:lvl w:ilvl="5" w:tplc="FFFFFFFF">
      <w:start w:val="1"/>
      <w:numFmt w:val="bullet"/>
      <w:lvlText w:val=""/>
      <w:lvlJc w:val="left"/>
      <w:pPr>
        <w:ind w:left="5040" w:hanging="360"/>
      </w:pPr>
      <w:rPr>
        <w:rFonts w:ascii="Wingdings" w:hAnsi="Wingdings" w:hint="default"/>
      </w:rPr>
    </w:lvl>
    <w:lvl w:ilvl="6" w:tplc="FFFFFFFF">
      <w:start w:val="1"/>
      <w:numFmt w:val="bullet"/>
      <w:lvlText w:val=""/>
      <w:lvlJc w:val="left"/>
      <w:pPr>
        <w:ind w:left="5760" w:hanging="360"/>
      </w:pPr>
      <w:rPr>
        <w:rFonts w:ascii="Symbol" w:hAnsi="Symbol" w:hint="default"/>
      </w:rPr>
    </w:lvl>
    <w:lvl w:ilvl="7" w:tplc="FFFFFFFF">
      <w:start w:val="1"/>
      <w:numFmt w:val="bullet"/>
      <w:lvlText w:val="o"/>
      <w:lvlJc w:val="left"/>
      <w:pPr>
        <w:ind w:left="6480" w:hanging="360"/>
      </w:pPr>
      <w:rPr>
        <w:rFonts w:ascii="Courier New" w:hAnsi="Courier New" w:cs="Courier New" w:hint="default"/>
      </w:rPr>
    </w:lvl>
    <w:lvl w:ilvl="8" w:tplc="FFFFFFFF">
      <w:start w:val="1"/>
      <w:numFmt w:val="bullet"/>
      <w:lvlText w:val=""/>
      <w:lvlJc w:val="left"/>
      <w:pPr>
        <w:ind w:left="7200" w:hanging="360"/>
      </w:pPr>
      <w:rPr>
        <w:rFonts w:ascii="Wingdings" w:hAnsi="Wingdings" w:hint="default"/>
      </w:rPr>
    </w:lvl>
  </w:abstractNum>
  <w:abstractNum w:abstractNumId="26" w15:restartNumberingAfterBreak="0">
    <w:nsid w:val="607B1BAD"/>
    <w:multiLevelType w:val="hybridMultilevel"/>
    <w:tmpl w:val="27AA33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3B31062"/>
    <w:multiLevelType w:val="hybridMultilevel"/>
    <w:tmpl w:val="48BA8D98"/>
    <w:lvl w:ilvl="0" w:tplc="7D7ECFB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BC403B0"/>
    <w:multiLevelType w:val="hybridMultilevel"/>
    <w:tmpl w:val="722A4AA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CDC7A39"/>
    <w:multiLevelType w:val="hybridMultilevel"/>
    <w:tmpl w:val="78665594"/>
    <w:lvl w:ilvl="0" w:tplc="AA12045C">
      <w:start w:val="1"/>
      <w:numFmt w:val="bullet"/>
      <w:lvlText w:val="-"/>
      <w:lvlJc w:val="left"/>
      <w:pPr>
        <w:ind w:left="720" w:hanging="360"/>
      </w:pPr>
      <w:rPr>
        <w:rFonts w:ascii="Calibri" w:hAnsi="Calibri"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2" w15:restartNumberingAfterBreak="0">
    <w:nsid w:val="6F7F27D9"/>
    <w:multiLevelType w:val="hybridMultilevel"/>
    <w:tmpl w:val="05305FD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19D52B7"/>
    <w:multiLevelType w:val="hybridMultilevel"/>
    <w:tmpl w:val="8AFAFD5A"/>
    <w:lvl w:ilvl="0" w:tplc="76AC1A70">
      <w:start w:val="49"/>
      <w:numFmt w:val="bullet"/>
      <w:lvlText w:val=""/>
      <w:lvlJc w:val="left"/>
      <w:pPr>
        <w:ind w:left="780" w:hanging="360"/>
      </w:pPr>
      <w:rPr>
        <w:rFonts w:ascii="Symbol" w:eastAsia="Times New Roman" w:hAnsi="Symbol" w:cs="Times New Roman"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4" w15:restartNumberingAfterBreak="0">
    <w:nsid w:val="788F60B5"/>
    <w:multiLevelType w:val="hybridMultilevel"/>
    <w:tmpl w:val="9F807246"/>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9CA1AED"/>
    <w:multiLevelType w:val="hybridMultilevel"/>
    <w:tmpl w:val="4C301D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7E3A445F"/>
    <w:multiLevelType w:val="hybridMultilevel"/>
    <w:tmpl w:val="5EC07242"/>
    <w:lvl w:ilvl="0" w:tplc="3A1E23F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1"/>
  </w:num>
  <w:num w:numId="2">
    <w:abstractNumId w:val="8"/>
  </w:num>
  <w:num w:numId="3">
    <w:abstractNumId w:val="35"/>
  </w:num>
  <w:num w:numId="4">
    <w:abstractNumId w:val="22"/>
  </w:num>
  <w:num w:numId="5">
    <w:abstractNumId w:val="12"/>
  </w:num>
  <w:num w:numId="6">
    <w:abstractNumId w:val="7"/>
  </w:num>
  <w:num w:numId="7">
    <w:abstractNumId w:val="4"/>
  </w:num>
  <w:num w:numId="8">
    <w:abstractNumId w:val="18"/>
  </w:num>
  <w:num w:numId="9">
    <w:abstractNumId w:val="9"/>
  </w:num>
  <w:num w:numId="10">
    <w:abstractNumId w:val="27"/>
  </w:num>
  <w:num w:numId="11">
    <w:abstractNumId w:val="19"/>
  </w:num>
  <w:num w:numId="12">
    <w:abstractNumId w:val="30"/>
  </w:num>
  <w:num w:numId="13">
    <w:abstractNumId w:val="29"/>
  </w:num>
  <w:num w:numId="14">
    <w:abstractNumId w:val="34"/>
  </w:num>
  <w:num w:numId="15">
    <w:abstractNumId w:val="6"/>
  </w:num>
  <w:num w:numId="16">
    <w:abstractNumId w:val="36"/>
  </w:num>
  <w:num w:numId="1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4"/>
  </w:num>
  <w:num w:numId="20">
    <w:abstractNumId w:val="26"/>
  </w:num>
  <w:num w:numId="21">
    <w:abstractNumId w:val="17"/>
  </w:num>
  <w:num w:numId="22">
    <w:abstractNumId w:val="28"/>
  </w:num>
  <w:num w:numId="23">
    <w:abstractNumId w:val="10"/>
  </w:num>
  <w:num w:numId="24">
    <w:abstractNumId w:val="32"/>
  </w:num>
  <w:num w:numId="25">
    <w:abstractNumId w:val="0"/>
  </w:num>
  <w:num w:numId="26">
    <w:abstractNumId w:val="1"/>
  </w:num>
  <w:num w:numId="27">
    <w:abstractNumId w:val="2"/>
  </w:num>
  <w:num w:numId="28">
    <w:abstractNumId w:val="3"/>
  </w:num>
  <w:num w:numId="29">
    <w:abstractNumId w:val="24"/>
  </w:num>
  <w:num w:numId="30">
    <w:abstractNumId w:val="21"/>
  </w:num>
  <w:num w:numId="31">
    <w:abstractNumId w:val="5"/>
  </w:num>
  <w:num w:numId="32">
    <w:abstractNumId w:val="15"/>
  </w:num>
  <w:num w:numId="33">
    <w:abstractNumId w:val="16"/>
  </w:num>
  <w:num w:numId="34">
    <w:abstractNumId w:val="13"/>
  </w:num>
  <w:num w:numId="35">
    <w:abstractNumId w:val="20"/>
  </w:num>
  <w:num w:numId="36">
    <w:abstractNumId w:val="25"/>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001BC"/>
    <w:rsid w:val="00067518"/>
    <w:rsid w:val="00084FCB"/>
    <w:rsid w:val="000B3FE6"/>
    <w:rsid w:val="000D09EE"/>
    <w:rsid w:val="000E4215"/>
    <w:rsid w:val="00123FFD"/>
    <w:rsid w:val="001D547B"/>
    <w:rsid w:val="001F4457"/>
    <w:rsid w:val="0023051C"/>
    <w:rsid w:val="0023534A"/>
    <w:rsid w:val="0025086B"/>
    <w:rsid w:val="00254CAD"/>
    <w:rsid w:val="00260C1E"/>
    <w:rsid w:val="00277EF7"/>
    <w:rsid w:val="002B58B5"/>
    <w:rsid w:val="00366636"/>
    <w:rsid w:val="00367DE6"/>
    <w:rsid w:val="003728F3"/>
    <w:rsid w:val="003B3E19"/>
    <w:rsid w:val="004076C6"/>
    <w:rsid w:val="004230CF"/>
    <w:rsid w:val="00457A58"/>
    <w:rsid w:val="00467AB4"/>
    <w:rsid w:val="00477A87"/>
    <w:rsid w:val="004B7F76"/>
    <w:rsid w:val="004C7376"/>
    <w:rsid w:val="004E1BCE"/>
    <w:rsid w:val="00503F5D"/>
    <w:rsid w:val="0058138F"/>
    <w:rsid w:val="00592079"/>
    <w:rsid w:val="00593ECA"/>
    <w:rsid w:val="005A2F3C"/>
    <w:rsid w:val="005C12A8"/>
    <w:rsid w:val="005C490B"/>
    <w:rsid w:val="005C581F"/>
    <w:rsid w:val="005E120A"/>
    <w:rsid w:val="005F28D3"/>
    <w:rsid w:val="00614149"/>
    <w:rsid w:val="00655295"/>
    <w:rsid w:val="00656AF5"/>
    <w:rsid w:val="00682FFE"/>
    <w:rsid w:val="00684751"/>
    <w:rsid w:val="006908E3"/>
    <w:rsid w:val="006A4912"/>
    <w:rsid w:val="006B4ACB"/>
    <w:rsid w:val="006C69EC"/>
    <w:rsid w:val="006D4DB1"/>
    <w:rsid w:val="007039D0"/>
    <w:rsid w:val="00712FD6"/>
    <w:rsid w:val="00735968"/>
    <w:rsid w:val="007363CE"/>
    <w:rsid w:val="00767987"/>
    <w:rsid w:val="00782FD4"/>
    <w:rsid w:val="00791B90"/>
    <w:rsid w:val="007C6B47"/>
    <w:rsid w:val="007E1230"/>
    <w:rsid w:val="007F7469"/>
    <w:rsid w:val="00805439"/>
    <w:rsid w:val="00811060"/>
    <w:rsid w:val="00811140"/>
    <w:rsid w:val="00854AB9"/>
    <w:rsid w:val="008919A8"/>
    <w:rsid w:val="008D39E6"/>
    <w:rsid w:val="008E7E36"/>
    <w:rsid w:val="008F7F66"/>
    <w:rsid w:val="00904A48"/>
    <w:rsid w:val="009247EA"/>
    <w:rsid w:val="00966919"/>
    <w:rsid w:val="00980294"/>
    <w:rsid w:val="00981EDA"/>
    <w:rsid w:val="00990EDF"/>
    <w:rsid w:val="009C5392"/>
    <w:rsid w:val="009D0797"/>
    <w:rsid w:val="009F5943"/>
    <w:rsid w:val="00A50E4B"/>
    <w:rsid w:val="00A9231D"/>
    <w:rsid w:val="00AD3BB3"/>
    <w:rsid w:val="00B24E40"/>
    <w:rsid w:val="00B77493"/>
    <w:rsid w:val="00BC4568"/>
    <w:rsid w:val="00BD4D41"/>
    <w:rsid w:val="00BF2041"/>
    <w:rsid w:val="00C0216A"/>
    <w:rsid w:val="00C409EC"/>
    <w:rsid w:val="00C409F5"/>
    <w:rsid w:val="00C5472C"/>
    <w:rsid w:val="00C9373B"/>
    <w:rsid w:val="00CC1CA2"/>
    <w:rsid w:val="00CC6D17"/>
    <w:rsid w:val="00CD6077"/>
    <w:rsid w:val="00CE234E"/>
    <w:rsid w:val="00D02973"/>
    <w:rsid w:val="00D1271E"/>
    <w:rsid w:val="00D57EA5"/>
    <w:rsid w:val="00D63A0D"/>
    <w:rsid w:val="00D6427A"/>
    <w:rsid w:val="00D742B1"/>
    <w:rsid w:val="00DA09BE"/>
    <w:rsid w:val="00DE0772"/>
    <w:rsid w:val="00E216B5"/>
    <w:rsid w:val="00E67D62"/>
    <w:rsid w:val="00E83A83"/>
    <w:rsid w:val="00EE16B3"/>
    <w:rsid w:val="00F4591B"/>
    <w:rsid w:val="00F812EB"/>
    <w:rsid w:val="00F831EF"/>
    <w:rsid w:val="00FA24D3"/>
    <w:rsid w:val="00FB00DD"/>
    <w:rsid w:val="00FC1F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29025"/>
    <o:shapelayout v:ext="edit">
      <o:idmap v:ext="edit" data="1"/>
    </o:shapelayout>
  </w:shapeDefaults>
  <w:decimalSymbol w:val=","/>
  <w:listSeparator w:val=";"/>
  <w15:docId w15:val="{505B8EC9-5846-4579-9CD4-C5E45318BB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854AB9"/>
    <w:pPr>
      <w:tabs>
        <w:tab w:val="left" w:pos="3402"/>
      </w:tabs>
    </w:pPr>
    <w:rPr>
      <w:lang w:val="it-IT"/>
    </w:rPr>
  </w:style>
  <w:style w:type="paragraph" w:styleId="Besedilooblaka">
    <w:name w:val="Balloon Text"/>
    <w:basedOn w:val="Navaden"/>
    <w:link w:val="BesedilooblakaZnak"/>
    <w:uiPriority w:val="99"/>
    <w:semiHidden/>
    <w:unhideWhenUsed/>
    <w:rsid w:val="006908E3"/>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6908E3"/>
    <w:rPr>
      <w:rFonts w:ascii="Tahoma" w:eastAsia="Times New Roman" w:hAnsi="Tahoma" w:cs="Tahoma"/>
      <w:sz w:val="16"/>
      <w:szCs w:val="16"/>
    </w:rPr>
  </w:style>
  <w:style w:type="paragraph" w:styleId="Brezrazmikov">
    <w:name w:val="No Spacing"/>
    <w:aliases w:val="SUBHEADING,Clips Body,No Spacing1,ARTICLE TEXT,Medium Grid 21,Spacing,ISSUE AREA,Nessuna spaziatura,B,Brez razmikov1"/>
    <w:link w:val="BrezrazmikovZnak"/>
    <w:uiPriority w:val="1"/>
    <w:qFormat/>
    <w:rsid w:val="00254CAD"/>
    <w:pPr>
      <w:spacing w:after="0" w:line="240" w:lineRule="auto"/>
    </w:pPr>
    <w:rPr>
      <w:rFonts w:ascii="Calibri" w:eastAsia="Calibri" w:hAnsi="Calibri" w:cs="Times New Roman"/>
    </w:rPr>
  </w:style>
  <w:style w:type="paragraph" w:customStyle="1" w:styleId="ZADEVA">
    <w:name w:val="ZADEVA"/>
    <w:basedOn w:val="Navaden"/>
    <w:qFormat/>
    <w:rsid w:val="00D742B1"/>
    <w:pPr>
      <w:tabs>
        <w:tab w:val="left" w:pos="1701"/>
      </w:tabs>
      <w:ind w:left="1701" w:hanging="1701"/>
    </w:pPr>
    <w:rPr>
      <w:b/>
      <w:lang w:val="it-IT"/>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9D0797"/>
    <w:pPr>
      <w:spacing w:line="240" w:lineRule="auto"/>
      <w:ind w:left="708"/>
    </w:pPr>
    <w:rPr>
      <w:rFonts w:ascii="Times New Roman" w:hAnsi="Times New Roman"/>
      <w:sz w:val="24"/>
      <w:lang w:eastAsia="sl-SI"/>
    </w:rPr>
  </w:style>
  <w:style w:type="paragraph" w:styleId="Navadensplet">
    <w:name w:val="Normal (Web)"/>
    <w:basedOn w:val="Navaden"/>
    <w:uiPriority w:val="99"/>
    <w:unhideWhenUsed/>
    <w:rsid w:val="00467AB4"/>
    <w:pPr>
      <w:spacing w:before="100" w:beforeAutospacing="1" w:after="100" w:afterAutospacing="1" w:line="240" w:lineRule="auto"/>
    </w:pPr>
    <w:rPr>
      <w:rFonts w:ascii="Times New Roman" w:hAnsi="Times New Roman"/>
      <w:sz w:val="24"/>
      <w:lang w:eastAsia="sl-SI"/>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4C7376"/>
    <w:rPr>
      <w:rFonts w:ascii="Times New Roman" w:eastAsia="Times New Roman" w:hAnsi="Times New Roman" w:cs="Times New Roman"/>
      <w:sz w:val="24"/>
      <w:szCs w:val="24"/>
      <w:lang w:eastAsia="sl-SI"/>
    </w:rPr>
  </w:style>
  <w:style w:type="paragraph" w:styleId="Golobesedilo">
    <w:name w:val="Plain Text"/>
    <w:basedOn w:val="Navaden"/>
    <w:link w:val="GolobesediloZnak"/>
    <w:rsid w:val="00CC6D17"/>
    <w:pPr>
      <w:spacing w:line="240" w:lineRule="auto"/>
      <w:jc w:val="both"/>
    </w:pPr>
    <w:rPr>
      <w:rFonts w:ascii="Courier New" w:eastAsia="Batang" w:hAnsi="Courier New" w:cs="Courier New"/>
      <w:szCs w:val="20"/>
      <w:lang w:eastAsia="ko-KR"/>
    </w:rPr>
  </w:style>
  <w:style w:type="character" w:customStyle="1" w:styleId="GolobesediloZnak">
    <w:name w:val="Golo besedilo Znak"/>
    <w:basedOn w:val="Privzetapisavaodstavka"/>
    <w:link w:val="Golobesedilo"/>
    <w:rsid w:val="00CC6D17"/>
    <w:rPr>
      <w:rFonts w:ascii="Courier New" w:eastAsia="Batang" w:hAnsi="Courier New" w:cs="Courier New"/>
      <w:sz w:val="20"/>
      <w:szCs w:val="20"/>
      <w:lang w:eastAsia="ko-KR"/>
    </w:rPr>
  </w:style>
  <w:style w:type="paragraph" w:customStyle="1" w:styleId="bodytext">
    <w:name w:val="bodytext"/>
    <w:basedOn w:val="Navaden"/>
    <w:rsid w:val="00CC6D1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qFormat/>
    <w:rsid w:val="000D09EE"/>
    <w:pPr>
      <w:suppressAutoHyphens/>
      <w:overflowPunct w:val="0"/>
      <w:autoSpaceDE w:val="0"/>
      <w:autoSpaceDN w:val="0"/>
      <w:spacing w:before="360" w:after="60" w:line="200" w:lineRule="exact"/>
      <w:jc w:val="center"/>
      <w:textAlignment w:val="baseline"/>
      <w:outlineLvl w:val="3"/>
    </w:pPr>
    <w:rPr>
      <w:rFonts w:cs="Arial"/>
      <w:b/>
      <w:sz w:val="22"/>
      <w:szCs w:val="22"/>
      <w:lang w:eastAsia="sl-SI"/>
    </w:rPr>
  </w:style>
  <w:style w:type="character" w:styleId="Hiperpovezava">
    <w:name w:val="Hyperlink"/>
    <w:unhideWhenUsed/>
    <w:rsid w:val="00735968"/>
    <w:rPr>
      <w:color w:val="0000FF"/>
      <w:u w:val="single"/>
    </w:rPr>
  </w:style>
  <w:style w:type="character" w:styleId="Poudarek">
    <w:name w:val="Emphasis"/>
    <w:uiPriority w:val="20"/>
    <w:qFormat/>
    <w:rsid w:val="00735968"/>
    <w:rPr>
      <w:i/>
      <w:iCs/>
    </w:rPr>
  </w:style>
  <w:style w:type="character" w:customStyle="1" w:styleId="Telobesedila3Znak">
    <w:name w:val="Telo besedila 3 Znak"/>
    <w:link w:val="Telobesedila3"/>
    <w:locked/>
    <w:rsid w:val="001F4457"/>
    <w:rPr>
      <w:sz w:val="16"/>
      <w:lang w:val="x-none"/>
    </w:rPr>
  </w:style>
  <w:style w:type="paragraph" w:styleId="Telobesedila3">
    <w:name w:val="Body Text 3"/>
    <w:basedOn w:val="Navaden"/>
    <w:link w:val="Telobesedila3Znak"/>
    <w:rsid w:val="001F4457"/>
    <w:pPr>
      <w:spacing w:after="120" w:line="240" w:lineRule="auto"/>
    </w:pPr>
    <w:rPr>
      <w:rFonts w:asciiTheme="minorHAnsi" w:eastAsiaTheme="minorHAnsi" w:hAnsiTheme="minorHAnsi" w:cstheme="minorBidi"/>
      <w:sz w:val="16"/>
      <w:szCs w:val="22"/>
      <w:lang w:val="x-none"/>
    </w:rPr>
  </w:style>
  <w:style w:type="character" w:customStyle="1" w:styleId="Telobesedila3Znak1">
    <w:name w:val="Telo besedila 3 Znak1"/>
    <w:basedOn w:val="Privzetapisavaodstavka"/>
    <w:uiPriority w:val="99"/>
    <w:semiHidden/>
    <w:rsid w:val="001F4457"/>
    <w:rPr>
      <w:rFonts w:ascii="Arial" w:eastAsia="Times New Roman" w:hAnsi="Arial" w:cs="Times New Roman"/>
      <w:sz w:val="16"/>
      <w:szCs w:val="16"/>
    </w:rPr>
  </w:style>
  <w:style w:type="character" w:customStyle="1" w:styleId="Sprotnaopomba-besediloZnak">
    <w:name w:val="Sprotna opomba - besedilo Znak"/>
    <w:aliases w:val="Footnote Znak,Char Char Char Char Znak,Sprotna opomba - besedilo Znak Znak2 Znak,Sprotna opomba - besedilo Znak1 Znak Znak1 Znak,Sprotna opomba - besedilo Znak1 Znak Znak Znak Char Char Znak,Char Char Char Znak,fn Znak"/>
    <w:link w:val="Sprotnaopomba-besedilo"/>
    <w:uiPriority w:val="99"/>
    <w:locked/>
    <w:rsid w:val="001F4457"/>
    <w:rPr>
      <w:lang w:val="x-none"/>
    </w:rPr>
  </w:style>
  <w:style w:type="paragraph" w:styleId="Sprotnaopomba-besedilo">
    <w:name w:val="footnote text"/>
    <w:aliases w:val="Footnote,Char Char Char Char,Sprotna opomba - besedilo Znak Znak2,Sprotna opomba - besedilo Znak1 Znak Znak1,Sprotna opomba - besedilo Znak1 Znak Znak Znak Char Char,Char Char Char,Char Char,fn,o"/>
    <w:basedOn w:val="Navaden"/>
    <w:link w:val="Sprotnaopomba-besediloZnak"/>
    <w:uiPriority w:val="99"/>
    <w:qFormat/>
    <w:rsid w:val="001F4457"/>
    <w:pPr>
      <w:spacing w:line="240" w:lineRule="auto"/>
    </w:pPr>
    <w:rPr>
      <w:rFonts w:asciiTheme="minorHAnsi" w:eastAsiaTheme="minorHAnsi" w:hAnsiTheme="minorHAnsi" w:cstheme="minorBidi"/>
      <w:sz w:val="22"/>
      <w:szCs w:val="22"/>
      <w:lang w:val="x-none"/>
    </w:rPr>
  </w:style>
  <w:style w:type="character" w:customStyle="1" w:styleId="Sprotnaopomba-besediloZnak1">
    <w:name w:val="Sprotna opomba - besedilo Znak1"/>
    <w:basedOn w:val="Privzetapisavaodstavka"/>
    <w:uiPriority w:val="99"/>
    <w:semiHidden/>
    <w:rsid w:val="001F4457"/>
    <w:rPr>
      <w:rFonts w:ascii="Arial" w:eastAsia="Times New Roman" w:hAnsi="Arial" w:cs="Times New Roman"/>
      <w:sz w:val="20"/>
      <w:szCs w:val="20"/>
    </w:rPr>
  </w:style>
  <w:style w:type="character" w:styleId="Sprotnaopomba-sklic">
    <w:name w:val="footnote reference"/>
    <w:aliases w:val="16 Point,Superscript 6 Point,Footnote Reference Number,Footnote Reference_LVL6,Footnote Reference_LVL61,Footnote Reference_LVL62,Footnote Reference_LVL63,Footnote Reference_LVL64,Footnote call,BVI fnr,SUPERS,Footnote symbol"/>
    <w:uiPriority w:val="99"/>
    <w:qFormat/>
    <w:rsid w:val="001F4457"/>
    <w:rPr>
      <w:rFonts w:cs="Times New Roman"/>
      <w:vertAlign w:val="superscript"/>
    </w:rPr>
  </w:style>
  <w:style w:type="paragraph" w:styleId="Telobesedila">
    <w:name w:val="Body Text"/>
    <w:basedOn w:val="Navaden"/>
    <w:link w:val="TelobesedilaZnak"/>
    <w:uiPriority w:val="99"/>
    <w:semiHidden/>
    <w:unhideWhenUsed/>
    <w:rsid w:val="00260C1E"/>
    <w:pPr>
      <w:spacing w:after="120"/>
    </w:pPr>
  </w:style>
  <w:style w:type="character" w:customStyle="1" w:styleId="TelobesedilaZnak">
    <w:name w:val="Telo besedila Znak"/>
    <w:basedOn w:val="Privzetapisavaodstavka"/>
    <w:link w:val="Telobesedila"/>
    <w:uiPriority w:val="99"/>
    <w:semiHidden/>
    <w:rsid w:val="00260C1E"/>
    <w:rPr>
      <w:rFonts w:ascii="Arial" w:eastAsia="Times New Roman" w:hAnsi="Arial" w:cs="Times New Roman"/>
      <w:sz w:val="20"/>
      <w:szCs w:val="24"/>
    </w:rPr>
  </w:style>
  <w:style w:type="character" w:customStyle="1" w:styleId="BrezrazmikovZnak">
    <w:name w:val="Brez razmikov Znak"/>
    <w:aliases w:val="SUBHEADING Znak,Clips Body Znak,No Spacing1 Znak,ARTICLE TEXT Znak,Medium Grid 21 Znak,Spacing Znak,ISSUE AREA Znak,Nessuna spaziatura Znak,B Znak,Brez razmikov1 Znak"/>
    <w:link w:val="Brezrazmikov"/>
    <w:uiPriority w:val="1"/>
    <w:qFormat/>
    <w:rsid w:val="00260C1E"/>
    <w:rPr>
      <w:rFonts w:ascii="Calibri" w:eastAsia="Calibri" w:hAnsi="Calibri" w:cs="Times New Roman"/>
    </w:rPr>
  </w:style>
  <w:style w:type="character" w:customStyle="1" w:styleId="fontstyle01">
    <w:name w:val="fontstyle01"/>
    <w:rsid w:val="00FC1F77"/>
    <w:rPr>
      <w:rFonts w:ascii="Arial" w:hAnsi="Arial" w:cs="Arial" w:hint="default"/>
      <w:b w:val="0"/>
      <w:bCs w:val="0"/>
      <w:i w:val="0"/>
      <w:iCs w:val="0"/>
      <w:color w:val="000000"/>
      <w:sz w:val="20"/>
      <w:szCs w:val="20"/>
    </w:rPr>
  </w:style>
  <w:style w:type="paragraph" w:customStyle="1" w:styleId="m-316872487192289474msobodytext">
    <w:name w:val="m_-316872487192289474msobodytext"/>
    <w:basedOn w:val="Navaden"/>
    <w:rsid w:val="005E120A"/>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966919"/>
    <w:pPr>
      <w:autoSpaceDE w:val="0"/>
      <w:autoSpaceDN w:val="0"/>
      <w:adjustRightInd w:val="0"/>
      <w:spacing w:after="0" w:line="240" w:lineRule="auto"/>
    </w:pPr>
    <w:rPr>
      <w:rFonts w:ascii="Arial" w:eastAsia="SimSun" w:hAnsi="Arial" w:cs="Arial"/>
      <w:color w:val="000000"/>
      <w:sz w:val="24"/>
      <w:szCs w:val="24"/>
      <w:lang w:eastAsia="sl-SI"/>
    </w:rPr>
  </w:style>
  <w:style w:type="paragraph" w:customStyle="1" w:styleId="Body">
    <w:name w:val="Body"/>
    <w:basedOn w:val="Navaden"/>
    <w:uiPriority w:val="99"/>
    <w:rsid w:val="00966919"/>
    <w:pPr>
      <w:autoSpaceDE w:val="0"/>
      <w:autoSpaceDN w:val="0"/>
      <w:adjustRightInd w:val="0"/>
      <w:spacing w:line="330" w:lineRule="atLeast"/>
      <w:jc w:val="both"/>
    </w:pPr>
    <w:rPr>
      <w:rFonts w:eastAsiaTheme="minorHAnsi" w:cs="Arial"/>
      <w:color w:val="000000"/>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842</Words>
  <Characters>4803</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2024-01-11T06:16:00Z</dcterms:created>
  <dcterms:modified xsi:type="dcterms:W3CDTF">2024-01-11T06:16:00Z</dcterms:modified>
</cp:coreProperties>
</file>